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ABA6"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697E3EF8" wp14:editId="2B42979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2DEE4C3"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1D5A78FB" w14:textId="50B44D07" w:rsidR="0096459E" w:rsidRPr="003B7D0E" w:rsidRDefault="00A11AF3"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Department of Justice </w:t>
      </w:r>
      <w:r w:rsidRPr="00A11AF3">
        <w:rPr>
          <w:rFonts w:ascii="Verdana" w:hAnsi="Verdana" w:cs="Arial"/>
          <w:b/>
          <w:bCs/>
          <w:color w:val="77328A"/>
          <w:sz w:val="36"/>
          <w:szCs w:val="36"/>
        </w:rPr>
        <w:t>Consultation on Measures to Strengthen the Response to Modern Slavery and Human Trafficking</w:t>
      </w:r>
    </w:p>
    <w:p w14:paraId="32E007C1" w14:textId="77777777" w:rsidR="00F31387" w:rsidRPr="00331C61" w:rsidRDefault="00F31387" w:rsidP="003B7D0E">
      <w:pPr>
        <w:pStyle w:val="Default"/>
        <w:spacing w:line="288" w:lineRule="auto"/>
        <w:jc w:val="center"/>
        <w:rPr>
          <w:rFonts w:cs="Arial"/>
          <w:color w:val="232120"/>
          <w:sz w:val="36"/>
          <w:szCs w:val="36"/>
        </w:rPr>
      </w:pPr>
    </w:p>
    <w:p w14:paraId="57965765" w14:textId="174BEC84" w:rsidR="008159E8" w:rsidRPr="00331C61" w:rsidRDefault="00A11AF3" w:rsidP="003B7D0E">
      <w:pPr>
        <w:spacing w:line="288" w:lineRule="auto"/>
        <w:jc w:val="center"/>
        <w:rPr>
          <w:rFonts w:cs="Arial"/>
          <w:b/>
          <w:color w:val="232120"/>
          <w:sz w:val="30"/>
          <w:szCs w:val="30"/>
        </w:rPr>
      </w:pPr>
      <w:r>
        <w:rPr>
          <w:rFonts w:cs="Arial"/>
          <w:b/>
          <w:color w:val="232120"/>
          <w:sz w:val="30"/>
          <w:szCs w:val="30"/>
        </w:rPr>
        <w:t>27</w:t>
      </w:r>
      <w:r w:rsidR="00F31387" w:rsidRPr="00331C61">
        <w:rPr>
          <w:rFonts w:cs="Arial"/>
          <w:b/>
          <w:color w:val="232120"/>
          <w:sz w:val="30"/>
          <w:szCs w:val="30"/>
        </w:rPr>
        <w:t xml:space="preserve"> </w:t>
      </w:r>
      <w:r w:rsidR="00D2770F">
        <w:rPr>
          <w:rFonts w:cs="Arial"/>
          <w:b/>
          <w:color w:val="232120"/>
          <w:sz w:val="30"/>
          <w:szCs w:val="30"/>
        </w:rPr>
        <w:t>M</w:t>
      </w:r>
      <w:r>
        <w:rPr>
          <w:rFonts w:cs="Arial"/>
          <w:b/>
          <w:color w:val="232120"/>
          <w:sz w:val="30"/>
          <w:szCs w:val="30"/>
        </w:rPr>
        <w:t>ay</w:t>
      </w:r>
      <w:r w:rsidR="00F31387" w:rsidRPr="00331C61">
        <w:rPr>
          <w:rFonts w:cs="Arial"/>
          <w:b/>
          <w:color w:val="232120"/>
          <w:sz w:val="30"/>
          <w:szCs w:val="30"/>
        </w:rPr>
        <w:t xml:space="preserve"> </w:t>
      </w:r>
      <w:r>
        <w:rPr>
          <w:rFonts w:cs="Arial"/>
          <w:b/>
          <w:color w:val="232120"/>
          <w:sz w:val="30"/>
          <w:szCs w:val="30"/>
        </w:rPr>
        <w:t>2022</w:t>
      </w:r>
    </w:p>
    <w:p w14:paraId="3DA3A731" w14:textId="77777777" w:rsidR="00046705" w:rsidRPr="00331C61" w:rsidRDefault="00046705" w:rsidP="003B7D0E">
      <w:pPr>
        <w:spacing w:line="288" w:lineRule="auto"/>
        <w:jc w:val="center"/>
        <w:rPr>
          <w:rFonts w:cs="Arial"/>
          <w:b/>
          <w:color w:val="232120"/>
          <w:sz w:val="28"/>
          <w:szCs w:val="28"/>
        </w:rPr>
      </w:pPr>
    </w:p>
    <w:p w14:paraId="4A51D30C" w14:textId="77777777" w:rsidR="00046705" w:rsidRPr="00331C61" w:rsidRDefault="00046705" w:rsidP="003B7D0E">
      <w:pPr>
        <w:spacing w:line="288" w:lineRule="auto"/>
        <w:jc w:val="center"/>
        <w:rPr>
          <w:rFonts w:cs="Arial"/>
          <w:b/>
          <w:color w:val="232120"/>
          <w:sz w:val="28"/>
          <w:szCs w:val="28"/>
        </w:rPr>
      </w:pPr>
    </w:p>
    <w:p w14:paraId="401A61CE" w14:textId="77777777" w:rsidR="00EA12CE" w:rsidRPr="00331C61" w:rsidRDefault="00EA12CE" w:rsidP="003B7D0E">
      <w:pPr>
        <w:pStyle w:val="Default"/>
        <w:spacing w:line="288" w:lineRule="auto"/>
        <w:jc w:val="center"/>
        <w:rPr>
          <w:rFonts w:cs="Arial"/>
          <w:b/>
          <w:color w:val="232120"/>
          <w:sz w:val="28"/>
          <w:szCs w:val="28"/>
          <w:lang w:val="en-GB"/>
        </w:rPr>
      </w:pPr>
    </w:p>
    <w:p w14:paraId="4F26EBA2" w14:textId="77777777" w:rsidR="003B7D0E" w:rsidRPr="00331C61" w:rsidRDefault="003B7D0E" w:rsidP="003B7D0E">
      <w:pPr>
        <w:pStyle w:val="Default"/>
        <w:spacing w:line="480" w:lineRule="auto"/>
        <w:jc w:val="center"/>
        <w:rPr>
          <w:rFonts w:cs="Arial"/>
          <w:b/>
          <w:color w:val="232120"/>
          <w:sz w:val="36"/>
          <w:szCs w:val="36"/>
        </w:rPr>
      </w:pPr>
    </w:p>
    <w:p w14:paraId="232A90DA" w14:textId="77777777" w:rsidR="003B7D0E" w:rsidRDefault="003B7D0E" w:rsidP="003B7D0E">
      <w:pPr>
        <w:pStyle w:val="Default"/>
        <w:spacing w:line="480" w:lineRule="auto"/>
        <w:jc w:val="center"/>
        <w:rPr>
          <w:rFonts w:cs="Arial"/>
          <w:b/>
          <w:color w:val="232120"/>
          <w:sz w:val="36"/>
          <w:szCs w:val="36"/>
        </w:rPr>
      </w:pPr>
    </w:p>
    <w:p w14:paraId="3303BD5C" w14:textId="77777777" w:rsidR="0096459E" w:rsidRPr="00331C61" w:rsidRDefault="0096459E" w:rsidP="003B7D0E">
      <w:pPr>
        <w:pStyle w:val="Default"/>
        <w:spacing w:line="480" w:lineRule="auto"/>
        <w:jc w:val="center"/>
        <w:rPr>
          <w:rFonts w:cs="Arial"/>
          <w:b/>
          <w:color w:val="232120"/>
          <w:sz w:val="36"/>
          <w:szCs w:val="36"/>
        </w:rPr>
      </w:pPr>
    </w:p>
    <w:p w14:paraId="318434CF" w14:textId="77777777" w:rsidR="003B7D0E" w:rsidRPr="00331C61" w:rsidRDefault="003B7D0E" w:rsidP="003B7D0E">
      <w:pPr>
        <w:pStyle w:val="Default"/>
        <w:spacing w:line="480" w:lineRule="auto"/>
        <w:jc w:val="center"/>
        <w:rPr>
          <w:rFonts w:cs="Arial"/>
          <w:b/>
          <w:color w:val="232120"/>
          <w:sz w:val="36"/>
          <w:szCs w:val="36"/>
        </w:rPr>
      </w:pPr>
    </w:p>
    <w:sdt>
      <w:sdtPr>
        <w:rPr>
          <w:rFonts w:cstheme="minorBidi"/>
          <w:color w:val="auto"/>
          <w:lang w:val="en-GB"/>
        </w:rPr>
        <w:id w:val="1940330110"/>
        <w:docPartObj>
          <w:docPartGallery w:val="Table of Contents"/>
          <w:docPartUnique/>
        </w:docPartObj>
      </w:sdtPr>
      <w:sdtEndPr>
        <w:rPr>
          <w:b/>
          <w:bCs/>
          <w:noProof/>
        </w:rPr>
      </w:sdtEndPr>
      <w:sdtContent>
        <w:p w14:paraId="41363C94" w14:textId="3CD98D6E" w:rsidR="00F15AB5" w:rsidRPr="00F15AB5" w:rsidRDefault="00F15AB5" w:rsidP="00F15AB5">
          <w:pPr>
            <w:pStyle w:val="Default"/>
            <w:spacing w:line="480" w:lineRule="auto"/>
            <w:rPr>
              <w:rFonts w:cs="Arial"/>
              <w:b/>
              <w:color w:val="3C3C3B"/>
              <w:sz w:val="30"/>
              <w:szCs w:val="30"/>
            </w:rPr>
          </w:pPr>
          <w:r w:rsidRPr="00F15AB5">
            <w:rPr>
              <w:rFonts w:cs="Arial"/>
              <w:b/>
              <w:color w:val="77328A"/>
              <w:sz w:val="30"/>
              <w:szCs w:val="30"/>
            </w:rPr>
            <w:t>Table of Contents</w:t>
          </w:r>
        </w:p>
        <w:p w14:paraId="736D6B1D" w14:textId="5E16ABE8" w:rsidR="00CB7BDF" w:rsidRDefault="00F15AB5">
          <w:pPr>
            <w:pStyle w:val="TOC1"/>
            <w:rPr>
              <w:rFonts w:asciiTheme="minorHAnsi" w:hAnsiTheme="minorHAnsi"/>
              <w:b w:val="0"/>
              <w:bCs w:val="0"/>
              <w:sz w:val="22"/>
              <w:szCs w:val="22"/>
              <w:lang w:eastAsia="en-GB"/>
            </w:rPr>
          </w:pPr>
          <w:r>
            <w:fldChar w:fldCharType="begin"/>
          </w:r>
          <w:r>
            <w:instrText xml:space="preserve"> TOC \o "1-3" \h \z \u </w:instrText>
          </w:r>
          <w:r>
            <w:fldChar w:fldCharType="separate"/>
          </w:r>
          <w:hyperlink w:anchor="_Toc105754262" w:history="1">
            <w:r w:rsidR="00CB7BDF" w:rsidRPr="00946693">
              <w:rPr>
                <w:rStyle w:val="Hyperlink"/>
              </w:rPr>
              <w:t>Summary of Recommendations</w:t>
            </w:r>
            <w:r w:rsidR="00CB7BDF">
              <w:rPr>
                <w:webHidden/>
              </w:rPr>
              <w:tab/>
            </w:r>
            <w:r w:rsidR="00CB7BDF">
              <w:rPr>
                <w:webHidden/>
              </w:rPr>
              <w:fldChar w:fldCharType="begin"/>
            </w:r>
            <w:r w:rsidR="00CB7BDF">
              <w:rPr>
                <w:webHidden/>
              </w:rPr>
              <w:instrText xml:space="preserve"> PAGEREF _Toc105754262 \h </w:instrText>
            </w:r>
            <w:r w:rsidR="00CB7BDF">
              <w:rPr>
                <w:webHidden/>
              </w:rPr>
            </w:r>
            <w:r w:rsidR="00CB7BDF">
              <w:rPr>
                <w:webHidden/>
              </w:rPr>
              <w:fldChar w:fldCharType="separate"/>
            </w:r>
            <w:r w:rsidR="00914E2A">
              <w:rPr>
                <w:webHidden/>
              </w:rPr>
              <w:t>3</w:t>
            </w:r>
            <w:r w:rsidR="00CB7BDF">
              <w:rPr>
                <w:webHidden/>
              </w:rPr>
              <w:fldChar w:fldCharType="end"/>
            </w:r>
          </w:hyperlink>
        </w:p>
        <w:p w14:paraId="47B3374A" w14:textId="4AC8CEB4" w:rsidR="00CB7BDF" w:rsidRDefault="00B55BDD">
          <w:pPr>
            <w:pStyle w:val="TOC1"/>
            <w:rPr>
              <w:rFonts w:asciiTheme="minorHAnsi" w:hAnsiTheme="minorHAnsi"/>
              <w:b w:val="0"/>
              <w:bCs w:val="0"/>
              <w:sz w:val="22"/>
              <w:szCs w:val="22"/>
              <w:lang w:eastAsia="en-GB"/>
            </w:rPr>
          </w:pPr>
          <w:hyperlink w:anchor="_Toc105754263" w:history="1">
            <w:r w:rsidR="00CB7BDF" w:rsidRPr="00946693">
              <w:rPr>
                <w:rStyle w:val="Hyperlink"/>
              </w:rPr>
              <w:t>1.0</w:t>
            </w:r>
            <w:r w:rsidR="00CB7BDF">
              <w:rPr>
                <w:rFonts w:asciiTheme="minorHAnsi" w:hAnsiTheme="minorHAnsi"/>
                <w:b w:val="0"/>
                <w:bCs w:val="0"/>
                <w:sz w:val="22"/>
                <w:szCs w:val="22"/>
                <w:lang w:eastAsia="en-GB"/>
              </w:rPr>
              <w:tab/>
            </w:r>
            <w:r w:rsidR="00CB7BDF" w:rsidRPr="00946693">
              <w:rPr>
                <w:rStyle w:val="Hyperlink"/>
              </w:rPr>
              <w:t>Introduction</w:t>
            </w:r>
            <w:r w:rsidR="00CB7BDF">
              <w:rPr>
                <w:webHidden/>
              </w:rPr>
              <w:tab/>
            </w:r>
            <w:r w:rsidR="00CB7BDF">
              <w:rPr>
                <w:webHidden/>
              </w:rPr>
              <w:fldChar w:fldCharType="begin"/>
            </w:r>
            <w:r w:rsidR="00CB7BDF">
              <w:rPr>
                <w:webHidden/>
              </w:rPr>
              <w:instrText xml:space="preserve"> PAGEREF _Toc105754263 \h </w:instrText>
            </w:r>
            <w:r w:rsidR="00CB7BDF">
              <w:rPr>
                <w:webHidden/>
              </w:rPr>
            </w:r>
            <w:r w:rsidR="00CB7BDF">
              <w:rPr>
                <w:webHidden/>
              </w:rPr>
              <w:fldChar w:fldCharType="separate"/>
            </w:r>
            <w:r w:rsidR="00914E2A">
              <w:rPr>
                <w:webHidden/>
              </w:rPr>
              <w:t>5</w:t>
            </w:r>
            <w:r w:rsidR="00CB7BDF">
              <w:rPr>
                <w:webHidden/>
              </w:rPr>
              <w:fldChar w:fldCharType="end"/>
            </w:r>
          </w:hyperlink>
        </w:p>
        <w:p w14:paraId="415CE02F" w14:textId="0CAD41F4" w:rsidR="00CB7BDF" w:rsidRDefault="00B55BDD">
          <w:pPr>
            <w:pStyle w:val="TOC1"/>
            <w:rPr>
              <w:rFonts w:asciiTheme="minorHAnsi" w:hAnsiTheme="minorHAnsi"/>
              <w:b w:val="0"/>
              <w:bCs w:val="0"/>
              <w:sz w:val="22"/>
              <w:szCs w:val="22"/>
              <w:lang w:eastAsia="en-GB"/>
            </w:rPr>
          </w:pPr>
          <w:hyperlink w:anchor="_Toc105754264" w:history="1">
            <w:r w:rsidR="00CB7BDF" w:rsidRPr="00946693">
              <w:rPr>
                <w:rStyle w:val="Hyperlink"/>
              </w:rPr>
              <w:t>2.0</w:t>
            </w:r>
            <w:r w:rsidR="00CB7BDF">
              <w:rPr>
                <w:rFonts w:asciiTheme="minorHAnsi" w:hAnsiTheme="minorHAnsi"/>
                <w:b w:val="0"/>
                <w:bCs w:val="0"/>
                <w:sz w:val="22"/>
                <w:szCs w:val="22"/>
                <w:lang w:eastAsia="en-GB"/>
              </w:rPr>
              <w:tab/>
            </w:r>
            <w:r w:rsidR="00CB7BDF" w:rsidRPr="00946693">
              <w:rPr>
                <w:rStyle w:val="Hyperlink"/>
              </w:rPr>
              <w:t>Protocol Article 2</w:t>
            </w:r>
            <w:r w:rsidR="00CB7BDF">
              <w:rPr>
                <w:webHidden/>
              </w:rPr>
              <w:tab/>
            </w:r>
            <w:r w:rsidR="00CB7BDF">
              <w:rPr>
                <w:webHidden/>
              </w:rPr>
              <w:fldChar w:fldCharType="begin"/>
            </w:r>
            <w:r w:rsidR="00CB7BDF">
              <w:rPr>
                <w:webHidden/>
              </w:rPr>
              <w:instrText xml:space="preserve"> PAGEREF _Toc105754264 \h </w:instrText>
            </w:r>
            <w:r w:rsidR="00CB7BDF">
              <w:rPr>
                <w:webHidden/>
              </w:rPr>
            </w:r>
            <w:r w:rsidR="00CB7BDF">
              <w:rPr>
                <w:webHidden/>
              </w:rPr>
              <w:fldChar w:fldCharType="separate"/>
            </w:r>
            <w:r w:rsidR="00914E2A">
              <w:rPr>
                <w:webHidden/>
              </w:rPr>
              <w:t>7</w:t>
            </w:r>
            <w:r w:rsidR="00CB7BDF">
              <w:rPr>
                <w:webHidden/>
              </w:rPr>
              <w:fldChar w:fldCharType="end"/>
            </w:r>
          </w:hyperlink>
        </w:p>
        <w:p w14:paraId="23113DCC" w14:textId="277314D0" w:rsidR="00CB7BDF" w:rsidRDefault="00B55BDD">
          <w:pPr>
            <w:pStyle w:val="TOC2"/>
            <w:tabs>
              <w:tab w:val="right" w:leader="dot" w:pos="9848"/>
            </w:tabs>
            <w:rPr>
              <w:rFonts w:asciiTheme="minorHAnsi" w:hAnsiTheme="minorHAnsi"/>
              <w:noProof/>
              <w:sz w:val="22"/>
              <w:szCs w:val="22"/>
              <w:lang w:eastAsia="en-GB"/>
            </w:rPr>
          </w:pPr>
          <w:hyperlink w:anchor="_Toc105754265" w:history="1">
            <w:r w:rsidR="00CB7BDF" w:rsidRPr="00946693">
              <w:rPr>
                <w:rStyle w:val="Hyperlink"/>
                <w:noProof/>
              </w:rPr>
              <w:t>EU Victims’ Directive</w:t>
            </w:r>
            <w:r w:rsidR="00CB7BDF">
              <w:rPr>
                <w:noProof/>
                <w:webHidden/>
              </w:rPr>
              <w:tab/>
            </w:r>
            <w:r w:rsidR="00CB7BDF">
              <w:rPr>
                <w:noProof/>
                <w:webHidden/>
              </w:rPr>
              <w:fldChar w:fldCharType="begin"/>
            </w:r>
            <w:r w:rsidR="00CB7BDF">
              <w:rPr>
                <w:noProof/>
                <w:webHidden/>
              </w:rPr>
              <w:instrText xml:space="preserve"> PAGEREF _Toc105754265 \h </w:instrText>
            </w:r>
            <w:r w:rsidR="00CB7BDF">
              <w:rPr>
                <w:noProof/>
                <w:webHidden/>
              </w:rPr>
            </w:r>
            <w:r w:rsidR="00CB7BDF">
              <w:rPr>
                <w:noProof/>
                <w:webHidden/>
              </w:rPr>
              <w:fldChar w:fldCharType="separate"/>
            </w:r>
            <w:r w:rsidR="00914E2A">
              <w:rPr>
                <w:noProof/>
                <w:webHidden/>
              </w:rPr>
              <w:t>8</w:t>
            </w:r>
            <w:r w:rsidR="00CB7BDF">
              <w:rPr>
                <w:noProof/>
                <w:webHidden/>
              </w:rPr>
              <w:fldChar w:fldCharType="end"/>
            </w:r>
          </w:hyperlink>
        </w:p>
        <w:p w14:paraId="677C82F7" w14:textId="5E024592" w:rsidR="00CB7BDF" w:rsidRDefault="00B55BDD">
          <w:pPr>
            <w:pStyle w:val="TOC2"/>
            <w:tabs>
              <w:tab w:val="right" w:leader="dot" w:pos="9848"/>
            </w:tabs>
            <w:rPr>
              <w:rFonts w:asciiTheme="minorHAnsi" w:hAnsiTheme="minorHAnsi"/>
              <w:noProof/>
              <w:sz w:val="22"/>
              <w:szCs w:val="22"/>
              <w:lang w:eastAsia="en-GB"/>
            </w:rPr>
          </w:pPr>
          <w:hyperlink w:anchor="_Toc105754266" w:history="1">
            <w:r w:rsidR="00CB7BDF" w:rsidRPr="00946693">
              <w:rPr>
                <w:rStyle w:val="Hyperlink"/>
                <w:noProof/>
              </w:rPr>
              <w:t>Trafficked persons and the scope of Protocol Article 2</w:t>
            </w:r>
            <w:r w:rsidR="00CB7BDF">
              <w:rPr>
                <w:noProof/>
                <w:webHidden/>
              </w:rPr>
              <w:tab/>
            </w:r>
            <w:r w:rsidR="00CB7BDF">
              <w:rPr>
                <w:noProof/>
                <w:webHidden/>
              </w:rPr>
              <w:fldChar w:fldCharType="begin"/>
            </w:r>
            <w:r w:rsidR="00CB7BDF">
              <w:rPr>
                <w:noProof/>
                <w:webHidden/>
              </w:rPr>
              <w:instrText xml:space="preserve"> PAGEREF _Toc105754266 \h </w:instrText>
            </w:r>
            <w:r w:rsidR="00CB7BDF">
              <w:rPr>
                <w:noProof/>
                <w:webHidden/>
              </w:rPr>
            </w:r>
            <w:r w:rsidR="00CB7BDF">
              <w:rPr>
                <w:noProof/>
                <w:webHidden/>
              </w:rPr>
              <w:fldChar w:fldCharType="separate"/>
            </w:r>
            <w:r w:rsidR="00914E2A">
              <w:rPr>
                <w:noProof/>
                <w:webHidden/>
              </w:rPr>
              <w:t>9</w:t>
            </w:r>
            <w:r w:rsidR="00CB7BDF">
              <w:rPr>
                <w:noProof/>
                <w:webHidden/>
              </w:rPr>
              <w:fldChar w:fldCharType="end"/>
            </w:r>
          </w:hyperlink>
        </w:p>
        <w:p w14:paraId="2EB91EFD" w14:textId="1957636D" w:rsidR="00CB7BDF" w:rsidRDefault="00B55BDD">
          <w:pPr>
            <w:pStyle w:val="TOC2"/>
            <w:tabs>
              <w:tab w:val="right" w:leader="dot" w:pos="9848"/>
            </w:tabs>
            <w:rPr>
              <w:rFonts w:asciiTheme="minorHAnsi" w:hAnsiTheme="minorHAnsi"/>
              <w:noProof/>
              <w:sz w:val="22"/>
              <w:szCs w:val="22"/>
              <w:lang w:eastAsia="en-GB"/>
            </w:rPr>
          </w:pPr>
          <w:hyperlink w:anchor="_Toc105754267" w:history="1">
            <w:r w:rsidR="00CB7BDF" w:rsidRPr="00946693">
              <w:rPr>
                <w:rStyle w:val="Hyperlink"/>
                <w:noProof/>
              </w:rPr>
              <w:t>EU Child Sexual Exploitation Directive</w:t>
            </w:r>
            <w:r w:rsidR="00CB7BDF">
              <w:rPr>
                <w:noProof/>
                <w:webHidden/>
              </w:rPr>
              <w:tab/>
            </w:r>
            <w:r w:rsidR="00CB7BDF">
              <w:rPr>
                <w:noProof/>
                <w:webHidden/>
              </w:rPr>
              <w:fldChar w:fldCharType="begin"/>
            </w:r>
            <w:r w:rsidR="00CB7BDF">
              <w:rPr>
                <w:noProof/>
                <w:webHidden/>
              </w:rPr>
              <w:instrText xml:space="preserve"> PAGEREF _Toc105754267 \h </w:instrText>
            </w:r>
            <w:r w:rsidR="00CB7BDF">
              <w:rPr>
                <w:noProof/>
                <w:webHidden/>
              </w:rPr>
            </w:r>
            <w:r w:rsidR="00CB7BDF">
              <w:rPr>
                <w:noProof/>
                <w:webHidden/>
              </w:rPr>
              <w:fldChar w:fldCharType="separate"/>
            </w:r>
            <w:r w:rsidR="00914E2A">
              <w:rPr>
                <w:noProof/>
                <w:webHidden/>
              </w:rPr>
              <w:t>10</w:t>
            </w:r>
            <w:r w:rsidR="00CB7BDF">
              <w:rPr>
                <w:noProof/>
                <w:webHidden/>
              </w:rPr>
              <w:fldChar w:fldCharType="end"/>
            </w:r>
          </w:hyperlink>
        </w:p>
        <w:p w14:paraId="0EE6A0E9" w14:textId="0C2C98FD" w:rsidR="00CB7BDF" w:rsidRDefault="00B55BDD">
          <w:pPr>
            <w:pStyle w:val="TOC1"/>
            <w:rPr>
              <w:rFonts w:asciiTheme="minorHAnsi" w:hAnsiTheme="minorHAnsi"/>
              <w:b w:val="0"/>
              <w:bCs w:val="0"/>
              <w:sz w:val="22"/>
              <w:szCs w:val="22"/>
              <w:lang w:eastAsia="en-GB"/>
            </w:rPr>
          </w:pPr>
          <w:hyperlink w:anchor="_Toc105754268" w:history="1">
            <w:r w:rsidR="00CB7BDF" w:rsidRPr="00946693">
              <w:rPr>
                <w:rStyle w:val="Hyperlink"/>
              </w:rPr>
              <w:t>3.0</w:t>
            </w:r>
            <w:r w:rsidR="00CB7BDF">
              <w:rPr>
                <w:rFonts w:asciiTheme="minorHAnsi" w:hAnsiTheme="minorHAnsi"/>
                <w:b w:val="0"/>
                <w:bCs w:val="0"/>
                <w:sz w:val="22"/>
                <w:szCs w:val="22"/>
                <w:lang w:eastAsia="en-GB"/>
              </w:rPr>
              <w:tab/>
            </w:r>
            <w:r w:rsidR="00CB7BDF" w:rsidRPr="00946693">
              <w:rPr>
                <w:rStyle w:val="Hyperlink"/>
              </w:rPr>
              <w:t>Slavery and Trafficking Risk Orders</w:t>
            </w:r>
            <w:r w:rsidR="00CB7BDF">
              <w:rPr>
                <w:webHidden/>
              </w:rPr>
              <w:tab/>
            </w:r>
            <w:r w:rsidR="00CB7BDF">
              <w:rPr>
                <w:webHidden/>
              </w:rPr>
              <w:fldChar w:fldCharType="begin"/>
            </w:r>
            <w:r w:rsidR="00CB7BDF">
              <w:rPr>
                <w:webHidden/>
              </w:rPr>
              <w:instrText xml:space="preserve"> PAGEREF _Toc105754268 \h </w:instrText>
            </w:r>
            <w:r w:rsidR="00CB7BDF">
              <w:rPr>
                <w:webHidden/>
              </w:rPr>
            </w:r>
            <w:r w:rsidR="00CB7BDF">
              <w:rPr>
                <w:webHidden/>
              </w:rPr>
              <w:fldChar w:fldCharType="separate"/>
            </w:r>
            <w:r w:rsidR="00914E2A">
              <w:rPr>
                <w:webHidden/>
              </w:rPr>
              <w:t>11</w:t>
            </w:r>
            <w:r w:rsidR="00CB7BDF">
              <w:rPr>
                <w:webHidden/>
              </w:rPr>
              <w:fldChar w:fldCharType="end"/>
            </w:r>
          </w:hyperlink>
        </w:p>
        <w:p w14:paraId="40B7CBAF" w14:textId="6535AF8C" w:rsidR="00CB7BDF" w:rsidRDefault="00B55BDD">
          <w:pPr>
            <w:pStyle w:val="TOC2"/>
            <w:tabs>
              <w:tab w:val="right" w:leader="dot" w:pos="9848"/>
            </w:tabs>
            <w:rPr>
              <w:rFonts w:asciiTheme="minorHAnsi" w:hAnsiTheme="minorHAnsi"/>
              <w:noProof/>
              <w:sz w:val="22"/>
              <w:szCs w:val="22"/>
              <w:lang w:eastAsia="en-GB"/>
            </w:rPr>
          </w:pPr>
          <w:hyperlink w:anchor="_Toc105754269" w:history="1">
            <w:r w:rsidR="00CB7BDF" w:rsidRPr="00946693">
              <w:rPr>
                <w:rStyle w:val="Hyperlink"/>
                <w:noProof/>
              </w:rPr>
              <w:t>Training and guidance</w:t>
            </w:r>
            <w:r w:rsidR="00CB7BDF">
              <w:rPr>
                <w:noProof/>
                <w:webHidden/>
              </w:rPr>
              <w:tab/>
            </w:r>
            <w:r w:rsidR="00CB7BDF">
              <w:rPr>
                <w:noProof/>
                <w:webHidden/>
              </w:rPr>
              <w:fldChar w:fldCharType="begin"/>
            </w:r>
            <w:r w:rsidR="00CB7BDF">
              <w:rPr>
                <w:noProof/>
                <w:webHidden/>
              </w:rPr>
              <w:instrText xml:space="preserve"> PAGEREF _Toc105754269 \h </w:instrText>
            </w:r>
            <w:r w:rsidR="00CB7BDF">
              <w:rPr>
                <w:noProof/>
                <w:webHidden/>
              </w:rPr>
            </w:r>
            <w:r w:rsidR="00CB7BDF">
              <w:rPr>
                <w:noProof/>
                <w:webHidden/>
              </w:rPr>
              <w:fldChar w:fldCharType="separate"/>
            </w:r>
            <w:r w:rsidR="00914E2A">
              <w:rPr>
                <w:noProof/>
                <w:webHidden/>
              </w:rPr>
              <w:t>14</w:t>
            </w:r>
            <w:r w:rsidR="00CB7BDF">
              <w:rPr>
                <w:noProof/>
                <w:webHidden/>
              </w:rPr>
              <w:fldChar w:fldCharType="end"/>
            </w:r>
          </w:hyperlink>
        </w:p>
        <w:p w14:paraId="660DC586" w14:textId="271D85DF" w:rsidR="00CB7BDF" w:rsidRDefault="00B55BDD">
          <w:pPr>
            <w:pStyle w:val="TOC2"/>
            <w:tabs>
              <w:tab w:val="right" w:leader="dot" w:pos="9848"/>
            </w:tabs>
            <w:rPr>
              <w:rFonts w:asciiTheme="minorHAnsi" w:hAnsiTheme="minorHAnsi"/>
              <w:noProof/>
              <w:sz w:val="22"/>
              <w:szCs w:val="22"/>
              <w:lang w:eastAsia="en-GB"/>
            </w:rPr>
          </w:pPr>
          <w:hyperlink w:anchor="_Toc105754270" w:history="1">
            <w:r w:rsidR="00CB7BDF" w:rsidRPr="00946693">
              <w:rPr>
                <w:rStyle w:val="Hyperlink"/>
                <w:noProof/>
              </w:rPr>
              <w:t xml:space="preserve">Protocol Article 2 and EU </w:t>
            </w:r>
            <w:r w:rsidR="00CB7BDF" w:rsidRPr="00946693">
              <w:rPr>
                <w:rStyle w:val="Hyperlink"/>
                <w:rFonts w:cs="Arial"/>
                <w:bCs/>
                <w:noProof/>
              </w:rPr>
              <w:t>General Data Protection Regulations</w:t>
            </w:r>
            <w:r w:rsidR="00CB7BDF">
              <w:rPr>
                <w:noProof/>
                <w:webHidden/>
              </w:rPr>
              <w:tab/>
            </w:r>
            <w:r w:rsidR="00CB7BDF">
              <w:rPr>
                <w:noProof/>
                <w:webHidden/>
              </w:rPr>
              <w:fldChar w:fldCharType="begin"/>
            </w:r>
            <w:r w:rsidR="00CB7BDF">
              <w:rPr>
                <w:noProof/>
                <w:webHidden/>
              </w:rPr>
              <w:instrText xml:space="preserve"> PAGEREF _Toc105754270 \h </w:instrText>
            </w:r>
            <w:r w:rsidR="00CB7BDF">
              <w:rPr>
                <w:noProof/>
                <w:webHidden/>
              </w:rPr>
            </w:r>
            <w:r w:rsidR="00CB7BDF">
              <w:rPr>
                <w:noProof/>
                <w:webHidden/>
              </w:rPr>
              <w:fldChar w:fldCharType="separate"/>
            </w:r>
            <w:r w:rsidR="00914E2A">
              <w:rPr>
                <w:noProof/>
                <w:webHidden/>
              </w:rPr>
              <w:t>17</w:t>
            </w:r>
            <w:r w:rsidR="00CB7BDF">
              <w:rPr>
                <w:noProof/>
                <w:webHidden/>
              </w:rPr>
              <w:fldChar w:fldCharType="end"/>
            </w:r>
          </w:hyperlink>
        </w:p>
        <w:p w14:paraId="395F946D" w14:textId="146FE982" w:rsidR="00CB7BDF" w:rsidRDefault="00B55BDD">
          <w:pPr>
            <w:pStyle w:val="TOC1"/>
            <w:rPr>
              <w:rFonts w:asciiTheme="minorHAnsi" w:hAnsiTheme="minorHAnsi"/>
              <w:b w:val="0"/>
              <w:bCs w:val="0"/>
              <w:sz w:val="22"/>
              <w:szCs w:val="22"/>
              <w:lang w:eastAsia="en-GB"/>
            </w:rPr>
          </w:pPr>
          <w:hyperlink w:anchor="_Toc105754271" w:history="1">
            <w:r w:rsidR="00CB7BDF" w:rsidRPr="00946693">
              <w:rPr>
                <w:rStyle w:val="Hyperlink"/>
              </w:rPr>
              <w:t>4.0</w:t>
            </w:r>
            <w:r w:rsidR="00CB7BDF">
              <w:rPr>
                <w:rFonts w:asciiTheme="minorHAnsi" w:hAnsiTheme="minorHAnsi"/>
                <w:b w:val="0"/>
                <w:bCs w:val="0"/>
                <w:sz w:val="22"/>
                <w:szCs w:val="22"/>
                <w:lang w:eastAsia="en-GB"/>
              </w:rPr>
              <w:tab/>
            </w:r>
            <w:r w:rsidR="00CB7BDF" w:rsidRPr="00946693">
              <w:rPr>
                <w:rStyle w:val="Hyperlink"/>
              </w:rPr>
              <w:t>Duty to Notify</w:t>
            </w:r>
            <w:r w:rsidR="00CB7BDF">
              <w:rPr>
                <w:webHidden/>
              </w:rPr>
              <w:tab/>
            </w:r>
            <w:r w:rsidR="00CB7BDF">
              <w:rPr>
                <w:webHidden/>
              </w:rPr>
              <w:fldChar w:fldCharType="begin"/>
            </w:r>
            <w:r w:rsidR="00CB7BDF">
              <w:rPr>
                <w:webHidden/>
              </w:rPr>
              <w:instrText xml:space="preserve"> PAGEREF _Toc105754271 \h </w:instrText>
            </w:r>
            <w:r w:rsidR="00CB7BDF">
              <w:rPr>
                <w:webHidden/>
              </w:rPr>
            </w:r>
            <w:r w:rsidR="00CB7BDF">
              <w:rPr>
                <w:webHidden/>
              </w:rPr>
              <w:fldChar w:fldCharType="separate"/>
            </w:r>
            <w:r w:rsidR="00914E2A">
              <w:rPr>
                <w:webHidden/>
              </w:rPr>
              <w:t>18</w:t>
            </w:r>
            <w:r w:rsidR="00CB7BDF">
              <w:rPr>
                <w:webHidden/>
              </w:rPr>
              <w:fldChar w:fldCharType="end"/>
            </w:r>
          </w:hyperlink>
        </w:p>
        <w:p w14:paraId="22CDDEE9" w14:textId="4255469C" w:rsidR="00CB7BDF" w:rsidRDefault="00B55BDD">
          <w:pPr>
            <w:pStyle w:val="TOC2"/>
            <w:tabs>
              <w:tab w:val="right" w:leader="dot" w:pos="9848"/>
            </w:tabs>
            <w:rPr>
              <w:rFonts w:asciiTheme="minorHAnsi" w:hAnsiTheme="minorHAnsi"/>
              <w:noProof/>
              <w:sz w:val="22"/>
              <w:szCs w:val="22"/>
              <w:lang w:eastAsia="en-GB"/>
            </w:rPr>
          </w:pPr>
          <w:hyperlink w:anchor="_Toc105754272" w:history="1">
            <w:r w:rsidR="00CB7BDF" w:rsidRPr="00946693">
              <w:rPr>
                <w:rStyle w:val="Hyperlink"/>
                <w:noProof/>
              </w:rPr>
              <w:t>Training and guidance</w:t>
            </w:r>
            <w:r w:rsidR="00CB7BDF">
              <w:rPr>
                <w:noProof/>
                <w:webHidden/>
              </w:rPr>
              <w:tab/>
            </w:r>
            <w:r w:rsidR="00CB7BDF">
              <w:rPr>
                <w:noProof/>
                <w:webHidden/>
              </w:rPr>
              <w:fldChar w:fldCharType="begin"/>
            </w:r>
            <w:r w:rsidR="00CB7BDF">
              <w:rPr>
                <w:noProof/>
                <w:webHidden/>
              </w:rPr>
              <w:instrText xml:space="preserve"> PAGEREF _Toc105754272 \h </w:instrText>
            </w:r>
            <w:r w:rsidR="00CB7BDF">
              <w:rPr>
                <w:noProof/>
                <w:webHidden/>
              </w:rPr>
            </w:r>
            <w:r w:rsidR="00CB7BDF">
              <w:rPr>
                <w:noProof/>
                <w:webHidden/>
              </w:rPr>
              <w:fldChar w:fldCharType="separate"/>
            </w:r>
            <w:r w:rsidR="00914E2A">
              <w:rPr>
                <w:noProof/>
                <w:webHidden/>
              </w:rPr>
              <w:t>20</w:t>
            </w:r>
            <w:r w:rsidR="00CB7BDF">
              <w:rPr>
                <w:noProof/>
                <w:webHidden/>
              </w:rPr>
              <w:fldChar w:fldCharType="end"/>
            </w:r>
          </w:hyperlink>
        </w:p>
        <w:p w14:paraId="4EED44CB" w14:textId="1AEC423F" w:rsidR="00CB7BDF" w:rsidRDefault="00B55BDD">
          <w:pPr>
            <w:pStyle w:val="TOC2"/>
            <w:tabs>
              <w:tab w:val="right" w:leader="dot" w:pos="9848"/>
            </w:tabs>
            <w:rPr>
              <w:rFonts w:asciiTheme="minorHAnsi" w:hAnsiTheme="minorHAnsi"/>
              <w:noProof/>
              <w:sz w:val="22"/>
              <w:szCs w:val="22"/>
              <w:lang w:eastAsia="en-GB"/>
            </w:rPr>
          </w:pPr>
          <w:hyperlink w:anchor="_Toc105754273" w:history="1">
            <w:r w:rsidR="00CB7BDF" w:rsidRPr="00946693">
              <w:rPr>
                <w:rStyle w:val="Hyperlink"/>
                <w:noProof/>
              </w:rPr>
              <w:t>Anonymity</w:t>
            </w:r>
            <w:r w:rsidR="00CB7BDF">
              <w:rPr>
                <w:noProof/>
                <w:webHidden/>
              </w:rPr>
              <w:tab/>
            </w:r>
            <w:r w:rsidR="00CB7BDF">
              <w:rPr>
                <w:noProof/>
                <w:webHidden/>
              </w:rPr>
              <w:fldChar w:fldCharType="begin"/>
            </w:r>
            <w:r w:rsidR="00CB7BDF">
              <w:rPr>
                <w:noProof/>
                <w:webHidden/>
              </w:rPr>
              <w:instrText xml:space="preserve"> PAGEREF _Toc105754273 \h </w:instrText>
            </w:r>
            <w:r w:rsidR="00CB7BDF">
              <w:rPr>
                <w:noProof/>
                <w:webHidden/>
              </w:rPr>
            </w:r>
            <w:r w:rsidR="00CB7BDF">
              <w:rPr>
                <w:noProof/>
                <w:webHidden/>
              </w:rPr>
              <w:fldChar w:fldCharType="separate"/>
            </w:r>
            <w:r w:rsidR="00914E2A">
              <w:rPr>
                <w:noProof/>
                <w:webHidden/>
              </w:rPr>
              <w:t>22</w:t>
            </w:r>
            <w:r w:rsidR="00CB7BDF">
              <w:rPr>
                <w:noProof/>
                <w:webHidden/>
              </w:rPr>
              <w:fldChar w:fldCharType="end"/>
            </w:r>
          </w:hyperlink>
        </w:p>
        <w:p w14:paraId="7F7509C4" w14:textId="0E40F336" w:rsidR="00CB7BDF" w:rsidRDefault="00B55BDD">
          <w:pPr>
            <w:pStyle w:val="TOC1"/>
            <w:rPr>
              <w:rFonts w:asciiTheme="minorHAnsi" w:hAnsiTheme="minorHAnsi"/>
              <w:b w:val="0"/>
              <w:bCs w:val="0"/>
              <w:sz w:val="22"/>
              <w:szCs w:val="22"/>
              <w:lang w:eastAsia="en-GB"/>
            </w:rPr>
          </w:pPr>
          <w:hyperlink w:anchor="_Toc105754274" w:history="1">
            <w:r w:rsidR="00CB7BDF" w:rsidRPr="00946693">
              <w:rPr>
                <w:rStyle w:val="Hyperlink"/>
              </w:rPr>
              <w:t>5.0</w:t>
            </w:r>
            <w:r w:rsidR="00CB7BDF">
              <w:rPr>
                <w:rFonts w:asciiTheme="minorHAnsi" w:hAnsiTheme="minorHAnsi"/>
                <w:b w:val="0"/>
                <w:bCs w:val="0"/>
                <w:sz w:val="22"/>
                <w:szCs w:val="22"/>
                <w:lang w:eastAsia="en-GB"/>
              </w:rPr>
              <w:tab/>
            </w:r>
            <w:r w:rsidR="00CB7BDF" w:rsidRPr="00946693">
              <w:rPr>
                <w:rStyle w:val="Hyperlink"/>
              </w:rPr>
              <w:t>Monitoring</w:t>
            </w:r>
            <w:r w:rsidR="00CB7BDF">
              <w:rPr>
                <w:webHidden/>
              </w:rPr>
              <w:tab/>
            </w:r>
            <w:r w:rsidR="00CB7BDF">
              <w:rPr>
                <w:webHidden/>
              </w:rPr>
              <w:fldChar w:fldCharType="begin"/>
            </w:r>
            <w:r w:rsidR="00CB7BDF">
              <w:rPr>
                <w:webHidden/>
              </w:rPr>
              <w:instrText xml:space="preserve"> PAGEREF _Toc105754274 \h </w:instrText>
            </w:r>
            <w:r w:rsidR="00CB7BDF">
              <w:rPr>
                <w:webHidden/>
              </w:rPr>
            </w:r>
            <w:r w:rsidR="00CB7BDF">
              <w:rPr>
                <w:webHidden/>
              </w:rPr>
              <w:fldChar w:fldCharType="separate"/>
            </w:r>
            <w:r w:rsidR="00914E2A">
              <w:rPr>
                <w:webHidden/>
              </w:rPr>
              <w:t>23</w:t>
            </w:r>
            <w:r w:rsidR="00CB7BDF">
              <w:rPr>
                <w:webHidden/>
              </w:rPr>
              <w:fldChar w:fldCharType="end"/>
            </w:r>
          </w:hyperlink>
        </w:p>
        <w:p w14:paraId="4804A53B" w14:textId="7C8FCD12" w:rsidR="00CB7BDF" w:rsidRDefault="00B55BDD">
          <w:pPr>
            <w:pStyle w:val="TOC1"/>
            <w:rPr>
              <w:rFonts w:asciiTheme="minorHAnsi" w:hAnsiTheme="minorHAnsi"/>
              <w:b w:val="0"/>
              <w:bCs w:val="0"/>
              <w:sz w:val="22"/>
              <w:szCs w:val="22"/>
              <w:lang w:eastAsia="en-GB"/>
            </w:rPr>
          </w:pPr>
          <w:hyperlink w:anchor="_Toc105754275" w:history="1">
            <w:r w:rsidR="00CB7BDF" w:rsidRPr="00946693">
              <w:rPr>
                <w:rStyle w:val="Hyperlink"/>
              </w:rPr>
              <w:t>6.0</w:t>
            </w:r>
            <w:r w:rsidR="00CB7BDF">
              <w:rPr>
                <w:rFonts w:asciiTheme="minorHAnsi" w:hAnsiTheme="minorHAnsi"/>
                <w:b w:val="0"/>
                <w:bCs w:val="0"/>
                <w:sz w:val="22"/>
                <w:szCs w:val="22"/>
                <w:lang w:eastAsia="en-GB"/>
              </w:rPr>
              <w:tab/>
            </w:r>
            <w:r w:rsidR="00CB7BDF" w:rsidRPr="00946693">
              <w:rPr>
                <w:rStyle w:val="Hyperlink"/>
              </w:rPr>
              <w:t>Additional Powers to Search a Person</w:t>
            </w:r>
            <w:r w:rsidR="00CB7BDF">
              <w:rPr>
                <w:webHidden/>
              </w:rPr>
              <w:tab/>
            </w:r>
            <w:r w:rsidR="00CB7BDF">
              <w:rPr>
                <w:webHidden/>
              </w:rPr>
              <w:fldChar w:fldCharType="begin"/>
            </w:r>
            <w:r w:rsidR="00CB7BDF">
              <w:rPr>
                <w:webHidden/>
              </w:rPr>
              <w:instrText xml:space="preserve"> PAGEREF _Toc105754275 \h </w:instrText>
            </w:r>
            <w:r w:rsidR="00CB7BDF">
              <w:rPr>
                <w:webHidden/>
              </w:rPr>
            </w:r>
            <w:r w:rsidR="00CB7BDF">
              <w:rPr>
                <w:webHidden/>
              </w:rPr>
              <w:fldChar w:fldCharType="separate"/>
            </w:r>
            <w:r w:rsidR="00914E2A">
              <w:rPr>
                <w:webHidden/>
              </w:rPr>
              <w:t>25</w:t>
            </w:r>
            <w:r w:rsidR="00CB7BDF">
              <w:rPr>
                <w:webHidden/>
              </w:rPr>
              <w:fldChar w:fldCharType="end"/>
            </w:r>
          </w:hyperlink>
        </w:p>
        <w:p w14:paraId="30A8BBAF" w14:textId="75439A2D" w:rsidR="00F15AB5" w:rsidRDefault="00F15AB5">
          <w:r>
            <w:rPr>
              <w:b/>
              <w:bCs/>
              <w:noProof/>
            </w:rPr>
            <w:fldChar w:fldCharType="end"/>
          </w:r>
        </w:p>
      </w:sdtContent>
    </w:sdt>
    <w:p w14:paraId="7F4A5864" w14:textId="77777777" w:rsidR="001E79A9" w:rsidRPr="00331C61" w:rsidRDefault="001E79A9" w:rsidP="00331C61">
      <w:pPr>
        <w:pStyle w:val="Default"/>
        <w:spacing w:line="288" w:lineRule="auto"/>
        <w:rPr>
          <w:rFonts w:cs="Arial"/>
          <w:b/>
          <w:color w:val="232120"/>
        </w:rPr>
      </w:pPr>
    </w:p>
    <w:p w14:paraId="622DF5BA" w14:textId="77777777" w:rsidR="00EA12CE" w:rsidRPr="00331C61" w:rsidRDefault="00EA12CE" w:rsidP="00331C61">
      <w:pPr>
        <w:pStyle w:val="Default"/>
        <w:spacing w:line="288" w:lineRule="auto"/>
        <w:rPr>
          <w:rFonts w:cs="Arial"/>
          <w:b/>
          <w:color w:val="232120"/>
        </w:rPr>
      </w:pPr>
    </w:p>
    <w:p w14:paraId="1838D516" w14:textId="77777777" w:rsidR="00EA12CE" w:rsidRPr="00331C61" w:rsidRDefault="00EA12CE" w:rsidP="00331C61">
      <w:pPr>
        <w:pStyle w:val="Default"/>
        <w:spacing w:line="288" w:lineRule="auto"/>
        <w:rPr>
          <w:rFonts w:cs="Arial"/>
          <w:b/>
          <w:color w:val="232120"/>
        </w:rPr>
      </w:pPr>
    </w:p>
    <w:p w14:paraId="575371C6" w14:textId="77777777" w:rsidR="00EA12CE" w:rsidRPr="00331C61" w:rsidRDefault="00EA12CE" w:rsidP="00331C61">
      <w:pPr>
        <w:pStyle w:val="Default"/>
        <w:spacing w:line="288" w:lineRule="auto"/>
        <w:rPr>
          <w:rFonts w:cs="Arial"/>
          <w:b/>
          <w:color w:val="232120"/>
        </w:rPr>
      </w:pPr>
    </w:p>
    <w:p w14:paraId="3740AF64" w14:textId="77777777" w:rsidR="00EA12CE" w:rsidRPr="00331C61" w:rsidRDefault="00EA12CE" w:rsidP="00331C61">
      <w:pPr>
        <w:pStyle w:val="Default"/>
        <w:spacing w:line="288" w:lineRule="auto"/>
        <w:rPr>
          <w:rFonts w:cs="Arial"/>
          <w:b/>
          <w:color w:val="232120"/>
        </w:rPr>
      </w:pPr>
    </w:p>
    <w:p w14:paraId="47956FD6" w14:textId="77777777" w:rsidR="00EA12CE" w:rsidRPr="00331C61" w:rsidRDefault="00EA12CE" w:rsidP="00331C61">
      <w:pPr>
        <w:pStyle w:val="Default"/>
        <w:spacing w:line="288" w:lineRule="auto"/>
        <w:rPr>
          <w:rFonts w:cs="Arial"/>
          <w:b/>
          <w:color w:val="232120"/>
        </w:rPr>
      </w:pPr>
    </w:p>
    <w:p w14:paraId="4AF03CC8" w14:textId="77777777" w:rsidR="00EA12CE" w:rsidRPr="00331C61" w:rsidRDefault="00EA12CE" w:rsidP="00331C61">
      <w:pPr>
        <w:pStyle w:val="Default"/>
        <w:spacing w:line="288" w:lineRule="auto"/>
        <w:rPr>
          <w:rFonts w:cs="Arial"/>
          <w:b/>
          <w:color w:val="232120"/>
        </w:rPr>
      </w:pPr>
    </w:p>
    <w:p w14:paraId="7D58AEE7" w14:textId="77777777" w:rsidR="00EA12CE" w:rsidRPr="00331C61" w:rsidRDefault="00EA12CE" w:rsidP="00331C61">
      <w:pPr>
        <w:pStyle w:val="Default"/>
        <w:spacing w:line="288" w:lineRule="auto"/>
        <w:rPr>
          <w:rFonts w:cs="Arial"/>
          <w:b/>
          <w:color w:val="232120"/>
        </w:rPr>
      </w:pPr>
    </w:p>
    <w:p w14:paraId="4E3AC37C" w14:textId="77777777" w:rsidR="00EA12CE" w:rsidRPr="00331C61" w:rsidRDefault="00EA12CE" w:rsidP="00331C61">
      <w:pPr>
        <w:pStyle w:val="Default"/>
        <w:spacing w:line="288" w:lineRule="auto"/>
        <w:rPr>
          <w:rFonts w:cs="Arial"/>
          <w:b/>
          <w:color w:val="232120"/>
        </w:rPr>
      </w:pPr>
    </w:p>
    <w:p w14:paraId="3F6A57B8" w14:textId="77777777" w:rsidR="00EA12CE" w:rsidRPr="00331C61" w:rsidRDefault="00EA12CE" w:rsidP="00331C61">
      <w:pPr>
        <w:pStyle w:val="Default"/>
        <w:spacing w:line="288" w:lineRule="auto"/>
        <w:rPr>
          <w:rFonts w:cs="Arial"/>
          <w:b/>
          <w:color w:val="232120"/>
        </w:rPr>
      </w:pPr>
    </w:p>
    <w:p w14:paraId="6DB4085B" w14:textId="77777777" w:rsidR="00EA12CE" w:rsidRPr="00331C61" w:rsidRDefault="00EA12CE" w:rsidP="00331C61">
      <w:pPr>
        <w:pStyle w:val="Default"/>
        <w:spacing w:line="288" w:lineRule="auto"/>
        <w:rPr>
          <w:rFonts w:cs="Arial"/>
          <w:b/>
          <w:color w:val="232120"/>
        </w:rPr>
      </w:pPr>
    </w:p>
    <w:p w14:paraId="2EB17515" w14:textId="77777777" w:rsidR="00EA12CE" w:rsidRPr="00331C61" w:rsidRDefault="00EA12CE" w:rsidP="00331C61">
      <w:pPr>
        <w:pStyle w:val="Default"/>
        <w:spacing w:line="288" w:lineRule="auto"/>
        <w:rPr>
          <w:rFonts w:cs="Arial"/>
          <w:b/>
          <w:color w:val="232120"/>
        </w:rPr>
      </w:pPr>
    </w:p>
    <w:p w14:paraId="68E5815D" w14:textId="77777777" w:rsidR="00EA12CE" w:rsidRPr="00331C61" w:rsidRDefault="00EA12CE" w:rsidP="00331C61">
      <w:pPr>
        <w:pStyle w:val="Default"/>
        <w:spacing w:line="288" w:lineRule="auto"/>
        <w:rPr>
          <w:rFonts w:cs="Arial"/>
          <w:b/>
          <w:color w:val="232120"/>
        </w:rPr>
      </w:pPr>
    </w:p>
    <w:p w14:paraId="47A0CBB7" w14:textId="77777777" w:rsidR="00EA12CE" w:rsidRPr="00331C61" w:rsidRDefault="00EA12CE" w:rsidP="00331C61">
      <w:pPr>
        <w:pStyle w:val="Default"/>
        <w:spacing w:line="288" w:lineRule="auto"/>
        <w:rPr>
          <w:rFonts w:cs="Arial"/>
          <w:b/>
          <w:color w:val="232120"/>
        </w:rPr>
      </w:pPr>
    </w:p>
    <w:p w14:paraId="7EB3F9C7" w14:textId="77777777" w:rsidR="00EA12CE" w:rsidRPr="00331C61" w:rsidRDefault="00EA12CE" w:rsidP="00331C61">
      <w:pPr>
        <w:pStyle w:val="Default"/>
        <w:spacing w:line="288" w:lineRule="auto"/>
        <w:rPr>
          <w:rFonts w:cs="Arial"/>
          <w:b/>
          <w:color w:val="232120"/>
        </w:rPr>
      </w:pPr>
    </w:p>
    <w:p w14:paraId="06F34FD3" w14:textId="4781A4C2" w:rsidR="007B0239" w:rsidRDefault="007B0239" w:rsidP="00DD2213">
      <w:pPr>
        <w:pStyle w:val="Heading1"/>
        <w:spacing w:before="0"/>
      </w:pPr>
      <w:bookmarkStart w:id="0" w:name="_Toc105754262"/>
      <w:r w:rsidRPr="000B1EE3">
        <w:lastRenderedPageBreak/>
        <w:t>Summary of Recommendations</w:t>
      </w:r>
      <w:bookmarkEnd w:id="0"/>
    </w:p>
    <w:p w14:paraId="55328E80" w14:textId="22257B8A" w:rsidR="00140FCD" w:rsidRPr="00DD2213" w:rsidRDefault="00140FCD" w:rsidP="00A46074">
      <w:pPr>
        <w:pStyle w:val="BasicParagraph"/>
        <w:suppressAutoHyphens/>
        <w:rPr>
          <w:rFonts w:ascii="Verdana" w:hAnsi="Verdana"/>
        </w:rPr>
      </w:pPr>
      <w:r w:rsidRPr="00140FCD">
        <w:rPr>
          <w:rFonts w:ascii="Verdana" w:hAnsi="Verdana"/>
        </w:rPr>
        <w:t xml:space="preserve">The NI Human Rights Commission: </w:t>
      </w:r>
    </w:p>
    <w:p w14:paraId="04FD6E72" w14:textId="154872DD" w:rsidR="00085A97" w:rsidRPr="00A771D0" w:rsidRDefault="00085A97" w:rsidP="00752956">
      <w:pPr>
        <w:pStyle w:val="BasicParagraph"/>
        <w:suppressAutoHyphens/>
        <w:ind w:left="720" w:hanging="720"/>
        <w:rPr>
          <w:rFonts w:ascii="Verdana" w:hAnsi="Verdana"/>
          <w:b/>
          <w:bCs/>
        </w:rPr>
      </w:pPr>
      <w:r>
        <w:rPr>
          <w:rFonts w:ascii="Verdana" w:hAnsi="Verdana"/>
          <w:b/>
          <w:bCs/>
        </w:rPr>
        <w:t>2.11</w:t>
      </w:r>
      <w:r w:rsidR="00752956">
        <w:rPr>
          <w:rFonts w:ascii="Verdana" w:hAnsi="Verdana"/>
          <w:b/>
          <w:bCs/>
        </w:rPr>
        <w:tab/>
      </w:r>
      <w:r w:rsidRPr="00A771D0">
        <w:rPr>
          <w:rFonts w:ascii="Verdana" w:hAnsi="Verdana"/>
          <w:b/>
          <w:bCs/>
        </w:rPr>
        <w:t xml:space="preserve">recommends the Department of Justice </w:t>
      </w:r>
      <w:r>
        <w:rPr>
          <w:rFonts w:ascii="Verdana" w:hAnsi="Verdana"/>
          <w:b/>
          <w:bCs/>
        </w:rPr>
        <w:t>ensure that</w:t>
      </w:r>
      <w:r w:rsidRPr="00681885" w:rsidDel="00774F7A">
        <w:rPr>
          <w:rFonts w:ascii="Verdana" w:hAnsi="Verdana"/>
          <w:b/>
          <w:bCs/>
        </w:rPr>
        <w:t xml:space="preserve"> </w:t>
      </w:r>
      <w:r w:rsidRPr="00681885">
        <w:rPr>
          <w:rFonts w:ascii="Verdana" w:hAnsi="Verdana"/>
          <w:b/>
          <w:bCs/>
        </w:rPr>
        <w:t>Protocol Article 2</w:t>
      </w:r>
      <w:r>
        <w:rPr>
          <w:rFonts w:ascii="Verdana" w:hAnsi="Verdana"/>
          <w:b/>
          <w:bCs/>
        </w:rPr>
        <w:t xml:space="preserve"> is built into and considered actively during the development and implementation of all legislation and/or policy</w:t>
      </w:r>
      <w:r w:rsidRPr="00A771D0">
        <w:rPr>
          <w:rFonts w:ascii="Verdana" w:hAnsi="Verdana"/>
          <w:b/>
          <w:bCs/>
        </w:rPr>
        <w:t>.</w:t>
      </w:r>
    </w:p>
    <w:p w14:paraId="6E4AB6D2" w14:textId="77777777" w:rsidR="007B0239" w:rsidRDefault="007B0239" w:rsidP="007B0239">
      <w:pPr>
        <w:pStyle w:val="Style1"/>
      </w:pPr>
    </w:p>
    <w:p w14:paraId="656DCD1B" w14:textId="5F93B5E7" w:rsidR="00140FCD" w:rsidRDefault="00140FCD" w:rsidP="00140FCD">
      <w:pPr>
        <w:pStyle w:val="BasicParagraph"/>
        <w:suppressAutoHyphens/>
        <w:ind w:left="720" w:hanging="720"/>
        <w:rPr>
          <w:rFonts w:ascii="Verdana" w:hAnsi="Verdana" w:cs="Arial"/>
          <w:bCs/>
          <w:color w:val="auto"/>
        </w:rPr>
      </w:pPr>
      <w:r>
        <w:rPr>
          <w:rFonts w:ascii="Verdana" w:hAnsi="Verdana" w:cs="Arial"/>
          <w:b/>
          <w:color w:val="auto"/>
        </w:rPr>
        <w:t>3.11</w:t>
      </w:r>
      <w:r>
        <w:rPr>
          <w:rFonts w:ascii="Verdana" w:hAnsi="Verdana" w:cs="Arial"/>
          <w:b/>
          <w:color w:val="auto"/>
        </w:rPr>
        <w:tab/>
      </w:r>
      <w:r w:rsidRPr="00810421">
        <w:rPr>
          <w:rFonts w:ascii="Verdana" w:hAnsi="Verdana" w:cs="Arial"/>
          <w:b/>
          <w:color w:val="auto"/>
        </w:rPr>
        <w:t xml:space="preserve">The NIHRC </w:t>
      </w:r>
      <w:r>
        <w:rPr>
          <w:rFonts w:ascii="Verdana" w:hAnsi="Verdana" w:cs="Arial"/>
          <w:b/>
          <w:color w:val="auto"/>
        </w:rPr>
        <w:t xml:space="preserve">recommends that the Department of Justice introduces </w:t>
      </w:r>
      <w:r w:rsidRPr="00810421">
        <w:rPr>
          <w:rFonts w:ascii="Verdana" w:hAnsi="Verdana" w:cs="Arial"/>
          <w:b/>
          <w:color w:val="auto"/>
        </w:rPr>
        <w:t xml:space="preserve">Slavery and Trafficking Risk Orders </w:t>
      </w:r>
      <w:r>
        <w:rPr>
          <w:rFonts w:ascii="Verdana" w:hAnsi="Verdana" w:cs="Arial"/>
          <w:b/>
          <w:color w:val="auto"/>
        </w:rPr>
        <w:t xml:space="preserve">and that these are promptly provided for by legislation. </w:t>
      </w:r>
    </w:p>
    <w:p w14:paraId="1B723BBD" w14:textId="77777777" w:rsidR="007B0239" w:rsidRDefault="007B0239" w:rsidP="007B0239">
      <w:pPr>
        <w:pStyle w:val="Style1"/>
      </w:pPr>
    </w:p>
    <w:p w14:paraId="77C629C1" w14:textId="687A4932" w:rsidR="007B0239" w:rsidRPr="008A02CB" w:rsidRDefault="008A02CB" w:rsidP="008A02CB">
      <w:pPr>
        <w:pStyle w:val="Style1"/>
        <w:ind w:left="720" w:hanging="720"/>
        <w:rPr>
          <w:sz w:val="24"/>
          <w:szCs w:val="24"/>
        </w:rPr>
      </w:pPr>
      <w:r>
        <w:rPr>
          <w:color w:val="auto"/>
          <w:sz w:val="24"/>
          <w:szCs w:val="24"/>
        </w:rPr>
        <w:t>3.15</w:t>
      </w:r>
      <w:r>
        <w:rPr>
          <w:color w:val="auto"/>
          <w:sz w:val="24"/>
          <w:szCs w:val="24"/>
        </w:rPr>
        <w:tab/>
      </w:r>
      <w:r w:rsidRPr="008A02CB">
        <w:rPr>
          <w:color w:val="auto"/>
          <w:sz w:val="24"/>
          <w:szCs w:val="24"/>
        </w:rPr>
        <w:t xml:space="preserve">recommends that the Department of Justice, in partnership with the Police Service of NI, develops a comprehensive and </w:t>
      </w:r>
      <w:proofErr w:type="gramStart"/>
      <w:r w:rsidRPr="008A02CB">
        <w:rPr>
          <w:color w:val="auto"/>
          <w:sz w:val="24"/>
          <w:szCs w:val="24"/>
        </w:rPr>
        <w:t>sufficiently-resourced</w:t>
      </w:r>
      <w:proofErr w:type="gramEnd"/>
      <w:r w:rsidRPr="008A02CB">
        <w:rPr>
          <w:color w:val="auto"/>
          <w:sz w:val="24"/>
          <w:szCs w:val="24"/>
        </w:rPr>
        <w:t xml:space="preserve"> specialised training package on the use, management and monitoring of Slavery and Trafficking Risk Orders. This training should be mandatory for everyone involved in fulfilling these roles. The training should also be kept under review and updated as necessary.</w:t>
      </w:r>
    </w:p>
    <w:p w14:paraId="1E345940" w14:textId="77777777" w:rsidR="007B0239" w:rsidRDefault="007B0239" w:rsidP="007B0239">
      <w:pPr>
        <w:pStyle w:val="Style1"/>
      </w:pPr>
    </w:p>
    <w:p w14:paraId="7BDC579B" w14:textId="06EACA9E" w:rsidR="000F7F37" w:rsidRDefault="00FE7960" w:rsidP="00B7012A">
      <w:pPr>
        <w:pStyle w:val="BasicParagraph"/>
        <w:suppressAutoHyphens/>
        <w:spacing w:after="240"/>
        <w:ind w:left="720" w:hanging="720"/>
        <w:rPr>
          <w:rFonts w:ascii="Verdana" w:hAnsi="Verdana" w:cs="Arial"/>
          <w:b/>
          <w:color w:val="auto"/>
        </w:rPr>
      </w:pPr>
      <w:r>
        <w:rPr>
          <w:rFonts w:ascii="Verdana" w:hAnsi="Verdana" w:cs="Arial"/>
          <w:b/>
          <w:color w:val="auto"/>
        </w:rPr>
        <w:t>3.23</w:t>
      </w:r>
      <w:r>
        <w:rPr>
          <w:rFonts w:ascii="Verdana" w:hAnsi="Verdana" w:cs="Arial"/>
          <w:b/>
          <w:color w:val="auto"/>
        </w:rPr>
        <w:tab/>
      </w:r>
      <w:r w:rsidRPr="00B514F3">
        <w:rPr>
          <w:rFonts w:ascii="Verdana" w:hAnsi="Verdana" w:cs="Arial"/>
          <w:b/>
          <w:color w:val="auto"/>
        </w:rPr>
        <w:t xml:space="preserve">recommends that the Department of Justice develops </w:t>
      </w:r>
      <w:r>
        <w:rPr>
          <w:rFonts w:ascii="Verdana" w:hAnsi="Verdana" w:cs="Arial"/>
          <w:b/>
          <w:color w:val="auto"/>
        </w:rPr>
        <w:t xml:space="preserve">robust </w:t>
      </w:r>
      <w:r w:rsidRPr="00B514F3">
        <w:rPr>
          <w:rFonts w:ascii="Verdana" w:hAnsi="Verdana" w:cs="Arial"/>
          <w:b/>
          <w:color w:val="auto"/>
        </w:rPr>
        <w:t xml:space="preserve">statutory guidance to support the </w:t>
      </w:r>
      <w:r>
        <w:rPr>
          <w:rFonts w:ascii="Verdana" w:hAnsi="Verdana" w:cs="Arial"/>
          <w:b/>
          <w:color w:val="auto"/>
        </w:rPr>
        <w:t>use of</w:t>
      </w:r>
      <w:r w:rsidRPr="00B514F3">
        <w:rPr>
          <w:rFonts w:ascii="Verdana" w:hAnsi="Verdana" w:cs="Arial"/>
          <w:b/>
          <w:color w:val="auto"/>
        </w:rPr>
        <w:t xml:space="preserve"> Slavery and Trafficking Risk Orders</w:t>
      </w:r>
      <w:r>
        <w:rPr>
          <w:rFonts w:ascii="Verdana" w:hAnsi="Verdana" w:cs="Arial"/>
          <w:b/>
          <w:color w:val="auto"/>
        </w:rPr>
        <w:t xml:space="preserve"> in NI. In line with international human rights standards and Protocol Article 2, this guidance should require individual assessments of victims to be conducted for the purposes of identifying the necessity and proportionality of a risk order.</w:t>
      </w:r>
    </w:p>
    <w:p w14:paraId="03851889" w14:textId="77777777" w:rsidR="00B7012A" w:rsidRPr="009A733D" w:rsidRDefault="00B7012A" w:rsidP="00B7012A">
      <w:pPr>
        <w:pStyle w:val="BasicParagraph"/>
        <w:suppressAutoHyphens/>
        <w:ind w:left="720" w:hanging="720"/>
        <w:rPr>
          <w:rFonts w:ascii="Verdana" w:hAnsi="Verdana" w:cs="Arial"/>
          <w:b/>
          <w:color w:val="auto"/>
        </w:rPr>
      </w:pPr>
      <w:r>
        <w:rPr>
          <w:rFonts w:ascii="Verdana" w:hAnsi="Verdana" w:cs="Arial"/>
          <w:b/>
          <w:color w:val="auto"/>
        </w:rPr>
        <w:t>3.24</w:t>
      </w:r>
      <w:r>
        <w:rPr>
          <w:rFonts w:ascii="Verdana" w:hAnsi="Verdana" w:cs="Arial"/>
          <w:b/>
          <w:color w:val="auto"/>
        </w:rPr>
        <w:tab/>
      </w:r>
      <w:r w:rsidRPr="005F577A">
        <w:rPr>
          <w:rFonts w:ascii="Verdana" w:hAnsi="Verdana" w:cs="Arial"/>
          <w:b/>
          <w:color w:val="auto"/>
        </w:rPr>
        <w:t>recommend</w:t>
      </w:r>
      <w:r>
        <w:rPr>
          <w:rFonts w:ascii="Verdana" w:hAnsi="Verdana" w:cs="Arial"/>
          <w:b/>
          <w:color w:val="auto"/>
        </w:rPr>
        <w:t>s</w:t>
      </w:r>
      <w:r w:rsidRPr="005F577A">
        <w:rPr>
          <w:rFonts w:ascii="Verdana" w:hAnsi="Verdana" w:cs="Arial"/>
          <w:b/>
          <w:color w:val="auto"/>
        </w:rPr>
        <w:t xml:space="preserve"> that </w:t>
      </w:r>
      <w:r>
        <w:rPr>
          <w:rFonts w:ascii="Verdana" w:hAnsi="Verdana" w:cs="Arial"/>
          <w:b/>
          <w:color w:val="auto"/>
        </w:rPr>
        <w:t xml:space="preserve">the Department of Justice ensures that any </w:t>
      </w:r>
      <w:r w:rsidRPr="005F577A">
        <w:rPr>
          <w:rFonts w:ascii="Verdana" w:hAnsi="Verdana" w:cs="Arial"/>
          <w:b/>
          <w:color w:val="auto"/>
        </w:rPr>
        <w:t xml:space="preserve">statutory guidance </w:t>
      </w:r>
      <w:r>
        <w:rPr>
          <w:rFonts w:ascii="Verdana" w:hAnsi="Verdana" w:cs="Arial"/>
          <w:b/>
          <w:color w:val="auto"/>
        </w:rPr>
        <w:t xml:space="preserve">on </w:t>
      </w:r>
      <w:r w:rsidRPr="00B514F3">
        <w:rPr>
          <w:rFonts w:ascii="Verdana" w:hAnsi="Verdana" w:cs="Arial"/>
          <w:b/>
          <w:color w:val="auto"/>
        </w:rPr>
        <w:t>Slavery and Trafficking Risk Orders</w:t>
      </w:r>
      <w:r>
        <w:rPr>
          <w:rFonts w:ascii="Verdana" w:hAnsi="Verdana" w:cs="Arial"/>
          <w:b/>
          <w:color w:val="auto"/>
        </w:rPr>
        <w:t xml:space="preserve"> </w:t>
      </w:r>
      <w:r w:rsidRPr="005F577A">
        <w:rPr>
          <w:rFonts w:ascii="Verdana" w:hAnsi="Verdana" w:cs="Arial"/>
          <w:b/>
          <w:color w:val="auto"/>
        </w:rPr>
        <w:t>explicitly incorporate the best interests of the child</w:t>
      </w:r>
      <w:r>
        <w:rPr>
          <w:rFonts w:ascii="Verdana" w:hAnsi="Verdana" w:cs="Arial"/>
          <w:b/>
          <w:color w:val="auto"/>
        </w:rPr>
        <w:t xml:space="preserve"> and take account of children’s particular vulnerability to human trafficking and child sexual exploitation.</w:t>
      </w:r>
    </w:p>
    <w:p w14:paraId="4E0C3D97" w14:textId="77777777" w:rsidR="00C27EDB" w:rsidRDefault="00C27EDB" w:rsidP="007B0239">
      <w:pPr>
        <w:pStyle w:val="Style1"/>
        <w:rPr>
          <w:color w:val="auto"/>
          <w:sz w:val="24"/>
          <w:szCs w:val="24"/>
        </w:rPr>
      </w:pPr>
    </w:p>
    <w:p w14:paraId="5BF11DA8" w14:textId="399B53B4" w:rsidR="000F7F37" w:rsidRPr="00C27EDB" w:rsidRDefault="00C27EDB" w:rsidP="00C27EDB">
      <w:pPr>
        <w:pStyle w:val="Style1"/>
        <w:ind w:left="720" w:hanging="720"/>
        <w:rPr>
          <w:color w:val="auto"/>
          <w:sz w:val="24"/>
          <w:szCs w:val="24"/>
        </w:rPr>
      </w:pPr>
      <w:r>
        <w:rPr>
          <w:color w:val="auto"/>
          <w:sz w:val="24"/>
          <w:szCs w:val="24"/>
        </w:rPr>
        <w:t>3.29</w:t>
      </w:r>
      <w:r>
        <w:rPr>
          <w:color w:val="auto"/>
          <w:sz w:val="24"/>
          <w:szCs w:val="24"/>
        </w:rPr>
        <w:tab/>
        <w:t>r</w:t>
      </w:r>
      <w:r w:rsidRPr="00C27EDB">
        <w:rPr>
          <w:color w:val="auto"/>
          <w:sz w:val="24"/>
          <w:szCs w:val="24"/>
        </w:rPr>
        <w:t>ecommends the Department of Justice consider how it intends to process personal data associated with Slavery and Trafficking Risk Orders and Prevention Orders and ensure that this is compliant with Protocol Article 2 and EU General Data Protection Regulations.</w:t>
      </w:r>
    </w:p>
    <w:p w14:paraId="7441BCAB" w14:textId="77777777" w:rsidR="000F7F37" w:rsidRDefault="000F7F37" w:rsidP="007B0239">
      <w:pPr>
        <w:pStyle w:val="Style1"/>
      </w:pPr>
    </w:p>
    <w:p w14:paraId="1E131B46" w14:textId="104AC44E" w:rsidR="00166CBD" w:rsidRPr="00EE7FB8" w:rsidRDefault="00166CBD" w:rsidP="00166CBD">
      <w:pPr>
        <w:pStyle w:val="Style1"/>
        <w:ind w:left="720" w:hanging="720"/>
        <w:rPr>
          <w:b w:val="0"/>
          <w:color w:val="auto"/>
          <w:sz w:val="24"/>
          <w:szCs w:val="24"/>
        </w:rPr>
      </w:pPr>
      <w:r w:rsidRPr="00166CBD">
        <w:rPr>
          <w:color w:val="auto"/>
          <w:sz w:val="24"/>
          <w:szCs w:val="24"/>
        </w:rPr>
        <w:t>4.14</w:t>
      </w:r>
      <w:r w:rsidRPr="00166CBD">
        <w:rPr>
          <w:rFonts w:cstheme="majorHAnsi"/>
          <w:bCs/>
          <w:color w:val="auto"/>
          <w:sz w:val="20"/>
          <w:szCs w:val="20"/>
        </w:rPr>
        <w:t xml:space="preserve"> </w:t>
      </w:r>
      <w:r>
        <w:rPr>
          <w:rFonts w:cstheme="majorHAnsi"/>
          <w:bCs/>
          <w:color w:val="auto"/>
          <w:sz w:val="20"/>
          <w:szCs w:val="20"/>
        </w:rPr>
        <w:tab/>
      </w:r>
      <w:r w:rsidRPr="00BA2AF5">
        <w:rPr>
          <w:rFonts w:cstheme="majorHAnsi"/>
          <w:bCs/>
          <w:color w:val="auto"/>
          <w:sz w:val="24"/>
          <w:szCs w:val="24"/>
        </w:rPr>
        <w:t xml:space="preserve">recommends that the Department of Justice </w:t>
      </w:r>
      <w:r>
        <w:rPr>
          <w:rFonts w:cstheme="majorHAnsi"/>
          <w:bCs/>
          <w:color w:val="auto"/>
          <w:sz w:val="24"/>
          <w:szCs w:val="24"/>
        </w:rPr>
        <w:t>requires compulsory specialised training and guidance to all relevant staff. Relevant staff includes at least those with a duty to notify</w:t>
      </w:r>
      <w:r w:rsidRPr="00373C97">
        <w:rPr>
          <w:rFonts w:cstheme="majorHAnsi"/>
          <w:bCs/>
          <w:color w:val="auto"/>
          <w:sz w:val="24"/>
          <w:szCs w:val="24"/>
        </w:rPr>
        <w:t xml:space="preserve">. </w:t>
      </w:r>
      <w:r>
        <w:rPr>
          <w:rFonts w:cstheme="majorHAnsi"/>
          <w:bCs/>
          <w:color w:val="auto"/>
          <w:sz w:val="24"/>
          <w:szCs w:val="24"/>
        </w:rPr>
        <w:t xml:space="preserve">Training should </w:t>
      </w:r>
      <w:r>
        <w:rPr>
          <w:rFonts w:cstheme="majorHAnsi"/>
          <w:bCs/>
          <w:color w:val="auto"/>
          <w:sz w:val="24"/>
          <w:szCs w:val="24"/>
        </w:rPr>
        <w:lastRenderedPageBreak/>
        <w:t xml:space="preserve">be trauma-informed and victim-centred, to ensure victims are accurately identified and supported. </w:t>
      </w:r>
    </w:p>
    <w:p w14:paraId="486C50C3" w14:textId="5E0A09DF" w:rsidR="000F7F37" w:rsidRDefault="000F7F37" w:rsidP="007B0239">
      <w:pPr>
        <w:pStyle w:val="Style1"/>
      </w:pPr>
    </w:p>
    <w:p w14:paraId="78EDEF67" w14:textId="2A8E3133" w:rsidR="002434B6" w:rsidRPr="00BA2AF5" w:rsidRDefault="002434B6" w:rsidP="002434B6">
      <w:pPr>
        <w:pStyle w:val="Style1"/>
        <w:ind w:left="720" w:hanging="720"/>
        <w:rPr>
          <w:color w:val="auto"/>
          <w:sz w:val="24"/>
          <w:szCs w:val="24"/>
        </w:rPr>
      </w:pPr>
      <w:r>
        <w:rPr>
          <w:rFonts w:cstheme="majorHAnsi"/>
          <w:color w:val="auto"/>
          <w:sz w:val="24"/>
          <w:szCs w:val="24"/>
        </w:rPr>
        <w:t>4.18</w:t>
      </w:r>
      <w:r w:rsidRPr="00BA2AF5">
        <w:rPr>
          <w:rFonts w:cstheme="majorHAnsi"/>
          <w:color w:val="auto"/>
          <w:sz w:val="24"/>
          <w:szCs w:val="24"/>
        </w:rPr>
        <w:t xml:space="preserve"> </w:t>
      </w:r>
      <w:r>
        <w:rPr>
          <w:rFonts w:cstheme="majorHAnsi"/>
          <w:color w:val="auto"/>
          <w:sz w:val="24"/>
          <w:szCs w:val="24"/>
        </w:rPr>
        <w:tab/>
      </w:r>
      <w:r w:rsidRPr="00BA2AF5">
        <w:rPr>
          <w:rFonts w:cstheme="majorHAnsi"/>
          <w:color w:val="auto"/>
          <w:sz w:val="24"/>
          <w:szCs w:val="24"/>
        </w:rPr>
        <w:t>advises the Department</w:t>
      </w:r>
      <w:r>
        <w:rPr>
          <w:rFonts w:cstheme="majorHAnsi"/>
          <w:color w:val="auto"/>
          <w:sz w:val="24"/>
          <w:szCs w:val="24"/>
        </w:rPr>
        <w:t xml:space="preserve"> of Justice</w:t>
      </w:r>
      <w:r w:rsidRPr="00BA2AF5">
        <w:rPr>
          <w:rFonts w:cstheme="majorHAnsi"/>
          <w:color w:val="auto"/>
          <w:sz w:val="24"/>
          <w:szCs w:val="24"/>
        </w:rPr>
        <w:t xml:space="preserve"> </w:t>
      </w:r>
      <w:r>
        <w:rPr>
          <w:rFonts w:cstheme="majorHAnsi"/>
          <w:color w:val="auto"/>
          <w:sz w:val="24"/>
          <w:szCs w:val="24"/>
        </w:rPr>
        <w:t xml:space="preserve">to </w:t>
      </w:r>
      <w:proofErr w:type="gramStart"/>
      <w:r>
        <w:rPr>
          <w:rFonts w:cstheme="majorHAnsi"/>
          <w:color w:val="auto"/>
          <w:sz w:val="24"/>
          <w:szCs w:val="24"/>
        </w:rPr>
        <w:t>give</w:t>
      </w:r>
      <w:r w:rsidRPr="00BA2AF5">
        <w:rPr>
          <w:rFonts w:cstheme="majorHAnsi"/>
          <w:color w:val="auto"/>
          <w:sz w:val="24"/>
          <w:szCs w:val="24"/>
        </w:rPr>
        <w:t xml:space="preserve"> </w:t>
      </w:r>
      <w:r>
        <w:rPr>
          <w:rFonts w:cstheme="majorHAnsi"/>
          <w:color w:val="auto"/>
          <w:sz w:val="24"/>
          <w:szCs w:val="24"/>
        </w:rPr>
        <w:t xml:space="preserve">close </w:t>
      </w:r>
      <w:r w:rsidRPr="00BA2AF5">
        <w:rPr>
          <w:rFonts w:cstheme="majorHAnsi"/>
          <w:color w:val="auto"/>
          <w:sz w:val="24"/>
          <w:szCs w:val="24"/>
        </w:rPr>
        <w:t>consideration to</w:t>
      </w:r>
      <w:proofErr w:type="gramEnd"/>
      <w:r w:rsidRPr="00BA2AF5">
        <w:rPr>
          <w:rFonts w:cstheme="majorHAnsi"/>
          <w:color w:val="auto"/>
          <w:sz w:val="24"/>
          <w:szCs w:val="24"/>
        </w:rPr>
        <w:t xml:space="preserve"> relevant EU Directives and </w:t>
      </w:r>
      <w:r w:rsidRPr="00BB1167">
        <w:rPr>
          <w:color w:val="auto"/>
          <w:sz w:val="24"/>
          <w:szCs w:val="24"/>
        </w:rPr>
        <w:t>Court of Justice of the EU</w:t>
      </w:r>
      <w:r w:rsidRPr="00BB1167">
        <w:rPr>
          <w:rFonts w:cstheme="majorHAnsi"/>
          <w:color w:val="auto"/>
          <w:sz w:val="24"/>
          <w:szCs w:val="24"/>
        </w:rPr>
        <w:t xml:space="preserve"> </w:t>
      </w:r>
      <w:r w:rsidRPr="00BA2AF5">
        <w:rPr>
          <w:rFonts w:cstheme="majorHAnsi"/>
          <w:color w:val="auto"/>
          <w:sz w:val="24"/>
          <w:szCs w:val="24"/>
        </w:rPr>
        <w:t xml:space="preserve">jurisprudence in </w:t>
      </w:r>
      <w:r>
        <w:rPr>
          <w:rFonts w:cstheme="majorHAnsi"/>
          <w:color w:val="auto"/>
          <w:sz w:val="24"/>
          <w:szCs w:val="24"/>
        </w:rPr>
        <w:t>its</w:t>
      </w:r>
      <w:r w:rsidRPr="00BA2AF5">
        <w:rPr>
          <w:rFonts w:cstheme="majorHAnsi"/>
          <w:color w:val="auto"/>
          <w:sz w:val="24"/>
          <w:szCs w:val="24"/>
        </w:rPr>
        <w:t xml:space="preserve"> development and implementation of regulations relating to the Duty to Notify</w:t>
      </w:r>
      <w:r>
        <w:rPr>
          <w:rFonts w:cstheme="majorHAnsi"/>
          <w:color w:val="auto"/>
          <w:sz w:val="24"/>
          <w:szCs w:val="24"/>
        </w:rPr>
        <w:t>.</w:t>
      </w:r>
    </w:p>
    <w:p w14:paraId="2A5F97C6" w14:textId="77777777" w:rsidR="002434B6" w:rsidRDefault="002434B6" w:rsidP="002434B6">
      <w:pPr>
        <w:pStyle w:val="Style1"/>
        <w:rPr>
          <w:rFonts w:cstheme="majorHAnsi"/>
          <w:color w:val="auto"/>
          <w:sz w:val="24"/>
          <w:szCs w:val="24"/>
        </w:rPr>
      </w:pPr>
    </w:p>
    <w:p w14:paraId="175C805C" w14:textId="692C59B2" w:rsidR="002434B6" w:rsidRPr="00BA2AF5" w:rsidRDefault="002434B6" w:rsidP="002434B6">
      <w:pPr>
        <w:pStyle w:val="Style1"/>
        <w:ind w:left="720" w:hanging="720"/>
        <w:rPr>
          <w:color w:val="auto"/>
          <w:sz w:val="24"/>
          <w:szCs w:val="24"/>
        </w:rPr>
      </w:pPr>
      <w:r>
        <w:rPr>
          <w:rFonts w:cstheme="majorHAnsi"/>
          <w:color w:val="auto"/>
          <w:sz w:val="24"/>
          <w:szCs w:val="24"/>
        </w:rPr>
        <w:t>4.19</w:t>
      </w:r>
      <w:r>
        <w:rPr>
          <w:rFonts w:cstheme="majorHAnsi"/>
          <w:color w:val="auto"/>
          <w:sz w:val="24"/>
          <w:szCs w:val="24"/>
        </w:rPr>
        <w:tab/>
      </w:r>
      <w:r w:rsidRPr="00BA2AF5">
        <w:rPr>
          <w:rFonts w:cstheme="majorHAnsi"/>
          <w:color w:val="auto"/>
          <w:sz w:val="24"/>
          <w:szCs w:val="24"/>
        </w:rPr>
        <w:t xml:space="preserve">advises that training for public </w:t>
      </w:r>
      <w:r>
        <w:rPr>
          <w:rFonts w:cstheme="majorHAnsi"/>
          <w:color w:val="auto"/>
          <w:sz w:val="24"/>
          <w:szCs w:val="24"/>
        </w:rPr>
        <w:t>authorities</w:t>
      </w:r>
      <w:r w:rsidRPr="00BA2AF5">
        <w:rPr>
          <w:rFonts w:cstheme="majorHAnsi"/>
          <w:color w:val="auto"/>
          <w:sz w:val="24"/>
          <w:szCs w:val="24"/>
        </w:rPr>
        <w:t xml:space="preserve"> on the Duty to Notify </w:t>
      </w:r>
      <w:r>
        <w:rPr>
          <w:rFonts w:cstheme="majorHAnsi"/>
          <w:color w:val="auto"/>
          <w:sz w:val="24"/>
          <w:szCs w:val="24"/>
        </w:rPr>
        <w:t xml:space="preserve">should </w:t>
      </w:r>
      <w:r w:rsidRPr="00BA2AF5">
        <w:rPr>
          <w:rFonts w:cstheme="majorHAnsi"/>
          <w:color w:val="auto"/>
          <w:sz w:val="24"/>
          <w:szCs w:val="24"/>
        </w:rPr>
        <w:t>identif</w:t>
      </w:r>
      <w:r>
        <w:rPr>
          <w:rFonts w:cstheme="majorHAnsi"/>
          <w:color w:val="auto"/>
          <w:sz w:val="24"/>
          <w:szCs w:val="24"/>
        </w:rPr>
        <w:t>y</w:t>
      </w:r>
      <w:r w:rsidRPr="00BA2AF5">
        <w:rPr>
          <w:rFonts w:cstheme="majorHAnsi"/>
          <w:color w:val="auto"/>
          <w:sz w:val="24"/>
          <w:szCs w:val="24"/>
        </w:rPr>
        <w:t xml:space="preserve"> </w:t>
      </w:r>
      <w:r>
        <w:rPr>
          <w:rFonts w:cstheme="majorHAnsi"/>
          <w:color w:val="auto"/>
          <w:sz w:val="24"/>
          <w:szCs w:val="24"/>
        </w:rPr>
        <w:t xml:space="preserve">and guide </w:t>
      </w:r>
      <w:r w:rsidRPr="00BA2AF5">
        <w:rPr>
          <w:rFonts w:cstheme="majorHAnsi"/>
          <w:color w:val="auto"/>
          <w:sz w:val="24"/>
          <w:szCs w:val="24"/>
        </w:rPr>
        <w:t>the importance of anonymity for potential victim</w:t>
      </w:r>
      <w:r>
        <w:rPr>
          <w:rFonts w:cstheme="majorHAnsi"/>
          <w:color w:val="auto"/>
          <w:sz w:val="24"/>
          <w:szCs w:val="24"/>
        </w:rPr>
        <w:t>s</w:t>
      </w:r>
      <w:r w:rsidRPr="00BA2AF5">
        <w:rPr>
          <w:rFonts w:cstheme="majorHAnsi"/>
          <w:color w:val="auto"/>
          <w:sz w:val="24"/>
          <w:szCs w:val="24"/>
        </w:rPr>
        <w:t>.</w:t>
      </w:r>
    </w:p>
    <w:p w14:paraId="68CBF743" w14:textId="77777777" w:rsidR="000F7F37" w:rsidRDefault="000F7F37" w:rsidP="007B0239">
      <w:pPr>
        <w:pStyle w:val="Style1"/>
      </w:pPr>
    </w:p>
    <w:p w14:paraId="611FB3B6" w14:textId="088967F8" w:rsidR="00CD506F" w:rsidRPr="009B46A1" w:rsidRDefault="00CD506F" w:rsidP="00CD506F">
      <w:pPr>
        <w:pStyle w:val="BasicParagraph"/>
        <w:suppressAutoHyphens/>
        <w:ind w:left="720" w:hanging="720"/>
        <w:rPr>
          <w:rFonts w:ascii="Verdana" w:hAnsi="Verdana" w:cs="Arial"/>
          <w:b/>
          <w:color w:val="auto"/>
        </w:rPr>
      </w:pPr>
      <w:r>
        <w:rPr>
          <w:rFonts w:ascii="Verdana" w:hAnsi="Verdana" w:cs="Arial"/>
          <w:b/>
          <w:color w:val="auto"/>
        </w:rPr>
        <w:t>5.3</w:t>
      </w:r>
      <w:r>
        <w:rPr>
          <w:rFonts w:ascii="Verdana" w:hAnsi="Verdana" w:cs="Arial"/>
          <w:b/>
          <w:color w:val="auto"/>
        </w:rPr>
        <w:tab/>
      </w:r>
      <w:r w:rsidRPr="009B46A1">
        <w:rPr>
          <w:rFonts w:ascii="Verdana" w:hAnsi="Verdana" w:cs="Arial"/>
          <w:b/>
          <w:color w:val="auto"/>
        </w:rPr>
        <w:t xml:space="preserve">recommends that the Department of Justice ensures </w:t>
      </w:r>
      <w:r>
        <w:rPr>
          <w:rFonts w:ascii="Verdana" w:hAnsi="Verdana" w:cs="Arial"/>
          <w:b/>
          <w:color w:val="auto"/>
        </w:rPr>
        <w:t>any</w:t>
      </w:r>
      <w:r w:rsidRPr="009B46A1">
        <w:rPr>
          <w:rFonts w:ascii="Verdana" w:hAnsi="Verdana" w:cs="Arial"/>
          <w:b/>
          <w:color w:val="auto"/>
        </w:rPr>
        <w:t xml:space="preserve"> use of Slavery and Trafficking Risk Orders is </w:t>
      </w:r>
      <w:r>
        <w:rPr>
          <w:rFonts w:ascii="Verdana" w:hAnsi="Verdana" w:cs="Arial"/>
          <w:b/>
          <w:color w:val="auto"/>
        </w:rPr>
        <w:t xml:space="preserve">recorded, </w:t>
      </w:r>
      <w:proofErr w:type="gramStart"/>
      <w:r w:rsidRPr="009B46A1">
        <w:rPr>
          <w:rFonts w:ascii="Verdana" w:hAnsi="Verdana" w:cs="Arial"/>
          <w:b/>
          <w:color w:val="auto"/>
        </w:rPr>
        <w:t>monitor</w:t>
      </w:r>
      <w:r>
        <w:rPr>
          <w:rFonts w:ascii="Verdana" w:hAnsi="Verdana" w:cs="Arial"/>
          <w:b/>
          <w:color w:val="auto"/>
        </w:rPr>
        <w:t>ed</w:t>
      </w:r>
      <w:proofErr w:type="gramEnd"/>
      <w:r w:rsidRPr="009B46A1">
        <w:rPr>
          <w:rFonts w:ascii="Verdana" w:hAnsi="Verdana" w:cs="Arial"/>
          <w:b/>
          <w:color w:val="auto"/>
        </w:rPr>
        <w:t xml:space="preserve"> and </w:t>
      </w:r>
      <w:r>
        <w:rPr>
          <w:rFonts w:ascii="Verdana" w:hAnsi="Verdana" w:cs="Arial"/>
          <w:b/>
          <w:color w:val="auto"/>
        </w:rPr>
        <w:t xml:space="preserve">thereafter </w:t>
      </w:r>
      <w:r w:rsidRPr="009B46A1">
        <w:rPr>
          <w:rFonts w:ascii="Verdana" w:hAnsi="Verdana" w:cs="Arial"/>
          <w:b/>
          <w:color w:val="auto"/>
        </w:rPr>
        <w:t>evaluat</w:t>
      </w:r>
      <w:r>
        <w:rPr>
          <w:rFonts w:ascii="Verdana" w:hAnsi="Verdana" w:cs="Arial"/>
          <w:b/>
          <w:color w:val="auto"/>
        </w:rPr>
        <w:t>ed</w:t>
      </w:r>
      <w:r w:rsidRPr="009B46A1">
        <w:rPr>
          <w:rFonts w:ascii="Verdana" w:hAnsi="Verdana" w:cs="Arial"/>
          <w:b/>
          <w:color w:val="auto"/>
        </w:rPr>
        <w:t xml:space="preserve"> by the Police Service of NI. </w:t>
      </w:r>
      <w:r>
        <w:rPr>
          <w:rFonts w:ascii="Verdana" w:hAnsi="Verdana" w:cs="Arial"/>
          <w:b/>
          <w:color w:val="auto"/>
        </w:rPr>
        <w:t xml:space="preserve">Any steps required following evaluation must be taken immediately. </w:t>
      </w:r>
      <w:r w:rsidRPr="009B46A1">
        <w:rPr>
          <w:rFonts w:ascii="Verdana" w:hAnsi="Verdana" w:cs="Arial"/>
          <w:b/>
          <w:color w:val="auto"/>
        </w:rPr>
        <w:t>This process should involve meaningful engagement with representative organisations, victims or potential victims that are protected by the risk orders, and individuals that are subject to the risk orders.</w:t>
      </w:r>
    </w:p>
    <w:p w14:paraId="0487B6A8" w14:textId="77777777" w:rsidR="000F7F37" w:rsidRPr="007B0239" w:rsidRDefault="000F7F37" w:rsidP="007B0239">
      <w:pPr>
        <w:pStyle w:val="Style1"/>
      </w:pPr>
    </w:p>
    <w:p w14:paraId="4E4B3759" w14:textId="18359ADC" w:rsidR="007569C1" w:rsidRPr="00331C61" w:rsidRDefault="00490A35" w:rsidP="00490A35">
      <w:pPr>
        <w:pStyle w:val="BasicParagraph"/>
        <w:suppressAutoHyphens/>
        <w:ind w:left="720" w:hanging="720"/>
        <w:rPr>
          <w:rFonts w:ascii="Verdana" w:hAnsi="Verdana" w:cs="Arial"/>
          <w:color w:val="232120"/>
        </w:rPr>
      </w:pPr>
      <w:r>
        <w:rPr>
          <w:rFonts w:ascii="Verdana" w:hAnsi="Verdana" w:cs="Arial"/>
          <w:b/>
          <w:color w:val="auto"/>
        </w:rPr>
        <w:t>5.6</w:t>
      </w:r>
      <w:r>
        <w:rPr>
          <w:rFonts w:ascii="Verdana" w:hAnsi="Verdana" w:cs="Arial"/>
          <w:b/>
          <w:color w:val="auto"/>
        </w:rPr>
        <w:tab/>
      </w:r>
      <w:r w:rsidRPr="009B46A1">
        <w:rPr>
          <w:rFonts w:ascii="Verdana" w:hAnsi="Verdana" w:cs="Arial"/>
          <w:b/>
          <w:color w:val="auto"/>
        </w:rPr>
        <w:t xml:space="preserve">recommends that the Department of Justice ensures </w:t>
      </w:r>
      <w:r>
        <w:rPr>
          <w:rFonts w:ascii="Verdana" w:hAnsi="Verdana" w:cs="Arial"/>
          <w:b/>
          <w:color w:val="auto"/>
        </w:rPr>
        <w:t xml:space="preserve">that </w:t>
      </w:r>
      <w:r w:rsidRPr="009B46A1">
        <w:rPr>
          <w:rFonts w:ascii="Verdana" w:hAnsi="Verdana" w:cs="Arial"/>
          <w:b/>
          <w:color w:val="auto"/>
        </w:rPr>
        <w:t xml:space="preserve">implementation of the duty to notify is subject to </w:t>
      </w:r>
      <w:r>
        <w:rPr>
          <w:rFonts w:ascii="Verdana" w:hAnsi="Verdana" w:cs="Arial"/>
          <w:b/>
          <w:color w:val="auto"/>
        </w:rPr>
        <w:t xml:space="preserve">robust and </w:t>
      </w:r>
      <w:r w:rsidRPr="009B46A1">
        <w:rPr>
          <w:rFonts w:ascii="Verdana" w:hAnsi="Verdana" w:cs="Arial"/>
          <w:b/>
          <w:color w:val="auto"/>
        </w:rPr>
        <w:t>frequent monitoring and evaluation. This process should consider whether victims are being identified and supported</w:t>
      </w:r>
      <w:r>
        <w:rPr>
          <w:rFonts w:ascii="Verdana" w:hAnsi="Verdana" w:cs="Arial"/>
          <w:b/>
          <w:color w:val="auto"/>
        </w:rPr>
        <w:t>,</w:t>
      </w:r>
      <w:r w:rsidRPr="009B46A1">
        <w:rPr>
          <w:rFonts w:ascii="Verdana" w:hAnsi="Verdana" w:cs="Arial"/>
          <w:b/>
          <w:color w:val="auto"/>
        </w:rPr>
        <w:t xml:space="preserve"> oversee the adequacy and frequency of training delivered to public authorities</w:t>
      </w:r>
      <w:r>
        <w:rPr>
          <w:rFonts w:ascii="Verdana" w:hAnsi="Verdana" w:cs="Arial"/>
          <w:b/>
          <w:color w:val="auto"/>
        </w:rPr>
        <w:t xml:space="preserve"> and ensure remedial steps are implemented</w:t>
      </w:r>
      <w:r w:rsidRPr="009B46A1">
        <w:rPr>
          <w:rFonts w:ascii="Verdana" w:hAnsi="Verdana" w:cs="Arial"/>
          <w:b/>
          <w:color w:val="auto"/>
        </w:rPr>
        <w:t>.</w:t>
      </w:r>
      <w:r>
        <w:rPr>
          <w:rFonts w:ascii="Verdana" w:hAnsi="Verdana" w:cs="Arial"/>
          <w:b/>
          <w:color w:val="auto"/>
        </w:rPr>
        <w:t xml:space="preserve"> This should be subject to annual reporting alongside commitments in the NI </w:t>
      </w:r>
      <w:r w:rsidRPr="00247107">
        <w:rPr>
          <w:rFonts w:ascii="Verdana" w:hAnsi="Verdana" w:cs="Arial"/>
          <w:b/>
          <w:color w:val="auto"/>
        </w:rPr>
        <w:t>Modern Slavery and Human</w:t>
      </w:r>
      <w:r>
        <w:rPr>
          <w:rFonts w:ascii="Verdana" w:hAnsi="Verdana" w:cs="Arial"/>
          <w:b/>
          <w:color w:val="auto"/>
        </w:rPr>
        <w:t xml:space="preserve"> </w:t>
      </w:r>
      <w:r w:rsidRPr="00247107">
        <w:rPr>
          <w:rFonts w:ascii="Verdana" w:hAnsi="Verdana" w:cs="Arial"/>
          <w:b/>
          <w:color w:val="auto"/>
        </w:rPr>
        <w:t>Trafficking Strategy</w:t>
      </w:r>
      <w:r>
        <w:rPr>
          <w:rFonts w:ascii="Verdana" w:hAnsi="Verdana" w:cs="Arial"/>
          <w:b/>
          <w:color w:val="auto"/>
        </w:rPr>
        <w:t>.</w:t>
      </w:r>
    </w:p>
    <w:p w14:paraId="6B1E4B41" w14:textId="77777777" w:rsidR="00DD2213" w:rsidRDefault="00DD2213" w:rsidP="00DD2213">
      <w:pPr>
        <w:pStyle w:val="Style1"/>
        <w:rPr>
          <w:color w:val="auto"/>
          <w:sz w:val="24"/>
          <w:szCs w:val="24"/>
        </w:rPr>
      </w:pPr>
    </w:p>
    <w:p w14:paraId="79D43533" w14:textId="5D9A9A46" w:rsidR="00DD2213" w:rsidRPr="002733A4" w:rsidRDefault="00DD2213" w:rsidP="00DD2213">
      <w:pPr>
        <w:pStyle w:val="Style1"/>
        <w:ind w:left="720" w:hanging="720"/>
        <w:rPr>
          <w:color w:val="auto"/>
          <w:sz w:val="24"/>
          <w:szCs w:val="24"/>
        </w:rPr>
      </w:pPr>
      <w:r>
        <w:rPr>
          <w:color w:val="auto"/>
          <w:sz w:val="24"/>
          <w:szCs w:val="24"/>
        </w:rPr>
        <w:t>6.5</w:t>
      </w:r>
      <w:r>
        <w:rPr>
          <w:color w:val="auto"/>
          <w:sz w:val="24"/>
          <w:szCs w:val="24"/>
        </w:rPr>
        <w:tab/>
        <w:t>seeks further information from the</w:t>
      </w:r>
      <w:r w:rsidRPr="00460F36">
        <w:rPr>
          <w:color w:val="auto"/>
          <w:sz w:val="24"/>
          <w:szCs w:val="24"/>
        </w:rPr>
        <w:t xml:space="preserve"> Department </w:t>
      </w:r>
      <w:r>
        <w:rPr>
          <w:color w:val="auto"/>
          <w:sz w:val="24"/>
          <w:szCs w:val="24"/>
        </w:rPr>
        <w:t xml:space="preserve">of Justice </w:t>
      </w:r>
      <w:r w:rsidRPr="00C52ACD">
        <w:rPr>
          <w:color w:val="auto"/>
          <w:sz w:val="24"/>
          <w:szCs w:val="24"/>
        </w:rPr>
        <w:t xml:space="preserve">on its proposal for additional search powers under section 10 of </w:t>
      </w:r>
      <w:r>
        <w:rPr>
          <w:color w:val="auto"/>
          <w:sz w:val="24"/>
          <w:szCs w:val="24"/>
        </w:rPr>
        <w:t xml:space="preserve">the </w:t>
      </w:r>
      <w:r w:rsidRPr="00647AFF">
        <w:rPr>
          <w:color w:val="auto"/>
          <w:sz w:val="24"/>
          <w:szCs w:val="24"/>
        </w:rPr>
        <w:t>Police and Criminal Evidence (NI) Order 1989</w:t>
      </w:r>
      <w:r>
        <w:rPr>
          <w:color w:val="auto"/>
          <w:sz w:val="24"/>
          <w:szCs w:val="24"/>
        </w:rPr>
        <w:t>, which should include:</w:t>
      </w:r>
    </w:p>
    <w:p w14:paraId="5D09E8CD" w14:textId="77777777" w:rsidR="00DD2213" w:rsidRDefault="00DD2213" w:rsidP="00DD2213">
      <w:pPr>
        <w:pStyle w:val="Style1"/>
        <w:numPr>
          <w:ilvl w:val="0"/>
          <w:numId w:val="8"/>
        </w:numPr>
        <w:rPr>
          <w:color w:val="auto"/>
          <w:sz w:val="24"/>
          <w:szCs w:val="24"/>
        </w:rPr>
      </w:pPr>
      <w:r>
        <w:rPr>
          <w:color w:val="auto"/>
          <w:sz w:val="24"/>
          <w:szCs w:val="24"/>
        </w:rPr>
        <w:t xml:space="preserve">analysis of current statutory powers and comparison with other </w:t>
      </w:r>
      <w:proofErr w:type="gramStart"/>
      <w:r>
        <w:rPr>
          <w:color w:val="auto"/>
          <w:sz w:val="24"/>
          <w:szCs w:val="24"/>
        </w:rPr>
        <w:t>jurisdictions;</w:t>
      </w:r>
      <w:proofErr w:type="gramEnd"/>
    </w:p>
    <w:p w14:paraId="6034E34D" w14:textId="77777777" w:rsidR="00DD2213" w:rsidRDefault="00DD2213" w:rsidP="00DD2213">
      <w:pPr>
        <w:pStyle w:val="Style1"/>
        <w:numPr>
          <w:ilvl w:val="0"/>
          <w:numId w:val="8"/>
        </w:numPr>
        <w:rPr>
          <w:color w:val="auto"/>
          <w:sz w:val="24"/>
          <w:szCs w:val="24"/>
        </w:rPr>
      </w:pPr>
      <w:r>
        <w:rPr>
          <w:color w:val="auto"/>
          <w:sz w:val="24"/>
          <w:szCs w:val="24"/>
        </w:rPr>
        <w:t xml:space="preserve">proposed </w:t>
      </w:r>
      <w:r w:rsidRPr="00C52ACD">
        <w:rPr>
          <w:color w:val="auto"/>
          <w:sz w:val="24"/>
          <w:szCs w:val="24"/>
        </w:rPr>
        <w:t>safeguards to ensure the power is not used arbitrarily</w:t>
      </w:r>
      <w:r>
        <w:rPr>
          <w:color w:val="auto"/>
          <w:sz w:val="24"/>
          <w:szCs w:val="24"/>
        </w:rPr>
        <w:t>;</w:t>
      </w:r>
      <w:r w:rsidRPr="00C52ACD">
        <w:rPr>
          <w:color w:val="auto"/>
          <w:sz w:val="24"/>
          <w:szCs w:val="24"/>
        </w:rPr>
        <w:t xml:space="preserve"> and </w:t>
      </w:r>
    </w:p>
    <w:p w14:paraId="046A6C39" w14:textId="425A73E9" w:rsidR="00380238" w:rsidRPr="00A46074" w:rsidRDefault="00DD2213" w:rsidP="00A46074">
      <w:pPr>
        <w:pStyle w:val="Style1"/>
        <w:numPr>
          <w:ilvl w:val="0"/>
          <w:numId w:val="8"/>
        </w:numPr>
        <w:rPr>
          <w:color w:val="auto"/>
          <w:sz w:val="24"/>
          <w:szCs w:val="24"/>
        </w:rPr>
      </w:pPr>
      <w:r w:rsidRPr="00C52ACD">
        <w:rPr>
          <w:color w:val="auto"/>
          <w:sz w:val="24"/>
          <w:szCs w:val="24"/>
        </w:rPr>
        <w:t>a detailed human rights impact assessment</w:t>
      </w:r>
      <w:r>
        <w:rPr>
          <w:color w:val="auto"/>
          <w:sz w:val="24"/>
          <w:szCs w:val="24"/>
        </w:rPr>
        <w:t xml:space="preserve">, with </w:t>
      </w:r>
      <w:proofErr w:type="gramStart"/>
      <w:r>
        <w:rPr>
          <w:color w:val="auto"/>
          <w:sz w:val="24"/>
          <w:szCs w:val="24"/>
        </w:rPr>
        <w:t>particular regard</w:t>
      </w:r>
      <w:proofErr w:type="gramEnd"/>
      <w:r>
        <w:rPr>
          <w:color w:val="auto"/>
          <w:sz w:val="24"/>
          <w:szCs w:val="24"/>
        </w:rPr>
        <w:t xml:space="preserve"> for Article 8 ECHR.</w:t>
      </w:r>
    </w:p>
    <w:p w14:paraId="495BB4B6" w14:textId="6673D2CA" w:rsidR="00364945" w:rsidRDefault="00380238" w:rsidP="00380238">
      <w:pPr>
        <w:pStyle w:val="Heading1"/>
      </w:pPr>
      <w:bookmarkStart w:id="1" w:name="_Toc105754263"/>
      <w:r>
        <w:lastRenderedPageBreak/>
        <w:t>1.0</w:t>
      </w:r>
      <w:r>
        <w:tab/>
      </w:r>
      <w:r w:rsidR="00A11AF3" w:rsidRPr="00E86FE1">
        <w:t>Int</w:t>
      </w:r>
      <w:r w:rsidR="00A11AF3">
        <w:t>roduction</w:t>
      </w:r>
      <w:bookmarkEnd w:id="1"/>
    </w:p>
    <w:p w14:paraId="06AEA948" w14:textId="3C315434" w:rsidR="00084B1A" w:rsidRDefault="00A11AF3" w:rsidP="00087302">
      <w:pPr>
        <w:pStyle w:val="ListParagraph"/>
        <w:numPr>
          <w:ilvl w:val="1"/>
          <w:numId w:val="1"/>
        </w:numPr>
        <w:spacing w:line="288" w:lineRule="auto"/>
        <w:ind w:left="709"/>
      </w:pPr>
      <w:r w:rsidRPr="00A11AF3">
        <w:t>The Northern Ireland Human Rights Commission (</w:t>
      </w:r>
      <w:r w:rsidR="00E86FE1">
        <w:t>NIHRC</w:t>
      </w:r>
      <w:r w:rsidRPr="00A11AF3">
        <w:t xml:space="preserve">), </w:t>
      </w:r>
      <w:r w:rsidRPr="00B8134B">
        <w:t>pursuant</w:t>
      </w:r>
      <w:r w:rsidRPr="00A11AF3">
        <w:t xml:space="preserve"> to section 69(</w:t>
      </w:r>
      <w:r w:rsidR="00E86FE1">
        <w:t>1</w:t>
      </w:r>
      <w:r w:rsidRPr="00A11AF3">
        <w:t xml:space="preserve">) of the Northern Ireland </w:t>
      </w:r>
      <w:r w:rsidR="00510225">
        <w:t>(NI)</w:t>
      </w:r>
      <w:r w:rsidRPr="00A11AF3">
        <w:t xml:space="preserve"> Act 1998, </w:t>
      </w:r>
      <w:r w:rsidR="00E86FE1" w:rsidRPr="00E86FE1">
        <w:t>reviews the</w:t>
      </w:r>
      <w:r w:rsidR="00E86FE1">
        <w:t xml:space="preserve"> </w:t>
      </w:r>
      <w:r w:rsidR="00E86FE1" w:rsidRPr="00E86FE1">
        <w:t>adequacy and effectiveness of law and practice relating to the protection of human rights</w:t>
      </w:r>
      <w:r w:rsidRPr="00E86FE1">
        <w:t xml:space="preserve">. </w:t>
      </w:r>
      <w:r w:rsidR="00E86FE1" w:rsidRPr="00E86FE1">
        <w:t>The NIHRC is also mandated, under section 78</w:t>
      </w:r>
      <w:proofErr w:type="gramStart"/>
      <w:r w:rsidR="00E86FE1" w:rsidRPr="00E86FE1">
        <w:t>A(</w:t>
      </w:r>
      <w:proofErr w:type="gramEnd"/>
      <w:r w:rsidR="00E86FE1" w:rsidRPr="00E86FE1">
        <w:t>1) to monitor the implementation of Article 2(1) of the Protocol on Ireland/NI of the European Union (EU) Withdrawal Agreement</w:t>
      </w:r>
      <w:r w:rsidR="00522C98">
        <w:t xml:space="preserve"> (Protocol Article 2)</w:t>
      </w:r>
      <w:r w:rsidR="00E86FE1" w:rsidRPr="00E86FE1">
        <w:t xml:space="preserve">, to ensure there is no diminution of rights protected in the ‘Rights, Safeguards and Equality of Opportunity’ chapter of the Belfast (Good Friday) Agreement 1998 as a result of the </w:t>
      </w:r>
      <w:r w:rsidR="00522C98">
        <w:t>UK</w:t>
      </w:r>
      <w:r w:rsidR="00E86FE1" w:rsidRPr="00E86FE1">
        <w:t xml:space="preserve">’s withdrawal from the </w:t>
      </w:r>
      <w:r w:rsidR="00522C98">
        <w:t>EU</w:t>
      </w:r>
      <w:r w:rsidR="00E86FE1" w:rsidRPr="00E86FE1">
        <w:t>.</w:t>
      </w:r>
      <w:r w:rsidR="00E86FE1">
        <w:t xml:space="preserve"> </w:t>
      </w:r>
      <w:r w:rsidRPr="00E86FE1">
        <w:t>In accordance with these functions, the following</w:t>
      </w:r>
      <w:r w:rsidR="00E86FE1">
        <w:t xml:space="preserve"> statutory</w:t>
      </w:r>
      <w:r w:rsidRPr="00E86FE1">
        <w:t xml:space="preserve"> advice is submitted to the Department of Justice </w:t>
      </w:r>
      <w:r w:rsidR="00E86FE1">
        <w:t>in response to its</w:t>
      </w:r>
      <w:r w:rsidRPr="00E86FE1">
        <w:t xml:space="preserve"> consultation on measures to strengthen the response to modern slavery and human trafficking. </w:t>
      </w:r>
    </w:p>
    <w:p w14:paraId="391A6767" w14:textId="77777777" w:rsidR="00084B1A" w:rsidRDefault="00084B1A" w:rsidP="00242D89">
      <w:pPr>
        <w:pStyle w:val="ListParagraph"/>
        <w:spacing w:line="288" w:lineRule="auto"/>
        <w:ind w:left="1440"/>
      </w:pPr>
    </w:p>
    <w:p w14:paraId="10AE5D85" w14:textId="1C51BC39" w:rsidR="00E55055" w:rsidRPr="00084B1A" w:rsidRDefault="00A11AF3" w:rsidP="00087302">
      <w:pPr>
        <w:pStyle w:val="ListParagraph"/>
        <w:numPr>
          <w:ilvl w:val="1"/>
          <w:numId w:val="1"/>
        </w:numPr>
        <w:spacing w:line="288" w:lineRule="auto"/>
        <w:ind w:left="709"/>
      </w:pPr>
      <w:r w:rsidRPr="00A11AF3">
        <w:t xml:space="preserve">The </w:t>
      </w:r>
      <w:r w:rsidR="00E86FE1">
        <w:t>NIHRC</w:t>
      </w:r>
      <w:r w:rsidRPr="00A11AF3">
        <w:t xml:space="preserve"> bases its advice on the full range of internationally accepted human rights standards, including the European Convention on Human Rights, as incorporated by the Human Rights Act 1998, and the treaty obligations of the Council of Europe (</w:t>
      </w:r>
      <w:proofErr w:type="spellStart"/>
      <w:r w:rsidRPr="00A11AF3">
        <w:t>CoE</w:t>
      </w:r>
      <w:proofErr w:type="spellEnd"/>
      <w:r w:rsidRPr="00A11AF3">
        <w:t>) and United Nations (UN). The relevant regional and international treaties in this context include:</w:t>
      </w:r>
    </w:p>
    <w:p w14:paraId="5B9870F7" w14:textId="77777777" w:rsidR="00E55055" w:rsidRDefault="00E55055" w:rsidP="00E55055">
      <w:pPr>
        <w:pStyle w:val="ListParagraph"/>
        <w:rPr>
          <w:rFonts w:cs="Arial"/>
          <w:bCs/>
        </w:rPr>
      </w:pPr>
    </w:p>
    <w:p w14:paraId="1D903A0B" w14:textId="77777777" w:rsidR="00FD0FA7" w:rsidRPr="00C27E74" w:rsidRDefault="00FD0FA7" w:rsidP="00087302">
      <w:pPr>
        <w:pStyle w:val="BasicParagraph"/>
        <w:numPr>
          <w:ilvl w:val="0"/>
          <w:numId w:val="3"/>
        </w:numPr>
        <w:suppressAutoHyphens/>
        <w:rPr>
          <w:rFonts w:ascii="Verdana" w:hAnsi="Verdana" w:cs="Arial"/>
          <w:bCs/>
          <w:color w:val="auto"/>
        </w:rPr>
      </w:pPr>
      <w:r w:rsidRPr="00C27E74">
        <w:rPr>
          <w:rFonts w:ascii="Verdana" w:hAnsi="Verdana" w:cs="Arial"/>
          <w:bCs/>
          <w:color w:val="auto"/>
        </w:rPr>
        <w:t xml:space="preserve">International Labour Organisation Forced Labour Convention </w:t>
      </w:r>
    </w:p>
    <w:p w14:paraId="410F66FA" w14:textId="77777777" w:rsidR="00FD0FA7" w:rsidRPr="00C6380D" w:rsidRDefault="00FD0FA7" w:rsidP="00FD0FA7">
      <w:pPr>
        <w:pStyle w:val="BasicParagraph"/>
        <w:suppressAutoHyphens/>
        <w:ind w:left="1494"/>
        <w:rPr>
          <w:rFonts w:ascii="Verdana" w:hAnsi="Verdana" w:cs="Arial"/>
          <w:bCs/>
          <w:color w:val="auto"/>
        </w:rPr>
      </w:pPr>
      <w:r w:rsidRPr="00C27E74">
        <w:rPr>
          <w:rFonts w:ascii="Verdana" w:hAnsi="Verdana" w:cs="Arial"/>
          <w:bCs/>
          <w:color w:val="auto"/>
        </w:rPr>
        <w:t>(No 29)</w:t>
      </w:r>
      <w:r>
        <w:rPr>
          <w:rFonts w:ascii="Verdana" w:hAnsi="Verdana" w:cs="Arial"/>
          <w:bCs/>
          <w:color w:val="auto"/>
        </w:rPr>
        <w:t>;</w:t>
      </w:r>
      <w:r>
        <w:rPr>
          <w:rStyle w:val="FootnoteReference"/>
          <w:rFonts w:ascii="Verdana" w:hAnsi="Verdana" w:cs="Arial"/>
          <w:bCs/>
          <w:color w:val="auto"/>
        </w:rPr>
        <w:footnoteReference w:id="2"/>
      </w:r>
    </w:p>
    <w:p w14:paraId="3807B81D" w14:textId="12C05060" w:rsidR="005B292E" w:rsidRPr="000A1D37" w:rsidRDefault="005B292E" w:rsidP="00087302">
      <w:pPr>
        <w:widowControl w:val="0"/>
        <w:numPr>
          <w:ilvl w:val="0"/>
          <w:numId w:val="3"/>
        </w:numPr>
        <w:autoSpaceDE w:val="0"/>
        <w:autoSpaceDN w:val="0"/>
        <w:adjustRightInd w:val="0"/>
        <w:spacing w:line="276" w:lineRule="auto"/>
        <w:rPr>
          <w:rFonts w:cs="Arial"/>
          <w:b/>
          <w:lang w:val="en-US"/>
        </w:rPr>
      </w:pPr>
      <w:r w:rsidRPr="000A1D37">
        <w:rPr>
          <w:rFonts w:cs="Arial"/>
          <w:lang w:val="en-US"/>
        </w:rPr>
        <w:t>European Convention on Human Rights (ECHR);</w:t>
      </w:r>
      <w:r w:rsidRPr="000A1D37">
        <w:rPr>
          <w:rFonts w:cs="Arial"/>
          <w:vertAlign w:val="superscript"/>
          <w:lang w:val="en-US"/>
        </w:rPr>
        <w:footnoteReference w:id="3"/>
      </w:r>
      <w:r w:rsidRPr="000A1D37">
        <w:rPr>
          <w:rFonts w:cs="Arial"/>
          <w:lang w:val="en-US"/>
        </w:rPr>
        <w:t xml:space="preserve"> </w:t>
      </w:r>
    </w:p>
    <w:p w14:paraId="1B2F073B" w14:textId="77777777" w:rsidR="005B292E" w:rsidRPr="000A1D37" w:rsidRDefault="005B292E" w:rsidP="00087302">
      <w:pPr>
        <w:widowControl w:val="0"/>
        <w:numPr>
          <w:ilvl w:val="0"/>
          <w:numId w:val="3"/>
        </w:numPr>
        <w:autoSpaceDE w:val="0"/>
        <w:autoSpaceDN w:val="0"/>
        <w:adjustRightInd w:val="0"/>
        <w:spacing w:line="276" w:lineRule="auto"/>
        <w:rPr>
          <w:rFonts w:cs="Arial"/>
          <w:lang w:val="en-US"/>
        </w:rPr>
      </w:pPr>
      <w:r w:rsidRPr="000A1D37">
        <w:rPr>
          <w:rFonts w:cs="Arial"/>
          <w:lang w:val="en-US"/>
        </w:rPr>
        <w:t xml:space="preserve">UN </w:t>
      </w:r>
      <w:r>
        <w:rPr>
          <w:rFonts w:cs="Arial"/>
          <w:lang w:val="en-US"/>
        </w:rPr>
        <w:t>International Covenant</w:t>
      </w:r>
      <w:r w:rsidRPr="000A1D37">
        <w:rPr>
          <w:rFonts w:cs="Arial"/>
          <w:lang w:val="en-US"/>
        </w:rPr>
        <w:t xml:space="preserve"> on Civil and Political Rights (UN ICCPR);</w:t>
      </w:r>
      <w:r w:rsidRPr="000A1D37">
        <w:rPr>
          <w:rFonts w:cs="Arial"/>
          <w:vertAlign w:val="superscript"/>
          <w:lang w:val="en-US"/>
        </w:rPr>
        <w:footnoteReference w:id="4"/>
      </w:r>
    </w:p>
    <w:p w14:paraId="76351BFA" w14:textId="77777777" w:rsidR="005B292E" w:rsidRPr="000A1D37" w:rsidRDefault="005B292E" w:rsidP="00087302">
      <w:pPr>
        <w:widowControl w:val="0"/>
        <w:numPr>
          <w:ilvl w:val="0"/>
          <w:numId w:val="3"/>
        </w:numPr>
        <w:autoSpaceDE w:val="0"/>
        <w:autoSpaceDN w:val="0"/>
        <w:adjustRightInd w:val="0"/>
        <w:spacing w:line="276" w:lineRule="auto"/>
        <w:rPr>
          <w:rFonts w:cs="Arial"/>
          <w:lang w:val="en-US"/>
        </w:rPr>
      </w:pPr>
      <w:r w:rsidRPr="000A1D37">
        <w:rPr>
          <w:rFonts w:cs="Verdana"/>
          <w:color w:val="000000"/>
          <w:lang w:val="en-US"/>
        </w:rPr>
        <w:t>UN Convention on Elimination of Discrimination against Women (UN CEDAW);</w:t>
      </w:r>
      <w:r w:rsidRPr="000A1D37">
        <w:rPr>
          <w:rFonts w:cs="Verdana"/>
          <w:color w:val="000000"/>
          <w:vertAlign w:val="superscript"/>
          <w:lang w:val="en-US"/>
        </w:rPr>
        <w:footnoteReference w:id="5"/>
      </w:r>
    </w:p>
    <w:p w14:paraId="6E7F32D7" w14:textId="77777777" w:rsidR="005B292E" w:rsidRPr="000A1D37" w:rsidRDefault="005B292E" w:rsidP="00087302">
      <w:pPr>
        <w:widowControl w:val="0"/>
        <w:numPr>
          <w:ilvl w:val="0"/>
          <w:numId w:val="3"/>
        </w:numPr>
        <w:autoSpaceDE w:val="0"/>
        <w:autoSpaceDN w:val="0"/>
        <w:adjustRightInd w:val="0"/>
        <w:spacing w:line="276" w:lineRule="auto"/>
        <w:rPr>
          <w:rFonts w:cs="Arial"/>
          <w:lang w:val="en-US"/>
        </w:rPr>
      </w:pPr>
      <w:r w:rsidRPr="000A1D37">
        <w:rPr>
          <w:rFonts w:cs="Verdana"/>
          <w:color w:val="000000"/>
          <w:lang w:val="en-US"/>
        </w:rPr>
        <w:t>UN Convention against Torture (UN CAT);</w:t>
      </w:r>
      <w:r w:rsidRPr="000A1D37">
        <w:rPr>
          <w:rFonts w:cs="Verdana"/>
          <w:color w:val="000000"/>
          <w:vertAlign w:val="superscript"/>
          <w:lang w:val="en-US"/>
        </w:rPr>
        <w:footnoteReference w:id="6"/>
      </w:r>
    </w:p>
    <w:p w14:paraId="20CE4709" w14:textId="4709D999" w:rsidR="005B292E" w:rsidRPr="00032D1B" w:rsidRDefault="005B292E" w:rsidP="00087302">
      <w:pPr>
        <w:widowControl w:val="0"/>
        <w:numPr>
          <w:ilvl w:val="0"/>
          <w:numId w:val="3"/>
        </w:numPr>
        <w:autoSpaceDE w:val="0"/>
        <w:autoSpaceDN w:val="0"/>
        <w:adjustRightInd w:val="0"/>
        <w:spacing w:line="276" w:lineRule="auto"/>
        <w:rPr>
          <w:rFonts w:cs="Arial"/>
          <w:lang w:val="en-US"/>
        </w:rPr>
      </w:pPr>
      <w:r w:rsidRPr="000A1D37">
        <w:rPr>
          <w:rFonts w:cs="Verdana"/>
          <w:color w:val="000000"/>
          <w:lang w:val="en-US"/>
        </w:rPr>
        <w:t>UN Convention on the Rights of the Child (UN CRC);</w:t>
      </w:r>
      <w:r w:rsidRPr="000A1D37">
        <w:rPr>
          <w:rFonts w:cs="Verdana"/>
          <w:color w:val="000000"/>
          <w:vertAlign w:val="superscript"/>
          <w:lang w:val="en-US"/>
        </w:rPr>
        <w:footnoteReference w:id="7"/>
      </w:r>
    </w:p>
    <w:p w14:paraId="07A80C4E" w14:textId="04E0B2CD" w:rsidR="00032D1B" w:rsidRDefault="00032D1B" w:rsidP="00087302">
      <w:pPr>
        <w:pStyle w:val="BasicParagraph"/>
        <w:numPr>
          <w:ilvl w:val="0"/>
          <w:numId w:val="3"/>
        </w:numPr>
        <w:suppressAutoHyphens/>
        <w:rPr>
          <w:rFonts w:ascii="Verdana" w:hAnsi="Verdana" w:cs="Arial"/>
          <w:bCs/>
          <w:color w:val="auto"/>
        </w:rPr>
      </w:pPr>
      <w:r>
        <w:rPr>
          <w:rFonts w:ascii="Verdana" w:hAnsi="Verdana" w:cs="Arial"/>
          <w:bCs/>
          <w:color w:val="auto"/>
        </w:rPr>
        <w:t>UN</w:t>
      </w:r>
      <w:r w:rsidRPr="00B420FC">
        <w:rPr>
          <w:rFonts w:ascii="Verdana" w:hAnsi="Verdana" w:cs="Arial"/>
          <w:bCs/>
          <w:color w:val="auto"/>
        </w:rPr>
        <w:t xml:space="preserve"> Convention against Transnational Organi</w:t>
      </w:r>
      <w:r>
        <w:rPr>
          <w:rFonts w:ascii="Verdana" w:hAnsi="Verdana" w:cs="Arial"/>
          <w:bCs/>
          <w:color w:val="auto"/>
        </w:rPr>
        <w:t>s</w:t>
      </w:r>
      <w:r w:rsidRPr="00B420FC">
        <w:rPr>
          <w:rFonts w:ascii="Verdana" w:hAnsi="Verdana" w:cs="Arial"/>
          <w:bCs/>
          <w:color w:val="auto"/>
        </w:rPr>
        <w:t>ed Crime</w:t>
      </w:r>
      <w:r>
        <w:rPr>
          <w:rFonts w:ascii="Verdana" w:hAnsi="Verdana" w:cs="Arial"/>
          <w:bCs/>
          <w:color w:val="auto"/>
        </w:rPr>
        <w:t>;</w:t>
      </w:r>
      <w:r>
        <w:rPr>
          <w:rStyle w:val="FootnoteReference"/>
          <w:rFonts w:ascii="Verdana" w:hAnsi="Verdana" w:cs="Arial"/>
          <w:bCs/>
          <w:color w:val="auto"/>
        </w:rPr>
        <w:footnoteReference w:id="8"/>
      </w:r>
    </w:p>
    <w:p w14:paraId="5D7E15D5" w14:textId="77777777" w:rsidR="005D73FD" w:rsidRDefault="005D73FD" w:rsidP="00087302">
      <w:pPr>
        <w:pStyle w:val="BasicParagraph"/>
        <w:numPr>
          <w:ilvl w:val="0"/>
          <w:numId w:val="3"/>
        </w:numPr>
        <w:suppressAutoHyphens/>
        <w:rPr>
          <w:rFonts w:ascii="Verdana" w:hAnsi="Verdana" w:cs="Arial"/>
          <w:bCs/>
          <w:color w:val="auto"/>
        </w:rPr>
      </w:pPr>
      <w:r>
        <w:rPr>
          <w:rFonts w:ascii="Verdana" w:hAnsi="Verdana" w:cs="Arial"/>
          <w:bCs/>
          <w:color w:val="auto"/>
        </w:rPr>
        <w:t xml:space="preserve">UN </w:t>
      </w:r>
      <w:r w:rsidRPr="00A645EB">
        <w:rPr>
          <w:rFonts w:ascii="Verdana" w:hAnsi="Verdana" w:cs="Arial"/>
          <w:bCs/>
          <w:color w:val="auto"/>
        </w:rPr>
        <w:t xml:space="preserve">Protocol to Prevent, Suppress and Punish Trafficking in Persons, Especially Women and Children, supplementing </w:t>
      </w:r>
      <w:r>
        <w:rPr>
          <w:rFonts w:ascii="Verdana" w:hAnsi="Verdana" w:cs="Arial"/>
          <w:bCs/>
          <w:color w:val="auto"/>
        </w:rPr>
        <w:t>the UN</w:t>
      </w:r>
      <w:r w:rsidRPr="00A645EB">
        <w:rPr>
          <w:rFonts w:ascii="Verdana" w:hAnsi="Verdana" w:cs="Arial"/>
          <w:bCs/>
          <w:color w:val="auto"/>
        </w:rPr>
        <w:t xml:space="preserve"> Convention against Transnational Organi</w:t>
      </w:r>
      <w:r>
        <w:rPr>
          <w:rFonts w:ascii="Verdana" w:hAnsi="Verdana" w:cs="Arial"/>
          <w:bCs/>
          <w:color w:val="auto"/>
        </w:rPr>
        <w:t>s</w:t>
      </w:r>
      <w:r w:rsidRPr="00A645EB">
        <w:rPr>
          <w:rFonts w:ascii="Verdana" w:hAnsi="Verdana" w:cs="Arial"/>
          <w:bCs/>
          <w:color w:val="auto"/>
        </w:rPr>
        <w:t>ed Crime</w:t>
      </w:r>
      <w:r>
        <w:rPr>
          <w:rFonts w:ascii="Verdana" w:hAnsi="Verdana" w:cs="Arial"/>
          <w:bCs/>
          <w:color w:val="auto"/>
        </w:rPr>
        <w:t xml:space="preserve"> (UN Palermo Protocol);</w:t>
      </w:r>
      <w:r>
        <w:rPr>
          <w:rStyle w:val="FootnoteReference"/>
          <w:rFonts w:ascii="Verdana" w:hAnsi="Verdana" w:cs="Arial"/>
          <w:bCs/>
          <w:color w:val="auto"/>
        </w:rPr>
        <w:footnoteReference w:id="9"/>
      </w:r>
    </w:p>
    <w:p w14:paraId="428AAF91" w14:textId="6DCABEA7" w:rsidR="005D73FD" w:rsidRPr="005D73FD" w:rsidRDefault="005D73FD" w:rsidP="00087302">
      <w:pPr>
        <w:numPr>
          <w:ilvl w:val="0"/>
          <w:numId w:val="3"/>
        </w:numPr>
        <w:autoSpaceDE w:val="0"/>
        <w:autoSpaceDN w:val="0"/>
        <w:adjustRightInd w:val="0"/>
        <w:spacing w:line="276" w:lineRule="auto"/>
        <w:contextualSpacing/>
        <w:rPr>
          <w:rFonts w:cs="ZurichBT-LightCondensed"/>
        </w:rPr>
      </w:pPr>
      <w:proofErr w:type="spellStart"/>
      <w:r>
        <w:rPr>
          <w:rFonts w:cs="ZurichBT-LightCondensed"/>
        </w:rPr>
        <w:lastRenderedPageBreak/>
        <w:t>CoE</w:t>
      </w:r>
      <w:proofErr w:type="spellEnd"/>
      <w:r>
        <w:rPr>
          <w:rFonts w:cs="ZurichBT-LightCondensed"/>
        </w:rPr>
        <w:t xml:space="preserve"> </w:t>
      </w:r>
      <w:r w:rsidRPr="00034569">
        <w:rPr>
          <w:rFonts w:cs="ZurichBT-LightCondensed"/>
        </w:rPr>
        <w:t xml:space="preserve">Convention on Action against Trafficking in Human </w:t>
      </w:r>
      <w:r>
        <w:rPr>
          <w:rFonts w:cs="ZurichBT-LightCondensed"/>
        </w:rPr>
        <w:t>Beings</w:t>
      </w:r>
      <w:r w:rsidRPr="00034569">
        <w:rPr>
          <w:rFonts w:cs="ZurichBT-LightCondensed"/>
        </w:rPr>
        <w:t>;</w:t>
      </w:r>
      <w:r w:rsidRPr="00034569">
        <w:rPr>
          <w:rStyle w:val="FootnoteReference"/>
          <w:rFonts w:cs="ZurichBT-LightCondensed"/>
        </w:rPr>
        <w:footnoteReference w:id="10"/>
      </w:r>
    </w:p>
    <w:p w14:paraId="71B053C0" w14:textId="155A8726" w:rsidR="00CF6F03" w:rsidRDefault="00464040" w:rsidP="00087302">
      <w:pPr>
        <w:pStyle w:val="ListParagraph"/>
        <w:numPr>
          <w:ilvl w:val="0"/>
          <w:numId w:val="3"/>
        </w:numPr>
        <w:autoSpaceDE w:val="0"/>
        <w:autoSpaceDN w:val="0"/>
        <w:adjustRightInd w:val="0"/>
        <w:spacing w:line="276" w:lineRule="auto"/>
        <w:rPr>
          <w:rFonts w:cs="ZurichBT-LightCondensed"/>
        </w:rPr>
      </w:pPr>
      <w:r w:rsidRPr="00034569">
        <w:rPr>
          <w:rFonts w:cs="ZurichBT-LightCondensed"/>
        </w:rPr>
        <w:t>Optional Protocol to the UN Convention on the Rights of the Child on the Sale of Children, Child Prostitution and Child Pornography (</w:t>
      </w:r>
      <w:r w:rsidR="00535F70">
        <w:rPr>
          <w:rFonts w:cs="ZurichBT-LightCondensed"/>
        </w:rPr>
        <w:t xml:space="preserve">UN </w:t>
      </w:r>
      <w:r w:rsidRPr="00034569">
        <w:rPr>
          <w:rFonts w:cs="ZurichBT-LightCondensed"/>
        </w:rPr>
        <w:t>CRC Optional Protocol);</w:t>
      </w:r>
      <w:r w:rsidRPr="00034569">
        <w:rPr>
          <w:rStyle w:val="FootnoteReference"/>
          <w:rFonts w:cs="ZurichBT-LightCondensed"/>
        </w:rPr>
        <w:footnoteReference w:id="11"/>
      </w:r>
    </w:p>
    <w:p w14:paraId="625A7015" w14:textId="32D8D2B5" w:rsidR="005B292E" w:rsidRPr="00034569" w:rsidRDefault="007715DA" w:rsidP="00087302">
      <w:pPr>
        <w:numPr>
          <w:ilvl w:val="0"/>
          <w:numId w:val="3"/>
        </w:numPr>
        <w:autoSpaceDE w:val="0"/>
        <w:autoSpaceDN w:val="0"/>
        <w:adjustRightInd w:val="0"/>
        <w:spacing w:line="276" w:lineRule="auto"/>
        <w:contextualSpacing/>
        <w:rPr>
          <w:rFonts w:cs="ZurichBT-LightCondensed"/>
        </w:rPr>
      </w:pPr>
      <w:proofErr w:type="spellStart"/>
      <w:r>
        <w:rPr>
          <w:rFonts w:cs="ZurichBT-LightCondensed"/>
        </w:rPr>
        <w:t>CoE</w:t>
      </w:r>
      <w:proofErr w:type="spellEnd"/>
      <w:r w:rsidR="005B292E" w:rsidRPr="00034569">
        <w:rPr>
          <w:rFonts w:cs="ZurichBT-LightCondensed"/>
        </w:rPr>
        <w:t xml:space="preserve"> Convention on the Protection of Children and Young People against Sexual Exp</w:t>
      </w:r>
      <w:r w:rsidR="005B292E">
        <w:rPr>
          <w:rFonts w:cs="ZurichBT-LightCondensed"/>
        </w:rPr>
        <w:t xml:space="preserve">loitation and Sexual Abuse </w:t>
      </w:r>
      <w:r w:rsidR="005B292E" w:rsidRPr="00034569">
        <w:rPr>
          <w:rFonts w:cs="ZurichBT-LightCondensed"/>
        </w:rPr>
        <w:t>(</w:t>
      </w:r>
      <w:proofErr w:type="spellStart"/>
      <w:r w:rsidR="003E193B">
        <w:rPr>
          <w:rFonts w:cs="ZurichBT-LightCondensed"/>
        </w:rPr>
        <w:t>CoE</w:t>
      </w:r>
      <w:proofErr w:type="spellEnd"/>
      <w:r w:rsidR="003E193B">
        <w:rPr>
          <w:rFonts w:cs="ZurichBT-LightCondensed"/>
        </w:rPr>
        <w:t xml:space="preserve"> </w:t>
      </w:r>
      <w:r w:rsidR="005B292E" w:rsidRPr="00034569">
        <w:rPr>
          <w:rFonts w:cs="ZurichBT-LightCondensed"/>
        </w:rPr>
        <w:t>Lanzarote Convention);</w:t>
      </w:r>
      <w:r w:rsidR="005B292E" w:rsidRPr="00034569">
        <w:rPr>
          <w:rStyle w:val="FootnoteReference"/>
          <w:rFonts w:cs="ZurichBT-LightCondensed"/>
        </w:rPr>
        <w:footnoteReference w:id="12"/>
      </w:r>
      <w:r w:rsidR="005B292E" w:rsidRPr="00034569">
        <w:rPr>
          <w:rFonts w:cs="ZurichBT-LightCondensed"/>
        </w:rPr>
        <w:t xml:space="preserve"> </w:t>
      </w:r>
    </w:p>
    <w:p w14:paraId="7FF98B92" w14:textId="49D95765" w:rsidR="00A07DDB" w:rsidRDefault="00A07DDB" w:rsidP="00087302">
      <w:pPr>
        <w:pStyle w:val="ListParagraph"/>
        <w:numPr>
          <w:ilvl w:val="0"/>
          <w:numId w:val="3"/>
        </w:numPr>
        <w:autoSpaceDE w:val="0"/>
        <w:autoSpaceDN w:val="0"/>
        <w:adjustRightInd w:val="0"/>
        <w:spacing w:line="276" w:lineRule="auto"/>
        <w:rPr>
          <w:rFonts w:cs="ZurichBT-LightCondensed"/>
        </w:rPr>
      </w:pPr>
      <w:r w:rsidRPr="00034569">
        <w:rPr>
          <w:rFonts w:cs="ZurichBT-LightCondensed"/>
        </w:rPr>
        <w:t xml:space="preserve">EU Directive on </w:t>
      </w:r>
      <w:r w:rsidR="00535F70">
        <w:rPr>
          <w:rFonts w:cs="ZurichBT-LightCondensed"/>
        </w:rPr>
        <w:t>E</w:t>
      </w:r>
      <w:r w:rsidRPr="00034569">
        <w:rPr>
          <w:rFonts w:cs="ZurichBT-LightCondensed"/>
        </w:rPr>
        <w:t>stablishing Minimum Standards on the Rights, Support and Protection of Victims of Crime</w:t>
      </w:r>
      <w:r w:rsidR="00E1607A">
        <w:rPr>
          <w:rFonts w:cs="ZurichBT-LightCondensed"/>
        </w:rPr>
        <w:t>;</w:t>
      </w:r>
      <w:r w:rsidRPr="00034569">
        <w:rPr>
          <w:rStyle w:val="FootnoteReference"/>
          <w:rFonts w:cs="ZurichBT-LightCondensed"/>
        </w:rPr>
        <w:footnoteReference w:id="13"/>
      </w:r>
    </w:p>
    <w:p w14:paraId="236C4CE9" w14:textId="42F6B24D" w:rsidR="00A07DDB" w:rsidRPr="00E70664" w:rsidRDefault="00A07DDB" w:rsidP="00087302">
      <w:pPr>
        <w:pStyle w:val="ListParagraph"/>
        <w:numPr>
          <w:ilvl w:val="0"/>
          <w:numId w:val="3"/>
        </w:numPr>
        <w:autoSpaceDE w:val="0"/>
        <w:autoSpaceDN w:val="0"/>
        <w:adjustRightInd w:val="0"/>
        <w:spacing w:line="276" w:lineRule="auto"/>
        <w:rPr>
          <w:rFonts w:cs="ZurichBT-LightCondensed"/>
        </w:rPr>
      </w:pPr>
      <w:r>
        <w:t xml:space="preserve">EU </w:t>
      </w:r>
      <w:r w:rsidRPr="00821B4E">
        <w:t xml:space="preserve">Directive on </w:t>
      </w:r>
      <w:r w:rsidR="00400764">
        <w:t>P</w:t>
      </w:r>
      <w:r w:rsidRPr="00821B4E">
        <w:t xml:space="preserve">reventing and </w:t>
      </w:r>
      <w:r w:rsidR="00400764">
        <w:t>C</w:t>
      </w:r>
      <w:r w:rsidRPr="00821B4E">
        <w:t xml:space="preserve">ombatting </w:t>
      </w:r>
      <w:r w:rsidR="00400764">
        <w:t>T</w:t>
      </w:r>
      <w:r w:rsidRPr="00821B4E">
        <w:t xml:space="preserve">rafficking in </w:t>
      </w:r>
      <w:r w:rsidR="00400764">
        <w:t>H</w:t>
      </w:r>
      <w:r w:rsidRPr="00821B4E">
        <w:t xml:space="preserve">uman </w:t>
      </w:r>
      <w:r w:rsidR="00400764">
        <w:t>B</w:t>
      </w:r>
      <w:r w:rsidRPr="00821B4E">
        <w:t xml:space="preserve">eings and </w:t>
      </w:r>
      <w:r w:rsidR="00400764">
        <w:t>P</w:t>
      </w:r>
      <w:r w:rsidRPr="00821B4E">
        <w:t xml:space="preserve">rotecting its </w:t>
      </w:r>
      <w:r w:rsidR="00400764">
        <w:t>V</w:t>
      </w:r>
      <w:r w:rsidRPr="00821B4E">
        <w:t>ictims</w:t>
      </w:r>
      <w:r w:rsidR="00E70664">
        <w:t>;</w:t>
      </w:r>
      <w:r>
        <w:rPr>
          <w:rStyle w:val="FootnoteReference"/>
        </w:rPr>
        <w:footnoteReference w:id="14"/>
      </w:r>
      <w:r w:rsidR="00400764">
        <w:t xml:space="preserve"> and</w:t>
      </w:r>
    </w:p>
    <w:p w14:paraId="01289D68" w14:textId="1676FB78" w:rsidR="00E70664" w:rsidRPr="00E70664" w:rsidRDefault="00E70664" w:rsidP="00087302">
      <w:pPr>
        <w:pStyle w:val="ListParagraph"/>
        <w:numPr>
          <w:ilvl w:val="0"/>
          <w:numId w:val="3"/>
        </w:numPr>
        <w:autoSpaceDE w:val="0"/>
        <w:autoSpaceDN w:val="0"/>
        <w:adjustRightInd w:val="0"/>
        <w:spacing w:line="276" w:lineRule="auto"/>
        <w:rPr>
          <w:rFonts w:cs="ZurichBT-LightCondensed"/>
        </w:rPr>
      </w:pPr>
      <w:r w:rsidRPr="00034569">
        <w:t xml:space="preserve">EU Directive on </w:t>
      </w:r>
      <w:r w:rsidR="00400764">
        <w:t>C</w:t>
      </w:r>
      <w:r w:rsidRPr="00034569">
        <w:t>ombating the Sexual Abuse and Sexual Exploitation of Children and Child Pornography</w:t>
      </w:r>
      <w:r>
        <w:t>.</w:t>
      </w:r>
      <w:r w:rsidRPr="00034569">
        <w:rPr>
          <w:rStyle w:val="FootnoteReference"/>
        </w:rPr>
        <w:footnoteReference w:id="15"/>
      </w:r>
    </w:p>
    <w:p w14:paraId="7497B9D6" w14:textId="77777777" w:rsidR="00A11AF3" w:rsidRDefault="00A11AF3" w:rsidP="00A11AF3">
      <w:pPr>
        <w:pStyle w:val="ListParagraph"/>
        <w:rPr>
          <w:rFonts w:cs="Arial"/>
          <w:bCs/>
        </w:rPr>
      </w:pPr>
    </w:p>
    <w:p w14:paraId="09970BB8" w14:textId="7A072D41" w:rsidR="00350B4D" w:rsidRPr="00350B4D" w:rsidRDefault="00A11AF3" w:rsidP="00087302">
      <w:pPr>
        <w:pStyle w:val="BasicParagraph"/>
        <w:numPr>
          <w:ilvl w:val="1"/>
          <w:numId w:val="1"/>
        </w:numPr>
        <w:suppressAutoHyphens/>
        <w:spacing w:after="240"/>
        <w:ind w:left="709"/>
        <w:rPr>
          <w:rFonts w:ascii="Verdana" w:hAnsi="Verdana" w:cs="Arial"/>
          <w:bCs/>
          <w:color w:val="auto"/>
        </w:rPr>
      </w:pPr>
      <w:r w:rsidRPr="00A11AF3">
        <w:rPr>
          <w:rFonts w:ascii="Verdana" w:hAnsi="Verdana"/>
        </w:rPr>
        <w:t xml:space="preserve">In addition to these treaty standards, there exists a body of ‘soft law’ developed by the human rights bodies of the </w:t>
      </w:r>
      <w:proofErr w:type="spellStart"/>
      <w:r w:rsidRPr="00A11AF3">
        <w:rPr>
          <w:rFonts w:ascii="Verdana" w:hAnsi="Verdana"/>
        </w:rPr>
        <w:t>CoE</w:t>
      </w:r>
      <w:proofErr w:type="spellEnd"/>
      <w:r w:rsidRPr="00A11AF3">
        <w:rPr>
          <w:rFonts w:ascii="Verdana" w:hAnsi="Verdana"/>
        </w:rPr>
        <w:t xml:space="preserve"> and UN. These declarations and principles are non-</w:t>
      </w:r>
      <w:proofErr w:type="gramStart"/>
      <w:r w:rsidRPr="00A11AF3">
        <w:rPr>
          <w:rFonts w:ascii="Verdana" w:hAnsi="Verdana"/>
        </w:rPr>
        <w:t>binding, but</w:t>
      </w:r>
      <w:proofErr w:type="gramEnd"/>
      <w:r w:rsidRPr="00A11AF3">
        <w:rPr>
          <w:rFonts w:ascii="Verdana" w:hAnsi="Verdana"/>
        </w:rPr>
        <w:t xml:space="preserve"> provide further guidance in respect of specific areas. The relevant standards in this context include:</w:t>
      </w:r>
    </w:p>
    <w:p w14:paraId="23BC04B6" w14:textId="6CFAB023" w:rsidR="00A11AF3" w:rsidRPr="005E050C" w:rsidRDefault="00417D15" w:rsidP="00087302">
      <w:pPr>
        <w:pStyle w:val="BasicParagraph"/>
        <w:numPr>
          <w:ilvl w:val="0"/>
          <w:numId w:val="4"/>
        </w:numPr>
        <w:suppressAutoHyphens/>
        <w:rPr>
          <w:rFonts w:ascii="Verdana" w:hAnsi="Verdana" w:cs="Arial"/>
          <w:b/>
          <w:color w:val="auto"/>
        </w:rPr>
      </w:pPr>
      <w:r w:rsidRPr="00417D15">
        <w:rPr>
          <w:rFonts w:ascii="Verdana" w:hAnsi="Verdana"/>
          <w:color w:val="auto"/>
        </w:rPr>
        <w:t>O</w:t>
      </w:r>
      <w:r w:rsidR="00B30864">
        <w:rPr>
          <w:rFonts w:ascii="Verdana" w:hAnsi="Verdana"/>
          <w:color w:val="auto"/>
        </w:rPr>
        <w:t xml:space="preserve">ffice of </w:t>
      </w:r>
      <w:r w:rsidR="006C156F">
        <w:rPr>
          <w:rFonts w:ascii="Verdana" w:hAnsi="Verdana"/>
          <w:color w:val="auto"/>
        </w:rPr>
        <w:t xml:space="preserve">UN </w:t>
      </w:r>
      <w:r w:rsidRPr="00417D15">
        <w:rPr>
          <w:rFonts w:ascii="Verdana" w:hAnsi="Verdana"/>
          <w:color w:val="auto"/>
        </w:rPr>
        <w:t>H</w:t>
      </w:r>
      <w:r w:rsidR="006C156F">
        <w:rPr>
          <w:rFonts w:ascii="Verdana" w:hAnsi="Verdana"/>
          <w:color w:val="auto"/>
        </w:rPr>
        <w:t xml:space="preserve">igh </w:t>
      </w:r>
      <w:r w:rsidRPr="00417D15">
        <w:rPr>
          <w:rFonts w:ascii="Verdana" w:hAnsi="Verdana"/>
          <w:color w:val="auto"/>
        </w:rPr>
        <w:t>C</w:t>
      </w:r>
      <w:r w:rsidR="006C156F">
        <w:rPr>
          <w:rFonts w:ascii="Verdana" w:hAnsi="Verdana"/>
          <w:color w:val="auto"/>
        </w:rPr>
        <w:t xml:space="preserve">ommissioner for </w:t>
      </w:r>
      <w:r w:rsidRPr="00417D15">
        <w:rPr>
          <w:rFonts w:ascii="Verdana" w:hAnsi="Verdana"/>
          <w:color w:val="auto"/>
        </w:rPr>
        <w:t>H</w:t>
      </w:r>
      <w:r w:rsidR="006C156F">
        <w:rPr>
          <w:rFonts w:ascii="Verdana" w:hAnsi="Verdana"/>
          <w:color w:val="auto"/>
        </w:rPr>
        <w:t xml:space="preserve">uman </w:t>
      </w:r>
      <w:r w:rsidRPr="00417D15">
        <w:rPr>
          <w:rFonts w:ascii="Verdana" w:hAnsi="Verdana"/>
          <w:color w:val="auto"/>
        </w:rPr>
        <w:t>R</w:t>
      </w:r>
      <w:r w:rsidR="006C156F">
        <w:rPr>
          <w:rFonts w:ascii="Verdana" w:hAnsi="Verdana"/>
          <w:color w:val="auto"/>
        </w:rPr>
        <w:t>ights</w:t>
      </w:r>
      <w:r w:rsidRPr="00417D15">
        <w:rPr>
          <w:rFonts w:ascii="Verdana" w:hAnsi="Verdana"/>
          <w:color w:val="auto"/>
        </w:rPr>
        <w:t xml:space="preserve"> Recommended Principles and Guidelines on Human Rights and Human Trafficking</w:t>
      </w:r>
      <w:r w:rsidR="00E04789">
        <w:rPr>
          <w:rFonts w:ascii="Verdana" w:hAnsi="Verdana"/>
          <w:color w:val="auto"/>
        </w:rPr>
        <w:t>;</w:t>
      </w:r>
      <w:r w:rsidR="00F036C5">
        <w:rPr>
          <w:rStyle w:val="FootnoteReference"/>
          <w:rFonts w:ascii="Verdana" w:hAnsi="Verdana"/>
          <w:color w:val="auto"/>
        </w:rPr>
        <w:footnoteReference w:id="16"/>
      </w:r>
    </w:p>
    <w:p w14:paraId="2C35B7AB" w14:textId="6D99E290" w:rsidR="005E050C" w:rsidRPr="009771A2" w:rsidRDefault="005E050C" w:rsidP="00087302">
      <w:pPr>
        <w:pStyle w:val="BasicParagraph"/>
        <w:numPr>
          <w:ilvl w:val="0"/>
          <w:numId w:val="4"/>
        </w:numPr>
        <w:suppressAutoHyphens/>
        <w:rPr>
          <w:rFonts w:ascii="Verdana" w:hAnsi="Verdana" w:cs="Arial"/>
          <w:b/>
          <w:color w:val="auto"/>
        </w:rPr>
      </w:pPr>
      <w:r>
        <w:rPr>
          <w:rFonts w:ascii="Verdana" w:hAnsi="Verdana"/>
          <w:color w:val="auto"/>
        </w:rPr>
        <w:t>UN CEDAW</w:t>
      </w:r>
      <w:r w:rsidR="00DB69EF">
        <w:rPr>
          <w:rFonts w:ascii="Verdana" w:hAnsi="Verdana"/>
          <w:color w:val="auto"/>
        </w:rPr>
        <w:t xml:space="preserve"> Committee</w:t>
      </w:r>
      <w:r w:rsidR="008C795B">
        <w:rPr>
          <w:rFonts w:ascii="Verdana" w:hAnsi="Verdana"/>
          <w:color w:val="auto"/>
        </w:rPr>
        <w:t>’s</w:t>
      </w:r>
      <w:r>
        <w:rPr>
          <w:rFonts w:ascii="Verdana" w:hAnsi="Verdana"/>
          <w:color w:val="auto"/>
        </w:rPr>
        <w:t xml:space="preserve"> Concluding Observations 2019;</w:t>
      </w:r>
      <w:r>
        <w:rPr>
          <w:rStyle w:val="FootnoteReference"/>
          <w:rFonts w:ascii="Verdana" w:hAnsi="Verdana"/>
          <w:color w:val="auto"/>
        </w:rPr>
        <w:footnoteReference w:id="17"/>
      </w:r>
      <w:r w:rsidR="008C795B">
        <w:rPr>
          <w:rFonts w:ascii="Verdana" w:hAnsi="Verdana"/>
          <w:color w:val="auto"/>
        </w:rPr>
        <w:t xml:space="preserve"> and</w:t>
      </w:r>
    </w:p>
    <w:p w14:paraId="6E5CBFB3" w14:textId="4395A274" w:rsidR="009771A2" w:rsidRPr="00FF567C" w:rsidRDefault="009771A2" w:rsidP="00087302">
      <w:pPr>
        <w:pStyle w:val="BasicParagraph"/>
        <w:numPr>
          <w:ilvl w:val="0"/>
          <w:numId w:val="4"/>
        </w:numPr>
        <w:suppressAutoHyphens/>
        <w:rPr>
          <w:rFonts w:ascii="Verdana" w:hAnsi="Verdana" w:cs="Arial"/>
          <w:b/>
          <w:color w:val="auto"/>
        </w:rPr>
      </w:pPr>
      <w:r>
        <w:rPr>
          <w:rFonts w:ascii="Verdana" w:hAnsi="Verdana"/>
          <w:color w:val="auto"/>
        </w:rPr>
        <w:t>UN CAT Committee</w:t>
      </w:r>
      <w:r w:rsidR="008C795B">
        <w:rPr>
          <w:rFonts w:ascii="Verdana" w:hAnsi="Verdana"/>
          <w:color w:val="auto"/>
        </w:rPr>
        <w:t>’s</w:t>
      </w:r>
      <w:r>
        <w:rPr>
          <w:rFonts w:ascii="Verdana" w:hAnsi="Verdana"/>
          <w:color w:val="auto"/>
        </w:rPr>
        <w:t xml:space="preserve"> Concluding Observations 2019</w:t>
      </w:r>
      <w:r w:rsidR="00DB69EF">
        <w:rPr>
          <w:rFonts w:ascii="Verdana" w:hAnsi="Verdana"/>
          <w:color w:val="auto"/>
        </w:rPr>
        <w:t>.</w:t>
      </w:r>
      <w:r w:rsidR="00DB69EF">
        <w:rPr>
          <w:rStyle w:val="FootnoteReference"/>
          <w:rFonts w:ascii="Verdana" w:hAnsi="Verdana"/>
          <w:color w:val="auto"/>
        </w:rPr>
        <w:footnoteReference w:id="18"/>
      </w:r>
    </w:p>
    <w:p w14:paraId="5127985D" w14:textId="776FDBA7" w:rsidR="00E02BCF" w:rsidRDefault="00E02BCF" w:rsidP="00E02BCF">
      <w:pPr>
        <w:pStyle w:val="ListParagraph"/>
      </w:pPr>
    </w:p>
    <w:p w14:paraId="7C5BED36" w14:textId="77777777" w:rsidR="00E02BCF" w:rsidRPr="00E02BCF" w:rsidRDefault="00E02BCF" w:rsidP="00087302">
      <w:pPr>
        <w:pStyle w:val="ListParagraph"/>
        <w:numPr>
          <w:ilvl w:val="0"/>
          <w:numId w:val="9"/>
        </w:numPr>
        <w:jc w:val="both"/>
        <w:rPr>
          <w:vanish/>
        </w:rPr>
      </w:pPr>
    </w:p>
    <w:p w14:paraId="69117A40" w14:textId="77777777" w:rsidR="00E02BCF" w:rsidRPr="00E02BCF" w:rsidRDefault="00E02BCF" w:rsidP="00087302">
      <w:pPr>
        <w:pStyle w:val="ListParagraph"/>
        <w:numPr>
          <w:ilvl w:val="1"/>
          <w:numId w:val="9"/>
        </w:numPr>
        <w:jc w:val="both"/>
        <w:rPr>
          <w:vanish/>
        </w:rPr>
      </w:pPr>
    </w:p>
    <w:p w14:paraId="36547229" w14:textId="77777777" w:rsidR="00E02BCF" w:rsidRPr="00E02BCF" w:rsidRDefault="00E02BCF" w:rsidP="00087302">
      <w:pPr>
        <w:pStyle w:val="ListParagraph"/>
        <w:numPr>
          <w:ilvl w:val="1"/>
          <w:numId w:val="9"/>
        </w:numPr>
        <w:jc w:val="both"/>
        <w:rPr>
          <w:vanish/>
        </w:rPr>
      </w:pPr>
    </w:p>
    <w:p w14:paraId="517A031F" w14:textId="77777777" w:rsidR="00E02BCF" w:rsidRPr="00E02BCF" w:rsidRDefault="00E02BCF" w:rsidP="00087302">
      <w:pPr>
        <w:pStyle w:val="ListParagraph"/>
        <w:numPr>
          <w:ilvl w:val="1"/>
          <w:numId w:val="9"/>
        </w:numPr>
        <w:jc w:val="both"/>
        <w:rPr>
          <w:vanish/>
        </w:rPr>
      </w:pPr>
    </w:p>
    <w:p w14:paraId="4CDE1899" w14:textId="738B54AC" w:rsidR="002B3370" w:rsidRDefault="00E02BCF" w:rsidP="00087302">
      <w:pPr>
        <w:pStyle w:val="ListParagraph"/>
        <w:numPr>
          <w:ilvl w:val="1"/>
          <w:numId w:val="9"/>
        </w:numPr>
        <w:spacing w:after="240" w:line="288" w:lineRule="auto"/>
        <w:ind w:left="709"/>
        <w:jc w:val="both"/>
      </w:pPr>
      <w:r w:rsidRPr="00756F53">
        <w:t xml:space="preserve">The </w:t>
      </w:r>
      <w:r>
        <w:t>NIHRC</w:t>
      </w:r>
      <w:r w:rsidRPr="00756F53">
        <w:t xml:space="preserve"> further advises on the UK Government</w:t>
      </w:r>
      <w:r w:rsidR="004E7C5F">
        <w:t>’s</w:t>
      </w:r>
      <w:r w:rsidRPr="00756F53">
        <w:t xml:space="preserve"> commitment </w:t>
      </w:r>
      <w:r w:rsidR="004E7C5F">
        <w:t>(</w:t>
      </w:r>
      <w:r w:rsidRPr="00756F53">
        <w:t>in Protocol Article 2</w:t>
      </w:r>
      <w:r w:rsidR="004E7C5F">
        <w:t>)</w:t>
      </w:r>
      <w:r w:rsidRPr="00756F53">
        <w:t xml:space="preserve"> to ensure there is no diminution of rights, </w:t>
      </w:r>
      <w:proofErr w:type="gramStart"/>
      <w:r w:rsidRPr="00756F53">
        <w:t>safeguards</w:t>
      </w:r>
      <w:proofErr w:type="gramEnd"/>
      <w:r w:rsidRPr="00756F53">
        <w:t xml:space="preserve"> and equality of opportunity in the relevant section of the Belfast (Good Friday) Agreement as a result of the UK’s withdrawal from the EU. This is given effect in UK law by section 7A of the EU (Withdrawal) Act 2018. In addition, </w:t>
      </w:r>
      <w:r w:rsidR="007B2345">
        <w:t>s</w:t>
      </w:r>
      <w:r w:rsidRPr="00756F53">
        <w:t xml:space="preserve">ection 6 of the </w:t>
      </w:r>
      <w:r w:rsidR="00F05ED7">
        <w:lastRenderedPageBreak/>
        <w:t>NI</w:t>
      </w:r>
      <w:r w:rsidRPr="00756F53">
        <w:t xml:space="preserve"> Act 1998 </w:t>
      </w:r>
      <w:r w:rsidR="004E7C5F">
        <w:t>prohibits</w:t>
      </w:r>
      <w:r w:rsidRPr="00756F53">
        <w:t xml:space="preserve"> the NI Assembly from making any law which is incompatible with Protocol Article 2. Section 24 of the 1998 Act also </w:t>
      </w:r>
      <w:r w:rsidR="004E7C5F">
        <w:t>requires</w:t>
      </w:r>
      <w:r w:rsidRPr="00756F53">
        <w:t xml:space="preserve"> all acts of </w:t>
      </w:r>
      <w:r w:rsidR="00AF2AC8">
        <w:t>NI Ministers and NI Departments</w:t>
      </w:r>
      <w:r w:rsidR="004E7C5F">
        <w:t xml:space="preserve"> to </w:t>
      </w:r>
      <w:r w:rsidRPr="00756F53">
        <w:t>be compatible with Protocol Article 2.</w:t>
      </w:r>
      <w:r w:rsidR="00C755A4">
        <w:t xml:space="preserve">  </w:t>
      </w:r>
      <w:r w:rsidR="008450D4">
        <w:t xml:space="preserve">The relevant EU </w:t>
      </w:r>
      <w:r w:rsidR="006A153D">
        <w:t>measures</w:t>
      </w:r>
      <w:r w:rsidR="008450D4">
        <w:t xml:space="preserve"> in this context include:</w:t>
      </w:r>
    </w:p>
    <w:p w14:paraId="5D854571" w14:textId="77777777" w:rsidR="002B3370" w:rsidRDefault="002B3370" w:rsidP="00B0072D">
      <w:pPr>
        <w:pStyle w:val="ListParagraph"/>
        <w:spacing w:after="240" w:line="288" w:lineRule="auto"/>
        <w:ind w:left="709"/>
        <w:jc w:val="both"/>
      </w:pPr>
    </w:p>
    <w:p w14:paraId="77751403" w14:textId="19B67F6E" w:rsidR="00F95299" w:rsidRDefault="00F95299" w:rsidP="00087302">
      <w:pPr>
        <w:pStyle w:val="ListParagraph"/>
        <w:numPr>
          <w:ilvl w:val="0"/>
          <w:numId w:val="10"/>
        </w:numPr>
        <w:spacing w:before="240" w:line="288" w:lineRule="auto"/>
        <w:jc w:val="both"/>
      </w:pPr>
      <w:r>
        <w:t>EU Victims’ Directive</w:t>
      </w:r>
      <w:r w:rsidR="00B51F53">
        <w:t>;</w:t>
      </w:r>
      <w:r w:rsidR="00B51F53">
        <w:rPr>
          <w:rStyle w:val="FootnoteReference"/>
        </w:rPr>
        <w:footnoteReference w:id="19"/>
      </w:r>
    </w:p>
    <w:p w14:paraId="4A6B88F7" w14:textId="56D85BB3" w:rsidR="00F95299" w:rsidRDefault="00F95299" w:rsidP="00087302">
      <w:pPr>
        <w:pStyle w:val="ListParagraph"/>
        <w:numPr>
          <w:ilvl w:val="0"/>
          <w:numId w:val="10"/>
        </w:numPr>
        <w:spacing w:line="288" w:lineRule="auto"/>
        <w:jc w:val="both"/>
      </w:pPr>
      <w:r>
        <w:t xml:space="preserve">EU </w:t>
      </w:r>
      <w:r w:rsidR="003537BE">
        <w:t>Trafficking Directive</w:t>
      </w:r>
      <w:r w:rsidR="00B51F53">
        <w:t>;</w:t>
      </w:r>
      <w:r w:rsidR="00B51F53">
        <w:rPr>
          <w:rStyle w:val="FootnoteReference"/>
        </w:rPr>
        <w:footnoteReference w:id="20"/>
      </w:r>
    </w:p>
    <w:p w14:paraId="088890DA" w14:textId="6A886577" w:rsidR="00F95299" w:rsidRDefault="00F95299" w:rsidP="00087302">
      <w:pPr>
        <w:pStyle w:val="ListParagraph"/>
        <w:numPr>
          <w:ilvl w:val="0"/>
          <w:numId w:val="10"/>
        </w:numPr>
        <w:spacing w:line="288" w:lineRule="auto"/>
        <w:jc w:val="both"/>
      </w:pPr>
      <w:r>
        <w:t xml:space="preserve">EU Child Sexual Exploitation </w:t>
      </w:r>
      <w:r w:rsidR="00AF0C89">
        <w:t>Directive</w:t>
      </w:r>
      <w:r w:rsidR="006A153D">
        <w:t>;</w:t>
      </w:r>
      <w:r w:rsidR="00B51F53">
        <w:rPr>
          <w:rStyle w:val="FootnoteReference"/>
        </w:rPr>
        <w:footnoteReference w:id="21"/>
      </w:r>
    </w:p>
    <w:p w14:paraId="6FFAD567" w14:textId="0DA97281" w:rsidR="00BB3A61" w:rsidRDefault="00BB3A61" w:rsidP="00087302">
      <w:pPr>
        <w:pStyle w:val="ListParagraph"/>
        <w:numPr>
          <w:ilvl w:val="0"/>
          <w:numId w:val="10"/>
        </w:numPr>
        <w:spacing w:line="288" w:lineRule="auto"/>
        <w:jc w:val="both"/>
      </w:pPr>
      <w:r>
        <w:t>EU General Data Protection Regulation</w:t>
      </w:r>
      <w:r w:rsidR="006A153D">
        <w:t>.</w:t>
      </w:r>
      <w:r>
        <w:rPr>
          <w:rStyle w:val="FootnoteReference"/>
        </w:rPr>
        <w:footnoteReference w:id="22"/>
      </w:r>
    </w:p>
    <w:p w14:paraId="492D3455" w14:textId="77777777" w:rsidR="00417D15" w:rsidRPr="003B7D0E" w:rsidRDefault="00417D15" w:rsidP="00417D15">
      <w:pPr>
        <w:pStyle w:val="BasicParagraph"/>
        <w:suppressAutoHyphens/>
        <w:ind w:left="720"/>
        <w:rPr>
          <w:rFonts w:ascii="Verdana" w:hAnsi="Verdana" w:cs="Arial"/>
          <w:b/>
          <w:color w:val="734791"/>
        </w:rPr>
      </w:pPr>
    </w:p>
    <w:p w14:paraId="28916A6E" w14:textId="29311DD1" w:rsidR="00E73DD0" w:rsidRPr="00EF1091" w:rsidRDefault="00380238" w:rsidP="00EF1091">
      <w:pPr>
        <w:pStyle w:val="Heading1"/>
      </w:pPr>
      <w:bookmarkStart w:id="2" w:name="_Toc105754264"/>
      <w:r w:rsidRPr="00E73DD0">
        <w:t>2.0</w:t>
      </w:r>
      <w:r w:rsidRPr="00E73DD0">
        <w:tab/>
      </w:r>
      <w:r w:rsidR="00487F2D" w:rsidRPr="00E73DD0">
        <w:t>Protocol Article 2</w:t>
      </w:r>
      <w:bookmarkEnd w:id="2"/>
    </w:p>
    <w:p w14:paraId="594C97B6" w14:textId="0A4FAF92" w:rsidR="00685223" w:rsidRDefault="00685223" w:rsidP="00087302">
      <w:pPr>
        <w:pStyle w:val="BasicParagraph"/>
        <w:numPr>
          <w:ilvl w:val="1"/>
          <w:numId w:val="2"/>
        </w:numPr>
        <w:suppressAutoHyphens/>
        <w:rPr>
          <w:rFonts w:ascii="Verdana" w:hAnsi="Verdana"/>
        </w:rPr>
      </w:pPr>
      <w:r w:rsidRPr="00685223">
        <w:rPr>
          <w:rFonts w:ascii="Verdana" w:hAnsi="Verdana"/>
        </w:rPr>
        <w:t>The UK has incorporated the Withdrawal Agreement, including the Protocol, into domestic law through the EU (Withdrawal Agreement) Act 2020.</w:t>
      </w:r>
      <w:r w:rsidR="005A50A2">
        <w:rPr>
          <w:rStyle w:val="FootnoteReference"/>
          <w:rFonts w:ascii="Verdana" w:hAnsi="Verdana"/>
        </w:rPr>
        <w:footnoteReference w:id="23"/>
      </w:r>
      <w:r w:rsidRPr="00685223">
        <w:rPr>
          <w:rFonts w:ascii="Verdana" w:hAnsi="Verdana"/>
        </w:rPr>
        <w:t xml:space="preserve"> Section 7A EU (Withdrawal) Act 2018 provides that all rights, </w:t>
      </w:r>
      <w:proofErr w:type="gramStart"/>
      <w:r w:rsidRPr="00685223">
        <w:rPr>
          <w:rFonts w:ascii="Verdana" w:hAnsi="Verdana"/>
        </w:rPr>
        <w:t>obligations</w:t>
      </w:r>
      <w:proofErr w:type="gramEnd"/>
      <w:r w:rsidRPr="00685223">
        <w:rPr>
          <w:rFonts w:ascii="Verdana" w:hAnsi="Verdana"/>
        </w:rPr>
        <w:t xml:space="preserve"> and remedies from Withdrawal Agreement, including Protocol Article 2, are recognised and available in domestic law. </w:t>
      </w:r>
    </w:p>
    <w:p w14:paraId="05D387CA" w14:textId="77777777" w:rsidR="00685223" w:rsidRPr="00685223" w:rsidRDefault="00685223" w:rsidP="00685223">
      <w:pPr>
        <w:pStyle w:val="BasicParagraph"/>
        <w:suppressAutoHyphens/>
        <w:ind w:left="720"/>
        <w:rPr>
          <w:rFonts w:ascii="Verdana" w:hAnsi="Verdana"/>
        </w:rPr>
      </w:pPr>
    </w:p>
    <w:p w14:paraId="6A651661" w14:textId="09674C43" w:rsidR="00685223" w:rsidRPr="00685223" w:rsidRDefault="00685223" w:rsidP="00087302">
      <w:pPr>
        <w:pStyle w:val="BasicParagraph"/>
        <w:numPr>
          <w:ilvl w:val="1"/>
          <w:numId w:val="2"/>
        </w:numPr>
        <w:suppressAutoHyphens/>
        <w:rPr>
          <w:rFonts w:ascii="Verdana" w:hAnsi="Verdana"/>
        </w:rPr>
      </w:pPr>
      <w:r w:rsidRPr="00685223">
        <w:rPr>
          <w:rFonts w:ascii="Verdana" w:hAnsi="Verdana"/>
        </w:rPr>
        <w:t xml:space="preserve">Protocol Article 2 requires the UK Government to ensure there is no diminution of rights, </w:t>
      </w:r>
      <w:proofErr w:type="gramStart"/>
      <w:r w:rsidRPr="00685223">
        <w:rPr>
          <w:rFonts w:ascii="Verdana" w:hAnsi="Verdana"/>
        </w:rPr>
        <w:t>safeguards</w:t>
      </w:r>
      <w:proofErr w:type="gramEnd"/>
      <w:r w:rsidRPr="00685223">
        <w:rPr>
          <w:rFonts w:ascii="Verdana" w:hAnsi="Verdana"/>
        </w:rPr>
        <w:t xml:space="preserve"> and equality of opportunity, as set out in the relevant chapter of the Belfast (Good Friday) Agreement 1998, as a result of the UK’s withdrawal from the EU. That chapter includes a commitment to the </w:t>
      </w:r>
      <w:r w:rsidR="00DD1B7F">
        <w:rPr>
          <w:rFonts w:ascii="Verdana" w:hAnsi="Verdana"/>
        </w:rPr>
        <w:t>“</w:t>
      </w:r>
      <w:r w:rsidRPr="00685223">
        <w:rPr>
          <w:rFonts w:ascii="Verdana" w:hAnsi="Verdana"/>
        </w:rPr>
        <w:t>civil rights and religious liberties of everyone in the community</w:t>
      </w:r>
      <w:r w:rsidR="00DD1B7F">
        <w:rPr>
          <w:rFonts w:ascii="Verdana" w:hAnsi="Verdana"/>
        </w:rPr>
        <w:t>”</w:t>
      </w:r>
      <w:r w:rsidRPr="00685223">
        <w:rPr>
          <w:rFonts w:ascii="Verdana" w:hAnsi="Verdana"/>
        </w:rPr>
        <w:t xml:space="preserve"> and a non-exhaustive list of rights</w:t>
      </w:r>
      <w:r w:rsidR="00DD1B7F">
        <w:rPr>
          <w:rFonts w:ascii="Verdana" w:hAnsi="Verdana"/>
        </w:rPr>
        <w:t xml:space="preserve">. </w:t>
      </w:r>
      <w:r w:rsidR="00DD1B7F" w:rsidRPr="00DD1B7F">
        <w:rPr>
          <w:rFonts w:ascii="Verdana" w:hAnsi="Verdana"/>
        </w:rPr>
        <w:t xml:space="preserve">In addition to </w:t>
      </w:r>
      <w:proofErr w:type="gramStart"/>
      <w:r w:rsidR="00DD1B7F" w:rsidRPr="00DD1B7F">
        <w:rPr>
          <w:rFonts w:ascii="Verdana" w:hAnsi="Verdana"/>
        </w:rPr>
        <w:t>a number of</w:t>
      </w:r>
      <w:proofErr w:type="gramEnd"/>
      <w:r w:rsidR="00DD1B7F" w:rsidRPr="00DD1B7F">
        <w:rPr>
          <w:rFonts w:ascii="Verdana" w:hAnsi="Verdana"/>
        </w:rPr>
        <w:t xml:space="preserve"> rights which are “affirmed in particular”, the relevant chapter specifically recognises</w:t>
      </w:r>
      <w:r w:rsidRPr="00685223">
        <w:rPr>
          <w:rFonts w:ascii="Verdana" w:hAnsi="Verdana"/>
        </w:rPr>
        <w:t xml:space="preserve"> the right of victims to remember, as well as to contribute to, a changed society.</w:t>
      </w:r>
      <w:r w:rsidR="008D42EC">
        <w:rPr>
          <w:rStyle w:val="FootnoteReference"/>
          <w:rFonts w:ascii="Verdana" w:hAnsi="Verdana"/>
        </w:rPr>
        <w:footnoteReference w:id="24"/>
      </w:r>
      <w:r w:rsidRPr="00685223">
        <w:rPr>
          <w:rFonts w:ascii="Verdana" w:hAnsi="Verdana"/>
        </w:rPr>
        <w:t xml:space="preserve"> </w:t>
      </w:r>
    </w:p>
    <w:p w14:paraId="43186B58" w14:textId="77777777" w:rsidR="00685223" w:rsidRPr="00685223" w:rsidRDefault="00685223" w:rsidP="00685223">
      <w:pPr>
        <w:pStyle w:val="BasicParagraph"/>
        <w:suppressAutoHyphens/>
        <w:ind w:left="720"/>
        <w:rPr>
          <w:rFonts w:ascii="Verdana" w:hAnsi="Verdana"/>
        </w:rPr>
      </w:pPr>
    </w:p>
    <w:p w14:paraId="1ADADC39" w14:textId="0CFAC65E" w:rsidR="00685223" w:rsidRDefault="00685223" w:rsidP="00087302">
      <w:pPr>
        <w:pStyle w:val="BasicParagraph"/>
        <w:numPr>
          <w:ilvl w:val="1"/>
          <w:numId w:val="2"/>
        </w:numPr>
        <w:suppressAutoHyphens/>
        <w:rPr>
          <w:rFonts w:ascii="Verdana" w:hAnsi="Verdana"/>
        </w:rPr>
      </w:pPr>
      <w:r w:rsidRPr="00685223">
        <w:rPr>
          <w:rFonts w:ascii="Verdana" w:hAnsi="Verdana"/>
        </w:rPr>
        <w:t xml:space="preserve">Protocol Article 2 includes a commitment to ‘keep pace’ with EU law developments falling within the six EU Equality Directives listed in Annex 1 </w:t>
      </w:r>
      <w:r w:rsidRPr="00685223">
        <w:rPr>
          <w:rFonts w:ascii="Verdana" w:hAnsi="Verdana"/>
        </w:rPr>
        <w:lastRenderedPageBreak/>
        <w:t>to the Protocol</w:t>
      </w:r>
      <w:r w:rsidR="00320A45">
        <w:rPr>
          <w:rFonts w:ascii="Verdana" w:hAnsi="Verdana"/>
        </w:rPr>
        <w:t xml:space="preserve"> </w:t>
      </w:r>
      <w:r w:rsidR="00320A45" w:rsidRPr="00320A45">
        <w:rPr>
          <w:rFonts w:ascii="Verdana" w:hAnsi="Verdana"/>
        </w:rPr>
        <w:t>which improve the minimum levels of protection available after 1 January 2021, including relevant case law of the Court of Justice of the EU</w:t>
      </w:r>
      <w:r w:rsidR="00BB1167">
        <w:rPr>
          <w:rFonts w:ascii="Verdana" w:hAnsi="Verdana"/>
        </w:rPr>
        <w:t>.</w:t>
      </w:r>
      <w:r w:rsidR="00043508">
        <w:rPr>
          <w:rStyle w:val="FootnoteReference"/>
          <w:rFonts w:ascii="Verdana" w:hAnsi="Verdana"/>
        </w:rPr>
        <w:footnoteReference w:id="25"/>
      </w:r>
      <w:r w:rsidRPr="00685223">
        <w:rPr>
          <w:rFonts w:ascii="Verdana" w:hAnsi="Verdana"/>
        </w:rPr>
        <w:t xml:space="preserve"> That means that if the minimum standards in the Annex 1 </w:t>
      </w:r>
      <w:r w:rsidR="00DD268E">
        <w:rPr>
          <w:rFonts w:ascii="Verdana" w:hAnsi="Verdana"/>
        </w:rPr>
        <w:t xml:space="preserve">Equality </w:t>
      </w:r>
      <w:r w:rsidRPr="00685223">
        <w:rPr>
          <w:rFonts w:ascii="Verdana" w:hAnsi="Verdana"/>
        </w:rPr>
        <w:t xml:space="preserve">Directives are </w:t>
      </w:r>
      <w:r w:rsidR="00DD268E">
        <w:rPr>
          <w:rFonts w:ascii="Verdana" w:hAnsi="Verdana"/>
        </w:rPr>
        <w:t>amended</w:t>
      </w:r>
      <w:r w:rsidR="00DD268E" w:rsidRPr="00685223">
        <w:rPr>
          <w:rFonts w:ascii="Verdana" w:hAnsi="Verdana"/>
        </w:rPr>
        <w:t xml:space="preserve"> </w:t>
      </w:r>
      <w:r w:rsidRPr="00685223">
        <w:rPr>
          <w:rFonts w:ascii="Verdana" w:hAnsi="Verdana"/>
        </w:rPr>
        <w:t xml:space="preserve">or replaced, the UK Government </w:t>
      </w:r>
      <w:r w:rsidR="00BD7A02">
        <w:rPr>
          <w:rFonts w:ascii="Verdana" w:hAnsi="Verdana"/>
        </w:rPr>
        <w:t xml:space="preserve">and NI Executive, including the Department of Justice </w:t>
      </w:r>
      <w:r w:rsidRPr="00685223">
        <w:rPr>
          <w:rFonts w:ascii="Verdana" w:hAnsi="Verdana"/>
        </w:rPr>
        <w:t xml:space="preserve">must ensure that domestic legislation in </w:t>
      </w:r>
      <w:r w:rsidR="00510225">
        <w:rPr>
          <w:rFonts w:ascii="Verdana" w:hAnsi="Verdana"/>
        </w:rPr>
        <w:t>NI</w:t>
      </w:r>
      <w:r w:rsidRPr="00685223">
        <w:rPr>
          <w:rFonts w:ascii="Verdana" w:hAnsi="Verdana"/>
        </w:rPr>
        <w:t xml:space="preserve"> reflects any substantive enhancements in relevant protections.</w:t>
      </w:r>
      <w:r w:rsidR="0053566B">
        <w:rPr>
          <w:rStyle w:val="FootnoteReference"/>
          <w:rFonts w:ascii="Verdana" w:hAnsi="Verdana"/>
        </w:rPr>
        <w:footnoteReference w:id="26"/>
      </w:r>
      <w:r w:rsidRPr="00685223">
        <w:rPr>
          <w:rFonts w:ascii="Verdana" w:hAnsi="Verdana"/>
        </w:rPr>
        <w:t xml:space="preserve"> </w:t>
      </w:r>
    </w:p>
    <w:p w14:paraId="51D29B29" w14:textId="77777777" w:rsidR="00685223" w:rsidRPr="00685223" w:rsidRDefault="00685223" w:rsidP="00685223">
      <w:pPr>
        <w:pStyle w:val="BasicParagraph"/>
        <w:suppressAutoHyphens/>
        <w:rPr>
          <w:rFonts w:ascii="Verdana" w:hAnsi="Verdana"/>
        </w:rPr>
      </w:pPr>
    </w:p>
    <w:p w14:paraId="593F3499" w14:textId="72562BEB" w:rsidR="00685223" w:rsidRPr="00685223" w:rsidRDefault="00685223" w:rsidP="00087302">
      <w:pPr>
        <w:pStyle w:val="BasicParagraph"/>
        <w:numPr>
          <w:ilvl w:val="1"/>
          <w:numId w:val="2"/>
        </w:numPr>
        <w:suppressAutoHyphens/>
        <w:rPr>
          <w:rFonts w:ascii="Verdana" w:hAnsi="Verdana"/>
        </w:rPr>
      </w:pPr>
      <w:r w:rsidRPr="00685223">
        <w:rPr>
          <w:rFonts w:ascii="Verdana" w:hAnsi="Verdana"/>
        </w:rPr>
        <w:t xml:space="preserve">In addition to the six </w:t>
      </w:r>
      <w:r w:rsidR="00320A45">
        <w:rPr>
          <w:rFonts w:ascii="Verdana" w:hAnsi="Verdana"/>
        </w:rPr>
        <w:t xml:space="preserve">Annex 1 Equality </w:t>
      </w:r>
      <w:r w:rsidRPr="00685223">
        <w:rPr>
          <w:rFonts w:ascii="Verdana" w:hAnsi="Verdana"/>
        </w:rPr>
        <w:t xml:space="preserve">Directives, there is other relevant EU law that underpins rights set out in the relevant chapter of the Belfast (Good Friday) Agreement. </w:t>
      </w:r>
      <w:r w:rsidR="00DD268E">
        <w:rPr>
          <w:rFonts w:ascii="Verdana" w:hAnsi="Verdana" w:cs="Arial"/>
          <w:color w:val="auto"/>
        </w:rPr>
        <w:t>For these standards</w:t>
      </w:r>
      <w:r w:rsidR="00DF68B1">
        <w:rPr>
          <w:rFonts w:ascii="Verdana" w:hAnsi="Verdana" w:cs="Arial"/>
          <w:color w:val="auto"/>
        </w:rPr>
        <w:t>,</w:t>
      </w:r>
      <w:r w:rsidR="00DD268E">
        <w:rPr>
          <w:rFonts w:ascii="Verdana" w:hAnsi="Verdana" w:cs="Arial"/>
          <w:color w:val="auto"/>
        </w:rPr>
        <w:t xml:space="preserve"> </w:t>
      </w:r>
      <w:r w:rsidR="00DD268E" w:rsidRPr="00EB6A5A">
        <w:rPr>
          <w:rFonts w:ascii="Verdana" w:hAnsi="Verdana" w:cs="Arial"/>
          <w:color w:val="auto"/>
        </w:rPr>
        <w:t>the commitment to ensure ‘no diminution’ is measured by the relevant EU standards</w:t>
      </w:r>
      <w:r w:rsidR="00DD268E">
        <w:rPr>
          <w:rFonts w:ascii="Verdana" w:hAnsi="Verdana" w:cs="Arial"/>
          <w:color w:val="auto"/>
        </w:rPr>
        <w:t xml:space="preserve"> </w:t>
      </w:r>
      <w:r w:rsidR="00DD268E" w:rsidRPr="00EB6A5A">
        <w:rPr>
          <w:rFonts w:ascii="Verdana" w:hAnsi="Verdana" w:cs="Arial"/>
          <w:color w:val="auto"/>
        </w:rPr>
        <w:t>on 31 December 2020.</w:t>
      </w:r>
      <w:r w:rsidR="00DD268E">
        <w:rPr>
          <w:rFonts w:ascii="Verdana" w:hAnsi="Verdana" w:cs="Arial"/>
          <w:color w:val="auto"/>
        </w:rPr>
        <w:t xml:space="preserve">  </w:t>
      </w:r>
      <w:r w:rsidRPr="00685223">
        <w:rPr>
          <w:rFonts w:ascii="Verdana" w:hAnsi="Verdana"/>
        </w:rPr>
        <w:t xml:space="preserve">The UK Government has identified that this includes, but is not limited to, the </w:t>
      </w:r>
      <w:r w:rsidR="004D498B">
        <w:rPr>
          <w:rFonts w:ascii="Verdana" w:hAnsi="Verdana"/>
        </w:rPr>
        <w:t>EU</w:t>
      </w:r>
      <w:r w:rsidRPr="00685223">
        <w:rPr>
          <w:rFonts w:ascii="Verdana" w:hAnsi="Verdana"/>
        </w:rPr>
        <w:t xml:space="preserve"> Victims’ Directive. </w:t>
      </w:r>
      <w:r w:rsidR="00DF68B1">
        <w:rPr>
          <w:rFonts w:ascii="Verdana" w:hAnsi="Verdana"/>
        </w:rPr>
        <w:t xml:space="preserve">The </w:t>
      </w:r>
      <w:r w:rsidR="00067FB2">
        <w:rPr>
          <w:rFonts w:ascii="Verdana" w:hAnsi="Verdana"/>
        </w:rPr>
        <w:t>NIHRC</w:t>
      </w:r>
      <w:r w:rsidR="00DF68B1">
        <w:rPr>
          <w:rFonts w:ascii="Verdana" w:hAnsi="Verdana"/>
        </w:rPr>
        <w:t xml:space="preserve"> has identified other pieces of EU law relevant to victims’ rights, including the </w:t>
      </w:r>
      <w:r w:rsidR="003537BE">
        <w:rPr>
          <w:rFonts w:ascii="Verdana" w:hAnsi="Verdana"/>
        </w:rPr>
        <w:t>EU Trafficking Directive</w:t>
      </w:r>
      <w:r w:rsidR="005C47B0">
        <w:rPr>
          <w:rFonts w:ascii="Verdana" w:hAnsi="Verdana"/>
        </w:rPr>
        <w:t xml:space="preserve"> and the Child Sexual Exploitation Directive</w:t>
      </w:r>
      <w:r w:rsidR="00DF68B1">
        <w:rPr>
          <w:rFonts w:ascii="Verdana" w:hAnsi="Verdana"/>
        </w:rPr>
        <w:t xml:space="preserve">. </w:t>
      </w:r>
      <w:r w:rsidRPr="00685223">
        <w:rPr>
          <w:rFonts w:ascii="Verdana" w:hAnsi="Verdana"/>
        </w:rPr>
        <w:t>The UK Government has committed to ensuring that there will be no diminution of protections as were contained in relevant EU law on 31 December 2020.</w:t>
      </w:r>
      <w:r w:rsidR="0053566B">
        <w:rPr>
          <w:rStyle w:val="FootnoteReference"/>
          <w:rFonts w:ascii="Verdana" w:hAnsi="Verdana"/>
        </w:rPr>
        <w:footnoteReference w:id="27"/>
      </w:r>
      <w:r w:rsidRPr="00685223">
        <w:rPr>
          <w:rFonts w:ascii="Verdana" w:hAnsi="Verdana"/>
        </w:rPr>
        <w:t xml:space="preserve"> </w:t>
      </w:r>
    </w:p>
    <w:p w14:paraId="430AE7D6" w14:textId="77777777" w:rsidR="008319CE" w:rsidRDefault="008319CE" w:rsidP="008319CE">
      <w:pPr>
        <w:pStyle w:val="BasicParagraph"/>
        <w:suppressAutoHyphens/>
        <w:rPr>
          <w:rFonts w:ascii="Verdana" w:hAnsi="Verdana"/>
        </w:rPr>
      </w:pPr>
    </w:p>
    <w:p w14:paraId="68D1ACC5" w14:textId="7618165E" w:rsidR="00685223" w:rsidRPr="00386868" w:rsidRDefault="004D498B" w:rsidP="00380238">
      <w:pPr>
        <w:pStyle w:val="Heading2"/>
      </w:pPr>
      <w:bookmarkStart w:id="3" w:name="_Toc105754265"/>
      <w:r>
        <w:t xml:space="preserve">EU </w:t>
      </w:r>
      <w:r w:rsidR="00685223" w:rsidRPr="00386868">
        <w:t>Victims’ Directive</w:t>
      </w:r>
      <w:bookmarkEnd w:id="3"/>
    </w:p>
    <w:p w14:paraId="2DA1ED1D" w14:textId="77777777" w:rsidR="008319CE" w:rsidRPr="008319CE" w:rsidRDefault="008319CE" w:rsidP="008319CE">
      <w:pPr>
        <w:pStyle w:val="BasicParagraph"/>
        <w:suppressAutoHyphens/>
        <w:rPr>
          <w:rFonts w:ascii="Verdana" w:hAnsi="Verdana"/>
          <w:u w:val="single"/>
        </w:rPr>
      </w:pPr>
    </w:p>
    <w:p w14:paraId="4EDDDD94" w14:textId="22A1CA58" w:rsidR="00685223" w:rsidRDefault="4306B284" w:rsidP="00087302">
      <w:pPr>
        <w:pStyle w:val="BasicParagraph"/>
        <w:numPr>
          <w:ilvl w:val="1"/>
          <w:numId w:val="2"/>
        </w:numPr>
        <w:suppressAutoHyphens/>
        <w:rPr>
          <w:rFonts w:ascii="Verdana" w:hAnsi="Verdana"/>
        </w:rPr>
      </w:pPr>
      <w:r w:rsidRPr="00685223">
        <w:rPr>
          <w:rFonts w:ascii="Verdana" w:hAnsi="Verdana"/>
        </w:rPr>
        <w:t xml:space="preserve">The </w:t>
      </w:r>
      <w:r w:rsidR="004D498B">
        <w:rPr>
          <w:rFonts w:ascii="Verdana" w:hAnsi="Verdana"/>
        </w:rPr>
        <w:t>EU</w:t>
      </w:r>
      <w:r w:rsidRPr="00685223">
        <w:rPr>
          <w:rFonts w:ascii="Verdana" w:hAnsi="Verdana"/>
        </w:rPr>
        <w:t xml:space="preserve"> Victims’ Directive reinforces existing national laws and EU minimum standards on victims’ rights</w:t>
      </w:r>
      <w:r w:rsidR="004E7C5F">
        <w:rPr>
          <w:rFonts w:ascii="Verdana" w:hAnsi="Verdana"/>
        </w:rPr>
        <w:t>.</w:t>
      </w:r>
      <w:r w:rsidRPr="00685223">
        <w:rPr>
          <w:rFonts w:ascii="Verdana" w:hAnsi="Verdana"/>
        </w:rPr>
        <w:t xml:space="preserve"> The UK Government has accepted that </w:t>
      </w:r>
      <w:r w:rsidR="004E7C5F">
        <w:rPr>
          <w:rFonts w:ascii="Verdana" w:hAnsi="Verdana"/>
        </w:rPr>
        <w:t xml:space="preserve">the </w:t>
      </w:r>
      <w:r w:rsidR="003C5F35">
        <w:rPr>
          <w:rFonts w:ascii="Verdana" w:hAnsi="Verdana"/>
        </w:rPr>
        <w:t>EU</w:t>
      </w:r>
      <w:r w:rsidRPr="00685223">
        <w:rPr>
          <w:rFonts w:ascii="Verdana" w:hAnsi="Verdana"/>
        </w:rPr>
        <w:t xml:space="preserve"> Victims’ Directive falls within </w:t>
      </w:r>
      <w:r w:rsidR="004E7C5F">
        <w:rPr>
          <w:rFonts w:ascii="Verdana" w:hAnsi="Verdana"/>
        </w:rPr>
        <w:t xml:space="preserve">the </w:t>
      </w:r>
      <w:r w:rsidRPr="00685223">
        <w:rPr>
          <w:rFonts w:ascii="Verdana" w:hAnsi="Verdana"/>
        </w:rPr>
        <w:t>scope of Protocol Article 2.</w:t>
      </w:r>
      <w:r w:rsidR="0053566B">
        <w:rPr>
          <w:rStyle w:val="FootnoteReference"/>
          <w:rFonts w:ascii="Verdana" w:hAnsi="Verdana"/>
        </w:rPr>
        <w:footnoteReference w:id="28"/>
      </w:r>
      <w:r w:rsidRPr="60639AD4">
        <w:rPr>
          <w:rFonts w:ascii="Verdana" w:hAnsi="Verdana"/>
        </w:rPr>
        <w:t xml:space="preserve"> </w:t>
      </w:r>
      <w:r w:rsidRPr="005004F1">
        <w:rPr>
          <w:rFonts w:ascii="Verdana" w:hAnsi="Verdana"/>
        </w:rPr>
        <w:t>However, the UK Government consider</w:t>
      </w:r>
      <w:r w:rsidR="00252B6A" w:rsidRPr="005004F1">
        <w:rPr>
          <w:rFonts w:ascii="Verdana" w:hAnsi="Verdana"/>
        </w:rPr>
        <w:t>s</w:t>
      </w:r>
      <w:r w:rsidRPr="005004F1">
        <w:rPr>
          <w:rFonts w:ascii="Verdana" w:hAnsi="Verdana"/>
        </w:rPr>
        <w:t xml:space="preserve"> </w:t>
      </w:r>
      <w:r w:rsidR="00746D80" w:rsidRPr="005004F1">
        <w:rPr>
          <w:rFonts w:ascii="Verdana" w:hAnsi="Verdana"/>
        </w:rPr>
        <w:t xml:space="preserve">that </w:t>
      </w:r>
      <w:r w:rsidR="004E7C5F">
        <w:rPr>
          <w:rFonts w:ascii="Verdana" w:hAnsi="Verdana"/>
        </w:rPr>
        <w:t>it</w:t>
      </w:r>
      <w:r w:rsidRPr="005004F1">
        <w:rPr>
          <w:rFonts w:ascii="Verdana" w:hAnsi="Verdana"/>
        </w:rPr>
        <w:t xml:space="preserve"> </w:t>
      </w:r>
      <w:r w:rsidR="00746D80" w:rsidRPr="005004F1">
        <w:rPr>
          <w:rFonts w:ascii="Verdana" w:hAnsi="Verdana"/>
        </w:rPr>
        <w:t xml:space="preserve">falls </w:t>
      </w:r>
      <w:r w:rsidRPr="005004F1">
        <w:rPr>
          <w:rFonts w:ascii="Verdana" w:hAnsi="Verdana"/>
        </w:rPr>
        <w:t xml:space="preserve">within </w:t>
      </w:r>
      <w:r w:rsidR="004E7C5F">
        <w:rPr>
          <w:rFonts w:ascii="Verdana" w:hAnsi="Verdana"/>
        </w:rPr>
        <w:t xml:space="preserve">the </w:t>
      </w:r>
      <w:r w:rsidRPr="005004F1">
        <w:rPr>
          <w:rFonts w:ascii="Verdana" w:hAnsi="Verdana"/>
        </w:rPr>
        <w:t xml:space="preserve">scope of Protocol Article 2 only insofar as </w:t>
      </w:r>
      <w:r w:rsidR="004E7C5F">
        <w:rPr>
          <w:rFonts w:ascii="Verdana" w:hAnsi="Verdana"/>
        </w:rPr>
        <w:t xml:space="preserve">and to the extent that </w:t>
      </w:r>
      <w:r w:rsidRPr="005004F1">
        <w:rPr>
          <w:rFonts w:ascii="Verdana" w:hAnsi="Verdana"/>
        </w:rPr>
        <w:t>it relates to victims of conflict related violence.</w:t>
      </w:r>
      <w:r w:rsidR="00DF68B1" w:rsidRPr="005004F1">
        <w:rPr>
          <w:rStyle w:val="FootnoteReference"/>
          <w:rFonts w:ascii="Verdana" w:hAnsi="Verdana"/>
        </w:rPr>
        <w:footnoteReference w:id="29"/>
      </w:r>
      <w:r w:rsidRPr="005004F1">
        <w:rPr>
          <w:rFonts w:ascii="Verdana" w:hAnsi="Verdana"/>
        </w:rPr>
        <w:t xml:space="preserve"> </w:t>
      </w:r>
      <w:r w:rsidR="00DF68B1" w:rsidRPr="00DF68B1">
        <w:rPr>
          <w:color w:val="77328A"/>
          <w:sz w:val="16"/>
          <w:szCs w:val="16"/>
        </w:rPr>
        <w:t xml:space="preserve"> </w:t>
      </w:r>
      <w:r w:rsidR="00DF68B1" w:rsidRPr="00610760">
        <w:rPr>
          <w:rFonts w:ascii="Verdana" w:hAnsi="Verdana"/>
          <w:color w:val="auto"/>
        </w:rPr>
        <w:t>The UK Government</w:t>
      </w:r>
      <w:r w:rsidR="00561000">
        <w:rPr>
          <w:rFonts w:ascii="Verdana" w:hAnsi="Verdana"/>
          <w:color w:val="auto"/>
        </w:rPr>
        <w:t xml:space="preserve">’s interpretation limits </w:t>
      </w:r>
      <w:r w:rsidR="00DF68B1" w:rsidRPr="00610760">
        <w:rPr>
          <w:rFonts w:ascii="Verdana" w:hAnsi="Verdana"/>
          <w:color w:val="auto"/>
        </w:rPr>
        <w:t>victims in the Belfast (Good Friday) Agreement to “victims of conflict-related violence in NI”</w:t>
      </w:r>
      <w:r w:rsidR="00561000">
        <w:rPr>
          <w:rFonts w:ascii="Verdana" w:hAnsi="Verdana"/>
          <w:color w:val="auto"/>
        </w:rPr>
        <w:t xml:space="preserve">. That interpretation means that only </w:t>
      </w:r>
      <w:r w:rsidR="00DF68B1" w:rsidRPr="00610760">
        <w:rPr>
          <w:rFonts w:ascii="Verdana" w:hAnsi="Verdana"/>
          <w:color w:val="auto"/>
        </w:rPr>
        <w:t xml:space="preserve">victims of </w:t>
      </w:r>
      <w:r w:rsidR="00561000">
        <w:rPr>
          <w:rFonts w:ascii="Verdana" w:hAnsi="Verdana"/>
          <w:color w:val="auto"/>
        </w:rPr>
        <w:t xml:space="preserve">the </w:t>
      </w:r>
      <w:r w:rsidR="00DF68B1" w:rsidRPr="00610760">
        <w:rPr>
          <w:rFonts w:ascii="Verdana" w:hAnsi="Verdana"/>
          <w:color w:val="auto"/>
        </w:rPr>
        <w:lastRenderedPageBreak/>
        <w:t>conflict</w:t>
      </w:r>
      <w:r w:rsidR="00561000">
        <w:rPr>
          <w:rFonts w:ascii="Verdana" w:hAnsi="Verdana"/>
          <w:color w:val="auto"/>
        </w:rPr>
        <w:t xml:space="preserve"> in Northern Ireland will be included</w:t>
      </w:r>
      <w:r w:rsidR="00DF68B1" w:rsidRPr="00610760">
        <w:rPr>
          <w:rFonts w:ascii="Verdana" w:hAnsi="Verdana"/>
          <w:color w:val="auto"/>
        </w:rPr>
        <w:t xml:space="preserve">. The </w:t>
      </w:r>
      <w:r w:rsidR="00067FB2">
        <w:rPr>
          <w:rFonts w:ascii="Verdana" w:hAnsi="Verdana"/>
          <w:color w:val="auto"/>
        </w:rPr>
        <w:t>NIHRC</w:t>
      </w:r>
      <w:r w:rsidR="00DF68B1" w:rsidRPr="00610760">
        <w:rPr>
          <w:rFonts w:ascii="Verdana" w:hAnsi="Verdana"/>
          <w:color w:val="auto"/>
        </w:rPr>
        <w:t xml:space="preserve"> </w:t>
      </w:r>
      <w:r w:rsidR="00561000">
        <w:rPr>
          <w:rFonts w:ascii="Verdana" w:hAnsi="Verdana"/>
          <w:color w:val="auto"/>
        </w:rPr>
        <w:t xml:space="preserve">disagrees with that interpretation </w:t>
      </w:r>
      <w:proofErr w:type="gramStart"/>
      <w:r w:rsidR="00561000">
        <w:rPr>
          <w:rFonts w:ascii="Verdana" w:hAnsi="Verdana"/>
          <w:color w:val="auto"/>
        </w:rPr>
        <w:t>and also</w:t>
      </w:r>
      <w:proofErr w:type="gramEnd"/>
      <w:r w:rsidR="00561000">
        <w:rPr>
          <w:rFonts w:ascii="Verdana" w:hAnsi="Verdana"/>
          <w:color w:val="auto"/>
        </w:rPr>
        <w:t xml:space="preserve"> rejects as a matter of principle any distinction being drawn between victims.</w:t>
      </w:r>
      <w:r w:rsidR="00DF68B1" w:rsidRPr="00610760">
        <w:rPr>
          <w:rFonts w:ascii="Verdana" w:hAnsi="Verdana"/>
          <w:color w:val="auto"/>
        </w:rPr>
        <w:t xml:space="preserve"> </w:t>
      </w:r>
      <w:r w:rsidR="00561000">
        <w:rPr>
          <w:rFonts w:ascii="Verdana" w:hAnsi="Verdana"/>
          <w:color w:val="auto"/>
        </w:rPr>
        <w:t>Rather</w:t>
      </w:r>
      <w:r w:rsidR="00DF68B1" w:rsidRPr="00610760">
        <w:rPr>
          <w:rFonts w:ascii="Verdana" w:hAnsi="Verdana"/>
          <w:color w:val="auto"/>
        </w:rPr>
        <w:t xml:space="preserve">, the </w:t>
      </w:r>
      <w:r w:rsidR="00067FB2">
        <w:rPr>
          <w:rFonts w:ascii="Verdana" w:hAnsi="Verdana"/>
          <w:color w:val="auto"/>
        </w:rPr>
        <w:t>NIHRC</w:t>
      </w:r>
      <w:r w:rsidR="00DF68B1" w:rsidRPr="00610760">
        <w:rPr>
          <w:rFonts w:ascii="Verdana" w:hAnsi="Verdana"/>
          <w:color w:val="auto"/>
        </w:rPr>
        <w:t xml:space="preserve"> </w:t>
      </w:r>
      <w:r w:rsidR="00561000">
        <w:rPr>
          <w:rFonts w:ascii="Verdana" w:hAnsi="Verdana"/>
          <w:color w:val="auto"/>
        </w:rPr>
        <w:t>believes</w:t>
      </w:r>
      <w:r w:rsidR="00DF68B1" w:rsidRPr="00610760">
        <w:rPr>
          <w:rFonts w:ascii="Verdana" w:hAnsi="Verdana"/>
          <w:color w:val="auto"/>
        </w:rPr>
        <w:t xml:space="preserve"> the </w:t>
      </w:r>
      <w:r w:rsidR="003C5F35">
        <w:rPr>
          <w:rFonts w:ascii="Verdana" w:hAnsi="Verdana"/>
          <w:color w:val="auto"/>
        </w:rPr>
        <w:t xml:space="preserve">EU </w:t>
      </w:r>
      <w:r w:rsidR="00DF68B1" w:rsidRPr="00610760">
        <w:rPr>
          <w:rFonts w:ascii="Verdana" w:hAnsi="Verdana"/>
          <w:color w:val="auto"/>
        </w:rPr>
        <w:t xml:space="preserve">Victims’ Directive </w:t>
      </w:r>
      <w:r w:rsidR="00561000">
        <w:rPr>
          <w:rFonts w:ascii="Verdana" w:hAnsi="Verdana"/>
          <w:color w:val="auto"/>
        </w:rPr>
        <w:t xml:space="preserve">applies </w:t>
      </w:r>
      <w:r w:rsidR="00DF68B1" w:rsidRPr="00610760" w:rsidDel="00561000">
        <w:rPr>
          <w:rFonts w:ascii="Verdana" w:hAnsi="Verdana"/>
          <w:color w:val="auto"/>
        </w:rPr>
        <w:t>to all</w:t>
      </w:r>
      <w:r w:rsidR="00DF68B1" w:rsidRPr="00610760">
        <w:rPr>
          <w:rFonts w:ascii="Verdana" w:hAnsi="Verdana"/>
          <w:color w:val="auto"/>
        </w:rPr>
        <w:t xml:space="preserve"> victims in NI</w:t>
      </w:r>
      <w:r w:rsidR="001B1368">
        <w:rPr>
          <w:rFonts w:ascii="Verdana" w:hAnsi="Verdana"/>
          <w:color w:val="auto"/>
        </w:rPr>
        <w:t xml:space="preserve"> </w:t>
      </w:r>
      <w:r w:rsidR="00DF68B1" w:rsidRPr="00610760">
        <w:rPr>
          <w:rFonts w:ascii="Verdana" w:hAnsi="Verdana"/>
          <w:color w:val="auto"/>
        </w:rPr>
        <w:t xml:space="preserve">within </w:t>
      </w:r>
      <w:r w:rsidR="00561000">
        <w:rPr>
          <w:rFonts w:ascii="Verdana" w:hAnsi="Verdana"/>
          <w:color w:val="auto"/>
        </w:rPr>
        <w:t xml:space="preserve">the </w:t>
      </w:r>
      <w:r w:rsidR="00DF68B1" w:rsidRPr="00610760">
        <w:rPr>
          <w:rFonts w:ascii="Verdana" w:hAnsi="Verdana"/>
          <w:color w:val="auto"/>
        </w:rPr>
        <w:t>scope of Protocol Article 2</w:t>
      </w:r>
      <w:r w:rsidR="00DF68B1">
        <w:rPr>
          <w:rFonts w:ascii="Verdana" w:hAnsi="Verdana"/>
          <w:color w:val="auto"/>
        </w:rPr>
        <w:t>.</w:t>
      </w:r>
      <w:r w:rsidR="008C704B">
        <w:rPr>
          <w:rFonts w:ascii="Verdana" w:hAnsi="Verdana"/>
          <w:color w:val="auto"/>
        </w:rPr>
        <w:t xml:space="preserve"> In addition</w:t>
      </w:r>
      <w:r w:rsidR="00F42E5E">
        <w:rPr>
          <w:rFonts w:ascii="Verdana" w:hAnsi="Verdana"/>
          <w:color w:val="auto"/>
        </w:rPr>
        <w:t>,</w:t>
      </w:r>
      <w:r w:rsidR="008C704B">
        <w:rPr>
          <w:rFonts w:ascii="Verdana" w:hAnsi="Verdana"/>
          <w:color w:val="auto"/>
        </w:rPr>
        <w:t xml:space="preserve"> the NIHRC has identified other ways</w:t>
      </w:r>
      <w:r w:rsidR="00F42E5E">
        <w:rPr>
          <w:rFonts w:ascii="Verdana" w:hAnsi="Verdana"/>
          <w:color w:val="auto"/>
        </w:rPr>
        <w:t xml:space="preserve"> in which victims</w:t>
      </w:r>
      <w:r w:rsidR="00561000">
        <w:rPr>
          <w:rFonts w:ascii="Verdana" w:hAnsi="Verdana"/>
          <w:color w:val="auto"/>
        </w:rPr>
        <w:t>’</w:t>
      </w:r>
      <w:r w:rsidR="00F42E5E">
        <w:rPr>
          <w:rFonts w:ascii="Verdana" w:hAnsi="Verdana"/>
          <w:color w:val="auto"/>
        </w:rPr>
        <w:t xml:space="preserve"> rights are </w:t>
      </w:r>
      <w:r w:rsidR="00561000">
        <w:rPr>
          <w:rFonts w:ascii="Verdana" w:hAnsi="Verdana"/>
          <w:color w:val="auto"/>
        </w:rPr>
        <w:t>within scope</w:t>
      </w:r>
      <w:r w:rsidR="00CD4A2A">
        <w:rPr>
          <w:rFonts w:ascii="Verdana" w:hAnsi="Verdana"/>
          <w:color w:val="auto"/>
        </w:rPr>
        <w:t>,</w:t>
      </w:r>
      <w:r w:rsidR="00561000">
        <w:rPr>
          <w:rFonts w:ascii="Verdana" w:hAnsi="Verdana"/>
          <w:color w:val="auto"/>
        </w:rPr>
        <w:t xml:space="preserve"> for example the</w:t>
      </w:r>
      <w:r w:rsidR="00B07D9F">
        <w:rPr>
          <w:rFonts w:ascii="Verdana" w:hAnsi="Verdana"/>
          <w:color w:val="auto"/>
        </w:rPr>
        <w:t>se</w:t>
      </w:r>
      <w:r w:rsidR="00F42E5E" w:rsidRPr="00F42E5E">
        <w:rPr>
          <w:rFonts w:ascii="Verdana" w:hAnsi="Verdana"/>
          <w:color w:val="auto"/>
        </w:rPr>
        <w:t xml:space="preserve"> Directives underpin ECHR Article 4 and </w:t>
      </w:r>
      <w:r w:rsidR="00855105">
        <w:rPr>
          <w:rFonts w:ascii="Verdana" w:hAnsi="Verdana"/>
          <w:color w:val="auto"/>
        </w:rPr>
        <w:t xml:space="preserve">relate to </w:t>
      </w:r>
      <w:r w:rsidR="00F42E5E" w:rsidRPr="00F42E5E" w:rsidDel="00855105">
        <w:rPr>
          <w:rFonts w:ascii="Verdana" w:hAnsi="Verdana"/>
          <w:color w:val="auto"/>
        </w:rPr>
        <w:t xml:space="preserve">the </w:t>
      </w:r>
      <w:r w:rsidR="00F42E5E" w:rsidRPr="00F42E5E">
        <w:rPr>
          <w:rFonts w:ascii="Verdana" w:hAnsi="Verdana"/>
          <w:color w:val="auto"/>
        </w:rPr>
        <w:t>equality commitments in the relevant chapter of the Belfast (Good Friday) Agreemen</w:t>
      </w:r>
      <w:r w:rsidR="00F42E5E">
        <w:rPr>
          <w:rFonts w:ascii="Verdana" w:hAnsi="Verdana"/>
          <w:color w:val="auto"/>
        </w:rPr>
        <w:t>t.</w:t>
      </w:r>
    </w:p>
    <w:p w14:paraId="07AC85B1" w14:textId="77777777" w:rsidR="008319CE" w:rsidRPr="00685223" w:rsidRDefault="008319CE" w:rsidP="008319CE">
      <w:pPr>
        <w:pStyle w:val="BasicParagraph"/>
        <w:suppressAutoHyphens/>
        <w:rPr>
          <w:rFonts w:ascii="Verdana" w:hAnsi="Verdana"/>
        </w:rPr>
      </w:pPr>
    </w:p>
    <w:p w14:paraId="67F3AC4E" w14:textId="63A5267B" w:rsidR="00685223" w:rsidRPr="00B40177" w:rsidRDefault="00685223" w:rsidP="00380238">
      <w:pPr>
        <w:pStyle w:val="Heading2"/>
      </w:pPr>
      <w:bookmarkStart w:id="4" w:name="_Toc105754266"/>
      <w:r w:rsidRPr="00B40177">
        <w:t>Trafficked persons and the scope of Protocol Article 2</w:t>
      </w:r>
      <w:bookmarkEnd w:id="4"/>
    </w:p>
    <w:p w14:paraId="51C22821" w14:textId="77777777" w:rsidR="008319CE" w:rsidRPr="008319CE" w:rsidRDefault="008319CE" w:rsidP="008319CE">
      <w:pPr>
        <w:pStyle w:val="BasicParagraph"/>
        <w:suppressAutoHyphens/>
        <w:rPr>
          <w:rFonts w:ascii="Verdana" w:hAnsi="Verdana"/>
          <w:u w:val="single"/>
        </w:rPr>
      </w:pPr>
    </w:p>
    <w:p w14:paraId="0A260894" w14:textId="6C7E07EB" w:rsidR="00685223" w:rsidRDefault="00685223" w:rsidP="00087302">
      <w:pPr>
        <w:pStyle w:val="BasicParagraph"/>
        <w:numPr>
          <w:ilvl w:val="1"/>
          <w:numId w:val="2"/>
        </w:numPr>
        <w:suppressAutoHyphens/>
        <w:rPr>
          <w:rFonts w:ascii="Verdana" w:hAnsi="Verdana"/>
        </w:rPr>
      </w:pPr>
      <w:r w:rsidRPr="00685223">
        <w:rPr>
          <w:rFonts w:ascii="Verdana" w:hAnsi="Verdana"/>
        </w:rPr>
        <w:t>The EU</w:t>
      </w:r>
      <w:r w:rsidR="003537BE">
        <w:rPr>
          <w:rFonts w:ascii="Verdana" w:hAnsi="Verdana"/>
        </w:rPr>
        <w:t xml:space="preserve"> Trafficking Directive</w:t>
      </w:r>
      <w:r w:rsidRPr="00685223">
        <w:rPr>
          <w:rFonts w:ascii="Verdana" w:hAnsi="Verdana"/>
        </w:rPr>
        <w:t xml:space="preserve"> contains </w:t>
      </w:r>
      <w:proofErr w:type="gramStart"/>
      <w:r w:rsidRPr="00685223">
        <w:rPr>
          <w:rFonts w:ascii="Verdana" w:hAnsi="Verdana"/>
        </w:rPr>
        <w:t>a number of</w:t>
      </w:r>
      <w:proofErr w:type="gramEnd"/>
      <w:r w:rsidRPr="00685223">
        <w:rPr>
          <w:rFonts w:ascii="Verdana" w:hAnsi="Verdana"/>
        </w:rPr>
        <w:t xml:space="preserve"> provisions which are aimed at criminalisation of trafficking offences,</w:t>
      </w:r>
      <w:r w:rsidR="00584E68">
        <w:rPr>
          <w:rStyle w:val="FootnoteReference"/>
          <w:rFonts w:ascii="Verdana" w:hAnsi="Verdana"/>
        </w:rPr>
        <w:footnoteReference w:id="30"/>
      </w:r>
      <w:r w:rsidRPr="00685223">
        <w:rPr>
          <w:rFonts w:ascii="Verdana" w:hAnsi="Verdana"/>
        </w:rPr>
        <w:t xml:space="preserve"> non-prosecution and non-application of penalties to victims,</w:t>
      </w:r>
      <w:r w:rsidR="00584E68">
        <w:rPr>
          <w:rStyle w:val="FootnoteReference"/>
          <w:rFonts w:ascii="Verdana" w:hAnsi="Verdana"/>
        </w:rPr>
        <w:footnoteReference w:id="31"/>
      </w:r>
      <w:r w:rsidR="00584E68">
        <w:rPr>
          <w:rFonts w:ascii="Verdana" w:hAnsi="Verdana"/>
        </w:rPr>
        <w:t xml:space="preserve"> </w:t>
      </w:r>
      <w:r w:rsidRPr="00685223">
        <w:rPr>
          <w:rFonts w:ascii="Verdana" w:hAnsi="Verdana"/>
        </w:rPr>
        <w:t>investigation and prosecution of offences</w:t>
      </w:r>
      <w:r w:rsidR="00584E68">
        <w:rPr>
          <w:rStyle w:val="FootnoteReference"/>
          <w:rFonts w:ascii="Verdana" w:hAnsi="Verdana"/>
        </w:rPr>
        <w:footnoteReference w:id="32"/>
      </w:r>
      <w:r w:rsidRPr="00685223">
        <w:rPr>
          <w:rFonts w:ascii="Verdana" w:hAnsi="Verdana"/>
        </w:rPr>
        <w:t xml:space="preserve"> and supporting victims, including child victims, of trafficking.</w:t>
      </w:r>
      <w:r w:rsidR="00584E68">
        <w:rPr>
          <w:rStyle w:val="FootnoteReference"/>
          <w:rFonts w:ascii="Verdana" w:hAnsi="Verdana"/>
        </w:rPr>
        <w:footnoteReference w:id="33"/>
      </w:r>
      <w:r w:rsidRPr="00685223">
        <w:rPr>
          <w:rFonts w:ascii="Verdana" w:hAnsi="Verdana"/>
        </w:rPr>
        <w:t xml:space="preserve">  The relevant chapter of the Belfast (Good Friday) Agreement 1998 protects the rights of victims “to remember as well as to contribute to a changed society”</w:t>
      </w:r>
      <w:r w:rsidR="00F82C1B">
        <w:rPr>
          <w:rFonts w:ascii="Verdana" w:hAnsi="Verdana"/>
        </w:rPr>
        <w:t>.</w:t>
      </w:r>
      <w:r w:rsidRPr="00685223">
        <w:rPr>
          <w:rFonts w:ascii="Verdana" w:hAnsi="Verdana"/>
        </w:rPr>
        <w:t xml:space="preserve"> </w:t>
      </w:r>
      <w:r w:rsidR="00B50FCC">
        <w:rPr>
          <w:rFonts w:ascii="Verdana" w:hAnsi="Verdana"/>
        </w:rPr>
        <w:t>T</w:t>
      </w:r>
      <w:r w:rsidRPr="00685223">
        <w:rPr>
          <w:rFonts w:ascii="Verdana" w:hAnsi="Verdana"/>
        </w:rPr>
        <w:t xml:space="preserve">he </w:t>
      </w:r>
      <w:r w:rsidR="003537BE">
        <w:rPr>
          <w:rFonts w:ascii="Verdana" w:hAnsi="Verdana"/>
        </w:rPr>
        <w:t>EU Trafficking Directive</w:t>
      </w:r>
      <w:r w:rsidRPr="00685223">
        <w:rPr>
          <w:rFonts w:ascii="Verdana" w:hAnsi="Verdana"/>
        </w:rPr>
        <w:t xml:space="preserve"> protects a subset of ‘victims’ in </w:t>
      </w:r>
      <w:r w:rsidR="00510225">
        <w:rPr>
          <w:rFonts w:ascii="Verdana" w:hAnsi="Verdana"/>
        </w:rPr>
        <w:t>NI</w:t>
      </w:r>
      <w:r w:rsidRPr="00685223">
        <w:rPr>
          <w:rFonts w:ascii="Verdana" w:hAnsi="Verdana"/>
        </w:rPr>
        <w:t xml:space="preserve">, </w:t>
      </w:r>
      <w:r w:rsidR="00B50FCC">
        <w:rPr>
          <w:rFonts w:ascii="Verdana" w:hAnsi="Verdana"/>
        </w:rPr>
        <w:t xml:space="preserve">therefore </w:t>
      </w:r>
      <w:r w:rsidRPr="00685223">
        <w:rPr>
          <w:rFonts w:ascii="Verdana" w:hAnsi="Verdana"/>
        </w:rPr>
        <w:t xml:space="preserve">the </w:t>
      </w:r>
      <w:r w:rsidR="003537BE">
        <w:rPr>
          <w:rFonts w:ascii="Verdana" w:hAnsi="Verdana"/>
        </w:rPr>
        <w:t>EU Trafficking Directive</w:t>
      </w:r>
      <w:r w:rsidRPr="00685223">
        <w:rPr>
          <w:rFonts w:ascii="Verdana" w:hAnsi="Verdana"/>
        </w:rPr>
        <w:t xml:space="preserve"> also fall</w:t>
      </w:r>
      <w:r w:rsidR="00B50FCC">
        <w:rPr>
          <w:rFonts w:ascii="Verdana" w:hAnsi="Verdana"/>
        </w:rPr>
        <w:t>s</w:t>
      </w:r>
      <w:r w:rsidRPr="00685223">
        <w:rPr>
          <w:rFonts w:ascii="Verdana" w:hAnsi="Verdana"/>
        </w:rPr>
        <w:t xml:space="preserve"> within the scope of Protocol Article 2. </w:t>
      </w:r>
    </w:p>
    <w:p w14:paraId="78765E63" w14:textId="77777777" w:rsidR="008319CE" w:rsidRPr="00685223" w:rsidRDefault="008319CE" w:rsidP="008319CE">
      <w:pPr>
        <w:pStyle w:val="BasicParagraph"/>
        <w:suppressAutoHyphens/>
        <w:rPr>
          <w:rFonts w:ascii="Verdana" w:hAnsi="Verdana"/>
        </w:rPr>
      </w:pPr>
    </w:p>
    <w:p w14:paraId="7023B9E1" w14:textId="2F26597D" w:rsidR="00685223" w:rsidRDefault="00685223" w:rsidP="00087302">
      <w:pPr>
        <w:pStyle w:val="BasicParagraph"/>
        <w:numPr>
          <w:ilvl w:val="1"/>
          <w:numId w:val="2"/>
        </w:numPr>
        <w:suppressAutoHyphens/>
        <w:rPr>
          <w:rFonts w:ascii="Verdana" w:hAnsi="Verdana"/>
        </w:rPr>
      </w:pPr>
      <w:r w:rsidRPr="00685223">
        <w:rPr>
          <w:rFonts w:ascii="Verdana" w:hAnsi="Verdana"/>
        </w:rPr>
        <w:t>The Belfast (Good Friday) Agreement provides that the “British Government will complete incorporation into NI law of the ECHR, with direct access to the courts and remedies for breach of the convention, including the power for the courts to overrule Assembly legislation on grounds of inconsistency”.</w:t>
      </w:r>
      <w:r w:rsidR="005229F3">
        <w:rPr>
          <w:rStyle w:val="FootnoteReference"/>
          <w:rFonts w:ascii="Verdana" w:hAnsi="Verdana"/>
        </w:rPr>
        <w:footnoteReference w:id="34"/>
      </w:r>
      <w:r w:rsidRPr="00685223">
        <w:rPr>
          <w:rFonts w:ascii="Verdana" w:hAnsi="Verdana"/>
        </w:rPr>
        <w:t xml:space="preserve"> This incorporation </w:t>
      </w:r>
      <w:r w:rsidR="002E0C4C">
        <w:rPr>
          <w:rFonts w:ascii="Verdana" w:hAnsi="Verdana"/>
        </w:rPr>
        <w:t>happened</w:t>
      </w:r>
      <w:r w:rsidRPr="00685223">
        <w:rPr>
          <w:rFonts w:ascii="Verdana" w:hAnsi="Verdana"/>
        </w:rPr>
        <w:t xml:space="preserve"> under the Human Rights Act 1998. The UK Government has </w:t>
      </w:r>
      <w:r w:rsidR="002E0C4C">
        <w:rPr>
          <w:rFonts w:ascii="Verdana" w:hAnsi="Verdana"/>
        </w:rPr>
        <w:t>recognised</w:t>
      </w:r>
      <w:r w:rsidR="002E0C4C" w:rsidRPr="00685223">
        <w:rPr>
          <w:rFonts w:ascii="Verdana" w:hAnsi="Verdana"/>
        </w:rPr>
        <w:t xml:space="preserve"> </w:t>
      </w:r>
      <w:r w:rsidRPr="00685223">
        <w:rPr>
          <w:rFonts w:ascii="Verdana" w:hAnsi="Verdana"/>
        </w:rPr>
        <w:t xml:space="preserve">that key rights and equality provisions within the Belfast (Good Friday) Agreement are supported by the ECHR and </w:t>
      </w:r>
      <w:r w:rsidR="002E0C4C">
        <w:rPr>
          <w:rFonts w:ascii="Verdana" w:hAnsi="Verdana"/>
        </w:rPr>
        <w:t xml:space="preserve">repeats its </w:t>
      </w:r>
      <w:r w:rsidRPr="00685223">
        <w:rPr>
          <w:rFonts w:ascii="Verdana" w:hAnsi="Verdana"/>
        </w:rPr>
        <w:t>commit</w:t>
      </w:r>
      <w:r w:rsidR="002E0C4C">
        <w:rPr>
          <w:rFonts w:ascii="Verdana" w:hAnsi="Verdana"/>
        </w:rPr>
        <w:t>ment</w:t>
      </w:r>
      <w:r w:rsidRPr="00685223">
        <w:rPr>
          <w:rFonts w:ascii="Verdana" w:hAnsi="Verdana"/>
        </w:rPr>
        <w:t xml:space="preserve"> to the ECHR and to protecting and championing human rights.</w:t>
      </w:r>
      <w:r w:rsidR="002D42A7">
        <w:rPr>
          <w:rStyle w:val="FootnoteReference"/>
          <w:rFonts w:ascii="Verdana" w:hAnsi="Verdana"/>
        </w:rPr>
        <w:footnoteReference w:id="35"/>
      </w:r>
      <w:r w:rsidRPr="00685223">
        <w:rPr>
          <w:rFonts w:ascii="Verdana" w:hAnsi="Verdana"/>
        </w:rPr>
        <w:t xml:space="preserve"> The</w:t>
      </w:r>
      <w:r w:rsidR="002E0C4C">
        <w:rPr>
          <w:rFonts w:ascii="Verdana" w:hAnsi="Verdana"/>
        </w:rPr>
        <w:t>refore,</w:t>
      </w:r>
      <w:r w:rsidRPr="00685223">
        <w:rPr>
          <w:rFonts w:ascii="Verdana" w:hAnsi="Verdana"/>
        </w:rPr>
        <w:t xml:space="preserve"> </w:t>
      </w:r>
      <w:r w:rsidR="002E0C4C">
        <w:rPr>
          <w:rFonts w:ascii="Verdana" w:hAnsi="Verdana"/>
        </w:rPr>
        <w:t xml:space="preserve">the </w:t>
      </w:r>
      <w:r w:rsidR="00186F83">
        <w:rPr>
          <w:rFonts w:ascii="Verdana" w:hAnsi="Verdana"/>
        </w:rPr>
        <w:t>NIHRC</w:t>
      </w:r>
      <w:r w:rsidR="00186F83" w:rsidRPr="00685223">
        <w:rPr>
          <w:rFonts w:ascii="Verdana" w:hAnsi="Verdana"/>
        </w:rPr>
        <w:t xml:space="preserve"> </w:t>
      </w:r>
      <w:r w:rsidRPr="00685223">
        <w:rPr>
          <w:rFonts w:ascii="Verdana" w:hAnsi="Verdana"/>
        </w:rPr>
        <w:t xml:space="preserve">has adopted the working assumption that the non-diminution commitment in </w:t>
      </w:r>
      <w:r w:rsidRPr="00685223">
        <w:rPr>
          <w:rFonts w:ascii="Verdana" w:hAnsi="Verdana"/>
        </w:rPr>
        <w:lastRenderedPageBreak/>
        <w:t xml:space="preserve">Protocol Article 2 encompasses the full range of rights set out in the ECHR, to the extent that they are underpinned by EU </w:t>
      </w:r>
      <w:r w:rsidR="00186F83">
        <w:rPr>
          <w:rFonts w:ascii="Verdana" w:hAnsi="Verdana"/>
        </w:rPr>
        <w:t>law</w:t>
      </w:r>
      <w:r w:rsidRPr="00685223">
        <w:rPr>
          <w:rFonts w:ascii="Verdana" w:hAnsi="Verdana"/>
        </w:rPr>
        <w:t xml:space="preserve">. Article 4 </w:t>
      </w:r>
      <w:r w:rsidR="00186F83">
        <w:rPr>
          <w:rFonts w:ascii="Verdana" w:hAnsi="Verdana"/>
        </w:rPr>
        <w:t xml:space="preserve">of the </w:t>
      </w:r>
      <w:r w:rsidRPr="00685223">
        <w:rPr>
          <w:rFonts w:ascii="Verdana" w:hAnsi="Verdana"/>
        </w:rPr>
        <w:t>ECHR</w:t>
      </w:r>
      <w:r w:rsidR="00186F83">
        <w:rPr>
          <w:rFonts w:ascii="Verdana" w:hAnsi="Verdana"/>
        </w:rPr>
        <w:t xml:space="preserve"> on</w:t>
      </w:r>
      <w:r w:rsidRPr="00685223">
        <w:rPr>
          <w:rFonts w:ascii="Verdana" w:hAnsi="Verdana"/>
        </w:rPr>
        <w:t xml:space="preserve"> the right to be free from slavery, servitude, forced or compulsory labour, is relevant to trafficked persons. Should the </w:t>
      </w:r>
      <w:r w:rsidR="00186F83">
        <w:rPr>
          <w:rFonts w:ascii="Verdana" w:hAnsi="Verdana"/>
        </w:rPr>
        <w:t xml:space="preserve">UK </w:t>
      </w:r>
      <w:r w:rsidR="00186F83" w:rsidRPr="00685223">
        <w:rPr>
          <w:rFonts w:ascii="Verdana" w:hAnsi="Verdana"/>
        </w:rPr>
        <w:t>Government</w:t>
      </w:r>
      <w:r w:rsidR="00186F83">
        <w:rPr>
          <w:rFonts w:ascii="Verdana" w:hAnsi="Verdana"/>
        </w:rPr>
        <w:t xml:space="preserve"> or NI Executive</w:t>
      </w:r>
      <w:r w:rsidR="00186F83" w:rsidRPr="00685223">
        <w:rPr>
          <w:rFonts w:ascii="Verdana" w:hAnsi="Verdana"/>
        </w:rPr>
        <w:t xml:space="preserve"> </w:t>
      </w:r>
      <w:r w:rsidRPr="00685223">
        <w:rPr>
          <w:rFonts w:ascii="Verdana" w:hAnsi="Verdana"/>
        </w:rPr>
        <w:t xml:space="preserve">seek to depart from the standards of </w:t>
      </w:r>
      <w:r w:rsidR="00186F83">
        <w:rPr>
          <w:rFonts w:ascii="Verdana" w:hAnsi="Verdana"/>
        </w:rPr>
        <w:t>A</w:t>
      </w:r>
      <w:r w:rsidRPr="00685223">
        <w:rPr>
          <w:rFonts w:ascii="Verdana" w:hAnsi="Verdana"/>
        </w:rPr>
        <w:t>rticle 4</w:t>
      </w:r>
      <w:r w:rsidR="00186F83">
        <w:rPr>
          <w:rFonts w:ascii="Verdana" w:hAnsi="Verdana"/>
        </w:rPr>
        <w:t xml:space="preserve"> ECHR</w:t>
      </w:r>
      <w:r w:rsidRPr="00685223">
        <w:rPr>
          <w:rFonts w:ascii="Verdana" w:hAnsi="Verdana"/>
        </w:rPr>
        <w:t xml:space="preserve">, Protocol Article 2 </w:t>
      </w:r>
      <w:r w:rsidR="00186F83">
        <w:rPr>
          <w:rFonts w:ascii="Verdana" w:hAnsi="Verdana"/>
        </w:rPr>
        <w:t xml:space="preserve">is </w:t>
      </w:r>
      <w:r w:rsidRPr="00685223">
        <w:rPr>
          <w:rFonts w:ascii="Verdana" w:hAnsi="Verdana"/>
        </w:rPr>
        <w:t>relevant insofar as th</w:t>
      </w:r>
      <w:r w:rsidR="002E0C4C">
        <w:rPr>
          <w:rFonts w:ascii="Verdana" w:hAnsi="Verdana"/>
        </w:rPr>
        <w:t>at</w:t>
      </w:r>
      <w:r w:rsidRPr="00685223">
        <w:rPr>
          <w:rFonts w:ascii="Verdana" w:hAnsi="Verdana"/>
        </w:rPr>
        <w:t xml:space="preserve"> right is also protected by the </w:t>
      </w:r>
      <w:r w:rsidR="003537BE">
        <w:rPr>
          <w:rFonts w:ascii="Verdana" w:hAnsi="Verdana"/>
        </w:rPr>
        <w:t>EU Trafficking Directive</w:t>
      </w:r>
      <w:r w:rsidRPr="00685223">
        <w:rPr>
          <w:rFonts w:ascii="Verdana" w:hAnsi="Verdana"/>
        </w:rPr>
        <w:t>.</w:t>
      </w:r>
    </w:p>
    <w:p w14:paraId="303E4FE3" w14:textId="77777777" w:rsidR="008319CE" w:rsidRPr="00685223" w:rsidRDefault="008319CE" w:rsidP="008319CE">
      <w:pPr>
        <w:pStyle w:val="BasicParagraph"/>
        <w:suppressAutoHyphens/>
        <w:ind w:left="720"/>
        <w:rPr>
          <w:rFonts w:ascii="Verdana" w:hAnsi="Verdana"/>
        </w:rPr>
      </w:pPr>
    </w:p>
    <w:p w14:paraId="579416F9" w14:textId="74CD071C" w:rsidR="00DA192A" w:rsidRDefault="00685223" w:rsidP="00087302">
      <w:pPr>
        <w:pStyle w:val="BasicParagraph"/>
        <w:numPr>
          <w:ilvl w:val="1"/>
          <w:numId w:val="2"/>
        </w:numPr>
        <w:suppressAutoHyphens/>
        <w:rPr>
          <w:rFonts w:ascii="Verdana" w:hAnsi="Verdana"/>
        </w:rPr>
      </w:pPr>
      <w:r w:rsidRPr="00685223">
        <w:rPr>
          <w:rFonts w:ascii="Verdana" w:hAnsi="Verdana"/>
        </w:rPr>
        <w:t>Additionally, the Belfast (Good Friday) Agreement chapter on rights, safeguards and equality of opportunity affirms a commitment to “civil rights and religious liberties of everyone in the community”, affirming in particular a list of rights; “affirm in particular” suggests that this is not an exhaustive list of rights.</w:t>
      </w:r>
      <w:r w:rsidR="001A17A2">
        <w:rPr>
          <w:rStyle w:val="FootnoteReference"/>
          <w:rFonts w:ascii="Verdana" w:hAnsi="Verdana"/>
        </w:rPr>
        <w:footnoteReference w:id="36"/>
      </w:r>
      <w:r w:rsidRPr="00685223">
        <w:rPr>
          <w:rFonts w:ascii="Verdana" w:hAnsi="Verdana"/>
        </w:rPr>
        <w:t xml:space="preserve"> This list of rights includes the right to equality of opportunity. Article 1 of the </w:t>
      </w:r>
      <w:r w:rsidR="003537BE">
        <w:rPr>
          <w:rFonts w:ascii="Verdana" w:hAnsi="Verdana"/>
        </w:rPr>
        <w:t>EU Trafficking Directive</w:t>
      </w:r>
      <w:r w:rsidRPr="00685223">
        <w:rPr>
          <w:rFonts w:ascii="Verdana" w:hAnsi="Verdana"/>
        </w:rPr>
        <w:t xml:space="preserve"> notes that the Directive “introduces common provisions, taking into account the gender perspective, to strengthen the prevention of this crime and the protection of the victims thereof”, with Recital 3 identifying that men and women are often trafficked for different reasons, and therefore “assistance and support measures should be gender specific where appropriate”.</w:t>
      </w:r>
      <w:r w:rsidR="00E30462">
        <w:rPr>
          <w:rStyle w:val="FootnoteReference"/>
          <w:rFonts w:ascii="Verdana" w:hAnsi="Verdana"/>
        </w:rPr>
        <w:footnoteReference w:id="37"/>
      </w:r>
      <w:r w:rsidRPr="00685223">
        <w:rPr>
          <w:rFonts w:ascii="Verdana" w:hAnsi="Verdana"/>
        </w:rPr>
        <w:t xml:space="preserve">  The </w:t>
      </w:r>
      <w:r w:rsidR="003537BE">
        <w:rPr>
          <w:rFonts w:ascii="Verdana" w:hAnsi="Verdana"/>
        </w:rPr>
        <w:t>EU Trafficking Directive</w:t>
      </w:r>
      <w:r w:rsidRPr="00685223">
        <w:rPr>
          <w:rFonts w:ascii="Verdana" w:hAnsi="Verdana"/>
        </w:rPr>
        <w:t xml:space="preserve"> arguably comes under the scope of Protocol Article 2 under the right to equality of opportunity.</w:t>
      </w:r>
      <w:r w:rsidR="00DA192A">
        <w:rPr>
          <w:rFonts w:ascii="Verdana" w:hAnsi="Verdana"/>
        </w:rPr>
        <w:t xml:space="preserve"> </w:t>
      </w:r>
    </w:p>
    <w:p w14:paraId="1807BD46" w14:textId="77777777" w:rsidR="00DA192A" w:rsidRDefault="00DA192A" w:rsidP="00FF567C">
      <w:pPr>
        <w:pStyle w:val="ListParagraph"/>
      </w:pPr>
    </w:p>
    <w:p w14:paraId="259EDBB6" w14:textId="5381074A" w:rsidR="00685223" w:rsidRDefault="00DA192A" w:rsidP="00087302">
      <w:pPr>
        <w:pStyle w:val="BasicParagraph"/>
        <w:numPr>
          <w:ilvl w:val="1"/>
          <w:numId w:val="2"/>
        </w:numPr>
        <w:suppressAutoHyphens/>
        <w:rPr>
          <w:rFonts w:ascii="Verdana" w:hAnsi="Verdana"/>
        </w:rPr>
      </w:pPr>
      <w:r>
        <w:rPr>
          <w:rFonts w:ascii="Verdana" w:hAnsi="Verdana"/>
        </w:rPr>
        <w:t>The NIHRC has published research</w:t>
      </w:r>
      <w:r w:rsidR="00774F7A">
        <w:rPr>
          <w:rFonts w:ascii="Verdana" w:hAnsi="Verdana"/>
        </w:rPr>
        <w:t>,</w:t>
      </w:r>
      <w:r>
        <w:rPr>
          <w:rFonts w:ascii="Verdana" w:hAnsi="Verdana"/>
        </w:rPr>
        <w:t xml:space="preserve"> on the </w:t>
      </w:r>
      <w:r w:rsidR="003537BE">
        <w:rPr>
          <w:rFonts w:ascii="Verdana" w:hAnsi="Verdana"/>
        </w:rPr>
        <w:t>EU Trafficking Directive</w:t>
      </w:r>
      <w:r>
        <w:rPr>
          <w:rFonts w:ascii="Verdana" w:hAnsi="Verdana"/>
        </w:rPr>
        <w:t xml:space="preserve"> and Protocol Article 2, which identifies and further explains the reasoning for the Directive falling within scope of Protocol Article 2.</w:t>
      </w:r>
      <w:r>
        <w:rPr>
          <w:rStyle w:val="FootnoteReference"/>
          <w:rFonts w:ascii="Verdana" w:hAnsi="Verdana"/>
        </w:rPr>
        <w:footnoteReference w:id="38"/>
      </w:r>
    </w:p>
    <w:p w14:paraId="0C608023" w14:textId="3B35249A" w:rsidR="00DF68B1" w:rsidRDefault="00DF68B1" w:rsidP="00FF567C">
      <w:pPr>
        <w:pStyle w:val="ListParagraph"/>
      </w:pPr>
    </w:p>
    <w:p w14:paraId="00CA0E3A" w14:textId="68EEFAA5" w:rsidR="00DF68B1" w:rsidRDefault="003537BE" w:rsidP="00380238">
      <w:pPr>
        <w:pStyle w:val="Heading2"/>
        <w:rPr>
          <w:b w:val="0"/>
          <w:i/>
        </w:rPr>
      </w:pPr>
      <w:bookmarkStart w:id="5" w:name="_Toc105754267"/>
      <w:r>
        <w:t xml:space="preserve">EU </w:t>
      </w:r>
      <w:r w:rsidR="00DF68B1">
        <w:t>Child Sexual Exploitation Directive</w:t>
      </w:r>
      <w:bookmarkEnd w:id="5"/>
    </w:p>
    <w:p w14:paraId="57C0EDA4" w14:textId="77777777" w:rsidR="00C66058" w:rsidRPr="00C66058" w:rsidRDefault="00C66058" w:rsidP="00C66058">
      <w:pPr>
        <w:pStyle w:val="Style1"/>
        <w:rPr>
          <w:sz w:val="24"/>
          <w:szCs w:val="24"/>
        </w:rPr>
      </w:pPr>
    </w:p>
    <w:p w14:paraId="64DB45BB" w14:textId="5B992952" w:rsidR="00DF68B1" w:rsidRDefault="00DF68B1" w:rsidP="00087302">
      <w:pPr>
        <w:pStyle w:val="BasicParagraph"/>
        <w:numPr>
          <w:ilvl w:val="1"/>
          <w:numId w:val="2"/>
        </w:numPr>
        <w:suppressAutoHyphens/>
        <w:rPr>
          <w:rFonts w:ascii="Verdana" w:hAnsi="Verdana"/>
        </w:rPr>
      </w:pPr>
      <w:r>
        <w:rPr>
          <w:rFonts w:ascii="Verdana" w:hAnsi="Verdana"/>
        </w:rPr>
        <w:t>The rights of child victims of crime fall under the rights of victims to remember and contribute to a changed society under the Belfast (Good Friday) Agreement.</w:t>
      </w:r>
      <w:r>
        <w:rPr>
          <w:rStyle w:val="FootnoteReference"/>
          <w:rFonts w:ascii="Verdana" w:hAnsi="Verdana"/>
        </w:rPr>
        <w:footnoteReference w:id="39"/>
      </w:r>
      <w:r>
        <w:rPr>
          <w:rFonts w:ascii="Verdana" w:hAnsi="Verdana"/>
        </w:rPr>
        <w:t xml:space="preserve"> The</w:t>
      </w:r>
      <w:r w:rsidR="003537BE">
        <w:rPr>
          <w:rFonts w:ascii="Verdana" w:hAnsi="Verdana"/>
        </w:rPr>
        <w:t xml:space="preserve"> EU</w:t>
      </w:r>
      <w:r>
        <w:rPr>
          <w:rFonts w:ascii="Verdana" w:hAnsi="Verdana"/>
        </w:rPr>
        <w:t xml:space="preserve"> Child Sexual Exploitation Directive contains a number of protections for child victims of sexual abuse and sexual </w:t>
      </w:r>
      <w:r>
        <w:rPr>
          <w:rFonts w:ascii="Verdana" w:hAnsi="Verdana"/>
        </w:rPr>
        <w:lastRenderedPageBreak/>
        <w:t>exploitation,</w:t>
      </w:r>
      <w:r>
        <w:rPr>
          <w:rStyle w:val="FootnoteReference"/>
          <w:rFonts w:ascii="Verdana" w:hAnsi="Verdana"/>
        </w:rPr>
        <w:footnoteReference w:id="40"/>
      </w:r>
      <w:r>
        <w:rPr>
          <w:rFonts w:ascii="Verdana" w:hAnsi="Verdana"/>
        </w:rPr>
        <w:t xml:space="preserve"> as well as placing positive obligations on </w:t>
      </w:r>
      <w:r w:rsidR="00B1184C">
        <w:rPr>
          <w:rFonts w:ascii="Verdana" w:hAnsi="Verdana"/>
        </w:rPr>
        <w:t>States</w:t>
      </w:r>
      <w:r>
        <w:rPr>
          <w:rFonts w:ascii="Verdana" w:hAnsi="Verdana"/>
        </w:rPr>
        <w:t xml:space="preserve"> to prevent and investigate such crimes.</w:t>
      </w:r>
      <w:r>
        <w:rPr>
          <w:rStyle w:val="FootnoteReference"/>
          <w:rFonts w:ascii="Verdana" w:hAnsi="Verdana"/>
        </w:rPr>
        <w:footnoteReference w:id="41"/>
      </w:r>
      <w:r>
        <w:rPr>
          <w:rFonts w:ascii="Verdana" w:hAnsi="Verdana"/>
        </w:rPr>
        <w:t xml:space="preserve"> The </w:t>
      </w:r>
      <w:r w:rsidR="00D85A91">
        <w:rPr>
          <w:rFonts w:ascii="Verdana" w:hAnsi="Verdana"/>
        </w:rPr>
        <w:t xml:space="preserve">NIHRC </w:t>
      </w:r>
      <w:r>
        <w:rPr>
          <w:rFonts w:ascii="Verdana" w:hAnsi="Verdana"/>
        </w:rPr>
        <w:t xml:space="preserve">considers the </w:t>
      </w:r>
      <w:r w:rsidR="003537BE">
        <w:rPr>
          <w:rFonts w:ascii="Verdana" w:hAnsi="Verdana"/>
        </w:rPr>
        <w:t xml:space="preserve">EU </w:t>
      </w:r>
      <w:r>
        <w:rPr>
          <w:rFonts w:ascii="Verdana" w:hAnsi="Verdana"/>
        </w:rPr>
        <w:t>Child Sexual Exploitation Directive as falling within scope of Protocol Article 2 and, therefore, is engaged by the potential provisions contained in this consultation.</w:t>
      </w:r>
    </w:p>
    <w:p w14:paraId="26B1FD30" w14:textId="77777777" w:rsidR="001A17A2" w:rsidRPr="00685223" w:rsidRDefault="001A17A2" w:rsidP="001A17A2">
      <w:pPr>
        <w:pStyle w:val="BasicParagraph"/>
        <w:suppressAutoHyphens/>
        <w:rPr>
          <w:rFonts w:ascii="Verdana" w:hAnsi="Verdana"/>
        </w:rPr>
      </w:pPr>
    </w:p>
    <w:p w14:paraId="6FAB09C9" w14:textId="40656D46" w:rsidR="002C1555" w:rsidRPr="00A771D0" w:rsidRDefault="00685223" w:rsidP="00087302">
      <w:pPr>
        <w:pStyle w:val="BasicParagraph"/>
        <w:numPr>
          <w:ilvl w:val="1"/>
          <w:numId w:val="2"/>
        </w:numPr>
        <w:suppressAutoHyphens/>
        <w:rPr>
          <w:rFonts w:ascii="Verdana" w:hAnsi="Verdana"/>
          <w:b/>
          <w:bCs/>
        </w:rPr>
      </w:pPr>
      <w:r w:rsidRPr="00A771D0">
        <w:rPr>
          <w:rFonts w:ascii="Verdana" w:hAnsi="Verdana"/>
          <w:b/>
          <w:bCs/>
        </w:rPr>
        <w:t xml:space="preserve">The </w:t>
      </w:r>
      <w:r w:rsidR="0092298F">
        <w:rPr>
          <w:rFonts w:ascii="Verdana" w:hAnsi="Verdana"/>
          <w:b/>
          <w:bCs/>
        </w:rPr>
        <w:t>NIHRC</w:t>
      </w:r>
      <w:r w:rsidRPr="00A771D0">
        <w:rPr>
          <w:rFonts w:ascii="Verdana" w:hAnsi="Verdana"/>
          <w:b/>
          <w:bCs/>
        </w:rPr>
        <w:t xml:space="preserve"> recommends the Department of Justice </w:t>
      </w:r>
      <w:r w:rsidR="0002316F">
        <w:rPr>
          <w:rFonts w:ascii="Verdana" w:hAnsi="Verdana"/>
          <w:b/>
          <w:bCs/>
        </w:rPr>
        <w:t>ensure</w:t>
      </w:r>
      <w:r w:rsidR="00774F7A">
        <w:rPr>
          <w:rFonts w:ascii="Verdana" w:hAnsi="Verdana"/>
          <w:b/>
          <w:bCs/>
        </w:rPr>
        <w:t xml:space="preserve"> that</w:t>
      </w:r>
      <w:r w:rsidR="00681885" w:rsidRPr="00681885" w:rsidDel="00774F7A">
        <w:rPr>
          <w:rFonts w:ascii="Verdana" w:hAnsi="Verdana"/>
          <w:b/>
          <w:bCs/>
        </w:rPr>
        <w:t xml:space="preserve"> </w:t>
      </w:r>
      <w:r w:rsidR="00681885" w:rsidRPr="00681885">
        <w:rPr>
          <w:rFonts w:ascii="Verdana" w:hAnsi="Verdana"/>
          <w:b/>
          <w:bCs/>
        </w:rPr>
        <w:t>Protocol Article 2</w:t>
      </w:r>
      <w:r w:rsidR="00681885">
        <w:rPr>
          <w:rFonts w:ascii="Verdana" w:hAnsi="Verdana"/>
          <w:b/>
          <w:bCs/>
        </w:rPr>
        <w:t xml:space="preserve"> </w:t>
      </w:r>
      <w:r w:rsidR="00774F7A">
        <w:rPr>
          <w:rFonts w:ascii="Verdana" w:hAnsi="Verdana"/>
          <w:b/>
          <w:bCs/>
        </w:rPr>
        <w:t xml:space="preserve">is built into and considered actively </w:t>
      </w:r>
      <w:r w:rsidR="00DA192A">
        <w:rPr>
          <w:rFonts w:ascii="Verdana" w:hAnsi="Verdana"/>
          <w:b/>
          <w:bCs/>
        </w:rPr>
        <w:t xml:space="preserve">during the development and implementation of </w:t>
      </w:r>
      <w:r w:rsidR="00774F7A">
        <w:rPr>
          <w:rFonts w:ascii="Verdana" w:hAnsi="Verdana"/>
          <w:b/>
          <w:bCs/>
        </w:rPr>
        <w:t xml:space="preserve">all </w:t>
      </w:r>
      <w:r w:rsidR="00DA192A">
        <w:rPr>
          <w:rFonts w:ascii="Verdana" w:hAnsi="Verdana"/>
          <w:b/>
          <w:bCs/>
        </w:rPr>
        <w:t>legislation and/or policy</w:t>
      </w:r>
      <w:r w:rsidRPr="00A771D0">
        <w:rPr>
          <w:rFonts w:ascii="Verdana" w:hAnsi="Verdana"/>
          <w:b/>
          <w:bCs/>
        </w:rPr>
        <w:t>.</w:t>
      </w:r>
    </w:p>
    <w:p w14:paraId="1FD2E182" w14:textId="77777777" w:rsidR="00EF6437" w:rsidRDefault="00EF6437" w:rsidP="00BC4725">
      <w:pPr>
        <w:pStyle w:val="BasicParagraph"/>
        <w:suppressAutoHyphens/>
        <w:rPr>
          <w:rFonts w:ascii="Verdana" w:hAnsi="Verdana" w:cs="Arial"/>
          <w:color w:val="3C3C3B"/>
          <w:sz w:val="20"/>
          <w:szCs w:val="20"/>
        </w:rPr>
      </w:pPr>
    </w:p>
    <w:p w14:paraId="7A3980A4" w14:textId="43F69965" w:rsidR="00BC4725" w:rsidRPr="00BB1167" w:rsidRDefault="00380238" w:rsidP="00BB1167">
      <w:pPr>
        <w:pStyle w:val="Heading1"/>
      </w:pPr>
      <w:bookmarkStart w:id="6" w:name="_Toc105754268"/>
      <w:r>
        <w:t>3.0</w:t>
      </w:r>
      <w:r>
        <w:tab/>
      </w:r>
      <w:r w:rsidR="00BC4725">
        <w:t>Slavery and Trafficking Risk Orders</w:t>
      </w:r>
      <w:bookmarkEnd w:id="6"/>
    </w:p>
    <w:p w14:paraId="419E2384" w14:textId="4CC862D5" w:rsidR="00203AD7" w:rsidRDefault="00F84193" w:rsidP="00087302">
      <w:pPr>
        <w:pStyle w:val="BasicParagraph"/>
        <w:numPr>
          <w:ilvl w:val="1"/>
          <w:numId w:val="6"/>
        </w:numPr>
        <w:suppressAutoHyphens/>
        <w:rPr>
          <w:rFonts w:ascii="Verdana" w:hAnsi="Verdana" w:cs="Arial"/>
          <w:bCs/>
          <w:color w:val="auto"/>
        </w:rPr>
      </w:pPr>
      <w:r w:rsidRPr="00191A3D">
        <w:rPr>
          <w:rFonts w:ascii="Verdana" w:hAnsi="Verdana" w:cs="Arial"/>
          <w:bCs/>
          <w:color w:val="auto"/>
        </w:rPr>
        <w:t>The Department proposes amending the Human Trafficking and Exploitation (Criminal Justice and Support for Victims) Act (</w:t>
      </w:r>
      <w:r>
        <w:rPr>
          <w:rFonts w:ascii="Verdana" w:hAnsi="Verdana" w:cs="Arial"/>
          <w:bCs/>
          <w:color w:val="auto"/>
        </w:rPr>
        <w:t>NI</w:t>
      </w:r>
      <w:r w:rsidRPr="00191A3D">
        <w:rPr>
          <w:rFonts w:ascii="Verdana" w:hAnsi="Verdana" w:cs="Arial"/>
          <w:bCs/>
          <w:color w:val="auto"/>
        </w:rPr>
        <w:t>) 2015 to make provision for Slavery Trafficking Risk Orders</w:t>
      </w:r>
      <w:r w:rsidR="00D05A42">
        <w:rPr>
          <w:rFonts w:ascii="Verdana" w:hAnsi="Verdana" w:cs="Arial"/>
          <w:bCs/>
          <w:color w:val="auto"/>
        </w:rPr>
        <w:t>. It proposes that risk orders are</w:t>
      </w:r>
      <w:r w:rsidRPr="00191A3D">
        <w:rPr>
          <w:rFonts w:ascii="Verdana" w:hAnsi="Verdana" w:cs="Arial"/>
          <w:bCs/>
          <w:color w:val="auto"/>
        </w:rPr>
        <w:t xml:space="preserve"> an option available to the P</w:t>
      </w:r>
      <w:r>
        <w:rPr>
          <w:rFonts w:ascii="Verdana" w:hAnsi="Verdana" w:cs="Arial"/>
          <w:bCs/>
          <w:color w:val="auto"/>
        </w:rPr>
        <w:t xml:space="preserve">olice </w:t>
      </w:r>
      <w:r w:rsidRPr="00191A3D">
        <w:rPr>
          <w:rFonts w:ascii="Verdana" w:hAnsi="Verdana" w:cs="Arial"/>
          <w:bCs/>
          <w:color w:val="auto"/>
        </w:rPr>
        <w:t>S</w:t>
      </w:r>
      <w:r>
        <w:rPr>
          <w:rFonts w:ascii="Verdana" w:hAnsi="Verdana" w:cs="Arial"/>
          <w:bCs/>
          <w:color w:val="auto"/>
        </w:rPr>
        <w:t xml:space="preserve">ervice of </w:t>
      </w:r>
      <w:r w:rsidRPr="00191A3D">
        <w:rPr>
          <w:rFonts w:ascii="Verdana" w:hAnsi="Verdana" w:cs="Arial"/>
          <w:bCs/>
          <w:color w:val="auto"/>
        </w:rPr>
        <w:t>NI, the P</w:t>
      </w:r>
      <w:r>
        <w:rPr>
          <w:rFonts w:ascii="Verdana" w:hAnsi="Verdana" w:cs="Arial"/>
          <w:bCs/>
          <w:color w:val="auto"/>
        </w:rPr>
        <w:t xml:space="preserve">ublic </w:t>
      </w:r>
      <w:r w:rsidRPr="00191A3D">
        <w:rPr>
          <w:rFonts w:ascii="Verdana" w:hAnsi="Verdana" w:cs="Arial"/>
          <w:bCs/>
          <w:color w:val="auto"/>
        </w:rPr>
        <w:t>P</w:t>
      </w:r>
      <w:r>
        <w:rPr>
          <w:rFonts w:ascii="Verdana" w:hAnsi="Verdana" w:cs="Arial"/>
          <w:bCs/>
          <w:color w:val="auto"/>
        </w:rPr>
        <w:t xml:space="preserve">rosecution </w:t>
      </w:r>
      <w:r w:rsidRPr="00191A3D">
        <w:rPr>
          <w:rFonts w:ascii="Verdana" w:hAnsi="Verdana" w:cs="Arial"/>
          <w:bCs/>
          <w:color w:val="auto"/>
        </w:rPr>
        <w:t>S</w:t>
      </w:r>
      <w:r>
        <w:rPr>
          <w:rFonts w:ascii="Verdana" w:hAnsi="Verdana" w:cs="Arial"/>
          <w:bCs/>
          <w:color w:val="auto"/>
        </w:rPr>
        <w:t>ervice</w:t>
      </w:r>
      <w:r w:rsidRPr="00191A3D">
        <w:rPr>
          <w:rFonts w:ascii="Verdana" w:hAnsi="Verdana" w:cs="Arial"/>
          <w:bCs/>
          <w:color w:val="auto"/>
        </w:rPr>
        <w:t xml:space="preserve"> or the </w:t>
      </w:r>
      <w:r>
        <w:rPr>
          <w:rFonts w:ascii="Verdana" w:hAnsi="Verdana" w:cs="Arial"/>
          <w:bCs/>
          <w:color w:val="auto"/>
        </w:rPr>
        <w:t>NI</w:t>
      </w:r>
      <w:r w:rsidRPr="00191A3D">
        <w:rPr>
          <w:rFonts w:ascii="Verdana" w:hAnsi="Verdana" w:cs="Arial"/>
          <w:bCs/>
          <w:color w:val="auto"/>
        </w:rPr>
        <w:t xml:space="preserve"> Courts and Tribunals Service for use against people who </w:t>
      </w:r>
      <w:r>
        <w:rPr>
          <w:rFonts w:ascii="Verdana" w:hAnsi="Verdana" w:cs="Arial"/>
          <w:bCs/>
          <w:color w:val="auto"/>
        </w:rPr>
        <w:t>have not</w:t>
      </w:r>
      <w:r w:rsidRPr="00191A3D">
        <w:rPr>
          <w:rFonts w:ascii="Verdana" w:hAnsi="Verdana" w:cs="Arial"/>
          <w:bCs/>
          <w:color w:val="auto"/>
        </w:rPr>
        <w:t xml:space="preserve"> been </w:t>
      </w:r>
      <w:proofErr w:type="gramStart"/>
      <w:r w:rsidRPr="00191A3D">
        <w:rPr>
          <w:rFonts w:ascii="Verdana" w:hAnsi="Verdana" w:cs="Arial"/>
          <w:bCs/>
          <w:color w:val="auto"/>
        </w:rPr>
        <w:t>convicted</w:t>
      </w:r>
      <w:r w:rsidR="00D05A42">
        <w:rPr>
          <w:rFonts w:ascii="Verdana" w:hAnsi="Verdana" w:cs="Arial"/>
          <w:bCs/>
          <w:color w:val="auto"/>
        </w:rPr>
        <w:t>,</w:t>
      </w:r>
      <w:r w:rsidRPr="00191A3D">
        <w:rPr>
          <w:rFonts w:ascii="Verdana" w:hAnsi="Verdana" w:cs="Arial"/>
          <w:bCs/>
          <w:color w:val="auto"/>
        </w:rPr>
        <w:t xml:space="preserve"> but</w:t>
      </w:r>
      <w:proofErr w:type="gramEnd"/>
      <w:r w:rsidRPr="00191A3D">
        <w:rPr>
          <w:rFonts w:ascii="Verdana" w:hAnsi="Verdana" w:cs="Arial"/>
          <w:bCs/>
          <w:color w:val="auto"/>
        </w:rPr>
        <w:t xml:space="preserve"> </w:t>
      </w:r>
      <w:r>
        <w:rPr>
          <w:rFonts w:ascii="Verdana" w:hAnsi="Verdana" w:cs="Arial"/>
          <w:bCs/>
          <w:color w:val="auto"/>
        </w:rPr>
        <w:t>are posing</w:t>
      </w:r>
      <w:r w:rsidRPr="00191A3D">
        <w:rPr>
          <w:rFonts w:ascii="Verdana" w:hAnsi="Verdana" w:cs="Arial"/>
          <w:bCs/>
          <w:color w:val="auto"/>
        </w:rPr>
        <w:t xml:space="preserve"> a continuing risk of committing modern slavery and human trafficking in NI.</w:t>
      </w:r>
      <w:r>
        <w:rPr>
          <w:rFonts w:ascii="Verdana" w:hAnsi="Verdana" w:cs="Arial"/>
          <w:bCs/>
          <w:color w:val="auto"/>
        </w:rPr>
        <w:t xml:space="preserve"> </w:t>
      </w:r>
      <w:r w:rsidR="00504701">
        <w:rPr>
          <w:rFonts w:ascii="Verdana" w:hAnsi="Verdana" w:cs="Arial"/>
          <w:bCs/>
          <w:color w:val="auto"/>
        </w:rPr>
        <w:t>A</w:t>
      </w:r>
      <w:r>
        <w:rPr>
          <w:rFonts w:ascii="Verdana" w:hAnsi="Verdana" w:cs="Arial"/>
          <w:bCs/>
          <w:color w:val="auto"/>
        </w:rPr>
        <w:t xml:space="preserve"> risk order </w:t>
      </w:r>
      <w:r w:rsidR="002953A4">
        <w:rPr>
          <w:rFonts w:ascii="Verdana" w:hAnsi="Verdana" w:cs="Arial"/>
          <w:bCs/>
          <w:color w:val="auto"/>
        </w:rPr>
        <w:t>entitle</w:t>
      </w:r>
      <w:r w:rsidR="00504701">
        <w:rPr>
          <w:rFonts w:ascii="Verdana" w:hAnsi="Verdana" w:cs="Arial"/>
          <w:bCs/>
          <w:color w:val="auto"/>
        </w:rPr>
        <w:t>s</w:t>
      </w:r>
      <w:r w:rsidRPr="000477D2">
        <w:rPr>
          <w:rFonts w:ascii="Verdana" w:hAnsi="Verdana" w:cs="Arial"/>
          <w:bCs/>
          <w:color w:val="auto"/>
        </w:rPr>
        <w:t xml:space="preserve"> the</w:t>
      </w:r>
      <w:r w:rsidR="002953A4">
        <w:rPr>
          <w:rFonts w:ascii="Verdana" w:hAnsi="Verdana" w:cs="Arial"/>
          <w:bCs/>
          <w:color w:val="auto"/>
        </w:rPr>
        <w:t xml:space="preserve"> </w:t>
      </w:r>
      <w:r w:rsidR="00504701">
        <w:rPr>
          <w:rFonts w:ascii="Verdana" w:hAnsi="Verdana" w:cs="Arial"/>
          <w:bCs/>
          <w:color w:val="auto"/>
        </w:rPr>
        <w:t xml:space="preserve">NI </w:t>
      </w:r>
      <w:r w:rsidR="002953A4">
        <w:rPr>
          <w:rFonts w:ascii="Verdana" w:hAnsi="Verdana" w:cs="Arial"/>
          <w:bCs/>
          <w:color w:val="auto"/>
        </w:rPr>
        <w:t>Magistrates</w:t>
      </w:r>
      <w:r w:rsidRPr="000477D2">
        <w:rPr>
          <w:rFonts w:ascii="Verdana" w:hAnsi="Verdana" w:cs="Arial"/>
          <w:bCs/>
          <w:color w:val="auto"/>
        </w:rPr>
        <w:t xml:space="preserve"> Court to prohibit the defendant from doing anything described in it</w:t>
      </w:r>
      <w:r>
        <w:rPr>
          <w:rFonts w:ascii="Verdana" w:hAnsi="Verdana" w:cs="Arial"/>
          <w:bCs/>
          <w:color w:val="auto"/>
        </w:rPr>
        <w:t xml:space="preserve"> for a specified period.</w:t>
      </w:r>
    </w:p>
    <w:p w14:paraId="4554ED72" w14:textId="77777777" w:rsidR="007A10D2" w:rsidRPr="000A4378" w:rsidRDefault="007A10D2" w:rsidP="0050173E">
      <w:pPr>
        <w:pStyle w:val="BasicParagraph"/>
        <w:suppressAutoHyphens/>
        <w:rPr>
          <w:rFonts w:ascii="Verdana" w:hAnsi="Verdana" w:cs="Arial"/>
          <w:bCs/>
          <w:color w:val="auto"/>
        </w:rPr>
      </w:pPr>
    </w:p>
    <w:p w14:paraId="04394F7C" w14:textId="1F13C3E5" w:rsidR="00F25A3D" w:rsidRDefault="0076362A" w:rsidP="00087302">
      <w:pPr>
        <w:pStyle w:val="BasicParagraph"/>
        <w:numPr>
          <w:ilvl w:val="1"/>
          <w:numId w:val="6"/>
        </w:numPr>
        <w:suppressAutoHyphens/>
        <w:rPr>
          <w:rFonts w:ascii="Verdana" w:hAnsi="Verdana"/>
        </w:rPr>
      </w:pPr>
      <w:r w:rsidRPr="00AF7B36">
        <w:rPr>
          <w:rFonts w:ascii="Verdana" w:hAnsi="Verdana" w:cs="Arial"/>
          <w:bCs/>
          <w:color w:val="232120"/>
        </w:rPr>
        <w:t xml:space="preserve">The right to freedom from slavery, human trafficking and other forms of labour </w:t>
      </w:r>
      <w:r w:rsidR="009618D5">
        <w:rPr>
          <w:rFonts w:ascii="Verdana" w:hAnsi="Verdana" w:cs="Arial"/>
          <w:bCs/>
          <w:color w:val="232120"/>
        </w:rPr>
        <w:t>and from</w:t>
      </w:r>
      <w:r w:rsidR="009618D5" w:rsidRPr="00AF7B36">
        <w:rPr>
          <w:rFonts w:ascii="Verdana" w:hAnsi="Verdana" w:cs="Arial"/>
          <w:bCs/>
          <w:color w:val="232120"/>
        </w:rPr>
        <w:t xml:space="preserve"> </w:t>
      </w:r>
      <w:r w:rsidRPr="00AF7B36">
        <w:rPr>
          <w:rFonts w:ascii="Verdana" w:hAnsi="Verdana" w:cs="Arial"/>
          <w:bCs/>
          <w:color w:val="232120"/>
        </w:rPr>
        <w:t>sexual exploitation is protected in</w:t>
      </w:r>
      <w:r>
        <w:rPr>
          <w:rFonts w:ascii="Verdana" w:hAnsi="Verdana" w:cs="Arial"/>
          <w:bCs/>
          <w:color w:val="232120"/>
        </w:rPr>
        <w:t xml:space="preserve"> </w:t>
      </w:r>
      <w:r w:rsidR="009618D5">
        <w:rPr>
          <w:rFonts w:ascii="Verdana" w:hAnsi="Verdana" w:cs="Arial"/>
          <w:bCs/>
          <w:color w:val="232120"/>
        </w:rPr>
        <w:t xml:space="preserve">domestic and </w:t>
      </w:r>
      <w:r>
        <w:rPr>
          <w:rFonts w:ascii="Verdana" w:hAnsi="Verdana" w:cs="Arial"/>
          <w:bCs/>
          <w:color w:val="232120"/>
        </w:rPr>
        <w:t>international human rights law.</w:t>
      </w:r>
      <w:r w:rsidR="00195594">
        <w:rPr>
          <w:rStyle w:val="FootnoteReference"/>
          <w:rFonts w:ascii="Verdana" w:hAnsi="Verdana" w:cs="Arial"/>
          <w:bCs/>
          <w:color w:val="232120"/>
        </w:rPr>
        <w:footnoteReference w:id="42"/>
      </w:r>
      <w:r>
        <w:rPr>
          <w:rFonts w:ascii="Verdana" w:hAnsi="Verdana" w:cs="Arial"/>
          <w:bCs/>
          <w:color w:val="232120"/>
        </w:rPr>
        <w:t xml:space="preserve"> </w:t>
      </w:r>
      <w:r w:rsidR="007A10D2">
        <w:rPr>
          <w:rFonts w:ascii="Verdana" w:hAnsi="Verdana"/>
        </w:rPr>
        <w:t>The European Court of Human Rights (ECtHR) has held</w:t>
      </w:r>
      <w:r w:rsidR="002A7A86">
        <w:rPr>
          <w:rFonts w:ascii="Verdana" w:hAnsi="Verdana"/>
        </w:rPr>
        <w:t xml:space="preserve"> that trafficking in human beings falls within the scope of Article 4 of the ECHR (p</w:t>
      </w:r>
      <w:r w:rsidR="002A7A86" w:rsidRPr="0013334C">
        <w:rPr>
          <w:rFonts w:ascii="Verdana" w:hAnsi="Verdana"/>
        </w:rPr>
        <w:t>rohibition of slavery and forced labour</w:t>
      </w:r>
      <w:r w:rsidR="002A7A86">
        <w:rPr>
          <w:rFonts w:ascii="Verdana" w:hAnsi="Verdana"/>
        </w:rPr>
        <w:t>),</w:t>
      </w:r>
      <w:r w:rsidR="00195594">
        <w:rPr>
          <w:rStyle w:val="FootnoteReference"/>
          <w:rFonts w:ascii="Verdana" w:hAnsi="Verdana"/>
        </w:rPr>
        <w:footnoteReference w:id="43"/>
      </w:r>
      <w:r w:rsidR="002A7A86">
        <w:rPr>
          <w:rFonts w:ascii="Verdana" w:hAnsi="Verdana"/>
        </w:rPr>
        <w:t xml:space="preserve"> a</w:t>
      </w:r>
      <w:r w:rsidR="00195594">
        <w:rPr>
          <w:rFonts w:ascii="Verdana" w:hAnsi="Verdana"/>
        </w:rPr>
        <w:t xml:space="preserve">s it </w:t>
      </w:r>
      <w:r w:rsidR="00875130">
        <w:rPr>
          <w:rFonts w:ascii="Verdana" w:hAnsi="Verdana"/>
        </w:rPr>
        <w:t>threatens the human dignity and fundamental freedoms of its victims</w:t>
      </w:r>
      <w:r w:rsidR="00316B96">
        <w:rPr>
          <w:rFonts w:ascii="Verdana" w:hAnsi="Verdana"/>
        </w:rPr>
        <w:t xml:space="preserve"> and, as such, cannot be considered compatible with a democratic society and the values expounded in the ECHR.</w:t>
      </w:r>
      <w:r w:rsidR="00A6395C">
        <w:rPr>
          <w:rStyle w:val="FootnoteReference"/>
          <w:rFonts w:ascii="Verdana" w:hAnsi="Verdana"/>
        </w:rPr>
        <w:footnoteReference w:id="44"/>
      </w:r>
      <w:r w:rsidR="007D6539">
        <w:rPr>
          <w:rFonts w:ascii="Verdana" w:hAnsi="Verdana"/>
        </w:rPr>
        <w:t xml:space="preserve"> </w:t>
      </w:r>
      <w:r w:rsidR="00237A1F">
        <w:rPr>
          <w:rFonts w:ascii="Verdana" w:hAnsi="Verdana"/>
        </w:rPr>
        <w:t>T</w:t>
      </w:r>
      <w:r w:rsidR="001F1668">
        <w:rPr>
          <w:rFonts w:ascii="Verdana" w:hAnsi="Verdana"/>
        </w:rPr>
        <w:t xml:space="preserve">he </w:t>
      </w:r>
      <w:r w:rsidR="001F1668" w:rsidRPr="004623AD">
        <w:rPr>
          <w:rFonts w:ascii="Verdana" w:hAnsi="Verdana"/>
        </w:rPr>
        <w:t>right to be protected against slavery and servitude</w:t>
      </w:r>
      <w:r w:rsidR="00560C63">
        <w:rPr>
          <w:rFonts w:ascii="Verdana" w:hAnsi="Verdana"/>
        </w:rPr>
        <w:t>, as provided for by Article 4(1) of the ECHR</w:t>
      </w:r>
      <w:r w:rsidR="001F1668" w:rsidRPr="004623AD">
        <w:rPr>
          <w:rFonts w:ascii="Verdana" w:hAnsi="Verdana"/>
        </w:rPr>
        <w:t xml:space="preserve"> </w:t>
      </w:r>
      <w:r w:rsidR="00237A1F">
        <w:rPr>
          <w:rFonts w:ascii="Verdana" w:hAnsi="Verdana"/>
        </w:rPr>
        <w:t xml:space="preserve">is </w:t>
      </w:r>
      <w:r w:rsidR="001F1668" w:rsidRPr="004623AD">
        <w:rPr>
          <w:rFonts w:ascii="Verdana" w:hAnsi="Verdana"/>
        </w:rPr>
        <w:t>absolute</w:t>
      </w:r>
      <w:r w:rsidR="00237A1F">
        <w:rPr>
          <w:rFonts w:ascii="Verdana" w:hAnsi="Verdana"/>
        </w:rPr>
        <w:t xml:space="preserve"> and cannot be interfered with under any circumstances</w:t>
      </w:r>
      <w:r w:rsidR="001F1668">
        <w:rPr>
          <w:rFonts w:ascii="Verdana" w:hAnsi="Verdana"/>
        </w:rPr>
        <w:t>.</w:t>
      </w:r>
    </w:p>
    <w:p w14:paraId="75D1DF82" w14:textId="77777777" w:rsidR="00644CA7" w:rsidRPr="00A6395C" w:rsidRDefault="00644CA7" w:rsidP="00A6395C">
      <w:pPr>
        <w:pStyle w:val="Style1"/>
        <w:rPr>
          <w:sz w:val="24"/>
          <w:szCs w:val="24"/>
        </w:rPr>
      </w:pPr>
    </w:p>
    <w:p w14:paraId="68B15334" w14:textId="4A1AAD87" w:rsidR="00644CA7" w:rsidRPr="00045B93" w:rsidRDefault="00644CA7" w:rsidP="00045B93">
      <w:pPr>
        <w:pStyle w:val="BasicParagraph"/>
        <w:numPr>
          <w:ilvl w:val="1"/>
          <w:numId w:val="6"/>
        </w:numPr>
        <w:suppressAutoHyphens/>
        <w:spacing w:after="240"/>
        <w:rPr>
          <w:rFonts w:ascii="Verdana" w:hAnsi="Verdana"/>
        </w:rPr>
      </w:pPr>
      <w:r>
        <w:rPr>
          <w:rFonts w:ascii="Verdana" w:hAnsi="Verdana"/>
        </w:rPr>
        <w:t xml:space="preserve">Article 4 requires that </w:t>
      </w:r>
      <w:r w:rsidR="00B1184C">
        <w:rPr>
          <w:rFonts w:ascii="Verdana" w:hAnsi="Verdana"/>
        </w:rPr>
        <w:t>States</w:t>
      </w:r>
      <w:r>
        <w:rPr>
          <w:rFonts w:ascii="Verdana" w:hAnsi="Verdana"/>
        </w:rPr>
        <w:t xml:space="preserve"> effectively penalise and prosecute any act aimed at maintaining a person in a situation of slavery, servitude or forced or compulsory labour. Accordingly, provisions of</w:t>
      </w:r>
      <w:r w:rsidR="00E86A7A">
        <w:rPr>
          <w:rFonts w:ascii="Verdana" w:hAnsi="Verdana"/>
        </w:rPr>
        <w:t xml:space="preserve"> the</w:t>
      </w:r>
      <w:r w:rsidR="00A85424">
        <w:rPr>
          <w:rFonts w:ascii="Verdana" w:hAnsi="Verdana"/>
        </w:rPr>
        <w:t xml:space="preserve"> </w:t>
      </w:r>
      <w:r w:rsidR="003537BE">
        <w:rPr>
          <w:rFonts w:ascii="Verdana" w:hAnsi="Verdana"/>
        </w:rPr>
        <w:t>EU Trafficking Directive</w:t>
      </w:r>
      <w:r w:rsidR="00A85424">
        <w:rPr>
          <w:rFonts w:ascii="Verdana" w:hAnsi="Verdana"/>
        </w:rPr>
        <w:t>,</w:t>
      </w:r>
      <w:r w:rsidR="003A2CCA">
        <w:rPr>
          <w:rFonts w:ascii="Verdana" w:hAnsi="Verdana"/>
        </w:rPr>
        <w:t xml:space="preserve"> </w:t>
      </w:r>
      <w:r w:rsidR="00A04C84">
        <w:rPr>
          <w:rFonts w:ascii="Verdana" w:hAnsi="Verdana"/>
        </w:rPr>
        <w:t xml:space="preserve">which </w:t>
      </w:r>
      <w:r w:rsidR="003A2CCA">
        <w:rPr>
          <w:rFonts w:ascii="Verdana" w:hAnsi="Verdana"/>
        </w:rPr>
        <w:t>underpin Article 4</w:t>
      </w:r>
      <w:r w:rsidR="00A04C84">
        <w:rPr>
          <w:rFonts w:ascii="Verdana" w:hAnsi="Verdana"/>
        </w:rPr>
        <w:t xml:space="preserve"> of the ECHR, </w:t>
      </w:r>
      <w:r w:rsidR="003A2CCA">
        <w:rPr>
          <w:rFonts w:ascii="Verdana" w:hAnsi="Verdana"/>
        </w:rPr>
        <w:t>creat</w:t>
      </w:r>
      <w:r w:rsidR="00A04C84">
        <w:rPr>
          <w:rFonts w:ascii="Verdana" w:hAnsi="Verdana"/>
        </w:rPr>
        <w:t>e</w:t>
      </w:r>
      <w:r w:rsidR="003A2CCA">
        <w:rPr>
          <w:rFonts w:ascii="Verdana" w:hAnsi="Verdana"/>
        </w:rPr>
        <w:t xml:space="preserve"> </w:t>
      </w:r>
      <w:r>
        <w:rPr>
          <w:rFonts w:ascii="Verdana" w:hAnsi="Verdana"/>
        </w:rPr>
        <w:t>specific provisions to prosecute offences of human trafficking</w:t>
      </w:r>
      <w:r w:rsidR="003A2CCA">
        <w:rPr>
          <w:rFonts w:ascii="Verdana" w:hAnsi="Verdana"/>
        </w:rPr>
        <w:t xml:space="preserve"> (Articles 2-10)</w:t>
      </w:r>
      <w:r>
        <w:rPr>
          <w:rFonts w:ascii="Verdana" w:hAnsi="Verdana"/>
        </w:rPr>
        <w:t>, while provid</w:t>
      </w:r>
      <w:r w:rsidR="003A2CCA">
        <w:rPr>
          <w:rFonts w:ascii="Verdana" w:hAnsi="Verdana"/>
        </w:rPr>
        <w:t>ing</w:t>
      </w:r>
      <w:r>
        <w:rPr>
          <w:rFonts w:ascii="Verdana" w:hAnsi="Verdana"/>
        </w:rPr>
        <w:t xml:space="preserve"> provisions to prevent human trafficking</w:t>
      </w:r>
      <w:r w:rsidR="003A2CCA">
        <w:rPr>
          <w:rFonts w:ascii="Verdana" w:hAnsi="Verdana"/>
        </w:rPr>
        <w:t xml:space="preserve"> (Articles 18-20)</w:t>
      </w:r>
      <w:r>
        <w:rPr>
          <w:rFonts w:ascii="Verdana" w:hAnsi="Verdana"/>
        </w:rPr>
        <w:t>.</w:t>
      </w:r>
      <w:r>
        <w:rPr>
          <w:rStyle w:val="FootnoteReference"/>
          <w:rFonts w:ascii="Verdana" w:hAnsi="Verdana"/>
        </w:rPr>
        <w:footnoteReference w:id="45"/>
      </w:r>
      <w:r w:rsidR="00213B1A">
        <w:rPr>
          <w:rFonts w:ascii="Verdana" w:hAnsi="Verdana"/>
        </w:rPr>
        <w:t xml:space="preserve"> </w:t>
      </w:r>
      <w:r w:rsidR="00045B93">
        <w:rPr>
          <w:rFonts w:ascii="Verdana" w:hAnsi="Verdana"/>
        </w:rPr>
        <w:t>In addition the EU Trafficking Directive includes specific provisions which protect the rights of victims and potential victims. Therefore</w:t>
      </w:r>
      <w:r w:rsidR="009719BB">
        <w:rPr>
          <w:rFonts w:ascii="Verdana" w:hAnsi="Verdana"/>
        </w:rPr>
        <w:t>,</w:t>
      </w:r>
      <w:r w:rsidR="00045B93">
        <w:rPr>
          <w:rFonts w:ascii="Verdana" w:hAnsi="Verdana"/>
        </w:rPr>
        <w:t xml:space="preserve"> to the extent that the obligations falling within Article 4, ECHR are underpinned by the EU Trafficking Directive, they fall within scope of Protocol Article 2.</w:t>
      </w:r>
    </w:p>
    <w:p w14:paraId="044C69CE" w14:textId="12A40996" w:rsidR="003C7786" w:rsidRDefault="001038FE" w:rsidP="00087302">
      <w:pPr>
        <w:pStyle w:val="BasicParagraph"/>
        <w:numPr>
          <w:ilvl w:val="1"/>
          <w:numId w:val="6"/>
        </w:numPr>
        <w:suppressAutoHyphens/>
        <w:rPr>
          <w:rFonts w:ascii="Verdana" w:hAnsi="Verdana"/>
        </w:rPr>
      </w:pPr>
      <w:r>
        <w:rPr>
          <w:rFonts w:ascii="Verdana" w:hAnsi="Verdana"/>
        </w:rPr>
        <w:t>I</w:t>
      </w:r>
      <w:r w:rsidR="007A10D2" w:rsidRPr="007E3A6F">
        <w:rPr>
          <w:rFonts w:ascii="Verdana" w:hAnsi="Verdana"/>
        </w:rPr>
        <w:t xml:space="preserve">n </w:t>
      </w:r>
      <w:proofErr w:type="spellStart"/>
      <w:r w:rsidR="007A10D2" w:rsidRPr="007E3A6F">
        <w:rPr>
          <w:rFonts w:ascii="Verdana" w:hAnsi="Verdana"/>
          <w:i/>
          <w:iCs/>
        </w:rPr>
        <w:t>Rantsev</w:t>
      </w:r>
      <w:proofErr w:type="spellEnd"/>
      <w:r w:rsidR="007A10D2" w:rsidRPr="007E3A6F">
        <w:rPr>
          <w:rFonts w:ascii="Verdana" w:hAnsi="Verdana"/>
          <w:i/>
          <w:iCs/>
        </w:rPr>
        <w:t xml:space="preserve"> v Cyprus and Russia</w:t>
      </w:r>
      <w:r w:rsidR="007A10D2" w:rsidRPr="007E3A6F">
        <w:rPr>
          <w:rFonts w:ascii="Verdana" w:hAnsi="Verdana"/>
        </w:rPr>
        <w:t xml:space="preserve"> (2010) the ECtHR </w:t>
      </w:r>
      <w:r w:rsidR="003F51F9">
        <w:rPr>
          <w:rFonts w:ascii="Verdana" w:hAnsi="Verdana"/>
        </w:rPr>
        <w:t>underlined</w:t>
      </w:r>
      <w:r w:rsidR="007A10D2">
        <w:rPr>
          <w:rFonts w:ascii="Verdana" w:hAnsi="Verdana"/>
        </w:rPr>
        <w:t xml:space="preserve"> that</w:t>
      </w:r>
      <w:r w:rsidR="007A10D2" w:rsidRPr="00EB4FD6">
        <w:rPr>
          <w:rFonts w:ascii="Verdana" w:hAnsi="Verdana"/>
        </w:rPr>
        <w:t xml:space="preserve"> </w:t>
      </w:r>
      <w:r w:rsidR="003F51F9">
        <w:rPr>
          <w:rFonts w:ascii="Verdana" w:hAnsi="Verdana"/>
        </w:rPr>
        <w:t>the</w:t>
      </w:r>
      <w:r w:rsidR="003F51F9" w:rsidRPr="00B91EF6">
        <w:rPr>
          <w:rFonts w:ascii="Verdana" w:hAnsi="Verdana"/>
        </w:rPr>
        <w:t xml:space="preserve"> </w:t>
      </w:r>
      <w:r w:rsidR="003F51F9">
        <w:rPr>
          <w:rFonts w:ascii="Verdana" w:hAnsi="Verdana"/>
        </w:rPr>
        <w:t xml:space="preserve">UN </w:t>
      </w:r>
      <w:r w:rsidR="003F51F9" w:rsidRPr="00B91EF6">
        <w:rPr>
          <w:rFonts w:ascii="Verdana" w:hAnsi="Verdana"/>
        </w:rPr>
        <w:t xml:space="preserve">Palermo Protocol and the </w:t>
      </w:r>
      <w:proofErr w:type="spellStart"/>
      <w:r w:rsidR="003F51F9">
        <w:rPr>
          <w:rFonts w:ascii="Verdana" w:hAnsi="Verdana"/>
        </w:rPr>
        <w:t>CoE</w:t>
      </w:r>
      <w:proofErr w:type="spellEnd"/>
      <w:r w:rsidR="003F51F9">
        <w:rPr>
          <w:rFonts w:ascii="Verdana" w:hAnsi="Verdana"/>
        </w:rPr>
        <w:t xml:space="preserve"> </w:t>
      </w:r>
      <w:r w:rsidR="003F51F9" w:rsidRPr="00DF00FD">
        <w:rPr>
          <w:rFonts w:ascii="Verdana" w:hAnsi="Verdana"/>
        </w:rPr>
        <w:t xml:space="preserve">Convention on Action against Trafficking in Human Beings </w:t>
      </w:r>
      <w:r w:rsidR="009618D5">
        <w:rPr>
          <w:rFonts w:ascii="Verdana" w:hAnsi="Verdana"/>
        </w:rPr>
        <w:t>require</w:t>
      </w:r>
      <w:r w:rsidR="003F51F9" w:rsidRPr="00DF00FD">
        <w:rPr>
          <w:rFonts w:ascii="Verdana" w:hAnsi="Verdana"/>
        </w:rPr>
        <w:t xml:space="preserve"> a comprehensive approach to combat trafficking</w:t>
      </w:r>
      <w:r w:rsidR="00FC2DDA">
        <w:rPr>
          <w:rFonts w:ascii="Verdana" w:hAnsi="Verdana"/>
        </w:rPr>
        <w:t>,</w:t>
      </w:r>
      <w:r w:rsidR="003F51F9">
        <w:rPr>
          <w:rFonts w:ascii="Verdana" w:hAnsi="Verdana"/>
        </w:rPr>
        <w:t xml:space="preserve"> </w:t>
      </w:r>
      <w:r w:rsidR="003F51F9" w:rsidRPr="007C5DA7">
        <w:rPr>
          <w:rFonts w:ascii="Verdana" w:hAnsi="Verdana"/>
        </w:rPr>
        <w:t>which includes measures to prevent trafficking and to protect victims</w:t>
      </w:r>
      <w:r w:rsidR="003F51F9">
        <w:rPr>
          <w:rFonts w:ascii="Verdana" w:hAnsi="Verdana"/>
        </w:rPr>
        <w:t xml:space="preserve">. </w:t>
      </w:r>
      <w:r w:rsidR="00FC2DDA">
        <w:rPr>
          <w:rFonts w:ascii="Verdana" w:hAnsi="Verdana"/>
        </w:rPr>
        <w:t>The</w:t>
      </w:r>
      <w:r w:rsidR="009618D5">
        <w:rPr>
          <w:rFonts w:ascii="Verdana" w:hAnsi="Verdana"/>
        </w:rPr>
        <w:t xml:space="preserve">refore, </w:t>
      </w:r>
      <w:r w:rsidR="007A10D2" w:rsidRPr="007E3A6F">
        <w:rPr>
          <w:rFonts w:ascii="Verdana" w:hAnsi="Verdana"/>
        </w:rPr>
        <w:t xml:space="preserve">in addition to criminal law measures to </w:t>
      </w:r>
      <w:r w:rsidR="009618D5">
        <w:rPr>
          <w:rFonts w:ascii="Verdana" w:hAnsi="Verdana"/>
        </w:rPr>
        <w:t xml:space="preserve">deter </w:t>
      </w:r>
      <w:r w:rsidR="007A10D2">
        <w:rPr>
          <w:rFonts w:ascii="Verdana" w:hAnsi="Verdana"/>
        </w:rPr>
        <w:t xml:space="preserve">and </w:t>
      </w:r>
      <w:r w:rsidR="007A10D2" w:rsidRPr="007E3A6F">
        <w:rPr>
          <w:rFonts w:ascii="Verdana" w:hAnsi="Verdana"/>
        </w:rPr>
        <w:t xml:space="preserve">punish traffickers, </w:t>
      </w:r>
      <w:r w:rsidR="009618D5">
        <w:rPr>
          <w:rFonts w:ascii="Verdana" w:hAnsi="Verdana"/>
        </w:rPr>
        <w:t xml:space="preserve">there must be </w:t>
      </w:r>
      <w:r w:rsidR="007A10D2" w:rsidRPr="007E3A6F">
        <w:rPr>
          <w:rFonts w:ascii="Verdana" w:hAnsi="Verdana"/>
        </w:rPr>
        <w:t xml:space="preserve">a spectrum of </w:t>
      </w:r>
      <w:r w:rsidR="009618D5">
        <w:rPr>
          <w:rFonts w:ascii="Verdana" w:hAnsi="Verdana"/>
        </w:rPr>
        <w:t xml:space="preserve">adequate </w:t>
      </w:r>
      <w:r w:rsidR="007A10D2" w:rsidRPr="007E3A6F">
        <w:rPr>
          <w:rFonts w:ascii="Verdana" w:hAnsi="Verdana"/>
        </w:rPr>
        <w:t>safeguards in domestic legislation</w:t>
      </w:r>
      <w:r w:rsidR="009618D5">
        <w:rPr>
          <w:rFonts w:ascii="Verdana" w:hAnsi="Verdana"/>
        </w:rPr>
        <w:t xml:space="preserve">. They must be </w:t>
      </w:r>
      <w:r w:rsidR="007A10D2" w:rsidRPr="007E3A6F">
        <w:rPr>
          <w:rFonts w:ascii="Verdana" w:hAnsi="Verdana"/>
        </w:rPr>
        <w:t>practical and effective</w:t>
      </w:r>
      <w:r w:rsidR="009618D5">
        <w:rPr>
          <w:rFonts w:ascii="Verdana" w:hAnsi="Verdana"/>
        </w:rPr>
        <w:t>.</w:t>
      </w:r>
      <w:r w:rsidR="007A10D2">
        <w:rPr>
          <w:rStyle w:val="FootnoteReference"/>
          <w:rFonts w:ascii="Verdana" w:hAnsi="Verdana"/>
        </w:rPr>
        <w:footnoteReference w:id="46"/>
      </w:r>
      <w:r w:rsidR="007A10D2" w:rsidRPr="007E3A6F">
        <w:rPr>
          <w:rFonts w:ascii="Verdana" w:hAnsi="Verdana"/>
        </w:rPr>
        <w:t xml:space="preserve"> </w:t>
      </w:r>
      <w:r w:rsidR="007C5DA7">
        <w:rPr>
          <w:rFonts w:ascii="Verdana" w:hAnsi="Verdana"/>
        </w:rPr>
        <w:t xml:space="preserve"> </w:t>
      </w:r>
    </w:p>
    <w:p w14:paraId="1ED50E6F" w14:textId="77777777" w:rsidR="00C54B3D" w:rsidRPr="00DF00FD" w:rsidRDefault="00C54B3D" w:rsidP="00C54B3D">
      <w:pPr>
        <w:pStyle w:val="BasicParagraph"/>
        <w:suppressAutoHyphens/>
        <w:ind w:left="720"/>
        <w:rPr>
          <w:rFonts w:ascii="Verdana" w:hAnsi="Verdana"/>
        </w:rPr>
      </w:pPr>
    </w:p>
    <w:p w14:paraId="5C458CC2" w14:textId="4FDE42D4" w:rsidR="00D63224" w:rsidRDefault="001078E5" w:rsidP="00087302">
      <w:pPr>
        <w:pStyle w:val="BasicParagraph"/>
        <w:numPr>
          <w:ilvl w:val="1"/>
          <w:numId w:val="6"/>
        </w:numPr>
        <w:suppressAutoHyphens/>
        <w:rPr>
          <w:rFonts w:ascii="Verdana" w:hAnsi="Verdana"/>
        </w:rPr>
      </w:pPr>
      <w:r>
        <w:rPr>
          <w:rFonts w:ascii="Verdana" w:hAnsi="Verdana"/>
        </w:rPr>
        <w:t>These positive obligations under Article 4</w:t>
      </w:r>
      <w:r w:rsidR="00D63224">
        <w:rPr>
          <w:rFonts w:ascii="Verdana" w:hAnsi="Verdana"/>
        </w:rPr>
        <w:t xml:space="preserve"> include the duty </w:t>
      </w:r>
      <w:r w:rsidR="00D63224" w:rsidRPr="00C73DFB">
        <w:rPr>
          <w:rFonts w:ascii="Verdana" w:hAnsi="Verdana"/>
        </w:rPr>
        <w:t>to put in place a legislative and administrative framework</w:t>
      </w:r>
      <w:r w:rsidR="00D63224">
        <w:rPr>
          <w:rFonts w:ascii="Verdana" w:hAnsi="Verdana"/>
        </w:rPr>
        <w:t>,</w:t>
      </w:r>
      <w:r w:rsidR="00D63224" w:rsidRPr="00C73DFB">
        <w:rPr>
          <w:rFonts w:ascii="Verdana" w:hAnsi="Verdana"/>
        </w:rPr>
        <w:t xml:space="preserve"> </w:t>
      </w:r>
      <w:r w:rsidR="00D63224">
        <w:rPr>
          <w:rFonts w:ascii="Verdana" w:hAnsi="Verdana"/>
        </w:rPr>
        <w:t>the duty to</w:t>
      </w:r>
      <w:r w:rsidR="00D63224" w:rsidRPr="00C73DFB">
        <w:rPr>
          <w:rFonts w:ascii="Verdana" w:hAnsi="Verdana"/>
        </w:rPr>
        <w:t xml:space="preserve"> take operational measures</w:t>
      </w:r>
      <w:r w:rsidR="00D63224">
        <w:rPr>
          <w:rFonts w:ascii="Verdana" w:hAnsi="Verdana"/>
        </w:rPr>
        <w:t>, and a procedural obligation to investigate.</w:t>
      </w:r>
      <w:r w:rsidR="00AA6143">
        <w:rPr>
          <w:rStyle w:val="FootnoteReference"/>
          <w:rFonts w:ascii="Verdana" w:hAnsi="Verdana"/>
        </w:rPr>
        <w:footnoteReference w:id="47"/>
      </w:r>
      <w:r w:rsidR="00D63224">
        <w:rPr>
          <w:rFonts w:ascii="Verdana" w:hAnsi="Verdana"/>
        </w:rPr>
        <w:t xml:space="preserve"> </w:t>
      </w:r>
      <w:r w:rsidR="00D63224" w:rsidRPr="00CE09EC">
        <w:rPr>
          <w:rFonts w:ascii="Verdana" w:hAnsi="Verdana"/>
        </w:rPr>
        <w:t xml:space="preserve">The </w:t>
      </w:r>
      <w:r w:rsidR="00D63224">
        <w:rPr>
          <w:rFonts w:ascii="Verdana" w:hAnsi="Verdana"/>
        </w:rPr>
        <w:t xml:space="preserve">requirements of the </w:t>
      </w:r>
      <w:r w:rsidR="00D63224" w:rsidRPr="00CE09EC">
        <w:rPr>
          <w:rFonts w:ascii="Verdana" w:hAnsi="Verdana"/>
        </w:rPr>
        <w:t xml:space="preserve">procedural limb under </w:t>
      </w:r>
      <w:r w:rsidR="00D63224">
        <w:rPr>
          <w:rFonts w:ascii="Verdana" w:hAnsi="Verdana"/>
        </w:rPr>
        <w:t>Article 4 are informed by the converging principles under</w:t>
      </w:r>
      <w:r w:rsidR="00D63224" w:rsidRPr="00CE09EC">
        <w:rPr>
          <w:rFonts w:ascii="Verdana" w:hAnsi="Verdana"/>
        </w:rPr>
        <w:t xml:space="preserve"> Articles 2 and 3 </w:t>
      </w:r>
      <w:r w:rsidR="00D63224">
        <w:rPr>
          <w:rFonts w:ascii="Verdana" w:hAnsi="Verdana"/>
        </w:rPr>
        <w:t xml:space="preserve">of the ECHR, requiring </w:t>
      </w:r>
      <w:r w:rsidR="00D63224" w:rsidRPr="00BE2AE2">
        <w:rPr>
          <w:rFonts w:ascii="Verdana" w:hAnsi="Verdana"/>
        </w:rPr>
        <w:t>public authorities to take proactive, reasonable steps when there is a real and imminent risk to life/of torture or ill treatment.</w:t>
      </w:r>
      <w:r w:rsidR="00D63224" w:rsidRPr="00BE2AE2">
        <w:rPr>
          <w:rStyle w:val="FootnoteReference"/>
          <w:rFonts w:ascii="Verdana" w:hAnsi="Verdana"/>
        </w:rPr>
        <w:footnoteReference w:id="48"/>
      </w:r>
      <w:r w:rsidR="00D63224">
        <w:rPr>
          <w:rFonts w:ascii="Verdana" w:hAnsi="Verdana"/>
        </w:rPr>
        <w:t xml:space="preserve"> </w:t>
      </w:r>
    </w:p>
    <w:p w14:paraId="7335D1C1" w14:textId="77777777" w:rsidR="00D63224" w:rsidRPr="002C741E" w:rsidRDefault="00D63224" w:rsidP="002C741E">
      <w:pPr>
        <w:pStyle w:val="Style1"/>
        <w:rPr>
          <w:sz w:val="24"/>
          <w:szCs w:val="24"/>
        </w:rPr>
      </w:pPr>
    </w:p>
    <w:p w14:paraId="72BCCCCD" w14:textId="2E44911A" w:rsidR="00D63224" w:rsidRDefault="00EC3FD2" w:rsidP="00087302">
      <w:pPr>
        <w:pStyle w:val="BasicParagraph"/>
        <w:numPr>
          <w:ilvl w:val="1"/>
          <w:numId w:val="6"/>
        </w:numPr>
        <w:suppressAutoHyphens/>
        <w:rPr>
          <w:rFonts w:ascii="Verdana" w:hAnsi="Verdana"/>
        </w:rPr>
      </w:pPr>
      <w:r>
        <w:rPr>
          <w:rFonts w:ascii="Verdana" w:hAnsi="Verdana"/>
        </w:rPr>
        <w:t>M</w:t>
      </w:r>
      <w:r w:rsidR="00D63224">
        <w:rPr>
          <w:rFonts w:ascii="Verdana" w:hAnsi="Verdana"/>
        </w:rPr>
        <w:t xml:space="preserve">odern slavery and human trafficking </w:t>
      </w:r>
      <w:r>
        <w:rPr>
          <w:rFonts w:ascii="Verdana" w:hAnsi="Verdana"/>
        </w:rPr>
        <w:t xml:space="preserve">also </w:t>
      </w:r>
      <w:r w:rsidR="00D63224">
        <w:rPr>
          <w:rFonts w:ascii="Verdana" w:hAnsi="Verdana"/>
        </w:rPr>
        <w:t xml:space="preserve">pose a threat to life, equate to torture or ill-treatment, or compromise an individual’s physical or moral integrity. </w:t>
      </w:r>
      <w:r w:rsidR="00D63224" w:rsidRPr="00AA1AFF">
        <w:rPr>
          <w:rFonts w:ascii="Verdana" w:hAnsi="Verdana"/>
        </w:rPr>
        <w:t>Article 2 of the ECHR requires the State to take reasonable steps to prevent intentional and unintentional deprivation of life within their jurisdictions.</w:t>
      </w:r>
      <w:r w:rsidR="004B4698">
        <w:rPr>
          <w:rStyle w:val="FootnoteReference"/>
          <w:rFonts w:ascii="Verdana" w:hAnsi="Verdana"/>
        </w:rPr>
        <w:footnoteReference w:id="49"/>
      </w:r>
      <w:r w:rsidR="00D63224">
        <w:rPr>
          <w:rFonts w:ascii="Verdana" w:hAnsi="Verdana"/>
        </w:rPr>
        <w:t xml:space="preserve"> </w:t>
      </w:r>
      <w:r w:rsidR="00D63224" w:rsidRPr="004A3EA7">
        <w:rPr>
          <w:rFonts w:ascii="Verdana" w:hAnsi="Verdana"/>
        </w:rPr>
        <w:t>They also must take reasonable steps to counteract a known real and imminent risk to life.</w:t>
      </w:r>
      <w:r w:rsidR="004B4698">
        <w:rPr>
          <w:rStyle w:val="FootnoteReference"/>
          <w:rFonts w:ascii="Verdana" w:hAnsi="Verdana"/>
        </w:rPr>
        <w:footnoteReference w:id="50"/>
      </w:r>
      <w:r w:rsidR="00D63224" w:rsidRPr="004A3EA7">
        <w:rPr>
          <w:rFonts w:ascii="Verdana" w:hAnsi="Verdana"/>
        </w:rPr>
        <w:t xml:space="preserve"> Article 3 of the ECHR requires the </w:t>
      </w:r>
      <w:r w:rsidR="00D63224" w:rsidRPr="004A3EA7">
        <w:rPr>
          <w:rFonts w:ascii="Verdana" w:hAnsi="Verdana"/>
        </w:rPr>
        <w:lastRenderedPageBreak/>
        <w:t>State to take steps to eliminate torture, inhuman or degrading treatment or punishment under any circumstances. The right to respect for private life under Article 8 of the ECHR requires the State to put measures in place to protect a person’s physical and moral integrity on the basis that “a person’s body concerns the most intimate aspect of private life”.</w:t>
      </w:r>
      <w:r w:rsidR="00EC4190">
        <w:rPr>
          <w:rStyle w:val="FootnoteReference"/>
          <w:rFonts w:ascii="Verdana" w:hAnsi="Verdana"/>
        </w:rPr>
        <w:footnoteReference w:id="51"/>
      </w:r>
    </w:p>
    <w:p w14:paraId="5009BFB2" w14:textId="77777777" w:rsidR="00D63224" w:rsidRPr="002C741E" w:rsidRDefault="00D63224" w:rsidP="002C741E">
      <w:pPr>
        <w:pStyle w:val="Style1"/>
        <w:rPr>
          <w:sz w:val="24"/>
          <w:szCs w:val="24"/>
        </w:rPr>
      </w:pPr>
    </w:p>
    <w:p w14:paraId="210BE6CF" w14:textId="24E5651C" w:rsidR="00D63224" w:rsidRDefault="00853713" w:rsidP="00087302">
      <w:pPr>
        <w:pStyle w:val="BasicParagraph"/>
        <w:numPr>
          <w:ilvl w:val="1"/>
          <w:numId w:val="6"/>
        </w:numPr>
        <w:suppressAutoHyphens/>
        <w:rPr>
          <w:rFonts w:ascii="Verdana" w:hAnsi="Verdana"/>
        </w:rPr>
      </w:pPr>
      <w:r>
        <w:rPr>
          <w:rFonts w:ascii="Verdana" w:hAnsi="Verdana"/>
        </w:rPr>
        <w:t>The</w:t>
      </w:r>
      <w:r w:rsidR="00D63224" w:rsidRPr="003542C3">
        <w:rPr>
          <w:rFonts w:ascii="Verdana" w:hAnsi="Verdana"/>
        </w:rPr>
        <w:t xml:space="preserve"> </w:t>
      </w:r>
      <w:r w:rsidR="00C972A1">
        <w:rPr>
          <w:rFonts w:ascii="Verdana" w:hAnsi="Verdana"/>
        </w:rPr>
        <w:t>UN</w:t>
      </w:r>
      <w:r w:rsidR="00D63224" w:rsidRPr="003542C3">
        <w:rPr>
          <w:rFonts w:ascii="Verdana" w:hAnsi="Verdana"/>
        </w:rPr>
        <w:t xml:space="preserve"> </w:t>
      </w:r>
      <w:r w:rsidR="00D63224">
        <w:rPr>
          <w:rFonts w:ascii="Verdana" w:hAnsi="Verdana"/>
        </w:rPr>
        <w:t xml:space="preserve">Office of the High Commissioner for Human Rights has provided </w:t>
      </w:r>
      <w:r w:rsidR="00D63224" w:rsidRPr="003542C3">
        <w:rPr>
          <w:rFonts w:ascii="Verdana" w:hAnsi="Verdana"/>
        </w:rPr>
        <w:t>Recommended Principles and Guidelines on Human Rights and Human Trafficking.</w:t>
      </w:r>
      <w:r w:rsidR="00D63224">
        <w:rPr>
          <w:rFonts w:ascii="Verdana" w:hAnsi="Verdana"/>
        </w:rPr>
        <w:t xml:space="preserve"> Guidelines 4 and 5 set out minimum requirements for ensuring an adequate legal framework and law enforcement response to human trafficking. These include requirements for ensuring the protection of victims is built into anti-trafficking legislation</w:t>
      </w:r>
      <w:r w:rsidR="00D63224">
        <w:rPr>
          <w:rStyle w:val="FootnoteReference"/>
          <w:rFonts w:ascii="Verdana" w:hAnsi="Verdana"/>
        </w:rPr>
        <w:footnoteReference w:id="52"/>
      </w:r>
      <w:r w:rsidR="00D63224">
        <w:rPr>
          <w:rFonts w:ascii="Verdana" w:hAnsi="Verdana"/>
        </w:rPr>
        <w:t xml:space="preserve"> and for the provision of </w:t>
      </w:r>
      <w:r w:rsidR="00D63224" w:rsidRPr="001E3B46">
        <w:rPr>
          <w:rFonts w:ascii="Verdana" w:hAnsi="Verdana"/>
        </w:rPr>
        <w:t xml:space="preserve">adequate investigative powers and techniques to </w:t>
      </w:r>
      <w:r w:rsidR="00D63224">
        <w:rPr>
          <w:rFonts w:ascii="Verdana" w:hAnsi="Verdana"/>
        </w:rPr>
        <w:t xml:space="preserve">law enforcement for the </w:t>
      </w:r>
      <w:r w:rsidR="00D63224" w:rsidRPr="001E3B46">
        <w:rPr>
          <w:rFonts w:ascii="Verdana" w:hAnsi="Verdana"/>
        </w:rPr>
        <w:t>effective investigation and prosecution of suspected traffickers.</w:t>
      </w:r>
      <w:r w:rsidR="00D63224">
        <w:rPr>
          <w:rStyle w:val="FootnoteReference"/>
          <w:rFonts w:ascii="Verdana" w:hAnsi="Verdana"/>
        </w:rPr>
        <w:footnoteReference w:id="53"/>
      </w:r>
    </w:p>
    <w:p w14:paraId="19091E8B" w14:textId="77777777" w:rsidR="007A10D2" w:rsidRPr="00AA1AFF" w:rsidRDefault="007A10D2" w:rsidP="007A10D2">
      <w:pPr>
        <w:pStyle w:val="BasicParagraph"/>
        <w:suppressAutoHyphens/>
        <w:rPr>
          <w:rFonts w:ascii="Verdana" w:hAnsi="Verdana"/>
        </w:rPr>
      </w:pPr>
    </w:p>
    <w:p w14:paraId="0FB748E9" w14:textId="6ED20BC4" w:rsidR="00B52A58" w:rsidRPr="00B52A58" w:rsidRDefault="00B36DE9" w:rsidP="00087302">
      <w:pPr>
        <w:pStyle w:val="BasicParagraph"/>
        <w:numPr>
          <w:ilvl w:val="1"/>
          <w:numId w:val="6"/>
        </w:numPr>
        <w:suppressAutoHyphens/>
        <w:rPr>
          <w:rFonts w:ascii="Verdana" w:hAnsi="Verdana" w:cs="Arial"/>
          <w:bCs/>
          <w:color w:val="auto"/>
        </w:rPr>
      </w:pPr>
      <w:r>
        <w:rPr>
          <w:rFonts w:ascii="Verdana" w:hAnsi="Verdana" w:cs="Arial"/>
          <w:bCs/>
          <w:color w:val="auto"/>
        </w:rPr>
        <w:t xml:space="preserve">In its </w:t>
      </w:r>
      <w:r w:rsidR="004A3F9B">
        <w:rPr>
          <w:rFonts w:ascii="Verdana" w:hAnsi="Verdana" w:cs="Arial"/>
          <w:bCs/>
          <w:color w:val="auto"/>
        </w:rPr>
        <w:t>response to the Department</w:t>
      </w:r>
      <w:r w:rsidR="008D1089">
        <w:rPr>
          <w:rFonts w:ascii="Verdana" w:hAnsi="Verdana" w:cs="Arial"/>
          <w:bCs/>
          <w:color w:val="auto"/>
        </w:rPr>
        <w:t xml:space="preserve"> of Justice</w:t>
      </w:r>
      <w:r w:rsidR="004A3F9B">
        <w:rPr>
          <w:rFonts w:ascii="Verdana" w:hAnsi="Verdana" w:cs="Arial"/>
          <w:bCs/>
          <w:color w:val="auto"/>
        </w:rPr>
        <w:t xml:space="preserve">’s </w:t>
      </w:r>
      <w:r w:rsidR="00EC3FD2">
        <w:rPr>
          <w:rFonts w:ascii="Verdana" w:hAnsi="Verdana" w:cs="Arial"/>
          <w:bCs/>
          <w:color w:val="auto"/>
        </w:rPr>
        <w:t xml:space="preserve">2014 </w:t>
      </w:r>
      <w:r w:rsidR="004A3F9B">
        <w:rPr>
          <w:rFonts w:ascii="Verdana" w:hAnsi="Verdana" w:cs="Arial"/>
          <w:bCs/>
          <w:color w:val="auto"/>
        </w:rPr>
        <w:t xml:space="preserve">consultation, the NIHRC </w:t>
      </w:r>
      <w:r w:rsidR="005F2484">
        <w:rPr>
          <w:rFonts w:ascii="Verdana" w:hAnsi="Verdana" w:cs="Arial"/>
          <w:bCs/>
          <w:color w:val="auto"/>
        </w:rPr>
        <w:t>requested clarification</w:t>
      </w:r>
      <w:r w:rsidR="005F2484" w:rsidRPr="005F2484">
        <w:rPr>
          <w:rFonts w:ascii="Verdana" w:hAnsi="Verdana"/>
        </w:rPr>
        <w:t xml:space="preserve"> </w:t>
      </w:r>
      <w:r w:rsidR="00EC3FD2">
        <w:rPr>
          <w:rFonts w:ascii="Verdana" w:hAnsi="Verdana"/>
        </w:rPr>
        <w:t xml:space="preserve">on </w:t>
      </w:r>
      <w:r w:rsidR="005F2484" w:rsidRPr="005F2484">
        <w:rPr>
          <w:rFonts w:ascii="Verdana" w:hAnsi="Verdana"/>
        </w:rPr>
        <w:t xml:space="preserve">and </w:t>
      </w:r>
      <w:r w:rsidR="005F2484">
        <w:rPr>
          <w:rFonts w:ascii="Verdana" w:hAnsi="Verdana"/>
        </w:rPr>
        <w:t>sought assurance</w:t>
      </w:r>
      <w:r w:rsidR="005F2484" w:rsidRPr="005F2484">
        <w:rPr>
          <w:rFonts w:ascii="Verdana" w:hAnsi="Verdana"/>
        </w:rPr>
        <w:t xml:space="preserve"> that the </w:t>
      </w:r>
      <w:r w:rsidR="00EC3FD2">
        <w:rPr>
          <w:rFonts w:ascii="Verdana" w:hAnsi="Verdana"/>
        </w:rPr>
        <w:t xml:space="preserve">Slavery Trafficking Risk </w:t>
      </w:r>
      <w:proofErr w:type="gramStart"/>
      <w:r w:rsidR="00EC3FD2">
        <w:rPr>
          <w:rFonts w:ascii="Verdana" w:hAnsi="Verdana"/>
        </w:rPr>
        <w:t xml:space="preserve">Orders </w:t>
      </w:r>
      <w:r w:rsidR="005F2484" w:rsidRPr="005F2484">
        <w:rPr>
          <w:rFonts w:ascii="Verdana" w:hAnsi="Verdana"/>
        </w:rPr>
        <w:t xml:space="preserve"> </w:t>
      </w:r>
      <w:r w:rsidR="00EC3FD2">
        <w:rPr>
          <w:rFonts w:ascii="Verdana" w:hAnsi="Verdana"/>
        </w:rPr>
        <w:t>could</w:t>
      </w:r>
      <w:proofErr w:type="gramEnd"/>
      <w:r w:rsidR="00EC3FD2">
        <w:rPr>
          <w:rFonts w:ascii="Verdana" w:hAnsi="Verdana"/>
        </w:rPr>
        <w:t xml:space="preserve"> not </w:t>
      </w:r>
      <w:r w:rsidR="005F2484" w:rsidRPr="005F2484">
        <w:rPr>
          <w:rFonts w:ascii="Verdana" w:hAnsi="Verdana"/>
        </w:rPr>
        <w:t>become a vehicle by which the criminal law and its inherent protections for the defendant are circumvented.</w:t>
      </w:r>
      <w:r w:rsidR="005F2484">
        <w:rPr>
          <w:rStyle w:val="FootnoteReference"/>
          <w:rFonts w:ascii="Verdana" w:hAnsi="Verdana"/>
        </w:rPr>
        <w:footnoteReference w:id="54"/>
      </w:r>
      <w:r w:rsidR="007629DF">
        <w:rPr>
          <w:rFonts w:ascii="Verdana" w:hAnsi="Verdana"/>
        </w:rPr>
        <w:t xml:space="preserve"> </w:t>
      </w:r>
      <w:r w:rsidR="007629DF" w:rsidRPr="00B52A58">
        <w:rPr>
          <w:rFonts w:ascii="Verdana" w:hAnsi="Verdana"/>
        </w:rPr>
        <w:t>Therefore, the</w:t>
      </w:r>
      <w:r w:rsidR="00EC3FD2">
        <w:rPr>
          <w:rFonts w:ascii="Verdana" w:hAnsi="Verdana"/>
        </w:rPr>
        <w:t xml:space="preserve"> subsequent</w:t>
      </w:r>
      <w:r w:rsidR="00DA2B5E">
        <w:rPr>
          <w:rFonts w:ascii="Verdana" w:hAnsi="Verdana"/>
        </w:rPr>
        <w:t xml:space="preserve"> inclusion of practical examples</w:t>
      </w:r>
      <w:r w:rsidR="007A4C39">
        <w:rPr>
          <w:rFonts w:ascii="Verdana" w:hAnsi="Verdana"/>
        </w:rPr>
        <w:t xml:space="preserve"> </w:t>
      </w:r>
      <w:r w:rsidR="00DA2B5E">
        <w:rPr>
          <w:rFonts w:ascii="Verdana" w:hAnsi="Verdana"/>
        </w:rPr>
        <w:t>from other jurisdictions</w:t>
      </w:r>
      <w:r w:rsidR="007A4C39">
        <w:rPr>
          <w:rFonts w:ascii="Verdana" w:hAnsi="Verdana"/>
        </w:rPr>
        <w:t xml:space="preserve"> </w:t>
      </w:r>
      <w:r w:rsidR="0035412F" w:rsidRPr="00B52A58">
        <w:rPr>
          <w:rFonts w:ascii="Verdana" w:hAnsi="Verdana"/>
        </w:rPr>
        <w:t xml:space="preserve">in </w:t>
      </w:r>
      <w:r w:rsidR="00EB616B">
        <w:rPr>
          <w:rFonts w:ascii="Verdana" w:hAnsi="Verdana"/>
        </w:rPr>
        <w:t>s</w:t>
      </w:r>
      <w:r w:rsidR="00B743EB" w:rsidRPr="00B52A58">
        <w:rPr>
          <w:rFonts w:ascii="Verdana" w:hAnsi="Verdana"/>
        </w:rPr>
        <w:t>ection 3 of the</w:t>
      </w:r>
      <w:r w:rsidR="00B26D59" w:rsidRPr="00B52A58">
        <w:rPr>
          <w:rFonts w:ascii="Verdana" w:hAnsi="Verdana"/>
        </w:rPr>
        <w:t xml:space="preserve"> </w:t>
      </w:r>
      <w:r w:rsidR="007A4C39">
        <w:rPr>
          <w:rFonts w:ascii="Verdana" w:hAnsi="Verdana"/>
        </w:rPr>
        <w:t xml:space="preserve">current </w:t>
      </w:r>
      <w:r w:rsidR="0035412F" w:rsidRPr="00B52A58">
        <w:rPr>
          <w:rFonts w:ascii="Verdana" w:hAnsi="Verdana"/>
        </w:rPr>
        <w:t>consultation is welcomed</w:t>
      </w:r>
      <w:r w:rsidR="00DA2B5E">
        <w:rPr>
          <w:rFonts w:ascii="Verdana" w:hAnsi="Verdana"/>
        </w:rPr>
        <w:t>.</w:t>
      </w:r>
    </w:p>
    <w:p w14:paraId="0574C453" w14:textId="77777777" w:rsidR="00B52A58" w:rsidRPr="00242D89" w:rsidRDefault="00B52A58" w:rsidP="00242D89">
      <w:pPr>
        <w:pStyle w:val="Style1"/>
        <w:rPr>
          <w:sz w:val="24"/>
          <w:szCs w:val="24"/>
        </w:rPr>
      </w:pPr>
    </w:p>
    <w:p w14:paraId="1A4F8AA1" w14:textId="0B1A5006" w:rsidR="00B52A58" w:rsidRDefault="00EC3FD2" w:rsidP="00087302">
      <w:pPr>
        <w:pStyle w:val="BasicParagraph"/>
        <w:numPr>
          <w:ilvl w:val="1"/>
          <w:numId w:val="6"/>
        </w:numPr>
        <w:suppressAutoHyphens/>
        <w:rPr>
          <w:rFonts w:ascii="Verdana" w:hAnsi="Verdana" w:cs="Arial"/>
          <w:bCs/>
          <w:color w:val="auto"/>
        </w:rPr>
      </w:pPr>
      <w:r>
        <w:rPr>
          <w:rFonts w:ascii="Verdana" w:hAnsi="Verdana"/>
        </w:rPr>
        <w:t>The</w:t>
      </w:r>
      <w:r w:rsidR="009C7A37">
        <w:rPr>
          <w:rFonts w:ascii="Verdana" w:hAnsi="Verdana"/>
        </w:rPr>
        <w:t xml:space="preserve"> NIHRC </w:t>
      </w:r>
      <w:r w:rsidR="000C326F">
        <w:rPr>
          <w:rFonts w:ascii="Verdana" w:hAnsi="Verdana"/>
        </w:rPr>
        <w:t xml:space="preserve">acknowledges that </w:t>
      </w:r>
      <w:r w:rsidR="007100BF" w:rsidRPr="00191A3D">
        <w:rPr>
          <w:rFonts w:ascii="Verdana" w:hAnsi="Verdana" w:cs="Arial"/>
          <w:bCs/>
          <w:color w:val="auto"/>
        </w:rPr>
        <w:t xml:space="preserve">Slavery Trafficking Risk Orders </w:t>
      </w:r>
      <w:r w:rsidR="008A016D" w:rsidRPr="00B52A58">
        <w:rPr>
          <w:rFonts w:ascii="Verdana" w:hAnsi="Verdana"/>
        </w:rPr>
        <w:t xml:space="preserve">(or equivalent) </w:t>
      </w:r>
      <w:r w:rsidR="0012656B">
        <w:rPr>
          <w:rFonts w:ascii="Verdana" w:hAnsi="Verdana"/>
        </w:rPr>
        <w:t xml:space="preserve">have </w:t>
      </w:r>
      <w:r w:rsidR="002D7A77">
        <w:rPr>
          <w:rFonts w:ascii="Verdana" w:hAnsi="Verdana"/>
        </w:rPr>
        <w:t xml:space="preserve">since </w:t>
      </w:r>
      <w:r w:rsidR="0012656B">
        <w:rPr>
          <w:rFonts w:ascii="Verdana" w:hAnsi="Verdana"/>
        </w:rPr>
        <w:t>become a</w:t>
      </w:r>
      <w:r w:rsidR="008A016D" w:rsidRPr="00B52A58">
        <w:rPr>
          <w:rFonts w:ascii="Verdana" w:hAnsi="Verdana"/>
        </w:rPr>
        <w:t xml:space="preserve"> </w:t>
      </w:r>
      <w:r w:rsidR="00C50932" w:rsidRPr="00B52A58">
        <w:rPr>
          <w:rFonts w:ascii="Verdana" w:hAnsi="Verdana"/>
        </w:rPr>
        <w:t xml:space="preserve">key </w:t>
      </w:r>
      <w:r w:rsidR="008A016D" w:rsidRPr="00B52A58">
        <w:rPr>
          <w:rFonts w:ascii="Verdana" w:hAnsi="Verdana"/>
        </w:rPr>
        <w:t xml:space="preserve">feature of criminal justice approaches to tackling modern slavery and human trafficking in </w:t>
      </w:r>
      <w:r w:rsidR="0030101D" w:rsidRPr="00B52A58">
        <w:rPr>
          <w:rFonts w:ascii="Verdana" w:hAnsi="Verdana"/>
        </w:rPr>
        <w:t xml:space="preserve">Scotland, </w:t>
      </w:r>
      <w:proofErr w:type="gramStart"/>
      <w:r w:rsidR="00B0348E" w:rsidRPr="00B52A58">
        <w:rPr>
          <w:rFonts w:ascii="Verdana" w:hAnsi="Verdana"/>
        </w:rPr>
        <w:t>England</w:t>
      </w:r>
      <w:proofErr w:type="gramEnd"/>
      <w:r w:rsidR="00B0348E" w:rsidRPr="00B52A58">
        <w:rPr>
          <w:rFonts w:ascii="Verdana" w:hAnsi="Verdana"/>
        </w:rPr>
        <w:t xml:space="preserve"> and Wales</w:t>
      </w:r>
      <w:r w:rsidR="0030101D" w:rsidRPr="00B52A58">
        <w:rPr>
          <w:rFonts w:ascii="Verdana" w:hAnsi="Verdana"/>
        </w:rPr>
        <w:t xml:space="preserve">. </w:t>
      </w:r>
      <w:r w:rsidR="006A71AC">
        <w:rPr>
          <w:rFonts w:ascii="Verdana" w:hAnsi="Verdana" w:cs="Arial"/>
          <w:bCs/>
          <w:color w:val="auto"/>
        </w:rPr>
        <w:t xml:space="preserve">Drawing from this, </w:t>
      </w:r>
      <w:r w:rsidR="00591B3A">
        <w:rPr>
          <w:rFonts w:ascii="Verdana" w:hAnsi="Verdana" w:cs="Arial"/>
          <w:bCs/>
          <w:color w:val="auto"/>
        </w:rPr>
        <w:t>r</w:t>
      </w:r>
      <w:r w:rsidR="003D12BF">
        <w:rPr>
          <w:rFonts w:ascii="Verdana" w:hAnsi="Verdana" w:cs="Arial"/>
          <w:bCs/>
          <w:color w:val="auto"/>
        </w:rPr>
        <w:t xml:space="preserve">ecent </w:t>
      </w:r>
      <w:r w:rsidR="00B52A58" w:rsidRPr="00582D2B">
        <w:rPr>
          <w:rFonts w:ascii="Verdana" w:hAnsi="Verdana" w:cs="Arial"/>
          <w:bCs/>
          <w:color w:val="auto"/>
        </w:rPr>
        <w:t>recommendations from the Criminal Justice Inspectorate for NI</w:t>
      </w:r>
      <w:r w:rsidR="00B52A58">
        <w:rPr>
          <w:rStyle w:val="FootnoteReference"/>
          <w:rFonts w:ascii="Verdana" w:hAnsi="Verdana" w:cs="Arial"/>
          <w:bCs/>
          <w:color w:val="auto"/>
        </w:rPr>
        <w:footnoteReference w:id="55"/>
      </w:r>
      <w:r w:rsidR="00B52A58" w:rsidRPr="00582D2B">
        <w:rPr>
          <w:rFonts w:ascii="Verdana" w:hAnsi="Verdana" w:cs="Arial"/>
          <w:bCs/>
          <w:color w:val="auto"/>
        </w:rPr>
        <w:t xml:space="preserve"> and the Independent Anti-Slavery Commissioner</w:t>
      </w:r>
      <w:r w:rsidR="00B52A58">
        <w:rPr>
          <w:rStyle w:val="FootnoteReference"/>
          <w:rFonts w:ascii="Verdana" w:hAnsi="Verdana" w:cs="Arial"/>
          <w:bCs/>
          <w:color w:val="auto"/>
        </w:rPr>
        <w:footnoteReference w:id="56"/>
      </w:r>
      <w:r w:rsidR="00B52A58" w:rsidRPr="00582D2B">
        <w:rPr>
          <w:rFonts w:ascii="Verdana" w:hAnsi="Verdana" w:cs="Arial"/>
          <w:bCs/>
          <w:color w:val="auto"/>
        </w:rPr>
        <w:t xml:space="preserve"> support </w:t>
      </w:r>
      <w:r w:rsidR="00C522F2">
        <w:rPr>
          <w:rFonts w:ascii="Verdana" w:hAnsi="Verdana" w:cs="Arial"/>
          <w:bCs/>
          <w:color w:val="auto"/>
        </w:rPr>
        <w:t>introducing</w:t>
      </w:r>
      <w:r w:rsidR="00B52A58" w:rsidRPr="00582D2B">
        <w:rPr>
          <w:rFonts w:ascii="Verdana" w:hAnsi="Verdana" w:cs="Arial"/>
          <w:bCs/>
          <w:color w:val="auto"/>
        </w:rPr>
        <w:t xml:space="preserve"> </w:t>
      </w:r>
      <w:r w:rsidR="007100BF">
        <w:rPr>
          <w:rFonts w:ascii="Verdana" w:hAnsi="Verdana" w:cs="Arial"/>
          <w:bCs/>
          <w:color w:val="auto"/>
        </w:rPr>
        <w:t>risk orders</w:t>
      </w:r>
      <w:r w:rsidR="00B52A58" w:rsidRPr="00582D2B">
        <w:rPr>
          <w:rFonts w:ascii="Verdana" w:hAnsi="Verdana" w:cs="Arial"/>
          <w:bCs/>
          <w:color w:val="auto"/>
        </w:rPr>
        <w:t xml:space="preserve"> </w:t>
      </w:r>
      <w:r w:rsidR="0012656B">
        <w:rPr>
          <w:rFonts w:ascii="Verdana" w:hAnsi="Verdana" w:cs="Arial"/>
          <w:bCs/>
          <w:color w:val="auto"/>
        </w:rPr>
        <w:t>to</w:t>
      </w:r>
      <w:r w:rsidR="00B52A58" w:rsidRPr="00582D2B">
        <w:rPr>
          <w:rFonts w:ascii="Verdana" w:hAnsi="Verdana" w:cs="Arial"/>
          <w:bCs/>
          <w:color w:val="auto"/>
        </w:rPr>
        <w:t xml:space="preserve"> NI.</w:t>
      </w:r>
      <w:r w:rsidR="00B52A58">
        <w:rPr>
          <w:rFonts w:ascii="Verdana" w:hAnsi="Verdana" w:cs="Arial"/>
          <w:bCs/>
          <w:color w:val="auto"/>
        </w:rPr>
        <w:t xml:space="preserve"> </w:t>
      </w:r>
    </w:p>
    <w:p w14:paraId="4604AAF3" w14:textId="77777777" w:rsidR="003D12BF" w:rsidRDefault="003D12BF" w:rsidP="003D12BF">
      <w:pPr>
        <w:pStyle w:val="BasicParagraph"/>
        <w:suppressAutoHyphens/>
        <w:rPr>
          <w:rFonts w:ascii="Verdana" w:hAnsi="Verdana" w:cs="Arial"/>
          <w:bCs/>
          <w:color w:val="auto"/>
        </w:rPr>
      </w:pPr>
    </w:p>
    <w:p w14:paraId="6CD45C83" w14:textId="0EE0C4E4" w:rsidR="004F5F0D" w:rsidRPr="004F5F0D" w:rsidRDefault="00875860" w:rsidP="00087302">
      <w:pPr>
        <w:pStyle w:val="BasicParagraph"/>
        <w:numPr>
          <w:ilvl w:val="1"/>
          <w:numId w:val="6"/>
        </w:numPr>
        <w:suppressAutoHyphens/>
        <w:spacing w:after="240"/>
        <w:rPr>
          <w:rFonts w:ascii="Verdana" w:hAnsi="Verdana"/>
        </w:rPr>
      </w:pPr>
      <w:r>
        <w:rPr>
          <w:rFonts w:ascii="Verdana" w:hAnsi="Verdana" w:cs="Arial"/>
          <w:bCs/>
          <w:color w:val="auto"/>
        </w:rPr>
        <w:t xml:space="preserve">Therefore, </w:t>
      </w:r>
      <w:r>
        <w:rPr>
          <w:rFonts w:ascii="Verdana" w:hAnsi="Verdana"/>
        </w:rPr>
        <w:t>t</w:t>
      </w:r>
      <w:r w:rsidRPr="00CF4C7E">
        <w:rPr>
          <w:rFonts w:ascii="Verdana" w:hAnsi="Verdana"/>
        </w:rPr>
        <w:t xml:space="preserve">he NIHRC welcomes </w:t>
      </w:r>
      <w:r w:rsidR="00A84EAA">
        <w:rPr>
          <w:rFonts w:ascii="Verdana" w:hAnsi="Verdana"/>
        </w:rPr>
        <w:t xml:space="preserve">the introduction of </w:t>
      </w:r>
      <w:r w:rsidR="007100BF" w:rsidRPr="00191A3D">
        <w:rPr>
          <w:rFonts w:ascii="Verdana" w:hAnsi="Verdana" w:cs="Arial"/>
          <w:bCs/>
          <w:color w:val="auto"/>
        </w:rPr>
        <w:t xml:space="preserve">Slavery Trafficking Risk </w:t>
      </w:r>
      <w:r w:rsidR="007100BF" w:rsidRPr="00191A3D">
        <w:rPr>
          <w:rFonts w:ascii="Verdana" w:hAnsi="Verdana" w:cs="Arial"/>
          <w:bCs/>
          <w:color w:val="auto"/>
        </w:rPr>
        <w:lastRenderedPageBreak/>
        <w:t>Orders</w:t>
      </w:r>
      <w:r w:rsidR="00343568">
        <w:rPr>
          <w:rFonts w:ascii="Verdana" w:hAnsi="Verdana"/>
        </w:rPr>
        <w:t xml:space="preserve"> </w:t>
      </w:r>
      <w:r w:rsidR="00314031">
        <w:rPr>
          <w:rFonts w:ascii="Verdana" w:hAnsi="Verdana"/>
        </w:rPr>
        <w:t xml:space="preserve">as an additional tool to </w:t>
      </w:r>
      <w:r w:rsidR="00E7526B">
        <w:rPr>
          <w:rFonts w:ascii="Verdana" w:hAnsi="Verdana"/>
        </w:rPr>
        <w:t>help the P</w:t>
      </w:r>
      <w:r w:rsidR="007E4892">
        <w:rPr>
          <w:rFonts w:ascii="Verdana" w:hAnsi="Verdana"/>
        </w:rPr>
        <w:t xml:space="preserve">olice </w:t>
      </w:r>
      <w:r w:rsidR="00E7526B">
        <w:rPr>
          <w:rFonts w:ascii="Verdana" w:hAnsi="Verdana"/>
        </w:rPr>
        <w:t>S</w:t>
      </w:r>
      <w:r w:rsidR="007E4892">
        <w:rPr>
          <w:rFonts w:ascii="Verdana" w:hAnsi="Verdana"/>
        </w:rPr>
        <w:t xml:space="preserve">ervice </w:t>
      </w:r>
      <w:r w:rsidR="00E7526B">
        <w:rPr>
          <w:rFonts w:ascii="Verdana" w:hAnsi="Verdana"/>
        </w:rPr>
        <w:t>NI protect victims</w:t>
      </w:r>
      <w:r w:rsidR="007E4892">
        <w:rPr>
          <w:rFonts w:ascii="Verdana" w:hAnsi="Verdana"/>
        </w:rPr>
        <w:t>,</w:t>
      </w:r>
      <w:r w:rsidR="00E7526B">
        <w:rPr>
          <w:rFonts w:ascii="Verdana" w:hAnsi="Verdana"/>
        </w:rPr>
        <w:t xml:space="preserve"> while </w:t>
      </w:r>
      <w:r w:rsidR="00A84EAA">
        <w:rPr>
          <w:rFonts w:ascii="Verdana" w:hAnsi="Verdana"/>
        </w:rPr>
        <w:t xml:space="preserve">continuing to </w:t>
      </w:r>
      <w:r w:rsidR="00E7526B">
        <w:rPr>
          <w:rFonts w:ascii="Verdana" w:hAnsi="Verdana"/>
        </w:rPr>
        <w:t xml:space="preserve">combat </w:t>
      </w:r>
      <w:r w:rsidR="00D568B2">
        <w:rPr>
          <w:rFonts w:ascii="Verdana" w:hAnsi="Verdana"/>
        </w:rPr>
        <w:t xml:space="preserve">offences or potential offences from occurring. It is </w:t>
      </w:r>
      <w:r w:rsidR="003630C6">
        <w:rPr>
          <w:rFonts w:ascii="Verdana" w:hAnsi="Verdana"/>
        </w:rPr>
        <w:t xml:space="preserve">particularly </w:t>
      </w:r>
      <w:r w:rsidR="00D568B2">
        <w:rPr>
          <w:rFonts w:ascii="Verdana" w:hAnsi="Verdana"/>
        </w:rPr>
        <w:t xml:space="preserve">welcomed that </w:t>
      </w:r>
      <w:r w:rsidRPr="00CF4C7E">
        <w:rPr>
          <w:rFonts w:ascii="Verdana" w:hAnsi="Verdana"/>
        </w:rPr>
        <w:t xml:space="preserve">Home Office Guidance </w:t>
      </w:r>
      <w:r w:rsidR="003630C6">
        <w:rPr>
          <w:rFonts w:ascii="Verdana" w:hAnsi="Verdana"/>
        </w:rPr>
        <w:t>advises</w:t>
      </w:r>
      <w:r w:rsidR="00D568B2">
        <w:rPr>
          <w:rFonts w:ascii="Verdana" w:hAnsi="Verdana"/>
        </w:rPr>
        <w:t xml:space="preserve"> </w:t>
      </w:r>
      <w:r w:rsidRPr="00CF4C7E">
        <w:rPr>
          <w:rFonts w:ascii="Verdana" w:hAnsi="Verdana"/>
        </w:rPr>
        <w:t xml:space="preserve">that </w:t>
      </w:r>
      <w:r w:rsidR="007100BF">
        <w:rPr>
          <w:rFonts w:ascii="Verdana" w:hAnsi="Verdana"/>
        </w:rPr>
        <w:t xml:space="preserve">such orders </w:t>
      </w:r>
      <w:r w:rsidRPr="00CF4C7E">
        <w:rPr>
          <w:rFonts w:ascii="Verdana" w:hAnsi="Verdana"/>
        </w:rPr>
        <w:t xml:space="preserve">are not </w:t>
      </w:r>
      <w:r w:rsidR="00D568B2">
        <w:rPr>
          <w:rFonts w:ascii="Verdana" w:hAnsi="Verdana"/>
        </w:rPr>
        <w:t>a</w:t>
      </w:r>
      <w:r w:rsidRPr="00CF4C7E">
        <w:rPr>
          <w:rFonts w:ascii="Verdana" w:hAnsi="Verdana"/>
        </w:rPr>
        <w:t xml:space="preserve"> substitut</w:t>
      </w:r>
      <w:r w:rsidR="00D568B2">
        <w:rPr>
          <w:rFonts w:ascii="Verdana" w:hAnsi="Verdana"/>
        </w:rPr>
        <w:t>ion for</w:t>
      </w:r>
      <w:r w:rsidRPr="00CF4C7E">
        <w:rPr>
          <w:rFonts w:ascii="Verdana" w:hAnsi="Verdana"/>
        </w:rPr>
        <w:t xml:space="preserve"> prosecution and that the Independent Anti-Slavery Commissioner </w:t>
      </w:r>
      <w:r w:rsidR="00B1184C">
        <w:rPr>
          <w:rFonts w:ascii="Verdana" w:hAnsi="Verdana"/>
        </w:rPr>
        <w:t>States</w:t>
      </w:r>
      <w:r w:rsidRPr="00CF4C7E">
        <w:rPr>
          <w:rFonts w:ascii="Verdana" w:hAnsi="Verdana"/>
        </w:rPr>
        <w:t xml:space="preserve"> that “</w:t>
      </w:r>
      <w:r w:rsidR="007100BF">
        <w:rPr>
          <w:rFonts w:ascii="Verdana" w:hAnsi="Verdana"/>
        </w:rPr>
        <w:t>[</w:t>
      </w:r>
      <w:r w:rsidR="007100BF" w:rsidRPr="00191A3D">
        <w:rPr>
          <w:rFonts w:ascii="Verdana" w:hAnsi="Verdana" w:cs="Arial"/>
          <w:bCs/>
          <w:color w:val="auto"/>
        </w:rPr>
        <w:t>Slavery Trafficking Risk Orders</w:t>
      </w:r>
      <w:r w:rsidR="007100BF">
        <w:rPr>
          <w:rFonts w:ascii="Verdana" w:hAnsi="Verdana" w:cs="Arial"/>
          <w:bCs/>
          <w:color w:val="auto"/>
        </w:rPr>
        <w:t>]</w:t>
      </w:r>
      <w:r w:rsidRPr="00CF4C7E">
        <w:rPr>
          <w:rFonts w:ascii="Verdana" w:hAnsi="Verdana"/>
        </w:rPr>
        <w:t xml:space="preserve"> can be particularly helpful when investigations are </w:t>
      </w:r>
      <w:proofErr w:type="gramStart"/>
      <w:r w:rsidRPr="00CF4C7E">
        <w:rPr>
          <w:rFonts w:ascii="Verdana" w:hAnsi="Verdana"/>
        </w:rPr>
        <w:t>lengthy</w:t>
      </w:r>
      <w:proofErr w:type="gramEnd"/>
      <w:r w:rsidRPr="00CF4C7E">
        <w:rPr>
          <w:rFonts w:ascii="Verdana" w:hAnsi="Verdana"/>
        </w:rPr>
        <w:t xml:space="preserve"> or a trial date is set for 12-18 months ahead and make it possible to protect victims prior to prosecution”.</w:t>
      </w:r>
      <w:r>
        <w:rPr>
          <w:rStyle w:val="FootnoteReference"/>
          <w:rFonts w:ascii="Verdana" w:hAnsi="Verdana"/>
        </w:rPr>
        <w:footnoteReference w:id="57"/>
      </w:r>
      <w:r w:rsidRPr="00CF4C7E">
        <w:rPr>
          <w:rFonts w:ascii="Verdana" w:hAnsi="Verdana" w:cs="Arial"/>
          <w:bCs/>
          <w:color w:val="auto"/>
        </w:rPr>
        <w:t xml:space="preserve"> </w:t>
      </w:r>
    </w:p>
    <w:p w14:paraId="6C71A213" w14:textId="607A619B" w:rsidR="004F5F0D" w:rsidRDefault="004F5F0D" w:rsidP="00087302">
      <w:pPr>
        <w:pStyle w:val="BasicParagraph"/>
        <w:numPr>
          <w:ilvl w:val="1"/>
          <w:numId w:val="6"/>
        </w:numPr>
        <w:suppressAutoHyphens/>
        <w:rPr>
          <w:rFonts w:ascii="Verdana" w:hAnsi="Verdana" w:cs="Arial"/>
          <w:bCs/>
          <w:color w:val="auto"/>
        </w:rPr>
      </w:pPr>
      <w:r w:rsidRPr="00810421">
        <w:rPr>
          <w:rFonts w:ascii="Verdana" w:hAnsi="Verdana" w:cs="Arial"/>
          <w:b/>
          <w:color w:val="auto"/>
        </w:rPr>
        <w:t xml:space="preserve">The NIHRC </w:t>
      </w:r>
      <w:r>
        <w:rPr>
          <w:rFonts w:ascii="Verdana" w:hAnsi="Verdana" w:cs="Arial"/>
          <w:b/>
          <w:color w:val="auto"/>
        </w:rPr>
        <w:t xml:space="preserve">recommends that the Department of Justice introduces </w:t>
      </w:r>
      <w:r w:rsidRPr="00810421">
        <w:rPr>
          <w:rFonts w:ascii="Verdana" w:hAnsi="Verdana" w:cs="Arial"/>
          <w:b/>
          <w:color w:val="auto"/>
        </w:rPr>
        <w:t xml:space="preserve">Slavery and Trafficking Risk Orders </w:t>
      </w:r>
      <w:r>
        <w:rPr>
          <w:rFonts w:ascii="Verdana" w:hAnsi="Verdana" w:cs="Arial"/>
          <w:b/>
          <w:color w:val="auto"/>
        </w:rPr>
        <w:t xml:space="preserve">and that these are promptly provided for by legislation. </w:t>
      </w:r>
    </w:p>
    <w:p w14:paraId="7BDFD65C" w14:textId="77777777" w:rsidR="0057280B" w:rsidRDefault="0057280B" w:rsidP="004F5F0D">
      <w:pPr>
        <w:pStyle w:val="BasicParagraph"/>
        <w:suppressAutoHyphens/>
        <w:ind w:left="720"/>
        <w:rPr>
          <w:rFonts w:ascii="Verdana" w:hAnsi="Verdana" w:cs="Arial"/>
          <w:b/>
          <w:i/>
          <w:iCs/>
          <w:color w:val="auto"/>
        </w:rPr>
      </w:pPr>
    </w:p>
    <w:p w14:paraId="2CA66E5F" w14:textId="5CE9E94E" w:rsidR="00DB3B14" w:rsidRPr="00DB3B14" w:rsidRDefault="0057280B" w:rsidP="00967361">
      <w:pPr>
        <w:pStyle w:val="Heading2"/>
        <w:spacing w:before="0" w:after="240"/>
      </w:pPr>
      <w:bookmarkStart w:id="7" w:name="_Toc105754269"/>
      <w:r w:rsidRPr="0057280B">
        <w:t xml:space="preserve">Training and </w:t>
      </w:r>
      <w:r w:rsidR="00A905D8">
        <w:t>g</w:t>
      </w:r>
      <w:r w:rsidRPr="0057280B">
        <w:t>uidance</w:t>
      </w:r>
      <w:bookmarkEnd w:id="7"/>
    </w:p>
    <w:p w14:paraId="1D616BE4" w14:textId="685579F5" w:rsidR="009A6DB1" w:rsidRPr="009A6DB1" w:rsidRDefault="009A6DB1" w:rsidP="00087302">
      <w:pPr>
        <w:pStyle w:val="BasicParagraph"/>
        <w:numPr>
          <w:ilvl w:val="1"/>
          <w:numId w:val="6"/>
        </w:numPr>
        <w:suppressAutoHyphens/>
        <w:rPr>
          <w:rFonts w:ascii="Verdana" w:hAnsi="Verdana"/>
        </w:rPr>
      </w:pPr>
      <w:r w:rsidRPr="00FF2D2E">
        <w:rPr>
          <w:rFonts w:ascii="Verdana" w:hAnsi="Verdana"/>
          <w:bCs/>
          <w:color w:val="auto"/>
        </w:rPr>
        <w:t xml:space="preserve">Article 18(3) of the </w:t>
      </w:r>
      <w:r w:rsidR="003537BE">
        <w:rPr>
          <w:rFonts w:ascii="Verdana" w:hAnsi="Verdana"/>
          <w:bCs/>
          <w:color w:val="auto"/>
        </w:rPr>
        <w:t>EU Trafficking Directive</w:t>
      </w:r>
      <w:r w:rsidRPr="00FF2D2E">
        <w:rPr>
          <w:rFonts w:ascii="Verdana" w:hAnsi="Verdana"/>
          <w:bCs/>
          <w:color w:val="auto"/>
        </w:rPr>
        <w:t xml:space="preserve"> requires </w:t>
      </w:r>
      <w:r w:rsidR="00B1184C">
        <w:rPr>
          <w:rFonts w:ascii="Verdana" w:hAnsi="Verdana"/>
          <w:bCs/>
          <w:color w:val="auto"/>
        </w:rPr>
        <w:t>States</w:t>
      </w:r>
      <w:r w:rsidRPr="00FF2D2E">
        <w:rPr>
          <w:rFonts w:ascii="Verdana" w:hAnsi="Verdana"/>
          <w:bCs/>
          <w:color w:val="auto"/>
        </w:rPr>
        <w:t xml:space="preserve"> </w:t>
      </w:r>
      <w:r>
        <w:rPr>
          <w:rFonts w:ascii="Verdana" w:hAnsi="Verdana"/>
          <w:bCs/>
          <w:color w:val="auto"/>
        </w:rPr>
        <w:t>“</w:t>
      </w:r>
      <w:r>
        <w:rPr>
          <w:rFonts w:ascii="Verdana" w:hAnsi="Verdana"/>
        </w:rPr>
        <w:t xml:space="preserve">to </w:t>
      </w:r>
      <w:r w:rsidRPr="00E579F7">
        <w:rPr>
          <w:rFonts w:ascii="Verdana" w:hAnsi="Verdana"/>
        </w:rPr>
        <w:t>promote regular training for officials likely to come into contact with victims or potential victims of trafficking in human beings, including front-line police officers, aimed at enabling them to identify and deal with victims and potential victims of trafficking in human beings.</w:t>
      </w:r>
      <w:r>
        <w:rPr>
          <w:rFonts w:ascii="Verdana" w:hAnsi="Verdana"/>
        </w:rPr>
        <w:t>”</w:t>
      </w:r>
      <w:r w:rsidRPr="00FF2D2E">
        <w:rPr>
          <w:rStyle w:val="FootnoteReference"/>
          <w:rFonts w:ascii="Verdana" w:hAnsi="Verdana"/>
          <w:bCs/>
          <w:color w:val="auto"/>
        </w:rPr>
        <w:footnoteReference w:id="58"/>
      </w:r>
      <w:r>
        <w:rPr>
          <w:bCs/>
          <w:color w:val="auto"/>
        </w:rPr>
        <w:t xml:space="preserve"> </w:t>
      </w:r>
    </w:p>
    <w:p w14:paraId="7F5F5D48" w14:textId="77777777" w:rsidR="009A6DB1" w:rsidRPr="00822B76" w:rsidRDefault="009A6DB1" w:rsidP="009A6DB1">
      <w:pPr>
        <w:pStyle w:val="BasicParagraph"/>
        <w:suppressAutoHyphens/>
        <w:ind w:left="720"/>
        <w:rPr>
          <w:rFonts w:ascii="Verdana" w:hAnsi="Verdana"/>
        </w:rPr>
      </w:pPr>
    </w:p>
    <w:p w14:paraId="51E1AA4C" w14:textId="257E823B" w:rsidR="009A6DB1" w:rsidRPr="008F59AF" w:rsidRDefault="00351753" w:rsidP="00087302">
      <w:pPr>
        <w:pStyle w:val="BasicParagraph"/>
        <w:numPr>
          <w:ilvl w:val="1"/>
          <w:numId w:val="6"/>
        </w:numPr>
        <w:suppressAutoHyphens/>
        <w:spacing w:after="240"/>
        <w:rPr>
          <w:rFonts w:ascii="Verdana" w:hAnsi="Verdana"/>
        </w:rPr>
      </w:pPr>
      <w:r>
        <w:rPr>
          <w:rFonts w:ascii="Verdana" w:hAnsi="Verdana"/>
        </w:rPr>
        <w:t>Article 10 of the UN Palermo Protocol</w:t>
      </w:r>
      <w:r w:rsidR="00FD74D7">
        <w:rPr>
          <w:rFonts w:ascii="Verdana" w:hAnsi="Verdana"/>
        </w:rPr>
        <w:t xml:space="preserve"> requires</w:t>
      </w:r>
      <w:r w:rsidR="0099789E">
        <w:rPr>
          <w:rFonts w:ascii="Verdana" w:hAnsi="Verdana"/>
        </w:rPr>
        <w:t xml:space="preserve"> </w:t>
      </w:r>
      <w:r w:rsidR="00B1184C">
        <w:rPr>
          <w:rFonts w:ascii="Verdana" w:hAnsi="Verdana"/>
        </w:rPr>
        <w:t>States</w:t>
      </w:r>
      <w:r w:rsidR="0099789E">
        <w:rPr>
          <w:rFonts w:ascii="Verdana" w:hAnsi="Verdana"/>
        </w:rPr>
        <w:t xml:space="preserve"> to</w:t>
      </w:r>
      <w:r w:rsidR="00EA5928">
        <w:rPr>
          <w:rFonts w:ascii="Verdana" w:hAnsi="Verdana"/>
        </w:rPr>
        <w:t xml:space="preserve"> </w:t>
      </w:r>
      <w:r w:rsidR="0099789E" w:rsidRPr="00EA5928">
        <w:rPr>
          <w:rFonts w:ascii="Verdana" w:hAnsi="Verdana"/>
          <w:color w:val="auto"/>
          <w:spacing w:val="4"/>
        </w:rPr>
        <w:t xml:space="preserve">provide or strengthen training for law enforcement and other relevant officials in the prevention of trafficking in persons. </w:t>
      </w:r>
      <w:r w:rsidR="004879B0">
        <w:rPr>
          <w:rFonts w:ascii="Verdana" w:hAnsi="Verdana"/>
          <w:color w:val="auto"/>
          <w:spacing w:val="4"/>
        </w:rPr>
        <w:t>It stipulates that the</w:t>
      </w:r>
      <w:r w:rsidR="0099789E" w:rsidRPr="00EA5928">
        <w:rPr>
          <w:rFonts w:ascii="Verdana" w:hAnsi="Verdana"/>
          <w:color w:val="auto"/>
          <w:spacing w:val="4"/>
        </w:rPr>
        <w:t xml:space="preserve"> training should </w:t>
      </w:r>
      <w:proofErr w:type="gramStart"/>
      <w:r w:rsidR="0099789E" w:rsidRPr="00EA5928">
        <w:rPr>
          <w:rFonts w:ascii="Verdana" w:hAnsi="Verdana"/>
          <w:color w:val="auto"/>
          <w:spacing w:val="4"/>
        </w:rPr>
        <w:t>take into account</w:t>
      </w:r>
      <w:proofErr w:type="gramEnd"/>
      <w:r w:rsidR="0099789E" w:rsidRPr="00EA5928">
        <w:rPr>
          <w:rFonts w:ascii="Verdana" w:hAnsi="Verdana"/>
          <w:color w:val="auto"/>
          <w:spacing w:val="4"/>
        </w:rPr>
        <w:t xml:space="preserve"> the need to consider human rights and child- and gender-sensitive </w:t>
      </w:r>
      <w:r w:rsidR="008F59AF" w:rsidRPr="00EA5928">
        <w:rPr>
          <w:rFonts w:ascii="Verdana" w:hAnsi="Verdana"/>
          <w:color w:val="auto"/>
          <w:spacing w:val="4"/>
        </w:rPr>
        <w:t>issues</w:t>
      </w:r>
      <w:r w:rsidR="008F59AF">
        <w:rPr>
          <w:rFonts w:ascii="Verdana" w:hAnsi="Verdana"/>
          <w:color w:val="auto"/>
          <w:spacing w:val="4"/>
        </w:rPr>
        <w:t xml:space="preserve"> and</w:t>
      </w:r>
      <w:r w:rsidR="0099789E" w:rsidRPr="00EA5928">
        <w:rPr>
          <w:rFonts w:ascii="Verdana" w:hAnsi="Verdana"/>
          <w:color w:val="auto"/>
          <w:spacing w:val="4"/>
        </w:rPr>
        <w:t xml:space="preserve"> encourage cooperation with relevant </w:t>
      </w:r>
      <w:r w:rsidR="00BD0EF7">
        <w:rPr>
          <w:rFonts w:ascii="Verdana" w:hAnsi="Verdana"/>
          <w:color w:val="auto"/>
          <w:spacing w:val="4"/>
        </w:rPr>
        <w:t>organisations and civil society.</w:t>
      </w:r>
    </w:p>
    <w:p w14:paraId="594EFC26" w14:textId="1C1A4300" w:rsidR="009A6DB1" w:rsidRDefault="003B7290" w:rsidP="00087302">
      <w:pPr>
        <w:pStyle w:val="BasicParagraph"/>
        <w:numPr>
          <w:ilvl w:val="1"/>
          <w:numId w:val="6"/>
        </w:numPr>
        <w:suppressAutoHyphens/>
        <w:rPr>
          <w:rFonts w:ascii="Verdana" w:hAnsi="Verdana" w:cs="Arial"/>
          <w:bCs/>
          <w:color w:val="auto"/>
        </w:rPr>
      </w:pPr>
      <w:r>
        <w:rPr>
          <w:rFonts w:ascii="Verdana" w:hAnsi="Verdana" w:cs="Arial"/>
          <w:bCs/>
          <w:color w:val="auto"/>
        </w:rPr>
        <w:t>T</w:t>
      </w:r>
      <w:r w:rsidR="009A6DB1" w:rsidRPr="00856191">
        <w:rPr>
          <w:rFonts w:ascii="Verdana" w:hAnsi="Verdana" w:cs="Arial"/>
          <w:bCs/>
          <w:color w:val="auto"/>
        </w:rPr>
        <w:t>he Independent Anti-Slavery Commissioner</w:t>
      </w:r>
      <w:r w:rsidR="009A6DB1">
        <w:rPr>
          <w:rFonts w:ascii="Verdana" w:hAnsi="Verdana" w:cs="Arial"/>
          <w:bCs/>
          <w:color w:val="auto"/>
        </w:rPr>
        <w:t xml:space="preserve"> reviewed the use of Slavery and Trafficking Risk Orders and Slavery and Trafficking Prevention Orders within the UK after </w:t>
      </w:r>
      <w:r w:rsidR="009A6DB1" w:rsidRPr="001E0C34">
        <w:rPr>
          <w:rFonts w:ascii="Verdana" w:hAnsi="Verdana" w:cs="Arial"/>
          <w:bCs/>
          <w:color w:val="auto"/>
        </w:rPr>
        <w:t>concern</w:t>
      </w:r>
      <w:r w:rsidR="009A6DB1">
        <w:rPr>
          <w:rFonts w:ascii="Verdana" w:hAnsi="Verdana" w:cs="Arial"/>
          <w:bCs/>
          <w:color w:val="auto"/>
        </w:rPr>
        <w:t>s were raised</w:t>
      </w:r>
      <w:r w:rsidR="009A6DB1" w:rsidRPr="001E0C34">
        <w:rPr>
          <w:rFonts w:ascii="Verdana" w:hAnsi="Verdana" w:cs="Arial"/>
          <w:bCs/>
          <w:color w:val="auto"/>
        </w:rPr>
        <w:t xml:space="preserve"> about </w:t>
      </w:r>
      <w:r w:rsidR="009A6DB1">
        <w:rPr>
          <w:rFonts w:ascii="Verdana" w:hAnsi="Verdana" w:cs="Arial"/>
          <w:bCs/>
          <w:color w:val="auto"/>
        </w:rPr>
        <w:t xml:space="preserve">the failure of </w:t>
      </w:r>
      <w:r w:rsidR="009A6DB1" w:rsidRPr="001E0C34">
        <w:rPr>
          <w:rFonts w:ascii="Verdana" w:hAnsi="Verdana" w:cs="Arial"/>
          <w:bCs/>
          <w:color w:val="auto"/>
        </w:rPr>
        <w:t>law enforcement</w:t>
      </w:r>
      <w:r w:rsidR="009A6DB1">
        <w:rPr>
          <w:rFonts w:ascii="Verdana" w:hAnsi="Verdana" w:cs="Arial"/>
          <w:bCs/>
          <w:color w:val="auto"/>
        </w:rPr>
        <w:t xml:space="preserve"> </w:t>
      </w:r>
      <w:r w:rsidR="009A6DB1" w:rsidRPr="001E0C34">
        <w:rPr>
          <w:rFonts w:ascii="Verdana" w:hAnsi="Verdana" w:cs="Arial"/>
          <w:bCs/>
          <w:color w:val="auto"/>
        </w:rPr>
        <w:t xml:space="preserve">to effectively </w:t>
      </w:r>
      <w:r w:rsidR="009A6DB1">
        <w:rPr>
          <w:rFonts w:ascii="Verdana" w:hAnsi="Verdana" w:cs="Arial"/>
          <w:bCs/>
          <w:color w:val="auto"/>
        </w:rPr>
        <w:t>exploit their full value.</w:t>
      </w:r>
      <w:r w:rsidR="009A6DB1">
        <w:rPr>
          <w:rStyle w:val="FootnoteReference"/>
          <w:rFonts w:ascii="Verdana" w:hAnsi="Verdana" w:cs="Arial"/>
          <w:bCs/>
          <w:color w:val="auto"/>
        </w:rPr>
        <w:footnoteReference w:id="59"/>
      </w:r>
      <w:r w:rsidR="009A6DB1">
        <w:rPr>
          <w:rFonts w:ascii="Verdana" w:hAnsi="Verdana" w:cs="Arial"/>
          <w:bCs/>
          <w:color w:val="auto"/>
        </w:rPr>
        <w:t xml:space="preserve"> The review highlighted the practical importance of guidance and training to increase awareness and expertise within the police service. </w:t>
      </w:r>
    </w:p>
    <w:p w14:paraId="462C3624" w14:textId="77777777" w:rsidR="009A6DB1" w:rsidRDefault="009A6DB1" w:rsidP="009A6DB1">
      <w:pPr>
        <w:pStyle w:val="BasicParagraph"/>
        <w:suppressAutoHyphens/>
        <w:ind w:left="720"/>
        <w:rPr>
          <w:rFonts w:ascii="Verdana" w:hAnsi="Verdana" w:cs="Arial"/>
          <w:bCs/>
          <w:color w:val="auto"/>
        </w:rPr>
      </w:pPr>
    </w:p>
    <w:p w14:paraId="2925D1FB" w14:textId="6BFA419A" w:rsidR="009A6DB1" w:rsidRDefault="009A6DB1" w:rsidP="00087302">
      <w:pPr>
        <w:pStyle w:val="BasicParagraph"/>
        <w:numPr>
          <w:ilvl w:val="1"/>
          <w:numId w:val="6"/>
        </w:numPr>
        <w:suppressAutoHyphens/>
        <w:rPr>
          <w:rFonts w:ascii="Verdana" w:hAnsi="Verdana" w:cs="Arial"/>
          <w:b/>
          <w:color w:val="auto"/>
        </w:rPr>
      </w:pPr>
      <w:r w:rsidRPr="00C9617D">
        <w:rPr>
          <w:rFonts w:ascii="Verdana" w:hAnsi="Verdana" w:cs="Arial"/>
          <w:b/>
          <w:color w:val="auto"/>
        </w:rPr>
        <w:t>The NIHRC recommends that the Department of Justice</w:t>
      </w:r>
      <w:r>
        <w:rPr>
          <w:rFonts w:ascii="Verdana" w:hAnsi="Verdana" w:cs="Arial"/>
          <w:b/>
          <w:color w:val="auto"/>
        </w:rPr>
        <w:t xml:space="preserve">, in </w:t>
      </w:r>
      <w:r>
        <w:rPr>
          <w:rFonts w:ascii="Verdana" w:hAnsi="Verdana" w:cs="Arial"/>
          <w:b/>
          <w:color w:val="auto"/>
        </w:rPr>
        <w:lastRenderedPageBreak/>
        <w:t>partnership with</w:t>
      </w:r>
      <w:r w:rsidRPr="00C9617D">
        <w:rPr>
          <w:rFonts w:ascii="Verdana" w:hAnsi="Verdana" w:cs="Arial"/>
          <w:b/>
          <w:color w:val="auto"/>
        </w:rPr>
        <w:t xml:space="preserve"> the Police Service of NI, develop</w:t>
      </w:r>
      <w:r w:rsidR="00D731EF">
        <w:rPr>
          <w:rFonts w:ascii="Verdana" w:hAnsi="Verdana" w:cs="Arial"/>
          <w:b/>
          <w:color w:val="auto"/>
        </w:rPr>
        <w:t>s</w:t>
      </w:r>
      <w:r w:rsidRPr="00C9617D">
        <w:rPr>
          <w:rFonts w:ascii="Verdana" w:hAnsi="Verdana" w:cs="Arial"/>
          <w:b/>
          <w:color w:val="auto"/>
        </w:rPr>
        <w:t xml:space="preserve"> </w:t>
      </w:r>
      <w:r>
        <w:rPr>
          <w:rFonts w:ascii="Verdana" w:hAnsi="Verdana" w:cs="Arial"/>
          <w:b/>
          <w:color w:val="auto"/>
        </w:rPr>
        <w:t xml:space="preserve">a </w:t>
      </w:r>
      <w:r w:rsidRPr="00C9617D">
        <w:rPr>
          <w:rFonts w:ascii="Verdana" w:hAnsi="Verdana" w:cs="Arial"/>
          <w:b/>
          <w:color w:val="auto"/>
        </w:rPr>
        <w:t xml:space="preserve">comprehensive and </w:t>
      </w:r>
      <w:proofErr w:type="gramStart"/>
      <w:r w:rsidR="00D731EF">
        <w:rPr>
          <w:rFonts w:ascii="Verdana" w:hAnsi="Verdana" w:cs="Arial"/>
          <w:b/>
          <w:color w:val="auto"/>
        </w:rPr>
        <w:t>sufficiently</w:t>
      </w:r>
      <w:r w:rsidRPr="00C9617D">
        <w:rPr>
          <w:rFonts w:ascii="Verdana" w:hAnsi="Verdana" w:cs="Arial"/>
          <w:b/>
          <w:color w:val="auto"/>
        </w:rPr>
        <w:t>-resourced</w:t>
      </w:r>
      <w:proofErr w:type="gramEnd"/>
      <w:r w:rsidRPr="00C9617D">
        <w:rPr>
          <w:rFonts w:ascii="Verdana" w:hAnsi="Verdana" w:cs="Arial"/>
          <w:b/>
          <w:color w:val="auto"/>
        </w:rPr>
        <w:t xml:space="preserve"> </w:t>
      </w:r>
      <w:r>
        <w:rPr>
          <w:rFonts w:ascii="Verdana" w:hAnsi="Verdana" w:cs="Arial"/>
          <w:b/>
          <w:color w:val="auto"/>
        </w:rPr>
        <w:t xml:space="preserve">specialised </w:t>
      </w:r>
      <w:r w:rsidRPr="00C9617D">
        <w:rPr>
          <w:rFonts w:ascii="Verdana" w:hAnsi="Verdana" w:cs="Arial"/>
          <w:b/>
          <w:color w:val="auto"/>
        </w:rPr>
        <w:t xml:space="preserve">training package </w:t>
      </w:r>
      <w:r>
        <w:rPr>
          <w:rFonts w:ascii="Verdana" w:hAnsi="Verdana" w:cs="Arial"/>
          <w:b/>
          <w:color w:val="auto"/>
        </w:rPr>
        <w:t>on the use</w:t>
      </w:r>
      <w:r w:rsidR="001E0CB6">
        <w:rPr>
          <w:rFonts w:ascii="Verdana" w:hAnsi="Verdana" w:cs="Arial"/>
          <w:b/>
          <w:color w:val="auto"/>
        </w:rPr>
        <w:t>,</w:t>
      </w:r>
      <w:r>
        <w:rPr>
          <w:rFonts w:ascii="Verdana" w:hAnsi="Verdana" w:cs="Arial"/>
          <w:b/>
          <w:color w:val="auto"/>
        </w:rPr>
        <w:t xml:space="preserve"> management </w:t>
      </w:r>
      <w:r w:rsidR="001E0CB6">
        <w:rPr>
          <w:rFonts w:ascii="Verdana" w:hAnsi="Verdana" w:cs="Arial"/>
          <w:b/>
          <w:color w:val="auto"/>
        </w:rPr>
        <w:t xml:space="preserve">and monitoring </w:t>
      </w:r>
      <w:r>
        <w:rPr>
          <w:rFonts w:ascii="Verdana" w:hAnsi="Verdana" w:cs="Arial"/>
          <w:b/>
          <w:color w:val="auto"/>
        </w:rPr>
        <w:t>of</w:t>
      </w:r>
      <w:r w:rsidRPr="00C9617D">
        <w:rPr>
          <w:rFonts w:ascii="Verdana" w:hAnsi="Verdana" w:cs="Arial"/>
          <w:b/>
          <w:color w:val="auto"/>
        </w:rPr>
        <w:t xml:space="preserve"> Slavery and Trafficking Risk Orders</w:t>
      </w:r>
      <w:r>
        <w:rPr>
          <w:rFonts w:ascii="Verdana" w:hAnsi="Verdana" w:cs="Arial"/>
          <w:b/>
          <w:color w:val="auto"/>
        </w:rPr>
        <w:t xml:space="preserve">. </w:t>
      </w:r>
      <w:r w:rsidR="001D50D7">
        <w:rPr>
          <w:rFonts w:ascii="Verdana" w:hAnsi="Verdana" w:cs="Arial"/>
          <w:b/>
          <w:color w:val="auto"/>
        </w:rPr>
        <w:t>This training</w:t>
      </w:r>
      <w:r>
        <w:rPr>
          <w:rFonts w:ascii="Verdana" w:hAnsi="Verdana" w:cs="Arial"/>
          <w:b/>
          <w:color w:val="auto"/>
        </w:rPr>
        <w:t xml:space="preserve"> should be </w:t>
      </w:r>
      <w:r w:rsidR="001D50D7">
        <w:rPr>
          <w:rFonts w:ascii="Verdana" w:hAnsi="Verdana" w:cs="Arial"/>
          <w:b/>
          <w:color w:val="auto"/>
        </w:rPr>
        <w:t xml:space="preserve">mandatory </w:t>
      </w:r>
      <w:r w:rsidR="001E0CB6">
        <w:rPr>
          <w:rFonts w:ascii="Verdana" w:hAnsi="Verdana" w:cs="Arial"/>
          <w:b/>
          <w:color w:val="auto"/>
        </w:rPr>
        <w:t xml:space="preserve">for everyone involved in fulfilling these </w:t>
      </w:r>
      <w:r w:rsidR="008740BD">
        <w:rPr>
          <w:rFonts w:ascii="Verdana" w:hAnsi="Verdana" w:cs="Arial"/>
          <w:b/>
          <w:color w:val="auto"/>
        </w:rPr>
        <w:t>roles</w:t>
      </w:r>
      <w:r>
        <w:rPr>
          <w:rFonts w:ascii="Verdana" w:hAnsi="Verdana" w:cs="Arial"/>
          <w:b/>
          <w:color w:val="auto"/>
        </w:rPr>
        <w:t>.</w:t>
      </w:r>
      <w:r w:rsidR="00F41010">
        <w:rPr>
          <w:rFonts w:ascii="Verdana" w:hAnsi="Verdana" w:cs="Arial"/>
          <w:b/>
          <w:color w:val="auto"/>
        </w:rPr>
        <w:t xml:space="preserve"> The t</w:t>
      </w:r>
      <w:r>
        <w:rPr>
          <w:rFonts w:ascii="Verdana" w:hAnsi="Verdana" w:cs="Arial"/>
          <w:b/>
          <w:color w:val="auto"/>
        </w:rPr>
        <w:t xml:space="preserve">raining should </w:t>
      </w:r>
      <w:r w:rsidR="00F41010">
        <w:rPr>
          <w:rFonts w:ascii="Verdana" w:hAnsi="Verdana" w:cs="Arial"/>
          <w:b/>
          <w:color w:val="auto"/>
        </w:rPr>
        <w:t xml:space="preserve">also </w:t>
      </w:r>
      <w:r>
        <w:rPr>
          <w:rFonts w:ascii="Verdana" w:hAnsi="Verdana" w:cs="Arial"/>
          <w:b/>
          <w:color w:val="auto"/>
        </w:rPr>
        <w:t xml:space="preserve">be kept under review and updated as necessary. </w:t>
      </w:r>
    </w:p>
    <w:p w14:paraId="263A80FF" w14:textId="77777777" w:rsidR="00724EB7" w:rsidRDefault="00724EB7" w:rsidP="00724EB7">
      <w:pPr>
        <w:pStyle w:val="BasicParagraph"/>
        <w:suppressAutoHyphens/>
        <w:rPr>
          <w:rFonts w:ascii="Verdana" w:hAnsi="Verdana" w:cs="Arial"/>
          <w:b/>
          <w:color w:val="auto"/>
        </w:rPr>
      </w:pPr>
    </w:p>
    <w:p w14:paraId="466DB767" w14:textId="19F1EC41" w:rsidR="00081307" w:rsidRDefault="00081307" w:rsidP="00087302">
      <w:pPr>
        <w:pStyle w:val="BasicParagraph"/>
        <w:numPr>
          <w:ilvl w:val="1"/>
          <w:numId w:val="6"/>
        </w:numPr>
        <w:suppressAutoHyphens/>
        <w:rPr>
          <w:rFonts w:ascii="Verdana" w:hAnsi="Verdana"/>
        </w:rPr>
      </w:pPr>
      <w:r w:rsidRPr="002D3530">
        <w:rPr>
          <w:rFonts w:ascii="Verdana" w:hAnsi="Verdana"/>
        </w:rPr>
        <w:t xml:space="preserve">Article 22 of the </w:t>
      </w:r>
      <w:r w:rsidR="003C5F35">
        <w:rPr>
          <w:rFonts w:ascii="Verdana" w:hAnsi="Verdana"/>
        </w:rPr>
        <w:t xml:space="preserve">EU </w:t>
      </w:r>
      <w:r w:rsidRPr="002D3530">
        <w:rPr>
          <w:rFonts w:ascii="Verdana" w:hAnsi="Verdana"/>
        </w:rPr>
        <w:t xml:space="preserve">Victims’ Directive provides that </w:t>
      </w:r>
      <w:r w:rsidR="00B1184C">
        <w:rPr>
          <w:rFonts w:ascii="Verdana" w:hAnsi="Verdana"/>
        </w:rPr>
        <w:t>States</w:t>
      </w:r>
      <w:r w:rsidRPr="002D3530">
        <w:rPr>
          <w:rFonts w:ascii="Verdana" w:hAnsi="Verdana"/>
        </w:rPr>
        <w:t xml:space="preserve"> should make individual assessments of victims to identify specific protection needs. Article 22(3) of the </w:t>
      </w:r>
      <w:r w:rsidR="003C5F35">
        <w:rPr>
          <w:rFonts w:ascii="Verdana" w:hAnsi="Verdana"/>
        </w:rPr>
        <w:t>EU</w:t>
      </w:r>
      <w:r w:rsidRPr="002D3530">
        <w:rPr>
          <w:rFonts w:ascii="Verdana" w:hAnsi="Verdana"/>
        </w:rPr>
        <w:t xml:space="preserve"> Victims’ Directive requires </w:t>
      </w:r>
      <w:r w:rsidR="00B1184C">
        <w:rPr>
          <w:rFonts w:ascii="Verdana" w:hAnsi="Verdana"/>
        </w:rPr>
        <w:t>States</w:t>
      </w:r>
      <w:r w:rsidRPr="002D3530">
        <w:rPr>
          <w:rFonts w:ascii="Verdana" w:hAnsi="Verdana"/>
        </w:rPr>
        <w:t xml:space="preserve"> to pay particular attention to the needs to victims who have “suffered considerable harm due to the severity of the crime”, including victims of human trafficking.</w:t>
      </w:r>
      <w:r w:rsidRPr="002D3530">
        <w:rPr>
          <w:rStyle w:val="FootnoteReference"/>
          <w:rFonts w:ascii="Verdana" w:hAnsi="Verdana"/>
        </w:rPr>
        <w:footnoteReference w:id="60"/>
      </w:r>
    </w:p>
    <w:p w14:paraId="44489B64" w14:textId="77777777" w:rsidR="008807F9" w:rsidRDefault="008807F9" w:rsidP="008807F9">
      <w:pPr>
        <w:pStyle w:val="BasicParagraph"/>
        <w:suppressAutoHyphens/>
        <w:ind w:left="720"/>
        <w:rPr>
          <w:rFonts w:ascii="Verdana" w:hAnsi="Verdana"/>
        </w:rPr>
      </w:pPr>
    </w:p>
    <w:p w14:paraId="06257C22" w14:textId="23D6BF77" w:rsidR="000441B6" w:rsidRPr="004F417F" w:rsidRDefault="008807F9" w:rsidP="00087302">
      <w:pPr>
        <w:pStyle w:val="BasicParagraph"/>
        <w:numPr>
          <w:ilvl w:val="1"/>
          <w:numId w:val="6"/>
        </w:numPr>
        <w:suppressAutoHyphens/>
        <w:rPr>
          <w:rFonts w:ascii="Verdana" w:hAnsi="Verdana" w:cs="Arial"/>
          <w:bCs/>
          <w:color w:val="auto"/>
        </w:rPr>
      </w:pPr>
      <w:r w:rsidRPr="004F417F">
        <w:rPr>
          <w:rFonts w:ascii="Verdana" w:hAnsi="Verdana" w:cs="Arial"/>
          <w:color w:val="auto"/>
        </w:rPr>
        <w:t xml:space="preserve">Articles 13-15 of the </w:t>
      </w:r>
      <w:r w:rsidR="003537BE">
        <w:rPr>
          <w:rFonts w:ascii="Verdana" w:hAnsi="Verdana" w:cs="Arial"/>
          <w:color w:val="auto"/>
        </w:rPr>
        <w:t>EU Trafficking Directive</w:t>
      </w:r>
      <w:r w:rsidRPr="004F417F">
        <w:rPr>
          <w:rFonts w:ascii="Verdana" w:hAnsi="Verdana" w:cs="Arial"/>
          <w:color w:val="auto"/>
        </w:rPr>
        <w:t xml:space="preserve"> provides for general provisions on assistance, </w:t>
      </w:r>
      <w:proofErr w:type="gramStart"/>
      <w:r w:rsidRPr="004F417F">
        <w:rPr>
          <w:rFonts w:ascii="Verdana" w:hAnsi="Verdana" w:cs="Arial"/>
          <w:color w:val="auto"/>
        </w:rPr>
        <w:t>support</w:t>
      </w:r>
      <w:proofErr w:type="gramEnd"/>
      <w:r w:rsidRPr="004F417F">
        <w:rPr>
          <w:rFonts w:ascii="Verdana" w:hAnsi="Verdana" w:cs="Arial"/>
          <w:color w:val="auto"/>
        </w:rPr>
        <w:t xml:space="preserve"> and protection measures for child victims of human trafficking.</w:t>
      </w:r>
      <w:r w:rsidRPr="007C5A87">
        <w:rPr>
          <w:rStyle w:val="FootnoteReference"/>
          <w:rFonts w:ascii="Verdana" w:hAnsi="Verdana" w:cs="Arial"/>
          <w:color w:val="auto"/>
        </w:rPr>
        <w:footnoteReference w:id="61"/>
      </w:r>
      <w:r w:rsidRPr="004F417F">
        <w:rPr>
          <w:rFonts w:ascii="Verdana" w:hAnsi="Verdana" w:cs="Arial"/>
          <w:color w:val="auto"/>
        </w:rPr>
        <w:t xml:space="preserve"> Article 1(2) of the </w:t>
      </w:r>
      <w:r w:rsidR="003C5F35">
        <w:rPr>
          <w:rFonts w:ascii="Verdana" w:hAnsi="Verdana" w:cs="Arial"/>
          <w:color w:val="auto"/>
        </w:rPr>
        <w:t xml:space="preserve">EU </w:t>
      </w:r>
      <w:r w:rsidRPr="004F417F">
        <w:rPr>
          <w:rFonts w:ascii="Verdana" w:hAnsi="Verdana" w:cs="Arial"/>
          <w:color w:val="auto"/>
        </w:rPr>
        <w:t xml:space="preserve">Victims’ Directive requires, where the victim is a child, the best interests of the child principle shall be a primary consideration, with Article 24 providing for protection of child victims during criminal proceedings. The </w:t>
      </w:r>
      <w:r w:rsidR="003C5F35">
        <w:rPr>
          <w:rFonts w:ascii="Verdana" w:hAnsi="Verdana" w:cs="Arial"/>
          <w:color w:val="auto"/>
        </w:rPr>
        <w:t>EU</w:t>
      </w:r>
      <w:r w:rsidRPr="004F417F">
        <w:rPr>
          <w:rFonts w:ascii="Verdana" w:hAnsi="Verdana" w:cs="Arial"/>
          <w:color w:val="auto"/>
        </w:rPr>
        <w:t xml:space="preserve"> Child Sexual Exploitation Directive also identifies the need to take account of the best interests of the child when </w:t>
      </w:r>
      <w:proofErr w:type="gramStart"/>
      <w:r w:rsidRPr="004F417F">
        <w:rPr>
          <w:rFonts w:ascii="Verdana" w:hAnsi="Verdana" w:cs="Arial"/>
          <w:color w:val="auto"/>
        </w:rPr>
        <w:t>providing assistance</w:t>
      </w:r>
      <w:proofErr w:type="gramEnd"/>
      <w:r w:rsidRPr="004F417F">
        <w:rPr>
          <w:rFonts w:ascii="Verdana" w:hAnsi="Verdana" w:cs="Arial"/>
          <w:color w:val="auto"/>
        </w:rPr>
        <w:t>, support and protection to child victims of sexual abuse and exploitation.</w:t>
      </w:r>
      <w:r w:rsidRPr="007C5A87">
        <w:rPr>
          <w:rStyle w:val="FootnoteReference"/>
          <w:rFonts w:ascii="Verdana" w:hAnsi="Verdana" w:cs="Arial"/>
          <w:color w:val="auto"/>
        </w:rPr>
        <w:footnoteReference w:id="62"/>
      </w:r>
      <w:r w:rsidR="004F1155" w:rsidRPr="004F417F">
        <w:rPr>
          <w:rFonts w:ascii="Verdana" w:hAnsi="Verdana" w:cs="Arial"/>
          <w:color w:val="auto"/>
        </w:rPr>
        <w:t xml:space="preserve"> </w:t>
      </w:r>
    </w:p>
    <w:p w14:paraId="7ED4E780" w14:textId="77777777" w:rsidR="004F417F" w:rsidRPr="004F417F" w:rsidRDefault="004F417F" w:rsidP="004F417F">
      <w:pPr>
        <w:pStyle w:val="Style1"/>
        <w:rPr>
          <w:sz w:val="24"/>
          <w:szCs w:val="24"/>
        </w:rPr>
      </w:pPr>
    </w:p>
    <w:p w14:paraId="30AD2E45" w14:textId="6C512950" w:rsidR="004F417F" w:rsidRPr="004F417F" w:rsidRDefault="004F417F" w:rsidP="00087302">
      <w:pPr>
        <w:pStyle w:val="BasicParagraph"/>
        <w:numPr>
          <w:ilvl w:val="1"/>
          <w:numId w:val="6"/>
        </w:numPr>
        <w:suppressAutoHyphens/>
        <w:rPr>
          <w:rFonts w:ascii="Verdana" w:hAnsi="Verdana" w:cs="Arial"/>
          <w:bCs/>
          <w:color w:val="auto"/>
        </w:rPr>
      </w:pPr>
      <w:r>
        <w:rPr>
          <w:rFonts w:ascii="Verdana" w:hAnsi="Verdana" w:cs="Arial"/>
          <w:bCs/>
          <w:color w:val="auto"/>
        </w:rPr>
        <w:t xml:space="preserve">Specific international </w:t>
      </w:r>
      <w:r w:rsidRPr="00B82E56">
        <w:rPr>
          <w:rFonts w:ascii="Verdana" w:hAnsi="Verdana"/>
        </w:rPr>
        <w:t xml:space="preserve">obligations are placed on </w:t>
      </w:r>
      <w:r w:rsidR="00B1184C">
        <w:rPr>
          <w:rFonts w:ascii="Verdana" w:hAnsi="Verdana"/>
        </w:rPr>
        <w:t>States</w:t>
      </w:r>
      <w:r w:rsidRPr="00B82E56">
        <w:rPr>
          <w:rFonts w:ascii="Verdana" w:hAnsi="Verdana"/>
        </w:rPr>
        <w:t xml:space="preserve"> in the context of combating human trafficking and sexual exploitation of children.</w:t>
      </w:r>
      <w:r>
        <w:rPr>
          <w:rFonts w:ascii="Verdana" w:hAnsi="Verdana"/>
        </w:rPr>
        <w:t xml:space="preserve"> Articles 34 and 35 of the UN CRC require </w:t>
      </w:r>
      <w:r w:rsidR="00B1184C">
        <w:rPr>
          <w:rFonts w:ascii="Verdana" w:hAnsi="Verdana"/>
        </w:rPr>
        <w:t>States</w:t>
      </w:r>
      <w:r>
        <w:rPr>
          <w:rFonts w:ascii="Verdana" w:hAnsi="Verdana"/>
        </w:rPr>
        <w:t xml:space="preserve"> </w:t>
      </w:r>
      <w:r w:rsidRPr="004F068E">
        <w:rPr>
          <w:rFonts w:ascii="Verdana" w:hAnsi="Verdana"/>
        </w:rPr>
        <w:t>protect children from all forms of sexual exploitation and abuse and take all possible measure</w:t>
      </w:r>
      <w:r>
        <w:rPr>
          <w:rFonts w:ascii="Verdana" w:hAnsi="Verdana"/>
        </w:rPr>
        <w:t>s</w:t>
      </w:r>
      <w:r w:rsidRPr="004F068E">
        <w:rPr>
          <w:rFonts w:ascii="Verdana" w:hAnsi="Verdana"/>
        </w:rPr>
        <w:t xml:space="preserve"> to ensure children are not abducted, </w:t>
      </w:r>
      <w:proofErr w:type="gramStart"/>
      <w:r w:rsidRPr="004F068E">
        <w:rPr>
          <w:rFonts w:ascii="Verdana" w:hAnsi="Verdana"/>
        </w:rPr>
        <w:t>sold</w:t>
      </w:r>
      <w:proofErr w:type="gramEnd"/>
      <w:r w:rsidRPr="004F068E">
        <w:rPr>
          <w:rFonts w:ascii="Verdana" w:hAnsi="Verdana"/>
        </w:rPr>
        <w:t xml:space="preserve"> or trafficked.</w:t>
      </w:r>
      <w:r>
        <w:rPr>
          <w:rFonts w:ascii="Verdana" w:hAnsi="Verdana"/>
        </w:rPr>
        <w:t xml:space="preserve"> </w:t>
      </w:r>
      <w:r w:rsidRPr="004F068E">
        <w:rPr>
          <w:rFonts w:ascii="Verdana" w:hAnsi="Verdana"/>
        </w:rPr>
        <w:t xml:space="preserve">The provisions in the </w:t>
      </w:r>
      <w:r>
        <w:rPr>
          <w:rFonts w:ascii="Verdana" w:hAnsi="Verdana"/>
        </w:rPr>
        <w:t>UN CRC</w:t>
      </w:r>
      <w:r w:rsidRPr="004F068E">
        <w:rPr>
          <w:rFonts w:ascii="Verdana" w:hAnsi="Verdana"/>
        </w:rPr>
        <w:t xml:space="preserve"> are augmented by the </w:t>
      </w:r>
      <w:r w:rsidR="003C5F35">
        <w:rPr>
          <w:rFonts w:ascii="Verdana" w:hAnsi="Verdana"/>
        </w:rPr>
        <w:t xml:space="preserve">UN </w:t>
      </w:r>
      <w:r w:rsidRPr="004F068E">
        <w:rPr>
          <w:rFonts w:ascii="Verdana" w:hAnsi="Verdana"/>
        </w:rPr>
        <w:t>Optional Protocol on the sale of children, child prostitution and child pornography.</w:t>
      </w:r>
      <w:r>
        <w:rPr>
          <w:rStyle w:val="FootnoteReference"/>
          <w:rFonts w:ascii="Verdana" w:hAnsi="Verdana"/>
        </w:rPr>
        <w:footnoteReference w:id="63"/>
      </w:r>
      <w:r>
        <w:rPr>
          <w:rFonts w:ascii="Verdana" w:hAnsi="Verdana"/>
        </w:rPr>
        <w:t xml:space="preserve"> In addition, the </w:t>
      </w:r>
      <w:proofErr w:type="spellStart"/>
      <w:r>
        <w:rPr>
          <w:rFonts w:ascii="Verdana" w:hAnsi="Verdana"/>
        </w:rPr>
        <w:t>CoE</w:t>
      </w:r>
      <w:proofErr w:type="spellEnd"/>
      <w:r>
        <w:rPr>
          <w:rFonts w:ascii="Verdana" w:hAnsi="Verdana"/>
        </w:rPr>
        <w:t xml:space="preserve"> Lanzarote Convention </w:t>
      </w:r>
      <w:r w:rsidRPr="002E69C7">
        <w:rPr>
          <w:rFonts w:ascii="Verdana" w:hAnsi="Verdana"/>
        </w:rPr>
        <w:t>imposes obligations on the UK Government and NI Executive to undertake preventative measures to combat child sexual exploitation</w:t>
      </w:r>
      <w:r>
        <w:rPr>
          <w:rFonts w:ascii="Verdana" w:hAnsi="Verdana"/>
        </w:rPr>
        <w:t>.</w:t>
      </w:r>
    </w:p>
    <w:p w14:paraId="02139618" w14:textId="77777777" w:rsidR="004F417F" w:rsidRPr="004F417F" w:rsidRDefault="004F417F" w:rsidP="004F417F">
      <w:pPr>
        <w:pStyle w:val="BasicParagraph"/>
        <w:suppressAutoHyphens/>
        <w:rPr>
          <w:rFonts w:ascii="Verdana" w:hAnsi="Verdana" w:cs="Arial"/>
          <w:bCs/>
          <w:color w:val="auto"/>
        </w:rPr>
      </w:pPr>
    </w:p>
    <w:p w14:paraId="22F9E5D4" w14:textId="63F407E0" w:rsidR="000F1B4A" w:rsidRPr="000F1B4A" w:rsidRDefault="00212F81" w:rsidP="00087302">
      <w:pPr>
        <w:pStyle w:val="BasicParagraph"/>
        <w:numPr>
          <w:ilvl w:val="1"/>
          <w:numId w:val="6"/>
        </w:numPr>
        <w:suppressAutoHyphens/>
      </w:pPr>
      <w:r w:rsidRPr="00B36BCD">
        <w:rPr>
          <w:rFonts w:ascii="Verdana" w:hAnsi="Verdana" w:cs="Arial"/>
          <w:bCs/>
          <w:color w:val="auto"/>
        </w:rPr>
        <w:lastRenderedPageBreak/>
        <w:t>While</w:t>
      </w:r>
      <w:r w:rsidR="00D564E1" w:rsidRPr="00B36BCD">
        <w:rPr>
          <w:rFonts w:ascii="Verdana" w:hAnsi="Verdana" w:cs="Arial"/>
          <w:bCs/>
          <w:color w:val="auto"/>
        </w:rPr>
        <w:t xml:space="preserve"> it</w:t>
      </w:r>
      <w:r w:rsidR="009804EF" w:rsidRPr="00B36BCD">
        <w:rPr>
          <w:rFonts w:ascii="Verdana" w:hAnsi="Verdana" w:cs="Arial"/>
          <w:bCs/>
          <w:color w:val="auto"/>
        </w:rPr>
        <w:t xml:space="preserve"> </w:t>
      </w:r>
      <w:r w:rsidR="00EC3FD2">
        <w:rPr>
          <w:rFonts w:ascii="Verdana" w:hAnsi="Verdana" w:cs="Arial"/>
          <w:bCs/>
          <w:color w:val="auto"/>
        </w:rPr>
        <w:t xml:space="preserve">is a </w:t>
      </w:r>
      <w:r w:rsidR="00C573A4" w:rsidRPr="00B36BCD">
        <w:rPr>
          <w:rFonts w:ascii="Verdana" w:hAnsi="Verdana" w:cs="Arial"/>
          <w:bCs/>
          <w:color w:val="auto"/>
        </w:rPr>
        <w:t xml:space="preserve">matter for </w:t>
      </w:r>
      <w:r w:rsidR="00EC3FD2">
        <w:rPr>
          <w:rFonts w:ascii="Verdana" w:hAnsi="Verdana" w:cs="Arial"/>
          <w:bCs/>
          <w:color w:val="auto"/>
        </w:rPr>
        <w:t xml:space="preserve">a </w:t>
      </w:r>
      <w:proofErr w:type="gramStart"/>
      <w:r w:rsidR="00EC3FD2">
        <w:rPr>
          <w:rFonts w:ascii="Verdana" w:hAnsi="Verdana" w:cs="Arial"/>
          <w:bCs/>
          <w:color w:val="auto"/>
        </w:rPr>
        <w:t xml:space="preserve">court </w:t>
      </w:r>
      <w:r w:rsidR="008C09A6" w:rsidRPr="00B36BCD">
        <w:rPr>
          <w:rFonts w:ascii="Verdana" w:hAnsi="Verdana" w:cs="Arial"/>
          <w:bCs/>
          <w:color w:val="auto"/>
        </w:rPr>
        <w:t xml:space="preserve"> </w:t>
      </w:r>
      <w:r w:rsidR="00C573A4" w:rsidRPr="00B36BCD">
        <w:rPr>
          <w:rFonts w:ascii="Verdana" w:hAnsi="Verdana" w:cs="Arial"/>
          <w:bCs/>
          <w:color w:val="auto"/>
        </w:rPr>
        <w:t>to</w:t>
      </w:r>
      <w:proofErr w:type="gramEnd"/>
      <w:r w:rsidR="00C573A4" w:rsidRPr="00B36BCD">
        <w:rPr>
          <w:rFonts w:ascii="Verdana" w:hAnsi="Verdana" w:cs="Arial"/>
          <w:bCs/>
          <w:color w:val="auto"/>
        </w:rPr>
        <w:t xml:space="preserve"> </w:t>
      </w:r>
      <w:r w:rsidR="00446C6B" w:rsidRPr="00B36BCD">
        <w:rPr>
          <w:rFonts w:ascii="Verdana" w:hAnsi="Verdana" w:cs="Arial"/>
          <w:bCs/>
          <w:color w:val="auto"/>
        </w:rPr>
        <w:t xml:space="preserve">determine </w:t>
      </w:r>
      <w:r w:rsidR="00331C51">
        <w:rPr>
          <w:rFonts w:ascii="Verdana" w:hAnsi="Verdana" w:cs="Arial"/>
          <w:bCs/>
          <w:color w:val="auto"/>
        </w:rPr>
        <w:t xml:space="preserve">on the basis of evidence </w:t>
      </w:r>
      <w:r w:rsidR="00047808" w:rsidRPr="00B36BCD">
        <w:rPr>
          <w:rFonts w:ascii="Verdana" w:hAnsi="Verdana" w:cs="Arial"/>
          <w:bCs/>
          <w:color w:val="auto"/>
        </w:rPr>
        <w:t xml:space="preserve">whether </w:t>
      </w:r>
      <w:r w:rsidR="006D30E5" w:rsidRPr="00B36BCD">
        <w:rPr>
          <w:rFonts w:ascii="Verdana" w:hAnsi="Verdana" w:cs="Arial"/>
          <w:bCs/>
          <w:color w:val="auto"/>
        </w:rPr>
        <w:t xml:space="preserve">a </w:t>
      </w:r>
      <w:r w:rsidR="00A51AE0" w:rsidRPr="00191A3D">
        <w:rPr>
          <w:rFonts w:ascii="Verdana" w:hAnsi="Verdana" w:cs="Arial"/>
          <w:bCs/>
          <w:color w:val="auto"/>
        </w:rPr>
        <w:t>Slavery Trafficking Risk Order</w:t>
      </w:r>
      <w:r w:rsidR="006D30E5" w:rsidRPr="00B36BCD">
        <w:rPr>
          <w:rFonts w:ascii="Verdana" w:hAnsi="Verdana" w:cs="Arial"/>
          <w:bCs/>
          <w:color w:val="auto"/>
        </w:rPr>
        <w:t xml:space="preserve"> is necessary</w:t>
      </w:r>
      <w:r w:rsidR="00331C51">
        <w:rPr>
          <w:rFonts w:ascii="Verdana" w:hAnsi="Verdana" w:cs="Arial"/>
          <w:bCs/>
          <w:color w:val="auto"/>
        </w:rPr>
        <w:t>,</w:t>
      </w:r>
      <w:r w:rsidR="0043164A" w:rsidRPr="00B36BCD">
        <w:rPr>
          <w:rFonts w:ascii="Verdana" w:hAnsi="Verdana" w:cs="Arial"/>
          <w:bCs/>
          <w:color w:val="auto"/>
        </w:rPr>
        <w:t xml:space="preserve"> </w:t>
      </w:r>
      <w:r w:rsidRPr="00B36BCD">
        <w:rPr>
          <w:rFonts w:ascii="Verdana" w:hAnsi="Verdana" w:cs="Arial"/>
          <w:bCs/>
          <w:color w:val="auto"/>
        </w:rPr>
        <w:t>rights-based</w:t>
      </w:r>
      <w:r w:rsidR="00E558B7" w:rsidRPr="00B36BCD">
        <w:rPr>
          <w:rFonts w:ascii="Verdana" w:hAnsi="Verdana" w:cs="Arial"/>
          <w:bCs/>
          <w:color w:val="auto"/>
        </w:rPr>
        <w:t xml:space="preserve"> </w:t>
      </w:r>
      <w:r w:rsidR="00890380" w:rsidRPr="00B36BCD">
        <w:rPr>
          <w:rFonts w:ascii="Verdana" w:hAnsi="Verdana" w:cs="Arial"/>
          <w:bCs/>
          <w:color w:val="auto"/>
        </w:rPr>
        <w:t xml:space="preserve">guidance </w:t>
      </w:r>
      <w:r w:rsidR="00331C51">
        <w:rPr>
          <w:rFonts w:ascii="Verdana" w:hAnsi="Verdana" w:cs="Arial"/>
          <w:bCs/>
          <w:color w:val="auto"/>
        </w:rPr>
        <w:t xml:space="preserve">will be </w:t>
      </w:r>
      <w:r w:rsidR="00F640F9" w:rsidRPr="00B36BCD">
        <w:rPr>
          <w:rFonts w:ascii="Verdana" w:hAnsi="Verdana" w:cs="Arial"/>
          <w:bCs/>
          <w:color w:val="auto"/>
        </w:rPr>
        <w:t>crucial</w:t>
      </w:r>
      <w:r w:rsidR="00890380" w:rsidRPr="00B36BCD">
        <w:rPr>
          <w:rFonts w:ascii="Verdana" w:hAnsi="Verdana" w:cs="Arial"/>
          <w:bCs/>
          <w:color w:val="auto"/>
        </w:rPr>
        <w:t xml:space="preserve"> </w:t>
      </w:r>
      <w:r w:rsidR="00331C51">
        <w:rPr>
          <w:rFonts w:ascii="Verdana" w:hAnsi="Verdana" w:cs="Arial"/>
          <w:bCs/>
          <w:color w:val="auto"/>
        </w:rPr>
        <w:t xml:space="preserve">to ensure that </w:t>
      </w:r>
      <w:r w:rsidR="00E2431C" w:rsidRPr="00B36BCD">
        <w:rPr>
          <w:rFonts w:ascii="Verdana" w:hAnsi="Verdana" w:cs="Arial"/>
          <w:bCs/>
          <w:color w:val="auto"/>
        </w:rPr>
        <w:t>prohibition</w:t>
      </w:r>
      <w:r w:rsidR="00331C51">
        <w:rPr>
          <w:rFonts w:ascii="Verdana" w:hAnsi="Verdana" w:cs="Arial"/>
          <w:bCs/>
          <w:color w:val="auto"/>
        </w:rPr>
        <w:t>s</w:t>
      </w:r>
      <w:r w:rsidR="00E2431C" w:rsidRPr="00B36BCD">
        <w:rPr>
          <w:rFonts w:ascii="Verdana" w:hAnsi="Verdana" w:cs="Arial"/>
          <w:bCs/>
          <w:color w:val="auto"/>
        </w:rPr>
        <w:t xml:space="preserve"> </w:t>
      </w:r>
      <w:r w:rsidR="00331C51">
        <w:rPr>
          <w:rFonts w:ascii="Verdana" w:hAnsi="Verdana" w:cs="Arial"/>
          <w:bCs/>
          <w:color w:val="auto"/>
        </w:rPr>
        <w:t xml:space="preserve">are  </w:t>
      </w:r>
      <w:r w:rsidR="00E2431C" w:rsidRPr="00B36BCD">
        <w:rPr>
          <w:rFonts w:ascii="Verdana" w:hAnsi="Verdana" w:cs="Arial"/>
          <w:bCs/>
          <w:color w:val="auto"/>
        </w:rPr>
        <w:t xml:space="preserve">tailored to the particular case and </w:t>
      </w:r>
      <w:r w:rsidR="00331C51">
        <w:rPr>
          <w:rFonts w:ascii="Verdana" w:hAnsi="Verdana" w:cs="Arial"/>
          <w:bCs/>
          <w:color w:val="auto"/>
        </w:rPr>
        <w:t xml:space="preserve">will in fact prevent the </w:t>
      </w:r>
      <w:r w:rsidR="00E2431C" w:rsidRPr="00B36BCD">
        <w:rPr>
          <w:rFonts w:ascii="Verdana" w:hAnsi="Verdana" w:cs="Arial"/>
          <w:bCs/>
          <w:color w:val="auto"/>
        </w:rPr>
        <w:t>specific harm</w:t>
      </w:r>
      <w:r w:rsidR="00331C51">
        <w:rPr>
          <w:rFonts w:ascii="Verdana" w:hAnsi="Verdana" w:cs="Arial"/>
          <w:bCs/>
          <w:color w:val="auto"/>
        </w:rPr>
        <w:t xml:space="preserve">, taking into account the victim’s own circumstances and vulnerabilities. </w:t>
      </w:r>
      <w:r w:rsidR="00E2431C" w:rsidRPr="00B36BCD">
        <w:rPr>
          <w:rFonts w:ascii="Verdana" w:hAnsi="Verdana" w:cs="Arial"/>
          <w:bCs/>
          <w:color w:val="auto"/>
        </w:rPr>
        <w:t xml:space="preserve">. </w:t>
      </w:r>
    </w:p>
    <w:p w14:paraId="758256DD" w14:textId="77777777" w:rsidR="00A51AE0" w:rsidRDefault="00A51AE0" w:rsidP="00A51AE0"/>
    <w:p w14:paraId="5EB8BE28" w14:textId="6FBEBA5F" w:rsidR="00B10BEE" w:rsidRDefault="00331C51" w:rsidP="00087302">
      <w:pPr>
        <w:pStyle w:val="BasicParagraph"/>
        <w:numPr>
          <w:ilvl w:val="1"/>
          <w:numId w:val="6"/>
        </w:numPr>
        <w:suppressAutoHyphens/>
        <w:rPr>
          <w:rFonts w:ascii="Verdana" w:hAnsi="Verdana" w:cs="Arial"/>
          <w:bCs/>
          <w:color w:val="auto"/>
        </w:rPr>
      </w:pPr>
      <w:r>
        <w:rPr>
          <w:rFonts w:ascii="Verdana" w:hAnsi="Verdana" w:cs="Arial"/>
          <w:bCs/>
          <w:color w:val="auto"/>
        </w:rPr>
        <w:t xml:space="preserve">It cannot be ignored that </w:t>
      </w:r>
      <w:r w:rsidR="00A51AE0">
        <w:rPr>
          <w:rFonts w:ascii="Verdana" w:hAnsi="Verdana" w:cs="Arial"/>
          <w:bCs/>
          <w:color w:val="auto"/>
        </w:rPr>
        <w:t xml:space="preserve">the restrictions or prohibitions </w:t>
      </w:r>
      <w:r>
        <w:rPr>
          <w:rFonts w:ascii="Verdana" w:hAnsi="Verdana" w:cs="Arial"/>
          <w:bCs/>
          <w:color w:val="auto"/>
        </w:rPr>
        <w:t xml:space="preserve">will also </w:t>
      </w:r>
      <w:r w:rsidR="00A51AE0">
        <w:rPr>
          <w:rFonts w:ascii="Verdana" w:hAnsi="Verdana" w:cs="Arial"/>
          <w:bCs/>
          <w:color w:val="auto"/>
        </w:rPr>
        <w:t>have a significant impact on the defendant’s private and family life</w:t>
      </w:r>
      <w:r>
        <w:rPr>
          <w:rFonts w:ascii="Verdana" w:hAnsi="Verdana" w:cs="Arial"/>
          <w:bCs/>
          <w:color w:val="auto"/>
        </w:rPr>
        <w:t xml:space="preserve"> under</w:t>
      </w:r>
      <w:r w:rsidR="009F5F95">
        <w:rPr>
          <w:rFonts w:ascii="Verdana" w:hAnsi="Verdana" w:cs="Arial"/>
          <w:bCs/>
          <w:color w:val="auto"/>
        </w:rPr>
        <w:t xml:space="preserve"> Article 8 ECHR</w:t>
      </w:r>
      <w:r w:rsidR="00CD16A0">
        <w:rPr>
          <w:rFonts w:ascii="Verdana" w:hAnsi="Verdana" w:cs="Arial"/>
          <w:bCs/>
          <w:color w:val="auto"/>
        </w:rPr>
        <w:t xml:space="preserve">. </w:t>
      </w:r>
      <w:r w:rsidR="00B53B20">
        <w:rPr>
          <w:rFonts w:ascii="Verdana" w:hAnsi="Verdana" w:cs="Arial"/>
          <w:bCs/>
          <w:color w:val="auto"/>
        </w:rPr>
        <w:t>However,</w:t>
      </w:r>
      <w:r w:rsidR="009F5F95">
        <w:rPr>
          <w:rFonts w:ascii="Verdana" w:hAnsi="Verdana" w:cs="Arial"/>
          <w:bCs/>
          <w:color w:val="auto"/>
        </w:rPr>
        <w:t xml:space="preserve"> </w:t>
      </w:r>
      <w:r>
        <w:rPr>
          <w:rFonts w:ascii="Verdana" w:hAnsi="Verdana" w:cs="Arial"/>
          <w:bCs/>
          <w:color w:val="auto"/>
        </w:rPr>
        <w:t>(</w:t>
      </w:r>
      <w:r w:rsidR="009F5F95">
        <w:rPr>
          <w:rFonts w:ascii="Verdana" w:hAnsi="Verdana" w:cs="Arial"/>
          <w:bCs/>
          <w:color w:val="auto"/>
        </w:rPr>
        <w:t>u</w:t>
      </w:r>
      <w:r w:rsidR="009C17C5">
        <w:rPr>
          <w:rFonts w:ascii="Verdana" w:hAnsi="Verdana" w:cs="Arial"/>
          <w:bCs/>
          <w:color w:val="auto"/>
        </w:rPr>
        <w:t>nlike</w:t>
      </w:r>
      <w:r w:rsidR="009C17C5" w:rsidRPr="00B10BEE">
        <w:rPr>
          <w:rFonts w:ascii="Verdana" w:hAnsi="Verdana" w:cs="Arial"/>
          <w:bCs/>
          <w:color w:val="auto"/>
        </w:rPr>
        <w:t xml:space="preserve"> the non-</w:t>
      </w:r>
      <w:proofErr w:type="spellStart"/>
      <w:r w:rsidR="009C17C5" w:rsidRPr="00B10BEE">
        <w:rPr>
          <w:rFonts w:ascii="Verdana" w:hAnsi="Verdana" w:cs="Arial"/>
          <w:bCs/>
          <w:color w:val="auto"/>
        </w:rPr>
        <w:t>derogable</w:t>
      </w:r>
      <w:proofErr w:type="spellEnd"/>
      <w:r w:rsidR="009C17C5" w:rsidRPr="00B10BEE">
        <w:rPr>
          <w:rFonts w:ascii="Verdana" w:hAnsi="Verdana" w:cs="Arial"/>
          <w:bCs/>
          <w:color w:val="auto"/>
        </w:rPr>
        <w:t xml:space="preserve"> right to freedom from slavery and servitude under Article 4(1)</w:t>
      </w:r>
      <w:r>
        <w:rPr>
          <w:rFonts w:ascii="Verdana" w:hAnsi="Verdana" w:cs="Arial"/>
          <w:bCs/>
          <w:color w:val="auto"/>
        </w:rPr>
        <w:t>)</w:t>
      </w:r>
      <w:r w:rsidR="009C17C5" w:rsidRPr="00B10BEE">
        <w:rPr>
          <w:rFonts w:ascii="Verdana" w:hAnsi="Verdana" w:cs="Arial"/>
          <w:bCs/>
          <w:color w:val="auto"/>
        </w:rPr>
        <w:t xml:space="preserve">, </w:t>
      </w:r>
      <w:r w:rsidR="009C17C5" w:rsidRPr="00B10BEE">
        <w:rPr>
          <w:rFonts w:ascii="Verdana" w:hAnsi="Verdana"/>
          <w:bCs/>
          <w:color w:val="auto"/>
        </w:rPr>
        <w:t xml:space="preserve">Article 8 of the ECHR is not </w:t>
      </w:r>
      <w:r>
        <w:rPr>
          <w:rFonts w:ascii="Verdana" w:hAnsi="Verdana"/>
          <w:bCs/>
          <w:color w:val="auto"/>
        </w:rPr>
        <w:t xml:space="preserve">an </w:t>
      </w:r>
      <w:r w:rsidR="009C17C5" w:rsidRPr="00B10BEE">
        <w:rPr>
          <w:rFonts w:ascii="Verdana" w:hAnsi="Verdana"/>
          <w:bCs/>
          <w:color w:val="auto"/>
        </w:rPr>
        <w:t xml:space="preserve">absolute </w:t>
      </w:r>
      <w:r>
        <w:rPr>
          <w:rFonts w:ascii="Verdana" w:hAnsi="Verdana"/>
          <w:bCs/>
          <w:color w:val="auto"/>
        </w:rPr>
        <w:t xml:space="preserve">right; it can </w:t>
      </w:r>
      <w:r w:rsidR="009C17C5" w:rsidRPr="00B10BEE">
        <w:rPr>
          <w:rFonts w:ascii="Verdana" w:hAnsi="Verdana"/>
          <w:bCs/>
          <w:color w:val="auto"/>
        </w:rPr>
        <w:t xml:space="preserve">be interfered with </w:t>
      </w:r>
      <w:r>
        <w:rPr>
          <w:rFonts w:ascii="Verdana" w:hAnsi="Verdana"/>
          <w:bCs/>
          <w:color w:val="auto"/>
        </w:rPr>
        <w:t xml:space="preserve">so long as </w:t>
      </w:r>
      <w:r w:rsidR="009C17C5" w:rsidRPr="00B10BEE">
        <w:rPr>
          <w:rFonts w:ascii="Verdana" w:hAnsi="Verdana"/>
          <w:bCs/>
          <w:color w:val="auto"/>
        </w:rPr>
        <w:t xml:space="preserve">it is lawful, </w:t>
      </w:r>
      <w:proofErr w:type="gramStart"/>
      <w:r w:rsidR="009C17C5" w:rsidRPr="00B10BEE">
        <w:rPr>
          <w:rFonts w:ascii="Verdana" w:hAnsi="Verdana"/>
          <w:bCs/>
          <w:color w:val="auto"/>
        </w:rPr>
        <w:t>necessary</w:t>
      </w:r>
      <w:proofErr w:type="gramEnd"/>
      <w:r w:rsidR="009C17C5" w:rsidRPr="00B10BEE">
        <w:rPr>
          <w:rFonts w:ascii="Verdana" w:hAnsi="Verdana"/>
          <w:bCs/>
          <w:color w:val="auto"/>
        </w:rPr>
        <w:t xml:space="preserve"> and proportionate to do so.</w:t>
      </w:r>
    </w:p>
    <w:p w14:paraId="69A192D0" w14:textId="77777777" w:rsidR="003C4B55" w:rsidRPr="00B15363" w:rsidRDefault="003C4B55" w:rsidP="00B15363">
      <w:pPr>
        <w:rPr>
          <w:bCs/>
        </w:rPr>
      </w:pPr>
    </w:p>
    <w:p w14:paraId="2E793617" w14:textId="69488C37" w:rsidR="00B311C3" w:rsidRPr="00657214" w:rsidRDefault="00FC1D7A" w:rsidP="00087302">
      <w:pPr>
        <w:pStyle w:val="BasicParagraph"/>
        <w:numPr>
          <w:ilvl w:val="1"/>
          <w:numId w:val="6"/>
        </w:numPr>
        <w:suppressAutoHyphens/>
        <w:spacing w:after="240"/>
        <w:rPr>
          <w:rFonts w:cs="Arial"/>
          <w:bCs/>
        </w:rPr>
      </w:pPr>
      <w:r w:rsidRPr="00A533DD">
        <w:rPr>
          <w:rFonts w:ascii="Verdana" w:hAnsi="Verdana"/>
          <w:bCs/>
          <w:color w:val="auto"/>
        </w:rPr>
        <w:t xml:space="preserve">Article 8(2) of the ECHR </w:t>
      </w:r>
      <w:r w:rsidR="00742529" w:rsidRPr="00A533DD">
        <w:rPr>
          <w:rFonts w:ascii="Verdana" w:hAnsi="Verdana"/>
          <w:bCs/>
          <w:color w:val="auto"/>
        </w:rPr>
        <w:t xml:space="preserve">and its partnering jurisprudence, provide guidance on the type of situations when </w:t>
      </w:r>
      <w:r w:rsidR="00E70AD7" w:rsidRPr="00A533DD">
        <w:rPr>
          <w:rFonts w:ascii="Verdana" w:hAnsi="Verdana"/>
          <w:bCs/>
          <w:color w:val="auto"/>
        </w:rPr>
        <w:t xml:space="preserve">an individual’s Article 8 rights could be </w:t>
      </w:r>
      <w:r w:rsidR="00C84875">
        <w:rPr>
          <w:rFonts w:ascii="Verdana" w:hAnsi="Verdana"/>
          <w:bCs/>
          <w:color w:val="auto"/>
        </w:rPr>
        <w:t>interfered with</w:t>
      </w:r>
      <w:r w:rsidR="00A02839">
        <w:rPr>
          <w:rFonts w:ascii="Verdana" w:hAnsi="Verdana"/>
          <w:bCs/>
          <w:color w:val="auto"/>
        </w:rPr>
        <w:t>. The ECtHR has stated that</w:t>
      </w:r>
      <w:r w:rsidR="00B311C3">
        <w:rPr>
          <w:rFonts w:ascii="Verdana" w:hAnsi="Verdana"/>
          <w:bCs/>
          <w:color w:val="auto"/>
        </w:rPr>
        <w:t>:</w:t>
      </w:r>
      <w:r w:rsidR="00C15606">
        <w:rPr>
          <w:rFonts w:ascii="Verdana" w:hAnsi="Verdana"/>
          <w:bCs/>
          <w:color w:val="auto"/>
        </w:rPr>
        <w:t xml:space="preserve"> </w:t>
      </w:r>
    </w:p>
    <w:p w14:paraId="6664C02E" w14:textId="14408AA3" w:rsidR="00657214" w:rsidRPr="00BF7C66" w:rsidRDefault="00A02839" w:rsidP="00095E28">
      <w:pPr>
        <w:spacing w:line="288" w:lineRule="auto"/>
        <w:ind w:left="720"/>
        <w:rPr>
          <w:rFonts w:cs="Arial"/>
          <w:bCs/>
        </w:rPr>
      </w:pPr>
      <w:r w:rsidRPr="00BF7C66">
        <w:rPr>
          <w:rFonts w:cs="Arial"/>
          <w:bCs/>
        </w:rPr>
        <w:t>a</w:t>
      </w:r>
      <w:r w:rsidR="00657214" w:rsidRPr="00BF7C66">
        <w:rPr>
          <w:rFonts w:cs="Arial"/>
          <w:bCs/>
        </w:rPr>
        <w:t>n interference will be considered “necessary in a democratic society” for a legitimate aim if it answers a “pressing social need” and</w:t>
      </w:r>
      <w:proofErr w:type="gramStart"/>
      <w:r w:rsidR="00657214" w:rsidRPr="00BF7C66">
        <w:rPr>
          <w:rFonts w:cs="Arial"/>
          <w:bCs/>
        </w:rPr>
        <w:t>, in particular, if</w:t>
      </w:r>
      <w:proofErr w:type="gramEnd"/>
      <w:r w:rsidR="00657214" w:rsidRPr="00BF7C66">
        <w:rPr>
          <w:rFonts w:cs="Arial"/>
          <w:bCs/>
        </w:rPr>
        <w:t xml:space="preserve"> it is proportionate to the legitimate aim pursued and if the reasons adduced by the national authorities to justify it are “relevant and sufficient.</w:t>
      </w:r>
      <w:r w:rsidR="00AE6600">
        <w:rPr>
          <w:rStyle w:val="FootnoteReference"/>
          <w:rFonts w:cs="Arial"/>
          <w:bCs/>
        </w:rPr>
        <w:footnoteReference w:id="64"/>
      </w:r>
      <w:r w:rsidR="00657214" w:rsidRPr="00BF7C66">
        <w:rPr>
          <w:rFonts w:cs="Arial"/>
          <w:bCs/>
        </w:rPr>
        <w:t xml:space="preserve"> </w:t>
      </w:r>
    </w:p>
    <w:p w14:paraId="797A2A10" w14:textId="7FBBE59D" w:rsidR="00657214" w:rsidRDefault="00657214" w:rsidP="00657214">
      <w:pPr>
        <w:pStyle w:val="ListParagraph"/>
        <w:spacing w:line="288" w:lineRule="auto"/>
        <w:ind w:left="803"/>
        <w:rPr>
          <w:rFonts w:cs="Arial"/>
          <w:bCs/>
        </w:rPr>
      </w:pPr>
      <w:r w:rsidRPr="00657214">
        <w:rPr>
          <w:rFonts w:cs="Arial"/>
          <w:bCs/>
        </w:rPr>
        <w:t xml:space="preserve"> </w:t>
      </w:r>
    </w:p>
    <w:p w14:paraId="42FDFF6D" w14:textId="40C7E870" w:rsidR="00A533DD" w:rsidRPr="00657214" w:rsidRDefault="00657214" w:rsidP="00087302">
      <w:pPr>
        <w:pStyle w:val="BasicParagraph"/>
        <w:numPr>
          <w:ilvl w:val="1"/>
          <w:numId w:val="6"/>
        </w:numPr>
        <w:suppressAutoHyphens/>
        <w:spacing w:after="240"/>
        <w:rPr>
          <w:rFonts w:ascii="Verdana" w:hAnsi="Verdana" w:cs="Arial"/>
          <w:bCs/>
        </w:rPr>
      </w:pPr>
      <w:r w:rsidRPr="00657214">
        <w:rPr>
          <w:rFonts w:ascii="Verdana" w:hAnsi="Verdana" w:cs="Arial"/>
          <w:bCs/>
        </w:rPr>
        <w:t xml:space="preserve">Article 8(2) </w:t>
      </w:r>
      <w:r w:rsidR="00085C4B">
        <w:rPr>
          <w:rFonts w:ascii="Verdana" w:hAnsi="Verdana" w:cs="Arial"/>
          <w:bCs/>
        </w:rPr>
        <w:t>specifies</w:t>
      </w:r>
      <w:r w:rsidRPr="00657214">
        <w:rPr>
          <w:rFonts w:ascii="Verdana" w:hAnsi="Verdana" w:cs="Arial"/>
          <w:bCs/>
        </w:rPr>
        <w:t xml:space="preserve"> a list of legitimate aims which include public safety and the protection of the rights and freedoms of others. </w:t>
      </w:r>
      <w:r w:rsidR="00707959">
        <w:rPr>
          <w:rFonts w:ascii="Verdana" w:hAnsi="Verdana" w:cs="Arial"/>
          <w:bCs/>
        </w:rPr>
        <w:t>I</w:t>
      </w:r>
      <w:r w:rsidRPr="00657214">
        <w:rPr>
          <w:rFonts w:ascii="Verdana" w:hAnsi="Verdana" w:cs="Arial"/>
          <w:bCs/>
        </w:rPr>
        <w:t>t</w:t>
      </w:r>
      <w:r w:rsidR="00707959">
        <w:rPr>
          <w:rFonts w:ascii="Verdana" w:hAnsi="Verdana" w:cs="Arial"/>
          <w:bCs/>
        </w:rPr>
        <w:t xml:space="preserve"> is</w:t>
      </w:r>
      <w:r w:rsidRPr="00657214">
        <w:rPr>
          <w:rFonts w:ascii="Verdana" w:hAnsi="Verdana" w:cs="Arial"/>
          <w:bCs/>
        </w:rPr>
        <w:t xml:space="preserve"> </w:t>
      </w:r>
      <w:r w:rsidR="00BF7C66">
        <w:rPr>
          <w:rFonts w:ascii="Verdana" w:hAnsi="Verdana" w:cs="Arial"/>
          <w:bCs/>
        </w:rPr>
        <w:t>best</w:t>
      </w:r>
      <w:r w:rsidR="00BF7C66" w:rsidRPr="00657214">
        <w:rPr>
          <w:rFonts w:ascii="Verdana" w:hAnsi="Verdana" w:cs="Arial"/>
          <w:bCs/>
        </w:rPr>
        <w:t xml:space="preserve"> </w:t>
      </w:r>
      <w:r w:rsidRPr="00657214">
        <w:rPr>
          <w:rFonts w:ascii="Verdana" w:hAnsi="Verdana" w:cs="Arial"/>
          <w:bCs/>
        </w:rPr>
        <w:t xml:space="preserve">practice that each application </w:t>
      </w:r>
      <w:r w:rsidR="00B30F5A" w:rsidRPr="00657214">
        <w:rPr>
          <w:rFonts w:ascii="Verdana" w:hAnsi="Verdana" w:cs="Arial"/>
          <w:bCs/>
        </w:rPr>
        <w:t>contain</w:t>
      </w:r>
      <w:r w:rsidR="00707959">
        <w:rPr>
          <w:rFonts w:ascii="Verdana" w:hAnsi="Verdana" w:cs="Arial"/>
          <w:bCs/>
        </w:rPr>
        <w:t>s</w:t>
      </w:r>
      <w:r w:rsidRPr="00657214">
        <w:rPr>
          <w:rFonts w:ascii="Verdana" w:hAnsi="Verdana" w:cs="Arial"/>
          <w:bCs/>
        </w:rPr>
        <w:t xml:space="preserve"> clear and sufficient justification for the conditions required to protect a victim or potential victim(s) </w:t>
      </w:r>
      <w:r w:rsidR="00BC5406">
        <w:rPr>
          <w:rFonts w:ascii="Verdana" w:hAnsi="Verdana" w:cs="Arial"/>
          <w:bCs/>
        </w:rPr>
        <w:t>based on the</w:t>
      </w:r>
      <w:r w:rsidRPr="00657214">
        <w:rPr>
          <w:rFonts w:ascii="Verdana" w:hAnsi="Verdana" w:cs="Arial"/>
          <w:bCs/>
        </w:rPr>
        <w:t xml:space="preserve"> specific circumstances</w:t>
      </w:r>
      <w:r w:rsidR="00BC5406">
        <w:rPr>
          <w:rFonts w:ascii="Verdana" w:hAnsi="Verdana" w:cs="Arial"/>
          <w:bCs/>
        </w:rPr>
        <w:t xml:space="preserve"> presented</w:t>
      </w:r>
      <w:r w:rsidRPr="00657214">
        <w:rPr>
          <w:rFonts w:ascii="Verdana" w:hAnsi="Verdana" w:cs="Arial"/>
          <w:bCs/>
        </w:rPr>
        <w:t>.</w:t>
      </w:r>
    </w:p>
    <w:p w14:paraId="7F3203BD" w14:textId="76BD6153" w:rsidR="00CD4603" w:rsidRPr="009028CA" w:rsidRDefault="00CD4603" w:rsidP="00087302">
      <w:pPr>
        <w:pStyle w:val="BasicParagraph"/>
        <w:numPr>
          <w:ilvl w:val="1"/>
          <w:numId w:val="6"/>
        </w:numPr>
        <w:suppressAutoHyphens/>
        <w:spacing w:after="240"/>
        <w:rPr>
          <w:rFonts w:ascii="Verdana" w:hAnsi="Verdana" w:cs="Arial"/>
          <w:bCs/>
        </w:rPr>
      </w:pPr>
      <w:r w:rsidRPr="00B514F3">
        <w:rPr>
          <w:rFonts w:ascii="Verdana" w:hAnsi="Verdana" w:cs="Arial"/>
          <w:b/>
          <w:color w:val="auto"/>
        </w:rPr>
        <w:t xml:space="preserve">The NIHRC recommends that the Department of Justice develops </w:t>
      </w:r>
      <w:r>
        <w:rPr>
          <w:rFonts w:ascii="Verdana" w:hAnsi="Verdana" w:cs="Arial"/>
          <w:b/>
          <w:color w:val="auto"/>
        </w:rPr>
        <w:t xml:space="preserve">robust </w:t>
      </w:r>
      <w:r w:rsidRPr="00B514F3">
        <w:rPr>
          <w:rFonts w:ascii="Verdana" w:hAnsi="Verdana" w:cs="Arial"/>
          <w:b/>
          <w:color w:val="auto"/>
        </w:rPr>
        <w:t xml:space="preserve">statutory guidance to support the </w:t>
      </w:r>
      <w:r w:rsidR="002930E0">
        <w:rPr>
          <w:rFonts w:ascii="Verdana" w:hAnsi="Verdana" w:cs="Arial"/>
          <w:b/>
          <w:color w:val="auto"/>
        </w:rPr>
        <w:t>use of</w:t>
      </w:r>
      <w:r w:rsidRPr="00B514F3">
        <w:rPr>
          <w:rFonts w:ascii="Verdana" w:hAnsi="Verdana" w:cs="Arial"/>
          <w:b/>
          <w:color w:val="auto"/>
        </w:rPr>
        <w:t xml:space="preserve"> Slavery and Trafficking Risk Orders</w:t>
      </w:r>
      <w:r>
        <w:rPr>
          <w:rFonts w:ascii="Verdana" w:hAnsi="Verdana" w:cs="Arial"/>
          <w:b/>
          <w:color w:val="auto"/>
        </w:rPr>
        <w:t xml:space="preserve"> in NI. </w:t>
      </w:r>
      <w:r w:rsidR="00F951A3">
        <w:rPr>
          <w:rFonts w:ascii="Verdana" w:hAnsi="Verdana" w:cs="Arial"/>
          <w:b/>
          <w:color w:val="auto"/>
        </w:rPr>
        <w:t>In line with international human rights standards</w:t>
      </w:r>
      <w:r w:rsidR="00C514C6">
        <w:rPr>
          <w:rFonts w:ascii="Verdana" w:hAnsi="Verdana" w:cs="Arial"/>
          <w:b/>
          <w:color w:val="auto"/>
        </w:rPr>
        <w:t xml:space="preserve"> and Protocol Article 2</w:t>
      </w:r>
      <w:r w:rsidR="00F951A3">
        <w:rPr>
          <w:rFonts w:ascii="Verdana" w:hAnsi="Verdana" w:cs="Arial"/>
          <w:b/>
          <w:color w:val="auto"/>
        </w:rPr>
        <w:t>, t</w:t>
      </w:r>
      <w:r w:rsidR="00CF220D">
        <w:rPr>
          <w:rFonts w:ascii="Verdana" w:hAnsi="Verdana" w:cs="Arial"/>
          <w:b/>
          <w:color w:val="auto"/>
        </w:rPr>
        <w:t>h</w:t>
      </w:r>
      <w:r w:rsidR="00F951A3">
        <w:rPr>
          <w:rFonts w:ascii="Verdana" w:hAnsi="Verdana" w:cs="Arial"/>
          <w:b/>
          <w:color w:val="auto"/>
        </w:rPr>
        <w:t>is</w:t>
      </w:r>
      <w:r w:rsidR="00CF220D">
        <w:rPr>
          <w:rFonts w:ascii="Verdana" w:hAnsi="Verdana" w:cs="Arial"/>
          <w:b/>
          <w:color w:val="auto"/>
        </w:rPr>
        <w:t xml:space="preserve"> g</w:t>
      </w:r>
      <w:r>
        <w:rPr>
          <w:rFonts w:ascii="Verdana" w:hAnsi="Verdana" w:cs="Arial"/>
          <w:b/>
          <w:color w:val="auto"/>
        </w:rPr>
        <w:t xml:space="preserve">uidance should </w:t>
      </w:r>
      <w:r w:rsidR="00F951A3">
        <w:rPr>
          <w:rFonts w:ascii="Verdana" w:hAnsi="Verdana" w:cs="Arial"/>
          <w:b/>
          <w:color w:val="auto"/>
        </w:rPr>
        <w:t>require</w:t>
      </w:r>
      <w:r w:rsidR="00C12880">
        <w:rPr>
          <w:rFonts w:ascii="Verdana" w:hAnsi="Verdana" w:cs="Arial"/>
          <w:b/>
          <w:color w:val="auto"/>
        </w:rPr>
        <w:t xml:space="preserve"> individual assessments of victims to </w:t>
      </w:r>
      <w:r w:rsidR="00F951A3">
        <w:rPr>
          <w:rFonts w:ascii="Verdana" w:hAnsi="Verdana" w:cs="Arial"/>
          <w:b/>
          <w:color w:val="auto"/>
        </w:rPr>
        <w:t>be conducted for the purposes of</w:t>
      </w:r>
      <w:r w:rsidR="00C12880">
        <w:rPr>
          <w:rFonts w:ascii="Verdana" w:hAnsi="Verdana" w:cs="Arial"/>
          <w:b/>
          <w:color w:val="auto"/>
        </w:rPr>
        <w:t xml:space="preserve"> </w:t>
      </w:r>
      <w:r w:rsidR="00EE27B7">
        <w:rPr>
          <w:rFonts w:ascii="Verdana" w:hAnsi="Verdana" w:cs="Arial"/>
          <w:b/>
          <w:color w:val="auto"/>
        </w:rPr>
        <w:t>identify</w:t>
      </w:r>
      <w:r w:rsidR="00F951A3">
        <w:rPr>
          <w:rFonts w:ascii="Verdana" w:hAnsi="Verdana" w:cs="Arial"/>
          <w:b/>
          <w:color w:val="auto"/>
        </w:rPr>
        <w:t>ing</w:t>
      </w:r>
      <w:r w:rsidR="00EE27B7">
        <w:rPr>
          <w:rFonts w:ascii="Verdana" w:hAnsi="Verdana" w:cs="Arial"/>
          <w:b/>
          <w:color w:val="auto"/>
        </w:rPr>
        <w:t xml:space="preserve"> the necessity and proportionality of </w:t>
      </w:r>
      <w:r w:rsidR="00ED5FB9">
        <w:rPr>
          <w:rFonts w:ascii="Verdana" w:hAnsi="Verdana" w:cs="Arial"/>
          <w:b/>
          <w:color w:val="auto"/>
        </w:rPr>
        <w:t>a risk order.</w:t>
      </w:r>
    </w:p>
    <w:p w14:paraId="61EBDE64" w14:textId="4E9649A8" w:rsidR="00CD4603" w:rsidRPr="009A733D" w:rsidRDefault="00CD4603" w:rsidP="00087302">
      <w:pPr>
        <w:pStyle w:val="BasicParagraph"/>
        <w:numPr>
          <w:ilvl w:val="1"/>
          <w:numId w:val="6"/>
        </w:numPr>
        <w:suppressAutoHyphens/>
        <w:rPr>
          <w:rFonts w:ascii="Verdana" w:hAnsi="Verdana" w:cs="Arial"/>
          <w:b/>
          <w:color w:val="auto"/>
        </w:rPr>
      </w:pPr>
      <w:r w:rsidRPr="005F577A">
        <w:rPr>
          <w:rFonts w:ascii="Verdana" w:hAnsi="Verdana" w:cs="Arial"/>
          <w:b/>
          <w:color w:val="auto"/>
        </w:rPr>
        <w:lastRenderedPageBreak/>
        <w:t>The NIHRC recommend</w:t>
      </w:r>
      <w:r>
        <w:rPr>
          <w:rFonts w:ascii="Verdana" w:hAnsi="Verdana" w:cs="Arial"/>
          <w:b/>
          <w:color w:val="auto"/>
        </w:rPr>
        <w:t>s</w:t>
      </w:r>
      <w:r w:rsidRPr="005F577A">
        <w:rPr>
          <w:rFonts w:ascii="Verdana" w:hAnsi="Verdana" w:cs="Arial"/>
          <w:b/>
          <w:color w:val="auto"/>
        </w:rPr>
        <w:t xml:space="preserve"> that </w:t>
      </w:r>
      <w:r w:rsidR="00CA760B">
        <w:rPr>
          <w:rFonts w:ascii="Verdana" w:hAnsi="Verdana" w:cs="Arial"/>
          <w:b/>
          <w:color w:val="auto"/>
        </w:rPr>
        <w:t xml:space="preserve">the Department of Justice ensures that </w:t>
      </w:r>
      <w:r w:rsidR="00E22DEE">
        <w:rPr>
          <w:rFonts w:ascii="Verdana" w:hAnsi="Verdana" w:cs="Arial"/>
          <w:b/>
          <w:color w:val="auto"/>
        </w:rPr>
        <w:t xml:space="preserve">any </w:t>
      </w:r>
      <w:r w:rsidRPr="005F577A">
        <w:rPr>
          <w:rFonts w:ascii="Verdana" w:hAnsi="Verdana" w:cs="Arial"/>
          <w:b/>
          <w:color w:val="auto"/>
        </w:rPr>
        <w:t xml:space="preserve">statutory guidance </w:t>
      </w:r>
      <w:r>
        <w:rPr>
          <w:rFonts w:ascii="Verdana" w:hAnsi="Verdana" w:cs="Arial"/>
          <w:b/>
          <w:color w:val="auto"/>
        </w:rPr>
        <w:t xml:space="preserve">on </w:t>
      </w:r>
      <w:r w:rsidRPr="00B514F3">
        <w:rPr>
          <w:rFonts w:ascii="Verdana" w:hAnsi="Verdana" w:cs="Arial"/>
          <w:b/>
          <w:color w:val="auto"/>
        </w:rPr>
        <w:t>Slavery and Trafficking Risk Orders</w:t>
      </w:r>
      <w:r>
        <w:rPr>
          <w:rFonts w:ascii="Verdana" w:hAnsi="Verdana" w:cs="Arial"/>
          <w:b/>
          <w:color w:val="auto"/>
        </w:rPr>
        <w:t xml:space="preserve"> </w:t>
      </w:r>
      <w:r w:rsidRPr="005F577A">
        <w:rPr>
          <w:rFonts w:ascii="Verdana" w:hAnsi="Verdana" w:cs="Arial"/>
          <w:b/>
          <w:color w:val="auto"/>
        </w:rPr>
        <w:t>explicitly incorporate the best interests of the child</w:t>
      </w:r>
      <w:r w:rsidR="00E22DEE">
        <w:rPr>
          <w:rFonts w:ascii="Verdana" w:hAnsi="Verdana" w:cs="Arial"/>
          <w:b/>
          <w:color w:val="auto"/>
        </w:rPr>
        <w:t xml:space="preserve"> and take account of </w:t>
      </w:r>
      <w:r w:rsidR="00CA760B">
        <w:rPr>
          <w:rFonts w:ascii="Verdana" w:hAnsi="Verdana" w:cs="Arial"/>
          <w:b/>
          <w:color w:val="auto"/>
        </w:rPr>
        <w:t xml:space="preserve">children’s </w:t>
      </w:r>
      <w:r w:rsidR="00E22DEE">
        <w:rPr>
          <w:rFonts w:ascii="Verdana" w:hAnsi="Verdana" w:cs="Arial"/>
          <w:b/>
          <w:color w:val="auto"/>
        </w:rPr>
        <w:t>particular vulnerability to human trafficking</w:t>
      </w:r>
      <w:r w:rsidR="00BA1A6F">
        <w:rPr>
          <w:rFonts w:ascii="Verdana" w:hAnsi="Verdana" w:cs="Arial"/>
          <w:b/>
          <w:color w:val="auto"/>
        </w:rPr>
        <w:t xml:space="preserve"> and child sexual exploitation.</w:t>
      </w:r>
    </w:p>
    <w:p w14:paraId="479EF580" w14:textId="77777777" w:rsidR="006032AB" w:rsidRDefault="006032AB" w:rsidP="006032AB">
      <w:pPr>
        <w:pStyle w:val="BasicParagraph"/>
        <w:suppressAutoHyphens/>
        <w:rPr>
          <w:rFonts w:ascii="Verdana" w:hAnsi="Verdana" w:cs="Arial"/>
          <w:b/>
          <w:bCs/>
          <w:i/>
          <w:iCs/>
          <w:color w:val="auto"/>
        </w:rPr>
      </w:pPr>
    </w:p>
    <w:p w14:paraId="0642E6F6" w14:textId="634C7772" w:rsidR="005D1F38" w:rsidRPr="00233914" w:rsidRDefault="002C504E" w:rsidP="00380238">
      <w:pPr>
        <w:pStyle w:val="Heading2"/>
        <w:rPr>
          <w:rFonts w:cs="Arial"/>
          <w:b w:val="0"/>
          <w:i/>
          <w:iCs/>
        </w:rPr>
      </w:pPr>
      <w:bookmarkStart w:id="8" w:name="_Toc105754270"/>
      <w:r w:rsidRPr="00233914">
        <w:t xml:space="preserve">Protocol Article 2 and EU </w:t>
      </w:r>
      <w:r w:rsidR="00FF5642" w:rsidRPr="0052431D">
        <w:rPr>
          <w:rFonts w:cs="Arial"/>
          <w:bCs/>
        </w:rPr>
        <w:t>General Data Protection Regulations</w:t>
      </w:r>
      <w:bookmarkEnd w:id="8"/>
    </w:p>
    <w:p w14:paraId="7BEA464C" w14:textId="77777777" w:rsidR="002C504E" w:rsidRDefault="002C504E" w:rsidP="002C504E">
      <w:pPr>
        <w:pStyle w:val="ListParagraph"/>
        <w:spacing w:line="276" w:lineRule="auto"/>
        <w:rPr>
          <w:rFonts w:cs="Arial"/>
          <w:b/>
        </w:rPr>
      </w:pPr>
    </w:p>
    <w:p w14:paraId="6648CD72" w14:textId="0EDF1992" w:rsidR="0052431D" w:rsidRDefault="0052431D" w:rsidP="00087302">
      <w:pPr>
        <w:pStyle w:val="BasicParagraph"/>
        <w:numPr>
          <w:ilvl w:val="1"/>
          <w:numId w:val="6"/>
        </w:numPr>
        <w:suppressAutoHyphens/>
        <w:rPr>
          <w:rFonts w:ascii="Verdana" w:hAnsi="Verdana" w:cs="Arial"/>
          <w:bCs/>
          <w:color w:val="auto"/>
        </w:rPr>
      </w:pPr>
      <w:r w:rsidRPr="0052431D">
        <w:rPr>
          <w:rFonts w:ascii="Verdana" w:hAnsi="Verdana" w:cs="Arial"/>
          <w:bCs/>
          <w:color w:val="auto"/>
        </w:rPr>
        <w:t>The Rights, Safeguards and Equality of Opportunity chapter of the Belfast (Good Friday) Agreement refers to the “civil rights… of everyone in the community.</w:t>
      </w:r>
      <w:r w:rsidR="007D30BA">
        <w:rPr>
          <w:rStyle w:val="FootnoteReference"/>
          <w:rFonts w:ascii="Verdana" w:hAnsi="Verdana" w:cs="Arial"/>
          <w:bCs/>
          <w:color w:val="auto"/>
        </w:rPr>
        <w:footnoteReference w:id="65"/>
      </w:r>
      <w:r w:rsidRPr="0052431D">
        <w:rPr>
          <w:rFonts w:ascii="Verdana" w:hAnsi="Verdana" w:cs="Arial"/>
          <w:bCs/>
          <w:color w:val="auto"/>
        </w:rPr>
        <w:t xml:space="preserve"> The chapter then affirms a list of rights </w:t>
      </w:r>
      <w:r w:rsidRPr="007D30BA">
        <w:rPr>
          <w:rFonts w:ascii="Verdana" w:hAnsi="Verdana" w:cs="Arial"/>
          <w:bCs/>
          <w:i/>
          <w:iCs/>
          <w:color w:val="auto"/>
        </w:rPr>
        <w:t>in particular</w:t>
      </w:r>
      <w:r w:rsidRPr="0052431D">
        <w:rPr>
          <w:rFonts w:ascii="Verdana" w:hAnsi="Verdana" w:cs="Arial"/>
          <w:bCs/>
          <w:color w:val="auto"/>
        </w:rPr>
        <w:t xml:space="preserve">, with the phrase “in particular” suggesting that this is not intended as an exhaustive list. </w:t>
      </w:r>
    </w:p>
    <w:p w14:paraId="3476BD77" w14:textId="77777777" w:rsidR="0052431D" w:rsidRPr="0052431D" w:rsidRDefault="0052431D" w:rsidP="007D30BA">
      <w:pPr>
        <w:pStyle w:val="BasicParagraph"/>
        <w:suppressAutoHyphens/>
        <w:rPr>
          <w:rFonts w:ascii="Verdana" w:hAnsi="Verdana" w:cs="Arial"/>
          <w:bCs/>
          <w:color w:val="auto"/>
        </w:rPr>
      </w:pPr>
    </w:p>
    <w:p w14:paraId="700B9E3B" w14:textId="246E8142" w:rsidR="00CE71A5" w:rsidRDefault="0052431D" w:rsidP="00087302">
      <w:pPr>
        <w:pStyle w:val="BasicParagraph"/>
        <w:numPr>
          <w:ilvl w:val="1"/>
          <w:numId w:val="6"/>
        </w:numPr>
        <w:suppressAutoHyphens/>
        <w:rPr>
          <w:rFonts w:ascii="Verdana" w:hAnsi="Verdana" w:cs="Arial"/>
          <w:bCs/>
          <w:color w:val="auto"/>
        </w:rPr>
      </w:pPr>
      <w:r w:rsidRPr="007A6E89">
        <w:rPr>
          <w:rFonts w:ascii="Verdana" w:hAnsi="Verdana" w:cs="Arial"/>
          <w:bCs/>
          <w:color w:val="auto"/>
        </w:rPr>
        <w:t>Under the Belfast (Good Friday) Agreement, the UK Government committed to the full incorporation of the ECHR into NI law.  As identified above, the</w:t>
      </w:r>
      <w:r w:rsidRPr="007A6E89" w:rsidDel="00EB64C7">
        <w:rPr>
          <w:rFonts w:ascii="Verdana" w:hAnsi="Verdana" w:cs="Arial"/>
          <w:bCs/>
          <w:color w:val="auto"/>
        </w:rPr>
        <w:t xml:space="preserve"> </w:t>
      </w:r>
      <w:r w:rsidR="00EB64C7" w:rsidRPr="007A6E89">
        <w:rPr>
          <w:rFonts w:ascii="Verdana" w:hAnsi="Verdana" w:cs="Arial"/>
          <w:bCs/>
          <w:color w:val="auto"/>
        </w:rPr>
        <w:t xml:space="preserve">NIHRC </w:t>
      </w:r>
      <w:r w:rsidRPr="007A6E89">
        <w:rPr>
          <w:rFonts w:ascii="Verdana" w:hAnsi="Verdana" w:cs="Arial"/>
          <w:bCs/>
          <w:color w:val="auto"/>
        </w:rPr>
        <w:t>has adopted the working assumption that the non-diminution commitment in Protocol Article 2 encompasses the full range of rights set out in the ECHR, to the extent that they are underpinned by EU l</w:t>
      </w:r>
      <w:r w:rsidR="00244E46">
        <w:rPr>
          <w:rFonts w:ascii="Verdana" w:hAnsi="Verdana" w:cs="Arial"/>
          <w:bCs/>
          <w:color w:val="auto"/>
        </w:rPr>
        <w:t>aw</w:t>
      </w:r>
      <w:r w:rsidRPr="007A6E89">
        <w:rPr>
          <w:rFonts w:ascii="Verdana" w:hAnsi="Verdana" w:cs="Arial"/>
          <w:bCs/>
          <w:color w:val="auto"/>
        </w:rPr>
        <w:t>.</w:t>
      </w:r>
      <w:r w:rsidR="000874CC" w:rsidRPr="007A6E89">
        <w:rPr>
          <w:rFonts w:ascii="Verdana" w:hAnsi="Verdana" w:cs="Arial"/>
          <w:bCs/>
          <w:color w:val="auto"/>
        </w:rPr>
        <w:t xml:space="preserve"> </w:t>
      </w:r>
      <w:r w:rsidR="00D57440">
        <w:rPr>
          <w:rFonts w:ascii="Verdana" w:hAnsi="Verdana" w:cs="Arial"/>
          <w:bCs/>
          <w:color w:val="auto"/>
        </w:rPr>
        <w:t xml:space="preserve">ECtHR has recognised that the </w:t>
      </w:r>
      <w:r w:rsidR="00D57440" w:rsidRPr="00D57440">
        <w:rPr>
          <w:rFonts w:ascii="Verdana" w:hAnsi="Verdana" w:cs="Arial"/>
          <w:bCs/>
          <w:color w:val="auto"/>
        </w:rPr>
        <w:t>protection of personal data is of fundamental importance to a person’s enjoyment of his or her right to respect for private and family life</w:t>
      </w:r>
      <w:r w:rsidR="00D57440" w:rsidRPr="007A6E89">
        <w:rPr>
          <w:rFonts w:ascii="Verdana" w:hAnsi="Verdana" w:cs="Arial"/>
          <w:bCs/>
          <w:color w:val="auto"/>
        </w:rPr>
        <w:t xml:space="preserve"> </w:t>
      </w:r>
      <w:r w:rsidR="00D57440">
        <w:rPr>
          <w:rFonts w:ascii="Verdana" w:hAnsi="Verdana" w:cs="Arial"/>
          <w:bCs/>
          <w:color w:val="auto"/>
        </w:rPr>
        <w:t xml:space="preserve">and engages </w:t>
      </w:r>
      <w:r w:rsidR="000874CC" w:rsidRPr="007A6E89">
        <w:rPr>
          <w:rFonts w:ascii="Verdana" w:hAnsi="Verdana" w:cs="Arial"/>
          <w:bCs/>
          <w:color w:val="auto"/>
        </w:rPr>
        <w:t xml:space="preserve">Article 8 </w:t>
      </w:r>
      <w:r w:rsidR="00D57440">
        <w:rPr>
          <w:rFonts w:ascii="Verdana" w:hAnsi="Verdana" w:cs="Arial"/>
          <w:bCs/>
          <w:color w:val="auto"/>
        </w:rPr>
        <w:t xml:space="preserve">of the </w:t>
      </w:r>
      <w:r w:rsidR="000874CC" w:rsidRPr="007A6E89">
        <w:rPr>
          <w:rFonts w:ascii="Verdana" w:hAnsi="Verdana" w:cs="Arial"/>
          <w:bCs/>
          <w:color w:val="auto"/>
        </w:rPr>
        <w:t>ECHR</w:t>
      </w:r>
      <w:r w:rsidR="00D57440">
        <w:rPr>
          <w:rFonts w:ascii="Verdana" w:hAnsi="Verdana" w:cs="Arial"/>
          <w:bCs/>
          <w:color w:val="auto"/>
        </w:rPr>
        <w:t>.</w:t>
      </w:r>
      <w:r w:rsidR="00D57440">
        <w:rPr>
          <w:rStyle w:val="FootnoteReference"/>
          <w:rFonts w:ascii="Verdana" w:hAnsi="Verdana" w:cs="Arial"/>
          <w:bCs/>
          <w:color w:val="auto"/>
        </w:rPr>
        <w:footnoteReference w:id="66"/>
      </w:r>
      <w:r w:rsidR="000874CC" w:rsidRPr="007A6E89">
        <w:rPr>
          <w:rFonts w:ascii="Verdana" w:hAnsi="Verdana" w:cs="Arial"/>
          <w:bCs/>
          <w:color w:val="auto"/>
        </w:rPr>
        <w:t xml:space="preserve"> </w:t>
      </w:r>
      <w:r w:rsidR="007A6E89" w:rsidRPr="007A6E89">
        <w:rPr>
          <w:rFonts w:ascii="Verdana" w:hAnsi="Verdana" w:cs="Arial"/>
          <w:bCs/>
          <w:color w:val="auto"/>
        </w:rPr>
        <w:t xml:space="preserve">It is well established that </w:t>
      </w:r>
      <w:r w:rsidR="000874CC" w:rsidRPr="007A6E89">
        <w:rPr>
          <w:rFonts w:ascii="Verdana" w:hAnsi="Verdana" w:cs="Arial"/>
          <w:bCs/>
          <w:color w:val="auto"/>
        </w:rPr>
        <w:t>EU law recognises the right to privacy and data protection as a fundamental right:</w:t>
      </w:r>
    </w:p>
    <w:p w14:paraId="130C97C5" w14:textId="1691BCFB" w:rsidR="000874CC" w:rsidRPr="007A6E89" w:rsidRDefault="000874CC" w:rsidP="00CE71A5">
      <w:pPr>
        <w:pStyle w:val="BasicParagraph"/>
        <w:suppressAutoHyphens/>
        <w:rPr>
          <w:rFonts w:ascii="Verdana" w:hAnsi="Verdana" w:cs="Arial"/>
          <w:bCs/>
          <w:color w:val="auto"/>
        </w:rPr>
      </w:pPr>
      <w:r w:rsidRPr="007A6E89">
        <w:rPr>
          <w:rFonts w:ascii="Verdana" w:hAnsi="Verdana" w:cs="Arial"/>
          <w:bCs/>
          <w:color w:val="auto"/>
        </w:rPr>
        <w:t xml:space="preserve">  </w:t>
      </w:r>
    </w:p>
    <w:p w14:paraId="35079F8D" w14:textId="2755E856" w:rsidR="00CE71A5" w:rsidRPr="00CE71A5" w:rsidRDefault="000874CC" w:rsidP="00050C43">
      <w:pPr>
        <w:pStyle w:val="Quote"/>
      </w:pPr>
      <w:r w:rsidRPr="000874CC">
        <w:t xml:space="preserve">protection of natural persons in relation to the processing of personal data is a fundamental right. Article 8(1) of the Charter of Fundamental </w:t>
      </w:r>
      <w:r w:rsidRPr="00C908EE">
        <w:t>Rights</w:t>
      </w:r>
      <w:r w:rsidRPr="000874CC">
        <w:t xml:space="preserve"> of the </w:t>
      </w:r>
      <w:r w:rsidR="00CE71A5">
        <w:t>EU</w:t>
      </w:r>
      <w:r w:rsidRPr="000874CC">
        <w:t xml:space="preserve"> and Article 16(1) of the Treaty on the Functioning of the European Union provide that everyone has the right to the protection of personal data concerning him or her.</w:t>
      </w:r>
      <w:r w:rsidR="007A6E89">
        <w:rPr>
          <w:rStyle w:val="FootnoteReference"/>
        </w:rPr>
        <w:footnoteReference w:id="67"/>
      </w:r>
    </w:p>
    <w:p w14:paraId="23B12109" w14:textId="1001EDAC" w:rsidR="000874CC" w:rsidRPr="00CE71A5" w:rsidRDefault="000874CC" w:rsidP="00CE71A5">
      <w:pPr>
        <w:pStyle w:val="Quote"/>
      </w:pPr>
      <w:r>
        <w:t xml:space="preserve">  </w:t>
      </w:r>
    </w:p>
    <w:p w14:paraId="11FE82DB" w14:textId="2A139257" w:rsidR="0052431D" w:rsidRDefault="008B0F48" w:rsidP="00087302">
      <w:pPr>
        <w:pStyle w:val="BasicParagraph"/>
        <w:numPr>
          <w:ilvl w:val="1"/>
          <w:numId w:val="6"/>
        </w:numPr>
        <w:suppressAutoHyphens/>
        <w:rPr>
          <w:rFonts w:ascii="Verdana" w:hAnsi="Verdana" w:cs="Arial"/>
          <w:bCs/>
          <w:color w:val="auto"/>
        </w:rPr>
      </w:pPr>
      <w:r>
        <w:rPr>
          <w:rFonts w:ascii="Verdana" w:hAnsi="Verdana" w:cs="Arial"/>
          <w:bCs/>
          <w:color w:val="auto"/>
        </w:rPr>
        <w:t xml:space="preserve">Insofar as the protection of </w:t>
      </w:r>
      <w:r w:rsidRPr="0052431D">
        <w:rPr>
          <w:rFonts w:ascii="Verdana" w:hAnsi="Verdana" w:cs="Arial"/>
          <w:bCs/>
          <w:color w:val="auto"/>
        </w:rPr>
        <w:t xml:space="preserve">the right to respect for private and family life </w:t>
      </w:r>
      <w:r>
        <w:rPr>
          <w:rFonts w:ascii="Verdana" w:hAnsi="Verdana" w:cs="Arial"/>
          <w:bCs/>
          <w:color w:val="auto"/>
        </w:rPr>
        <w:t xml:space="preserve">in </w:t>
      </w:r>
      <w:r w:rsidR="0052431D" w:rsidRPr="0052431D">
        <w:rPr>
          <w:rFonts w:ascii="Verdana" w:hAnsi="Verdana" w:cs="Arial"/>
          <w:bCs/>
          <w:color w:val="auto"/>
        </w:rPr>
        <w:t>Article 8 ECHR</w:t>
      </w:r>
      <w:r>
        <w:rPr>
          <w:rFonts w:ascii="Verdana" w:hAnsi="Verdana" w:cs="Arial"/>
          <w:bCs/>
          <w:color w:val="auto"/>
        </w:rPr>
        <w:t xml:space="preserve"> is underpinned by d</w:t>
      </w:r>
      <w:r w:rsidRPr="0052431D">
        <w:rPr>
          <w:rFonts w:ascii="Verdana" w:hAnsi="Verdana" w:cs="Arial"/>
          <w:bCs/>
          <w:color w:val="auto"/>
        </w:rPr>
        <w:t xml:space="preserve">ata protection rights in EU </w:t>
      </w:r>
      <w:r w:rsidR="00F2223F">
        <w:rPr>
          <w:rFonts w:ascii="Verdana" w:hAnsi="Verdana" w:cs="Arial"/>
          <w:bCs/>
          <w:color w:val="auto"/>
        </w:rPr>
        <w:t>law,</w:t>
      </w:r>
      <w:r w:rsidRPr="0052431D">
        <w:rPr>
          <w:rFonts w:ascii="Verdana" w:hAnsi="Verdana" w:cs="Arial"/>
          <w:bCs/>
          <w:color w:val="auto"/>
        </w:rPr>
        <w:t xml:space="preserve"> </w:t>
      </w:r>
      <w:r>
        <w:rPr>
          <w:rFonts w:ascii="Verdana" w:hAnsi="Verdana" w:cs="Arial"/>
          <w:bCs/>
          <w:color w:val="auto"/>
        </w:rPr>
        <w:t xml:space="preserve">including EU </w:t>
      </w:r>
      <w:r w:rsidRPr="0052431D">
        <w:rPr>
          <w:rFonts w:ascii="Verdana" w:hAnsi="Verdana" w:cs="Arial"/>
          <w:bCs/>
          <w:color w:val="auto"/>
        </w:rPr>
        <w:t>General Data Protection Regulations,</w:t>
      </w:r>
      <w:r w:rsidR="0052431D" w:rsidRPr="0052431D">
        <w:rPr>
          <w:rFonts w:ascii="Verdana" w:hAnsi="Verdana" w:cs="Arial"/>
          <w:bCs/>
          <w:color w:val="auto"/>
        </w:rPr>
        <w:t xml:space="preserve"> the</w:t>
      </w:r>
      <w:r w:rsidR="0052431D" w:rsidRPr="0052431D" w:rsidDel="008B0F48">
        <w:rPr>
          <w:rFonts w:ascii="Verdana" w:hAnsi="Verdana" w:cs="Arial"/>
          <w:bCs/>
          <w:color w:val="auto"/>
        </w:rPr>
        <w:t xml:space="preserve"> </w:t>
      </w:r>
      <w:r>
        <w:rPr>
          <w:rFonts w:ascii="Verdana" w:hAnsi="Verdana" w:cs="Arial"/>
          <w:bCs/>
          <w:color w:val="auto"/>
        </w:rPr>
        <w:t xml:space="preserve">NIHRC </w:t>
      </w:r>
      <w:r w:rsidR="0052431D" w:rsidRPr="0052431D">
        <w:rPr>
          <w:rFonts w:ascii="Verdana" w:hAnsi="Verdana" w:cs="Arial"/>
          <w:bCs/>
          <w:color w:val="auto"/>
        </w:rPr>
        <w:t xml:space="preserve">considers </w:t>
      </w:r>
      <w:r w:rsidR="0052431D" w:rsidRPr="0052431D">
        <w:rPr>
          <w:rFonts w:ascii="Verdana" w:hAnsi="Verdana" w:cs="Arial"/>
          <w:bCs/>
          <w:color w:val="auto"/>
        </w:rPr>
        <w:lastRenderedPageBreak/>
        <w:t xml:space="preserve">data protection as falling within scope of Protocol Article 2. </w:t>
      </w:r>
      <w:r w:rsidR="009B3B75">
        <w:rPr>
          <w:rFonts w:ascii="Verdana" w:hAnsi="Verdana" w:cs="Arial"/>
          <w:bCs/>
          <w:color w:val="auto"/>
        </w:rPr>
        <w:t xml:space="preserve">Protection of personal data is </w:t>
      </w:r>
      <w:r w:rsidR="0095005F">
        <w:rPr>
          <w:rFonts w:ascii="Verdana" w:hAnsi="Verdana" w:cs="Arial"/>
          <w:bCs/>
          <w:color w:val="auto"/>
        </w:rPr>
        <w:t xml:space="preserve">also identified under Recital 30 of the </w:t>
      </w:r>
      <w:r w:rsidR="003537BE">
        <w:rPr>
          <w:rFonts w:ascii="Verdana" w:hAnsi="Verdana" w:cs="Arial"/>
          <w:bCs/>
          <w:color w:val="auto"/>
        </w:rPr>
        <w:t>EU Trafficking Directive</w:t>
      </w:r>
      <w:r w:rsidR="0095005F">
        <w:rPr>
          <w:rStyle w:val="FootnoteReference"/>
          <w:rFonts w:ascii="Verdana" w:hAnsi="Verdana" w:cs="Arial"/>
          <w:bCs/>
          <w:color w:val="auto"/>
        </w:rPr>
        <w:footnoteReference w:id="68"/>
      </w:r>
      <w:r w:rsidR="0095005F">
        <w:rPr>
          <w:rFonts w:ascii="Verdana" w:hAnsi="Verdana" w:cs="Arial"/>
          <w:bCs/>
          <w:color w:val="auto"/>
        </w:rPr>
        <w:t xml:space="preserve"> and Recital 68 of the </w:t>
      </w:r>
      <w:r w:rsidR="003C5F35">
        <w:rPr>
          <w:rFonts w:ascii="Verdana" w:hAnsi="Verdana" w:cs="Arial"/>
          <w:bCs/>
          <w:color w:val="auto"/>
        </w:rPr>
        <w:t xml:space="preserve">EU </w:t>
      </w:r>
      <w:r w:rsidR="0095005F">
        <w:rPr>
          <w:rFonts w:ascii="Verdana" w:hAnsi="Verdana" w:cs="Arial"/>
          <w:bCs/>
          <w:color w:val="auto"/>
        </w:rPr>
        <w:t>Victims’ Directive.</w:t>
      </w:r>
      <w:r w:rsidR="0095005F">
        <w:rPr>
          <w:rStyle w:val="FootnoteReference"/>
          <w:rFonts w:ascii="Verdana" w:hAnsi="Verdana" w:cs="Arial"/>
          <w:bCs/>
          <w:color w:val="auto"/>
        </w:rPr>
        <w:footnoteReference w:id="69"/>
      </w:r>
    </w:p>
    <w:p w14:paraId="4C5BC53E" w14:textId="77777777" w:rsidR="0052431D" w:rsidRPr="0052431D" w:rsidRDefault="0052431D" w:rsidP="0052431D">
      <w:pPr>
        <w:pStyle w:val="BasicParagraph"/>
        <w:suppressAutoHyphens/>
        <w:ind w:left="720"/>
        <w:rPr>
          <w:rFonts w:ascii="Verdana" w:hAnsi="Verdana" w:cs="Arial"/>
          <w:bCs/>
          <w:color w:val="auto"/>
        </w:rPr>
      </w:pPr>
    </w:p>
    <w:p w14:paraId="6BEEC95F" w14:textId="1C2CAB5F" w:rsidR="0052431D" w:rsidRDefault="00BF7C66" w:rsidP="00087302">
      <w:pPr>
        <w:pStyle w:val="BasicParagraph"/>
        <w:numPr>
          <w:ilvl w:val="1"/>
          <w:numId w:val="6"/>
        </w:numPr>
        <w:suppressAutoHyphens/>
        <w:rPr>
          <w:rFonts w:ascii="Verdana" w:hAnsi="Verdana" w:cs="Arial"/>
          <w:bCs/>
          <w:color w:val="auto"/>
        </w:rPr>
      </w:pPr>
      <w:r>
        <w:rPr>
          <w:rFonts w:ascii="Verdana" w:hAnsi="Verdana" w:cs="Arial"/>
          <w:bCs/>
          <w:color w:val="auto"/>
        </w:rPr>
        <w:t>So far</w:t>
      </w:r>
      <w:r w:rsidR="0052431D" w:rsidRPr="0052431D">
        <w:rPr>
          <w:rFonts w:ascii="Verdana" w:hAnsi="Verdana" w:cs="Arial"/>
          <w:bCs/>
          <w:color w:val="auto"/>
        </w:rPr>
        <w:t xml:space="preserve">, the UK has not diverged </w:t>
      </w:r>
      <w:r>
        <w:rPr>
          <w:rFonts w:ascii="Verdana" w:hAnsi="Verdana" w:cs="Arial"/>
          <w:bCs/>
          <w:color w:val="auto"/>
        </w:rPr>
        <w:t xml:space="preserve">significantly </w:t>
      </w:r>
      <w:r w:rsidR="0052431D" w:rsidRPr="0052431D">
        <w:rPr>
          <w:rFonts w:ascii="Verdana" w:hAnsi="Verdana" w:cs="Arial"/>
          <w:bCs/>
          <w:color w:val="auto"/>
        </w:rPr>
        <w:t xml:space="preserve">from EU </w:t>
      </w:r>
      <w:r w:rsidR="00CE71A5" w:rsidRPr="0052431D">
        <w:rPr>
          <w:rFonts w:ascii="Verdana" w:hAnsi="Verdana" w:cs="Arial"/>
          <w:bCs/>
          <w:color w:val="auto"/>
        </w:rPr>
        <w:t>General Data Protection Regulations</w:t>
      </w:r>
      <w:r w:rsidR="00CE71A5" w:rsidRPr="0052431D" w:rsidDel="00CE71A5">
        <w:rPr>
          <w:rFonts w:ascii="Verdana" w:hAnsi="Verdana" w:cs="Arial"/>
          <w:bCs/>
          <w:color w:val="auto"/>
        </w:rPr>
        <w:t xml:space="preserve"> </w:t>
      </w:r>
      <w:r w:rsidR="0052431D" w:rsidRPr="0052431D">
        <w:rPr>
          <w:rFonts w:ascii="Verdana" w:hAnsi="Verdana" w:cs="Arial"/>
          <w:bCs/>
          <w:color w:val="auto"/>
        </w:rPr>
        <w:t xml:space="preserve">but may do so in the future. New powers to impose Slavery and Trafficking Risk Orders and Prevention Orders will </w:t>
      </w:r>
      <w:r>
        <w:rPr>
          <w:rFonts w:ascii="Verdana" w:hAnsi="Verdana" w:cs="Arial"/>
          <w:bCs/>
          <w:color w:val="auto"/>
        </w:rPr>
        <w:t xml:space="preserve">certainly </w:t>
      </w:r>
      <w:r w:rsidR="0052431D" w:rsidRPr="0052431D">
        <w:rPr>
          <w:rFonts w:ascii="Verdana" w:hAnsi="Verdana" w:cs="Arial"/>
          <w:bCs/>
          <w:color w:val="auto"/>
        </w:rPr>
        <w:t xml:space="preserve">require the processing of data. </w:t>
      </w:r>
      <w:r w:rsidR="008B0F48">
        <w:rPr>
          <w:rFonts w:ascii="Verdana" w:hAnsi="Verdana" w:cs="Arial"/>
          <w:bCs/>
          <w:color w:val="auto"/>
        </w:rPr>
        <w:t xml:space="preserve">The NIHRC </w:t>
      </w:r>
      <w:r>
        <w:rPr>
          <w:rFonts w:ascii="Verdana" w:hAnsi="Verdana" w:cs="Arial"/>
          <w:bCs/>
          <w:color w:val="auto"/>
        </w:rPr>
        <w:t xml:space="preserve">reminds </w:t>
      </w:r>
      <w:r w:rsidR="00A42858">
        <w:rPr>
          <w:rFonts w:ascii="Verdana" w:hAnsi="Verdana" w:cs="Arial"/>
          <w:bCs/>
          <w:color w:val="auto"/>
        </w:rPr>
        <w:t>t</w:t>
      </w:r>
      <w:r w:rsidR="0052431D" w:rsidRPr="0052431D">
        <w:rPr>
          <w:rFonts w:ascii="Verdana" w:hAnsi="Verdana" w:cs="Arial"/>
          <w:bCs/>
          <w:color w:val="auto"/>
        </w:rPr>
        <w:t xml:space="preserve">he Department </w:t>
      </w:r>
      <w:r>
        <w:rPr>
          <w:rFonts w:ascii="Verdana" w:hAnsi="Verdana" w:cs="Arial"/>
          <w:bCs/>
          <w:color w:val="auto"/>
        </w:rPr>
        <w:t>that</w:t>
      </w:r>
      <w:r w:rsidR="0052431D" w:rsidRPr="0052431D">
        <w:rPr>
          <w:rFonts w:ascii="Verdana" w:hAnsi="Verdana" w:cs="Arial"/>
          <w:bCs/>
          <w:color w:val="auto"/>
        </w:rPr>
        <w:t xml:space="preserve"> </w:t>
      </w:r>
      <w:r w:rsidR="00A42858">
        <w:rPr>
          <w:rFonts w:ascii="Verdana" w:hAnsi="Verdana" w:cs="Arial"/>
          <w:bCs/>
          <w:color w:val="auto"/>
        </w:rPr>
        <w:t xml:space="preserve">any </w:t>
      </w:r>
      <w:r w:rsidR="0052431D" w:rsidRPr="0052431D">
        <w:rPr>
          <w:rFonts w:ascii="Verdana" w:hAnsi="Verdana" w:cs="Arial"/>
          <w:bCs/>
          <w:color w:val="auto"/>
        </w:rPr>
        <w:t xml:space="preserve">data processing may still be subject to EU </w:t>
      </w:r>
      <w:r w:rsidR="00CE71A5" w:rsidRPr="0052431D">
        <w:rPr>
          <w:rFonts w:ascii="Verdana" w:hAnsi="Verdana" w:cs="Arial"/>
          <w:bCs/>
          <w:color w:val="auto"/>
        </w:rPr>
        <w:t>General Data Protection Regulations</w:t>
      </w:r>
      <w:r w:rsidR="00CE71A5" w:rsidRPr="0052431D" w:rsidDel="00CE71A5">
        <w:rPr>
          <w:rFonts w:ascii="Verdana" w:hAnsi="Verdana" w:cs="Arial"/>
          <w:bCs/>
          <w:color w:val="auto"/>
        </w:rPr>
        <w:t xml:space="preserve"> </w:t>
      </w:r>
      <w:r w:rsidR="0052431D" w:rsidRPr="0052431D">
        <w:rPr>
          <w:rFonts w:ascii="Verdana" w:hAnsi="Verdana" w:cs="Arial"/>
          <w:bCs/>
          <w:color w:val="auto"/>
        </w:rPr>
        <w:t>and diverging from these standards may engage Protocol Article 2.</w:t>
      </w:r>
    </w:p>
    <w:p w14:paraId="6B94DB9A" w14:textId="77777777" w:rsidR="0052431D" w:rsidRPr="0052431D" w:rsidRDefault="0052431D" w:rsidP="0052431D">
      <w:pPr>
        <w:pStyle w:val="BasicParagraph"/>
        <w:suppressAutoHyphens/>
        <w:rPr>
          <w:rFonts w:ascii="Verdana" w:hAnsi="Verdana" w:cs="Arial"/>
          <w:bCs/>
          <w:color w:val="auto"/>
        </w:rPr>
      </w:pPr>
    </w:p>
    <w:p w14:paraId="2A9F70C6" w14:textId="4340CEE3" w:rsidR="0052431D" w:rsidRDefault="0052431D" w:rsidP="00087302">
      <w:pPr>
        <w:pStyle w:val="BasicParagraph"/>
        <w:numPr>
          <w:ilvl w:val="1"/>
          <w:numId w:val="6"/>
        </w:numPr>
        <w:suppressAutoHyphens/>
        <w:rPr>
          <w:rFonts w:ascii="Verdana" w:hAnsi="Verdana" w:cs="Arial"/>
          <w:b/>
          <w:color w:val="auto"/>
        </w:rPr>
      </w:pPr>
      <w:r w:rsidRPr="0052431D">
        <w:rPr>
          <w:rFonts w:ascii="Verdana" w:hAnsi="Verdana" w:cs="Arial"/>
          <w:b/>
          <w:color w:val="auto"/>
        </w:rPr>
        <w:t xml:space="preserve">The </w:t>
      </w:r>
      <w:r w:rsidR="0092298F">
        <w:rPr>
          <w:rFonts w:ascii="Verdana" w:hAnsi="Verdana" w:cs="Arial"/>
          <w:b/>
          <w:color w:val="auto"/>
        </w:rPr>
        <w:t>NIHRC</w:t>
      </w:r>
      <w:r w:rsidRPr="0052431D">
        <w:rPr>
          <w:rFonts w:ascii="Verdana" w:hAnsi="Verdana" w:cs="Arial"/>
          <w:b/>
          <w:color w:val="auto"/>
        </w:rPr>
        <w:t xml:space="preserve"> recommends the Department</w:t>
      </w:r>
      <w:r w:rsidR="00A42858">
        <w:rPr>
          <w:rFonts w:ascii="Verdana" w:hAnsi="Verdana" w:cs="Arial"/>
          <w:b/>
          <w:color w:val="auto"/>
        </w:rPr>
        <w:t xml:space="preserve"> of Justice</w:t>
      </w:r>
      <w:r w:rsidRPr="0052431D">
        <w:rPr>
          <w:rFonts w:ascii="Verdana" w:hAnsi="Verdana" w:cs="Arial"/>
          <w:b/>
          <w:color w:val="auto"/>
        </w:rPr>
        <w:t xml:space="preserve"> consider how it intends to process personal data associated with Slavery and Trafficking Risk Orders and Prevention Orders and ensure that this is complian</w:t>
      </w:r>
      <w:r w:rsidR="00A42858">
        <w:rPr>
          <w:rFonts w:ascii="Verdana" w:hAnsi="Verdana" w:cs="Arial"/>
          <w:b/>
          <w:color w:val="auto"/>
        </w:rPr>
        <w:t>t</w:t>
      </w:r>
      <w:r w:rsidRPr="0052431D">
        <w:rPr>
          <w:rFonts w:ascii="Verdana" w:hAnsi="Verdana" w:cs="Arial"/>
          <w:b/>
          <w:color w:val="auto"/>
        </w:rPr>
        <w:t xml:space="preserve"> with</w:t>
      </w:r>
      <w:r w:rsidR="00A42858">
        <w:rPr>
          <w:rFonts w:ascii="Verdana" w:hAnsi="Verdana" w:cs="Arial"/>
          <w:b/>
          <w:color w:val="auto"/>
        </w:rPr>
        <w:t xml:space="preserve"> Protocol Article 2 and</w:t>
      </w:r>
      <w:r w:rsidRPr="0052431D">
        <w:rPr>
          <w:rFonts w:ascii="Verdana" w:hAnsi="Verdana" w:cs="Arial"/>
          <w:b/>
          <w:color w:val="auto"/>
        </w:rPr>
        <w:t xml:space="preserve"> EU</w:t>
      </w:r>
      <w:r w:rsidRPr="004F663E">
        <w:rPr>
          <w:rFonts w:ascii="Verdana" w:hAnsi="Verdana" w:cs="Arial"/>
          <w:b/>
          <w:color w:val="auto"/>
        </w:rPr>
        <w:t xml:space="preserve"> </w:t>
      </w:r>
      <w:r w:rsidR="004F663E" w:rsidRPr="004F663E">
        <w:rPr>
          <w:rFonts w:ascii="Verdana" w:hAnsi="Verdana" w:cs="Arial"/>
          <w:b/>
          <w:color w:val="auto"/>
        </w:rPr>
        <w:t>General Data Protection Regulations</w:t>
      </w:r>
      <w:r w:rsidRPr="0052431D">
        <w:rPr>
          <w:rFonts w:ascii="Verdana" w:hAnsi="Verdana" w:cs="Arial"/>
          <w:b/>
          <w:color w:val="auto"/>
        </w:rPr>
        <w:t>.</w:t>
      </w:r>
    </w:p>
    <w:p w14:paraId="077F4AF0" w14:textId="77777777" w:rsidR="00B706CC" w:rsidRPr="00B514F3" w:rsidRDefault="00B706CC" w:rsidP="00DB6B1B">
      <w:pPr>
        <w:pStyle w:val="BasicParagraph"/>
        <w:suppressAutoHyphens/>
        <w:rPr>
          <w:rFonts w:ascii="Verdana" w:hAnsi="Verdana" w:cs="Arial"/>
          <w:bCs/>
        </w:rPr>
      </w:pPr>
    </w:p>
    <w:p w14:paraId="08D4CC30" w14:textId="33E07AAD" w:rsidR="005B5AAD" w:rsidRPr="00380238" w:rsidRDefault="00380238" w:rsidP="00380238">
      <w:pPr>
        <w:pStyle w:val="Heading1"/>
      </w:pPr>
      <w:bookmarkStart w:id="9" w:name="_Toc105754271"/>
      <w:r>
        <w:t>4.0</w:t>
      </w:r>
      <w:r>
        <w:tab/>
      </w:r>
      <w:r w:rsidR="00BC4725">
        <w:t>Duty to Notify</w:t>
      </w:r>
      <w:bookmarkEnd w:id="9"/>
    </w:p>
    <w:p w14:paraId="57E2C9D8" w14:textId="4D54F7D0" w:rsidR="00AA45BA" w:rsidRDefault="002E0F7C" w:rsidP="00087302">
      <w:pPr>
        <w:pStyle w:val="Style1"/>
        <w:numPr>
          <w:ilvl w:val="1"/>
          <w:numId w:val="7"/>
        </w:numPr>
        <w:spacing w:line="276" w:lineRule="auto"/>
        <w:rPr>
          <w:b w:val="0"/>
          <w:bCs/>
          <w:color w:val="auto"/>
          <w:sz w:val="24"/>
          <w:szCs w:val="24"/>
        </w:rPr>
      </w:pPr>
      <w:r>
        <w:rPr>
          <w:b w:val="0"/>
          <w:bCs/>
          <w:color w:val="auto"/>
          <w:sz w:val="24"/>
          <w:szCs w:val="24"/>
        </w:rPr>
        <w:t xml:space="preserve">The Department proposes </w:t>
      </w:r>
      <w:r w:rsidR="00BC6D4E">
        <w:rPr>
          <w:b w:val="0"/>
          <w:bCs/>
          <w:color w:val="auto"/>
          <w:sz w:val="24"/>
          <w:szCs w:val="24"/>
        </w:rPr>
        <w:t>commencing the</w:t>
      </w:r>
      <w:r w:rsidR="00A80E64">
        <w:rPr>
          <w:b w:val="0"/>
          <w:bCs/>
          <w:color w:val="auto"/>
          <w:sz w:val="24"/>
          <w:szCs w:val="24"/>
        </w:rPr>
        <w:t xml:space="preserve"> </w:t>
      </w:r>
      <w:r w:rsidRPr="002E0F7C">
        <w:rPr>
          <w:b w:val="0"/>
          <w:bCs/>
          <w:color w:val="auto"/>
          <w:sz w:val="24"/>
          <w:szCs w:val="24"/>
        </w:rPr>
        <w:t>duty</w:t>
      </w:r>
      <w:r w:rsidR="00DF36C7">
        <w:rPr>
          <w:b w:val="0"/>
          <w:bCs/>
          <w:color w:val="auto"/>
          <w:sz w:val="24"/>
          <w:szCs w:val="24"/>
        </w:rPr>
        <w:t xml:space="preserve"> to notify</w:t>
      </w:r>
      <w:r w:rsidRPr="002E0F7C">
        <w:rPr>
          <w:b w:val="0"/>
          <w:bCs/>
          <w:color w:val="auto"/>
          <w:sz w:val="24"/>
          <w:szCs w:val="24"/>
        </w:rPr>
        <w:t xml:space="preserve"> </w:t>
      </w:r>
      <w:r w:rsidR="00BC6D4E">
        <w:rPr>
          <w:b w:val="0"/>
          <w:bCs/>
          <w:color w:val="auto"/>
          <w:sz w:val="24"/>
          <w:szCs w:val="24"/>
        </w:rPr>
        <w:t xml:space="preserve">provisions of the </w:t>
      </w:r>
      <w:r w:rsidR="00F10B33" w:rsidRPr="00F10B33">
        <w:rPr>
          <w:b w:val="0"/>
          <w:bCs/>
          <w:color w:val="auto"/>
          <w:sz w:val="24"/>
          <w:szCs w:val="24"/>
        </w:rPr>
        <w:t>Human Trafficking and Exploitation (Criminal Justice and Support for Victims) Act (</w:t>
      </w:r>
      <w:r w:rsidR="00510225">
        <w:rPr>
          <w:b w:val="0"/>
          <w:bCs/>
          <w:color w:val="auto"/>
          <w:sz w:val="24"/>
          <w:szCs w:val="24"/>
        </w:rPr>
        <w:t>NI</w:t>
      </w:r>
      <w:r w:rsidR="00F10B33" w:rsidRPr="00F10B33">
        <w:rPr>
          <w:b w:val="0"/>
          <w:bCs/>
          <w:color w:val="auto"/>
          <w:sz w:val="24"/>
          <w:szCs w:val="24"/>
        </w:rPr>
        <w:t>) 2015</w:t>
      </w:r>
      <w:r w:rsidR="00F10B33">
        <w:rPr>
          <w:b w:val="0"/>
          <w:bCs/>
          <w:color w:val="auto"/>
          <w:sz w:val="24"/>
          <w:szCs w:val="24"/>
        </w:rPr>
        <w:t xml:space="preserve"> </w:t>
      </w:r>
      <w:r w:rsidR="00AA45BA">
        <w:rPr>
          <w:b w:val="0"/>
          <w:bCs/>
          <w:color w:val="auto"/>
          <w:sz w:val="24"/>
          <w:szCs w:val="24"/>
        </w:rPr>
        <w:t>that</w:t>
      </w:r>
      <w:r w:rsidR="007F73A5">
        <w:rPr>
          <w:b w:val="0"/>
          <w:bCs/>
          <w:color w:val="auto"/>
          <w:sz w:val="24"/>
          <w:szCs w:val="24"/>
        </w:rPr>
        <w:t xml:space="preserve"> </w:t>
      </w:r>
      <w:proofErr w:type="gramStart"/>
      <w:r w:rsidR="007F73A5">
        <w:rPr>
          <w:b w:val="0"/>
          <w:bCs/>
          <w:color w:val="auto"/>
          <w:sz w:val="24"/>
          <w:szCs w:val="24"/>
        </w:rPr>
        <w:t>would</w:t>
      </w:r>
      <w:proofErr w:type="gramEnd"/>
      <w:r w:rsidRPr="002E0F7C">
        <w:rPr>
          <w:b w:val="0"/>
          <w:bCs/>
          <w:color w:val="auto"/>
          <w:sz w:val="24"/>
          <w:szCs w:val="24"/>
        </w:rPr>
        <w:t xml:space="preserve"> </w:t>
      </w:r>
      <w:r w:rsidR="00DF36C7">
        <w:rPr>
          <w:b w:val="0"/>
          <w:bCs/>
          <w:color w:val="auto"/>
          <w:sz w:val="24"/>
          <w:szCs w:val="24"/>
        </w:rPr>
        <w:t>require</w:t>
      </w:r>
      <w:r w:rsidR="009C29A5">
        <w:rPr>
          <w:b w:val="0"/>
          <w:bCs/>
          <w:color w:val="auto"/>
          <w:sz w:val="24"/>
          <w:szCs w:val="24"/>
        </w:rPr>
        <w:t xml:space="preserve"> </w:t>
      </w:r>
      <w:r w:rsidRPr="002E0F7C">
        <w:rPr>
          <w:b w:val="0"/>
          <w:bCs/>
          <w:color w:val="auto"/>
          <w:sz w:val="24"/>
          <w:szCs w:val="24"/>
        </w:rPr>
        <w:t>specified public authorities</w:t>
      </w:r>
      <w:r w:rsidR="004C0F21">
        <w:rPr>
          <w:b w:val="0"/>
          <w:bCs/>
          <w:color w:val="auto"/>
          <w:sz w:val="24"/>
          <w:szCs w:val="24"/>
        </w:rPr>
        <w:t xml:space="preserve"> in NI</w:t>
      </w:r>
      <w:r w:rsidRPr="002E0F7C">
        <w:rPr>
          <w:b w:val="0"/>
          <w:bCs/>
          <w:color w:val="auto"/>
          <w:sz w:val="24"/>
          <w:szCs w:val="24"/>
        </w:rPr>
        <w:t xml:space="preserve"> </w:t>
      </w:r>
      <w:r w:rsidR="009C29A5">
        <w:rPr>
          <w:b w:val="0"/>
          <w:bCs/>
          <w:color w:val="auto"/>
          <w:sz w:val="24"/>
          <w:szCs w:val="24"/>
        </w:rPr>
        <w:t xml:space="preserve">to </w:t>
      </w:r>
      <w:r w:rsidRPr="002E0F7C">
        <w:rPr>
          <w:b w:val="0"/>
          <w:bCs/>
          <w:color w:val="auto"/>
          <w:sz w:val="24"/>
          <w:szCs w:val="24"/>
        </w:rPr>
        <w:t>notify the Single Competent Authority if they have any reason to believe that a person may be a victim of modern slavery and human trafficking</w:t>
      </w:r>
      <w:r w:rsidR="009C29A5">
        <w:rPr>
          <w:b w:val="0"/>
          <w:bCs/>
          <w:color w:val="auto"/>
          <w:sz w:val="24"/>
          <w:szCs w:val="24"/>
        </w:rPr>
        <w:t>.</w:t>
      </w:r>
      <w:r w:rsidR="00D953B7">
        <w:rPr>
          <w:b w:val="0"/>
          <w:bCs/>
          <w:color w:val="auto"/>
          <w:sz w:val="24"/>
          <w:szCs w:val="24"/>
        </w:rPr>
        <w:t xml:space="preserve"> </w:t>
      </w:r>
      <w:r w:rsidR="0057151D">
        <w:rPr>
          <w:b w:val="0"/>
          <w:bCs/>
          <w:color w:val="auto"/>
          <w:sz w:val="24"/>
          <w:szCs w:val="24"/>
        </w:rPr>
        <w:t xml:space="preserve">The </w:t>
      </w:r>
      <w:r w:rsidR="00DD5DA9">
        <w:rPr>
          <w:b w:val="0"/>
          <w:bCs/>
          <w:color w:val="auto"/>
          <w:sz w:val="24"/>
          <w:szCs w:val="24"/>
        </w:rPr>
        <w:t xml:space="preserve">duty is </w:t>
      </w:r>
      <w:r w:rsidR="00116D80">
        <w:rPr>
          <w:b w:val="0"/>
          <w:bCs/>
          <w:color w:val="auto"/>
          <w:sz w:val="24"/>
          <w:szCs w:val="24"/>
        </w:rPr>
        <w:t xml:space="preserve">proposed </w:t>
      </w:r>
      <w:r w:rsidR="008C0455">
        <w:rPr>
          <w:b w:val="0"/>
          <w:bCs/>
          <w:color w:val="auto"/>
          <w:sz w:val="24"/>
          <w:szCs w:val="24"/>
        </w:rPr>
        <w:t xml:space="preserve">as a way </w:t>
      </w:r>
      <w:r w:rsidR="000E1509">
        <w:rPr>
          <w:b w:val="0"/>
          <w:bCs/>
          <w:color w:val="auto"/>
          <w:sz w:val="24"/>
          <w:szCs w:val="24"/>
        </w:rPr>
        <w:t>of</w:t>
      </w:r>
      <w:r w:rsidR="008C0455">
        <w:rPr>
          <w:b w:val="0"/>
          <w:bCs/>
          <w:color w:val="auto"/>
          <w:sz w:val="24"/>
          <w:szCs w:val="24"/>
        </w:rPr>
        <w:t xml:space="preserve"> enhanc</w:t>
      </w:r>
      <w:r w:rsidR="000E1509">
        <w:rPr>
          <w:b w:val="0"/>
          <w:bCs/>
          <w:color w:val="auto"/>
          <w:sz w:val="24"/>
          <w:szCs w:val="24"/>
        </w:rPr>
        <w:t>ing</w:t>
      </w:r>
      <w:r w:rsidR="008C0455">
        <w:rPr>
          <w:b w:val="0"/>
          <w:bCs/>
          <w:color w:val="auto"/>
          <w:sz w:val="24"/>
          <w:szCs w:val="24"/>
        </w:rPr>
        <w:t xml:space="preserve"> the collation and processing of data about trafficking </w:t>
      </w:r>
      <w:r w:rsidR="000E1509">
        <w:rPr>
          <w:b w:val="0"/>
          <w:bCs/>
          <w:color w:val="auto"/>
          <w:sz w:val="24"/>
          <w:szCs w:val="24"/>
        </w:rPr>
        <w:t xml:space="preserve">activity in </w:t>
      </w:r>
      <w:r w:rsidR="003B1407">
        <w:rPr>
          <w:b w:val="0"/>
          <w:bCs/>
          <w:color w:val="auto"/>
          <w:sz w:val="24"/>
          <w:szCs w:val="24"/>
        </w:rPr>
        <w:t>NI and</w:t>
      </w:r>
      <w:r w:rsidR="003C4A49">
        <w:rPr>
          <w:b w:val="0"/>
          <w:bCs/>
          <w:color w:val="auto"/>
          <w:sz w:val="24"/>
          <w:szCs w:val="24"/>
        </w:rPr>
        <w:t xml:space="preserve"> </w:t>
      </w:r>
      <w:r w:rsidR="003C4A49" w:rsidRPr="003C4A49">
        <w:rPr>
          <w:b w:val="0"/>
          <w:bCs/>
          <w:color w:val="auto"/>
          <w:sz w:val="24"/>
          <w:szCs w:val="24"/>
        </w:rPr>
        <w:t xml:space="preserve">enable more </w:t>
      </w:r>
      <w:r w:rsidR="003C4A49">
        <w:rPr>
          <w:b w:val="0"/>
          <w:bCs/>
          <w:color w:val="auto"/>
          <w:sz w:val="24"/>
          <w:szCs w:val="24"/>
        </w:rPr>
        <w:t>targeted</w:t>
      </w:r>
      <w:r w:rsidR="003C4A49" w:rsidRPr="003C4A49">
        <w:rPr>
          <w:b w:val="0"/>
          <w:bCs/>
          <w:color w:val="auto"/>
          <w:sz w:val="24"/>
          <w:szCs w:val="24"/>
        </w:rPr>
        <w:t xml:space="preserve"> enforcement activity and provision of support services</w:t>
      </w:r>
      <w:r w:rsidR="003C4A49">
        <w:rPr>
          <w:b w:val="0"/>
          <w:bCs/>
          <w:color w:val="auto"/>
          <w:sz w:val="24"/>
          <w:szCs w:val="24"/>
        </w:rPr>
        <w:t xml:space="preserve">. </w:t>
      </w:r>
    </w:p>
    <w:p w14:paraId="199536FE" w14:textId="77777777" w:rsidR="00AA45BA" w:rsidRDefault="00AA45BA" w:rsidP="00367F6B">
      <w:pPr>
        <w:pStyle w:val="Style1"/>
        <w:spacing w:line="276" w:lineRule="auto"/>
        <w:ind w:left="720"/>
        <w:rPr>
          <w:b w:val="0"/>
          <w:bCs/>
          <w:color w:val="auto"/>
          <w:sz w:val="24"/>
          <w:szCs w:val="24"/>
        </w:rPr>
      </w:pPr>
    </w:p>
    <w:p w14:paraId="0BECC883" w14:textId="76F98C4F" w:rsidR="00367F6B" w:rsidRDefault="00F732DA" w:rsidP="00087302">
      <w:pPr>
        <w:pStyle w:val="Style1"/>
        <w:numPr>
          <w:ilvl w:val="1"/>
          <w:numId w:val="7"/>
        </w:numPr>
        <w:spacing w:line="276" w:lineRule="auto"/>
        <w:rPr>
          <w:b w:val="0"/>
          <w:color w:val="auto"/>
          <w:sz w:val="24"/>
          <w:szCs w:val="24"/>
        </w:rPr>
      </w:pPr>
      <w:r w:rsidRPr="0048606A">
        <w:rPr>
          <w:b w:val="0"/>
          <w:color w:val="auto"/>
          <w:sz w:val="24"/>
          <w:szCs w:val="24"/>
        </w:rPr>
        <w:t xml:space="preserve">At present, the </w:t>
      </w:r>
      <w:r w:rsidR="0033369C" w:rsidRPr="0048606A">
        <w:rPr>
          <w:b w:val="0"/>
          <w:color w:val="auto"/>
          <w:sz w:val="24"/>
          <w:szCs w:val="24"/>
        </w:rPr>
        <w:t xml:space="preserve">UK </w:t>
      </w:r>
      <w:r w:rsidRPr="0048606A">
        <w:rPr>
          <w:b w:val="0"/>
          <w:color w:val="auto"/>
          <w:sz w:val="24"/>
          <w:szCs w:val="24"/>
        </w:rPr>
        <w:t xml:space="preserve">National Referral Mechanism is the </w:t>
      </w:r>
      <w:r w:rsidR="00604826" w:rsidRPr="0048606A">
        <w:rPr>
          <w:b w:val="0"/>
          <w:color w:val="auto"/>
          <w:sz w:val="24"/>
          <w:szCs w:val="24"/>
        </w:rPr>
        <w:t xml:space="preserve">only </w:t>
      </w:r>
      <w:r w:rsidR="007820EB" w:rsidRPr="0048606A">
        <w:rPr>
          <w:b w:val="0"/>
          <w:color w:val="auto"/>
          <w:sz w:val="24"/>
          <w:szCs w:val="24"/>
        </w:rPr>
        <w:t>system</w:t>
      </w:r>
      <w:r w:rsidR="001514F8" w:rsidRPr="0048606A">
        <w:rPr>
          <w:b w:val="0"/>
          <w:color w:val="auto"/>
          <w:sz w:val="24"/>
          <w:szCs w:val="24"/>
        </w:rPr>
        <w:t xml:space="preserve"> </w:t>
      </w:r>
      <w:r w:rsidR="004A2981">
        <w:rPr>
          <w:b w:val="0"/>
          <w:color w:val="auto"/>
          <w:sz w:val="24"/>
          <w:szCs w:val="24"/>
        </w:rPr>
        <w:t xml:space="preserve">which is </w:t>
      </w:r>
      <w:r w:rsidR="007820EB" w:rsidRPr="0048606A">
        <w:rPr>
          <w:b w:val="0"/>
          <w:color w:val="auto"/>
          <w:sz w:val="24"/>
          <w:szCs w:val="24"/>
        </w:rPr>
        <w:t>collecting and processing</w:t>
      </w:r>
      <w:r w:rsidR="000B799F" w:rsidRPr="0048606A">
        <w:rPr>
          <w:b w:val="0"/>
          <w:color w:val="auto"/>
          <w:sz w:val="24"/>
          <w:szCs w:val="24"/>
        </w:rPr>
        <w:t xml:space="preserve"> data about trafficking</w:t>
      </w:r>
      <w:r w:rsidR="007820EB" w:rsidRPr="0048606A">
        <w:rPr>
          <w:b w:val="0"/>
          <w:color w:val="auto"/>
          <w:sz w:val="24"/>
          <w:szCs w:val="24"/>
        </w:rPr>
        <w:t xml:space="preserve"> and exploitation</w:t>
      </w:r>
      <w:r w:rsidR="000B799F" w:rsidRPr="0048606A">
        <w:rPr>
          <w:b w:val="0"/>
          <w:color w:val="auto"/>
          <w:sz w:val="24"/>
          <w:szCs w:val="24"/>
        </w:rPr>
        <w:t xml:space="preserve"> in NI. </w:t>
      </w:r>
      <w:r w:rsidR="008543F1" w:rsidRPr="0048606A">
        <w:rPr>
          <w:b w:val="0"/>
          <w:color w:val="auto"/>
          <w:sz w:val="24"/>
          <w:szCs w:val="24"/>
        </w:rPr>
        <w:t xml:space="preserve">However, it is </w:t>
      </w:r>
      <w:r w:rsidR="001441FD" w:rsidRPr="0048606A">
        <w:rPr>
          <w:b w:val="0"/>
          <w:color w:val="auto"/>
          <w:sz w:val="24"/>
          <w:szCs w:val="24"/>
        </w:rPr>
        <w:t xml:space="preserve">widely accepted that </w:t>
      </w:r>
      <w:r w:rsidR="008F7CCE">
        <w:rPr>
          <w:b w:val="0"/>
          <w:color w:val="auto"/>
          <w:sz w:val="24"/>
          <w:szCs w:val="24"/>
        </w:rPr>
        <w:t>it</w:t>
      </w:r>
      <w:r w:rsidR="001441FD" w:rsidRPr="0048606A">
        <w:rPr>
          <w:b w:val="0"/>
          <w:color w:val="auto"/>
          <w:sz w:val="24"/>
          <w:szCs w:val="24"/>
        </w:rPr>
        <w:t xml:space="preserve"> does not provide </w:t>
      </w:r>
      <w:r w:rsidR="007C4173" w:rsidRPr="0048606A">
        <w:rPr>
          <w:b w:val="0"/>
          <w:color w:val="auto"/>
          <w:sz w:val="24"/>
          <w:szCs w:val="24"/>
        </w:rPr>
        <w:t>the most</w:t>
      </w:r>
      <w:r w:rsidR="00274A31" w:rsidRPr="0048606A">
        <w:rPr>
          <w:b w:val="0"/>
          <w:color w:val="auto"/>
          <w:sz w:val="24"/>
          <w:szCs w:val="24"/>
        </w:rPr>
        <w:t xml:space="preserve"> accurate </w:t>
      </w:r>
      <w:r w:rsidR="009D5AC6" w:rsidRPr="0048606A">
        <w:rPr>
          <w:b w:val="0"/>
          <w:color w:val="auto"/>
          <w:sz w:val="24"/>
          <w:szCs w:val="24"/>
        </w:rPr>
        <w:t xml:space="preserve">assessment </w:t>
      </w:r>
      <w:r w:rsidR="00274A31" w:rsidRPr="0048606A">
        <w:rPr>
          <w:b w:val="0"/>
          <w:color w:val="auto"/>
          <w:sz w:val="24"/>
          <w:szCs w:val="24"/>
        </w:rPr>
        <w:t>of the scale and extent of trafficking</w:t>
      </w:r>
      <w:r w:rsidR="009E7B93" w:rsidRPr="0048606A">
        <w:rPr>
          <w:b w:val="0"/>
          <w:color w:val="auto"/>
          <w:sz w:val="24"/>
          <w:szCs w:val="24"/>
        </w:rPr>
        <w:t xml:space="preserve">, </w:t>
      </w:r>
      <w:r w:rsidR="00B32B99">
        <w:rPr>
          <w:b w:val="0"/>
          <w:color w:val="auto"/>
          <w:sz w:val="24"/>
          <w:szCs w:val="24"/>
        </w:rPr>
        <w:t>due to the fact</w:t>
      </w:r>
      <w:r w:rsidR="009E7B93" w:rsidRPr="0048606A">
        <w:rPr>
          <w:b w:val="0"/>
          <w:color w:val="auto"/>
          <w:sz w:val="24"/>
          <w:szCs w:val="24"/>
        </w:rPr>
        <w:t xml:space="preserve"> </w:t>
      </w:r>
      <w:r w:rsidR="00B32B99">
        <w:rPr>
          <w:b w:val="0"/>
          <w:color w:val="auto"/>
          <w:sz w:val="24"/>
          <w:szCs w:val="24"/>
        </w:rPr>
        <w:t>a victim</w:t>
      </w:r>
      <w:r w:rsidR="009E7B93" w:rsidRPr="0048606A">
        <w:rPr>
          <w:b w:val="0"/>
          <w:color w:val="auto"/>
          <w:sz w:val="24"/>
          <w:szCs w:val="24"/>
        </w:rPr>
        <w:t xml:space="preserve"> must consent to a referral being made and </w:t>
      </w:r>
      <w:r w:rsidR="00FF457B">
        <w:rPr>
          <w:b w:val="0"/>
          <w:color w:val="auto"/>
          <w:sz w:val="24"/>
          <w:szCs w:val="24"/>
        </w:rPr>
        <w:t>the</w:t>
      </w:r>
      <w:r w:rsidR="007C4173" w:rsidRPr="0048606A">
        <w:rPr>
          <w:b w:val="0"/>
          <w:color w:val="auto"/>
          <w:sz w:val="24"/>
          <w:szCs w:val="24"/>
        </w:rPr>
        <w:t xml:space="preserve"> many reasons why </w:t>
      </w:r>
      <w:r w:rsidR="0061176C">
        <w:rPr>
          <w:b w:val="0"/>
          <w:color w:val="auto"/>
          <w:sz w:val="24"/>
          <w:szCs w:val="24"/>
        </w:rPr>
        <w:t>they</w:t>
      </w:r>
      <w:r w:rsidR="007C4173" w:rsidRPr="0048606A">
        <w:rPr>
          <w:b w:val="0"/>
          <w:color w:val="auto"/>
          <w:sz w:val="24"/>
          <w:szCs w:val="24"/>
        </w:rPr>
        <w:t xml:space="preserve"> </w:t>
      </w:r>
      <w:r w:rsidR="007C4173" w:rsidRPr="0048606A">
        <w:rPr>
          <w:b w:val="0"/>
          <w:color w:val="auto"/>
          <w:sz w:val="24"/>
          <w:szCs w:val="24"/>
        </w:rPr>
        <w:lastRenderedPageBreak/>
        <w:t xml:space="preserve">may be </w:t>
      </w:r>
      <w:r w:rsidR="001210BF" w:rsidRPr="0048606A">
        <w:rPr>
          <w:b w:val="0"/>
          <w:color w:val="auto"/>
          <w:sz w:val="24"/>
          <w:szCs w:val="24"/>
        </w:rPr>
        <w:t>hesitant</w:t>
      </w:r>
      <w:r w:rsidR="007C4173" w:rsidRPr="0048606A">
        <w:rPr>
          <w:b w:val="0"/>
          <w:color w:val="auto"/>
          <w:sz w:val="24"/>
          <w:szCs w:val="24"/>
        </w:rPr>
        <w:t xml:space="preserve"> to engage</w:t>
      </w:r>
      <w:r w:rsidR="006233AE" w:rsidRPr="0048606A">
        <w:rPr>
          <w:b w:val="0"/>
          <w:color w:val="auto"/>
          <w:sz w:val="24"/>
          <w:szCs w:val="24"/>
        </w:rPr>
        <w:t xml:space="preserve"> in the</w:t>
      </w:r>
      <w:r w:rsidR="00F16352" w:rsidRPr="0048606A">
        <w:rPr>
          <w:b w:val="0"/>
          <w:color w:val="auto"/>
          <w:sz w:val="24"/>
          <w:szCs w:val="24"/>
        </w:rPr>
        <w:t xml:space="preserve"> process</w:t>
      </w:r>
      <w:r w:rsidR="00B32B99">
        <w:rPr>
          <w:b w:val="0"/>
          <w:color w:val="auto"/>
          <w:sz w:val="24"/>
          <w:szCs w:val="24"/>
        </w:rPr>
        <w:t>.</w:t>
      </w:r>
      <w:r w:rsidR="006233AE" w:rsidRPr="0048606A">
        <w:rPr>
          <w:rStyle w:val="FootnoteReference"/>
          <w:b w:val="0"/>
          <w:color w:val="auto"/>
          <w:sz w:val="24"/>
          <w:szCs w:val="24"/>
        </w:rPr>
        <w:footnoteReference w:id="70"/>
      </w:r>
      <w:r w:rsidR="006233AE" w:rsidRPr="0048606A">
        <w:rPr>
          <w:b w:val="0"/>
          <w:color w:val="auto"/>
          <w:sz w:val="24"/>
          <w:szCs w:val="24"/>
        </w:rPr>
        <w:t xml:space="preserve"> </w:t>
      </w:r>
      <w:r w:rsidR="008F7CCE">
        <w:rPr>
          <w:b w:val="0"/>
          <w:color w:val="auto"/>
          <w:sz w:val="24"/>
          <w:szCs w:val="24"/>
        </w:rPr>
        <w:t xml:space="preserve">The Criminal Justice Inspectorate for NI </w:t>
      </w:r>
      <w:r w:rsidR="00EA6198">
        <w:rPr>
          <w:b w:val="0"/>
          <w:color w:val="auto"/>
          <w:sz w:val="24"/>
          <w:szCs w:val="24"/>
        </w:rPr>
        <w:t>advise</w:t>
      </w:r>
      <w:r w:rsidR="00445324">
        <w:rPr>
          <w:b w:val="0"/>
          <w:color w:val="auto"/>
          <w:sz w:val="24"/>
          <w:szCs w:val="24"/>
        </w:rPr>
        <w:t xml:space="preserve"> that:</w:t>
      </w:r>
    </w:p>
    <w:p w14:paraId="16573D19" w14:textId="77777777" w:rsidR="00445324" w:rsidRDefault="00445324" w:rsidP="001A6187">
      <w:pPr>
        <w:pStyle w:val="Quote"/>
      </w:pPr>
    </w:p>
    <w:p w14:paraId="4400D3F9" w14:textId="2FDCC9FC" w:rsidR="001A6187" w:rsidRDefault="00B72635" w:rsidP="00050C43">
      <w:pPr>
        <w:pStyle w:val="Quote"/>
      </w:pPr>
      <w:r>
        <w:t>v</w:t>
      </w:r>
      <w:r w:rsidR="008568EB" w:rsidRPr="008568EB">
        <w:t xml:space="preserve">ictims </w:t>
      </w:r>
      <w:r w:rsidR="00942359">
        <w:t>[are]</w:t>
      </w:r>
      <w:r w:rsidR="008568EB" w:rsidRPr="008568EB">
        <w:t xml:space="preserve"> among the most vulnerable people in society and could be hesitant to seek help due to fear of, and control by, their traffickers. Victims may also be reluctant to report abuses because of their immigration status, fear of being returned to their country of origin, fear of the police and authorities in Great Britain and </w:t>
      </w:r>
      <w:r w:rsidR="00510225" w:rsidRPr="00445324">
        <w:t>NI</w:t>
      </w:r>
      <w:r w:rsidR="008568EB" w:rsidRPr="008568EB">
        <w:t xml:space="preserve"> based on their past experiences in other </w:t>
      </w:r>
      <w:proofErr w:type="gramStart"/>
      <w:r w:rsidR="008568EB" w:rsidRPr="008568EB">
        <w:t>countries, or</w:t>
      </w:r>
      <w:proofErr w:type="gramEnd"/>
      <w:r w:rsidR="008568EB" w:rsidRPr="008568EB">
        <w:t xml:space="preserve"> may consider the current conditions they worked in as a lesser evil than those in the country which they left.</w:t>
      </w:r>
      <w:r w:rsidR="00EA6198">
        <w:rPr>
          <w:rStyle w:val="FootnoteReference"/>
          <w:bCs/>
        </w:rPr>
        <w:footnoteReference w:id="71"/>
      </w:r>
    </w:p>
    <w:p w14:paraId="6212B603" w14:textId="77777777" w:rsidR="001A6187" w:rsidRPr="001A6187" w:rsidRDefault="001A6187" w:rsidP="001A6187">
      <w:pPr>
        <w:pStyle w:val="Style1"/>
        <w:rPr>
          <w:sz w:val="24"/>
          <w:szCs w:val="24"/>
        </w:rPr>
      </w:pPr>
      <w:bookmarkStart w:id="10" w:name="a11"/>
    </w:p>
    <w:p w14:paraId="12853E39" w14:textId="4D3E16E9" w:rsidR="00077E09" w:rsidRDefault="00077E09" w:rsidP="00087302">
      <w:pPr>
        <w:pStyle w:val="Quote"/>
        <w:numPr>
          <w:ilvl w:val="1"/>
          <w:numId w:val="7"/>
        </w:numPr>
        <w:rPr>
          <w:bdr w:val="none" w:sz="0" w:space="0" w:color="auto" w:frame="1"/>
          <w:shd w:val="clear" w:color="auto" w:fill="FFFFFF"/>
        </w:rPr>
      </w:pPr>
      <w:r w:rsidRPr="00BF3ABA">
        <w:rPr>
          <w:bdr w:val="none" w:sz="0" w:space="0" w:color="auto" w:frame="1"/>
          <w:shd w:val="clear" w:color="auto" w:fill="FFFFFF"/>
        </w:rPr>
        <w:t xml:space="preserve">Article 10(2) of the </w:t>
      </w:r>
      <w:proofErr w:type="spellStart"/>
      <w:r>
        <w:rPr>
          <w:bdr w:val="none" w:sz="0" w:space="0" w:color="auto" w:frame="1"/>
          <w:shd w:val="clear" w:color="auto" w:fill="FFFFFF"/>
        </w:rPr>
        <w:t>CoE</w:t>
      </w:r>
      <w:proofErr w:type="spellEnd"/>
      <w:r>
        <w:rPr>
          <w:bdr w:val="none" w:sz="0" w:space="0" w:color="auto" w:frame="1"/>
          <w:shd w:val="clear" w:color="auto" w:fill="FFFFFF"/>
        </w:rPr>
        <w:t xml:space="preserve"> </w:t>
      </w:r>
      <w:r>
        <w:rPr>
          <w:bCs/>
          <w:bdr w:val="none" w:sz="0" w:space="0" w:color="auto" w:frame="1"/>
          <w:shd w:val="clear" w:color="auto" w:fill="FFFFFF"/>
        </w:rPr>
        <w:t xml:space="preserve">Convention </w:t>
      </w:r>
      <w:r w:rsidRPr="00034569">
        <w:rPr>
          <w:rFonts w:cs="ZurichBT-LightCondensed"/>
        </w:rPr>
        <w:t xml:space="preserve">on Action against Trafficking in Human </w:t>
      </w:r>
      <w:r>
        <w:rPr>
          <w:rFonts w:cs="ZurichBT-LightCondensed"/>
        </w:rPr>
        <w:t>Beings</w:t>
      </w:r>
      <w:r w:rsidRPr="00BF3ABA">
        <w:rPr>
          <w:bdr w:val="none" w:sz="0" w:space="0" w:color="auto" w:frame="1"/>
          <w:shd w:val="clear" w:color="auto" w:fill="FFFFFF"/>
        </w:rPr>
        <w:t xml:space="preserve"> obliges </w:t>
      </w:r>
      <w:r w:rsidR="00B1184C">
        <w:rPr>
          <w:bdr w:val="none" w:sz="0" w:space="0" w:color="auto" w:frame="1"/>
          <w:shd w:val="clear" w:color="auto" w:fill="FFFFFF"/>
        </w:rPr>
        <w:t>States</w:t>
      </w:r>
      <w:r w:rsidRPr="00BF3ABA">
        <w:rPr>
          <w:bdr w:val="none" w:sz="0" w:space="0" w:color="auto" w:frame="1"/>
          <w:shd w:val="clear" w:color="auto" w:fill="FFFFFF"/>
        </w:rPr>
        <w:t xml:space="preserve"> to "adopt such legislative or other measures as may be necessary to identify victims as appropriate in collaboration with other Parties and relevant support organisations"</w:t>
      </w:r>
      <w:r>
        <w:rPr>
          <w:bdr w:val="none" w:sz="0" w:space="0" w:color="auto" w:frame="1"/>
          <w:shd w:val="clear" w:color="auto" w:fill="FFFFFF"/>
        </w:rPr>
        <w:t>.</w:t>
      </w:r>
      <w:r w:rsidRPr="00BF3ABA">
        <w:rPr>
          <w:bdr w:val="none" w:sz="0" w:space="0" w:color="auto" w:frame="1"/>
          <w:shd w:val="clear" w:color="auto" w:fill="FFFFFF"/>
        </w:rPr>
        <w:t xml:space="preserve"> </w:t>
      </w:r>
    </w:p>
    <w:p w14:paraId="1CB0D75E" w14:textId="77777777" w:rsidR="00077E09" w:rsidRPr="00077E09" w:rsidRDefault="00077E09" w:rsidP="00077E09">
      <w:pPr>
        <w:pStyle w:val="Style1"/>
        <w:rPr>
          <w:sz w:val="24"/>
          <w:szCs w:val="24"/>
        </w:rPr>
      </w:pPr>
    </w:p>
    <w:p w14:paraId="4742EFA3" w14:textId="5FB40B54" w:rsidR="00077E09" w:rsidRDefault="00077E09" w:rsidP="00087302">
      <w:pPr>
        <w:pStyle w:val="Style1"/>
        <w:numPr>
          <w:ilvl w:val="1"/>
          <w:numId w:val="7"/>
        </w:numPr>
        <w:rPr>
          <w:b w:val="0"/>
          <w:bCs/>
          <w:color w:val="auto"/>
          <w:sz w:val="24"/>
          <w:szCs w:val="24"/>
        </w:rPr>
      </w:pPr>
      <w:r>
        <w:rPr>
          <w:b w:val="0"/>
          <w:bCs/>
          <w:color w:val="auto"/>
          <w:sz w:val="24"/>
          <w:szCs w:val="24"/>
        </w:rPr>
        <w:t xml:space="preserve">In addition, </w:t>
      </w:r>
      <w:r w:rsidRPr="00A01FB9">
        <w:rPr>
          <w:b w:val="0"/>
          <w:bCs/>
          <w:color w:val="auto"/>
          <w:sz w:val="24"/>
          <w:szCs w:val="24"/>
        </w:rPr>
        <w:t xml:space="preserve">Article 9 of </w:t>
      </w:r>
      <w:r w:rsidR="004A2981">
        <w:rPr>
          <w:b w:val="0"/>
          <w:bCs/>
          <w:color w:val="auto"/>
          <w:sz w:val="24"/>
          <w:szCs w:val="24"/>
        </w:rPr>
        <w:t xml:space="preserve">the </w:t>
      </w:r>
      <w:r w:rsidR="003537BE">
        <w:rPr>
          <w:b w:val="0"/>
          <w:bCs/>
          <w:color w:val="auto"/>
          <w:sz w:val="24"/>
          <w:szCs w:val="24"/>
        </w:rPr>
        <w:t>EU Trafficking Directive</w:t>
      </w:r>
      <w:r w:rsidRPr="00A01FB9">
        <w:rPr>
          <w:b w:val="0"/>
          <w:bCs/>
          <w:color w:val="auto"/>
          <w:sz w:val="24"/>
          <w:szCs w:val="24"/>
        </w:rPr>
        <w:t xml:space="preserve"> requires </w:t>
      </w:r>
      <w:r w:rsidR="00B1184C">
        <w:rPr>
          <w:b w:val="0"/>
          <w:bCs/>
          <w:color w:val="auto"/>
          <w:sz w:val="24"/>
          <w:szCs w:val="24"/>
        </w:rPr>
        <w:t>States</w:t>
      </w:r>
      <w:r w:rsidRPr="00A01FB9">
        <w:rPr>
          <w:b w:val="0"/>
          <w:bCs/>
          <w:color w:val="auto"/>
          <w:sz w:val="24"/>
          <w:szCs w:val="24"/>
        </w:rPr>
        <w:t xml:space="preserve"> to positively investigate and prosecute offences of human trafficking, and to ensure that prosecution is not contingent on reporting or accusation by the victim.</w:t>
      </w:r>
      <w:r w:rsidRPr="00A01FB9">
        <w:rPr>
          <w:rStyle w:val="FootnoteReference"/>
          <w:b w:val="0"/>
          <w:bCs/>
          <w:color w:val="auto"/>
          <w:sz w:val="24"/>
          <w:szCs w:val="24"/>
        </w:rPr>
        <w:footnoteReference w:id="72"/>
      </w:r>
      <w:r>
        <w:rPr>
          <w:b w:val="0"/>
          <w:bCs/>
          <w:color w:val="auto"/>
          <w:sz w:val="24"/>
          <w:szCs w:val="24"/>
        </w:rPr>
        <w:t xml:space="preserve"> Articles 19 and 20 of the</w:t>
      </w:r>
      <w:r w:rsidR="003537BE">
        <w:rPr>
          <w:b w:val="0"/>
          <w:bCs/>
          <w:color w:val="auto"/>
          <w:sz w:val="24"/>
          <w:szCs w:val="24"/>
        </w:rPr>
        <w:t xml:space="preserve"> EU Trafficking Directive</w:t>
      </w:r>
      <w:r>
        <w:rPr>
          <w:b w:val="0"/>
          <w:bCs/>
          <w:color w:val="auto"/>
          <w:sz w:val="24"/>
          <w:szCs w:val="24"/>
        </w:rPr>
        <w:t xml:space="preserve"> require </w:t>
      </w:r>
      <w:r w:rsidR="00B1184C">
        <w:rPr>
          <w:b w:val="0"/>
          <w:bCs/>
          <w:color w:val="auto"/>
          <w:sz w:val="24"/>
          <w:szCs w:val="24"/>
        </w:rPr>
        <w:t>States</w:t>
      </w:r>
      <w:r>
        <w:rPr>
          <w:b w:val="0"/>
          <w:bCs/>
          <w:color w:val="auto"/>
          <w:sz w:val="24"/>
          <w:szCs w:val="24"/>
        </w:rPr>
        <w:t xml:space="preserve"> to set up appropriate national mechanisms to, among other things, gather and report relevant statistics on human trafficking.</w:t>
      </w:r>
      <w:r>
        <w:rPr>
          <w:rStyle w:val="FootnoteReference"/>
          <w:b w:val="0"/>
          <w:bCs/>
          <w:color w:val="auto"/>
          <w:sz w:val="24"/>
          <w:szCs w:val="24"/>
        </w:rPr>
        <w:footnoteReference w:id="73"/>
      </w:r>
      <w:r>
        <w:rPr>
          <w:b w:val="0"/>
          <w:bCs/>
          <w:color w:val="auto"/>
          <w:sz w:val="24"/>
          <w:szCs w:val="24"/>
        </w:rPr>
        <w:t xml:space="preserve"> </w:t>
      </w:r>
    </w:p>
    <w:p w14:paraId="6DF02CC9" w14:textId="77777777" w:rsidR="00077E09" w:rsidRDefault="00077E09" w:rsidP="00077E09">
      <w:pPr>
        <w:pStyle w:val="Style1"/>
        <w:ind w:left="720"/>
        <w:rPr>
          <w:b w:val="0"/>
          <w:bCs/>
          <w:color w:val="auto"/>
          <w:sz w:val="24"/>
          <w:szCs w:val="24"/>
        </w:rPr>
      </w:pPr>
    </w:p>
    <w:p w14:paraId="31F2FC6D" w14:textId="564EC529" w:rsidR="00077E09" w:rsidRDefault="008E6D94" w:rsidP="00087302">
      <w:pPr>
        <w:pStyle w:val="Style1"/>
        <w:numPr>
          <w:ilvl w:val="1"/>
          <w:numId w:val="7"/>
        </w:numPr>
        <w:rPr>
          <w:b w:val="0"/>
          <w:bCs/>
          <w:color w:val="auto"/>
          <w:sz w:val="24"/>
          <w:szCs w:val="24"/>
        </w:rPr>
      </w:pPr>
      <w:r>
        <w:rPr>
          <w:b w:val="0"/>
          <w:bCs/>
          <w:color w:val="auto"/>
          <w:sz w:val="24"/>
          <w:szCs w:val="24"/>
        </w:rPr>
        <w:t>T</w:t>
      </w:r>
      <w:r w:rsidR="00077E09">
        <w:rPr>
          <w:b w:val="0"/>
          <w:bCs/>
          <w:color w:val="auto"/>
          <w:sz w:val="24"/>
          <w:szCs w:val="24"/>
        </w:rPr>
        <w:t xml:space="preserve">he duty to notify provisions would be of significant value to law enforcement </w:t>
      </w:r>
      <w:r w:rsidR="004A2981">
        <w:rPr>
          <w:b w:val="0"/>
          <w:bCs/>
          <w:color w:val="auto"/>
          <w:sz w:val="24"/>
          <w:szCs w:val="24"/>
        </w:rPr>
        <w:t xml:space="preserve">agencies in </w:t>
      </w:r>
      <w:r w:rsidR="00077E09">
        <w:rPr>
          <w:b w:val="0"/>
          <w:bCs/>
          <w:color w:val="auto"/>
          <w:sz w:val="24"/>
          <w:szCs w:val="24"/>
        </w:rPr>
        <w:t xml:space="preserve">identifying victims and targeting perpetrators in NI. </w:t>
      </w:r>
      <w:r w:rsidR="004A2981">
        <w:rPr>
          <w:b w:val="0"/>
          <w:bCs/>
          <w:color w:val="auto"/>
          <w:sz w:val="24"/>
          <w:szCs w:val="24"/>
        </w:rPr>
        <w:t xml:space="preserve">Despite that, it is likely that </w:t>
      </w:r>
      <w:r w:rsidR="00077E09">
        <w:rPr>
          <w:b w:val="0"/>
          <w:bCs/>
          <w:color w:val="auto"/>
          <w:sz w:val="24"/>
          <w:szCs w:val="24"/>
        </w:rPr>
        <w:t xml:space="preserve">additional safeguards </w:t>
      </w:r>
      <w:r w:rsidR="004A2981">
        <w:rPr>
          <w:b w:val="0"/>
          <w:bCs/>
          <w:color w:val="auto"/>
          <w:sz w:val="24"/>
          <w:szCs w:val="24"/>
        </w:rPr>
        <w:t xml:space="preserve">will </w:t>
      </w:r>
      <w:r w:rsidR="00077E09">
        <w:rPr>
          <w:b w:val="0"/>
          <w:bCs/>
          <w:color w:val="auto"/>
          <w:sz w:val="24"/>
          <w:szCs w:val="24"/>
        </w:rPr>
        <w:t>be required to ensure the duty is applied and monitored in accordance with international human rights standards.</w:t>
      </w:r>
      <w:r w:rsidR="003A66A0">
        <w:rPr>
          <w:b w:val="0"/>
          <w:bCs/>
          <w:color w:val="auto"/>
          <w:sz w:val="24"/>
          <w:szCs w:val="24"/>
        </w:rPr>
        <w:t xml:space="preserve"> </w:t>
      </w:r>
      <w:r w:rsidR="00405DFE">
        <w:rPr>
          <w:b w:val="0"/>
          <w:bCs/>
          <w:color w:val="auto"/>
          <w:sz w:val="24"/>
          <w:szCs w:val="24"/>
        </w:rPr>
        <w:t>Good</w:t>
      </w:r>
      <w:r w:rsidR="005C5D97">
        <w:rPr>
          <w:b w:val="0"/>
          <w:bCs/>
          <w:color w:val="auto"/>
          <w:sz w:val="24"/>
          <w:szCs w:val="24"/>
        </w:rPr>
        <w:t xml:space="preserve"> governance practices </w:t>
      </w:r>
      <w:r w:rsidR="0041359F">
        <w:rPr>
          <w:b w:val="0"/>
          <w:bCs/>
          <w:color w:val="auto"/>
          <w:sz w:val="24"/>
          <w:szCs w:val="24"/>
        </w:rPr>
        <w:t>are examined in more detail below, including</w:t>
      </w:r>
      <w:r w:rsidR="00712343">
        <w:rPr>
          <w:b w:val="0"/>
          <w:bCs/>
          <w:color w:val="auto"/>
          <w:sz w:val="24"/>
          <w:szCs w:val="24"/>
        </w:rPr>
        <w:t xml:space="preserve"> train</w:t>
      </w:r>
      <w:r w:rsidR="00C62E61">
        <w:rPr>
          <w:b w:val="0"/>
          <w:bCs/>
          <w:color w:val="auto"/>
          <w:sz w:val="24"/>
          <w:szCs w:val="24"/>
        </w:rPr>
        <w:t>in</w:t>
      </w:r>
      <w:r w:rsidR="00247B20">
        <w:rPr>
          <w:b w:val="0"/>
          <w:bCs/>
          <w:color w:val="auto"/>
          <w:sz w:val="24"/>
          <w:szCs w:val="24"/>
        </w:rPr>
        <w:t xml:space="preserve">g and guidance, victim-centred </w:t>
      </w:r>
      <w:r w:rsidR="00176685">
        <w:rPr>
          <w:b w:val="0"/>
          <w:bCs/>
          <w:color w:val="auto"/>
          <w:sz w:val="24"/>
          <w:szCs w:val="24"/>
        </w:rPr>
        <w:t>safety</w:t>
      </w:r>
      <w:r w:rsidR="007B0875">
        <w:rPr>
          <w:b w:val="0"/>
          <w:bCs/>
          <w:color w:val="auto"/>
          <w:sz w:val="24"/>
          <w:szCs w:val="24"/>
        </w:rPr>
        <w:t xml:space="preserve"> measures</w:t>
      </w:r>
      <w:r w:rsidR="00247B20">
        <w:rPr>
          <w:b w:val="0"/>
          <w:bCs/>
          <w:color w:val="auto"/>
          <w:sz w:val="24"/>
          <w:szCs w:val="24"/>
        </w:rPr>
        <w:t>, and monitoring</w:t>
      </w:r>
      <w:r w:rsidR="00812FE2">
        <w:rPr>
          <w:b w:val="0"/>
          <w:bCs/>
          <w:color w:val="auto"/>
          <w:sz w:val="24"/>
          <w:szCs w:val="24"/>
        </w:rPr>
        <w:t xml:space="preserve">. </w:t>
      </w:r>
    </w:p>
    <w:p w14:paraId="28EE0E7C" w14:textId="77777777" w:rsidR="00077E09" w:rsidRDefault="00077E09" w:rsidP="00077E09">
      <w:pPr>
        <w:pStyle w:val="ListParagraph"/>
        <w:rPr>
          <w:b/>
          <w:bCs/>
        </w:rPr>
      </w:pPr>
    </w:p>
    <w:p w14:paraId="4B55781F" w14:textId="764F07B8" w:rsidR="00077E09" w:rsidRPr="00077E09" w:rsidRDefault="00077E09" w:rsidP="00380238">
      <w:pPr>
        <w:pStyle w:val="Heading2"/>
        <w:rPr>
          <w:i/>
          <w:iCs/>
          <w:szCs w:val="24"/>
        </w:rPr>
      </w:pPr>
      <w:bookmarkStart w:id="11" w:name="_Toc105754272"/>
      <w:r w:rsidRPr="00077E09">
        <w:t>Training and guidance</w:t>
      </w:r>
      <w:bookmarkEnd w:id="11"/>
      <w:r w:rsidRPr="00077E09">
        <w:t xml:space="preserve"> </w:t>
      </w:r>
    </w:p>
    <w:p w14:paraId="50E817E7" w14:textId="77777777" w:rsidR="00077E09" w:rsidRDefault="00077E09" w:rsidP="00077E09">
      <w:pPr>
        <w:pStyle w:val="Style1"/>
        <w:rPr>
          <w:b w:val="0"/>
          <w:bCs/>
          <w:color w:val="auto"/>
          <w:sz w:val="24"/>
          <w:szCs w:val="24"/>
        </w:rPr>
      </w:pPr>
    </w:p>
    <w:p w14:paraId="14BD97B9" w14:textId="58D7438B" w:rsidR="000B4158" w:rsidRDefault="00FF2D2E" w:rsidP="00087302">
      <w:pPr>
        <w:pStyle w:val="Style1"/>
        <w:numPr>
          <w:ilvl w:val="1"/>
          <w:numId w:val="7"/>
        </w:numPr>
        <w:rPr>
          <w:b w:val="0"/>
          <w:bCs/>
          <w:color w:val="auto"/>
          <w:sz w:val="24"/>
          <w:szCs w:val="24"/>
        </w:rPr>
      </w:pPr>
      <w:r>
        <w:rPr>
          <w:b w:val="0"/>
          <w:bCs/>
          <w:color w:val="auto"/>
          <w:sz w:val="24"/>
          <w:szCs w:val="24"/>
        </w:rPr>
        <w:t xml:space="preserve">As set out in full above, </w:t>
      </w:r>
      <w:r w:rsidR="000B4158">
        <w:rPr>
          <w:b w:val="0"/>
          <w:bCs/>
          <w:color w:val="auto"/>
          <w:sz w:val="24"/>
          <w:szCs w:val="24"/>
        </w:rPr>
        <w:t>Article 18(3) of the</w:t>
      </w:r>
      <w:r w:rsidR="008E6D94">
        <w:rPr>
          <w:b w:val="0"/>
          <w:bCs/>
          <w:color w:val="auto"/>
          <w:sz w:val="24"/>
          <w:szCs w:val="24"/>
        </w:rPr>
        <w:t xml:space="preserve"> </w:t>
      </w:r>
      <w:r w:rsidR="003537BE">
        <w:rPr>
          <w:b w:val="0"/>
          <w:bCs/>
          <w:color w:val="auto"/>
          <w:sz w:val="24"/>
          <w:szCs w:val="24"/>
        </w:rPr>
        <w:t>EU Trafficking Directive</w:t>
      </w:r>
      <w:r w:rsidR="000B4158">
        <w:rPr>
          <w:b w:val="0"/>
          <w:bCs/>
          <w:color w:val="auto"/>
          <w:sz w:val="24"/>
          <w:szCs w:val="24"/>
        </w:rPr>
        <w:t xml:space="preserve"> requires </w:t>
      </w:r>
      <w:r w:rsidR="00B1184C">
        <w:rPr>
          <w:b w:val="0"/>
          <w:bCs/>
          <w:color w:val="auto"/>
          <w:sz w:val="24"/>
          <w:szCs w:val="24"/>
        </w:rPr>
        <w:t>States</w:t>
      </w:r>
      <w:r w:rsidR="000B4158">
        <w:rPr>
          <w:b w:val="0"/>
          <w:bCs/>
          <w:color w:val="auto"/>
          <w:sz w:val="24"/>
          <w:szCs w:val="24"/>
        </w:rPr>
        <w:t xml:space="preserve"> to promote regular training for officials likely to </w:t>
      </w:r>
      <w:proofErr w:type="gramStart"/>
      <w:r w:rsidR="000B4158">
        <w:rPr>
          <w:b w:val="0"/>
          <w:bCs/>
          <w:color w:val="auto"/>
          <w:sz w:val="24"/>
          <w:szCs w:val="24"/>
        </w:rPr>
        <w:t>come into contact with</w:t>
      </w:r>
      <w:proofErr w:type="gramEnd"/>
      <w:r w:rsidR="000B4158">
        <w:rPr>
          <w:b w:val="0"/>
          <w:bCs/>
          <w:color w:val="auto"/>
          <w:sz w:val="24"/>
          <w:szCs w:val="24"/>
        </w:rPr>
        <w:t xml:space="preserve"> victims of human trafficking.</w:t>
      </w:r>
      <w:r w:rsidR="000B4158">
        <w:rPr>
          <w:rStyle w:val="FootnoteReference"/>
          <w:b w:val="0"/>
          <w:bCs/>
          <w:color w:val="auto"/>
          <w:sz w:val="24"/>
          <w:szCs w:val="24"/>
        </w:rPr>
        <w:footnoteReference w:id="74"/>
      </w:r>
      <w:r w:rsidR="000B4158">
        <w:rPr>
          <w:b w:val="0"/>
          <w:bCs/>
          <w:color w:val="auto"/>
          <w:sz w:val="24"/>
          <w:szCs w:val="24"/>
        </w:rPr>
        <w:t xml:space="preserve"> Article 12 of t</w:t>
      </w:r>
      <w:r w:rsidR="000B4158" w:rsidRPr="00015943">
        <w:rPr>
          <w:b w:val="0"/>
          <w:bCs/>
          <w:color w:val="auto"/>
          <w:sz w:val="24"/>
          <w:szCs w:val="24"/>
        </w:rPr>
        <w:t xml:space="preserve">he </w:t>
      </w:r>
      <w:r w:rsidR="003537BE">
        <w:rPr>
          <w:b w:val="0"/>
          <w:bCs/>
          <w:color w:val="auto"/>
          <w:sz w:val="24"/>
          <w:szCs w:val="24"/>
        </w:rPr>
        <w:t>EU Trafficking Directive</w:t>
      </w:r>
      <w:r w:rsidR="000B4158" w:rsidRPr="00015943">
        <w:rPr>
          <w:b w:val="0"/>
          <w:bCs/>
          <w:color w:val="auto"/>
          <w:sz w:val="24"/>
          <w:szCs w:val="24"/>
        </w:rPr>
        <w:t xml:space="preserve"> </w:t>
      </w:r>
      <w:r w:rsidR="001724FB">
        <w:rPr>
          <w:b w:val="0"/>
          <w:bCs/>
          <w:color w:val="auto"/>
          <w:sz w:val="24"/>
          <w:szCs w:val="24"/>
        </w:rPr>
        <w:t>provides</w:t>
      </w:r>
      <w:r w:rsidR="001724FB" w:rsidRPr="00015943">
        <w:rPr>
          <w:b w:val="0"/>
          <w:bCs/>
          <w:color w:val="auto"/>
          <w:sz w:val="24"/>
          <w:szCs w:val="24"/>
        </w:rPr>
        <w:t xml:space="preserve"> </w:t>
      </w:r>
      <w:r w:rsidR="000B4158" w:rsidRPr="00015943">
        <w:rPr>
          <w:b w:val="0"/>
          <w:bCs/>
          <w:color w:val="auto"/>
          <w:sz w:val="24"/>
          <w:szCs w:val="24"/>
        </w:rPr>
        <w:t>that victims of human trafficking should be protected from repeat or secondary victimisation during criminal investigations and proceedings.</w:t>
      </w:r>
      <w:r w:rsidR="000B4158">
        <w:rPr>
          <w:rStyle w:val="FootnoteReference"/>
          <w:b w:val="0"/>
          <w:bCs/>
          <w:color w:val="auto"/>
          <w:sz w:val="24"/>
          <w:szCs w:val="24"/>
        </w:rPr>
        <w:footnoteReference w:id="75"/>
      </w:r>
    </w:p>
    <w:p w14:paraId="48724822" w14:textId="77777777" w:rsidR="000B4158" w:rsidRDefault="000B4158" w:rsidP="000B4158">
      <w:pPr>
        <w:pStyle w:val="Style1"/>
        <w:rPr>
          <w:b w:val="0"/>
          <w:bCs/>
          <w:color w:val="auto"/>
          <w:sz w:val="24"/>
          <w:szCs w:val="24"/>
        </w:rPr>
      </w:pPr>
    </w:p>
    <w:p w14:paraId="63461578" w14:textId="019BBCFA" w:rsidR="000B4158" w:rsidRPr="000B4158" w:rsidRDefault="000B4158" w:rsidP="00087302">
      <w:pPr>
        <w:pStyle w:val="Style1"/>
        <w:numPr>
          <w:ilvl w:val="1"/>
          <w:numId w:val="7"/>
        </w:numPr>
        <w:rPr>
          <w:b w:val="0"/>
          <w:bCs/>
          <w:color w:val="auto"/>
          <w:sz w:val="24"/>
          <w:szCs w:val="24"/>
        </w:rPr>
      </w:pPr>
      <w:r w:rsidRPr="00FA163A">
        <w:rPr>
          <w:b w:val="0"/>
          <w:color w:val="auto"/>
          <w:sz w:val="24"/>
          <w:szCs w:val="24"/>
        </w:rPr>
        <w:t xml:space="preserve">Recital 57 of the </w:t>
      </w:r>
      <w:r w:rsidR="00A242AD">
        <w:rPr>
          <w:b w:val="0"/>
          <w:color w:val="auto"/>
          <w:sz w:val="24"/>
          <w:szCs w:val="24"/>
        </w:rPr>
        <w:t xml:space="preserve">EU </w:t>
      </w:r>
      <w:r w:rsidRPr="00FA163A">
        <w:rPr>
          <w:b w:val="0"/>
          <w:color w:val="auto"/>
          <w:sz w:val="24"/>
          <w:szCs w:val="24"/>
        </w:rPr>
        <w:t xml:space="preserve">Victims’ Directive </w:t>
      </w:r>
      <w:r>
        <w:rPr>
          <w:b w:val="0"/>
          <w:color w:val="auto"/>
          <w:sz w:val="24"/>
          <w:szCs w:val="24"/>
        </w:rPr>
        <w:t>elaborates</w:t>
      </w:r>
      <w:r w:rsidRPr="00FA163A">
        <w:rPr>
          <w:b w:val="0"/>
          <w:color w:val="auto"/>
          <w:sz w:val="24"/>
          <w:szCs w:val="24"/>
        </w:rPr>
        <w:t xml:space="preserve"> that </w:t>
      </w:r>
      <w:r w:rsidR="001724FB">
        <w:rPr>
          <w:b w:val="0"/>
          <w:color w:val="auto"/>
          <w:sz w:val="24"/>
          <w:szCs w:val="24"/>
        </w:rPr>
        <w:t xml:space="preserve">as </w:t>
      </w:r>
      <w:r w:rsidRPr="00FA163A">
        <w:rPr>
          <w:b w:val="0"/>
          <w:color w:val="auto"/>
          <w:sz w:val="24"/>
          <w:szCs w:val="24"/>
        </w:rPr>
        <w:t>victims of human trafficking tend to experience higher levels of secondary or repeat victimisation</w:t>
      </w:r>
      <w:r w:rsidR="001029AA">
        <w:rPr>
          <w:b w:val="0"/>
          <w:color w:val="auto"/>
          <w:sz w:val="24"/>
          <w:szCs w:val="24"/>
        </w:rPr>
        <w:t>,</w:t>
      </w:r>
      <w:r w:rsidRPr="00FA163A" w:rsidDel="001724FB">
        <w:rPr>
          <w:b w:val="0"/>
          <w:color w:val="auto"/>
          <w:sz w:val="24"/>
          <w:szCs w:val="24"/>
        </w:rPr>
        <w:t xml:space="preserve"> </w:t>
      </w:r>
      <w:r w:rsidRPr="00FA163A">
        <w:rPr>
          <w:b w:val="0"/>
          <w:color w:val="auto"/>
          <w:sz w:val="24"/>
          <w:szCs w:val="24"/>
        </w:rPr>
        <w:t xml:space="preserve">particular attention </w:t>
      </w:r>
      <w:r w:rsidR="001724FB">
        <w:rPr>
          <w:b w:val="0"/>
          <w:color w:val="auto"/>
          <w:sz w:val="24"/>
          <w:szCs w:val="24"/>
        </w:rPr>
        <w:t xml:space="preserve">must be paid </w:t>
      </w:r>
      <w:r w:rsidRPr="00FA163A">
        <w:rPr>
          <w:b w:val="0"/>
          <w:color w:val="auto"/>
          <w:sz w:val="24"/>
          <w:szCs w:val="24"/>
        </w:rPr>
        <w:t xml:space="preserve">when assessing risk </w:t>
      </w:r>
      <w:r w:rsidR="001724FB">
        <w:rPr>
          <w:b w:val="0"/>
          <w:color w:val="auto"/>
          <w:sz w:val="24"/>
          <w:szCs w:val="24"/>
        </w:rPr>
        <w:t xml:space="preserve">including risk of </w:t>
      </w:r>
      <w:r w:rsidRPr="00FA163A">
        <w:rPr>
          <w:b w:val="0"/>
          <w:color w:val="auto"/>
          <w:sz w:val="24"/>
          <w:szCs w:val="24"/>
        </w:rPr>
        <w:t xml:space="preserve">victimisation, </w:t>
      </w:r>
      <w:proofErr w:type="gramStart"/>
      <w:r w:rsidRPr="00FA163A">
        <w:rPr>
          <w:b w:val="0"/>
          <w:color w:val="auto"/>
          <w:sz w:val="24"/>
          <w:szCs w:val="24"/>
        </w:rPr>
        <w:t>intimidation</w:t>
      </w:r>
      <w:proofErr w:type="gramEnd"/>
      <w:r w:rsidRPr="00FA163A">
        <w:rPr>
          <w:b w:val="0"/>
          <w:color w:val="auto"/>
          <w:sz w:val="24"/>
          <w:szCs w:val="24"/>
        </w:rPr>
        <w:t xml:space="preserve"> and retaliation</w:t>
      </w:r>
      <w:r w:rsidR="001724FB">
        <w:rPr>
          <w:b w:val="0"/>
          <w:color w:val="auto"/>
          <w:sz w:val="24"/>
          <w:szCs w:val="24"/>
        </w:rPr>
        <w:t xml:space="preserve">. It also stipulates the importance of </w:t>
      </w:r>
      <w:r w:rsidRPr="00FA163A">
        <w:rPr>
          <w:b w:val="0"/>
          <w:color w:val="auto"/>
          <w:sz w:val="24"/>
          <w:szCs w:val="24"/>
        </w:rPr>
        <w:t xml:space="preserve">special protection measures </w:t>
      </w:r>
      <w:r w:rsidR="001724FB">
        <w:rPr>
          <w:b w:val="0"/>
          <w:color w:val="auto"/>
          <w:sz w:val="24"/>
          <w:szCs w:val="24"/>
        </w:rPr>
        <w:t xml:space="preserve">being put in place </w:t>
      </w:r>
      <w:proofErr w:type="gramStart"/>
      <w:r w:rsidR="001724FB">
        <w:rPr>
          <w:b w:val="0"/>
          <w:color w:val="auto"/>
          <w:sz w:val="24"/>
          <w:szCs w:val="24"/>
        </w:rPr>
        <w:t xml:space="preserve">if </w:t>
      </w:r>
      <w:r w:rsidRPr="00FA163A">
        <w:rPr>
          <w:b w:val="0"/>
          <w:color w:val="auto"/>
          <w:sz w:val="24"/>
          <w:szCs w:val="24"/>
        </w:rPr>
        <w:t xml:space="preserve"> a</w:t>
      </w:r>
      <w:proofErr w:type="gramEnd"/>
      <w:r w:rsidRPr="00FA163A">
        <w:rPr>
          <w:b w:val="0"/>
          <w:color w:val="auto"/>
          <w:sz w:val="24"/>
          <w:szCs w:val="24"/>
        </w:rPr>
        <w:t xml:space="preserve"> risk </w:t>
      </w:r>
      <w:r w:rsidR="001724FB">
        <w:rPr>
          <w:b w:val="0"/>
          <w:color w:val="auto"/>
          <w:sz w:val="24"/>
          <w:szCs w:val="24"/>
        </w:rPr>
        <w:t>is identified.</w:t>
      </w:r>
      <w:r w:rsidRPr="00FA163A">
        <w:rPr>
          <w:b w:val="0"/>
          <w:color w:val="auto"/>
          <w:sz w:val="24"/>
          <w:szCs w:val="24"/>
        </w:rPr>
        <w:t xml:space="preserve"> </w:t>
      </w:r>
    </w:p>
    <w:p w14:paraId="2DA1B943" w14:textId="77777777" w:rsidR="000B4158" w:rsidRPr="000B5635" w:rsidRDefault="000B4158" w:rsidP="000B4158">
      <w:pPr>
        <w:pStyle w:val="Style1"/>
        <w:rPr>
          <w:b w:val="0"/>
          <w:bCs/>
          <w:color w:val="auto"/>
          <w:sz w:val="24"/>
          <w:szCs w:val="24"/>
        </w:rPr>
      </w:pPr>
    </w:p>
    <w:p w14:paraId="2AB8497C" w14:textId="784891F8" w:rsidR="004558E9" w:rsidRPr="004558E9" w:rsidRDefault="001550EC" w:rsidP="00087302">
      <w:pPr>
        <w:pStyle w:val="ListParagraph"/>
        <w:numPr>
          <w:ilvl w:val="1"/>
          <w:numId w:val="7"/>
        </w:numPr>
        <w:spacing w:line="276" w:lineRule="auto"/>
      </w:pPr>
      <w:r w:rsidRPr="00B53B20">
        <w:t xml:space="preserve">As above, </w:t>
      </w:r>
      <w:r w:rsidR="004558E9" w:rsidRPr="00B53B20">
        <w:t xml:space="preserve">Article 10 of the UN Palermo Protocol requires </w:t>
      </w:r>
      <w:r w:rsidR="00B1184C" w:rsidRPr="00B53B20">
        <w:t>States</w:t>
      </w:r>
      <w:r w:rsidR="004558E9" w:rsidRPr="00B53B20">
        <w:t xml:space="preserve"> to provide training to law enforcement and other relevant officials in contact with potential victims of human trafficking to increase identification of potential instances of trafficking in human </w:t>
      </w:r>
      <w:r w:rsidR="00B53B20" w:rsidRPr="00B53B20">
        <w:rPr>
          <w:rFonts w:cs="MinionPro-Regular"/>
          <w:color w:val="000000"/>
        </w:rPr>
        <w:t>beings.</w:t>
      </w:r>
      <w:r w:rsidR="00B53B20">
        <w:rPr>
          <w:bCs/>
          <w:bdr w:val="none" w:sz="0" w:space="0" w:color="auto" w:frame="1"/>
          <w:shd w:val="clear" w:color="auto" w:fill="FFFFFF"/>
        </w:rPr>
        <w:t xml:space="preserve"> In</w:t>
      </w:r>
      <w:r w:rsidR="004558E9">
        <w:rPr>
          <w:bCs/>
          <w:bdr w:val="none" w:sz="0" w:space="0" w:color="auto" w:frame="1"/>
          <w:shd w:val="clear" w:color="auto" w:fill="FFFFFF"/>
        </w:rPr>
        <w:t xml:space="preserve"> addition, </w:t>
      </w:r>
      <w:r w:rsidR="004558E9" w:rsidRPr="00367F6B">
        <w:rPr>
          <w:bCs/>
          <w:bdr w:val="none" w:sz="0" w:space="0" w:color="auto" w:frame="1"/>
          <w:shd w:val="clear" w:color="auto" w:fill="FFFFFF"/>
        </w:rPr>
        <w:t xml:space="preserve">Guideline 2 of the </w:t>
      </w:r>
      <w:r w:rsidR="004D0AC9">
        <w:t>UN</w:t>
      </w:r>
      <w:r w:rsidR="004558E9">
        <w:t xml:space="preserve"> </w:t>
      </w:r>
      <w:r w:rsidR="004558E9" w:rsidRPr="003542C3">
        <w:t xml:space="preserve">Recommended Principles and Guidelines on Human Rights and Human Trafficking </w:t>
      </w:r>
      <w:r w:rsidR="004558E9" w:rsidRPr="00367F6B">
        <w:rPr>
          <w:bCs/>
          <w:bdr w:val="none" w:sz="0" w:space="0" w:color="auto" w:frame="1"/>
          <w:shd w:val="clear" w:color="auto" w:fill="FFFFFF"/>
        </w:rPr>
        <w:t>also stipulate</w:t>
      </w:r>
      <w:r w:rsidR="004558E9">
        <w:rPr>
          <w:bCs/>
          <w:bdr w:val="none" w:sz="0" w:space="0" w:color="auto" w:frame="1"/>
          <w:shd w:val="clear" w:color="auto" w:fill="FFFFFF"/>
        </w:rPr>
        <w:t>s</w:t>
      </w:r>
      <w:r w:rsidR="004558E9" w:rsidRPr="00367F6B">
        <w:rPr>
          <w:bCs/>
          <w:bdr w:val="none" w:sz="0" w:space="0" w:color="auto" w:frame="1"/>
          <w:shd w:val="clear" w:color="auto" w:fill="FFFFFF"/>
        </w:rPr>
        <w:t xml:space="preserve"> that </w:t>
      </w:r>
      <w:r w:rsidR="00B1184C">
        <w:rPr>
          <w:bCs/>
          <w:bdr w:val="none" w:sz="0" w:space="0" w:color="auto" w:frame="1"/>
          <w:shd w:val="clear" w:color="auto" w:fill="FFFFFF"/>
        </w:rPr>
        <w:t>States</w:t>
      </w:r>
      <w:r w:rsidR="004558E9" w:rsidRPr="00367F6B">
        <w:rPr>
          <w:bCs/>
          <w:bdr w:val="none" w:sz="0" w:space="0" w:color="auto" w:frame="1"/>
          <w:shd w:val="clear" w:color="auto" w:fill="FFFFFF"/>
        </w:rPr>
        <w:t xml:space="preserve"> are "under an obligation to ensure that such identification can and does take place." Some of the measures recommended for effective identification of victims include development of manuals and guidelines for law enforcement agencies which </w:t>
      </w:r>
      <w:proofErr w:type="gramStart"/>
      <w:r w:rsidR="004558E9" w:rsidRPr="00367F6B">
        <w:rPr>
          <w:bCs/>
          <w:bdr w:val="none" w:sz="0" w:space="0" w:color="auto" w:frame="1"/>
          <w:shd w:val="clear" w:color="auto" w:fill="FFFFFF"/>
        </w:rPr>
        <w:t>come in contact with</w:t>
      </w:r>
      <w:proofErr w:type="gramEnd"/>
      <w:r w:rsidR="004558E9" w:rsidRPr="00367F6B">
        <w:rPr>
          <w:bCs/>
          <w:bdr w:val="none" w:sz="0" w:space="0" w:color="auto" w:frame="1"/>
          <w:shd w:val="clear" w:color="auto" w:fill="FFFFFF"/>
        </w:rPr>
        <w:t xml:space="preserve"> potential or actual victims, their training, and facilitation of law enforcement co-operation.</w:t>
      </w:r>
    </w:p>
    <w:bookmarkEnd w:id="10"/>
    <w:p w14:paraId="74D517B7" w14:textId="77777777" w:rsidR="0082121B" w:rsidRPr="005848DD" w:rsidRDefault="0082121B" w:rsidP="005848DD">
      <w:pPr>
        <w:pStyle w:val="Style1"/>
        <w:rPr>
          <w:sz w:val="24"/>
          <w:szCs w:val="24"/>
        </w:rPr>
      </w:pPr>
    </w:p>
    <w:p w14:paraId="39A67425" w14:textId="24AA382D" w:rsidR="00413B0A" w:rsidRDefault="00413B0A" w:rsidP="00087302">
      <w:pPr>
        <w:pStyle w:val="BasicParagraph"/>
        <w:numPr>
          <w:ilvl w:val="1"/>
          <w:numId w:val="7"/>
        </w:numPr>
        <w:suppressAutoHyphens/>
        <w:rPr>
          <w:rFonts w:ascii="Verdana" w:hAnsi="Verdana"/>
        </w:rPr>
      </w:pPr>
      <w:r>
        <w:rPr>
          <w:rFonts w:ascii="Verdana" w:hAnsi="Verdana"/>
        </w:rPr>
        <w:t>Specific i</w:t>
      </w:r>
      <w:r w:rsidRPr="001A1785">
        <w:rPr>
          <w:rFonts w:ascii="Verdana" w:hAnsi="Verdana"/>
        </w:rPr>
        <w:t xml:space="preserve">nternational standards exist in relation to women given their </w:t>
      </w:r>
      <w:proofErr w:type="gramStart"/>
      <w:r>
        <w:rPr>
          <w:rFonts w:ascii="Verdana" w:hAnsi="Verdana"/>
        </w:rPr>
        <w:t xml:space="preserve">particular </w:t>
      </w:r>
      <w:r w:rsidRPr="001A1785">
        <w:rPr>
          <w:rFonts w:ascii="Verdana" w:hAnsi="Verdana"/>
        </w:rPr>
        <w:t>vulnerability</w:t>
      </w:r>
      <w:proofErr w:type="gramEnd"/>
      <w:r w:rsidRPr="001A1785">
        <w:rPr>
          <w:rFonts w:ascii="Verdana" w:hAnsi="Verdana"/>
        </w:rPr>
        <w:t xml:space="preserve"> to trafficking. Article 6 </w:t>
      </w:r>
      <w:r>
        <w:rPr>
          <w:rFonts w:ascii="Verdana" w:hAnsi="Verdana"/>
        </w:rPr>
        <w:t xml:space="preserve">of the UN CEDAW </w:t>
      </w:r>
      <w:r w:rsidRPr="001A1785">
        <w:rPr>
          <w:rFonts w:ascii="Verdana" w:hAnsi="Verdana"/>
        </w:rPr>
        <w:t xml:space="preserve">requires </w:t>
      </w:r>
      <w:r w:rsidR="00B1184C">
        <w:rPr>
          <w:rFonts w:ascii="Verdana" w:hAnsi="Verdana"/>
        </w:rPr>
        <w:t>States</w:t>
      </w:r>
      <w:r w:rsidRPr="001A1785">
        <w:rPr>
          <w:rFonts w:ascii="Verdana" w:hAnsi="Verdana"/>
        </w:rPr>
        <w:t xml:space="preserve"> </w:t>
      </w:r>
      <w:r>
        <w:rPr>
          <w:rFonts w:ascii="Verdana" w:hAnsi="Verdana"/>
        </w:rPr>
        <w:t>P</w:t>
      </w:r>
      <w:r w:rsidRPr="001A1785">
        <w:rPr>
          <w:rFonts w:ascii="Verdana" w:hAnsi="Verdana"/>
        </w:rPr>
        <w:t xml:space="preserve">arties to take measures to supress trafficking, exploitation and prostitution of women and the </w:t>
      </w:r>
      <w:r>
        <w:rPr>
          <w:rFonts w:ascii="Verdana" w:hAnsi="Verdana"/>
        </w:rPr>
        <w:t xml:space="preserve">UN </w:t>
      </w:r>
      <w:r w:rsidRPr="001A1785">
        <w:rPr>
          <w:rFonts w:ascii="Verdana" w:hAnsi="Verdana"/>
        </w:rPr>
        <w:t xml:space="preserve">CEDAW Committee has made specific comments on the need to adopt a gender-sensitive approach to properly </w:t>
      </w:r>
      <w:r w:rsidRPr="001A1785">
        <w:rPr>
          <w:rFonts w:ascii="Verdana" w:hAnsi="Verdana"/>
        </w:rPr>
        <w:lastRenderedPageBreak/>
        <w:t>identifying victims of human trafficking among women asylum seekers and access to asylum procedures without discrimination.</w:t>
      </w:r>
      <w:r>
        <w:rPr>
          <w:rStyle w:val="FootnoteReference"/>
          <w:rFonts w:ascii="Verdana" w:hAnsi="Verdana"/>
        </w:rPr>
        <w:footnoteReference w:id="76"/>
      </w:r>
      <w:r w:rsidRPr="001A1785">
        <w:rPr>
          <w:rFonts w:ascii="Verdana" w:hAnsi="Verdana"/>
        </w:rPr>
        <w:t xml:space="preserve"> </w:t>
      </w:r>
    </w:p>
    <w:p w14:paraId="76354730" w14:textId="77777777" w:rsidR="00413B0A" w:rsidRDefault="00413B0A" w:rsidP="00413B0A">
      <w:pPr>
        <w:pStyle w:val="BasicParagraph"/>
        <w:suppressAutoHyphens/>
        <w:rPr>
          <w:rFonts w:ascii="Verdana" w:hAnsi="Verdana"/>
        </w:rPr>
      </w:pPr>
    </w:p>
    <w:p w14:paraId="402B46D4" w14:textId="0D3D1E55" w:rsidR="00FB5E15" w:rsidRDefault="00B60657" w:rsidP="00087302">
      <w:pPr>
        <w:pStyle w:val="Style1"/>
        <w:numPr>
          <w:ilvl w:val="1"/>
          <w:numId w:val="7"/>
        </w:numPr>
        <w:spacing w:line="276" w:lineRule="auto"/>
        <w:rPr>
          <w:b w:val="0"/>
          <w:bCs/>
          <w:color w:val="auto"/>
          <w:sz w:val="24"/>
          <w:szCs w:val="24"/>
        </w:rPr>
      </w:pPr>
      <w:r>
        <w:rPr>
          <w:b w:val="0"/>
          <w:bCs/>
          <w:color w:val="auto"/>
          <w:sz w:val="24"/>
          <w:szCs w:val="24"/>
        </w:rPr>
        <w:t xml:space="preserve">In </w:t>
      </w:r>
      <w:r w:rsidRPr="00367F6B">
        <w:rPr>
          <w:b w:val="0"/>
          <w:bCs/>
          <w:color w:val="auto"/>
          <w:sz w:val="24"/>
          <w:szCs w:val="24"/>
        </w:rPr>
        <w:t>2019, the UN CEDAW Committee recommended that the UK</w:t>
      </w:r>
      <w:r>
        <w:rPr>
          <w:b w:val="0"/>
          <w:bCs/>
          <w:color w:val="auto"/>
          <w:sz w:val="24"/>
          <w:szCs w:val="24"/>
        </w:rPr>
        <w:t xml:space="preserve"> </w:t>
      </w:r>
      <w:r w:rsidRPr="00367F6B">
        <w:rPr>
          <w:b w:val="0"/>
          <w:bCs/>
          <w:color w:val="auto"/>
          <w:sz w:val="24"/>
          <w:szCs w:val="24"/>
        </w:rPr>
        <w:t xml:space="preserve">Government and </w:t>
      </w:r>
      <w:r w:rsidR="00510225">
        <w:rPr>
          <w:b w:val="0"/>
          <w:bCs/>
          <w:color w:val="auto"/>
          <w:sz w:val="24"/>
          <w:szCs w:val="24"/>
        </w:rPr>
        <w:t>NI</w:t>
      </w:r>
      <w:r w:rsidRPr="00367F6B">
        <w:rPr>
          <w:b w:val="0"/>
          <w:bCs/>
          <w:color w:val="auto"/>
          <w:sz w:val="24"/>
          <w:szCs w:val="24"/>
        </w:rPr>
        <w:t xml:space="preserve"> Executive </w:t>
      </w:r>
      <w:r w:rsidRPr="00756B5E">
        <w:rPr>
          <w:b w:val="0"/>
          <w:bCs/>
          <w:color w:val="auto"/>
          <w:sz w:val="24"/>
          <w:szCs w:val="24"/>
        </w:rPr>
        <w:t>“Continue to improve the National Referral Mechanism, including by implementing the reform package announced in October 2017, to ensure that victims of trafficking are properly identified and adequately protected and supported</w:t>
      </w:r>
      <w:r w:rsidR="003A511F" w:rsidRPr="00756B5E">
        <w:rPr>
          <w:b w:val="0"/>
          <w:bCs/>
          <w:color w:val="auto"/>
          <w:sz w:val="24"/>
          <w:szCs w:val="24"/>
        </w:rPr>
        <w:t>”</w:t>
      </w:r>
      <w:r w:rsidRPr="00756B5E">
        <w:rPr>
          <w:b w:val="0"/>
          <w:bCs/>
          <w:color w:val="auto"/>
          <w:sz w:val="24"/>
          <w:szCs w:val="24"/>
        </w:rPr>
        <w:t>.</w:t>
      </w:r>
      <w:r w:rsidRPr="00756B5E">
        <w:rPr>
          <w:rStyle w:val="FootnoteReference"/>
          <w:b w:val="0"/>
          <w:bCs/>
          <w:color w:val="auto"/>
          <w:sz w:val="24"/>
          <w:szCs w:val="24"/>
        </w:rPr>
        <w:footnoteReference w:id="77"/>
      </w:r>
      <w:r w:rsidRPr="00756B5E">
        <w:rPr>
          <w:b w:val="0"/>
          <w:bCs/>
          <w:color w:val="auto"/>
          <w:sz w:val="24"/>
          <w:szCs w:val="24"/>
        </w:rPr>
        <w:t xml:space="preserve"> </w:t>
      </w:r>
    </w:p>
    <w:p w14:paraId="2E41CADB" w14:textId="77777777" w:rsidR="00881A71" w:rsidRPr="00756B5E" w:rsidRDefault="00881A71" w:rsidP="00881A71">
      <w:pPr>
        <w:pStyle w:val="Style1"/>
        <w:spacing w:line="276" w:lineRule="auto"/>
        <w:rPr>
          <w:b w:val="0"/>
          <w:bCs/>
          <w:color w:val="auto"/>
          <w:sz w:val="24"/>
          <w:szCs w:val="24"/>
        </w:rPr>
      </w:pPr>
    </w:p>
    <w:p w14:paraId="7E513255" w14:textId="1347E987" w:rsidR="0082121B" w:rsidRPr="0082121B" w:rsidRDefault="004F763B" w:rsidP="00087302">
      <w:pPr>
        <w:pStyle w:val="ListParagraph"/>
        <w:numPr>
          <w:ilvl w:val="1"/>
          <w:numId w:val="7"/>
        </w:numPr>
        <w:spacing w:after="240" w:line="276" w:lineRule="auto"/>
      </w:pPr>
      <w:r>
        <w:t>Through its monitoring, t</w:t>
      </w:r>
      <w:r w:rsidR="00F77B0A">
        <w:t xml:space="preserve">he UN Committee against </w:t>
      </w:r>
      <w:proofErr w:type="gramStart"/>
      <w:r w:rsidR="00F77B0A">
        <w:t xml:space="preserve">Torture </w:t>
      </w:r>
      <w:r w:rsidR="001724FB">
        <w:t xml:space="preserve"> also</w:t>
      </w:r>
      <w:proofErr w:type="gramEnd"/>
      <w:r w:rsidR="001724FB">
        <w:t xml:space="preserve"> </w:t>
      </w:r>
      <w:r w:rsidR="00FB5E15">
        <w:t>recognises</w:t>
      </w:r>
      <w:r w:rsidR="00B07028">
        <w:t xml:space="preserve"> </w:t>
      </w:r>
      <w:r w:rsidR="005E362B">
        <w:t xml:space="preserve">the </w:t>
      </w:r>
      <w:r w:rsidR="001724FB">
        <w:t xml:space="preserve">many </w:t>
      </w:r>
      <w:r w:rsidR="005E362B">
        <w:t xml:space="preserve">links between </w:t>
      </w:r>
      <w:r w:rsidR="00B07028">
        <w:t>human trafficking and torture</w:t>
      </w:r>
      <w:r w:rsidR="00D962E3">
        <w:t xml:space="preserve"> and cruel, inhuman or degrading treatment</w:t>
      </w:r>
      <w:r w:rsidR="002D3530">
        <w:t xml:space="preserve">. </w:t>
      </w:r>
      <w:r w:rsidR="0082121B" w:rsidRPr="0082121B">
        <w:t>In 2019, the Committee</w:t>
      </w:r>
      <w:r w:rsidR="00B60657">
        <w:t xml:space="preserve"> </w:t>
      </w:r>
      <w:r w:rsidR="0082121B" w:rsidRPr="0082121B">
        <w:t>recommended that the UK Government and NI Executive:</w:t>
      </w:r>
    </w:p>
    <w:p w14:paraId="6D09C124" w14:textId="443D86AA" w:rsidR="0082121B" w:rsidRPr="009D37F9" w:rsidRDefault="00C14392" w:rsidP="00905EF4">
      <w:pPr>
        <w:pStyle w:val="Quote"/>
      </w:pPr>
      <w:r>
        <w:t>i</w:t>
      </w:r>
      <w:r w:rsidR="0082121B" w:rsidRPr="009D37F9">
        <w:t xml:space="preserve">mprove the training of law enforcement officers, prison personnel and other first responders to include statutory training into the identification of potential victims of human trafficking and modern </w:t>
      </w:r>
      <w:proofErr w:type="gramStart"/>
      <w:r w:rsidR="0082121B" w:rsidRPr="009D37F9">
        <w:t>slavery, and</w:t>
      </w:r>
      <w:proofErr w:type="gramEnd"/>
      <w:r w:rsidR="0082121B" w:rsidRPr="009D37F9">
        <w:t xml:space="preserve"> continue developing specialised training programmes for support workers and those providing foster care.</w:t>
      </w:r>
      <w:r w:rsidR="00477709">
        <w:rPr>
          <w:rStyle w:val="FootnoteReference"/>
        </w:rPr>
        <w:footnoteReference w:id="78"/>
      </w:r>
    </w:p>
    <w:p w14:paraId="73E82F3F" w14:textId="77777777" w:rsidR="000B5635" w:rsidRPr="009C2452" w:rsidRDefault="000B5635" w:rsidP="009C2452">
      <w:pPr>
        <w:pStyle w:val="Style1"/>
        <w:rPr>
          <w:sz w:val="24"/>
          <w:szCs w:val="24"/>
        </w:rPr>
      </w:pPr>
    </w:p>
    <w:p w14:paraId="219520C1" w14:textId="3D6FC6BD" w:rsidR="00FA163A" w:rsidRDefault="00C2476E" w:rsidP="00087302">
      <w:pPr>
        <w:pStyle w:val="Style1"/>
        <w:numPr>
          <w:ilvl w:val="1"/>
          <w:numId w:val="7"/>
        </w:numPr>
        <w:rPr>
          <w:b w:val="0"/>
          <w:bCs/>
          <w:color w:val="auto"/>
          <w:sz w:val="24"/>
          <w:szCs w:val="24"/>
        </w:rPr>
      </w:pPr>
      <w:r>
        <w:rPr>
          <w:b w:val="0"/>
          <w:bCs/>
          <w:color w:val="auto"/>
          <w:sz w:val="24"/>
          <w:szCs w:val="24"/>
        </w:rPr>
        <w:t>Therefore, it is important that</w:t>
      </w:r>
      <w:r w:rsidR="008917E7">
        <w:rPr>
          <w:b w:val="0"/>
          <w:bCs/>
          <w:color w:val="auto"/>
          <w:sz w:val="24"/>
          <w:szCs w:val="24"/>
        </w:rPr>
        <w:t xml:space="preserve"> first responders receiv</w:t>
      </w:r>
      <w:r>
        <w:rPr>
          <w:b w:val="0"/>
          <w:bCs/>
          <w:color w:val="auto"/>
          <w:sz w:val="24"/>
          <w:szCs w:val="24"/>
        </w:rPr>
        <w:t>e</w:t>
      </w:r>
      <w:r w:rsidR="008917E7">
        <w:rPr>
          <w:b w:val="0"/>
          <w:bCs/>
          <w:color w:val="auto"/>
          <w:sz w:val="24"/>
          <w:szCs w:val="24"/>
        </w:rPr>
        <w:t xml:space="preserve"> </w:t>
      </w:r>
      <w:r w:rsidR="00EB11CD">
        <w:rPr>
          <w:b w:val="0"/>
          <w:bCs/>
          <w:color w:val="auto"/>
          <w:sz w:val="24"/>
          <w:szCs w:val="24"/>
        </w:rPr>
        <w:t xml:space="preserve">compulsory and </w:t>
      </w:r>
      <w:r w:rsidR="00D578A7">
        <w:rPr>
          <w:b w:val="0"/>
          <w:bCs/>
          <w:color w:val="auto"/>
          <w:sz w:val="24"/>
          <w:szCs w:val="24"/>
        </w:rPr>
        <w:t xml:space="preserve">specialised </w:t>
      </w:r>
      <w:r w:rsidR="00EB11CD">
        <w:rPr>
          <w:b w:val="0"/>
          <w:bCs/>
          <w:color w:val="auto"/>
          <w:sz w:val="24"/>
          <w:szCs w:val="24"/>
        </w:rPr>
        <w:t>training</w:t>
      </w:r>
      <w:r w:rsidR="00E45397">
        <w:rPr>
          <w:b w:val="0"/>
          <w:bCs/>
          <w:color w:val="auto"/>
          <w:sz w:val="24"/>
          <w:szCs w:val="24"/>
        </w:rPr>
        <w:t xml:space="preserve"> </w:t>
      </w:r>
      <w:r w:rsidR="00186998">
        <w:rPr>
          <w:b w:val="0"/>
          <w:bCs/>
          <w:color w:val="auto"/>
          <w:sz w:val="24"/>
          <w:szCs w:val="24"/>
        </w:rPr>
        <w:t>to ensure a consistent and effective approach</w:t>
      </w:r>
      <w:r w:rsidR="00D4416C">
        <w:rPr>
          <w:b w:val="0"/>
          <w:bCs/>
          <w:color w:val="auto"/>
          <w:sz w:val="24"/>
          <w:szCs w:val="24"/>
        </w:rPr>
        <w:t xml:space="preserve"> to the identification of victims. </w:t>
      </w:r>
      <w:r w:rsidR="00A2634B">
        <w:rPr>
          <w:b w:val="0"/>
          <w:bCs/>
          <w:color w:val="auto"/>
          <w:sz w:val="24"/>
          <w:szCs w:val="24"/>
        </w:rPr>
        <w:t xml:space="preserve">Modern slavery and human trafficking are highly complex and </w:t>
      </w:r>
      <w:r w:rsidR="00D33A2A">
        <w:rPr>
          <w:b w:val="0"/>
          <w:bCs/>
          <w:color w:val="auto"/>
          <w:sz w:val="24"/>
          <w:szCs w:val="24"/>
        </w:rPr>
        <w:t>covert crimes</w:t>
      </w:r>
      <w:r w:rsidR="00164C0D">
        <w:rPr>
          <w:b w:val="0"/>
          <w:bCs/>
          <w:color w:val="auto"/>
          <w:sz w:val="24"/>
          <w:szCs w:val="24"/>
        </w:rPr>
        <w:t xml:space="preserve"> </w:t>
      </w:r>
      <w:r w:rsidR="003D7CFF">
        <w:rPr>
          <w:b w:val="0"/>
          <w:bCs/>
          <w:color w:val="auto"/>
          <w:sz w:val="24"/>
          <w:szCs w:val="24"/>
        </w:rPr>
        <w:t>that ofte</w:t>
      </w:r>
      <w:r w:rsidR="009D21DC">
        <w:rPr>
          <w:b w:val="0"/>
          <w:bCs/>
          <w:color w:val="auto"/>
          <w:sz w:val="24"/>
          <w:szCs w:val="24"/>
        </w:rPr>
        <w:t xml:space="preserve">n involve a wide range of abuses </w:t>
      </w:r>
      <w:r w:rsidR="00CF3268">
        <w:rPr>
          <w:b w:val="0"/>
          <w:bCs/>
          <w:color w:val="auto"/>
          <w:sz w:val="24"/>
          <w:szCs w:val="24"/>
        </w:rPr>
        <w:t xml:space="preserve">and other criminal offences. </w:t>
      </w:r>
      <w:r w:rsidR="00C8032B">
        <w:rPr>
          <w:b w:val="0"/>
          <w:bCs/>
          <w:color w:val="auto"/>
          <w:sz w:val="24"/>
          <w:szCs w:val="24"/>
        </w:rPr>
        <w:t xml:space="preserve">It is </w:t>
      </w:r>
      <w:r w:rsidR="00306B17">
        <w:rPr>
          <w:b w:val="0"/>
          <w:bCs/>
          <w:color w:val="auto"/>
          <w:sz w:val="24"/>
          <w:szCs w:val="24"/>
        </w:rPr>
        <w:t>also</w:t>
      </w:r>
      <w:r w:rsidR="00C8032B">
        <w:rPr>
          <w:b w:val="0"/>
          <w:bCs/>
          <w:color w:val="auto"/>
          <w:sz w:val="24"/>
          <w:szCs w:val="24"/>
        </w:rPr>
        <w:t xml:space="preserve"> important to </w:t>
      </w:r>
      <w:r w:rsidR="00306B17">
        <w:rPr>
          <w:b w:val="0"/>
          <w:bCs/>
          <w:color w:val="auto"/>
          <w:sz w:val="24"/>
          <w:szCs w:val="24"/>
        </w:rPr>
        <w:t xml:space="preserve">consider </w:t>
      </w:r>
      <w:r w:rsidR="00984008">
        <w:rPr>
          <w:b w:val="0"/>
          <w:bCs/>
          <w:color w:val="auto"/>
          <w:sz w:val="24"/>
          <w:szCs w:val="24"/>
        </w:rPr>
        <w:t xml:space="preserve">that many victims </w:t>
      </w:r>
      <w:r w:rsidR="00306B17">
        <w:rPr>
          <w:b w:val="0"/>
          <w:bCs/>
          <w:color w:val="auto"/>
          <w:sz w:val="24"/>
          <w:szCs w:val="24"/>
        </w:rPr>
        <w:t xml:space="preserve">of modern slavery and human trafficking </w:t>
      </w:r>
      <w:r w:rsidR="00984008">
        <w:rPr>
          <w:b w:val="0"/>
          <w:bCs/>
          <w:color w:val="auto"/>
          <w:sz w:val="24"/>
          <w:szCs w:val="24"/>
        </w:rPr>
        <w:t>are deeply traumatised and vulnerable</w:t>
      </w:r>
      <w:r w:rsidR="00306B17">
        <w:rPr>
          <w:b w:val="0"/>
          <w:bCs/>
          <w:color w:val="auto"/>
          <w:sz w:val="24"/>
          <w:szCs w:val="24"/>
        </w:rPr>
        <w:t>. Consequently,</w:t>
      </w:r>
      <w:r w:rsidR="00984008">
        <w:rPr>
          <w:b w:val="0"/>
          <w:bCs/>
          <w:color w:val="auto"/>
          <w:sz w:val="24"/>
          <w:szCs w:val="24"/>
        </w:rPr>
        <w:t xml:space="preserve"> it </w:t>
      </w:r>
      <w:r w:rsidR="00B538E9">
        <w:rPr>
          <w:b w:val="0"/>
          <w:bCs/>
          <w:color w:val="auto"/>
          <w:sz w:val="24"/>
          <w:szCs w:val="24"/>
        </w:rPr>
        <w:t xml:space="preserve">could be very difficult for them to come forward and speak to authorities </w:t>
      </w:r>
      <w:r w:rsidR="00EF05CC">
        <w:rPr>
          <w:b w:val="0"/>
          <w:bCs/>
          <w:color w:val="auto"/>
          <w:sz w:val="24"/>
          <w:szCs w:val="24"/>
        </w:rPr>
        <w:t>openly about their experiences.</w:t>
      </w:r>
      <w:r w:rsidR="007D3C6E">
        <w:rPr>
          <w:rStyle w:val="FootnoteReference"/>
          <w:b w:val="0"/>
          <w:bCs/>
          <w:color w:val="auto"/>
          <w:sz w:val="24"/>
          <w:szCs w:val="24"/>
        </w:rPr>
        <w:footnoteReference w:id="79"/>
      </w:r>
      <w:r w:rsidR="00EF05CC">
        <w:rPr>
          <w:b w:val="0"/>
          <w:bCs/>
          <w:color w:val="auto"/>
          <w:sz w:val="24"/>
          <w:szCs w:val="24"/>
        </w:rPr>
        <w:t xml:space="preserve"> </w:t>
      </w:r>
      <w:r w:rsidR="004175E9" w:rsidRPr="004175E9">
        <w:rPr>
          <w:b w:val="0"/>
          <w:bCs/>
          <w:color w:val="auto"/>
          <w:sz w:val="24"/>
          <w:szCs w:val="24"/>
        </w:rPr>
        <w:t xml:space="preserve"> </w:t>
      </w:r>
    </w:p>
    <w:p w14:paraId="7F3322C6" w14:textId="77777777" w:rsidR="00FA163A" w:rsidRDefault="00FA163A" w:rsidP="00FA163A">
      <w:pPr>
        <w:pStyle w:val="Style1"/>
        <w:ind w:left="720"/>
        <w:rPr>
          <w:b w:val="0"/>
          <w:bCs/>
          <w:color w:val="auto"/>
          <w:sz w:val="24"/>
          <w:szCs w:val="24"/>
        </w:rPr>
      </w:pPr>
    </w:p>
    <w:p w14:paraId="7246E90C" w14:textId="5E7A00AB" w:rsidR="00015943" w:rsidRPr="00FA163A" w:rsidRDefault="009C2452" w:rsidP="00087302">
      <w:pPr>
        <w:pStyle w:val="Style1"/>
        <w:numPr>
          <w:ilvl w:val="1"/>
          <w:numId w:val="7"/>
        </w:numPr>
        <w:rPr>
          <w:b w:val="0"/>
          <w:color w:val="auto"/>
          <w:sz w:val="24"/>
          <w:szCs w:val="24"/>
        </w:rPr>
      </w:pPr>
      <w:r>
        <w:rPr>
          <w:b w:val="0"/>
          <w:color w:val="auto"/>
          <w:sz w:val="24"/>
          <w:szCs w:val="24"/>
        </w:rPr>
        <w:t>First</w:t>
      </w:r>
      <w:r w:rsidR="00BD2BAF" w:rsidRPr="00FA163A">
        <w:rPr>
          <w:b w:val="0"/>
          <w:color w:val="auto"/>
          <w:sz w:val="24"/>
          <w:szCs w:val="24"/>
        </w:rPr>
        <w:t xml:space="preserve"> responders </w:t>
      </w:r>
      <w:r w:rsidR="000167EE">
        <w:rPr>
          <w:b w:val="0"/>
          <w:color w:val="auto"/>
          <w:sz w:val="24"/>
          <w:szCs w:val="24"/>
        </w:rPr>
        <w:t xml:space="preserve">and anyone involved in </w:t>
      </w:r>
      <w:r w:rsidR="001724FB">
        <w:rPr>
          <w:b w:val="0"/>
          <w:color w:val="auto"/>
          <w:sz w:val="24"/>
          <w:szCs w:val="24"/>
        </w:rPr>
        <w:t xml:space="preserve">a </w:t>
      </w:r>
      <w:r w:rsidR="000167EE">
        <w:rPr>
          <w:b w:val="0"/>
          <w:color w:val="auto"/>
          <w:sz w:val="24"/>
          <w:szCs w:val="24"/>
        </w:rPr>
        <w:t>victim</w:t>
      </w:r>
      <w:r w:rsidR="001724FB">
        <w:rPr>
          <w:b w:val="0"/>
          <w:color w:val="auto"/>
          <w:sz w:val="24"/>
          <w:szCs w:val="24"/>
        </w:rPr>
        <w:t>’</w:t>
      </w:r>
      <w:r w:rsidR="000167EE">
        <w:rPr>
          <w:b w:val="0"/>
          <w:color w:val="auto"/>
          <w:sz w:val="24"/>
          <w:szCs w:val="24"/>
        </w:rPr>
        <w:t xml:space="preserve">s journey </w:t>
      </w:r>
      <w:r w:rsidR="00BD2BAF" w:rsidRPr="00FA163A">
        <w:rPr>
          <w:b w:val="0"/>
          <w:color w:val="auto"/>
          <w:sz w:val="24"/>
          <w:szCs w:val="24"/>
        </w:rPr>
        <w:t xml:space="preserve">should </w:t>
      </w:r>
      <w:r w:rsidR="00873715" w:rsidRPr="00FA163A">
        <w:rPr>
          <w:b w:val="0"/>
          <w:color w:val="auto"/>
          <w:sz w:val="24"/>
          <w:szCs w:val="24"/>
        </w:rPr>
        <w:t>be</w:t>
      </w:r>
      <w:r w:rsidR="00A21E69" w:rsidRPr="00FA163A">
        <w:rPr>
          <w:b w:val="0"/>
          <w:color w:val="auto"/>
          <w:sz w:val="24"/>
          <w:szCs w:val="24"/>
        </w:rPr>
        <w:t xml:space="preserve"> aware of the </w:t>
      </w:r>
      <w:r w:rsidR="00415ECD" w:rsidRPr="00FA163A">
        <w:rPr>
          <w:b w:val="0"/>
          <w:color w:val="auto"/>
          <w:sz w:val="24"/>
          <w:szCs w:val="24"/>
        </w:rPr>
        <w:t xml:space="preserve">potential impact </w:t>
      </w:r>
      <w:r w:rsidR="00100E79">
        <w:rPr>
          <w:b w:val="0"/>
          <w:color w:val="auto"/>
          <w:sz w:val="24"/>
          <w:szCs w:val="24"/>
        </w:rPr>
        <w:t>that their</w:t>
      </w:r>
      <w:r w:rsidR="00415ECD" w:rsidRPr="00FA163A">
        <w:rPr>
          <w:b w:val="0"/>
          <w:color w:val="auto"/>
          <w:sz w:val="24"/>
          <w:szCs w:val="24"/>
        </w:rPr>
        <w:t xml:space="preserve"> interactions </w:t>
      </w:r>
      <w:r w:rsidR="00100E79">
        <w:rPr>
          <w:b w:val="0"/>
          <w:color w:val="auto"/>
          <w:sz w:val="24"/>
          <w:szCs w:val="24"/>
        </w:rPr>
        <w:t>can have</w:t>
      </w:r>
      <w:r w:rsidR="001724FB">
        <w:rPr>
          <w:b w:val="0"/>
          <w:color w:val="auto"/>
          <w:sz w:val="24"/>
          <w:szCs w:val="24"/>
        </w:rPr>
        <w:t>.</w:t>
      </w:r>
      <w:r w:rsidR="00100E79">
        <w:rPr>
          <w:b w:val="0"/>
          <w:color w:val="auto"/>
          <w:sz w:val="24"/>
          <w:szCs w:val="24"/>
        </w:rPr>
        <w:t xml:space="preserve"> </w:t>
      </w:r>
      <w:r w:rsidR="001724FB">
        <w:rPr>
          <w:b w:val="0"/>
          <w:color w:val="auto"/>
          <w:sz w:val="24"/>
          <w:szCs w:val="24"/>
        </w:rPr>
        <w:t xml:space="preserve">It is critical that </w:t>
      </w:r>
      <w:r w:rsidR="00757916">
        <w:rPr>
          <w:b w:val="0"/>
          <w:color w:val="auto"/>
          <w:sz w:val="24"/>
          <w:szCs w:val="24"/>
        </w:rPr>
        <w:t>their interactions do not</w:t>
      </w:r>
      <w:r w:rsidR="00F75A4B" w:rsidRPr="00FA163A">
        <w:rPr>
          <w:b w:val="0"/>
          <w:color w:val="auto"/>
          <w:sz w:val="24"/>
          <w:szCs w:val="24"/>
        </w:rPr>
        <w:t xml:space="preserve"> cause</w:t>
      </w:r>
      <w:r w:rsidR="002D64BC" w:rsidRPr="00FA163A">
        <w:rPr>
          <w:b w:val="0"/>
          <w:color w:val="auto"/>
          <w:sz w:val="24"/>
          <w:szCs w:val="24"/>
        </w:rPr>
        <w:t xml:space="preserve"> </w:t>
      </w:r>
      <w:r w:rsidR="009A196B">
        <w:rPr>
          <w:b w:val="0"/>
          <w:color w:val="auto"/>
          <w:sz w:val="24"/>
          <w:szCs w:val="24"/>
        </w:rPr>
        <w:t xml:space="preserve">any </w:t>
      </w:r>
      <w:r w:rsidR="001724FB">
        <w:rPr>
          <w:b w:val="0"/>
          <w:color w:val="auto"/>
          <w:sz w:val="24"/>
          <w:szCs w:val="24"/>
        </w:rPr>
        <w:t xml:space="preserve">further </w:t>
      </w:r>
      <w:r w:rsidR="00F75A4B" w:rsidRPr="00FA163A">
        <w:rPr>
          <w:b w:val="0"/>
          <w:color w:val="auto"/>
          <w:sz w:val="24"/>
          <w:szCs w:val="24"/>
        </w:rPr>
        <w:t>harm</w:t>
      </w:r>
      <w:r w:rsidR="002D64BC" w:rsidRPr="00FA163A">
        <w:rPr>
          <w:b w:val="0"/>
          <w:color w:val="auto"/>
          <w:sz w:val="24"/>
          <w:szCs w:val="24"/>
        </w:rPr>
        <w:t xml:space="preserve">. </w:t>
      </w:r>
      <w:r w:rsidR="001724FB">
        <w:rPr>
          <w:b w:val="0"/>
          <w:color w:val="auto"/>
          <w:sz w:val="24"/>
          <w:szCs w:val="24"/>
        </w:rPr>
        <w:t>T</w:t>
      </w:r>
      <w:r w:rsidR="00674543" w:rsidRPr="00FA163A">
        <w:rPr>
          <w:b w:val="0"/>
          <w:color w:val="auto"/>
          <w:sz w:val="24"/>
          <w:szCs w:val="24"/>
        </w:rPr>
        <w:t xml:space="preserve">raining </w:t>
      </w:r>
      <w:r w:rsidR="001724FB">
        <w:rPr>
          <w:b w:val="0"/>
          <w:color w:val="auto"/>
          <w:sz w:val="24"/>
          <w:szCs w:val="24"/>
        </w:rPr>
        <w:t>must be</w:t>
      </w:r>
      <w:r w:rsidR="001724FB" w:rsidRPr="00FA163A">
        <w:rPr>
          <w:b w:val="0"/>
          <w:color w:val="auto"/>
          <w:sz w:val="24"/>
          <w:szCs w:val="24"/>
        </w:rPr>
        <w:t xml:space="preserve"> </w:t>
      </w:r>
      <w:r w:rsidR="00674543" w:rsidRPr="00FA163A">
        <w:rPr>
          <w:b w:val="0"/>
          <w:color w:val="auto"/>
          <w:sz w:val="24"/>
          <w:szCs w:val="24"/>
        </w:rPr>
        <w:t>trauma-informed and victim-centred</w:t>
      </w:r>
      <w:r w:rsidR="001724FB">
        <w:rPr>
          <w:b w:val="0"/>
          <w:color w:val="auto"/>
          <w:sz w:val="24"/>
          <w:szCs w:val="24"/>
        </w:rPr>
        <w:t xml:space="preserve">. Such training requires expertise and experience in its development. There are providers of such training with </w:t>
      </w:r>
      <w:r w:rsidR="001724FB">
        <w:rPr>
          <w:b w:val="0"/>
          <w:color w:val="auto"/>
          <w:sz w:val="24"/>
          <w:szCs w:val="24"/>
        </w:rPr>
        <w:lastRenderedPageBreak/>
        <w:t>the necessary experience to assist.</w:t>
      </w:r>
      <w:r w:rsidR="00674543" w:rsidRPr="00FA163A">
        <w:rPr>
          <w:b w:val="0"/>
          <w:color w:val="auto"/>
          <w:sz w:val="24"/>
          <w:szCs w:val="24"/>
        </w:rPr>
        <w:t xml:space="preserve">  </w:t>
      </w:r>
    </w:p>
    <w:p w14:paraId="55A310AE" w14:textId="77777777" w:rsidR="00BA2AF5" w:rsidRDefault="00BA2AF5" w:rsidP="00EE7FB8">
      <w:pPr>
        <w:pStyle w:val="ListParagraph"/>
        <w:rPr>
          <w:rFonts w:cstheme="majorHAnsi"/>
        </w:rPr>
      </w:pPr>
    </w:p>
    <w:p w14:paraId="29AEBB0D" w14:textId="050605F0" w:rsidR="00BA2AF5" w:rsidRPr="00EE7FB8" w:rsidRDefault="008D36D6" w:rsidP="00087302">
      <w:pPr>
        <w:pStyle w:val="Style1"/>
        <w:numPr>
          <w:ilvl w:val="1"/>
          <w:numId w:val="7"/>
        </w:numPr>
        <w:rPr>
          <w:b w:val="0"/>
          <w:color w:val="auto"/>
          <w:sz w:val="24"/>
          <w:szCs w:val="24"/>
        </w:rPr>
      </w:pPr>
      <w:r w:rsidRPr="00BA2AF5">
        <w:rPr>
          <w:rFonts w:cstheme="majorHAnsi"/>
          <w:bCs/>
          <w:color w:val="auto"/>
          <w:sz w:val="24"/>
          <w:szCs w:val="24"/>
        </w:rPr>
        <w:t xml:space="preserve">The NIHRC recommends that </w:t>
      </w:r>
      <w:r w:rsidR="001A5B9C" w:rsidRPr="00BA2AF5">
        <w:rPr>
          <w:rFonts w:cstheme="majorHAnsi"/>
          <w:bCs/>
          <w:color w:val="auto"/>
          <w:sz w:val="24"/>
          <w:szCs w:val="24"/>
        </w:rPr>
        <w:t xml:space="preserve">the Department of Justice </w:t>
      </w:r>
      <w:r w:rsidR="00737ACC">
        <w:rPr>
          <w:rFonts w:cstheme="majorHAnsi"/>
          <w:bCs/>
          <w:color w:val="auto"/>
          <w:sz w:val="24"/>
          <w:szCs w:val="24"/>
        </w:rPr>
        <w:t xml:space="preserve">requires </w:t>
      </w:r>
      <w:r w:rsidR="00373C97">
        <w:rPr>
          <w:rFonts w:cstheme="majorHAnsi"/>
          <w:bCs/>
          <w:color w:val="auto"/>
          <w:sz w:val="24"/>
          <w:szCs w:val="24"/>
        </w:rPr>
        <w:t xml:space="preserve">compulsory specialised </w:t>
      </w:r>
      <w:r w:rsidR="00C228AE">
        <w:rPr>
          <w:rFonts w:cstheme="majorHAnsi"/>
          <w:bCs/>
          <w:color w:val="auto"/>
          <w:sz w:val="24"/>
          <w:szCs w:val="24"/>
        </w:rPr>
        <w:t>training and guidance</w:t>
      </w:r>
      <w:r w:rsidR="00373C97">
        <w:rPr>
          <w:rFonts w:cstheme="majorHAnsi"/>
          <w:bCs/>
          <w:color w:val="auto"/>
          <w:sz w:val="24"/>
          <w:szCs w:val="24"/>
        </w:rPr>
        <w:t xml:space="preserve"> </w:t>
      </w:r>
      <w:r w:rsidR="004D286F">
        <w:rPr>
          <w:rFonts w:cstheme="majorHAnsi"/>
          <w:bCs/>
          <w:color w:val="auto"/>
          <w:sz w:val="24"/>
          <w:szCs w:val="24"/>
        </w:rPr>
        <w:t xml:space="preserve">to </w:t>
      </w:r>
      <w:r w:rsidR="00737ACC">
        <w:rPr>
          <w:rFonts w:cstheme="majorHAnsi"/>
          <w:bCs/>
          <w:color w:val="auto"/>
          <w:sz w:val="24"/>
          <w:szCs w:val="24"/>
        </w:rPr>
        <w:t xml:space="preserve">all </w:t>
      </w:r>
      <w:r w:rsidR="004D286F">
        <w:rPr>
          <w:rFonts w:cstheme="majorHAnsi"/>
          <w:bCs/>
          <w:color w:val="auto"/>
          <w:sz w:val="24"/>
          <w:szCs w:val="24"/>
        </w:rPr>
        <w:t>relevant staff</w:t>
      </w:r>
      <w:r w:rsidR="00737ACC">
        <w:rPr>
          <w:rFonts w:cstheme="majorHAnsi"/>
          <w:bCs/>
          <w:color w:val="auto"/>
          <w:sz w:val="24"/>
          <w:szCs w:val="24"/>
        </w:rPr>
        <w:t xml:space="preserve">. Relevant staff includes at least those with a duty to </w:t>
      </w:r>
      <w:r w:rsidR="00FA5E09">
        <w:rPr>
          <w:rFonts w:cstheme="majorHAnsi"/>
          <w:bCs/>
          <w:color w:val="auto"/>
          <w:sz w:val="24"/>
          <w:szCs w:val="24"/>
        </w:rPr>
        <w:t>notify</w:t>
      </w:r>
      <w:r w:rsidR="007B0A88" w:rsidRPr="00373C97">
        <w:rPr>
          <w:rFonts w:cstheme="majorHAnsi"/>
          <w:bCs/>
          <w:color w:val="auto"/>
          <w:sz w:val="24"/>
          <w:szCs w:val="24"/>
        </w:rPr>
        <w:t xml:space="preserve">. </w:t>
      </w:r>
      <w:r w:rsidR="007B0A88">
        <w:rPr>
          <w:rFonts w:cstheme="majorHAnsi"/>
          <w:bCs/>
          <w:color w:val="auto"/>
          <w:sz w:val="24"/>
          <w:szCs w:val="24"/>
        </w:rPr>
        <w:t>Training should be trauma-informed and victim-centred,</w:t>
      </w:r>
      <w:r w:rsidR="00A52390">
        <w:rPr>
          <w:rFonts w:cstheme="majorHAnsi"/>
          <w:bCs/>
          <w:color w:val="auto"/>
          <w:sz w:val="24"/>
          <w:szCs w:val="24"/>
        </w:rPr>
        <w:t xml:space="preserve"> to ensure </w:t>
      </w:r>
      <w:r w:rsidR="00EF5733">
        <w:rPr>
          <w:rFonts w:cstheme="majorHAnsi"/>
          <w:bCs/>
          <w:color w:val="auto"/>
          <w:sz w:val="24"/>
          <w:szCs w:val="24"/>
        </w:rPr>
        <w:t>victims are accurately identified</w:t>
      </w:r>
      <w:r w:rsidR="001A09B2">
        <w:rPr>
          <w:rFonts w:cstheme="majorHAnsi"/>
          <w:bCs/>
          <w:color w:val="auto"/>
          <w:sz w:val="24"/>
          <w:szCs w:val="24"/>
        </w:rPr>
        <w:t xml:space="preserve"> and supported. </w:t>
      </w:r>
    </w:p>
    <w:p w14:paraId="00BD0A12" w14:textId="77777777" w:rsidR="00273A53" w:rsidRDefault="00273A53" w:rsidP="00EE7FB8">
      <w:pPr>
        <w:rPr>
          <w:b/>
        </w:rPr>
      </w:pPr>
    </w:p>
    <w:p w14:paraId="6B41E71F" w14:textId="0A26B9ED" w:rsidR="00CF2E54" w:rsidRPr="00380238" w:rsidRDefault="00233914" w:rsidP="00380238">
      <w:pPr>
        <w:pStyle w:val="Heading2"/>
      </w:pPr>
      <w:bookmarkStart w:id="12" w:name="_Toc105754273"/>
      <w:r w:rsidRPr="00233914">
        <w:t>Anonymity</w:t>
      </w:r>
      <w:bookmarkEnd w:id="12"/>
    </w:p>
    <w:p w14:paraId="654B69BE" w14:textId="77777777" w:rsidR="0014358E" w:rsidRDefault="0014358E" w:rsidP="0014358E">
      <w:pPr>
        <w:pStyle w:val="Style1"/>
        <w:ind w:left="720"/>
        <w:rPr>
          <w:b w:val="0"/>
          <w:color w:val="auto"/>
          <w:sz w:val="24"/>
          <w:szCs w:val="24"/>
        </w:rPr>
      </w:pPr>
    </w:p>
    <w:p w14:paraId="6AD05A4F" w14:textId="4331B722" w:rsidR="00BA2AF5" w:rsidRDefault="00E25779" w:rsidP="00087302">
      <w:pPr>
        <w:pStyle w:val="Style1"/>
        <w:numPr>
          <w:ilvl w:val="1"/>
          <w:numId w:val="7"/>
        </w:numPr>
        <w:rPr>
          <w:b w:val="0"/>
          <w:color w:val="auto"/>
          <w:sz w:val="24"/>
          <w:szCs w:val="24"/>
        </w:rPr>
      </w:pPr>
      <w:r w:rsidRPr="00BA2AF5">
        <w:rPr>
          <w:b w:val="0"/>
          <w:color w:val="auto"/>
          <w:sz w:val="24"/>
          <w:szCs w:val="24"/>
        </w:rPr>
        <w:t>Article 11 of t</w:t>
      </w:r>
      <w:r w:rsidR="002B47F9" w:rsidRPr="00BA2AF5">
        <w:rPr>
          <w:b w:val="0"/>
          <w:color w:val="auto"/>
          <w:sz w:val="24"/>
          <w:szCs w:val="24"/>
        </w:rPr>
        <w:t xml:space="preserve">he </w:t>
      </w:r>
      <w:proofErr w:type="spellStart"/>
      <w:r w:rsidR="00A56CEE" w:rsidRPr="00BA2AF5">
        <w:rPr>
          <w:b w:val="0"/>
          <w:color w:val="auto"/>
          <w:sz w:val="24"/>
          <w:szCs w:val="24"/>
        </w:rPr>
        <w:t>CoE</w:t>
      </w:r>
      <w:proofErr w:type="spellEnd"/>
      <w:r w:rsidR="00A56CEE" w:rsidRPr="00BA2AF5">
        <w:rPr>
          <w:b w:val="0"/>
          <w:color w:val="auto"/>
          <w:sz w:val="24"/>
          <w:szCs w:val="24"/>
        </w:rPr>
        <w:t xml:space="preserve"> </w:t>
      </w:r>
      <w:r w:rsidR="00CA1D70" w:rsidRPr="00CA1D70">
        <w:rPr>
          <w:b w:val="0"/>
          <w:bCs/>
          <w:color w:val="auto"/>
          <w:sz w:val="24"/>
          <w:szCs w:val="24"/>
        </w:rPr>
        <w:t>Convention on Action against Trafficking in Human Beings</w:t>
      </w:r>
      <w:r w:rsidRPr="00CA1D70">
        <w:rPr>
          <w:b w:val="0"/>
          <w:color w:val="auto"/>
          <w:sz w:val="24"/>
          <w:szCs w:val="24"/>
        </w:rPr>
        <w:t xml:space="preserve"> </w:t>
      </w:r>
      <w:r w:rsidR="00A56CEE" w:rsidRPr="00BA2AF5">
        <w:rPr>
          <w:b w:val="0"/>
          <w:color w:val="auto"/>
          <w:sz w:val="24"/>
          <w:szCs w:val="24"/>
        </w:rPr>
        <w:t xml:space="preserve">explicitly requires </w:t>
      </w:r>
      <w:r w:rsidR="00B1184C">
        <w:rPr>
          <w:b w:val="0"/>
          <w:color w:val="auto"/>
          <w:sz w:val="24"/>
          <w:szCs w:val="24"/>
        </w:rPr>
        <w:t>States</w:t>
      </w:r>
      <w:r w:rsidR="002B47F9" w:rsidRPr="00BA2AF5">
        <w:rPr>
          <w:b w:val="0"/>
          <w:color w:val="auto"/>
          <w:sz w:val="24"/>
          <w:szCs w:val="24"/>
        </w:rPr>
        <w:t xml:space="preserve"> </w:t>
      </w:r>
      <w:r w:rsidR="00A56CEE" w:rsidRPr="00BA2AF5">
        <w:rPr>
          <w:b w:val="0"/>
          <w:color w:val="auto"/>
          <w:sz w:val="24"/>
          <w:szCs w:val="24"/>
        </w:rPr>
        <w:t>to protect the private life and identity of trafficking victims.</w:t>
      </w:r>
      <w:r w:rsidR="004010B1" w:rsidRPr="00BA2AF5">
        <w:rPr>
          <w:b w:val="0"/>
          <w:color w:val="auto"/>
          <w:sz w:val="24"/>
          <w:szCs w:val="24"/>
        </w:rPr>
        <w:t xml:space="preserve"> </w:t>
      </w:r>
      <w:r w:rsidR="002D30F6" w:rsidRPr="00BA2AF5">
        <w:rPr>
          <w:b w:val="0"/>
          <w:color w:val="auto"/>
          <w:sz w:val="24"/>
          <w:szCs w:val="24"/>
        </w:rPr>
        <w:t xml:space="preserve">Section 13(4)(a) and (b) of the Human Trafficking and Exploitation (Criminal Justice and Support for Victims) Act (NI) 2015 </w:t>
      </w:r>
      <w:r w:rsidR="009D7942" w:rsidRPr="00BA2AF5">
        <w:rPr>
          <w:b w:val="0"/>
          <w:color w:val="auto"/>
          <w:sz w:val="24"/>
          <w:szCs w:val="24"/>
        </w:rPr>
        <w:t xml:space="preserve">similarly </w:t>
      </w:r>
      <w:r w:rsidR="002D30F6" w:rsidRPr="00BA2AF5">
        <w:rPr>
          <w:b w:val="0"/>
          <w:color w:val="auto"/>
          <w:sz w:val="24"/>
          <w:szCs w:val="24"/>
        </w:rPr>
        <w:t xml:space="preserve">requires that regulations provide a notification relating to a person 18 or older must not contain information that identifies them or could lead to their identification. </w:t>
      </w:r>
      <w:r w:rsidR="006D1958">
        <w:rPr>
          <w:b w:val="0"/>
          <w:color w:val="auto"/>
          <w:sz w:val="24"/>
          <w:szCs w:val="24"/>
        </w:rPr>
        <w:t xml:space="preserve">Consideration should be given to the collection of any personal data to ensure it is compliant with EU </w:t>
      </w:r>
      <w:r w:rsidR="008B2039" w:rsidRPr="008B2039">
        <w:rPr>
          <w:b w:val="0"/>
          <w:bCs/>
          <w:color w:val="auto"/>
          <w:sz w:val="24"/>
          <w:szCs w:val="24"/>
        </w:rPr>
        <w:t>General Data Protection Regulations</w:t>
      </w:r>
      <w:r w:rsidR="006D1958">
        <w:rPr>
          <w:b w:val="0"/>
          <w:color w:val="auto"/>
          <w:sz w:val="24"/>
          <w:szCs w:val="24"/>
        </w:rPr>
        <w:t>.</w:t>
      </w:r>
    </w:p>
    <w:p w14:paraId="56257485" w14:textId="77777777" w:rsidR="00BA2AF5" w:rsidRPr="005321EB" w:rsidRDefault="00BA2AF5" w:rsidP="005321EB">
      <w:pPr>
        <w:pStyle w:val="Style1"/>
        <w:rPr>
          <w:sz w:val="24"/>
          <w:szCs w:val="24"/>
        </w:rPr>
      </w:pPr>
    </w:p>
    <w:p w14:paraId="4A1E48BD" w14:textId="67ABF45F" w:rsidR="00BA2AF5" w:rsidRPr="00BA2AF5" w:rsidRDefault="00830EDC" w:rsidP="00087302">
      <w:pPr>
        <w:pStyle w:val="Style1"/>
        <w:numPr>
          <w:ilvl w:val="1"/>
          <w:numId w:val="7"/>
        </w:numPr>
        <w:rPr>
          <w:b w:val="0"/>
          <w:bCs/>
          <w:color w:val="auto"/>
          <w:sz w:val="24"/>
          <w:szCs w:val="24"/>
        </w:rPr>
      </w:pPr>
      <w:r>
        <w:rPr>
          <w:b w:val="0"/>
          <w:bCs/>
          <w:color w:val="auto"/>
          <w:sz w:val="24"/>
          <w:szCs w:val="24"/>
        </w:rPr>
        <w:t>E</w:t>
      </w:r>
      <w:r w:rsidR="002D30F6" w:rsidRPr="00BA2AF5">
        <w:rPr>
          <w:b w:val="0"/>
          <w:bCs/>
          <w:color w:val="auto"/>
          <w:sz w:val="24"/>
          <w:szCs w:val="24"/>
        </w:rPr>
        <w:t xml:space="preserve">nsuring anonymity </w:t>
      </w:r>
      <w:r>
        <w:rPr>
          <w:b w:val="0"/>
          <w:bCs/>
          <w:color w:val="auto"/>
          <w:sz w:val="24"/>
          <w:szCs w:val="24"/>
        </w:rPr>
        <w:t xml:space="preserve">is important </w:t>
      </w:r>
      <w:r w:rsidR="00A23B4C">
        <w:rPr>
          <w:b w:val="0"/>
          <w:bCs/>
          <w:color w:val="auto"/>
          <w:sz w:val="24"/>
          <w:szCs w:val="24"/>
        </w:rPr>
        <w:t>in the context of the</w:t>
      </w:r>
      <w:r w:rsidR="002D30F6" w:rsidRPr="00BA2AF5">
        <w:rPr>
          <w:b w:val="0"/>
          <w:bCs/>
          <w:color w:val="auto"/>
          <w:sz w:val="24"/>
          <w:szCs w:val="24"/>
        </w:rPr>
        <w:t xml:space="preserve"> duty to notify </w:t>
      </w:r>
      <w:r w:rsidR="00A45675">
        <w:rPr>
          <w:b w:val="0"/>
          <w:bCs/>
          <w:color w:val="auto"/>
          <w:sz w:val="24"/>
          <w:szCs w:val="24"/>
        </w:rPr>
        <w:t>in the</w:t>
      </w:r>
      <w:r w:rsidR="002D30F6" w:rsidRPr="00BA2AF5">
        <w:rPr>
          <w:b w:val="0"/>
          <w:bCs/>
          <w:color w:val="auto"/>
          <w:sz w:val="24"/>
          <w:szCs w:val="24"/>
        </w:rPr>
        <w:t xml:space="preserve"> Nationality and Borders </w:t>
      </w:r>
      <w:r w:rsidR="00A45675">
        <w:rPr>
          <w:b w:val="0"/>
          <w:bCs/>
          <w:color w:val="auto"/>
          <w:sz w:val="24"/>
          <w:szCs w:val="24"/>
        </w:rPr>
        <w:t>Act 2022</w:t>
      </w:r>
      <w:r w:rsidR="002D30F6" w:rsidRPr="00BA2AF5">
        <w:rPr>
          <w:b w:val="0"/>
          <w:bCs/>
          <w:color w:val="auto"/>
          <w:sz w:val="24"/>
          <w:szCs w:val="24"/>
        </w:rPr>
        <w:t xml:space="preserve">. </w:t>
      </w:r>
      <w:r w:rsidR="00A45675">
        <w:rPr>
          <w:b w:val="0"/>
          <w:bCs/>
          <w:color w:val="auto"/>
          <w:sz w:val="24"/>
          <w:szCs w:val="24"/>
        </w:rPr>
        <w:t>Section 5</w:t>
      </w:r>
      <w:r w:rsidR="00BD7D9A">
        <w:rPr>
          <w:b w:val="0"/>
          <w:bCs/>
          <w:color w:val="auto"/>
          <w:sz w:val="24"/>
          <w:szCs w:val="24"/>
        </w:rPr>
        <w:t>8</w:t>
      </w:r>
      <w:r w:rsidR="00A45675">
        <w:rPr>
          <w:b w:val="0"/>
          <w:bCs/>
          <w:color w:val="auto"/>
          <w:sz w:val="24"/>
          <w:szCs w:val="24"/>
        </w:rPr>
        <w:t xml:space="preserve"> </w:t>
      </w:r>
      <w:r w:rsidR="00EA0B7D">
        <w:rPr>
          <w:b w:val="0"/>
          <w:bCs/>
          <w:color w:val="auto"/>
          <w:sz w:val="24"/>
          <w:szCs w:val="24"/>
        </w:rPr>
        <w:t xml:space="preserve">of the 2022 Act </w:t>
      </w:r>
      <w:r w:rsidR="002D30F6" w:rsidRPr="00BA2AF5">
        <w:rPr>
          <w:b w:val="0"/>
          <w:bCs/>
          <w:color w:val="auto"/>
          <w:sz w:val="24"/>
          <w:szCs w:val="24"/>
        </w:rPr>
        <w:t xml:space="preserve">provides the Secretary of State with </w:t>
      </w:r>
      <w:r w:rsidR="00A23B4C">
        <w:rPr>
          <w:b w:val="0"/>
          <w:bCs/>
          <w:color w:val="auto"/>
          <w:sz w:val="24"/>
          <w:szCs w:val="24"/>
        </w:rPr>
        <w:t xml:space="preserve">the </w:t>
      </w:r>
      <w:r w:rsidR="002D30F6" w:rsidRPr="00BA2AF5">
        <w:rPr>
          <w:b w:val="0"/>
          <w:bCs/>
          <w:color w:val="auto"/>
          <w:sz w:val="24"/>
          <w:szCs w:val="24"/>
        </w:rPr>
        <w:t xml:space="preserve">new power to issue Trafficking Information Notices to potential victims which the victim will be required to respond to by a specified date. </w:t>
      </w:r>
      <w:r w:rsidR="00B05F00">
        <w:rPr>
          <w:b w:val="0"/>
          <w:bCs/>
          <w:color w:val="auto"/>
          <w:sz w:val="24"/>
          <w:szCs w:val="24"/>
        </w:rPr>
        <w:t xml:space="preserve">Section </w:t>
      </w:r>
      <w:r w:rsidR="002D30F6" w:rsidRPr="00BA2AF5">
        <w:rPr>
          <w:b w:val="0"/>
          <w:bCs/>
          <w:color w:val="auto"/>
          <w:sz w:val="24"/>
          <w:szCs w:val="24"/>
        </w:rPr>
        <w:t>5</w:t>
      </w:r>
      <w:r w:rsidR="00BD7D9A">
        <w:rPr>
          <w:b w:val="0"/>
          <w:bCs/>
          <w:color w:val="auto"/>
          <w:sz w:val="24"/>
          <w:szCs w:val="24"/>
        </w:rPr>
        <w:t>9</w:t>
      </w:r>
      <w:r w:rsidR="002D30F6" w:rsidRPr="00BA2AF5">
        <w:rPr>
          <w:b w:val="0"/>
          <w:bCs/>
          <w:color w:val="auto"/>
          <w:sz w:val="24"/>
          <w:szCs w:val="24"/>
        </w:rPr>
        <w:t xml:space="preserve"> </w:t>
      </w:r>
      <w:r w:rsidR="00EA0B7D">
        <w:rPr>
          <w:b w:val="0"/>
          <w:bCs/>
          <w:color w:val="auto"/>
          <w:sz w:val="24"/>
          <w:szCs w:val="24"/>
        </w:rPr>
        <w:t>of the 2022 Act</w:t>
      </w:r>
      <w:r w:rsidR="002D30F6" w:rsidRPr="00BA2AF5">
        <w:rPr>
          <w:b w:val="0"/>
          <w:bCs/>
          <w:color w:val="auto"/>
          <w:sz w:val="24"/>
          <w:szCs w:val="24"/>
        </w:rPr>
        <w:t xml:space="preserve"> provides that failure to comply with a notice by the specified date must be considered as a factor in damaging a potential victim’s credibility. In a joint briefing paper on the Bill, the </w:t>
      </w:r>
      <w:r w:rsidR="00660841" w:rsidRPr="00BA2AF5">
        <w:rPr>
          <w:b w:val="0"/>
          <w:bCs/>
          <w:color w:val="auto"/>
          <w:sz w:val="24"/>
          <w:szCs w:val="24"/>
        </w:rPr>
        <w:t>NIHRC</w:t>
      </w:r>
      <w:r w:rsidR="002D30F6" w:rsidRPr="00BA2AF5">
        <w:rPr>
          <w:b w:val="0"/>
          <w:bCs/>
          <w:color w:val="auto"/>
          <w:sz w:val="24"/>
          <w:szCs w:val="24"/>
        </w:rPr>
        <w:t xml:space="preserve"> and the Equality Commission for NI </w:t>
      </w:r>
      <w:r w:rsidR="00A23B4C">
        <w:rPr>
          <w:b w:val="0"/>
          <w:bCs/>
          <w:color w:val="auto"/>
          <w:sz w:val="24"/>
          <w:szCs w:val="24"/>
        </w:rPr>
        <w:t xml:space="preserve">stated that these </w:t>
      </w:r>
      <w:r w:rsidR="002D30F6" w:rsidRPr="00BA2AF5">
        <w:rPr>
          <w:b w:val="0"/>
          <w:bCs/>
          <w:color w:val="auto"/>
          <w:sz w:val="24"/>
          <w:szCs w:val="24"/>
        </w:rPr>
        <w:t xml:space="preserve">measures potentially breach </w:t>
      </w:r>
      <w:r w:rsidR="00B05F00">
        <w:rPr>
          <w:b w:val="0"/>
          <w:bCs/>
          <w:color w:val="auto"/>
          <w:sz w:val="24"/>
          <w:szCs w:val="24"/>
        </w:rPr>
        <w:t>A</w:t>
      </w:r>
      <w:r w:rsidR="002D30F6" w:rsidRPr="00BA2AF5">
        <w:rPr>
          <w:b w:val="0"/>
          <w:bCs/>
          <w:color w:val="auto"/>
          <w:sz w:val="24"/>
          <w:szCs w:val="24"/>
        </w:rPr>
        <w:t xml:space="preserve">rticles 8, 9 and 11 of the </w:t>
      </w:r>
      <w:r w:rsidR="003537BE">
        <w:rPr>
          <w:b w:val="0"/>
          <w:bCs/>
          <w:color w:val="auto"/>
          <w:sz w:val="24"/>
          <w:szCs w:val="24"/>
        </w:rPr>
        <w:t>EU Trafficking Directive</w:t>
      </w:r>
      <w:r w:rsidR="002D30F6" w:rsidRPr="00BA2AF5">
        <w:rPr>
          <w:b w:val="0"/>
          <w:bCs/>
          <w:color w:val="auto"/>
          <w:sz w:val="24"/>
          <w:szCs w:val="24"/>
        </w:rPr>
        <w:t xml:space="preserve"> </w:t>
      </w:r>
      <w:proofErr w:type="gramStart"/>
      <w:r w:rsidR="002D30F6" w:rsidRPr="00BA2AF5">
        <w:rPr>
          <w:b w:val="0"/>
          <w:bCs/>
          <w:color w:val="auto"/>
          <w:sz w:val="24"/>
          <w:szCs w:val="24"/>
        </w:rPr>
        <w:t xml:space="preserve">and </w:t>
      </w:r>
      <w:r w:rsidR="00A23B4C">
        <w:rPr>
          <w:b w:val="0"/>
          <w:bCs/>
          <w:color w:val="auto"/>
          <w:sz w:val="24"/>
          <w:szCs w:val="24"/>
        </w:rPr>
        <w:t>also</w:t>
      </w:r>
      <w:proofErr w:type="gramEnd"/>
      <w:r w:rsidR="00A23B4C">
        <w:rPr>
          <w:b w:val="0"/>
          <w:bCs/>
          <w:color w:val="auto"/>
          <w:sz w:val="24"/>
          <w:szCs w:val="24"/>
        </w:rPr>
        <w:t xml:space="preserve">, </w:t>
      </w:r>
      <w:r w:rsidR="002D30F6" w:rsidRPr="00BA2AF5">
        <w:rPr>
          <w:b w:val="0"/>
          <w:bCs/>
          <w:color w:val="auto"/>
          <w:sz w:val="24"/>
          <w:szCs w:val="24"/>
        </w:rPr>
        <w:t>therefore, Protocol Article 2.</w:t>
      </w:r>
      <w:r w:rsidR="002D30F6" w:rsidRPr="00BA2AF5">
        <w:rPr>
          <w:rStyle w:val="FootnoteReference"/>
          <w:b w:val="0"/>
          <w:bCs/>
          <w:color w:val="auto"/>
          <w:sz w:val="24"/>
          <w:szCs w:val="24"/>
        </w:rPr>
        <w:footnoteReference w:id="80"/>
      </w:r>
      <w:r w:rsidR="00352CE4">
        <w:rPr>
          <w:b w:val="0"/>
          <w:bCs/>
          <w:color w:val="auto"/>
          <w:sz w:val="24"/>
          <w:szCs w:val="24"/>
        </w:rPr>
        <w:t xml:space="preserve"> </w:t>
      </w:r>
    </w:p>
    <w:p w14:paraId="06D95ED8" w14:textId="77777777" w:rsidR="00BA2AF5" w:rsidRPr="00F610C1" w:rsidRDefault="00BA2AF5" w:rsidP="00F610C1">
      <w:pPr>
        <w:pStyle w:val="Style1"/>
        <w:rPr>
          <w:sz w:val="24"/>
          <w:szCs w:val="24"/>
        </w:rPr>
      </w:pPr>
    </w:p>
    <w:p w14:paraId="34FD2C88" w14:textId="755449E6" w:rsidR="00BA2AF5" w:rsidRPr="00BA2AF5" w:rsidRDefault="002D30F6" w:rsidP="00087302">
      <w:pPr>
        <w:pStyle w:val="Style1"/>
        <w:numPr>
          <w:ilvl w:val="1"/>
          <w:numId w:val="7"/>
        </w:numPr>
        <w:rPr>
          <w:b w:val="0"/>
          <w:bCs/>
          <w:color w:val="auto"/>
          <w:sz w:val="24"/>
          <w:szCs w:val="24"/>
        </w:rPr>
      </w:pPr>
      <w:r w:rsidRPr="00BA2AF5" w:rsidDel="00A23B4C">
        <w:rPr>
          <w:b w:val="0"/>
          <w:bCs/>
          <w:color w:val="auto"/>
          <w:sz w:val="24"/>
          <w:szCs w:val="24"/>
        </w:rPr>
        <w:t>Additionally,</w:t>
      </w:r>
      <w:r w:rsidRPr="00BA2AF5" w:rsidDel="00A23B4C">
        <w:rPr>
          <w:rFonts w:cstheme="majorHAnsi"/>
          <w:b w:val="0"/>
          <w:bCs/>
          <w:color w:val="auto"/>
          <w:sz w:val="24"/>
          <w:szCs w:val="24"/>
        </w:rPr>
        <w:t xml:space="preserve"> victims of modern slavery may fail to identify themselves as victims immediately and there can be numerous reasons for not doing so, </w:t>
      </w:r>
      <w:r w:rsidRPr="00BA2AF5" w:rsidDel="00A23B4C">
        <w:rPr>
          <w:rFonts w:cstheme="majorHAnsi"/>
          <w:b w:val="0"/>
          <w:bCs/>
          <w:color w:val="auto"/>
          <w:sz w:val="24"/>
          <w:szCs w:val="24"/>
        </w:rPr>
        <w:lastRenderedPageBreak/>
        <w:t>including a failure to recognise their situation as exploitation.</w:t>
      </w:r>
      <w:r w:rsidRPr="00BA2AF5" w:rsidDel="00A23B4C">
        <w:rPr>
          <w:rStyle w:val="FootnoteReference"/>
          <w:rFonts w:cstheme="majorHAnsi"/>
          <w:b w:val="0"/>
          <w:bCs/>
          <w:color w:val="auto"/>
          <w:sz w:val="24"/>
          <w:szCs w:val="24"/>
        </w:rPr>
        <w:footnoteReference w:id="81"/>
      </w:r>
      <w:r w:rsidRPr="00BA2AF5" w:rsidDel="00A23B4C">
        <w:rPr>
          <w:rFonts w:cstheme="majorHAnsi"/>
          <w:b w:val="0"/>
          <w:bCs/>
          <w:color w:val="auto"/>
          <w:sz w:val="24"/>
          <w:szCs w:val="24"/>
        </w:rPr>
        <w:t xml:space="preserve"> </w:t>
      </w:r>
      <w:r w:rsidRPr="00BA2AF5">
        <w:rPr>
          <w:rFonts w:cstheme="majorHAnsi"/>
          <w:b w:val="0"/>
          <w:bCs/>
          <w:color w:val="auto"/>
          <w:sz w:val="24"/>
          <w:szCs w:val="24"/>
        </w:rPr>
        <w:t xml:space="preserve">Article 11(5) of the </w:t>
      </w:r>
      <w:r w:rsidR="003537BE">
        <w:rPr>
          <w:rFonts w:cstheme="majorHAnsi"/>
          <w:b w:val="0"/>
          <w:bCs/>
          <w:color w:val="auto"/>
          <w:sz w:val="24"/>
          <w:szCs w:val="24"/>
        </w:rPr>
        <w:t>EU Trafficking Directive</w:t>
      </w:r>
      <w:r w:rsidRPr="00BA2AF5">
        <w:rPr>
          <w:rFonts w:cstheme="majorHAnsi"/>
          <w:b w:val="0"/>
          <w:bCs/>
          <w:color w:val="auto"/>
          <w:sz w:val="24"/>
          <w:szCs w:val="24"/>
        </w:rPr>
        <w:t xml:space="preserve"> identifies that assistance and support will be provided to victims on a “consensual and informed basis”.</w:t>
      </w:r>
      <w:r w:rsidRPr="00BA2AF5">
        <w:rPr>
          <w:rStyle w:val="FootnoteReference"/>
          <w:rFonts w:cstheme="majorHAnsi"/>
          <w:b w:val="0"/>
          <w:bCs/>
          <w:color w:val="auto"/>
          <w:sz w:val="24"/>
          <w:szCs w:val="24"/>
        </w:rPr>
        <w:footnoteReference w:id="82"/>
      </w:r>
      <w:r w:rsidRPr="00BA2AF5">
        <w:rPr>
          <w:rFonts w:cstheme="majorHAnsi"/>
          <w:b w:val="0"/>
          <w:bCs/>
          <w:color w:val="auto"/>
          <w:sz w:val="24"/>
          <w:szCs w:val="24"/>
        </w:rPr>
        <w:t xml:space="preserve"> </w:t>
      </w:r>
      <w:r w:rsidR="00C7746D">
        <w:rPr>
          <w:rFonts w:cstheme="majorHAnsi"/>
          <w:b w:val="0"/>
          <w:bCs/>
          <w:color w:val="auto"/>
          <w:sz w:val="24"/>
          <w:szCs w:val="24"/>
        </w:rPr>
        <w:t xml:space="preserve">There is a risk that </w:t>
      </w:r>
      <w:r w:rsidRPr="00BA2AF5">
        <w:rPr>
          <w:rFonts w:cstheme="majorHAnsi"/>
          <w:b w:val="0"/>
          <w:bCs/>
          <w:color w:val="auto"/>
          <w:sz w:val="24"/>
          <w:szCs w:val="24"/>
        </w:rPr>
        <w:t xml:space="preserve">Trafficking Information Notices </w:t>
      </w:r>
      <w:r w:rsidR="00C7746D">
        <w:rPr>
          <w:rFonts w:cstheme="majorHAnsi"/>
          <w:b w:val="0"/>
          <w:bCs/>
          <w:color w:val="auto"/>
          <w:sz w:val="24"/>
          <w:szCs w:val="24"/>
        </w:rPr>
        <w:t xml:space="preserve">could </w:t>
      </w:r>
      <w:r w:rsidR="0047328A">
        <w:rPr>
          <w:rFonts w:cstheme="majorHAnsi"/>
          <w:b w:val="0"/>
          <w:bCs/>
          <w:color w:val="auto"/>
          <w:sz w:val="24"/>
          <w:szCs w:val="24"/>
        </w:rPr>
        <w:t>weaken</w:t>
      </w:r>
      <w:r w:rsidRPr="00BA2AF5">
        <w:rPr>
          <w:rFonts w:cstheme="majorHAnsi"/>
          <w:b w:val="0"/>
          <w:bCs/>
          <w:color w:val="auto"/>
          <w:sz w:val="24"/>
          <w:szCs w:val="24"/>
        </w:rPr>
        <w:t xml:space="preserve"> the principle of consensual and informed support. Therefore, it is important to ensure anonymity when developing and implementing regulations on the duty to notify.</w:t>
      </w:r>
    </w:p>
    <w:p w14:paraId="6FA23FB6" w14:textId="77777777" w:rsidR="00BA2AF5" w:rsidRPr="00F610C1" w:rsidRDefault="00BA2AF5" w:rsidP="00F610C1">
      <w:pPr>
        <w:pStyle w:val="Style1"/>
        <w:rPr>
          <w:sz w:val="24"/>
          <w:szCs w:val="24"/>
        </w:rPr>
      </w:pPr>
    </w:p>
    <w:p w14:paraId="3D2E2B67" w14:textId="26D6F19D" w:rsidR="00BA2AF5" w:rsidRPr="00BA2AF5" w:rsidRDefault="002D30F6" w:rsidP="00087302">
      <w:pPr>
        <w:pStyle w:val="Style1"/>
        <w:numPr>
          <w:ilvl w:val="1"/>
          <w:numId w:val="7"/>
        </w:numPr>
        <w:rPr>
          <w:color w:val="auto"/>
          <w:sz w:val="24"/>
          <w:szCs w:val="24"/>
        </w:rPr>
      </w:pPr>
      <w:r w:rsidRPr="00BA2AF5">
        <w:rPr>
          <w:rFonts w:cstheme="majorHAnsi"/>
          <w:color w:val="auto"/>
          <w:sz w:val="24"/>
          <w:szCs w:val="24"/>
        </w:rPr>
        <w:t xml:space="preserve">The </w:t>
      </w:r>
      <w:r w:rsidR="0092298F" w:rsidRPr="00BA2AF5">
        <w:rPr>
          <w:rFonts w:cstheme="majorHAnsi"/>
          <w:color w:val="auto"/>
          <w:sz w:val="24"/>
          <w:szCs w:val="24"/>
        </w:rPr>
        <w:t>NIHRC</w:t>
      </w:r>
      <w:r w:rsidRPr="00BA2AF5">
        <w:rPr>
          <w:rFonts w:cstheme="majorHAnsi"/>
          <w:color w:val="auto"/>
          <w:sz w:val="24"/>
          <w:szCs w:val="24"/>
        </w:rPr>
        <w:t xml:space="preserve"> advises the Department</w:t>
      </w:r>
      <w:r w:rsidR="00B05F00">
        <w:rPr>
          <w:rFonts w:cstheme="majorHAnsi"/>
          <w:color w:val="auto"/>
          <w:sz w:val="24"/>
          <w:szCs w:val="24"/>
        </w:rPr>
        <w:t xml:space="preserve"> of Justice</w:t>
      </w:r>
      <w:r w:rsidRPr="00BA2AF5">
        <w:rPr>
          <w:rFonts w:cstheme="majorHAnsi"/>
          <w:color w:val="auto"/>
          <w:sz w:val="24"/>
          <w:szCs w:val="24"/>
        </w:rPr>
        <w:t xml:space="preserve"> </w:t>
      </w:r>
      <w:r w:rsidR="00A23B4C">
        <w:rPr>
          <w:rFonts w:cstheme="majorHAnsi"/>
          <w:color w:val="auto"/>
          <w:sz w:val="24"/>
          <w:szCs w:val="24"/>
        </w:rPr>
        <w:t xml:space="preserve">to </w:t>
      </w:r>
      <w:proofErr w:type="gramStart"/>
      <w:r w:rsidR="00A23B4C">
        <w:rPr>
          <w:rFonts w:cstheme="majorHAnsi"/>
          <w:color w:val="auto"/>
          <w:sz w:val="24"/>
          <w:szCs w:val="24"/>
        </w:rPr>
        <w:t>give</w:t>
      </w:r>
      <w:r w:rsidR="00A23B4C" w:rsidRPr="00BA2AF5">
        <w:rPr>
          <w:rFonts w:cstheme="majorHAnsi"/>
          <w:color w:val="auto"/>
          <w:sz w:val="24"/>
          <w:szCs w:val="24"/>
        </w:rPr>
        <w:t xml:space="preserve"> </w:t>
      </w:r>
      <w:r w:rsidR="00736277">
        <w:rPr>
          <w:rFonts w:cstheme="majorHAnsi"/>
          <w:color w:val="auto"/>
          <w:sz w:val="24"/>
          <w:szCs w:val="24"/>
        </w:rPr>
        <w:t xml:space="preserve">close </w:t>
      </w:r>
      <w:r w:rsidRPr="00BA2AF5">
        <w:rPr>
          <w:rFonts w:cstheme="majorHAnsi"/>
          <w:color w:val="auto"/>
          <w:sz w:val="24"/>
          <w:szCs w:val="24"/>
        </w:rPr>
        <w:t>consideration to</w:t>
      </w:r>
      <w:proofErr w:type="gramEnd"/>
      <w:r w:rsidRPr="00BA2AF5">
        <w:rPr>
          <w:rFonts w:cstheme="majorHAnsi"/>
          <w:color w:val="auto"/>
          <w:sz w:val="24"/>
          <w:szCs w:val="24"/>
        </w:rPr>
        <w:t xml:space="preserve"> relevant EU Directives and </w:t>
      </w:r>
      <w:r w:rsidR="00BB1167" w:rsidRPr="00BB1167">
        <w:rPr>
          <w:color w:val="auto"/>
          <w:sz w:val="24"/>
          <w:szCs w:val="24"/>
        </w:rPr>
        <w:t>Court of Justice of the EU</w:t>
      </w:r>
      <w:r w:rsidR="00BB1167" w:rsidRPr="00BB1167">
        <w:rPr>
          <w:rFonts w:cstheme="majorHAnsi"/>
          <w:color w:val="auto"/>
          <w:sz w:val="24"/>
          <w:szCs w:val="24"/>
        </w:rPr>
        <w:t xml:space="preserve"> </w:t>
      </w:r>
      <w:r w:rsidRPr="00BA2AF5">
        <w:rPr>
          <w:rFonts w:cstheme="majorHAnsi"/>
          <w:color w:val="auto"/>
          <w:sz w:val="24"/>
          <w:szCs w:val="24"/>
        </w:rPr>
        <w:t xml:space="preserve">jurisprudence in </w:t>
      </w:r>
      <w:r w:rsidR="00A23B4C">
        <w:rPr>
          <w:rFonts w:cstheme="majorHAnsi"/>
          <w:color w:val="auto"/>
          <w:sz w:val="24"/>
          <w:szCs w:val="24"/>
        </w:rPr>
        <w:t>its</w:t>
      </w:r>
      <w:r w:rsidR="00A23B4C" w:rsidRPr="00BA2AF5">
        <w:rPr>
          <w:rFonts w:cstheme="majorHAnsi"/>
          <w:color w:val="auto"/>
          <w:sz w:val="24"/>
          <w:szCs w:val="24"/>
        </w:rPr>
        <w:t xml:space="preserve"> </w:t>
      </w:r>
      <w:r w:rsidRPr="00BA2AF5">
        <w:rPr>
          <w:rFonts w:cstheme="majorHAnsi"/>
          <w:color w:val="auto"/>
          <w:sz w:val="24"/>
          <w:szCs w:val="24"/>
        </w:rPr>
        <w:t>development and implementation of regulations relating to the Duty to Notify</w:t>
      </w:r>
      <w:r w:rsidR="00A23B4C">
        <w:rPr>
          <w:rFonts w:cstheme="majorHAnsi"/>
          <w:color w:val="auto"/>
          <w:sz w:val="24"/>
          <w:szCs w:val="24"/>
        </w:rPr>
        <w:t>.</w:t>
      </w:r>
    </w:p>
    <w:p w14:paraId="2F43D706" w14:textId="77777777" w:rsidR="00BA2AF5" w:rsidRPr="00BA2AF5" w:rsidRDefault="00BA2AF5" w:rsidP="00BA2AF5">
      <w:pPr>
        <w:pStyle w:val="ListParagraph"/>
        <w:rPr>
          <w:rFonts w:cstheme="majorHAnsi"/>
          <w:b/>
        </w:rPr>
      </w:pPr>
    </w:p>
    <w:p w14:paraId="7F56A36F" w14:textId="1EFFD932" w:rsidR="00BC4725" w:rsidRPr="00BA2AF5" w:rsidRDefault="002D30F6" w:rsidP="00087302">
      <w:pPr>
        <w:pStyle w:val="Style1"/>
        <w:numPr>
          <w:ilvl w:val="1"/>
          <w:numId w:val="7"/>
        </w:numPr>
        <w:rPr>
          <w:color w:val="auto"/>
          <w:sz w:val="24"/>
          <w:szCs w:val="24"/>
        </w:rPr>
      </w:pPr>
      <w:r w:rsidRPr="00BA2AF5">
        <w:rPr>
          <w:rFonts w:cstheme="majorHAnsi"/>
          <w:color w:val="auto"/>
          <w:sz w:val="24"/>
          <w:szCs w:val="24"/>
        </w:rPr>
        <w:t xml:space="preserve">The </w:t>
      </w:r>
      <w:r w:rsidR="0092298F" w:rsidRPr="00BA2AF5">
        <w:rPr>
          <w:rFonts w:cstheme="majorHAnsi"/>
          <w:color w:val="auto"/>
          <w:sz w:val="24"/>
          <w:szCs w:val="24"/>
        </w:rPr>
        <w:t>NIHRC</w:t>
      </w:r>
      <w:r w:rsidRPr="00BA2AF5">
        <w:rPr>
          <w:rFonts w:cstheme="majorHAnsi"/>
          <w:color w:val="auto"/>
          <w:sz w:val="24"/>
          <w:szCs w:val="24"/>
        </w:rPr>
        <w:t xml:space="preserve"> advises that training for public </w:t>
      </w:r>
      <w:r w:rsidR="008C7190">
        <w:rPr>
          <w:rFonts w:cstheme="majorHAnsi"/>
          <w:color w:val="auto"/>
          <w:sz w:val="24"/>
          <w:szCs w:val="24"/>
        </w:rPr>
        <w:t>authorities</w:t>
      </w:r>
      <w:r w:rsidRPr="00BA2AF5">
        <w:rPr>
          <w:rFonts w:cstheme="majorHAnsi"/>
          <w:color w:val="auto"/>
          <w:sz w:val="24"/>
          <w:szCs w:val="24"/>
        </w:rPr>
        <w:t xml:space="preserve"> on the Duty to Notify </w:t>
      </w:r>
      <w:r w:rsidR="00B05F00">
        <w:rPr>
          <w:rFonts w:cstheme="majorHAnsi"/>
          <w:color w:val="auto"/>
          <w:sz w:val="24"/>
          <w:szCs w:val="24"/>
        </w:rPr>
        <w:t xml:space="preserve">should </w:t>
      </w:r>
      <w:r w:rsidRPr="00BA2AF5">
        <w:rPr>
          <w:rFonts w:cstheme="majorHAnsi"/>
          <w:color w:val="auto"/>
          <w:sz w:val="24"/>
          <w:szCs w:val="24"/>
        </w:rPr>
        <w:t>identif</w:t>
      </w:r>
      <w:r w:rsidR="00B05F00">
        <w:rPr>
          <w:rFonts w:cstheme="majorHAnsi"/>
          <w:color w:val="auto"/>
          <w:sz w:val="24"/>
          <w:szCs w:val="24"/>
        </w:rPr>
        <w:t>y</w:t>
      </w:r>
      <w:r w:rsidRPr="00BA2AF5">
        <w:rPr>
          <w:rFonts w:cstheme="majorHAnsi"/>
          <w:color w:val="auto"/>
          <w:sz w:val="24"/>
          <w:szCs w:val="24"/>
        </w:rPr>
        <w:t xml:space="preserve"> </w:t>
      </w:r>
      <w:r w:rsidR="00736277">
        <w:rPr>
          <w:rFonts w:cstheme="majorHAnsi"/>
          <w:color w:val="auto"/>
          <w:sz w:val="24"/>
          <w:szCs w:val="24"/>
        </w:rPr>
        <w:t xml:space="preserve">and guide </w:t>
      </w:r>
      <w:r w:rsidRPr="00BA2AF5">
        <w:rPr>
          <w:rFonts w:cstheme="majorHAnsi"/>
          <w:color w:val="auto"/>
          <w:sz w:val="24"/>
          <w:szCs w:val="24"/>
        </w:rPr>
        <w:t>the importance of anonymity for potential victim</w:t>
      </w:r>
      <w:r w:rsidR="00736277">
        <w:rPr>
          <w:rFonts w:cstheme="majorHAnsi"/>
          <w:color w:val="auto"/>
          <w:sz w:val="24"/>
          <w:szCs w:val="24"/>
        </w:rPr>
        <w:t>s</w:t>
      </w:r>
      <w:r w:rsidRPr="00BA2AF5">
        <w:rPr>
          <w:rFonts w:cstheme="majorHAnsi"/>
          <w:color w:val="auto"/>
          <w:sz w:val="24"/>
          <w:szCs w:val="24"/>
        </w:rPr>
        <w:t>.</w:t>
      </w:r>
    </w:p>
    <w:p w14:paraId="1C85013A" w14:textId="240F25D5" w:rsidR="00DA12FA" w:rsidRDefault="00DA12FA" w:rsidP="00AF1E45">
      <w:pPr>
        <w:pStyle w:val="BasicParagraph"/>
        <w:suppressAutoHyphens/>
        <w:rPr>
          <w:b/>
        </w:rPr>
      </w:pPr>
    </w:p>
    <w:p w14:paraId="79AA33F3" w14:textId="4CD5FA99" w:rsidR="00A63ED1" w:rsidRPr="00380238" w:rsidRDefault="00BC4725" w:rsidP="00380238">
      <w:pPr>
        <w:pStyle w:val="Heading1"/>
      </w:pPr>
      <w:bookmarkStart w:id="13" w:name="_Toc105754274"/>
      <w:r>
        <w:t>5</w:t>
      </w:r>
      <w:r w:rsidRPr="003B7D0E">
        <w:t>.0</w:t>
      </w:r>
      <w:r w:rsidRPr="003B7D0E">
        <w:tab/>
      </w:r>
      <w:r w:rsidR="00AF1E45">
        <w:t>Monitoring</w:t>
      </w:r>
      <w:bookmarkEnd w:id="13"/>
    </w:p>
    <w:p w14:paraId="409EF3F5" w14:textId="2A6C58FC" w:rsidR="009B46A1" w:rsidRPr="00CD4603" w:rsidRDefault="009B46A1" w:rsidP="00087302">
      <w:pPr>
        <w:pStyle w:val="BasicParagraph"/>
        <w:numPr>
          <w:ilvl w:val="1"/>
          <w:numId w:val="12"/>
        </w:numPr>
        <w:suppressAutoHyphens/>
        <w:spacing w:after="240"/>
        <w:rPr>
          <w:rFonts w:ascii="Verdana" w:hAnsi="Verdana" w:cs="Arial"/>
          <w:bCs/>
          <w:color w:val="auto"/>
        </w:rPr>
      </w:pPr>
      <w:r w:rsidRPr="009B46A1">
        <w:rPr>
          <w:rFonts w:ascii="Verdana" w:hAnsi="Verdana"/>
          <w:bCs/>
        </w:rPr>
        <w:t>Guideline 3 of the UN Recommended Principles and Guidelines on Human Rights and Human Trafficking highlights that effective and realistic anti-trafficking strategies must be based on accurate and current information, experience, and analysis and that all parties involved in developing and implementing these strategies maintain a clear understanding of the issues. It therefore recommends:</w:t>
      </w:r>
    </w:p>
    <w:p w14:paraId="2D01C9AF" w14:textId="02B5228A" w:rsidR="009B46A1" w:rsidRDefault="00D510B7" w:rsidP="00B23C26">
      <w:pPr>
        <w:pStyle w:val="BasicParagraph"/>
        <w:suppressAutoHyphens/>
        <w:ind w:left="803"/>
        <w:rPr>
          <w:rFonts w:ascii="Verdana" w:hAnsi="Verdana" w:cs="Arial"/>
          <w:bCs/>
          <w:color w:val="auto"/>
        </w:rPr>
      </w:pPr>
      <w:r>
        <w:rPr>
          <w:rFonts w:ascii="Verdana" w:hAnsi="Verdana" w:cs="Arial"/>
          <w:bCs/>
          <w:color w:val="auto"/>
        </w:rPr>
        <w:t>M</w:t>
      </w:r>
      <w:r w:rsidR="00B23C26" w:rsidRPr="00B23C26">
        <w:rPr>
          <w:rFonts w:ascii="Verdana" w:hAnsi="Verdana" w:cs="Arial"/>
          <w:bCs/>
          <w:color w:val="auto"/>
        </w:rPr>
        <w:t xml:space="preserve">onitoring and evaluating the relationship between the intention of anti-trafficking laws, policies and interventions, and their real impact. </w:t>
      </w:r>
      <w:proofErr w:type="gramStart"/>
      <w:r w:rsidR="00B23C26" w:rsidRPr="00B23C26">
        <w:rPr>
          <w:rFonts w:ascii="Verdana" w:hAnsi="Verdana" w:cs="Arial"/>
          <w:bCs/>
          <w:color w:val="auto"/>
        </w:rPr>
        <w:t>In particular, ensuring</w:t>
      </w:r>
      <w:proofErr w:type="gramEnd"/>
      <w:r w:rsidR="00B23C26" w:rsidRPr="00B23C26">
        <w:rPr>
          <w:rFonts w:ascii="Verdana" w:hAnsi="Verdana" w:cs="Arial"/>
          <w:bCs/>
          <w:color w:val="auto"/>
        </w:rPr>
        <w:t xml:space="preserve"> that distinctions are made between measures which actually reduce trafficking and measures which may have the effect of transferring the problem from one place or group to another.</w:t>
      </w:r>
      <w:r w:rsidR="00087302" w:rsidRPr="00087302">
        <w:rPr>
          <w:rStyle w:val="FootnoteReference"/>
        </w:rPr>
        <w:t xml:space="preserve"> </w:t>
      </w:r>
      <w:r w:rsidR="00087302">
        <w:rPr>
          <w:rStyle w:val="FootnoteReference"/>
        </w:rPr>
        <w:footnoteReference w:id="83"/>
      </w:r>
    </w:p>
    <w:p w14:paraId="49B2E4DE" w14:textId="77777777" w:rsidR="00B23C26" w:rsidRPr="00CD4603" w:rsidRDefault="00B23C26" w:rsidP="00B23C26">
      <w:pPr>
        <w:pStyle w:val="BasicParagraph"/>
        <w:suppressAutoHyphens/>
        <w:rPr>
          <w:rFonts w:ascii="Verdana" w:hAnsi="Verdana" w:cs="Arial"/>
          <w:bCs/>
          <w:color w:val="auto"/>
        </w:rPr>
      </w:pPr>
    </w:p>
    <w:p w14:paraId="38A30395" w14:textId="0BC88E48" w:rsidR="009B46A1" w:rsidRPr="009B46A1" w:rsidRDefault="009B46A1" w:rsidP="00087302">
      <w:pPr>
        <w:pStyle w:val="BasicParagraph"/>
        <w:numPr>
          <w:ilvl w:val="1"/>
          <w:numId w:val="12"/>
        </w:numPr>
        <w:suppressAutoHyphens/>
        <w:rPr>
          <w:rFonts w:ascii="Verdana" w:hAnsi="Verdana" w:cs="Arial"/>
          <w:bCs/>
          <w:color w:val="auto"/>
        </w:rPr>
      </w:pPr>
      <w:r w:rsidRPr="009B46A1">
        <w:rPr>
          <w:rFonts w:ascii="Verdana" w:hAnsi="Verdana" w:cs="Arial"/>
          <w:bCs/>
          <w:color w:val="auto"/>
        </w:rPr>
        <w:t xml:space="preserve">The Independent Anti-Slavery Commissioner’s recent review of the use Slavery and Trafficking Risk Orders highlighted that good management </w:t>
      </w:r>
      <w:r w:rsidRPr="009B46A1">
        <w:rPr>
          <w:rFonts w:ascii="Verdana" w:hAnsi="Verdana" w:cs="Arial"/>
          <w:bCs/>
          <w:color w:val="auto"/>
        </w:rPr>
        <w:lastRenderedPageBreak/>
        <w:t>practices, such as the development of a system to record and monitor orders, will ensure that perpetrators are abiding by the conditions imposed.</w:t>
      </w:r>
      <w:r w:rsidR="00087302">
        <w:rPr>
          <w:rStyle w:val="FootnoteReference"/>
          <w:rFonts w:ascii="Verdana" w:hAnsi="Verdana" w:cs="Arial"/>
          <w:bCs/>
          <w:color w:val="auto"/>
        </w:rPr>
        <w:footnoteReference w:id="84"/>
      </w:r>
    </w:p>
    <w:p w14:paraId="059477FA" w14:textId="77777777" w:rsidR="009B46A1" w:rsidRDefault="009B46A1" w:rsidP="009B46A1">
      <w:pPr>
        <w:pStyle w:val="ListParagraph"/>
        <w:rPr>
          <w:rFonts w:cs="Arial"/>
          <w:bCs/>
        </w:rPr>
      </w:pPr>
    </w:p>
    <w:p w14:paraId="6AE70AB9" w14:textId="427621C0" w:rsidR="009B46A1" w:rsidRPr="009B46A1" w:rsidRDefault="009B46A1" w:rsidP="00087302">
      <w:pPr>
        <w:pStyle w:val="BasicParagraph"/>
        <w:numPr>
          <w:ilvl w:val="1"/>
          <w:numId w:val="12"/>
        </w:numPr>
        <w:suppressAutoHyphens/>
        <w:rPr>
          <w:rFonts w:ascii="Verdana" w:hAnsi="Verdana" w:cs="Arial"/>
          <w:b/>
          <w:color w:val="auto"/>
        </w:rPr>
      </w:pPr>
      <w:r w:rsidRPr="009B46A1">
        <w:rPr>
          <w:rFonts w:ascii="Verdana" w:hAnsi="Verdana" w:cs="Arial"/>
          <w:b/>
          <w:color w:val="auto"/>
        </w:rPr>
        <w:t xml:space="preserve">The NIHRC recommends that the Department of Justice ensures </w:t>
      </w:r>
      <w:r w:rsidR="00E229CB">
        <w:rPr>
          <w:rFonts w:ascii="Verdana" w:hAnsi="Verdana" w:cs="Arial"/>
          <w:b/>
          <w:color w:val="auto"/>
        </w:rPr>
        <w:t>any</w:t>
      </w:r>
      <w:r w:rsidRPr="009B46A1">
        <w:rPr>
          <w:rFonts w:ascii="Verdana" w:hAnsi="Verdana" w:cs="Arial"/>
          <w:b/>
          <w:color w:val="auto"/>
        </w:rPr>
        <w:t xml:space="preserve"> use of Slavery and Trafficking Risk Orders is </w:t>
      </w:r>
      <w:r w:rsidR="00B20A18">
        <w:rPr>
          <w:rFonts w:ascii="Verdana" w:hAnsi="Verdana" w:cs="Arial"/>
          <w:b/>
          <w:color w:val="auto"/>
        </w:rPr>
        <w:t>recorded</w:t>
      </w:r>
      <w:r w:rsidR="00E229CB">
        <w:rPr>
          <w:rFonts w:ascii="Verdana" w:hAnsi="Verdana" w:cs="Arial"/>
          <w:b/>
          <w:color w:val="auto"/>
        </w:rPr>
        <w:t>,</w:t>
      </w:r>
      <w:r w:rsidR="00B20A18">
        <w:rPr>
          <w:rFonts w:ascii="Verdana" w:hAnsi="Verdana" w:cs="Arial"/>
          <w:b/>
          <w:color w:val="auto"/>
        </w:rPr>
        <w:t xml:space="preserve"> </w:t>
      </w:r>
      <w:proofErr w:type="gramStart"/>
      <w:r w:rsidRPr="009B46A1">
        <w:rPr>
          <w:rFonts w:ascii="Verdana" w:hAnsi="Verdana" w:cs="Arial"/>
          <w:b/>
          <w:color w:val="auto"/>
        </w:rPr>
        <w:t>monitor</w:t>
      </w:r>
      <w:r w:rsidR="00E229CB">
        <w:rPr>
          <w:rFonts w:ascii="Verdana" w:hAnsi="Verdana" w:cs="Arial"/>
          <w:b/>
          <w:color w:val="auto"/>
        </w:rPr>
        <w:t>ed</w:t>
      </w:r>
      <w:proofErr w:type="gramEnd"/>
      <w:r w:rsidRPr="009B46A1">
        <w:rPr>
          <w:rFonts w:ascii="Verdana" w:hAnsi="Verdana" w:cs="Arial"/>
          <w:b/>
          <w:color w:val="auto"/>
        </w:rPr>
        <w:t xml:space="preserve"> and </w:t>
      </w:r>
      <w:r w:rsidR="00E229CB">
        <w:rPr>
          <w:rFonts w:ascii="Verdana" w:hAnsi="Verdana" w:cs="Arial"/>
          <w:b/>
          <w:color w:val="auto"/>
        </w:rPr>
        <w:t xml:space="preserve">thereafter </w:t>
      </w:r>
      <w:r w:rsidRPr="009B46A1">
        <w:rPr>
          <w:rFonts w:ascii="Verdana" w:hAnsi="Verdana" w:cs="Arial"/>
          <w:b/>
          <w:color w:val="auto"/>
        </w:rPr>
        <w:t>evaluat</w:t>
      </w:r>
      <w:r w:rsidR="00E229CB">
        <w:rPr>
          <w:rFonts w:ascii="Verdana" w:hAnsi="Verdana" w:cs="Arial"/>
          <w:b/>
          <w:color w:val="auto"/>
        </w:rPr>
        <w:t>ed</w:t>
      </w:r>
      <w:r w:rsidRPr="009B46A1">
        <w:rPr>
          <w:rFonts w:ascii="Verdana" w:hAnsi="Verdana" w:cs="Arial"/>
          <w:b/>
          <w:color w:val="auto"/>
        </w:rPr>
        <w:t xml:space="preserve"> by the Police Service of NI. </w:t>
      </w:r>
      <w:r w:rsidR="00E229CB">
        <w:rPr>
          <w:rFonts w:ascii="Verdana" w:hAnsi="Verdana" w:cs="Arial"/>
          <w:b/>
          <w:color w:val="auto"/>
        </w:rPr>
        <w:t xml:space="preserve">Any steps required following evaluation must be taken immediately. </w:t>
      </w:r>
      <w:r w:rsidRPr="009B46A1">
        <w:rPr>
          <w:rFonts w:ascii="Verdana" w:hAnsi="Verdana" w:cs="Arial"/>
          <w:b/>
          <w:color w:val="auto"/>
        </w:rPr>
        <w:t>This process should involve meaningful engagement with representative organisations, victims or potential victims that are protected by the risk orders, and individuals that are subject to the risk orders.</w:t>
      </w:r>
    </w:p>
    <w:p w14:paraId="3C9346A8" w14:textId="77777777" w:rsidR="009B46A1" w:rsidRPr="009B46A1" w:rsidRDefault="009B46A1" w:rsidP="009B46A1">
      <w:pPr>
        <w:pStyle w:val="BasicParagraph"/>
        <w:suppressAutoHyphens/>
        <w:ind w:left="720"/>
        <w:rPr>
          <w:rFonts w:ascii="Verdana" w:hAnsi="Verdana" w:cs="Arial"/>
          <w:bCs/>
          <w:color w:val="auto"/>
        </w:rPr>
      </w:pPr>
    </w:p>
    <w:p w14:paraId="790A60C9" w14:textId="1C8D18E3" w:rsidR="009B46A1" w:rsidRDefault="009B46A1" w:rsidP="00087302">
      <w:pPr>
        <w:pStyle w:val="BasicParagraph"/>
        <w:numPr>
          <w:ilvl w:val="1"/>
          <w:numId w:val="12"/>
        </w:numPr>
        <w:suppressAutoHyphens/>
        <w:rPr>
          <w:rFonts w:ascii="Verdana" w:hAnsi="Verdana" w:cs="Arial"/>
          <w:bCs/>
          <w:color w:val="auto"/>
        </w:rPr>
      </w:pPr>
      <w:r w:rsidRPr="009B46A1">
        <w:rPr>
          <w:rFonts w:ascii="Verdana" w:hAnsi="Verdana" w:cs="Arial"/>
          <w:bCs/>
          <w:color w:val="auto"/>
        </w:rPr>
        <w:t xml:space="preserve">The </w:t>
      </w:r>
      <w:proofErr w:type="spellStart"/>
      <w:r w:rsidRPr="009B46A1">
        <w:rPr>
          <w:rFonts w:ascii="Verdana" w:hAnsi="Verdana" w:cs="Arial"/>
          <w:bCs/>
          <w:color w:val="auto"/>
        </w:rPr>
        <w:t>CoE</w:t>
      </w:r>
      <w:proofErr w:type="spellEnd"/>
      <w:r w:rsidRPr="009B46A1">
        <w:rPr>
          <w:rFonts w:ascii="Verdana" w:hAnsi="Verdana" w:cs="Arial"/>
          <w:bCs/>
          <w:color w:val="auto"/>
        </w:rPr>
        <w:t xml:space="preserve"> Convention on Action Against Trafficking set up a specific monitoring mechanism to supervise its implementation, consisting of the Group of Experts on Action against Trafficking in Human Beings (GRETA) and the Committee of Parties. GRETA published its third evaluation report of the UK in October 2021.</w:t>
      </w:r>
      <w:r w:rsidR="00AF12C8">
        <w:rPr>
          <w:rStyle w:val="FootnoteReference"/>
          <w:rFonts w:ascii="Verdana" w:hAnsi="Verdana" w:cs="Arial"/>
          <w:bCs/>
          <w:color w:val="auto"/>
        </w:rPr>
        <w:footnoteReference w:id="85"/>
      </w:r>
      <w:r w:rsidRPr="009B46A1">
        <w:rPr>
          <w:rFonts w:ascii="Verdana" w:hAnsi="Verdana" w:cs="Arial"/>
          <w:bCs/>
          <w:color w:val="auto"/>
        </w:rPr>
        <w:t xml:space="preserve"> The report highlighted apparent concerns with the oversight and management of both the National Referral Mechanism and the Duty to Notify referral process, particularly in respect of the delivery of training.</w:t>
      </w:r>
      <w:r w:rsidR="003208BC">
        <w:rPr>
          <w:rStyle w:val="FootnoteReference"/>
          <w:rFonts w:ascii="Verdana" w:hAnsi="Verdana" w:cs="Arial"/>
          <w:bCs/>
          <w:color w:val="auto"/>
        </w:rPr>
        <w:footnoteReference w:id="86"/>
      </w:r>
      <w:r w:rsidRPr="009B46A1">
        <w:rPr>
          <w:rFonts w:ascii="Verdana" w:hAnsi="Verdana" w:cs="Arial"/>
          <w:bCs/>
          <w:color w:val="auto"/>
        </w:rPr>
        <w:t xml:space="preserve"> </w:t>
      </w:r>
    </w:p>
    <w:p w14:paraId="30F53F53" w14:textId="77777777" w:rsidR="002A013B" w:rsidRDefault="002A013B" w:rsidP="002A013B">
      <w:pPr>
        <w:pStyle w:val="ListParagraph"/>
        <w:rPr>
          <w:rFonts w:cs="Arial"/>
          <w:bCs/>
        </w:rPr>
      </w:pPr>
    </w:p>
    <w:p w14:paraId="28932B6A" w14:textId="55BEC0CA" w:rsidR="002A013B" w:rsidRPr="002A013B" w:rsidRDefault="002A013B" w:rsidP="00087302">
      <w:pPr>
        <w:pStyle w:val="BasicParagraph"/>
        <w:numPr>
          <w:ilvl w:val="1"/>
          <w:numId w:val="12"/>
        </w:numPr>
        <w:suppressAutoHyphens/>
        <w:rPr>
          <w:rFonts w:ascii="Verdana" w:hAnsi="Verdana" w:cs="Arial"/>
          <w:bCs/>
          <w:color w:val="auto"/>
        </w:rPr>
      </w:pPr>
      <w:r w:rsidRPr="002A013B">
        <w:rPr>
          <w:rFonts w:ascii="Verdana" w:hAnsi="Verdana"/>
        </w:rPr>
        <w:t>Section 12 of the Human Trafficking and Exploitation (Criminal Justice and Support for Victims) Act (Northern Ireland) 2015 requires the Department of Justice</w:t>
      </w:r>
      <w:r>
        <w:rPr>
          <w:rFonts w:ascii="Verdana" w:hAnsi="Verdana"/>
        </w:rPr>
        <w:t xml:space="preserve"> </w:t>
      </w:r>
      <w:r w:rsidRPr="002A013B">
        <w:rPr>
          <w:rFonts w:ascii="Verdana" w:hAnsi="Verdana"/>
        </w:rPr>
        <w:t>to publish an annual Modern Slavery and Human Trafficking Strategy.</w:t>
      </w:r>
      <w:r w:rsidR="00FE1F30">
        <w:rPr>
          <w:rFonts w:ascii="Verdana" w:hAnsi="Verdana"/>
        </w:rPr>
        <w:t xml:space="preserve"> Section 12(4) </w:t>
      </w:r>
      <w:r w:rsidR="00544534">
        <w:rPr>
          <w:rFonts w:ascii="Verdana" w:hAnsi="Verdana"/>
        </w:rPr>
        <w:t>specifies</w:t>
      </w:r>
      <w:r w:rsidR="006D090E">
        <w:rPr>
          <w:rFonts w:ascii="Verdana" w:hAnsi="Verdana"/>
        </w:rPr>
        <w:t xml:space="preserve"> </w:t>
      </w:r>
      <w:r w:rsidR="003C0338">
        <w:rPr>
          <w:rFonts w:ascii="Verdana" w:hAnsi="Verdana"/>
        </w:rPr>
        <w:t xml:space="preserve">commitments to </w:t>
      </w:r>
      <w:r w:rsidR="009A2152">
        <w:rPr>
          <w:rFonts w:ascii="Verdana" w:hAnsi="Verdana"/>
        </w:rPr>
        <w:t xml:space="preserve">be </w:t>
      </w:r>
      <w:r w:rsidR="003C0338">
        <w:rPr>
          <w:rFonts w:ascii="Verdana" w:hAnsi="Verdana"/>
        </w:rPr>
        <w:t>include</w:t>
      </w:r>
      <w:r w:rsidR="009A2152">
        <w:rPr>
          <w:rFonts w:ascii="Verdana" w:hAnsi="Verdana"/>
        </w:rPr>
        <w:t>d</w:t>
      </w:r>
      <w:r w:rsidR="003C0338">
        <w:rPr>
          <w:rFonts w:ascii="Verdana" w:hAnsi="Verdana"/>
        </w:rPr>
        <w:t xml:space="preserve"> in the strategy</w:t>
      </w:r>
      <w:r w:rsidR="00357DCA">
        <w:rPr>
          <w:rFonts w:ascii="Verdana" w:hAnsi="Verdana"/>
        </w:rPr>
        <w:t xml:space="preserve">, including arrangements </w:t>
      </w:r>
      <w:r w:rsidR="003A6D10">
        <w:rPr>
          <w:rFonts w:ascii="Verdana" w:hAnsi="Verdana"/>
        </w:rPr>
        <w:t>for co-operation betwe</w:t>
      </w:r>
      <w:r w:rsidR="00B807D3">
        <w:rPr>
          <w:rFonts w:ascii="Verdana" w:hAnsi="Verdana"/>
        </w:rPr>
        <w:t>en relevant organisations and victims</w:t>
      </w:r>
      <w:r w:rsidR="00FE45EE">
        <w:rPr>
          <w:rFonts w:ascii="Verdana" w:hAnsi="Verdana"/>
        </w:rPr>
        <w:t>, the provision of training and equipment</w:t>
      </w:r>
      <w:r w:rsidR="003B37BD">
        <w:rPr>
          <w:rFonts w:ascii="Verdana" w:hAnsi="Verdana"/>
        </w:rPr>
        <w:t xml:space="preserve"> of those involved in investiga</w:t>
      </w:r>
      <w:r w:rsidR="0033476E">
        <w:rPr>
          <w:rFonts w:ascii="Verdana" w:hAnsi="Verdana"/>
        </w:rPr>
        <w:t>ting</w:t>
      </w:r>
      <w:r w:rsidR="00741431">
        <w:rPr>
          <w:rFonts w:ascii="Verdana" w:hAnsi="Verdana"/>
        </w:rPr>
        <w:t>/prosecuting</w:t>
      </w:r>
      <w:r w:rsidR="0033476E">
        <w:rPr>
          <w:rFonts w:ascii="Verdana" w:hAnsi="Verdana"/>
        </w:rPr>
        <w:t xml:space="preserve"> offences or dealing with victims, and </w:t>
      </w:r>
      <w:r w:rsidR="00290B4C">
        <w:rPr>
          <w:rFonts w:ascii="Verdana" w:hAnsi="Verdana"/>
        </w:rPr>
        <w:t xml:space="preserve">awareness-raising </w:t>
      </w:r>
      <w:r w:rsidR="003070AF">
        <w:rPr>
          <w:rFonts w:ascii="Verdana" w:hAnsi="Verdana"/>
        </w:rPr>
        <w:t>initiatives</w:t>
      </w:r>
      <w:r w:rsidR="00290B4C">
        <w:rPr>
          <w:rFonts w:ascii="Verdana" w:hAnsi="Verdana"/>
        </w:rPr>
        <w:t xml:space="preserve"> </w:t>
      </w:r>
      <w:r w:rsidR="003070AF">
        <w:rPr>
          <w:rFonts w:ascii="Verdana" w:hAnsi="Verdana"/>
        </w:rPr>
        <w:t>for the rights and entitlements of victims.</w:t>
      </w:r>
    </w:p>
    <w:p w14:paraId="5A0B4C0D" w14:textId="77777777" w:rsidR="009B46A1" w:rsidRPr="009B46A1" w:rsidRDefault="009B46A1" w:rsidP="009B46A1">
      <w:pPr>
        <w:pStyle w:val="BasicParagraph"/>
        <w:suppressAutoHyphens/>
        <w:rPr>
          <w:rFonts w:ascii="Verdana" w:hAnsi="Verdana" w:cs="Arial"/>
          <w:bCs/>
          <w:color w:val="auto"/>
        </w:rPr>
      </w:pPr>
    </w:p>
    <w:p w14:paraId="19E8731A" w14:textId="5D369159" w:rsidR="009B46A1" w:rsidRPr="009B46A1" w:rsidRDefault="009B46A1" w:rsidP="00087302">
      <w:pPr>
        <w:pStyle w:val="BasicParagraph"/>
        <w:numPr>
          <w:ilvl w:val="1"/>
          <w:numId w:val="12"/>
        </w:numPr>
        <w:suppressAutoHyphens/>
        <w:rPr>
          <w:rFonts w:ascii="Verdana" w:hAnsi="Verdana" w:cs="Arial"/>
          <w:b/>
          <w:color w:val="auto"/>
        </w:rPr>
      </w:pPr>
      <w:r w:rsidRPr="009B46A1">
        <w:rPr>
          <w:rFonts w:ascii="Verdana" w:hAnsi="Verdana" w:cs="Arial"/>
          <w:b/>
          <w:color w:val="auto"/>
        </w:rPr>
        <w:t xml:space="preserve">The NIHRC recommends that the Department of Justice ensures </w:t>
      </w:r>
      <w:r w:rsidR="00410F44">
        <w:rPr>
          <w:rFonts w:ascii="Verdana" w:hAnsi="Verdana" w:cs="Arial"/>
          <w:b/>
          <w:color w:val="auto"/>
        </w:rPr>
        <w:t xml:space="preserve">that </w:t>
      </w:r>
      <w:r w:rsidRPr="009B46A1">
        <w:rPr>
          <w:rFonts w:ascii="Verdana" w:hAnsi="Verdana" w:cs="Arial"/>
          <w:b/>
          <w:color w:val="auto"/>
        </w:rPr>
        <w:t xml:space="preserve">implementation of the duty to notify is subject to </w:t>
      </w:r>
      <w:r w:rsidR="00410F44">
        <w:rPr>
          <w:rFonts w:ascii="Verdana" w:hAnsi="Verdana" w:cs="Arial"/>
          <w:b/>
          <w:color w:val="auto"/>
        </w:rPr>
        <w:t xml:space="preserve">robust and </w:t>
      </w:r>
      <w:r w:rsidRPr="009B46A1">
        <w:rPr>
          <w:rFonts w:ascii="Verdana" w:hAnsi="Verdana" w:cs="Arial"/>
          <w:b/>
          <w:color w:val="auto"/>
        </w:rPr>
        <w:t xml:space="preserve">frequent monitoring and evaluation. This process should consider </w:t>
      </w:r>
      <w:r w:rsidRPr="009B46A1">
        <w:rPr>
          <w:rFonts w:ascii="Verdana" w:hAnsi="Verdana" w:cs="Arial"/>
          <w:b/>
          <w:color w:val="auto"/>
        </w:rPr>
        <w:lastRenderedPageBreak/>
        <w:t xml:space="preserve">whether victims are being identified and </w:t>
      </w:r>
      <w:r w:rsidR="007B7D4F" w:rsidRPr="009B46A1">
        <w:rPr>
          <w:rFonts w:ascii="Verdana" w:hAnsi="Verdana" w:cs="Arial"/>
          <w:b/>
          <w:color w:val="auto"/>
        </w:rPr>
        <w:t>supported</w:t>
      </w:r>
      <w:r w:rsidR="00410F44">
        <w:rPr>
          <w:rFonts w:ascii="Verdana" w:hAnsi="Verdana" w:cs="Arial"/>
          <w:b/>
          <w:color w:val="auto"/>
        </w:rPr>
        <w:t>,</w:t>
      </w:r>
      <w:r w:rsidR="007B7D4F" w:rsidRPr="009B46A1">
        <w:rPr>
          <w:rFonts w:ascii="Verdana" w:hAnsi="Verdana" w:cs="Arial"/>
          <w:b/>
          <w:color w:val="auto"/>
        </w:rPr>
        <w:t xml:space="preserve"> </w:t>
      </w:r>
      <w:r w:rsidRPr="009B46A1">
        <w:rPr>
          <w:rFonts w:ascii="Verdana" w:hAnsi="Verdana" w:cs="Arial"/>
          <w:b/>
          <w:color w:val="auto"/>
        </w:rPr>
        <w:t>oversee the adequacy and frequency of training delivered to public authorities</w:t>
      </w:r>
      <w:r w:rsidR="00410F44">
        <w:rPr>
          <w:rFonts w:ascii="Verdana" w:hAnsi="Verdana" w:cs="Arial"/>
          <w:b/>
          <w:color w:val="auto"/>
        </w:rPr>
        <w:t xml:space="preserve"> and ensure remedial steps are implemented</w:t>
      </w:r>
      <w:r w:rsidRPr="009B46A1">
        <w:rPr>
          <w:rFonts w:ascii="Verdana" w:hAnsi="Verdana" w:cs="Arial"/>
          <w:b/>
          <w:color w:val="auto"/>
        </w:rPr>
        <w:t>.</w:t>
      </w:r>
      <w:r w:rsidR="004F22BC">
        <w:rPr>
          <w:rFonts w:ascii="Verdana" w:hAnsi="Verdana" w:cs="Arial"/>
          <w:b/>
          <w:color w:val="auto"/>
        </w:rPr>
        <w:t xml:space="preserve"> This should be </w:t>
      </w:r>
      <w:r w:rsidR="00410F44">
        <w:rPr>
          <w:rFonts w:ascii="Verdana" w:hAnsi="Verdana" w:cs="Arial"/>
          <w:b/>
          <w:color w:val="auto"/>
        </w:rPr>
        <w:t xml:space="preserve">subject to </w:t>
      </w:r>
      <w:r w:rsidR="00347DC4">
        <w:rPr>
          <w:rFonts w:ascii="Verdana" w:hAnsi="Verdana" w:cs="Arial"/>
          <w:b/>
          <w:color w:val="auto"/>
        </w:rPr>
        <w:t xml:space="preserve">annual </w:t>
      </w:r>
      <w:r w:rsidR="004F22BC">
        <w:rPr>
          <w:rFonts w:ascii="Verdana" w:hAnsi="Verdana" w:cs="Arial"/>
          <w:b/>
          <w:color w:val="auto"/>
        </w:rPr>
        <w:t>report</w:t>
      </w:r>
      <w:r w:rsidR="00410F44">
        <w:rPr>
          <w:rFonts w:ascii="Verdana" w:hAnsi="Verdana" w:cs="Arial"/>
          <w:b/>
          <w:color w:val="auto"/>
        </w:rPr>
        <w:t>ing</w:t>
      </w:r>
      <w:r w:rsidR="004F22BC">
        <w:rPr>
          <w:rFonts w:ascii="Verdana" w:hAnsi="Verdana" w:cs="Arial"/>
          <w:b/>
          <w:color w:val="auto"/>
        </w:rPr>
        <w:t xml:space="preserve"> alongside commitments </w:t>
      </w:r>
      <w:r w:rsidR="00247107">
        <w:rPr>
          <w:rFonts w:ascii="Verdana" w:hAnsi="Verdana" w:cs="Arial"/>
          <w:b/>
          <w:color w:val="auto"/>
        </w:rPr>
        <w:t xml:space="preserve">in the NI </w:t>
      </w:r>
      <w:r w:rsidR="00247107" w:rsidRPr="00247107">
        <w:rPr>
          <w:rFonts w:ascii="Verdana" w:hAnsi="Verdana" w:cs="Arial"/>
          <w:b/>
          <w:color w:val="auto"/>
        </w:rPr>
        <w:t>Modern Slavery and Human</w:t>
      </w:r>
      <w:r w:rsidR="00247107">
        <w:rPr>
          <w:rFonts w:ascii="Verdana" w:hAnsi="Verdana" w:cs="Arial"/>
          <w:b/>
          <w:color w:val="auto"/>
        </w:rPr>
        <w:t xml:space="preserve"> </w:t>
      </w:r>
      <w:r w:rsidR="00247107" w:rsidRPr="00247107">
        <w:rPr>
          <w:rFonts w:ascii="Verdana" w:hAnsi="Verdana" w:cs="Arial"/>
          <w:b/>
          <w:color w:val="auto"/>
        </w:rPr>
        <w:t>Trafficking Strategy</w:t>
      </w:r>
      <w:r w:rsidR="00247107">
        <w:rPr>
          <w:rFonts w:ascii="Verdana" w:hAnsi="Verdana" w:cs="Arial"/>
          <w:b/>
          <w:color w:val="auto"/>
        </w:rPr>
        <w:t>.</w:t>
      </w:r>
    </w:p>
    <w:p w14:paraId="1D261C6A" w14:textId="67490D38" w:rsidR="00837543" w:rsidRPr="005E22DA" w:rsidRDefault="00E71EE5" w:rsidP="005E22DA">
      <w:pPr>
        <w:pStyle w:val="Style1"/>
        <w:spacing w:after="240"/>
        <w:rPr>
          <w:b w:val="0"/>
          <w:bCs/>
        </w:rPr>
      </w:pPr>
      <w:r>
        <w:rPr>
          <w:b w:val="0"/>
          <w:bCs/>
        </w:rPr>
        <w:t xml:space="preserve"> </w:t>
      </w:r>
    </w:p>
    <w:p w14:paraId="212FF9D6" w14:textId="3E5B03DA" w:rsidR="00837543" w:rsidRPr="00182E9D" w:rsidRDefault="00182E9D" w:rsidP="00182E9D">
      <w:pPr>
        <w:pStyle w:val="Heading1"/>
      </w:pPr>
      <w:bookmarkStart w:id="14" w:name="_Toc105754275"/>
      <w:r>
        <w:t>6.0</w:t>
      </w:r>
      <w:r>
        <w:tab/>
        <w:t>Additional Powers to Search a Person</w:t>
      </w:r>
      <w:bookmarkEnd w:id="14"/>
    </w:p>
    <w:p w14:paraId="316818E8" w14:textId="0C00EF29" w:rsidR="009F0C7F" w:rsidRDefault="003C504B" w:rsidP="00087302">
      <w:pPr>
        <w:pStyle w:val="Style1"/>
        <w:numPr>
          <w:ilvl w:val="1"/>
          <w:numId w:val="11"/>
        </w:numPr>
        <w:rPr>
          <w:b w:val="0"/>
          <w:bCs/>
          <w:color w:val="auto"/>
          <w:sz w:val="24"/>
          <w:szCs w:val="24"/>
        </w:rPr>
      </w:pPr>
      <w:r>
        <w:rPr>
          <w:b w:val="0"/>
          <w:bCs/>
          <w:color w:val="auto"/>
          <w:sz w:val="24"/>
          <w:szCs w:val="24"/>
        </w:rPr>
        <w:t>A</w:t>
      </w:r>
      <w:r w:rsidR="009F0C7F" w:rsidRPr="00BA1675">
        <w:rPr>
          <w:b w:val="0"/>
          <w:bCs/>
          <w:color w:val="auto"/>
          <w:sz w:val="24"/>
          <w:szCs w:val="24"/>
        </w:rPr>
        <w:t xml:space="preserve"> power to search persons pursuant to a warrant under section 10 of </w:t>
      </w:r>
      <w:r w:rsidR="009F0C7F">
        <w:rPr>
          <w:b w:val="0"/>
          <w:bCs/>
          <w:color w:val="auto"/>
          <w:sz w:val="24"/>
          <w:szCs w:val="24"/>
        </w:rPr>
        <w:t>the Police and Criminal Evidence (NI) Order 1989</w:t>
      </w:r>
      <w:r w:rsidR="009F0C7F" w:rsidRPr="00BA1675">
        <w:rPr>
          <w:b w:val="0"/>
          <w:bCs/>
          <w:color w:val="auto"/>
          <w:sz w:val="24"/>
          <w:szCs w:val="24"/>
        </w:rPr>
        <w:t xml:space="preserve"> </w:t>
      </w:r>
      <w:r>
        <w:rPr>
          <w:b w:val="0"/>
          <w:bCs/>
          <w:color w:val="auto"/>
          <w:sz w:val="24"/>
          <w:szCs w:val="24"/>
        </w:rPr>
        <w:t>is</w:t>
      </w:r>
      <w:r w:rsidR="009F0C7F" w:rsidRPr="00BA1675">
        <w:rPr>
          <w:b w:val="0"/>
          <w:bCs/>
          <w:color w:val="auto"/>
          <w:sz w:val="24"/>
          <w:szCs w:val="24"/>
        </w:rPr>
        <w:t xml:space="preserve"> a valuable investigatory tool in the context of modern slavery and human trafficking offences. </w:t>
      </w:r>
      <w:r w:rsidR="009F0C7F">
        <w:rPr>
          <w:b w:val="0"/>
          <w:bCs/>
          <w:color w:val="auto"/>
          <w:sz w:val="24"/>
          <w:szCs w:val="24"/>
        </w:rPr>
        <w:t>The</w:t>
      </w:r>
      <w:r w:rsidR="00A951BB">
        <w:rPr>
          <w:b w:val="0"/>
          <w:bCs/>
          <w:color w:val="auto"/>
          <w:sz w:val="24"/>
          <w:szCs w:val="24"/>
        </w:rPr>
        <w:t xml:space="preserve"> </w:t>
      </w:r>
      <w:r w:rsidR="003537BE">
        <w:rPr>
          <w:b w:val="0"/>
          <w:bCs/>
          <w:color w:val="auto"/>
          <w:sz w:val="24"/>
          <w:szCs w:val="24"/>
        </w:rPr>
        <w:t>EU Trafficking Directive</w:t>
      </w:r>
      <w:r w:rsidR="009F0C7F">
        <w:rPr>
          <w:b w:val="0"/>
          <w:bCs/>
          <w:color w:val="auto"/>
          <w:sz w:val="24"/>
          <w:szCs w:val="24"/>
        </w:rPr>
        <w:t xml:space="preserve"> requires </w:t>
      </w:r>
      <w:r w:rsidR="00B1184C">
        <w:rPr>
          <w:b w:val="0"/>
          <w:bCs/>
          <w:color w:val="auto"/>
          <w:sz w:val="24"/>
          <w:szCs w:val="24"/>
        </w:rPr>
        <w:t>States</w:t>
      </w:r>
      <w:r w:rsidR="009F0C7F">
        <w:rPr>
          <w:b w:val="0"/>
          <w:bCs/>
          <w:color w:val="auto"/>
          <w:sz w:val="24"/>
          <w:szCs w:val="24"/>
        </w:rPr>
        <w:t xml:space="preserve"> to “take </w:t>
      </w:r>
      <w:r w:rsidR="009F0C7F" w:rsidRPr="00346AB3">
        <w:rPr>
          <w:b w:val="0"/>
          <w:bCs/>
          <w:color w:val="auto"/>
          <w:sz w:val="24"/>
          <w:szCs w:val="24"/>
        </w:rPr>
        <w:t>the necessary measures to ensure that effective investigative tools, such as those which are used in organised crime or other serious crime cases</w:t>
      </w:r>
      <w:r w:rsidR="009F0C7F">
        <w:rPr>
          <w:b w:val="0"/>
          <w:bCs/>
          <w:color w:val="auto"/>
          <w:sz w:val="24"/>
          <w:szCs w:val="24"/>
        </w:rPr>
        <w:t>”</w:t>
      </w:r>
      <w:r w:rsidR="009F0C7F" w:rsidRPr="00346AB3">
        <w:rPr>
          <w:b w:val="0"/>
          <w:bCs/>
          <w:color w:val="auto"/>
          <w:sz w:val="24"/>
          <w:szCs w:val="24"/>
        </w:rPr>
        <w:t xml:space="preserve"> </w:t>
      </w:r>
      <w:r w:rsidR="009F0C7F">
        <w:rPr>
          <w:b w:val="0"/>
          <w:bCs/>
          <w:color w:val="auto"/>
          <w:sz w:val="24"/>
          <w:szCs w:val="24"/>
        </w:rPr>
        <w:t xml:space="preserve">are </w:t>
      </w:r>
      <w:r w:rsidR="009F0C7F" w:rsidRPr="00346AB3">
        <w:rPr>
          <w:b w:val="0"/>
          <w:bCs/>
          <w:color w:val="auto"/>
          <w:sz w:val="24"/>
          <w:szCs w:val="24"/>
        </w:rPr>
        <w:t xml:space="preserve">available </w:t>
      </w:r>
      <w:r w:rsidR="009F0C7F">
        <w:rPr>
          <w:b w:val="0"/>
          <w:bCs/>
          <w:color w:val="auto"/>
          <w:sz w:val="24"/>
          <w:szCs w:val="24"/>
        </w:rPr>
        <w:t xml:space="preserve">in the investigation and </w:t>
      </w:r>
      <w:r w:rsidR="009F0C7F" w:rsidRPr="00346AB3">
        <w:rPr>
          <w:b w:val="0"/>
          <w:bCs/>
          <w:color w:val="auto"/>
          <w:sz w:val="24"/>
          <w:szCs w:val="24"/>
        </w:rPr>
        <w:t>prosecut</w:t>
      </w:r>
      <w:r w:rsidR="009F0C7F">
        <w:rPr>
          <w:b w:val="0"/>
          <w:bCs/>
          <w:color w:val="auto"/>
          <w:sz w:val="24"/>
          <w:szCs w:val="24"/>
        </w:rPr>
        <w:t>ion of trafficking</w:t>
      </w:r>
      <w:r w:rsidR="009F0C7F" w:rsidRPr="00346AB3">
        <w:rPr>
          <w:b w:val="0"/>
          <w:bCs/>
          <w:color w:val="auto"/>
          <w:sz w:val="24"/>
          <w:szCs w:val="24"/>
        </w:rPr>
        <w:t xml:space="preserve"> offences.</w:t>
      </w:r>
      <w:r w:rsidR="009F0C7F">
        <w:rPr>
          <w:rStyle w:val="FootnoteReference"/>
          <w:b w:val="0"/>
          <w:bCs/>
          <w:color w:val="auto"/>
          <w:sz w:val="24"/>
          <w:szCs w:val="24"/>
        </w:rPr>
        <w:footnoteReference w:id="87"/>
      </w:r>
      <w:r w:rsidR="009F0C7F">
        <w:rPr>
          <w:b w:val="0"/>
          <w:bCs/>
          <w:color w:val="auto"/>
          <w:sz w:val="24"/>
          <w:szCs w:val="24"/>
        </w:rPr>
        <w:t xml:space="preserve"> </w:t>
      </w:r>
      <w:r w:rsidR="009F0C7F" w:rsidRPr="00BA1675">
        <w:rPr>
          <w:b w:val="0"/>
          <w:bCs/>
          <w:color w:val="auto"/>
          <w:sz w:val="24"/>
          <w:szCs w:val="24"/>
        </w:rPr>
        <w:t xml:space="preserve"> </w:t>
      </w:r>
    </w:p>
    <w:p w14:paraId="01904F9B" w14:textId="77777777" w:rsidR="009F0C7F" w:rsidRDefault="009F0C7F" w:rsidP="009F0C7F">
      <w:pPr>
        <w:pStyle w:val="Style1"/>
        <w:ind w:left="720"/>
        <w:rPr>
          <w:b w:val="0"/>
          <w:bCs/>
          <w:color w:val="auto"/>
          <w:sz w:val="24"/>
          <w:szCs w:val="24"/>
        </w:rPr>
      </w:pPr>
    </w:p>
    <w:p w14:paraId="184AA030" w14:textId="64713BE3" w:rsidR="009F0C7F" w:rsidRDefault="009F0C7F" w:rsidP="00087302">
      <w:pPr>
        <w:pStyle w:val="Style1"/>
        <w:numPr>
          <w:ilvl w:val="1"/>
          <w:numId w:val="11"/>
        </w:numPr>
        <w:rPr>
          <w:b w:val="0"/>
          <w:bCs/>
          <w:color w:val="auto"/>
          <w:sz w:val="24"/>
          <w:szCs w:val="24"/>
        </w:rPr>
      </w:pPr>
      <w:r w:rsidRPr="00BA1675">
        <w:rPr>
          <w:b w:val="0"/>
          <w:bCs/>
          <w:color w:val="auto"/>
          <w:sz w:val="24"/>
          <w:szCs w:val="24"/>
        </w:rPr>
        <w:t>However, search warrants are one of the most intrusive powers available to the police and a direct interference with an individual’s right to respect for private and family life under Article 8 ECHR</w:t>
      </w:r>
      <w:r>
        <w:rPr>
          <w:b w:val="0"/>
          <w:bCs/>
          <w:color w:val="auto"/>
          <w:sz w:val="24"/>
          <w:szCs w:val="24"/>
        </w:rPr>
        <w:t xml:space="preserve">. </w:t>
      </w:r>
      <w:r w:rsidRPr="0016090B">
        <w:rPr>
          <w:b w:val="0"/>
          <w:bCs/>
          <w:color w:val="auto"/>
          <w:sz w:val="24"/>
          <w:szCs w:val="24"/>
        </w:rPr>
        <w:t xml:space="preserve">Article 8 of the ECHR recognises that “everyone has the right to respect for his private and family life, his home and his correspondence”. This is not an absolute right and can be limited. Article 8(2) of the ECHR permits interference with this right in the interests of public safety or for the protection of the rights and freedoms of others, provided that such interference is in accordance with law, in pursuance of a legitimate aim and is no more than is necessary in a democratic society – </w:t>
      </w:r>
      <w:r w:rsidRPr="002D16A7">
        <w:rPr>
          <w:b w:val="0"/>
          <w:bCs/>
          <w:color w:val="auto"/>
          <w:sz w:val="24"/>
          <w:szCs w:val="24"/>
        </w:rPr>
        <w:t>proportionate and based on the principle of non-discrimination.</w:t>
      </w:r>
      <w:r>
        <w:rPr>
          <w:rStyle w:val="FootnoteReference"/>
          <w:b w:val="0"/>
          <w:bCs/>
          <w:color w:val="auto"/>
          <w:sz w:val="24"/>
          <w:szCs w:val="24"/>
        </w:rPr>
        <w:footnoteReference w:id="88"/>
      </w:r>
    </w:p>
    <w:p w14:paraId="0EB461C9" w14:textId="77777777" w:rsidR="00837543" w:rsidRDefault="00837543" w:rsidP="00837543">
      <w:pPr>
        <w:pStyle w:val="ListParagraph"/>
        <w:rPr>
          <w:b/>
          <w:bCs/>
        </w:rPr>
      </w:pPr>
    </w:p>
    <w:p w14:paraId="428BF2B6" w14:textId="77777777" w:rsidR="00CE2DF5" w:rsidRDefault="00A951BB" w:rsidP="00CE2DF5">
      <w:pPr>
        <w:pStyle w:val="Style1"/>
        <w:numPr>
          <w:ilvl w:val="1"/>
          <w:numId w:val="11"/>
        </w:numPr>
        <w:rPr>
          <w:b w:val="0"/>
          <w:bCs/>
          <w:color w:val="auto"/>
          <w:sz w:val="24"/>
          <w:szCs w:val="24"/>
        </w:rPr>
      </w:pPr>
      <w:r w:rsidRPr="00837543">
        <w:rPr>
          <w:b w:val="0"/>
          <w:bCs/>
          <w:color w:val="auto"/>
          <w:sz w:val="24"/>
          <w:szCs w:val="24"/>
        </w:rPr>
        <w:t xml:space="preserve">The </w:t>
      </w:r>
      <w:r w:rsidR="009F0C7F" w:rsidRPr="00837543">
        <w:rPr>
          <w:b w:val="0"/>
          <w:bCs/>
          <w:color w:val="auto"/>
          <w:sz w:val="24"/>
          <w:szCs w:val="24"/>
        </w:rPr>
        <w:t>ECtHR</w:t>
      </w:r>
      <w:r w:rsidRPr="00837543">
        <w:rPr>
          <w:b w:val="0"/>
          <w:bCs/>
          <w:color w:val="auto"/>
          <w:sz w:val="24"/>
          <w:szCs w:val="24"/>
        </w:rPr>
        <w:t>’s</w:t>
      </w:r>
      <w:r w:rsidR="009F0C7F" w:rsidRPr="00837543">
        <w:rPr>
          <w:b w:val="0"/>
          <w:bCs/>
          <w:color w:val="auto"/>
          <w:sz w:val="24"/>
          <w:szCs w:val="24"/>
        </w:rPr>
        <w:t xml:space="preserve"> case law indicates that the “in accordance with law” element of Article 8(2) incorporates a “quality of law” requirement.</w:t>
      </w:r>
      <w:r w:rsidR="002D2537">
        <w:rPr>
          <w:rStyle w:val="FootnoteReference"/>
          <w:b w:val="0"/>
          <w:bCs/>
          <w:color w:val="auto"/>
          <w:sz w:val="24"/>
          <w:szCs w:val="24"/>
        </w:rPr>
        <w:footnoteReference w:id="89"/>
      </w:r>
      <w:r w:rsidR="009F0C7F" w:rsidRPr="00837543">
        <w:rPr>
          <w:b w:val="0"/>
          <w:bCs/>
          <w:color w:val="auto"/>
          <w:sz w:val="24"/>
          <w:szCs w:val="24"/>
        </w:rPr>
        <w:t xml:space="preserve"> This implies that the domestic law must not only be accessible and foreseeable in its application but must provide adequate and effective safeguards and guarantees against abuse.</w:t>
      </w:r>
      <w:r w:rsidR="009F0C7F">
        <w:rPr>
          <w:rStyle w:val="FootnoteReference"/>
          <w:b w:val="0"/>
          <w:bCs/>
          <w:color w:val="auto"/>
          <w:sz w:val="24"/>
          <w:szCs w:val="24"/>
        </w:rPr>
        <w:footnoteReference w:id="90"/>
      </w:r>
      <w:r w:rsidR="009F0C7F" w:rsidRPr="00837543">
        <w:rPr>
          <w:b w:val="0"/>
          <w:bCs/>
          <w:color w:val="auto"/>
          <w:sz w:val="24"/>
          <w:szCs w:val="24"/>
        </w:rPr>
        <w:t xml:space="preserve"> Therefore, the Department must ensure that </w:t>
      </w:r>
      <w:r w:rsidR="009F0C7F" w:rsidRPr="00837543">
        <w:rPr>
          <w:b w:val="0"/>
          <w:bCs/>
          <w:color w:val="auto"/>
          <w:sz w:val="24"/>
          <w:szCs w:val="24"/>
        </w:rPr>
        <w:lastRenderedPageBreak/>
        <w:t>any additional police search power is sufficiently circumscribed to not be misused and provides adequate protection against arbitrary interference. In the creation of domestic safeguards, the Department should consider</w:t>
      </w:r>
      <w:r w:rsidRPr="00837543">
        <w:rPr>
          <w:b w:val="0"/>
          <w:bCs/>
          <w:color w:val="auto"/>
          <w:sz w:val="24"/>
          <w:szCs w:val="24"/>
        </w:rPr>
        <w:t xml:space="preserve"> </w:t>
      </w:r>
      <w:r w:rsidR="009F0C7F" w:rsidRPr="00837543">
        <w:rPr>
          <w:b w:val="0"/>
          <w:bCs/>
          <w:color w:val="auto"/>
          <w:sz w:val="24"/>
          <w:szCs w:val="24"/>
        </w:rPr>
        <w:t>“the nature, scope and duration of the possible measures, the grounds required for ordering such measures, the authorities competent to permit, carry out and supervise such measures, and the kind of remedy provided by the national law”.</w:t>
      </w:r>
      <w:r w:rsidR="009F0C7F">
        <w:rPr>
          <w:rStyle w:val="FootnoteReference"/>
          <w:b w:val="0"/>
          <w:bCs/>
          <w:color w:val="auto"/>
          <w:sz w:val="24"/>
          <w:szCs w:val="24"/>
        </w:rPr>
        <w:footnoteReference w:id="91"/>
      </w:r>
    </w:p>
    <w:p w14:paraId="0DEAF834" w14:textId="77777777" w:rsidR="00CE2DF5" w:rsidRDefault="00CE2DF5" w:rsidP="00CE2DF5">
      <w:pPr>
        <w:pStyle w:val="ListParagraph"/>
        <w:rPr>
          <w:b/>
          <w:bCs/>
        </w:rPr>
      </w:pPr>
    </w:p>
    <w:p w14:paraId="66D5A8EB" w14:textId="1921D8EE" w:rsidR="009F0C7F" w:rsidRPr="00CE2DF5" w:rsidRDefault="00A951BB" w:rsidP="00CE2DF5">
      <w:pPr>
        <w:pStyle w:val="Style1"/>
        <w:numPr>
          <w:ilvl w:val="1"/>
          <w:numId w:val="11"/>
        </w:numPr>
        <w:rPr>
          <w:b w:val="0"/>
          <w:bCs/>
          <w:color w:val="auto"/>
          <w:sz w:val="24"/>
          <w:szCs w:val="24"/>
        </w:rPr>
      </w:pPr>
      <w:r w:rsidRPr="00CE2DF5">
        <w:rPr>
          <w:b w:val="0"/>
          <w:bCs/>
          <w:color w:val="auto"/>
          <w:sz w:val="24"/>
          <w:szCs w:val="24"/>
        </w:rPr>
        <w:t>I</w:t>
      </w:r>
      <w:r w:rsidR="009F0C7F" w:rsidRPr="00CE2DF5">
        <w:rPr>
          <w:b w:val="0"/>
          <w:bCs/>
          <w:color w:val="auto"/>
          <w:sz w:val="24"/>
          <w:szCs w:val="24"/>
        </w:rPr>
        <w:t xml:space="preserve">t is difficult to provide substantive comment on this proposal without details of safeguards that explicitly set out when the proposed power may be exercised, the </w:t>
      </w:r>
      <w:proofErr w:type="gramStart"/>
      <w:r w:rsidR="009F0C7F" w:rsidRPr="00CE2DF5">
        <w:rPr>
          <w:b w:val="0"/>
          <w:bCs/>
          <w:color w:val="auto"/>
          <w:sz w:val="24"/>
          <w:szCs w:val="24"/>
        </w:rPr>
        <w:t>manner in which</w:t>
      </w:r>
      <w:proofErr w:type="gramEnd"/>
      <w:r w:rsidR="009F0C7F" w:rsidRPr="00CE2DF5">
        <w:rPr>
          <w:b w:val="0"/>
          <w:bCs/>
          <w:color w:val="auto"/>
          <w:sz w:val="24"/>
          <w:szCs w:val="24"/>
        </w:rPr>
        <w:t xml:space="preserve"> it </w:t>
      </w:r>
      <w:r w:rsidR="00B53B20" w:rsidRPr="00CE2DF5">
        <w:rPr>
          <w:b w:val="0"/>
          <w:bCs/>
          <w:color w:val="auto"/>
          <w:sz w:val="24"/>
          <w:szCs w:val="24"/>
        </w:rPr>
        <w:t xml:space="preserve">may </w:t>
      </w:r>
      <w:r w:rsidR="009F0C7F" w:rsidRPr="00CE2DF5">
        <w:rPr>
          <w:b w:val="0"/>
          <w:bCs/>
          <w:color w:val="auto"/>
          <w:sz w:val="24"/>
          <w:szCs w:val="24"/>
        </w:rPr>
        <w:t>be exercised</w:t>
      </w:r>
      <w:r w:rsidR="00B53B20" w:rsidRPr="00CE2DF5">
        <w:rPr>
          <w:b w:val="0"/>
          <w:bCs/>
          <w:color w:val="auto"/>
          <w:sz w:val="24"/>
          <w:szCs w:val="24"/>
        </w:rPr>
        <w:t xml:space="preserve"> or</w:t>
      </w:r>
      <w:r w:rsidR="009F0C7F" w:rsidRPr="00CE2DF5">
        <w:rPr>
          <w:b w:val="0"/>
          <w:bCs/>
          <w:color w:val="auto"/>
          <w:sz w:val="24"/>
          <w:szCs w:val="24"/>
        </w:rPr>
        <w:t xml:space="preserve"> any governance </w:t>
      </w:r>
      <w:r w:rsidR="00B53B20" w:rsidRPr="00CE2DF5">
        <w:rPr>
          <w:b w:val="0"/>
          <w:bCs/>
          <w:color w:val="auto"/>
          <w:sz w:val="24"/>
          <w:szCs w:val="24"/>
        </w:rPr>
        <w:t xml:space="preserve">and oversight </w:t>
      </w:r>
      <w:r w:rsidR="009F0C7F" w:rsidRPr="00CE2DF5">
        <w:rPr>
          <w:b w:val="0"/>
          <w:bCs/>
          <w:color w:val="auto"/>
          <w:sz w:val="24"/>
          <w:szCs w:val="24"/>
        </w:rPr>
        <w:t>arrangements</w:t>
      </w:r>
      <w:r w:rsidR="00B53B20" w:rsidRPr="00CE2DF5">
        <w:rPr>
          <w:b w:val="0"/>
          <w:bCs/>
          <w:color w:val="auto"/>
          <w:sz w:val="24"/>
          <w:szCs w:val="24"/>
        </w:rPr>
        <w:t xml:space="preserve">. </w:t>
      </w:r>
    </w:p>
    <w:p w14:paraId="21188AB0" w14:textId="77777777" w:rsidR="00CE2DF5" w:rsidRPr="00B53B20" w:rsidRDefault="00CE2DF5" w:rsidP="00095E28">
      <w:pPr>
        <w:pStyle w:val="Style1"/>
        <w:ind w:left="720"/>
        <w:rPr>
          <w:b w:val="0"/>
          <w:bCs/>
          <w:color w:val="auto"/>
          <w:sz w:val="24"/>
          <w:szCs w:val="24"/>
        </w:rPr>
      </w:pPr>
    </w:p>
    <w:p w14:paraId="6706E46D" w14:textId="40748BF1" w:rsidR="00EB7D00" w:rsidRDefault="00B53B20" w:rsidP="00087302">
      <w:pPr>
        <w:pStyle w:val="Style1"/>
        <w:numPr>
          <w:ilvl w:val="1"/>
          <w:numId w:val="11"/>
        </w:numPr>
        <w:rPr>
          <w:color w:val="auto"/>
          <w:sz w:val="24"/>
          <w:szCs w:val="24"/>
        </w:rPr>
      </w:pPr>
      <w:r>
        <w:rPr>
          <w:color w:val="auto"/>
          <w:sz w:val="24"/>
          <w:szCs w:val="24"/>
        </w:rPr>
        <w:t>In conclusion, t</w:t>
      </w:r>
      <w:r w:rsidR="009F0C7F" w:rsidRPr="00460F36">
        <w:rPr>
          <w:color w:val="auto"/>
          <w:sz w:val="24"/>
          <w:szCs w:val="24"/>
        </w:rPr>
        <w:t xml:space="preserve">he NIHRC </w:t>
      </w:r>
      <w:r w:rsidR="009F0C7F">
        <w:rPr>
          <w:color w:val="auto"/>
          <w:sz w:val="24"/>
          <w:szCs w:val="24"/>
        </w:rPr>
        <w:t>seeks further information from the</w:t>
      </w:r>
      <w:r w:rsidR="009F0C7F" w:rsidRPr="00460F36">
        <w:rPr>
          <w:color w:val="auto"/>
          <w:sz w:val="24"/>
          <w:szCs w:val="24"/>
        </w:rPr>
        <w:t xml:space="preserve"> Department </w:t>
      </w:r>
      <w:r w:rsidR="00A951BB">
        <w:rPr>
          <w:color w:val="auto"/>
          <w:sz w:val="24"/>
          <w:szCs w:val="24"/>
        </w:rPr>
        <w:t xml:space="preserve">of Justice </w:t>
      </w:r>
      <w:r w:rsidR="009F0C7F" w:rsidRPr="00C52ACD">
        <w:rPr>
          <w:color w:val="auto"/>
          <w:sz w:val="24"/>
          <w:szCs w:val="24"/>
        </w:rPr>
        <w:t xml:space="preserve">on its proposal for additional search powers under section 10 of </w:t>
      </w:r>
      <w:r w:rsidR="009F0C7F">
        <w:rPr>
          <w:color w:val="auto"/>
          <w:sz w:val="24"/>
          <w:szCs w:val="24"/>
        </w:rPr>
        <w:t xml:space="preserve">the </w:t>
      </w:r>
      <w:r w:rsidR="009F0C7F" w:rsidRPr="00647AFF">
        <w:rPr>
          <w:color w:val="auto"/>
          <w:sz w:val="24"/>
          <w:szCs w:val="24"/>
        </w:rPr>
        <w:t>Police and Criminal Evidence (NI) Order 1989</w:t>
      </w:r>
      <w:r w:rsidR="009F0C7F">
        <w:rPr>
          <w:color w:val="auto"/>
          <w:sz w:val="24"/>
          <w:szCs w:val="24"/>
        </w:rPr>
        <w:t>, which should include:</w:t>
      </w:r>
    </w:p>
    <w:p w14:paraId="2DBE2C18" w14:textId="0763F17E" w:rsidR="009F0C7F" w:rsidRPr="002733A4" w:rsidRDefault="009F0C7F" w:rsidP="00EB7D00">
      <w:pPr>
        <w:pStyle w:val="Style1"/>
        <w:rPr>
          <w:color w:val="auto"/>
          <w:sz w:val="24"/>
          <w:szCs w:val="24"/>
        </w:rPr>
      </w:pPr>
    </w:p>
    <w:p w14:paraId="73AE5DB2" w14:textId="77777777" w:rsidR="009F0C7F" w:rsidRDefault="009F0C7F" w:rsidP="00087302">
      <w:pPr>
        <w:pStyle w:val="Style1"/>
        <w:numPr>
          <w:ilvl w:val="0"/>
          <w:numId w:val="8"/>
        </w:numPr>
        <w:rPr>
          <w:color w:val="auto"/>
          <w:sz w:val="24"/>
          <w:szCs w:val="24"/>
        </w:rPr>
      </w:pPr>
      <w:r>
        <w:rPr>
          <w:color w:val="auto"/>
          <w:sz w:val="24"/>
          <w:szCs w:val="24"/>
        </w:rPr>
        <w:t xml:space="preserve">analysis of current statutory powers and comparison with other </w:t>
      </w:r>
      <w:proofErr w:type="gramStart"/>
      <w:r>
        <w:rPr>
          <w:color w:val="auto"/>
          <w:sz w:val="24"/>
          <w:szCs w:val="24"/>
        </w:rPr>
        <w:t>jurisdictions;</w:t>
      </w:r>
      <w:proofErr w:type="gramEnd"/>
    </w:p>
    <w:p w14:paraId="034D72B9" w14:textId="77777777" w:rsidR="009F0C7F" w:rsidRDefault="009F0C7F" w:rsidP="00087302">
      <w:pPr>
        <w:pStyle w:val="Style1"/>
        <w:numPr>
          <w:ilvl w:val="0"/>
          <w:numId w:val="8"/>
        </w:numPr>
        <w:rPr>
          <w:color w:val="auto"/>
          <w:sz w:val="24"/>
          <w:szCs w:val="24"/>
        </w:rPr>
      </w:pPr>
      <w:r>
        <w:rPr>
          <w:color w:val="auto"/>
          <w:sz w:val="24"/>
          <w:szCs w:val="24"/>
        </w:rPr>
        <w:t xml:space="preserve">proposed </w:t>
      </w:r>
      <w:r w:rsidRPr="00C52ACD">
        <w:rPr>
          <w:color w:val="auto"/>
          <w:sz w:val="24"/>
          <w:szCs w:val="24"/>
        </w:rPr>
        <w:t>safeguards to ensure the power is not used arbitrarily</w:t>
      </w:r>
      <w:r>
        <w:rPr>
          <w:color w:val="auto"/>
          <w:sz w:val="24"/>
          <w:szCs w:val="24"/>
        </w:rPr>
        <w:t>;</w:t>
      </w:r>
      <w:r w:rsidRPr="00C52ACD">
        <w:rPr>
          <w:color w:val="auto"/>
          <w:sz w:val="24"/>
          <w:szCs w:val="24"/>
        </w:rPr>
        <w:t xml:space="preserve"> and </w:t>
      </w:r>
    </w:p>
    <w:p w14:paraId="24A39B7F" w14:textId="301D9592" w:rsidR="003B7D0E" w:rsidRPr="007C5A87" w:rsidRDefault="009F0C7F" w:rsidP="00087302">
      <w:pPr>
        <w:pStyle w:val="Style1"/>
        <w:numPr>
          <w:ilvl w:val="0"/>
          <w:numId w:val="8"/>
        </w:numPr>
        <w:rPr>
          <w:color w:val="auto"/>
          <w:sz w:val="24"/>
          <w:szCs w:val="24"/>
        </w:rPr>
      </w:pPr>
      <w:r w:rsidRPr="00C52ACD">
        <w:rPr>
          <w:color w:val="auto"/>
          <w:sz w:val="24"/>
          <w:szCs w:val="24"/>
        </w:rPr>
        <w:t>a detailed human rights impact assessment</w:t>
      </w:r>
      <w:r>
        <w:rPr>
          <w:color w:val="auto"/>
          <w:sz w:val="24"/>
          <w:szCs w:val="24"/>
        </w:rPr>
        <w:t xml:space="preserve">, with </w:t>
      </w:r>
      <w:proofErr w:type="gramStart"/>
      <w:r>
        <w:rPr>
          <w:color w:val="auto"/>
          <w:sz w:val="24"/>
          <w:szCs w:val="24"/>
        </w:rPr>
        <w:t>particular regard</w:t>
      </w:r>
      <w:proofErr w:type="gramEnd"/>
      <w:r>
        <w:rPr>
          <w:color w:val="auto"/>
          <w:sz w:val="24"/>
          <w:szCs w:val="24"/>
        </w:rPr>
        <w:t xml:space="preserve"> for Article 8 ECHR.</w:t>
      </w:r>
    </w:p>
    <w:p w14:paraId="7E5A46E5" w14:textId="043F21B1" w:rsidR="00A11AF3" w:rsidRDefault="00A11AF3" w:rsidP="003B7D0E">
      <w:pPr>
        <w:pStyle w:val="BasicParagraph"/>
        <w:suppressAutoHyphens/>
        <w:jc w:val="center"/>
        <w:rPr>
          <w:rFonts w:ascii="Verdana" w:hAnsi="Verdana" w:cs="Arial"/>
          <w:color w:val="3C3C3B"/>
          <w:sz w:val="20"/>
          <w:szCs w:val="20"/>
        </w:rPr>
      </w:pPr>
    </w:p>
    <w:p w14:paraId="04FC26D2" w14:textId="5869FD83" w:rsidR="00EF6437" w:rsidRDefault="00EF6437" w:rsidP="003B7D0E">
      <w:pPr>
        <w:pStyle w:val="BasicParagraph"/>
        <w:suppressAutoHyphens/>
        <w:jc w:val="center"/>
        <w:rPr>
          <w:rFonts w:ascii="Verdana" w:hAnsi="Verdana" w:cs="Arial"/>
          <w:color w:val="3C3C3B"/>
          <w:sz w:val="20"/>
          <w:szCs w:val="20"/>
        </w:rPr>
      </w:pPr>
    </w:p>
    <w:p w14:paraId="752F5F68" w14:textId="356C0A4C" w:rsidR="00EF6437" w:rsidRDefault="00EF6437" w:rsidP="003B7D0E">
      <w:pPr>
        <w:pStyle w:val="BasicParagraph"/>
        <w:suppressAutoHyphens/>
        <w:jc w:val="center"/>
        <w:rPr>
          <w:rFonts w:ascii="Verdana" w:hAnsi="Verdana" w:cs="Arial"/>
          <w:color w:val="3C3C3B"/>
          <w:sz w:val="20"/>
          <w:szCs w:val="20"/>
        </w:rPr>
      </w:pPr>
    </w:p>
    <w:p w14:paraId="0CD3E6A5" w14:textId="38440409" w:rsidR="00EF6437" w:rsidRDefault="00EF6437" w:rsidP="003B7D0E">
      <w:pPr>
        <w:pStyle w:val="BasicParagraph"/>
        <w:suppressAutoHyphens/>
        <w:jc w:val="center"/>
        <w:rPr>
          <w:rFonts w:ascii="Verdana" w:hAnsi="Verdana" w:cs="Arial"/>
          <w:color w:val="3C3C3B"/>
          <w:sz w:val="20"/>
          <w:szCs w:val="20"/>
        </w:rPr>
      </w:pPr>
    </w:p>
    <w:p w14:paraId="245B9AAC" w14:textId="6949844F" w:rsidR="00EF6437" w:rsidRDefault="00EF6437" w:rsidP="003B7D0E">
      <w:pPr>
        <w:pStyle w:val="BasicParagraph"/>
        <w:suppressAutoHyphens/>
        <w:jc w:val="center"/>
        <w:rPr>
          <w:rFonts w:ascii="Verdana" w:hAnsi="Verdana" w:cs="Arial"/>
          <w:color w:val="3C3C3B"/>
          <w:sz w:val="20"/>
          <w:szCs w:val="20"/>
        </w:rPr>
      </w:pPr>
    </w:p>
    <w:p w14:paraId="4465C402" w14:textId="58B41ADE" w:rsidR="00EF6437" w:rsidRDefault="00EF6437" w:rsidP="003B7D0E">
      <w:pPr>
        <w:pStyle w:val="BasicParagraph"/>
        <w:suppressAutoHyphens/>
        <w:jc w:val="center"/>
        <w:rPr>
          <w:rFonts w:ascii="Verdana" w:hAnsi="Verdana" w:cs="Arial"/>
          <w:color w:val="3C3C3B"/>
          <w:sz w:val="20"/>
          <w:szCs w:val="20"/>
        </w:rPr>
      </w:pPr>
    </w:p>
    <w:p w14:paraId="10779729" w14:textId="68649485" w:rsidR="00786D70" w:rsidRDefault="00786D70" w:rsidP="003B7D0E">
      <w:pPr>
        <w:pStyle w:val="BasicParagraph"/>
        <w:suppressAutoHyphens/>
        <w:jc w:val="center"/>
        <w:rPr>
          <w:rFonts w:ascii="Verdana" w:hAnsi="Verdana" w:cs="Arial"/>
          <w:color w:val="3C3C3B"/>
          <w:sz w:val="20"/>
          <w:szCs w:val="20"/>
        </w:rPr>
      </w:pPr>
    </w:p>
    <w:p w14:paraId="75A29DD6" w14:textId="7A8E0DAE" w:rsidR="00786D70" w:rsidRDefault="00786D70" w:rsidP="003B7D0E">
      <w:pPr>
        <w:pStyle w:val="BasicParagraph"/>
        <w:suppressAutoHyphens/>
        <w:jc w:val="center"/>
        <w:rPr>
          <w:rFonts w:ascii="Verdana" w:hAnsi="Verdana" w:cs="Arial"/>
          <w:color w:val="3C3C3B"/>
          <w:sz w:val="20"/>
          <w:szCs w:val="20"/>
        </w:rPr>
      </w:pPr>
    </w:p>
    <w:p w14:paraId="36AFBEA1" w14:textId="0F30E80E" w:rsidR="00786D70" w:rsidRDefault="00786D70" w:rsidP="003B7D0E">
      <w:pPr>
        <w:pStyle w:val="BasicParagraph"/>
        <w:suppressAutoHyphens/>
        <w:jc w:val="center"/>
        <w:rPr>
          <w:rFonts w:ascii="Verdana" w:hAnsi="Verdana" w:cs="Arial"/>
          <w:color w:val="3C3C3B"/>
          <w:sz w:val="20"/>
          <w:szCs w:val="20"/>
        </w:rPr>
      </w:pPr>
    </w:p>
    <w:p w14:paraId="44818EF9" w14:textId="3956BCDA" w:rsidR="00786D70" w:rsidRDefault="00786D70" w:rsidP="003B7D0E">
      <w:pPr>
        <w:pStyle w:val="BasicParagraph"/>
        <w:suppressAutoHyphens/>
        <w:jc w:val="center"/>
        <w:rPr>
          <w:rFonts w:ascii="Verdana" w:hAnsi="Verdana" w:cs="Arial"/>
          <w:color w:val="3C3C3B"/>
          <w:sz w:val="20"/>
          <w:szCs w:val="20"/>
        </w:rPr>
      </w:pPr>
    </w:p>
    <w:p w14:paraId="4F97BB3B" w14:textId="0AF69D94" w:rsidR="00786D70" w:rsidRDefault="00786D70" w:rsidP="003B7D0E">
      <w:pPr>
        <w:pStyle w:val="BasicParagraph"/>
        <w:suppressAutoHyphens/>
        <w:jc w:val="center"/>
        <w:rPr>
          <w:rFonts w:ascii="Verdana" w:hAnsi="Verdana" w:cs="Arial"/>
          <w:color w:val="3C3C3B"/>
          <w:sz w:val="20"/>
          <w:szCs w:val="20"/>
        </w:rPr>
      </w:pPr>
    </w:p>
    <w:p w14:paraId="3207F3C2" w14:textId="761F2DC5" w:rsidR="00786D70" w:rsidRDefault="00786D70" w:rsidP="003B7D0E">
      <w:pPr>
        <w:pStyle w:val="BasicParagraph"/>
        <w:suppressAutoHyphens/>
        <w:jc w:val="center"/>
        <w:rPr>
          <w:rFonts w:ascii="Verdana" w:hAnsi="Verdana" w:cs="Arial"/>
          <w:color w:val="3C3C3B"/>
          <w:sz w:val="20"/>
          <w:szCs w:val="20"/>
        </w:rPr>
      </w:pPr>
    </w:p>
    <w:p w14:paraId="252BC5AB" w14:textId="1B4B0891" w:rsidR="00786D70" w:rsidRDefault="00786D70" w:rsidP="003B7D0E">
      <w:pPr>
        <w:pStyle w:val="BasicParagraph"/>
        <w:suppressAutoHyphens/>
        <w:jc w:val="center"/>
        <w:rPr>
          <w:rFonts w:ascii="Verdana" w:hAnsi="Verdana" w:cs="Arial"/>
          <w:color w:val="3C3C3B"/>
          <w:sz w:val="20"/>
          <w:szCs w:val="20"/>
        </w:rPr>
      </w:pPr>
    </w:p>
    <w:p w14:paraId="45214089" w14:textId="27B5A6EE" w:rsidR="00E22DEE" w:rsidRDefault="00E22DEE" w:rsidP="00896961">
      <w:pPr>
        <w:pStyle w:val="BasicParagraph"/>
        <w:suppressAutoHyphens/>
        <w:rPr>
          <w:rFonts w:ascii="Verdana" w:hAnsi="Verdana" w:cs="Arial"/>
          <w:color w:val="3C3C3B"/>
          <w:sz w:val="20"/>
          <w:szCs w:val="20"/>
        </w:rPr>
      </w:pPr>
    </w:p>
    <w:p w14:paraId="7ED1C628" w14:textId="50ABFA98" w:rsidR="00E22DEE" w:rsidRDefault="00E22DEE" w:rsidP="00896961">
      <w:pPr>
        <w:pStyle w:val="BasicParagraph"/>
        <w:suppressAutoHyphens/>
        <w:rPr>
          <w:rFonts w:ascii="Verdana" w:hAnsi="Verdana" w:cs="Arial"/>
          <w:color w:val="3C3C3B"/>
          <w:sz w:val="20"/>
          <w:szCs w:val="20"/>
        </w:rPr>
      </w:pPr>
    </w:p>
    <w:p w14:paraId="4BAE4257" w14:textId="7733DD12" w:rsidR="00E22DEE" w:rsidRDefault="00E22DEE" w:rsidP="00896961">
      <w:pPr>
        <w:pStyle w:val="BasicParagraph"/>
        <w:suppressAutoHyphens/>
        <w:rPr>
          <w:rFonts w:ascii="Verdana" w:hAnsi="Verdana" w:cs="Arial"/>
          <w:color w:val="3C3C3B"/>
          <w:sz w:val="20"/>
          <w:szCs w:val="20"/>
        </w:rPr>
      </w:pPr>
    </w:p>
    <w:p w14:paraId="1BB4E7BD" w14:textId="062AFC3B" w:rsidR="00E22DEE" w:rsidRDefault="00E22DEE" w:rsidP="00896961">
      <w:pPr>
        <w:pStyle w:val="BasicParagraph"/>
        <w:suppressAutoHyphens/>
        <w:rPr>
          <w:rFonts w:ascii="Verdana" w:hAnsi="Verdana" w:cs="Arial"/>
          <w:color w:val="3C3C3B"/>
          <w:sz w:val="20"/>
          <w:szCs w:val="20"/>
        </w:rPr>
      </w:pPr>
    </w:p>
    <w:p w14:paraId="3A1B0A3F" w14:textId="3A64F02C" w:rsidR="00E22DEE" w:rsidRDefault="00E22DEE" w:rsidP="00896961">
      <w:pPr>
        <w:pStyle w:val="BasicParagraph"/>
        <w:suppressAutoHyphens/>
        <w:rPr>
          <w:rFonts w:ascii="Verdana" w:hAnsi="Verdana" w:cs="Arial"/>
          <w:color w:val="3C3C3B"/>
          <w:sz w:val="20"/>
          <w:szCs w:val="20"/>
        </w:rPr>
      </w:pPr>
    </w:p>
    <w:p w14:paraId="4D5EA74B" w14:textId="4344C3E2" w:rsidR="00E22DEE" w:rsidRDefault="00E22DEE" w:rsidP="00896961">
      <w:pPr>
        <w:pStyle w:val="BasicParagraph"/>
        <w:suppressAutoHyphens/>
        <w:rPr>
          <w:rFonts w:ascii="Verdana" w:hAnsi="Verdana" w:cs="Arial"/>
          <w:color w:val="3C3C3B"/>
          <w:sz w:val="20"/>
          <w:szCs w:val="20"/>
        </w:rPr>
      </w:pPr>
    </w:p>
    <w:p w14:paraId="401B948F" w14:textId="7D1F1B85" w:rsidR="00E22DEE" w:rsidRDefault="00E22DEE" w:rsidP="00896961">
      <w:pPr>
        <w:pStyle w:val="BasicParagraph"/>
        <w:suppressAutoHyphens/>
        <w:rPr>
          <w:rFonts w:ascii="Verdana" w:hAnsi="Verdana" w:cs="Arial"/>
          <w:color w:val="3C3C3B"/>
          <w:sz w:val="20"/>
          <w:szCs w:val="20"/>
        </w:rPr>
      </w:pPr>
    </w:p>
    <w:p w14:paraId="45EAB485" w14:textId="77777777" w:rsidR="00131A0D" w:rsidRDefault="00131A0D" w:rsidP="00896961">
      <w:pPr>
        <w:pStyle w:val="BasicParagraph"/>
        <w:suppressAutoHyphens/>
        <w:rPr>
          <w:rFonts w:ascii="Verdana" w:hAnsi="Verdana" w:cs="Arial"/>
          <w:color w:val="3C3C3B"/>
          <w:sz w:val="20"/>
          <w:szCs w:val="20"/>
        </w:rPr>
      </w:pPr>
    </w:p>
    <w:p w14:paraId="4C720538" w14:textId="77777777" w:rsidR="00131A0D" w:rsidRDefault="00131A0D" w:rsidP="00896961">
      <w:pPr>
        <w:pStyle w:val="BasicParagraph"/>
        <w:suppressAutoHyphens/>
        <w:rPr>
          <w:rFonts w:ascii="Verdana" w:hAnsi="Verdana" w:cs="Arial"/>
          <w:color w:val="3C3C3B"/>
          <w:sz w:val="20"/>
          <w:szCs w:val="20"/>
        </w:rPr>
      </w:pPr>
    </w:p>
    <w:p w14:paraId="084A4356" w14:textId="77777777" w:rsidR="00131A0D" w:rsidRDefault="00131A0D" w:rsidP="00896961">
      <w:pPr>
        <w:pStyle w:val="BasicParagraph"/>
        <w:suppressAutoHyphens/>
        <w:rPr>
          <w:rFonts w:ascii="Verdana" w:hAnsi="Verdana" w:cs="Arial"/>
          <w:color w:val="3C3C3B"/>
          <w:sz w:val="20"/>
          <w:szCs w:val="20"/>
        </w:rPr>
      </w:pPr>
    </w:p>
    <w:p w14:paraId="10A052FD" w14:textId="77777777" w:rsidR="00131A0D" w:rsidRDefault="00131A0D" w:rsidP="00896961">
      <w:pPr>
        <w:pStyle w:val="BasicParagraph"/>
        <w:suppressAutoHyphens/>
        <w:rPr>
          <w:rFonts w:ascii="Verdana" w:hAnsi="Verdana" w:cs="Arial"/>
          <w:color w:val="3C3C3B"/>
          <w:sz w:val="20"/>
          <w:szCs w:val="20"/>
        </w:rPr>
      </w:pPr>
    </w:p>
    <w:p w14:paraId="172E9E8A" w14:textId="77777777" w:rsidR="00131A0D" w:rsidRDefault="00131A0D" w:rsidP="00896961">
      <w:pPr>
        <w:pStyle w:val="BasicParagraph"/>
        <w:suppressAutoHyphens/>
        <w:rPr>
          <w:rFonts w:ascii="Verdana" w:hAnsi="Verdana" w:cs="Arial"/>
          <w:color w:val="3C3C3B"/>
          <w:sz w:val="20"/>
          <w:szCs w:val="20"/>
        </w:rPr>
      </w:pPr>
    </w:p>
    <w:p w14:paraId="6A32859E" w14:textId="77777777" w:rsidR="00131A0D" w:rsidRDefault="00131A0D" w:rsidP="00896961">
      <w:pPr>
        <w:pStyle w:val="BasicParagraph"/>
        <w:suppressAutoHyphens/>
        <w:rPr>
          <w:rFonts w:ascii="Verdana" w:hAnsi="Verdana" w:cs="Arial"/>
          <w:color w:val="3C3C3B"/>
          <w:sz w:val="20"/>
          <w:szCs w:val="20"/>
        </w:rPr>
      </w:pPr>
    </w:p>
    <w:p w14:paraId="513CB469" w14:textId="77777777" w:rsidR="00131A0D" w:rsidRDefault="00131A0D" w:rsidP="00896961">
      <w:pPr>
        <w:pStyle w:val="BasicParagraph"/>
        <w:suppressAutoHyphens/>
        <w:rPr>
          <w:rFonts w:ascii="Verdana" w:hAnsi="Verdana" w:cs="Arial"/>
          <w:color w:val="3C3C3B"/>
          <w:sz w:val="20"/>
          <w:szCs w:val="20"/>
        </w:rPr>
      </w:pPr>
    </w:p>
    <w:p w14:paraId="19EF36D3" w14:textId="77777777" w:rsidR="00131A0D" w:rsidRDefault="00131A0D" w:rsidP="00896961">
      <w:pPr>
        <w:pStyle w:val="BasicParagraph"/>
        <w:suppressAutoHyphens/>
        <w:rPr>
          <w:rFonts w:ascii="Verdana" w:hAnsi="Verdana" w:cs="Arial"/>
          <w:color w:val="3C3C3B"/>
          <w:sz w:val="20"/>
          <w:szCs w:val="20"/>
        </w:rPr>
      </w:pPr>
    </w:p>
    <w:p w14:paraId="4F4EFBF0" w14:textId="77777777" w:rsidR="00131A0D" w:rsidRDefault="00131A0D" w:rsidP="00896961">
      <w:pPr>
        <w:pStyle w:val="BasicParagraph"/>
        <w:suppressAutoHyphens/>
        <w:rPr>
          <w:rFonts w:ascii="Verdana" w:hAnsi="Verdana" w:cs="Arial"/>
          <w:color w:val="3C3C3B"/>
          <w:sz w:val="20"/>
          <w:szCs w:val="20"/>
        </w:rPr>
      </w:pPr>
    </w:p>
    <w:p w14:paraId="1358A745" w14:textId="77777777" w:rsidR="00131A0D" w:rsidRDefault="00131A0D" w:rsidP="00896961">
      <w:pPr>
        <w:pStyle w:val="BasicParagraph"/>
        <w:suppressAutoHyphens/>
        <w:rPr>
          <w:rFonts w:ascii="Verdana" w:hAnsi="Verdana" w:cs="Arial"/>
          <w:color w:val="3C3C3B"/>
          <w:sz w:val="20"/>
          <w:szCs w:val="20"/>
        </w:rPr>
      </w:pPr>
    </w:p>
    <w:p w14:paraId="2D6FBAE6" w14:textId="3261CD84" w:rsidR="00E22DEE" w:rsidRDefault="00E22DEE" w:rsidP="00896961">
      <w:pPr>
        <w:pStyle w:val="BasicParagraph"/>
        <w:suppressAutoHyphens/>
        <w:rPr>
          <w:rFonts w:ascii="Verdana" w:hAnsi="Verdana" w:cs="Arial"/>
          <w:color w:val="3C3C3B"/>
          <w:sz w:val="20"/>
          <w:szCs w:val="20"/>
        </w:rPr>
      </w:pPr>
    </w:p>
    <w:p w14:paraId="22E5F88F" w14:textId="77777777" w:rsidR="003E5DB7" w:rsidRDefault="003E5DB7" w:rsidP="00896961">
      <w:pPr>
        <w:pStyle w:val="BasicParagraph"/>
        <w:suppressAutoHyphens/>
        <w:rPr>
          <w:rFonts w:ascii="Verdana" w:hAnsi="Verdana" w:cs="Arial"/>
          <w:color w:val="3C3C3B"/>
          <w:sz w:val="20"/>
          <w:szCs w:val="20"/>
        </w:rPr>
      </w:pPr>
    </w:p>
    <w:p w14:paraId="433E00A7" w14:textId="77777777" w:rsidR="003E5DB7" w:rsidRDefault="003E5DB7" w:rsidP="00896961">
      <w:pPr>
        <w:pStyle w:val="BasicParagraph"/>
        <w:suppressAutoHyphens/>
        <w:rPr>
          <w:rFonts w:ascii="Verdana" w:hAnsi="Verdana" w:cs="Arial"/>
          <w:color w:val="3C3C3B"/>
          <w:sz w:val="20"/>
          <w:szCs w:val="20"/>
        </w:rPr>
      </w:pPr>
    </w:p>
    <w:p w14:paraId="25C2D014" w14:textId="77777777" w:rsidR="003E5DB7" w:rsidRDefault="003E5DB7" w:rsidP="00896961">
      <w:pPr>
        <w:pStyle w:val="BasicParagraph"/>
        <w:suppressAutoHyphens/>
        <w:rPr>
          <w:rFonts w:ascii="Verdana" w:hAnsi="Verdana" w:cs="Arial"/>
          <w:color w:val="3C3C3B"/>
          <w:sz w:val="20"/>
          <w:szCs w:val="20"/>
        </w:rPr>
      </w:pPr>
    </w:p>
    <w:p w14:paraId="6EFEF6FC" w14:textId="77777777" w:rsidR="003E5DB7" w:rsidRDefault="003E5DB7" w:rsidP="00896961">
      <w:pPr>
        <w:pStyle w:val="BasicParagraph"/>
        <w:suppressAutoHyphens/>
        <w:rPr>
          <w:rFonts w:ascii="Verdana" w:hAnsi="Verdana" w:cs="Arial"/>
          <w:color w:val="3C3C3B"/>
          <w:sz w:val="20"/>
          <w:szCs w:val="20"/>
        </w:rPr>
      </w:pPr>
    </w:p>
    <w:p w14:paraId="6F0F2EE0" w14:textId="77777777" w:rsidR="003E5DB7" w:rsidRDefault="003E5DB7" w:rsidP="00896961">
      <w:pPr>
        <w:pStyle w:val="BasicParagraph"/>
        <w:suppressAutoHyphens/>
        <w:rPr>
          <w:rFonts w:ascii="Verdana" w:hAnsi="Verdana" w:cs="Arial"/>
          <w:color w:val="3C3C3B"/>
          <w:sz w:val="20"/>
          <w:szCs w:val="20"/>
        </w:rPr>
      </w:pPr>
    </w:p>
    <w:p w14:paraId="25D5911E" w14:textId="77777777" w:rsidR="003E5DB7" w:rsidRDefault="003E5DB7" w:rsidP="00896961">
      <w:pPr>
        <w:pStyle w:val="BasicParagraph"/>
        <w:suppressAutoHyphens/>
        <w:rPr>
          <w:rFonts w:ascii="Verdana" w:hAnsi="Verdana" w:cs="Arial"/>
          <w:color w:val="3C3C3B"/>
          <w:sz w:val="20"/>
          <w:szCs w:val="20"/>
        </w:rPr>
      </w:pPr>
    </w:p>
    <w:p w14:paraId="0E0391BB" w14:textId="77777777" w:rsidR="003E5DB7" w:rsidRDefault="003E5DB7" w:rsidP="00896961">
      <w:pPr>
        <w:pStyle w:val="BasicParagraph"/>
        <w:suppressAutoHyphens/>
        <w:rPr>
          <w:rFonts w:ascii="Verdana" w:hAnsi="Verdana" w:cs="Arial"/>
          <w:color w:val="3C3C3B"/>
          <w:sz w:val="20"/>
          <w:szCs w:val="20"/>
        </w:rPr>
      </w:pPr>
    </w:p>
    <w:p w14:paraId="6CF82BB9" w14:textId="77777777" w:rsidR="003E5DB7" w:rsidRDefault="003E5DB7" w:rsidP="00896961">
      <w:pPr>
        <w:pStyle w:val="BasicParagraph"/>
        <w:suppressAutoHyphens/>
        <w:rPr>
          <w:rFonts w:ascii="Verdana" w:hAnsi="Verdana" w:cs="Arial"/>
          <w:color w:val="3C3C3B"/>
          <w:sz w:val="20"/>
          <w:szCs w:val="20"/>
        </w:rPr>
      </w:pPr>
    </w:p>
    <w:p w14:paraId="5E89763D" w14:textId="77777777" w:rsidR="003E5DB7" w:rsidRDefault="003E5DB7" w:rsidP="00896961">
      <w:pPr>
        <w:pStyle w:val="BasicParagraph"/>
        <w:suppressAutoHyphens/>
        <w:rPr>
          <w:rFonts w:ascii="Verdana" w:hAnsi="Verdana" w:cs="Arial"/>
          <w:color w:val="3C3C3B"/>
          <w:sz w:val="20"/>
          <w:szCs w:val="20"/>
        </w:rPr>
      </w:pPr>
    </w:p>
    <w:p w14:paraId="796A33E5" w14:textId="77777777" w:rsidR="003E5DB7" w:rsidRDefault="003E5DB7" w:rsidP="00896961">
      <w:pPr>
        <w:pStyle w:val="BasicParagraph"/>
        <w:suppressAutoHyphens/>
        <w:rPr>
          <w:rFonts w:ascii="Verdana" w:hAnsi="Verdana" w:cs="Arial"/>
          <w:color w:val="3C3C3B"/>
          <w:sz w:val="20"/>
          <w:szCs w:val="20"/>
        </w:rPr>
      </w:pPr>
    </w:p>
    <w:p w14:paraId="4C07B918" w14:textId="77777777" w:rsidR="003E5DB7" w:rsidRDefault="003E5DB7" w:rsidP="00896961">
      <w:pPr>
        <w:pStyle w:val="BasicParagraph"/>
        <w:suppressAutoHyphens/>
        <w:rPr>
          <w:rFonts w:ascii="Verdana" w:hAnsi="Verdana" w:cs="Arial"/>
          <w:color w:val="3C3C3B"/>
          <w:sz w:val="20"/>
          <w:szCs w:val="20"/>
        </w:rPr>
      </w:pPr>
    </w:p>
    <w:p w14:paraId="4D95EBA8" w14:textId="77777777" w:rsidR="003E5DB7" w:rsidRDefault="003E5DB7" w:rsidP="00896961">
      <w:pPr>
        <w:pStyle w:val="BasicParagraph"/>
        <w:suppressAutoHyphens/>
        <w:rPr>
          <w:rFonts w:ascii="Verdana" w:hAnsi="Verdana" w:cs="Arial"/>
          <w:color w:val="3C3C3B"/>
          <w:sz w:val="20"/>
          <w:szCs w:val="20"/>
        </w:rPr>
      </w:pPr>
    </w:p>
    <w:p w14:paraId="6D161120" w14:textId="029BE01B" w:rsidR="00E22DEE" w:rsidRDefault="00E22DEE" w:rsidP="00896961">
      <w:pPr>
        <w:pStyle w:val="BasicParagraph"/>
        <w:suppressAutoHyphens/>
        <w:rPr>
          <w:rFonts w:ascii="Verdana" w:hAnsi="Verdana" w:cs="Arial"/>
          <w:color w:val="3C3C3B"/>
          <w:sz w:val="20"/>
          <w:szCs w:val="20"/>
        </w:rPr>
      </w:pPr>
    </w:p>
    <w:p w14:paraId="6F7AC606" w14:textId="77777777" w:rsidR="00E22DEE" w:rsidRDefault="00E22DEE" w:rsidP="00896961">
      <w:pPr>
        <w:pStyle w:val="BasicParagraph"/>
        <w:suppressAutoHyphens/>
        <w:rPr>
          <w:rFonts w:ascii="Verdana" w:hAnsi="Verdana" w:cs="Arial"/>
          <w:color w:val="3C3C3B"/>
          <w:sz w:val="20"/>
          <w:szCs w:val="20"/>
        </w:rPr>
      </w:pPr>
    </w:p>
    <w:p w14:paraId="6E18ABB5" w14:textId="13ED675A" w:rsidR="00331C61" w:rsidRPr="00A11AF3" w:rsidRDefault="00705833" w:rsidP="00A11AF3">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p>
    <w:p w14:paraId="43801EE3" w14:textId="77777777" w:rsidR="00331C61" w:rsidRPr="00331C61" w:rsidRDefault="00331C61" w:rsidP="003B7D0E">
      <w:pPr>
        <w:spacing w:line="288" w:lineRule="auto"/>
        <w:jc w:val="center"/>
        <w:rPr>
          <w:rFonts w:cs="Arial"/>
          <w:b/>
          <w:color w:val="232120"/>
          <w:sz w:val="30"/>
          <w:szCs w:val="30"/>
        </w:rPr>
      </w:pPr>
    </w:p>
    <w:p w14:paraId="252DC61B" w14:textId="77777777" w:rsidR="00331C61" w:rsidRPr="00331C61" w:rsidRDefault="00B55BDD" w:rsidP="00331C61">
      <w:pPr>
        <w:spacing w:line="288" w:lineRule="auto"/>
        <w:jc w:val="center"/>
        <w:rPr>
          <w:rFonts w:cs="Arial"/>
          <w:color w:val="232120"/>
          <w:sz w:val="28"/>
          <w:szCs w:val="28"/>
        </w:rPr>
      </w:pPr>
      <w:hyperlink r:id="rId12"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3"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815B2E7" w14:textId="77777777" w:rsidR="00F56C78" w:rsidRPr="00331C61" w:rsidRDefault="00D16532" w:rsidP="00331C61">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237D317E" w14:textId="77777777" w:rsidR="00F56C78" w:rsidRPr="00331C61" w:rsidRDefault="00F56C78" w:rsidP="003B7D0E">
      <w:pPr>
        <w:spacing w:line="288" w:lineRule="auto"/>
        <w:jc w:val="center"/>
        <w:rPr>
          <w:rFonts w:cs="Arial"/>
          <w:b/>
          <w:color w:val="232120"/>
          <w:sz w:val="28"/>
          <w:szCs w:val="28"/>
        </w:rPr>
      </w:pPr>
    </w:p>
    <w:p w14:paraId="14E085FE" w14:textId="77777777" w:rsidR="00F56C78" w:rsidRPr="00331C61" w:rsidRDefault="00F56C78" w:rsidP="003B7D0E">
      <w:pPr>
        <w:spacing w:line="288" w:lineRule="auto"/>
        <w:jc w:val="center"/>
        <w:rPr>
          <w:rFonts w:cs="Arial"/>
          <w:color w:val="232120"/>
          <w:sz w:val="20"/>
          <w:szCs w:val="20"/>
        </w:rPr>
      </w:pPr>
    </w:p>
    <w:p w14:paraId="0481253D"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4BD8FF6" wp14:editId="674894A0">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70F3" w14:textId="77777777" w:rsidR="00A81700" w:rsidRDefault="00A81700" w:rsidP="00962B2B">
      <w:r>
        <w:separator/>
      </w:r>
    </w:p>
  </w:endnote>
  <w:endnote w:type="continuationSeparator" w:id="0">
    <w:p w14:paraId="65DC6591" w14:textId="77777777" w:rsidR="00A81700" w:rsidRDefault="00A81700" w:rsidP="00962B2B">
      <w:r>
        <w:continuationSeparator/>
      </w:r>
    </w:p>
  </w:endnote>
  <w:endnote w:type="continuationNotice" w:id="1">
    <w:p w14:paraId="27528773" w14:textId="77777777" w:rsidR="00A81700" w:rsidRDefault="00A817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9F25" w14:textId="77777777" w:rsidR="00D2770F" w:rsidRDefault="00D2770F" w:rsidP="00656ECD">
    <w:pPr>
      <w:pStyle w:val="Footer"/>
      <w:jc w:val="right"/>
      <w:rPr>
        <w:rStyle w:val="PageNumber"/>
        <w:rFonts w:ascii="Arial" w:hAnsi="Arial" w:cs="Arial"/>
        <w:b/>
        <w:sz w:val="16"/>
        <w:szCs w:val="16"/>
      </w:rPr>
    </w:pPr>
  </w:p>
  <w:p w14:paraId="012B37CB" w14:textId="4E6EC92D" w:rsidR="00D2770F" w:rsidRPr="007569C1" w:rsidRDefault="008B2039"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ED4D02">
      <w:rPr>
        <w:rStyle w:val="PageNumber"/>
        <w:rFonts w:ascii="Arial" w:hAnsi="Arial" w:cs="Arial"/>
        <w:b/>
        <w:noProof/>
        <w:color w:val="77328A"/>
        <w:sz w:val="16"/>
        <w:szCs w:val="16"/>
      </w:rPr>
      <w:t>20</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B484" w14:textId="77777777" w:rsidR="00D2770F" w:rsidRDefault="00D2770F" w:rsidP="00046705">
    <w:pPr>
      <w:pStyle w:val="Footer"/>
      <w:jc w:val="right"/>
      <w:rPr>
        <w:rStyle w:val="PageNumber"/>
        <w:rFonts w:ascii="Arial" w:hAnsi="Arial" w:cs="Arial"/>
        <w:b/>
        <w:sz w:val="16"/>
        <w:szCs w:val="16"/>
      </w:rPr>
    </w:pPr>
  </w:p>
  <w:p w14:paraId="2E16FE4D"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A51A" w14:textId="77777777" w:rsidR="00A81700" w:rsidRDefault="00A81700" w:rsidP="00B96D34">
      <w:r>
        <w:continuationSeparator/>
      </w:r>
    </w:p>
    <w:p w14:paraId="5C1B7F6E" w14:textId="77777777" w:rsidR="00A81700" w:rsidRPr="00B96D34" w:rsidRDefault="00A81700" w:rsidP="00B96D34">
      <w:pPr>
        <w:pStyle w:val="Footer"/>
      </w:pPr>
    </w:p>
  </w:footnote>
  <w:footnote w:type="continuationSeparator" w:id="0">
    <w:p w14:paraId="30D9417B" w14:textId="77777777" w:rsidR="00A81700" w:rsidRDefault="00A81700" w:rsidP="00962B2B">
      <w:r>
        <w:continuationSeparator/>
      </w:r>
    </w:p>
  </w:footnote>
  <w:footnote w:type="continuationNotice" w:id="1">
    <w:p w14:paraId="59491125" w14:textId="77777777" w:rsidR="00A81700" w:rsidRDefault="00A81700"/>
  </w:footnote>
  <w:footnote w:id="2">
    <w:p w14:paraId="06EE5A64" w14:textId="77777777" w:rsidR="00FD0FA7" w:rsidRPr="00FB4AB2" w:rsidRDefault="00FD0FA7" w:rsidP="00FD0FA7">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in 1931.</w:t>
      </w:r>
    </w:p>
  </w:footnote>
  <w:footnote w:id="3">
    <w:p w14:paraId="4A7F7F08" w14:textId="77777777" w:rsidR="005B292E" w:rsidRPr="00FB4AB2" w:rsidRDefault="005B292E"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1951. Further guidance is also taken from the body of case law from the European Court of Human</w:t>
      </w:r>
    </w:p>
    <w:p w14:paraId="18392EA0" w14:textId="77777777" w:rsidR="005B292E" w:rsidRPr="00FB4AB2" w:rsidRDefault="005B292E" w:rsidP="00FB4AB2">
      <w:pPr>
        <w:pStyle w:val="FootnoteText"/>
        <w:spacing w:line="240" w:lineRule="auto"/>
        <w:rPr>
          <w:color w:val="77328A"/>
          <w:sz w:val="16"/>
          <w:szCs w:val="16"/>
        </w:rPr>
      </w:pPr>
      <w:r w:rsidRPr="00FB4AB2">
        <w:rPr>
          <w:color w:val="77328A"/>
          <w:sz w:val="16"/>
          <w:szCs w:val="16"/>
        </w:rPr>
        <w:t>Rights (ECtHR).</w:t>
      </w:r>
    </w:p>
  </w:footnote>
  <w:footnote w:id="4">
    <w:p w14:paraId="64BE65FF" w14:textId="77777777" w:rsidR="005B292E" w:rsidRPr="00FB4AB2" w:rsidRDefault="005B292E"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1966. </w:t>
      </w:r>
    </w:p>
  </w:footnote>
  <w:footnote w:id="5">
    <w:p w14:paraId="775BD87A" w14:textId="77777777" w:rsidR="005B292E" w:rsidRPr="00FB4AB2" w:rsidRDefault="005B292E"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1986.</w:t>
      </w:r>
    </w:p>
  </w:footnote>
  <w:footnote w:id="6">
    <w:p w14:paraId="198CAF4B" w14:textId="77777777" w:rsidR="005B292E" w:rsidRPr="00FB4AB2" w:rsidRDefault="005B292E"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1988. </w:t>
      </w:r>
    </w:p>
  </w:footnote>
  <w:footnote w:id="7">
    <w:p w14:paraId="452D842C" w14:textId="77777777" w:rsidR="005B292E" w:rsidRPr="00FB4AB2" w:rsidRDefault="005B292E"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1989.</w:t>
      </w:r>
    </w:p>
  </w:footnote>
  <w:footnote w:id="8">
    <w:p w14:paraId="17AD1593" w14:textId="77777777" w:rsidR="00032D1B" w:rsidRPr="00FB4AB2" w:rsidRDefault="00032D1B" w:rsidP="00032D1B">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in 2006.</w:t>
      </w:r>
    </w:p>
  </w:footnote>
  <w:footnote w:id="9">
    <w:p w14:paraId="47A06951" w14:textId="77777777" w:rsidR="005D73FD" w:rsidRPr="00FB4AB2" w:rsidRDefault="005D73FD" w:rsidP="005D73FD">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Ratified by the UK in 2006.</w:t>
      </w:r>
    </w:p>
  </w:footnote>
  <w:footnote w:id="10">
    <w:p w14:paraId="6FF53153" w14:textId="77777777" w:rsidR="005D73FD" w:rsidRPr="00FB4AB2" w:rsidRDefault="005D73FD" w:rsidP="005D73FD">
      <w:pPr>
        <w:pStyle w:val="NIHRCFootnotes"/>
      </w:pPr>
      <w:r w:rsidRPr="00FB4AB2">
        <w:rPr>
          <w:rStyle w:val="FootnoteReference"/>
        </w:rPr>
        <w:footnoteRef/>
      </w:r>
      <w:r w:rsidRPr="00FB4AB2">
        <w:t xml:space="preserve"> Ratified by the UK in 2007. </w:t>
      </w:r>
    </w:p>
  </w:footnote>
  <w:footnote w:id="11">
    <w:p w14:paraId="1FF119BA" w14:textId="77777777" w:rsidR="00464040" w:rsidRPr="00FB4AB2" w:rsidRDefault="00464040" w:rsidP="00FB4AB2">
      <w:pPr>
        <w:pStyle w:val="NIHRCFootnotes"/>
      </w:pPr>
      <w:r w:rsidRPr="00FB4AB2">
        <w:rPr>
          <w:rStyle w:val="FootnoteReference"/>
        </w:rPr>
        <w:footnoteRef/>
      </w:r>
      <w:r w:rsidRPr="00FB4AB2">
        <w:t xml:space="preserve"> Ratified by the UK in 2009.</w:t>
      </w:r>
    </w:p>
  </w:footnote>
  <w:footnote w:id="12">
    <w:p w14:paraId="3DE433D1" w14:textId="77777777" w:rsidR="005B292E" w:rsidRPr="00FB4AB2" w:rsidRDefault="005B292E" w:rsidP="00FB4AB2">
      <w:pPr>
        <w:pStyle w:val="NIHRCFootnotes"/>
      </w:pPr>
      <w:r w:rsidRPr="00FB4AB2">
        <w:rPr>
          <w:rStyle w:val="FootnoteReference"/>
        </w:rPr>
        <w:footnoteRef/>
      </w:r>
      <w:r w:rsidRPr="00FB4AB2">
        <w:t xml:space="preserve"> Ratified by the UK in 2018.</w:t>
      </w:r>
    </w:p>
  </w:footnote>
  <w:footnote w:id="13">
    <w:p w14:paraId="08F32264" w14:textId="77777777" w:rsidR="00A07DDB" w:rsidRPr="00FB4AB2" w:rsidRDefault="00A07DDB" w:rsidP="00FB4AB2">
      <w:pPr>
        <w:pStyle w:val="NIHRCFootnotes"/>
      </w:pPr>
      <w:r w:rsidRPr="00FB4AB2">
        <w:rPr>
          <w:rStyle w:val="FootnoteReference"/>
        </w:rPr>
        <w:footnoteRef/>
      </w:r>
      <w:r w:rsidRPr="00FB4AB2">
        <w:t xml:space="preserve"> EU Directive 2012/29/EU of the European Parliament and of the Council of 25 October 2012 establishing minimum standards on the rights, </w:t>
      </w:r>
      <w:r w:rsidRPr="00FB4AB2">
        <w:t>support and protection of victims of crime.</w:t>
      </w:r>
    </w:p>
  </w:footnote>
  <w:footnote w:id="14">
    <w:p w14:paraId="727B1650" w14:textId="77777777" w:rsidR="00A07DDB" w:rsidRPr="00FB4AB2" w:rsidRDefault="00A07DDB"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EU Directive 2011/36/EU of the European Parliament and of the Council of 5 April 2011 on preventing and combatting trafficking in human beings and protecting its victims.</w:t>
      </w:r>
    </w:p>
  </w:footnote>
  <w:footnote w:id="15">
    <w:p w14:paraId="2E925B90" w14:textId="77777777" w:rsidR="00E70664" w:rsidRPr="00FB4AB2" w:rsidRDefault="00E70664" w:rsidP="00FB4AB2">
      <w:pPr>
        <w:pStyle w:val="NIHRCFootnotes"/>
      </w:pPr>
      <w:r w:rsidRPr="00FB4AB2">
        <w:rPr>
          <w:rStyle w:val="FootnoteReference"/>
        </w:rPr>
        <w:footnoteRef/>
      </w:r>
      <w:r w:rsidRPr="00FB4AB2">
        <w:t xml:space="preserve"> EU Directive 2011/93/EU of the European Parliament and of the Council of 13 December 2011 on combating the sexual abuse and sexual exploitation of children and child </w:t>
      </w:r>
      <w:r w:rsidRPr="00FB4AB2">
        <w:t>pornography, and replacing Council Framework Decision 2004/68/JHA.</w:t>
      </w:r>
    </w:p>
  </w:footnote>
  <w:footnote w:id="16">
    <w:p w14:paraId="6844301D" w14:textId="28497BAB" w:rsidR="00F036C5" w:rsidRDefault="00F036C5" w:rsidP="00757559">
      <w:pPr>
        <w:pStyle w:val="NIHRCFootnotes"/>
      </w:pPr>
      <w:r>
        <w:rPr>
          <w:rStyle w:val="FootnoteReference"/>
        </w:rPr>
        <w:footnoteRef/>
      </w:r>
      <w:r>
        <w:t xml:space="preserve"> </w:t>
      </w:r>
      <w:r w:rsidR="00757559">
        <w:t>E/2002/68/Add.1, ‘</w:t>
      </w:r>
      <w:r w:rsidR="00757559" w:rsidRPr="00A40A6F">
        <w:t xml:space="preserve">Recommended Principles and Guidelines on Human Rights and Human Trafficking: </w:t>
      </w:r>
      <w:r w:rsidR="00757559">
        <w:t>R</w:t>
      </w:r>
      <w:r w:rsidR="00757559" w:rsidRPr="00A40A6F">
        <w:t xml:space="preserve">eport of the United Nations High Commissioner for Human Rights to the Economic and Social Council: </w:t>
      </w:r>
      <w:r w:rsidR="00757559">
        <w:t>A</w:t>
      </w:r>
      <w:r w:rsidR="00757559" w:rsidRPr="00A40A6F">
        <w:t>ddendum</w:t>
      </w:r>
      <w:r w:rsidR="00757559">
        <w:t>’, 20 May 2002.</w:t>
      </w:r>
    </w:p>
  </w:footnote>
  <w:footnote w:id="17">
    <w:p w14:paraId="49DA3E82" w14:textId="0EA8E0DA" w:rsidR="005E050C" w:rsidRPr="00FB4AB2" w:rsidRDefault="005E050C" w:rsidP="00FB4AB2">
      <w:pPr>
        <w:pStyle w:val="NIHRCFootnotes"/>
      </w:pPr>
      <w:r w:rsidRPr="00FB4AB2">
        <w:rPr>
          <w:rStyle w:val="FootnoteReference"/>
        </w:rPr>
        <w:footnoteRef/>
      </w:r>
      <w:r w:rsidRPr="00FB4AB2">
        <w:t xml:space="preserve"> CEDAW/C/GBR/CO/8, 'UN CEDAW Committee Concluding Observations on the Eighth Periodic Report of the UK of Great Britain and NI', 14 March 2019</w:t>
      </w:r>
      <w:r w:rsidR="00DB69EF" w:rsidRPr="00FB4AB2">
        <w:t>.</w:t>
      </w:r>
    </w:p>
  </w:footnote>
  <w:footnote w:id="18">
    <w:p w14:paraId="1CDFB87B" w14:textId="560994AC" w:rsidR="00DB69EF" w:rsidRPr="00FB4AB2" w:rsidRDefault="00DB69EF" w:rsidP="00FB4AB2">
      <w:pPr>
        <w:pStyle w:val="NIHRCFootnotes"/>
      </w:pPr>
      <w:r w:rsidRPr="00FB4AB2">
        <w:rPr>
          <w:rStyle w:val="FootnoteReference"/>
        </w:rPr>
        <w:footnoteRef/>
      </w:r>
      <w:r w:rsidRPr="00FB4AB2">
        <w:t xml:space="preserve"> </w:t>
      </w:r>
      <w:r w:rsidRPr="00FB4AB2">
        <w:rPr>
          <w:shd w:val="clear" w:color="auto" w:fill="FFFFFF"/>
        </w:rPr>
        <w:t xml:space="preserve">CAT/C/GBR/CO/6, ‘UN CAT Committee Concluding </w:t>
      </w:r>
      <w:r w:rsidR="00747927">
        <w:rPr>
          <w:shd w:val="clear" w:color="auto" w:fill="FFFFFF"/>
        </w:rPr>
        <w:t>O</w:t>
      </w:r>
      <w:r w:rsidRPr="00FB4AB2">
        <w:rPr>
          <w:shd w:val="clear" w:color="auto" w:fill="FFFFFF"/>
        </w:rPr>
        <w:t xml:space="preserve">bservations on the </w:t>
      </w:r>
      <w:r w:rsidR="00747927">
        <w:rPr>
          <w:shd w:val="clear" w:color="auto" w:fill="FFFFFF"/>
        </w:rPr>
        <w:t>Sixth</w:t>
      </w:r>
      <w:r w:rsidR="00747927" w:rsidRPr="00FB4AB2">
        <w:rPr>
          <w:shd w:val="clear" w:color="auto" w:fill="FFFFFF"/>
        </w:rPr>
        <w:t xml:space="preserve"> </w:t>
      </w:r>
      <w:r w:rsidR="00747927">
        <w:rPr>
          <w:shd w:val="clear" w:color="auto" w:fill="FFFFFF"/>
        </w:rPr>
        <w:t>P</w:t>
      </w:r>
      <w:r w:rsidRPr="00FB4AB2">
        <w:rPr>
          <w:shd w:val="clear" w:color="auto" w:fill="FFFFFF"/>
        </w:rPr>
        <w:t xml:space="preserve">eriodic </w:t>
      </w:r>
      <w:r w:rsidR="00747927">
        <w:rPr>
          <w:shd w:val="clear" w:color="auto" w:fill="FFFFFF"/>
        </w:rPr>
        <w:t>R</w:t>
      </w:r>
      <w:r w:rsidRPr="00FB4AB2">
        <w:rPr>
          <w:shd w:val="clear" w:color="auto" w:fill="FFFFFF"/>
        </w:rPr>
        <w:t xml:space="preserve">eport of the </w:t>
      </w:r>
      <w:r w:rsidR="00747927">
        <w:rPr>
          <w:shd w:val="clear" w:color="auto" w:fill="FFFFFF"/>
        </w:rPr>
        <w:t>UK</w:t>
      </w:r>
      <w:r w:rsidRPr="00FB4AB2">
        <w:rPr>
          <w:shd w:val="clear" w:color="auto" w:fill="FFFFFF"/>
        </w:rPr>
        <w:t xml:space="preserve"> of Great Britain and </w:t>
      </w:r>
      <w:r w:rsidR="00747927">
        <w:rPr>
          <w:shd w:val="clear" w:color="auto" w:fill="FFFFFF"/>
        </w:rPr>
        <w:t>NI</w:t>
      </w:r>
      <w:r w:rsidRPr="00FB4AB2">
        <w:rPr>
          <w:shd w:val="clear" w:color="auto" w:fill="FFFFFF"/>
        </w:rPr>
        <w:t>’</w:t>
      </w:r>
      <w:r w:rsidR="00747927">
        <w:rPr>
          <w:shd w:val="clear" w:color="auto" w:fill="FFFFFF"/>
        </w:rPr>
        <w:t>,</w:t>
      </w:r>
      <w:r w:rsidRPr="00FB4AB2">
        <w:rPr>
          <w:shd w:val="clear" w:color="auto" w:fill="FFFFFF"/>
        </w:rPr>
        <w:t xml:space="preserve"> 7 June 2019.</w:t>
      </w:r>
    </w:p>
  </w:footnote>
  <w:footnote w:id="19">
    <w:p w14:paraId="09435776" w14:textId="39315C14" w:rsidR="00B51F53" w:rsidRPr="00E73DD0" w:rsidRDefault="00B51F53" w:rsidP="00B51F53">
      <w:pPr>
        <w:pStyle w:val="FootnoteText"/>
        <w:spacing w:line="240" w:lineRule="auto"/>
        <w:rPr>
          <w:color w:val="77328A"/>
          <w:sz w:val="16"/>
          <w:szCs w:val="16"/>
        </w:rPr>
      </w:pPr>
      <w:r w:rsidRPr="00B51F53">
        <w:rPr>
          <w:rStyle w:val="FootnoteReference"/>
          <w:color w:val="77328A"/>
          <w:sz w:val="16"/>
          <w:szCs w:val="16"/>
        </w:rPr>
        <w:footnoteRef/>
      </w:r>
      <w:r w:rsidRPr="00B51F53">
        <w:rPr>
          <w:color w:val="77328A"/>
          <w:sz w:val="16"/>
          <w:szCs w:val="16"/>
        </w:rPr>
        <w:t xml:space="preserve"> Directive 2012/29/EU, ‘Directive of the European Parliament and of the Council establishing minimum standards on the rights, support and protection of </w:t>
      </w:r>
      <w:r w:rsidRPr="00E73DD0">
        <w:rPr>
          <w:color w:val="77328A"/>
          <w:sz w:val="16"/>
          <w:szCs w:val="16"/>
        </w:rPr>
        <w:t>victims of crime’, 25 October 2012</w:t>
      </w:r>
    </w:p>
  </w:footnote>
  <w:footnote w:id="20">
    <w:p w14:paraId="1E7E144E" w14:textId="353A1CB4" w:rsidR="00B51F53" w:rsidRPr="00B51F53" w:rsidRDefault="00B51F53" w:rsidP="00B51F53">
      <w:pPr>
        <w:pStyle w:val="FootnoteText"/>
        <w:spacing w:line="240" w:lineRule="auto"/>
        <w:rPr>
          <w:sz w:val="16"/>
          <w:szCs w:val="16"/>
        </w:rPr>
      </w:pPr>
      <w:r w:rsidRPr="00E73DD0">
        <w:rPr>
          <w:rStyle w:val="FootnoteReference"/>
          <w:color w:val="77328A"/>
          <w:sz w:val="16"/>
          <w:szCs w:val="16"/>
        </w:rPr>
        <w:footnoteRef/>
      </w:r>
      <w:r w:rsidRPr="00E73DD0">
        <w:rPr>
          <w:color w:val="77328A"/>
          <w:sz w:val="16"/>
          <w:szCs w:val="16"/>
        </w:rPr>
        <w:t xml:space="preserve"> Directive 2011/36/EU, ‘EU Council Directive</w:t>
      </w:r>
      <w:r w:rsidRPr="00B51F53">
        <w:rPr>
          <w:color w:val="77328A"/>
          <w:sz w:val="16"/>
          <w:szCs w:val="16"/>
        </w:rPr>
        <w:t xml:space="preserve"> on preventing and combating trafficking in human beings and protecting its victims’, 5 April 2011.</w:t>
      </w:r>
    </w:p>
  </w:footnote>
  <w:footnote w:id="21">
    <w:p w14:paraId="2178A020" w14:textId="2C195FDC" w:rsidR="00B51F53" w:rsidRPr="00B51F53" w:rsidRDefault="00B51F53" w:rsidP="00B51F53">
      <w:pPr>
        <w:pStyle w:val="FootnoteText"/>
        <w:spacing w:line="240" w:lineRule="auto"/>
        <w:rPr>
          <w:sz w:val="16"/>
          <w:szCs w:val="16"/>
        </w:rPr>
      </w:pPr>
      <w:r w:rsidRPr="00B51F53">
        <w:rPr>
          <w:rStyle w:val="FootnoteReference"/>
          <w:color w:val="77328A"/>
          <w:sz w:val="16"/>
          <w:szCs w:val="16"/>
        </w:rPr>
        <w:footnoteRef/>
      </w:r>
      <w:r w:rsidRPr="00B51F53">
        <w:rPr>
          <w:color w:val="77328A"/>
          <w:sz w:val="16"/>
          <w:szCs w:val="16"/>
        </w:rPr>
        <w:t xml:space="preserve"> Directive 2011/92/EU, ‘Directive of the European Parliament and of the Council on combatting the sexual abuse and sexual exploitation of children and child pornography, and replacing Council Framework Decision 2004/68/JHA</w:t>
      </w:r>
      <w:r>
        <w:rPr>
          <w:color w:val="77328A"/>
          <w:sz w:val="16"/>
          <w:szCs w:val="16"/>
        </w:rPr>
        <w:t>, 13 December 2011.</w:t>
      </w:r>
    </w:p>
  </w:footnote>
  <w:footnote w:id="22">
    <w:p w14:paraId="5DC987F5" w14:textId="66BBA1C2" w:rsidR="00BB3A61" w:rsidRPr="00BB3A61" w:rsidRDefault="00BB3A61" w:rsidP="00BB3A61">
      <w:pPr>
        <w:pStyle w:val="FootnoteText"/>
        <w:spacing w:line="240" w:lineRule="auto"/>
        <w:rPr>
          <w:color w:val="77328A"/>
          <w:sz w:val="16"/>
          <w:szCs w:val="16"/>
        </w:rPr>
      </w:pPr>
      <w:r w:rsidRPr="00BB3A61">
        <w:rPr>
          <w:rStyle w:val="FootnoteReference"/>
          <w:color w:val="77328A"/>
          <w:sz w:val="16"/>
          <w:szCs w:val="16"/>
        </w:rPr>
        <w:footnoteRef/>
      </w:r>
      <w:r w:rsidRPr="00BB3A61">
        <w:rPr>
          <w:color w:val="77328A"/>
          <w:sz w:val="16"/>
          <w:szCs w:val="16"/>
        </w:rPr>
        <w:t xml:space="preserve"> Regulation (EU) 2016/679</w:t>
      </w:r>
      <w:r w:rsidR="009B63E0">
        <w:rPr>
          <w:color w:val="77328A"/>
          <w:sz w:val="16"/>
          <w:szCs w:val="16"/>
        </w:rPr>
        <w:t>, ‘</w:t>
      </w:r>
      <w:r w:rsidR="009B63E0" w:rsidRPr="00BB3A61">
        <w:rPr>
          <w:color w:val="77328A"/>
          <w:sz w:val="16"/>
          <w:szCs w:val="16"/>
        </w:rPr>
        <w:t>Regulation</w:t>
      </w:r>
      <w:r w:rsidRPr="00BB3A61">
        <w:rPr>
          <w:color w:val="77328A"/>
          <w:sz w:val="16"/>
          <w:szCs w:val="16"/>
        </w:rPr>
        <w:t xml:space="preserve"> of the European Parliament and of the Council on the protection of natural persons </w:t>
      </w:r>
      <w:r w:rsidRPr="00BB3A61">
        <w:rPr>
          <w:color w:val="77328A"/>
          <w:sz w:val="16"/>
          <w:szCs w:val="16"/>
        </w:rPr>
        <w:t>with regard to the processing of personal data on the free movement of such data, and repealing Directive 95/46/EC</w:t>
      </w:r>
      <w:r w:rsidR="009B63E0">
        <w:rPr>
          <w:color w:val="77328A"/>
          <w:sz w:val="16"/>
          <w:szCs w:val="16"/>
        </w:rPr>
        <w:t>’</w:t>
      </w:r>
      <w:r w:rsidRPr="00BB3A61">
        <w:rPr>
          <w:color w:val="77328A"/>
          <w:sz w:val="16"/>
          <w:szCs w:val="16"/>
        </w:rPr>
        <w:t xml:space="preserve">, 27 </w:t>
      </w:r>
      <w:r w:rsidR="00CA7D4F" w:rsidRPr="00BB3A61">
        <w:rPr>
          <w:color w:val="77328A"/>
          <w:sz w:val="16"/>
          <w:szCs w:val="16"/>
        </w:rPr>
        <w:t>April</w:t>
      </w:r>
      <w:r w:rsidRPr="00BB3A61">
        <w:rPr>
          <w:color w:val="77328A"/>
          <w:sz w:val="16"/>
          <w:szCs w:val="16"/>
        </w:rPr>
        <w:t xml:space="preserve"> 2016.</w:t>
      </w:r>
    </w:p>
  </w:footnote>
  <w:footnote w:id="23">
    <w:p w14:paraId="2E0F2C29" w14:textId="48997A6D" w:rsidR="005A50A2" w:rsidRPr="00FB4AB2" w:rsidRDefault="005A50A2" w:rsidP="00FB4AB2">
      <w:pPr>
        <w:pStyle w:val="NIHRCFootnotes"/>
      </w:pPr>
      <w:r w:rsidRPr="00FB4AB2">
        <w:rPr>
          <w:rStyle w:val="FootnoteReference"/>
        </w:rPr>
        <w:footnoteRef/>
      </w:r>
      <w:r w:rsidRPr="00FB4AB2">
        <w:t xml:space="preserve"> </w:t>
      </w:r>
      <w:r w:rsidR="00210918" w:rsidRPr="00FB4AB2">
        <w:t>Sections 6(</w:t>
      </w:r>
      <w:r w:rsidR="00210918" w:rsidRPr="00FB4AB2">
        <w:t xml:space="preserve">2)(ca) and 24(1)(aa) of the </w:t>
      </w:r>
      <w:r w:rsidR="00747927">
        <w:t>NI</w:t>
      </w:r>
      <w:r w:rsidR="00210918" w:rsidRPr="00FB4AB2">
        <w:t xml:space="preserve"> Act 1998 limit the competence of the NI Assembly and Executive and proscribe making any law which is incompatible with Protocol Article 2.</w:t>
      </w:r>
    </w:p>
  </w:footnote>
  <w:footnote w:id="24">
    <w:p w14:paraId="00B577E1" w14:textId="1053AD8E" w:rsidR="008D42EC" w:rsidRPr="00FB4AB2" w:rsidRDefault="008D42EC" w:rsidP="00FB4AB2">
      <w:pPr>
        <w:pStyle w:val="NIHRCFootnotes"/>
      </w:pPr>
      <w:r w:rsidRPr="00FB4AB2">
        <w:rPr>
          <w:rStyle w:val="FootnoteReference"/>
        </w:rPr>
        <w:footnoteRef/>
      </w:r>
      <w:r w:rsidRPr="00FB4AB2">
        <w:t xml:space="preserve"> Belfast (Good Friday) Agreement 1998.</w:t>
      </w:r>
    </w:p>
  </w:footnote>
  <w:footnote w:id="25">
    <w:p w14:paraId="34EE2CD6" w14:textId="35000686" w:rsidR="00043508" w:rsidRPr="00FB4AB2" w:rsidRDefault="00043508" w:rsidP="00FB4AB2">
      <w:pPr>
        <w:pStyle w:val="NIHRCFootnotes"/>
      </w:pPr>
      <w:r w:rsidRPr="00FB4AB2">
        <w:rPr>
          <w:rStyle w:val="FootnoteReference"/>
        </w:rPr>
        <w:footnoteRef/>
      </w:r>
      <w:r w:rsidRPr="00FB4AB2">
        <w:t xml:space="preserve"> </w:t>
      </w:r>
      <w:r w:rsidR="00320A45" w:rsidRPr="00FB4AB2">
        <w:t>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6">
    <w:p w14:paraId="4E796141" w14:textId="42FA8FAC" w:rsidR="0053566B" w:rsidRPr="00FB4AB2" w:rsidRDefault="0053566B" w:rsidP="00FB4AB2">
      <w:pPr>
        <w:pStyle w:val="NIHRCFootnotes"/>
      </w:pPr>
      <w:r w:rsidRPr="00FB4AB2">
        <w:rPr>
          <w:rStyle w:val="FootnoteReference"/>
        </w:rPr>
        <w:footnoteRef/>
      </w:r>
      <w:r w:rsidR="00B51F53" w:rsidRPr="00FB4AB2">
        <w:t xml:space="preserve"> </w:t>
      </w:r>
      <w:r w:rsidR="00DF68B1" w:rsidRPr="003A2B1F">
        <w:rPr>
          <w:rStyle w:val="Hyperlink"/>
          <w:color w:val="77328A"/>
          <w:u w:val="none"/>
        </w:rPr>
        <w:t>Article 13, The Ireland/</w:t>
      </w:r>
      <w:r w:rsidR="003A2B1F" w:rsidRPr="003A2B1F">
        <w:rPr>
          <w:rStyle w:val="Hyperlink"/>
          <w:color w:val="77328A"/>
          <w:u w:val="none"/>
        </w:rPr>
        <w:t>NI</w:t>
      </w:r>
      <w:r w:rsidR="00DF68B1" w:rsidRPr="003A2B1F">
        <w:rPr>
          <w:rStyle w:val="Hyperlink"/>
          <w:color w:val="77328A"/>
          <w:u w:val="none"/>
        </w:rPr>
        <w:t xml:space="preserve"> Protocol to the EU/UK Withdrawal Agreement 2020</w:t>
      </w:r>
      <w:r w:rsidR="00DF68B1">
        <w:rPr>
          <w:rStyle w:val="Hyperlink"/>
          <w:color w:val="77328A"/>
        </w:rPr>
        <w:t>.</w:t>
      </w:r>
    </w:p>
  </w:footnote>
  <w:footnote w:id="27">
    <w:p w14:paraId="0ACA8A26" w14:textId="21669ECA" w:rsidR="0053566B" w:rsidRPr="00FB4AB2" w:rsidRDefault="0053566B" w:rsidP="00FB4AB2">
      <w:pPr>
        <w:pStyle w:val="NIHRCFootnotes"/>
      </w:pPr>
      <w:r w:rsidRPr="00FB4AB2">
        <w:rPr>
          <w:rStyle w:val="FootnoteReference"/>
        </w:rPr>
        <w:footnoteRef/>
      </w:r>
      <w:r w:rsidRPr="00FB4AB2">
        <w:t xml:space="preserve"> </w:t>
      </w:r>
      <w:r w:rsidR="003A2B1F" w:rsidRPr="003A2B1F">
        <w:rPr>
          <w:rStyle w:val="Hyperlink"/>
          <w:color w:val="77328A"/>
          <w:u w:val="none"/>
        </w:rPr>
        <w:t>Article 13, The Ireland/NI Protocol to the EU/UK Withdrawal Agreement 2020</w:t>
      </w:r>
      <w:r w:rsidRPr="00FB4AB2">
        <w:t>.</w:t>
      </w:r>
    </w:p>
  </w:footnote>
  <w:footnote w:id="28">
    <w:p w14:paraId="7C3E0077" w14:textId="78E67509" w:rsidR="0053566B" w:rsidRPr="00FB4AB2" w:rsidRDefault="0053566B" w:rsidP="00FB4AB2">
      <w:pPr>
        <w:pStyle w:val="NIHRCFootnotes"/>
      </w:pPr>
      <w:r w:rsidRPr="00FB4AB2">
        <w:rPr>
          <w:rStyle w:val="FootnoteReference"/>
        </w:rPr>
        <w:footnoteRef/>
      </w:r>
      <w:r w:rsidRPr="00FB4AB2">
        <w:t xml:space="preserve"> </w:t>
      </w:r>
      <w:r w:rsidR="007A4731" w:rsidRPr="00FB4AB2">
        <w:t>UK Government, ‘Explainer: UK Government commitment to no diminution of rights, safeguards and equality of opportunity in NI’, (NIO, 2020) at 13.</w:t>
      </w:r>
    </w:p>
  </w:footnote>
  <w:footnote w:id="29">
    <w:p w14:paraId="4537C9FD" w14:textId="3C24C950" w:rsidR="00DF68B1" w:rsidRPr="00DA192A" w:rsidRDefault="00DF68B1" w:rsidP="00DA192A">
      <w:pPr>
        <w:pStyle w:val="FootnoteText"/>
        <w:spacing w:line="240" w:lineRule="auto"/>
        <w:rPr>
          <w:sz w:val="16"/>
          <w:szCs w:val="16"/>
        </w:rPr>
      </w:pPr>
      <w:r w:rsidRPr="00DA192A">
        <w:rPr>
          <w:rStyle w:val="FootnoteReference"/>
          <w:sz w:val="16"/>
          <w:szCs w:val="16"/>
        </w:rPr>
        <w:footnoteRef/>
      </w:r>
      <w:r w:rsidRPr="00DA192A">
        <w:rPr>
          <w:sz w:val="16"/>
          <w:szCs w:val="16"/>
        </w:rPr>
        <w:t xml:space="preserve"> </w:t>
      </w:r>
      <w:r w:rsidRPr="00DF68B1">
        <w:rPr>
          <w:color w:val="77328A"/>
          <w:sz w:val="16"/>
          <w:szCs w:val="16"/>
        </w:rPr>
        <w:t>Letter from the Home Office to the House of Lords sub-Committee on the Ireland/</w:t>
      </w:r>
      <w:r w:rsidR="003A2B1F">
        <w:rPr>
          <w:color w:val="77328A"/>
          <w:sz w:val="16"/>
          <w:szCs w:val="16"/>
        </w:rPr>
        <w:t>NI</w:t>
      </w:r>
      <w:r w:rsidRPr="00DF68B1">
        <w:rPr>
          <w:color w:val="77328A"/>
          <w:sz w:val="16"/>
          <w:szCs w:val="16"/>
        </w:rPr>
        <w:t xml:space="preserve"> Protocol, 1 April 2022</w:t>
      </w:r>
      <w:r w:rsidR="007F09DD">
        <w:rPr>
          <w:color w:val="77328A"/>
          <w:sz w:val="16"/>
          <w:szCs w:val="16"/>
        </w:rPr>
        <w:t>.</w:t>
      </w:r>
    </w:p>
  </w:footnote>
  <w:footnote w:id="30">
    <w:p w14:paraId="4A85A406" w14:textId="7B35430D" w:rsidR="00584E68" w:rsidRPr="00FB4AB2" w:rsidRDefault="00584E68" w:rsidP="00FB4AB2">
      <w:pPr>
        <w:pStyle w:val="NIHRCFootnotes"/>
      </w:pPr>
      <w:r w:rsidRPr="00FB4AB2">
        <w:rPr>
          <w:rStyle w:val="FootnoteReference"/>
        </w:rPr>
        <w:footnoteRef/>
      </w:r>
      <w:r w:rsidRPr="00FB4AB2">
        <w:t xml:space="preserve"> </w:t>
      </w:r>
      <w:r w:rsidR="00D4251D" w:rsidRPr="00FB4AB2">
        <w:t>Articles 2-7, Directive 2011/36/EU</w:t>
      </w:r>
      <w:r w:rsidR="00AD5A19" w:rsidRPr="00FB4AB2">
        <w:t>, ‘EU Council Directive</w:t>
      </w:r>
      <w:r w:rsidR="00D4251D" w:rsidRPr="00FB4AB2">
        <w:t xml:space="preserve"> on preventing and combating trafficking in human beings and protecting its victims</w:t>
      </w:r>
      <w:r w:rsidR="00AD5A19" w:rsidRPr="00FB4AB2">
        <w:t>’</w:t>
      </w:r>
      <w:r w:rsidR="00D4251D" w:rsidRPr="00FB4AB2">
        <w:t>, 5 April 2011.</w:t>
      </w:r>
    </w:p>
  </w:footnote>
  <w:footnote w:id="31">
    <w:p w14:paraId="30B7EC22" w14:textId="5CECF332" w:rsidR="00584E68" w:rsidRPr="00FB4AB2" w:rsidRDefault="00584E68" w:rsidP="00FB4AB2">
      <w:pPr>
        <w:pStyle w:val="NIHRCFootnotes"/>
      </w:pPr>
      <w:r w:rsidRPr="00FB4AB2">
        <w:rPr>
          <w:rStyle w:val="FootnoteReference"/>
        </w:rPr>
        <w:footnoteRef/>
      </w:r>
      <w:r w:rsidRPr="00FB4AB2">
        <w:t xml:space="preserve">  </w:t>
      </w:r>
      <w:r w:rsidR="00372B2D" w:rsidRPr="00FB4AB2">
        <w:t xml:space="preserve">Article 8, </w:t>
      </w:r>
      <w:r w:rsidR="00AD5A19" w:rsidRPr="00FB4AB2">
        <w:t>Directive 2011/36/EU, ‘EU Council Directive on preventing and combating trafficking in human beings and protecting its victims’, 5 April 2011</w:t>
      </w:r>
      <w:r w:rsidR="00372B2D" w:rsidRPr="00FB4AB2">
        <w:t>.</w:t>
      </w:r>
    </w:p>
  </w:footnote>
  <w:footnote w:id="32">
    <w:p w14:paraId="507BD07D" w14:textId="28A7FE66" w:rsidR="00584E68" w:rsidRPr="00FB4AB2" w:rsidRDefault="00584E68" w:rsidP="00FB4AB2">
      <w:pPr>
        <w:pStyle w:val="NIHRCFootnotes"/>
      </w:pPr>
      <w:r w:rsidRPr="00FB4AB2">
        <w:rPr>
          <w:rStyle w:val="FootnoteReference"/>
        </w:rPr>
        <w:footnoteRef/>
      </w:r>
      <w:r w:rsidRPr="00FB4AB2">
        <w:t xml:space="preserve"> </w:t>
      </w:r>
      <w:r w:rsidR="006B7E07" w:rsidRPr="00FB4AB2">
        <w:t xml:space="preserve">Articles 9-10, </w:t>
      </w:r>
      <w:r w:rsidR="00F05C8B" w:rsidRPr="00FB4AB2">
        <w:t>Directive 2011/36/EU, ‘EU Council Directive on preventing and combating trafficking in human beings and protecting its victims’, 5 April 2011</w:t>
      </w:r>
      <w:r w:rsidR="006B7E07" w:rsidRPr="00FB4AB2">
        <w:t>.</w:t>
      </w:r>
    </w:p>
  </w:footnote>
  <w:footnote w:id="33">
    <w:p w14:paraId="72EED3E5" w14:textId="4FD76080" w:rsidR="00584E68" w:rsidRPr="00FB4AB2" w:rsidRDefault="00584E68" w:rsidP="00FB4AB2">
      <w:pPr>
        <w:pStyle w:val="NIHRCFootnotes"/>
      </w:pPr>
      <w:r w:rsidRPr="00FB4AB2">
        <w:rPr>
          <w:rStyle w:val="FootnoteReference"/>
        </w:rPr>
        <w:footnoteRef/>
      </w:r>
      <w:r w:rsidRPr="00FB4AB2">
        <w:t xml:space="preserve"> </w:t>
      </w:r>
      <w:r w:rsidR="00C1557E" w:rsidRPr="00FB4AB2">
        <w:t xml:space="preserve">Articles 11-17, </w:t>
      </w:r>
      <w:r w:rsidR="00F05C8B" w:rsidRPr="00FB4AB2">
        <w:t>Directive 2011/36/EU, ‘EU Council Directive on preventing and combating trafficking in human beings and protecting its victims’, 5 April 2011</w:t>
      </w:r>
      <w:r w:rsidR="00C1557E" w:rsidRPr="00FB4AB2">
        <w:t>.</w:t>
      </w:r>
    </w:p>
  </w:footnote>
  <w:footnote w:id="34">
    <w:p w14:paraId="285C33AF" w14:textId="1A1F9D19" w:rsidR="005229F3" w:rsidRPr="00FB4AB2" w:rsidRDefault="005229F3" w:rsidP="00FB4AB2">
      <w:pPr>
        <w:pStyle w:val="NIHRCFootnotes"/>
      </w:pPr>
      <w:r w:rsidRPr="00FB4AB2">
        <w:rPr>
          <w:rStyle w:val="FootnoteReference"/>
        </w:rPr>
        <w:footnoteRef/>
      </w:r>
      <w:r w:rsidRPr="00FB4AB2">
        <w:t xml:space="preserve"> </w:t>
      </w:r>
      <w:r w:rsidR="002D42A7" w:rsidRPr="00FB4AB2">
        <w:t>Belfast (Good Friday) Agreement 1998, at Rights, Safeguards and Equality of Opportunity.</w:t>
      </w:r>
    </w:p>
  </w:footnote>
  <w:footnote w:id="35">
    <w:p w14:paraId="66A5ED90" w14:textId="46C69F59" w:rsidR="002D42A7" w:rsidRPr="00FB4AB2" w:rsidRDefault="002D42A7" w:rsidP="00FB4AB2">
      <w:pPr>
        <w:pStyle w:val="NIHRCFootnotes"/>
      </w:pPr>
      <w:r w:rsidRPr="00FB4AB2">
        <w:rPr>
          <w:rStyle w:val="FootnoteReference"/>
        </w:rPr>
        <w:footnoteRef/>
      </w:r>
      <w:r w:rsidRPr="00FB4AB2">
        <w:t xml:space="preserve"> </w:t>
      </w:r>
      <w:r w:rsidR="003A2B1F">
        <w:t>NI</w:t>
      </w:r>
      <w:r w:rsidR="001A17A2" w:rsidRPr="00FB4AB2">
        <w:t xml:space="preserve"> Office, ‘UK Government </w:t>
      </w:r>
      <w:r w:rsidR="003A2B1F">
        <w:t>C</w:t>
      </w:r>
      <w:r w:rsidR="001A17A2" w:rsidRPr="00FB4AB2">
        <w:t>ommitment to “</w:t>
      </w:r>
      <w:r w:rsidR="003A2B1F">
        <w:t>N</w:t>
      </w:r>
      <w:r w:rsidR="001A17A2" w:rsidRPr="00FB4AB2">
        <w:t xml:space="preserve">o </w:t>
      </w:r>
      <w:r w:rsidR="003A2B1F">
        <w:t>D</w:t>
      </w:r>
      <w:r w:rsidR="001A17A2" w:rsidRPr="00FB4AB2">
        <w:t xml:space="preserve">iminution of </w:t>
      </w:r>
      <w:r w:rsidR="003A2B1F">
        <w:t>R</w:t>
      </w:r>
      <w:r w:rsidR="001A17A2" w:rsidRPr="00FB4AB2">
        <w:t xml:space="preserve">ights, </w:t>
      </w:r>
      <w:r w:rsidR="003A2B1F">
        <w:t>S</w:t>
      </w:r>
      <w:r w:rsidR="001A17A2" w:rsidRPr="00FB4AB2">
        <w:t xml:space="preserve">afeguards and </w:t>
      </w:r>
      <w:r w:rsidR="003A2B1F">
        <w:t>E</w:t>
      </w:r>
      <w:r w:rsidR="001A17A2" w:rsidRPr="00FB4AB2">
        <w:t xml:space="preserve">quality of </w:t>
      </w:r>
      <w:r w:rsidR="003A2B1F">
        <w:t>O</w:t>
      </w:r>
      <w:r w:rsidR="001A17A2" w:rsidRPr="00FB4AB2">
        <w:t xml:space="preserve">pportunity” in </w:t>
      </w:r>
      <w:r w:rsidR="003A2B1F">
        <w:t>NI</w:t>
      </w:r>
      <w:r w:rsidR="001A17A2" w:rsidRPr="00FB4AB2">
        <w:t xml:space="preserve">- </w:t>
      </w:r>
      <w:r w:rsidR="003A2B1F">
        <w:t>W</w:t>
      </w:r>
      <w:r w:rsidR="001A17A2" w:rsidRPr="00FB4AB2">
        <w:t xml:space="preserve">hat does it </w:t>
      </w:r>
      <w:r w:rsidR="003A2B1F">
        <w:t>M</w:t>
      </w:r>
      <w:r w:rsidR="001A17A2" w:rsidRPr="00FB4AB2">
        <w:t xml:space="preserve">ean and </w:t>
      </w:r>
      <w:r w:rsidR="003A2B1F">
        <w:t>H</w:t>
      </w:r>
      <w:r w:rsidR="001A17A2" w:rsidRPr="00FB4AB2">
        <w:t xml:space="preserve">ow will it be </w:t>
      </w:r>
      <w:r w:rsidR="003A2B1F">
        <w:t>I</w:t>
      </w:r>
      <w:r w:rsidR="001A17A2" w:rsidRPr="00FB4AB2">
        <w:t>mplemented?’ (</w:t>
      </w:r>
      <w:r w:rsidR="001A17A2" w:rsidRPr="00FB4AB2">
        <w:t>UKGov, 2020), at para 3.</w:t>
      </w:r>
    </w:p>
  </w:footnote>
  <w:footnote w:id="36">
    <w:p w14:paraId="4B3A6F32" w14:textId="244A46ED" w:rsidR="001A17A2" w:rsidRPr="00FB4AB2" w:rsidRDefault="001A17A2" w:rsidP="00F82614">
      <w:pPr>
        <w:pStyle w:val="NIHRCFootnotes"/>
      </w:pPr>
      <w:r w:rsidRPr="00FB4AB2">
        <w:rPr>
          <w:rStyle w:val="FootnoteReference"/>
        </w:rPr>
        <w:footnoteRef/>
      </w:r>
      <w:r w:rsidRPr="00FB4AB2">
        <w:t xml:space="preserve"> </w:t>
      </w:r>
      <w:r w:rsidR="00E30462" w:rsidRPr="00FB4AB2">
        <w:t>Belfast (Good Friday) Agreement 1998 – Rights, Safeguards and Equality of Opportunity.</w:t>
      </w:r>
    </w:p>
  </w:footnote>
  <w:footnote w:id="37">
    <w:p w14:paraId="36A3D277" w14:textId="3094AD19" w:rsidR="00E30462" w:rsidRPr="00FB4AB2" w:rsidRDefault="00E30462" w:rsidP="00F82614">
      <w:pPr>
        <w:pStyle w:val="NIHRCFootnotes"/>
      </w:pPr>
      <w:r w:rsidRPr="00FB4AB2">
        <w:rPr>
          <w:rStyle w:val="FootnoteReference"/>
        </w:rPr>
        <w:footnoteRef/>
      </w:r>
      <w:r w:rsidRPr="00FB4AB2">
        <w:t xml:space="preserve"> </w:t>
      </w:r>
      <w:r w:rsidR="009B63E0" w:rsidRPr="00FB4AB2">
        <w:t>Recital 3 and Article 1</w:t>
      </w:r>
      <w:r w:rsidR="009B63E0">
        <w:t xml:space="preserve">, </w:t>
      </w:r>
      <w:r w:rsidR="009B63E0" w:rsidRPr="009B63E0">
        <w:t>Directive 2011/36/EU, ‘Council Directive on Preventing and Combating Trafficking in Human Beings and Protecting its Victims’, 5 April 2011</w:t>
      </w:r>
      <w:r w:rsidR="007D30BA" w:rsidRPr="00FB4AB2">
        <w:t>.</w:t>
      </w:r>
    </w:p>
  </w:footnote>
  <w:footnote w:id="38">
    <w:p w14:paraId="3B2AAA69" w14:textId="2E3A8314" w:rsidR="00DA192A" w:rsidRPr="00DA192A" w:rsidRDefault="00DA192A" w:rsidP="00F82614">
      <w:pPr>
        <w:pStyle w:val="NIHRCFootnotes"/>
      </w:pPr>
      <w:r w:rsidRPr="00DA192A">
        <w:rPr>
          <w:rStyle w:val="FootnoteReference"/>
        </w:rPr>
        <w:footnoteRef/>
      </w:r>
      <w:r w:rsidRPr="00DA192A">
        <w:t xml:space="preserve"> Alison Harvey, ‘Human Trafficking and Article 2 of the Ireland/</w:t>
      </w:r>
      <w:r w:rsidR="00635B3D">
        <w:t>NI</w:t>
      </w:r>
      <w:r w:rsidRPr="00DA192A">
        <w:t xml:space="preserve"> Protocol’ (NIHRC, 2022).</w:t>
      </w:r>
    </w:p>
  </w:footnote>
  <w:footnote w:id="39">
    <w:p w14:paraId="4B0EF3C5" w14:textId="77777777" w:rsidR="00DF68B1" w:rsidRPr="00750B62" w:rsidRDefault="00DF68B1" w:rsidP="00F82614">
      <w:pPr>
        <w:pStyle w:val="NIHRCFootnotes"/>
      </w:pPr>
      <w:r w:rsidRPr="00750B62">
        <w:rPr>
          <w:rStyle w:val="FootnoteReference"/>
        </w:rPr>
        <w:footnoteRef/>
      </w:r>
      <w:r w:rsidRPr="00750B62">
        <w:t xml:space="preserve"> Belfast (Good Friday) Agreement 1998, Rights Safeguards and Equality of Opportunity.</w:t>
      </w:r>
    </w:p>
  </w:footnote>
  <w:footnote w:id="40">
    <w:p w14:paraId="17AAA86E" w14:textId="77777777" w:rsidR="00DF68B1" w:rsidRPr="00750B62" w:rsidRDefault="00DF68B1" w:rsidP="00F82614">
      <w:pPr>
        <w:pStyle w:val="NIHRCFootnotes"/>
      </w:pPr>
      <w:r w:rsidRPr="00750B62">
        <w:rPr>
          <w:rStyle w:val="FootnoteReference"/>
        </w:rPr>
        <w:footnoteRef/>
      </w:r>
      <w:r w:rsidRPr="00750B62">
        <w:t xml:space="preserve"> </w:t>
      </w:r>
      <w:r>
        <w:t xml:space="preserve">Articles 18-20, </w:t>
      </w:r>
      <w:r w:rsidRPr="00750B62">
        <w:t>Dir</w:t>
      </w:r>
      <w:r w:rsidRPr="00B51F53">
        <w:t>ective 2011/92/EU, ‘Directive of the European Parliament and of the Council on combatting the sexual abuse and sexual exploitation of children and child pornography, and replacing Council Framework Decision 2004/68/JHA</w:t>
      </w:r>
      <w:r>
        <w:t>, 13 December 2011.</w:t>
      </w:r>
    </w:p>
  </w:footnote>
  <w:footnote w:id="41">
    <w:p w14:paraId="38B12794" w14:textId="54B06BA1" w:rsidR="00DF68B1" w:rsidRPr="00FF567C" w:rsidRDefault="00DF68B1" w:rsidP="00F82614">
      <w:pPr>
        <w:pStyle w:val="NIHRCFootnotes"/>
      </w:pPr>
      <w:r w:rsidRPr="00750B62">
        <w:rPr>
          <w:rStyle w:val="FootnoteReference"/>
        </w:rPr>
        <w:footnoteRef/>
      </w:r>
      <w:r w:rsidRPr="00750B62">
        <w:t xml:space="preserve"> </w:t>
      </w:r>
      <w:r>
        <w:t xml:space="preserve">Articles 1-17, </w:t>
      </w:r>
      <w:r w:rsidRPr="00750B62">
        <w:t>Directive 2011/92/EU, ‘Directive of the European Parliament and of the Council on combatting the sexual abuse and sexual exploitation of children and child pornography, and replacing Council Framework Decision 2004/68/JHA, 13 December 2011.</w:t>
      </w:r>
    </w:p>
  </w:footnote>
  <w:footnote w:id="42">
    <w:p w14:paraId="18647D7F" w14:textId="617E1375" w:rsidR="00195594" w:rsidRDefault="00195594" w:rsidP="005C5D48">
      <w:pPr>
        <w:pStyle w:val="NIHRCFootnotes"/>
      </w:pPr>
      <w:r>
        <w:rPr>
          <w:rStyle w:val="FootnoteReference"/>
        </w:rPr>
        <w:footnoteRef/>
      </w:r>
      <w:r>
        <w:t xml:space="preserve"> </w:t>
      </w:r>
      <w:r w:rsidR="005C5D48">
        <w:t>Article 8, UN ICCPR; Article 4, ECHR.</w:t>
      </w:r>
    </w:p>
  </w:footnote>
  <w:footnote w:id="43">
    <w:p w14:paraId="73CD7CC9" w14:textId="6E454BCE" w:rsidR="00195594" w:rsidRPr="000258C0" w:rsidRDefault="00195594" w:rsidP="00195594">
      <w:pPr>
        <w:pStyle w:val="NIHRCFootnotes"/>
      </w:pPr>
      <w:r w:rsidRPr="000258C0">
        <w:rPr>
          <w:rStyle w:val="FootnoteReference"/>
        </w:rPr>
        <w:footnoteRef/>
      </w:r>
      <w:r w:rsidRPr="000258C0">
        <w:t xml:space="preserve"> </w:t>
      </w:r>
      <w:r w:rsidRPr="00C14076">
        <w:rPr>
          <w:i/>
        </w:rPr>
        <w:t>Siliadin v France</w:t>
      </w:r>
      <w:r w:rsidRPr="000258C0">
        <w:t xml:space="preserve"> </w:t>
      </w:r>
      <w:r w:rsidR="000264FC">
        <w:t xml:space="preserve">(2005) ECHR </w:t>
      </w:r>
      <w:r w:rsidR="000264FC">
        <w:t>545</w:t>
      </w:r>
      <w:r w:rsidRPr="000258C0">
        <w:t xml:space="preserve">,; </w:t>
      </w:r>
      <w:r w:rsidRPr="00C14076">
        <w:rPr>
          <w:i/>
        </w:rPr>
        <w:t>Rantsev v Cyprus and Russia</w:t>
      </w:r>
      <w:r w:rsidR="003F63BB">
        <w:t xml:space="preserve"> (2010) ECHR 2</w:t>
      </w:r>
      <w:r w:rsidR="005C0DAF">
        <w:t>2</w:t>
      </w:r>
      <w:r w:rsidRPr="000258C0">
        <w:t xml:space="preserve">; </w:t>
      </w:r>
      <w:r w:rsidRPr="00C14076">
        <w:rPr>
          <w:i/>
        </w:rPr>
        <w:t>SM v Croatia</w:t>
      </w:r>
      <w:r w:rsidRPr="000258C0">
        <w:t xml:space="preserve"> </w:t>
      </w:r>
      <w:r w:rsidR="00A5700D">
        <w:t xml:space="preserve">(2008) ECHR </w:t>
      </w:r>
      <w:r w:rsidR="00462E79">
        <w:t>633.</w:t>
      </w:r>
    </w:p>
  </w:footnote>
  <w:footnote w:id="44">
    <w:p w14:paraId="33E63493" w14:textId="15E55617" w:rsidR="00A6395C" w:rsidRPr="00B03717" w:rsidRDefault="00A6395C" w:rsidP="00B03717">
      <w:pPr>
        <w:pStyle w:val="NIHRCFootnotes"/>
      </w:pPr>
      <w:r>
        <w:rPr>
          <w:rStyle w:val="FootnoteReference"/>
        </w:rPr>
        <w:footnoteRef/>
      </w:r>
      <w:r>
        <w:t xml:space="preserve"> </w:t>
      </w:r>
      <w:r w:rsidR="00462E79" w:rsidRPr="00C14076">
        <w:rPr>
          <w:i/>
        </w:rPr>
        <w:t>Rantsev v Cyprus and Russia</w:t>
      </w:r>
      <w:r w:rsidR="00462E79">
        <w:t xml:space="preserve"> (2010) ECHR 22,</w:t>
      </w:r>
      <w:r w:rsidR="00B03717">
        <w:t xml:space="preserve"> </w:t>
      </w:r>
      <w:r w:rsidR="00B03717" w:rsidRPr="00756E3B">
        <w:t>at para 284</w:t>
      </w:r>
      <w:r w:rsidR="00B03717">
        <w:t>.</w:t>
      </w:r>
    </w:p>
  </w:footnote>
  <w:footnote w:id="45">
    <w:p w14:paraId="505A084C" w14:textId="574AB31B" w:rsidR="00644CA7" w:rsidRPr="00FF567C" w:rsidRDefault="00644CA7" w:rsidP="00644CA7">
      <w:pPr>
        <w:pStyle w:val="FootnoteText"/>
        <w:spacing w:line="240" w:lineRule="auto"/>
        <w:rPr>
          <w:sz w:val="16"/>
          <w:szCs w:val="16"/>
        </w:rPr>
      </w:pPr>
      <w:r w:rsidRPr="00FF567C">
        <w:rPr>
          <w:rStyle w:val="FootnoteReference"/>
          <w:color w:val="77328A"/>
          <w:sz w:val="16"/>
          <w:szCs w:val="16"/>
        </w:rPr>
        <w:footnoteRef/>
      </w:r>
      <w:r w:rsidRPr="00FF567C">
        <w:rPr>
          <w:color w:val="77328A"/>
          <w:sz w:val="16"/>
          <w:szCs w:val="16"/>
        </w:rPr>
        <w:t xml:space="preserve"> </w:t>
      </w:r>
      <w:r>
        <w:rPr>
          <w:color w:val="77328A"/>
          <w:sz w:val="16"/>
          <w:szCs w:val="16"/>
        </w:rPr>
        <w:t>Articles 2-10 and 18-20</w:t>
      </w:r>
      <w:r w:rsidRPr="007F09DD">
        <w:rPr>
          <w:color w:val="77328A"/>
          <w:sz w:val="16"/>
          <w:szCs w:val="16"/>
        </w:rPr>
        <w:t>, Directive 2011/36/EU</w:t>
      </w:r>
      <w:r w:rsidR="009B63E0" w:rsidRPr="009B63E0">
        <w:rPr>
          <w:color w:val="77328A"/>
          <w:sz w:val="16"/>
          <w:szCs w:val="16"/>
        </w:rPr>
        <w:t>, ‘Council Directive on Preventing and Combating Trafficking in Human Beings and Protecting its Victims’, 5 April 2011</w:t>
      </w:r>
      <w:r w:rsidRPr="007F09DD">
        <w:rPr>
          <w:color w:val="77328A"/>
          <w:sz w:val="16"/>
          <w:szCs w:val="16"/>
        </w:rPr>
        <w:t>.</w:t>
      </w:r>
    </w:p>
  </w:footnote>
  <w:footnote w:id="46">
    <w:p w14:paraId="58AE7691" w14:textId="75B79015" w:rsidR="007A10D2" w:rsidRPr="00FB4AB2" w:rsidRDefault="007A10D2" w:rsidP="0069043D">
      <w:pPr>
        <w:pStyle w:val="NIHRCFootnotes"/>
      </w:pPr>
      <w:r w:rsidRPr="00756E3B">
        <w:rPr>
          <w:rStyle w:val="FootnoteReference"/>
        </w:rPr>
        <w:footnoteRef/>
      </w:r>
      <w:r w:rsidRPr="00756E3B">
        <w:t xml:space="preserve"> </w:t>
      </w:r>
      <w:r w:rsidR="0069043D" w:rsidRPr="0069043D">
        <w:rPr>
          <w:i/>
          <w:iCs/>
        </w:rPr>
        <w:t>Rantsev v Cyprus and Russia</w:t>
      </w:r>
      <w:r w:rsidR="0069043D">
        <w:t xml:space="preserve"> (2010) ECHR 22</w:t>
      </w:r>
      <w:r>
        <w:t xml:space="preserve">, </w:t>
      </w:r>
      <w:r w:rsidRPr="00756E3B">
        <w:t>at para 284</w:t>
      </w:r>
      <w:r>
        <w:t>.</w:t>
      </w:r>
    </w:p>
  </w:footnote>
  <w:footnote w:id="47">
    <w:p w14:paraId="0EA13051" w14:textId="1E1F7DC7" w:rsidR="00AA6143" w:rsidRDefault="00AA6143" w:rsidP="00C478BD">
      <w:pPr>
        <w:pStyle w:val="NIHRCFootnotes"/>
      </w:pPr>
      <w:r>
        <w:rPr>
          <w:rStyle w:val="FootnoteReference"/>
        </w:rPr>
        <w:footnoteRef/>
      </w:r>
      <w:r>
        <w:t xml:space="preserve"> </w:t>
      </w:r>
      <w:r w:rsidR="008B4601">
        <w:t>ECtHR</w:t>
      </w:r>
      <w:r w:rsidR="00DA5DDB">
        <w:t xml:space="preserve">, </w:t>
      </w:r>
      <w:r w:rsidR="006D2619">
        <w:t xml:space="preserve">‘Guide on Article 4 of the European Convention on Human Rights: Prohibition of </w:t>
      </w:r>
      <w:r w:rsidR="008B4601">
        <w:t>S</w:t>
      </w:r>
      <w:r w:rsidR="006D2619">
        <w:t>lavery and</w:t>
      </w:r>
      <w:r w:rsidR="0069043D">
        <w:t xml:space="preserve"> </w:t>
      </w:r>
      <w:r w:rsidR="008B4601">
        <w:t>F</w:t>
      </w:r>
      <w:r w:rsidR="006D2619">
        <w:t xml:space="preserve">orced </w:t>
      </w:r>
      <w:r w:rsidR="008B4601">
        <w:t>L</w:t>
      </w:r>
      <w:r w:rsidR="006D2619">
        <w:t xml:space="preserve">abour’ </w:t>
      </w:r>
      <w:r w:rsidR="008B4601">
        <w:t>(</w:t>
      </w:r>
      <w:r w:rsidR="008B4601">
        <w:t>CoE, 2021)</w:t>
      </w:r>
      <w:r w:rsidR="006D2619">
        <w:t>, at para</w:t>
      </w:r>
      <w:r w:rsidR="00C478BD">
        <w:t xml:space="preserve"> 54.</w:t>
      </w:r>
    </w:p>
  </w:footnote>
  <w:footnote w:id="48">
    <w:p w14:paraId="60A25030" w14:textId="3F71B1FC" w:rsidR="00D63224" w:rsidRDefault="00D63224" w:rsidP="00D63224">
      <w:pPr>
        <w:pStyle w:val="NIHRCFootnotes"/>
      </w:pPr>
      <w:r>
        <w:rPr>
          <w:rStyle w:val="FootnoteReference"/>
        </w:rPr>
        <w:footnoteRef/>
      </w:r>
      <w:r>
        <w:t xml:space="preserve"> </w:t>
      </w:r>
      <w:r w:rsidR="0069043D" w:rsidRPr="00C14076">
        <w:rPr>
          <w:i/>
        </w:rPr>
        <w:t>SM v Croatia</w:t>
      </w:r>
      <w:r w:rsidR="0069043D" w:rsidRPr="000258C0">
        <w:t xml:space="preserve"> </w:t>
      </w:r>
      <w:r w:rsidR="0069043D">
        <w:t>(2008) ECHR 633</w:t>
      </w:r>
      <w:r>
        <w:t>.</w:t>
      </w:r>
    </w:p>
  </w:footnote>
  <w:footnote w:id="49">
    <w:p w14:paraId="35A5B02E" w14:textId="6245F425" w:rsidR="004B4698" w:rsidRDefault="004B4698" w:rsidP="00DE36FD">
      <w:pPr>
        <w:pStyle w:val="NIHRCFootnotes"/>
      </w:pPr>
      <w:r>
        <w:rPr>
          <w:rStyle w:val="FootnoteReference"/>
        </w:rPr>
        <w:footnoteRef/>
      </w:r>
      <w:r>
        <w:t xml:space="preserve"> </w:t>
      </w:r>
      <w:r w:rsidR="00DE36FD" w:rsidRPr="00C14076">
        <w:rPr>
          <w:i/>
        </w:rPr>
        <w:t>Öneryildiz v Turkey</w:t>
      </w:r>
      <w:r w:rsidR="00DE36FD">
        <w:t xml:space="preserve"> (2004) ECHR 657; LCB v UK (1999) 27 EHRR 212, at para 36.</w:t>
      </w:r>
    </w:p>
  </w:footnote>
  <w:footnote w:id="50">
    <w:p w14:paraId="05D9FFCC" w14:textId="5AE7C187" w:rsidR="004B4698" w:rsidRDefault="004B4698" w:rsidP="00DE36FD">
      <w:pPr>
        <w:pStyle w:val="NIHRCFootnotes"/>
      </w:pPr>
      <w:r>
        <w:rPr>
          <w:rStyle w:val="FootnoteReference"/>
        </w:rPr>
        <w:footnoteRef/>
      </w:r>
      <w:r>
        <w:t xml:space="preserve"> </w:t>
      </w:r>
      <w:r w:rsidR="00FC2526" w:rsidRPr="00C14076">
        <w:rPr>
          <w:i/>
        </w:rPr>
        <w:t>Burke v UK</w:t>
      </w:r>
      <w:r w:rsidR="000221FE">
        <w:t xml:space="preserve"> (2006) ECHR 1212</w:t>
      </w:r>
      <w:r w:rsidR="00FC2526">
        <w:t>, at para 1.</w:t>
      </w:r>
    </w:p>
  </w:footnote>
  <w:footnote w:id="51">
    <w:p w14:paraId="55636BE6" w14:textId="2161A099" w:rsidR="00EC4190" w:rsidRDefault="00EC4190" w:rsidP="00DE36FD">
      <w:pPr>
        <w:pStyle w:val="NIHRCFootnotes"/>
      </w:pPr>
      <w:r>
        <w:rPr>
          <w:rStyle w:val="FootnoteReference"/>
        </w:rPr>
        <w:footnoteRef/>
      </w:r>
      <w:r>
        <w:t xml:space="preserve"> </w:t>
      </w:r>
      <w:r w:rsidR="00DE36FD" w:rsidRPr="00C14076">
        <w:rPr>
          <w:i/>
        </w:rPr>
        <w:t>YF v Turkey</w:t>
      </w:r>
      <w:r w:rsidR="00DE36FD">
        <w:t xml:space="preserve"> (2003) ECHR 391, at para 33.</w:t>
      </w:r>
    </w:p>
  </w:footnote>
  <w:footnote w:id="52">
    <w:p w14:paraId="4DEB3C18" w14:textId="5E218320" w:rsidR="00D63224" w:rsidRDefault="00D63224" w:rsidP="00D63224">
      <w:pPr>
        <w:pStyle w:val="NIHRCFootnotes"/>
      </w:pPr>
      <w:r>
        <w:rPr>
          <w:rStyle w:val="FootnoteReference"/>
        </w:rPr>
        <w:footnoteRef/>
      </w:r>
      <w:r>
        <w:t xml:space="preserve"> E/2002/68/Add.1, </w:t>
      </w:r>
      <w:r w:rsidR="00ED79E5">
        <w:t>‘</w:t>
      </w:r>
      <w:r w:rsidRPr="00A40A6F">
        <w:t xml:space="preserve">Recommended Principles and Guidelines on Human Rights and Human Trafficking: </w:t>
      </w:r>
      <w:r>
        <w:t>R</w:t>
      </w:r>
      <w:r w:rsidRPr="00A40A6F">
        <w:t xml:space="preserve">eport of the United Nations High Commissioner for Human Rights to the Economic and Social Council: </w:t>
      </w:r>
      <w:r>
        <w:t>A</w:t>
      </w:r>
      <w:r w:rsidRPr="00A40A6F">
        <w:t>ddendum</w:t>
      </w:r>
      <w:r>
        <w:t>’</w:t>
      </w:r>
      <w:r w:rsidR="003042BE">
        <w:t>,</w:t>
      </w:r>
      <w:r>
        <w:t xml:space="preserve"> 20 May 2002, at Guideline 4(6)</w:t>
      </w:r>
      <w:r w:rsidR="004C5B85">
        <w:t>.</w:t>
      </w:r>
    </w:p>
  </w:footnote>
  <w:footnote w:id="53">
    <w:p w14:paraId="546D4BD2" w14:textId="46B05E68" w:rsidR="00D63224" w:rsidRDefault="00D63224" w:rsidP="00D63224">
      <w:pPr>
        <w:pStyle w:val="NIHRCFootnotes"/>
      </w:pPr>
      <w:r>
        <w:rPr>
          <w:rStyle w:val="FootnoteReference"/>
        </w:rPr>
        <w:footnoteRef/>
      </w:r>
      <w:r>
        <w:t xml:space="preserve"> </w:t>
      </w:r>
      <w:r w:rsidR="004C5B85">
        <w:t>E/2002/68/Add.1, ‘</w:t>
      </w:r>
      <w:r w:rsidR="004C5B85" w:rsidRPr="00A40A6F">
        <w:t xml:space="preserve">Recommended Principles and Guidelines on Human Rights and Human Trafficking: </w:t>
      </w:r>
      <w:r w:rsidR="004C5B85">
        <w:t>R</w:t>
      </w:r>
      <w:r w:rsidR="004C5B85" w:rsidRPr="00A40A6F">
        <w:t xml:space="preserve">eport of the United Nations High Commissioner for Human Rights to the Economic and Social Council: </w:t>
      </w:r>
      <w:r w:rsidR="004C5B85">
        <w:t>A</w:t>
      </w:r>
      <w:r w:rsidR="004C5B85" w:rsidRPr="00A40A6F">
        <w:t>ddendum</w:t>
      </w:r>
      <w:r w:rsidR="004C5B85">
        <w:t xml:space="preserve">’ 20 May 2002, at Guideline </w:t>
      </w:r>
      <w:r>
        <w:t>5(3)</w:t>
      </w:r>
      <w:r w:rsidR="004C5B85">
        <w:t>.</w:t>
      </w:r>
    </w:p>
  </w:footnote>
  <w:footnote w:id="54">
    <w:p w14:paraId="0688031E" w14:textId="1FB9C563" w:rsidR="005F2484" w:rsidRPr="00FB4AB2" w:rsidRDefault="005F2484" w:rsidP="00FB4AB2">
      <w:pPr>
        <w:pStyle w:val="NIHRCFootnotes"/>
      </w:pPr>
      <w:r w:rsidRPr="00FB4AB2">
        <w:rPr>
          <w:rStyle w:val="FootnoteReference"/>
        </w:rPr>
        <w:footnoteRef/>
      </w:r>
      <w:r w:rsidRPr="00FB4AB2">
        <w:t xml:space="preserve"> NI Human Rights </w:t>
      </w:r>
      <w:r w:rsidR="001953C8" w:rsidRPr="00FB4AB2">
        <w:t xml:space="preserve">Commission, ‘Response of the </w:t>
      </w:r>
      <w:r w:rsidR="00635B3D">
        <w:t>NI</w:t>
      </w:r>
      <w:r w:rsidR="001953C8" w:rsidRPr="00FB4AB2">
        <w:t xml:space="preserve"> Human Rights Commission to the Department of Justice </w:t>
      </w:r>
      <w:r w:rsidR="00635B3D">
        <w:t>C</w:t>
      </w:r>
      <w:r w:rsidR="001953C8" w:rsidRPr="00FB4AB2">
        <w:t xml:space="preserve">onsultation on ‘Human </w:t>
      </w:r>
      <w:r w:rsidR="00635B3D">
        <w:t>T</w:t>
      </w:r>
      <w:r w:rsidR="001953C8" w:rsidRPr="00FB4AB2">
        <w:t xml:space="preserve">rafficking and </w:t>
      </w:r>
      <w:r w:rsidR="00635B3D">
        <w:t>S</w:t>
      </w:r>
      <w:r w:rsidR="001953C8" w:rsidRPr="00FB4AB2">
        <w:t xml:space="preserve">lavery: </w:t>
      </w:r>
      <w:r w:rsidR="00635B3D">
        <w:t>S</w:t>
      </w:r>
      <w:r w:rsidR="001953C8" w:rsidRPr="00FB4AB2">
        <w:t xml:space="preserve">trengthening </w:t>
      </w:r>
      <w:r w:rsidR="00635B3D">
        <w:t>NI</w:t>
      </w:r>
      <w:r w:rsidR="001953C8" w:rsidRPr="00FB4AB2">
        <w:t>’s response’ (NIHRC, 2014)</w:t>
      </w:r>
      <w:r w:rsidR="00635B3D">
        <w:t>,</w:t>
      </w:r>
      <w:r w:rsidR="001953C8" w:rsidRPr="00FB4AB2">
        <w:t xml:space="preserve"> at para</w:t>
      </w:r>
      <w:r w:rsidR="0035325B" w:rsidRPr="00FB4AB2">
        <w:t>s 38</w:t>
      </w:r>
      <w:r w:rsidR="00635B3D">
        <w:t>-</w:t>
      </w:r>
      <w:r w:rsidR="0035325B" w:rsidRPr="00FB4AB2">
        <w:t>43.</w:t>
      </w:r>
    </w:p>
  </w:footnote>
  <w:footnote w:id="55">
    <w:p w14:paraId="4708CD17" w14:textId="099928C7" w:rsidR="00B52A58" w:rsidRPr="00FB4AB2" w:rsidRDefault="00B52A58" w:rsidP="00FB4AB2">
      <w:pPr>
        <w:pStyle w:val="NIHRCFootnotes"/>
      </w:pPr>
      <w:r w:rsidRPr="00FB4AB2">
        <w:rPr>
          <w:rStyle w:val="FootnoteReference"/>
        </w:rPr>
        <w:footnoteRef/>
      </w:r>
      <w:r w:rsidRPr="00FB4AB2">
        <w:t xml:space="preserve"> Criminal Justice Inspectorate for NI, </w:t>
      </w:r>
      <w:r w:rsidR="00635B3D">
        <w:t>‘</w:t>
      </w:r>
      <w:r w:rsidRPr="00FB4AB2">
        <w:t xml:space="preserve">An Inspection of how the Criminal Justice System Deals with Modern Slavery and Human Trafficking in </w:t>
      </w:r>
      <w:r w:rsidR="004C5B85">
        <w:t>NI</w:t>
      </w:r>
      <w:r w:rsidR="00635B3D">
        <w:t>’</w:t>
      </w:r>
      <w:r w:rsidRPr="00FB4AB2">
        <w:t xml:space="preserve"> (CJINI, 2020).</w:t>
      </w:r>
    </w:p>
  </w:footnote>
  <w:footnote w:id="56">
    <w:p w14:paraId="37B0CF16" w14:textId="53BE18DB" w:rsidR="00B52A58" w:rsidRPr="00FB4AB2" w:rsidRDefault="00B52A58" w:rsidP="00FB4AB2">
      <w:pPr>
        <w:pStyle w:val="NIHRCFootnotes"/>
      </w:pPr>
      <w:r w:rsidRPr="00FB4AB2">
        <w:rPr>
          <w:rStyle w:val="FootnoteReference"/>
        </w:rPr>
        <w:footnoteRef/>
      </w:r>
      <w:r w:rsidRPr="00FB4AB2">
        <w:t xml:space="preserve"> Independent Anti-Slavery Commissioner, ‘Independent Anti-Slavery Commissioner Annual Report 2020-2021: Presented to Parliament </w:t>
      </w:r>
      <w:r w:rsidR="00ED79E5">
        <w:t>P</w:t>
      </w:r>
      <w:r w:rsidRPr="00FB4AB2">
        <w:t>ursuant to Section 42 (10) (b) of the Modern Slavery Act 2015’ (</w:t>
      </w:r>
      <w:r w:rsidR="00542D0E" w:rsidRPr="00FB4AB2">
        <w:t xml:space="preserve">IASC, </w:t>
      </w:r>
      <w:r w:rsidRPr="00FB4AB2">
        <w:t>2021).</w:t>
      </w:r>
    </w:p>
  </w:footnote>
  <w:footnote w:id="57">
    <w:p w14:paraId="777F5518" w14:textId="1CC51CED" w:rsidR="00875860" w:rsidRPr="00FB4AB2" w:rsidRDefault="00875860" w:rsidP="00F82614">
      <w:pPr>
        <w:pStyle w:val="NIHRCFootnotes"/>
      </w:pPr>
      <w:r w:rsidRPr="00FB4AB2">
        <w:rPr>
          <w:rStyle w:val="FootnoteReference"/>
        </w:rPr>
        <w:footnoteRef/>
      </w:r>
      <w:r w:rsidRPr="00FB4AB2">
        <w:t xml:space="preserve"> </w:t>
      </w:r>
      <w:r w:rsidR="00F87C79" w:rsidRPr="00FB4AB2">
        <w:t xml:space="preserve">Independent Anti-Slavery Commissioner, ‘Independent Anti-Slavery Commissioner Annual Report 2020-2021: Presented to Parliament </w:t>
      </w:r>
      <w:r w:rsidR="00F87C79">
        <w:t>P</w:t>
      </w:r>
      <w:r w:rsidR="00F87C79" w:rsidRPr="00FB4AB2">
        <w:t>ursuant to Section 42 (10) (b) of the Modern Slavery Act 2015’ (IASC, 2021)</w:t>
      </w:r>
      <w:r w:rsidR="00F87C79">
        <w:t>,</w:t>
      </w:r>
      <w:r w:rsidRPr="00FB4AB2">
        <w:t xml:space="preserve"> at 2.3.8.</w:t>
      </w:r>
    </w:p>
  </w:footnote>
  <w:footnote w:id="58">
    <w:p w14:paraId="210D9CCE" w14:textId="020024D6" w:rsidR="009A6DB1" w:rsidRPr="00FF567C" w:rsidRDefault="009A6DB1" w:rsidP="009A6DB1">
      <w:pPr>
        <w:pStyle w:val="FootnoteText"/>
        <w:spacing w:line="240" w:lineRule="auto"/>
        <w:rPr>
          <w:sz w:val="16"/>
          <w:szCs w:val="16"/>
        </w:rPr>
      </w:pPr>
      <w:r w:rsidRPr="00FF567C">
        <w:rPr>
          <w:rStyle w:val="FootnoteReference"/>
          <w:color w:val="77328A"/>
          <w:sz w:val="16"/>
          <w:szCs w:val="16"/>
        </w:rPr>
        <w:footnoteRef/>
      </w:r>
      <w:r w:rsidRPr="00FF567C">
        <w:rPr>
          <w:color w:val="77328A"/>
          <w:sz w:val="16"/>
          <w:szCs w:val="16"/>
        </w:rPr>
        <w:t xml:space="preserve"> </w:t>
      </w:r>
      <w:r>
        <w:rPr>
          <w:color w:val="77328A"/>
          <w:sz w:val="16"/>
          <w:szCs w:val="16"/>
        </w:rPr>
        <w:t xml:space="preserve">Article 18(3), </w:t>
      </w:r>
      <w:r w:rsidRPr="00FF567C">
        <w:rPr>
          <w:color w:val="77328A"/>
          <w:sz w:val="16"/>
          <w:szCs w:val="16"/>
        </w:rPr>
        <w:t>Directive 2011/36/EU</w:t>
      </w:r>
      <w:r w:rsidR="009B63E0" w:rsidRPr="009B63E0">
        <w:rPr>
          <w:color w:val="77328A"/>
          <w:sz w:val="16"/>
          <w:szCs w:val="16"/>
        </w:rPr>
        <w:t>, ‘Council Directive on Preventing and Combating Trafficking in Human Beings and Protecting its Victims’, 5 April 2011</w:t>
      </w:r>
      <w:r>
        <w:rPr>
          <w:color w:val="77328A"/>
          <w:sz w:val="16"/>
          <w:szCs w:val="16"/>
        </w:rPr>
        <w:t>.</w:t>
      </w:r>
    </w:p>
  </w:footnote>
  <w:footnote w:id="59">
    <w:p w14:paraId="22453DF0" w14:textId="216EB2E0" w:rsidR="009A6DB1" w:rsidRPr="00FB4AB2" w:rsidRDefault="009A6DB1" w:rsidP="009A6DB1">
      <w:pPr>
        <w:pStyle w:val="NIHRCFootnotes"/>
      </w:pPr>
      <w:r w:rsidRPr="00FB4AB2">
        <w:rPr>
          <w:rStyle w:val="FootnoteReference"/>
        </w:rPr>
        <w:footnoteRef/>
      </w:r>
      <w:r w:rsidRPr="00FB4AB2">
        <w:t xml:space="preserve"> Independent Anti-Slavery Commissioner, ‘The Use of Modern Slavery Risk and Prevention Orders’ (IASC, 2022)</w:t>
      </w:r>
      <w:r w:rsidR="002B783A">
        <w:t>.</w:t>
      </w:r>
    </w:p>
  </w:footnote>
  <w:footnote w:id="60">
    <w:p w14:paraId="798AF932" w14:textId="77777777" w:rsidR="00081307" w:rsidRPr="00FB4AB2" w:rsidRDefault="00081307" w:rsidP="00F82614">
      <w:pPr>
        <w:pStyle w:val="NIHRCFootnotes"/>
      </w:pPr>
      <w:r w:rsidRPr="00FB4AB2">
        <w:rPr>
          <w:rStyle w:val="FootnoteReference"/>
        </w:rPr>
        <w:footnoteRef/>
      </w:r>
      <w:r w:rsidRPr="00FB4AB2">
        <w:t xml:space="preserve"> Article 22(3), Directive 2012/29/EU, ‘Directive of the European Parliament and of the Council establishing minimum standards on the rights, support and protection of victims of crime’, 25 October 2012.</w:t>
      </w:r>
    </w:p>
  </w:footnote>
  <w:footnote w:id="61">
    <w:p w14:paraId="76CC49D7" w14:textId="36679B6B" w:rsidR="008807F9" w:rsidRPr="00FF567C" w:rsidRDefault="008807F9" w:rsidP="00F82614">
      <w:pPr>
        <w:pStyle w:val="NIHRCFootnotes"/>
      </w:pPr>
      <w:r w:rsidRPr="00FF567C">
        <w:rPr>
          <w:rStyle w:val="FootnoteReference"/>
        </w:rPr>
        <w:footnoteRef/>
      </w:r>
      <w:r w:rsidRPr="00FF567C">
        <w:t xml:space="preserve"> </w:t>
      </w:r>
      <w:r w:rsidRPr="00E02245">
        <w:t>Article 19, Directive 2011/36/EU</w:t>
      </w:r>
      <w:r w:rsidR="009B63E0" w:rsidRPr="009B63E0">
        <w:t>, ‘Council Directive on Preventing and Combating Trafficking in Human Beings and Protecting its Victims’, 5 April 2011</w:t>
      </w:r>
      <w:r w:rsidR="009B63E0">
        <w:t>.</w:t>
      </w:r>
    </w:p>
  </w:footnote>
  <w:footnote w:id="62">
    <w:p w14:paraId="40C14A34" w14:textId="1409CF6D" w:rsidR="008807F9" w:rsidRDefault="008807F9" w:rsidP="002F2582">
      <w:pPr>
        <w:pStyle w:val="NIHRCFootnotes"/>
      </w:pPr>
      <w:r w:rsidRPr="00FF567C">
        <w:rPr>
          <w:rStyle w:val="FootnoteReference"/>
        </w:rPr>
        <w:footnoteRef/>
      </w:r>
      <w:r w:rsidRPr="00FF567C">
        <w:t xml:space="preserve"> </w:t>
      </w:r>
      <w:r>
        <w:t xml:space="preserve">Article 18, </w:t>
      </w:r>
      <w:r w:rsidRPr="00E02245">
        <w:t>Directive 2011/92/EU, ‘Directive of the European Parliament and of the Council on combatting the sexual abuse and sexual exploitation of children and child pornography, and replacing Council Framework Decision 2004/68/JHA</w:t>
      </w:r>
      <w:r>
        <w:t>, 13 December 2011; see also Recitals 2, 6 and 30.</w:t>
      </w:r>
    </w:p>
  </w:footnote>
  <w:footnote w:id="63">
    <w:p w14:paraId="0EE1D895" w14:textId="219D7C14" w:rsidR="004F417F" w:rsidRPr="00FB4AB2" w:rsidRDefault="004F417F" w:rsidP="004F417F">
      <w:pPr>
        <w:pStyle w:val="FootnoteText"/>
        <w:spacing w:line="240" w:lineRule="auto"/>
        <w:rPr>
          <w:color w:val="77328A"/>
          <w:sz w:val="16"/>
          <w:szCs w:val="16"/>
        </w:rPr>
      </w:pPr>
      <w:r w:rsidRPr="007F61BD">
        <w:rPr>
          <w:rStyle w:val="FootnoteReference"/>
          <w:color w:val="77328A"/>
          <w:sz w:val="16"/>
          <w:szCs w:val="16"/>
        </w:rPr>
        <w:footnoteRef/>
      </w:r>
      <w:r w:rsidRPr="007F61BD">
        <w:rPr>
          <w:color w:val="77328A"/>
          <w:sz w:val="16"/>
          <w:szCs w:val="16"/>
        </w:rPr>
        <w:t xml:space="preserve"> A/RES/54/263 ‘Optional Protocol to the Convention on the Rights of the Child on the </w:t>
      </w:r>
      <w:r w:rsidR="00547DA2">
        <w:rPr>
          <w:color w:val="77328A"/>
          <w:sz w:val="16"/>
          <w:szCs w:val="16"/>
        </w:rPr>
        <w:t>S</w:t>
      </w:r>
      <w:r w:rsidRPr="007F61BD">
        <w:rPr>
          <w:color w:val="77328A"/>
          <w:sz w:val="16"/>
          <w:szCs w:val="16"/>
        </w:rPr>
        <w:t xml:space="preserve">ale of </w:t>
      </w:r>
      <w:r w:rsidR="00547DA2">
        <w:rPr>
          <w:color w:val="77328A"/>
          <w:sz w:val="16"/>
          <w:szCs w:val="16"/>
        </w:rPr>
        <w:t>C</w:t>
      </w:r>
      <w:r w:rsidRPr="007F61BD">
        <w:rPr>
          <w:color w:val="77328A"/>
          <w:sz w:val="16"/>
          <w:szCs w:val="16"/>
        </w:rPr>
        <w:t xml:space="preserve">hildren, </w:t>
      </w:r>
      <w:r w:rsidR="00547DA2">
        <w:rPr>
          <w:color w:val="77328A"/>
          <w:sz w:val="16"/>
          <w:szCs w:val="16"/>
        </w:rPr>
        <w:t>C</w:t>
      </w:r>
      <w:r w:rsidRPr="007F61BD">
        <w:rPr>
          <w:color w:val="77328A"/>
          <w:sz w:val="16"/>
          <w:szCs w:val="16"/>
        </w:rPr>
        <w:t xml:space="preserve">hild </w:t>
      </w:r>
      <w:r w:rsidR="00547DA2">
        <w:rPr>
          <w:color w:val="77328A"/>
          <w:sz w:val="16"/>
          <w:szCs w:val="16"/>
        </w:rPr>
        <w:t>P</w:t>
      </w:r>
      <w:r w:rsidRPr="007F61BD">
        <w:rPr>
          <w:color w:val="77328A"/>
          <w:sz w:val="16"/>
          <w:szCs w:val="16"/>
        </w:rPr>
        <w:t xml:space="preserve">rostitution and </w:t>
      </w:r>
      <w:r w:rsidR="00547DA2">
        <w:rPr>
          <w:color w:val="77328A"/>
          <w:sz w:val="16"/>
          <w:szCs w:val="16"/>
        </w:rPr>
        <w:t>C</w:t>
      </w:r>
      <w:r w:rsidRPr="007F61BD">
        <w:rPr>
          <w:color w:val="77328A"/>
          <w:sz w:val="16"/>
          <w:szCs w:val="16"/>
        </w:rPr>
        <w:t xml:space="preserve">hild </w:t>
      </w:r>
      <w:r w:rsidR="00547DA2">
        <w:rPr>
          <w:color w:val="77328A"/>
          <w:sz w:val="16"/>
          <w:szCs w:val="16"/>
        </w:rPr>
        <w:t>P</w:t>
      </w:r>
      <w:r w:rsidRPr="007F61BD">
        <w:rPr>
          <w:color w:val="77328A"/>
          <w:sz w:val="16"/>
          <w:szCs w:val="16"/>
        </w:rPr>
        <w:t>ornography’ 25 May 2000</w:t>
      </w:r>
      <w:r>
        <w:rPr>
          <w:color w:val="77328A"/>
          <w:sz w:val="16"/>
          <w:szCs w:val="16"/>
        </w:rPr>
        <w:t>.</w:t>
      </w:r>
    </w:p>
  </w:footnote>
  <w:footnote w:id="64">
    <w:p w14:paraId="50E81C4A" w14:textId="3A4F89BC" w:rsidR="00E4665B" w:rsidRDefault="00AE6600" w:rsidP="00E4665B">
      <w:pPr>
        <w:pStyle w:val="NIHRCFootnotes"/>
      </w:pPr>
      <w:r>
        <w:rPr>
          <w:rStyle w:val="FootnoteReference"/>
        </w:rPr>
        <w:footnoteRef/>
      </w:r>
      <w:r>
        <w:t xml:space="preserve"> </w:t>
      </w:r>
      <w:r w:rsidR="00E4665B">
        <w:t xml:space="preserve">Fernández Martínez v. Spain (2014) ECHR 851, at para </w:t>
      </w:r>
      <w:r w:rsidR="005004F1">
        <w:t>124.</w:t>
      </w:r>
    </w:p>
    <w:p w14:paraId="240A5FF4" w14:textId="739226AF" w:rsidR="00AE6600" w:rsidRDefault="00AE6600">
      <w:pPr>
        <w:pStyle w:val="FootnoteText"/>
      </w:pPr>
    </w:p>
  </w:footnote>
  <w:footnote w:id="65">
    <w:p w14:paraId="1FE4BA3A" w14:textId="486D09EA" w:rsidR="007D30BA" w:rsidRPr="00FB4AB2" w:rsidRDefault="007D30BA" w:rsidP="008426BB">
      <w:pPr>
        <w:pStyle w:val="NIHRCFootnotes"/>
      </w:pPr>
      <w:r w:rsidRPr="00FB4AB2">
        <w:rPr>
          <w:rStyle w:val="FootnoteReference"/>
        </w:rPr>
        <w:footnoteRef/>
      </w:r>
      <w:r w:rsidRPr="00FB4AB2">
        <w:t xml:space="preserve"> </w:t>
      </w:r>
      <w:r w:rsidR="00E97110" w:rsidRPr="00FB4AB2">
        <w:t>Belfast (Good Friday) Agreement 1998 at Rights, Safeguards and Equality of Opportunity.</w:t>
      </w:r>
    </w:p>
  </w:footnote>
  <w:footnote w:id="66">
    <w:p w14:paraId="01D0A1ED" w14:textId="73B90401" w:rsidR="00D57440" w:rsidRPr="00FB4AB2" w:rsidRDefault="00D57440"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w:t>
      </w:r>
      <w:r w:rsidRPr="00C14076">
        <w:rPr>
          <w:i/>
          <w:color w:val="77328A"/>
          <w:sz w:val="16"/>
          <w:szCs w:val="16"/>
        </w:rPr>
        <w:t>Satakunnan Markkinapörssi Oy and Satamedia Oy v Finland</w:t>
      </w:r>
      <w:r w:rsidRPr="00FB4AB2">
        <w:rPr>
          <w:color w:val="77328A"/>
          <w:sz w:val="16"/>
          <w:szCs w:val="16"/>
        </w:rPr>
        <w:t xml:space="preserve"> (2017) ECHR 607</w:t>
      </w:r>
      <w:r w:rsidR="00FB4AB2" w:rsidRPr="00FB4AB2">
        <w:rPr>
          <w:color w:val="77328A"/>
          <w:sz w:val="16"/>
          <w:szCs w:val="16"/>
        </w:rPr>
        <w:t>, at para 137</w:t>
      </w:r>
      <w:r w:rsidR="00547DA2">
        <w:rPr>
          <w:color w:val="77328A"/>
          <w:sz w:val="16"/>
          <w:szCs w:val="16"/>
        </w:rPr>
        <w:t>.</w:t>
      </w:r>
    </w:p>
  </w:footnote>
  <w:footnote w:id="67">
    <w:p w14:paraId="258BC889" w14:textId="35BA3FC9" w:rsidR="007A6E89" w:rsidRPr="00FB4AB2" w:rsidRDefault="007A6E89"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Article 1, Regulation</w:t>
      </w:r>
      <w:r w:rsidR="00EE0FC3" w:rsidRPr="00FB4AB2">
        <w:rPr>
          <w:color w:val="77328A"/>
          <w:sz w:val="16"/>
          <w:szCs w:val="16"/>
        </w:rPr>
        <w:t xml:space="preserve"> (EU) </w:t>
      </w:r>
      <w:r w:rsidRPr="00FB4AB2">
        <w:rPr>
          <w:color w:val="77328A"/>
          <w:sz w:val="16"/>
          <w:szCs w:val="16"/>
        </w:rPr>
        <w:t xml:space="preserve">2016/679, </w:t>
      </w:r>
      <w:r w:rsidR="00EE0FC3" w:rsidRPr="00FB4AB2">
        <w:rPr>
          <w:color w:val="77328A"/>
          <w:sz w:val="16"/>
          <w:szCs w:val="16"/>
        </w:rPr>
        <w:t xml:space="preserve">‘Regulation of the European Parliament and of the Council </w:t>
      </w:r>
      <w:r w:rsidRPr="00FB4AB2">
        <w:rPr>
          <w:color w:val="77328A"/>
          <w:sz w:val="16"/>
          <w:szCs w:val="16"/>
        </w:rPr>
        <w:t xml:space="preserve">on the protection of natural persons </w:t>
      </w:r>
      <w:r w:rsidRPr="00FB4AB2">
        <w:rPr>
          <w:color w:val="77328A"/>
          <w:sz w:val="16"/>
          <w:szCs w:val="16"/>
        </w:rPr>
        <w:t>with regard to the processing of personal data and on the free movement of such data, and repealing Directive 95/46/EC (General Data Protection Regulation)</w:t>
      </w:r>
      <w:r w:rsidR="00EE0FC3" w:rsidRPr="00FB4AB2">
        <w:rPr>
          <w:color w:val="77328A"/>
          <w:sz w:val="16"/>
          <w:szCs w:val="16"/>
        </w:rPr>
        <w:t>’ 27 April 2016.</w:t>
      </w:r>
    </w:p>
  </w:footnote>
  <w:footnote w:id="68">
    <w:p w14:paraId="550D7372" w14:textId="61EFF7B2" w:rsidR="0095005F" w:rsidRPr="00A64921" w:rsidRDefault="0095005F" w:rsidP="00A64921">
      <w:pPr>
        <w:pStyle w:val="FootnoteText"/>
        <w:spacing w:line="240" w:lineRule="auto"/>
        <w:rPr>
          <w:sz w:val="16"/>
          <w:szCs w:val="16"/>
        </w:rPr>
      </w:pPr>
      <w:r w:rsidRPr="00A64921">
        <w:rPr>
          <w:rStyle w:val="FootnoteReference"/>
          <w:color w:val="77328A"/>
          <w:sz w:val="16"/>
          <w:szCs w:val="16"/>
        </w:rPr>
        <w:footnoteRef/>
      </w:r>
      <w:r w:rsidRPr="00A64921">
        <w:rPr>
          <w:color w:val="77328A"/>
          <w:sz w:val="16"/>
          <w:szCs w:val="16"/>
        </w:rPr>
        <w:t xml:space="preserve"> </w:t>
      </w:r>
      <w:r>
        <w:rPr>
          <w:color w:val="77328A"/>
          <w:sz w:val="16"/>
          <w:szCs w:val="16"/>
        </w:rPr>
        <w:t xml:space="preserve">Recital 33, </w:t>
      </w:r>
      <w:r w:rsidRPr="00A64921">
        <w:rPr>
          <w:color w:val="77328A"/>
          <w:sz w:val="16"/>
          <w:szCs w:val="16"/>
        </w:rPr>
        <w:t xml:space="preserve">Directive 2011/36/EU of the European Parliament and of the Council of 5 April 2011 on preventing and combatting trafficking in human beings and protecting its </w:t>
      </w:r>
      <w:r w:rsidRPr="00A64921">
        <w:rPr>
          <w:color w:val="77328A"/>
          <w:sz w:val="16"/>
          <w:szCs w:val="16"/>
        </w:rPr>
        <w:t>victims, and replacing Council Framework Decision 2002/629/JHA</w:t>
      </w:r>
      <w:r>
        <w:rPr>
          <w:color w:val="77328A"/>
          <w:sz w:val="16"/>
          <w:szCs w:val="16"/>
        </w:rPr>
        <w:t>.</w:t>
      </w:r>
    </w:p>
  </w:footnote>
  <w:footnote w:id="69">
    <w:p w14:paraId="78AB7990" w14:textId="5B13C01B" w:rsidR="0095005F" w:rsidRPr="00A64921" w:rsidRDefault="0095005F" w:rsidP="00A64921">
      <w:pPr>
        <w:pStyle w:val="FootnoteText"/>
        <w:spacing w:line="240" w:lineRule="auto"/>
        <w:rPr>
          <w:sz w:val="16"/>
          <w:szCs w:val="16"/>
        </w:rPr>
      </w:pPr>
      <w:r w:rsidRPr="00A64921">
        <w:rPr>
          <w:rStyle w:val="FootnoteReference"/>
          <w:color w:val="77328A"/>
          <w:sz w:val="16"/>
          <w:szCs w:val="16"/>
        </w:rPr>
        <w:footnoteRef/>
      </w:r>
      <w:r w:rsidRPr="00A64921">
        <w:rPr>
          <w:color w:val="77328A"/>
          <w:sz w:val="16"/>
          <w:szCs w:val="16"/>
        </w:rPr>
        <w:t xml:space="preserve"> </w:t>
      </w:r>
      <w:r>
        <w:rPr>
          <w:color w:val="77328A"/>
          <w:sz w:val="16"/>
          <w:szCs w:val="16"/>
        </w:rPr>
        <w:t xml:space="preserve">Recital 68, </w:t>
      </w:r>
      <w:r w:rsidRPr="00A64921">
        <w:rPr>
          <w:color w:val="77328A"/>
          <w:sz w:val="16"/>
          <w:szCs w:val="16"/>
        </w:rPr>
        <w:t>Directive 2012/29/EU, ‘Directive of the European Parliament and of the Council establishing minimum standards on the rights, support and protection of victims of crime’, 25 October 2012.</w:t>
      </w:r>
    </w:p>
  </w:footnote>
  <w:footnote w:id="70">
    <w:p w14:paraId="7BA54A8F" w14:textId="07109ADA" w:rsidR="006233AE" w:rsidRPr="00FB4AB2" w:rsidRDefault="006233AE" w:rsidP="00FB4AB2">
      <w:pPr>
        <w:pStyle w:val="NIHRCFootnotes"/>
      </w:pPr>
      <w:r w:rsidRPr="00FB4AB2">
        <w:rPr>
          <w:rStyle w:val="FootnoteReference"/>
        </w:rPr>
        <w:footnoteRef/>
      </w:r>
      <w:r w:rsidRPr="00FB4AB2">
        <w:t xml:space="preserve"> Criminal Justice Inspectorate for NI, </w:t>
      </w:r>
      <w:r w:rsidR="004C5B85">
        <w:t>‘</w:t>
      </w:r>
      <w:r w:rsidRPr="00FB4AB2">
        <w:t xml:space="preserve">An Inspection of how the Criminal Justice System Deals with Modern Slavery and Human Trafficking in </w:t>
      </w:r>
      <w:r w:rsidR="004C5B85">
        <w:t>NI’</w:t>
      </w:r>
      <w:r w:rsidRPr="00FB4AB2">
        <w:t xml:space="preserve"> (CJINI, 2020) at para</w:t>
      </w:r>
      <w:r w:rsidR="00C8320D" w:rsidRPr="00FB4AB2">
        <w:t xml:space="preserve"> 2.35;</w:t>
      </w:r>
      <w:r w:rsidR="00B60A8C" w:rsidRPr="00FB4AB2">
        <w:t xml:space="preserve"> </w:t>
      </w:r>
      <w:r w:rsidR="00B60A8C" w:rsidRPr="00FB4AB2">
        <w:t xml:space="preserve">GRETA(2021)12, </w:t>
      </w:r>
      <w:r w:rsidR="004C5B85">
        <w:t>’</w:t>
      </w:r>
      <w:r w:rsidR="004C5B85">
        <w:t>CoE</w:t>
      </w:r>
      <w:r w:rsidR="00B60A8C" w:rsidRPr="00FB4AB2">
        <w:t xml:space="preserve"> Group of Experts on Action against Trafficking in Human Beings</w:t>
      </w:r>
      <w:r w:rsidR="004C5B85">
        <w:t xml:space="preserve"> - </w:t>
      </w:r>
      <w:r w:rsidR="00B60A8C" w:rsidRPr="00FB4AB2">
        <w:t xml:space="preserve">Evaluation Report: </w:t>
      </w:r>
      <w:r w:rsidR="004C5B85">
        <w:t>UK</w:t>
      </w:r>
      <w:r w:rsidR="00B60A8C" w:rsidRPr="00FB4AB2">
        <w:t>’</w:t>
      </w:r>
      <w:r w:rsidR="004C5B85">
        <w:t>,</w:t>
      </w:r>
      <w:r w:rsidR="00B60A8C" w:rsidRPr="00FB4AB2">
        <w:t xml:space="preserve"> 20 October 2021</w:t>
      </w:r>
      <w:r w:rsidR="00851715" w:rsidRPr="00FB4AB2">
        <w:t>, at para 87;</w:t>
      </w:r>
      <w:r w:rsidR="00B60A8C" w:rsidRPr="00FB4AB2">
        <w:t xml:space="preserve"> </w:t>
      </w:r>
      <w:r w:rsidR="00C8320D" w:rsidRPr="00FB4AB2">
        <w:t xml:space="preserve"> </w:t>
      </w:r>
      <w:r w:rsidR="00176047" w:rsidRPr="00FB4AB2">
        <w:t>‘</w:t>
      </w:r>
      <w:r w:rsidR="00063A74" w:rsidRPr="00FB4AB2">
        <w:t xml:space="preserve">Potential upsurge in modern slavery in NI’, </w:t>
      </w:r>
      <w:r w:rsidR="00063A74" w:rsidRPr="00C14076">
        <w:rPr>
          <w:i/>
        </w:rPr>
        <w:t>ITV News</w:t>
      </w:r>
      <w:r w:rsidR="00063A74" w:rsidRPr="00FB4AB2">
        <w:t>, 18 October 2018.</w:t>
      </w:r>
    </w:p>
  </w:footnote>
  <w:footnote w:id="71">
    <w:p w14:paraId="7DFDEBFE" w14:textId="60458075" w:rsidR="00EA6198" w:rsidRPr="00FB4AB2" w:rsidRDefault="00EA6198" w:rsidP="00FB4AB2">
      <w:pPr>
        <w:pStyle w:val="NIHRCFootnotes"/>
      </w:pPr>
      <w:r w:rsidRPr="00FB4AB2">
        <w:rPr>
          <w:rStyle w:val="FootnoteReference"/>
        </w:rPr>
        <w:footnoteRef/>
      </w:r>
      <w:r w:rsidRPr="00FB4AB2">
        <w:t xml:space="preserve"> Criminal Justice Inspectorate for NI, </w:t>
      </w:r>
      <w:r w:rsidR="004C5B85">
        <w:t>‘</w:t>
      </w:r>
      <w:r w:rsidRPr="00FB4AB2">
        <w:t xml:space="preserve">An Inspection of how the Criminal Justice System Deals with Modern Slavery and Human Trafficking in </w:t>
      </w:r>
      <w:r w:rsidR="0063783D">
        <w:t>NI</w:t>
      </w:r>
      <w:r w:rsidR="004C5B85">
        <w:t>’</w:t>
      </w:r>
      <w:r w:rsidRPr="00FB4AB2">
        <w:t xml:space="preserve"> (CJINI, 2020)</w:t>
      </w:r>
      <w:r w:rsidR="004C5B85">
        <w:t>,</w:t>
      </w:r>
      <w:r w:rsidRPr="00FB4AB2">
        <w:t xml:space="preserve"> at para 1.2</w:t>
      </w:r>
    </w:p>
  </w:footnote>
  <w:footnote w:id="72">
    <w:p w14:paraId="0DA78861" w14:textId="77777777" w:rsidR="00077E09" w:rsidRPr="003B57C4" w:rsidRDefault="00077E09" w:rsidP="00077E09">
      <w:pPr>
        <w:pStyle w:val="FootnoteText"/>
        <w:spacing w:line="240" w:lineRule="auto"/>
        <w:rPr>
          <w:sz w:val="16"/>
          <w:szCs w:val="16"/>
        </w:rPr>
      </w:pPr>
      <w:r w:rsidRPr="003B57C4">
        <w:rPr>
          <w:rStyle w:val="FootnoteReference"/>
          <w:color w:val="77328A"/>
          <w:sz w:val="16"/>
          <w:szCs w:val="16"/>
        </w:rPr>
        <w:footnoteRef/>
      </w:r>
      <w:r w:rsidRPr="003B57C4">
        <w:rPr>
          <w:color w:val="77328A"/>
          <w:sz w:val="16"/>
          <w:szCs w:val="16"/>
        </w:rPr>
        <w:t xml:space="preserve"> </w:t>
      </w:r>
      <w:r>
        <w:rPr>
          <w:color w:val="77328A"/>
          <w:sz w:val="16"/>
          <w:szCs w:val="16"/>
        </w:rPr>
        <w:t xml:space="preserve">Article 9, </w:t>
      </w:r>
      <w:r w:rsidRPr="003B57C4">
        <w:rPr>
          <w:color w:val="77328A"/>
          <w:sz w:val="16"/>
          <w:szCs w:val="16"/>
        </w:rPr>
        <w:t xml:space="preserve">Directive 2011/36/EU of the European Parliament and of the Council of 5 April 2011 on preventing and combatting trafficking in human beings and protecting its </w:t>
      </w:r>
      <w:r w:rsidRPr="003B57C4">
        <w:rPr>
          <w:color w:val="77328A"/>
          <w:sz w:val="16"/>
          <w:szCs w:val="16"/>
        </w:rPr>
        <w:t>victims, and replacing Council Framework Decision 2002/629/JHA</w:t>
      </w:r>
      <w:r>
        <w:rPr>
          <w:color w:val="77328A"/>
          <w:sz w:val="16"/>
          <w:szCs w:val="16"/>
        </w:rPr>
        <w:t>.</w:t>
      </w:r>
    </w:p>
  </w:footnote>
  <w:footnote w:id="73">
    <w:p w14:paraId="6F27B293" w14:textId="77777777" w:rsidR="00077E09" w:rsidRPr="003B57C4" w:rsidRDefault="00077E09" w:rsidP="00077E09">
      <w:pPr>
        <w:pStyle w:val="FootnoteText"/>
        <w:spacing w:line="240" w:lineRule="auto"/>
        <w:rPr>
          <w:sz w:val="16"/>
          <w:szCs w:val="16"/>
        </w:rPr>
      </w:pPr>
      <w:r w:rsidRPr="003B57C4">
        <w:rPr>
          <w:rStyle w:val="FootnoteReference"/>
          <w:sz w:val="16"/>
          <w:szCs w:val="16"/>
        </w:rPr>
        <w:footnoteRef/>
      </w:r>
      <w:r w:rsidRPr="003B57C4">
        <w:rPr>
          <w:sz w:val="16"/>
          <w:szCs w:val="16"/>
        </w:rPr>
        <w:t xml:space="preserve"> </w:t>
      </w:r>
      <w:r w:rsidRPr="003B57C4">
        <w:rPr>
          <w:color w:val="77328A"/>
          <w:sz w:val="16"/>
          <w:szCs w:val="16"/>
        </w:rPr>
        <w:t>Article</w:t>
      </w:r>
      <w:r>
        <w:rPr>
          <w:color w:val="77328A"/>
          <w:sz w:val="16"/>
          <w:szCs w:val="16"/>
        </w:rPr>
        <w:t>s</w:t>
      </w:r>
      <w:r w:rsidRPr="003B57C4">
        <w:rPr>
          <w:color w:val="77328A"/>
          <w:sz w:val="16"/>
          <w:szCs w:val="16"/>
        </w:rPr>
        <w:t xml:space="preserve"> </w:t>
      </w:r>
      <w:r>
        <w:rPr>
          <w:color w:val="77328A"/>
          <w:sz w:val="16"/>
          <w:szCs w:val="16"/>
        </w:rPr>
        <w:t>19 and 20</w:t>
      </w:r>
      <w:r w:rsidRPr="003B57C4">
        <w:rPr>
          <w:color w:val="77328A"/>
          <w:sz w:val="16"/>
          <w:szCs w:val="16"/>
        </w:rPr>
        <w:t xml:space="preserve">, Directive 2011/36/EU of the European Parliament and of the Council of 5 April 2011 on preventing and combatting trafficking in human beings and protecting its </w:t>
      </w:r>
      <w:r w:rsidRPr="003B57C4">
        <w:rPr>
          <w:color w:val="77328A"/>
          <w:sz w:val="16"/>
          <w:szCs w:val="16"/>
        </w:rPr>
        <w:t>victims, and replacing Council Framework Decision 2002/629/JHA.</w:t>
      </w:r>
    </w:p>
  </w:footnote>
  <w:footnote w:id="74">
    <w:p w14:paraId="12B283A0" w14:textId="77777777" w:rsidR="000B4158" w:rsidRPr="00FF567C" w:rsidRDefault="000B4158" w:rsidP="000B4158">
      <w:pPr>
        <w:pStyle w:val="FootnoteText"/>
        <w:spacing w:line="240" w:lineRule="auto"/>
        <w:rPr>
          <w:sz w:val="16"/>
          <w:szCs w:val="16"/>
        </w:rPr>
      </w:pPr>
      <w:r w:rsidRPr="00FF567C">
        <w:rPr>
          <w:rStyle w:val="FootnoteReference"/>
          <w:color w:val="77328A"/>
          <w:sz w:val="16"/>
          <w:szCs w:val="16"/>
        </w:rPr>
        <w:footnoteRef/>
      </w:r>
      <w:r w:rsidRPr="00FF567C">
        <w:rPr>
          <w:color w:val="77328A"/>
          <w:sz w:val="16"/>
          <w:szCs w:val="16"/>
        </w:rPr>
        <w:t xml:space="preserve"> </w:t>
      </w:r>
      <w:r>
        <w:rPr>
          <w:color w:val="77328A"/>
          <w:sz w:val="16"/>
          <w:szCs w:val="16"/>
        </w:rPr>
        <w:t xml:space="preserve">Article 18(3), </w:t>
      </w:r>
      <w:r w:rsidRPr="00FF567C">
        <w:rPr>
          <w:color w:val="77328A"/>
          <w:sz w:val="16"/>
          <w:szCs w:val="16"/>
        </w:rPr>
        <w:t xml:space="preserve">Directive 2011/36/EU of the European Parliament and of the Council of 5 April 2011 on preventing and combatting trafficking in human beings and protecting its </w:t>
      </w:r>
      <w:r w:rsidRPr="00FF567C">
        <w:rPr>
          <w:color w:val="77328A"/>
          <w:sz w:val="16"/>
          <w:szCs w:val="16"/>
        </w:rPr>
        <w:t>victims, and replacing Council Framework Decision 2002/629/JHA</w:t>
      </w:r>
      <w:r>
        <w:rPr>
          <w:color w:val="77328A"/>
          <w:sz w:val="16"/>
          <w:szCs w:val="16"/>
        </w:rPr>
        <w:t>.</w:t>
      </w:r>
    </w:p>
  </w:footnote>
  <w:footnote w:id="75">
    <w:p w14:paraId="1D9D49C9" w14:textId="65B9B540" w:rsidR="000B4158" w:rsidRPr="00FB4AB2" w:rsidRDefault="000B4158" w:rsidP="00867382">
      <w:pPr>
        <w:pStyle w:val="NIHRCFootnotes"/>
      </w:pPr>
      <w:r w:rsidRPr="00FB4AB2">
        <w:rPr>
          <w:rStyle w:val="FootnoteReference"/>
        </w:rPr>
        <w:footnoteRef/>
      </w:r>
      <w:r w:rsidRPr="00FB4AB2">
        <w:t xml:space="preserve"> </w:t>
      </w:r>
      <w:r>
        <w:t>Article 12,</w:t>
      </w:r>
      <w:r w:rsidRPr="00FB4AB2">
        <w:t xml:space="preserve"> Directive 2011/36/EU of the European Parliament and of the Council of 5 April 2011 on preventing and combatting trafficking in human beings and protecting its </w:t>
      </w:r>
      <w:r w:rsidRPr="00FB4AB2">
        <w:t>victims, and replacing Council Framework Decision 2002/629/JHA</w:t>
      </w:r>
      <w:r>
        <w:t>; see also</w:t>
      </w:r>
      <w:r w:rsidRPr="00FB4AB2">
        <w:t xml:space="preserve"> Recital 20.</w:t>
      </w:r>
    </w:p>
  </w:footnote>
  <w:footnote w:id="76">
    <w:p w14:paraId="41C2755A" w14:textId="206B554F" w:rsidR="00413B0A" w:rsidRPr="00FB4AB2" w:rsidRDefault="00413B0A" w:rsidP="00413B0A">
      <w:pPr>
        <w:pStyle w:val="FootnoteText"/>
        <w:spacing w:line="240" w:lineRule="auto"/>
        <w:rPr>
          <w:color w:val="77328A"/>
          <w:sz w:val="16"/>
          <w:szCs w:val="16"/>
        </w:rPr>
      </w:pPr>
      <w:r w:rsidRPr="00A42C8A">
        <w:rPr>
          <w:rStyle w:val="FootnoteReference"/>
          <w:color w:val="77328A"/>
          <w:sz w:val="16"/>
          <w:szCs w:val="16"/>
        </w:rPr>
        <w:footnoteRef/>
      </w:r>
      <w:r w:rsidRPr="00A42C8A">
        <w:rPr>
          <w:color w:val="77328A"/>
          <w:sz w:val="16"/>
          <w:szCs w:val="16"/>
        </w:rPr>
        <w:t xml:space="preserve"> </w:t>
      </w:r>
      <w:r w:rsidRPr="00A42C8A">
        <w:rPr>
          <w:rFonts w:cs="Helvetica"/>
          <w:color w:val="77328A"/>
          <w:sz w:val="16"/>
          <w:szCs w:val="16"/>
          <w:shd w:val="clear" w:color="auto" w:fill="F9F9F9"/>
        </w:rPr>
        <w:t xml:space="preserve">CEDAW/C/GC/32, </w:t>
      </w:r>
      <w:r w:rsidR="00547DA2">
        <w:rPr>
          <w:rFonts w:cs="Helvetica"/>
          <w:color w:val="77328A"/>
          <w:sz w:val="16"/>
          <w:szCs w:val="16"/>
          <w:shd w:val="clear" w:color="auto" w:fill="F9F9F9"/>
        </w:rPr>
        <w:t>‘</w:t>
      </w:r>
      <w:r w:rsidRPr="00A42C8A">
        <w:rPr>
          <w:color w:val="77328A"/>
          <w:sz w:val="16"/>
          <w:szCs w:val="16"/>
        </w:rPr>
        <w:t>UN CEDAW Committee</w:t>
      </w:r>
      <w:r w:rsidR="00867382">
        <w:rPr>
          <w:color w:val="77328A"/>
          <w:sz w:val="16"/>
          <w:szCs w:val="16"/>
        </w:rPr>
        <w:t xml:space="preserve"> </w:t>
      </w:r>
      <w:r w:rsidRPr="00A42C8A">
        <w:rPr>
          <w:color w:val="77328A"/>
          <w:sz w:val="16"/>
          <w:szCs w:val="16"/>
        </w:rPr>
        <w:t>General Recommendation No 32</w:t>
      </w:r>
      <w:r w:rsidR="00547DA2">
        <w:rPr>
          <w:color w:val="77328A"/>
          <w:sz w:val="16"/>
          <w:szCs w:val="16"/>
        </w:rPr>
        <w:t>:</w:t>
      </w:r>
      <w:r w:rsidRPr="00A42C8A">
        <w:rPr>
          <w:color w:val="77328A"/>
          <w:sz w:val="16"/>
          <w:szCs w:val="16"/>
        </w:rPr>
        <w:t xml:space="preserve"> </w:t>
      </w:r>
      <w:r w:rsidR="00547DA2">
        <w:rPr>
          <w:color w:val="77328A"/>
          <w:sz w:val="16"/>
          <w:szCs w:val="16"/>
        </w:rPr>
        <w:t>G</w:t>
      </w:r>
      <w:r w:rsidRPr="00A42C8A">
        <w:rPr>
          <w:color w:val="77328A"/>
          <w:sz w:val="16"/>
          <w:szCs w:val="16"/>
        </w:rPr>
        <w:t xml:space="preserve">ender-related </w:t>
      </w:r>
      <w:r w:rsidR="00547DA2">
        <w:rPr>
          <w:color w:val="77328A"/>
          <w:sz w:val="16"/>
          <w:szCs w:val="16"/>
        </w:rPr>
        <w:t>D</w:t>
      </w:r>
      <w:r w:rsidRPr="00A42C8A">
        <w:rPr>
          <w:color w:val="77328A"/>
          <w:sz w:val="16"/>
          <w:szCs w:val="16"/>
        </w:rPr>
        <w:t xml:space="preserve">imensions of </w:t>
      </w:r>
      <w:r w:rsidR="00547DA2">
        <w:rPr>
          <w:color w:val="77328A"/>
          <w:sz w:val="16"/>
          <w:szCs w:val="16"/>
        </w:rPr>
        <w:t>R</w:t>
      </w:r>
      <w:r w:rsidRPr="00A42C8A">
        <w:rPr>
          <w:color w:val="77328A"/>
          <w:sz w:val="16"/>
          <w:szCs w:val="16"/>
        </w:rPr>
        <w:t xml:space="preserve">efugee </w:t>
      </w:r>
      <w:r w:rsidR="00547DA2">
        <w:rPr>
          <w:color w:val="77328A"/>
          <w:sz w:val="16"/>
          <w:szCs w:val="16"/>
        </w:rPr>
        <w:t>S</w:t>
      </w:r>
      <w:r w:rsidRPr="00A42C8A">
        <w:rPr>
          <w:color w:val="77328A"/>
          <w:sz w:val="16"/>
          <w:szCs w:val="16"/>
        </w:rPr>
        <w:t xml:space="preserve">tatus, </w:t>
      </w:r>
      <w:r w:rsidR="00547DA2">
        <w:rPr>
          <w:color w:val="77328A"/>
          <w:sz w:val="16"/>
          <w:szCs w:val="16"/>
        </w:rPr>
        <w:t>A</w:t>
      </w:r>
      <w:r w:rsidRPr="00A42C8A">
        <w:rPr>
          <w:color w:val="77328A"/>
          <w:sz w:val="16"/>
          <w:szCs w:val="16"/>
        </w:rPr>
        <w:t xml:space="preserve">sylum, </w:t>
      </w:r>
      <w:r w:rsidR="00547DA2">
        <w:rPr>
          <w:color w:val="77328A"/>
          <w:sz w:val="16"/>
          <w:szCs w:val="16"/>
        </w:rPr>
        <w:t>N</w:t>
      </w:r>
      <w:r w:rsidRPr="00A42C8A">
        <w:rPr>
          <w:color w:val="77328A"/>
          <w:sz w:val="16"/>
          <w:szCs w:val="16"/>
        </w:rPr>
        <w:t xml:space="preserve">ationality and </w:t>
      </w:r>
      <w:r w:rsidR="00547DA2">
        <w:rPr>
          <w:color w:val="77328A"/>
          <w:sz w:val="16"/>
          <w:szCs w:val="16"/>
        </w:rPr>
        <w:t>S</w:t>
      </w:r>
      <w:r w:rsidRPr="00A42C8A">
        <w:rPr>
          <w:color w:val="77328A"/>
          <w:sz w:val="16"/>
          <w:szCs w:val="16"/>
        </w:rPr>
        <w:t xml:space="preserve">tatelessness of </w:t>
      </w:r>
      <w:r w:rsidR="00547DA2">
        <w:rPr>
          <w:color w:val="77328A"/>
          <w:sz w:val="16"/>
          <w:szCs w:val="16"/>
        </w:rPr>
        <w:t>W</w:t>
      </w:r>
      <w:r w:rsidRPr="00A42C8A">
        <w:rPr>
          <w:color w:val="77328A"/>
          <w:sz w:val="16"/>
          <w:szCs w:val="16"/>
        </w:rPr>
        <w:t>omen’, 5 November 2014, paras 44-46.</w:t>
      </w:r>
    </w:p>
  </w:footnote>
  <w:footnote w:id="77">
    <w:p w14:paraId="1631769E" w14:textId="77777777" w:rsidR="00B60657" w:rsidRPr="00FB4AB2" w:rsidRDefault="00B60657"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CEDAW/C/GBR/CO/8, 'UN CEDAW Committee Concluding Observations on the Eighth Periodic Report of the UK of Great Britain and NI', 14 March 2019, at para 33.</w:t>
      </w:r>
    </w:p>
  </w:footnote>
  <w:footnote w:id="78">
    <w:p w14:paraId="18711331" w14:textId="0FC21ABC" w:rsidR="00477709" w:rsidRPr="00FB4AB2" w:rsidRDefault="00477709" w:rsidP="00FB4AB2">
      <w:pPr>
        <w:pStyle w:val="NIHRCFootnotes"/>
      </w:pPr>
      <w:r w:rsidRPr="00FB4AB2">
        <w:rPr>
          <w:rStyle w:val="FootnoteReference"/>
        </w:rPr>
        <w:footnoteRef/>
      </w:r>
      <w:r w:rsidRPr="00FB4AB2">
        <w:t xml:space="preserve"> </w:t>
      </w:r>
      <w:r w:rsidR="00141F6C" w:rsidRPr="00FB4AB2">
        <w:rPr>
          <w:shd w:val="clear" w:color="auto" w:fill="FFFFFF"/>
        </w:rPr>
        <w:t>CAT/C/GBR/CO/6, ‘</w:t>
      </w:r>
      <w:r w:rsidR="00027DE6" w:rsidRPr="00FB4AB2">
        <w:rPr>
          <w:shd w:val="clear" w:color="auto" w:fill="FFFFFF"/>
        </w:rPr>
        <w:t xml:space="preserve">UN CAT Committee Concluding </w:t>
      </w:r>
      <w:r w:rsidR="0063783D">
        <w:rPr>
          <w:shd w:val="clear" w:color="auto" w:fill="FFFFFF"/>
        </w:rPr>
        <w:t>O</w:t>
      </w:r>
      <w:r w:rsidR="00027DE6" w:rsidRPr="00FB4AB2">
        <w:rPr>
          <w:shd w:val="clear" w:color="auto" w:fill="FFFFFF"/>
        </w:rPr>
        <w:t xml:space="preserve">bservations on the </w:t>
      </w:r>
      <w:r w:rsidR="0063783D">
        <w:rPr>
          <w:shd w:val="clear" w:color="auto" w:fill="FFFFFF"/>
        </w:rPr>
        <w:t>Sixth</w:t>
      </w:r>
      <w:r w:rsidR="0063783D" w:rsidRPr="00FB4AB2">
        <w:rPr>
          <w:shd w:val="clear" w:color="auto" w:fill="FFFFFF"/>
        </w:rPr>
        <w:t xml:space="preserve"> </w:t>
      </w:r>
      <w:r w:rsidR="0063783D">
        <w:rPr>
          <w:shd w:val="clear" w:color="auto" w:fill="FFFFFF"/>
        </w:rPr>
        <w:t>P</w:t>
      </w:r>
      <w:r w:rsidR="00027DE6" w:rsidRPr="00FB4AB2">
        <w:rPr>
          <w:shd w:val="clear" w:color="auto" w:fill="FFFFFF"/>
        </w:rPr>
        <w:t xml:space="preserve">eriodic </w:t>
      </w:r>
      <w:r w:rsidR="0063783D">
        <w:rPr>
          <w:shd w:val="clear" w:color="auto" w:fill="FFFFFF"/>
        </w:rPr>
        <w:t>R</w:t>
      </w:r>
      <w:r w:rsidR="00027DE6" w:rsidRPr="00FB4AB2">
        <w:rPr>
          <w:shd w:val="clear" w:color="auto" w:fill="FFFFFF"/>
        </w:rPr>
        <w:t xml:space="preserve">eport of the </w:t>
      </w:r>
      <w:r w:rsidR="0063783D">
        <w:rPr>
          <w:shd w:val="clear" w:color="auto" w:fill="FFFFFF"/>
        </w:rPr>
        <w:t>UK</w:t>
      </w:r>
      <w:r w:rsidR="00027DE6" w:rsidRPr="00FB4AB2">
        <w:rPr>
          <w:shd w:val="clear" w:color="auto" w:fill="FFFFFF"/>
        </w:rPr>
        <w:t xml:space="preserve"> of Great Britain and </w:t>
      </w:r>
      <w:r w:rsidR="0063783D">
        <w:rPr>
          <w:shd w:val="clear" w:color="auto" w:fill="FFFFFF"/>
        </w:rPr>
        <w:t>NI</w:t>
      </w:r>
      <w:r w:rsidR="00027DE6" w:rsidRPr="00FB4AB2">
        <w:rPr>
          <w:shd w:val="clear" w:color="auto" w:fill="FFFFFF"/>
        </w:rPr>
        <w:t>’</w:t>
      </w:r>
      <w:r w:rsidR="0063783D">
        <w:rPr>
          <w:shd w:val="clear" w:color="auto" w:fill="FFFFFF"/>
        </w:rPr>
        <w:t>,</w:t>
      </w:r>
      <w:r w:rsidR="00027DE6" w:rsidRPr="00FB4AB2">
        <w:rPr>
          <w:shd w:val="clear" w:color="auto" w:fill="FFFFFF"/>
        </w:rPr>
        <w:t xml:space="preserve"> 7 June 2019, at para </w:t>
      </w:r>
      <w:r w:rsidR="009771A2" w:rsidRPr="00FB4AB2">
        <w:rPr>
          <w:shd w:val="clear" w:color="auto" w:fill="FFFFFF"/>
        </w:rPr>
        <w:t>59.</w:t>
      </w:r>
    </w:p>
  </w:footnote>
  <w:footnote w:id="79">
    <w:p w14:paraId="468F761D" w14:textId="6F241495" w:rsidR="007D3C6E" w:rsidRPr="00FB4AB2" w:rsidRDefault="007D3C6E" w:rsidP="00FB4AB2">
      <w:pPr>
        <w:pStyle w:val="NIHRCFootnotes"/>
      </w:pPr>
      <w:r w:rsidRPr="00FB4AB2">
        <w:rPr>
          <w:rStyle w:val="FootnoteReference"/>
        </w:rPr>
        <w:footnoteRef/>
      </w:r>
      <w:r w:rsidRPr="00FB4AB2">
        <w:t xml:space="preserve"> </w:t>
      </w:r>
      <w:r w:rsidR="005D660A" w:rsidRPr="00FB4AB2">
        <w:t xml:space="preserve">GRETA(2021)12, </w:t>
      </w:r>
      <w:r w:rsidR="0063783D">
        <w:t>’</w:t>
      </w:r>
      <w:r w:rsidR="0063783D">
        <w:t>CoE</w:t>
      </w:r>
      <w:r w:rsidR="005D660A" w:rsidRPr="00FB4AB2">
        <w:t xml:space="preserve"> Group of Experts on Action against Trafficking in Human Beings</w:t>
      </w:r>
      <w:r w:rsidR="0063783D">
        <w:t xml:space="preserve"> -</w:t>
      </w:r>
      <w:r w:rsidR="005D660A" w:rsidRPr="00FB4AB2">
        <w:t xml:space="preserve"> Evaluation Report: </w:t>
      </w:r>
      <w:r w:rsidR="0063783D">
        <w:t>UK</w:t>
      </w:r>
      <w:r w:rsidR="005D660A" w:rsidRPr="00FB4AB2">
        <w:t>’</w:t>
      </w:r>
      <w:r w:rsidR="0063783D">
        <w:t>,</w:t>
      </w:r>
      <w:r w:rsidR="005D660A" w:rsidRPr="00FB4AB2">
        <w:t xml:space="preserve"> 20 October 2021, at para </w:t>
      </w:r>
      <w:r w:rsidR="00FA1955" w:rsidRPr="00FB4AB2">
        <w:t>87.</w:t>
      </w:r>
    </w:p>
  </w:footnote>
  <w:footnote w:id="80">
    <w:p w14:paraId="34FB6EA5" w14:textId="736601F9" w:rsidR="002D30F6" w:rsidRPr="00FB4AB2" w:rsidRDefault="002D30F6"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NI Human Rights Commission and Equality Commission NI, ‘Joint NIHRC/ECNI briefing paper on the modern slavery and human trafficking and Electronic Travel Authorisation provisions in the Nationality and Borders Bill’, (NIHRC and ECNI, 2022), at 9; </w:t>
      </w:r>
      <w:r w:rsidR="00C9227B">
        <w:rPr>
          <w:color w:val="77328A"/>
          <w:sz w:val="16"/>
          <w:szCs w:val="16"/>
        </w:rPr>
        <w:t>A</w:t>
      </w:r>
      <w:r w:rsidRPr="00FB4AB2">
        <w:rPr>
          <w:color w:val="77328A"/>
          <w:sz w:val="16"/>
          <w:szCs w:val="16"/>
        </w:rPr>
        <w:t xml:space="preserve">rticle 8 of the </w:t>
      </w:r>
      <w:r w:rsidR="003537BE">
        <w:rPr>
          <w:color w:val="77328A"/>
          <w:sz w:val="16"/>
          <w:szCs w:val="16"/>
        </w:rPr>
        <w:t>EU Trafficking Directive</w:t>
      </w:r>
      <w:r w:rsidRPr="00FB4AB2">
        <w:rPr>
          <w:color w:val="77328A"/>
          <w:sz w:val="16"/>
          <w:szCs w:val="16"/>
        </w:rPr>
        <w:t xml:space="preserve"> requires that Member </w:t>
      </w:r>
      <w:r w:rsidR="00B1184C">
        <w:rPr>
          <w:color w:val="77328A"/>
          <w:sz w:val="16"/>
          <w:szCs w:val="16"/>
        </w:rPr>
        <w:t>States</w:t>
      </w:r>
      <w:r w:rsidRPr="00FB4AB2">
        <w:rPr>
          <w:color w:val="77328A"/>
          <w:sz w:val="16"/>
          <w:szCs w:val="16"/>
        </w:rPr>
        <w:t xml:space="preserve"> are entitled not to prosecute victims for crimes they were compelled to commit, article 9 requires that </w:t>
      </w:r>
      <w:r w:rsidR="00B1184C">
        <w:rPr>
          <w:color w:val="77328A"/>
          <w:sz w:val="16"/>
          <w:szCs w:val="16"/>
        </w:rPr>
        <w:t>States</w:t>
      </w:r>
      <w:r w:rsidRPr="00FB4AB2">
        <w:rPr>
          <w:color w:val="77328A"/>
          <w:sz w:val="16"/>
          <w:szCs w:val="16"/>
        </w:rPr>
        <w:t xml:space="preserve"> positively identify victims of human trafficking and article 11 requires </w:t>
      </w:r>
      <w:r w:rsidR="00B1184C">
        <w:rPr>
          <w:color w:val="77328A"/>
          <w:sz w:val="16"/>
          <w:szCs w:val="16"/>
        </w:rPr>
        <w:t>States</w:t>
      </w:r>
      <w:r w:rsidRPr="00FB4AB2">
        <w:rPr>
          <w:color w:val="77328A"/>
          <w:sz w:val="16"/>
          <w:szCs w:val="16"/>
        </w:rPr>
        <w:t xml:space="preserve"> to provide assistance and support as soon as competent authorities have a reasonable grounds decision.</w:t>
      </w:r>
    </w:p>
  </w:footnote>
  <w:footnote w:id="81">
    <w:p w14:paraId="2CD07554" w14:textId="07B8A403" w:rsidR="002D30F6" w:rsidRPr="00FB4AB2" w:rsidRDefault="002D30F6" w:rsidP="00FB4AB2">
      <w:pPr>
        <w:pStyle w:val="FootnoteText"/>
        <w:spacing w:line="240" w:lineRule="auto"/>
        <w:rPr>
          <w:color w:val="77328A"/>
          <w:sz w:val="16"/>
          <w:szCs w:val="16"/>
        </w:rPr>
      </w:pPr>
    </w:p>
  </w:footnote>
  <w:footnote w:id="82">
    <w:p w14:paraId="5431D2A2" w14:textId="77777777" w:rsidR="002D30F6" w:rsidRPr="00FB4AB2" w:rsidRDefault="002D30F6" w:rsidP="00FB4AB2">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Article 11(5) of Directive 2011/36/EU ‘Council Directive on preventing and combating trafficking in human beings and protecting its victims’, 5 April 2011.</w:t>
      </w:r>
    </w:p>
  </w:footnote>
  <w:footnote w:id="83">
    <w:p w14:paraId="451C018F" w14:textId="77777777" w:rsidR="00087302" w:rsidRDefault="00087302" w:rsidP="00087302">
      <w:pPr>
        <w:pStyle w:val="NIHRCFootnotes"/>
      </w:pPr>
      <w:r>
        <w:rPr>
          <w:rStyle w:val="FootnoteReference"/>
        </w:rPr>
        <w:footnoteRef/>
      </w:r>
      <w:r>
        <w:t xml:space="preserve"> E/2002/68/Add.1 ’</w:t>
      </w:r>
      <w:r w:rsidRPr="00A40A6F">
        <w:t xml:space="preserve">Recommended Principles and Guidelines on Human Rights and Human Trafficking: </w:t>
      </w:r>
      <w:r>
        <w:t>R</w:t>
      </w:r>
      <w:r w:rsidRPr="00A40A6F">
        <w:t xml:space="preserve">eport of the United Nations High Commissioner for Human Rights to the Economic and Social Council: </w:t>
      </w:r>
      <w:r>
        <w:t>A</w:t>
      </w:r>
      <w:r w:rsidRPr="00A40A6F">
        <w:t>ddendum</w:t>
      </w:r>
      <w:r>
        <w:t>’, 20 May 2002, at Guideline 3(5).</w:t>
      </w:r>
    </w:p>
  </w:footnote>
  <w:footnote w:id="84">
    <w:p w14:paraId="28070493" w14:textId="55423502" w:rsidR="00087302" w:rsidRDefault="00087302" w:rsidP="00087302">
      <w:pPr>
        <w:pStyle w:val="NIHRCFootnotes"/>
      </w:pPr>
      <w:r>
        <w:rPr>
          <w:rStyle w:val="FootnoteReference"/>
        </w:rPr>
        <w:footnoteRef/>
      </w:r>
      <w:r>
        <w:t xml:space="preserve"> </w:t>
      </w:r>
      <w:r w:rsidRPr="00FB4AB2">
        <w:t>Independent Anti-Slavery Commissioner, ‘The Use of Modern Slavery Risk and Prevention Orders’ (IASC, 2022)</w:t>
      </w:r>
      <w:r>
        <w:t>.</w:t>
      </w:r>
    </w:p>
  </w:footnote>
  <w:footnote w:id="85">
    <w:p w14:paraId="6C006D51" w14:textId="091943B7" w:rsidR="00AF12C8" w:rsidRDefault="00AF12C8" w:rsidP="00AF12C8">
      <w:pPr>
        <w:pStyle w:val="NIHRCFootnotes"/>
      </w:pPr>
      <w:r>
        <w:rPr>
          <w:rStyle w:val="FootnoteReference"/>
        </w:rPr>
        <w:footnoteRef/>
      </w:r>
      <w:r>
        <w:t xml:space="preserve"> </w:t>
      </w:r>
      <w:r w:rsidRPr="00D16BB4">
        <w:t>GRETA(2021)12, The Council of Europe Group of Experts on Action against Trafficking in Human Beings, ‘Evaluation Report: United Kingdom’ 20 October 2021</w:t>
      </w:r>
      <w:r>
        <w:t>.</w:t>
      </w:r>
    </w:p>
  </w:footnote>
  <w:footnote w:id="86">
    <w:p w14:paraId="03B68033" w14:textId="2CF7512E" w:rsidR="003208BC" w:rsidRDefault="003208BC" w:rsidP="003208BC">
      <w:pPr>
        <w:pStyle w:val="NIHRCFootnotes"/>
      </w:pPr>
      <w:r>
        <w:rPr>
          <w:rStyle w:val="FootnoteReference"/>
        </w:rPr>
        <w:footnoteRef/>
      </w:r>
      <w:r>
        <w:t xml:space="preserve"> </w:t>
      </w:r>
      <w:r w:rsidRPr="00D16BB4">
        <w:t>GRETA(2021)12, The Council of Europe Group of Experts on Action against Trafficking in Human Beings, ‘Evaluation Report: United Kingdom’ 20 October 2021</w:t>
      </w:r>
      <w:r>
        <w:t>, at para 255.</w:t>
      </w:r>
    </w:p>
  </w:footnote>
  <w:footnote w:id="87">
    <w:p w14:paraId="68194DF1" w14:textId="77777777" w:rsidR="009F0C7F" w:rsidRPr="00FB4AB2" w:rsidRDefault="009F0C7F" w:rsidP="009F0C7F">
      <w:pPr>
        <w:pStyle w:val="FootnoteText"/>
        <w:spacing w:line="240" w:lineRule="auto"/>
        <w:rPr>
          <w:color w:val="77328A"/>
          <w:sz w:val="16"/>
          <w:szCs w:val="16"/>
        </w:rPr>
      </w:pPr>
      <w:r w:rsidRPr="00FB4AB2">
        <w:rPr>
          <w:rStyle w:val="FootnoteReference"/>
          <w:color w:val="77328A"/>
          <w:sz w:val="16"/>
          <w:szCs w:val="16"/>
        </w:rPr>
        <w:footnoteRef/>
      </w:r>
      <w:r w:rsidRPr="00FB4AB2">
        <w:rPr>
          <w:color w:val="77328A"/>
          <w:sz w:val="16"/>
          <w:szCs w:val="16"/>
        </w:rPr>
        <w:t xml:space="preserve"> Article 9(4), Directive 2011/36/EU, ‘EU Council Directive on preventing and combating trafficking in human beings and protecting its victims’, 5 April 2011.</w:t>
      </w:r>
    </w:p>
  </w:footnote>
  <w:footnote w:id="88">
    <w:p w14:paraId="2DCFF543" w14:textId="77777777" w:rsidR="009F0C7F" w:rsidRDefault="009F0C7F" w:rsidP="009F0C7F">
      <w:pPr>
        <w:pStyle w:val="NIHRCFootnotes"/>
      </w:pPr>
      <w:r>
        <w:rPr>
          <w:rStyle w:val="FootnoteReference"/>
        </w:rPr>
        <w:footnoteRef/>
      </w:r>
      <w:r>
        <w:t xml:space="preserve"> </w:t>
      </w:r>
      <w:r w:rsidRPr="00C14076">
        <w:rPr>
          <w:i/>
        </w:rPr>
        <w:t>Soering v UK</w:t>
      </w:r>
      <w:r>
        <w:t xml:space="preserve"> (1989) ECHR 14.</w:t>
      </w:r>
    </w:p>
  </w:footnote>
  <w:footnote w:id="89">
    <w:p w14:paraId="5FC3C37F" w14:textId="7B8C879A" w:rsidR="002D2537" w:rsidRDefault="002D2537" w:rsidP="00C14076">
      <w:pPr>
        <w:pStyle w:val="NIHRCFootnotes"/>
      </w:pPr>
      <w:r>
        <w:rPr>
          <w:rStyle w:val="FootnoteReference"/>
        </w:rPr>
        <w:footnoteRef/>
      </w:r>
      <w:r>
        <w:t xml:space="preserve"> </w:t>
      </w:r>
      <w:r w:rsidR="00F47A2B" w:rsidRPr="00C974DC">
        <w:rPr>
          <w:i/>
          <w:iCs/>
        </w:rPr>
        <w:t xml:space="preserve">Halford v. the United </w:t>
      </w:r>
      <w:r w:rsidR="00035561" w:rsidRPr="00C974DC">
        <w:rPr>
          <w:i/>
          <w:iCs/>
        </w:rPr>
        <w:t>Kingdom</w:t>
      </w:r>
      <w:r w:rsidR="00D8205A">
        <w:t xml:space="preserve"> (1997)</w:t>
      </w:r>
      <w:r w:rsidR="00BC6EB6">
        <w:t xml:space="preserve"> ECHR 32</w:t>
      </w:r>
      <w:r w:rsidR="001F417E">
        <w:t>, at para 4</w:t>
      </w:r>
      <w:r w:rsidR="00C34778">
        <w:t>9.</w:t>
      </w:r>
      <w:r w:rsidR="00D8205A">
        <w:t xml:space="preserve"> </w:t>
      </w:r>
    </w:p>
  </w:footnote>
  <w:footnote w:id="90">
    <w:p w14:paraId="1E00D599" w14:textId="1CDD926E" w:rsidR="009F0C7F" w:rsidRDefault="009F0C7F" w:rsidP="009F0C7F">
      <w:pPr>
        <w:pStyle w:val="NIHRCFootnotes"/>
      </w:pPr>
      <w:r>
        <w:rPr>
          <w:rStyle w:val="FootnoteReference"/>
        </w:rPr>
        <w:footnoteRef/>
      </w:r>
      <w:r>
        <w:t xml:space="preserve"> </w:t>
      </w:r>
      <w:r w:rsidRPr="00C14076">
        <w:rPr>
          <w:i/>
        </w:rPr>
        <w:t>Gillan and Quinton v</w:t>
      </w:r>
      <w:r w:rsidR="00C9227B" w:rsidRPr="00C14076">
        <w:rPr>
          <w:i/>
          <w:iCs/>
        </w:rPr>
        <w:t xml:space="preserve"> UK</w:t>
      </w:r>
      <w:r>
        <w:t xml:space="preserve"> </w:t>
      </w:r>
      <w:r w:rsidR="00C974DC">
        <w:t>(2009) ECHR 755,</w:t>
      </w:r>
      <w:r>
        <w:t xml:space="preserve"> at para 87; </w:t>
      </w:r>
      <w:r w:rsidRPr="00C14076">
        <w:rPr>
          <w:i/>
        </w:rPr>
        <w:t>Vig v Hungary</w:t>
      </w:r>
      <w:r w:rsidR="00440353">
        <w:t xml:space="preserve"> (2021) ECHR 24, </w:t>
      </w:r>
      <w:r>
        <w:t xml:space="preserve">at para 62; </w:t>
      </w:r>
      <w:r w:rsidRPr="00C14076">
        <w:rPr>
          <w:i/>
        </w:rPr>
        <w:t>Roman Zakharov v Russia</w:t>
      </w:r>
      <w:r w:rsidR="00595710">
        <w:t xml:space="preserve"> (2015) ECHR </w:t>
      </w:r>
      <w:r w:rsidR="004E249B">
        <w:t>1065</w:t>
      </w:r>
      <w:r>
        <w:t>, at para 236.</w:t>
      </w:r>
    </w:p>
  </w:footnote>
  <w:footnote w:id="91">
    <w:p w14:paraId="210F0249" w14:textId="17C8277F" w:rsidR="009F0C7F" w:rsidRDefault="009F0C7F" w:rsidP="009F0C7F">
      <w:pPr>
        <w:pStyle w:val="NIHRCFootnotes"/>
      </w:pPr>
      <w:r>
        <w:rPr>
          <w:rStyle w:val="FootnoteReference"/>
        </w:rPr>
        <w:footnoteRef/>
      </w:r>
      <w:r>
        <w:t xml:space="preserve"> </w:t>
      </w:r>
      <w:r w:rsidRPr="00C14076">
        <w:rPr>
          <w:i/>
        </w:rPr>
        <w:t>Klass and Others v Germany</w:t>
      </w:r>
      <w:r w:rsidR="00BF5D5B">
        <w:t xml:space="preserve"> (1978) ECHR 4</w:t>
      </w:r>
      <w:r>
        <w:t>, at para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C7"/>
    <w:multiLevelType w:val="multilevel"/>
    <w:tmpl w:val="1C8ECDD0"/>
    <w:lvl w:ilvl="0">
      <w:start w:val="4"/>
      <w:numFmt w:val="decimal"/>
      <w:lvlText w:val="%1.0"/>
      <w:lvlJc w:val="left"/>
      <w:pPr>
        <w:ind w:left="720" w:hanging="72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 w15:restartNumberingAfterBreak="0">
    <w:nsid w:val="03A575EF"/>
    <w:multiLevelType w:val="hybridMultilevel"/>
    <w:tmpl w:val="4FC0EC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74158"/>
    <w:multiLevelType w:val="hybridMultilevel"/>
    <w:tmpl w:val="D2F45DE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6AB4B96"/>
    <w:multiLevelType w:val="multilevel"/>
    <w:tmpl w:val="163C44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5874F0"/>
    <w:multiLevelType w:val="multilevel"/>
    <w:tmpl w:val="3D485C02"/>
    <w:lvl w:ilvl="0">
      <w:start w:val="3"/>
      <w:numFmt w:val="decimal"/>
      <w:lvlText w:val="%1.0"/>
      <w:lvlJc w:val="left"/>
      <w:pPr>
        <w:ind w:left="720" w:hanging="720"/>
      </w:pPr>
      <w:rPr>
        <w:rFonts w:hint="default"/>
        <w:color w:val="auto"/>
      </w:rPr>
    </w:lvl>
    <w:lvl w:ilvl="1">
      <w:start w:val="1"/>
      <w:numFmt w:val="decimal"/>
      <w:lvlText w:val="%1.%2"/>
      <w:lvlJc w:val="left"/>
      <w:pPr>
        <w:ind w:left="720" w:hanging="720"/>
      </w:pPr>
      <w:rPr>
        <w:rFonts w:ascii="Verdana" w:hAnsi="Verdana" w:hint="default"/>
        <w:b w:val="0"/>
        <w:color w:val="auto"/>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2A261FD4"/>
    <w:multiLevelType w:val="multilevel"/>
    <w:tmpl w:val="3BF6C3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CAD13F1"/>
    <w:multiLevelType w:val="hybridMultilevel"/>
    <w:tmpl w:val="5AA4B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F881207"/>
    <w:multiLevelType w:val="multilevel"/>
    <w:tmpl w:val="AC688F98"/>
    <w:styleLink w:val="Style2"/>
    <w:lvl w:ilvl="0">
      <w:start w:val="1"/>
      <w:numFmt w:val="decimal"/>
      <w:lvlText w:val="%1.1"/>
      <w:lvlJc w:val="left"/>
      <w:pPr>
        <w:ind w:left="510" w:hanging="510"/>
      </w:pPr>
      <w:rPr>
        <w:rFonts w:hint="default"/>
      </w:rPr>
    </w:lvl>
    <w:lvl w:ilvl="1">
      <w:start w:val="1"/>
      <w:numFmt w:val="none"/>
      <w:lvlText w:val="1.2"/>
      <w:lvlJc w:val="left"/>
      <w:pPr>
        <w:ind w:left="510" w:hanging="510"/>
      </w:pPr>
      <w:rPr>
        <w:rFonts w:hint="default"/>
      </w:rPr>
    </w:lvl>
    <w:lvl w:ilvl="2">
      <w:start w:val="1"/>
      <w:numFmt w:val="none"/>
      <w:lvlText w:val="1.3"/>
      <w:lvlJc w:val="left"/>
      <w:pPr>
        <w:ind w:left="510" w:hanging="510"/>
      </w:pPr>
      <w:rPr>
        <w:rFonts w:hint="default"/>
      </w:rPr>
    </w:lvl>
    <w:lvl w:ilvl="3">
      <w:start w:val="1"/>
      <w:numFmt w:val="none"/>
      <w:lvlText w:val="1.4"/>
      <w:lvlJc w:val="left"/>
      <w:pPr>
        <w:ind w:left="510" w:hanging="510"/>
      </w:pPr>
      <w:rPr>
        <w:rFonts w:hint="default"/>
      </w:rPr>
    </w:lvl>
    <w:lvl w:ilvl="4">
      <w:start w:val="1"/>
      <w:numFmt w:val="none"/>
      <w:lvlText w:val="1.5"/>
      <w:lvlJc w:val="left"/>
      <w:pPr>
        <w:ind w:left="510" w:hanging="510"/>
      </w:pPr>
      <w:rPr>
        <w:rFonts w:hint="default"/>
      </w:rPr>
    </w:lvl>
    <w:lvl w:ilvl="5">
      <w:start w:val="1"/>
      <w:numFmt w:val="none"/>
      <w:lvlText w:val="1.6"/>
      <w:lvlJc w:val="left"/>
      <w:pPr>
        <w:ind w:left="510" w:hanging="510"/>
      </w:pPr>
      <w:rPr>
        <w:rFonts w:hint="default"/>
      </w:rPr>
    </w:lvl>
    <w:lvl w:ilvl="6">
      <w:start w:val="1"/>
      <w:numFmt w:val="decimal"/>
      <w:lvlText w:val="%7.7"/>
      <w:lvlJc w:val="left"/>
      <w:pPr>
        <w:ind w:left="510" w:hanging="510"/>
      </w:pPr>
      <w:rPr>
        <w:rFonts w:hint="default"/>
      </w:rPr>
    </w:lvl>
    <w:lvl w:ilvl="7">
      <w:start w:val="1"/>
      <w:numFmt w:val="none"/>
      <w:lvlText w:val="1.8"/>
      <w:lvlJc w:val="left"/>
      <w:pPr>
        <w:ind w:left="510" w:hanging="510"/>
      </w:pPr>
      <w:rPr>
        <w:rFonts w:hint="default"/>
      </w:rPr>
    </w:lvl>
    <w:lvl w:ilvl="8">
      <w:start w:val="1"/>
      <w:numFmt w:val="none"/>
      <w:lvlText w:val="1.9"/>
      <w:lvlJc w:val="left"/>
      <w:pPr>
        <w:ind w:left="510" w:hanging="510"/>
      </w:pPr>
      <w:rPr>
        <w:rFonts w:hint="default"/>
      </w:rPr>
    </w:lvl>
  </w:abstractNum>
  <w:abstractNum w:abstractNumId="8" w15:restartNumberingAfterBreak="0">
    <w:nsid w:val="430A1BC5"/>
    <w:multiLevelType w:val="hybridMultilevel"/>
    <w:tmpl w:val="FF3C5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307F11"/>
    <w:multiLevelType w:val="multilevel"/>
    <w:tmpl w:val="D41AA36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2B46654"/>
    <w:multiLevelType w:val="multilevel"/>
    <w:tmpl w:val="EF88CB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71BC7688"/>
    <w:multiLevelType w:val="multilevel"/>
    <w:tmpl w:val="278A41DA"/>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sz w:val="24"/>
        <w:szCs w:val="24"/>
      </w:rPr>
    </w:lvl>
    <w:lvl w:ilvl="2">
      <w:start w:val="1"/>
      <w:numFmt w:val="bullet"/>
      <w:lvlText w:val=""/>
      <w:lvlJc w:val="left"/>
      <w:pPr>
        <w:ind w:left="2520" w:hanging="108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335546633">
    <w:abstractNumId w:val="10"/>
  </w:num>
  <w:num w:numId="2" w16cid:durableId="1771897262">
    <w:abstractNumId w:val="5"/>
  </w:num>
  <w:num w:numId="3" w16cid:durableId="1483548639">
    <w:abstractNumId w:val="2"/>
  </w:num>
  <w:num w:numId="4" w16cid:durableId="1544830188">
    <w:abstractNumId w:val="6"/>
  </w:num>
  <w:num w:numId="5" w16cid:durableId="1520123506">
    <w:abstractNumId w:val="7"/>
  </w:num>
  <w:num w:numId="6" w16cid:durableId="476459670">
    <w:abstractNumId w:val="4"/>
  </w:num>
  <w:num w:numId="7" w16cid:durableId="1890067076">
    <w:abstractNumId w:val="0"/>
  </w:num>
  <w:num w:numId="8" w16cid:durableId="1844205320">
    <w:abstractNumId w:val="8"/>
  </w:num>
  <w:num w:numId="9" w16cid:durableId="1228373521">
    <w:abstractNumId w:val="11"/>
  </w:num>
  <w:num w:numId="10" w16cid:durableId="1857767725">
    <w:abstractNumId w:val="1"/>
  </w:num>
  <w:num w:numId="11" w16cid:durableId="1504272173">
    <w:abstractNumId w:val="9"/>
  </w:num>
  <w:num w:numId="12" w16cid:durableId="37304456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6002"/>
    <w:rsid w:val="00006D72"/>
    <w:rsid w:val="000107CB"/>
    <w:rsid w:val="000115CF"/>
    <w:rsid w:val="00011E17"/>
    <w:rsid w:val="00012F2E"/>
    <w:rsid w:val="000137DA"/>
    <w:rsid w:val="0001449A"/>
    <w:rsid w:val="00014DB3"/>
    <w:rsid w:val="00015943"/>
    <w:rsid w:val="000167EE"/>
    <w:rsid w:val="00021BFF"/>
    <w:rsid w:val="00021CF1"/>
    <w:rsid w:val="000221FE"/>
    <w:rsid w:val="0002316F"/>
    <w:rsid w:val="000258C0"/>
    <w:rsid w:val="0002619B"/>
    <w:rsid w:val="000264FC"/>
    <w:rsid w:val="00027DE6"/>
    <w:rsid w:val="00032D1B"/>
    <w:rsid w:val="00032F20"/>
    <w:rsid w:val="00033674"/>
    <w:rsid w:val="00033FB5"/>
    <w:rsid w:val="00034209"/>
    <w:rsid w:val="00035561"/>
    <w:rsid w:val="000359C8"/>
    <w:rsid w:val="00036139"/>
    <w:rsid w:val="00036849"/>
    <w:rsid w:val="00041A31"/>
    <w:rsid w:val="00041DD8"/>
    <w:rsid w:val="00043508"/>
    <w:rsid w:val="00043B34"/>
    <w:rsid w:val="000441B6"/>
    <w:rsid w:val="0004518D"/>
    <w:rsid w:val="00045872"/>
    <w:rsid w:val="00045B93"/>
    <w:rsid w:val="00046705"/>
    <w:rsid w:val="00047294"/>
    <w:rsid w:val="000477D2"/>
    <w:rsid w:val="00047808"/>
    <w:rsid w:val="00050C43"/>
    <w:rsid w:val="00050FB6"/>
    <w:rsid w:val="0005379E"/>
    <w:rsid w:val="000548C4"/>
    <w:rsid w:val="00054B32"/>
    <w:rsid w:val="00055147"/>
    <w:rsid w:val="00061677"/>
    <w:rsid w:val="00061B84"/>
    <w:rsid w:val="00061DCF"/>
    <w:rsid w:val="00061F3E"/>
    <w:rsid w:val="00062E0C"/>
    <w:rsid w:val="00063A74"/>
    <w:rsid w:val="000653F0"/>
    <w:rsid w:val="0006600A"/>
    <w:rsid w:val="00067FB2"/>
    <w:rsid w:val="00070614"/>
    <w:rsid w:val="000723A4"/>
    <w:rsid w:val="000726C8"/>
    <w:rsid w:val="00074B91"/>
    <w:rsid w:val="0007541B"/>
    <w:rsid w:val="0007542E"/>
    <w:rsid w:val="00075936"/>
    <w:rsid w:val="00076870"/>
    <w:rsid w:val="00077E09"/>
    <w:rsid w:val="00081307"/>
    <w:rsid w:val="00081555"/>
    <w:rsid w:val="00082688"/>
    <w:rsid w:val="00084B1A"/>
    <w:rsid w:val="00085A97"/>
    <w:rsid w:val="00085C4B"/>
    <w:rsid w:val="00085E6A"/>
    <w:rsid w:val="00085F14"/>
    <w:rsid w:val="000860C2"/>
    <w:rsid w:val="0008699A"/>
    <w:rsid w:val="00087302"/>
    <w:rsid w:val="000874CC"/>
    <w:rsid w:val="00087B6A"/>
    <w:rsid w:val="000901E3"/>
    <w:rsid w:val="00090264"/>
    <w:rsid w:val="00091937"/>
    <w:rsid w:val="0009340C"/>
    <w:rsid w:val="00093CD0"/>
    <w:rsid w:val="000941A6"/>
    <w:rsid w:val="000943B9"/>
    <w:rsid w:val="00095E28"/>
    <w:rsid w:val="000969D8"/>
    <w:rsid w:val="00096E64"/>
    <w:rsid w:val="00096EE0"/>
    <w:rsid w:val="00097276"/>
    <w:rsid w:val="000A137B"/>
    <w:rsid w:val="000A1B29"/>
    <w:rsid w:val="000A2862"/>
    <w:rsid w:val="000A5D20"/>
    <w:rsid w:val="000A762A"/>
    <w:rsid w:val="000A7BB5"/>
    <w:rsid w:val="000B1561"/>
    <w:rsid w:val="000B1D1D"/>
    <w:rsid w:val="000B1EE3"/>
    <w:rsid w:val="000B2D6C"/>
    <w:rsid w:val="000B2E85"/>
    <w:rsid w:val="000B4158"/>
    <w:rsid w:val="000B5635"/>
    <w:rsid w:val="000B6F66"/>
    <w:rsid w:val="000B799F"/>
    <w:rsid w:val="000B7C32"/>
    <w:rsid w:val="000C01B4"/>
    <w:rsid w:val="000C326F"/>
    <w:rsid w:val="000C4650"/>
    <w:rsid w:val="000C4F87"/>
    <w:rsid w:val="000C5042"/>
    <w:rsid w:val="000D2A14"/>
    <w:rsid w:val="000D2A3D"/>
    <w:rsid w:val="000D4AE9"/>
    <w:rsid w:val="000D567E"/>
    <w:rsid w:val="000D60F1"/>
    <w:rsid w:val="000E1509"/>
    <w:rsid w:val="000E1B69"/>
    <w:rsid w:val="000E1F61"/>
    <w:rsid w:val="000E363B"/>
    <w:rsid w:val="000E3EB7"/>
    <w:rsid w:val="000E4190"/>
    <w:rsid w:val="000E4750"/>
    <w:rsid w:val="000E5C66"/>
    <w:rsid w:val="000E7F0C"/>
    <w:rsid w:val="000F0FAB"/>
    <w:rsid w:val="000F1B4A"/>
    <w:rsid w:val="000F2DB6"/>
    <w:rsid w:val="000F3317"/>
    <w:rsid w:val="000F395D"/>
    <w:rsid w:val="000F5BDC"/>
    <w:rsid w:val="000F67B8"/>
    <w:rsid w:val="000F7F37"/>
    <w:rsid w:val="00100E79"/>
    <w:rsid w:val="001029AA"/>
    <w:rsid w:val="001032A3"/>
    <w:rsid w:val="001038FE"/>
    <w:rsid w:val="001049B9"/>
    <w:rsid w:val="00106D7C"/>
    <w:rsid w:val="001078E5"/>
    <w:rsid w:val="0011034F"/>
    <w:rsid w:val="00110360"/>
    <w:rsid w:val="00110896"/>
    <w:rsid w:val="001148BC"/>
    <w:rsid w:val="0011676D"/>
    <w:rsid w:val="00116D80"/>
    <w:rsid w:val="00116DC2"/>
    <w:rsid w:val="001210BF"/>
    <w:rsid w:val="00122CD4"/>
    <w:rsid w:val="0012656B"/>
    <w:rsid w:val="001303CF"/>
    <w:rsid w:val="00131A0D"/>
    <w:rsid w:val="001322B7"/>
    <w:rsid w:val="00132441"/>
    <w:rsid w:val="00132663"/>
    <w:rsid w:val="0013334C"/>
    <w:rsid w:val="00133D60"/>
    <w:rsid w:val="00134F2A"/>
    <w:rsid w:val="00140FCD"/>
    <w:rsid w:val="001413D6"/>
    <w:rsid w:val="00141F1E"/>
    <w:rsid w:val="00141F6C"/>
    <w:rsid w:val="001422F1"/>
    <w:rsid w:val="00143074"/>
    <w:rsid w:val="0014358E"/>
    <w:rsid w:val="001436C6"/>
    <w:rsid w:val="00143903"/>
    <w:rsid w:val="001441FD"/>
    <w:rsid w:val="00145A08"/>
    <w:rsid w:val="00145A62"/>
    <w:rsid w:val="00146A40"/>
    <w:rsid w:val="0014787C"/>
    <w:rsid w:val="00147A68"/>
    <w:rsid w:val="00150D07"/>
    <w:rsid w:val="001514F8"/>
    <w:rsid w:val="001517DC"/>
    <w:rsid w:val="00151F3B"/>
    <w:rsid w:val="00152A29"/>
    <w:rsid w:val="001550EC"/>
    <w:rsid w:val="00156A07"/>
    <w:rsid w:val="00156DE9"/>
    <w:rsid w:val="001601A7"/>
    <w:rsid w:val="001602D5"/>
    <w:rsid w:val="00160592"/>
    <w:rsid w:val="001640DF"/>
    <w:rsid w:val="00164C0D"/>
    <w:rsid w:val="001652F2"/>
    <w:rsid w:val="00166CBD"/>
    <w:rsid w:val="0017111F"/>
    <w:rsid w:val="001716E7"/>
    <w:rsid w:val="001720E5"/>
    <w:rsid w:val="001724FB"/>
    <w:rsid w:val="001742E1"/>
    <w:rsid w:val="0017546F"/>
    <w:rsid w:val="0017567D"/>
    <w:rsid w:val="001756D3"/>
    <w:rsid w:val="00175A1F"/>
    <w:rsid w:val="00176047"/>
    <w:rsid w:val="00176685"/>
    <w:rsid w:val="00176CB8"/>
    <w:rsid w:val="001776FF"/>
    <w:rsid w:val="00177EEA"/>
    <w:rsid w:val="00182E9D"/>
    <w:rsid w:val="0018584A"/>
    <w:rsid w:val="0018653A"/>
    <w:rsid w:val="00186998"/>
    <w:rsid w:val="00186B69"/>
    <w:rsid w:val="00186F83"/>
    <w:rsid w:val="0019003A"/>
    <w:rsid w:val="00191A3D"/>
    <w:rsid w:val="00193590"/>
    <w:rsid w:val="00193B24"/>
    <w:rsid w:val="001953C8"/>
    <w:rsid w:val="00195594"/>
    <w:rsid w:val="0019590B"/>
    <w:rsid w:val="00196118"/>
    <w:rsid w:val="00196803"/>
    <w:rsid w:val="00196CEA"/>
    <w:rsid w:val="001975E8"/>
    <w:rsid w:val="00197F1E"/>
    <w:rsid w:val="001A077F"/>
    <w:rsid w:val="001A09B2"/>
    <w:rsid w:val="001A1785"/>
    <w:rsid w:val="001A17A2"/>
    <w:rsid w:val="001A1947"/>
    <w:rsid w:val="001A4F2D"/>
    <w:rsid w:val="001A5099"/>
    <w:rsid w:val="001A5B9C"/>
    <w:rsid w:val="001A6187"/>
    <w:rsid w:val="001B1368"/>
    <w:rsid w:val="001B3A8C"/>
    <w:rsid w:val="001B5461"/>
    <w:rsid w:val="001C03D0"/>
    <w:rsid w:val="001C0A04"/>
    <w:rsid w:val="001C2507"/>
    <w:rsid w:val="001C2B7A"/>
    <w:rsid w:val="001C6082"/>
    <w:rsid w:val="001C7C5A"/>
    <w:rsid w:val="001C7D31"/>
    <w:rsid w:val="001D0770"/>
    <w:rsid w:val="001D1186"/>
    <w:rsid w:val="001D27A2"/>
    <w:rsid w:val="001D4D4D"/>
    <w:rsid w:val="001D50D7"/>
    <w:rsid w:val="001D67CF"/>
    <w:rsid w:val="001D6A31"/>
    <w:rsid w:val="001E0037"/>
    <w:rsid w:val="001E0C34"/>
    <w:rsid w:val="001E0CB6"/>
    <w:rsid w:val="001E18B0"/>
    <w:rsid w:val="001E1FFB"/>
    <w:rsid w:val="001E22E7"/>
    <w:rsid w:val="001E356D"/>
    <w:rsid w:val="001E3BC6"/>
    <w:rsid w:val="001E79A9"/>
    <w:rsid w:val="001F02FA"/>
    <w:rsid w:val="001F1668"/>
    <w:rsid w:val="001F2C21"/>
    <w:rsid w:val="001F3095"/>
    <w:rsid w:val="001F3B36"/>
    <w:rsid w:val="001F3D21"/>
    <w:rsid w:val="001F417E"/>
    <w:rsid w:val="001F43DE"/>
    <w:rsid w:val="001F76C9"/>
    <w:rsid w:val="0020083F"/>
    <w:rsid w:val="00200C7E"/>
    <w:rsid w:val="00200CF1"/>
    <w:rsid w:val="0020126B"/>
    <w:rsid w:val="002024AE"/>
    <w:rsid w:val="00203AD7"/>
    <w:rsid w:val="00205CD3"/>
    <w:rsid w:val="00205D3B"/>
    <w:rsid w:val="00206D12"/>
    <w:rsid w:val="00210918"/>
    <w:rsid w:val="00210AB4"/>
    <w:rsid w:val="00211888"/>
    <w:rsid w:val="00212F81"/>
    <w:rsid w:val="00213B1A"/>
    <w:rsid w:val="00213B8A"/>
    <w:rsid w:val="00214BCA"/>
    <w:rsid w:val="00215A55"/>
    <w:rsid w:val="00215D56"/>
    <w:rsid w:val="00216878"/>
    <w:rsid w:val="00217752"/>
    <w:rsid w:val="00217DC4"/>
    <w:rsid w:val="00220A23"/>
    <w:rsid w:val="00220D16"/>
    <w:rsid w:val="0022244A"/>
    <w:rsid w:val="00222AC0"/>
    <w:rsid w:val="00222CEC"/>
    <w:rsid w:val="00224117"/>
    <w:rsid w:val="00224140"/>
    <w:rsid w:val="0022745C"/>
    <w:rsid w:val="00227D0C"/>
    <w:rsid w:val="00230490"/>
    <w:rsid w:val="00232EBB"/>
    <w:rsid w:val="00233914"/>
    <w:rsid w:val="002351CB"/>
    <w:rsid w:val="0023632E"/>
    <w:rsid w:val="00237A1F"/>
    <w:rsid w:val="0024012B"/>
    <w:rsid w:val="00240177"/>
    <w:rsid w:val="00240636"/>
    <w:rsid w:val="002428EC"/>
    <w:rsid w:val="00242D89"/>
    <w:rsid w:val="0024300F"/>
    <w:rsid w:val="0024312A"/>
    <w:rsid w:val="002434B6"/>
    <w:rsid w:val="00244E46"/>
    <w:rsid w:val="00244FA9"/>
    <w:rsid w:val="0024540F"/>
    <w:rsid w:val="002460B3"/>
    <w:rsid w:val="00246F20"/>
    <w:rsid w:val="002470AE"/>
    <w:rsid w:val="00247107"/>
    <w:rsid w:val="00247B20"/>
    <w:rsid w:val="002512F0"/>
    <w:rsid w:val="00251DDD"/>
    <w:rsid w:val="00252B6A"/>
    <w:rsid w:val="0025351A"/>
    <w:rsid w:val="00253560"/>
    <w:rsid w:val="002542B5"/>
    <w:rsid w:val="00254790"/>
    <w:rsid w:val="00254BBF"/>
    <w:rsid w:val="002560E0"/>
    <w:rsid w:val="002568F8"/>
    <w:rsid w:val="00257D2C"/>
    <w:rsid w:val="002618AE"/>
    <w:rsid w:val="0026390A"/>
    <w:rsid w:val="00263C6D"/>
    <w:rsid w:val="00265F2F"/>
    <w:rsid w:val="00267242"/>
    <w:rsid w:val="0026749E"/>
    <w:rsid w:val="002704FF"/>
    <w:rsid w:val="0027174D"/>
    <w:rsid w:val="0027219F"/>
    <w:rsid w:val="002733A4"/>
    <w:rsid w:val="00273A53"/>
    <w:rsid w:val="002742C2"/>
    <w:rsid w:val="00274A31"/>
    <w:rsid w:val="0027683B"/>
    <w:rsid w:val="00276C76"/>
    <w:rsid w:val="00277E8E"/>
    <w:rsid w:val="00280C1D"/>
    <w:rsid w:val="00281E79"/>
    <w:rsid w:val="00282138"/>
    <w:rsid w:val="0028237F"/>
    <w:rsid w:val="00283506"/>
    <w:rsid w:val="002839F6"/>
    <w:rsid w:val="00284414"/>
    <w:rsid w:val="002855C7"/>
    <w:rsid w:val="00285924"/>
    <w:rsid w:val="00290ADE"/>
    <w:rsid w:val="00290B4C"/>
    <w:rsid w:val="002930E0"/>
    <w:rsid w:val="002949D9"/>
    <w:rsid w:val="002953A4"/>
    <w:rsid w:val="002959DE"/>
    <w:rsid w:val="00296412"/>
    <w:rsid w:val="00297EBF"/>
    <w:rsid w:val="002A013B"/>
    <w:rsid w:val="002A06D8"/>
    <w:rsid w:val="002A0F07"/>
    <w:rsid w:val="002A323E"/>
    <w:rsid w:val="002A43F2"/>
    <w:rsid w:val="002A5F66"/>
    <w:rsid w:val="002A6286"/>
    <w:rsid w:val="002A6C12"/>
    <w:rsid w:val="002A7A86"/>
    <w:rsid w:val="002A7B26"/>
    <w:rsid w:val="002B1272"/>
    <w:rsid w:val="002B16FD"/>
    <w:rsid w:val="002B3370"/>
    <w:rsid w:val="002B47F9"/>
    <w:rsid w:val="002B4B51"/>
    <w:rsid w:val="002B783A"/>
    <w:rsid w:val="002B7EA9"/>
    <w:rsid w:val="002C1555"/>
    <w:rsid w:val="002C3327"/>
    <w:rsid w:val="002C504E"/>
    <w:rsid w:val="002C6C29"/>
    <w:rsid w:val="002C741E"/>
    <w:rsid w:val="002D1207"/>
    <w:rsid w:val="002D2537"/>
    <w:rsid w:val="002D2CE9"/>
    <w:rsid w:val="002D30F6"/>
    <w:rsid w:val="002D3530"/>
    <w:rsid w:val="002D40B1"/>
    <w:rsid w:val="002D4213"/>
    <w:rsid w:val="002D42A7"/>
    <w:rsid w:val="002D517B"/>
    <w:rsid w:val="002D6474"/>
    <w:rsid w:val="002D64BC"/>
    <w:rsid w:val="002D6FFD"/>
    <w:rsid w:val="002D7A77"/>
    <w:rsid w:val="002E0C4C"/>
    <w:rsid w:val="002E0E4B"/>
    <w:rsid w:val="002E0F7C"/>
    <w:rsid w:val="002E1D0E"/>
    <w:rsid w:val="002E34AB"/>
    <w:rsid w:val="002E46C0"/>
    <w:rsid w:val="002E586B"/>
    <w:rsid w:val="002E5AED"/>
    <w:rsid w:val="002E6141"/>
    <w:rsid w:val="002E6708"/>
    <w:rsid w:val="002E69C7"/>
    <w:rsid w:val="002E729E"/>
    <w:rsid w:val="002F00E2"/>
    <w:rsid w:val="002F2582"/>
    <w:rsid w:val="002F2C28"/>
    <w:rsid w:val="002F3EA2"/>
    <w:rsid w:val="002F4ADA"/>
    <w:rsid w:val="002F4BF1"/>
    <w:rsid w:val="002F60F7"/>
    <w:rsid w:val="002F718A"/>
    <w:rsid w:val="0030101D"/>
    <w:rsid w:val="00301F06"/>
    <w:rsid w:val="003042BE"/>
    <w:rsid w:val="00306317"/>
    <w:rsid w:val="00306B17"/>
    <w:rsid w:val="003070AF"/>
    <w:rsid w:val="00310620"/>
    <w:rsid w:val="00311222"/>
    <w:rsid w:val="00312F33"/>
    <w:rsid w:val="00312FA4"/>
    <w:rsid w:val="00314031"/>
    <w:rsid w:val="0031468F"/>
    <w:rsid w:val="003154BF"/>
    <w:rsid w:val="00315651"/>
    <w:rsid w:val="00316B96"/>
    <w:rsid w:val="003208BC"/>
    <w:rsid w:val="00320A45"/>
    <w:rsid w:val="00320C06"/>
    <w:rsid w:val="003213C3"/>
    <w:rsid w:val="003231EC"/>
    <w:rsid w:val="00324787"/>
    <w:rsid w:val="00324AB4"/>
    <w:rsid w:val="00325ED7"/>
    <w:rsid w:val="00327206"/>
    <w:rsid w:val="00327907"/>
    <w:rsid w:val="003307BD"/>
    <w:rsid w:val="00330A5F"/>
    <w:rsid w:val="00331C51"/>
    <w:rsid w:val="00331C61"/>
    <w:rsid w:val="0033369C"/>
    <w:rsid w:val="0033476E"/>
    <w:rsid w:val="00335ED6"/>
    <w:rsid w:val="00336C8E"/>
    <w:rsid w:val="00341BFE"/>
    <w:rsid w:val="0034213D"/>
    <w:rsid w:val="00343568"/>
    <w:rsid w:val="00343CD7"/>
    <w:rsid w:val="00344BD6"/>
    <w:rsid w:val="0034588F"/>
    <w:rsid w:val="00346AB3"/>
    <w:rsid w:val="00347AF6"/>
    <w:rsid w:val="00347DC4"/>
    <w:rsid w:val="00350B4D"/>
    <w:rsid w:val="00351753"/>
    <w:rsid w:val="00352CE4"/>
    <w:rsid w:val="0035325B"/>
    <w:rsid w:val="003537BE"/>
    <w:rsid w:val="0035412F"/>
    <w:rsid w:val="003542C3"/>
    <w:rsid w:val="0035512F"/>
    <w:rsid w:val="00355C00"/>
    <w:rsid w:val="00357DCA"/>
    <w:rsid w:val="00360948"/>
    <w:rsid w:val="003614A3"/>
    <w:rsid w:val="00362461"/>
    <w:rsid w:val="00362F4E"/>
    <w:rsid w:val="003630C6"/>
    <w:rsid w:val="00363A74"/>
    <w:rsid w:val="00364945"/>
    <w:rsid w:val="003654D3"/>
    <w:rsid w:val="00365AF1"/>
    <w:rsid w:val="0036616D"/>
    <w:rsid w:val="00366BC2"/>
    <w:rsid w:val="00367A6E"/>
    <w:rsid w:val="00367CCA"/>
    <w:rsid w:val="00367F6B"/>
    <w:rsid w:val="00370010"/>
    <w:rsid w:val="00370203"/>
    <w:rsid w:val="0037022E"/>
    <w:rsid w:val="00371124"/>
    <w:rsid w:val="00371CE2"/>
    <w:rsid w:val="003722D9"/>
    <w:rsid w:val="00372B2D"/>
    <w:rsid w:val="00372C62"/>
    <w:rsid w:val="00373C97"/>
    <w:rsid w:val="003748EC"/>
    <w:rsid w:val="00377956"/>
    <w:rsid w:val="00377A88"/>
    <w:rsid w:val="00380238"/>
    <w:rsid w:val="003809A6"/>
    <w:rsid w:val="00382F1E"/>
    <w:rsid w:val="00383317"/>
    <w:rsid w:val="0038403F"/>
    <w:rsid w:val="0038455A"/>
    <w:rsid w:val="003866A8"/>
    <w:rsid w:val="00386868"/>
    <w:rsid w:val="00386ACE"/>
    <w:rsid w:val="00387FBE"/>
    <w:rsid w:val="003902C4"/>
    <w:rsid w:val="00392785"/>
    <w:rsid w:val="00392807"/>
    <w:rsid w:val="00392FD1"/>
    <w:rsid w:val="00393DE2"/>
    <w:rsid w:val="003940C9"/>
    <w:rsid w:val="00396636"/>
    <w:rsid w:val="003A0150"/>
    <w:rsid w:val="003A0A19"/>
    <w:rsid w:val="003A0AD5"/>
    <w:rsid w:val="003A0FFF"/>
    <w:rsid w:val="003A1B02"/>
    <w:rsid w:val="003A2B1F"/>
    <w:rsid w:val="003A2CCA"/>
    <w:rsid w:val="003A3DA9"/>
    <w:rsid w:val="003A511F"/>
    <w:rsid w:val="003A6406"/>
    <w:rsid w:val="003A66A0"/>
    <w:rsid w:val="003A675F"/>
    <w:rsid w:val="003A6D10"/>
    <w:rsid w:val="003A6D5F"/>
    <w:rsid w:val="003A7C37"/>
    <w:rsid w:val="003B1407"/>
    <w:rsid w:val="003B37BD"/>
    <w:rsid w:val="003B477B"/>
    <w:rsid w:val="003B4DEB"/>
    <w:rsid w:val="003B4FF2"/>
    <w:rsid w:val="003B50C8"/>
    <w:rsid w:val="003B548D"/>
    <w:rsid w:val="003B57C4"/>
    <w:rsid w:val="003B7290"/>
    <w:rsid w:val="003B7D0E"/>
    <w:rsid w:val="003C0297"/>
    <w:rsid w:val="003C0338"/>
    <w:rsid w:val="003C2316"/>
    <w:rsid w:val="003C4A49"/>
    <w:rsid w:val="003C4B55"/>
    <w:rsid w:val="003C4E0A"/>
    <w:rsid w:val="003C504B"/>
    <w:rsid w:val="003C5F35"/>
    <w:rsid w:val="003C60FB"/>
    <w:rsid w:val="003C6443"/>
    <w:rsid w:val="003C647C"/>
    <w:rsid w:val="003C7786"/>
    <w:rsid w:val="003D09D2"/>
    <w:rsid w:val="003D12BF"/>
    <w:rsid w:val="003D1C35"/>
    <w:rsid w:val="003D548F"/>
    <w:rsid w:val="003D5995"/>
    <w:rsid w:val="003D7CFF"/>
    <w:rsid w:val="003E193B"/>
    <w:rsid w:val="003E27D2"/>
    <w:rsid w:val="003E27EB"/>
    <w:rsid w:val="003E45F6"/>
    <w:rsid w:val="003E5DB7"/>
    <w:rsid w:val="003E61FB"/>
    <w:rsid w:val="003F02FD"/>
    <w:rsid w:val="003F0AE0"/>
    <w:rsid w:val="003F1D38"/>
    <w:rsid w:val="003F2E9F"/>
    <w:rsid w:val="003F3E86"/>
    <w:rsid w:val="003F51F9"/>
    <w:rsid w:val="003F58F8"/>
    <w:rsid w:val="003F5932"/>
    <w:rsid w:val="003F5C46"/>
    <w:rsid w:val="003F63BB"/>
    <w:rsid w:val="003F6800"/>
    <w:rsid w:val="00400764"/>
    <w:rsid w:val="00400E77"/>
    <w:rsid w:val="004010B1"/>
    <w:rsid w:val="00401DE1"/>
    <w:rsid w:val="00401F1D"/>
    <w:rsid w:val="0040215B"/>
    <w:rsid w:val="00402954"/>
    <w:rsid w:val="004034F3"/>
    <w:rsid w:val="00404550"/>
    <w:rsid w:val="00404C76"/>
    <w:rsid w:val="00405DFE"/>
    <w:rsid w:val="00410F44"/>
    <w:rsid w:val="00413548"/>
    <w:rsid w:val="0041359F"/>
    <w:rsid w:val="00413B0A"/>
    <w:rsid w:val="00415E4E"/>
    <w:rsid w:val="00415ECD"/>
    <w:rsid w:val="004175E9"/>
    <w:rsid w:val="00417D15"/>
    <w:rsid w:val="0042030C"/>
    <w:rsid w:val="004224BE"/>
    <w:rsid w:val="004249CE"/>
    <w:rsid w:val="00424B21"/>
    <w:rsid w:val="00425951"/>
    <w:rsid w:val="00425A65"/>
    <w:rsid w:val="00426788"/>
    <w:rsid w:val="00430852"/>
    <w:rsid w:val="004311EC"/>
    <w:rsid w:val="0043164A"/>
    <w:rsid w:val="00431A48"/>
    <w:rsid w:val="00433114"/>
    <w:rsid w:val="00433C7C"/>
    <w:rsid w:val="00434AFC"/>
    <w:rsid w:val="00435A4D"/>
    <w:rsid w:val="00436A47"/>
    <w:rsid w:val="00436E39"/>
    <w:rsid w:val="00440353"/>
    <w:rsid w:val="00442980"/>
    <w:rsid w:val="00442B7E"/>
    <w:rsid w:val="00443C6D"/>
    <w:rsid w:val="00444D0B"/>
    <w:rsid w:val="00445324"/>
    <w:rsid w:val="00445ECA"/>
    <w:rsid w:val="00446C6B"/>
    <w:rsid w:val="00451AA9"/>
    <w:rsid w:val="00452094"/>
    <w:rsid w:val="00452689"/>
    <w:rsid w:val="00452DD2"/>
    <w:rsid w:val="00455391"/>
    <w:rsid w:val="004558E9"/>
    <w:rsid w:val="0045679B"/>
    <w:rsid w:val="004569BF"/>
    <w:rsid w:val="00456E22"/>
    <w:rsid w:val="00460414"/>
    <w:rsid w:val="00460F36"/>
    <w:rsid w:val="00462E79"/>
    <w:rsid w:val="00463988"/>
    <w:rsid w:val="00463D6B"/>
    <w:rsid w:val="00464040"/>
    <w:rsid w:val="00464474"/>
    <w:rsid w:val="00466A2E"/>
    <w:rsid w:val="00466B3C"/>
    <w:rsid w:val="004672AC"/>
    <w:rsid w:val="004677C3"/>
    <w:rsid w:val="004717AB"/>
    <w:rsid w:val="0047328A"/>
    <w:rsid w:val="00476BDC"/>
    <w:rsid w:val="00477709"/>
    <w:rsid w:val="00481847"/>
    <w:rsid w:val="00481F6B"/>
    <w:rsid w:val="00482DF2"/>
    <w:rsid w:val="004850F4"/>
    <w:rsid w:val="00485107"/>
    <w:rsid w:val="0048606A"/>
    <w:rsid w:val="0048728A"/>
    <w:rsid w:val="004879B0"/>
    <w:rsid w:val="00487F2D"/>
    <w:rsid w:val="004900E7"/>
    <w:rsid w:val="00490A35"/>
    <w:rsid w:val="00493E43"/>
    <w:rsid w:val="004944E9"/>
    <w:rsid w:val="004A0767"/>
    <w:rsid w:val="004A15EA"/>
    <w:rsid w:val="004A1604"/>
    <w:rsid w:val="004A1937"/>
    <w:rsid w:val="004A2959"/>
    <w:rsid w:val="004A2981"/>
    <w:rsid w:val="004A3F9B"/>
    <w:rsid w:val="004A4F47"/>
    <w:rsid w:val="004A5B8E"/>
    <w:rsid w:val="004A6735"/>
    <w:rsid w:val="004B07B8"/>
    <w:rsid w:val="004B150E"/>
    <w:rsid w:val="004B2C53"/>
    <w:rsid w:val="004B2E8F"/>
    <w:rsid w:val="004B4298"/>
    <w:rsid w:val="004B4698"/>
    <w:rsid w:val="004B7D5F"/>
    <w:rsid w:val="004C04EA"/>
    <w:rsid w:val="004C0929"/>
    <w:rsid w:val="004C0F21"/>
    <w:rsid w:val="004C19BD"/>
    <w:rsid w:val="004C3C44"/>
    <w:rsid w:val="004C50CB"/>
    <w:rsid w:val="004C5891"/>
    <w:rsid w:val="004C5B85"/>
    <w:rsid w:val="004D0AC9"/>
    <w:rsid w:val="004D2802"/>
    <w:rsid w:val="004D2840"/>
    <w:rsid w:val="004D286F"/>
    <w:rsid w:val="004D498B"/>
    <w:rsid w:val="004D56DB"/>
    <w:rsid w:val="004D5A3D"/>
    <w:rsid w:val="004D5A7F"/>
    <w:rsid w:val="004D7D19"/>
    <w:rsid w:val="004E249B"/>
    <w:rsid w:val="004E7C5F"/>
    <w:rsid w:val="004F068E"/>
    <w:rsid w:val="004F1155"/>
    <w:rsid w:val="004F1B51"/>
    <w:rsid w:val="004F22BC"/>
    <w:rsid w:val="004F2FFD"/>
    <w:rsid w:val="004F417F"/>
    <w:rsid w:val="004F41D9"/>
    <w:rsid w:val="004F5F0D"/>
    <w:rsid w:val="004F663E"/>
    <w:rsid w:val="004F763B"/>
    <w:rsid w:val="005004F1"/>
    <w:rsid w:val="0050173E"/>
    <w:rsid w:val="00502138"/>
    <w:rsid w:val="00502BD3"/>
    <w:rsid w:val="00502E8D"/>
    <w:rsid w:val="00503AEE"/>
    <w:rsid w:val="00504701"/>
    <w:rsid w:val="0050495F"/>
    <w:rsid w:val="0050648C"/>
    <w:rsid w:val="00507235"/>
    <w:rsid w:val="0050769F"/>
    <w:rsid w:val="00510225"/>
    <w:rsid w:val="0051174A"/>
    <w:rsid w:val="00512AE3"/>
    <w:rsid w:val="00512D8B"/>
    <w:rsid w:val="00513DC6"/>
    <w:rsid w:val="00514592"/>
    <w:rsid w:val="00515B89"/>
    <w:rsid w:val="00517ED8"/>
    <w:rsid w:val="00521426"/>
    <w:rsid w:val="005229F3"/>
    <w:rsid w:val="00522C98"/>
    <w:rsid w:val="00523B5E"/>
    <w:rsid w:val="00523C25"/>
    <w:rsid w:val="0052431D"/>
    <w:rsid w:val="00524570"/>
    <w:rsid w:val="0052477B"/>
    <w:rsid w:val="00525781"/>
    <w:rsid w:val="00525962"/>
    <w:rsid w:val="00525F32"/>
    <w:rsid w:val="005261C0"/>
    <w:rsid w:val="00531418"/>
    <w:rsid w:val="00531B7C"/>
    <w:rsid w:val="005321EB"/>
    <w:rsid w:val="00533121"/>
    <w:rsid w:val="00533D55"/>
    <w:rsid w:val="0053566B"/>
    <w:rsid w:val="00535F70"/>
    <w:rsid w:val="00536531"/>
    <w:rsid w:val="005367EB"/>
    <w:rsid w:val="00540672"/>
    <w:rsid w:val="005426FD"/>
    <w:rsid w:val="00542D0E"/>
    <w:rsid w:val="00542F10"/>
    <w:rsid w:val="00543557"/>
    <w:rsid w:val="00544534"/>
    <w:rsid w:val="005445A8"/>
    <w:rsid w:val="00544C5B"/>
    <w:rsid w:val="005458DD"/>
    <w:rsid w:val="00545DE6"/>
    <w:rsid w:val="00547DA2"/>
    <w:rsid w:val="00551440"/>
    <w:rsid w:val="00552293"/>
    <w:rsid w:val="00553367"/>
    <w:rsid w:val="0055561A"/>
    <w:rsid w:val="00557424"/>
    <w:rsid w:val="00557DBC"/>
    <w:rsid w:val="00560C63"/>
    <w:rsid w:val="00561000"/>
    <w:rsid w:val="00563326"/>
    <w:rsid w:val="00563A2C"/>
    <w:rsid w:val="0056421D"/>
    <w:rsid w:val="0056480C"/>
    <w:rsid w:val="005651FC"/>
    <w:rsid w:val="0056526D"/>
    <w:rsid w:val="00565280"/>
    <w:rsid w:val="00566574"/>
    <w:rsid w:val="005669AE"/>
    <w:rsid w:val="00566B26"/>
    <w:rsid w:val="00567322"/>
    <w:rsid w:val="00570E3F"/>
    <w:rsid w:val="0057151D"/>
    <w:rsid w:val="005716A6"/>
    <w:rsid w:val="00571916"/>
    <w:rsid w:val="0057280B"/>
    <w:rsid w:val="005732E6"/>
    <w:rsid w:val="00573C2E"/>
    <w:rsid w:val="00574446"/>
    <w:rsid w:val="005747D1"/>
    <w:rsid w:val="00581336"/>
    <w:rsid w:val="005822E5"/>
    <w:rsid w:val="00582A74"/>
    <w:rsid w:val="00582D2B"/>
    <w:rsid w:val="0058327A"/>
    <w:rsid w:val="00583A23"/>
    <w:rsid w:val="005848DD"/>
    <w:rsid w:val="00584E68"/>
    <w:rsid w:val="0058698E"/>
    <w:rsid w:val="00587536"/>
    <w:rsid w:val="00591B3A"/>
    <w:rsid w:val="00592046"/>
    <w:rsid w:val="00595710"/>
    <w:rsid w:val="00596523"/>
    <w:rsid w:val="005976E0"/>
    <w:rsid w:val="005A2B02"/>
    <w:rsid w:val="005A446C"/>
    <w:rsid w:val="005A50A2"/>
    <w:rsid w:val="005A5AD4"/>
    <w:rsid w:val="005B0C00"/>
    <w:rsid w:val="005B214D"/>
    <w:rsid w:val="005B249E"/>
    <w:rsid w:val="005B292E"/>
    <w:rsid w:val="005B2FFD"/>
    <w:rsid w:val="005B34EC"/>
    <w:rsid w:val="005B4B72"/>
    <w:rsid w:val="005B550B"/>
    <w:rsid w:val="005B5A00"/>
    <w:rsid w:val="005B5AAD"/>
    <w:rsid w:val="005B6AF5"/>
    <w:rsid w:val="005B723E"/>
    <w:rsid w:val="005C0DAF"/>
    <w:rsid w:val="005C1C74"/>
    <w:rsid w:val="005C289E"/>
    <w:rsid w:val="005C2BFD"/>
    <w:rsid w:val="005C47B0"/>
    <w:rsid w:val="005C5158"/>
    <w:rsid w:val="005C5D48"/>
    <w:rsid w:val="005C5D97"/>
    <w:rsid w:val="005C725C"/>
    <w:rsid w:val="005D029E"/>
    <w:rsid w:val="005D0300"/>
    <w:rsid w:val="005D05A8"/>
    <w:rsid w:val="005D1255"/>
    <w:rsid w:val="005D1F38"/>
    <w:rsid w:val="005D2143"/>
    <w:rsid w:val="005D2F99"/>
    <w:rsid w:val="005D5A87"/>
    <w:rsid w:val="005D660A"/>
    <w:rsid w:val="005D68EC"/>
    <w:rsid w:val="005D6E36"/>
    <w:rsid w:val="005D73FD"/>
    <w:rsid w:val="005E0026"/>
    <w:rsid w:val="005E050C"/>
    <w:rsid w:val="005E1238"/>
    <w:rsid w:val="005E22DA"/>
    <w:rsid w:val="005E325A"/>
    <w:rsid w:val="005E362B"/>
    <w:rsid w:val="005E4101"/>
    <w:rsid w:val="005F2484"/>
    <w:rsid w:val="005F577A"/>
    <w:rsid w:val="005F6666"/>
    <w:rsid w:val="005F7408"/>
    <w:rsid w:val="006017CF"/>
    <w:rsid w:val="006032AB"/>
    <w:rsid w:val="006045AD"/>
    <w:rsid w:val="00604826"/>
    <w:rsid w:val="00604D26"/>
    <w:rsid w:val="00604DD3"/>
    <w:rsid w:val="00605D13"/>
    <w:rsid w:val="00610760"/>
    <w:rsid w:val="0061109C"/>
    <w:rsid w:val="0061176C"/>
    <w:rsid w:val="00611B08"/>
    <w:rsid w:val="00611E12"/>
    <w:rsid w:val="006120BC"/>
    <w:rsid w:val="00614A50"/>
    <w:rsid w:val="0061524D"/>
    <w:rsid w:val="006178EA"/>
    <w:rsid w:val="00620948"/>
    <w:rsid w:val="00622091"/>
    <w:rsid w:val="006233AE"/>
    <w:rsid w:val="00624329"/>
    <w:rsid w:val="00624724"/>
    <w:rsid w:val="00625B3D"/>
    <w:rsid w:val="00626488"/>
    <w:rsid w:val="00630745"/>
    <w:rsid w:val="00634BCD"/>
    <w:rsid w:val="00635B3D"/>
    <w:rsid w:val="0063783D"/>
    <w:rsid w:val="006427D0"/>
    <w:rsid w:val="00644A9D"/>
    <w:rsid w:val="00644CA7"/>
    <w:rsid w:val="006465A5"/>
    <w:rsid w:val="006465FB"/>
    <w:rsid w:val="00650934"/>
    <w:rsid w:val="00650F78"/>
    <w:rsid w:val="00653051"/>
    <w:rsid w:val="00653515"/>
    <w:rsid w:val="00654D0E"/>
    <w:rsid w:val="00656ECD"/>
    <w:rsid w:val="0065701E"/>
    <w:rsid w:val="00657214"/>
    <w:rsid w:val="006579DC"/>
    <w:rsid w:val="00660598"/>
    <w:rsid w:val="00660841"/>
    <w:rsid w:val="006616DB"/>
    <w:rsid w:val="00661E6F"/>
    <w:rsid w:val="00666611"/>
    <w:rsid w:val="00666DA6"/>
    <w:rsid w:val="00666DD1"/>
    <w:rsid w:val="006679BD"/>
    <w:rsid w:val="00667FAA"/>
    <w:rsid w:val="00671B22"/>
    <w:rsid w:val="00674543"/>
    <w:rsid w:val="0067465B"/>
    <w:rsid w:val="00676109"/>
    <w:rsid w:val="006765C9"/>
    <w:rsid w:val="00676838"/>
    <w:rsid w:val="00677173"/>
    <w:rsid w:val="006811CA"/>
    <w:rsid w:val="00681885"/>
    <w:rsid w:val="00682505"/>
    <w:rsid w:val="0068447A"/>
    <w:rsid w:val="0068519B"/>
    <w:rsid w:val="00685223"/>
    <w:rsid w:val="006857C9"/>
    <w:rsid w:val="00686281"/>
    <w:rsid w:val="006862F8"/>
    <w:rsid w:val="0069043D"/>
    <w:rsid w:val="00691532"/>
    <w:rsid w:val="00696DAF"/>
    <w:rsid w:val="006A1132"/>
    <w:rsid w:val="006A1513"/>
    <w:rsid w:val="006A153D"/>
    <w:rsid w:val="006A1C4A"/>
    <w:rsid w:val="006A1EAD"/>
    <w:rsid w:val="006A23BC"/>
    <w:rsid w:val="006A26FC"/>
    <w:rsid w:val="006A2C35"/>
    <w:rsid w:val="006A3180"/>
    <w:rsid w:val="006A388B"/>
    <w:rsid w:val="006A3EF4"/>
    <w:rsid w:val="006A4E90"/>
    <w:rsid w:val="006A60A3"/>
    <w:rsid w:val="006A71AC"/>
    <w:rsid w:val="006B087D"/>
    <w:rsid w:val="006B08D0"/>
    <w:rsid w:val="006B10DC"/>
    <w:rsid w:val="006B15E8"/>
    <w:rsid w:val="006B192E"/>
    <w:rsid w:val="006B24A6"/>
    <w:rsid w:val="006B309F"/>
    <w:rsid w:val="006B3DBF"/>
    <w:rsid w:val="006B5EDB"/>
    <w:rsid w:val="006B6241"/>
    <w:rsid w:val="006B6CE2"/>
    <w:rsid w:val="006B7E07"/>
    <w:rsid w:val="006C156F"/>
    <w:rsid w:val="006C2CB2"/>
    <w:rsid w:val="006C2F4D"/>
    <w:rsid w:val="006C3CAE"/>
    <w:rsid w:val="006C4ECD"/>
    <w:rsid w:val="006C5C5F"/>
    <w:rsid w:val="006C6505"/>
    <w:rsid w:val="006C6CFB"/>
    <w:rsid w:val="006D090E"/>
    <w:rsid w:val="006D1958"/>
    <w:rsid w:val="006D2619"/>
    <w:rsid w:val="006D30E5"/>
    <w:rsid w:val="006D3244"/>
    <w:rsid w:val="006D4BD0"/>
    <w:rsid w:val="006D73D3"/>
    <w:rsid w:val="006D7923"/>
    <w:rsid w:val="006E0FF3"/>
    <w:rsid w:val="006E18CC"/>
    <w:rsid w:val="006E1B1A"/>
    <w:rsid w:val="006E2290"/>
    <w:rsid w:val="006E2308"/>
    <w:rsid w:val="006E23A8"/>
    <w:rsid w:val="006E2B52"/>
    <w:rsid w:val="006E3000"/>
    <w:rsid w:val="006E65EB"/>
    <w:rsid w:val="006E75B0"/>
    <w:rsid w:val="006F037D"/>
    <w:rsid w:val="006F0BCE"/>
    <w:rsid w:val="006F2240"/>
    <w:rsid w:val="006F30AF"/>
    <w:rsid w:val="00700015"/>
    <w:rsid w:val="00701F2B"/>
    <w:rsid w:val="00701F43"/>
    <w:rsid w:val="00704740"/>
    <w:rsid w:val="00705833"/>
    <w:rsid w:val="00705AC7"/>
    <w:rsid w:val="00707051"/>
    <w:rsid w:val="00707959"/>
    <w:rsid w:val="007100BF"/>
    <w:rsid w:val="0071109C"/>
    <w:rsid w:val="00711971"/>
    <w:rsid w:val="00712343"/>
    <w:rsid w:val="0071794F"/>
    <w:rsid w:val="00717C13"/>
    <w:rsid w:val="00721A1C"/>
    <w:rsid w:val="00721DAA"/>
    <w:rsid w:val="00721FC8"/>
    <w:rsid w:val="00722830"/>
    <w:rsid w:val="0072455A"/>
    <w:rsid w:val="007249FB"/>
    <w:rsid w:val="00724EB7"/>
    <w:rsid w:val="0072568A"/>
    <w:rsid w:val="007274D4"/>
    <w:rsid w:val="00731A61"/>
    <w:rsid w:val="00731D94"/>
    <w:rsid w:val="007324DD"/>
    <w:rsid w:val="00733AF5"/>
    <w:rsid w:val="00736277"/>
    <w:rsid w:val="00736758"/>
    <w:rsid w:val="00737ACC"/>
    <w:rsid w:val="00740724"/>
    <w:rsid w:val="00741431"/>
    <w:rsid w:val="00741DB3"/>
    <w:rsid w:val="00742529"/>
    <w:rsid w:val="00745A3D"/>
    <w:rsid w:val="00745B90"/>
    <w:rsid w:val="0074682B"/>
    <w:rsid w:val="00746D80"/>
    <w:rsid w:val="00747927"/>
    <w:rsid w:val="00750262"/>
    <w:rsid w:val="00750B62"/>
    <w:rsid w:val="0075221C"/>
    <w:rsid w:val="00752659"/>
    <w:rsid w:val="00752956"/>
    <w:rsid w:val="00752D61"/>
    <w:rsid w:val="0075312C"/>
    <w:rsid w:val="00753EA3"/>
    <w:rsid w:val="00755414"/>
    <w:rsid w:val="007569C1"/>
    <w:rsid w:val="00756B5E"/>
    <w:rsid w:val="00756E3B"/>
    <w:rsid w:val="00757066"/>
    <w:rsid w:val="00757559"/>
    <w:rsid w:val="00757916"/>
    <w:rsid w:val="0076047B"/>
    <w:rsid w:val="00760CCB"/>
    <w:rsid w:val="00761161"/>
    <w:rsid w:val="0076215F"/>
    <w:rsid w:val="007629DF"/>
    <w:rsid w:val="0076362A"/>
    <w:rsid w:val="00764388"/>
    <w:rsid w:val="00766EFD"/>
    <w:rsid w:val="007675E8"/>
    <w:rsid w:val="007715DA"/>
    <w:rsid w:val="00771974"/>
    <w:rsid w:val="0077222D"/>
    <w:rsid w:val="00772503"/>
    <w:rsid w:val="00773E46"/>
    <w:rsid w:val="00774626"/>
    <w:rsid w:val="00774F7A"/>
    <w:rsid w:val="0077781D"/>
    <w:rsid w:val="007820EB"/>
    <w:rsid w:val="00784C34"/>
    <w:rsid w:val="00786D70"/>
    <w:rsid w:val="00786E4F"/>
    <w:rsid w:val="007908C7"/>
    <w:rsid w:val="00791685"/>
    <w:rsid w:val="00791FEB"/>
    <w:rsid w:val="00793B35"/>
    <w:rsid w:val="007A10D2"/>
    <w:rsid w:val="007A1685"/>
    <w:rsid w:val="007A3F40"/>
    <w:rsid w:val="007A4218"/>
    <w:rsid w:val="007A4731"/>
    <w:rsid w:val="007A4C39"/>
    <w:rsid w:val="007A60D2"/>
    <w:rsid w:val="007A678D"/>
    <w:rsid w:val="007A6E89"/>
    <w:rsid w:val="007A73EF"/>
    <w:rsid w:val="007B0239"/>
    <w:rsid w:val="007B0664"/>
    <w:rsid w:val="007B0875"/>
    <w:rsid w:val="007B0A88"/>
    <w:rsid w:val="007B228F"/>
    <w:rsid w:val="007B2345"/>
    <w:rsid w:val="007B2692"/>
    <w:rsid w:val="007B528A"/>
    <w:rsid w:val="007B5B4C"/>
    <w:rsid w:val="007B638D"/>
    <w:rsid w:val="007B7D4F"/>
    <w:rsid w:val="007C1389"/>
    <w:rsid w:val="007C4173"/>
    <w:rsid w:val="007C5A87"/>
    <w:rsid w:val="007C5DA7"/>
    <w:rsid w:val="007C792C"/>
    <w:rsid w:val="007C7A57"/>
    <w:rsid w:val="007D1524"/>
    <w:rsid w:val="007D30BA"/>
    <w:rsid w:val="007D355C"/>
    <w:rsid w:val="007D3C6E"/>
    <w:rsid w:val="007D5C45"/>
    <w:rsid w:val="007D6539"/>
    <w:rsid w:val="007D6603"/>
    <w:rsid w:val="007E0369"/>
    <w:rsid w:val="007E3FE1"/>
    <w:rsid w:val="007E43FA"/>
    <w:rsid w:val="007E4892"/>
    <w:rsid w:val="007E4CA5"/>
    <w:rsid w:val="007E4D4E"/>
    <w:rsid w:val="007E6833"/>
    <w:rsid w:val="007E6902"/>
    <w:rsid w:val="007E6C2B"/>
    <w:rsid w:val="007F09DD"/>
    <w:rsid w:val="007F266D"/>
    <w:rsid w:val="007F2E4C"/>
    <w:rsid w:val="007F5210"/>
    <w:rsid w:val="007F5A2F"/>
    <w:rsid w:val="007F61BD"/>
    <w:rsid w:val="007F68A5"/>
    <w:rsid w:val="007F73A5"/>
    <w:rsid w:val="007F7BF0"/>
    <w:rsid w:val="007F7C4F"/>
    <w:rsid w:val="0080110A"/>
    <w:rsid w:val="00801455"/>
    <w:rsid w:val="00802D64"/>
    <w:rsid w:val="00803E59"/>
    <w:rsid w:val="00806DF9"/>
    <w:rsid w:val="008076EC"/>
    <w:rsid w:val="00810206"/>
    <w:rsid w:val="00810214"/>
    <w:rsid w:val="0081034F"/>
    <w:rsid w:val="00810421"/>
    <w:rsid w:val="00812693"/>
    <w:rsid w:val="00812D47"/>
    <w:rsid w:val="00812DCD"/>
    <w:rsid w:val="00812FE2"/>
    <w:rsid w:val="008137B2"/>
    <w:rsid w:val="00813BEF"/>
    <w:rsid w:val="00814A8D"/>
    <w:rsid w:val="008159E8"/>
    <w:rsid w:val="00816CCB"/>
    <w:rsid w:val="0082121B"/>
    <w:rsid w:val="008224DE"/>
    <w:rsid w:val="00822B76"/>
    <w:rsid w:val="00823C36"/>
    <w:rsid w:val="0082409D"/>
    <w:rsid w:val="00830EDC"/>
    <w:rsid w:val="0083158D"/>
    <w:rsid w:val="00831685"/>
    <w:rsid w:val="008319CE"/>
    <w:rsid w:val="00831C08"/>
    <w:rsid w:val="00831E6F"/>
    <w:rsid w:val="00832E5F"/>
    <w:rsid w:val="008335E7"/>
    <w:rsid w:val="00834445"/>
    <w:rsid w:val="00836704"/>
    <w:rsid w:val="00836CE5"/>
    <w:rsid w:val="00837543"/>
    <w:rsid w:val="00841219"/>
    <w:rsid w:val="00841CF5"/>
    <w:rsid w:val="00841DAA"/>
    <w:rsid w:val="008426BB"/>
    <w:rsid w:val="008450D4"/>
    <w:rsid w:val="00845FE1"/>
    <w:rsid w:val="00847447"/>
    <w:rsid w:val="00847C25"/>
    <w:rsid w:val="00851715"/>
    <w:rsid w:val="00852C6E"/>
    <w:rsid w:val="00853713"/>
    <w:rsid w:val="00853FD7"/>
    <w:rsid w:val="008543F1"/>
    <w:rsid w:val="0085454F"/>
    <w:rsid w:val="00855105"/>
    <w:rsid w:val="00856191"/>
    <w:rsid w:val="008568EB"/>
    <w:rsid w:val="00857528"/>
    <w:rsid w:val="0085781E"/>
    <w:rsid w:val="00857BB9"/>
    <w:rsid w:val="00861E41"/>
    <w:rsid w:val="00863A5F"/>
    <w:rsid w:val="00863C13"/>
    <w:rsid w:val="0086518C"/>
    <w:rsid w:val="0086697D"/>
    <w:rsid w:val="00867382"/>
    <w:rsid w:val="00867F19"/>
    <w:rsid w:val="008700D3"/>
    <w:rsid w:val="00871105"/>
    <w:rsid w:val="008712BD"/>
    <w:rsid w:val="0087161B"/>
    <w:rsid w:val="00872187"/>
    <w:rsid w:val="00872415"/>
    <w:rsid w:val="00872712"/>
    <w:rsid w:val="0087297E"/>
    <w:rsid w:val="00873231"/>
    <w:rsid w:val="00873715"/>
    <w:rsid w:val="008740BD"/>
    <w:rsid w:val="00874703"/>
    <w:rsid w:val="00875130"/>
    <w:rsid w:val="00875860"/>
    <w:rsid w:val="00875E68"/>
    <w:rsid w:val="008775B2"/>
    <w:rsid w:val="00877824"/>
    <w:rsid w:val="00877E5B"/>
    <w:rsid w:val="008807F9"/>
    <w:rsid w:val="0088088A"/>
    <w:rsid w:val="00881568"/>
    <w:rsid w:val="00881A71"/>
    <w:rsid w:val="00881AD9"/>
    <w:rsid w:val="0088216F"/>
    <w:rsid w:val="00883CF0"/>
    <w:rsid w:val="00884567"/>
    <w:rsid w:val="00886A30"/>
    <w:rsid w:val="008874E0"/>
    <w:rsid w:val="00890380"/>
    <w:rsid w:val="008917E7"/>
    <w:rsid w:val="00891C6A"/>
    <w:rsid w:val="0089202B"/>
    <w:rsid w:val="00893491"/>
    <w:rsid w:val="008942BE"/>
    <w:rsid w:val="00895EE6"/>
    <w:rsid w:val="00896961"/>
    <w:rsid w:val="008976FF"/>
    <w:rsid w:val="0089794B"/>
    <w:rsid w:val="008A016D"/>
    <w:rsid w:val="008A02CB"/>
    <w:rsid w:val="008A24FC"/>
    <w:rsid w:val="008A2E53"/>
    <w:rsid w:val="008A3165"/>
    <w:rsid w:val="008A403A"/>
    <w:rsid w:val="008A7140"/>
    <w:rsid w:val="008A79AF"/>
    <w:rsid w:val="008B0DE8"/>
    <w:rsid w:val="008B0E03"/>
    <w:rsid w:val="008B0F48"/>
    <w:rsid w:val="008B2039"/>
    <w:rsid w:val="008B21DE"/>
    <w:rsid w:val="008B3331"/>
    <w:rsid w:val="008B3D65"/>
    <w:rsid w:val="008B4601"/>
    <w:rsid w:val="008B4A07"/>
    <w:rsid w:val="008B57C4"/>
    <w:rsid w:val="008B5974"/>
    <w:rsid w:val="008B6BF8"/>
    <w:rsid w:val="008B6F11"/>
    <w:rsid w:val="008B73BF"/>
    <w:rsid w:val="008C0455"/>
    <w:rsid w:val="008C09A6"/>
    <w:rsid w:val="008C4C16"/>
    <w:rsid w:val="008C5F7B"/>
    <w:rsid w:val="008C704B"/>
    <w:rsid w:val="008C7190"/>
    <w:rsid w:val="008C71F8"/>
    <w:rsid w:val="008C7864"/>
    <w:rsid w:val="008C795B"/>
    <w:rsid w:val="008D1089"/>
    <w:rsid w:val="008D2BCF"/>
    <w:rsid w:val="008D2C02"/>
    <w:rsid w:val="008D36D6"/>
    <w:rsid w:val="008D42EC"/>
    <w:rsid w:val="008D5D90"/>
    <w:rsid w:val="008D7AF9"/>
    <w:rsid w:val="008D7C32"/>
    <w:rsid w:val="008E00FC"/>
    <w:rsid w:val="008E0285"/>
    <w:rsid w:val="008E1E2B"/>
    <w:rsid w:val="008E3EED"/>
    <w:rsid w:val="008E6D94"/>
    <w:rsid w:val="008E74FA"/>
    <w:rsid w:val="008F0014"/>
    <w:rsid w:val="008F1893"/>
    <w:rsid w:val="008F2DE4"/>
    <w:rsid w:val="008F386A"/>
    <w:rsid w:val="008F4F0E"/>
    <w:rsid w:val="008F5558"/>
    <w:rsid w:val="008F59AF"/>
    <w:rsid w:val="008F6709"/>
    <w:rsid w:val="008F6715"/>
    <w:rsid w:val="008F6762"/>
    <w:rsid w:val="008F7C3C"/>
    <w:rsid w:val="008F7CCE"/>
    <w:rsid w:val="008F7D43"/>
    <w:rsid w:val="009028CA"/>
    <w:rsid w:val="00905656"/>
    <w:rsid w:val="00905EF4"/>
    <w:rsid w:val="0090677B"/>
    <w:rsid w:val="00907E63"/>
    <w:rsid w:val="00911A34"/>
    <w:rsid w:val="00912A82"/>
    <w:rsid w:val="00914E2A"/>
    <w:rsid w:val="00916342"/>
    <w:rsid w:val="0092056E"/>
    <w:rsid w:val="00921CB2"/>
    <w:rsid w:val="0092298F"/>
    <w:rsid w:val="00924FBE"/>
    <w:rsid w:val="00926E95"/>
    <w:rsid w:val="00930245"/>
    <w:rsid w:val="009312C3"/>
    <w:rsid w:val="009319AF"/>
    <w:rsid w:val="00932F36"/>
    <w:rsid w:val="0093321E"/>
    <w:rsid w:val="00933639"/>
    <w:rsid w:val="009354F8"/>
    <w:rsid w:val="00942359"/>
    <w:rsid w:val="00943789"/>
    <w:rsid w:val="009456DF"/>
    <w:rsid w:val="0094611B"/>
    <w:rsid w:val="00947095"/>
    <w:rsid w:val="00947BAC"/>
    <w:rsid w:val="0095005F"/>
    <w:rsid w:val="0095321A"/>
    <w:rsid w:val="00953563"/>
    <w:rsid w:val="00953C2A"/>
    <w:rsid w:val="00953D26"/>
    <w:rsid w:val="00955058"/>
    <w:rsid w:val="0095555A"/>
    <w:rsid w:val="00956A51"/>
    <w:rsid w:val="0096027A"/>
    <w:rsid w:val="00960DD3"/>
    <w:rsid w:val="009618D5"/>
    <w:rsid w:val="00962B2B"/>
    <w:rsid w:val="00962BA7"/>
    <w:rsid w:val="0096394E"/>
    <w:rsid w:val="00963B2A"/>
    <w:rsid w:val="0096459E"/>
    <w:rsid w:val="009645F9"/>
    <w:rsid w:val="00964C63"/>
    <w:rsid w:val="009659AB"/>
    <w:rsid w:val="00966745"/>
    <w:rsid w:val="00967361"/>
    <w:rsid w:val="0097194B"/>
    <w:rsid w:val="009719BB"/>
    <w:rsid w:val="009743FC"/>
    <w:rsid w:val="009755F2"/>
    <w:rsid w:val="00975B28"/>
    <w:rsid w:val="0097640D"/>
    <w:rsid w:val="009771A2"/>
    <w:rsid w:val="009772F9"/>
    <w:rsid w:val="00977F01"/>
    <w:rsid w:val="00977F44"/>
    <w:rsid w:val="009804EF"/>
    <w:rsid w:val="009805CF"/>
    <w:rsid w:val="009824B7"/>
    <w:rsid w:val="0098260A"/>
    <w:rsid w:val="00984008"/>
    <w:rsid w:val="00986EA4"/>
    <w:rsid w:val="00991F15"/>
    <w:rsid w:val="00991F97"/>
    <w:rsid w:val="00992BD9"/>
    <w:rsid w:val="00993105"/>
    <w:rsid w:val="00994497"/>
    <w:rsid w:val="0099789E"/>
    <w:rsid w:val="009A0246"/>
    <w:rsid w:val="009A0CFB"/>
    <w:rsid w:val="009A196B"/>
    <w:rsid w:val="009A2152"/>
    <w:rsid w:val="009A3C11"/>
    <w:rsid w:val="009A4698"/>
    <w:rsid w:val="009A4E9A"/>
    <w:rsid w:val="009A4F6A"/>
    <w:rsid w:val="009A53F6"/>
    <w:rsid w:val="009A60B8"/>
    <w:rsid w:val="009A6491"/>
    <w:rsid w:val="009A6B8A"/>
    <w:rsid w:val="009A6DB1"/>
    <w:rsid w:val="009A733D"/>
    <w:rsid w:val="009B3B75"/>
    <w:rsid w:val="009B46A1"/>
    <w:rsid w:val="009B46A3"/>
    <w:rsid w:val="009B4842"/>
    <w:rsid w:val="009B579A"/>
    <w:rsid w:val="009B63E0"/>
    <w:rsid w:val="009B7223"/>
    <w:rsid w:val="009B7383"/>
    <w:rsid w:val="009C1432"/>
    <w:rsid w:val="009C1737"/>
    <w:rsid w:val="009C17C5"/>
    <w:rsid w:val="009C1CA3"/>
    <w:rsid w:val="009C2452"/>
    <w:rsid w:val="009C29A5"/>
    <w:rsid w:val="009C78D8"/>
    <w:rsid w:val="009C7A37"/>
    <w:rsid w:val="009C7C04"/>
    <w:rsid w:val="009D13F9"/>
    <w:rsid w:val="009D21DC"/>
    <w:rsid w:val="009D361A"/>
    <w:rsid w:val="009D37F9"/>
    <w:rsid w:val="009D3FF7"/>
    <w:rsid w:val="009D40BA"/>
    <w:rsid w:val="009D4644"/>
    <w:rsid w:val="009D5AC6"/>
    <w:rsid w:val="009D6E92"/>
    <w:rsid w:val="009D7942"/>
    <w:rsid w:val="009D7A18"/>
    <w:rsid w:val="009E00F1"/>
    <w:rsid w:val="009E022D"/>
    <w:rsid w:val="009E02A3"/>
    <w:rsid w:val="009E0E04"/>
    <w:rsid w:val="009E1783"/>
    <w:rsid w:val="009E1829"/>
    <w:rsid w:val="009E1A6B"/>
    <w:rsid w:val="009E6BDC"/>
    <w:rsid w:val="009E7B93"/>
    <w:rsid w:val="009F0C7F"/>
    <w:rsid w:val="009F558D"/>
    <w:rsid w:val="009F5F95"/>
    <w:rsid w:val="009F613F"/>
    <w:rsid w:val="009F6E11"/>
    <w:rsid w:val="00A005B4"/>
    <w:rsid w:val="00A00A61"/>
    <w:rsid w:val="00A016DC"/>
    <w:rsid w:val="00A01FB9"/>
    <w:rsid w:val="00A02839"/>
    <w:rsid w:val="00A0443C"/>
    <w:rsid w:val="00A04C84"/>
    <w:rsid w:val="00A04FEF"/>
    <w:rsid w:val="00A05EDC"/>
    <w:rsid w:val="00A07DDB"/>
    <w:rsid w:val="00A11AF3"/>
    <w:rsid w:val="00A12026"/>
    <w:rsid w:val="00A133D0"/>
    <w:rsid w:val="00A139F1"/>
    <w:rsid w:val="00A1455B"/>
    <w:rsid w:val="00A15060"/>
    <w:rsid w:val="00A159DA"/>
    <w:rsid w:val="00A15DAF"/>
    <w:rsid w:val="00A16302"/>
    <w:rsid w:val="00A21E69"/>
    <w:rsid w:val="00A22BEA"/>
    <w:rsid w:val="00A23066"/>
    <w:rsid w:val="00A23B4C"/>
    <w:rsid w:val="00A242AD"/>
    <w:rsid w:val="00A24530"/>
    <w:rsid w:val="00A2634B"/>
    <w:rsid w:val="00A26704"/>
    <w:rsid w:val="00A27E75"/>
    <w:rsid w:val="00A32D84"/>
    <w:rsid w:val="00A33337"/>
    <w:rsid w:val="00A349F7"/>
    <w:rsid w:val="00A36141"/>
    <w:rsid w:val="00A37F6C"/>
    <w:rsid w:val="00A42858"/>
    <w:rsid w:val="00A42B3E"/>
    <w:rsid w:val="00A42C8A"/>
    <w:rsid w:val="00A45675"/>
    <w:rsid w:val="00A46074"/>
    <w:rsid w:val="00A51AE0"/>
    <w:rsid w:val="00A51F8A"/>
    <w:rsid w:val="00A52390"/>
    <w:rsid w:val="00A533DD"/>
    <w:rsid w:val="00A53FAC"/>
    <w:rsid w:val="00A56CEE"/>
    <w:rsid w:val="00A5700D"/>
    <w:rsid w:val="00A5724D"/>
    <w:rsid w:val="00A576E7"/>
    <w:rsid w:val="00A6105E"/>
    <w:rsid w:val="00A6395C"/>
    <w:rsid w:val="00A63ED1"/>
    <w:rsid w:val="00A645DB"/>
    <w:rsid w:val="00A645EB"/>
    <w:rsid w:val="00A64921"/>
    <w:rsid w:val="00A64DEE"/>
    <w:rsid w:val="00A65846"/>
    <w:rsid w:val="00A65BD4"/>
    <w:rsid w:val="00A71A80"/>
    <w:rsid w:val="00A7280C"/>
    <w:rsid w:val="00A73083"/>
    <w:rsid w:val="00A74581"/>
    <w:rsid w:val="00A771D0"/>
    <w:rsid w:val="00A7728B"/>
    <w:rsid w:val="00A77E8F"/>
    <w:rsid w:val="00A8071B"/>
    <w:rsid w:val="00A80E64"/>
    <w:rsid w:val="00A81700"/>
    <w:rsid w:val="00A84EAA"/>
    <w:rsid w:val="00A85424"/>
    <w:rsid w:val="00A858AF"/>
    <w:rsid w:val="00A871D5"/>
    <w:rsid w:val="00A87B82"/>
    <w:rsid w:val="00A905D8"/>
    <w:rsid w:val="00A92250"/>
    <w:rsid w:val="00A93E87"/>
    <w:rsid w:val="00A93F09"/>
    <w:rsid w:val="00A951BB"/>
    <w:rsid w:val="00A9619F"/>
    <w:rsid w:val="00AA0200"/>
    <w:rsid w:val="00AA066D"/>
    <w:rsid w:val="00AA1223"/>
    <w:rsid w:val="00AA24F3"/>
    <w:rsid w:val="00AA34C3"/>
    <w:rsid w:val="00AA4170"/>
    <w:rsid w:val="00AA45BA"/>
    <w:rsid w:val="00AA5174"/>
    <w:rsid w:val="00AA5911"/>
    <w:rsid w:val="00AA610E"/>
    <w:rsid w:val="00AA6143"/>
    <w:rsid w:val="00AB1024"/>
    <w:rsid w:val="00AB28DA"/>
    <w:rsid w:val="00AB3C75"/>
    <w:rsid w:val="00AB7085"/>
    <w:rsid w:val="00AB70A2"/>
    <w:rsid w:val="00AB76BF"/>
    <w:rsid w:val="00AC3D90"/>
    <w:rsid w:val="00AC406B"/>
    <w:rsid w:val="00AC62BF"/>
    <w:rsid w:val="00AC63D3"/>
    <w:rsid w:val="00AC7460"/>
    <w:rsid w:val="00AD0656"/>
    <w:rsid w:val="00AD0CD5"/>
    <w:rsid w:val="00AD5A19"/>
    <w:rsid w:val="00AD6D46"/>
    <w:rsid w:val="00AE074F"/>
    <w:rsid w:val="00AE1112"/>
    <w:rsid w:val="00AE14D3"/>
    <w:rsid w:val="00AE3A9C"/>
    <w:rsid w:val="00AE3C34"/>
    <w:rsid w:val="00AE4626"/>
    <w:rsid w:val="00AE57F7"/>
    <w:rsid w:val="00AE6600"/>
    <w:rsid w:val="00AE6DC8"/>
    <w:rsid w:val="00AE7007"/>
    <w:rsid w:val="00AE7365"/>
    <w:rsid w:val="00AF0A4F"/>
    <w:rsid w:val="00AF0C89"/>
    <w:rsid w:val="00AF12C8"/>
    <w:rsid w:val="00AF1CDE"/>
    <w:rsid w:val="00AF1E45"/>
    <w:rsid w:val="00AF2073"/>
    <w:rsid w:val="00AF2AC8"/>
    <w:rsid w:val="00AF31F3"/>
    <w:rsid w:val="00AF4181"/>
    <w:rsid w:val="00AF5A59"/>
    <w:rsid w:val="00AF67C7"/>
    <w:rsid w:val="00AF6B21"/>
    <w:rsid w:val="00AF7B36"/>
    <w:rsid w:val="00AF7C33"/>
    <w:rsid w:val="00B0049C"/>
    <w:rsid w:val="00B0072D"/>
    <w:rsid w:val="00B008AE"/>
    <w:rsid w:val="00B01D9A"/>
    <w:rsid w:val="00B0348E"/>
    <w:rsid w:val="00B03717"/>
    <w:rsid w:val="00B03DE3"/>
    <w:rsid w:val="00B04282"/>
    <w:rsid w:val="00B049FC"/>
    <w:rsid w:val="00B05E15"/>
    <w:rsid w:val="00B05F00"/>
    <w:rsid w:val="00B06740"/>
    <w:rsid w:val="00B06CDA"/>
    <w:rsid w:val="00B07028"/>
    <w:rsid w:val="00B07D9F"/>
    <w:rsid w:val="00B108C3"/>
    <w:rsid w:val="00B10BEE"/>
    <w:rsid w:val="00B116B4"/>
    <w:rsid w:val="00B1184C"/>
    <w:rsid w:val="00B135D4"/>
    <w:rsid w:val="00B13BF3"/>
    <w:rsid w:val="00B14F84"/>
    <w:rsid w:val="00B15363"/>
    <w:rsid w:val="00B15DC4"/>
    <w:rsid w:val="00B1733D"/>
    <w:rsid w:val="00B201DA"/>
    <w:rsid w:val="00B20A18"/>
    <w:rsid w:val="00B223A0"/>
    <w:rsid w:val="00B23C26"/>
    <w:rsid w:val="00B26D59"/>
    <w:rsid w:val="00B30864"/>
    <w:rsid w:val="00B30F5A"/>
    <w:rsid w:val="00B31144"/>
    <w:rsid w:val="00B311C3"/>
    <w:rsid w:val="00B31257"/>
    <w:rsid w:val="00B317FC"/>
    <w:rsid w:val="00B32B99"/>
    <w:rsid w:val="00B32FEB"/>
    <w:rsid w:val="00B36251"/>
    <w:rsid w:val="00B36BCD"/>
    <w:rsid w:val="00B36DE9"/>
    <w:rsid w:val="00B377BC"/>
    <w:rsid w:val="00B40177"/>
    <w:rsid w:val="00B4048C"/>
    <w:rsid w:val="00B41033"/>
    <w:rsid w:val="00B418CD"/>
    <w:rsid w:val="00B4194C"/>
    <w:rsid w:val="00B42053"/>
    <w:rsid w:val="00B420FC"/>
    <w:rsid w:val="00B4219D"/>
    <w:rsid w:val="00B425FE"/>
    <w:rsid w:val="00B436B2"/>
    <w:rsid w:val="00B439F7"/>
    <w:rsid w:val="00B44D66"/>
    <w:rsid w:val="00B4577B"/>
    <w:rsid w:val="00B45FFC"/>
    <w:rsid w:val="00B4614F"/>
    <w:rsid w:val="00B46529"/>
    <w:rsid w:val="00B46F6E"/>
    <w:rsid w:val="00B47150"/>
    <w:rsid w:val="00B50FCC"/>
    <w:rsid w:val="00B514F3"/>
    <w:rsid w:val="00B51EC2"/>
    <w:rsid w:val="00B51F53"/>
    <w:rsid w:val="00B522F9"/>
    <w:rsid w:val="00B52A58"/>
    <w:rsid w:val="00B538E9"/>
    <w:rsid w:val="00B53B20"/>
    <w:rsid w:val="00B5401E"/>
    <w:rsid w:val="00B541E9"/>
    <w:rsid w:val="00B54C98"/>
    <w:rsid w:val="00B55BDD"/>
    <w:rsid w:val="00B56D1F"/>
    <w:rsid w:val="00B5785A"/>
    <w:rsid w:val="00B60657"/>
    <w:rsid w:val="00B60A8C"/>
    <w:rsid w:val="00B60C4A"/>
    <w:rsid w:val="00B60F5E"/>
    <w:rsid w:val="00B62161"/>
    <w:rsid w:val="00B62759"/>
    <w:rsid w:val="00B65834"/>
    <w:rsid w:val="00B66183"/>
    <w:rsid w:val="00B7012A"/>
    <w:rsid w:val="00B706CC"/>
    <w:rsid w:val="00B70DFA"/>
    <w:rsid w:val="00B71BC7"/>
    <w:rsid w:val="00B72602"/>
    <w:rsid w:val="00B72635"/>
    <w:rsid w:val="00B72805"/>
    <w:rsid w:val="00B7350B"/>
    <w:rsid w:val="00B743EB"/>
    <w:rsid w:val="00B75882"/>
    <w:rsid w:val="00B7715A"/>
    <w:rsid w:val="00B77320"/>
    <w:rsid w:val="00B807D3"/>
    <w:rsid w:val="00B8134B"/>
    <w:rsid w:val="00B82E56"/>
    <w:rsid w:val="00B860ED"/>
    <w:rsid w:val="00B87101"/>
    <w:rsid w:val="00B9014E"/>
    <w:rsid w:val="00B91EF6"/>
    <w:rsid w:val="00B92DF4"/>
    <w:rsid w:val="00B96D34"/>
    <w:rsid w:val="00B97289"/>
    <w:rsid w:val="00B97A01"/>
    <w:rsid w:val="00BA089E"/>
    <w:rsid w:val="00BA1675"/>
    <w:rsid w:val="00BA19C5"/>
    <w:rsid w:val="00BA1A6F"/>
    <w:rsid w:val="00BA2AF5"/>
    <w:rsid w:val="00BA570A"/>
    <w:rsid w:val="00BA6995"/>
    <w:rsid w:val="00BA78F7"/>
    <w:rsid w:val="00BB1167"/>
    <w:rsid w:val="00BB3888"/>
    <w:rsid w:val="00BB3A61"/>
    <w:rsid w:val="00BB7EF0"/>
    <w:rsid w:val="00BC05F9"/>
    <w:rsid w:val="00BC1648"/>
    <w:rsid w:val="00BC2E7A"/>
    <w:rsid w:val="00BC4725"/>
    <w:rsid w:val="00BC48A5"/>
    <w:rsid w:val="00BC4CDA"/>
    <w:rsid w:val="00BC5406"/>
    <w:rsid w:val="00BC5B04"/>
    <w:rsid w:val="00BC6D4E"/>
    <w:rsid w:val="00BC6EB6"/>
    <w:rsid w:val="00BC6F57"/>
    <w:rsid w:val="00BC7659"/>
    <w:rsid w:val="00BD0EF7"/>
    <w:rsid w:val="00BD13FB"/>
    <w:rsid w:val="00BD28E9"/>
    <w:rsid w:val="00BD2BAF"/>
    <w:rsid w:val="00BD37C8"/>
    <w:rsid w:val="00BD48E5"/>
    <w:rsid w:val="00BD4AD0"/>
    <w:rsid w:val="00BD732D"/>
    <w:rsid w:val="00BD7A02"/>
    <w:rsid w:val="00BD7D9A"/>
    <w:rsid w:val="00BE1815"/>
    <w:rsid w:val="00BE410D"/>
    <w:rsid w:val="00BE42AE"/>
    <w:rsid w:val="00BE5849"/>
    <w:rsid w:val="00BE590F"/>
    <w:rsid w:val="00BE6CDE"/>
    <w:rsid w:val="00BE70BA"/>
    <w:rsid w:val="00BE7947"/>
    <w:rsid w:val="00BF204A"/>
    <w:rsid w:val="00BF3ABA"/>
    <w:rsid w:val="00BF5D5B"/>
    <w:rsid w:val="00BF6ECD"/>
    <w:rsid w:val="00BF7469"/>
    <w:rsid w:val="00BF7C66"/>
    <w:rsid w:val="00C039FB"/>
    <w:rsid w:val="00C043A2"/>
    <w:rsid w:val="00C050D9"/>
    <w:rsid w:val="00C06E99"/>
    <w:rsid w:val="00C07595"/>
    <w:rsid w:val="00C116A9"/>
    <w:rsid w:val="00C12880"/>
    <w:rsid w:val="00C1347C"/>
    <w:rsid w:val="00C14076"/>
    <w:rsid w:val="00C141C0"/>
    <w:rsid w:val="00C14392"/>
    <w:rsid w:val="00C147E5"/>
    <w:rsid w:val="00C1557E"/>
    <w:rsid w:val="00C15606"/>
    <w:rsid w:val="00C164A5"/>
    <w:rsid w:val="00C1664D"/>
    <w:rsid w:val="00C16BB0"/>
    <w:rsid w:val="00C176E5"/>
    <w:rsid w:val="00C228AE"/>
    <w:rsid w:val="00C23A23"/>
    <w:rsid w:val="00C23F47"/>
    <w:rsid w:val="00C2426F"/>
    <w:rsid w:val="00C242A9"/>
    <w:rsid w:val="00C2476E"/>
    <w:rsid w:val="00C2725D"/>
    <w:rsid w:val="00C2774D"/>
    <w:rsid w:val="00C27CDA"/>
    <w:rsid w:val="00C27E74"/>
    <w:rsid w:val="00C27EDB"/>
    <w:rsid w:val="00C30BDD"/>
    <w:rsid w:val="00C31B65"/>
    <w:rsid w:val="00C346CE"/>
    <w:rsid w:val="00C34778"/>
    <w:rsid w:val="00C421A4"/>
    <w:rsid w:val="00C42971"/>
    <w:rsid w:val="00C46E6F"/>
    <w:rsid w:val="00C47113"/>
    <w:rsid w:val="00C47324"/>
    <w:rsid w:val="00C478BD"/>
    <w:rsid w:val="00C50875"/>
    <w:rsid w:val="00C50932"/>
    <w:rsid w:val="00C50A8E"/>
    <w:rsid w:val="00C514C6"/>
    <w:rsid w:val="00C51C6F"/>
    <w:rsid w:val="00C520B0"/>
    <w:rsid w:val="00C522F2"/>
    <w:rsid w:val="00C52ACD"/>
    <w:rsid w:val="00C52FE8"/>
    <w:rsid w:val="00C5338B"/>
    <w:rsid w:val="00C54B3D"/>
    <w:rsid w:val="00C5606C"/>
    <w:rsid w:val="00C573A4"/>
    <w:rsid w:val="00C62E61"/>
    <w:rsid w:val="00C6380D"/>
    <w:rsid w:val="00C63821"/>
    <w:rsid w:val="00C63B92"/>
    <w:rsid w:val="00C647F3"/>
    <w:rsid w:val="00C65742"/>
    <w:rsid w:val="00C66058"/>
    <w:rsid w:val="00C6745E"/>
    <w:rsid w:val="00C674E0"/>
    <w:rsid w:val="00C676ED"/>
    <w:rsid w:val="00C70DE2"/>
    <w:rsid w:val="00C7194D"/>
    <w:rsid w:val="00C755A4"/>
    <w:rsid w:val="00C76BE4"/>
    <w:rsid w:val="00C76E49"/>
    <w:rsid w:val="00C773EB"/>
    <w:rsid w:val="00C7746D"/>
    <w:rsid w:val="00C8032B"/>
    <w:rsid w:val="00C80795"/>
    <w:rsid w:val="00C826C2"/>
    <w:rsid w:val="00C82BA9"/>
    <w:rsid w:val="00C82C71"/>
    <w:rsid w:val="00C82D4D"/>
    <w:rsid w:val="00C830A3"/>
    <w:rsid w:val="00C8320D"/>
    <w:rsid w:val="00C84875"/>
    <w:rsid w:val="00C86703"/>
    <w:rsid w:val="00C870D2"/>
    <w:rsid w:val="00C9003E"/>
    <w:rsid w:val="00C908EE"/>
    <w:rsid w:val="00C9227B"/>
    <w:rsid w:val="00C92A9F"/>
    <w:rsid w:val="00C931BD"/>
    <w:rsid w:val="00C93631"/>
    <w:rsid w:val="00C945AF"/>
    <w:rsid w:val="00C94D50"/>
    <w:rsid w:val="00C9520C"/>
    <w:rsid w:val="00C95A7D"/>
    <w:rsid w:val="00C9617D"/>
    <w:rsid w:val="00C963C3"/>
    <w:rsid w:val="00C972A1"/>
    <w:rsid w:val="00C974DC"/>
    <w:rsid w:val="00C97D94"/>
    <w:rsid w:val="00C97FA5"/>
    <w:rsid w:val="00CA05EE"/>
    <w:rsid w:val="00CA0927"/>
    <w:rsid w:val="00CA1D70"/>
    <w:rsid w:val="00CA22F1"/>
    <w:rsid w:val="00CA2411"/>
    <w:rsid w:val="00CA3329"/>
    <w:rsid w:val="00CA3E72"/>
    <w:rsid w:val="00CA4B3B"/>
    <w:rsid w:val="00CA5B28"/>
    <w:rsid w:val="00CA760B"/>
    <w:rsid w:val="00CA7D4F"/>
    <w:rsid w:val="00CB1257"/>
    <w:rsid w:val="00CB7BDF"/>
    <w:rsid w:val="00CC0D7C"/>
    <w:rsid w:val="00CC180F"/>
    <w:rsid w:val="00CC2624"/>
    <w:rsid w:val="00CC3F11"/>
    <w:rsid w:val="00CC585C"/>
    <w:rsid w:val="00CC5AD4"/>
    <w:rsid w:val="00CC75B7"/>
    <w:rsid w:val="00CD1384"/>
    <w:rsid w:val="00CD16A0"/>
    <w:rsid w:val="00CD2C47"/>
    <w:rsid w:val="00CD4603"/>
    <w:rsid w:val="00CD4A2A"/>
    <w:rsid w:val="00CD506F"/>
    <w:rsid w:val="00CE00BE"/>
    <w:rsid w:val="00CE01A9"/>
    <w:rsid w:val="00CE062B"/>
    <w:rsid w:val="00CE09EC"/>
    <w:rsid w:val="00CE140E"/>
    <w:rsid w:val="00CE25C3"/>
    <w:rsid w:val="00CE2DF5"/>
    <w:rsid w:val="00CE3039"/>
    <w:rsid w:val="00CE440B"/>
    <w:rsid w:val="00CE461D"/>
    <w:rsid w:val="00CE71A5"/>
    <w:rsid w:val="00CE763C"/>
    <w:rsid w:val="00CF0261"/>
    <w:rsid w:val="00CF0B39"/>
    <w:rsid w:val="00CF220D"/>
    <w:rsid w:val="00CF2E54"/>
    <w:rsid w:val="00CF3268"/>
    <w:rsid w:val="00CF3821"/>
    <w:rsid w:val="00CF4C7E"/>
    <w:rsid w:val="00CF6F03"/>
    <w:rsid w:val="00CF761C"/>
    <w:rsid w:val="00CF7930"/>
    <w:rsid w:val="00CF7FEB"/>
    <w:rsid w:val="00D0055D"/>
    <w:rsid w:val="00D00795"/>
    <w:rsid w:val="00D00BEA"/>
    <w:rsid w:val="00D0332C"/>
    <w:rsid w:val="00D04D4B"/>
    <w:rsid w:val="00D05A42"/>
    <w:rsid w:val="00D06DB0"/>
    <w:rsid w:val="00D10A58"/>
    <w:rsid w:val="00D11534"/>
    <w:rsid w:val="00D1272F"/>
    <w:rsid w:val="00D12EF8"/>
    <w:rsid w:val="00D13CE5"/>
    <w:rsid w:val="00D13D57"/>
    <w:rsid w:val="00D14287"/>
    <w:rsid w:val="00D149AF"/>
    <w:rsid w:val="00D15925"/>
    <w:rsid w:val="00D16172"/>
    <w:rsid w:val="00D16532"/>
    <w:rsid w:val="00D16BB4"/>
    <w:rsid w:val="00D210EF"/>
    <w:rsid w:val="00D22907"/>
    <w:rsid w:val="00D23CC4"/>
    <w:rsid w:val="00D24038"/>
    <w:rsid w:val="00D25D60"/>
    <w:rsid w:val="00D2770F"/>
    <w:rsid w:val="00D27F37"/>
    <w:rsid w:val="00D30378"/>
    <w:rsid w:val="00D329DE"/>
    <w:rsid w:val="00D32EFF"/>
    <w:rsid w:val="00D330B1"/>
    <w:rsid w:val="00D33A28"/>
    <w:rsid w:val="00D33A2A"/>
    <w:rsid w:val="00D33F25"/>
    <w:rsid w:val="00D3552B"/>
    <w:rsid w:val="00D35707"/>
    <w:rsid w:val="00D35AA3"/>
    <w:rsid w:val="00D37F7D"/>
    <w:rsid w:val="00D404CB"/>
    <w:rsid w:val="00D41204"/>
    <w:rsid w:val="00D42285"/>
    <w:rsid w:val="00D4251D"/>
    <w:rsid w:val="00D42AC2"/>
    <w:rsid w:val="00D43F7C"/>
    <w:rsid w:val="00D4416C"/>
    <w:rsid w:val="00D44328"/>
    <w:rsid w:val="00D47482"/>
    <w:rsid w:val="00D47D0B"/>
    <w:rsid w:val="00D50A9D"/>
    <w:rsid w:val="00D51088"/>
    <w:rsid w:val="00D510B7"/>
    <w:rsid w:val="00D521CC"/>
    <w:rsid w:val="00D537E7"/>
    <w:rsid w:val="00D53AD0"/>
    <w:rsid w:val="00D564E1"/>
    <w:rsid w:val="00D568B2"/>
    <w:rsid w:val="00D56A66"/>
    <w:rsid w:val="00D56A90"/>
    <w:rsid w:val="00D56C55"/>
    <w:rsid w:val="00D57440"/>
    <w:rsid w:val="00D578A7"/>
    <w:rsid w:val="00D619F6"/>
    <w:rsid w:val="00D621D1"/>
    <w:rsid w:val="00D6221D"/>
    <w:rsid w:val="00D625E3"/>
    <w:rsid w:val="00D63224"/>
    <w:rsid w:val="00D63611"/>
    <w:rsid w:val="00D638B3"/>
    <w:rsid w:val="00D664EE"/>
    <w:rsid w:val="00D67151"/>
    <w:rsid w:val="00D67635"/>
    <w:rsid w:val="00D731EF"/>
    <w:rsid w:val="00D76393"/>
    <w:rsid w:val="00D8205A"/>
    <w:rsid w:val="00D85A91"/>
    <w:rsid w:val="00D8628C"/>
    <w:rsid w:val="00D871DA"/>
    <w:rsid w:val="00D875F1"/>
    <w:rsid w:val="00D902E6"/>
    <w:rsid w:val="00D92FD0"/>
    <w:rsid w:val="00D932EE"/>
    <w:rsid w:val="00D94869"/>
    <w:rsid w:val="00D953B7"/>
    <w:rsid w:val="00D959EB"/>
    <w:rsid w:val="00D962E3"/>
    <w:rsid w:val="00D96D8C"/>
    <w:rsid w:val="00D9766C"/>
    <w:rsid w:val="00DA01F0"/>
    <w:rsid w:val="00DA0892"/>
    <w:rsid w:val="00DA12FA"/>
    <w:rsid w:val="00DA140D"/>
    <w:rsid w:val="00DA192A"/>
    <w:rsid w:val="00DA1AD2"/>
    <w:rsid w:val="00DA2B5E"/>
    <w:rsid w:val="00DA395D"/>
    <w:rsid w:val="00DA39D5"/>
    <w:rsid w:val="00DA4FC4"/>
    <w:rsid w:val="00DA5BF7"/>
    <w:rsid w:val="00DA5DDB"/>
    <w:rsid w:val="00DA6AC3"/>
    <w:rsid w:val="00DA6C23"/>
    <w:rsid w:val="00DA7BC0"/>
    <w:rsid w:val="00DB15D5"/>
    <w:rsid w:val="00DB3209"/>
    <w:rsid w:val="00DB3B14"/>
    <w:rsid w:val="00DB3CC3"/>
    <w:rsid w:val="00DB47F8"/>
    <w:rsid w:val="00DB540E"/>
    <w:rsid w:val="00DB69EF"/>
    <w:rsid w:val="00DB6B1B"/>
    <w:rsid w:val="00DB6E45"/>
    <w:rsid w:val="00DC2ABE"/>
    <w:rsid w:val="00DC3506"/>
    <w:rsid w:val="00DC3FD8"/>
    <w:rsid w:val="00DC4D69"/>
    <w:rsid w:val="00DC5012"/>
    <w:rsid w:val="00DC7BB3"/>
    <w:rsid w:val="00DD0098"/>
    <w:rsid w:val="00DD0278"/>
    <w:rsid w:val="00DD17C6"/>
    <w:rsid w:val="00DD1B7F"/>
    <w:rsid w:val="00DD2174"/>
    <w:rsid w:val="00DD2213"/>
    <w:rsid w:val="00DD268E"/>
    <w:rsid w:val="00DD2CF7"/>
    <w:rsid w:val="00DD555E"/>
    <w:rsid w:val="00DD5DA9"/>
    <w:rsid w:val="00DD6F4E"/>
    <w:rsid w:val="00DD7ED5"/>
    <w:rsid w:val="00DE0636"/>
    <w:rsid w:val="00DE0C40"/>
    <w:rsid w:val="00DE0CDE"/>
    <w:rsid w:val="00DE16AD"/>
    <w:rsid w:val="00DE196A"/>
    <w:rsid w:val="00DE1E8A"/>
    <w:rsid w:val="00DE2987"/>
    <w:rsid w:val="00DE36FD"/>
    <w:rsid w:val="00DE3936"/>
    <w:rsid w:val="00DE39F9"/>
    <w:rsid w:val="00DE3BD3"/>
    <w:rsid w:val="00DE3E4A"/>
    <w:rsid w:val="00DE4D96"/>
    <w:rsid w:val="00DE5485"/>
    <w:rsid w:val="00DE7993"/>
    <w:rsid w:val="00DF00FD"/>
    <w:rsid w:val="00DF07CC"/>
    <w:rsid w:val="00DF1C80"/>
    <w:rsid w:val="00DF2C92"/>
    <w:rsid w:val="00DF36C7"/>
    <w:rsid w:val="00DF498B"/>
    <w:rsid w:val="00DF68B1"/>
    <w:rsid w:val="00E00BE3"/>
    <w:rsid w:val="00E02245"/>
    <w:rsid w:val="00E02BCF"/>
    <w:rsid w:val="00E04789"/>
    <w:rsid w:val="00E06DF3"/>
    <w:rsid w:val="00E10E63"/>
    <w:rsid w:val="00E15CF6"/>
    <w:rsid w:val="00E16078"/>
    <w:rsid w:val="00E1607A"/>
    <w:rsid w:val="00E16253"/>
    <w:rsid w:val="00E17C3E"/>
    <w:rsid w:val="00E20FF5"/>
    <w:rsid w:val="00E21578"/>
    <w:rsid w:val="00E229CB"/>
    <w:rsid w:val="00E22DEE"/>
    <w:rsid w:val="00E2396F"/>
    <w:rsid w:val="00E2431C"/>
    <w:rsid w:val="00E24657"/>
    <w:rsid w:val="00E248B7"/>
    <w:rsid w:val="00E24E08"/>
    <w:rsid w:val="00E255CE"/>
    <w:rsid w:val="00E25779"/>
    <w:rsid w:val="00E25A2E"/>
    <w:rsid w:val="00E27C71"/>
    <w:rsid w:val="00E30462"/>
    <w:rsid w:val="00E31D17"/>
    <w:rsid w:val="00E365A8"/>
    <w:rsid w:val="00E36736"/>
    <w:rsid w:val="00E36C8A"/>
    <w:rsid w:val="00E374F3"/>
    <w:rsid w:val="00E408A2"/>
    <w:rsid w:val="00E413B0"/>
    <w:rsid w:val="00E429D4"/>
    <w:rsid w:val="00E45397"/>
    <w:rsid w:val="00E4665B"/>
    <w:rsid w:val="00E46C18"/>
    <w:rsid w:val="00E5015B"/>
    <w:rsid w:val="00E50999"/>
    <w:rsid w:val="00E52EE4"/>
    <w:rsid w:val="00E545F7"/>
    <w:rsid w:val="00E54F40"/>
    <w:rsid w:val="00E55055"/>
    <w:rsid w:val="00E558B7"/>
    <w:rsid w:val="00E55C3D"/>
    <w:rsid w:val="00E56923"/>
    <w:rsid w:val="00E572EF"/>
    <w:rsid w:val="00E579F7"/>
    <w:rsid w:val="00E60A43"/>
    <w:rsid w:val="00E60FEC"/>
    <w:rsid w:val="00E62C58"/>
    <w:rsid w:val="00E70458"/>
    <w:rsid w:val="00E70664"/>
    <w:rsid w:val="00E70AD7"/>
    <w:rsid w:val="00E71EE5"/>
    <w:rsid w:val="00E72243"/>
    <w:rsid w:val="00E73456"/>
    <w:rsid w:val="00E73DD0"/>
    <w:rsid w:val="00E750FC"/>
    <w:rsid w:val="00E7526B"/>
    <w:rsid w:val="00E75BED"/>
    <w:rsid w:val="00E80923"/>
    <w:rsid w:val="00E80E55"/>
    <w:rsid w:val="00E81526"/>
    <w:rsid w:val="00E8184A"/>
    <w:rsid w:val="00E81E03"/>
    <w:rsid w:val="00E834EA"/>
    <w:rsid w:val="00E851C4"/>
    <w:rsid w:val="00E86516"/>
    <w:rsid w:val="00E86A7A"/>
    <w:rsid w:val="00E86FE1"/>
    <w:rsid w:val="00E870B6"/>
    <w:rsid w:val="00E93D84"/>
    <w:rsid w:val="00E9404C"/>
    <w:rsid w:val="00E956D4"/>
    <w:rsid w:val="00E96945"/>
    <w:rsid w:val="00E96A17"/>
    <w:rsid w:val="00E96A33"/>
    <w:rsid w:val="00E96AA3"/>
    <w:rsid w:val="00E97110"/>
    <w:rsid w:val="00EA05C4"/>
    <w:rsid w:val="00EA0B7D"/>
    <w:rsid w:val="00EA12CE"/>
    <w:rsid w:val="00EA24FC"/>
    <w:rsid w:val="00EA2EB7"/>
    <w:rsid w:val="00EA3632"/>
    <w:rsid w:val="00EA491E"/>
    <w:rsid w:val="00EA5928"/>
    <w:rsid w:val="00EA6198"/>
    <w:rsid w:val="00EA7285"/>
    <w:rsid w:val="00EB00A4"/>
    <w:rsid w:val="00EB11CD"/>
    <w:rsid w:val="00EB15C3"/>
    <w:rsid w:val="00EB4E97"/>
    <w:rsid w:val="00EB616B"/>
    <w:rsid w:val="00EB64C7"/>
    <w:rsid w:val="00EB689B"/>
    <w:rsid w:val="00EB6ACF"/>
    <w:rsid w:val="00EB7D00"/>
    <w:rsid w:val="00EC26FF"/>
    <w:rsid w:val="00EC2BF5"/>
    <w:rsid w:val="00EC3FD2"/>
    <w:rsid w:val="00EC4190"/>
    <w:rsid w:val="00EC7879"/>
    <w:rsid w:val="00EC7E8D"/>
    <w:rsid w:val="00ED030A"/>
    <w:rsid w:val="00ED06A3"/>
    <w:rsid w:val="00ED06F5"/>
    <w:rsid w:val="00ED1362"/>
    <w:rsid w:val="00ED2547"/>
    <w:rsid w:val="00ED2B9A"/>
    <w:rsid w:val="00ED47DE"/>
    <w:rsid w:val="00ED4A3D"/>
    <w:rsid w:val="00ED4D02"/>
    <w:rsid w:val="00ED4EB9"/>
    <w:rsid w:val="00ED5FB9"/>
    <w:rsid w:val="00ED6F76"/>
    <w:rsid w:val="00ED782F"/>
    <w:rsid w:val="00ED79E5"/>
    <w:rsid w:val="00EE0FC3"/>
    <w:rsid w:val="00EE19BA"/>
    <w:rsid w:val="00EE2740"/>
    <w:rsid w:val="00EE27B7"/>
    <w:rsid w:val="00EE3193"/>
    <w:rsid w:val="00EE4160"/>
    <w:rsid w:val="00EE6102"/>
    <w:rsid w:val="00EE7FB8"/>
    <w:rsid w:val="00EF0189"/>
    <w:rsid w:val="00EF05CC"/>
    <w:rsid w:val="00EF0EDB"/>
    <w:rsid w:val="00EF1091"/>
    <w:rsid w:val="00EF41E3"/>
    <w:rsid w:val="00EF5733"/>
    <w:rsid w:val="00EF6437"/>
    <w:rsid w:val="00EF799E"/>
    <w:rsid w:val="00EF7D95"/>
    <w:rsid w:val="00F036C5"/>
    <w:rsid w:val="00F04164"/>
    <w:rsid w:val="00F051AA"/>
    <w:rsid w:val="00F051FF"/>
    <w:rsid w:val="00F05C8B"/>
    <w:rsid w:val="00F05ED7"/>
    <w:rsid w:val="00F06DB7"/>
    <w:rsid w:val="00F10B33"/>
    <w:rsid w:val="00F10DEC"/>
    <w:rsid w:val="00F12040"/>
    <w:rsid w:val="00F13152"/>
    <w:rsid w:val="00F15AB5"/>
    <w:rsid w:val="00F16135"/>
    <w:rsid w:val="00F16352"/>
    <w:rsid w:val="00F17E72"/>
    <w:rsid w:val="00F2129A"/>
    <w:rsid w:val="00F214DF"/>
    <w:rsid w:val="00F2223F"/>
    <w:rsid w:val="00F229D5"/>
    <w:rsid w:val="00F23F86"/>
    <w:rsid w:val="00F24EEB"/>
    <w:rsid w:val="00F25A3D"/>
    <w:rsid w:val="00F25DA8"/>
    <w:rsid w:val="00F26302"/>
    <w:rsid w:val="00F31387"/>
    <w:rsid w:val="00F34C32"/>
    <w:rsid w:val="00F35D24"/>
    <w:rsid w:val="00F36BDF"/>
    <w:rsid w:val="00F37174"/>
    <w:rsid w:val="00F374C9"/>
    <w:rsid w:val="00F40D87"/>
    <w:rsid w:val="00F41010"/>
    <w:rsid w:val="00F41463"/>
    <w:rsid w:val="00F427F5"/>
    <w:rsid w:val="00F42E5E"/>
    <w:rsid w:val="00F42F26"/>
    <w:rsid w:val="00F43714"/>
    <w:rsid w:val="00F43CE4"/>
    <w:rsid w:val="00F47A2B"/>
    <w:rsid w:val="00F5192B"/>
    <w:rsid w:val="00F520EF"/>
    <w:rsid w:val="00F5285A"/>
    <w:rsid w:val="00F5315B"/>
    <w:rsid w:val="00F53A00"/>
    <w:rsid w:val="00F53D40"/>
    <w:rsid w:val="00F53FE3"/>
    <w:rsid w:val="00F54B50"/>
    <w:rsid w:val="00F55007"/>
    <w:rsid w:val="00F5597E"/>
    <w:rsid w:val="00F5633A"/>
    <w:rsid w:val="00F56C78"/>
    <w:rsid w:val="00F610C1"/>
    <w:rsid w:val="00F62156"/>
    <w:rsid w:val="00F629E7"/>
    <w:rsid w:val="00F640F9"/>
    <w:rsid w:val="00F65C4C"/>
    <w:rsid w:val="00F67B03"/>
    <w:rsid w:val="00F70389"/>
    <w:rsid w:val="00F712CF"/>
    <w:rsid w:val="00F732DA"/>
    <w:rsid w:val="00F74703"/>
    <w:rsid w:val="00F75A4B"/>
    <w:rsid w:val="00F76D26"/>
    <w:rsid w:val="00F77B0A"/>
    <w:rsid w:val="00F82358"/>
    <w:rsid w:val="00F82614"/>
    <w:rsid w:val="00F826A4"/>
    <w:rsid w:val="00F82C1B"/>
    <w:rsid w:val="00F84193"/>
    <w:rsid w:val="00F85095"/>
    <w:rsid w:val="00F85775"/>
    <w:rsid w:val="00F874B9"/>
    <w:rsid w:val="00F87C79"/>
    <w:rsid w:val="00F87EAB"/>
    <w:rsid w:val="00F947E3"/>
    <w:rsid w:val="00F951A3"/>
    <w:rsid w:val="00F95299"/>
    <w:rsid w:val="00F96FD6"/>
    <w:rsid w:val="00FA0F88"/>
    <w:rsid w:val="00FA1612"/>
    <w:rsid w:val="00FA163A"/>
    <w:rsid w:val="00FA1955"/>
    <w:rsid w:val="00FA431A"/>
    <w:rsid w:val="00FA4B2F"/>
    <w:rsid w:val="00FA5E09"/>
    <w:rsid w:val="00FA621A"/>
    <w:rsid w:val="00FB10ED"/>
    <w:rsid w:val="00FB1851"/>
    <w:rsid w:val="00FB2DA2"/>
    <w:rsid w:val="00FB4AB2"/>
    <w:rsid w:val="00FB4F8E"/>
    <w:rsid w:val="00FB57F4"/>
    <w:rsid w:val="00FB5E15"/>
    <w:rsid w:val="00FB6F5F"/>
    <w:rsid w:val="00FC1D7A"/>
    <w:rsid w:val="00FC2526"/>
    <w:rsid w:val="00FC2780"/>
    <w:rsid w:val="00FC2911"/>
    <w:rsid w:val="00FC2935"/>
    <w:rsid w:val="00FC2DDA"/>
    <w:rsid w:val="00FC4346"/>
    <w:rsid w:val="00FC6914"/>
    <w:rsid w:val="00FC7CE1"/>
    <w:rsid w:val="00FD0FA7"/>
    <w:rsid w:val="00FD1479"/>
    <w:rsid w:val="00FD4405"/>
    <w:rsid w:val="00FD74D7"/>
    <w:rsid w:val="00FE01AC"/>
    <w:rsid w:val="00FE0528"/>
    <w:rsid w:val="00FE1F30"/>
    <w:rsid w:val="00FE2108"/>
    <w:rsid w:val="00FE21C8"/>
    <w:rsid w:val="00FE3BB3"/>
    <w:rsid w:val="00FE45EE"/>
    <w:rsid w:val="00FE5F45"/>
    <w:rsid w:val="00FE7960"/>
    <w:rsid w:val="00FF1B1E"/>
    <w:rsid w:val="00FF2D2E"/>
    <w:rsid w:val="00FF3CBA"/>
    <w:rsid w:val="00FF4200"/>
    <w:rsid w:val="00FF457B"/>
    <w:rsid w:val="00FF49EF"/>
    <w:rsid w:val="00FF55A8"/>
    <w:rsid w:val="00FF5642"/>
    <w:rsid w:val="00FF567C"/>
    <w:rsid w:val="00FF5B26"/>
    <w:rsid w:val="00FF65A7"/>
    <w:rsid w:val="00FF680A"/>
    <w:rsid w:val="00FF6839"/>
    <w:rsid w:val="00FF69B8"/>
    <w:rsid w:val="02C02781"/>
    <w:rsid w:val="0A6951D7"/>
    <w:rsid w:val="10087F9E"/>
    <w:rsid w:val="190EDC5A"/>
    <w:rsid w:val="1AB9EF54"/>
    <w:rsid w:val="23202B2D"/>
    <w:rsid w:val="28EF7E9F"/>
    <w:rsid w:val="2DBB67DE"/>
    <w:rsid w:val="3EF93C89"/>
    <w:rsid w:val="40117800"/>
    <w:rsid w:val="41A657F5"/>
    <w:rsid w:val="4306B284"/>
    <w:rsid w:val="44986A50"/>
    <w:rsid w:val="4964538F"/>
    <w:rsid w:val="4C4194A6"/>
    <w:rsid w:val="53FF9040"/>
    <w:rsid w:val="57B015DF"/>
    <w:rsid w:val="59CEE3B2"/>
    <w:rsid w:val="60639AD4"/>
    <w:rsid w:val="67EA8057"/>
    <w:rsid w:val="6CB66996"/>
    <w:rsid w:val="72018802"/>
    <w:rsid w:val="745F93EC"/>
    <w:rsid w:val="7D20F9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D97A2"/>
  <w14:defaultImageDpi w14:val="300"/>
  <w15:docId w15:val="{3DDD4B10-2C8D-4ABC-847A-4F82937D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87"/>
    <w:pPr>
      <w:spacing w:line="360" w:lineRule="auto"/>
    </w:pPr>
    <w:rPr>
      <w:rFonts w:ascii="Verdana" w:hAnsi="Verdana"/>
    </w:rPr>
  </w:style>
  <w:style w:type="paragraph" w:styleId="Heading1">
    <w:name w:val="heading 1"/>
    <w:basedOn w:val="Normal"/>
    <w:next w:val="Normal"/>
    <w:link w:val="Heading1Char"/>
    <w:uiPriority w:val="9"/>
    <w:qFormat/>
    <w:rsid w:val="005D5A87"/>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5D5A8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F31F3"/>
    <w:pPr>
      <w:keepNext/>
      <w:keepLines/>
      <w:spacing w:before="40"/>
      <w:outlineLvl w:val="2"/>
    </w:pPr>
    <w:rPr>
      <w:rFonts w:eastAsiaTheme="majorEastAsia" w:cstheme="majorBidi"/>
      <w:b/>
      <w:i/>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084B1A"/>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5D5A87"/>
    <w:rPr>
      <w:rFonts w:ascii="Verdana" w:eastAsiaTheme="majorEastAsia" w:hAnsi="Verdana" w:cstheme="majorBidi"/>
      <w:b/>
      <w:color w:val="77328A"/>
      <w:sz w:val="30"/>
      <w:szCs w:val="32"/>
    </w:rPr>
  </w:style>
  <w:style w:type="paragraph" w:styleId="ListParagraph">
    <w:name w:val="List Paragraph"/>
    <w:basedOn w:val="Normal"/>
    <w:uiPriority w:val="34"/>
    <w:qFormat/>
    <w:rsid w:val="00A11AF3"/>
    <w:pPr>
      <w:ind w:left="720"/>
      <w:contextualSpacing/>
    </w:pPr>
  </w:style>
  <w:style w:type="paragraph" w:customStyle="1" w:styleId="Style1">
    <w:name w:val="Style1"/>
    <w:basedOn w:val="BasicParagraph"/>
    <w:link w:val="Style1Char"/>
    <w:qFormat/>
    <w:rsid w:val="00456E22"/>
    <w:pPr>
      <w:suppressAutoHyphens/>
    </w:pPr>
    <w:rPr>
      <w:rFonts w:ascii="Verdana" w:hAnsi="Verdana" w:cs="Arial"/>
      <w:b/>
      <w:color w:val="77328A"/>
      <w:sz w:val="30"/>
      <w:szCs w:val="30"/>
    </w:rPr>
  </w:style>
  <w:style w:type="character" w:customStyle="1" w:styleId="BasicParagraphChar">
    <w:name w:val="[Basic Paragraph] Char"/>
    <w:basedOn w:val="DefaultParagraphFont"/>
    <w:link w:val="BasicParagraph"/>
    <w:uiPriority w:val="99"/>
    <w:rsid w:val="00456E22"/>
    <w:rPr>
      <w:rFonts w:ascii="MinionPro-Regular" w:hAnsi="MinionPro-Regular" w:cs="MinionPro-Regular"/>
      <w:color w:val="000000"/>
    </w:rPr>
  </w:style>
  <w:style w:type="character" w:customStyle="1" w:styleId="Style1Char">
    <w:name w:val="Style1 Char"/>
    <w:basedOn w:val="BasicParagraphChar"/>
    <w:link w:val="Style1"/>
    <w:rsid w:val="00456E22"/>
    <w:rPr>
      <w:rFonts w:ascii="Verdana" w:hAnsi="Verdana" w:cs="Arial"/>
      <w:b/>
      <w:color w:val="77328A"/>
      <w:sz w:val="30"/>
      <w:szCs w:val="30"/>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5B292E"/>
    <w:pPr>
      <w:spacing w:line="240" w:lineRule="exact"/>
      <w:jc w:val="both"/>
    </w:pPr>
    <w:rPr>
      <w:vertAlign w:val="superscript"/>
    </w:rPr>
  </w:style>
  <w:style w:type="character" w:customStyle="1" w:styleId="Heading2Char">
    <w:name w:val="Heading 2 Char"/>
    <w:basedOn w:val="DefaultParagraphFont"/>
    <w:link w:val="Heading2"/>
    <w:uiPriority w:val="9"/>
    <w:rsid w:val="005D5A87"/>
    <w:rPr>
      <w:rFonts w:ascii="Verdana" w:eastAsiaTheme="majorEastAsia" w:hAnsi="Verdana" w:cstheme="majorBidi"/>
      <w:b/>
      <w:szCs w:val="26"/>
    </w:rPr>
  </w:style>
  <w:style w:type="paragraph" w:styleId="Quote">
    <w:name w:val="Quote"/>
    <w:basedOn w:val="Normal"/>
    <w:next w:val="Normal"/>
    <w:link w:val="QuoteChar"/>
    <w:uiPriority w:val="29"/>
    <w:qFormat/>
    <w:rsid w:val="00D30378"/>
    <w:pPr>
      <w:spacing w:line="288" w:lineRule="auto"/>
      <w:ind w:left="862" w:right="862"/>
    </w:pPr>
    <w:rPr>
      <w:iCs/>
    </w:rPr>
  </w:style>
  <w:style w:type="character" w:customStyle="1" w:styleId="QuoteChar">
    <w:name w:val="Quote Char"/>
    <w:basedOn w:val="DefaultParagraphFont"/>
    <w:link w:val="Quote"/>
    <w:uiPriority w:val="29"/>
    <w:rsid w:val="00C908EE"/>
    <w:rPr>
      <w:rFonts w:ascii="Verdana" w:hAnsi="Verdana"/>
      <w:iCs/>
    </w:rPr>
  </w:style>
  <w:style w:type="numbering" w:customStyle="1" w:styleId="Style2">
    <w:name w:val="Style2"/>
    <w:uiPriority w:val="99"/>
    <w:rsid w:val="00B75882"/>
    <w:pPr>
      <w:numPr>
        <w:numId w:val="5"/>
      </w:numPr>
    </w:pPr>
  </w:style>
  <w:style w:type="character" w:styleId="CommentReference">
    <w:name w:val="annotation reference"/>
    <w:basedOn w:val="DefaultParagraphFont"/>
    <w:uiPriority w:val="99"/>
    <w:semiHidden/>
    <w:unhideWhenUsed/>
    <w:rsid w:val="002F4BF1"/>
    <w:rPr>
      <w:sz w:val="16"/>
      <w:szCs w:val="16"/>
    </w:rPr>
  </w:style>
  <w:style w:type="paragraph" w:styleId="CommentText">
    <w:name w:val="annotation text"/>
    <w:basedOn w:val="Normal"/>
    <w:link w:val="CommentTextChar"/>
    <w:uiPriority w:val="99"/>
    <w:unhideWhenUsed/>
    <w:rsid w:val="002F4BF1"/>
    <w:rPr>
      <w:sz w:val="20"/>
      <w:szCs w:val="20"/>
    </w:rPr>
  </w:style>
  <w:style w:type="character" w:customStyle="1" w:styleId="CommentTextChar">
    <w:name w:val="Comment Text Char"/>
    <w:basedOn w:val="DefaultParagraphFont"/>
    <w:link w:val="CommentText"/>
    <w:uiPriority w:val="99"/>
    <w:rsid w:val="002F4BF1"/>
    <w:rPr>
      <w:sz w:val="20"/>
      <w:szCs w:val="20"/>
    </w:rPr>
  </w:style>
  <w:style w:type="paragraph" w:styleId="CommentSubject">
    <w:name w:val="annotation subject"/>
    <w:basedOn w:val="CommentText"/>
    <w:next w:val="CommentText"/>
    <w:link w:val="CommentSubjectChar"/>
    <w:uiPriority w:val="99"/>
    <w:semiHidden/>
    <w:unhideWhenUsed/>
    <w:rsid w:val="002F4BF1"/>
    <w:rPr>
      <w:b/>
      <w:bCs/>
    </w:rPr>
  </w:style>
  <w:style w:type="character" w:customStyle="1" w:styleId="CommentSubjectChar">
    <w:name w:val="Comment Subject Char"/>
    <w:basedOn w:val="CommentTextChar"/>
    <w:link w:val="CommentSubject"/>
    <w:uiPriority w:val="99"/>
    <w:semiHidden/>
    <w:rsid w:val="002F4BF1"/>
    <w:rPr>
      <w:b/>
      <w:bCs/>
      <w:sz w:val="20"/>
      <w:szCs w:val="20"/>
    </w:rPr>
  </w:style>
  <w:style w:type="character" w:customStyle="1" w:styleId="Heading3Char">
    <w:name w:val="Heading 3 Char"/>
    <w:basedOn w:val="DefaultParagraphFont"/>
    <w:link w:val="Heading3"/>
    <w:uiPriority w:val="9"/>
    <w:rsid w:val="00AF31F3"/>
    <w:rPr>
      <w:rFonts w:ascii="Verdana" w:eastAsiaTheme="majorEastAsia" w:hAnsi="Verdana" w:cstheme="majorBidi"/>
      <w:b/>
      <w:i/>
    </w:rPr>
  </w:style>
  <w:style w:type="paragraph" w:styleId="Revision">
    <w:name w:val="Revision"/>
    <w:hidden/>
    <w:uiPriority w:val="99"/>
    <w:semiHidden/>
    <w:rsid w:val="00522C98"/>
    <w:rPr>
      <w:rFonts w:ascii="Verdana" w:hAnsi="Verdana"/>
    </w:rPr>
  </w:style>
  <w:style w:type="table" w:styleId="TableGrid">
    <w:name w:val="Table Grid"/>
    <w:basedOn w:val="TableNormal"/>
    <w:uiPriority w:val="59"/>
    <w:rsid w:val="00AE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E1112"/>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AE1112"/>
    <w:pPr>
      <w:tabs>
        <w:tab w:val="left" w:pos="660"/>
        <w:tab w:val="right" w:leader="dot" w:pos="9848"/>
      </w:tabs>
      <w:spacing w:after="100"/>
    </w:pPr>
    <w:rPr>
      <w:b/>
      <w:bCs/>
      <w:noProof/>
    </w:rPr>
  </w:style>
  <w:style w:type="paragraph" w:styleId="TOC2">
    <w:name w:val="toc 2"/>
    <w:basedOn w:val="Normal"/>
    <w:next w:val="Normal"/>
    <w:autoRedefine/>
    <w:uiPriority w:val="39"/>
    <w:unhideWhenUsed/>
    <w:rsid w:val="00AE1112"/>
    <w:pPr>
      <w:spacing w:after="100"/>
      <w:ind w:left="240"/>
    </w:pPr>
  </w:style>
  <w:style w:type="character" w:customStyle="1" w:styleId="s6b621b36">
    <w:name w:val="s6b621b36"/>
    <w:basedOn w:val="DefaultParagraphFont"/>
    <w:rsid w:val="00B418CD"/>
  </w:style>
  <w:style w:type="character" w:customStyle="1" w:styleId="sb8d990e2">
    <w:name w:val="sb8d990e2"/>
    <w:basedOn w:val="DefaultParagraphFont"/>
    <w:rsid w:val="00DA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6021">
      <w:bodyDiv w:val="1"/>
      <w:marLeft w:val="0"/>
      <w:marRight w:val="0"/>
      <w:marTop w:val="0"/>
      <w:marBottom w:val="0"/>
      <w:divBdr>
        <w:top w:val="none" w:sz="0" w:space="0" w:color="auto"/>
        <w:left w:val="none" w:sz="0" w:space="0" w:color="auto"/>
        <w:bottom w:val="none" w:sz="0" w:space="0" w:color="auto"/>
        <w:right w:val="none" w:sz="0" w:space="0" w:color="auto"/>
      </w:divBdr>
    </w:div>
    <w:div w:id="840896450">
      <w:bodyDiv w:val="1"/>
      <w:marLeft w:val="0"/>
      <w:marRight w:val="0"/>
      <w:marTop w:val="0"/>
      <w:marBottom w:val="0"/>
      <w:divBdr>
        <w:top w:val="none" w:sz="0" w:space="0" w:color="auto"/>
        <w:left w:val="none" w:sz="0" w:space="0" w:color="auto"/>
        <w:bottom w:val="none" w:sz="0" w:space="0" w:color="auto"/>
        <w:right w:val="none" w:sz="0" w:space="0" w:color="auto"/>
      </w:divBdr>
    </w:div>
    <w:div w:id="858544860">
      <w:bodyDiv w:val="1"/>
      <w:marLeft w:val="0"/>
      <w:marRight w:val="0"/>
      <w:marTop w:val="0"/>
      <w:marBottom w:val="0"/>
      <w:divBdr>
        <w:top w:val="none" w:sz="0" w:space="0" w:color="auto"/>
        <w:left w:val="none" w:sz="0" w:space="0" w:color="auto"/>
        <w:bottom w:val="none" w:sz="0" w:space="0" w:color="auto"/>
        <w:right w:val="none" w:sz="0" w:space="0" w:color="auto"/>
      </w:divBdr>
    </w:div>
    <w:div w:id="910383056">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70205">
      <w:bodyDiv w:val="1"/>
      <w:marLeft w:val="0"/>
      <w:marRight w:val="0"/>
      <w:marTop w:val="0"/>
      <w:marBottom w:val="0"/>
      <w:divBdr>
        <w:top w:val="none" w:sz="0" w:space="0" w:color="auto"/>
        <w:left w:val="none" w:sz="0" w:space="0" w:color="auto"/>
        <w:bottom w:val="none" w:sz="0" w:space="0" w:color="auto"/>
        <w:right w:val="none" w:sz="0" w:space="0" w:color="auto"/>
      </w:divBdr>
    </w:div>
    <w:div w:id="1367558015">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86235350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68993130">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C0DC-E312-408B-995E-51EB0DDE3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088CC-9F25-4BC8-B6E3-234AABDB8ED6}">
  <ds:schemaRefs>
    <ds:schemaRef ds:uri="http://schemas.openxmlformats.org/officeDocument/2006/bibliography"/>
  </ds:schemaRefs>
</ds:datastoreItem>
</file>

<file path=customXml/itemProps3.xml><?xml version="1.0" encoding="utf-8"?>
<ds:datastoreItem xmlns:ds="http://schemas.openxmlformats.org/officeDocument/2006/customXml" ds:itemID="{301CEFF9-B0A6-4139-A616-13391D51C98A}">
  <ds:schemaRefs>
    <ds:schemaRef ds:uri="http://schemas.microsoft.com/sharepoint/v3/contenttype/forms"/>
  </ds:schemaRefs>
</ds:datastoreItem>
</file>

<file path=customXml/itemProps4.xml><?xml version="1.0" encoding="utf-8"?>
<ds:datastoreItem xmlns:ds="http://schemas.openxmlformats.org/officeDocument/2006/customXml" ds:itemID="{1E0EDBDF-76BC-449C-9025-2D4200C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6836</Words>
  <Characters>38970</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2022-06-10T12:32:00Z</cp:lastPrinted>
  <dcterms:created xsi:type="dcterms:W3CDTF">2022-06-14T09:19:00Z</dcterms:created>
  <dcterms:modified xsi:type="dcterms:W3CDTF">2022-06-14T09:19:00Z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