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C18F" w14:textId="7214315C" w:rsidR="00F31387" w:rsidRDefault="00026A55"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0E1C3CD6" wp14:editId="6C56A8BE">
            <wp:extent cx="2908485" cy="3886623"/>
            <wp:effectExtent l="0" t="0" r="0" b="0"/>
            <wp:docPr id="1" name="Picture 1"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80580F7" w14:textId="16B0DFD1" w:rsidR="003B7D0E" w:rsidRPr="00EA12CE" w:rsidRDefault="003B7D0E" w:rsidP="003B7D0E">
      <w:pPr>
        <w:pStyle w:val="BasicParagraph"/>
        <w:suppressAutoHyphens/>
        <w:jc w:val="center"/>
        <w:rPr>
          <w:rFonts w:ascii="Verdana" w:hAnsi="Verdana" w:cs="Arial"/>
          <w:b/>
          <w:bCs/>
          <w:color w:val="734791"/>
          <w:sz w:val="36"/>
          <w:szCs w:val="36"/>
        </w:rPr>
      </w:pPr>
    </w:p>
    <w:p w14:paraId="59495618" w14:textId="77777777" w:rsidR="00042AB1" w:rsidRDefault="004B425F" w:rsidP="003B7D0E">
      <w:pPr>
        <w:pStyle w:val="BasicParagraph"/>
        <w:suppressAutoHyphens/>
        <w:jc w:val="center"/>
        <w:rPr>
          <w:rFonts w:ascii="Verdana" w:hAnsi="Verdana" w:cs="Arial"/>
          <w:b/>
          <w:bCs/>
          <w:color w:val="77328A"/>
          <w:sz w:val="36"/>
          <w:szCs w:val="36"/>
        </w:rPr>
      </w:pPr>
      <w:r w:rsidRPr="004B425F">
        <w:rPr>
          <w:rFonts w:ascii="Verdana" w:hAnsi="Verdana" w:cs="Arial"/>
          <w:b/>
          <w:bCs/>
          <w:color w:val="77328A"/>
          <w:sz w:val="36"/>
          <w:szCs w:val="36"/>
        </w:rPr>
        <w:t xml:space="preserve">Submission to the Advisory Committee on the Framework Convention for the protection of National Minorities </w:t>
      </w:r>
    </w:p>
    <w:p w14:paraId="4B594144" w14:textId="77777777" w:rsidR="00042AB1" w:rsidRDefault="00042AB1" w:rsidP="003B7D0E">
      <w:pPr>
        <w:pStyle w:val="BasicParagraph"/>
        <w:suppressAutoHyphens/>
        <w:jc w:val="center"/>
        <w:rPr>
          <w:rFonts w:ascii="Verdana" w:hAnsi="Verdana" w:cs="Arial"/>
          <w:b/>
          <w:bCs/>
          <w:color w:val="77328A"/>
          <w:sz w:val="36"/>
          <w:szCs w:val="36"/>
        </w:rPr>
      </w:pPr>
    </w:p>
    <w:p w14:paraId="599B585D" w14:textId="3C5EA790" w:rsidR="0096459E" w:rsidRPr="003B7D0E" w:rsidRDefault="004B425F" w:rsidP="003B7D0E">
      <w:pPr>
        <w:pStyle w:val="BasicParagraph"/>
        <w:suppressAutoHyphens/>
        <w:jc w:val="center"/>
        <w:rPr>
          <w:rFonts w:ascii="Verdana" w:hAnsi="Verdana" w:cs="Arial"/>
          <w:b/>
          <w:color w:val="77328A"/>
          <w:sz w:val="36"/>
          <w:szCs w:val="36"/>
        </w:rPr>
      </w:pPr>
      <w:r w:rsidRPr="004B425F">
        <w:rPr>
          <w:rFonts w:ascii="Verdana" w:hAnsi="Verdana" w:cs="Arial"/>
          <w:b/>
          <w:bCs/>
          <w:color w:val="77328A"/>
          <w:sz w:val="36"/>
          <w:szCs w:val="36"/>
        </w:rPr>
        <w:t xml:space="preserve">Parallel Report to the Advisory Committee on the </w:t>
      </w:r>
      <w:r w:rsidR="00042AB1">
        <w:rPr>
          <w:rFonts w:ascii="Verdana" w:hAnsi="Verdana" w:cs="Arial"/>
          <w:b/>
          <w:bCs/>
          <w:color w:val="77328A"/>
          <w:sz w:val="36"/>
          <w:szCs w:val="36"/>
        </w:rPr>
        <w:t>Fifth</w:t>
      </w:r>
      <w:r w:rsidRPr="004B425F">
        <w:rPr>
          <w:rFonts w:ascii="Verdana" w:hAnsi="Verdana" w:cs="Arial"/>
          <w:b/>
          <w:bCs/>
          <w:color w:val="77328A"/>
          <w:sz w:val="36"/>
          <w:szCs w:val="36"/>
        </w:rPr>
        <w:t xml:space="preserve"> Monitoring Report of the United Kingdom</w:t>
      </w:r>
    </w:p>
    <w:p w14:paraId="3799CFDD" w14:textId="77777777" w:rsidR="00F31387" w:rsidRPr="00331C61" w:rsidRDefault="00F31387" w:rsidP="003B7D0E">
      <w:pPr>
        <w:pStyle w:val="Default"/>
        <w:spacing w:line="288" w:lineRule="auto"/>
        <w:jc w:val="center"/>
        <w:rPr>
          <w:rFonts w:cs="Arial"/>
          <w:color w:val="232120"/>
          <w:sz w:val="36"/>
          <w:szCs w:val="36"/>
        </w:rPr>
      </w:pPr>
    </w:p>
    <w:p w14:paraId="22C8103A" w14:textId="18E81754" w:rsidR="008159E8" w:rsidRPr="00331C61" w:rsidRDefault="004B425F" w:rsidP="003B7D0E">
      <w:pPr>
        <w:spacing w:line="288" w:lineRule="auto"/>
        <w:jc w:val="center"/>
        <w:rPr>
          <w:rFonts w:ascii="Verdana" w:hAnsi="Verdana" w:cs="Arial"/>
          <w:b/>
          <w:color w:val="232120"/>
          <w:sz w:val="30"/>
          <w:szCs w:val="30"/>
        </w:rPr>
      </w:pPr>
      <w:r>
        <w:rPr>
          <w:rFonts w:ascii="Verdana" w:hAnsi="Verdana" w:cs="Arial"/>
          <w:b/>
          <w:color w:val="232120"/>
          <w:sz w:val="30"/>
          <w:szCs w:val="30"/>
        </w:rPr>
        <w:t>March 20</w:t>
      </w:r>
      <w:r w:rsidR="00042AB1">
        <w:rPr>
          <w:rFonts w:ascii="Verdana" w:hAnsi="Verdana" w:cs="Arial"/>
          <w:b/>
          <w:color w:val="232120"/>
          <w:sz w:val="30"/>
          <w:szCs w:val="30"/>
        </w:rPr>
        <w:t>22</w:t>
      </w:r>
    </w:p>
    <w:p w14:paraId="70234AB9" w14:textId="77777777" w:rsidR="00046705" w:rsidRPr="00331C61" w:rsidRDefault="00046705" w:rsidP="003B7D0E">
      <w:pPr>
        <w:spacing w:line="288" w:lineRule="auto"/>
        <w:jc w:val="center"/>
        <w:rPr>
          <w:rFonts w:ascii="Verdana" w:hAnsi="Verdana" w:cs="Arial"/>
          <w:b/>
          <w:color w:val="232120"/>
          <w:sz w:val="28"/>
          <w:szCs w:val="28"/>
        </w:rPr>
      </w:pPr>
    </w:p>
    <w:p w14:paraId="14F68A41" w14:textId="77777777" w:rsidR="00046705" w:rsidRPr="00331C61" w:rsidRDefault="00046705" w:rsidP="003B7D0E">
      <w:pPr>
        <w:spacing w:line="288" w:lineRule="auto"/>
        <w:jc w:val="center"/>
        <w:rPr>
          <w:rFonts w:ascii="Verdana" w:hAnsi="Verdana" w:cs="Arial"/>
          <w:b/>
          <w:color w:val="232120"/>
          <w:sz w:val="28"/>
          <w:szCs w:val="28"/>
        </w:rPr>
      </w:pPr>
    </w:p>
    <w:p w14:paraId="51229A95" w14:textId="77777777" w:rsidR="00EA12CE" w:rsidRPr="00331C61" w:rsidRDefault="00EA12CE" w:rsidP="003B7D0E">
      <w:pPr>
        <w:pStyle w:val="Default"/>
        <w:spacing w:line="288" w:lineRule="auto"/>
        <w:jc w:val="center"/>
        <w:rPr>
          <w:rFonts w:cs="Arial"/>
          <w:b/>
          <w:color w:val="232120"/>
          <w:sz w:val="28"/>
          <w:szCs w:val="28"/>
          <w:lang w:val="en-GB"/>
        </w:rPr>
      </w:pPr>
    </w:p>
    <w:p w14:paraId="37911E18" w14:textId="77777777" w:rsidR="003B7D0E" w:rsidRPr="00331C61" w:rsidRDefault="003B7D0E" w:rsidP="003B7D0E">
      <w:pPr>
        <w:pStyle w:val="Default"/>
        <w:spacing w:line="480" w:lineRule="auto"/>
        <w:jc w:val="center"/>
        <w:rPr>
          <w:rFonts w:cs="Arial"/>
          <w:b/>
          <w:color w:val="232120"/>
          <w:sz w:val="36"/>
          <w:szCs w:val="36"/>
        </w:rPr>
      </w:pPr>
    </w:p>
    <w:p w14:paraId="602152C8" w14:textId="148ADD1F" w:rsidR="003B7D0E" w:rsidRPr="003B7D0E" w:rsidRDefault="003B7D0E" w:rsidP="00F97EDD">
      <w:pPr>
        <w:pStyle w:val="Default"/>
        <w:spacing w:line="480" w:lineRule="auto"/>
        <w:rPr>
          <w:rFonts w:cs="Arial"/>
          <w:b/>
          <w:color w:val="3C3C3B"/>
          <w:sz w:val="36"/>
          <w:szCs w:val="36"/>
        </w:rPr>
      </w:pPr>
    </w:p>
    <w:sdt>
      <w:sdtPr>
        <w:rPr>
          <w:rFonts w:asciiTheme="minorHAnsi" w:eastAsiaTheme="minorEastAsia" w:hAnsiTheme="minorHAnsi" w:cstheme="minorBidi"/>
          <w:b/>
          <w:color w:val="auto"/>
          <w:sz w:val="24"/>
          <w:szCs w:val="24"/>
          <w:shd w:val="clear" w:color="auto" w:fill="E6E6E6"/>
          <w:lang w:val="en-GB"/>
        </w:rPr>
        <w:id w:val="839887020"/>
        <w:docPartObj>
          <w:docPartGallery w:val="Table of Contents"/>
          <w:docPartUnique/>
        </w:docPartObj>
      </w:sdtPr>
      <w:sdtEndPr>
        <w:rPr>
          <w:b w:val="0"/>
        </w:rPr>
      </w:sdtEndPr>
      <w:sdtContent>
        <w:p w14:paraId="79719E5E" w14:textId="0CA02405" w:rsidR="00E5776D" w:rsidRPr="00B83347" w:rsidRDefault="00E5776D">
          <w:pPr>
            <w:pStyle w:val="TOCHeading"/>
            <w:rPr>
              <w:b/>
              <w:bCs/>
              <w:szCs w:val="30"/>
            </w:rPr>
          </w:pPr>
          <w:r w:rsidRPr="00B83347">
            <w:rPr>
              <w:b/>
              <w:bCs/>
              <w:szCs w:val="30"/>
            </w:rPr>
            <w:t>Table of Contents</w:t>
          </w:r>
        </w:p>
        <w:p w14:paraId="76929095" w14:textId="77777777" w:rsidR="00E5776D" w:rsidRPr="00190D0A" w:rsidRDefault="00E5776D" w:rsidP="00E5776D">
          <w:pPr>
            <w:rPr>
              <w:rFonts w:ascii="Verdana" w:hAnsi="Verdana"/>
              <w:lang w:val="en-US"/>
            </w:rPr>
          </w:pPr>
        </w:p>
        <w:p w14:paraId="36614F23" w14:textId="7738B34B" w:rsidR="00B83347" w:rsidRPr="00B83347" w:rsidRDefault="00E5776D">
          <w:pPr>
            <w:pStyle w:val="TOC1"/>
            <w:rPr>
              <w:b w:val="0"/>
              <w:sz w:val="22"/>
              <w:szCs w:val="22"/>
              <w:lang w:eastAsia="en-GB"/>
            </w:rPr>
          </w:pPr>
          <w:r w:rsidRPr="00190D0A">
            <w:rPr>
              <w:color w:val="2B579A"/>
              <w:shd w:val="clear" w:color="auto" w:fill="E6E6E6"/>
            </w:rPr>
            <w:fldChar w:fldCharType="begin"/>
          </w:r>
          <w:r w:rsidRPr="00190D0A">
            <w:instrText xml:space="preserve"> TOC \o "1-3" \h \z \u </w:instrText>
          </w:r>
          <w:r w:rsidRPr="00190D0A">
            <w:rPr>
              <w:color w:val="2B579A"/>
              <w:shd w:val="clear" w:color="auto" w:fill="E6E6E6"/>
            </w:rPr>
            <w:fldChar w:fldCharType="separate"/>
          </w:r>
          <w:hyperlink w:anchor="_Toc97030893" w:history="1">
            <w:r w:rsidR="00B83347" w:rsidRPr="00B83347">
              <w:rPr>
                <w:rStyle w:val="Hyperlink"/>
              </w:rPr>
              <w:t>1.0.</w:t>
            </w:r>
            <w:r w:rsidR="00B83347" w:rsidRPr="00B83347">
              <w:rPr>
                <w:b w:val="0"/>
                <w:sz w:val="22"/>
                <w:szCs w:val="22"/>
                <w:lang w:eastAsia="en-GB"/>
              </w:rPr>
              <w:tab/>
            </w:r>
            <w:r w:rsidR="00B83347" w:rsidRPr="00B83347">
              <w:rPr>
                <w:rStyle w:val="Hyperlink"/>
              </w:rPr>
              <w:t>Introduction</w:t>
            </w:r>
            <w:r w:rsidR="00B83347" w:rsidRPr="00B83347">
              <w:rPr>
                <w:webHidden/>
              </w:rPr>
              <w:tab/>
            </w:r>
            <w:r w:rsidR="00B83347" w:rsidRPr="00B83347">
              <w:rPr>
                <w:webHidden/>
                <w:color w:val="2B579A"/>
                <w:shd w:val="clear" w:color="auto" w:fill="E6E6E6"/>
              </w:rPr>
              <w:fldChar w:fldCharType="begin"/>
            </w:r>
            <w:r w:rsidR="00B83347" w:rsidRPr="00B83347">
              <w:rPr>
                <w:webHidden/>
              </w:rPr>
              <w:instrText xml:space="preserve"> PAGEREF _Toc97030893 \h </w:instrText>
            </w:r>
            <w:r w:rsidR="00B83347" w:rsidRPr="00B83347">
              <w:rPr>
                <w:webHidden/>
                <w:color w:val="2B579A"/>
                <w:shd w:val="clear" w:color="auto" w:fill="E6E6E6"/>
              </w:rPr>
            </w:r>
            <w:r w:rsidR="00B83347" w:rsidRPr="00B83347">
              <w:rPr>
                <w:webHidden/>
                <w:color w:val="2B579A"/>
                <w:shd w:val="clear" w:color="auto" w:fill="E6E6E6"/>
              </w:rPr>
              <w:fldChar w:fldCharType="separate"/>
            </w:r>
            <w:r w:rsidR="00E15139">
              <w:rPr>
                <w:webHidden/>
              </w:rPr>
              <w:t>4</w:t>
            </w:r>
            <w:r w:rsidR="00B83347" w:rsidRPr="00B83347">
              <w:rPr>
                <w:webHidden/>
                <w:color w:val="2B579A"/>
                <w:shd w:val="clear" w:color="auto" w:fill="E6E6E6"/>
              </w:rPr>
              <w:fldChar w:fldCharType="end"/>
            </w:r>
          </w:hyperlink>
        </w:p>
        <w:p w14:paraId="4E25B48D" w14:textId="060A884A" w:rsidR="00B83347" w:rsidRPr="00B83347" w:rsidRDefault="00B83347">
          <w:pPr>
            <w:pStyle w:val="TOC2"/>
            <w:rPr>
              <w:rFonts w:ascii="Verdana" w:hAnsi="Verdana"/>
              <w:noProof/>
              <w:sz w:val="22"/>
              <w:szCs w:val="22"/>
              <w:lang w:eastAsia="en-GB"/>
            </w:rPr>
          </w:pPr>
          <w:hyperlink w:anchor="_Toc97030894" w:history="1">
            <w:r w:rsidRPr="00B83347">
              <w:rPr>
                <w:rStyle w:val="Hyperlink"/>
                <w:rFonts w:ascii="Verdana" w:hAnsi="Verdana"/>
                <w:noProof/>
              </w:rPr>
              <w:t>Involvement of the NI Executive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_Toc97030894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w:t>
            </w:r>
            <w:r w:rsidRPr="00B83347">
              <w:rPr>
                <w:rFonts w:ascii="Verdana" w:hAnsi="Verdana"/>
                <w:noProof/>
                <w:webHidden/>
                <w:color w:val="2B579A"/>
                <w:shd w:val="clear" w:color="auto" w:fill="E6E6E6"/>
              </w:rPr>
              <w:fldChar w:fldCharType="end"/>
            </w:r>
          </w:hyperlink>
        </w:p>
        <w:p w14:paraId="178C5FF7" w14:textId="79814CE8" w:rsidR="00B83347" w:rsidRPr="00B83347" w:rsidRDefault="00B83347">
          <w:pPr>
            <w:pStyle w:val="TOC2"/>
            <w:rPr>
              <w:rFonts w:ascii="Verdana" w:hAnsi="Verdana"/>
              <w:noProof/>
              <w:sz w:val="22"/>
              <w:szCs w:val="22"/>
              <w:lang w:eastAsia="en-GB"/>
            </w:rPr>
          </w:pPr>
          <w:hyperlink w:anchor="_Toc97030895" w:history="1">
            <w:r w:rsidRPr="00B83347">
              <w:rPr>
                <w:rStyle w:val="Hyperlink"/>
                <w:rFonts w:ascii="Verdana" w:hAnsi="Verdana"/>
                <w:noProof/>
              </w:rPr>
              <w:t>Northern Ireland Human Rights Commission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_Toc97030895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w:t>
            </w:r>
            <w:r w:rsidRPr="00B83347">
              <w:rPr>
                <w:rFonts w:ascii="Verdana" w:hAnsi="Verdana"/>
                <w:noProof/>
                <w:webHidden/>
                <w:color w:val="2B579A"/>
                <w:shd w:val="clear" w:color="auto" w:fill="E6E6E6"/>
              </w:rPr>
              <w:fldChar w:fldCharType="end"/>
            </w:r>
          </w:hyperlink>
        </w:p>
        <w:p w14:paraId="7F4A38EE" w14:textId="219FAD51" w:rsidR="00B83347" w:rsidRPr="00B83347" w:rsidRDefault="00B83347">
          <w:pPr>
            <w:pStyle w:val="TOC1"/>
            <w:rPr>
              <w:b w:val="0"/>
              <w:sz w:val="22"/>
              <w:szCs w:val="22"/>
              <w:lang w:eastAsia="en-GB"/>
            </w:rPr>
          </w:pPr>
          <w:hyperlink w:anchor="_Toc97030896" w:history="1">
            <w:r w:rsidRPr="00B83347">
              <w:rPr>
                <w:rStyle w:val="Hyperlink"/>
              </w:rPr>
              <w:t>2.0.</w:t>
            </w:r>
            <w:r w:rsidRPr="00B83347">
              <w:rPr>
                <w:b w:val="0"/>
                <w:sz w:val="22"/>
                <w:szCs w:val="22"/>
                <w:lang w:eastAsia="en-GB"/>
              </w:rPr>
              <w:tab/>
            </w:r>
            <w:r w:rsidRPr="00B83347">
              <w:rPr>
                <w:rStyle w:val="Hyperlink"/>
              </w:rPr>
              <w:t>Constitutional Issues</w:t>
            </w:r>
            <w:r w:rsidRPr="00B83347">
              <w:rPr>
                <w:webHidden/>
              </w:rPr>
              <w:tab/>
            </w:r>
            <w:r w:rsidRPr="00B83347">
              <w:rPr>
                <w:webHidden/>
                <w:color w:val="2B579A"/>
                <w:shd w:val="clear" w:color="auto" w:fill="E6E6E6"/>
              </w:rPr>
              <w:fldChar w:fldCharType="begin"/>
            </w:r>
            <w:r w:rsidRPr="00B83347">
              <w:rPr>
                <w:webHidden/>
              </w:rPr>
              <w:instrText xml:space="preserve"> PAGEREF _Toc97030896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6</w:t>
            </w:r>
            <w:r w:rsidRPr="00B83347">
              <w:rPr>
                <w:webHidden/>
                <w:color w:val="2B579A"/>
                <w:shd w:val="clear" w:color="auto" w:fill="E6E6E6"/>
              </w:rPr>
              <w:fldChar w:fldCharType="end"/>
            </w:r>
          </w:hyperlink>
        </w:p>
        <w:p w14:paraId="5D76F71F" w14:textId="01C2E38E" w:rsidR="00B83347" w:rsidRPr="00B83347" w:rsidRDefault="00B83347">
          <w:pPr>
            <w:pStyle w:val="TOC2"/>
            <w:rPr>
              <w:rFonts w:ascii="Verdana" w:hAnsi="Verdana"/>
              <w:noProof/>
              <w:sz w:val="22"/>
              <w:szCs w:val="22"/>
              <w:lang w:eastAsia="en-GB"/>
            </w:rPr>
          </w:pPr>
          <w:hyperlink w:anchor="_Toc97030897" w:history="1">
            <w:r w:rsidRPr="00B83347">
              <w:rPr>
                <w:rStyle w:val="Hyperlink"/>
                <w:rFonts w:ascii="Verdana" w:hAnsi="Verdana"/>
                <w:noProof/>
              </w:rPr>
              <w:t>The UK Withdrawal from the European Union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_Toc97030897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w:t>
            </w:r>
            <w:r w:rsidRPr="00B83347">
              <w:rPr>
                <w:rFonts w:ascii="Verdana" w:hAnsi="Verdana"/>
                <w:noProof/>
                <w:webHidden/>
                <w:color w:val="2B579A"/>
                <w:shd w:val="clear" w:color="auto" w:fill="E6E6E6"/>
              </w:rPr>
              <w:fldChar w:fldCharType="end"/>
            </w:r>
          </w:hyperlink>
        </w:p>
        <w:p w14:paraId="37F3596C" w14:textId="237553C8" w:rsidR="00B83347" w:rsidRPr="00B83347" w:rsidRDefault="00B83347">
          <w:pPr>
            <w:pStyle w:val="TOC2"/>
            <w:rPr>
              <w:rFonts w:ascii="Verdana" w:hAnsi="Verdana"/>
              <w:noProof/>
              <w:sz w:val="22"/>
              <w:szCs w:val="22"/>
              <w:lang w:eastAsia="en-GB"/>
            </w:rPr>
          </w:pPr>
          <w:hyperlink w:anchor="_Toc97030898" w:history="1">
            <w:r w:rsidRPr="00B83347">
              <w:rPr>
                <w:rStyle w:val="Hyperlink"/>
                <w:rFonts w:ascii="Verdana" w:hAnsi="Verdana"/>
                <w:noProof/>
              </w:rPr>
              <w:t>A Bill of Rights for NI</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_Toc97030898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8</w:t>
            </w:r>
            <w:r w:rsidRPr="00B83347">
              <w:rPr>
                <w:rFonts w:ascii="Verdana" w:hAnsi="Verdana"/>
                <w:noProof/>
                <w:webHidden/>
                <w:color w:val="2B579A"/>
                <w:shd w:val="clear" w:color="auto" w:fill="E6E6E6"/>
              </w:rPr>
              <w:fldChar w:fldCharType="end"/>
            </w:r>
          </w:hyperlink>
        </w:p>
        <w:p w14:paraId="0DBA5310" w14:textId="32A7A3B4" w:rsidR="00B83347" w:rsidRPr="00B83347" w:rsidRDefault="00B83347">
          <w:pPr>
            <w:pStyle w:val="TOC2"/>
            <w:rPr>
              <w:rFonts w:ascii="Verdana" w:hAnsi="Verdana"/>
              <w:noProof/>
              <w:sz w:val="22"/>
              <w:szCs w:val="22"/>
              <w:lang w:eastAsia="en-GB"/>
            </w:rPr>
          </w:pPr>
          <w:hyperlink w:anchor="_Toc97030899" w:history="1">
            <w:r w:rsidRPr="00B83347">
              <w:rPr>
                <w:rStyle w:val="Hyperlink"/>
                <w:rFonts w:ascii="Verdana" w:hAnsi="Verdana"/>
                <w:noProof/>
              </w:rPr>
              <w:t>Human Rights Act Review</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_Toc97030899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9</w:t>
            </w:r>
            <w:r w:rsidRPr="00B83347">
              <w:rPr>
                <w:rFonts w:ascii="Verdana" w:hAnsi="Verdana"/>
                <w:noProof/>
                <w:webHidden/>
                <w:color w:val="2B579A"/>
                <w:shd w:val="clear" w:color="auto" w:fill="E6E6E6"/>
              </w:rPr>
              <w:fldChar w:fldCharType="end"/>
            </w:r>
          </w:hyperlink>
        </w:p>
        <w:p w14:paraId="40114396" w14:textId="07653027" w:rsidR="00B83347" w:rsidRPr="00B83347" w:rsidRDefault="00B83347">
          <w:pPr>
            <w:pStyle w:val="TOC1"/>
            <w:rPr>
              <w:b w:val="0"/>
              <w:sz w:val="22"/>
              <w:szCs w:val="22"/>
              <w:lang w:eastAsia="en-GB"/>
            </w:rPr>
          </w:pPr>
          <w:hyperlink w:anchor="_Toc97030900" w:history="1">
            <w:r w:rsidRPr="00B83347">
              <w:rPr>
                <w:rStyle w:val="Hyperlink"/>
              </w:rPr>
              <w:t>3.0. Article 3: National Minorities</w:t>
            </w:r>
            <w:r w:rsidRPr="00B83347">
              <w:rPr>
                <w:webHidden/>
              </w:rPr>
              <w:tab/>
            </w:r>
            <w:r w:rsidRPr="00B83347">
              <w:rPr>
                <w:webHidden/>
                <w:color w:val="2B579A"/>
                <w:shd w:val="clear" w:color="auto" w:fill="E6E6E6"/>
              </w:rPr>
              <w:fldChar w:fldCharType="begin"/>
            </w:r>
            <w:r w:rsidRPr="00B83347">
              <w:rPr>
                <w:webHidden/>
              </w:rPr>
              <w:instrText xml:space="preserve"> PAGEREF _Toc97030900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10</w:t>
            </w:r>
            <w:r w:rsidRPr="00B83347">
              <w:rPr>
                <w:webHidden/>
                <w:color w:val="2B579A"/>
                <w:shd w:val="clear" w:color="auto" w:fill="E6E6E6"/>
              </w:rPr>
              <w:fldChar w:fldCharType="end"/>
            </w:r>
          </w:hyperlink>
        </w:p>
        <w:p w14:paraId="715AA2DD" w14:textId="056C4ED9" w:rsidR="00B83347" w:rsidRPr="00B83347" w:rsidRDefault="00B83347">
          <w:pPr>
            <w:pStyle w:val="TOC2"/>
            <w:rPr>
              <w:rFonts w:ascii="Verdana" w:hAnsi="Verdana"/>
              <w:noProof/>
              <w:sz w:val="22"/>
              <w:szCs w:val="22"/>
              <w:lang w:eastAsia="en-GB"/>
            </w:rPr>
          </w:pPr>
          <w:hyperlink w:anchor="_Toc97030901" w:history="1">
            <w:r w:rsidRPr="00B83347">
              <w:rPr>
                <w:rStyle w:val="Hyperlink"/>
                <w:rFonts w:ascii="Verdana" w:hAnsi="Verdana"/>
                <w:noProof/>
              </w:rPr>
              <w:t>Scope of application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_Toc97030901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10</w:t>
            </w:r>
            <w:r w:rsidRPr="00B83347">
              <w:rPr>
                <w:rFonts w:ascii="Verdana" w:hAnsi="Verdana"/>
                <w:noProof/>
                <w:webHidden/>
                <w:color w:val="2B579A"/>
                <w:shd w:val="clear" w:color="auto" w:fill="E6E6E6"/>
              </w:rPr>
              <w:fldChar w:fldCharType="end"/>
            </w:r>
          </w:hyperlink>
        </w:p>
        <w:p w14:paraId="3D26DC2A" w14:textId="1BAE9047" w:rsidR="00B83347" w:rsidRPr="00B83347" w:rsidRDefault="00B83347">
          <w:pPr>
            <w:pStyle w:val="TOC2"/>
            <w:rPr>
              <w:rFonts w:ascii="Verdana" w:hAnsi="Verdana"/>
              <w:noProof/>
              <w:sz w:val="22"/>
              <w:szCs w:val="22"/>
              <w:lang w:eastAsia="en-GB"/>
            </w:rPr>
          </w:pPr>
          <w:hyperlink w:anchor="_Toc97030902" w:history="1">
            <w:r w:rsidRPr="00B83347">
              <w:rPr>
                <w:rStyle w:val="Hyperlink"/>
                <w:rFonts w:ascii="Verdana" w:hAnsi="Verdana"/>
                <w:noProof/>
              </w:rPr>
              <w:t>Data collection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_Toc97030902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11</w:t>
            </w:r>
            <w:r w:rsidRPr="00B83347">
              <w:rPr>
                <w:rFonts w:ascii="Verdana" w:hAnsi="Verdana"/>
                <w:noProof/>
                <w:webHidden/>
                <w:color w:val="2B579A"/>
                <w:shd w:val="clear" w:color="auto" w:fill="E6E6E6"/>
              </w:rPr>
              <w:fldChar w:fldCharType="end"/>
            </w:r>
          </w:hyperlink>
        </w:p>
        <w:p w14:paraId="16D9160C" w14:textId="7775E13E" w:rsidR="00B83347" w:rsidRPr="00B83347" w:rsidRDefault="00B83347">
          <w:pPr>
            <w:pStyle w:val="TOC2"/>
            <w:rPr>
              <w:rFonts w:ascii="Verdana" w:hAnsi="Verdana"/>
              <w:noProof/>
              <w:sz w:val="22"/>
              <w:szCs w:val="22"/>
              <w:lang w:eastAsia="en-GB"/>
            </w:rPr>
          </w:pPr>
          <w:hyperlink w:anchor="_Toc97030903" w:history="1">
            <w:r w:rsidRPr="00B83347">
              <w:rPr>
                <w:rStyle w:val="Hyperlink"/>
                <w:rFonts w:ascii="Verdana" w:hAnsi="Verdana"/>
                <w:noProof/>
              </w:rPr>
              <w:t>Self-identification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_Toc97030903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13</w:t>
            </w:r>
            <w:r w:rsidRPr="00B83347">
              <w:rPr>
                <w:rFonts w:ascii="Verdana" w:hAnsi="Verdana"/>
                <w:noProof/>
                <w:webHidden/>
                <w:color w:val="2B579A"/>
                <w:shd w:val="clear" w:color="auto" w:fill="E6E6E6"/>
              </w:rPr>
              <w:fldChar w:fldCharType="end"/>
            </w:r>
          </w:hyperlink>
        </w:p>
        <w:p w14:paraId="212F7538" w14:textId="70C334F1" w:rsidR="00B83347" w:rsidRPr="00B83347" w:rsidRDefault="00B83347">
          <w:pPr>
            <w:pStyle w:val="TOC2"/>
            <w:rPr>
              <w:rFonts w:ascii="Verdana" w:hAnsi="Verdana"/>
              <w:noProof/>
              <w:sz w:val="22"/>
              <w:szCs w:val="22"/>
              <w:lang w:eastAsia="en-GB"/>
            </w:rPr>
          </w:pPr>
          <w:hyperlink w:anchor="_Toc97030904" w:history="1">
            <w:r w:rsidRPr="00B83347">
              <w:rPr>
                <w:rStyle w:val="Hyperlink"/>
                <w:rFonts w:ascii="Verdana" w:hAnsi="Verdana"/>
                <w:noProof/>
              </w:rPr>
              <w:t>Fair employment</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_Toc97030904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13</w:t>
            </w:r>
            <w:r w:rsidRPr="00B83347">
              <w:rPr>
                <w:rFonts w:ascii="Verdana" w:hAnsi="Verdana"/>
                <w:noProof/>
                <w:webHidden/>
                <w:color w:val="2B579A"/>
                <w:shd w:val="clear" w:color="auto" w:fill="E6E6E6"/>
              </w:rPr>
              <w:fldChar w:fldCharType="end"/>
            </w:r>
          </w:hyperlink>
        </w:p>
        <w:p w14:paraId="34B0BB4A" w14:textId="361FE9E4" w:rsidR="00B83347" w:rsidRPr="00B83347" w:rsidRDefault="00B83347">
          <w:pPr>
            <w:pStyle w:val="TOC1"/>
            <w:rPr>
              <w:b w:val="0"/>
              <w:sz w:val="22"/>
              <w:szCs w:val="22"/>
              <w:lang w:eastAsia="en-GB"/>
            </w:rPr>
          </w:pPr>
          <w:hyperlink w:anchor="_Toc97030905" w:history="1">
            <w:r w:rsidRPr="00B83347">
              <w:rPr>
                <w:rStyle w:val="Hyperlink"/>
              </w:rPr>
              <w:t>4.0. Article 4(1) Equality/Equal Protection before the Law</w:t>
            </w:r>
            <w:r w:rsidRPr="00B83347">
              <w:rPr>
                <w:webHidden/>
              </w:rPr>
              <w:tab/>
            </w:r>
            <w:r w:rsidRPr="00B83347">
              <w:rPr>
                <w:webHidden/>
                <w:color w:val="2B579A"/>
                <w:shd w:val="clear" w:color="auto" w:fill="E6E6E6"/>
              </w:rPr>
              <w:fldChar w:fldCharType="begin"/>
            </w:r>
            <w:r w:rsidRPr="00B83347">
              <w:rPr>
                <w:webHidden/>
              </w:rPr>
              <w:instrText xml:space="preserve"> PAGEREF _Toc97030905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14</w:t>
            </w:r>
            <w:r w:rsidRPr="00B83347">
              <w:rPr>
                <w:webHidden/>
                <w:color w:val="2B579A"/>
                <w:shd w:val="clear" w:color="auto" w:fill="E6E6E6"/>
              </w:rPr>
              <w:fldChar w:fldCharType="end"/>
            </w:r>
          </w:hyperlink>
        </w:p>
        <w:p w14:paraId="7B0DC678" w14:textId="5B223413" w:rsidR="00B83347" w:rsidRPr="00B83347" w:rsidRDefault="00B83347">
          <w:pPr>
            <w:pStyle w:val="TOC2"/>
            <w:rPr>
              <w:rFonts w:ascii="Verdana" w:hAnsi="Verdana"/>
              <w:noProof/>
              <w:sz w:val="22"/>
              <w:szCs w:val="22"/>
              <w:lang w:eastAsia="en-GB"/>
            </w:rPr>
          </w:pPr>
          <w:hyperlink w:anchor="_Toc97030906" w:history="1">
            <w:r w:rsidRPr="00B83347">
              <w:rPr>
                <w:rStyle w:val="Hyperlink"/>
                <w:rFonts w:ascii="Verdana" w:hAnsi="Verdana"/>
                <w:noProof/>
              </w:rPr>
              <w:t>Single Equality Legislation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_Toc97030906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14</w:t>
            </w:r>
            <w:r w:rsidRPr="00B83347">
              <w:rPr>
                <w:rFonts w:ascii="Verdana" w:hAnsi="Verdana"/>
                <w:noProof/>
                <w:webHidden/>
                <w:color w:val="2B579A"/>
                <w:shd w:val="clear" w:color="auto" w:fill="E6E6E6"/>
              </w:rPr>
              <w:fldChar w:fldCharType="end"/>
            </w:r>
          </w:hyperlink>
        </w:p>
        <w:p w14:paraId="5A83D976" w14:textId="62BDC3A9" w:rsidR="00B83347" w:rsidRPr="00B83347" w:rsidRDefault="00B83347">
          <w:pPr>
            <w:pStyle w:val="TOC2"/>
            <w:rPr>
              <w:rFonts w:ascii="Verdana" w:hAnsi="Verdana"/>
              <w:noProof/>
              <w:sz w:val="22"/>
              <w:szCs w:val="22"/>
              <w:lang w:eastAsia="en-GB"/>
            </w:rPr>
          </w:pPr>
          <w:hyperlink w:anchor="_Toc97030907" w:history="1">
            <w:r w:rsidRPr="00B83347">
              <w:rPr>
                <w:rStyle w:val="Hyperlink"/>
                <w:rFonts w:ascii="Verdana" w:hAnsi="Verdana"/>
                <w:noProof/>
              </w:rPr>
              <w:t>Multiple Discrimination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_Toc97030907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16</w:t>
            </w:r>
            <w:r w:rsidRPr="00B83347">
              <w:rPr>
                <w:rFonts w:ascii="Verdana" w:hAnsi="Verdana"/>
                <w:noProof/>
                <w:webHidden/>
                <w:color w:val="2B579A"/>
                <w:shd w:val="clear" w:color="auto" w:fill="E6E6E6"/>
              </w:rPr>
              <w:fldChar w:fldCharType="end"/>
            </w:r>
          </w:hyperlink>
        </w:p>
        <w:p w14:paraId="0F3A650D" w14:textId="4271629F" w:rsidR="00B83347" w:rsidRPr="00B83347" w:rsidRDefault="00B83347">
          <w:pPr>
            <w:pStyle w:val="TOC2"/>
            <w:rPr>
              <w:rFonts w:ascii="Verdana" w:hAnsi="Verdana"/>
              <w:noProof/>
              <w:sz w:val="22"/>
              <w:szCs w:val="22"/>
              <w:lang w:eastAsia="en-GB"/>
            </w:rPr>
          </w:pPr>
          <w:hyperlink w:anchor="_Toc97030908" w:history="1">
            <w:r w:rsidRPr="00B83347">
              <w:rPr>
                <w:rStyle w:val="Hyperlink"/>
                <w:rFonts w:ascii="Verdana" w:hAnsi="Verdana"/>
                <w:noProof/>
              </w:rPr>
              <w:t>Common Travel Area</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_Toc97030908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17</w:t>
            </w:r>
            <w:r w:rsidRPr="00B83347">
              <w:rPr>
                <w:rFonts w:ascii="Verdana" w:hAnsi="Verdana"/>
                <w:noProof/>
                <w:webHidden/>
                <w:color w:val="2B579A"/>
                <w:shd w:val="clear" w:color="auto" w:fill="E6E6E6"/>
              </w:rPr>
              <w:fldChar w:fldCharType="end"/>
            </w:r>
          </w:hyperlink>
        </w:p>
        <w:p w14:paraId="4E436DC0" w14:textId="65CFC446" w:rsidR="00B83347" w:rsidRPr="00B83347" w:rsidRDefault="00B83347">
          <w:pPr>
            <w:pStyle w:val="TOC2"/>
            <w:rPr>
              <w:rFonts w:ascii="Verdana" w:hAnsi="Verdana"/>
              <w:noProof/>
              <w:sz w:val="22"/>
              <w:szCs w:val="22"/>
              <w:lang w:eastAsia="en-GB"/>
            </w:rPr>
          </w:pPr>
          <w:hyperlink w:anchor="_Toc97030909" w:history="1">
            <w:r w:rsidRPr="00B83347">
              <w:rPr>
                <w:rStyle w:val="Hyperlink"/>
                <w:rFonts w:ascii="Verdana" w:hAnsi="Verdana"/>
                <w:noProof/>
              </w:rPr>
              <w:t>EU Settlement Scheme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_Toc97030909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19</w:t>
            </w:r>
            <w:r w:rsidRPr="00B83347">
              <w:rPr>
                <w:rFonts w:ascii="Verdana" w:hAnsi="Verdana"/>
                <w:noProof/>
                <w:webHidden/>
                <w:color w:val="2B579A"/>
                <w:shd w:val="clear" w:color="auto" w:fill="E6E6E6"/>
              </w:rPr>
              <w:fldChar w:fldCharType="end"/>
            </w:r>
          </w:hyperlink>
        </w:p>
        <w:p w14:paraId="0BD64A47" w14:textId="7B2252C9" w:rsidR="00B83347" w:rsidRPr="00B83347" w:rsidRDefault="00B83347">
          <w:pPr>
            <w:pStyle w:val="TOC2"/>
            <w:rPr>
              <w:rFonts w:ascii="Verdana" w:hAnsi="Verdana"/>
              <w:noProof/>
              <w:sz w:val="22"/>
              <w:szCs w:val="22"/>
              <w:lang w:eastAsia="en-GB"/>
            </w:rPr>
          </w:pPr>
          <w:hyperlink w:anchor="_Toc97030910" w:history="1">
            <w:r w:rsidRPr="00B83347">
              <w:rPr>
                <w:rStyle w:val="Hyperlink"/>
                <w:rFonts w:ascii="Verdana" w:hAnsi="Verdana"/>
                <w:noProof/>
              </w:rPr>
              <w:t>Birthright</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_Toc97030910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21</w:t>
            </w:r>
            <w:r w:rsidRPr="00B83347">
              <w:rPr>
                <w:rFonts w:ascii="Verdana" w:hAnsi="Verdana"/>
                <w:noProof/>
                <w:webHidden/>
                <w:color w:val="2B579A"/>
                <w:shd w:val="clear" w:color="auto" w:fill="E6E6E6"/>
              </w:rPr>
              <w:fldChar w:fldCharType="end"/>
            </w:r>
          </w:hyperlink>
        </w:p>
        <w:p w14:paraId="36EC2C02" w14:textId="10749CE0" w:rsidR="00B83347" w:rsidRPr="00B83347" w:rsidRDefault="00B83347">
          <w:pPr>
            <w:pStyle w:val="TOC2"/>
            <w:rPr>
              <w:rFonts w:ascii="Verdana" w:hAnsi="Verdana"/>
              <w:noProof/>
              <w:sz w:val="22"/>
              <w:szCs w:val="22"/>
              <w:lang w:eastAsia="en-GB"/>
            </w:rPr>
          </w:pPr>
          <w:hyperlink w:anchor="_Toc97030911" w:history="1">
            <w:r w:rsidRPr="00B83347">
              <w:rPr>
                <w:rStyle w:val="Hyperlink"/>
                <w:rFonts w:ascii="Verdana" w:hAnsi="Verdana"/>
                <w:noProof/>
              </w:rPr>
              <w:t>Electoral Rights of EU Citizens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_Toc97030911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23</w:t>
            </w:r>
            <w:r w:rsidRPr="00B83347">
              <w:rPr>
                <w:rFonts w:ascii="Verdana" w:hAnsi="Verdana"/>
                <w:noProof/>
                <w:webHidden/>
                <w:color w:val="2B579A"/>
                <w:shd w:val="clear" w:color="auto" w:fill="E6E6E6"/>
              </w:rPr>
              <w:fldChar w:fldCharType="end"/>
            </w:r>
          </w:hyperlink>
        </w:p>
        <w:p w14:paraId="1D6114A2" w14:textId="3F7E307D" w:rsidR="00B83347" w:rsidRPr="00B83347" w:rsidRDefault="00B83347">
          <w:pPr>
            <w:pStyle w:val="TOC2"/>
            <w:rPr>
              <w:rFonts w:ascii="Verdana" w:hAnsi="Verdana"/>
              <w:noProof/>
              <w:sz w:val="22"/>
              <w:szCs w:val="22"/>
              <w:lang w:eastAsia="en-GB"/>
            </w:rPr>
          </w:pPr>
          <w:hyperlink w:anchor="_Toc97030912" w:history="1">
            <w:r w:rsidRPr="00B83347">
              <w:rPr>
                <w:rStyle w:val="Hyperlink"/>
                <w:rFonts w:ascii="Verdana" w:hAnsi="Verdana"/>
                <w:noProof/>
              </w:rPr>
              <w:t>EU Citizenship and Workers’ Rights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_Toc97030912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24</w:t>
            </w:r>
            <w:r w:rsidRPr="00B83347">
              <w:rPr>
                <w:rFonts w:ascii="Verdana" w:hAnsi="Verdana"/>
                <w:noProof/>
                <w:webHidden/>
                <w:color w:val="2B579A"/>
                <w:shd w:val="clear" w:color="auto" w:fill="E6E6E6"/>
              </w:rPr>
              <w:fldChar w:fldCharType="end"/>
            </w:r>
          </w:hyperlink>
        </w:p>
        <w:p w14:paraId="30613E67" w14:textId="792B7A2D" w:rsidR="00B83347" w:rsidRPr="00B83347" w:rsidRDefault="00B83347">
          <w:pPr>
            <w:pStyle w:val="TOC2"/>
            <w:rPr>
              <w:rFonts w:ascii="Verdana" w:hAnsi="Verdana"/>
              <w:noProof/>
              <w:sz w:val="22"/>
              <w:szCs w:val="22"/>
              <w:lang w:eastAsia="en-GB"/>
            </w:rPr>
          </w:pPr>
          <w:hyperlink w:anchor="_Toc97030913" w:history="1">
            <w:r w:rsidRPr="00B83347">
              <w:rPr>
                <w:rStyle w:val="Hyperlink"/>
                <w:rFonts w:ascii="Verdana" w:hAnsi="Verdana"/>
                <w:noProof/>
              </w:rPr>
              <w:t>Nationality and Borders Bill</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_Toc97030913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25</w:t>
            </w:r>
            <w:r w:rsidRPr="00B83347">
              <w:rPr>
                <w:rFonts w:ascii="Verdana" w:hAnsi="Verdana"/>
                <w:noProof/>
                <w:webHidden/>
                <w:color w:val="2B579A"/>
                <w:shd w:val="clear" w:color="auto" w:fill="E6E6E6"/>
              </w:rPr>
              <w:fldChar w:fldCharType="end"/>
            </w:r>
          </w:hyperlink>
        </w:p>
        <w:p w14:paraId="1DA3CE10" w14:textId="22E1B586" w:rsidR="00B83347" w:rsidRPr="00B83347" w:rsidRDefault="00B83347">
          <w:pPr>
            <w:pStyle w:val="TOC2"/>
            <w:rPr>
              <w:rFonts w:ascii="Verdana" w:hAnsi="Verdana"/>
              <w:noProof/>
              <w:sz w:val="22"/>
              <w:szCs w:val="22"/>
              <w:lang w:eastAsia="en-GB"/>
            </w:rPr>
          </w:pPr>
          <w:hyperlink w:anchor="_Toc97030914" w:history="1">
            <w:r w:rsidRPr="00B83347">
              <w:rPr>
                <w:rStyle w:val="Hyperlink"/>
                <w:rFonts w:ascii="Verdana" w:hAnsi="Verdana"/>
                <w:noProof/>
              </w:rPr>
              <w:t>Operation Gull</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_Toc97030914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26</w:t>
            </w:r>
            <w:r w:rsidRPr="00B83347">
              <w:rPr>
                <w:rFonts w:ascii="Verdana" w:hAnsi="Verdana"/>
                <w:noProof/>
                <w:webHidden/>
                <w:color w:val="2B579A"/>
                <w:shd w:val="clear" w:color="auto" w:fill="E6E6E6"/>
              </w:rPr>
              <w:fldChar w:fldCharType="end"/>
            </w:r>
          </w:hyperlink>
        </w:p>
        <w:p w14:paraId="3024EAB8" w14:textId="6480B555" w:rsidR="00B83347" w:rsidRPr="00B83347" w:rsidRDefault="00B83347">
          <w:pPr>
            <w:pStyle w:val="TOC2"/>
            <w:rPr>
              <w:rFonts w:ascii="Verdana" w:hAnsi="Verdana"/>
              <w:noProof/>
              <w:sz w:val="22"/>
              <w:szCs w:val="22"/>
              <w:lang w:eastAsia="en-GB"/>
            </w:rPr>
          </w:pPr>
          <w:hyperlink w:anchor="_Toc97030915" w:history="1">
            <w:r w:rsidRPr="00B83347">
              <w:rPr>
                <w:rStyle w:val="Hyperlink"/>
                <w:rFonts w:ascii="Verdana" w:hAnsi="Verdana"/>
                <w:noProof/>
              </w:rPr>
              <w:t>Immigration Facilities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_Toc97030915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27</w:t>
            </w:r>
            <w:r w:rsidRPr="00B83347">
              <w:rPr>
                <w:rFonts w:ascii="Verdana" w:hAnsi="Verdana"/>
                <w:noProof/>
                <w:webHidden/>
                <w:color w:val="2B579A"/>
                <w:shd w:val="clear" w:color="auto" w:fill="E6E6E6"/>
              </w:rPr>
              <w:fldChar w:fldCharType="end"/>
            </w:r>
          </w:hyperlink>
        </w:p>
        <w:p w14:paraId="134D6372" w14:textId="39F3D92E" w:rsidR="00B83347" w:rsidRPr="00B83347" w:rsidRDefault="00B83347">
          <w:pPr>
            <w:pStyle w:val="TOC2"/>
            <w:rPr>
              <w:rFonts w:ascii="Verdana" w:hAnsi="Verdana"/>
              <w:noProof/>
              <w:sz w:val="22"/>
              <w:szCs w:val="22"/>
              <w:lang w:eastAsia="en-GB"/>
            </w:rPr>
          </w:pPr>
          <w:hyperlink w:anchor="_Toc97030916" w:history="1">
            <w:r w:rsidRPr="00B83347">
              <w:rPr>
                <w:rStyle w:val="Hyperlink"/>
                <w:rFonts w:ascii="Verdana" w:hAnsi="Verdana"/>
                <w:noProof/>
              </w:rPr>
              <w:t xml:space="preserve">Welfare </w:t>
            </w:r>
            <w:r w:rsidRPr="00B83347">
              <w:rPr>
                <w:rStyle w:val="Hyperlink"/>
                <w:rFonts w:ascii="Verdana" w:hAnsi="Verdana"/>
                <w:bCs/>
                <w:noProof/>
              </w:rPr>
              <w:t>Reform</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_Toc97030916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29</w:t>
            </w:r>
            <w:r w:rsidRPr="00B83347">
              <w:rPr>
                <w:rFonts w:ascii="Verdana" w:hAnsi="Verdana"/>
                <w:noProof/>
                <w:webHidden/>
                <w:color w:val="2B579A"/>
                <w:shd w:val="clear" w:color="auto" w:fill="E6E6E6"/>
              </w:rPr>
              <w:fldChar w:fldCharType="end"/>
            </w:r>
          </w:hyperlink>
        </w:p>
        <w:p w14:paraId="1AECD4A6" w14:textId="4C970C21" w:rsidR="00B83347" w:rsidRPr="00B83347" w:rsidRDefault="00B83347">
          <w:pPr>
            <w:pStyle w:val="TOC2"/>
            <w:rPr>
              <w:rFonts w:ascii="Verdana" w:hAnsi="Verdana"/>
              <w:noProof/>
              <w:sz w:val="22"/>
              <w:szCs w:val="22"/>
              <w:lang w:eastAsia="en-GB"/>
            </w:rPr>
          </w:pPr>
          <w:hyperlink w:anchor="_Toc97030917" w:history="1">
            <w:r w:rsidRPr="00B83347">
              <w:rPr>
                <w:rStyle w:val="Hyperlink"/>
                <w:rFonts w:ascii="Verdana" w:hAnsi="Verdana"/>
                <w:noProof/>
              </w:rPr>
              <w:t>Asylum Support</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_Toc97030917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32</w:t>
            </w:r>
            <w:r w:rsidRPr="00B83347">
              <w:rPr>
                <w:rFonts w:ascii="Verdana" w:hAnsi="Verdana"/>
                <w:noProof/>
                <w:webHidden/>
                <w:color w:val="2B579A"/>
                <w:shd w:val="clear" w:color="auto" w:fill="E6E6E6"/>
              </w:rPr>
              <w:fldChar w:fldCharType="end"/>
            </w:r>
          </w:hyperlink>
        </w:p>
        <w:p w14:paraId="0AA69BAE" w14:textId="300018C4" w:rsidR="00B83347" w:rsidRPr="00B83347" w:rsidRDefault="00B83347">
          <w:pPr>
            <w:pStyle w:val="TOC2"/>
            <w:rPr>
              <w:rFonts w:ascii="Verdana" w:hAnsi="Verdana"/>
              <w:noProof/>
              <w:sz w:val="22"/>
              <w:szCs w:val="22"/>
              <w:lang w:eastAsia="en-GB"/>
            </w:rPr>
          </w:pPr>
          <w:hyperlink w:anchor="_Toc97030918" w:history="1">
            <w:r w:rsidRPr="00B83347">
              <w:rPr>
                <w:rStyle w:val="Hyperlink"/>
                <w:rFonts w:ascii="Verdana" w:hAnsi="Verdana"/>
                <w:noProof/>
              </w:rPr>
              <w:t>Crisis Fund</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_Toc97030918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34</w:t>
            </w:r>
            <w:r w:rsidRPr="00B83347">
              <w:rPr>
                <w:rFonts w:ascii="Verdana" w:hAnsi="Verdana"/>
                <w:noProof/>
                <w:webHidden/>
                <w:color w:val="2B579A"/>
                <w:shd w:val="clear" w:color="auto" w:fill="E6E6E6"/>
              </w:rPr>
              <w:fldChar w:fldCharType="end"/>
            </w:r>
          </w:hyperlink>
        </w:p>
        <w:p w14:paraId="34AF1E9B" w14:textId="653640BB" w:rsidR="00B83347" w:rsidRPr="00B83347" w:rsidRDefault="00B83347">
          <w:pPr>
            <w:pStyle w:val="TOC1"/>
            <w:rPr>
              <w:b w:val="0"/>
              <w:sz w:val="22"/>
              <w:szCs w:val="22"/>
              <w:lang w:eastAsia="en-GB"/>
            </w:rPr>
          </w:pPr>
          <w:hyperlink w:anchor="_Toc97030919" w:history="1">
            <w:r w:rsidRPr="00B83347">
              <w:rPr>
                <w:rStyle w:val="Hyperlink"/>
              </w:rPr>
              <w:t>5.0. Article 4(2) Measures to Promote Full and Effective Equality</w:t>
            </w:r>
            <w:r w:rsidRPr="00B83347">
              <w:rPr>
                <w:webHidden/>
              </w:rPr>
              <w:tab/>
            </w:r>
            <w:r w:rsidRPr="00B83347">
              <w:rPr>
                <w:webHidden/>
                <w:color w:val="2B579A"/>
                <w:shd w:val="clear" w:color="auto" w:fill="E6E6E6"/>
              </w:rPr>
              <w:fldChar w:fldCharType="begin"/>
            </w:r>
            <w:r w:rsidRPr="00B83347">
              <w:rPr>
                <w:webHidden/>
              </w:rPr>
              <w:instrText xml:space="preserve"> PAGEREF _Toc97030919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35</w:t>
            </w:r>
            <w:r w:rsidRPr="00B83347">
              <w:rPr>
                <w:webHidden/>
                <w:color w:val="2B579A"/>
                <w:shd w:val="clear" w:color="auto" w:fill="E6E6E6"/>
              </w:rPr>
              <w:fldChar w:fldCharType="end"/>
            </w:r>
          </w:hyperlink>
        </w:p>
        <w:p w14:paraId="3D35E338" w14:textId="50AD8CD0" w:rsidR="00B83347" w:rsidRPr="00B83347" w:rsidRDefault="00B83347">
          <w:pPr>
            <w:pStyle w:val="TOC2"/>
            <w:rPr>
              <w:rFonts w:ascii="Verdana" w:hAnsi="Verdana"/>
              <w:noProof/>
              <w:sz w:val="22"/>
              <w:szCs w:val="22"/>
              <w:lang w:eastAsia="en-GB"/>
            </w:rPr>
          </w:pPr>
          <w:hyperlink w:anchor="_Toc97030920" w:history="1">
            <w:r w:rsidRPr="00B83347">
              <w:rPr>
                <w:rStyle w:val="Hyperlink"/>
                <w:rFonts w:ascii="Verdana" w:hAnsi="Verdana"/>
                <w:noProof/>
              </w:rPr>
              <w:t>Racial Equality Strategy</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_Toc97030920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35</w:t>
            </w:r>
            <w:r w:rsidRPr="00B83347">
              <w:rPr>
                <w:rFonts w:ascii="Verdana" w:hAnsi="Verdana"/>
                <w:noProof/>
                <w:webHidden/>
                <w:color w:val="2B579A"/>
                <w:shd w:val="clear" w:color="auto" w:fill="E6E6E6"/>
              </w:rPr>
              <w:fldChar w:fldCharType="end"/>
            </w:r>
          </w:hyperlink>
        </w:p>
        <w:p w14:paraId="575ABD0D" w14:textId="72A7595C" w:rsidR="00B83347" w:rsidRPr="00B83347" w:rsidRDefault="00B83347">
          <w:pPr>
            <w:pStyle w:val="TOC2"/>
            <w:rPr>
              <w:rFonts w:ascii="Verdana" w:hAnsi="Verdana"/>
              <w:noProof/>
              <w:sz w:val="22"/>
              <w:szCs w:val="22"/>
              <w:lang w:eastAsia="en-GB"/>
            </w:rPr>
          </w:pPr>
          <w:hyperlink w:anchor="_Toc97030921" w:history="1">
            <w:r w:rsidRPr="00B83347">
              <w:rPr>
                <w:rStyle w:val="Hyperlink"/>
                <w:rFonts w:ascii="Verdana" w:hAnsi="Verdana"/>
                <w:noProof/>
              </w:rPr>
              <w:t>Refugees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_Toc97030921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36</w:t>
            </w:r>
            <w:r w:rsidRPr="00B83347">
              <w:rPr>
                <w:rFonts w:ascii="Verdana" w:hAnsi="Verdana"/>
                <w:noProof/>
                <w:webHidden/>
                <w:color w:val="2B579A"/>
                <w:shd w:val="clear" w:color="auto" w:fill="E6E6E6"/>
              </w:rPr>
              <w:fldChar w:fldCharType="end"/>
            </w:r>
          </w:hyperlink>
        </w:p>
        <w:p w14:paraId="4F13702B" w14:textId="63D31445" w:rsidR="00B83347" w:rsidRPr="00B83347" w:rsidRDefault="00B83347">
          <w:pPr>
            <w:pStyle w:val="TOC2"/>
            <w:rPr>
              <w:rFonts w:ascii="Verdana" w:hAnsi="Verdana"/>
              <w:noProof/>
              <w:sz w:val="22"/>
              <w:szCs w:val="22"/>
              <w:lang w:eastAsia="en-GB"/>
            </w:rPr>
          </w:pPr>
          <w:hyperlink w:anchor="_Toc97030922" w:history="1">
            <w:r w:rsidRPr="00B83347">
              <w:rPr>
                <w:rStyle w:val="Hyperlink"/>
                <w:rFonts w:ascii="Verdana" w:hAnsi="Verdana"/>
                <w:noProof/>
              </w:rPr>
              <w:t>Traveller Accommodation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_Toc97030922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38</w:t>
            </w:r>
            <w:r w:rsidRPr="00B83347">
              <w:rPr>
                <w:rFonts w:ascii="Verdana" w:hAnsi="Verdana"/>
                <w:noProof/>
                <w:webHidden/>
                <w:color w:val="2B579A"/>
                <w:shd w:val="clear" w:color="auto" w:fill="E6E6E6"/>
              </w:rPr>
              <w:fldChar w:fldCharType="end"/>
            </w:r>
          </w:hyperlink>
        </w:p>
        <w:p w14:paraId="37C2F04C" w14:textId="0A81E8AF" w:rsidR="00B83347" w:rsidRPr="00B83347" w:rsidRDefault="00B83347">
          <w:pPr>
            <w:pStyle w:val="TOC2"/>
            <w:rPr>
              <w:rFonts w:ascii="Verdana" w:hAnsi="Verdana"/>
              <w:noProof/>
              <w:sz w:val="22"/>
              <w:szCs w:val="22"/>
              <w:lang w:eastAsia="en-GB"/>
            </w:rPr>
          </w:pPr>
          <w:hyperlink w:anchor="_Toc97030923" w:history="1">
            <w:r w:rsidRPr="00B83347">
              <w:rPr>
                <w:rStyle w:val="Hyperlink"/>
                <w:rFonts w:ascii="Verdana" w:hAnsi="Verdana"/>
                <w:noProof/>
              </w:rPr>
              <w:t>Unauthorised Encampments (NI) Order 2005</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_Toc97030923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41</w:t>
            </w:r>
            <w:r w:rsidRPr="00B83347">
              <w:rPr>
                <w:rFonts w:ascii="Verdana" w:hAnsi="Verdana"/>
                <w:noProof/>
                <w:webHidden/>
                <w:color w:val="2B579A"/>
                <w:shd w:val="clear" w:color="auto" w:fill="E6E6E6"/>
              </w:rPr>
              <w:fldChar w:fldCharType="end"/>
            </w:r>
          </w:hyperlink>
        </w:p>
        <w:p w14:paraId="4C8962CF" w14:textId="00012164" w:rsidR="00B83347" w:rsidRPr="00B83347" w:rsidRDefault="00B83347">
          <w:pPr>
            <w:pStyle w:val="TOC2"/>
            <w:rPr>
              <w:rFonts w:ascii="Verdana" w:hAnsi="Verdana"/>
              <w:noProof/>
              <w:sz w:val="22"/>
              <w:szCs w:val="22"/>
              <w:lang w:eastAsia="en-GB"/>
            </w:rPr>
          </w:pPr>
          <w:hyperlink w:anchor="_Toc97030924" w:history="1">
            <w:r w:rsidRPr="00B83347">
              <w:rPr>
                <w:rStyle w:val="Hyperlink"/>
                <w:rFonts w:ascii="Verdana" w:hAnsi="Verdana"/>
                <w:noProof/>
              </w:rPr>
              <w:t>Housing Inequality</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_Toc97030924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42</w:t>
            </w:r>
            <w:r w:rsidRPr="00B83347">
              <w:rPr>
                <w:rFonts w:ascii="Verdana" w:hAnsi="Verdana"/>
                <w:noProof/>
                <w:webHidden/>
                <w:color w:val="2B579A"/>
                <w:shd w:val="clear" w:color="auto" w:fill="E6E6E6"/>
              </w:rPr>
              <w:fldChar w:fldCharType="end"/>
            </w:r>
          </w:hyperlink>
        </w:p>
        <w:p w14:paraId="4DA078D0" w14:textId="037D2325" w:rsidR="00B83347" w:rsidRPr="00B83347" w:rsidRDefault="00B83347">
          <w:pPr>
            <w:pStyle w:val="TOC2"/>
            <w:rPr>
              <w:rFonts w:ascii="Verdana" w:hAnsi="Verdana"/>
              <w:noProof/>
              <w:sz w:val="22"/>
              <w:szCs w:val="22"/>
              <w:lang w:eastAsia="en-GB"/>
            </w:rPr>
          </w:pPr>
          <w:hyperlink w:anchor="_Toc97030925" w:history="1">
            <w:r w:rsidRPr="00B83347">
              <w:rPr>
                <w:rStyle w:val="Hyperlink"/>
                <w:rFonts w:ascii="Verdana" w:hAnsi="Verdana"/>
                <w:noProof/>
              </w:rPr>
              <w:t>Segregated and Shared Housing</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_Toc97030925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44</w:t>
            </w:r>
            <w:r w:rsidRPr="00B83347">
              <w:rPr>
                <w:rFonts w:ascii="Verdana" w:hAnsi="Verdana"/>
                <w:noProof/>
                <w:webHidden/>
                <w:color w:val="2B579A"/>
                <w:shd w:val="clear" w:color="auto" w:fill="E6E6E6"/>
              </w:rPr>
              <w:fldChar w:fldCharType="end"/>
            </w:r>
          </w:hyperlink>
        </w:p>
        <w:p w14:paraId="2047A6B2" w14:textId="63F68036" w:rsidR="00B83347" w:rsidRPr="00B83347" w:rsidRDefault="00B83347">
          <w:pPr>
            <w:pStyle w:val="TOC2"/>
            <w:rPr>
              <w:rFonts w:ascii="Verdana" w:hAnsi="Verdana"/>
              <w:noProof/>
              <w:sz w:val="22"/>
              <w:szCs w:val="22"/>
              <w:lang w:eastAsia="en-GB"/>
            </w:rPr>
          </w:pPr>
          <w:hyperlink w:anchor="_Toc97030926" w:history="1">
            <w:r w:rsidRPr="00B83347">
              <w:rPr>
                <w:rStyle w:val="Hyperlink"/>
                <w:rFonts w:ascii="Verdana" w:hAnsi="Verdana"/>
                <w:noProof/>
              </w:rPr>
              <w:t>Access to Healthcare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_Toc97030926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46</w:t>
            </w:r>
            <w:r w:rsidRPr="00B83347">
              <w:rPr>
                <w:rFonts w:ascii="Verdana" w:hAnsi="Verdana"/>
                <w:noProof/>
                <w:webHidden/>
                <w:color w:val="2B579A"/>
                <w:shd w:val="clear" w:color="auto" w:fill="E6E6E6"/>
              </w:rPr>
              <w:fldChar w:fldCharType="end"/>
            </w:r>
          </w:hyperlink>
        </w:p>
        <w:p w14:paraId="77D2BA0D" w14:textId="0B4D3058" w:rsidR="00B83347" w:rsidRPr="00B83347" w:rsidRDefault="00B83347">
          <w:pPr>
            <w:pStyle w:val="TOC1"/>
            <w:rPr>
              <w:b w:val="0"/>
              <w:sz w:val="22"/>
              <w:szCs w:val="22"/>
              <w:lang w:eastAsia="en-GB"/>
            </w:rPr>
          </w:pPr>
          <w:hyperlink w:anchor="_Toc97030927" w:history="1">
            <w:r w:rsidRPr="00B83347">
              <w:rPr>
                <w:rStyle w:val="Hyperlink"/>
              </w:rPr>
              <w:t>6.0. Article 5: Promote conditions to maintain culture</w:t>
            </w:r>
            <w:r w:rsidRPr="00B83347">
              <w:rPr>
                <w:webHidden/>
              </w:rPr>
              <w:tab/>
            </w:r>
            <w:r w:rsidRPr="00B83347">
              <w:rPr>
                <w:webHidden/>
                <w:color w:val="2B579A"/>
                <w:shd w:val="clear" w:color="auto" w:fill="E6E6E6"/>
              </w:rPr>
              <w:fldChar w:fldCharType="begin"/>
            </w:r>
            <w:r w:rsidRPr="00B83347">
              <w:rPr>
                <w:webHidden/>
              </w:rPr>
              <w:instrText xml:space="preserve"> PAGEREF _Toc97030927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48</w:t>
            </w:r>
            <w:r w:rsidRPr="00B83347">
              <w:rPr>
                <w:webHidden/>
                <w:color w:val="2B579A"/>
                <w:shd w:val="clear" w:color="auto" w:fill="E6E6E6"/>
              </w:rPr>
              <w:fldChar w:fldCharType="end"/>
            </w:r>
          </w:hyperlink>
        </w:p>
        <w:p w14:paraId="6A38782F" w14:textId="79CBC7D9" w:rsidR="00B83347" w:rsidRPr="00B83347" w:rsidRDefault="00B83347">
          <w:pPr>
            <w:pStyle w:val="TOC2"/>
            <w:rPr>
              <w:rFonts w:ascii="Verdana" w:hAnsi="Verdana"/>
              <w:noProof/>
              <w:sz w:val="22"/>
              <w:szCs w:val="22"/>
              <w:lang w:eastAsia="en-GB"/>
            </w:rPr>
          </w:pPr>
          <w:hyperlink w:anchor="_Toc97030928" w:history="1">
            <w:r w:rsidRPr="00B83347">
              <w:rPr>
                <w:rStyle w:val="Hyperlink"/>
                <w:rFonts w:ascii="Verdana" w:hAnsi="Verdana"/>
                <w:noProof/>
              </w:rPr>
              <w:t>Minority Ethnic Development Fund</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_Toc97030928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48</w:t>
            </w:r>
            <w:r w:rsidRPr="00B83347">
              <w:rPr>
                <w:rFonts w:ascii="Verdana" w:hAnsi="Verdana"/>
                <w:noProof/>
                <w:webHidden/>
                <w:color w:val="2B579A"/>
                <w:shd w:val="clear" w:color="auto" w:fill="E6E6E6"/>
              </w:rPr>
              <w:fldChar w:fldCharType="end"/>
            </w:r>
          </w:hyperlink>
        </w:p>
        <w:p w14:paraId="13679FD5" w14:textId="48B145F2" w:rsidR="00B83347" w:rsidRPr="00B83347" w:rsidRDefault="00B83347">
          <w:pPr>
            <w:pStyle w:val="TOC2"/>
            <w:rPr>
              <w:rFonts w:ascii="Verdana" w:hAnsi="Verdana"/>
              <w:noProof/>
              <w:sz w:val="22"/>
              <w:szCs w:val="22"/>
              <w:lang w:eastAsia="en-GB"/>
            </w:rPr>
          </w:pPr>
          <w:hyperlink w:anchor="_Toc97030929" w:history="1">
            <w:r w:rsidRPr="00B83347">
              <w:rPr>
                <w:rStyle w:val="Hyperlink"/>
                <w:rFonts w:ascii="Verdana" w:hAnsi="Verdana"/>
                <w:noProof/>
              </w:rPr>
              <w:t>Parades, protests, flags, symbols and emblems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_Toc97030929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49</w:t>
            </w:r>
            <w:r w:rsidRPr="00B83347">
              <w:rPr>
                <w:rFonts w:ascii="Verdana" w:hAnsi="Verdana"/>
                <w:noProof/>
                <w:webHidden/>
                <w:color w:val="2B579A"/>
                <w:shd w:val="clear" w:color="auto" w:fill="E6E6E6"/>
              </w:rPr>
              <w:fldChar w:fldCharType="end"/>
            </w:r>
          </w:hyperlink>
        </w:p>
        <w:p w14:paraId="096B726B" w14:textId="3489529F" w:rsidR="00B83347" w:rsidRPr="00B83347" w:rsidRDefault="00B83347">
          <w:pPr>
            <w:pStyle w:val="TOC1"/>
            <w:rPr>
              <w:b w:val="0"/>
              <w:sz w:val="22"/>
              <w:szCs w:val="22"/>
              <w:lang w:eastAsia="en-GB"/>
            </w:rPr>
          </w:pPr>
          <w:hyperlink w:anchor="_Toc97030930" w:history="1">
            <w:r w:rsidRPr="00B83347">
              <w:rPr>
                <w:rStyle w:val="Hyperlink"/>
              </w:rPr>
              <w:t>7.0. Article 6(1) Tolerance and Intercultural Dialogue</w:t>
            </w:r>
            <w:r w:rsidRPr="00B83347">
              <w:rPr>
                <w:webHidden/>
              </w:rPr>
              <w:tab/>
            </w:r>
            <w:r w:rsidRPr="00B83347">
              <w:rPr>
                <w:webHidden/>
                <w:color w:val="2B579A"/>
                <w:shd w:val="clear" w:color="auto" w:fill="E6E6E6"/>
              </w:rPr>
              <w:fldChar w:fldCharType="begin"/>
            </w:r>
            <w:r w:rsidRPr="00B83347">
              <w:rPr>
                <w:webHidden/>
              </w:rPr>
              <w:instrText xml:space="preserve"> PAGEREF _Toc97030930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51</w:t>
            </w:r>
            <w:r w:rsidRPr="00B83347">
              <w:rPr>
                <w:webHidden/>
                <w:color w:val="2B579A"/>
                <w:shd w:val="clear" w:color="auto" w:fill="E6E6E6"/>
              </w:rPr>
              <w:fldChar w:fldCharType="end"/>
            </w:r>
          </w:hyperlink>
        </w:p>
        <w:p w14:paraId="7A1123A5" w14:textId="389FBF32" w:rsidR="00B83347" w:rsidRPr="00B83347" w:rsidRDefault="00B83347">
          <w:pPr>
            <w:pStyle w:val="TOC2"/>
            <w:rPr>
              <w:rFonts w:ascii="Verdana" w:hAnsi="Verdana"/>
              <w:noProof/>
              <w:sz w:val="22"/>
              <w:szCs w:val="22"/>
              <w:lang w:eastAsia="en-GB"/>
            </w:rPr>
          </w:pPr>
          <w:hyperlink w:anchor="_Toc97030931" w:history="1">
            <w:r w:rsidRPr="00B83347">
              <w:rPr>
                <w:rStyle w:val="Hyperlink"/>
                <w:rFonts w:ascii="Verdana" w:hAnsi="Verdana"/>
                <w:noProof/>
              </w:rPr>
              <w:t>Together: Building a United Community</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_Toc97030931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51</w:t>
            </w:r>
            <w:r w:rsidRPr="00B83347">
              <w:rPr>
                <w:rFonts w:ascii="Verdana" w:hAnsi="Verdana"/>
                <w:noProof/>
                <w:webHidden/>
                <w:color w:val="2B579A"/>
                <w:shd w:val="clear" w:color="auto" w:fill="E6E6E6"/>
              </w:rPr>
              <w:fldChar w:fldCharType="end"/>
            </w:r>
          </w:hyperlink>
        </w:p>
        <w:p w14:paraId="7E917AA8" w14:textId="5BD453D6" w:rsidR="00B83347" w:rsidRPr="00B83347" w:rsidRDefault="00B83347">
          <w:pPr>
            <w:pStyle w:val="TOC1"/>
            <w:rPr>
              <w:b w:val="0"/>
              <w:sz w:val="22"/>
              <w:szCs w:val="22"/>
              <w:lang w:eastAsia="en-GB"/>
            </w:rPr>
          </w:pPr>
          <w:hyperlink w:anchor="_Toc97030932" w:history="1">
            <w:r w:rsidRPr="00B83347">
              <w:rPr>
                <w:rStyle w:val="Hyperlink"/>
              </w:rPr>
              <w:t>8.0. Article 6(2) Protection Against Discrimination, Hostility and Violence</w:t>
            </w:r>
            <w:r w:rsidRPr="00B83347">
              <w:rPr>
                <w:webHidden/>
              </w:rPr>
              <w:tab/>
            </w:r>
            <w:r w:rsidRPr="00B83347">
              <w:rPr>
                <w:webHidden/>
                <w:color w:val="2B579A"/>
                <w:shd w:val="clear" w:color="auto" w:fill="E6E6E6"/>
              </w:rPr>
              <w:fldChar w:fldCharType="begin"/>
            </w:r>
            <w:r w:rsidRPr="00B83347">
              <w:rPr>
                <w:webHidden/>
              </w:rPr>
              <w:instrText xml:space="preserve"> PAGEREF _Toc97030932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52</w:t>
            </w:r>
            <w:r w:rsidRPr="00B83347">
              <w:rPr>
                <w:webHidden/>
                <w:color w:val="2B579A"/>
                <w:shd w:val="clear" w:color="auto" w:fill="E6E6E6"/>
              </w:rPr>
              <w:fldChar w:fldCharType="end"/>
            </w:r>
          </w:hyperlink>
        </w:p>
        <w:p w14:paraId="2E1B79D7" w14:textId="70E7A68B" w:rsidR="00B83347" w:rsidRPr="00B83347" w:rsidRDefault="00B83347">
          <w:pPr>
            <w:pStyle w:val="TOC2"/>
            <w:rPr>
              <w:rFonts w:ascii="Verdana" w:hAnsi="Verdana"/>
              <w:noProof/>
              <w:sz w:val="22"/>
              <w:szCs w:val="22"/>
              <w:lang w:eastAsia="en-GB"/>
            </w:rPr>
          </w:pPr>
          <w:hyperlink w:anchor="_Toc97030933" w:history="1">
            <w:r w:rsidRPr="00B83347">
              <w:rPr>
                <w:rStyle w:val="Hyperlink"/>
                <w:rFonts w:ascii="Verdana" w:hAnsi="Verdana"/>
                <w:noProof/>
              </w:rPr>
              <w:t>Racist Hate Crime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_Toc97030933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52</w:t>
            </w:r>
            <w:r w:rsidRPr="00B83347">
              <w:rPr>
                <w:rFonts w:ascii="Verdana" w:hAnsi="Verdana"/>
                <w:noProof/>
                <w:webHidden/>
                <w:color w:val="2B579A"/>
                <w:shd w:val="clear" w:color="auto" w:fill="E6E6E6"/>
              </w:rPr>
              <w:fldChar w:fldCharType="end"/>
            </w:r>
          </w:hyperlink>
        </w:p>
        <w:p w14:paraId="6F1DFBDA" w14:textId="7FC0D123" w:rsidR="00B83347" w:rsidRPr="00B83347" w:rsidRDefault="00B83347">
          <w:pPr>
            <w:pStyle w:val="TOC2"/>
            <w:rPr>
              <w:rFonts w:ascii="Verdana" w:hAnsi="Verdana"/>
              <w:noProof/>
              <w:sz w:val="22"/>
              <w:szCs w:val="22"/>
              <w:lang w:eastAsia="en-GB"/>
            </w:rPr>
          </w:pPr>
          <w:hyperlink w:anchor="_Toc97030934" w:history="1">
            <w:r w:rsidRPr="00B83347">
              <w:rPr>
                <w:rStyle w:val="Hyperlink"/>
                <w:rFonts w:ascii="Verdana" w:hAnsi="Verdana"/>
                <w:noProof/>
              </w:rPr>
              <w:t>Sectarian Hate Crime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_Toc97030934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54</w:t>
            </w:r>
            <w:r w:rsidRPr="00B83347">
              <w:rPr>
                <w:rFonts w:ascii="Verdana" w:hAnsi="Verdana"/>
                <w:noProof/>
                <w:webHidden/>
                <w:color w:val="2B579A"/>
                <w:shd w:val="clear" w:color="auto" w:fill="E6E6E6"/>
              </w:rPr>
              <w:fldChar w:fldCharType="end"/>
            </w:r>
          </w:hyperlink>
        </w:p>
        <w:p w14:paraId="6C53D6B9" w14:textId="3A65C546" w:rsidR="00B83347" w:rsidRPr="00B83347" w:rsidRDefault="00B83347">
          <w:pPr>
            <w:pStyle w:val="TOC1"/>
            <w:rPr>
              <w:b w:val="0"/>
              <w:sz w:val="22"/>
              <w:szCs w:val="22"/>
              <w:lang w:eastAsia="en-GB"/>
            </w:rPr>
          </w:pPr>
          <w:hyperlink w:anchor="_Toc97030935" w:history="1">
            <w:r w:rsidRPr="00B83347">
              <w:rPr>
                <w:rStyle w:val="Hyperlink"/>
              </w:rPr>
              <w:t>9.0. Article 10: Minority language rights</w:t>
            </w:r>
            <w:r w:rsidRPr="00B83347">
              <w:rPr>
                <w:webHidden/>
              </w:rPr>
              <w:tab/>
            </w:r>
            <w:r w:rsidRPr="00B83347">
              <w:rPr>
                <w:webHidden/>
                <w:color w:val="2B579A"/>
                <w:shd w:val="clear" w:color="auto" w:fill="E6E6E6"/>
              </w:rPr>
              <w:fldChar w:fldCharType="begin"/>
            </w:r>
            <w:r w:rsidRPr="00B83347">
              <w:rPr>
                <w:webHidden/>
              </w:rPr>
              <w:instrText xml:space="preserve"> PAGEREF _Toc97030935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57</w:t>
            </w:r>
            <w:r w:rsidRPr="00B83347">
              <w:rPr>
                <w:webHidden/>
                <w:color w:val="2B579A"/>
                <w:shd w:val="clear" w:color="auto" w:fill="E6E6E6"/>
              </w:rPr>
              <w:fldChar w:fldCharType="end"/>
            </w:r>
          </w:hyperlink>
        </w:p>
        <w:p w14:paraId="67617336" w14:textId="5EA9A9B2" w:rsidR="00B83347" w:rsidRPr="00B83347" w:rsidRDefault="00B83347">
          <w:pPr>
            <w:pStyle w:val="TOC2"/>
            <w:rPr>
              <w:rFonts w:ascii="Verdana" w:hAnsi="Verdana"/>
              <w:noProof/>
              <w:sz w:val="22"/>
              <w:szCs w:val="22"/>
              <w:lang w:eastAsia="en-GB"/>
            </w:rPr>
          </w:pPr>
          <w:hyperlink w:anchor="_Toc97030936" w:history="1">
            <w:r w:rsidRPr="00B83347">
              <w:rPr>
                <w:rStyle w:val="Hyperlink"/>
                <w:rFonts w:ascii="Verdana" w:hAnsi="Verdana"/>
                <w:noProof/>
              </w:rPr>
              <w:t xml:space="preserve">Irish </w:t>
            </w:r>
            <w:r w:rsidRPr="00B83347">
              <w:rPr>
                <w:rStyle w:val="Hyperlink"/>
                <w:rFonts w:ascii="Verdana" w:hAnsi="Verdana" w:cs="Gotham Light"/>
                <w:bCs/>
                <w:noProof/>
              </w:rPr>
              <w:t>Language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_Toc97030936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58</w:t>
            </w:r>
            <w:r w:rsidRPr="00B83347">
              <w:rPr>
                <w:rFonts w:ascii="Verdana" w:hAnsi="Verdana"/>
                <w:noProof/>
                <w:webHidden/>
                <w:color w:val="2B579A"/>
                <w:shd w:val="clear" w:color="auto" w:fill="E6E6E6"/>
              </w:rPr>
              <w:fldChar w:fldCharType="end"/>
            </w:r>
          </w:hyperlink>
        </w:p>
        <w:p w14:paraId="208DD023" w14:textId="068215B0" w:rsidR="00B83347" w:rsidRPr="00B83347" w:rsidRDefault="00B83347">
          <w:pPr>
            <w:pStyle w:val="TOC3"/>
            <w:tabs>
              <w:tab w:val="right" w:leader="dot" w:pos="9848"/>
            </w:tabs>
            <w:rPr>
              <w:rFonts w:ascii="Verdana" w:hAnsi="Verdana"/>
              <w:noProof/>
              <w:sz w:val="22"/>
              <w:szCs w:val="22"/>
              <w:lang w:eastAsia="en-GB"/>
            </w:rPr>
          </w:pPr>
          <w:hyperlink w:anchor="_Toc97030937" w:history="1">
            <w:r w:rsidRPr="00B83347">
              <w:rPr>
                <w:rStyle w:val="Hyperlink"/>
                <w:rFonts w:ascii="Verdana" w:hAnsi="Verdana"/>
                <w:noProof/>
              </w:rPr>
              <w:t>Irish Language Strategy</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_Toc97030937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58</w:t>
            </w:r>
            <w:r w:rsidRPr="00B83347">
              <w:rPr>
                <w:rFonts w:ascii="Verdana" w:hAnsi="Verdana"/>
                <w:noProof/>
                <w:webHidden/>
                <w:color w:val="2B579A"/>
                <w:shd w:val="clear" w:color="auto" w:fill="E6E6E6"/>
              </w:rPr>
              <w:fldChar w:fldCharType="end"/>
            </w:r>
          </w:hyperlink>
        </w:p>
        <w:p w14:paraId="7B76894E" w14:textId="17288825" w:rsidR="00B83347" w:rsidRPr="00B83347" w:rsidRDefault="00B83347">
          <w:pPr>
            <w:pStyle w:val="TOC3"/>
            <w:tabs>
              <w:tab w:val="right" w:leader="dot" w:pos="9848"/>
            </w:tabs>
            <w:rPr>
              <w:rFonts w:ascii="Verdana" w:hAnsi="Verdana"/>
              <w:noProof/>
              <w:sz w:val="22"/>
              <w:szCs w:val="22"/>
              <w:lang w:eastAsia="en-GB"/>
            </w:rPr>
          </w:pPr>
          <w:hyperlink w:anchor="_Toc97030938" w:history="1">
            <w:r w:rsidRPr="00B83347">
              <w:rPr>
                <w:rStyle w:val="Hyperlink"/>
                <w:rFonts w:ascii="Verdana" w:hAnsi="Verdana"/>
                <w:noProof/>
              </w:rPr>
              <w:t>Irish Language Provisions of the Northern Ireland Act 1998 (Amendment No. 2)</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_Toc97030938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59</w:t>
            </w:r>
            <w:r w:rsidRPr="00B83347">
              <w:rPr>
                <w:rFonts w:ascii="Verdana" w:hAnsi="Verdana"/>
                <w:noProof/>
                <w:webHidden/>
                <w:color w:val="2B579A"/>
                <w:shd w:val="clear" w:color="auto" w:fill="E6E6E6"/>
              </w:rPr>
              <w:fldChar w:fldCharType="end"/>
            </w:r>
          </w:hyperlink>
        </w:p>
        <w:p w14:paraId="0D7E7731" w14:textId="3D166AD0" w:rsidR="00B83347" w:rsidRPr="00B83347" w:rsidRDefault="00B83347">
          <w:pPr>
            <w:pStyle w:val="TOC2"/>
            <w:rPr>
              <w:rFonts w:ascii="Verdana" w:hAnsi="Verdana"/>
              <w:noProof/>
              <w:sz w:val="22"/>
              <w:szCs w:val="22"/>
              <w:lang w:eastAsia="en-GB"/>
            </w:rPr>
          </w:pPr>
          <w:hyperlink w:anchor="_Toc97030939" w:history="1">
            <w:r w:rsidRPr="00B83347">
              <w:rPr>
                <w:rStyle w:val="Hyperlink"/>
                <w:rFonts w:ascii="Verdana" w:hAnsi="Verdana"/>
                <w:noProof/>
              </w:rPr>
              <w:t xml:space="preserve">The Use of Minority Language in the </w:t>
            </w:r>
            <w:r w:rsidRPr="00B83347">
              <w:rPr>
                <w:rStyle w:val="Hyperlink"/>
                <w:rFonts w:ascii="Verdana" w:hAnsi="Verdana" w:cs="Gotham Light"/>
                <w:bCs/>
                <w:noProof/>
              </w:rPr>
              <w:t>Public Sphere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_Toc97030939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61</w:t>
            </w:r>
            <w:r w:rsidRPr="00B83347">
              <w:rPr>
                <w:rFonts w:ascii="Verdana" w:hAnsi="Verdana"/>
                <w:noProof/>
                <w:webHidden/>
                <w:color w:val="2B579A"/>
                <w:shd w:val="clear" w:color="auto" w:fill="E6E6E6"/>
              </w:rPr>
              <w:fldChar w:fldCharType="end"/>
            </w:r>
          </w:hyperlink>
        </w:p>
        <w:p w14:paraId="47AF3E09" w14:textId="1D233B8A" w:rsidR="00B83347" w:rsidRPr="00B83347" w:rsidRDefault="00B83347">
          <w:pPr>
            <w:pStyle w:val="TOC2"/>
            <w:rPr>
              <w:rFonts w:ascii="Verdana" w:hAnsi="Verdana"/>
              <w:noProof/>
              <w:sz w:val="22"/>
              <w:szCs w:val="22"/>
              <w:lang w:eastAsia="en-GB"/>
            </w:rPr>
          </w:pPr>
          <w:hyperlink w:anchor="_Toc97030940" w:history="1">
            <w:r w:rsidRPr="00B83347">
              <w:rPr>
                <w:rStyle w:val="Hyperlink"/>
                <w:rFonts w:ascii="Verdana" w:hAnsi="Verdana"/>
                <w:noProof/>
              </w:rPr>
              <w:t>Ulster Scots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_Toc97030940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62</w:t>
            </w:r>
            <w:r w:rsidRPr="00B83347">
              <w:rPr>
                <w:rFonts w:ascii="Verdana" w:hAnsi="Verdana"/>
                <w:noProof/>
                <w:webHidden/>
                <w:color w:val="2B579A"/>
                <w:shd w:val="clear" w:color="auto" w:fill="E6E6E6"/>
              </w:rPr>
              <w:fldChar w:fldCharType="end"/>
            </w:r>
          </w:hyperlink>
        </w:p>
        <w:p w14:paraId="28EBB1B1" w14:textId="54417291" w:rsidR="00B83347" w:rsidRPr="00B83347" w:rsidRDefault="00B83347">
          <w:pPr>
            <w:pStyle w:val="TOC3"/>
            <w:tabs>
              <w:tab w:val="right" w:leader="dot" w:pos="9848"/>
            </w:tabs>
            <w:rPr>
              <w:rFonts w:ascii="Verdana" w:hAnsi="Verdana"/>
              <w:noProof/>
              <w:sz w:val="22"/>
              <w:szCs w:val="22"/>
              <w:lang w:eastAsia="en-GB"/>
            </w:rPr>
          </w:pPr>
          <w:hyperlink w:anchor="_Toc97030941" w:history="1">
            <w:r w:rsidRPr="00B83347">
              <w:rPr>
                <w:rStyle w:val="Hyperlink"/>
                <w:rFonts w:ascii="Verdana" w:hAnsi="Verdana"/>
                <w:noProof/>
              </w:rPr>
              <w:t>Ulster Scots Strategy</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_Toc97030941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62</w:t>
            </w:r>
            <w:r w:rsidRPr="00B83347">
              <w:rPr>
                <w:rFonts w:ascii="Verdana" w:hAnsi="Verdana"/>
                <w:noProof/>
                <w:webHidden/>
                <w:color w:val="2B579A"/>
                <w:shd w:val="clear" w:color="auto" w:fill="E6E6E6"/>
              </w:rPr>
              <w:fldChar w:fldCharType="end"/>
            </w:r>
          </w:hyperlink>
        </w:p>
        <w:p w14:paraId="750CA5A5" w14:textId="1E886763" w:rsidR="00B83347" w:rsidRPr="00B83347" w:rsidRDefault="00B83347">
          <w:pPr>
            <w:pStyle w:val="TOC3"/>
            <w:tabs>
              <w:tab w:val="right" w:leader="dot" w:pos="9848"/>
            </w:tabs>
            <w:rPr>
              <w:rFonts w:ascii="Verdana" w:hAnsi="Verdana"/>
              <w:noProof/>
              <w:sz w:val="22"/>
              <w:szCs w:val="22"/>
              <w:lang w:eastAsia="en-GB"/>
            </w:rPr>
          </w:pPr>
          <w:hyperlink w:anchor="_Toc97030942" w:history="1">
            <w:r w:rsidRPr="00B83347">
              <w:rPr>
                <w:rStyle w:val="Hyperlink"/>
                <w:rFonts w:ascii="Verdana" w:hAnsi="Verdana"/>
                <w:noProof/>
              </w:rPr>
              <w:t>Ulster Scots/ Ulster British Provisions of the Northern Ireland Act 1998 (Amendment No. 3)</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_Toc97030942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63</w:t>
            </w:r>
            <w:r w:rsidRPr="00B83347">
              <w:rPr>
                <w:rFonts w:ascii="Verdana" w:hAnsi="Verdana"/>
                <w:noProof/>
                <w:webHidden/>
                <w:color w:val="2B579A"/>
                <w:shd w:val="clear" w:color="auto" w:fill="E6E6E6"/>
              </w:rPr>
              <w:fldChar w:fldCharType="end"/>
            </w:r>
          </w:hyperlink>
        </w:p>
        <w:p w14:paraId="013B9CB0" w14:textId="131C47C2" w:rsidR="00B83347" w:rsidRPr="00B83347" w:rsidRDefault="00B83347">
          <w:pPr>
            <w:pStyle w:val="TOC1"/>
            <w:rPr>
              <w:b w:val="0"/>
              <w:sz w:val="22"/>
              <w:szCs w:val="22"/>
              <w:lang w:eastAsia="en-GB"/>
            </w:rPr>
          </w:pPr>
          <w:hyperlink w:anchor="_Toc97030943" w:history="1">
            <w:r w:rsidRPr="00B83347">
              <w:rPr>
                <w:rStyle w:val="Hyperlink"/>
              </w:rPr>
              <w:t>10.0 Article 11: Traditional names</w:t>
            </w:r>
            <w:r w:rsidRPr="00B83347">
              <w:rPr>
                <w:webHidden/>
              </w:rPr>
              <w:tab/>
            </w:r>
            <w:r w:rsidRPr="00B83347">
              <w:rPr>
                <w:webHidden/>
                <w:color w:val="2B579A"/>
                <w:shd w:val="clear" w:color="auto" w:fill="E6E6E6"/>
              </w:rPr>
              <w:fldChar w:fldCharType="begin"/>
            </w:r>
            <w:r w:rsidRPr="00B83347">
              <w:rPr>
                <w:webHidden/>
              </w:rPr>
              <w:instrText xml:space="preserve"> PAGEREF _Toc97030943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64</w:t>
            </w:r>
            <w:r w:rsidRPr="00B83347">
              <w:rPr>
                <w:webHidden/>
                <w:color w:val="2B579A"/>
                <w:shd w:val="clear" w:color="auto" w:fill="E6E6E6"/>
              </w:rPr>
              <w:fldChar w:fldCharType="end"/>
            </w:r>
          </w:hyperlink>
        </w:p>
        <w:p w14:paraId="66F6B539" w14:textId="06D336F9" w:rsidR="00B83347" w:rsidRPr="00B83347" w:rsidRDefault="00B83347">
          <w:pPr>
            <w:pStyle w:val="TOC2"/>
            <w:rPr>
              <w:rFonts w:ascii="Verdana" w:hAnsi="Verdana"/>
              <w:noProof/>
              <w:sz w:val="22"/>
              <w:szCs w:val="22"/>
              <w:lang w:eastAsia="en-GB"/>
            </w:rPr>
          </w:pPr>
          <w:hyperlink w:anchor="_Toc97030944" w:history="1">
            <w:r w:rsidRPr="00B83347">
              <w:rPr>
                <w:rStyle w:val="Hyperlink"/>
                <w:rFonts w:ascii="Verdana" w:hAnsi="Verdana"/>
                <w:noProof/>
              </w:rPr>
              <w:t>Street Names</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_Toc97030944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64</w:t>
            </w:r>
            <w:r w:rsidRPr="00B83347">
              <w:rPr>
                <w:rFonts w:ascii="Verdana" w:hAnsi="Verdana"/>
                <w:noProof/>
                <w:webHidden/>
                <w:color w:val="2B579A"/>
                <w:shd w:val="clear" w:color="auto" w:fill="E6E6E6"/>
              </w:rPr>
              <w:fldChar w:fldCharType="end"/>
            </w:r>
          </w:hyperlink>
        </w:p>
        <w:p w14:paraId="219328C5" w14:textId="7CAC6910" w:rsidR="00B83347" w:rsidRPr="00B83347" w:rsidRDefault="00B83347">
          <w:pPr>
            <w:pStyle w:val="TOC1"/>
            <w:rPr>
              <w:b w:val="0"/>
              <w:sz w:val="22"/>
              <w:szCs w:val="22"/>
              <w:lang w:eastAsia="en-GB"/>
            </w:rPr>
          </w:pPr>
          <w:hyperlink w:anchor="_Toc97030945" w:history="1">
            <w:r w:rsidRPr="00B83347">
              <w:rPr>
                <w:rStyle w:val="Hyperlink"/>
              </w:rPr>
              <w:t>11.0 Article 12: Education</w:t>
            </w:r>
            <w:r w:rsidRPr="00B83347">
              <w:rPr>
                <w:webHidden/>
              </w:rPr>
              <w:tab/>
            </w:r>
            <w:r w:rsidRPr="00B83347">
              <w:rPr>
                <w:webHidden/>
                <w:color w:val="2B579A"/>
                <w:shd w:val="clear" w:color="auto" w:fill="E6E6E6"/>
              </w:rPr>
              <w:fldChar w:fldCharType="begin"/>
            </w:r>
            <w:r w:rsidRPr="00B83347">
              <w:rPr>
                <w:webHidden/>
              </w:rPr>
              <w:instrText xml:space="preserve"> PAGEREF _Toc97030945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65</w:t>
            </w:r>
            <w:r w:rsidRPr="00B83347">
              <w:rPr>
                <w:webHidden/>
                <w:color w:val="2B579A"/>
                <w:shd w:val="clear" w:color="auto" w:fill="E6E6E6"/>
              </w:rPr>
              <w:fldChar w:fldCharType="end"/>
            </w:r>
          </w:hyperlink>
        </w:p>
        <w:p w14:paraId="258FE370" w14:textId="3C50EE57" w:rsidR="00B83347" w:rsidRPr="00B83347" w:rsidRDefault="00B83347">
          <w:pPr>
            <w:pStyle w:val="TOC2"/>
            <w:rPr>
              <w:rFonts w:ascii="Verdana" w:hAnsi="Verdana"/>
              <w:noProof/>
              <w:sz w:val="22"/>
              <w:szCs w:val="22"/>
              <w:lang w:eastAsia="en-GB"/>
            </w:rPr>
          </w:pPr>
          <w:hyperlink w:anchor="_Toc97030946" w:history="1">
            <w:r w:rsidRPr="00B83347">
              <w:rPr>
                <w:rStyle w:val="Hyperlink"/>
                <w:rFonts w:ascii="Verdana" w:hAnsi="Verdana"/>
                <w:noProof/>
              </w:rPr>
              <w:t>Independent Review of Education in NI</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_Toc97030946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65</w:t>
            </w:r>
            <w:r w:rsidRPr="00B83347">
              <w:rPr>
                <w:rFonts w:ascii="Verdana" w:hAnsi="Verdana"/>
                <w:noProof/>
                <w:webHidden/>
                <w:color w:val="2B579A"/>
                <w:shd w:val="clear" w:color="auto" w:fill="E6E6E6"/>
              </w:rPr>
              <w:fldChar w:fldCharType="end"/>
            </w:r>
          </w:hyperlink>
        </w:p>
        <w:p w14:paraId="1C14F94F" w14:textId="763955F3" w:rsidR="00B83347" w:rsidRPr="00B83347" w:rsidRDefault="00B83347">
          <w:pPr>
            <w:pStyle w:val="TOC2"/>
            <w:rPr>
              <w:rFonts w:ascii="Verdana" w:hAnsi="Verdana"/>
              <w:noProof/>
              <w:sz w:val="22"/>
              <w:szCs w:val="22"/>
              <w:lang w:eastAsia="en-GB"/>
            </w:rPr>
          </w:pPr>
          <w:hyperlink w:anchor="_Toc97030947" w:history="1">
            <w:r w:rsidRPr="00B83347">
              <w:rPr>
                <w:rStyle w:val="Hyperlink"/>
                <w:rFonts w:ascii="Verdana" w:hAnsi="Verdana"/>
                <w:noProof/>
              </w:rPr>
              <w:t>Traveller and Roma children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_Toc97030947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66</w:t>
            </w:r>
            <w:r w:rsidRPr="00B83347">
              <w:rPr>
                <w:rFonts w:ascii="Verdana" w:hAnsi="Verdana"/>
                <w:noProof/>
                <w:webHidden/>
                <w:color w:val="2B579A"/>
                <w:shd w:val="clear" w:color="auto" w:fill="E6E6E6"/>
              </w:rPr>
              <w:fldChar w:fldCharType="end"/>
            </w:r>
          </w:hyperlink>
        </w:p>
        <w:p w14:paraId="6BAD1953" w14:textId="608B6259" w:rsidR="00B83347" w:rsidRPr="00B83347" w:rsidRDefault="00B83347">
          <w:pPr>
            <w:pStyle w:val="TOC2"/>
            <w:rPr>
              <w:rFonts w:ascii="Verdana" w:hAnsi="Verdana"/>
              <w:noProof/>
              <w:sz w:val="22"/>
              <w:szCs w:val="22"/>
              <w:lang w:eastAsia="en-GB"/>
            </w:rPr>
          </w:pPr>
          <w:hyperlink w:anchor="_Toc97030948" w:history="1">
            <w:r w:rsidRPr="00B83347">
              <w:rPr>
                <w:rStyle w:val="Hyperlink"/>
                <w:rFonts w:ascii="Verdana" w:hAnsi="Verdana"/>
                <w:noProof/>
              </w:rPr>
              <w:t>Integrated education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_Toc97030948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69</w:t>
            </w:r>
            <w:r w:rsidRPr="00B83347">
              <w:rPr>
                <w:rFonts w:ascii="Verdana" w:hAnsi="Verdana"/>
                <w:noProof/>
                <w:webHidden/>
                <w:color w:val="2B579A"/>
                <w:shd w:val="clear" w:color="auto" w:fill="E6E6E6"/>
              </w:rPr>
              <w:fldChar w:fldCharType="end"/>
            </w:r>
          </w:hyperlink>
        </w:p>
        <w:p w14:paraId="6AB165E2" w14:textId="2A80A026" w:rsidR="00B83347" w:rsidRPr="00B83347" w:rsidRDefault="00B83347">
          <w:pPr>
            <w:pStyle w:val="TOC2"/>
            <w:rPr>
              <w:rFonts w:ascii="Verdana" w:hAnsi="Verdana"/>
              <w:noProof/>
              <w:sz w:val="22"/>
              <w:szCs w:val="22"/>
              <w:lang w:eastAsia="en-GB"/>
            </w:rPr>
          </w:pPr>
          <w:hyperlink w:anchor="_Toc97030949" w:history="1">
            <w:r w:rsidRPr="00B83347">
              <w:rPr>
                <w:rStyle w:val="Hyperlink"/>
                <w:rFonts w:ascii="Verdana" w:hAnsi="Verdana"/>
                <w:noProof/>
              </w:rPr>
              <w:t>Shared Education</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_Toc97030949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71</w:t>
            </w:r>
            <w:r w:rsidRPr="00B83347">
              <w:rPr>
                <w:rFonts w:ascii="Verdana" w:hAnsi="Verdana"/>
                <w:noProof/>
                <w:webHidden/>
                <w:color w:val="2B579A"/>
                <w:shd w:val="clear" w:color="auto" w:fill="E6E6E6"/>
              </w:rPr>
              <w:fldChar w:fldCharType="end"/>
            </w:r>
          </w:hyperlink>
        </w:p>
        <w:p w14:paraId="329E7C20" w14:textId="63577081" w:rsidR="00B83347" w:rsidRPr="00B83347" w:rsidRDefault="00B83347">
          <w:pPr>
            <w:pStyle w:val="TOC1"/>
            <w:rPr>
              <w:b w:val="0"/>
              <w:sz w:val="22"/>
              <w:szCs w:val="22"/>
              <w:lang w:eastAsia="en-GB"/>
            </w:rPr>
          </w:pPr>
          <w:hyperlink w:anchor="_Toc97030950" w:history="1">
            <w:r w:rsidRPr="00B83347">
              <w:rPr>
                <w:rStyle w:val="Hyperlink"/>
              </w:rPr>
              <w:t>12.0 Article 14: Right to learn in minority language</w:t>
            </w:r>
            <w:r w:rsidRPr="00B83347">
              <w:rPr>
                <w:webHidden/>
              </w:rPr>
              <w:tab/>
            </w:r>
            <w:r w:rsidRPr="00B83347">
              <w:rPr>
                <w:webHidden/>
                <w:color w:val="2B579A"/>
                <w:shd w:val="clear" w:color="auto" w:fill="E6E6E6"/>
              </w:rPr>
              <w:fldChar w:fldCharType="begin"/>
            </w:r>
            <w:r w:rsidRPr="00B83347">
              <w:rPr>
                <w:webHidden/>
              </w:rPr>
              <w:instrText xml:space="preserve"> PAGEREF _Toc97030950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72</w:t>
            </w:r>
            <w:r w:rsidRPr="00B83347">
              <w:rPr>
                <w:webHidden/>
                <w:color w:val="2B579A"/>
                <w:shd w:val="clear" w:color="auto" w:fill="E6E6E6"/>
              </w:rPr>
              <w:fldChar w:fldCharType="end"/>
            </w:r>
          </w:hyperlink>
        </w:p>
        <w:p w14:paraId="050C961E" w14:textId="5CACB269" w:rsidR="00B83347" w:rsidRPr="00B83347" w:rsidRDefault="00B83347">
          <w:pPr>
            <w:pStyle w:val="TOC1"/>
            <w:rPr>
              <w:b w:val="0"/>
              <w:sz w:val="22"/>
              <w:szCs w:val="22"/>
              <w:lang w:eastAsia="en-GB"/>
            </w:rPr>
          </w:pPr>
          <w:hyperlink w:anchor="_Toc97030951" w:history="1">
            <w:r w:rsidRPr="00B83347">
              <w:rPr>
                <w:rStyle w:val="Hyperlink"/>
              </w:rPr>
              <w:t>13.0 Article 15: Conditions necessary for participation in cultural, social and economic life</w:t>
            </w:r>
            <w:r w:rsidRPr="00B83347">
              <w:rPr>
                <w:webHidden/>
              </w:rPr>
              <w:tab/>
            </w:r>
            <w:r w:rsidRPr="00B83347">
              <w:rPr>
                <w:webHidden/>
                <w:color w:val="2B579A"/>
                <w:shd w:val="clear" w:color="auto" w:fill="E6E6E6"/>
              </w:rPr>
              <w:fldChar w:fldCharType="begin"/>
            </w:r>
            <w:r w:rsidRPr="00B83347">
              <w:rPr>
                <w:webHidden/>
              </w:rPr>
              <w:instrText xml:space="preserve"> PAGEREF _Toc97030951 \h </w:instrText>
            </w:r>
            <w:r w:rsidRPr="00B83347">
              <w:rPr>
                <w:webHidden/>
                <w:color w:val="2B579A"/>
                <w:shd w:val="clear" w:color="auto" w:fill="E6E6E6"/>
              </w:rPr>
            </w:r>
            <w:r w:rsidRPr="00B83347">
              <w:rPr>
                <w:webHidden/>
                <w:color w:val="2B579A"/>
                <w:shd w:val="clear" w:color="auto" w:fill="E6E6E6"/>
              </w:rPr>
              <w:fldChar w:fldCharType="separate"/>
            </w:r>
            <w:r w:rsidR="00E15139">
              <w:rPr>
                <w:webHidden/>
              </w:rPr>
              <w:t>73</w:t>
            </w:r>
            <w:r w:rsidRPr="00B83347">
              <w:rPr>
                <w:webHidden/>
                <w:color w:val="2B579A"/>
                <w:shd w:val="clear" w:color="auto" w:fill="E6E6E6"/>
              </w:rPr>
              <w:fldChar w:fldCharType="end"/>
            </w:r>
          </w:hyperlink>
        </w:p>
        <w:p w14:paraId="4EE7C31B" w14:textId="46BF752C" w:rsidR="00B83347" w:rsidRPr="00B83347" w:rsidRDefault="00B83347">
          <w:pPr>
            <w:pStyle w:val="TOC2"/>
            <w:rPr>
              <w:rFonts w:ascii="Verdana" w:hAnsi="Verdana"/>
              <w:noProof/>
              <w:sz w:val="22"/>
              <w:szCs w:val="22"/>
              <w:lang w:eastAsia="en-GB"/>
            </w:rPr>
          </w:pPr>
          <w:hyperlink w:anchor="_Toc97030952" w:history="1">
            <w:r w:rsidRPr="00B83347">
              <w:rPr>
                <w:rStyle w:val="Hyperlink"/>
                <w:rFonts w:ascii="Verdana" w:hAnsi="Verdana"/>
                <w:noProof/>
              </w:rPr>
              <w:t>Participation in public life</w:t>
            </w:r>
            <w:r w:rsidRPr="00B83347">
              <w:rPr>
                <w:rFonts w:ascii="Verdana" w:hAnsi="Verdana"/>
                <w:noProof/>
                <w:webHidden/>
              </w:rPr>
              <w:tab/>
            </w:r>
            <w:r w:rsidRPr="00B83347">
              <w:rPr>
                <w:rFonts w:ascii="Verdana" w:hAnsi="Verdana"/>
                <w:noProof/>
                <w:webHidden/>
                <w:color w:val="2B579A"/>
                <w:shd w:val="clear" w:color="auto" w:fill="E6E6E6"/>
              </w:rPr>
              <w:fldChar w:fldCharType="begin"/>
            </w:r>
            <w:r w:rsidRPr="00B83347">
              <w:rPr>
                <w:rFonts w:ascii="Verdana" w:hAnsi="Verdana"/>
                <w:noProof/>
                <w:webHidden/>
              </w:rPr>
              <w:instrText xml:space="preserve"> PAGEREF _Toc97030952 \h </w:instrText>
            </w:r>
            <w:r w:rsidRPr="00B83347">
              <w:rPr>
                <w:rFonts w:ascii="Verdana" w:hAnsi="Verdana"/>
                <w:noProof/>
                <w:webHidden/>
                <w:color w:val="2B579A"/>
                <w:shd w:val="clear" w:color="auto" w:fill="E6E6E6"/>
              </w:rPr>
            </w:r>
            <w:r w:rsidRPr="00B83347">
              <w:rPr>
                <w:rFonts w:ascii="Verdana" w:hAnsi="Verdana"/>
                <w:noProof/>
                <w:webHidden/>
                <w:color w:val="2B579A"/>
                <w:shd w:val="clear" w:color="auto" w:fill="E6E6E6"/>
              </w:rPr>
              <w:fldChar w:fldCharType="separate"/>
            </w:r>
            <w:r w:rsidR="00E15139">
              <w:rPr>
                <w:rFonts w:ascii="Verdana" w:hAnsi="Verdana"/>
                <w:noProof/>
                <w:webHidden/>
              </w:rPr>
              <w:t>73</w:t>
            </w:r>
            <w:r w:rsidRPr="00B83347">
              <w:rPr>
                <w:rFonts w:ascii="Verdana" w:hAnsi="Verdana"/>
                <w:noProof/>
                <w:webHidden/>
                <w:color w:val="2B579A"/>
                <w:shd w:val="clear" w:color="auto" w:fill="E6E6E6"/>
              </w:rPr>
              <w:fldChar w:fldCharType="end"/>
            </w:r>
          </w:hyperlink>
        </w:p>
        <w:p w14:paraId="16D56294" w14:textId="2C34C438" w:rsidR="00E5776D" w:rsidRDefault="00E5776D">
          <w:r w:rsidRPr="00190D0A">
            <w:rPr>
              <w:rFonts w:ascii="Verdana" w:hAnsi="Verdana"/>
              <w:b/>
              <w:color w:val="2B579A"/>
              <w:shd w:val="clear" w:color="auto" w:fill="E6E6E6"/>
            </w:rPr>
            <w:fldChar w:fldCharType="end"/>
          </w:r>
        </w:p>
      </w:sdtContent>
    </w:sdt>
    <w:p w14:paraId="43EEFF3D" w14:textId="77777777" w:rsidR="001E79A9" w:rsidRPr="00331C61" w:rsidRDefault="001E79A9" w:rsidP="00331C61">
      <w:pPr>
        <w:pStyle w:val="Default"/>
        <w:spacing w:line="288" w:lineRule="auto"/>
        <w:rPr>
          <w:rFonts w:cs="Arial"/>
          <w:b/>
          <w:color w:val="232120"/>
        </w:rPr>
      </w:pPr>
    </w:p>
    <w:p w14:paraId="42C295D6" w14:textId="77777777" w:rsidR="00EA12CE" w:rsidRPr="00331C61" w:rsidRDefault="00EA12CE" w:rsidP="00331C61">
      <w:pPr>
        <w:pStyle w:val="Default"/>
        <w:spacing w:line="288" w:lineRule="auto"/>
        <w:rPr>
          <w:rFonts w:cs="Arial"/>
          <w:b/>
          <w:color w:val="232120"/>
        </w:rPr>
      </w:pPr>
    </w:p>
    <w:p w14:paraId="3DFB01F1" w14:textId="77777777" w:rsidR="00EA12CE" w:rsidRPr="00331C61" w:rsidRDefault="00EA12CE" w:rsidP="00331C61">
      <w:pPr>
        <w:pStyle w:val="Default"/>
        <w:spacing w:line="288" w:lineRule="auto"/>
        <w:rPr>
          <w:rFonts w:cs="Arial"/>
          <w:b/>
          <w:color w:val="232120"/>
        </w:rPr>
      </w:pPr>
    </w:p>
    <w:p w14:paraId="6186542A" w14:textId="77777777" w:rsidR="00EA12CE" w:rsidRPr="00331C61" w:rsidRDefault="00EA12CE" w:rsidP="00331C61">
      <w:pPr>
        <w:pStyle w:val="Default"/>
        <w:spacing w:line="288" w:lineRule="auto"/>
        <w:rPr>
          <w:rFonts w:cs="Arial"/>
          <w:b/>
          <w:color w:val="232120"/>
        </w:rPr>
      </w:pPr>
    </w:p>
    <w:p w14:paraId="7957B263" w14:textId="77777777" w:rsidR="00EA12CE" w:rsidRPr="00D62DEB" w:rsidRDefault="00EA12CE" w:rsidP="004656A5">
      <w:pPr>
        <w:pStyle w:val="Default"/>
        <w:spacing w:line="276" w:lineRule="auto"/>
        <w:rPr>
          <w:rFonts w:cs="Arial"/>
          <w:b/>
          <w:color w:val="232120"/>
        </w:rPr>
      </w:pPr>
    </w:p>
    <w:p w14:paraId="346365B8" w14:textId="77777777" w:rsidR="00EA12CE" w:rsidRPr="00D62DEB" w:rsidRDefault="00EA12CE" w:rsidP="004656A5">
      <w:pPr>
        <w:pStyle w:val="Default"/>
        <w:spacing w:line="276" w:lineRule="auto"/>
        <w:rPr>
          <w:rFonts w:cs="Arial"/>
          <w:b/>
          <w:color w:val="232120"/>
        </w:rPr>
      </w:pPr>
    </w:p>
    <w:p w14:paraId="64421118" w14:textId="77777777" w:rsidR="00EA12CE" w:rsidRPr="00D62DEB" w:rsidRDefault="00EA12CE" w:rsidP="004656A5">
      <w:pPr>
        <w:pStyle w:val="Default"/>
        <w:spacing w:line="276" w:lineRule="auto"/>
        <w:rPr>
          <w:rFonts w:cs="Arial"/>
          <w:b/>
          <w:color w:val="232120"/>
        </w:rPr>
      </w:pPr>
    </w:p>
    <w:p w14:paraId="5596A9F9" w14:textId="77777777" w:rsidR="00EA12CE" w:rsidRPr="00D62DEB" w:rsidRDefault="00EA12CE" w:rsidP="004656A5">
      <w:pPr>
        <w:pStyle w:val="Default"/>
        <w:spacing w:line="276" w:lineRule="auto"/>
        <w:rPr>
          <w:rFonts w:cs="Arial"/>
          <w:b/>
          <w:color w:val="232120"/>
        </w:rPr>
      </w:pPr>
    </w:p>
    <w:p w14:paraId="00FF1685" w14:textId="1CD037A6" w:rsidR="000F0738" w:rsidRPr="00D62DEB" w:rsidRDefault="000F0738" w:rsidP="004656A5">
      <w:pPr>
        <w:pStyle w:val="Default"/>
        <w:spacing w:line="276" w:lineRule="auto"/>
        <w:rPr>
          <w:rFonts w:cs="Arial"/>
          <w:b/>
          <w:color w:val="232120"/>
        </w:rPr>
      </w:pPr>
    </w:p>
    <w:p w14:paraId="6310DF54" w14:textId="1184FDC4" w:rsidR="00127191" w:rsidRDefault="000F0738" w:rsidP="00915669">
      <w:pPr>
        <w:pStyle w:val="Heading1"/>
        <w:numPr>
          <w:ilvl w:val="0"/>
          <w:numId w:val="12"/>
        </w:numPr>
      </w:pPr>
      <w:bookmarkStart w:id="0" w:name="_Toc97030893"/>
      <w:r w:rsidRPr="00A16ADD">
        <w:t>Introduction</w:t>
      </w:r>
      <w:bookmarkEnd w:id="0"/>
    </w:p>
    <w:p w14:paraId="36081142" w14:textId="77777777" w:rsidR="0002701E" w:rsidRPr="0002701E" w:rsidRDefault="0002701E" w:rsidP="0002701E"/>
    <w:p w14:paraId="7D1A4095" w14:textId="732C833F" w:rsidR="00F30490" w:rsidRDefault="002F5181" w:rsidP="00915669">
      <w:pPr>
        <w:pStyle w:val="ListParagraph"/>
        <w:numPr>
          <w:ilvl w:val="1"/>
          <w:numId w:val="13"/>
        </w:numPr>
        <w:spacing w:line="276" w:lineRule="auto"/>
        <w:rPr>
          <w:rFonts w:ascii="Verdana" w:eastAsia="Verdana" w:hAnsi="Verdana" w:cs="Verdana"/>
        </w:rPr>
      </w:pPr>
      <w:r w:rsidRPr="00F30490">
        <w:rPr>
          <w:rFonts w:ascii="Verdana" w:eastAsia="Verdana" w:hAnsi="Verdana" w:cs="Verdana"/>
        </w:rPr>
        <w:t xml:space="preserve">The Northern Ireland Human Rights Commission (NIHRC) is one of three A-status National Human Rights Institutions in the United Kingdom (UK). Established in 1999, the NIHRC, pursuant to Section 69(1) of the Northern Ireland Act 1998, reviews the adequacy and effectiveness of law and practice relating to the protection of human rights in Northern Ireland (NI). </w:t>
      </w:r>
      <w:r w:rsidR="005B0C2A" w:rsidRPr="00F30490">
        <w:rPr>
          <w:rFonts w:ascii="Verdana" w:eastAsia="Verdana" w:hAnsi="Verdana" w:cs="Verdana"/>
        </w:rPr>
        <w:t xml:space="preserve">The NIHRC’s mandate extends to all matters relating to the protection and promotion of human rights in NI, including within the competence of the NI Assembly and the Westminster Parliament. </w:t>
      </w:r>
    </w:p>
    <w:p w14:paraId="0DB3F01E" w14:textId="77777777" w:rsidR="00F30490" w:rsidRDefault="00F30490" w:rsidP="00F30490">
      <w:pPr>
        <w:pStyle w:val="ListParagraph"/>
        <w:spacing w:line="276" w:lineRule="auto"/>
        <w:rPr>
          <w:rFonts w:ascii="Verdana" w:eastAsia="Verdana" w:hAnsi="Verdana" w:cs="Verdana"/>
        </w:rPr>
      </w:pPr>
    </w:p>
    <w:p w14:paraId="387263C1" w14:textId="03CD7213" w:rsidR="00F635E0" w:rsidRPr="00F30490" w:rsidRDefault="002F5181" w:rsidP="00915669">
      <w:pPr>
        <w:pStyle w:val="ListParagraph"/>
        <w:numPr>
          <w:ilvl w:val="1"/>
          <w:numId w:val="13"/>
        </w:numPr>
        <w:spacing w:line="276" w:lineRule="auto"/>
        <w:rPr>
          <w:rFonts w:ascii="Verdana" w:eastAsia="Verdana" w:hAnsi="Verdana" w:cs="Verdana"/>
        </w:rPr>
      </w:pPr>
      <w:r w:rsidRPr="00F30490">
        <w:rPr>
          <w:rFonts w:ascii="Verdana" w:eastAsia="Verdana" w:hAnsi="Verdana" w:cs="Verdana"/>
        </w:rPr>
        <w:t xml:space="preserve">This submission considers the protection of human rights in NI in respect of </w:t>
      </w:r>
      <w:r w:rsidR="00CA4B89" w:rsidRPr="00F30490">
        <w:rPr>
          <w:rFonts w:ascii="Verdana" w:eastAsia="Verdana" w:hAnsi="Verdana" w:cs="Verdana"/>
        </w:rPr>
        <w:t xml:space="preserve">the United Kingdom’s Fifth Report to the Advisory Committee on </w:t>
      </w:r>
      <w:r w:rsidRPr="00F30490">
        <w:rPr>
          <w:rFonts w:ascii="Verdana" w:eastAsia="Verdana" w:hAnsi="Verdana" w:cs="Verdana"/>
        </w:rPr>
        <w:t>compliance with the Framework Convention for the Protection of National Minorities (FCNM).</w:t>
      </w:r>
      <w:r w:rsidR="09F7AC84" w:rsidRPr="5487FFD0">
        <w:rPr>
          <w:rFonts w:ascii="Verdana" w:eastAsia="Verdana" w:hAnsi="Verdana" w:cs="Verdana"/>
        </w:rPr>
        <w:t xml:space="preserve"> Chapter two deals with </w:t>
      </w:r>
      <w:proofErr w:type="gramStart"/>
      <w:r w:rsidR="09F7AC84" w:rsidRPr="5487FFD0">
        <w:rPr>
          <w:rFonts w:ascii="Verdana" w:eastAsia="Verdana" w:hAnsi="Verdana" w:cs="Verdana"/>
        </w:rPr>
        <w:t>a number of</w:t>
      </w:r>
      <w:proofErr w:type="gramEnd"/>
      <w:r w:rsidR="09F7AC84" w:rsidRPr="5487FFD0">
        <w:rPr>
          <w:rFonts w:ascii="Verdana" w:eastAsia="Verdana" w:hAnsi="Verdana" w:cs="Verdana"/>
        </w:rPr>
        <w:t xml:space="preserve"> significant constitutional issues which are important in contextualising the broad framework of rights protection in NI, which is not specific to the protection of national minorities. The subsequent chapters engage directly with the substantive rights of the FCNM.</w:t>
      </w:r>
    </w:p>
    <w:p w14:paraId="3E4C95B3" w14:textId="77777777" w:rsidR="00F05A47" w:rsidRDefault="00F05A47" w:rsidP="00F05A47">
      <w:pPr>
        <w:spacing w:line="276" w:lineRule="auto"/>
        <w:rPr>
          <w:rFonts w:ascii="Verdana" w:hAnsi="Verdana"/>
          <w:b/>
          <w:bCs/>
        </w:rPr>
      </w:pPr>
    </w:p>
    <w:p w14:paraId="60CE0529" w14:textId="38660EA5" w:rsidR="00F05A47" w:rsidRPr="00B74E1A" w:rsidRDefault="00F05A47" w:rsidP="00F05A47">
      <w:pPr>
        <w:pStyle w:val="Heading2"/>
      </w:pPr>
      <w:bookmarkStart w:id="1" w:name="_Toc97030894"/>
      <w:r w:rsidRPr="00B74E1A">
        <w:t>Involvement of the NI Executive</w:t>
      </w:r>
      <w:bookmarkEnd w:id="1"/>
    </w:p>
    <w:p w14:paraId="5AA8D2F4" w14:textId="77777777" w:rsidR="00F05A47" w:rsidRPr="00B74E1A" w:rsidRDefault="00F05A47" w:rsidP="00F05A47">
      <w:pPr>
        <w:pStyle w:val="ListParagraph"/>
        <w:spacing w:line="276" w:lineRule="auto"/>
        <w:ind w:left="502"/>
        <w:rPr>
          <w:rFonts w:ascii="Verdana" w:hAnsi="Verdana"/>
          <w:b/>
          <w:bCs/>
        </w:rPr>
      </w:pPr>
    </w:p>
    <w:p w14:paraId="0200C351" w14:textId="7251B2B2" w:rsidR="00F30490" w:rsidRDefault="00F05A47" w:rsidP="00915669">
      <w:pPr>
        <w:pStyle w:val="ListParagraph"/>
        <w:numPr>
          <w:ilvl w:val="1"/>
          <w:numId w:val="13"/>
        </w:numPr>
        <w:spacing w:line="276" w:lineRule="auto"/>
        <w:rPr>
          <w:rFonts w:ascii="Verdana" w:hAnsi="Verdana"/>
        </w:rPr>
      </w:pPr>
      <w:r w:rsidRPr="00F30490">
        <w:rPr>
          <w:rFonts w:ascii="Verdana" w:hAnsi="Verdana"/>
        </w:rPr>
        <w:t>The NIHRC acknowledges that the Executive Office is the responsible department for matters concerning the response of the NI administration to external relationships,</w:t>
      </w:r>
      <w:r w:rsidRPr="00B74E1A">
        <w:rPr>
          <w:rStyle w:val="FootnoteReference"/>
          <w:rFonts w:ascii="Verdana" w:hAnsi="Verdana"/>
        </w:rPr>
        <w:footnoteReference w:id="2"/>
      </w:r>
      <w:r w:rsidRPr="00F30490">
        <w:rPr>
          <w:rFonts w:ascii="Verdana" w:hAnsi="Verdana"/>
        </w:rPr>
        <w:t xml:space="preserve"> including the compliance and realisation of international human rights obligations through interaction with the UK Government. The NIHRC notes from the UK State Report that inputs from the NI Executive continue to be limited and inconsistent across all reporting areas. This issue is not unique to the FCNM, with the NI Executive also having limited involvement in other treaty reporting processes, most recently the European Charter for Regional and Minority Languages (ECRML).</w:t>
      </w:r>
      <w:r w:rsidRPr="00B74E1A">
        <w:rPr>
          <w:rStyle w:val="FootnoteReference"/>
          <w:rFonts w:ascii="Verdana" w:hAnsi="Verdana"/>
        </w:rPr>
        <w:footnoteReference w:id="3"/>
      </w:r>
    </w:p>
    <w:p w14:paraId="43414051" w14:textId="77777777" w:rsidR="00F30490" w:rsidRDefault="00F30490" w:rsidP="00F30490">
      <w:pPr>
        <w:pStyle w:val="ListParagraph"/>
        <w:spacing w:line="276" w:lineRule="auto"/>
        <w:rPr>
          <w:rFonts w:ascii="Verdana" w:hAnsi="Verdana"/>
        </w:rPr>
      </w:pPr>
    </w:p>
    <w:p w14:paraId="303398DF" w14:textId="77777777" w:rsidR="00F30490" w:rsidRDefault="00F05A47" w:rsidP="00915669">
      <w:pPr>
        <w:pStyle w:val="ListParagraph"/>
        <w:numPr>
          <w:ilvl w:val="1"/>
          <w:numId w:val="13"/>
        </w:numPr>
        <w:spacing w:line="276" w:lineRule="auto"/>
        <w:rPr>
          <w:rFonts w:ascii="Verdana" w:hAnsi="Verdana"/>
        </w:rPr>
      </w:pPr>
      <w:r w:rsidRPr="00F30490">
        <w:rPr>
          <w:rFonts w:ascii="Verdana" w:hAnsi="Verdana"/>
        </w:rPr>
        <w:t xml:space="preserve">On 4 February 2021, NI’s First Minister announced his resignation in protest over the </w:t>
      </w:r>
      <w:r w:rsidR="00630F7C" w:rsidRPr="00F30490">
        <w:rPr>
          <w:rFonts w:ascii="Verdana" w:hAnsi="Verdana"/>
        </w:rPr>
        <w:t>NI</w:t>
      </w:r>
      <w:r w:rsidRPr="00F30490">
        <w:rPr>
          <w:rFonts w:ascii="Verdana" w:hAnsi="Verdana"/>
        </w:rPr>
        <w:t xml:space="preserve"> Protocol.</w:t>
      </w:r>
      <w:r w:rsidRPr="005B6ADF">
        <w:rPr>
          <w:rStyle w:val="FootnoteReference"/>
          <w:rFonts w:ascii="Verdana" w:hAnsi="Verdana"/>
        </w:rPr>
        <w:footnoteReference w:id="4"/>
      </w:r>
      <w:r w:rsidRPr="00F30490">
        <w:rPr>
          <w:rFonts w:ascii="Verdana" w:hAnsi="Verdana"/>
        </w:rPr>
        <w:t xml:space="preserve"> This automatically removed the Deputy First Minster from her position and leaves NI without a functioning Executive. The subsequent passing of the Northern Ireland (Ministers, Elections and Petitions of Concern) </w:t>
      </w:r>
      <w:r w:rsidR="00B2042F" w:rsidRPr="00F30490">
        <w:rPr>
          <w:rFonts w:ascii="Verdana" w:hAnsi="Verdana"/>
        </w:rPr>
        <w:t xml:space="preserve">Act </w:t>
      </w:r>
      <w:r w:rsidRPr="00F30490">
        <w:rPr>
          <w:rFonts w:ascii="Verdana" w:hAnsi="Verdana"/>
        </w:rPr>
        <w:t>in Westminster will allow the NI Assembly to continue without a functioning Executive for at least six months.</w:t>
      </w:r>
      <w:r w:rsidRPr="005B6ADF">
        <w:rPr>
          <w:rStyle w:val="FootnoteReference"/>
          <w:rFonts w:ascii="Verdana" w:hAnsi="Verdana"/>
        </w:rPr>
        <w:footnoteReference w:id="5"/>
      </w:r>
      <w:r w:rsidRPr="00F30490">
        <w:rPr>
          <w:rFonts w:ascii="Verdana" w:hAnsi="Verdana"/>
        </w:rPr>
        <w:t xml:space="preserve"> The NI Assembly election is expected to take place on 5 May 2022 and the Secretary of State for NI has confirmed that he will not call an early election.</w:t>
      </w:r>
      <w:r w:rsidRPr="005B6ADF">
        <w:rPr>
          <w:rStyle w:val="FootnoteReference"/>
          <w:rFonts w:ascii="Verdana" w:hAnsi="Verdana"/>
        </w:rPr>
        <w:footnoteReference w:id="6"/>
      </w:r>
    </w:p>
    <w:p w14:paraId="467C6B2B" w14:textId="77777777" w:rsidR="00F30490" w:rsidRPr="00F30490" w:rsidRDefault="00F30490" w:rsidP="00F30490">
      <w:pPr>
        <w:pStyle w:val="ListParagraph"/>
        <w:rPr>
          <w:rFonts w:ascii="Verdana" w:hAnsi="Verdana"/>
        </w:rPr>
      </w:pPr>
    </w:p>
    <w:p w14:paraId="341FF691" w14:textId="77777777" w:rsidR="00F30490" w:rsidRDefault="00896A4A" w:rsidP="00915669">
      <w:pPr>
        <w:pStyle w:val="ListParagraph"/>
        <w:numPr>
          <w:ilvl w:val="1"/>
          <w:numId w:val="13"/>
        </w:numPr>
        <w:spacing w:line="276" w:lineRule="auto"/>
        <w:rPr>
          <w:rFonts w:ascii="Verdana" w:hAnsi="Verdana"/>
        </w:rPr>
      </w:pPr>
      <w:r w:rsidRPr="00F30490">
        <w:rPr>
          <w:rFonts w:ascii="Verdana" w:hAnsi="Verdana"/>
        </w:rPr>
        <w:t>T</w:t>
      </w:r>
      <w:r w:rsidR="00F9709E" w:rsidRPr="00F30490">
        <w:rPr>
          <w:rFonts w:ascii="Verdana" w:hAnsi="Verdana"/>
        </w:rPr>
        <w:t>he</w:t>
      </w:r>
      <w:r w:rsidR="00DE38DE" w:rsidRPr="00F30490">
        <w:rPr>
          <w:rFonts w:ascii="Verdana" w:hAnsi="Verdana"/>
        </w:rPr>
        <w:t xml:space="preserve"> </w:t>
      </w:r>
      <w:r w:rsidR="00BE2656" w:rsidRPr="00F30490">
        <w:rPr>
          <w:rFonts w:ascii="Verdana" w:hAnsi="Verdana"/>
        </w:rPr>
        <w:t xml:space="preserve">NI </w:t>
      </w:r>
      <w:r w:rsidR="00DE38DE" w:rsidRPr="00F30490">
        <w:rPr>
          <w:rFonts w:ascii="Verdana" w:hAnsi="Verdana"/>
        </w:rPr>
        <w:t xml:space="preserve">Finance Minister has </w:t>
      </w:r>
      <w:r w:rsidR="00BE2656" w:rsidRPr="00F30490">
        <w:rPr>
          <w:rFonts w:ascii="Verdana" w:hAnsi="Verdana"/>
        </w:rPr>
        <w:t>raised</w:t>
      </w:r>
      <w:r w:rsidR="00146181" w:rsidRPr="00F30490">
        <w:rPr>
          <w:rFonts w:ascii="Verdana" w:hAnsi="Verdana"/>
        </w:rPr>
        <w:t xml:space="preserve"> significant concerns </w:t>
      </w:r>
      <w:r w:rsidR="005E63D7" w:rsidRPr="00F30490">
        <w:rPr>
          <w:rFonts w:ascii="Verdana" w:hAnsi="Verdana"/>
        </w:rPr>
        <w:t>regarding</w:t>
      </w:r>
      <w:r w:rsidR="004D6CBE" w:rsidRPr="00F30490">
        <w:rPr>
          <w:rFonts w:ascii="Verdana" w:hAnsi="Verdana"/>
        </w:rPr>
        <w:t xml:space="preserve"> </w:t>
      </w:r>
      <w:r w:rsidR="00A96FB1" w:rsidRPr="00F30490">
        <w:rPr>
          <w:rFonts w:ascii="Verdana" w:hAnsi="Verdana"/>
        </w:rPr>
        <w:t>the</w:t>
      </w:r>
      <w:r w:rsidR="001D3325" w:rsidRPr="00F30490">
        <w:rPr>
          <w:rFonts w:ascii="Verdana" w:hAnsi="Verdana"/>
        </w:rPr>
        <w:t xml:space="preserve"> ability </w:t>
      </w:r>
      <w:r w:rsidR="00AC0CE3" w:rsidRPr="00F30490">
        <w:rPr>
          <w:rFonts w:ascii="Verdana" w:hAnsi="Verdana"/>
        </w:rPr>
        <w:t>of the NI Assembly to approve the</w:t>
      </w:r>
      <w:r w:rsidR="00146181" w:rsidRPr="00F30490">
        <w:rPr>
          <w:rFonts w:ascii="Verdana" w:hAnsi="Verdana"/>
        </w:rPr>
        <w:t xml:space="preserve"> </w:t>
      </w:r>
      <w:r w:rsidR="00F120DF" w:rsidRPr="00F30490">
        <w:rPr>
          <w:rFonts w:ascii="Verdana" w:hAnsi="Verdana"/>
        </w:rPr>
        <w:t xml:space="preserve">2022-2025 </w:t>
      </w:r>
      <w:r w:rsidR="001D3325" w:rsidRPr="00F30490">
        <w:rPr>
          <w:rFonts w:ascii="Verdana" w:hAnsi="Verdana"/>
        </w:rPr>
        <w:t xml:space="preserve">Draft </w:t>
      </w:r>
      <w:r w:rsidR="00F120DF" w:rsidRPr="00F30490">
        <w:rPr>
          <w:rFonts w:ascii="Verdana" w:hAnsi="Verdana"/>
        </w:rPr>
        <w:t>Budget</w:t>
      </w:r>
      <w:r w:rsidR="00887703" w:rsidRPr="00F30490">
        <w:rPr>
          <w:rFonts w:ascii="Verdana" w:hAnsi="Verdana"/>
        </w:rPr>
        <w:t xml:space="preserve"> in the absence of the Executive</w:t>
      </w:r>
      <w:r w:rsidR="007824CA" w:rsidRPr="00F30490">
        <w:rPr>
          <w:rFonts w:ascii="Verdana" w:hAnsi="Verdana"/>
        </w:rPr>
        <w:t>.</w:t>
      </w:r>
      <w:r w:rsidR="00301DA8">
        <w:rPr>
          <w:rStyle w:val="FootnoteReference"/>
          <w:rFonts w:ascii="Verdana" w:hAnsi="Verdana"/>
        </w:rPr>
        <w:footnoteReference w:id="7"/>
      </w:r>
      <w:r w:rsidR="00F07D78" w:rsidRPr="00F30490">
        <w:rPr>
          <w:rFonts w:ascii="Verdana" w:hAnsi="Verdana"/>
        </w:rPr>
        <w:t xml:space="preserve"> </w:t>
      </w:r>
      <w:r w:rsidR="00991666" w:rsidRPr="00F30490">
        <w:rPr>
          <w:rFonts w:ascii="Verdana" w:hAnsi="Verdana"/>
        </w:rPr>
        <w:t>T</w:t>
      </w:r>
      <w:r w:rsidR="00B12396" w:rsidRPr="00F30490">
        <w:rPr>
          <w:rFonts w:ascii="Verdana" w:hAnsi="Verdana"/>
        </w:rPr>
        <w:t>he NIHRC highlights i</w:t>
      </w:r>
      <w:r w:rsidR="00A730DF" w:rsidRPr="00F30490">
        <w:rPr>
          <w:rFonts w:ascii="Verdana" w:hAnsi="Verdana"/>
        </w:rPr>
        <w:t>ts concern</w:t>
      </w:r>
      <w:r w:rsidR="00F07D78" w:rsidRPr="00F30490">
        <w:rPr>
          <w:rFonts w:ascii="Verdana" w:hAnsi="Verdana"/>
        </w:rPr>
        <w:t xml:space="preserve"> </w:t>
      </w:r>
      <w:r w:rsidR="00991666" w:rsidRPr="00F30490">
        <w:rPr>
          <w:rFonts w:ascii="Verdana" w:hAnsi="Verdana"/>
        </w:rPr>
        <w:t>that</w:t>
      </w:r>
      <w:r w:rsidR="007C53AF" w:rsidRPr="00F30490">
        <w:rPr>
          <w:rFonts w:ascii="Verdana" w:hAnsi="Verdana"/>
        </w:rPr>
        <w:t xml:space="preserve"> </w:t>
      </w:r>
      <w:r w:rsidR="007C53AF" w:rsidRPr="00F30490">
        <w:rPr>
          <w:rFonts w:ascii="Verdana" w:hAnsi="Verdana" w:cs="YIUEB V+ Gotham"/>
        </w:rPr>
        <w:t xml:space="preserve">Departments </w:t>
      </w:r>
      <w:r w:rsidR="00E27B5C" w:rsidRPr="00F30490">
        <w:rPr>
          <w:rFonts w:ascii="Verdana" w:hAnsi="Verdana" w:cs="YIUEB V+ Gotham"/>
        </w:rPr>
        <w:t>have already been</w:t>
      </w:r>
      <w:r w:rsidR="007C53AF" w:rsidRPr="00F30490">
        <w:rPr>
          <w:rFonts w:ascii="Verdana" w:hAnsi="Verdana" w:cs="YIUEB V+ Gotham"/>
        </w:rPr>
        <w:t xml:space="preserve"> dealing with the challenges of a constrained budget </w:t>
      </w:r>
      <w:proofErr w:type="gramStart"/>
      <w:r w:rsidR="007C53AF" w:rsidRPr="00F30490">
        <w:rPr>
          <w:rFonts w:ascii="Verdana" w:hAnsi="Verdana" w:cs="YIUEB V+ Gotham"/>
        </w:rPr>
        <w:t>in light of</w:t>
      </w:r>
      <w:proofErr w:type="gramEnd"/>
      <w:r w:rsidR="007C53AF" w:rsidRPr="00F30490">
        <w:rPr>
          <w:rFonts w:ascii="Verdana" w:hAnsi="Verdana" w:cs="YIUEB V+ Gotham"/>
        </w:rPr>
        <w:t xml:space="preserve"> the COVID-19 pandemic</w:t>
      </w:r>
      <w:r w:rsidR="00630F7C" w:rsidRPr="00F30490">
        <w:rPr>
          <w:rFonts w:ascii="Verdana" w:hAnsi="Verdana" w:cs="YIUEB V+ Gotham"/>
        </w:rPr>
        <w:t>.</w:t>
      </w:r>
      <w:r w:rsidR="00F3540C" w:rsidRPr="00F30490">
        <w:rPr>
          <w:rFonts w:ascii="Verdana" w:hAnsi="Verdana" w:cs="YIUEB V+ Gotham"/>
        </w:rPr>
        <w:t xml:space="preserve"> </w:t>
      </w:r>
      <w:r w:rsidR="00630F7C" w:rsidRPr="00F30490">
        <w:rPr>
          <w:rFonts w:ascii="Verdana" w:hAnsi="Verdana"/>
        </w:rPr>
        <w:t xml:space="preserve">In </w:t>
      </w:r>
      <w:r w:rsidR="00E0454F" w:rsidRPr="00F30490">
        <w:rPr>
          <w:rFonts w:ascii="Verdana" w:hAnsi="Verdana"/>
        </w:rPr>
        <w:t>the event the</w:t>
      </w:r>
      <w:r w:rsidR="00A44CDF" w:rsidRPr="00F30490">
        <w:rPr>
          <w:rFonts w:ascii="Verdana" w:hAnsi="Verdana"/>
        </w:rPr>
        <w:t xml:space="preserve"> draft</w:t>
      </w:r>
      <w:r w:rsidR="00E0454F" w:rsidRPr="00F30490">
        <w:rPr>
          <w:rFonts w:ascii="Verdana" w:hAnsi="Verdana"/>
        </w:rPr>
        <w:t xml:space="preserve"> budget cannot be agreed, there is likely to be a significant impact</w:t>
      </w:r>
      <w:r w:rsidR="00A44CDF" w:rsidRPr="00F30490">
        <w:rPr>
          <w:rFonts w:ascii="Verdana" w:hAnsi="Verdana"/>
        </w:rPr>
        <w:t xml:space="preserve"> </w:t>
      </w:r>
      <w:r w:rsidR="00CF7CFF" w:rsidRPr="00F30490">
        <w:rPr>
          <w:rFonts w:ascii="Verdana" w:hAnsi="Verdana"/>
        </w:rPr>
        <w:t xml:space="preserve">across </w:t>
      </w:r>
      <w:r w:rsidR="0079778E" w:rsidRPr="00F30490">
        <w:rPr>
          <w:rFonts w:ascii="Verdana" w:hAnsi="Verdana"/>
        </w:rPr>
        <w:t>several</w:t>
      </w:r>
      <w:r w:rsidR="00301DA8" w:rsidRPr="00F30490">
        <w:rPr>
          <w:rFonts w:ascii="Verdana" w:hAnsi="Verdana"/>
        </w:rPr>
        <w:t xml:space="preserve"> </w:t>
      </w:r>
      <w:r w:rsidR="00CF7CFF" w:rsidRPr="00F30490">
        <w:rPr>
          <w:rFonts w:ascii="Verdana" w:hAnsi="Verdana"/>
        </w:rPr>
        <w:t xml:space="preserve">areas examined </w:t>
      </w:r>
      <w:r w:rsidR="00630F7C" w:rsidRPr="00F30490">
        <w:rPr>
          <w:rFonts w:ascii="Verdana" w:hAnsi="Verdana"/>
        </w:rPr>
        <w:t>in this submission</w:t>
      </w:r>
      <w:r w:rsidR="00CF7CFF" w:rsidRPr="00F30490">
        <w:rPr>
          <w:rFonts w:ascii="Verdana" w:hAnsi="Verdana"/>
        </w:rPr>
        <w:t xml:space="preserve">. </w:t>
      </w:r>
    </w:p>
    <w:p w14:paraId="4942ED1F" w14:textId="77777777" w:rsidR="00F30490" w:rsidRPr="00F30490" w:rsidRDefault="00F30490" w:rsidP="00F30490">
      <w:pPr>
        <w:pStyle w:val="ListParagraph"/>
        <w:rPr>
          <w:rFonts w:ascii="Verdana" w:hAnsi="Verdana"/>
          <w:b/>
          <w:bCs/>
        </w:rPr>
      </w:pPr>
    </w:p>
    <w:p w14:paraId="5B279307" w14:textId="7E76F19C" w:rsidR="00F05A47" w:rsidRPr="00F30490" w:rsidRDefault="00F05A47" w:rsidP="00915669">
      <w:pPr>
        <w:pStyle w:val="ListParagraph"/>
        <w:numPr>
          <w:ilvl w:val="1"/>
          <w:numId w:val="13"/>
        </w:numPr>
        <w:spacing w:line="276" w:lineRule="auto"/>
        <w:rPr>
          <w:rFonts w:ascii="Verdana" w:hAnsi="Verdana"/>
        </w:rPr>
      </w:pPr>
      <w:r w:rsidRPr="00F30490">
        <w:rPr>
          <w:rFonts w:ascii="Verdana" w:hAnsi="Verdana"/>
          <w:b/>
          <w:bCs/>
        </w:rPr>
        <w:t xml:space="preserve">The Advisory Committee may wish to ask the State Party what steps are taken to ensure it can comprehensively report on the obligations of the UK Government and the NI Executive regarding the application of the Framework Convention in NI. </w:t>
      </w:r>
    </w:p>
    <w:p w14:paraId="121FA8D6" w14:textId="3FF3BAB3" w:rsidR="00F635E0" w:rsidRDefault="00F635E0" w:rsidP="00CA4B89">
      <w:pPr>
        <w:spacing w:line="276" w:lineRule="auto"/>
        <w:rPr>
          <w:rFonts w:ascii="Verdana" w:eastAsia="Verdana" w:hAnsi="Verdana" w:cs="Verdana"/>
        </w:rPr>
      </w:pPr>
    </w:p>
    <w:p w14:paraId="044E379A" w14:textId="7A03E3F1" w:rsidR="00CA4B89" w:rsidRDefault="00CA4B89" w:rsidP="00CA4B89">
      <w:pPr>
        <w:pStyle w:val="Heading2"/>
      </w:pPr>
      <w:bookmarkStart w:id="2" w:name="_Toc97030895"/>
      <w:r>
        <w:t xml:space="preserve">Northern Ireland </w:t>
      </w:r>
      <w:r w:rsidR="003528B0">
        <w:t>H</w:t>
      </w:r>
      <w:r>
        <w:t>uman Rights Commission</w:t>
      </w:r>
      <w:bookmarkEnd w:id="2"/>
    </w:p>
    <w:p w14:paraId="21DBE185" w14:textId="529B06B9" w:rsidR="00CA4B89" w:rsidRDefault="00CA4B89" w:rsidP="00CA4B89">
      <w:pPr>
        <w:spacing w:line="276" w:lineRule="auto"/>
        <w:rPr>
          <w:rFonts w:ascii="Verdana" w:eastAsia="Verdana" w:hAnsi="Verdana" w:cs="Verdana"/>
        </w:rPr>
      </w:pPr>
    </w:p>
    <w:p w14:paraId="784B4D62" w14:textId="7BE4AF9E" w:rsidR="00F30490" w:rsidRDefault="004B2D8A" w:rsidP="00915669">
      <w:pPr>
        <w:pStyle w:val="ListParagraph"/>
        <w:numPr>
          <w:ilvl w:val="1"/>
          <w:numId w:val="13"/>
        </w:numPr>
        <w:spacing w:line="276" w:lineRule="auto"/>
        <w:rPr>
          <w:rFonts w:ascii="Verdana" w:eastAsia="Verdana" w:hAnsi="Verdana" w:cs="Verdana"/>
        </w:rPr>
      </w:pPr>
      <w:r w:rsidRPr="00F30490">
        <w:rPr>
          <w:rFonts w:ascii="Verdana" w:eastAsia="Verdana" w:hAnsi="Verdana" w:cs="Verdana"/>
        </w:rPr>
        <w:t>Following the UK Government Comprehensive Spending Re</w:t>
      </w:r>
      <w:r w:rsidR="003528B0" w:rsidRPr="00F30490">
        <w:rPr>
          <w:rFonts w:ascii="Verdana" w:eastAsia="Verdana" w:hAnsi="Verdana" w:cs="Verdana"/>
        </w:rPr>
        <w:t xml:space="preserve">view, the NIHRC has received a </w:t>
      </w:r>
      <w:r w:rsidRPr="00F30490">
        <w:rPr>
          <w:rFonts w:ascii="Verdana" w:eastAsia="Verdana" w:hAnsi="Verdana" w:cs="Verdana"/>
        </w:rPr>
        <w:t xml:space="preserve">five per cent cut to its budget for 2022/23, with flat rate budgets for the following two years. The consequence of this is that the NIHRC has had to cease recruitment, leaving it with a staff team of 20 per cent less than minimum. It </w:t>
      </w:r>
      <w:r w:rsidR="003528B0" w:rsidRPr="00F30490">
        <w:rPr>
          <w:rFonts w:ascii="Verdana" w:eastAsia="Verdana" w:hAnsi="Verdana" w:cs="Verdana"/>
        </w:rPr>
        <w:t xml:space="preserve">will not have the ability to utilise its core powers, including its investigatory and educational functions, by the third year of the budget cuts. </w:t>
      </w:r>
      <w:r w:rsidRPr="00F30490">
        <w:rPr>
          <w:rFonts w:ascii="Verdana" w:eastAsia="Verdana" w:hAnsi="Verdana" w:cs="Verdana"/>
        </w:rPr>
        <w:t xml:space="preserve"> </w:t>
      </w:r>
    </w:p>
    <w:p w14:paraId="0F324CE4" w14:textId="77777777" w:rsidR="00F30490" w:rsidRDefault="00F30490" w:rsidP="00F30490">
      <w:pPr>
        <w:pStyle w:val="ListParagraph"/>
        <w:spacing w:line="276" w:lineRule="auto"/>
        <w:rPr>
          <w:rFonts w:ascii="Verdana" w:eastAsia="Verdana" w:hAnsi="Verdana" w:cs="Verdana"/>
        </w:rPr>
      </w:pPr>
    </w:p>
    <w:p w14:paraId="0DDAEE9C" w14:textId="77777777" w:rsidR="00F30490" w:rsidRDefault="00CA4B89" w:rsidP="00915669">
      <w:pPr>
        <w:pStyle w:val="ListParagraph"/>
        <w:numPr>
          <w:ilvl w:val="1"/>
          <w:numId w:val="13"/>
        </w:numPr>
        <w:spacing w:line="276" w:lineRule="auto"/>
        <w:rPr>
          <w:rFonts w:ascii="Verdana" w:eastAsia="Verdana" w:hAnsi="Verdana" w:cs="Verdana"/>
        </w:rPr>
      </w:pPr>
      <w:r w:rsidRPr="00F30490">
        <w:rPr>
          <w:rFonts w:ascii="Verdana" w:eastAsia="Verdana" w:hAnsi="Verdana" w:cs="Verdana"/>
        </w:rPr>
        <w:t xml:space="preserve">The NIHRC is currently an A status national human rights institution and underwent its periodic reaccreditation process in October 2021. The </w:t>
      </w:r>
      <w:r w:rsidR="00630F7C" w:rsidRPr="00F30490">
        <w:rPr>
          <w:rFonts w:ascii="Verdana" w:eastAsia="Verdana" w:hAnsi="Verdana" w:cs="Verdana"/>
        </w:rPr>
        <w:t>GANHRI Sub-</w:t>
      </w:r>
      <w:r w:rsidRPr="00F30490">
        <w:rPr>
          <w:rFonts w:ascii="Verdana" w:eastAsia="Verdana" w:hAnsi="Verdana" w:cs="Verdana"/>
        </w:rPr>
        <w:t>Committee o</w:t>
      </w:r>
      <w:r w:rsidR="003528B0" w:rsidRPr="00F30490">
        <w:rPr>
          <w:rFonts w:ascii="Verdana" w:eastAsia="Verdana" w:hAnsi="Verdana" w:cs="Verdana"/>
        </w:rPr>
        <w:t>n</w:t>
      </w:r>
      <w:r w:rsidRPr="00F30490">
        <w:rPr>
          <w:rFonts w:ascii="Verdana" w:eastAsia="Verdana" w:hAnsi="Verdana" w:cs="Verdana"/>
        </w:rPr>
        <w:t xml:space="preserve"> Accreditation</w:t>
      </w:r>
      <w:r w:rsidR="004B2D8A" w:rsidRPr="00F30490">
        <w:rPr>
          <w:rFonts w:ascii="Verdana" w:eastAsia="Verdana" w:hAnsi="Verdana" w:cs="Verdana"/>
        </w:rPr>
        <w:t xml:space="preserve"> noted with concern the impact of the budget cuts on the NIHRC’s ability to fulfil its core mandate under the Paris Principles. </w:t>
      </w:r>
      <w:proofErr w:type="gramStart"/>
      <w:r w:rsidR="004B2D8A" w:rsidRPr="00F30490">
        <w:rPr>
          <w:rFonts w:ascii="Verdana" w:eastAsia="Verdana" w:hAnsi="Verdana" w:cs="Verdana"/>
        </w:rPr>
        <w:t>As a consequence</w:t>
      </w:r>
      <w:proofErr w:type="gramEnd"/>
      <w:r w:rsidR="004B2D8A" w:rsidRPr="00F30490">
        <w:rPr>
          <w:rFonts w:ascii="Verdana" w:eastAsia="Verdana" w:hAnsi="Verdana" w:cs="Verdana"/>
        </w:rPr>
        <w:t xml:space="preserve">, it has deferred </w:t>
      </w:r>
      <w:r w:rsidR="00630F7C" w:rsidRPr="00F30490">
        <w:rPr>
          <w:rFonts w:ascii="Verdana" w:eastAsia="Verdana" w:hAnsi="Verdana" w:cs="Verdana"/>
        </w:rPr>
        <w:t xml:space="preserve">its </w:t>
      </w:r>
      <w:r w:rsidR="004B2D8A" w:rsidRPr="00F30490">
        <w:rPr>
          <w:rFonts w:ascii="Verdana" w:eastAsia="Verdana" w:hAnsi="Verdana" w:cs="Verdana"/>
        </w:rPr>
        <w:t xml:space="preserve">decision </w:t>
      </w:r>
      <w:r w:rsidR="00630F7C" w:rsidRPr="00F30490">
        <w:rPr>
          <w:rFonts w:ascii="Verdana" w:eastAsia="Verdana" w:hAnsi="Verdana" w:cs="Verdana"/>
        </w:rPr>
        <w:t xml:space="preserve">on </w:t>
      </w:r>
      <w:r w:rsidR="004B2D8A" w:rsidRPr="00F30490">
        <w:rPr>
          <w:rFonts w:ascii="Verdana" w:eastAsia="Verdana" w:hAnsi="Verdana" w:cs="Verdana"/>
        </w:rPr>
        <w:t>reaccreditation until 2022.</w:t>
      </w:r>
      <w:r w:rsidR="004B2D8A">
        <w:rPr>
          <w:rStyle w:val="FootnoteReference"/>
          <w:rFonts w:ascii="Verdana" w:eastAsia="Verdana" w:hAnsi="Verdana" w:cs="Verdana"/>
        </w:rPr>
        <w:footnoteReference w:id="8"/>
      </w:r>
      <w:r w:rsidRPr="00F30490">
        <w:rPr>
          <w:rFonts w:ascii="Verdana" w:eastAsia="Verdana" w:hAnsi="Verdana" w:cs="Verdana"/>
        </w:rPr>
        <w:t xml:space="preserve"> </w:t>
      </w:r>
    </w:p>
    <w:p w14:paraId="2300A221" w14:textId="77777777" w:rsidR="00F30490" w:rsidRPr="00F30490" w:rsidRDefault="00F30490" w:rsidP="00F30490">
      <w:pPr>
        <w:pStyle w:val="ListParagraph"/>
        <w:rPr>
          <w:rFonts w:ascii="Verdana" w:eastAsia="Verdana" w:hAnsi="Verdana" w:cs="Verdana"/>
        </w:rPr>
      </w:pPr>
    </w:p>
    <w:p w14:paraId="5B8B35D6" w14:textId="77777777" w:rsidR="004A322F" w:rsidRPr="004A322F" w:rsidRDefault="004B2D8A" w:rsidP="00915669">
      <w:pPr>
        <w:pStyle w:val="ListParagraph"/>
        <w:numPr>
          <w:ilvl w:val="1"/>
          <w:numId w:val="13"/>
        </w:numPr>
        <w:spacing w:line="276" w:lineRule="auto"/>
        <w:rPr>
          <w:rFonts w:ascii="Verdana" w:eastAsia="Verdana" w:hAnsi="Verdana" w:cs="Verdana"/>
        </w:rPr>
      </w:pPr>
      <w:r w:rsidRPr="00F30490">
        <w:rPr>
          <w:rFonts w:ascii="Verdana" w:eastAsia="Verdana" w:hAnsi="Verdana" w:cs="Verdana"/>
        </w:rPr>
        <w:t xml:space="preserve">The NIHRC has </w:t>
      </w:r>
      <w:r w:rsidR="003528B0" w:rsidRPr="00F30490">
        <w:rPr>
          <w:rFonts w:ascii="Verdana" w:eastAsia="Verdana" w:hAnsi="Verdana" w:cs="Verdana"/>
        </w:rPr>
        <w:t xml:space="preserve">also </w:t>
      </w:r>
      <w:r w:rsidRPr="00F30490">
        <w:rPr>
          <w:rFonts w:ascii="Verdana" w:eastAsia="Verdana" w:hAnsi="Verdana" w:cs="Verdana"/>
        </w:rPr>
        <w:t xml:space="preserve">called for an independent review of the organisation, as the last was conducted in 2001. The </w:t>
      </w:r>
      <w:r w:rsidR="00630F7C" w:rsidRPr="00F30490">
        <w:rPr>
          <w:rFonts w:ascii="Verdana" w:eastAsia="Verdana" w:hAnsi="Verdana" w:cs="Verdana"/>
        </w:rPr>
        <w:t>Sub-</w:t>
      </w:r>
      <w:r w:rsidRPr="00F30490">
        <w:rPr>
          <w:rFonts w:ascii="Verdana" w:eastAsia="Verdana" w:hAnsi="Verdana" w:cs="Verdana"/>
        </w:rPr>
        <w:t xml:space="preserve">Committee has encouraged the NIHRC to “secure urgent agreement </w:t>
      </w:r>
      <w:r w:rsidRPr="00F30490">
        <w:rPr>
          <w:rFonts w:ascii="Verdana" w:hAnsi="Verdana"/>
        </w:rPr>
        <w:t>to this Review and/or any other means available to it to advocate for an appropriate and adequate level of funding to effectively carry out its mandate.”</w:t>
      </w:r>
      <w:r w:rsidRPr="004B2D8A">
        <w:rPr>
          <w:rStyle w:val="FootnoteReference"/>
          <w:rFonts w:ascii="Verdana" w:hAnsi="Verdana"/>
        </w:rPr>
        <w:footnoteReference w:id="9"/>
      </w:r>
    </w:p>
    <w:p w14:paraId="069D41DD" w14:textId="77777777" w:rsidR="004A322F" w:rsidRPr="004A322F" w:rsidRDefault="004A322F" w:rsidP="004A322F">
      <w:pPr>
        <w:pStyle w:val="ListParagraph"/>
        <w:rPr>
          <w:rFonts w:ascii="Verdana" w:eastAsia="Verdana" w:hAnsi="Verdana" w:cs="Verdana"/>
          <w:b/>
        </w:rPr>
      </w:pPr>
    </w:p>
    <w:p w14:paraId="3B2C7CB5" w14:textId="77777777" w:rsidR="004A322F" w:rsidRPr="004A322F" w:rsidRDefault="004B2D8A" w:rsidP="00915669">
      <w:pPr>
        <w:pStyle w:val="ListParagraph"/>
        <w:numPr>
          <w:ilvl w:val="1"/>
          <w:numId w:val="13"/>
        </w:numPr>
        <w:spacing w:line="276" w:lineRule="auto"/>
        <w:rPr>
          <w:rFonts w:ascii="Verdana" w:eastAsia="Verdana" w:hAnsi="Verdana" w:cs="Verdana"/>
        </w:rPr>
      </w:pPr>
      <w:r w:rsidRPr="003A2BB0">
        <w:rPr>
          <w:rFonts w:ascii="Verdana" w:eastAsia="Verdana" w:hAnsi="Verdana" w:cs="Verdana"/>
          <w:b/>
        </w:rPr>
        <w:t>The Advisory Committee may wish to recommend that the State Party provides adequate and secure funding to enable the NIHRC to fulfil its statutory functions in line with its role as an A status institution</w:t>
      </w:r>
      <w:r w:rsidRPr="004A322F">
        <w:rPr>
          <w:rFonts w:ascii="Verdana" w:eastAsia="Verdana" w:hAnsi="Verdana" w:cs="Verdana"/>
          <w:b/>
        </w:rPr>
        <w:t xml:space="preserve">. </w:t>
      </w:r>
    </w:p>
    <w:p w14:paraId="34B8F75C" w14:textId="77777777" w:rsidR="004A322F" w:rsidRPr="004A322F" w:rsidRDefault="004A322F" w:rsidP="004A322F">
      <w:pPr>
        <w:pStyle w:val="ListParagraph"/>
        <w:rPr>
          <w:rFonts w:ascii="Verdana" w:eastAsia="Verdana" w:hAnsi="Verdana" w:cs="Verdana"/>
          <w:b/>
        </w:rPr>
      </w:pPr>
    </w:p>
    <w:p w14:paraId="1973808B" w14:textId="0CB948DA" w:rsidR="004B2D8A" w:rsidRPr="004A322F" w:rsidRDefault="004B2D8A" w:rsidP="00915669">
      <w:pPr>
        <w:pStyle w:val="ListParagraph"/>
        <w:numPr>
          <w:ilvl w:val="1"/>
          <w:numId w:val="13"/>
        </w:numPr>
        <w:spacing w:line="276" w:lineRule="auto"/>
        <w:rPr>
          <w:rFonts w:ascii="Verdana" w:eastAsia="Verdana" w:hAnsi="Verdana" w:cs="Verdana"/>
        </w:rPr>
      </w:pPr>
      <w:r w:rsidRPr="004A322F">
        <w:rPr>
          <w:rFonts w:ascii="Verdana" w:eastAsia="Verdana" w:hAnsi="Verdana" w:cs="Verdana"/>
          <w:b/>
        </w:rPr>
        <w:t xml:space="preserve">The Advisory Committee may further wish to recommend that the State Party conducts an independent review of the </w:t>
      </w:r>
      <w:r w:rsidR="00630F7C" w:rsidRPr="004A322F">
        <w:rPr>
          <w:rFonts w:ascii="Verdana" w:eastAsia="Verdana" w:hAnsi="Verdana" w:cs="Verdana"/>
          <w:b/>
        </w:rPr>
        <w:t>NIHRC</w:t>
      </w:r>
      <w:r w:rsidRPr="004A322F">
        <w:rPr>
          <w:rFonts w:ascii="Verdana" w:eastAsia="Verdana" w:hAnsi="Verdana" w:cs="Verdana"/>
          <w:b/>
        </w:rPr>
        <w:t>.</w:t>
      </w:r>
    </w:p>
    <w:p w14:paraId="271C0D0F" w14:textId="4CDFD2C9" w:rsidR="00F635E0" w:rsidRPr="00A16ADD" w:rsidRDefault="00F635E0" w:rsidP="00915669">
      <w:pPr>
        <w:pStyle w:val="Heading1"/>
        <w:numPr>
          <w:ilvl w:val="0"/>
          <w:numId w:val="14"/>
        </w:numPr>
      </w:pPr>
      <w:bookmarkStart w:id="3" w:name="_Toc97030896"/>
      <w:r w:rsidRPr="00A16ADD">
        <w:t>Constitutional Issues</w:t>
      </w:r>
      <w:bookmarkEnd w:id="3"/>
    </w:p>
    <w:p w14:paraId="1091A06C" w14:textId="77777777" w:rsidR="002F5181" w:rsidRDefault="002F5181" w:rsidP="004F0CFD">
      <w:pPr>
        <w:pStyle w:val="ListParagraph"/>
        <w:spacing w:line="276" w:lineRule="auto"/>
        <w:ind w:left="360"/>
        <w:rPr>
          <w:rFonts w:ascii="Verdana" w:eastAsia="Verdana" w:hAnsi="Verdana" w:cs="Verdana"/>
        </w:rPr>
      </w:pPr>
    </w:p>
    <w:p w14:paraId="0E627C94" w14:textId="3841EEF8" w:rsidR="002F5181" w:rsidRPr="00A16ADD" w:rsidRDefault="002F5181" w:rsidP="004F0CFD">
      <w:pPr>
        <w:pStyle w:val="Heading2"/>
      </w:pPr>
      <w:bookmarkStart w:id="4" w:name="_Toc97030897"/>
      <w:r w:rsidRPr="00A16ADD">
        <w:t>The UK Withdrawal from the European Union</w:t>
      </w:r>
      <w:bookmarkEnd w:id="4"/>
    </w:p>
    <w:p w14:paraId="3B4D36FC" w14:textId="77777777" w:rsidR="002F5181" w:rsidRPr="002F5181" w:rsidRDefault="002F5181" w:rsidP="002F5181">
      <w:pPr>
        <w:spacing w:line="276" w:lineRule="auto"/>
        <w:ind w:left="142"/>
        <w:rPr>
          <w:rFonts w:ascii="Verdana" w:eastAsia="Verdana" w:hAnsi="Verdana" w:cs="Verdana"/>
        </w:rPr>
      </w:pPr>
    </w:p>
    <w:p w14:paraId="501C8DCD" w14:textId="72114376" w:rsidR="0002701E" w:rsidRDefault="00127191" w:rsidP="00915669">
      <w:pPr>
        <w:pStyle w:val="BasicParagraph"/>
        <w:numPr>
          <w:ilvl w:val="1"/>
          <w:numId w:val="14"/>
        </w:numPr>
        <w:suppressAutoHyphens/>
        <w:ind w:left="709" w:hanging="709"/>
        <w:rPr>
          <w:rFonts w:ascii="Verdana" w:hAnsi="Verdana" w:cs="Arial"/>
          <w:color w:val="auto"/>
        </w:rPr>
      </w:pPr>
      <w:r w:rsidRPr="00B72AD3">
        <w:rPr>
          <w:rFonts w:ascii="Verdana" w:hAnsi="Verdana" w:cs="Arial"/>
          <w:color w:val="auto"/>
        </w:rPr>
        <w:t>The UK left the EU on 31</w:t>
      </w:r>
      <w:r w:rsidRPr="00B72AD3">
        <w:rPr>
          <w:rFonts w:ascii="Verdana" w:hAnsi="Verdana" w:cs="Arial"/>
          <w:color w:val="auto"/>
          <w:vertAlign w:val="superscript"/>
        </w:rPr>
        <w:t xml:space="preserve"> </w:t>
      </w:r>
      <w:r w:rsidRPr="00B72AD3">
        <w:rPr>
          <w:rFonts w:ascii="Verdana" w:hAnsi="Verdana" w:cs="Arial"/>
          <w:color w:val="auto"/>
        </w:rPr>
        <w:t xml:space="preserve">January 2020. The UK signed the UK/EU Withdrawal Agreement in January 2020 and the Protocol on the Ireland/NI Protocol (the Protocol), which is part of the Agreement. These took effect from 1 January 2021. </w:t>
      </w:r>
    </w:p>
    <w:p w14:paraId="1B5608FF" w14:textId="77777777" w:rsidR="0002701E" w:rsidRDefault="0002701E" w:rsidP="0002701E">
      <w:pPr>
        <w:pStyle w:val="BasicParagraph"/>
        <w:suppressAutoHyphens/>
        <w:ind w:left="709"/>
        <w:rPr>
          <w:rFonts w:ascii="Verdana" w:hAnsi="Verdana" w:cs="Arial"/>
          <w:color w:val="auto"/>
        </w:rPr>
      </w:pPr>
    </w:p>
    <w:p w14:paraId="4A1075CE" w14:textId="057E0F45" w:rsidR="00127191" w:rsidRPr="0002701E" w:rsidRDefault="00127191" w:rsidP="00915669">
      <w:pPr>
        <w:pStyle w:val="BasicParagraph"/>
        <w:numPr>
          <w:ilvl w:val="1"/>
          <w:numId w:val="14"/>
        </w:numPr>
        <w:suppressAutoHyphens/>
        <w:ind w:left="709" w:hanging="709"/>
        <w:rPr>
          <w:rFonts w:ascii="Verdana" w:hAnsi="Verdana" w:cs="Arial"/>
          <w:color w:val="auto"/>
        </w:rPr>
      </w:pPr>
      <w:r w:rsidRPr="0002701E">
        <w:rPr>
          <w:rFonts w:ascii="Verdana" w:hAnsi="Verdana" w:cs="Arial"/>
          <w:color w:val="auto"/>
        </w:rPr>
        <w:t>Protocol Article 2(1) commits the UK government to:</w:t>
      </w:r>
    </w:p>
    <w:p w14:paraId="74843819" w14:textId="77777777" w:rsidR="00127191" w:rsidRPr="00B72AD3" w:rsidRDefault="00127191" w:rsidP="00127191">
      <w:pPr>
        <w:pStyle w:val="BasicParagraph"/>
        <w:suppressAutoHyphens/>
        <w:rPr>
          <w:rFonts w:ascii="Verdana" w:hAnsi="Verdana" w:cs="Arial"/>
          <w:color w:val="auto"/>
        </w:rPr>
      </w:pPr>
      <w:r w:rsidRPr="00B72AD3">
        <w:rPr>
          <w:rFonts w:ascii="Verdana" w:hAnsi="Verdana" w:cs="Arial"/>
          <w:color w:val="auto"/>
        </w:rPr>
        <w:t xml:space="preserve"> </w:t>
      </w:r>
    </w:p>
    <w:p w14:paraId="489F1B20" w14:textId="3B51A65C" w:rsidR="0002701E" w:rsidRDefault="00127191" w:rsidP="0002701E">
      <w:pPr>
        <w:pStyle w:val="BasicParagraph"/>
        <w:suppressAutoHyphens/>
        <w:ind w:left="1134"/>
        <w:rPr>
          <w:rFonts w:ascii="Verdana" w:hAnsi="Verdana" w:cs="Arial"/>
          <w:color w:val="auto"/>
        </w:rPr>
      </w:pPr>
      <w:r w:rsidRPr="00B72AD3">
        <w:rPr>
          <w:rFonts w:ascii="Verdana" w:hAnsi="Verdana" w:cs="Arial"/>
          <w:color w:val="auto"/>
        </w:rPr>
        <w:t xml:space="preserve">ensure that no diminution of rights, </w:t>
      </w:r>
      <w:proofErr w:type="gramStart"/>
      <w:r w:rsidRPr="00B72AD3">
        <w:rPr>
          <w:rFonts w:ascii="Verdana" w:hAnsi="Verdana" w:cs="Arial"/>
          <w:color w:val="auto"/>
        </w:rPr>
        <w:t>safeguards</w:t>
      </w:r>
      <w:proofErr w:type="gramEnd"/>
      <w:r w:rsidRPr="00B72AD3">
        <w:rPr>
          <w:rFonts w:ascii="Verdana" w:hAnsi="Verdana" w:cs="Arial"/>
          <w:color w:val="auto"/>
        </w:rPr>
        <w:t xml:space="preserve">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r w:rsidRPr="00B72AD3">
        <w:rPr>
          <w:rFonts w:ascii="Verdana" w:hAnsi="Verdana" w:cs="Arial"/>
          <w:color w:val="auto"/>
          <w:vertAlign w:val="superscript"/>
        </w:rPr>
        <w:footnoteReference w:id="10"/>
      </w:r>
    </w:p>
    <w:p w14:paraId="4667F9CD" w14:textId="77777777" w:rsidR="00D247D3" w:rsidRDefault="00D247D3" w:rsidP="0002701E">
      <w:pPr>
        <w:pStyle w:val="BasicParagraph"/>
        <w:suppressAutoHyphens/>
        <w:ind w:left="1134"/>
        <w:rPr>
          <w:rFonts w:ascii="Verdana" w:hAnsi="Verdana" w:cs="Arial"/>
          <w:color w:val="auto"/>
        </w:rPr>
      </w:pPr>
    </w:p>
    <w:p w14:paraId="210243DF" w14:textId="6EF28346" w:rsidR="00D247D3" w:rsidRDefault="00127191" w:rsidP="00915669">
      <w:pPr>
        <w:pStyle w:val="BasicParagraph"/>
        <w:numPr>
          <w:ilvl w:val="1"/>
          <w:numId w:val="14"/>
        </w:numPr>
        <w:suppressAutoHyphens/>
        <w:ind w:left="709" w:hanging="709"/>
        <w:rPr>
          <w:rFonts w:ascii="Verdana" w:hAnsi="Verdana" w:cs="Arial"/>
          <w:color w:val="auto"/>
        </w:rPr>
      </w:pPr>
      <w:r w:rsidRPr="00B72AD3">
        <w:rPr>
          <w:rFonts w:ascii="Verdana" w:hAnsi="Verdana" w:cs="Arial"/>
          <w:color w:val="auto"/>
        </w:rPr>
        <w:t xml:space="preserve">Protocol Article 2 requires the UK Government and the NI Executive to ensure that no diminution of rights, safeguards and equality of opportunities contained in the relevant part of the Belfast (Good Friday) Agreement 1998 occurs </w:t>
      </w:r>
      <w:proofErr w:type="gramStart"/>
      <w:r w:rsidRPr="00B72AD3">
        <w:rPr>
          <w:rFonts w:ascii="Verdana" w:hAnsi="Verdana" w:cs="Arial"/>
          <w:color w:val="auto"/>
        </w:rPr>
        <w:t>as a result of</w:t>
      </w:r>
      <w:proofErr w:type="gramEnd"/>
      <w:r w:rsidRPr="00B72AD3">
        <w:rPr>
          <w:rFonts w:ascii="Verdana" w:hAnsi="Verdana" w:cs="Arial"/>
          <w:color w:val="auto"/>
        </w:rPr>
        <w:t xml:space="preserve"> the UK’s withdrawal from the EU. </w:t>
      </w:r>
    </w:p>
    <w:p w14:paraId="68A2F649" w14:textId="77777777" w:rsidR="00D247D3" w:rsidRDefault="00D247D3" w:rsidP="00D247D3">
      <w:pPr>
        <w:pStyle w:val="BasicParagraph"/>
        <w:suppressAutoHyphens/>
        <w:ind w:left="709"/>
        <w:rPr>
          <w:rFonts w:ascii="Verdana" w:hAnsi="Verdana" w:cs="Arial"/>
          <w:color w:val="auto"/>
        </w:rPr>
      </w:pPr>
    </w:p>
    <w:p w14:paraId="3C674E44" w14:textId="09BE6C22" w:rsidR="00127191" w:rsidRPr="000D27A3" w:rsidRDefault="00127191" w:rsidP="000D27A3">
      <w:pPr>
        <w:pStyle w:val="BasicParagraph"/>
        <w:numPr>
          <w:ilvl w:val="1"/>
          <w:numId w:val="14"/>
        </w:numPr>
        <w:suppressAutoHyphens/>
        <w:ind w:left="709" w:hanging="709"/>
        <w:rPr>
          <w:rFonts w:ascii="Verdana" w:hAnsi="Verdana" w:cs="Arial"/>
          <w:color w:val="auto"/>
        </w:rPr>
      </w:pPr>
      <w:r w:rsidRPr="00D247D3">
        <w:rPr>
          <w:rFonts w:ascii="Verdana" w:hAnsi="Verdana" w:cs="Arial"/>
          <w:color w:val="auto"/>
        </w:rPr>
        <w:t xml:space="preserve">In the rights, </w:t>
      </w:r>
      <w:proofErr w:type="gramStart"/>
      <w:r w:rsidRPr="00D247D3">
        <w:rPr>
          <w:rFonts w:ascii="Verdana" w:hAnsi="Verdana" w:cs="Arial"/>
          <w:color w:val="auto"/>
        </w:rPr>
        <w:t>safeguards</w:t>
      </w:r>
      <w:proofErr w:type="gramEnd"/>
      <w:r w:rsidRPr="00D247D3">
        <w:rPr>
          <w:rFonts w:ascii="Verdana" w:hAnsi="Verdana" w:cs="Arial"/>
          <w:color w:val="auto"/>
        </w:rPr>
        <w:t xml:space="preserve"> and equality of opportunity chapter of the Belfast (Good Friday) Agreement, the parties affirmed their commitment to “the mutual respect, the civil rights and religious liberties of everyone in the community</w:t>
      </w:r>
      <w:r w:rsidR="005B2E0E">
        <w:rPr>
          <w:rFonts w:ascii="Verdana" w:hAnsi="Verdana" w:cs="Arial"/>
          <w:color w:val="auto"/>
        </w:rPr>
        <w:t>.</w:t>
      </w:r>
      <w:r w:rsidRPr="00D247D3">
        <w:rPr>
          <w:rFonts w:ascii="Verdana" w:hAnsi="Verdana" w:cs="Arial"/>
          <w:color w:val="auto"/>
        </w:rPr>
        <w:t>”</w:t>
      </w:r>
      <w:r w:rsidR="005B2E0E">
        <w:rPr>
          <w:rStyle w:val="FootnoteReference"/>
          <w:rFonts w:ascii="Verdana" w:hAnsi="Verdana" w:cs="Arial"/>
          <w:color w:val="auto"/>
        </w:rPr>
        <w:footnoteReference w:id="11"/>
      </w:r>
    </w:p>
    <w:p w14:paraId="6544E375" w14:textId="77777777" w:rsidR="00127191" w:rsidRDefault="00127191" w:rsidP="00127191">
      <w:pPr>
        <w:autoSpaceDE w:val="0"/>
        <w:autoSpaceDN w:val="0"/>
        <w:adjustRightInd w:val="0"/>
        <w:rPr>
          <w:rFonts w:ascii="Verdana" w:hAnsi="Verdana" w:cs="Gotham Light"/>
          <w:color w:val="000000"/>
        </w:rPr>
      </w:pPr>
    </w:p>
    <w:p w14:paraId="62E7D6FF" w14:textId="02AE7366" w:rsidR="008C49D2" w:rsidRPr="000D27A3" w:rsidRDefault="00127191" w:rsidP="000D27A3">
      <w:pPr>
        <w:pStyle w:val="ListParagraph"/>
        <w:numPr>
          <w:ilvl w:val="1"/>
          <w:numId w:val="14"/>
        </w:numPr>
        <w:autoSpaceDE w:val="0"/>
        <w:autoSpaceDN w:val="0"/>
        <w:adjustRightInd w:val="0"/>
        <w:spacing w:line="276" w:lineRule="auto"/>
        <w:ind w:left="709" w:hanging="709"/>
        <w:rPr>
          <w:rFonts w:ascii="Verdana" w:hAnsi="Verdana" w:cs="Gotham Light"/>
          <w:color w:val="000000"/>
        </w:rPr>
      </w:pPr>
      <w:r w:rsidRPr="00125D79">
        <w:rPr>
          <w:rFonts w:ascii="Verdana" w:hAnsi="Verdana" w:cs="Gotham Light"/>
          <w:color w:val="000000"/>
        </w:rPr>
        <w:t xml:space="preserve">This </w:t>
      </w:r>
      <w:r w:rsidR="004B4255">
        <w:rPr>
          <w:rFonts w:ascii="Verdana" w:hAnsi="Verdana" w:cs="Gotham Light"/>
          <w:color w:val="000000"/>
        </w:rPr>
        <w:t xml:space="preserve">is </w:t>
      </w:r>
      <w:r w:rsidRPr="00125D79">
        <w:rPr>
          <w:rFonts w:ascii="Verdana" w:hAnsi="Verdana" w:cs="Gotham Light"/>
          <w:color w:val="000000"/>
        </w:rPr>
        <w:t xml:space="preserve">immediately followed by a commitment by the UK government to complete incorporation of the ECHR, including direct access to the courts and remedies for breach. Other rights and safeguards in </w:t>
      </w:r>
      <w:r w:rsidRPr="00125D79">
        <w:rPr>
          <w:rFonts w:ascii="Verdana" w:hAnsi="Verdana" w:cs="Arial"/>
          <w:color w:val="232120"/>
        </w:rPr>
        <w:t xml:space="preserve">of rights, </w:t>
      </w:r>
      <w:proofErr w:type="gramStart"/>
      <w:r w:rsidRPr="00125D79">
        <w:rPr>
          <w:rFonts w:ascii="Verdana" w:hAnsi="Verdana" w:cs="Arial"/>
          <w:color w:val="232120"/>
        </w:rPr>
        <w:t>safeguards</w:t>
      </w:r>
      <w:proofErr w:type="gramEnd"/>
      <w:r w:rsidRPr="00125D79">
        <w:rPr>
          <w:rFonts w:ascii="Verdana" w:hAnsi="Verdana" w:cs="Arial"/>
          <w:color w:val="232120"/>
        </w:rPr>
        <w:t xml:space="preserve"> and equality of opportunities</w:t>
      </w:r>
      <w:r w:rsidRPr="00125D79">
        <w:rPr>
          <w:rFonts w:ascii="Verdana" w:hAnsi="Verdana" w:cs="Gotham Light"/>
          <w:color w:val="000000"/>
        </w:rPr>
        <w:t xml:space="preserve"> chapter of the Belfast (Good Friday) Agreement include:</w:t>
      </w:r>
      <w:r w:rsidR="000075FD">
        <w:rPr>
          <w:rFonts w:ascii="Verdana" w:hAnsi="Verdana" w:cs="Gotham Light"/>
          <w:color w:val="000000"/>
        </w:rPr>
        <w:t xml:space="preserve"> the right of victims to remember as well as contribute to a changed society,</w:t>
      </w:r>
      <w:r w:rsidR="00424ADE">
        <w:rPr>
          <w:rFonts w:ascii="Verdana" w:hAnsi="Verdana" w:cs="Gotham Light"/>
          <w:color w:val="000000"/>
        </w:rPr>
        <w:t xml:space="preserve"> respect, understanding and tolerance in relation to linguistic diversity, and the need to ensure that symbols and emblems are used in a manner which promotes mutual respect rather than division.</w:t>
      </w:r>
      <w:r w:rsidR="00424ADE" w:rsidRPr="00305C06">
        <w:rPr>
          <w:rStyle w:val="FootnoteReference"/>
          <w:rFonts w:ascii="Verdana" w:hAnsi="Verdana" w:cs="Gotham Light"/>
          <w:color w:val="000000"/>
        </w:rPr>
        <w:footnoteReference w:id="12"/>
      </w:r>
    </w:p>
    <w:p w14:paraId="51340B11" w14:textId="77777777" w:rsidR="00127191" w:rsidRPr="00382710" w:rsidRDefault="00127191" w:rsidP="00127191">
      <w:pPr>
        <w:pStyle w:val="BasicParagraph"/>
        <w:suppressAutoHyphens/>
        <w:rPr>
          <w:rFonts w:ascii="Verdana" w:hAnsi="Verdana" w:cs="Arial"/>
          <w:color w:val="232120"/>
        </w:rPr>
      </w:pPr>
    </w:p>
    <w:p w14:paraId="4A40C2B4" w14:textId="317A5E64" w:rsidR="00D247D3" w:rsidRDefault="00127191" w:rsidP="00915669">
      <w:pPr>
        <w:pStyle w:val="BasicParagraph"/>
        <w:numPr>
          <w:ilvl w:val="1"/>
          <w:numId w:val="14"/>
        </w:numPr>
        <w:suppressAutoHyphens/>
        <w:ind w:left="709" w:hanging="709"/>
        <w:rPr>
          <w:rFonts w:ascii="Verdana" w:hAnsi="Verdana" w:cs="Arial"/>
          <w:color w:val="232120"/>
        </w:rPr>
      </w:pPr>
      <w:r w:rsidRPr="00382710">
        <w:rPr>
          <w:rFonts w:ascii="Verdana" w:hAnsi="Verdana" w:cs="Arial"/>
          <w:color w:val="232120"/>
        </w:rPr>
        <w:t>Annex 1 of the Protocol sets out six EU equality Directives</w:t>
      </w:r>
      <w:r w:rsidR="00904A33">
        <w:rPr>
          <w:rFonts w:ascii="Verdana" w:hAnsi="Verdana" w:cs="Arial"/>
          <w:color w:val="232120"/>
        </w:rPr>
        <w:t>.</w:t>
      </w:r>
      <w:r w:rsidR="00904A33">
        <w:rPr>
          <w:rStyle w:val="FootnoteReference"/>
          <w:rFonts w:ascii="Verdana" w:hAnsi="Verdana" w:cs="Arial"/>
          <w:color w:val="232120"/>
        </w:rPr>
        <w:footnoteReference w:id="13"/>
      </w:r>
      <w:r w:rsidRPr="00382710">
        <w:rPr>
          <w:rFonts w:ascii="Verdana" w:hAnsi="Verdana" w:cs="Arial"/>
          <w:color w:val="232120"/>
        </w:rPr>
        <w:t xml:space="preserve"> </w:t>
      </w:r>
      <w:r>
        <w:rPr>
          <w:rFonts w:ascii="Verdana" w:hAnsi="Verdana" w:cs="Arial"/>
          <w:color w:val="auto"/>
        </w:rPr>
        <w:t>Protocol</w:t>
      </w:r>
      <w:r w:rsidR="00D5036B">
        <w:rPr>
          <w:rFonts w:ascii="Verdana" w:hAnsi="Verdana" w:cs="Arial"/>
          <w:color w:val="auto"/>
        </w:rPr>
        <w:t xml:space="preserve"> Article 2 requires </w:t>
      </w:r>
      <w:r w:rsidR="00D5036B" w:rsidRPr="002A1BF9">
        <w:rPr>
          <w:rFonts w:ascii="Verdana" w:hAnsi="Verdana" w:cs="Arial"/>
          <w:color w:val="auto"/>
        </w:rPr>
        <w:t xml:space="preserve">the UK Government to “keep pace” with any changes made by the EU six Annex 1 </w:t>
      </w:r>
      <w:r w:rsidR="00DA29D2">
        <w:rPr>
          <w:rFonts w:ascii="Verdana" w:hAnsi="Verdana" w:cs="Arial"/>
          <w:color w:val="auto"/>
        </w:rPr>
        <w:t>Equality</w:t>
      </w:r>
      <w:r w:rsidR="00D5036B" w:rsidRPr="002A1BF9">
        <w:rPr>
          <w:rFonts w:ascii="Verdana" w:hAnsi="Verdana" w:cs="Arial"/>
          <w:color w:val="auto"/>
        </w:rPr>
        <w:t xml:space="preserve"> Directives which improve the minimum levels of protection available, after 1 January 2021</w:t>
      </w:r>
      <w:r w:rsidRPr="00382710">
        <w:rPr>
          <w:rFonts w:ascii="Verdana" w:hAnsi="Verdana" w:cs="Arial"/>
          <w:color w:val="232120"/>
        </w:rPr>
        <w:t>.</w:t>
      </w:r>
      <w:r w:rsidRPr="00382710">
        <w:rPr>
          <w:rFonts w:ascii="Verdana" w:hAnsi="Verdana" w:cs="Arial"/>
          <w:color w:val="232120"/>
          <w:vertAlign w:val="superscript"/>
        </w:rPr>
        <w:footnoteReference w:id="14"/>
      </w:r>
    </w:p>
    <w:p w14:paraId="3E83E47D" w14:textId="77777777" w:rsidR="00D247D3" w:rsidRDefault="00D247D3" w:rsidP="00D247D3">
      <w:pPr>
        <w:pStyle w:val="BasicParagraph"/>
        <w:suppressAutoHyphens/>
        <w:ind w:left="709"/>
        <w:rPr>
          <w:rFonts w:ascii="Verdana" w:hAnsi="Verdana" w:cs="Arial"/>
          <w:color w:val="232120"/>
        </w:rPr>
      </w:pPr>
    </w:p>
    <w:p w14:paraId="5D93F727" w14:textId="77777777" w:rsidR="00D247D3" w:rsidRDefault="009B22C5" w:rsidP="00915669">
      <w:pPr>
        <w:pStyle w:val="BasicParagraph"/>
        <w:numPr>
          <w:ilvl w:val="1"/>
          <w:numId w:val="14"/>
        </w:numPr>
        <w:suppressAutoHyphens/>
        <w:ind w:left="709" w:hanging="709"/>
        <w:rPr>
          <w:rFonts w:ascii="Verdana" w:hAnsi="Verdana" w:cs="Arial"/>
          <w:color w:val="232120"/>
        </w:rPr>
      </w:pPr>
      <w:r w:rsidRPr="00D247D3">
        <w:rPr>
          <w:rFonts w:ascii="Verdana" w:hAnsi="Verdana" w:cs="Arial"/>
          <w:color w:val="auto"/>
        </w:rPr>
        <w:t xml:space="preserve">For other EU obligations which underpin the rights, </w:t>
      </w:r>
      <w:proofErr w:type="gramStart"/>
      <w:r w:rsidRPr="00D247D3">
        <w:rPr>
          <w:rFonts w:ascii="Verdana" w:hAnsi="Verdana" w:cs="Arial"/>
          <w:color w:val="auto"/>
        </w:rPr>
        <w:t>safeguards</w:t>
      </w:r>
      <w:proofErr w:type="gramEnd"/>
      <w:r w:rsidRPr="00D247D3">
        <w:rPr>
          <w:rFonts w:ascii="Verdana" w:hAnsi="Verdana" w:cs="Arial"/>
          <w:color w:val="auto"/>
        </w:rPr>
        <w:t xml:space="preserve"> and equality of opportunity in Article 2, the commitment to ensure ‘no diminution’ is measured by the relevant EU standards on 31 December 2020.  The UK Government has committed to ensuring that there will be no diminution of protections as were contained in relevant EU law on 31 December 2020.</w:t>
      </w:r>
      <w:r w:rsidRPr="002A1BF9">
        <w:rPr>
          <w:rFonts w:ascii="Verdana" w:hAnsi="Verdana" w:cs="Arial"/>
          <w:color w:val="auto"/>
          <w:vertAlign w:val="superscript"/>
        </w:rPr>
        <w:footnoteReference w:id="15"/>
      </w:r>
      <w:r w:rsidR="00127191" w:rsidRPr="00D247D3">
        <w:rPr>
          <w:rFonts w:ascii="Verdana" w:hAnsi="Verdana" w:cs="Arial"/>
          <w:color w:val="232120"/>
        </w:rPr>
        <w:t xml:space="preserve"> </w:t>
      </w:r>
    </w:p>
    <w:p w14:paraId="107D7926" w14:textId="77777777" w:rsidR="00D247D3" w:rsidRDefault="00D247D3" w:rsidP="00D247D3">
      <w:pPr>
        <w:pStyle w:val="ListParagraph"/>
        <w:rPr>
          <w:rFonts w:ascii="Verdana" w:hAnsi="Verdana" w:cs="Arial"/>
          <w:color w:val="232120"/>
        </w:rPr>
      </w:pPr>
    </w:p>
    <w:p w14:paraId="39FC612E" w14:textId="3C532A8B" w:rsidR="00B57333" w:rsidRPr="00D247D3" w:rsidRDefault="00127191" w:rsidP="00915669">
      <w:pPr>
        <w:pStyle w:val="BasicParagraph"/>
        <w:numPr>
          <w:ilvl w:val="1"/>
          <w:numId w:val="14"/>
        </w:numPr>
        <w:suppressAutoHyphens/>
        <w:ind w:left="709" w:hanging="709"/>
        <w:rPr>
          <w:rFonts w:ascii="Verdana" w:hAnsi="Verdana" w:cs="Arial"/>
          <w:color w:val="232120"/>
        </w:rPr>
      </w:pPr>
      <w:r w:rsidRPr="00D247D3">
        <w:rPr>
          <w:rFonts w:ascii="Verdana" w:hAnsi="Verdana" w:cs="Arial"/>
          <w:color w:val="232120"/>
        </w:rPr>
        <w:t>The NIHRC and the</w:t>
      </w:r>
      <w:r w:rsidRPr="00D247D3" w:rsidDel="002A1842">
        <w:rPr>
          <w:rFonts w:ascii="Verdana" w:hAnsi="Verdana" w:cs="Arial"/>
          <w:color w:val="232120"/>
        </w:rPr>
        <w:t xml:space="preserve"> </w:t>
      </w:r>
      <w:r w:rsidR="002A1842" w:rsidRPr="00D247D3">
        <w:rPr>
          <w:rFonts w:ascii="Verdana" w:hAnsi="Verdana" w:cs="Arial"/>
          <w:color w:val="232120"/>
        </w:rPr>
        <w:t xml:space="preserve">Equality Commission for Northern Ireland (ECNI) </w:t>
      </w:r>
      <w:r w:rsidRPr="00D247D3">
        <w:rPr>
          <w:rFonts w:ascii="Verdana" w:hAnsi="Verdana" w:cs="Arial"/>
          <w:color w:val="232120"/>
        </w:rPr>
        <w:t>are mandated through the EU (Withdrawal Agreement) Act to monitor the implementation of Article 2 of the Protocol, advise the Secretary of State for NI and the Executive Committee of the NI Assembly of legislative and other measures which ought to be taken to implement Article 2(1) of the Protocol, as well as promote and enforce its implementation.</w:t>
      </w:r>
      <w:r w:rsidRPr="00382710">
        <w:rPr>
          <w:rFonts w:ascii="Verdana" w:hAnsi="Verdana" w:cs="Arial"/>
          <w:color w:val="232120"/>
          <w:vertAlign w:val="superscript"/>
        </w:rPr>
        <w:footnoteReference w:id="16"/>
      </w:r>
      <w:r w:rsidRPr="00D247D3">
        <w:rPr>
          <w:rFonts w:ascii="Verdana" w:hAnsi="Verdana" w:cs="Arial"/>
          <w:color w:val="232120"/>
        </w:rPr>
        <w:t xml:space="preserve">  These new powers took effect from 1 January 2021 and additional funds were provided to the NIHRC and ECNI in July 2020 to undertake their role as part of the dedicated mechanism.</w:t>
      </w:r>
    </w:p>
    <w:p w14:paraId="66712085" w14:textId="4CE78571" w:rsidR="53829189" w:rsidRDefault="53829189" w:rsidP="003A234C">
      <w:pPr>
        <w:spacing w:line="276" w:lineRule="auto"/>
        <w:rPr>
          <w:rFonts w:ascii="Verdana" w:hAnsi="Verdana"/>
        </w:rPr>
      </w:pPr>
    </w:p>
    <w:p w14:paraId="4F96F3E1" w14:textId="40A12FED" w:rsidR="003A234C" w:rsidRPr="00A16ADD" w:rsidRDefault="00296239" w:rsidP="003A234C">
      <w:pPr>
        <w:pStyle w:val="Heading2"/>
      </w:pPr>
      <w:bookmarkStart w:id="5" w:name="_Toc97030898"/>
      <w:r w:rsidRPr="00A16ADD">
        <w:t>A Bill of Rights for NI</w:t>
      </w:r>
      <w:bookmarkEnd w:id="5"/>
    </w:p>
    <w:p w14:paraId="64C33270" w14:textId="77777777" w:rsidR="003A234C" w:rsidRPr="003A234C" w:rsidRDefault="003A234C" w:rsidP="003A234C">
      <w:pPr>
        <w:spacing w:line="276" w:lineRule="auto"/>
        <w:rPr>
          <w:rFonts w:ascii="Verdana" w:hAnsi="Verdana"/>
        </w:rPr>
      </w:pPr>
    </w:p>
    <w:p w14:paraId="7AEC7A47" w14:textId="5D1BF28C" w:rsidR="00D247D3" w:rsidRDefault="00B57333" w:rsidP="00915669">
      <w:pPr>
        <w:pStyle w:val="ListParagraph"/>
        <w:numPr>
          <w:ilvl w:val="1"/>
          <w:numId w:val="14"/>
        </w:numPr>
        <w:spacing w:line="276" w:lineRule="auto"/>
        <w:ind w:left="709" w:hanging="709"/>
        <w:rPr>
          <w:rFonts w:ascii="Verdana" w:hAnsi="Verdana"/>
        </w:rPr>
      </w:pPr>
      <w:r w:rsidRPr="00D247D3">
        <w:rPr>
          <w:rFonts w:ascii="Verdana" w:hAnsi="Verdana"/>
        </w:rPr>
        <w:t xml:space="preserve">The constitutional framework in NI flows from the 1998 Belfast (Good Friday) Agreement and NI Act 1998, although core commitments have yet to be implemented by the UK. This includes the UK commitment to legislate in the UK Parliament for a Bill of Rights for NI. </w:t>
      </w:r>
    </w:p>
    <w:p w14:paraId="1434CF56" w14:textId="77777777" w:rsidR="00D247D3" w:rsidRDefault="00D247D3" w:rsidP="00D247D3">
      <w:pPr>
        <w:pStyle w:val="ListParagraph"/>
        <w:spacing w:line="276" w:lineRule="auto"/>
        <w:ind w:left="709"/>
        <w:rPr>
          <w:rFonts w:ascii="Verdana" w:hAnsi="Verdana"/>
        </w:rPr>
      </w:pPr>
    </w:p>
    <w:p w14:paraId="5EEE83E3" w14:textId="77777777" w:rsidR="00D247D3" w:rsidRPr="00D247D3" w:rsidRDefault="00B57333" w:rsidP="00915669">
      <w:pPr>
        <w:pStyle w:val="ListParagraph"/>
        <w:numPr>
          <w:ilvl w:val="1"/>
          <w:numId w:val="14"/>
        </w:numPr>
        <w:spacing w:line="276" w:lineRule="auto"/>
        <w:ind w:left="709" w:hanging="709"/>
        <w:rPr>
          <w:rFonts w:ascii="Verdana" w:hAnsi="Verdana"/>
        </w:rPr>
      </w:pPr>
      <w:r w:rsidRPr="00D247D3">
        <w:rPr>
          <w:rFonts w:ascii="Verdana" w:hAnsi="Verdana" w:cs="YIUEB V+ Gotham"/>
          <w:color w:val="000000"/>
        </w:rPr>
        <w:t xml:space="preserve">In 2008, the NIHRC provided advice to the UK Government on a Bill of Rights for NI. On receipt of its advice. </w:t>
      </w:r>
      <w:r w:rsidR="00473C26" w:rsidRPr="00D247D3">
        <w:rPr>
          <w:rFonts w:ascii="Verdana" w:hAnsi="Verdana" w:cs="YIUEB V+ Gotham"/>
          <w:color w:val="000000"/>
        </w:rPr>
        <w:t>The</w:t>
      </w:r>
      <w:r w:rsidRPr="00D247D3">
        <w:rPr>
          <w:rFonts w:ascii="Verdana" w:hAnsi="Verdana" w:cs="YIUEB V+ Gotham"/>
          <w:color w:val="000000"/>
        </w:rPr>
        <w:t xml:space="preserve"> NI Office sought views from the public by way of a public consultation, which found “considerable support from human rights and community groups for a wide-ranging Bill of Rights along the lines of that recommended by the </w:t>
      </w:r>
      <w:r w:rsidR="00A65E7B" w:rsidRPr="00D247D3">
        <w:rPr>
          <w:rFonts w:ascii="Verdana" w:hAnsi="Verdana" w:cs="YIUEB V+ Gotham"/>
          <w:color w:val="000000"/>
        </w:rPr>
        <w:t>NIHRC</w:t>
      </w:r>
      <w:r w:rsidRPr="00D247D3">
        <w:rPr>
          <w:rFonts w:ascii="Verdana" w:hAnsi="Verdana" w:cs="YIUEB V+ Gotham"/>
          <w:color w:val="000000"/>
        </w:rPr>
        <w:t>”.</w:t>
      </w:r>
      <w:r w:rsidRPr="00B57333">
        <w:rPr>
          <w:rStyle w:val="FootnoteReference"/>
          <w:rFonts w:ascii="Verdana" w:hAnsi="Verdana" w:cs="YIUEB V+ Gotham"/>
          <w:color w:val="000000"/>
        </w:rPr>
        <w:footnoteReference w:id="17"/>
      </w:r>
    </w:p>
    <w:p w14:paraId="7F467321" w14:textId="77777777" w:rsidR="00D247D3" w:rsidRPr="00D247D3" w:rsidRDefault="00D247D3" w:rsidP="00D247D3">
      <w:pPr>
        <w:pStyle w:val="ListParagraph"/>
        <w:rPr>
          <w:rFonts w:ascii="Verdana" w:hAnsi="Verdana" w:cs="YIUEB V+ Gotham"/>
          <w:color w:val="000000"/>
        </w:rPr>
      </w:pPr>
    </w:p>
    <w:p w14:paraId="6D7FD37A" w14:textId="77777777" w:rsidR="00D247D3" w:rsidRPr="00D247D3" w:rsidRDefault="00B57333" w:rsidP="00915669">
      <w:pPr>
        <w:pStyle w:val="ListParagraph"/>
        <w:numPr>
          <w:ilvl w:val="1"/>
          <w:numId w:val="14"/>
        </w:numPr>
        <w:spacing w:line="276" w:lineRule="auto"/>
        <w:ind w:left="709" w:hanging="709"/>
        <w:rPr>
          <w:rFonts w:ascii="Verdana" w:hAnsi="Verdana"/>
        </w:rPr>
      </w:pPr>
      <w:r w:rsidRPr="00D247D3">
        <w:rPr>
          <w:rFonts w:ascii="Verdana" w:hAnsi="Verdana" w:cs="YIUEB V+ Gotham"/>
          <w:color w:val="000000"/>
        </w:rPr>
        <w:t>Following commitments made in the New Decade, New Approach Agreement,</w:t>
      </w:r>
      <w:r w:rsidRPr="00B57333">
        <w:rPr>
          <w:rStyle w:val="FootnoteReference"/>
          <w:rFonts w:ascii="Verdana" w:hAnsi="Verdana" w:cs="YIUEB V+ Gotham"/>
          <w:color w:val="000000"/>
        </w:rPr>
        <w:footnoteReference w:id="18"/>
      </w:r>
      <w:r w:rsidRPr="00D247D3">
        <w:rPr>
          <w:rFonts w:ascii="Verdana" w:hAnsi="Verdana" w:cs="YIUEB V+ Gotham"/>
          <w:color w:val="000000"/>
        </w:rPr>
        <w:t xml:space="preserve"> the Ad Hoc Committee on a Bill of Rights was established, and during 2021, conducted a stakeholder consultation</w:t>
      </w:r>
      <w:r w:rsidR="00473C26" w:rsidRPr="00D247D3">
        <w:rPr>
          <w:rFonts w:ascii="Verdana" w:hAnsi="Verdana" w:cs="YIUEB V+ Gotham"/>
          <w:color w:val="000000"/>
        </w:rPr>
        <w:t xml:space="preserve">, including </w:t>
      </w:r>
      <w:r w:rsidRPr="00D247D3">
        <w:rPr>
          <w:rFonts w:ascii="Verdana" w:hAnsi="Verdana" w:cs="YIUEB V+ Gotham"/>
          <w:color w:val="000000"/>
        </w:rPr>
        <w:t>a survey seeking views on human rights and Bill of Rights for NI, the results from which were published in March 2021.</w:t>
      </w:r>
      <w:r w:rsidRPr="00B57333">
        <w:rPr>
          <w:rStyle w:val="FootnoteReference"/>
          <w:rFonts w:ascii="Verdana" w:hAnsi="Verdana" w:cs="YIUEB V+ Gotham"/>
          <w:color w:val="000000"/>
        </w:rPr>
        <w:footnoteReference w:id="19"/>
      </w:r>
    </w:p>
    <w:p w14:paraId="5BE0F13F" w14:textId="77777777" w:rsidR="00D247D3" w:rsidRPr="00D247D3" w:rsidRDefault="00D247D3" w:rsidP="00D247D3">
      <w:pPr>
        <w:pStyle w:val="ListParagraph"/>
        <w:rPr>
          <w:rFonts w:ascii="Verdana" w:hAnsi="Verdana" w:cs="YIUEB V+ Gotham"/>
          <w:color w:val="000000"/>
        </w:rPr>
      </w:pPr>
    </w:p>
    <w:p w14:paraId="2FCB5D7E" w14:textId="77777777" w:rsidR="00D247D3" w:rsidRPr="00D247D3" w:rsidRDefault="00B57333" w:rsidP="00915669">
      <w:pPr>
        <w:pStyle w:val="ListParagraph"/>
        <w:numPr>
          <w:ilvl w:val="1"/>
          <w:numId w:val="14"/>
        </w:numPr>
        <w:spacing w:line="276" w:lineRule="auto"/>
        <w:ind w:left="709" w:hanging="709"/>
        <w:rPr>
          <w:rFonts w:ascii="Verdana" w:hAnsi="Verdana"/>
        </w:rPr>
      </w:pPr>
      <w:r w:rsidRPr="00D247D3">
        <w:rPr>
          <w:rFonts w:ascii="Verdana" w:hAnsi="Verdana" w:cs="YIUEB V+ Gotham"/>
          <w:color w:val="000000"/>
        </w:rPr>
        <w:t xml:space="preserve">The NIHRC has further provided a written submission and oral evidence to the Committee, building on its previous </w:t>
      </w:r>
      <w:proofErr w:type="gramStart"/>
      <w:r w:rsidRPr="00D247D3">
        <w:rPr>
          <w:rFonts w:ascii="Verdana" w:hAnsi="Verdana" w:cs="YIUEB V+ Gotham"/>
          <w:color w:val="000000"/>
        </w:rPr>
        <w:t>advice</w:t>
      </w:r>
      <w:proofErr w:type="gramEnd"/>
      <w:r w:rsidRPr="00D247D3">
        <w:rPr>
          <w:rFonts w:ascii="Verdana" w:hAnsi="Verdana" w:cs="YIUEB V+ Gotham"/>
          <w:color w:val="000000"/>
        </w:rPr>
        <w:t xml:space="preserve"> and focusing on the technical aspects of a Bill of Rights.</w:t>
      </w:r>
      <w:r w:rsidRPr="00B57333">
        <w:rPr>
          <w:rStyle w:val="FootnoteReference"/>
          <w:rFonts w:ascii="Verdana" w:hAnsi="Verdana" w:cs="YIUEB V+ Gotham"/>
          <w:color w:val="000000"/>
        </w:rPr>
        <w:footnoteReference w:id="20"/>
      </w:r>
      <w:r w:rsidRPr="00D247D3">
        <w:rPr>
          <w:rFonts w:ascii="Verdana" w:hAnsi="Verdana" w:cs="YIUEB V+ Gotham"/>
          <w:color w:val="000000"/>
        </w:rPr>
        <w:t xml:space="preserve"> Together with the ECNI, further written and oral evidence was provided on how the ‘non-diminution’ clause contained within Article 2 of the NI Protocol and the provisions of the EU Charter of Fundamental Rights should inform the development and drafting of a NI Bill of Rights.</w:t>
      </w:r>
      <w:r w:rsidRPr="00B57333">
        <w:rPr>
          <w:rStyle w:val="FootnoteReference"/>
          <w:rFonts w:ascii="Verdana" w:hAnsi="Verdana" w:cs="YIUEB V+ Gotham"/>
          <w:color w:val="000000"/>
        </w:rPr>
        <w:footnoteReference w:id="21"/>
      </w:r>
    </w:p>
    <w:p w14:paraId="27CE7328" w14:textId="77777777" w:rsidR="00D247D3" w:rsidRPr="00D247D3" w:rsidRDefault="00D247D3" w:rsidP="00D247D3">
      <w:pPr>
        <w:pStyle w:val="ListParagraph"/>
        <w:rPr>
          <w:rFonts w:ascii="Verdana" w:hAnsi="Verdana" w:cs="YIUEB V+ Gotham"/>
          <w:color w:val="000000"/>
        </w:rPr>
      </w:pPr>
    </w:p>
    <w:p w14:paraId="0267A361" w14:textId="77777777" w:rsidR="00D247D3" w:rsidRDefault="00B57333" w:rsidP="00915669">
      <w:pPr>
        <w:pStyle w:val="ListParagraph"/>
        <w:numPr>
          <w:ilvl w:val="1"/>
          <w:numId w:val="14"/>
        </w:numPr>
        <w:spacing w:line="276" w:lineRule="auto"/>
        <w:ind w:left="709" w:hanging="709"/>
        <w:rPr>
          <w:rFonts w:ascii="Verdana" w:hAnsi="Verdana"/>
        </w:rPr>
      </w:pPr>
      <w:r w:rsidRPr="00D247D3">
        <w:rPr>
          <w:rFonts w:ascii="Verdana" w:hAnsi="Verdana" w:cs="YIUEB V+ Gotham"/>
          <w:color w:val="000000"/>
        </w:rPr>
        <w:t>Under the New Decade, New Approach Agreement, a panel of five experts was also to be appointed by the First and deputy First Ministers, to assist the work of the Ad</w:t>
      </w:r>
      <w:r w:rsidR="006A4043" w:rsidRPr="00D247D3">
        <w:rPr>
          <w:rFonts w:ascii="Verdana" w:hAnsi="Verdana" w:cs="YIUEB V+ Gotham"/>
          <w:color w:val="000000"/>
        </w:rPr>
        <w:t xml:space="preserve"> </w:t>
      </w:r>
      <w:r w:rsidRPr="00D247D3">
        <w:rPr>
          <w:rFonts w:ascii="Verdana" w:hAnsi="Verdana" w:cs="YIUEB V+ Gotham"/>
          <w:color w:val="000000"/>
        </w:rPr>
        <w:t>Hoc Committee.</w:t>
      </w:r>
      <w:r w:rsidRPr="00D247D3">
        <w:rPr>
          <w:rStyle w:val="FootnoteReference"/>
          <w:rFonts w:ascii="Verdana" w:hAnsi="Verdana" w:cs="YIUEB V+ Gotham"/>
          <w:color w:val="000000"/>
        </w:rPr>
        <w:t xml:space="preserve"> </w:t>
      </w:r>
      <w:r w:rsidRPr="00B57333">
        <w:rPr>
          <w:rStyle w:val="FootnoteReference"/>
          <w:rFonts w:ascii="Verdana" w:hAnsi="Verdana" w:cs="YIUEB V+ Gotham"/>
          <w:color w:val="000000"/>
        </w:rPr>
        <w:footnoteReference w:id="22"/>
      </w:r>
      <w:r w:rsidRPr="00D247D3">
        <w:rPr>
          <w:rFonts w:ascii="Verdana" w:hAnsi="Verdana" w:cs="YIUEB V+ Gotham"/>
          <w:color w:val="000000"/>
        </w:rPr>
        <w:t xml:space="preserve"> A panel has yet to be appointed with reports that the Democratic Unionist Party has blocked the appointment of experts.</w:t>
      </w:r>
      <w:r w:rsidRPr="00B57333">
        <w:rPr>
          <w:rStyle w:val="FootnoteReference"/>
          <w:rFonts w:ascii="Verdana" w:hAnsi="Verdana" w:cs="YIUEB V+ Gotham"/>
          <w:color w:val="000000"/>
        </w:rPr>
        <w:footnoteReference w:id="23"/>
      </w:r>
      <w:r w:rsidRPr="00D247D3">
        <w:rPr>
          <w:rFonts w:ascii="Verdana" w:hAnsi="Verdana" w:cs="YIUEB V+ Gotham"/>
          <w:color w:val="000000"/>
        </w:rPr>
        <w:t xml:space="preserve"> At its meeting on 25 November 2021, the Chair of the Committee proposed suspending the Committee until such time as a panel of experts has been appointed.</w:t>
      </w:r>
      <w:r w:rsidRPr="00B57333">
        <w:rPr>
          <w:rStyle w:val="FootnoteReference"/>
          <w:rFonts w:ascii="Verdana" w:hAnsi="Verdana" w:cs="YIUEB V+ Gotham"/>
          <w:color w:val="000000"/>
        </w:rPr>
        <w:footnoteReference w:id="24"/>
      </w:r>
      <w:r w:rsidRPr="00D247D3">
        <w:rPr>
          <w:rFonts w:ascii="Verdana" w:hAnsi="Verdana" w:cs="YIUEB V+ Gotham"/>
          <w:color w:val="000000"/>
        </w:rPr>
        <w:t xml:space="preserve"> </w:t>
      </w:r>
      <w:r w:rsidRPr="00D247D3">
        <w:rPr>
          <w:rFonts w:ascii="Verdana" w:hAnsi="Verdana"/>
        </w:rPr>
        <w:t xml:space="preserve">The Ad Hoc Committee </w:t>
      </w:r>
      <w:r w:rsidR="00B272AE" w:rsidRPr="00D247D3">
        <w:rPr>
          <w:rFonts w:ascii="Verdana" w:hAnsi="Verdana"/>
        </w:rPr>
        <w:t xml:space="preserve">published its report </w:t>
      </w:r>
      <w:r w:rsidRPr="00D247D3">
        <w:rPr>
          <w:rFonts w:ascii="Verdana" w:hAnsi="Verdana"/>
        </w:rPr>
        <w:t>in February 2022</w:t>
      </w:r>
      <w:r w:rsidR="00B272AE" w:rsidRPr="00D247D3">
        <w:rPr>
          <w:rFonts w:ascii="Verdana" w:hAnsi="Verdana"/>
        </w:rPr>
        <w:t>, noting that the panel of experts had not been appointed at the conclusion of the Committee’s work and that agreement could not be reached due to the position paper of the Democratic Unionist Party.</w:t>
      </w:r>
      <w:r w:rsidR="00B272AE">
        <w:rPr>
          <w:rStyle w:val="FootnoteReference"/>
          <w:rFonts w:ascii="Verdana" w:hAnsi="Verdana"/>
        </w:rPr>
        <w:footnoteReference w:id="25"/>
      </w:r>
      <w:r w:rsidR="00AE0372" w:rsidRPr="00D247D3">
        <w:rPr>
          <w:rFonts w:ascii="Verdana" w:hAnsi="Verdana"/>
        </w:rPr>
        <w:t xml:space="preserve"> </w:t>
      </w:r>
    </w:p>
    <w:p w14:paraId="5CF3785C" w14:textId="77777777" w:rsidR="00D247D3" w:rsidRPr="00D247D3" w:rsidRDefault="00D247D3" w:rsidP="00D247D3">
      <w:pPr>
        <w:pStyle w:val="ListParagraph"/>
        <w:rPr>
          <w:rFonts w:ascii="Verdana" w:hAnsi="Verdana" w:cs="Verdana"/>
          <w:b/>
        </w:rPr>
      </w:pPr>
    </w:p>
    <w:p w14:paraId="1E9FEDDC" w14:textId="534B14BE" w:rsidR="005E1209" w:rsidRPr="00D247D3" w:rsidRDefault="00B57333" w:rsidP="00915669">
      <w:pPr>
        <w:pStyle w:val="ListParagraph"/>
        <w:numPr>
          <w:ilvl w:val="1"/>
          <w:numId w:val="14"/>
        </w:numPr>
        <w:spacing w:line="276" w:lineRule="auto"/>
        <w:ind w:left="709" w:hanging="709"/>
        <w:rPr>
          <w:rFonts w:ascii="Verdana" w:hAnsi="Verdana"/>
        </w:rPr>
      </w:pPr>
      <w:r w:rsidRPr="00D247D3">
        <w:rPr>
          <w:rFonts w:ascii="Verdana" w:hAnsi="Verdana" w:cs="Verdana"/>
          <w:b/>
        </w:rPr>
        <w:t xml:space="preserve">The Advisory Committee may wish to ask the State party </w:t>
      </w:r>
      <w:r w:rsidRPr="00D247D3">
        <w:rPr>
          <w:rFonts w:ascii="Verdana" w:hAnsi="Verdana"/>
          <w:b/>
        </w:rPr>
        <w:t>how it intends to work towards developing a consensus among the political parties on a Bill of Rights and meet its obligation emerging from the Belfast (Good Friday) Agreement to implement a Bill of Rights for NI.</w:t>
      </w:r>
    </w:p>
    <w:p w14:paraId="09FBCE45" w14:textId="77777777" w:rsidR="00E72626" w:rsidRPr="00E72626" w:rsidRDefault="00E72626" w:rsidP="00E72626">
      <w:pPr>
        <w:pStyle w:val="ListParagraph"/>
        <w:rPr>
          <w:rFonts w:ascii="Verdana" w:hAnsi="Verdana"/>
        </w:rPr>
      </w:pPr>
    </w:p>
    <w:p w14:paraId="7D76DF99" w14:textId="77777777" w:rsidR="00E72626" w:rsidRPr="00A16ADD" w:rsidRDefault="00E72626" w:rsidP="00A16ADD">
      <w:pPr>
        <w:pStyle w:val="Heading2"/>
      </w:pPr>
      <w:bookmarkStart w:id="6" w:name="_Toc444846403"/>
      <w:bookmarkStart w:id="7" w:name="_Toc97030899"/>
      <w:r w:rsidRPr="00A16ADD">
        <w:t xml:space="preserve">Human Rights Act </w:t>
      </w:r>
      <w:bookmarkEnd w:id="6"/>
      <w:r w:rsidRPr="00A16ADD">
        <w:t>Review</w:t>
      </w:r>
      <w:bookmarkEnd w:id="7"/>
    </w:p>
    <w:p w14:paraId="546CFAAD" w14:textId="77777777" w:rsidR="00E72626" w:rsidRPr="00B74E1A" w:rsidRDefault="00E72626" w:rsidP="00E72626">
      <w:pPr>
        <w:pStyle w:val="ListParagraph"/>
        <w:spacing w:line="276" w:lineRule="auto"/>
        <w:ind w:left="502" w:hanging="502"/>
        <w:rPr>
          <w:rFonts w:ascii="Verdana" w:hAnsi="Verdana"/>
          <w:b/>
          <w:bCs/>
          <w:color w:val="7030A0"/>
          <w:sz w:val="30"/>
          <w:szCs w:val="30"/>
        </w:rPr>
      </w:pPr>
    </w:p>
    <w:p w14:paraId="2A8F47B7" w14:textId="7F1603D5" w:rsidR="00D35D2B" w:rsidRPr="000D27A3" w:rsidRDefault="00E72626" w:rsidP="000D27A3">
      <w:pPr>
        <w:pStyle w:val="ListParagraph"/>
        <w:numPr>
          <w:ilvl w:val="1"/>
          <w:numId w:val="14"/>
        </w:numPr>
        <w:spacing w:line="276" w:lineRule="auto"/>
        <w:ind w:left="709" w:hanging="709"/>
        <w:rPr>
          <w:rFonts w:ascii="Verdana" w:hAnsi="Verdana"/>
        </w:rPr>
      </w:pPr>
      <w:r w:rsidRPr="004A3121">
        <w:rPr>
          <w:rFonts w:ascii="Verdana" w:hAnsi="Verdana"/>
        </w:rPr>
        <w:t xml:space="preserve">The Human Rights Act 1998 (HRA) gives domestic effect to the European Convention on Human Rights (ECHR). The ECHR is the only international human rights treaty that has been given such domestic effect. </w:t>
      </w:r>
      <w:r w:rsidR="009D2338" w:rsidRPr="004A3121">
        <w:rPr>
          <w:rFonts w:ascii="Verdana" w:hAnsi="Verdana"/>
        </w:rPr>
        <w:t xml:space="preserve">On 14 December 2021, the UK Government published </w:t>
      </w:r>
      <w:r w:rsidR="00630F7C" w:rsidRPr="004A3121">
        <w:rPr>
          <w:rFonts w:ascii="Verdana" w:hAnsi="Verdana"/>
        </w:rPr>
        <w:t>a</w:t>
      </w:r>
      <w:r w:rsidR="009D2338" w:rsidRPr="004A3121">
        <w:rPr>
          <w:rFonts w:ascii="Verdana" w:hAnsi="Verdana"/>
        </w:rPr>
        <w:t xml:space="preserve"> report on the Human Rights Act written by the Panel of the Independent Human Rights Act Review,</w:t>
      </w:r>
      <w:r w:rsidR="00011D5D">
        <w:rPr>
          <w:rStyle w:val="FootnoteReference"/>
          <w:rFonts w:ascii="Verdana" w:hAnsi="Verdana"/>
        </w:rPr>
        <w:footnoteReference w:id="26"/>
      </w:r>
      <w:r w:rsidR="009D2338" w:rsidRPr="004A3121">
        <w:rPr>
          <w:rFonts w:ascii="Verdana" w:hAnsi="Verdana"/>
        </w:rPr>
        <w:t xml:space="preserve"> alongside its own consultation, ‘Human Rights Act Reform: a Modern Bill of Rights’.</w:t>
      </w:r>
      <w:r w:rsidR="00011D5D" w:rsidRPr="004A3121">
        <w:rPr>
          <w:rStyle w:val="FootnoteReference"/>
          <w:rFonts w:ascii="Verdana" w:hAnsi="Verdana"/>
        </w:rPr>
        <w:t xml:space="preserve"> </w:t>
      </w:r>
      <w:r w:rsidR="00011D5D">
        <w:rPr>
          <w:rStyle w:val="FootnoteReference"/>
          <w:rFonts w:ascii="Verdana" w:hAnsi="Verdana"/>
        </w:rPr>
        <w:footnoteReference w:id="27"/>
      </w:r>
      <w:r w:rsidR="00011D5D" w:rsidRPr="004A3121">
        <w:rPr>
          <w:rFonts w:ascii="Verdana" w:hAnsi="Verdana"/>
        </w:rPr>
        <w:t xml:space="preserve"> </w:t>
      </w:r>
      <w:r w:rsidRPr="004A3121">
        <w:rPr>
          <w:rFonts w:ascii="Verdana" w:hAnsi="Verdana"/>
        </w:rPr>
        <w:t xml:space="preserve">The NIHRC </w:t>
      </w:r>
      <w:r w:rsidR="00011D5D" w:rsidRPr="004A3121">
        <w:rPr>
          <w:rFonts w:ascii="Verdana" w:hAnsi="Verdana"/>
        </w:rPr>
        <w:t>has major</w:t>
      </w:r>
      <w:r w:rsidRPr="004A3121">
        <w:rPr>
          <w:rFonts w:ascii="Verdana" w:hAnsi="Verdana"/>
        </w:rPr>
        <w:t xml:space="preserve"> concer</w:t>
      </w:r>
      <w:r w:rsidR="00011D5D" w:rsidRPr="004A3121">
        <w:rPr>
          <w:rFonts w:ascii="Verdana" w:hAnsi="Verdana"/>
        </w:rPr>
        <w:t>ns</w:t>
      </w:r>
      <w:r w:rsidRPr="004A3121">
        <w:rPr>
          <w:rFonts w:ascii="Verdana" w:hAnsi="Verdana"/>
        </w:rPr>
        <w:t xml:space="preserve"> regarding the UK Government’s proposal </w:t>
      </w:r>
      <w:r w:rsidR="00011D5D" w:rsidRPr="004A3121">
        <w:rPr>
          <w:rFonts w:ascii="Verdana" w:hAnsi="Verdana"/>
        </w:rPr>
        <w:t xml:space="preserve">which goes much further than the Independent Review recommended and sets out plans </w:t>
      </w:r>
      <w:r w:rsidRPr="004A3121">
        <w:rPr>
          <w:rFonts w:ascii="Verdana" w:hAnsi="Verdana"/>
        </w:rPr>
        <w:t>to replace the Human Rights Act</w:t>
      </w:r>
      <w:r w:rsidR="001A3213">
        <w:rPr>
          <w:rFonts w:ascii="Verdana" w:hAnsi="Verdana"/>
        </w:rPr>
        <w:t xml:space="preserve"> 199</w:t>
      </w:r>
      <w:r w:rsidR="00A74000">
        <w:rPr>
          <w:rFonts w:ascii="Verdana" w:hAnsi="Verdana"/>
        </w:rPr>
        <w:t>8</w:t>
      </w:r>
      <w:r w:rsidRPr="004A3121">
        <w:rPr>
          <w:rFonts w:ascii="Verdana" w:hAnsi="Verdana"/>
        </w:rPr>
        <w:t xml:space="preserve"> with a UK Bill of Rights,</w:t>
      </w:r>
      <w:r w:rsidR="00011D5D" w:rsidRPr="004A3121">
        <w:rPr>
          <w:rFonts w:ascii="Verdana" w:hAnsi="Verdana"/>
        </w:rPr>
        <w:t xml:space="preserve"> </w:t>
      </w:r>
      <w:r w:rsidR="00473C26" w:rsidRPr="004A3121">
        <w:rPr>
          <w:rFonts w:ascii="Verdana" w:hAnsi="Verdana"/>
        </w:rPr>
        <w:t xml:space="preserve">which </w:t>
      </w:r>
      <w:r w:rsidR="00011D5D" w:rsidRPr="004A3121">
        <w:rPr>
          <w:rFonts w:ascii="Verdana" w:hAnsi="Verdana"/>
        </w:rPr>
        <w:t xml:space="preserve">would risk </w:t>
      </w:r>
      <w:r w:rsidRPr="004A3121">
        <w:rPr>
          <w:rFonts w:ascii="Verdana" w:hAnsi="Verdana"/>
        </w:rPr>
        <w:t>depleting protections that are presently enjoyed.</w:t>
      </w:r>
    </w:p>
    <w:p w14:paraId="4912AA76" w14:textId="77777777" w:rsidR="004A3121" w:rsidRDefault="004A3121" w:rsidP="004A3121">
      <w:pPr>
        <w:pStyle w:val="ListParagraph"/>
        <w:spacing w:line="276" w:lineRule="auto"/>
        <w:ind w:left="709"/>
        <w:rPr>
          <w:rFonts w:ascii="Verdana" w:hAnsi="Verdana"/>
        </w:rPr>
      </w:pPr>
    </w:p>
    <w:p w14:paraId="43CC653A" w14:textId="4EBCA2EC" w:rsidR="004A3121" w:rsidRDefault="00937800" w:rsidP="00915669">
      <w:pPr>
        <w:pStyle w:val="ListParagraph"/>
        <w:numPr>
          <w:ilvl w:val="1"/>
          <w:numId w:val="14"/>
        </w:numPr>
        <w:spacing w:line="276" w:lineRule="auto"/>
        <w:ind w:left="709" w:hanging="709"/>
        <w:rPr>
          <w:rFonts w:ascii="Verdana" w:hAnsi="Verdana"/>
        </w:rPr>
      </w:pPr>
      <w:r>
        <w:rPr>
          <w:rFonts w:ascii="Verdana" w:hAnsi="Verdana"/>
        </w:rPr>
        <w:t>H</w:t>
      </w:r>
      <w:r w:rsidRPr="004A3121">
        <w:rPr>
          <w:rFonts w:ascii="Verdana" w:hAnsi="Verdana"/>
        </w:rPr>
        <w:t>uman rights protection and compliance has been the cornerstone of the Belfast (Good Friday) Agreement and subsequent agreements.</w:t>
      </w:r>
      <w:r w:rsidR="00F8487A">
        <w:rPr>
          <w:rStyle w:val="FootnoteReference"/>
          <w:rFonts w:ascii="Verdana" w:hAnsi="Verdana"/>
        </w:rPr>
        <w:footnoteReference w:id="28"/>
      </w:r>
      <w:r>
        <w:rPr>
          <w:rFonts w:ascii="Verdana" w:hAnsi="Verdana"/>
        </w:rPr>
        <w:t xml:space="preserve"> </w:t>
      </w:r>
      <w:r w:rsidR="0058594B">
        <w:rPr>
          <w:rFonts w:ascii="Verdana" w:hAnsi="Verdana"/>
        </w:rPr>
        <w:t>This</w:t>
      </w:r>
      <w:r w:rsidR="002E430D" w:rsidRPr="004A3121">
        <w:rPr>
          <w:rFonts w:ascii="Verdana" w:hAnsi="Verdana"/>
        </w:rPr>
        <w:t xml:space="preserve"> can be evidenced through the UK Government’s non-diminution commitment under Protocol Article 2. In its Explainer document on Protocol Article 2, the UK Government has confirmed that the “key rights and equality provisions in the [Belfast (Good Friday)] Agreement are supported by the ECHR”.</w:t>
      </w:r>
      <w:r w:rsidR="002E430D">
        <w:rPr>
          <w:rStyle w:val="FootnoteReference"/>
        </w:rPr>
        <w:footnoteReference w:id="29"/>
      </w:r>
      <w:r w:rsidR="002E430D">
        <w:t xml:space="preserve">  </w:t>
      </w:r>
      <w:r w:rsidR="002E430D" w:rsidRPr="004A3121">
        <w:rPr>
          <w:rFonts w:ascii="Verdana" w:hAnsi="Verdana"/>
        </w:rPr>
        <w:t xml:space="preserve">  </w:t>
      </w:r>
    </w:p>
    <w:p w14:paraId="1354334C" w14:textId="77777777" w:rsidR="004A3121" w:rsidRPr="004A3121" w:rsidRDefault="004A3121" w:rsidP="004A3121">
      <w:pPr>
        <w:pStyle w:val="ListParagraph"/>
        <w:rPr>
          <w:rFonts w:ascii="Verdana" w:hAnsi="Verdana"/>
        </w:rPr>
      </w:pPr>
    </w:p>
    <w:p w14:paraId="00925CB9" w14:textId="2F36299E" w:rsidR="00E72626" w:rsidRPr="004A3121" w:rsidRDefault="00E72626" w:rsidP="00915669">
      <w:pPr>
        <w:pStyle w:val="ListParagraph"/>
        <w:numPr>
          <w:ilvl w:val="1"/>
          <w:numId w:val="14"/>
        </w:numPr>
        <w:spacing w:line="276" w:lineRule="auto"/>
        <w:ind w:left="709" w:hanging="709"/>
        <w:rPr>
          <w:rFonts w:ascii="Verdana" w:hAnsi="Verdana"/>
        </w:rPr>
      </w:pPr>
      <w:r w:rsidRPr="004A3121">
        <w:rPr>
          <w:rFonts w:ascii="Verdana" w:hAnsi="Verdana"/>
        </w:rPr>
        <w:t xml:space="preserve">Any attempt to dilute the role of the ECHR and the ECtHR jurisprudence within proposals to repeal the HRA and replace it with a </w:t>
      </w:r>
      <w:r w:rsidR="00B804D9" w:rsidRPr="004A3121">
        <w:rPr>
          <w:rFonts w:ascii="Verdana" w:hAnsi="Verdana"/>
        </w:rPr>
        <w:t>UK</w:t>
      </w:r>
      <w:r w:rsidRPr="004A3121">
        <w:rPr>
          <w:rFonts w:ascii="Verdana" w:hAnsi="Verdana"/>
        </w:rPr>
        <w:t xml:space="preserve"> Bill of Rights would run counter to the Belfast (Good Friday) Agreement. The NIHRC believes that any legislative proposals should not undermine the commitments contained within the Belfast (Good Friday) Agreement.</w:t>
      </w:r>
      <w:r w:rsidR="00011D5D" w:rsidRPr="004A3121">
        <w:rPr>
          <w:rFonts w:ascii="Verdana" w:hAnsi="Verdana"/>
        </w:rPr>
        <w:t xml:space="preserve"> </w:t>
      </w:r>
      <w:r w:rsidR="001B361D" w:rsidRPr="004A3121">
        <w:rPr>
          <w:rFonts w:ascii="Verdana" w:hAnsi="Verdana"/>
        </w:rPr>
        <w:t>Further to its submission to the Independent Review in August 2021,</w:t>
      </w:r>
      <w:r w:rsidR="001B361D">
        <w:rPr>
          <w:rStyle w:val="FootnoteReference"/>
          <w:rFonts w:ascii="Verdana" w:hAnsi="Verdana"/>
        </w:rPr>
        <w:footnoteReference w:id="30"/>
      </w:r>
      <w:r w:rsidR="001B361D" w:rsidRPr="004A3121">
        <w:rPr>
          <w:rFonts w:ascii="Verdana" w:hAnsi="Verdana"/>
        </w:rPr>
        <w:t xml:space="preserve"> t</w:t>
      </w:r>
      <w:r w:rsidRPr="004A3121">
        <w:rPr>
          <w:rFonts w:ascii="Verdana" w:hAnsi="Verdana"/>
        </w:rPr>
        <w:t>he NIHRC will be submit</w:t>
      </w:r>
      <w:r w:rsidR="009D2338" w:rsidRPr="004A3121">
        <w:rPr>
          <w:rFonts w:ascii="Verdana" w:hAnsi="Verdana"/>
        </w:rPr>
        <w:t xml:space="preserve">ting </w:t>
      </w:r>
      <w:r w:rsidRPr="004A3121">
        <w:rPr>
          <w:rFonts w:ascii="Verdana" w:hAnsi="Verdana"/>
        </w:rPr>
        <w:t>advice to the UK Government on its proposals</w:t>
      </w:r>
      <w:r w:rsidR="009D2338" w:rsidRPr="004A3121">
        <w:rPr>
          <w:rFonts w:ascii="Verdana" w:hAnsi="Verdana"/>
        </w:rPr>
        <w:t xml:space="preserve"> which are currently out for public consultation until 8 March 2022. </w:t>
      </w:r>
    </w:p>
    <w:p w14:paraId="39AEB862" w14:textId="77777777" w:rsidR="00D577A0" w:rsidRPr="00D577A0" w:rsidRDefault="00D577A0" w:rsidP="00D577A0"/>
    <w:p w14:paraId="2F153AF3" w14:textId="3278232F" w:rsidR="00807E43" w:rsidRPr="00A16ADD" w:rsidRDefault="00E74710" w:rsidP="00B06CBE">
      <w:pPr>
        <w:pStyle w:val="Heading1"/>
      </w:pPr>
      <w:bookmarkStart w:id="8" w:name="_Toc97030900"/>
      <w:r>
        <w:t xml:space="preserve">3.0. </w:t>
      </w:r>
      <w:r w:rsidR="00807E43" w:rsidRPr="00A16ADD">
        <w:t>Article 3: National Minorities</w:t>
      </w:r>
      <w:bookmarkEnd w:id="8"/>
    </w:p>
    <w:p w14:paraId="5C833CB7" w14:textId="77777777" w:rsidR="00807E43" w:rsidRPr="00C77B6C" w:rsidRDefault="00807E43" w:rsidP="00807E43">
      <w:pPr>
        <w:rPr>
          <w:rFonts w:ascii="Verdana" w:hAnsi="Verdana"/>
        </w:rPr>
      </w:pPr>
    </w:p>
    <w:p w14:paraId="31BD1A6A" w14:textId="77C5F1E6" w:rsidR="00807E43" w:rsidRPr="00A16ADD" w:rsidRDefault="00807E43" w:rsidP="00BF316E">
      <w:pPr>
        <w:pStyle w:val="Heading2"/>
      </w:pPr>
      <w:bookmarkStart w:id="9" w:name="_Toc97030901"/>
      <w:r w:rsidRPr="00A16ADD">
        <w:t>Scope of application</w:t>
      </w:r>
      <w:bookmarkEnd w:id="9"/>
      <w:r w:rsidRPr="00A16ADD">
        <w:t xml:space="preserve"> </w:t>
      </w:r>
    </w:p>
    <w:p w14:paraId="3EAB177E" w14:textId="77777777" w:rsidR="00807E43" w:rsidRPr="00C77B6C" w:rsidRDefault="00807E43" w:rsidP="00807E43">
      <w:pPr>
        <w:rPr>
          <w:rFonts w:ascii="Verdana" w:hAnsi="Verdana"/>
        </w:rPr>
      </w:pPr>
    </w:p>
    <w:p w14:paraId="3E4D9966" w14:textId="4202BDD0" w:rsidR="00E74710" w:rsidRPr="00E74710" w:rsidRDefault="00FD2279" w:rsidP="00915669">
      <w:pPr>
        <w:pStyle w:val="ListParagraph"/>
        <w:numPr>
          <w:ilvl w:val="1"/>
          <w:numId w:val="15"/>
        </w:numPr>
        <w:spacing w:line="276" w:lineRule="auto"/>
        <w:rPr>
          <w:rFonts w:ascii="Verdana" w:hAnsi="Verdana" w:cs="Gotham Light"/>
          <w:b/>
          <w:bCs/>
          <w:color w:val="000000"/>
        </w:rPr>
      </w:pPr>
      <w:r w:rsidRPr="00E74710">
        <w:rPr>
          <w:rFonts w:ascii="Verdana" w:hAnsi="Verdana"/>
        </w:rPr>
        <w:t xml:space="preserve">‘National minority’ is not a legally defined term within the UK. </w:t>
      </w:r>
      <w:proofErr w:type="gramStart"/>
      <w:r w:rsidRPr="00E74710">
        <w:rPr>
          <w:rFonts w:ascii="Verdana" w:hAnsi="Verdana"/>
        </w:rPr>
        <w:t>For the purpose of</w:t>
      </w:r>
      <w:proofErr w:type="gramEnd"/>
      <w:r w:rsidRPr="00E74710">
        <w:rPr>
          <w:rFonts w:ascii="Verdana" w:hAnsi="Verdana"/>
        </w:rPr>
        <w:t xml:space="preserve"> reporting under the FCNM, the UK’s interpretation is based on the definition of ‘racial group’ in the Race Relations Act 1976. Hence, in its first State Report on the Framework Convention, the UK referred to “our ethnic minority communities (or visible minorities) and the Scots, Irish and Welsh”.</w:t>
      </w:r>
      <w:r>
        <w:rPr>
          <w:rStyle w:val="FootnoteReference"/>
          <w:rFonts w:ascii="Verdana" w:hAnsi="Verdana"/>
        </w:rPr>
        <w:footnoteReference w:id="31"/>
      </w:r>
      <w:r w:rsidRPr="00E74710">
        <w:rPr>
          <w:rFonts w:ascii="Verdana" w:hAnsi="Verdana"/>
        </w:rPr>
        <w:t xml:space="preserve"> Gypsies and Travellers are also included.</w:t>
      </w:r>
      <w:r>
        <w:rPr>
          <w:rStyle w:val="FootnoteReference"/>
          <w:rFonts w:ascii="Verdana" w:hAnsi="Verdana"/>
        </w:rPr>
        <w:footnoteReference w:id="32"/>
      </w:r>
      <w:r w:rsidRPr="00E74710">
        <w:rPr>
          <w:rFonts w:ascii="Verdana" w:hAnsi="Verdana"/>
        </w:rPr>
        <w:t xml:space="preserve"> In April 2014, the UK agreed to bring Cornish within the scope of the Framework Convention.</w:t>
      </w:r>
      <w:r>
        <w:rPr>
          <w:rStyle w:val="FootnoteReference"/>
          <w:rFonts w:ascii="Verdana" w:hAnsi="Verdana"/>
        </w:rPr>
        <w:footnoteReference w:id="33"/>
      </w:r>
    </w:p>
    <w:p w14:paraId="7E38B3A5" w14:textId="77777777" w:rsidR="00E74710" w:rsidRPr="00E74710" w:rsidRDefault="00E74710" w:rsidP="00E74710">
      <w:pPr>
        <w:pStyle w:val="ListParagraph"/>
        <w:spacing w:line="276" w:lineRule="auto"/>
        <w:rPr>
          <w:rFonts w:ascii="Verdana" w:hAnsi="Verdana" w:cs="Gotham Light"/>
          <w:b/>
          <w:bCs/>
          <w:color w:val="000000"/>
        </w:rPr>
      </w:pPr>
    </w:p>
    <w:p w14:paraId="2E1B0B79" w14:textId="77777777" w:rsidR="00E74710" w:rsidRPr="00E74710" w:rsidRDefault="00807E43" w:rsidP="00915669">
      <w:pPr>
        <w:pStyle w:val="ListParagraph"/>
        <w:numPr>
          <w:ilvl w:val="1"/>
          <w:numId w:val="15"/>
        </w:numPr>
        <w:spacing w:line="276" w:lineRule="auto"/>
        <w:rPr>
          <w:rFonts w:ascii="Verdana" w:hAnsi="Verdana" w:cs="Gotham Light"/>
          <w:b/>
          <w:bCs/>
          <w:color w:val="000000"/>
        </w:rPr>
      </w:pPr>
      <w:r w:rsidRPr="00E74710">
        <w:rPr>
          <w:rFonts w:ascii="Verdana" w:hAnsi="Verdana"/>
        </w:rPr>
        <w:t xml:space="preserve">The definition of ‘racial groups’ in </w:t>
      </w:r>
      <w:r w:rsidR="00296239" w:rsidRPr="00E74710">
        <w:rPr>
          <w:rFonts w:ascii="Verdana" w:hAnsi="Verdana"/>
        </w:rPr>
        <w:t>NI</w:t>
      </w:r>
      <w:r w:rsidRPr="00E74710">
        <w:rPr>
          <w:rFonts w:ascii="Verdana" w:hAnsi="Verdana"/>
        </w:rPr>
        <w:t xml:space="preserve"> falls under the Race Relations (NI) Order 1997 which includes members of the Irish Traveller community. However, the Executive Office</w:t>
      </w:r>
      <w:r w:rsidR="0002481E" w:rsidRPr="00E74710">
        <w:rPr>
          <w:rFonts w:ascii="Verdana" w:hAnsi="Verdana"/>
        </w:rPr>
        <w:t>’s</w:t>
      </w:r>
      <w:r w:rsidRPr="00E74710">
        <w:rPr>
          <w:rFonts w:ascii="Verdana" w:hAnsi="Verdana"/>
        </w:rPr>
        <w:t xml:space="preserve"> </w:t>
      </w:r>
      <w:r w:rsidR="0002481E" w:rsidRPr="00E74710">
        <w:rPr>
          <w:rFonts w:ascii="Verdana" w:hAnsi="Verdana"/>
        </w:rPr>
        <w:t>‘</w:t>
      </w:r>
      <w:r w:rsidRPr="00E74710">
        <w:rPr>
          <w:rFonts w:ascii="Verdana" w:hAnsi="Verdana"/>
        </w:rPr>
        <w:t>Racial Equality Strategy 2015-2025</w:t>
      </w:r>
      <w:r w:rsidR="0002481E" w:rsidRPr="00E74710">
        <w:rPr>
          <w:rFonts w:ascii="Verdana" w:hAnsi="Verdana"/>
        </w:rPr>
        <w:t>’</w:t>
      </w:r>
      <w:r w:rsidRPr="00E74710">
        <w:rPr>
          <w:rFonts w:ascii="Verdana" w:hAnsi="Verdana"/>
        </w:rPr>
        <w:t xml:space="preserve"> commit</w:t>
      </w:r>
      <w:r w:rsidR="0002481E" w:rsidRPr="00E74710">
        <w:rPr>
          <w:rFonts w:ascii="Verdana" w:hAnsi="Verdana"/>
        </w:rPr>
        <w:t>s</w:t>
      </w:r>
      <w:r w:rsidRPr="00E74710">
        <w:rPr>
          <w:rFonts w:ascii="Verdana" w:hAnsi="Verdana"/>
        </w:rPr>
        <w:t xml:space="preserve"> to reviewing the Race Relations (NI) Order 1997</w:t>
      </w:r>
      <w:r w:rsidRPr="00C77B6C">
        <w:rPr>
          <w:rStyle w:val="FootnoteReference"/>
          <w:rFonts w:ascii="Verdana" w:hAnsi="Verdana"/>
        </w:rPr>
        <w:footnoteReference w:id="34"/>
      </w:r>
      <w:r w:rsidRPr="00E74710">
        <w:rPr>
          <w:rFonts w:ascii="Verdana" w:hAnsi="Verdana"/>
        </w:rPr>
        <w:t xml:space="preserve"> and proposals for a consultation on a new piece of primary legislation are being developed, with a public consultation process expected to take place in early 2022.</w:t>
      </w:r>
      <w:r w:rsidRPr="00C77B6C">
        <w:rPr>
          <w:rStyle w:val="FootnoteReference"/>
          <w:rFonts w:ascii="Verdana" w:hAnsi="Verdana"/>
        </w:rPr>
        <w:footnoteReference w:id="35"/>
      </w:r>
      <w:r w:rsidRPr="00E74710">
        <w:rPr>
          <w:rFonts w:ascii="Verdana" w:hAnsi="Verdana"/>
        </w:rPr>
        <w:t xml:space="preserve"> This is discussed further in relevant sections below. </w:t>
      </w:r>
    </w:p>
    <w:p w14:paraId="5E93E13E" w14:textId="77777777" w:rsidR="00E74710" w:rsidRPr="00E74710" w:rsidRDefault="00E74710" w:rsidP="00E74710">
      <w:pPr>
        <w:pStyle w:val="ListParagraph"/>
        <w:rPr>
          <w:rFonts w:ascii="Verdana" w:hAnsi="Verdana"/>
        </w:rPr>
      </w:pPr>
    </w:p>
    <w:p w14:paraId="6F470551" w14:textId="7917E540" w:rsidR="00E74710" w:rsidRPr="00E74710" w:rsidRDefault="00FD2279" w:rsidP="00915669">
      <w:pPr>
        <w:pStyle w:val="ListParagraph"/>
        <w:numPr>
          <w:ilvl w:val="1"/>
          <w:numId w:val="15"/>
        </w:numPr>
        <w:spacing w:line="276" w:lineRule="auto"/>
        <w:rPr>
          <w:rFonts w:ascii="Verdana" w:hAnsi="Verdana" w:cs="Gotham Light"/>
          <w:b/>
          <w:bCs/>
          <w:color w:val="000000"/>
        </w:rPr>
      </w:pPr>
      <w:r w:rsidRPr="00E74710">
        <w:rPr>
          <w:rFonts w:ascii="Verdana" w:hAnsi="Verdana"/>
        </w:rPr>
        <w:t>In the New Decade New Approach agreement, the UK Government stated that it will recognise Ulster Scots as a national minority under the FCNM.</w:t>
      </w:r>
      <w:r>
        <w:rPr>
          <w:rStyle w:val="FootnoteReference"/>
          <w:rFonts w:ascii="Verdana" w:hAnsi="Verdana"/>
        </w:rPr>
        <w:footnoteReference w:id="36"/>
      </w:r>
      <w:r w:rsidRPr="00E74710">
        <w:rPr>
          <w:rFonts w:ascii="Verdana" w:hAnsi="Verdana"/>
        </w:rPr>
        <w:t xml:space="preserve"> </w:t>
      </w:r>
      <w:r w:rsidR="00B27AF8">
        <w:rPr>
          <w:rFonts w:ascii="Verdana" w:hAnsi="Verdana"/>
        </w:rPr>
        <w:t>The NI Office have advised that the UK Government intends to complete this work in parallel to the passage of the legislation on identity and language provided for in New Decade New Approach.</w:t>
      </w:r>
      <w:r w:rsidR="00B27AF8">
        <w:rPr>
          <w:rStyle w:val="FootnoteReference"/>
          <w:rFonts w:ascii="Verdana" w:hAnsi="Verdana"/>
        </w:rPr>
        <w:footnoteReference w:id="37"/>
      </w:r>
      <w:r w:rsidR="00B27AF8">
        <w:rPr>
          <w:rFonts w:ascii="Verdana" w:hAnsi="Verdana"/>
        </w:rPr>
        <w:t xml:space="preserve"> However, the NI Office were unable to provide a timeframe for the introduction of the Bills, as discussed in more detail in section 9.</w:t>
      </w:r>
      <w:r w:rsidR="00B27AF8">
        <w:rPr>
          <w:rStyle w:val="FootnoteReference"/>
          <w:rFonts w:ascii="Verdana" w:hAnsi="Verdana"/>
        </w:rPr>
        <w:footnoteReference w:id="38"/>
      </w:r>
    </w:p>
    <w:p w14:paraId="12A3E1D3" w14:textId="77777777" w:rsidR="00E74710" w:rsidRPr="00E74710" w:rsidRDefault="00E74710" w:rsidP="00E74710">
      <w:pPr>
        <w:pStyle w:val="ListParagraph"/>
        <w:rPr>
          <w:rFonts w:ascii="Verdana" w:hAnsi="Verdana"/>
        </w:rPr>
      </w:pPr>
    </w:p>
    <w:p w14:paraId="78D82189" w14:textId="77777777" w:rsidR="00E74710" w:rsidRPr="00E74710" w:rsidRDefault="00FD2279" w:rsidP="00915669">
      <w:pPr>
        <w:pStyle w:val="ListParagraph"/>
        <w:numPr>
          <w:ilvl w:val="1"/>
          <w:numId w:val="15"/>
        </w:numPr>
        <w:spacing w:line="276" w:lineRule="auto"/>
        <w:rPr>
          <w:rFonts w:ascii="Verdana" w:hAnsi="Verdana" w:cs="Gotham Light"/>
          <w:b/>
          <w:bCs/>
          <w:color w:val="000000"/>
        </w:rPr>
      </w:pPr>
      <w:r w:rsidRPr="00E74710">
        <w:rPr>
          <w:rFonts w:ascii="Verdana" w:hAnsi="Verdana"/>
        </w:rPr>
        <w:t>While Ulster Scots is not currently recognised as a national minority by the UK, it is recognised as a linguistic minority under the FCNM</w:t>
      </w:r>
      <w:r>
        <w:rPr>
          <w:rStyle w:val="FootnoteReference"/>
          <w:rFonts w:ascii="Verdana" w:hAnsi="Verdana"/>
        </w:rPr>
        <w:footnoteReference w:id="39"/>
      </w:r>
      <w:r w:rsidRPr="00E74710">
        <w:rPr>
          <w:rFonts w:ascii="Verdana" w:hAnsi="Verdana"/>
        </w:rPr>
        <w:t xml:space="preserve"> and as such, the duty to “encourage a spirit of tolerance and intercultural dialogue” applies.</w:t>
      </w:r>
      <w:r>
        <w:rPr>
          <w:rStyle w:val="FootnoteReference"/>
          <w:rFonts w:ascii="Verdana" w:hAnsi="Verdana"/>
        </w:rPr>
        <w:footnoteReference w:id="40"/>
      </w:r>
      <w:r w:rsidRPr="00E74710">
        <w:rPr>
          <w:rFonts w:ascii="Verdana" w:hAnsi="Verdana"/>
        </w:rPr>
        <w:t xml:space="preserve"> If Ulster Scots were recognised as a national minority, then more specific duties would apply. This would include measures such as facilitating access to the media</w:t>
      </w:r>
      <w:r>
        <w:rPr>
          <w:rStyle w:val="FootnoteReference"/>
          <w:rFonts w:ascii="Verdana" w:hAnsi="Verdana"/>
        </w:rPr>
        <w:footnoteReference w:id="41"/>
      </w:r>
      <w:r w:rsidRPr="00E74710">
        <w:rPr>
          <w:rFonts w:ascii="Verdana" w:hAnsi="Verdana"/>
        </w:rPr>
        <w:t xml:space="preserve"> and ensuring equal opportunities.</w:t>
      </w:r>
      <w:r>
        <w:rPr>
          <w:rStyle w:val="FootnoteReference"/>
          <w:rFonts w:ascii="Verdana" w:hAnsi="Verdana"/>
        </w:rPr>
        <w:footnoteReference w:id="42"/>
      </w:r>
    </w:p>
    <w:p w14:paraId="168B813A" w14:textId="77777777" w:rsidR="00E74710" w:rsidRPr="00E74710" w:rsidRDefault="00E74710" w:rsidP="00E74710">
      <w:pPr>
        <w:pStyle w:val="ListParagraph"/>
        <w:rPr>
          <w:rFonts w:ascii="Verdana" w:hAnsi="Verdana"/>
        </w:rPr>
      </w:pPr>
    </w:p>
    <w:p w14:paraId="7A3187CA" w14:textId="1EF58CDD" w:rsidR="00E74710" w:rsidRPr="00E74710" w:rsidRDefault="00FD2279" w:rsidP="00915669">
      <w:pPr>
        <w:pStyle w:val="ListParagraph"/>
        <w:numPr>
          <w:ilvl w:val="1"/>
          <w:numId w:val="15"/>
        </w:numPr>
        <w:spacing w:line="276" w:lineRule="auto"/>
        <w:rPr>
          <w:rFonts w:ascii="Verdana" w:hAnsi="Verdana" w:cs="Gotham Light"/>
          <w:b/>
          <w:bCs/>
          <w:color w:val="000000"/>
        </w:rPr>
      </w:pPr>
      <w:proofErr w:type="gramStart"/>
      <w:r w:rsidRPr="00E74710">
        <w:rPr>
          <w:rFonts w:ascii="Verdana" w:hAnsi="Verdana"/>
        </w:rPr>
        <w:t>With regard to</w:t>
      </w:r>
      <w:proofErr w:type="gramEnd"/>
      <w:r w:rsidRPr="00E74710">
        <w:rPr>
          <w:rFonts w:ascii="Verdana" w:hAnsi="Verdana"/>
        </w:rPr>
        <w:t xml:space="preserve"> being recognised as a national minority, the Advisory Committee recommends that the principle of free self-identification is of “paramount importance”</w:t>
      </w:r>
      <w:r>
        <w:rPr>
          <w:rStyle w:val="FootnoteReference"/>
          <w:rFonts w:ascii="Verdana" w:hAnsi="Verdana"/>
        </w:rPr>
        <w:footnoteReference w:id="43"/>
      </w:r>
      <w:r w:rsidRPr="00E74710">
        <w:rPr>
          <w:rFonts w:ascii="Verdana" w:hAnsi="Verdana"/>
        </w:rPr>
        <w:t xml:space="preserve"> and Article 3(1) guarantees that every person belonging to a national minority “shall have the right freely to choose to be treated or not to be treated as such”. Further, that “no disadvantage shall result from this choice or from the exercise of the rights which are connected to that choice”. The Framework Convention emphasises that “affiliation with a minority group is a matter of personal choice”. The “principle of self-identification also guarantees the possibility of multiple affiliation”, which can arise due to mixed marriages or due to other situations.</w:t>
      </w:r>
      <w:r>
        <w:rPr>
          <w:rStyle w:val="FootnoteReference"/>
          <w:rFonts w:ascii="Verdana" w:hAnsi="Verdana"/>
        </w:rPr>
        <w:footnoteReference w:id="44"/>
      </w:r>
    </w:p>
    <w:p w14:paraId="593338D5" w14:textId="77777777" w:rsidR="00E74710" w:rsidRPr="00E74710" w:rsidRDefault="00E74710" w:rsidP="00E74710">
      <w:pPr>
        <w:pStyle w:val="ListParagraph"/>
        <w:rPr>
          <w:rFonts w:ascii="Verdana" w:hAnsi="Verdana" w:cs="Gotham Light"/>
          <w:b/>
          <w:color w:val="000000" w:themeColor="text1"/>
        </w:rPr>
      </w:pPr>
    </w:p>
    <w:p w14:paraId="4E9C63D7" w14:textId="25A65C59" w:rsidR="00FD2279" w:rsidRPr="00E74710" w:rsidRDefault="00FD2279" w:rsidP="00915669">
      <w:pPr>
        <w:pStyle w:val="ListParagraph"/>
        <w:numPr>
          <w:ilvl w:val="1"/>
          <w:numId w:val="15"/>
        </w:numPr>
        <w:spacing w:line="276" w:lineRule="auto"/>
        <w:rPr>
          <w:rFonts w:ascii="Verdana" w:hAnsi="Verdana" w:cs="Gotham Light"/>
          <w:b/>
          <w:bCs/>
          <w:color w:val="000000"/>
        </w:rPr>
      </w:pPr>
      <w:r w:rsidRPr="00E74710">
        <w:rPr>
          <w:rFonts w:ascii="Verdana" w:hAnsi="Verdana" w:cs="Gotham Light"/>
          <w:b/>
          <w:color w:val="000000" w:themeColor="text1"/>
        </w:rPr>
        <w:t>The Advisory Committee may wish to ask the State Party what steps are being taken to recognise Ulster Scots as a national minority under the Framework Convention</w:t>
      </w:r>
      <w:r w:rsidR="00E70C52" w:rsidRPr="00E74710">
        <w:rPr>
          <w:rFonts w:ascii="Verdana" w:hAnsi="Verdana" w:cs="Gotham Light"/>
          <w:b/>
          <w:color w:val="000000" w:themeColor="text1"/>
        </w:rPr>
        <w:t xml:space="preserve"> and when this </w:t>
      </w:r>
      <w:r w:rsidR="00010BD4" w:rsidRPr="00E74710">
        <w:rPr>
          <w:rFonts w:ascii="Verdana" w:hAnsi="Verdana" w:cs="Gotham Light"/>
          <w:b/>
          <w:color w:val="000000" w:themeColor="text1"/>
        </w:rPr>
        <w:t>is likely to occur</w:t>
      </w:r>
      <w:r w:rsidRPr="00E74710">
        <w:rPr>
          <w:rFonts w:ascii="Verdana" w:hAnsi="Verdana" w:cs="Gotham Light"/>
          <w:b/>
          <w:color w:val="000000" w:themeColor="text1"/>
        </w:rPr>
        <w:t>.</w:t>
      </w:r>
    </w:p>
    <w:p w14:paraId="13BA5CD1" w14:textId="77777777" w:rsidR="00807E43" w:rsidRPr="00C77B6C" w:rsidRDefault="00807E43" w:rsidP="005300B5">
      <w:pPr>
        <w:spacing w:line="276" w:lineRule="auto"/>
        <w:rPr>
          <w:rFonts w:ascii="Verdana" w:hAnsi="Verdana"/>
          <w:b/>
        </w:rPr>
      </w:pPr>
    </w:p>
    <w:p w14:paraId="6F8782EF" w14:textId="77777777" w:rsidR="00807E43" w:rsidRPr="00A16ADD" w:rsidRDefault="00807E43" w:rsidP="008B1AB9">
      <w:pPr>
        <w:pStyle w:val="Heading2"/>
      </w:pPr>
      <w:bookmarkStart w:id="10" w:name="_Toc97030902"/>
      <w:r w:rsidRPr="00A16ADD">
        <w:t>Data collection</w:t>
      </w:r>
      <w:bookmarkEnd w:id="10"/>
    </w:p>
    <w:p w14:paraId="3CB6EFD4" w14:textId="77777777" w:rsidR="00807E43" w:rsidRPr="00C77B6C" w:rsidRDefault="00807E43" w:rsidP="005300B5">
      <w:pPr>
        <w:spacing w:line="276" w:lineRule="auto"/>
        <w:rPr>
          <w:rFonts w:ascii="Verdana" w:hAnsi="Verdana"/>
          <w:b/>
        </w:rPr>
      </w:pPr>
    </w:p>
    <w:p w14:paraId="25274A5F" w14:textId="6F5CF666" w:rsidR="00E74710" w:rsidRDefault="00807E43" w:rsidP="00915669">
      <w:pPr>
        <w:pStyle w:val="ListParagraph"/>
        <w:numPr>
          <w:ilvl w:val="1"/>
          <w:numId w:val="16"/>
        </w:numPr>
        <w:spacing w:line="276" w:lineRule="auto"/>
        <w:rPr>
          <w:rFonts w:ascii="Verdana" w:hAnsi="Verdana"/>
        </w:rPr>
      </w:pPr>
      <w:r w:rsidRPr="00E74710">
        <w:rPr>
          <w:rFonts w:ascii="Verdana" w:hAnsi="Verdana"/>
        </w:rPr>
        <w:t>In 2016, the UN Committee on the Elimination of All Forms of Racial Discrimination highlighted “the importance of collecting accurate and updated disaggregated data to develop effective policies to combat racial discrimination and to monitor the impact of measures taken”.</w:t>
      </w:r>
      <w:r w:rsidRPr="00C77B6C">
        <w:rPr>
          <w:rStyle w:val="FootnoteReference"/>
          <w:rFonts w:ascii="Verdana" w:hAnsi="Verdana"/>
        </w:rPr>
        <w:footnoteReference w:id="45"/>
      </w:r>
      <w:r w:rsidRPr="00E74710">
        <w:rPr>
          <w:rFonts w:ascii="Verdana" w:hAnsi="Verdana"/>
        </w:rPr>
        <w:t xml:space="preserve"> The CERD Committee recommended that the UK Government and NI Executive “systematically collect and publish disaggregated data on the enjoyment of rights by members of ethnic minorities in all fields of life”.</w:t>
      </w:r>
      <w:r w:rsidRPr="00C77B6C">
        <w:rPr>
          <w:rStyle w:val="FootnoteReference"/>
          <w:rFonts w:ascii="Verdana" w:hAnsi="Verdana"/>
        </w:rPr>
        <w:footnoteReference w:id="46"/>
      </w:r>
      <w:r w:rsidRPr="00E74710">
        <w:rPr>
          <w:rFonts w:ascii="Verdana" w:hAnsi="Verdana"/>
        </w:rPr>
        <w:t xml:space="preserve"> </w:t>
      </w:r>
    </w:p>
    <w:p w14:paraId="5C65A9BA" w14:textId="77777777" w:rsidR="00E74710" w:rsidRDefault="00E74710" w:rsidP="00E74710">
      <w:pPr>
        <w:pStyle w:val="ListParagraph"/>
        <w:spacing w:line="276" w:lineRule="auto"/>
        <w:rPr>
          <w:rFonts w:ascii="Verdana" w:hAnsi="Verdana"/>
        </w:rPr>
      </w:pPr>
    </w:p>
    <w:p w14:paraId="42780B40" w14:textId="77777777" w:rsidR="00E74710" w:rsidRDefault="00807E43" w:rsidP="00915669">
      <w:pPr>
        <w:pStyle w:val="ListParagraph"/>
        <w:numPr>
          <w:ilvl w:val="1"/>
          <w:numId w:val="16"/>
        </w:numPr>
        <w:spacing w:line="276" w:lineRule="auto"/>
        <w:rPr>
          <w:rFonts w:ascii="Verdana" w:hAnsi="Verdana"/>
        </w:rPr>
      </w:pPr>
      <w:r w:rsidRPr="00E74710">
        <w:rPr>
          <w:rFonts w:ascii="Verdana" w:hAnsi="Verdana"/>
        </w:rPr>
        <w:t xml:space="preserve">In 2018, the UN Special Rapporteur on contemporary forms of racism, E </w:t>
      </w:r>
      <w:proofErr w:type="spellStart"/>
      <w:r w:rsidRPr="00E74710">
        <w:rPr>
          <w:rFonts w:ascii="Verdana" w:hAnsi="Verdana"/>
        </w:rPr>
        <w:t>Tendayi</w:t>
      </w:r>
      <w:proofErr w:type="spellEnd"/>
      <w:r w:rsidRPr="00E74710">
        <w:rPr>
          <w:rFonts w:ascii="Verdana" w:hAnsi="Verdana"/>
        </w:rPr>
        <w:t xml:space="preserve"> </w:t>
      </w:r>
      <w:proofErr w:type="spellStart"/>
      <w:r w:rsidRPr="00E74710">
        <w:rPr>
          <w:rFonts w:ascii="Verdana" w:hAnsi="Verdana"/>
        </w:rPr>
        <w:t>Achiume</w:t>
      </w:r>
      <w:proofErr w:type="spellEnd"/>
      <w:r w:rsidRPr="00E74710">
        <w:rPr>
          <w:rFonts w:ascii="Verdana" w:hAnsi="Verdana"/>
        </w:rPr>
        <w:t>, visited NI. During her visit, the UN Special Rapporteur noted inconsistency in the data collected by government departments and the limitations in its scope, including a failure to account for the racial impact of immigration and counter terrorism law and policy.</w:t>
      </w:r>
      <w:r w:rsidRPr="00C77B6C">
        <w:rPr>
          <w:rStyle w:val="FootnoteReference"/>
          <w:rFonts w:ascii="Verdana" w:hAnsi="Verdana"/>
        </w:rPr>
        <w:footnoteReference w:id="47"/>
      </w:r>
      <w:r w:rsidRPr="00E74710">
        <w:rPr>
          <w:rFonts w:ascii="Verdana" w:hAnsi="Verdana"/>
        </w:rPr>
        <w:t xml:space="preserve"> </w:t>
      </w:r>
    </w:p>
    <w:p w14:paraId="12545E56" w14:textId="77777777" w:rsidR="00E74710" w:rsidRPr="00E74710" w:rsidRDefault="00E74710" w:rsidP="00E74710">
      <w:pPr>
        <w:pStyle w:val="ListParagraph"/>
        <w:rPr>
          <w:rFonts w:ascii="Verdana" w:hAnsi="Verdana"/>
        </w:rPr>
      </w:pPr>
    </w:p>
    <w:p w14:paraId="584E2F70" w14:textId="77777777" w:rsidR="00E74710" w:rsidRDefault="00807E43" w:rsidP="00915669">
      <w:pPr>
        <w:pStyle w:val="ListParagraph"/>
        <w:numPr>
          <w:ilvl w:val="1"/>
          <w:numId w:val="16"/>
        </w:numPr>
        <w:spacing w:line="276" w:lineRule="auto"/>
        <w:rPr>
          <w:rFonts w:ascii="Verdana" w:hAnsi="Verdana"/>
        </w:rPr>
      </w:pPr>
      <w:r w:rsidRPr="00E74710">
        <w:rPr>
          <w:rFonts w:ascii="Verdana" w:hAnsi="Verdana"/>
        </w:rPr>
        <w:t xml:space="preserve">The Executive Office Racial Equality Strategy 2015-2025 </w:t>
      </w:r>
      <w:r w:rsidR="00D073D0" w:rsidRPr="00E74710">
        <w:rPr>
          <w:rFonts w:ascii="Verdana" w:hAnsi="Verdana"/>
        </w:rPr>
        <w:t>commits</w:t>
      </w:r>
      <w:r w:rsidRPr="00E74710">
        <w:rPr>
          <w:rFonts w:ascii="Verdana" w:hAnsi="Verdana"/>
        </w:rPr>
        <w:t xml:space="preserve"> to “examine where ethnic monitoring should be introduced and consult on proposals for implementation”. In 2020, a study to determine the feasibility of introducing ethnic monitoring to the public sector in NI</w:t>
      </w:r>
      <w:r w:rsidR="00296239" w:rsidRPr="00E74710">
        <w:rPr>
          <w:rFonts w:ascii="Verdana" w:hAnsi="Verdana"/>
        </w:rPr>
        <w:t xml:space="preserve"> was completed,</w:t>
      </w:r>
      <w:r w:rsidRPr="00E74710">
        <w:rPr>
          <w:rFonts w:ascii="Verdana" w:hAnsi="Verdana"/>
        </w:rPr>
        <w:t xml:space="preserve"> </w:t>
      </w:r>
      <w:r w:rsidR="00296239" w:rsidRPr="00E74710">
        <w:rPr>
          <w:rFonts w:ascii="Verdana" w:hAnsi="Verdana"/>
        </w:rPr>
        <w:t xml:space="preserve">recommending </w:t>
      </w:r>
      <w:r w:rsidRPr="00E74710">
        <w:rPr>
          <w:rFonts w:ascii="Verdana" w:hAnsi="Verdana"/>
        </w:rPr>
        <w:t>that the Race Relations (NI) Order 1997 is amended to imposing a duty on specified public authorities to collect data on racial equality and set racial equality objectives.</w:t>
      </w:r>
      <w:r w:rsidR="00296239">
        <w:rPr>
          <w:rStyle w:val="FootnoteReference"/>
          <w:rFonts w:ascii="Verdana" w:hAnsi="Verdana"/>
        </w:rPr>
        <w:footnoteReference w:id="48"/>
      </w:r>
    </w:p>
    <w:p w14:paraId="4A7ED080" w14:textId="77777777" w:rsidR="00E74710" w:rsidRPr="00E74710" w:rsidRDefault="00E74710" w:rsidP="00E74710">
      <w:pPr>
        <w:pStyle w:val="ListParagraph"/>
        <w:rPr>
          <w:rFonts w:ascii="Verdana" w:hAnsi="Verdana"/>
        </w:rPr>
      </w:pPr>
    </w:p>
    <w:p w14:paraId="15AEF44E" w14:textId="77777777" w:rsidR="00E74710" w:rsidRPr="00E74710" w:rsidRDefault="00807E43" w:rsidP="00915669">
      <w:pPr>
        <w:pStyle w:val="ListParagraph"/>
        <w:numPr>
          <w:ilvl w:val="1"/>
          <w:numId w:val="16"/>
        </w:numPr>
        <w:spacing w:line="276" w:lineRule="auto"/>
        <w:rPr>
          <w:rFonts w:ascii="Verdana" w:hAnsi="Verdana"/>
        </w:rPr>
      </w:pPr>
      <w:r w:rsidRPr="00E74710">
        <w:rPr>
          <w:rFonts w:ascii="Verdana" w:hAnsi="Verdana"/>
        </w:rPr>
        <w:t>The NIHRC understands that while the proposals set out in the report have not yet been formally considered by Ministers, it is anticipated that the next steps will be to update and publish Executive Office Guidance on Ethnic Monitoring, which will be the foundation for harmonisation of data collection across the NI Civil Service.</w:t>
      </w:r>
      <w:r w:rsidRPr="00C77B6C">
        <w:rPr>
          <w:rStyle w:val="FootnoteReference"/>
          <w:rFonts w:ascii="Verdana" w:hAnsi="Verdana"/>
        </w:rPr>
        <w:footnoteReference w:id="49"/>
      </w:r>
      <w:r w:rsidR="00054EC0" w:rsidRPr="00E74710">
        <w:rPr>
          <w:rFonts w:ascii="Verdana" w:hAnsi="Verdana"/>
        </w:rPr>
        <w:t xml:space="preserve"> </w:t>
      </w:r>
      <w:r w:rsidR="00922032" w:rsidRPr="00E74710">
        <w:rPr>
          <w:rFonts w:ascii="Verdana" w:hAnsi="Verdana" w:cs="YIUEB V+ Gotham"/>
          <w:color w:val="000000"/>
        </w:rPr>
        <w:t>An interdepartmental working group, tasked with taking this work forward</w:t>
      </w:r>
      <w:r w:rsidR="00B83600" w:rsidRPr="00E74710">
        <w:rPr>
          <w:rFonts w:ascii="Verdana" w:hAnsi="Verdana" w:cs="YIUEB V+ Gotham"/>
          <w:color w:val="000000"/>
        </w:rPr>
        <w:t>,</w:t>
      </w:r>
      <w:r w:rsidR="00922032" w:rsidRPr="00E74710">
        <w:rPr>
          <w:rFonts w:ascii="Verdana" w:hAnsi="Verdana" w:cs="YIUEB V+ Gotham"/>
          <w:color w:val="000000"/>
        </w:rPr>
        <w:t xml:space="preserve"> has been established and its inaugural meeting is expected to take place in February 2022, where it will establish terms of reference</w:t>
      </w:r>
      <w:r w:rsidR="00630F7C" w:rsidRPr="00E74710">
        <w:rPr>
          <w:rFonts w:ascii="Verdana" w:hAnsi="Verdana" w:cs="YIUEB V+ Gotham"/>
          <w:color w:val="000000"/>
        </w:rPr>
        <w:t>, develop an implementation plan</w:t>
      </w:r>
      <w:r w:rsidR="00922032" w:rsidRPr="00E74710">
        <w:rPr>
          <w:rFonts w:ascii="Verdana" w:hAnsi="Verdana" w:cs="YIUEB V+ Gotham"/>
          <w:color w:val="000000"/>
        </w:rPr>
        <w:t xml:space="preserve"> and finalise the Guidance on Ethnic Monitoring.</w:t>
      </w:r>
      <w:r w:rsidR="00922032" w:rsidRPr="0019197B">
        <w:rPr>
          <w:rStyle w:val="FootnoteReference"/>
          <w:rFonts w:ascii="Verdana" w:hAnsi="Verdana" w:cs="YIUEB V+ Gotham"/>
          <w:color w:val="000000"/>
        </w:rPr>
        <w:footnoteReference w:id="50"/>
      </w:r>
    </w:p>
    <w:p w14:paraId="73DF0BC8" w14:textId="77777777" w:rsidR="00E74710" w:rsidRPr="00E74710" w:rsidRDefault="00E74710" w:rsidP="00E74710">
      <w:pPr>
        <w:pStyle w:val="ListParagraph"/>
        <w:rPr>
          <w:rFonts w:ascii="Verdana" w:eastAsia="Verdana" w:hAnsi="Verdana" w:cs="Verdana"/>
          <w:color w:val="000000"/>
        </w:rPr>
      </w:pPr>
    </w:p>
    <w:p w14:paraId="4E680483" w14:textId="77777777" w:rsidR="00E74710" w:rsidRPr="00E74710" w:rsidRDefault="00AE4272" w:rsidP="00915669">
      <w:pPr>
        <w:pStyle w:val="ListParagraph"/>
        <w:numPr>
          <w:ilvl w:val="1"/>
          <w:numId w:val="16"/>
        </w:numPr>
        <w:spacing w:line="276" w:lineRule="auto"/>
        <w:rPr>
          <w:rFonts w:ascii="Verdana" w:hAnsi="Verdana"/>
        </w:rPr>
      </w:pPr>
      <w:r w:rsidRPr="00E74710">
        <w:rPr>
          <w:rFonts w:ascii="Verdana" w:eastAsia="Verdana" w:hAnsi="Verdana" w:cs="Verdana"/>
          <w:color w:val="000000"/>
        </w:rPr>
        <w:t>In its 2021 submission to the NI Affairs Committee inquiry into the experience of minority ethnic and migrant people in NI, the NIHRC highlighted the need for effective data collection on racial equality.</w:t>
      </w:r>
      <w:r w:rsidRPr="00D62DEB">
        <w:rPr>
          <w:rStyle w:val="FootnoteReference"/>
          <w:rFonts w:ascii="Verdana" w:eastAsia="Verdana" w:hAnsi="Verdana" w:cs="Verdana"/>
          <w:color w:val="000000"/>
        </w:rPr>
        <w:footnoteReference w:id="51"/>
      </w:r>
      <w:r w:rsidRPr="00E74710">
        <w:rPr>
          <w:rFonts w:ascii="Verdana" w:eastAsia="Verdana" w:hAnsi="Verdana" w:cs="Verdana"/>
          <w:color w:val="000000"/>
        </w:rPr>
        <w:t xml:space="preserve"> </w:t>
      </w:r>
    </w:p>
    <w:p w14:paraId="0781EE3C" w14:textId="77777777" w:rsidR="00E74710" w:rsidRPr="00E74710" w:rsidRDefault="00E74710" w:rsidP="00E74710">
      <w:pPr>
        <w:pStyle w:val="ListParagraph"/>
        <w:rPr>
          <w:rFonts w:ascii="Verdana" w:hAnsi="Verdana"/>
        </w:rPr>
      </w:pPr>
    </w:p>
    <w:p w14:paraId="45AEEF24" w14:textId="77777777" w:rsidR="00E74710" w:rsidRDefault="00807E43" w:rsidP="00915669">
      <w:pPr>
        <w:pStyle w:val="ListParagraph"/>
        <w:numPr>
          <w:ilvl w:val="1"/>
          <w:numId w:val="16"/>
        </w:numPr>
        <w:spacing w:line="276" w:lineRule="auto"/>
        <w:rPr>
          <w:rFonts w:ascii="Verdana" w:hAnsi="Verdana"/>
        </w:rPr>
      </w:pPr>
      <w:r w:rsidRPr="00E74710">
        <w:rPr>
          <w:rFonts w:ascii="Verdana" w:hAnsi="Verdana"/>
        </w:rPr>
        <w:t>The NIHRC welcomes this recent progress and renewed commitment by the Executive</w:t>
      </w:r>
      <w:r w:rsidR="0002481E" w:rsidRPr="00E74710">
        <w:rPr>
          <w:rFonts w:ascii="Verdana" w:hAnsi="Verdana"/>
        </w:rPr>
        <w:t xml:space="preserve"> Office</w:t>
      </w:r>
      <w:r w:rsidR="001A526F" w:rsidRPr="00E74710">
        <w:rPr>
          <w:rFonts w:ascii="Verdana" w:hAnsi="Verdana"/>
        </w:rPr>
        <w:t>;</w:t>
      </w:r>
      <w:r w:rsidRPr="00E74710">
        <w:rPr>
          <w:rFonts w:ascii="Verdana" w:hAnsi="Verdana"/>
        </w:rPr>
        <w:t xml:space="preserve"> however, the delay in reaching this point is disappointing and the lack of reliable and consistent data collection across </w:t>
      </w:r>
      <w:r w:rsidR="001A526F" w:rsidRPr="00E74710">
        <w:rPr>
          <w:rFonts w:ascii="Verdana" w:hAnsi="Verdana"/>
        </w:rPr>
        <w:t xml:space="preserve">NI </w:t>
      </w:r>
      <w:r w:rsidRPr="00E74710">
        <w:rPr>
          <w:rFonts w:ascii="Verdana" w:hAnsi="Verdana"/>
        </w:rPr>
        <w:t xml:space="preserve">government departments remains a common theme across this submission. </w:t>
      </w:r>
    </w:p>
    <w:p w14:paraId="63191630" w14:textId="77777777" w:rsidR="00E74710" w:rsidRPr="00E74710" w:rsidRDefault="00E74710" w:rsidP="00E74710">
      <w:pPr>
        <w:pStyle w:val="ListParagraph"/>
        <w:rPr>
          <w:rFonts w:ascii="Verdana" w:eastAsia="Times New Roman" w:hAnsi="Verdana" w:cs="Verdana"/>
          <w:b/>
        </w:rPr>
      </w:pPr>
    </w:p>
    <w:p w14:paraId="7A27B52C" w14:textId="366116A8" w:rsidR="00807E43" w:rsidRPr="00E74710" w:rsidRDefault="00807E43" w:rsidP="00915669">
      <w:pPr>
        <w:pStyle w:val="ListParagraph"/>
        <w:numPr>
          <w:ilvl w:val="1"/>
          <w:numId w:val="16"/>
        </w:numPr>
        <w:spacing w:line="276" w:lineRule="auto"/>
        <w:rPr>
          <w:rFonts w:ascii="Verdana" w:hAnsi="Verdana"/>
        </w:rPr>
      </w:pPr>
      <w:r w:rsidRPr="00E74710">
        <w:rPr>
          <w:rFonts w:ascii="Verdana" w:eastAsia="Times New Roman" w:hAnsi="Verdana" w:cs="Verdana"/>
          <w:b/>
        </w:rPr>
        <w:t xml:space="preserve">The Advisory Committee may wish to recommend that the State Party urgently takes effective steps to ensure that ethnic monitoring </w:t>
      </w:r>
      <w:r w:rsidRPr="00E74710">
        <w:rPr>
          <w:rFonts w:ascii="Verdana" w:hAnsi="Verdana"/>
          <w:b/>
        </w:rPr>
        <w:t xml:space="preserve">be consistently integrated into the practices of all relevant departments and agencies. </w:t>
      </w:r>
    </w:p>
    <w:p w14:paraId="605E54EA" w14:textId="77777777" w:rsidR="00807E43" w:rsidRPr="00C77B6C" w:rsidRDefault="00807E43" w:rsidP="005300B5">
      <w:pPr>
        <w:spacing w:line="276" w:lineRule="auto"/>
        <w:rPr>
          <w:rFonts w:ascii="Verdana" w:hAnsi="Verdana"/>
          <w:b/>
        </w:rPr>
      </w:pPr>
    </w:p>
    <w:p w14:paraId="1DEC8B06" w14:textId="77777777" w:rsidR="00807E43" w:rsidRPr="008B1AB9" w:rsidRDefault="00807E43" w:rsidP="008B1AB9">
      <w:pPr>
        <w:pStyle w:val="Heading2"/>
        <w:rPr>
          <w:b w:val="0"/>
          <w:szCs w:val="24"/>
        </w:rPr>
      </w:pPr>
      <w:bookmarkStart w:id="12" w:name="_Toc97030903"/>
      <w:r w:rsidRPr="00ED0CFA">
        <w:rPr>
          <w:szCs w:val="24"/>
        </w:rPr>
        <w:t>S</w:t>
      </w:r>
      <w:r w:rsidRPr="000A395D">
        <w:t>elf-identification</w:t>
      </w:r>
      <w:bookmarkEnd w:id="12"/>
    </w:p>
    <w:p w14:paraId="169E1BE1" w14:textId="77777777" w:rsidR="00807E43" w:rsidRPr="00C77B6C" w:rsidRDefault="00807E43" w:rsidP="00C7595E">
      <w:pPr>
        <w:tabs>
          <w:tab w:val="left" w:pos="709"/>
        </w:tabs>
        <w:spacing w:line="276" w:lineRule="auto"/>
        <w:ind w:left="709" w:hanging="709"/>
        <w:rPr>
          <w:rFonts w:ascii="Verdana" w:hAnsi="Verdana"/>
          <w:b/>
        </w:rPr>
      </w:pPr>
    </w:p>
    <w:p w14:paraId="2EEA1E68" w14:textId="669D38C5" w:rsidR="00E74710" w:rsidRDefault="00807E43" w:rsidP="00915669">
      <w:pPr>
        <w:pStyle w:val="ListParagraph"/>
        <w:numPr>
          <w:ilvl w:val="1"/>
          <w:numId w:val="16"/>
        </w:numPr>
        <w:tabs>
          <w:tab w:val="left" w:pos="709"/>
        </w:tabs>
        <w:spacing w:line="276" w:lineRule="auto"/>
        <w:rPr>
          <w:rFonts w:ascii="Verdana" w:hAnsi="Verdana"/>
        </w:rPr>
      </w:pPr>
      <w:r w:rsidRPr="00E74710">
        <w:rPr>
          <w:rFonts w:ascii="Verdana" w:hAnsi="Verdana"/>
        </w:rPr>
        <w:t>The Advisory Committee has previously noted that the possibility for employers to determine the community background of an employee, where no information was provided, impinges on the right to free self-identification.</w:t>
      </w:r>
      <w:r w:rsidRPr="00C77B6C">
        <w:rPr>
          <w:rStyle w:val="FootnoteReference"/>
          <w:rFonts w:ascii="Verdana" w:hAnsi="Verdana"/>
        </w:rPr>
        <w:footnoteReference w:id="52"/>
      </w:r>
      <w:r w:rsidRPr="00E74710">
        <w:rPr>
          <w:rFonts w:ascii="Verdana" w:hAnsi="Verdana"/>
        </w:rPr>
        <w:t xml:space="preserve"> As a consequence, regular reviews of workforce monitoring against the objective of securing equality were recommended.</w:t>
      </w:r>
    </w:p>
    <w:p w14:paraId="3897D83A" w14:textId="77777777" w:rsidR="00E74710" w:rsidRDefault="00E74710" w:rsidP="00E74710">
      <w:pPr>
        <w:pStyle w:val="ListParagraph"/>
        <w:tabs>
          <w:tab w:val="left" w:pos="709"/>
        </w:tabs>
        <w:spacing w:line="276" w:lineRule="auto"/>
        <w:rPr>
          <w:rFonts w:ascii="Verdana" w:hAnsi="Verdana"/>
        </w:rPr>
      </w:pPr>
    </w:p>
    <w:p w14:paraId="6FF59C92" w14:textId="77777777" w:rsidR="00E74710" w:rsidRDefault="00807E43" w:rsidP="00915669">
      <w:pPr>
        <w:pStyle w:val="ListParagraph"/>
        <w:numPr>
          <w:ilvl w:val="1"/>
          <w:numId w:val="16"/>
        </w:numPr>
        <w:tabs>
          <w:tab w:val="left" w:pos="709"/>
        </w:tabs>
        <w:spacing w:line="276" w:lineRule="auto"/>
        <w:rPr>
          <w:rFonts w:ascii="Verdana" w:hAnsi="Verdana"/>
        </w:rPr>
      </w:pPr>
      <w:r w:rsidRPr="00E74710">
        <w:rPr>
          <w:rFonts w:ascii="Verdana" w:hAnsi="Verdana"/>
        </w:rPr>
        <w:t>This practice remains and is subject to monitoring by the Equality Commission for Northern Ireland (ECNI). The ECNI continue</w:t>
      </w:r>
      <w:r w:rsidR="00296239" w:rsidRPr="00E74710">
        <w:rPr>
          <w:rFonts w:ascii="Verdana" w:hAnsi="Verdana"/>
        </w:rPr>
        <w:t>s</w:t>
      </w:r>
      <w:r w:rsidRPr="00E74710">
        <w:rPr>
          <w:rFonts w:ascii="Verdana" w:hAnsi="Verdana"/>
        </w:rPr>
        <w:t xml:space="preserve"> to recommend that fair employment legislation is amended to require registered employers in NI to additionally monitor nationality and ethnic origin of the workforce.</w:t>
      </w:r>
      <w:r w:rsidRPr="00C77B6C">
        <w:rPr>
          <w:rStyle w:val="FootnoteReference"/>
          <w:rFonts w:ascii="Verdana" w:hAnsi="Verdana"/>
        </w:rPr>
        <w:footnoteReference w:id="53"/>
      </w:r>
      <w:r w:rsidRPr="00E74710">
        <w:rPr>
          <w:rFonts w:ascii="Verdana" w:hAnsi="Verdana"/>
        </w:rPr>
        <w:t xml:space="preserve"> The Racial Equality Strategy 2015-2025 commits to a review of Fair Employment Legislation</w:t>
      </w:r>
      <w:r w:rsidR="001A526F" w:rsidRPr="00E74710">
        <w:rPr>
          <w:rFonts w:ascii="Verdana" w:hAnsi="Verdana"/>
        </w:rPr>
        <w:t>;</w:t>
      </w:r>
      <w:r w:rsidRPr="00E74710">
        <w:rPr>
          <w:rFonts w:ascii="Verdana" w:hAnsi="Verdana"/>
        </w:rPr>
        <w:t xml:space="preserve"> however</w:t>
      </w:r>
      <w:r w:rsidR="001A526F" w:rsidRPr="00E74710">
        <w:rPr>
          <w:rFonts w:ascii="Verdana" w:hAnsi="Verdana"/>
        </w:rPr>
        <w:t>,</w:t>
      </w:r>
      <w:r w:rsidRPr="00E74710">
        <w:rPr>
          <w:rFonts w:ascii="Verdana" w:hAnsi="Verdana"/>
        </w:rPr>
        <w:t xml:space="preserve"> final proposals for reform and arrangements for public consultation on these have yet to be agreed.</w:t>
      </w:r>
      <w:r w:rsidR="00A24B27">
        <w:rPr>
          <w:rStyle w:val="FootnoteReference"/>
          <w:rFonts w:ascii="Verdana" w:hAnsi="Verdana"/>
        </w:rPr>
        <w:footnoteReference w:id="54"/>
      </w:r>
      <w:r w:rsidRPr="00E74710">
        <w:rPr>
          <w:rFonts w:ascii="Verdana" w:hAnsi="Verdana"/>
        </w:rPr>
        <w:t xml:space="preserve"> </w:t>
      </w:r>
    </w:p>
    <w:p w14:paraId="3C84763D" w14:textId="77777777" w:rsidR="00E74710" w:rsidRPr="00E74710" w:rsidRDefault="00E74710" w:rsidP="00E74710">
      <w:pPr>
        <w:pStyle w:val="ListParagraph"/>
        <w:rPr>
          <w:rFonts w:ascii="Verdana" w:hAnsi="Verdana"/>
          <w:b/>
        </w:rPr>
      </w:pPr>
    </w:p>
    <w:p w14:paraId="1683B8C0" w14:textId="1BAA5117" w:rsidR="004751C1" w:rsidRPr="00E74710" w:rsidRDefault="00807E43" w:rsidP="00915669">
      <w:pPr>
        <w:pStyle w:val="ListParagraph"/>
        <w:numPr>
          <w:ilvl w:val="1"/>
          <w:numId w:val="16"/>
        </w:numPr>
        <w:tabs>
          <w:tab w:val="left" w:pos="709"/>
        </w:tabs>
        <w:spacing w:line="276" w:lineRule="auto"/>
        <w:rPr>
          <w:rFonts w:ascii="Verdana" w:hAnsi="Verdana"/>
        </w:rPr>
      </w:pPr>
      <w:r w:rsidRPr="00E74710">
        <w:rPr>
          <w:rFonts w:ascii="Verdana" w:hAnsi="Verdana"/>
          <w:b/>
        </w:rPr>
        <w:t>The Advisory Committee may wish to recommend that the State Party ensures its review of workforce monitoring specifically measures progress made in achieving the original purpose of the legislation</w:t>
      </w:r>
      <w:r w:rsidRPr="00E74710">
        <w:rPr>
          <w:rFonts w:ascii="Verdana" w:hAnsi="Verdana"/>
        </w:rPr>
        <w:t xml:space="preserve"> </w:t>
      </w:r>
      <w:r w:rsidRPr="00E74710">
        <w:rPr>
          <w:rFonts w:ascii="Verdana" w:hAnsi="Verdana"/>
          <w:b/>
        </w:rPr>
        <w:t xml:space="preserve">and the basis for continuing with and/or extending this practice to cover ethnic origin and nationality. </w:t>
      </w:r>
    </w:p>
    <w:p w14:paraId="421445D8" w14:textId="77777777" w:rsidR="004751C1" w:rsidRPr="004751C1" w:rsidRDefault="004751C1" w:rsidP="004751C1">
      <w:pPr>
        <w:pStyle w:val="ListParagraph"/>
        <w:rPr>
          <w:rFonts w:ascii="Verdana" w:hAnsi="Verdana"/>
        </w:rPr>
      </w:pPr>
    </w:p>
    <w:p w14:paraId="1069B368" w14:textId="5721EDD3" w:rsidR="004751C1" w:rsidRPr="000A395D" w:rsidRDefault="004751C1" w:rsidP="004751C1">
      <w:pPr>
        <w:pStyle w:val="Heading2"/>
      </w:pPr>
      <w:bookmarkStart w:id="13" w:name="_Toc97030904"/>
      <w:r w:rsidRPr="000A395D">
        <w:t>Fair employment</w:t>
      </w:r>
      <w:bookmarkEnd w:id="13"/>
    </w:p>
    <w:p w14:paraId="56536A67" w14:textId="77777777" w:rsidR="004751C1" w:rsidRPr="004751C1" w:rsidRDefault="004751C1" w:rsidP="004751C1">
      <w:pPr>
        <w:pStyle w:val="ListParagraph"/>
        <w:rPr>
          <w:rFonts w:ascii="Verdana" w:hAnsi="Verdana"/>
        </w:rPr>
      </w:pPr>
    </w:p>
    <w:p w14:paraId="6A35B7F0" w14:textId="29DE7371" w:rsidR="00E74710" w:rsidRDefault="00807E43" w:rsidP="00915669">
      <w:pPr>
        <w:pStyle w:val="ListParagraph"/>
        <w:numPr>
          <w:ilvl w:val="1"/>
          <w:numId w:val="16"/>
        </w:numPr>
        <w:spacing w:line="276" w:lineRule="auto"/>
        <w:rPr>
          <w:rFonts w:ascii="Verdana" w:hAnsi="Verdana"/>
        </w:rPr>
      </w:pPr>
      <w:r w:rsidRPr="00E74710">
        <w:rPr>
          <w:rFonts w:ascii="Verdana" w:hAnsi="Verdana"/>
        </w:rPr>
        <w:t>Under the Fair Employment and Treatment (NI) Order 1998, there is an exemption which permits schools to use religion as a factor when selecting teaching staff; Article 71 provides that the legislation does not apply to or in relation to a teacher in a school.</w:t>
      </w:r>
      <w:r w:rsidR="00481D8D">
        <w:rPr>
          <w:rStyle w:val="FootnoteReference"/>
          <w:rFonts w:ascii="Verdana" w:hAnsi="Verdana"/>
        </w:rPr>
        <w:footnoteReference w:id="55"/>
      </w:r>
      <w:r w:rsidRPr="00E74710">
        <w:rPr>
          <w:rFonts w:ascii="Verdana" w:hAnsi="Verdana"/>
        </w:rPr>
        <w:t xml:space="preserve"> </w:t>
      </w:r>
    </w:p>
    <w:p w14:paraId="55FF7630" w14:textId="77777777" w:rsidR="00E74710" w:rsidRDefault="00E74710" w:rsidP="00E74710">
      <w:pPr>
        <w:pStyle w:val="ListParagraph"/>
        <w:spacing w:line="276" w:lineRule="auto"/>
        <w:rPr>
          <w:rFonts w:ascii="Verdana" w:hAnsi="Verdana"/>
        </w:rPr>
      </w:pPr>
    </w:p>
    <w:p w14:paraId="2FF58BA7" w14:textId="77777777" w:rsidR="00D445A7" w:rsidRDefault="00807E43" w:rsidP="00915669">
      <w:pPr>
        <w:pStyle w:val="ListParagraph"/>
        <w:numPr>
          <w:ilvl w:val="1"/>
          <w:numId w:val="16"/>
        </w:numPr>
        <w:spacing w:line="276" w:lineRule="auto"/>
        <w:rPr>
          <w:rFonts w:ascii="Verdana" w:hAnsi="Verdana"/>
        </w:rPr>
      </w:pPr>
      <w:r w:rsidRPr="00E74710">
        <w:rPr>
          <w:rFonts w:ascii="Verdana" w:hAnsi="Verdana"/>
        </w:rPr>
        <w:t>On 17 May 2021, MLAs unanimously passed a motion “That this Assembly notes the exemption in fair employment law allowing discrimination on the grounds of religious belief when appointing teachers; acknowledges that it is unacceptable that teachers should be excluded from protection from discrimination in employment on the grounds of religious belief; and calls on the First Minister and deputy First Minister to repeal urgently this exemption to ensure equal opportunities in employment are afforded to all without exception”.</w:t>
      </w:r>
      <w:r w:rsidRPr="00C77B6C">
        <w:rPr>
          <w:rStyle w:val="FootnoteReference"/>
          <w:rFonts w:ascii="Verdana" w:hAnsi="Verdana"/>
        </w:rPr>
        <w:footnoteReference w:id="56"/>
      </w:r>
    </w:p>
    <w:p w14:paraId="79FB58FC" w14:textId="77777777" w:rsidR="00D445A7" w:rsidRPr="00D445A7" w:rsidRDefault="00D445A7" w:rsidP="00D445A7">
      <w:pPr>
        <w:pStyle w:val="ListParagraph"/>
        <w:rPr>
          <w:rFonts w:ascii="Verdana" w:hAnsi="Verdana"/>
        </w:rPr>
      </w:pPr>
    </w:p>
    <w:p w14:paraId="44C26370" w14:textId="77777777" w:rsidR="00D445A7" w:rsidRDefault="002D5C55" w:rsidP="00915669">
      <w:pPr>
        <w:pStyle w:val="ListParagraph"/>
        <w:numPr>
          <w:ilvl w:val="1"/>
          <w:numId w:val="16"/>
        </w:numPr>
        <w:spacing w:line="276" w:lineRule="auto"/>
        <w:rPr>
          <w:rFonts w:ascii="Verdana" w:hAnsi="Verdana"/>
        </w:rPr>
      </w:pPr>
      <w:r w:rsidRPr="00D445A7">
        <w:rPr>
          <w:rFonts w:ascii="Verdana" w:hAnsi="Verdana"/>
        </w:rPr>
        <w:t>The ECNI Chief Commissioner then wrote to the Executive Office to highlight its support for the removal of the exemption for secondary schools, with early consideration given to whether it should also be removed for primary schools.</w:t>
      </w:r>
      <w:r w:rsidR="00F807F9">
        <w:rPr>
          <w:rStyle w:val="FootnoteReference"/>
          <w:rFonts w:ascii="Verdana" w:hAnsi="Verdana"/>
        </w:rPr>
        <w:footnoteReference w:id="57"/>
      </w:r>
    </w:p>
    <w:p w14:paraId="706D9062" w14:textId="77777777" w:rsidR="00D445A7" w:rsidRPr="00D445A7" w:rsidRDefault="00D445A7" w:rsidP="00D445A7">
      <w:pPr>
        <w:pStyle w:val="ListParagraph"/>
        <w:rPr>
          <w:rFonts w:ascii="Verdana" w:hAnsi="Verdana"/>
        </w:rPr>
      </w:pPr>
    </w:p>
    <w:p w14:paraId="0B5DB944" w14:textId="77777777" w:rsidR="00D445A7" w:rsidRDefault="00807E43" w:rsidP="00915669">
      <w:pPr>
        <w:pStyle w:val="ListParagraph"/>
        <w:numPr>
          <w:ilvl w:val="1"/>
          <w:numId w:val="16"/>
        </w:numPr>
        <w:spacing w:line="276" w:lineRule="auto"/>
        <w:rPr>
          <w:rFonts w:ascii="Verdana" w:hAnsi="Verdana"/>
        </w:rPr>
      </w:pPr>
      <w:r w:rsidRPr="00D445A7">
        <w:rPr>
          <w:rFonts w:ascii="Verdana" w:hAnsi="Verdana"/>
        </w:rPr>
        <w:t xml:space="preserve">On 17 January 2022, a private member’s bill was introduced to the Assembly which intends to remove the exemption for </w:t>
      </w:r>
      <w:proofErr w:type="gramStart"/>
      <w:r w:rsidRPr="00D445A7">
        <w:rPr>
          <w:rFonts w:ascii="Verdana" w:hAnsi="Verdana"/>
        </w:rPr>
        <w:t>school teachers</w:t>
      </w:r>
      <w:proofErr w:type="gramEnd"/>
      <w:r w:rsidRPr="00D445A7">
        <w:rPr>
          <w:rFonts w:ascii="Verdana" w:hAnsi="Verdana"/>
        </w:rPr>
        <w:t xml:space="preserve"> from the 1998 Order. The Fair Employment (School Teachers) Bill passed its First Stage and</w:t>
      </w:r>
      <w:r w:rsidRPr="00D445A7" w:rsidDel="001C097B">
        <w:rPr>
          <w:rFonts w:ascii="Verdana" w:hAnsi="Verdana"/>
        </w:rPr>
        <w:t xml:space="preserve"> </w:t>
      </w:r>
      <w:r w:rsidR="001C097B" w:rsidRPr="00D445A7">
        <w:rPr>
          <w:rFonts w:ascii="Verdana" w:hAnsi="Verdana"/>
        </w:rPr>
        <w:t>the Committee for the Executive Office launched a public consultation</w:t>
      </w:r>
      <w:r w:rsidR="0000600F" w:rsidRPr="00D445A7">
        <w:rPr>
          <w:rFonts w:ascii="Verdana" w:hAnsi="Verdana"/>
        </w:rPr>
        <w:t xml:space="preserve"> which closes on 7 March 2022</w:t>
      </w:r>
      <w:r w:rsidRPr="00D445A7">
        <w:rPr>
          <w:rFonts w:ascii="Verdana" w:hAnsi="Verdana"/>
        </w:rPr>
        <w:t>.</w:t>
      </w:r>
      <w:r w:rsidRPr="00C77B6C">
        <w:rPr>
          <w:rStyle w:val="FootnoteReference"/>
          <w:rFonts w:ascii="Verdana" w:hAnsi="Verdana"/>
        </w:rPr>
        <w:footnoteReference w:id="58"/>
      </w:r>
      <w:r w:rsidRPr="00D445A7">
        <w:rPr>
          <w:rFonts w:ascii="Verdana" w:hAnsi="Verdana"/>
        </w:rPr>
        <w:t xml:space="preserve"> </w:t>
      </w:r>
      <w:r w:rsidR="00452BF8" w:rsidRPr="00D445A7">
        <w:rPr>
          <w:rFonts w:ascii="Verdana" w:hAnsi="Verdana"/>
        </w:rPr>
        <w:t>During</w:t>
      </w:r>
      <w:r w:rsidR="005D5903" w:rsidRPr="00D445A7">
        <w:rPr>
          <w:rFonts w:ascii="Verdana" w:hAnsi="Verdana"/>
        </w:rPr>
        <w:t xml:space="preserve"> </w:t>
      </w:r>
      <w:r w:rsidR="00836009" w:rsidRPr="00D445A7">
        <w:rPr>
          <w:rFonts w:ascii="Verdana" w:hAnsi="Verdana"/>
        </w:rPr>
        <w:t>the Committee</w:t>
      </w:r>
      <w:r w:rsidR="00293EB0" w:rsidRPr="00D445A7">
        <w:rPr>
          <w:rFonts w:ascii="Verdana" w:hAnsi="Verdana"/>
        </w:rPr>
        <w:t>’s</w:t>
      </w:r>
      <w:r w:rsidR="005D5903" w:rsidRPr="00D445A7">
        <w:rPr>
          <w:rFonts w:ascii="Verdana" w:hAnsi="Verdana"/>
        </w:rPr>
        <w:t xml:space="preserve"> examination</w:t>
      </w:r>
      <w:r w:rsidR="00293EB0" w:rsidRPr="00D445A7">
        <w:rPr>
          <w:rFonts w:ascii="Verdana" w:hAnsi="Verdana"/>
        </w:rPr>
        <w:t xml:space="preserve"> of the Bill</w:t>
      </w:r>
      <w:r w:rsidR="008B13E2" w:rsidRPr="00D445A7">
        <w:rPr>
          <w:rFonts w:ascii="Verdana" w:hAnsi="Verdana"/>
        </w:rPr>
        <w:t xml:space="preserve">, ECNI Chief Commissioner </w:t>
      </w:r>
      <w:r w:rsidR="00764287" w:rsidRPr="00D445A7">
        <w:rPr>
          <w:rFonts w:ascii="Verdana" w:hAnsi="Verdana"/>
        </w:rPr>
        <w:t>provided</w:t>
      </w:r>
      <w:r w:rsidR="00452BF8" w:rsidRPr="00D445A7">
        <w:rPr>
          <w:rFonts w:ascii="Verdana" w:hAnsi="Verdana"/>
        </w:rPr>
        <w:t xml:space="preserve"> </w:t>
      </w:r>
      <w:r w:rsidR="00630F7C" w:rsidRPr="00D445A7">
        <w:rPr>
          <w:rFonts w:ascii="Verdana" w:hAnsi="Verdana"/>
        </w:rPr>
        <w:t xml:space="preserve">oral </w:t>
      </w:r>
      <w:r w:rsidR="00452BF8" w:rsidRPr="00D445A7">
        <w:rPr>
          <w:rFonts w:ascii="Verdana" w:hAnsi="Verdana"/>
        </w:rPr>
        <w:t xml:space="preserve">evidence </w:t>
      </w:r>
      <w:r w:rsidR="000B19D2" w:rsidRPr="00D445A7">
        <w:rPr>
          <w:rFonts w:ascii="Verdana" w:hAnsi="Verdana"/>
        </w:rPr>
        <w:t>reiterat</w:t>
      </w:r>
      <w:r w:rsidR="00630F7C" w:rsidRPr="00D445A7">
        <w:rPr>
          <w:rFonts w:ascii="Verdana" w:hAnsi="Verdana"/>
        </w:rPr>
        <w:t>ing</w:t>
      </w:r>
      <w:r w:rsidR="000B19D2" w:rsidRPr="00D445A7">
        <w:rPr>
          <w:rFonts w:ascii="Verdana" w:hAnsi="Verdana"/>
        </w:rPr>
        <w:t xml:space="preserve"> the </w:t>
      </w:r>
      <w:r w:rsidR="00CF3E75" w:rsidRPr="00D445A7">
        <w:rPr>
          <w:rFonts w:ascii="Verdana" w:hAnsi="Verdana"/>
        </w:rPr>
        <w:t>view that</w:t>
      </w:r>
      <w:r w:rsidR="00723A36" w:rsidRPr="00D445A7">
        <w:rPr>
          <w:rFonts w:ascii="Verdana" w:hAnsi="Verdana"/>
        </w:rPr>
        <w:t xml:space="preserve"> </w:t>
      </w:r>
      <w:r w:rsidR="007C5F40" w:rsidRPr="00D445A7">
        <w:rPr>
          <w:rFonts w:ascii="Verdana" w:hAnsi="Verdana"/>
        </w:rPr>
        <w:t>all teachers</w:t>
      </w:r>
      <w:r w:rsidR="00723A36" w:rsidRPr="00D445A7">
        <w:rPr>
          <w:rFonts w:ascii="Verdana" w:hAnsi="Verdana"/>
        </w:rPr>
        <w:t xml:space="preserve"> should be </w:t>
      </w:r>
      <w:r w:rsidR="007C5F40" w:rsidRPr="00D445A7">
        <w:rPr>
          <w:rFonts w:ascii="Verdana" w:hAnsi="Verdana"/>
        </w:rPr>
        <w:t>able to enjoy the same legislative protection as other workers</w:t>
      </w:r>
      <w:r w:rsidR="00723A36" w:rsidRPr="00D445A7">
        <w:rPr>
          <w:rFonts w:ascii="Verdana" w:hAnsi="Verdana"/>
        </w:rPr>
        <w:t>.</w:t>
      </w:r>
      <w:r w:rsidR="00E12A29">
        <w:rPr>
          <w:rStyle w:val="FootnoteReference"/>
          <w:rFonts w:ascii="Verdana" w:hAnsi="Verdana"/>
        </w:rPr>
        <w:footnoteReference w:id="59"/>
      </w:r>
      <w:r w:rsidR="00723A36" w:rsidRPr="00D445A7">
        <w:rPr>
          <w:rFonts w:ascii="Verdana" w:hAnsi="Verdana"/>
        </w:rPr>
        <w:t xml:space="preserve"> ECNI highlighted the</w:t>
      </w:r>
      <w:r w:rsidR="00B76B14" w:rsidRPr="00D445A7">
        <w:rPr>
          <w:rFonts w:ascii="Verdana" w:hAnsi="Verdana"/>
        </w:rPr>
        <w:t xml:space="preserve"> importance of including teachers in monitoring requirements</w:t>
      </w:r>
      <w:r w:rsidR="000D7FCD" w:rsidRPr="00D445A7">
        <w:rPr>
          <w:rFonts w:ascii="Verdana" w:hAnsi="Verdana"/>
        </w:rPr>
        <w:t>, ensuring annual data collection and regular review.</w:t>
      </w:r>
    </w:p>
    <w:p w14:paraId="25991EF3" w14:textId="77777777" w:rsidR="00D445A7" w:rsidRPr="00D445A7" w:rsidRDefault="00D445A7" w:rsidP="00D445A7">
      <w:pPr>
        <w:pStyle w:val="ListParagraph"/>
        <w:rPr>
          <w:rFonts w:ascii="Verdana" w:hAnsi="Verdana"/>
          <w:b/>
        </w:rPr>
      </w:pPr>
    </w:p>
    <w:p w14:paraId="6A9A56AB" w14:textId="3CAB1BFE" w:rsidR="00807E43" w:rsidRPr="00D445A7" w:rsidRDefault="00807E43" w:rsidP="00915669">
      <w:pPr>
        <w:pStyle w:val="ListParagraph"/>
        <w:numPr>
          <w:ilvl w:val="1"/>
          <w:numId w:val="16"/>
        </w:numPr>
        <w:spacing w:line="276" w:lineRule="auto"/>
        <w:rPr>
          <w:rFonts w:ascii="Verdana" w:hAnsi="Verdana"/>
        </w:rPr>
      </w:pPr>
      <w:r w:rsidRPr="00D445A7">
        <w:rPr>
          <w:rFonts w:ascii="Verdana" w:hAnsi="Verdana"/>
          <w:b/>
        </w:rPr>
        <w:t>The Advisory Committee may wish to recommend that the State Party expedite the removal of the exemption for teachers under the Fair Employment and Treatment (NI) Order 1998.</w:t>
      </w:r>
    </w:p>
    <w:p w14:paraId="3DC7A517" w14:textId="77777777" w:rsidR="00807E43" w:rsidRPr="00D577A0" w:rsidRDefault="00807E43" w:rsidP="005300B5">
      <w:pPr>
        <w:spacing w:line="276" w:lineRule="auto"/>
      </w:pPr>
    </w:p>
    <w:p w14:paraId="7E4E3C4E" w14:textId="57D73F64" w:rsidR="00C804AE" w:rsidRPr="000A395D" w:rsidRDefault="00D445A7" w:rsidP="000A395D">
      <w:pPr>
        <w:pStyle w:val="Heading1"/>
      </w:pPr>
      <w:bookmarkStart w:id="14" w:name="_Toc97030905"/>
      <w:r>
        <w:t xml:space="preserve">4.0. </w:t>
      </w:r>
      <w:r w:rsidR="00C804AE" w:rsidRPr="000A395D">
        <w:t xml:space="preserve">Article 4(1) Equality/Equal Protection before the </w:t>
      </w:r>
      <w:r w:rsidR="00797886" w:rsidRPr="000A395D">
        <w:t>L</w:t>
      </w:r>
      <w:r w:rsidR="00C804AE" w:rsidRPr="000A395D">
        <w:t>aw</w:t>
      </w:r>
      <w:bookmarkEnd w:id="14"/>
    </w:p>
    <w:p w14:paraId="61F35407" w14:textId="77777777" w:rsidR="004D285B" w:rsidRPr="004D285B" w:rsidRDefault="004D285B" w:rsidP="004D285B"/>
    <w:p w14:paraId="5C620314" w14:textId="34652876" w:rsidR="00C804AE" w:rsidRPr="000A395D" w:rsidRDefault="00C804AE" w:rsidP="00BF316E">
      <w:pPr>
        <w:pStyle w:val="Heading2"/>
      </w:pPr>
      <w:bookmarkStart w:id="15" w:name="_Toc97030906"/>
      <w:r w:rsidRPr="000A395D">
        <w:t>Single Equality Legislation</w:t>
      </w:r>
      <w:bookmarkEnd w:id="15"/>
    </w:p>
    <w:p w14:paraId="27CE13C8" w14:textId="77777777" w:rsidR="003F3D22" w:rsidRPr="003F3D22" w:rsidRDefault="003F3D22" w:rsidP="003F3D22"/>
    <w:p w14:paraId="1E0855A8" w14:textId="40CAD37D" w:rsidR="00D445A7" w:rsidRPr="00D445A7" w:rsidRDefault="00500892" w:rsidP="00915669">
      <w:pPr>
        <w:pStyle w:val="BasicParagraph"/>
        <w:numPr>
          <w:ilvl w:val="1"/>
          <w:numId w:val="17"/>
        </w:numPr>
        <w:suppressAutoHyphens/>
        <w:spacing w:line="276" w:lineRule="auto"/>
        <w:rPr>
          <w:rFonts w:ascii="Verdana" w:hAnsi="Verdana" w:cs="Arial"/>
          <w:color w:val="232120"/>
        </w:rPr>
      </w:pPr>
      <w:r w:rsidRPr="53829189">
        <w:rPr>
          <w:rFonts w:ascii="Verdana" w:hAnsi="Verdana" w:cs="Times New Roman"/>
        </w:rPr>
        <w:t xml:space="preserve">In NI, discrimination is prohibited by a complex framework of </w:t>
      </w:r>
      <w:r w:rsidR="00D06C6E" w:rsidRPr="53829189">
        <w:rPr>
          <w:rFonts w:ascii="Verdana" w:hAnsi="Verdana" w:cs="Times New Roman"/>
        </w:rPr>
        <w:t>l</w:t>
      </w:r>
      <w:r w:rsidR="00D06C6E">
        <w:rPr>
          <w:rFonts w:ascii="Verdana" w:hAnsi="Verdana" w:cs="Times New Roman"/>
        </w:rPr>
        <w:t>egislation</w:t>
      </w:r>
      <w:r w:rsidR="00D06C6E" w:rsidRPr="53829189">
        <w:rPr>
          <w:rFonts w:ascii="Verdana" w:hAnsi="Verdana" w:cs="Times New Roman"/>
        </w:rPr>
        <w:t xml:space="preserve"> </w:t>
      </w:r>
      <w:r w:rsidRPr="53829189">
        <w:rPr>
          <w:rFonts w:ascii="Verdana" w:hAnsi="Verdana" w:cs="Times New Roman"/>
        </w:rPr>
        <w:t>and regulations. Unlike other parts of the UK (which fall under the Equality Act 2010), there is no single legislative instrument to consolidate, clarify and enhance existing equality protections in NI</w:t>
      </w:r>
      <w:r w:rsidR="0076458D" w:rsidRPr="53829189">
        <w:rPr>
          <w:rFonts w:ascii="Verdana" w:hAnsi="Verdana" w:cs="Times New Roman"/>
        </w:rPr>
        <w:t>.</w:t>
      </w:r>
      <w:r w:rsidR="00DA20CA">
        <w:rPr>
          <w:rFonts w:ascii="Verdana" w:hAnsi="Verdana" w:cs="Times New Roman"/>
        </w:rPr>
        <w:t xml:space="preserve"> </w:t>
      </w:r>
      <w:r w:rsidR="00262A49">
        <w:rPr>
          <w:rFonts w:ascii="Verdana" w:hAnsi="Verdana" w:cs="Times New Roman"/>
        </w:rPr>
        <w:t>Protocol Article 2</w:t>
      </w:r>
      <w:r w:rsidR="00DE0A79">
        <w:rPr>
          <w:rFonts w:ascii="Verdana" w:hAnsi="Verdana" w:cs="Times New Roman"/>
        </w:rPr>
        <w:t xml:space="preserve"> adds a further dimension as t</w:t>
      </w:r>
      <w:r w:rsidR="00262A49">
        <w:rPr>
          <w:rFonts w:ascii="Verdana" w:hAnsi="Verdana" w:cs="Times New Roman"/>
        </w:rPr>
        <w:t xml:space="preserve">he UK Government has committed to ensuring there is no diminution of </w:t>
      </w:r>
      <w:r w:rsidR="00DA20CA" w:rsidRPr="00DA20CA">
        <w:rPr>
          <w:rFonts w:ascii="Verdana" w:hAnsi="Verdana" w:cs="Arial"/>
          <w:color w:val="auto"/>
        </w:rPr>
        <w:t>rights, safeguards and equality of opportunity set out in the Belfast (Good Friday) Agreement as a result of the UK’s withdrawal from the EU</w:t>
      </w:r>
      <w:r w:rsidR="00262A49">
        <w:rPr>
          <w:rFonts w:ascii="Verdana" w:hAnsi="Verdana" w:cs="Arial"/>
          <w:color w:val="auto"/>
        </w:rPr>
        <w:t xml:space="preserve">, including the right to equality of opportunity </w:t>
      </w:r>
      <w:r w:rsidR="00DE0A79" w:rsidRPr="00DE0A79">
        <w:rPr>
          <w:rFonts w:ascii="Verdana" w:hAnsi="Verdana" w:cs="Gotham Light"/>
        </w:rPr>
        <w:t>in all social and economic activity regardless of class, creed, disability, gender or ethnicity</w:t>
      </w:r>
      <w:r w:rsidR="00DA20CA" w:rsidRPr="00DA20CA">
        <w:rPr>
          <w:rFonts w:ascii="Verdana" w:hAnsi="Verdana" w:cs="Arial"/>
          <w:color w:val="auto"/>
        </w:rPr>
        <w:t>.</w:t>
      </w:r>
      <w:r w:rsidR="00DA20CA" w:rsidRPr="00DA20CA">
        <w:rPr>
          <w:rStyle w:val="FootnoteReference"/>
          <w:rFonts w:ascii="Verdana" w:hAnsi="Verdana" w:cs="Arial"/>
          <w:color w:val="auto"/>
        </w:rPr>
        <w:footnoteReference w:id="60"/>
      </w:r>
      <w:r w:rsidR="00DA20CA" w:rsidRPr="00DA20CA">
        <w:rPr>
          <w:rFonts w:ascii="Verdana" w:hAnsi="Verdana" w:cs="Arial"/>
          <w:color w:val="auto"/>
        </w:rPr>
        <w:t xml:space="preserve"> </w:t>
      </w:r>
      <w:r w:rsidR="004223A6">
        <w:rPr>
          <w:rFonts w:ascii="Verdana" w:hAnsi="Verdana" w:cs="Arial"/>
          <w:color w:val="auto"/>
        </w:rPr>
        <w:t>T</w:t>
      </w:r>
      <w:r w:rsidR="00DA20CA" w:rsidRPr="00DA20CA">
        <w:rPr>
          <w:rFonts w:ascii="Verdana" w:hAnsi="Verdana" w:cs="Arial"/>
          <w:color w:val="auto"/>
        </w:rPr>
        <w:t xml:space="preserve">he UK </w:t>
      </w:r>
      <w:r w:rsidR="00DE0A79" w:rsidRPr="00DA20CA">
        <w:rPr>
          <w:rFonts w:ascii="Verdana" w:hAnsi="Verdana" w:cs="Arial"/>
          <w:color w:val="auto"/>
        </w:rPr>
        <w:t xml:space="preserve">Government </w:t>
      </w:r>
      <w:r w:rsidR="00DE0A79">
        <w:rPr>
          <w:rFonts w:ascii="Verdana" w:hAnsi="Verdana" w:cs="Arial"/>
          <w:color w:val="auto"/>
        </w:rPr>
        <w:t>also committed</w:t>
      </w:r>
      <w:r w:rsidR="00DA20CA" w:rsidRPr="00DA20CA">
        <w:rPr>
          <w:rFonts w:ascii="Verdana" w:hAnsi="Verdana" w:cs="Arial"/>
          <w:color w:val="auto"/>
        </w:rPr>
        <w:t xml:space="preserve"> to ensuring that NI equality law </w:t>
      </w:r>
      <w:r w:rsidR="00DE0A79" w:rsidRPr="00DE0A79">
        <w:rPr>
          <w:rFonts w:ascii="Verdana" w:hAnsi="Verdana" w:cs="Arial"/>
          <w:color w:val="auto"/>
        </w:rPr>
        <w:t xml:space="preserve">“keep pace” with any changes made by the EU to six </w:t>
      </w:r>
      <w:r w:rsidR="00DE0A79">
        <w:rPr>
          <w:rFonts w:ascii="Verdana" w:hAnsi="Verdana" w:cs="Arial"/>
          <w:color w:val="auto"/>
        </w:rPr>
        <w:t xml:space="preserve">Annex 1 Equality </w:t>
      </w:r>
      <w:r w:rsidR="00DE0A79" w:rsidRPr="00DE0A79">
        <w:rPr>
          <w:rFonts w:ascii="Verdana" w:hAnsi="Verdana" w:cs="Arial"/>
          <w:color w:val="auto"/>
        </w:rPr>
        <w:t>Directives which improve the minimum levels of protection available, after 1 January 2021</w:t>
      </w:r>
      <w:r w:rsidR="00DA20CA" w:rsidRPr="00DA20CA">
        <w:rPr>
          <w:rFonts w:ascii="Verdana" w:hAnsi="Verdana" w:cs="Arial"/>
          <w:color w:val="auto"/>
        </w:rPr>
        <w:t>.</w:t>
      </w:r>
      <w:r w:rsidR="00DA20CA" w:rsidRPr="00DA20CA">
        <w:rPr>
          <w:rStyle w:val="FootnoteReference"/>
          <w:rFonts w:ascii="Verdana" w:hAnsi="Verdana" w:cs="Arial"/>
          <w:color w:val="auto"/>
        </w:rPr>
        <w:footnoteReference w:id="61"/>
      </w:r>
    </w:p>
    <w:p w14:paraId="40204ADC" w14:textId="77777777" w:rsidR="00D445A7" w:rsidRDefault="00D445A7" w:rsidP="00D445A7">
      <w:pPr>
        <w:pStyle w:val="BasicParagraph"/>
        <w:suppressAutoHyphens/>
        <w:spacing w:line="276" w:lineRule="auto"/>
        <w:ind w:left="720"/>
        <w:rPr>
          <w:rFonts w:ascii="Verdana" w:hAnsi="Verdana" w:cs="Arial"/>
          <w:color w:val="232120"/>
        </w:rPr>
      </w:pPr>
    </w:p>
    <w:p w14:paraId="0DA5F093" w14:textId="77777777" w:rsidR="00D445A7" w:rsidRDefault="00500892"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rPr>
        <w:t>In 2016, the UN ICESCR Committee stated its regret that no action had been taken on its earlier recommendation to extend “comprehensive anti-discrimination legislation” to NI.</w:t>
      </w:r>
      <w:r w:rsidRPr="00D62DEB">
        <w:rPr>
          <w:rStyle w:val="FootnoteReference"/>
          <w:rFonts w:ascii="Verdana" w:hAnsi="Verdana" w:cs="Times New Roman"/>
        </w:rPr>
        <w:footnoteReference w:id="62"/>
      </w:r>
      <w:r w:rsidRPr="00D445A7">
        <w:rPr>
          <w:rFonts w:ascii="Verdana" w:hAnsi="Verdana" w:cs="Times New Roman"/>
        </w:rPr>
        <w:t xml:space="preserve"> The European Commission against Racism and Intolerance also recommended that the NI Executive “consolidate equality legislation into a single comprehensive equality act, taking inspiration from the Equality Act 2010, and taking account of the recommendations of the </w:t>
      </w:r>
      <w:r w:rsidR="008700A7" w:rsidRPr="00D445A7">
        <w:rPr>
          <w:rFonts w:ascii="Verdana" w:hAnsi="Verdana" w:cs="Times New Roman"/>
        </w:rPr>
        <w:t>ECNI</w:t>
      </w:r>
      <w:r w:rsidRPr="00D445A7">
        <w:rPr>
          <w:rFonts w:ascii="Verdana" w:hAnsi="Verdana" w:cs="Times New Roman"/>
        </w:rPr>
        <w:t>.”</w:t>
      </w:r>
      <w:r w:rsidRPr="00D62DEB">
        <w:rPr>
          <w:rStyle w:val="FootnoteReference"/>
          <w:rFonts w:ascii="Verdana" w:hAnsi="Verdana" w:cs="Times New Roman"/>
        </w:rPr>
        <w:footnoteReference w:id="63"/>
      </w:r>
    </w:p>
    <w:p w14:paraId="320AF06D" w14:textId="77777777" w:rsidR="00D445A7" w:rsidRDefault="00D445A7" w:rsidP="00D445A7">
      <w:pPr>
        <w:pStyle w:val="ListParagraph"/>
        <w:rPr>
          <w:rFonts w:ascii="Verdana" w:hAnsi="Verdana" w:cs="Times New Roman"/>
        </w:rPr>
      </w:pPr>
    </w:p>
    <w:p w14:paraId="489E038C" w14:textId="77777777" w:rsidR="00D445A7" w:rsidRDefault="00500892"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rPr>
        <w:t>In 2017, the UN CRPD Committee recommended reform of equality law in NI</w:t>
      </w:r>
      <w:r w:rsidRPr="00D62DEB">
        <w:rPr>
          <w:rStyle w:val="FootnoteReference"/>
          <w:rFonts w:ascii="Verdana" w:hAnsi="Verdana" w:cs="Times New Roman"/>
        </w:rPr>
        <w:footnoteReference w:id="64"/>
      </w:r>
      <w:r w:rsidRPr="00D445A7">
        <w:rPr>
          <w:rFonts w:ascii="Verdana" w:hAnsi="Verdana" w:cs="Times New Roman"/>
        </w:rPr>
        <w:t xml:space="preserve"> and the UN CEDAW Committee recommended that the NI Executive to ensure that it affords protection to women on an equal footing with women in other administrations of the State Party”.</w:t>
      </w:r>
      <w:r w:rsidRPr="00D62DEB">
        <w:rPr>
          <w:rStyle w:val="FootnoteReference"/>
          <w:rFonts w:ascii="Verdana" w:hAnsi="Verdana" w:cs="Times New Roman"/>
        </w:rPr>
        <w:footnoteReference w:id="65"/>
      </w:r>
      <w:r w:rsidRPr="00D445A7">
        <w:rPr>
          <w:rFonts w:ascii="Verdana" w:hAnsi="Verdana" w:cs="Times New Roman"/>
        </w:rPr>
        <w:t xml:space="preserve"> </w:t>
      </w:r>
    </w:p>
    <w:p w14:paraId="70FAE135" w14:textId="77777777" w:rsidR="00D445A7" w:rsidRDefault="00D445A7" w:rsidP="00D445A7">
      <w:pPr>
        <w:pStyle w:val="ListParagraph"/>
        <w:rPr>
          <w:rFonts w:ascii="Verdana" w:hAnsi="Verdana" w:cs="Times New Roman"/>
        </w:rPr>
      </w:pPr>
    </w:p>
    <w:p w14:paraId="4B353B20" w14:textId="77777777" w:rsidR="00D445A7" w:rsidRDefault="00500892"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color w:val="auto"/>
        </w:rPr>
        <w:t xml:space="preserve">Despite these recommendations </w:t>
      </w:r>
      <w:r w:rsidR="001A526F" w:rsidRPr="00D445A7">
        <w:rPr>
          <w:rFonts w:ascii="Verdana" w:hAnsi="Verdana" w:cs="Times New Roman"/>
          <w:color w:val="auto"/>
        </w:rPr>
        <w:t>by both UN Treaty Bodies</w:t>
      </w:r>
      <w:r w:rsidRPr="00D445A7">
        <w:rPr>
          <w:rFonts w:ascii="Verdana" w:hAnsi="Verdana" w:cs="Times New Roman"/>
          <w:color w:val="auto"/>
        </w:rPr>
        <w:t xml:space="preserve"> and the Advisory Committee</w:t>
      </w:r>
      <w:r w:rsidR="001A526F" w:rsidRPr="00D445A7">
        <w:rPr>
          <w:rFonts w:ascii="Verdana" w:hAnsi="Verdana" w:cs="Times New Roman"/>
          <w:color w:val="auto"/>
        </w:rPr>
        <w:t>,</w:t>
      </w:r>
      <w:r w:rsidRPr="00D445A7">
        <w:rPr>
          <w:rFonts w:ascii="Verdana" w:hAnsi="Verdana" w:cs="Times New Roman"/>
          <w:color w:val="auto"/>
        </w:rPr>
        <w:t xml:space="preserve"> the </w:t>
      </w:r>
      <w:r w:rsidR="00B74BD6" w:rsidRPr="00D445A7">
        <w:rPr>
          <w:rFonts w:ascii="Verdana" w:hAnsi="Verdana" w:cs="Times New Roman"/>
          <w:color w:val="auto"/>
        </w:rPr>
        <w:t xml:space="preserve">NIHRC </w:t>
      </w:r>
      <w:r w:rsidRPr="00D445A7">
        <w:rPr>
          <w:rFonts w:ascii="Verdana" w:hAnsi="Verdana" w:cs="Times New Roman"/>
          <w:color w:val="auto"/>
        </w:rPr>
        <w:t xml:space="preserve">notes that there has been little progress in this regard. </w:t>
      </w:r>
    </w:p>
    <w:p w14:paraId="542A2339" w14:textId="77777777" w:rsidR="00D445A7" w:rsidRDefault="00D445A7" w:rsidP="00D445A7">
      <w:pPr>
        <w:pStyle w:val="ListParagraph"/>
        <w:rPr>
          <w:rFonts w:ascii="Verdana" w:hAnsi="Verdana" w:cs="Times New Roman"/>
        </w:rPr>
      </w:pPr>
    </w:p>
    <w:p w14:paraId="1EA5B1FA" w14:textId="77777777" w:rsidR="00D445A7" w:rsidRDefault="00500892"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color w:val="auto"/>
        </w:rPr>
        <w:t xml:space="preserve">The NI Executive Office has advised the </w:t>
      </w:r>
      <w:r w:rsidR="00B74BD6" w:rsidRPr="00D445A7">
        <w:rPr>
          <w:rFonts w:ascii="Verdana" w:hAnsi="Verdana" w:cs="Times New Roman"/>
          <w:color w:val="auto"/>
        </w:rPr>
        <w:t>NIHRC</w:t>
      </w:r>
      <w:r w:rsidRPr="00D445A7">
        <w:rPr>
          <w:rFonts w:ascii="Verdana" w:hAnsi="Verdana" w:cs="Times New Roman"/>
          <w:color w:val="auto"/>
        </w:rPr>
        <w:t xml:space="preserve"> that in the absence of agreement on a single Equality </w:t>
      </w:r>
      <w:r w:rsidRPr="00D445A7">
        <w:rPr>
          <w:rFonts w:ascii="Verdana" w:hAnsi="Verdana" w:cs="Times New Roman"/>
        </w:rPr>
        <w:t>Bill, it is satisfied that the current equality framework protects against discrimination on a range of grounds, albeit with some exceptions.</w:t>
      </w:r>
      <w:r w:rsidRPr="00DE4BFB">
        <w:rPr>
          <w:rStyle w:val="FootnoteReference"/>
          <w:rFonts w:ascii="Verdana" w:hAnsi="Verdana" w:cs="Times New Roman"/>
        </w:rPr>
        <w:footnoteReference w:id="66"/>
      </w:r>
    </w:p>
    <w:p w14:paraId="55A998CA" w14:textId="77777777" w:rsidR="00D445A7" w:rsidRDefault="00D445A7" w:rsidP="00D445A7">
      <w:pPr>
        <w:pStyle w:val="ListParagraph"/>
        <w:rPr>
          <w:rFonts w:ascii="Verdana" w:hAnsi="Verdana"/>
          <w:b/>
        </w:rPr>
      </w:pPr>
    </w:p>
    <w:p w14:paraId="49792623" w14:textId="3ED57992" w:rsidR="00F56EC1" w:rsidRPr="00D445A7" w:rsidRDefault="00500892"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b/>
        </w:rPr>
        <w:t>The Advisory Committee may wish</w:t>
      </w:r>
      <w:r w:rsidR="00633301" w:rsidRPr="00D445A7">
        <w:rPr>
          <w:rFonts w:ascii="Verdana" w:hAnsi="Verdana"/>
          <w:b/>
        </w:rPr>
        <w:t xml:space="preserve"> to</w:t>
      </w:r>
      <w:r w:rsidRPr="00D445A7">
        <w:rPr>
          <w:rFonts w:ascii="Verdana" w:hAnsi="Verdana"/>
          <w:b/>
        </w:rPr>
        <w:t xml:space="preserve"> </w:t>
      </w:r>
      <w:r w:rsidR="00BA3436" w:rsidRPr="00D445A7">
        <w:rPr>
          <w:rFonts w:ascii="Verdana" w:hAnsi="Verdana"/>
          <w:b/>
        </w:rPr>
        <w:t xml:space="preserve">strengthen their recommendation and </w:t>
      </w:r>
      <w:r w:rsidRPr="00D445A7">
        <w:rPr>
          <w:rFonts w:ascii="Verdana" w:hAnsi="Verdana"/>
          <w:b/>
        </w:rPr>
        <w:t>to</w:t>
      </w:r>
      <w:r w:rsidR="00DE4BFB" w:rsidRPr="00D445A7">
        <w:rPr>
          <w:rFonts w:ascii="Verdana" w:hAnsi="Verdana"/>
          <w:b/>
        </w:rPr>
        <w:t xml:space="preserve"> again</w:t>
      </w:r>
      <w:r w:rsidRPr="00D445A7">
        <w:rPr>
          <w:rFonts w:ascii="Verdana" w:hAnsi="Verdana"/>
          <w:b/>
        </w:rPr>
        <w:t xml:space="preserve"> ask the State party what steps it will take to simplify</w:t>
      </w:r>
      <w:r w:rsidR="00846130" w:rsidRPr="00D445A7">
        <w:rPr>
          <w:rFonts w:ascii="Verdana" w:hAnsi="Verdana"/>
          <w:b/>
        </w:rPr>
        <w:t>, strengthen</w:t>
      </w:r>
      <w:r w:rsidR="00FE1098" w:rsidRPr="00D445A7">
        <w:rPr>
          <w:rFonts w:ascii="Verdana" w:hAnsi="Verdana"/>
          <w:b/>
        </w:rPr>
        <w:t>,</w:t>
      </w:r>
      <w:r w:rsidRPr="00D445A7">
        <w:rPr>
          <w:rFonts w:ascii="Verdana" w:hAnsi="Verdana"/>
          <w:b/>
        </w:rPr>
        <w:t xml:space="preserve"> and harmonise equality legislation in NI within a Single Equality Act</w:t>
      </w:r>
      <w:r w:rsidR="00946991" w:rsidRPr="00D445A7">
        <w:rPr>
          <w:rFonts w:ascii="Verdana" w:hAnsi="Verdana"/>
          <w:b/>
        </w:rPr>
        <w:t>.</w:t>
      </w:r>
    </w:p>
    <w:p w14:paraId="2FE01597" w14:textId="77777777" w:rsidR="00382F92" w:rsidRPr="00D62DEB" w:rsidRDefault="00382F92" w:rsidP="004656A5">
      <w:pPr>
        <w:pStyle w:val="BasicParagraph"/>
        <w:suppressAutoHyphens/>
        <w:spacing w:line="276" w:lineRule="auto"/>
        <w:rPr>
          <w:rFonts w:ascii="Verdana" w:hAnsi="Verdana" w:cs="Arial"/>
          <w:color w:val="232120"/>
        </w:rPr>
      </w:pPr>
    </w:p>
    <w:p w14:paraId="18DAF358" w14:textId="5D1824A1" w:rsidR="00DC6984" w:rsidRPr="000A395D" w:rsidRDefault="00DC6984" w:rsidP="00F4598E">
      <w:pPr>
        <w:pStyle w:val="Heading2"/>
      </w:pPr>
      <w:bookmarkStart w:id="16" w:name="_Toc97030907"/>
      <w:r w:rsidRPr="000A395D">
        <w:t>Multiple Discrimination</w:t>
      </w:r>
      <w:bookmarkEnd w:id="16"/>
    </w:p>
    <w:p w14:paraId="6D67ECE0" w14:textId="77777777" w:rsidR="00DC6984" w:rsidRPr="00D62DEB" w:rsidRDefault="00DC6984" w:rsidP="004656A5">
      <w:pPr>
        <w:pStyle w:val="ListParagraph"/>
        <w:spacing w:line="276" w:lineRule="auto"/>
        <w:rPr>
          <w:rFonts w:ascii="Verdana" w:hAnsi="Verdana" w:cs="Arial"/>
          <w:color w:val="232120"/>
        </w:rPr>
      </w:pPr>
    </w:p>
    <w:p w14:paraId="1252BEB9" w14:textId="0B6B8BD3" w:rsidR="00D445A7" w:rsidRDefault="00F330B6" w:rsidP="00915669">
      <w:pPr>
        <w:pStyle w:val="BasicParagraph"/>
        <w:numPr>
          <w:ilvl w:val="1"/>
          <w:numId w:val="17"/>
        </w:numPr>
        <w:suppressAutoHyphens/>
        <w:spacing w:line="276" w:lineRule="auto"/>
        <w:rPr>
          <w:rFonts w:ascii="Verdana" w:hAnsi="Verdana" w:cs="Arial"/>
          <w:color w:val="232120"/>
        </w:rPr>
      </w:pPr>
      <w:r w:rsidRPr="00D62DEB">
        <w:rPr>
          <w:rFonts w:ascii="Verdana" w:hAnsi="Verdana" w:cs="Arial"/>
          <w:color w:val="232120"/>
        </w:rPr>
        <w:t xml:space="preserve">NI legislation does not provide for cases of intersectional </w:t>
      </w:r>
      <w:r w:rsidR="009B1BA0">
        <w:rPr>
          <w:rFonts w:ascii="Verdana" w:hAnsi="Verdana" w:cs="Arial"/>
          <w:color w:val="232120"/>
        </w:rPr>
        <w:t xml:space="preserve">or </w:t>
      </w:r>
      <w:r w:rsidRPr="00D62DEB">
        <w:rPr>
          <w:rFonts w:ascii="Verdana" w:hAnsi="Verdana" w:cs="Arial"/>
          <w:color w:val="232120"/>
        </w:rPr>
        <w:t>multiple discrimination. At present in NI, each ground of discrimination must form its own case, meaning it must be considered and ruled on separately.</w:t>
      </w:r>
      <w:r w:rsidR="00B02C2A" w:rsidRPr="00D62DEB">
        <w:rPr>
          <w:rStyle w:val="FootnoteReference"/>
          <w:rFonts w:ascii="Verdana" w:hAnsi="Verdana" w:cs="Times New Roman"/>
        </w:rPr>
        <w:footnoteReference w:id="67"/>
      </w:r>
    </w:p>
    <w:p w14:paraId="37DFD9DC" w14:textId="77777777" w:rsidR="00D445A7" w:rsidRDefault="00D445A7" w:rsidP="00D445A7">
      <w:pPr>
        <w:pStyle w:val="BasicParagraph"/>
        <w:suppressAutoHyphens/>
        <w:spacing w:line="276" w:lineRule="auto"/>
        <w:ind w:left="720"/>
        <w:rPr>
          <w:rFonts w:ascii="Verdana" w:hAnsi="Verdana" w:cs="Arial"/>
          <w:color w:val="232120"/>
        </w:rPr>
      </w:pPr>
    </w:p>
    <w:p w14:paraId="14966137" w14:textId="77777777" w:rsidR="00D445A7" w:rsidRDefault="00392460"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Arial"/>
          <w:color w:val="232120"/>
        </w:rPr>
        <w:t>The ECNI reports evidence of multiple discrimination</w:t>
      </w:r>
      <w:r w:rsidR="00E556D8" w:rsidRPr="00D445A7">
        <w:rPr>
          <w:rFonts w:ascii="Verdana" w:hAnsi="Verdana" w:cs="Arial"/>
          <w:color w:val="232120"/>
        </w:rPr>
        <w:t>. Ov</w:t>
      </w:r>
      <w:r w:rsidR="0034691B" w:rsidRPr="00D445A7">
        <w:rPr>
          <w:rFonts w:ascii="Verdana" w:hAnsi="Verdana"/>
        </w:rPr>
        <w:t>er a five-year period,</w:t>
      </w:r>
      <w:r w:rsidR="00847D46" w:rsidRPr="00D445A7">
        <w:rPr>
          <w:rFonts w:ascii="Verdana" w:hAnsi="Verdana"/>
        </w:rPr>
        <w:t xml:space="preserve"> from </w:t>
      </w:r>
      <w:r w:rsidR="003A4F3A" w:rsidRPr="00D445A7">
        <w:rPr>
          <w:rFonts w:ascii="Verdana" w:hAnsi="Verdana"/>
        </w:rPr>
        <w:t>2016</w:t>
      </w:r>
      <w:r w:rsidR="00E159A6" w:rsidRPr="00D445A7">
        <w:rPr>
          <w:rFonts w:ascii="Verdana" w:hAnsi="Verdana"/>
        </w:rPr>
        <w:t>-2021, the</w:t>
      </w:r>
      <w:r w:rsidR="00B45BB1" w:rsidRPr="00D445A7">
        <w:rPr>
          <w:rFonts w:ascii="Verdana" w:hAnsi="Verdana"/>
        </w:rPr>
        <w:t xml:space="preserve">y </w:t>
      </w:r>
      <w:r w:rsidR="00021454" w:rsidRPr="00D445A7">
        <w:rPr>
          <w:rFonts w:ascii="Verdana" w:hAnsi="Verdana"/>
        </w:rPr>
        <w:t xml:space="preserve">received </w:t>
      </w:r>
      <w:r w:rsidR="00FF3ED6" w:rsidRPr="00D445A7">
        <w:rPr>
          <w:rFonts w:ascii="Verdana" w:hAnsi="Verdana"/>
        </w:rPr>
        <w:t>1878 hybrid new enquiries</w:t>
      </w:r>
      <w:r w:rsidR="009D42B0" w:rsidRPr="00D445A7">
        <w:rPr>
          <w:rFonts w:ascii="Verdana" w:hAnsi="Verdana"/>
        </w:rPr>
        <w:t>, which raised issues on two or more equality grounds</w:t>
      </w:r>
      <w:r w:rsidR="001159BD" w:rsidRPr="00D445A7">
        <w:rPr>
          <w:rFonts w:ascii="Verdana" w:hAnsi="Verdana"/>
        </w:rPr>
        <w:t xml:space="preserve">. 439 of these </w:t>
      </w:r>
      <w:r w:rsidR="00884555" w:rsidRPr="00D445A7">
        <w:rPr>
          <w:rFonts w:ascii="Verdana" w:hAnsi="Verdana"/>
        </w:rPr>
        <w:t xml:space="preserve">hybrid enquiries had a </w:t>
      </w:r>
      <w:r w:rsidR="00A92B0B" w:rsidRPr="00D445A7">
        <w:rPr>
          <w:rFonts w:ascii="Verdana" w:hAnsi="Verdana"/>
        </w:rPr>
        <w:t>race discrimination element.</w:t>
      </w:r>
      <w:r w:rsidR="00E25933">
        <w:rPr>
          <w:rStyle w:val="FootnoteReference"/>
          <w:rFonts w:ascii="Verdana" w:hAnsi="Verdana"/>
        </w:rPr>
        <w:footnoteReference w:id="68"/>
      </w:r>
    </w:p>
    <w:p w14:paraId="681C442F" w14:textId="77777777" w:rsidR="00D445A7" w:rsidRDefault="00D445A7" w:rsidP="00D445A7">
      <w:pPr>
        <w:pStyle w:val="ListParagraph"/>
        <w:rPr>
          <w:rFonts w:ascii="Verdana" w:hAnsi="Verdana" w:cs="Times New Roman"/>
        </w:rPr>
      </w:pPr>
    </w:p>
    <w:p w14:paraId="6DFCE88A" w14:textId="77777777" w:rsidR="00D445A7" w:rsidRDefault="00731F16"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rPr>
        <w:t>The Executive Office Racial Equality Strategy 2015-2025 commit</w:t>
      </w:r>
      <w:r w:rsidR="001A526F" w:rsidRPr="00D445A7">
        <w:rPr>
          <w:rFonts w:ascii="Verdana" w:hAnsi="Verdana" w:cs="Times New Roman"/>
        </w:rPr>
        <w:t>s</w:t>
      </w:r>
      <w:r w:rsidRPr="00D445A7">
        <w:rPr>
          <w:rFonts w:ascii="Verdana" w:hAnsi="Verdana" w:cs="Times New Roman"/>
        </w:rPr>
        <w:t xml:space="preserve"> to reviewing the Race Relations (NI) Order 1997 and </w:t>
      </w:r>
      <w:r w:rsidR="001A526F" w:rsidRPr="00D445A7">
        <w:rPr>
          <w:rFonts w:ascii="Verdana" w:hAnsi="Verdana" w:cs="Times New Roman"/>
        </w:rPr>
        <w:t xml:space="preserve">the </w:t>
      </w:r>
      <w:r w:rsidRPr="00D445A7">
        <w:rPr>
          <w:rFonts w:ascii="Verdana" w:hAnsi="Verdana" w:cs="Times New Roman"/>
        </w:rPr>
        <w:t xml:space="preserve">terms of reference </w:t>
      </w:r>
      <w:r w:rsidR="001A526F" w:rsidRPr="00D445A7">
        <w:rPr>
          <w:rFonts w:ascii="Verdana" w:hAnsi="Verdana" w:cs="Times New Roman"/>
        </w:rPr>
        <w:t>for</w:t>
      </w:r>
      <w:r w:rsidRPr="00D445A7">
        <w:rPr>
          <w:rFonts w:ascii="Verdana" w:hAnsi="Verdana" w:cs="Times New Roman"/>
        </w:rPr>
        <w:t xml:space="preserve"> the review include reference to the UN CERD Committee’s recommendation on multiple discrimination.</w:t>
      </w:r>
      <w:r w:rsidRPr="00D62DEB">
        <w:rPr>
          <w:rStyle w:val="FootnoteReference"/>
          <w:rFonts w:ascii="Verdana" w:hAnsi="Verdana" w:cs="Times New Roman"/>
        </w:rPr>
        <w:footnoteReference w:id="69"/>
      </w:r>
      <w:r w:rsidR="008324B7" w:rsidRPr="00D445A7">
        <w:rPr>
          <w:rFonts w:ascii="Verdana" w:hAnsi="Verdana" w:cs="Times New Roman"/>
        </w:rPr>
        <w:t xml:space="preserve"> A comparative study</w:t>
      </w:r>
      <w:r w:rsidR="008324B7" w:rsidRPr="00D445A7" w:rsidDel="008324B7">
        <w:rPr>
          <w:rFonts w:ascii="Verdana" w:hAnsi="Verdana" w:cs="Times New Roman"/>
        </w:rPr>
        <w:t xml:space="preserve"> </w:t>
      </w:r>
      <w:r w:rsidR="008324B7" w:rsidRPr="00D445A7">
        <w:rPr>
          <w:rFonts w:ascii="Verdana" w:hAnsi="Verdana" w:cs="Times New Roman"/>
        </w:rPr>
        <w:t>of protections offered by the Race Relations (NI) Order with laws in the rest of the UK and Irelan</w:t>
      </w:r>
      <w:r w:rsidR="00254CDB" w:rsidRPr="00D445A7">
        <w:rPr>
          <w:rFonts w:ascii="Verdana" w:hAnsi="Verdana" w:cs="Times New Roman"/>
        </w:rPr>
        <w:t>d</w:t>
      </w:r>
      <w:r w:rsidR="008324B7" w:rsidRPr="00D445A7">
        <w:rPr>
          <w:rFonts w:ascii="Verdana" w:hAnsi="Verdana" w:cs="Times New Roman"/>
        </w:rPr>
        <w:t xml:space="preserve"> has been examined by the Departmental Solicitor’s Office and formed part of the engagement with stakeholders and other administrations.</w:t>
      </w:r>
      <w:r w:rsidR="008324B7" w:rsidRPr="00D62DEB">
        <w:rPr>
          <w:rStyle w:val="FootnoteReference"/>
          <w:rFonts w:ascii="Verdana" w:hAnsi="Verdana" w:cs="Times New Roman"/>
        </w:rPr>
        <w:footnoteReference w:id="70"/>
      </w:r>
      <w:r w:rsidR="00E72161" w:rsidRPr="00D445A7">
        <w:rPr>
          <w:rFonts w:ascii="Verdana" w:hAnsi="Verdana" w:cs="Times New Roman"/>
        </w:rPr>
        <w:t xml:space="preserve"> </w:t>
      </w:r>
      <w:r w:rsidR="001D72B4" w:rsidRPr="00D445A7">
        <w:rPr>
          <w:rFonts w:ascii="Verdana" w:hAnsi="Verdana" w:cs="Times New Roman"/>
        </w:rPr>
        <w:t xml:space="preserve">However, the NIHRC </w:t>
      </w:r>
      <w:r w:rsidR="00D06C6E" w:rsidRPr="00D445A7">
        <w:rPr>
          <w:rFonts w:ascii="Verdana" w:hAnsi="Verdana" w:cs="Times New Roman"/>
        </w:rPr>
        <w:t>understands</w:t>
      </w:r>
      <w:r w:rsidR="001D72B4" w:rsidRPr="00D445A7">
        <w:rPr>
          <w:rFonts w:ascii="Verdana" w:hAnsi="Verdana" w:cs="Times New Roman"/>
        </w:rPr>
        <w:t xml:space="preserve"> that th</w:t>
      </w:r>
      <w:r w:rsidR="00903C93" w:rsidRPr="00D445A7">
        <w:rPr>
          <w:rFonts w:ascii="Verdana" w:hAnsi="Verdana" w:cs="Times New Roman"/>
        </w:rPr>
        <w:t xml:space="preserve">e </w:t>
      </w:r>
      <w:r w:rsidR="001D72B4" w:rsidRPr="00D445A7">
        <w:rPr>
          <w:rFonts w:ascii="Verdana" w:hAnsi="Verdana" w:cs="Times New Roman"/>
        </w:rPr>
        <w:t xml:space="preserve">consultation </w:t>
      </w:r>
      <w:r w:rsidR="00903C93" w:rsidRPr="00D445A7">
        <w:rPr>
          <w:rFonts w:ascii="Verdana" w:hAnsi="Verdana" w:cs="Times New Roman"/>
        </w:rPr>
        <w:t xml:space="preserve">on </w:t>
      </w:r>
      <w:r w:rsidR="00F80FB7" w:rsidRPr="00D445A7">
        <w:rPr>
          <w:rFonts w:ascii="Verdana" w:hAnsi="Verdana" w:cs="Times New Roman"/>
        </w:rPr>
        <w:t>legislation reform</w:t>
      </w:r>
      <w:r w:rsidR="00903C93" w:rsidRPr="00D445A7">
        <w:rPr>
          <w:rFonts w:ascii="Verdana" w:hAnsi="Verdana" w:cs="Times New Roman"/>
        </w:rPr>
        <w:t xml:space="preserve"> </w:t>
      </w:r>
      <w:r w:rsidR="007941FD" w:rsidRPr="00D445A7">
        <w:rPr>
          <w:rFonts w:ascii="Verdana" w:hAnsi="Verdana" w:cs="Times New Roman"/>
        </w:rPr>
        <w:t>is unable</w:t>
      </w:r>
      <w:r w:rsidR="00903C93" w:rsidRPr="00D445A7">
        <w:rPr>
          <w:rFonts w:ascii="Verdana" w:hAnsi="Verdana" w:cs="Times New Roman"/>
        </w:rPr>
        <w:t xml:space="preserve"> proceed </w:t>
      </w:r>
      <w:r w:rsidR="00A86E84" w:rsidRPr="00D445A7">
        <w:rPr>
          <w:rFonts w:ascii="Verdana" w:hAnsi="Verdana" w:cs="Times New Roman"/>
        </w:rPr>
        <w:t xml:space="preserve">at present </w:t>
      </w:r>
      <w:r w:rsidR="002E16EB" w:rsidRPr="00D445A7">
        <w:rPr>
          <w:rFonts w:ascii="Verdana" w:hAnsi="Verdana" w:cs="Times New Roman"/>
        </w:rPr>
        <w:t xml:space="preserve">due </w:t>
      </w:r>
      <w:r w:rsidR="003246EF" w:rsidRPr="00D445A7">
        <w:rPr>
          <w:rFonts w:ascii="Verdana" w:hAnsi="Verdana" w:cs="Times New Roman"/>
        </w:rPr>
        <w:t xml:space="preserve">to the </w:t>
      </w:r>
      <w:r w:rsidR="00152608" w:rsidRPr="00D445A7">
        <w:rPr>
          <w:rFonts w:ascii="Verdana" w:hAnsi="Verdana" w:cs="Times New Roman"/>
        </w:rPr>
        <w:t>absence of the Executive.</w:t>
      </w:r>
      <w:r w:rsidR="00F80FB7">
        <w:rPr>
          <w:rStyle w:val="FootnoteReference"/>
          <w:rFonts w:ascii="Verdana" w:hAnsi="Verdana" w:cs="Times New Roman"/>
        </w:rPr>
        <w:footnoteReference w:id="71"/>
      </w:r>
      <w:r w:rsidR="00152608" w:rsidRPr="00D445A7">
        <w:rPr>
          <w:rFonts w:ascii="Verdana" w:hAnsi="Verdana" w:cs="Times New Roman"/>
        </w:rPr>
        <w:t xml:space="preserve"> </w:t>
      </w:r>
    </w:p>
    <w:p w14:paraId="1A71F8E3" w14:textId="77777777" w:rsidR="00D445A7" w:rsidRDefault="00D445A7" w:rsidP="00D445A7">
      <w:pPr>
        <w:pStyle w:val="ListParagraph"/>
        <w:rPr>
          <w:rFonts w:ascii="Verdana" w:hAnsi="Verdana" w:cs="Times New Roman"/>
        </w:rPr>
      </w:pPr>
    </w:p>
    <w:p w14:paraId="24BF83F6" w14:textId="77777777" w:rsidR="00D445A7" w:rsidRDefault="00DA20CA"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rPr>
        <w:t>T</w:t>
      </w:r>
      <w:r w:rsidR="0033063E" w:rsidRPr="00D445A7">
        <w:rPr>
          <w:rFonts w:ascii="Verdana" w:hAnsi="Verdana" w:cs="Times New Roman"/>
        </w:rPr>
        <w:t xml:space="preserve">he issue of intersectionality </w:t>
      </w:r>
      <w:r w:rsidRPr="00D445A7">
        <w:rPr>
          <w:rFonts w:ascii="Verdana" w:hAnsi="Verdana" w:cs="Times New Roman"/>
        </w:rPr>
        <w:t>was considered by the Independent Review of Hate Crime Legislation in NI, which</w:t>
      </w:r>
      <w:r w:rsidR="0033063E" w:rsidRPr="00D445A7">
        <w:rPr>
          <w:rFonts w:ascii="Verdana" w:hAnsi="Verdana" w:cs="Times New Roman"/>
        </w:rPr>
        <w:t xml:space="preserve"> recommended that any new legislation should provide appropriate recognition of the importance of intersectionality and be reflected in the drafting of the statutory aggravations to existing offences.</w:t>
      </w:r>
      <w:r w:rsidR="005A3583" w:rsidRPr="00D62DEB">
        <w:rPr>
          <w:rStyle w:val="FootnoteReference"/>
          <w:rFonts w:ascii="Verdana" w:hAnsi="Verdana" w:cs="Times New Roman"/>
        </w:rPr>
        <w:footnoteReference w:id="72"/>
      </w:r>
      <w:r w:rsidR="005A3583" w:rsidRPr="00D445A7">
        <w:rPr>
          <w:rFonts w:ascii="Verdana" w:hAnsi="Verdana" w:cs="Times New Roman"/>
        </w:rPr>
        <w:t xml:space="preserve"> </w:t>
      </w:r>
      <w:r w:rsidR="00083F6B" w:rsidRPr="00D445A7">
        <w:rPr>
          <w:rFonts w:ascii="Verdana" w:hAnsi="Verdana" w:cs="Times New Roman"/>
        </w:rPr>
        <w:t>The Department of Justice</w:t>
      </w:r>
      <w:r w:rsidRPr="00D445A7">
        <w:rPr>
          <w:rFonts w:ascii="Verdana" w:hAnsi="Verdana" w:cs="Times New Roman"/>
        </w:rPr>
        <w:t xml:space="preserve">’s </w:t>
      </w:r>
      <w:r w:rsidR="00083F6B" w:rsidRPr="00D445A7">
        <w:rPr>
          <w:rFonts w:ascii="Verdana" w:hAnsi="Verdana" w:cs="Times New Roman"/>
        </w:rPr>
        <w:t xml:space="preserve">response </w:t>
      </w:r>
      <w:r w:rsidR="00EF6BFF" w:rsidRPr="00D445A7">
        <w:rPr>
          <w:rFonts w:ascii="Verdana" w:hAnsi="Verdana" w:cs="Times New Roman"/>
        </w:rPr>
        <w:t>agreed that all protected groups should be treated equally and intersectionality between these groups should be recognised in legislation.</w:t>
      </w:r>
      <w:r w:rsidR="00AB2BFE" w:rsidRPr="00D62DEB">
        <w:rPr>
          <w:rStyle w:val="FootnoteReference"/>
          <w:rFonts w:ascii="Verdana" w:hAnsi="Verdana" w:cs="Times New Roman"/>
        </w:rPr>
        <w:footnoteReference w:id="73"/>
      </w:r>
      <w:r w:rsidR="00347E64" w:rsidRPr="00D445A7">
        <w:rPr>
          <w:rFonts w:ascii="Verdana" w:hAnsi="Verdana" w:cs="Times New Roman"/>
        </w:rPr>
        <w:t xml:space="preserve"> </w:t>
      </w:r>
    </w:p>
    <w:p w14:paraId="62363494" w14:textId="77777777" w:rsidR="00D445A7" w:rsidRDefault="00D445A7" w:rsidP="00D445A7">
      <w:pPr>
        <w:pStyle w:val="ListParagraph"/>
        <w:rPr>
          <w:rFonts w:ascii="Verdana" w:hAnsi="Verdana" w:cs="Times New Roman"/>
        </w:rPr>
      </w:pPr>
    </w:p>
    <w:p w14:paraId="3A119D1A" w14:textId="77777777" w:rsidR="00D445A7" w:rsidRDefault="00A54DAE"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rPr>
        <w:t xml:space="preserve">The </w:t>
      </w:r>
      <w:r w:rsidR="00F00D3D" w:rsidRPr="00D445A7">
        <w:rPr>
          <w:rFonts w:ascii="Verdana" w:hAnsi="Verdana" w:cs="Times New Roman"/>
        </w:rPr>
        <w:t>NIHRC welcomes the</w:t>
      </w:r>
      <w:r w:rsidR="00D438B8" w:rsidRPr="00D445A7">
        <w:rPr>
          <w:rFonts w:ascii="Verdana" w:hAnsi="Verdana" w:cs="Times New Roman"/>
        </w:rPr>
        <w:t xml:space="preserve"> </w:t>
      </w:r>
      <w:r w:rsidR="00DA792C" w:rsidRPr="00D445A7">
        <w:rPr>
          <w:rFonts w:ascii="Verdana" w:hAnsi="Verdana" w:cs="Times New Roman"/>
        </w:rPr>
        <w:t xml:space="preserve">Department of Justice’s recent launch of </w:t>
      </w:r>
      <w:r w:rsidR="00CE3068" w:rsidRPr="00D445A7">
        <w:rPr>
          <w:rFonts w:ascii="Verdana" w:hAnsi="Verdana" w:cs="Times New Roman"/>
        </w:rPr>
        <w:t>a</w:t>
      </w:r>
      <w:r w:rsidR="00DA792C" w:rsidRPr="00D445A7">
        <w:rPr>
          <w:rFonts w:ascii="Verdana" w:hAnsi="Verdana" w:cs="Times New Roman"/>
        </w:rPr>
        <w:t xml:space="preserve"> </w:t>
      </w:r>
      <w:r w:rsidR="00D438B8" w:rsidRPr="00D445A7">
        <w:rPr>
          <w:rFonts w:ascii="Verdana" w:hAnsi="Verdana" w:cs="Times New Roman"/>
        </w:rPr>
        <w:t xml:space="preserve">public consultation </w:t>
      </w:r>
      <w:r w:rsidR="00D71A8D" w:rsidRPr="00D445A7">
        <w:rPr>
          <w:rFonts w:ascii="Verdana" w:hAnsi="Verdana" w:cs="Times New Roman"/>
        </w:rPr>
        <w:t>on Hate Crime legislation</w:t>
      </w:r>
      <w:r w:rsidR="00B52CFF" w:rsidRPr="00D445A7">
        <w:rPr>
          <w:rFonts w:ascii="Verdana" w:hAnsi="Verdana" w:cs="Times New Roman"/>
        </w:rPr>
        <w:t xml:space="preserve"> </w:t>
      </w:r>
      <w:r w:rsidR="00F00D3D" w:rsidRPr="00D445A7">
        <w:rPr>
          <w:rFonts w:ascii="Verdana" w:hAnsi="Verdana" w:cs="Times New Roman"/>
        </w:rPr>
        <w:t xml:space="preserve">that </w:t>
      </w:r>
      <w:r w:rsidR="00D71A8D" w:rsidRPr="00D445A7">
        <w:rPr>
          <w:rFonts w:ascii="Verdana" w:hAnsi="Verdana" w:cs="Times New Roman"/>
        </w:rPr>
        <w:t>is currently running until the end of March 2022</w:t>
      </w:r>
      <w:r w:rsidR="00F00D3D" w:rsidRPr="00D445A7">
        <w:rPr>
          <w:rFonts w:ascii="Verdana" w:hAnsi="Verdana" w:cs="Times New Roman"/>
        </w:rPr>
        <w:t>.</w:t>
      </w:r>
      <w:r w:rsidR="00D71A8D" w:rsidRPr="00D445A7">
        <w:rPr>
          <w:rFonts w:ascii="Verdana" w:hAnsi="Verdana" w:cs="Times New Roman"/>
        </w:rPr>
        <w:t xml:space="preserve"> </w:t>
      </w:r>
      <w:r w:rsidR="00F00D3D" w:rsidRPr="00D445A7">
        <w:rPr>
          <w:rFonts w:ascii="Verdana" w:hAnsi="Verdana" w:cs="Times New Roman"/>
        </w:rPr>
        <w:t>It</w:t>
      </w:r>
      <w:r w:rsidR="008319CD" w:rsidRPr="00D445A7">
        <w:rPr>
          <w:rFonts w:ascii="Verdana" w:hAnsi="Verdana" w:cs="Times New Roman"/>
        </w:rPr>
        <w:t xml:space="preserve"> includes consideration o</w:t>
      </w:r>
      <w:r w:rsidR="001A526F" w:rsidRPr="00D445A7">
        <w:rPr>
          <w:rFonts w:ascii="Verdana" w:hAnsi="Verdana" w:cs="Times New Roman"/>
        </w:rPr>
        <w:t>f</w:t>
      </w:r>
      <w:r w:rsidR="008319CD" w:rsidRPr="00D445A7">
        <w:rPr>
          <w:rFonts w:ascii="Verdana" w:hAnsi="Verdana" w:cs="Times New Roman"/>
        </w:rPr>
        <w:t xml:space="preserve"> the importance of </w:t>
      </w:r>
      <w:r w:rsidR="00325A39" w:rsidRPr="00D445A7">
        <w:rPr>
          <w:rFonts w:ascii="Verdana" w:hAnsi="Verdana" w:cs="Times New Roman"/>
        </w:rPr>
        <w:t xml:space="preserve">capturing the </w:t>
      </w:r>
      <w:r w:rsidR="008319CD" w:rsidRPr="00D445A7">
        <w:rPr>
          <w:rFonts w:ascii="Verdana" w:hAnsi="Verdana" w:cs="Times New Roman"/>
        </w:rPr>
        <w:t>intersectional</w:t>
      </w:r>
      <w:r w:rsidR="00325A39" w:rsidRPr="00D445A7">
        <w:rPr>
          <w:rFonts w:ascii="Verdana" w:hAnsi="Verdana" w:cs="Times New Roman"/>
        </w:rPr>
        <w:t xml:space="preserve"> nature of hate crimes</w:t>
      </w:r>
      <w:r w:rsidR="00F00D3D" w:rsidRPr="00D445A7">
        <w:rPr>
          <w:rFonts w:ascii="Verdana" w:hAnsi="Verdana" w:cs="Times New Roman"/>
        </w:rPr>
        <w:t>.</w:t>
      </w:r>
      <w:r w:rsidR="00D71A8D">
        <w:rPr>
          <w:rStyle w:val="FootnoteReference"/>
          <w:rFonts w:ascii="Verdana" w:hAnsi="Verdana" w:cs="Times New Roman"/>
        </w:rPr>
        <w:footnoteReference w:id="74"/>
      </w:r>
    </w:p>
    <w:p w14:paraId="50C4B780" w14:textId="77777777" w:rsidR="00D445A7" w:rsidRDefault="00D445A7" w:rsidP="00D445A7">
      <w:pPr>
        <w:pStyle w:val="ListParagraph"/>
        <w:rPr>
          <w:rFonts w:ascii="Verdana" w:hAnsi="Verdana" w:cs="Times New Roman"/>
          <w:b/>
          <w:bCs/>
        </w:rPr>
      </w:pPr>
    </w:p>
    <w:p w14:paraId="49308A79" w14:textId="572B7AC4" w:rsidR="007264AA" w:rsidRPr="00D445A7" w:rsidRDefault="001300A0" w:rsidP="00915669">
      <w:pPr>
        <w:pStyle w:val="BasicParagraph"/>
        <w:numPr>
          <w:ilvl w:val="1"/>
          <w:numId w:val="17"/>
        </w:numPr>
        <w:suppressAutoHyphens/>
        <w:spacing w:line="276" w:lineRule="auto"/>
        <w:rPr>
          <w:rFonts w:ascii="Verdana" w:hAnsi="Verdana" w:cs="Arial"/>
          <w:color w:val="232120"/>
        </w:rPr>
      </w:pPr>
      <w:r w:rsidRPr="00D445A7">
        <w:rPr>
          <w:rFonts w:ascii="Verdana" w:hAnsi="Verdana" w:cs="Times New Roman"/>
          <w:b/>
          <w:bCs/>
        </w:rPr>
        <w:t>The Advisory Committee may wish to ask the State part</w:t>
      </w:r>
      <w:r w:rsidR="007264AA" w:rsidRPr="00D445A7">
        <w:rPr>
          <w:rFonts w:ascii="Verdana" w:hAnsi="Verdana" w:cs="Times New Roman"/>
          <w:b/>
          <w:bCs/>
        </w:rPr>
        <w:t>y:</w:t>
      </w:r>
    </w:p>
    <w:p w14:paraId="663D2D87" w14:textId="77777777" w:rsidR="007264AA" w:rsidRPr="00D62DEB" w:rsidRDefault="007264AA" w:rsidP="004656A5">
      <w:pPr>
        <w:pStyle w:val="ListParagraph"/>
        <w:spacing w:line="276" w:lineRule="auto"/>
        <w:rPr>
          <w:rFonts w:ascii="Verdana" w:hAnsi="Verdana" w:cs="Times New Roman"/>
          <w:b/>
          <w:bCs/>
        </w:rPr>
      </w:pPr>
    </w:p>
    <w:p w14:paraId="053EADFD" w14:textId="283D053C" w:rsidR="001300A0" w:rsidRPr="00D62DEB" w:rsidRDefault="007264AA" w:rsidP="00915669">
      <w:pPr>
        <w:pStyle w:val="BasicParagraph"/>
        <w:numPr>
          <w:ilvl w:val="0"/>
          <w:numId w:val="3"/>
        </w:numPr>
        <w:suppressAutoHyphens/>
        <w:spacing w:line="276" w:lineRule="auto"/>
        <w:rPr>
          <w:rFonts w:ascii="Verdana" w:hAnsi="Verdana" w:cs="Arial"/>
          <w:color w:val="232120"/>
        </w:rPr>
      </w:pPr>
      <w:r w:rsidRPr="00D62DEB">
        <w:rPr>
          <w:rFonts w:ascii="Verdana" w:hAnsi="Verdana" w:cs="Times New Roman"/>
          <w:b/>
          <w:bCs/>
        </w:rPr>
        <w:t>W</w:t>
      </w:r>
      <w:r w:rsidR="001300A0" w:rsidRPr="00D62DEB">
        <w:rPr>
          <w:rFonts w:ascii="Verdana" w:hAnsi="Verdana" w:cs="Times New Roman"/>
          <w:b/>
          <w:bCs/>
        </w:rPr>
        <w:t xml:space="preserve">hat steps it will take to introduce legal protection against </w:t>
      </w:r>
      <w:r w:rsidR="00B26F57" w:rsidRPr="00D62DEB">
        <w:rPr>
          <w:rFonts w:ascii="Verdana" w:hAnsi="Verdana" w:cs="Times New Roman"/>
          <w:b/>
          <w:bCs/>
        </w:rPr>
        <w:t xml:space="preserve">multiple and </w:t>
      </w:r>
      <w:r w:rsidR="001300A0" w:rsidRPr="00D62DEB">
        <w:rPr>
          <w:rFonts w:ascii="Verdana" w:hAnsi="Verdana" w:cs="Times New Roman"/>
          <w:b/>
          <w:bCs/>
        </w:rPr>
        <w:t>intersectional discrimination</w:t>
      </w:r>
      <w:r w:rsidRPr="00D62DEB">
        <w:rPr>
          <w:rFonts w:ascii="Verdana" w:hAnsi="Verdana" w:cs="Times New Roman"/>
          <w:b/>
          <w:bCs/>
        </w:rPr>
        <w:t xml:space="preserve">; and </w:t>
      </w:r>
    </w:p>
    <w:p w14:paraId="79F90A6C" w14:textId="334FD070" w:rsidR="00920124" w:rsidRPr="00D62DEB" w:rsidRDefault="00A1097E" w:rsidP="00915669">
      <w:pPr>
        <w:pStyle w:val="BasicParagraph"/>
        <w:numPr>
          <w:ilvl w:val="0"/>
          <w:numId w:val="3"/>
        </w:numPr>
        <w:suppressAutoHyphens/>
        <w:spacing w:line="276" w:lineRule="auto"/>
        <w:rPr>
          <w:rFonts w:ascii="Verdana" w:hAnsi="Verdana" w:cs="Arial"/>
          <w:color w:val="232120"/>
        </w:rPr>
      </w:pPr>
      <w:r w:rsidRPr="00D62DEB">
        <w:rPr>
          <w:rFonts w:ascii="Verdana" w:hAnsi="Verdana" w:cs="Times New Roman"/>
          <w:b/>
          <w:bCs/>
        </w:rPr>
        <w:t>Seek a progress update</w:t>
      </w:r>
      <w:r w:rsidR="00522F24" w:rsidRPr="00D62DEB">
        <w:rPr>
          <w:rFonts w:ascii="Verdana" w:hAnsi="Verdana" w:cs="Times New Roman"/>
          <w:b/>
          <w:bCs/>
        </w:rPr>
        <w:t xml:space="preserve"> on the </w:t>
      </w:r>
      <w:r w:rsidR="00464797" w:rsidRPr="00D62DEB">
        <w:rPr>
          <w:rFonts w:ascii="Verdana" w:hAnsi="Verdana" w:cs="Times New Roman"/>
          <w:b/>
          <w:bCs/>
        </w:rPr>
        <w:t>reform of the Race Relations (NI</w:t>
      </w:r>
      <w:r w:rsidR="006F56BD">
        <w:rPr>
          <w:rFonts w:ascii="Verdana" w:hAnsi="Verdana" w:cs="Times New Roman"/>
          <w:b/>
          <w:bCs/>
        </w:rPr>
        <w:t>)</w:t>
      </w:r>
      <w:r w:rsidR="00464797" w:rsidRPr="00D62DEB">
        <w:rPr>
          <w:rFonts w:ascii="Verdana" w:hAnsi="Verdana" w:cs="Times New Roman"/>
          <w:b/>
          <w:bCs/>
        </w:rPr>
        <w:t xml:space="preserve"> Order 1997</w:t>
      </w:r>
      <w:r w:rsidRPr="00D62DEB">
        <w:rPr>
          <w:rFonts w:ascii="Verdana" w:hAnsi="Verdana" w:cs="Times New Roman"/>
          <w:b/>
          <w:bCs/>
        </w:rPr>
        <w:t>.</w:t>
      </w:r>
    </w:p>
    <w:p w14:paraId="424EC8A8" w14:textId="77777777" w:rsidR="003A5463" w:rsidRPr="00D62DEB" w:rsidRDefault="003A5463" w:rsidP="004656A5">
      <w:pPr>
        <w:pStyle w:val="BasicParagraph"/>
        <w:suppressAutoHyphens/>
        <w:spacing w:line="276" w:lineRule="auto"/>
        <w:ind w:left="1429"/>
        <w:rPr>
          <w:rFonts w:ascii="Verdana" w:hAnsi="Verdana" w:cs="Arial"/>
          <w:color w:val="232120"/>
        </w:rPr>
      </w:pPr>
    </w:p>
    <w:p w14:paraId="3F06CAA8" w14:textId="76D93660" w:rsidR="00920124" w:rsidRPr="000A395D" w:rsidRDefault="008A1142" w:rsidP="0057727A">
      <w:pPr>
        <w:pStyle w:val="Heading2"/>
      </w:pPr>
      <w:bookmarkStart w:id="17" w:name="_Toc97030908"/>
      <w:r w:rsidRPr="000A395D">
        <w:t>Common Travel Area</w:t>
      </w:r>
      <w:r w:rsidR="00730C31">
        <w:rPr>
          <w:rStyle w:val="FootnoteReference"/>
        </w:rPr>
        <w:footnoteReference w:id="75"/>
      </w:r>
      <w:bookmarkEnd w:id="17"/>
    </w:p>
    <w:p w14:paraId="4F97DD60" w14:textId="77777777" w:rsidR="00B267F7" w:rsidRDefault="00B267F7" w:rsidP="00B267F7">
      <w:pPr>
        <w:pStyle w:val="BasicParagraph"/>
        <w:suppressAutoHyphens/>
        <w:spacing w:line="276" w:lineRule="auto"/>
        <w:rPr>
          <w:rFonts w:ascii="Verdana" w:hAnsi="Verdana" w:cs="Arial"/>
          <w:color w:val="232120"/>
        </w:rPr>
      </w:pPr>
    </w:p>
    <w:p w14:paraId="5CE22C1F" w14:textId="77777777" w:rsidR="00F05D66" w:rsidRDefault="00A034D0" w:rsidP="00915669">
      <w:pPr>
        <w:pStyle w:val="BasicParagraph"/>
        <w:numPr>
          <w:ilvl w:val="1"/>
          <w:numId w:val="17"/>
        </w:numPr>
        <w:suppressAutoHyphens/>
        <w:spacing w:line="276" w:lineRule="auto"/>
        <w:rPr>
          <w:rFonts w:ascii="Verdana" w:hAnsi="Verdana" w:cs="Arial"/>
          <w:color w:val="232120"/>
        </w:rPr>
      </w:pPr>
      <w:r w:rsidRPr="00D62DEB">
        <w:rPr>
          <w:rFonts w:ascii="Verdana" w:hAnsi="Verdana" w:cs="Arial"/>
          <w:color w:val="232120"/>
        </w:rPr>
        <w:t xml:space="preserve">In 2018, the </w:t>
      </w:r>
      <w:r w:rsidR="00B74BD6" w:rsidRPr="00D62DEB">
        <w:rPr>
          <w:rFonts w:ascii="Verdana" w:hAnsi="Verdana" w:cs="Arial"/>
          <w:color w:val="232120"/>
        </w:rPr>
        <w:t>NIHRC</w:t>
      </w:r>
      <w:r w:rsidRPr="00D62DEB">
        <w:rPr>
          <w:rFonts w:ascii="Verdana" w:hAnsi="Verdana" w:cs="Arial"/>
          <w:color w:val="232120"/>
        </w:rPr>
        <w:t xml:space="preserve"> and the Irish Human Rights and Equality Commission</w:t>
      </w:r>
      <w:r w:rsidR="00581F42" w:rsidRPr="00D62DEB">
        <w:rPr>
          <w:rFonts w:ascii="Verdana" w:hAnsi="Verdana" w:cs="Arial"/>
          <w:color w:val="232120"/>
        </w:rPr>
        <w:t xml:space="preserve"> (IHREC)</w:t>
      </w:r>
      <w:r w:rsidRPr="00D62DEB">
        <w:rPr>
          <w:rFonts w:ascii="Verdana" w:hAnsi="Verdana" w:cs="Arial"/>
          <w:color w:val="232120"/>
        </w:rPr>
        <w:t xml:space="preserve"> published </w:t>
      </w:r>
      <w:r w:rsidR="005D5D76" w:rsidRPr="00D62DEB">
        <w:rPr>
          <w:rFonts w:ascii="Verdana" w:hAnsi="Verdana" w:cs="Arial"/>
          <w:color w:val="232120"/>
        </w:rPr>
        <w:t xml:space="preserve">commissioned </w:t>
      </w:r>
      <w:r w:rsidRPr="00D62DEB">
        <w:rPr>
          <w:rFonts w:ascii="Verdana" w:hAnsi="Verdana" w:cs="Arial"/>
          <w:color w:val="232120"/>
        </w:rPr>
        <w:t>research on the Common Travel Area</w:t>
      </w:r>
      <w:r w:rsidR="00925CC9">
        <w:rPr>
          <w:rFonts w:ascii="Verdana" w:hAnsi="Verdana" w:cs="Arial"/>
          <w:color w:val="232120"/>
        </w:rPr>
        <w:t xml:space="preserve"> (CTA)</w:t>
      </w:r>
      <w:r w:rsidRPr="00D62DEB">
        <w:rPr>
          <w:rFonts w:ascii="Verdana" w:hAnsi="Verdana" w:cs="Arial"/>
          <w:color w:val="232120"/>
        </w:rPr>
        <w:t>,</w:t>
      </w:r>
      <w:r w:rsidR="00B95F6B">
        <w:rPr>
          <w:rStyle w:val="FootnoteReference"/>
          <w:rFonts w:ascii="Verdana" w:hAnsi="Verdana" w:cs="Arial"/>
          <w:color w:val="232120"/>
        </w:rPr>
        <w:footnoteReference w:id="76"/>
      </w:r>
      <w:r w:rsidRPr="00D62DEB">
        <w:rPr>
          <w:rFonts w:ascii="Verdana" w:hAnsi="Verdana" w:cs="Arial"/>
          <w:color w:val="232120"/>
        </w:rPr>
        <w:t xml:space="preserve"> exploring the legal obligations it created</w:t>
      </w:r>
      <w:r w:rsidR="00F334E7" w:rsidRPr="00D62DEB">
        <w:rPr>
          <w:rFonts w:ascii="Verdana" w:hAnsi="Verdana" w:cs="Arial"/>
          <w:color w:val="232120"/>
        </w:rPr>
        <w:t>. The research noted that the Common Travel Area is “written in sand” and that legal underpinning is largely dependent on EU rights.</w:t>
      </w:r>
      <w:r w:rsidR="00FB4C78" w:rsidRPr="00D62DEB">
        <w:rPr>
          <w:rStyle w:val="FootnoteReference"/>
          <w:rFonts w:ascii="Verdana" w:hAnsi="Verdana" w:cs="Arial"/>
          <w:color w:val="232120"/>
        </w:rPr>
        <w:footnoteReference w:id="77"/>
      </w:r>
      <w:r w:rsidR="009E578D" w:rsidRPr="00D62DEB">
        <w:rPr>
          <w:rFonts w:ascii="Verdana" w:hAnsi="Verdana" w:cs="Arial"/>
          <w:color w:val="232120"/>
        </w:rPr>
        <w:t xml:space="preserve"> The report recommended putting </w:t>
      </w:r>
      <w:r w:rsidR="00FB4C78" w:rsidRPr="00D62DEB">
        <w:rPr>
          <w:rFonts w:ascii="Verdana" w:hAnsi="Verdana" w:cs="Arial"/>
          <w:color w:val="232120"/>
        </w:rPr>
        <w:t>these</w:t>
      </w:r>
      <w:r w:rsidR="009E578D" w:rsidRPr="00D62DEB">
        <w:rPr>
          <w:rFonts w:ascii="Verdana" w:hAnsi="Verdana" w:cs="Arial"/>
          <w:color w:val="232120"/>
        </w:rPr>
        <w:t xml:space="preserve"> rights on a legal footing in a bilateral Common Travel area treaty would allow the strongest form of protection.</w:t>
      </w:r>
    </w:p>
    <w:p w14:paraId="3631DCB3" w14:textId="31EC9A24" w:rsidR="00F05D66" w:rsidRDefault="009E578D" w:rsidP="00F05D66">
      <w:pPr>
        <w:pStyle w:val="BasicParagraph"/>
        <w:suppressAutoHyphens/>
        <w:spacing w:line="276" w:lineRule="auto"/>
        <w:ind w:left="720"/>
        <w:rPr>
          <w:rFonts w:ascii="Verdana" w:hAnsi="Verdana" w:cs="Arial"/>
          <w:color w:val="232120"/>
        </w:rPr>
      </w:pPr>
      <w:r w:rsidRPr="00D62DEB">
        <w:rPr>
          <w:rFonts w:ascii="Verdana" w:hAnsi="Verdana" w:cs="Arial"/>
          <w:color w:val="232120"/>
        </w:rPr>
        <w:t xml:space="preserve"> </w:t>
      </w:r>
    </w:p>
    <w:p w14:paraId="354B07A7" w14:textId="77777777" w:rsidR="00F05D66" w:rsidRDefault="00FB4C78" w:rsidP="00915669">
      <w:pPr>
        <w:pStyle w:val="BasicParagraph"/>
        <w:numPr>
          <w:ilvl w:val="1"/>
          <w:numId w:val="17"/>
        </w:numPr>
        <w:suppressAutoHyphens/>
        <w:spacing w:line="276" w:lineRule="auto"/>
        <w:rPr>
          <w:rFonts w:ascii="Verdana" w:hAnsi="Verdana" w:cs="Arial"/>
          <w:color w:val="232120"/>
        </w:rPr>
      </w:pPr>
      <w:r w:rsidRPr="00F05D66">
        <w:rPr>
          <w:rFonts w:ascii="Verdana" w:hAnsi="Verdana" w:cs="Arial"/>
          <w:color w:val="232120"/>
        </w:rPr>
        <w:t>In May 2019, the UK Government a</w:t>
      </w:r>
      <w:r w:rsidR="00581F42" w:rsidRPr="00F05D66">
        <w:rPr>
          <w:rFonts w:ascii="Verdana" w:hAnsi="Verdana" w:cs="Arial"/>
          <w:color w:val="232120"/>
        </w:rPr>
        <w:t>n</w:t>
      </w:r>
      <w:r w:rsidRPr="00F05D66">
        <w:rPr>
          <w:rFonts w:ascii="Verdana" w:hAnsi="Verdana" w:cs="Arial"/>
          <w:color w:val="232120"/>
        </w:rPr>
        <w:t>d the Government of Ireland signed Memorandum of Understanding setting out what they understand by the Common Travel Area and the associated rights and privileges.</w:t>
      </w:r>
      <w:r w:rsidRPr="00D62DEB">
        <w:rPr>
          <w:rStyle w:val="FootnoteReference"/>
          <w:rFonts w:ascii="Verdana" w:hAnsi="Verdana" w:cs="Arial"/>
          <w:color w:val="232120"/>
        </w:rPr>
        <w:footnoteReference w:id="78"/>
      </w:r>
      <w:r w:rsidRPr="00F05D66">
        <w:rPr>
          <w:rFonts w:ascii="Verdana" w:hAnsi="Verdana" w:cs="Arial"/>
          <w:color w:val="232120"/>
        </w:rPr>
        <w:t xml:space="preserve"> </w:t>
      </w:r>
      <w:r w:rsidR="00F26E22" w:rsidRPr="00F05D66">
        <w:rPr>
          <w:rFonts w:ascii="Verdana" w:hAnsi="Verdana" w:cs="Arial"/>
          <w:color w:val="232120"/>
        </w:rPr>
        <w:t xml:space="preserve">This Memorandum of Understanding only extends to British and Irish citizens and does not create </w:t>
      </w:r>
      <w:r w:rsidR="00210FD1" w:rsidRPr="00F05D66">
        <w:rPr>
          <w:rFonts w:ascii="Verdana" w:hAnsi="Verdana" w:cs="Arial"/>
          <w:color w:val="232120"/>
        </w:rPr>
        <w:t>“</w:t>
      </w:r>
      <w:r w:rsidR="00F26E22" w:rsidRPr="00F05D66">
        <w:rPr>
          <w:rFonts w:ascii="Verdana" w:hAnsi="Verdana" w:cs="Arial"/>
          <w:color w:val="232120"/>
        </w:rPr>
        <w:t>legally binding obligations”.</w:t>
      </w:r>
      <w:r w:rsidR="00210FD1" w:rsidRPr="00D62DEB">
        <w:rPr>
          <w:rStyle w:val="FootnoteReference"/>
          <w:rFonts w:ascii="Verdana" w:hAnsi="Verdana" w:cs="Arial"/>
          <w:color w:val="232120"/>
        </w:rPr>
        <w:footnoteReference w:id="79"/>
      </w:r>
    </w:p>
    <w:p w14:paraId="1A715F99" w14:textId="77777777" w:rsidR="00F05D66" w:rsidRDefault="00F05D66" w:rsidP="00F05D66">
      <w:pPr>
        <w:pStyle w:val="ListParagraph"/>
        <w:rPr>
          <w:rFonts w:ascii="Verdana" w:hAnsi="Verdana" w:cs="Arial"/>
          <w:color w:val="232120"/>
        </w:rPr>
      </w:pPr>
    </w:p>
    <w:p w14:paraId="196FE2D9" w14:textId="77777777" w:rsidR="00F05D66" w:rsidRDefault="0033092E" w:rsidP="00915669">
      <w:pPr>
        <w:pStyle w:val="BasicParagraph"/>
        <w:numPr>
          <w:ilvl w:val="1"/>
          <w:numId w:val="17"/>
        </w:numPr>
        <w:suppressAutoHyphens/>
        <w:spacing w:line="276" w:lineRule="auto"/>
        <w:rPr>
          <w:rFonts w:ascii="Verdana" w:hAnsi="Verdana" w:cs="Arial"/>
          <w:color w:val="232120"/>
        </w:rPr>
      </w:pPr>
      <w:r w:rsidRPr="00F05D66">
        <w:rPr>
          <w:rFonts w:ascii="Verdana" w:hAnsi="Verdana" w:cs="Arial"/>
          <w:color w:val="232120"/>
        </w:rPr>
        <w:t xml:space="preserve">The two governments have agreed </w:t>
      </w:r>
      <w:r w:rsidR="00727DB8" w:rsidRPr="00F05D66">
        <w:rPr>
          <w:rFonts w:ascii="Verdana" w:hAnsi="Verdana" w:cs="Arial"/>
          <w:color w:val="232120"/>
        </w:rPr>
        <w:t>a treaty codifying areas related to social security coordination</w:t>
      </w:r>
      <w:r w:rsidR="000F3EA3" w:rsidRPr="00F05D66">
        <w:rPr>
          <w:rFonts w:ascii="Verdana" w:hAnsi="Verdana" w:cs="Arial"/>
          <w:color w:val="232120"/>
        </w:rPr>
        <w:t>.</w:t>
      </w:r>
      <w:r w:rsidR="00335E80">
        <w:rPr>
          <w:rStyle w:val="FootnoteReference"/>
          <w:rFonts w:ascii="Verdana" w:hAnsi="Verdana" w:cs="Arial"/>
          <w:color w:val="232120"/>
        </w:rPr>
        <w:footnoteReference w:id="80"/>
      </w:r>
      <w:r w:rsidR="00E15566" w:rsidRPr="00F05D66">
        <w:rPr>
          <w:rFonts w:ascii="Verdana" w:hAnsi="Verdana" w:cs="Arial"/>
          <w:color w:val="232120"/>
        </w:rPr>
        <w:t xml:space="preserve"> </w:t>
      </w:r>
      <w:r w:rsidR="00727DB8" w:rsidRPr="00F05D66">
        <w:rPr>
          <w:rFonts w:ascii="Verdana" w:hAnsi="Verdana" w:cs="Arial"/>
          <w:color w:val="232120"/>
        </w:rPr>
        <w:t xml:space="preserve">However, the </w:t>
      </w:r>
      <w:r w:rsidR="00581F42" w:rsidRPr="00F05D66">
        <w:rPr>
          <w:rFonts w:ascii="Verdana" w:hAnsi="Verdana" w:cs="Arial"/>
          <w:color w:val="232120"/>
        </w:rPr>
        <w:t>NIHRC</w:t>
      </w:r>
      <w:r w:rsidR="00727DB8" w:rsidRPr="00F05D66">
        <w:rPr>
          <w:rFonts w:ascii="Verdana" w:hAnsi="Verdana" w:cs="Arial"/>
          <w:color w:val="232120"/>
        </w:rPr>
        <w:t xml:space="preserve"> notes with concern that </w:t>
      </w:r>
      <w:r w:rsidR="00415E36" w:rsidRPr="00F05D66">
        <w:rPr>
          <w:rFonts w:ascii="Verdana" w:hAnsi="Verdana" w:cs="Arial"/>
          <w:color w:val="232120"/>
        </w:rPr>
        <w:t xml:space="preserve">all other rights associated with the Common Travel Area, including free movement of people, rights to reside and work, healthcare and education are all based on separate </w:t>
      </w:r>
      <w:r w:rsidR="00D74BDF" w:rsidRPr="00F05D66">
        <w:rPr>
          <w:rFonts w:ascii="Verdana" w:hAnsi="Verdana" w:cs="Arial"/>
          <w:color w:val="232120"/>
        </w:rPr>
        <w:t xml:space="preserve">domestic arrangements, alongside reciprocal agreements, and other non-judicially enforceable </w:t>
      </w:r>
      <w:r w:rsidR="000F3EA3" w:rsidRPr="00F05D66">
        <w:rPr>
          <w:rFonts w:ascii="Verdana" w:hAnsi="Verdana" w:cs="Arial"/>
          <w:color w:val="232120"/>
        </w:rPr>
        <w:t>agreements.</w:t>
      </w:r>
    </w:p>
    <w:p w14:paraId="745E63B0" w14:textId="77777777" w:rsidR="00F05D66" w:rsidRDefault="00F05D66" w:rsidP="00F05D66">
      <w:pPr>
        <w:pStyle w:val="ListParagraph"/>
        <w:rPr>
          <w:rFonts w:ascii="Verdana" w:hAnsi="Verdana" w:cs="Arial"/>
          <w:color w:val="232120"/>
        </w:rPr>
      </w:pPr>
    </w:p>
    <w:p w14:paraId="1859F9BB" w14:textId="77777777" w:rsidR="00F05D66" w:rsidRDefault="00FA208E" w:rsidP="00915669">
      <w:pPr>
        <w:pStyle w:val="BasicParagraph"/>
        <w:numPr>
          <w:ilvl w:val="1"/>
          <w:numId w:val="17"/>
        </w:numPr>
        <w:suppressAutoHyphens/>
        <w:spacing w:line="276" w:lineRule="auto"/>
        <w:rPr>
          <w:rFonts w:ascii="Verdana" w:hAnsi="Verdana" w:cs="Arial"/>
          <w:color w:val="232120"/>
        </w:rPr>
      </w:pPr>
      <w:r w:rsidRPr="00F05D66">
        <w:rPr>
          <w:rFonts w:ascii="Verdana" w:hAnsi="Verdana" w:cs="Arial"/>
          <w:color w:val="232120"/>
        </w:rPr>
        <w:t xml:space="preserve">On 1 October 2021, new Home Office guidance took effect, stating that while travellers into the UK from Ireland need </w:t>
      </w:r>
      <w:r w:rsidR="00C34F0C" w:rsidRPr="00F05D66">
        <w:rPr>
          <w:rFonts w:ascii="Verdana" w:hAnsi="Verdana" w:cs="Arial"/>
          <w:color w:val="232120"/>
        </w:rPr>
        <w:t>not</w:t>
      </w:r>
      <w:r w:rsidRPr="00F05D66">
        <w:rPr>
          <w:rFonts w:ascii="Verdana" w:hAnsi="Verdana" w:cs="Arial"/>
          <w:color w:val="232120"/>
        </w:rPr>
        <w:t xml:space="preserve"> show a passport to a Border Force officer, they may be asked to a show a document confirming their identity and nationality</w:t>
      </w:r>
      <w:r w:rsidR="001E1BC1" w:rsidRPr="00F05D66">
        <w:rPr>
          <w:rFonts w:ascii="Verdana" w:hAnsi="Verdana" w:cs="Arial"/>
          <w:color w:val="232120"/>
        </w:rPr>
        <w:t>.</w:t>
      </w:r>
      <w:r w:rsidR="001E1BC1" w:rsidRPr="00D62DEB">
        <w:rPr>
          <w:rStyle w:val="FootnoteReference"/>
          <w:rFonts w:ascii="Verdana" w:hAnsi="Verdana" w:cs="Arial"/>
          <w:color w:val="232120"/>
        </w:rPr>
        <w:footnoteReference w:id="81"/>
      </w:r>
      <w:r w:rsidR="001E1BC1" w:rsidRPr="00F05D66">
        <w:rPr>
          <w:rFonts w:ascii="Verdana" w:hAnsi="Verdana" w:cs="Arial"/>
          <w:color w:val="232120"/>
        </w:rPr>
        <w:t xml:space="preserve"> Only certain categories of people may use their </w:t>
      </w:r>
      <w:r w:rsidR="00CA7B9D" w:rsidRPr="00F05D66">
        <w:rPr>
          <w:rFonts w:ascii="Verdana" w:hAnsi="Verdana" w:cs="Arial"/>
          <w:color w:val="232120"/>
        </w:rPr>
        <w:t>identity</w:t>
      </w:r>
      <w:r w:rsidR="001E1BC1" w:rsidRPr="00F05D66">
        <w:rPr>
          <w:rFonts w:ascii="Verdana" w:hAnsi="Verdana" w:cs="Arial"/>
          <w:color w:val="232120"/>
        </w:rPr>
        <w:t xml:space="preserve"> cards (such as those who have </w:t>
      </w:r>
      <w:r w:rsidR="00C22DF4" w:rsidRPr="00F05D66">
        <w:rPr>
          <w:rFonts w:ascii="Verdana" w:hAnsi="Verdana" w:cs="Arial"/>
          <w:color w:val="232120"/>
        </w:rPr>
        <w:t xml:space="preserve">EU settled status), the rest will be required to show their passport. </w:t>
      </w:r>
      <w:r w:rsidR="000C79A6" w:rsidRPr="00F05D66">
        <w:rPr>
          <w:rFonts w:ascii="Verdana" w:hAnsi="Verdana" w:cs="Arial"/>
          <w:color w:val="232120"/>
        </w:rPr>
        <w:t xml:space="preserve">The NIHRC </w:t>
      </w:r>
      <w:r w:rsidR="00B67A77" w:rsidRPr="00F05D66">
        <w:rPr>
          <w:rFonts w:ascii="Verdana" w:hAnsi="Verdana" w:cs="Arial"/>
          <w:color w:val="232120"/>
        </w:rPr>
        <w:t>remains</w:t>
      </w:r>
      <w:r w:rsidR="000C79A6" w:rsidRPr="00F05D66">
        <w:rPr>
          <w:rFonts w:ascii="Verdana" w:hAnsi="Verdana" w:cs="Arial"/>
          <w:color w:val="232120"/>
        </w:rPr>
        <w:t xml:space="preserve"> concerned about the risk of racial profiling in the context of additional checks at public service access points arising from EU exit</w:t>
      </w:r>
      <w:r w:rsidR="00A8232B" w:rsidRPr="00D62DEB">
        <w:rPr>
          <w:rStyle w:val="FootnoteReference"/>
          <w:rFonts w:ascii="Verdana" w:hAnsi="Verdana" w:cs="Arial"/>
          <w:color w:val="232120"/>
        </w:rPr>
        <w:footnoteReference w:id="82"/>
      </w:r>
      <w:r w:rsidR="000C79A6" w:rsidRPr="00F05D66">
        <w:rPr>
          <w:rFonts w:ascii="Verdana" w:hAnsi="Verdana" w:cs="Arial"/>
          <w:color w:val="232120"/>
        </w:rPr>
        <w:t xml:space="preserve"> potentially deterring migrants from </w:t>
      </w:r>
      <w:r w:rsidR="000C79A6" w:rsidRPr="00F05D66">
        <w:rPr>
          <w:rFonts w:ascii="Verdana" w:hAnsi="Verdana" w:cs="Arial"/>
          <w:color w:val="000000" w:themeColor="text1"/>
        </w:rPr>
        <w:t>accessing services to which they are entitled.</w:t>
      </w:r>
      <w:r w:rsidR="000C79A6" w:rsidRPr="00B01DAA">
        <w:rPr>
          <w:rStyle w:val="FootnoteReference"/>
          <w:rFonts w:ascii="Verdana" w:hAnsi="Verdana" w:cs="Arial"/>
          <w:color w:val="000000" w:themeColor="text1"/>
        </w:rPr>
        <w:footnoteReference w:id="83"/>
      </w:r>
      <w:r w:rsidR="001D3C30" w:rsidRPr="00F05D66">
        <w:rPr>
          <w:rFonts w:ascii="Verdana" w:hAnsi="Verdana" w:cs="Arial"/>
          <w:color w:val="000000" w:themeColor="text1"/>
        </w:rPr>
        <w:t xml:space="preserve"> </w:t>
      </w:r>
    </w:p>
    <w:p w14:paraId="4ECE2FC2" w14:textId="77777777" w:rsidR="00F05D66" w:rsidRDefault="00F05D66" w:rsidP="00F05D66">
      <w:pPr>
        <w:pStyle w:val="ListParagraph"/>
        <w:rPr>
          <w:rFonts w:ascii="Verdana" w:hAnsi="Verdana" w:cs="Arial"/>
          <w:color w:val="000000" w:themeColor="text1"/>
        </w:rPr>
      </w:pPr>
    </w:p>
    <w:p w14:paraId="631D5D18" w14:textId="77777777" w:rsidR="00F05D66" w:rsidRDefault="00220AEF" w:rsidP="00915669">
      <w:pPr>
        <w:pStyle w:val="BasicParagraph"/>
        <w:numPr>
          <w:ilvl w:val="1"/>
          <w:numId w:val="17"/>
        </w:numPr>
        <w:suppressAutoHyphens/>
        <w:spacing w:line="276" w:lineRule="auto"/>
        <w:rPr>
          <w:rFonts w:ascii="Verdana" w:hAnsi="Verdana" w:cs="Arial"/>
          <w:color w:val="232120"/>
        </w:rPr>
      </w:pPr>
      <w:r w:rsidRPr="00F05D66">
        <w:rPr>
          <w:rFonts w:ascii="Verdana" w:hAnsi="Verdana" w:cs="Arial"/>
          <w:color w:val="000000" w:themeColor="text1"/>
        </w:rPr>
        <w:t xml:space="preserve">In </w:t>
      </w:r>
      <w:r w:rsidR="00B72BED" w:rsidRPr="00F05D66">
        <w:rPr>
          <w:rFonts w:ascii="Verdana" w:hAnsi="Verdana" w:cs="Arial"/>
          <w:color w:val="000000" w:themeColor="text1"/>
        </w:rPr>
        <w:t xml:space="preserve">December 2021, the NIHRC wrote to the Secretary of State to </w:t>
      </w:r>
      <w:r w:rsidR="00F25CDB" w:rsidRPr="00F05D66">
        <w:rPr>
          <w:rFonts w:ascii="Verdana" w:hAnsi="Verdana" w:cs="Arial"/>
          <w:color w:val="000000" w:themeColor="text1"/>
        </w:rPr>
        <w:t xml:space="preserve">further </w:t>
      </w:r>
      <w:r w:rsidR="00B72BED" w:rsidRPr="00F05D66">
        <w:rPr>
          <w:rFonts w:ascii="Verdana" w:hAnsi="Verdana" w:cs="Arial"/>
          <w:color w:val="000000" w:themeColor="text1"/>
        </w:rPr>
        <w:t xml:space="preserve">express </w:t>
      </w:r>
      <w:r w:rsidR="00F25CDB" w:rsidRPr="00F05D66">
        <w:rPr>
          <w:rFonts w:ascii="Verdana" w:hAnsi="Verdana" w:cs="Arial"/>
          <w:color w:val="000000" w:themeColor="text1"/>
        </w:rPr>
        <w:t xml:space="preserve">it concerns about </w:t>
      </w:r>
      <w:r w:rsidR="001D3C30" w:rsidRPr="00F05D66">
        <w:rPr>
          <w:rFonts w:ascii="Verdana" w:hAnsi="Verdana" w:cs="Arial"/>
          <w:color w:val="000000" w:themeColor="text1"/>
        </w:rPr>
        <w:t>Home Office guidance in relation to the CTA and the proposed intelligence</w:t>
      </w:r>
      <w:r w:rsidR="00437573" w:rsidRPr="00F05D66">
        <w:rPr>
          <w:rFonts w:ascii="Verdana" w:hAnsi="Verdana" w:cs="Arial"/>
          <w:color w:val="000000" w:themeColor="text1"/>
        </w:rPr>
        <w:t>-</w:t>
      </w:r>
      <w:r w:rsidR="001D3C30" w:rsidRPr="00F05D66">
        <w:rPr>
          <w:rFonts w:ascii="Verdana" w:hAnsi="Verdana" w:cs="Arial"/>
          <w:color w:val="000000" w:themeColor="text1"/>
        </w:rPr>
        <w:t>led immigration checks</w:t>
      </w:r>
      <w:r w:rsidR="009E662B" w:rsidRPr="00F05D66">
        <w:rPr>
          <w:rFonts w:ascii="Verdana" w:hAnsi="Verdana" w:cs="Arial"/>
          <w:color w:val="000000" w:themeColor="text1"/>
        </w:rPr>
        <w:t xml:space="preserve"> which </w:t>
      </w:r>
      <w:r w:rsidR="00437573" w:rsidRPr="00F05D66">
        <w:rPr>
          <w:rFonts w:ascii="Verdana" w:hAnsi="Verdana" w:cs="Arial"/>
          <w:color w:val="000000" w:themeColor="text1"/>
        </w:rPr>
        <w:t>could</w:t>
      </w:r>
      <w:r w:rsidR="009E662B" w:rsidRPr="00F05D66">
        <w:rPr>
          <w:rFonts w:ascii="Verdana" w:hAnsi="Verdana" w:cs="Arial"/>
          <w:color w:val="000000" w:themeColor="text1"/>
        </w:rPr>
        <w:t xml:space="preserve"> lead to increased risk of racial profiling.</w:t>
      </w:r>
      <w:r w:rsidR="009E662B" w:rsidRPr="00B01DAA">
        <w:rPr>
          <w:rStyle w:val="FootnoteReference"/>
          <w:rFonts w:ascii="Verdana" w:hAnsi="Verdana" w:cs="Arial"/>
          <w:color w:val="000000" w:themeColor="text1"/>
        </w:rPr>
        <w:footnoteReference w:id="84"/>
      </w:r>
      <w:r w:rsidR="00F0752C" w:rsidRPr="00F05D66">
        <w:rPr>
          <w:rFonts w:ascii="Verdana" w:hAnsi="Verdana" w:cs="Arial"/>
          <w:color w:val="000000" w:themeColor="text1"/>
        </w:rPr>
        <w:t xml:space="preserve"> It asked the Secretary of State </w:t>
      </w:r>
      <w:r w:rsidR="005C39B5" w:rsidRPr="00F05D66">
        <w:rPr>
          <w:rFonts w:ascii="Verdana" w:hAnsi="Verdana" w:cs="Arial"/>
          <w:color w:val="000000" w:themeColor="text1"/>
        </w:rPr>
        <w:t xml:space="preserve">for </w:t>
      </w:r>
      <w:r w:rsidR="00A238A7" w:rsidRPr="00F05D66">
        <w:rPr>
          <w:rFonts w:ascii="Verdana" w:hAnsi="Verdana" w:cs="Arial"/>
          <w:color w:val="000000" w:themeColor="text1"/>
        </w:rPr>
        <w:t xml:space="preserve">information on </w:t>
      </w:r>
      <w:r w:rsidR="00A81A48" w:rsidRPr="00F05D66">
        <w:rPr>
          <w:rFonts w:ascii="Verdana" w:hAnsi="Verdana" w:cs="Arial"/>
          <w:color w:val="000000" w:themeColor="text1"/>
        </w:rPr>
        <w:t xml:space="preserve">what training and guidance is provided for enforcement officers, </w:t>
      </w:r>
      <w:r w:rsidR="007656D2" w:rsidRPr="00F05D66">
        <w:rPr>
          <w:rFonts w:ascii="Verdana" w:hAnsi="Verdana" w:cs="Arial"/>
          <w:color w:val="000000" w:themeColor="text1"/>
        </w:rPr>
        <w:t xml:space="preserve">the review mechanisms and disciplinary procedures </w:t>
      </w:r>
      <w:r w:rsidR="00C35E20" w:rsidRPr="00F05D66">
        <w:rPr>
          <w:rFonts w:ascii="Verdana" w:hAnsi="Verdana" w:cs="Arial"/>
          <w:color w:val="000000" w:themeColor="text1"/>
        </w:rPr>
        <w:t>in place</w:t>
      </w:r>
      <w:r w:rsidR="007656D2" w:rsidRPr="00F05D66">
        <w:rPr>
          <w:rFonts w:ascii="Verdana" w:hAnsi="Verdana" w:cs="Arial"/>
          <w:color w:val="000000" w:themeColor="text1"/>
        </w:rPr>
        <w:t xml:space="preserve"> for </w:t>
      </w:r>
      <w:r w:rsidR="00C35E20" w:rsidRPr="00F05D66">
        <w:rPr>
          <w:rFonts w:ascii="Verdana" w:hAnsi="Verdana" w:cs="Arial"/>
          <w:color w:val="000000" w:themeColor="text1"/>
        </w:rPr>
        <w:t xml:space="preserve">cases of </w:t>
      </w:r>
      <w:r w:rsidR="00961097" w:rsidRPr="00F05D66">
        <w:rPr>
          <w:rFonts w:ascii="Verdana" w:hAnsi="Verdana" w:cs="Arial"/>
          <w:color w:val="000000" w:themeColor="text1"/>
        </w:rPr>
        <w:t xml:space="preserve">racial profiling, </w:t>
      </w:r>
      <w:r w:rsidR="00D37BBE" w:rsidRPr="00F05D66">
        <w:rPr>
          <w:rFonts w:ascii="Verdana" w:hAnsi="Verdana" w:cs="Arial"/>
          <w:color w:val="000000" w:themeColor="text1"/>
        </w:rPr>
        <w:t xml:space="preserve">and </w:t>
      </w:r>
      <w:r w:rsidR="00C35E20" w:rsidRPr="00F05D66">
        <w:rPr>
          <w:rFonts w:ascii="Verdana" w:hAnsi="Verdana" w:cs="Arial"/>
          <w:color w:val="000000" w:themeColor="text1"/>
        </w:rPr>
        <w:t>for data on</w:t>
      </w:r>
      <w:r w:rsidR="00D37BBE" w:rsidRPr="00F05D66">
        <w:rPr>
          <w:rFonts w:ascii="Verdana" w:hAnsi="Verdana" w:cs="Arial"/>
          <w:color w:val="000000" w:themeColor="text1"/>
        </w:rPr>
        <w:t xml:space="preserve"> </w:t>
      </w:r>
      <w:r w:rsidR="00044328" w:rsidRPr="00F05D66">
        <w:rPr>
          <w:rFonts w:ascii="Verdana" w:hAnsi="Verdana" w:cs="Arial"/>
          <w:color w:val="000000" w:themeColor="text1"/>
        </w:rPr>
        <w:t>intelligence</w:t>
      </w:r>
      <w:r w:rsidR="00D37BBE" w:rsidRPr="00F05D66">
        <w:rPr>
          <w:rFonts w:ascii="Verdana" w:hAnsi="Verdana" w:cs="Arial"/>
          <w:color w:val="000000" w:themeColor="text1"/>
        </w:rPr>
        <w:t>-led checks carried out under CTA guidance.</w:t>
      </w:r>
    </w:p>
    <w:p w14:paraId="78895CD3" w14:textId="77777777" w:rsidR="00F05D66" w:rsidRDefault="00F05D66" w:rsidP="00F05D66">
      <w:pPr>
        <w:pStyle w:val="ListParagraph"/>
        <w:rPr>
          <w:rFonts w:ascii="Verdana" w:hAnsi="Verdana" w:cs="Arial"/>
          <w:color w:val="000000" w:themeColor="text1"/>
        </w:rPr>
      </w:pPr>
    </w:p>
    <w:p w14:paraId="32C53445" w14:textId="77777777" w:rsidR="00F05D66" w:rsidRPr="00F05D66" w:rsidRDefault="00067B9F" w:rsidP="00915669">
      <w:pPr>
        <w:pStyle w:val="BasicParagraph"/>
        <w:numPr>
          <w:ilvl w:val="1"/>
          <w:numId w:val="17"/>
        </w:numPr>
        <w:suppressAutoHyphens/>
        <w:spacing w:line="276" w:lineRule="auto"/>
        <w:rPr>
          <w:rFonts w:ascii="Verdana" w:hAnsi="Verdana" w:cs="Arial"/>
          <w:color w:val="232120"/>
        </w:rPr>
      </w:pPr>
      <w:r w:rsidRPr="00F05D66">
        <w:rPr>
          <w:rFonts w:ascii="Verdana" w:hAnsi="Verdana" w:cs="Arial"/>
          <w:color w:val="000000" w:themeColor="text1"/>
        </w:rPr>
        <w:t xml:space="preserve">The NIHRC </w:t>
      </w:r>
      <w:r w:rsidR="00D849DC" w:rsidRPr="00F05D66">
        <w:rPr>
          <w:rFonts w:ascii="Verdana" w:hAnsi="Verdana" w:cs="Arial"/>
          <w:color w:val="000000" w:themeColor="text1"/>
        </w:rPr>
        <w:t xml:space="preserve">further </w:t>
      </w:r>
      <w:r w:rsidRPr="00F05D66">
        <w:rPr>
          <w:rFonts w:ascii="Verdana" w:hAnsi="Verdana" w:cs="Arial"/>
          <w:color w:val="000000" w:themeColor="text1"/>
        </w:rPr>
        <w:t>notes with concern th</w:t>
      </w:r>
      <w:r w:rsidR="00D84EC2" w:rsidRPr="00F05D66">
        <w:rPr>
          <w:rFonts w:ascii="Verdana" w:hAnsi="Verdana" w:cs="Arial"/>
          <w:color w:val="000000" w:themeColor="text1"/>
        </w:rPr>
        <w:t>e proposed Electronic Travel Authorisation</w:t>
      </w:r>
      <w:r w:rsidR="009951C4" w:rsidRPr="00F05D66">
        <w:rPr>
          <w:rFonts w:ascii="Verdana" w:hAnsi="Verdana" w:cs="Arial"/>
          <w:color w:val="000000" w:themeColor="text1"/>
        </w:rPr>
        <w:t>s</w:t>
      </w:r>
      <w:r w:rsidR="00B47DBB" w:rsidRPr="00F05D66">
        <w:rPr>
          <w:rFonts w:ascii="Verdana" w:hAnsi="Verdana" w:cs="Arial"/>
          <w:color w:val="000000" w:themeColor="text1"/>
        </w:rPr>
        <w:t xml:space="preserve"> </w:t>
      </w:r>
      <w:r w:rsidR="00AC780D" w:rsidRPr="00F05D66">
        <w:rPr>
          <w:rFonts w:ascii="Verdana" w:hAnsi="Verdana" w:cs="Arial"/>
          <w:color w:val="000000" w:themeColor="text1"/>
        </w:rPr>
        <w:t>(ETA)</w:t>
      </w:r>
      <w:r w:rsidR="00B47DBB" w:rsidRPr="00F05D66">
        <w:rPr>
          <w:rFonts w:ascii="Verdana" w:hAnsi="Verdana" w:cs="Arial"/>
          <w:color w:val="000000" w:themeColor="text1"/>
        </w:rPr>
        <w:t>,</w:t>
      </w:r>
      <w:r w:rsidR="00AC780D" w:rsidRPr="00F05D66">
        <w:rPr>
          <w:rFonts w:ascii="Verdana" w:hAnsi="Verdana" w:cs="Arial"/>
          <w:color w:val="000000" w:themeColor="text1"/>
        </w:rPr>
        <w:t xml:space="preserve"> </w:t>
      </w:r>
      <w:r w:rsidR="00851E1D" w:rsidRPr="00F05D66">
        <w:rPr>
          <w:rFonts w:ascii="Verdana" w:hAnsi="Verdana" w:cs="Arial"/>
          <w:color w:val="000000" w:themeColor="text1"/>
        </w:rPr>
        <w:t>under</w:t>
      </w:r>
      <w:r w:rsidR="00D84EC2" w:rsidRPr="00F05D66">
        <w:rPr>
          <w:rFonts w:ascii="Verdana" w:hAnsi="Verdana" w:cs="Arial"/>
          <w:color w:val="000000" w:themeColor="text1"/>
        </w:rPr>
        <w:t xml:space="preserve"> the </w:t>
      </w:r>
      <w:r w:rsidR="007810A2" w:rsidRPr="00F05D66">
        <w:rPr>
          <w:rFonts w:ascii="Verdana" w:hAnsi="Verdana" w:cs="Arial"/>
          <w:color w:val="000000" w:themeColor="text1"/>
        </w:rPr>
        <w:t>Nationality and Borders Bill</w:t>
      </w:r>
      <w:r w:rsidR="00FB3860" w:rsidRPr="00F05D66">
        <w:rPr>
          <w:rFonts w:ascii="Verdana" w:hAnsi="Verdana" w:cs="Arial"/>
          <w:color w:val="000000" w:themeColor="text1"/>
        </w:rPr>
        <w:t>,</w:t>
      </w:r>
      <w:r w:rsidR="007810A2" w:rsidRPr="00F05D66">
        <w:rPr>
          <w:rFonts w:ascii="Verdana" w:hAnsi="Verdana" w:cs="Arial"/>
          <w:color w:val="000000" w:themeColor="text1"/>
        </w:rPr>
        <w:t xml:space="preserve"> </w:t>
      </w:r>
      <w:r w:rsidR="001A4348" w:rsidRPr="00F05D66">
        <w:rPr>
          <w:rFonts w:ascii="Verdana" w:hAnsi="Verdana" w:cs="Arial"/>
          <w:color w:val="000000" w:themeColor="text1"/>
        </w:rPr>
        <w:t xml:space="preserve">which </w:t>
      </w:r>
      <w:r w:rsidR="00F44E05" w:rsidRPr="00F05D66">
        <w:rPr>
          <w:rFonts w:ascii="Verdana" w:hAnsi="Verdana" w:cstheme="majorBidi"/>
        </w:rPr>
        <w:t>requires an ETA for all non-British citizens who require leave to enter the UK, when travelling from Ireland to the UK.</w:t>
      </w:r>
      <w:r w:rsidR="00F66DFA">
        <w:rPr>
          <w:rStyle w:val="FootnoteReference"/>
          <w:rFonts w:ascii="Verdana" w:hAnsi="Verdana" w:cstheme="majorBidi"/>
        </w:rPr>
        <w:footnoteReference w:id="85"/>
      </w:r>
      <w:r w:rsidR="00F44E05" w:rsidRPr="00F05D66">
        <w:rPr>
          <w:rFonts w:ascii="Verdana" w:hAnsi="Verdana" w:cstheme="majorBidi"/>
        </w:rPr>
        <w:t xml:space="preserve"> Although Irish citizens</w:t>
      </w:r>
      <w:r w:rsidR="00F66DFA" w:rsidRPr="00F05D66">
        <w:rPr>
          <w:rFonts w:ascii="Verdana" w:hAnsi="Verdana" w:cstheme="majorBidi"/>
        </w:rPr>
        <w:t xml:space="preserve"> do not require leave to enter the UK</w:t>
      </w:r>
      <w:r w:rsidR="00925CC9" w:rsidRPr="00F05D66">
        <w:rPr>
          <w:rFonts w:ascii="Verdana" w:hAnsi="Verdana" w:cstheme="majorBidi"/>
        </w:rPr>
        <w:t>,</w:t>
      </w:r>
      <w:r w:rsidR="00F66DFA">
        <w:rPr>
          <w:rStyle w:val="FootnoteReference"/>
          <w:rFonts w:ascii="Verdana" w:hAnsi="Verdana" w:cstheme="majorBidi"/>
        </w:rPr>
        <w:footnoteReference w:id="86"/>
      </w:r>
      <w:r w:rsidR="00F44E05" w:rsidRPr="00F05D66">
        <w:rPr>
          <w:rFonts w:ascii="Verdana" w:hAnsi="Verdana" w:cstheme="majorBidi"/>
        </w:rPr>
        <w:t xml:space="preserve"> </w:t>
      </w:r>
      <w:r w:rsidR="00F66DFA" w:rsidRPr="00F05D66">
        <w:rPr>
          <w:rFonts w:ascii="Verdana" w:hAnsi="Verdana" w:cstheme="majorBidi"/>
        </w:rPr>
        <w:t>those</w:t>
      </w:r>
      <w:r w:rsidR="00F44E05" w:rsidRPr="00F05D66">
        <w:rPr>
          <w:rFonts w:ascii="Verdana" w:hAnsi="Verdana" w:cstheme="majorBidi"/>
        </w:rPr>
        <w:t xml:space="preserve"> who do not hold a recognised UK immigration status will be affected, despite free travel being </w:t>
      </w:r>
      <w:r w:rsidR="00F66DFA" w:rsidRPr="00F05D66">
        <w:rPr>
          <w:rFonts w:ascii="Verdana" w:hAnsi="Verdana" w:cstheme="majorBidi"/>
        </w:rPr>
        <w:t xml:space="preserve">presently </w:t>
      </w:r>
      <w:r w:rsidR="00F44E05" w:rsidRPr="00F05D66">
        <w:rPr>
          <w:rFonts w:ascii="Verdana" w:hAnsi="Verdana" w:cstheme="majorBidi"/>
        </w:rPr>
        <w:t>available to them on the island of Ireland</w:t>
      </w:r>
      <w:r w:rsidR="00F66DFA" w:rsidRPr="00F05D66">
        <w:rPr>
          <w:rFonts w:ascii="Verdana" w:hAnsi="Verdana" w:cstheme="majorBidi"/>
        </w:rPr>
        <w:t>.</w:t>
      </w:r>
      <w:r w:rsidR="00F44E05" w:rsidRPr="00F05D66">
        <w:rPr>
          <w:rFonts w:ascii="Verdana" w:hAnsi="Verdana" w:cstheme="majorBidi"/>
        </w:rPr>
        <w:t xml:space="preserve"> </w:t>
      </w:r>
      <w:r w:rsidR="007B00D7" w:rsidRPr="00F05D66">
        <w:rPr>
          <w:rFonts w:ascii="Verdana" w:hAnsi="Verdana" w:cstheme="majorBidi"/>
        </w:rPr>
        <w:t xml:space="preserve">It is not known what measures are in place to decide which individuals will be required to ‘demonstrate’ that permission to travel. </w:t>
      </w:r>
      <w:r w:rsidR="00376BB5" w:rsidRPr="00F05D66">
        <w:rPr>
          <w:rFonts w:ascii="Verdana" w:hAnsi="Verdana" w:cstheme="majorBidi"/>
        </w:rPr>
        <w:t>Concerns</w:t>
      </w:r>
      <w:r w:rsidR="001E3CA1" w:rsidRPr="00F05D66">
        <w:rPr>
          <w:rFonts w:ascii="Verdana" w:hAnsi="Verdana" w:cstheme="majorBidi"/>
        </w:rPr>
        <w:t xml:space="preserve"> about</w:t>
      </w:r>
      <w:r w:rsidR="000E087F" w:rsidRPr="00F05D66">
        <w:rPr>
          <w:rFonts w:ascii="Verdana" w:hAnsi="Verdana" w:cstheme="majorBidi"/>
        </w:rPr>
        <w:t xml:space="preserve"> </w:t>
      </w:r>
      <w:r w:rsidR="007B00D7" w:rsidRPr="00F05D66">
        <w:rPr>
          <w:rFonts w:ascii="Verdana" w:hAnsi="Verdana" w:cstheme="majorBidi"/>
        </w:rPr>
        <w:t>potential for racial profiling</w:t>
      </w:r>
      <w:r w:rsidR="001E18C3" w:rsidRPr="00F05D66">
        <w:rPr>
          <w:rFonts w:ascii="Verdana" w:hAnsi="Verdana" w:cstheme="majorBidi"/>
        </w:rPr>
        <w:t xml:space="preserve"> under the proposed Bill</w:t>
      </w:r>
      <w:r w:rsidR="000E087F" w:rsidRPr="00F05D66">
        <w:rPr>
          <w:rFonts w:ascii="Verdana" w:hAnsi="Verdana" w:cstheme="majorBidi"/>
        </w:rPr>
        <w:t xml:space="preserve"> have been raised by the NIHRC</w:t>
      </w:r>
      <w:r w:rsidR="00E90C8A" w:rsidRPr="00F05D66">
        <w:rPr>
          <w:rFonts w:ascii="Verdana" w:hAnsi="Verdana" w:cstheme="majorBidi"/>
        </w:rPr>
        <w:t xml:space="preserve"> </w:t>
      </w:r>
      <w:r w:rsidR="004F0EE2" w:rsidRPr="00F05D66">
        <w:rPr>
          <w:rFonts w:ascii="Verdana" w:hAnsi="Verdana" w:cstheme="majorBidi"/>
        </w:rPr>
        <w:t>in a</w:t>
      </w:r>
      <w:r w:rsidR="0027279B" w:rsidRPr="00F05D66">
        <w:rPr>
          <w:rFonts w:ascii="Verdana" w:hAnsi="Verdana" w:cstheme="majorBidi"/>
        </w:rPr>
        <w:t xml:space="preserve"> joint submission </w:t>
      </w:r>
      <w:r w:rsidR="004F0EE2" w:rsidRPr="00F05D66">
        <w:rPr>
          <w:rFonts w:ascii="Verdana" w:hAnsi="Verdana" w:cstheme="majorBidi"/>
        </w:rPr>
        <w:t xml:space="preserve">with the </w:t>
      </w:r>
      <w:r w:rsidR="0027279B" w:rsidRPr="00F05D66">
        <w:rPr>
          <w:rFonts w:ascii="Verdana" w:hAnsi="Verdana" w:cstheme="majorBidi"/>
        </w:rPr>
        <w:t xml:space="preserve">ECNI to the House of </w:t>
      </w:r>
      <w:r w:rsidR="00CC2DC2" w:rsidRPr="00F05D66">
        <w:rPr>
          <w:rFonts w:ascii="Verdana" w:hAnsi="Verdana" w:cstheme="majorBidi"/>
        </w:rPr>
        <w:t>Lords.</w:t>
      </w:r>
      <w:r w:rsidR="007B00D7" w:rsidRPr="53829189">
        <w:rPr>
          <w:rStyle w:val="FootnoteReference"/>
          <w:rFonts w:ascii="Verdana" w:hAnsi="Verdana" w:cstheme="majorBidi"/>
        </w:rPr>
        <w:footnoteReference w:id="87"/>
      </w:r>
    </w:p>
    <w:p w14:paraId="527307FB" w14:textId="77777777" w:rsidR="00F05D66" w:rsidRDefault="00F05D66" w:rsidP="00F05D66">
      <w:pPr>
        <w:pStyle w:val="ListParagraph"/>
        <w:rPr>
          <w:rFonts w:ascii="Verdana" w:hAnsi="Verdana" w:cs="Arial"/>
          <w:b/>
          <w:bCs/>
          <w:color w:val="232120"/>
        </w:rPr>
      </w:pPr>
    </w:p>
    <w:p w14:paraId="57171714" w14:textId="2FA046B4" w:rsidR="00D3379B" w:rsidRPr="00F05D66" w:rsidRDefault="00C66C17" w:rsidP="00915669">
      <w:pPr>
        <w:pStyle w:val="BasicParagraph"/>
        <w:numPr>
          <w:ilvl w:val="1"/>
          <w:numId w:val="17"/>
        </w:numPr>
        <w:suppressAutoHyphens/>
        <w:spacing w:line="276" w:lineRule="auto"/>
        <w:rPr>
          <w:rFonts w:ascii="Verdana" w:hAnsi="Verdana" w:cs="Arial"/>
          <w:color w:val="232120"/>
        </w:rPr>
      </w:pPr>
      <w:r w:rsidRPr="00F05D66">
        <w:rPr>
          <w:rFonts w:ascii="Verdana" w:hAnsi="Verdana" w:cs="Arial"/>
          <w:b/>
          <w:bCs/>
          <w:color w:val="232120"/>
        </w:rPr>
        <w:t>The Advisory Committee may want to ask the State Party</w:t>
      </w:r>
      <w:r w:rsidR="00D3379B" w:rsidRPr="00F05D66">
        <w:rPr>
          <w:rFonts w:ascii="Verdana" w:hAnsi="Verdana" w:cs="Arial"/>
          <w:b/>
          <w:bCs/>
          <w:color w:val="232120"/>
        </w:rPr>
        <w:t>:</w:t>
      </w:r>
    </w:p>
    <w:p w14:paraId="2BDD4C4F" w14:textId="77777777" w:rsidR="00D3379B" w:rsidRPr="00D3379B" w:rsidRDefault="00D3379B" w:rsidP="00D3379B">
      <w:pPr>
        <w:pStyle w:val="ListParagraph"/>
        <w:rPr>
          <w:rFonts w:ascii="Verdana" w:hAnsi="Verdana" w:cs="Arial"/>
          <w:b/>
          <w:bCs/>
          <w:color w:val="232120"/>
        </w:rPr>
      </w:pPr>
    </w:p>
    <w:p w14:paraId="11FB6D5D" w14:textId="674E9DB9" w:rsidR="00D3379B" w:rsidRDefault="00F34C2C" w:rsidP="00915669">
      <w:pPr>
        <w:pStyle w:val="ListParagraph"/>
        <w:numPr>
          <w:ilvl w:val="0"/>
          <w:numId w:val="6"/>
        </w:numPr>
        <w:spacing w:line="276" w:lineRule="auto"/>
        <w:rPr>
          <w:rFonts w:ascii="Verdana" w:hAnsi="Verdana" w:cs="Arial"/>
          <w:b/>
          <w:bCs/>
          <w:color w:val="232120"/>
        </w:rPr>
      </w:pPr>
      <w:r>
        <w:rPr>
          <w:rFonts w:ascii="Verdana" w:hAnsi="Verdana" w:cs="Arial"/>
          <w:b/>
          <w:bCs/>
          <w:color w:val="232120"/>
        </w:rPr>
        <w:t>how</w:t>
      </w:r>
      <w:r w:rsidR="00C318BA">
        <w:rPr>
          <w:rFonts w:ascii="Verdana" w:hAnsi="Verdana" w:cs="Arial"/>
          <w:b/>
          <w:bCs/>
          <w:color w:val="232120"/>
        </w:rPr>
        <w:t xml:space="preserve"> </w:t>
      </w:r>
      <w:r w:rsidR="00C66C17" w:rsidRPr="00D62DEB">
        <w:rPr>
          <w:rFonts w:ascii="Verdana" w:hAnsi="Verdana" w:cs="Arial"/>
          <w:b/>
          <w:bCs/>
          <w:color w:val="232120"/>
        </w:rPr>
        <w:t>it intends to ensure that any checks to verify identity and nationality on people travelling to the UK from Ireland are fully in complian</w:t>
      </w:r>
      <w:r w:rsidR="005503B8">
        <w:rPr>
          <w:rFonts w:ascii="Verdana" w:hAnsi="Verdana" w:cs="Arial"/>
          <w:b/>
          <w:bCs/>
          <w:color w:val="232120"/>
        </w:rPr>
        <w:t>t</w:t>
      </w:r>
      <w:r w:rsidR="00C66C17" w:rsidRPr="00D62DEB">
        <w:rPr>
          <w:rFonts w:ascii="Verdana" w:hAnsi="Verdana" w:cs="Arial"/>
          <w:b/>
          <w:bCs/>
          <w:color w:val="232120"/>
        </w:rPr>
        <w:t xml:space="preserve"> with international human rights standards</w:t>
      </w:r>
      <w:r w:rsidR="00D3379B">
        <w:rPr>
          <w:rFonts w:ascii="Verdana" w:hAnsi="Verdana" w:cs="Arial"/>
          <w:b/>
          <w:bCs/>
          <w:color w:val="232120"/>
        </w:rPr>
        <w:t>; and</w:t>
      </w:r>
    </w:p>
    <w:p w14:paraId="43657757" w14:textId="4A96B06F" w:rsidR="00C66C17" w:rsidRPr="00D62DEB" w:rsidRDefault="00C66C17" w:rsidP="00915669">
      <w:pPr>
        <w:pStyle w:val="ListParagraph"/>
        <w:numPr>
          <w:ilvl w:val="0"/>
          <w:numId w:val="6"/>
        </w:numPr>
        <w:spacing w:line="276" w:lineRule="auto"/>
        <w:rPr>
          <w:rFonts w:ascii="Verdana" w:hAnsi="Verdana" w:cs="Arial"/>
          <w:b/>
          <w:bCs/>
          <w:color w:val="232120"/>
        </w:rPr>
      </w:pPr>
      <w:r w:rsidRPr="00D62DEB">
        <w:rPr>
          <w:rFonts w:ascii="Verdana" w:hAnsi="Verdana" w:cs="Arial"/>
          <w:b/>
          <w:bCs/>
          <w:color w:val="232120"/>
        </w:rPr>
        <w:t xml:space="preserve">how it intends to implement effective measures to address the risk of racial profiling, ensuring it is clearly prohibited and that this is effectively communicated, </w:t>
      </w:r>
      <w:proofErr w:type="gramStart"/>
      <w:r w:rsidRPr="00D62DEB">
        <w:rPr>
          <w:rFonts w:ascii="Verdana" w:hAnsi="Verdana" w:cs="Arial"/>
          <w:b/>
          <w:bCs/>
          <w:color w:val="232120"/>
        </w:rPr>
        <w:t>monitored</w:t>
      </w:r>
      <w:proofErr w:type="gramEnd"/>
      <w:r w:rsidRPr="00D62DEB">
        <w:rPr>
          <w:rFonts w:ascii="Verdana" w:hAnsi="Verdana" w:cs="Arial"/>
          <w:b/>
          <w:bCs/>
          <w:color w:val="232120"/>
        </w:rPr>
        <w:t xml:space="preserve"> and enforced.</w:t>
      </w:r>
    </w:p>
    <w:p w14:paraId="01E6BCBE" w14:textId="27FE2B1C" w:rsidR="00847D46" w:rsidRPr="00D62DEB" w:rsidRDefault="00847D46" w:rsidP="004656A5">
      <w:pPr>
        <w:pStyle w:val="BasicParagraph"/>
        <w:suppressAutoHyphens/>
        <w:spacing w:line="276" w:lineRule="auto"/>
        <w:rPr>
          <w:rFonts w:ascii="Verdana" w:hAnsi="Verdana" w:cs="Arial"/>
          <w:b/>
          <w:bCs/>
          <w:color w:val="232120"/>
        </w:rPr>
      </w:pPr>
    </w:p>
    <w:p w14:paraId="67FD77B8" w14:textId="50C97D0B" w:rsidR="00847D46" w:rsidRPr="00C7595E" w:rsidRDefault="00BA7F26" w:rsidP="0057727A">
      <w:pPr>
        <w:pStyle w:val="Heading2"/>
        <w:rPr>
          <w:szCs w:val="24"/>
        </w:rPr>
      </w:pPr>
      <w:bookmarkStart w:id="18" w:name="_Toc97030909"/>
      <w:r w:rsidRPr="00C7595E">
        <w:rPr>
          <w:szCs w:val="24"/>
        </w:rPr>
        <w:t>EU Settlement Scheme</w:t>
      </w:r>
      <w:bookmarkEnd w:id="18"/>
    </w:p>
    <w:p w14:paraId="76291C87" w14:textId="77777777" w:rsidR="00847D46" w:rsidRPr="00D62DEB" w:rsidRDefault="00847D46" w:rsidP="004656A5">
      <w:pPr>
        <w:pStyle w:val="ListParagraph"/>
        <w:spacing w:line="276" w:lineRule="auto"/>
        <w:rPr>
          <w:rFonts w:ascii="Verdana" w:hAnsi="Verdana" w:cs="Arial"/>
          <w:b/>
          <w:bCs/>
          <w:color w:val="232120"/>
        </w:rPr>
      </w:pPr>
    </w:p>
    <w:p w14:paraId="17996D6E" w14:textId="7407C403" w:rsidR="00F05D66" w:rsidRPr="00F05D66" w:rsidRDefault="00375179" w:rsidP="00915669">
      <w:pPr>
        <w:pStyle w:val="BasicParagraph"/>
        <w:numPr>
          <w:ilvl w:val="1"/>
          <w:numId w:val="17"/>
        </w:numPr>
        <w:suppressAutoHyphens/>
        <w:spacing w:line="276" w:lineRule="auto"/>
        <w:rPr>
          <w:rFonts w:ascii="Verdana" w:hAnsi="Verdana" w:cs="Arial"/>
          <w:b/>
          <w:bCs/>
          <w:color w:val="232120"/>
        </w:rPr>
      </w:pPr>
      <w:r w:rsidRPr="00D62DEB">
        <w:rPr>
          <w:rFonts w:ascii="Verdana" w:hAnsi="Verdana" w:cs="YIUEB V+ Gotham"/>
        </w:rPr>
        <w:t xml:space="preserve">The EU Settlement Scheme </w:t>
      </w:r>
      <w:r w:rsidR="00053528">
        <w:rPr>
          <w:rFonts w:ascii="Verdana" w:hAnsi="Verdana" w:cs="YIUEB V+ Gotham"/>
        </w:rPr>
        <w:t>(EUSS)</w:t>
      </w:r>
      <w:r w:rsidRPr="00D62DEB">
        <w:rPr>
          <w:rFonts w:ascii="Verdana" w:hAnsi="Verdana" w:cs="YIUEB V+ Gotham"/>
        </w:rPr>
        <w:t xml:space="preserve"> was designed to protect the rights of EU and E</w:t>
      </w:r>
      <w:r w:rsidR="00E037A5" w:rsidRPr="53829189">
        <w:rPr>
          <w:rFonts w:ascii="Verdana" w:hAnsi="Verdana" w:cs="YIUEB V+ Gotham"/>
        </w:rPr>
        <w:t>uropean Economic Area (E</w:t>
      </w:r>
      <w:r w:rsidR="00146ADA" w:rsidRPr="53829189">
        <w:rPr>
          <w:rFonts w:ascii="Verdana" w:hAnsi="Verdana" w:cs="YIUEB V+ Gotham"/>
        </w:rPr>
        <w:t>EA)</w:t>
      </w:r>
      <w:r w:rsidRPr="00D62DEB">
        <w:rPr>
          <w:rFonts w:ascii="Verdana" w:hAnsi="Verdana" w:cs="YIUEB V+ Gotham"/>
        </w:rPr>
        <w:t xml:space="preserve"> citizens and their family members already living in the UK prior to 1 January 2021.</w:t>
      </w:r>
      <w:r w:rsidR="00F66DFA">
        <w:rPr>
          <w:rStyle w:val="FootnoteReference"/>
          <w:rFonts w:ascii="Verdana" w:hAnsi="Verdana" w:cs="YIUEB V+ Gotham"/>
        </w:rPr>
        <w:footnoteReference w:id="88"/>
      </w:r>
      <w:r w:rsidRPr="00D62DEB">
        <w:rPr>
          <w:rFonts w:ascii="Verdana" w:hAnsi="Verdana" w:cs="YIUEB V+ Gotham"/>
        </w:rPr>
        <w:t xml:space="preserve"> Applicants, and their families, can be granted either settled status or pre-settled status under the EUSS. For EU and EEA nationals with five years’ continuous residency in the UK, they will ordinarily be granted settled </w:t>
      </w:r>
      <w:r w:rsidR="000C5BE4" w:rsidRPr="00D62DEB">
        <w:rPr>
          <w:rFonts w:ascii="Verdana" w:hAnsi="Verdana" w:cs="YIUEB V+ Gotham"/>
        </w:rPr>
        <w:t>status,</w:t>
      </w:r>
      <w:r w:rsidRPr="00D62DEB">
        <w:rPr>
          <w:rFonts w:ascii="Verdana" w:hAnsi="Verdana" w:cs="YIUEB V+ Gotham"/>
        </w:rPr>
        <w:t xml:space="preserve"> which is indefinite leave to remain, while those with less than five years’ continuous residency will be granted pre-settled status, which is a temporary right to reside for five years. Pre-settled status allows the applicant to remain in the UK, subject to conditions, </w:t>
      </w:r>
      <w:proofErr w:type="gramStart"/>
      <w:r w:rsidRPr="00D62DEB">
        <w:rPr>
          <w:rFonts w:ascii="Verdana" w:hAnsi="Verdana" w:cs="YIUEB V+ Gotham"/>
        </w:rPr>
        <w:t>in order to</w:t>
      </w:r>
      <w:proofErr w:type="gramEnd"/>
      <w:r w:rsidRPr="00D62DEB">
        <w:rPr>
          <w:rFonts w:ascii="Verdana" w:hAnsi="Verdana" w:cs="YIUEB V+ Gotham"/>
        </w:rPr>
        <w:t xml:space="preserve"> fulfil the residency requirements to apply for settled status. EU, </w:t>
      </w:r>
      <w:proofErr w:type="gramStart"/>
      <w:r w:rsidRPr="00D62DEB">
        <w:rPr>
          <w:rFonts w:ascii="Verdana" w:hAnsi="Verdana" w:cs="YIUEB V+ Gotham"/>
        </w:rPr>
        <w:t>EEA</w:t>
      </w:r>
      <w:proofErr w:type="gramEnd"/>
      <w:r w:rsidRPr="00D62DEB">
        <w:rPr>
          <w:rFonts w:ascii="Verdana" w:hAnsi="Verdana" w:cs="YIUEB V+ Gotham"/>
        </w:rPr>
        <w:t xml:space="preserve"> and Swiss citizens who come to the UK from 1 January 2021 are subject to the UK’s points-based immigration system</w:t>
      </w:r>
      <w:r w:rsidR="000C5BE4" w:rsidRPr="00D62DEB">
        <w:rPr>
          <w:rFonts w:ascii="Verdana" w:hAnsi="Verdana" w:cs="YIUEB V+ Gotham"/>
        </w:rPr>
        <w:t>.</w:t>
      </w:r>
      <w:r w:rsidR="009D189A">
        <w:rPr>
          <w:rStyle w:val="FootnoteReference"/>
          <w:rFonts w:ascii="Verdana" w:hAnsi="Verdana" w:cs="YIUEB V+ Gotham"/>
        </w:rPr>
        <w:footnoteReference w:id="89"/>
      </w:r>
    </w:p>
    <w:p w14:paraId="68F7A9FD" w14:textId="77777777" w:rsidR="00F05D66" w:rsidRDefault="00F05D66" w:rsidP="00F05D66">
      <w:pPr>
        <w:pStyle w:val="BasicParagraph"/>
        <w:suppressAutoHyphens/>
        <w:spacing w:line="276" w:lineRule="auto"/>
        <w:ind w:left="720"/>
        <w:rPr>
          <w:rFonts w:ascii="Verdana" w:hAnsi="Verdana" w:cs="Arial"/>
          <w:b/>
          <w:bCs/>
          <w:color w:val="232120"/>
        </w:rPr>
      </w:pPr>
    </w:p>
    <w:p w14:paraId="5C0DC2A0" w14:textId="77777777" w:rsidR="00F05D66" w:rsidRPr="00F05D66" w:rsidRDefault="000C5BE4" w:rsidP="00915669">
      <w:pPr>
        <w:pStyle w:val="BasicParagraph"/>
        <w:numPr>
          <w:ilvl w:val="1"/>
          <w:numId w:val="17"/>
        </w:numPr>
        <w:suppressAutoHyphens/>
        <w:spacing w:line="276" w:lineRule="auto"/>
        <w:rPr>
          <w:rFonts w:ascii="Verdana" w:hAnsi="Verdana" w:cs="Arial"/>
          <w:b/>
          <w:bCs/>
          <w:color w:val="232120"/>
        </w:rPr>
      </w:pPr>
      <w:r w:rsidRPr="00F05D66">
        <w:rPr>
          <w:rFonts w:ascii="Verdana" w:hAnsi="Verdana" w:cs="YIUEB V+ Gotham"/>
        </w:rPr>
        <w:t xml:space="preserve">In July 2021, the House of Lords European Affairs Committee published a report on Citizens’ Rights </w:t>
      </w:r>
      <w:r w:rsidR="006F1842" w:rsidRPr="00F05D66">
        <w:rPr>
          <w:rFonts w:ascii="Verdana" w:hAnsi="Verdana" w:cs="YIUEB V+ Gotham"/>
        </w:rPr>
        <w:t>assessing</w:t>
      </w:r>
      <w:r w:rsidRPr="00F05D66">
        <w:rPr>
          <w:rFonts w:ascii="Verdana" w:hAnsi="Verdana" w:cs="YIUEB V+ Gotham"/>
        </w:rPr>
        <w:t xml:space="preserve"> the operation of the </w:t>
      </w:r>
      <w:r w:rsidR="00583D85" w:rsidRPr="00F05D66">
        <w:rPr>
          <w:rFonts w:ascii="Verdana" w:hAnsi="Verdana" w:cs="YIUEB V+ Gotham"/>
        </w:rPr>
        <w:t>EUSS</w:t>
      </w:r>
      <w:r w:rsidR="00F66DFA" w:rsidRPr="00F05D66">
        <w:rPr>
          <w:rFonts w:ascii="Verdana" w:hAnsi="Verdana" w:cs="YIUEB V+ Gotham"/>
        </w:rPr>
        <w:t xml:space="preserve">, expressing </w:t>
      </w:r>
      <w:r w:rsidRPr="00F05D66">
        <w:rPr>
          <w:rFonts w:ascii="Verdana" w:hAnsi="Verdana" w:cs="YIUEB V+ Gotham"/>
        </w:rPr>
        <w:t>concern that the absence of a physical document for those who had been granted settled status may prove problematic.</w:t>
      </w:r>
      <w:r w:rsidR="003F1EDB">
        <w:rPr>
          <w:rStyle w:val="FootnoteReference"/>
          <w:rFonts w:ascii="Verdana" w:hAnsi="Verdana" w:cs="YIUEB V+ Gotham"/>
        </w:rPr>
        <w:footnoteReference w:id="90"/>
      </w:r>
      <w:r w:rsidRPr="00F05D66">
        <w:rPr>
          <w:rFonts w:ascii="Verdana" w:hAnsi="Verdana" w:cs="YIUEB V+ Gotham"/>
        </w:rPr>
        <w:t xml:space="preserve"> The report also </w:t>
      </w:r>
      <w:r w:rsidR="00A354D3" w:rsidRPr="00F05D66">
        <w:rPr>
          <w:rFonts w:ascii="Verdana" w:hAnsi="Verdana" w:cs="YIUEB V+ Gotham"/>
        </w:rPr>
        <w:t xml:space="preserve">raised the issue of </w:t>
      </w:r>
      <w:r w:rsidRPr="00F05D66">
        <w:rPr>
          <w:rFonts w:ascii="Verdana" w:hAnsi="Verdana" w:cs="YIUEB V+ Gotham"/>
        </w:rPr>
        <w:t xml:space="preserve">the status of the </w:t>
      </w:r>
      <w:r w:rsidR="00053528" w:rsidRPr="00F05D66">
        <w:rPr>
          <w:rFonts w:ascii="Verdana" w:hAnsi="Verdana" w:cs="YIUEB V+ Gotham"/>
        </w:rPr>
        <w:t>two</w:t>
      </w:r>
      <w:r w:rsidRPr="00F05D66">
        <w:rPr>
          <w:rFonts w:ascii="Verdana" w:hAnsi="Verdana" w:cs="YIUEB V+ Gotham"/>
        </w:rPr>
        <w:t xml:space="preserve"> million people who had been granted pre-settled status and the fact that their future applications are subject to individualised deadlines which may create uncertainty.</w:t>
      </w:r>
      <w:r w:rsidR="003F1EDB">
        <w:rPr>
          <w:rStyle w:val="FootnoteReference"/>
          <w:rFonts w:ascii="Verdana" w:hAnsi="Verdana" w:cs="YIUEB V+ Gotham"/>
        </w:rPr>
        <w:footnoteReference w:id="91"/>
      </w:r>
      <w:r w:rsidRPr="00F05D66">
        <w:rPr>
          <w:rFonts w:ascii="Verdana" w:hAnsi="Verdana" w:cs="YIUEB V+ Gotham"/>
        </w:rPr>
        <w:t xml:space="preserve"> </w:t>
      </w:r>
      <w:r w:rsidR="00600839" w:rsidRPr="00F05D66">
        <w:rPr>
          <w:rFonts w:ascii="Verdana" w:hAnsi="Verdana" w:cs="YIUEB V+ Gotham"/>
        </w:rPr>
        <w:t xml:space="preserve">It </w:t>
      </w:r>
      <w:r w:rsidRPr="00F05D66">
        <w:rPr>
          <w:rFonts w:ascii="Verdana" w:hAnsi="Verdana" w:cs="YIUEB V+ Gotham"/>
        </w:rPr>
        <w:t xml:space="preserve">further highlighted the need to ensure greater clarity and certainty around late applicants to the </w:t>
      </w:r>
      <w:r w:rsidR="00583D85" w:rsidRPr="00F05D66">
        <w:rPr>
          <w:rFonts w:ascii="Verdana" w:hAnsi="Verdana" w:cs="YIUEB V+ Gotham"/>
        </w:rPr>
        <w:t>EUSS</w:t>
      </w:r>
      <w:r w:rsidRPr="00F05D66">
        <w:rPr>
          <w:rFonts w:ascii="Verdana" w:hAnsi="Verdana" w:cs="YIUEB V+ Gotham"/>
        </w:rPr>
        <w:t xml:space="preserve"> who may lose rights as a result of late applications.</w:t>
      </w:r>
      <w:r w:rsidR="003F1EDB">
        <w:rPr>
          <w:rStyle w:val="FootnoteReference"/>
          <w:rFonts w:ascii="Verdana" w:hAnsi="Verdana" w:cs="YIUEB V+ Gotham"/>
        </w:rPr>
        <w:footnoteReference w:id="92"/>
      </w:r>
    </w:p>
    <w:p w14:paraId="16F05FA6" w14:textId="77777777" w:rsidR="00F05D66" w:rsidRDefault="00F05D66" w:rsidP="00F05D66">
      <w:pPr>
        <w:pStyle w:val="ListParagraph"/>
        <w:rPr>
          <w:rFonts w:ascii="Verdana" w:hAnsi="Verdana" w:cs="YIUEB V+ Gotham"/>
        </w:rPr>
      </w:pPr>
    </w:p>
    <w:p w14:paraId="65BE167F" w14:textId="77777777" w:rsidR="00F05D66" w:rsidRDefault="00155F93" w:rsidP="00915669">
      <w:pPr>
        <w:pStyle w:val="BasicParagraph"/>
        <w:numPr>
          <w:ilvl w:val="1"/>
          <w:numId w:val="17"/>
        </w:numPr>
        <w:suppressAutoHyphens/>
        <w:spacing w:line="276" w:lineRule="auto"/>
        <w:rPr>
          <w:rFonts w:ascii="Verdana" w:hAnsi="Verdana" w:cs="Arial"/>
          <w:b/>
          <w:bCs/>
          <w:color w:val="232120"/>
        </w:rPr>
      </w:pPr>
      <w:r w:rsidRPr="00F05D66">
        <w:rPr>
          <w:rFonts w:ascii="Verdana" w:hAnsi="Verdana" w:cs="YIUEB V+ Gotham"/>
        </w:rPr>
        <w:t>The UK government confirmed that late applications would be accepted where there are reasonable grounds</w:t>
      </w:r>
      <w:r w:rsidR="00EE611C" w:rsidRPr="00F05D66">
        <w:rPr>
          <w:rFonts w:ascii="Verdana" w:hAnsi="Verdana" w:cs="YIUEB V+ Gotham"/>
        </w:rPr>
        <w:t xml:space="preserve"> for failing to meet the deadline</w:t>
      </w:r>
      <w:r w:rsidR="00EE611C" w:rsidRPr="00D62DEB">
        <w:rPr>
          <w:rStyle w:val="FootnoteReference"/>
          <w:rFonts w:ascii="Verdana" w:hAnsi="Verdana" w:cs="YIUEB V+ Gotham"/>
        </w:rPr>
        <w:footnoteReference w:id="93"/>
      </w:r>
      <w:r w:rsidR="00715E2B" w:rsidRPr="00F05D66">
        <w:rPr>
          <w:rFonts w:ascii="Verdana" w:hAnsi="Verdana" w:cs="YIUEB V+ Gotham"/>
        </w:rPr>
        <w:t xml:space="preserve"> and that applicants making late applications will continue to have their rights protected while their application is determined.</w:t>
      </w:r>
      <w:r w:rsidR="00715E2B" w:rsidRPr="00D62DEB">
        <w:rPr>
          <w:rStyle w:val="FootnoteReference"/>
          <w:rFonts w:ascii="Verdana" w:hAnsi="Verdana" w:cs="YIUEB V+ Gotham"/>
        </w:rPr>
        <w:footnoteReference w:id="94"/>
      </w:r>
      <w:r w:rsidR="00344453" w:rsidRPr="00F05D66">
        <w:rPr>
          <w:rFonts w:ascii="Verdana" w:hAnsi="Verdana" w:cs="YIUEB V+ Gotham"/>
        </w:rPr>
        <w:t xml:space="preserve"> </w:t>
      </w:r>
      <w:proofErr w:type="gramStart"/>
      <w:r w:rsidR="00344453" w:rsidRPr="00F05D66">
        <w:rPr>
          <w:rFonts w:ascii="Verdana" w:hAnsi="Verdana" w:cs="YIUEB V+ Gotham"/>
        </w:rPr>
        <w:t>A number of</w:t>
      </w:r>
      <w:proofErr w:type="gramEnd"/>
      <w:r w:rsidR="00344453" w:rsidRPr="00F05D66">
        <w:rPr>
          <w:rFonts w:ascii="Verdana" w:hAnsi="Verdana" w:cs="YIUEB V+ Gotham"/>
        </w:rPr>
        <w:t xml:space="preserve"> other issues that arose regarding the implementation of the scheme (</w:t>
      </w:r>
      <w:r w:rsidR="00120B07" w:rsidRPr="00F05D66">
        <w:rPr>
          <w:rFonts w:ascii="Verdana" w:hAnsi="Verdana" w:cs="YIUEB V+ Gotham"/>
        </w:rPr>
        <w:t>such as applications from children and young people) have been resolved.</w:t>
      </w:r>
      <w:r w:rsidR="00517BD9" w:rsidRPr="00F05D66">
        <w:rPr>
          <w:rFonts w:ascii="Verdana" w:hAnsi="Verdana" w:cs="YIUEB V+ Gotham"/>
        </w:rPr>
        <w:t xml:space="preserve"> </w:t>
      </w:r>
      <w:r w:rsidR="001F5A4E" w:rsidRPr="00F05D66">
        <w:rPr>
          <w:rFonts w:ascii="Verdana" w:hAnsi="Verdana" w:cs="YIUEB V+ Gotham"/>
        </w:rPr>
        <w:t>The Independent Monitoring Authority for the Citizens Rights Agreements has called on the Home Office to provide further clarity on the rights of EU citizens whose applications are pending or who have made late applications to ensure public bodies and individuals concerned are aware of and can vindicate their rights.</w:t>
      </w:r>
      <w:r w:rsidR="001F5A4E" w:rsidRPr="00D62DEB">
        <w:rPr>
          <w:rStyle w:val="FootnoteReference"/>
          <w:rFonts w:ascii="Verdana" w:hAnsi="Verdana" w:cs="YIUEB V+ Gotham"/>
        </w:rPr>
        <w:footnoteReference w:id="95"/>
      </w:r>
    </w:p>
    <w:p w14:paraId="487203A4" w14:textId="77777777" w:rsidR="00F05D66" w:rsidRDefault="00F05D66" w:rsidP="00F05D66">
      <w:pPr>
        <w:pStyle w:val="ListParagraph"/>
        <w:rPr>
          <w:rFonts w:ascii="Verdana" w:hAnsi="Verdana" w:cs="YIUEB V+ Gotham"/>
        </w:rPr>
      </w:pPr>
    </w:p>
    <w:p w14:paraId="5743A71E" w14:textId="77777777" w:rsidR="00F05D66" w:rsidRDefault="007D5CCF" w:rsidP="00915669">
      <w:pPr>
        <w:pStyle w:val="BasicParagraph"/>
        <w:numPr>
          <w:ilvl w:val="1"/>
          <w:numId w:val="17"/>
        </w:numPr>
        <w:suppressAutoHyphens/>
        <w:spacing w:line="276" w:lineRule="auto"/>
        <w:rPr>
          <w:rFonts w:ascii="Verdana" w:hAnsi="Verdana" w:cs="Arial"/>
          <w:b/>
          <w:bCs/>
          <w:color w:val="232120"/>
        </w:rPr>
      </w:pPr>
      <w:r w:rsidRPr="00F05D66">
        <w:rPr>
          <w:rFonts w:ascii="Verdana" w:hAnsi="Verdana" w:cs="YIUEB V+ Gotham"/>
        </w:rPr>
        <w:t>The NIHRC is aware that applicants</w:t>
      </w:r>
      <w:r w:rsidR="00E34525" w:rsidRPr="00F05D66">
        <w:rPr>
          <w:rFonts w:ascii="Verdana" w:hAnsi="Verdana" w:cs="YIUEB V+ Gotham"/>
        </w:rPr>
        <w:t xml:space="preserve"> to the </w:t>
      </w:r>
      <w:r w:rsidR="00583D85" w:rsidRPr="00F05D66">
        <w:rPr>
          <w:rFonts w:ascii="Verdana" w:hAnsi="Verdana" w:cs="YIUEB V+ Gotham"/>
        </w:rPr>
        <w:t>EUSS</w:t>
      </w:r>
      <w:r w:rsidR="00E34525" w:rsidRPr="00F05D66">
        <w:rPr>
          <w:rFonts w:ascii="Verdana" w:hAnsi="Verdana" w:cs="YIUEB V+ Gotham"/>
        </w:rPr>
        <w:t xml:space="preserve"> with pending criminal proceedings have been experiencing delays in getting their applications processed and decisions are being deferred until the criminal process is resolved.</w:t>
      </w:r>
      <w:r w:rsidR="00E34525" w:rsidRPr="00D62DEB">
        <w:rPr>
          <w:rStyle w:val="FootnoteReference"/>
          <w:rFonts w:ascii="Verdana" w:hAnsi="Verdana" w:cs="YIUEB V+ Gotham"/>
        </w:rPr>
        <w:footnoteReference w:id="96"/>
      </w:r>
      <w:r w:rsidR="00E34525" w:rsidRPr="00F05D66">
        <w:rPr>
          <w:rStyle w:val="A91"/>
          <w:rFonts w:ascii="Verdana" w:hAnsi="Verdana"/>
          <w:sz w:val="24"/>
          <w:szCs w:val="24"/>
        </w:rPr>
        <w:t xml:space="preserve"> </w:t>
      </w:r>
      <w:r w:rsidR="00E34525" w:rsidRPr="00F05D66">
        <w:rPr>
          <w:rFonts w:ascii="Verdana" w:hAnsi="Verdana" w:cs="YIUEB V+ Gotham"/>
        </w:rPr>
        <w:t>In the case of pending criminal proceedings, the delays in the criminal justice system are well documented and have been exacerbated by the COVID-19 pandemic, meaning applicants can face extensive delays in getting their status confirmed.</w:t>
      </w:r>
      <w:r w:rsidR="00E34525" w:rsidRPr="00D62DEB">
        <w:rPr>
          <w:rStyle w:val="FootnoteReference"/>
          <w:rFonts w:ascii="Verdana" w:hAnsi="Verdana" w:cs="YIUEB V+ Gotham"/>
        </w:rPr>
        <w:footnoteReference w:id="97"/>
      </w:r>
      <w:r w:rsidR="0010161A" w:rsidRPr="00F05D66">
        <w:rPr>
          <w:rFonts w:ascii="Verdana" w:hAnsi="Verdana" w:cs="YIUEB V+ Gotham"/>
        </w:rPr>
        <w:t xml:space="preserve"> </w:t>
      </w:r>
    </w:p>
    <w:p w14:paraId="596F15A5" w14:textId="77777777" w:rsidR="00F05D66" w:rsidRDefault="00F05D66" w:rsidP="00F05D66">
      <w:pPr>
        <w:pStyle w:val="ListParagraph"/>
        <w:rPr>
          <w:rFonts w:ascii="Verdana" w:hAnsi="Verdana" w:cs="YIUEB V+ Gotham"/>
        </w:rPr>
      </w:pPr>
    </w:p>
    <w:p w14:paraId="7D07D294" w14:textId="77777777" w:rsidR="00224219" w:rsidRDefault="0020259A" w:rsidP="00915669">
      <w:pPr>
        <w:pStyle w:val="BasicParagraph"/>
        <w:numPr>
          <w:ilvl w:val="1"/>
          <w:numId w:val="17"/>
        </w:numPr>
        <w:suppressAutoHyphens/>
        <w:spacing w:line="276" w:lineRule="auto"/>
        <w:rPr>
          <w:rFonts w:ascii="Verdana" w:hAnsi="Verdana" w:cs="Arial"/>
          <w:b/>
          <w:bCs/>
          <w:color w:val="232120"/>
        </w:rPr>
      </w:pPr>
      <w:r w:rsidRPr="00F05D66">
        <w:rPr>
          <w:rFonts w:ascii="Verdana" w:hAnsi="Verdana" w:cs="YIUEB V+ Gotham"/>
        </w:rPr>
        <w:t>In July 2021, the</w:t>
      </w:r>
      <w:r w:rsidR="00EF09BC" w:rsidRPr="00F05D66">
        <w:rPr>
          <w:rFonts w:ascii="Verdana" w:hAnsi="Verdana" w:cs="YIUEB V+ Gotham"/>
        </w:rPr>
        <w:t xml:space="preserve"> NIHRC </w:t>
      </w:r>
      <w:r w:rsidR="0085750E" w:rsidRPr="00F05D66">
        <w:rPr>
          <w:rFonts w:ascii="Verdana" w:hAnsi="Verdana" w:cs="YIUEB V+ Gotham"/>
        </w:rPr>
        <w:t>raised concerns with</w:t>
      </w:r>
      <w:r w:rsidR="00EF09BC" w:rsidRPr="00F05D66">
        <w:rPr>
          <w:rFonts w:ascii="Verdana" w:hAnsi="Verdana" w:cs="YIUEB V+ Gotham"/>
        </w:rPr>
        <w:t xml:space="preserve"> the NI Housing Executive following evidence of </w:t>
      </w:r>
      <w:r w:rsidR="0085750E" w:rsidRPr="00F05D66">
        <w:rPr>
          <w:rFonts w:ascii="Verdana" w:hAnsi="Verdana" w:cs="YIUEB V+ Gotham"/>
        </w:rPr>
        <w:t>denial of</w:t>
      </w:r>
      <w:r w:rsidR="00EF09BC" w:rsidRPr="00F05D66">
        <w:rPr>
          <w:rFonts w:ascii="Verdana" w:hAnsi="Verdana" w:cs="YIUEB V+ Gotham"/>
        </w:rPr>
        <w:t xml:space="preserve"> housing executive benefit on account of EU Settlement </w:t>
      </w:r>
      <w:r w:rsidR="0085750E" w:rsidRPr="00F05D66">
        <w:rPr>
          <w:rFonts w:ascii="Verdana" w:hAnsi="Verdana" w:cs="YIUEB V+ Gotham"/>
        </w:rPr>
        <w:t>status</w:t>
      </w:r>
      <w:r w:rsidR="00EF09BC" w:rsidRPr="00F05D66">
        <w:rPr>
          <w:rFonts w:ascii="Verdana" w:hAnsi="Verdana" w:cs="YIUEB V+ Gotham"/>
        </w:rPr>
        <w:t xml:space="preserve"> not being regularised</w:t>
      </w:r>
      <w:r w:rsidR="00A72086" w:rsidRPr="00F05D66">
        <w:rPr>
          <w:rFonts w:ascii="Verdana" w:hAnsi="Verdana" w:cs="YIUEB V+ Gotham"/>
        </w:rPr>
        <w:t>.</w:t>
      </w:r>
      <w:r w:rsidR="00A72086" w:rsidRPr="00F62849">
        <w:rPr>
          <w:rStyle w:val="FootnoteReference"/>
          <w:rFonts w:ascii="Verdana" w:hAnsi="Verdana" w:cs="YIUEB V+ Gotham"/>
        </w:rPr>
        <w:footnoteReference w:id="98"/>
      </w:r>
      <w:r w:rsidR="00EF09BC" w:rsidRPr="00F05D66">
        <w:rPr>
          <w:rFonts w:ascii="Verdana" w:hAnsi="Verdana" w:cs="YIUEB V+ Gotham"/>
        </w:rPr>
        <w:t xml:space="preserve"> </w:t>
      </w:r>
      <w:r w:rsidR="006E5C7B" w:rsidRPr="00F05D66">
        <w:rPr>
          <w:rFonts w:ascii="Verdana" w:hAnsi="Verdana" w:cs="YIUEB V+ Gotham"/>
        </w:rPr>
        <w:t>The NIHRC and the ECNI have also written to the Independent Monitoring Authority to raise concerns about access to housing benefit and individuals being denied employment, despite being able to prove that they had applied for settled status.</w:t>
      </w:r>
      <w:r w:rsidR="006E5C7B" w:rsidRPr="00F62849">
        <w:rPr>
          <w:rStyle w:val="FootnoteReference"/>
          <w:rFonts w:ascii="Verdana" w:hAnsi="Verdana" w:cs="YIUEB V+ Gotham"/>
        </w:rPr>
        <w:footnoteReference w:id="99"/>
      </w:r>
    </w:p>
    <w:p w14:paraId="30266204" w14:textId="77777777" w:rsidR="00224219" w:rsidRDefault="00224219" w:rsidP="00224219">
      <w:pPr>
        <w:pStyle w:val="ListParagraph"/>
        <w:rPr>
          <w:rFonts w:ascii="Verdana" w:hAnsi="Verdana" w:cs="YIUEB V+ Gotham"/>
        </w:rPr>
      </w:pPr>
    </w:p>
    <w:p w14:paraId="3A9E7F9E" w14:textId="77777777" w:rsidR="00224219" w:rsidRPr="00224219" w:rsidRDefault="00DB3CFC" w:rsidP="00915669">
      <w:pPr>
        <w:pStyle w:val="BasicParagraph"/>
        <w:numPr>
          <w:ilvl w:val="1"/>
          <w:numId w:val="17"/>
        </w:numPr>
        <w:suppressAutoHyphens/>
        <w:spacing w:line="276" w:lineRule="auto"/>
        <w:rPr>
          <w:rStyle w:val="A91"/>
          <w:rFonts w:ascii="Verdana" w:hAnsi="Verdana" w:cs="Arial"/>
          <w:b/>
          <w:bCs/>
          <w:color w:val="232120"/>
          <w:sz w:val="24"/>
          <w:szCs w:val="24"/>
        </w:rPr>
      </w:pPr>
      <w:r w:rsidRPr="00224219">
        <w:rPr>
          <w:rFonts w:ascii="Verdana" w:hAnsi="Verdana" w:cs="YIUEB V+ Gotham"/>
        </w:rPr>
        <w:t xml:space="preserve">Under the </w:t>
      </w:r>
      <w:r w:rsidR="007D5CCF" w:rsidRPr="00224219">
        <w:rPr>
          <w:rFonts w:ascii="Verdana" w:hAnsi="Verdana" w:cs="YIUEB V+ Gotham"/>
        </w:rPr>
        <w:t xml:space="preserve">Access to </w:t>
      </w:r>
      <w:r w:rsidRPr="00224219">
        <w:rPr>
          <w:rFonts w:ascii="Verdana" w:hAnsi="Verdana" w:cs="YIUEB V+ Gotham"/>
        </w:rPr>
        <w:t>Universal Credit</w:t>
      </w:r>
      <w:r w:rsidR="007D5CCF" w:rsidRPr="00224219">
        <w:rPr>
          <w:rFonts w:ascii="Verdana" w:hAnsi="Verdana" w:cs="YIUEB V+ Gotham"/>
        </w:rPr>
        <w:t>,</w:t>
      </w:r>
      <w:r w:rsidRPr="00224219">
        <w:rPr>
          <w:rFonts w:ascii="Verdana" w:hAnsi="Verdana" w:cs="YIUEB V+ Gotham"/>
        </w:rPr>
        <w:t xml:space="preserve"> </w:t>
      </w:r>
      <w:r w:rsidR="007D5CCF" w:rsidRPr="00224219">
        <w:rPr>
          <w:rFonts w:ascii="Verdana" w:hAnsi="Verdana" w:cs="YIUEB V+ Gotham"/>
        </w:rPr>
        <w:t>a social security</w:t>
      </w:r>
      <w:r w:rsidRPr="00224219">
        <w:rPr>
          <w:rFonts w:ascii="Verdana" w:hAnsi="Verdana" w:cs="YIUEB V+ Gotham"/>
        </w:rPr>
        <w:t xml:space="preserve"> benefit</w:t>
      </w:r>
      <w:r w:rsidR="007D5CCF" w:rsidRPr="00224219">
        <w:rPr>
          <w:rFonts w:ascii="Verdana" w:hAnsi="Verdana" w:cs="YIUEB V+ Gotham"/>
        </w:rPr>
        <w:t>,</w:t>
      </w:r>
      <w:r w:rsidRPr="00224219">
        <w:rPr>
          <w:rFonts w:ascii="Verdana" w:hAnsi="Verdana" w:cs="YIUEB V+ Gotham"/>
        </w:rPr>
        <w:t xml:space="preserve"> is limited to applicants who are habitually resident in the </w:t>
      </w:r>
      <w:r w:rsidR="007356FE" w:rsidRPr="00224219">
        <w:rPr>
          <w:rFonts w:ascii="Verdana" w:hAnsi="Verdana" w:cs="YIUEB V+ Gotham"/>
        </w:rPr>
        <w:t>UK,</w:t>
      </w:r>
      <w:r w:rsidRPr="00224219">
        <w:rPr>
          <w:rFonts w:ascii="Verdana" w:hAnsi="Verdana" w:cs="YIUEB V+ Gotham"/>
        </w:rPr>
        <w:t xml:space="preserve"> </w:t>
      </w:r>
      <w:r w:rsidR="007D5CCF" w:rsidRPr="00224219">
        <w:rPr>
          <w:rFonts w:ascii="Verdana" w:hAnsi="Verdana" w:cs="YIUEB V+ Gotham"/>
        </w:rPr>
        <w:t>thereby</w:t>
      </w:r>
      <w:r w:rsidRPr="00224219">
        <w:rPr>
          <w:rFonts w:ascii="Verdana" w:hAnsi="Verdana" w:cs="YIUEB V+ Gotham"/>
        </w:rPr>
        <w:t xml:space="preserve"> </w:t>
      </w:r>
      <w:r w:rsidR="007D5CCF" w:rsidRPr="00224219">
        <w:rPr>
          <w:rFonts w:ascii="Verdana" w:hAnsi="Verdana" w:cs="YIUEB V+ Gotham"/>
        </w:rPr>
        <w:t xml:space="preserve">excluding </w:t>
      </w:r>
      <w:r w:rsidRPr="00224219">
        <w:rPr>
          <w:rFonts w:ascii="Verdana" w:hAnsi="Verdana" w:cs="YIUEB V+ Gotham"/>
        </w:rPr>
        <w:t>people with pre-settled status.</w:t>
      </w:r>
      <w:r w:rsidR="0006058D" w:rsidRPr="00F62849">
        <w:rPr>
          <w:rStyle w:val="FootnoteReference"/>
          <w:rFonts w:ascii="Verdana" w:hAnsi="Verdana" w:cs="YIUEB V+ Gotham"/>
        </w:rPr>
        <w:footnoteReference w:id="100"/>
      </w:r>
      <w:r w:rsidR="0006058D" w:rsidRPr="00224219">
        <w:rPr>
          <w:rStyle w:val="A91"/>
          <w:rFonts w:ascii="Verdana" w:hAnsi="Verdana"/>
          <w:sz w:val="24"/>
          <w:szCs w:val="24"/>
        </w:rPr>
        <w:t xml:space="preserve"> </w:t>
      </w:r>
      <w:r w:rsidRPr="00224219">
        <w:rPr>
          <w:rFonts w:ascii="Verdana" w:hAnsi="Verdana" w:cs="YIUEB V+ Gotham"/>
        </w:rPr>
        <w:t xml:space="preserve">A </w:t>
      </w:r>
      <w:r w:rsidR="007D5CCF" w:rsidRPr="00224219">
        <w:rPr>
          <w:rFonts w:ascii="Verdana" w:hAnsi="Verdana" w:cs="YIUEB V+ Gotham"/>
        </w:rPr>
        <w:t xml:space="preserve">legal </w:t>
      </w:r>
      <w:r w:rsidRPr="00224219">
        <w:rPr>
          <w:rFonts w:ascii="Verdana" w:hAnsi="Verdana" w:cs="YIUEB V+ Gotham"/>
        </w:rPr>
        <w:t>challenge</w:t>
      </w:r>
      <w:r w:rsidR="007D5CCF" w:rsidRPr="00224219">
        <w:rPr>
          <w:rFonts w:ascii="Verdana" w:hAnsi="Verdana" w:cs="YIUEB V+ Gotham"/>
        </w:rPr>
        <w:t xml:space="preserve">, </w:t>
      </w:r>
      <w:r w:rsidRPr="00224219">
        <w:rPr>
          <w:rFonts w:ascii="Verdana" w:hAnsi="Verdana" w:cs="YIUEB V+ Gotham"/>
        </w:rPr>
        <w:t>brought by a woman who had left a violent relationship and was refused access to Universal Credit before the end of the transition period despite not having the means to support herself or her children</w:t>
      </w:r>
      <w:r w:rsidR="007D5CCF" w:rsidRPr="00224219">
        <w:rPr>
          <w:rFonts w:ascii="Verdana" w:hAnsi="Verdana" w:cs="YIUEB V+ Gotham"/>
        </w:rPr>
        <w:t xml:space="preserve"> was </w:t>
      </w:r>
      <w:r w:rsidR="00A354D3" w:rsidRPr="00224219">
        <w:rPr>
          <w:rFonts w:ascii="Verdana" w:hAnsi="Verdana" w:cs="YIUEB V+ Gotham"/>
        </w:rPr>
        <w:t>referred</w:t>
      </w:r>
      <w:r w:rsidR="007D5CCF" w:rsidRPr="00224219">
        <w:rPr>
          <w:rFonts w:ascii="Verdana" w:hAnsi="Verdana" w:cs="YIUEB V+ Gotham"/>
        </w:rPr>
        <w:t xml:space="preserve"> to the CJEU in 2021</w:t>
      </w:r>
      <w:r w:rsidRPr="00224219">
        <w:rPr>
          <w:rFonts w:ascii="Verdana" w:hAnsi="Verdana" w:cs="YIUEB V+ Gotham"/>
        </w:rPr>
        <w:t>.</w:t>
      </w:r>
      <w:r w:rsidR="0006058D" w:rsidRPr="00F62849">
        <w:rPr>
          <w:rStyle w:val="FootnoteReference"/>
          <w:rFonts w:ascii="Verdana" w:hAnsi="Verdana" w:cs="YIUEB V+ Gotham"/>
        </w:rPr>
        <w:footnoteReference w:id="101"/>
      </w:r>
      <w:r w:rsidR="0006058D" w:rsidRPr="00224219">
        <w:rPr>
          <w:rStyle w:val="A91"/>
          <w:rFonts w:ascii="Verdana" w:hAnsi="Verdana"/>
          <w:sz w:val="24"/>
          <w:szCs w:val="24"/>
        </w:rPr>
        <w:t xml:space="preserve"> </w:t>
      </w:r>
      <w:r w:rsidR="004737AA" w:rsidRPr="00224219">
        <w:rPr>
          <w:rFonts w:ascii="Verdana" w:hAnsi="Verdana" w:cs="YIUEB V+ Gotham"/>
        </w:rPr>
        <w:t xml:space="preserve">In considering </w:t>
      </w:r>
      <w:r w:rsidRPr="00224219">
        <w:rPr>
          <w:rFonts w:ascii="Verdana" w:hAnsi="Verdana" w:cs="YIUEB V+ Gotham"/>
        </w:rPr>
        <w:t>the right</w:t>
      </w:r>
      <w:r w:rsidR="004737AA" w:rsidRPr="00224219">
        <w:rPr>
          <w:rFonts w:ascii="Verdana" w:hAnsi="Verdana" w:cs="YIUEB V+ Gotham"/>
        </w:rPr>
        <w:t>s</w:t>
      </w:r>
      <w:r w:rsidRPr="00224219">
        <w:rPr>
          <w:rFonts w:ascii="Verdana" w:hAnsi="Verdana" w:cs="YIUEB V+ Gotham"/>
        </w:rPr>
        <w:t xml:space="preserve"> to human dignity</w:t>
      </w:r>
      <w:r w:rsidR="0006058D" w:rsidRPr="00224219">
        <w:rPr>
          <w:rFonts w:ascii="Verdana" w:hAnsi="Verdana" w:cs="YIUEB V+ Gotham"/>
        </w:rPr>
        <w:t>,</w:t>
      </w:r>
      <w:r w:rsidR="0006058D" w:rsidRPr="00F62849">
        <w:rPr>
          <w:rStyle w:val="FootnoteReference"/>
          <w:rFonts w:ascii="Verdana" w:hAnsi="Verdana" w:cs="YIUEB V+ Gotham"/>
        </w:rPr>
        <w:footnoteReference w:id="102"/>
      </w:r>
      <w:r w:rsidR="0006058D" w:rsidRPr="00224219">
        <w:rPr>
          <w:rFonts w:ascii="Verdana" w:hAnsi="Verdana" w:cs="YIUEB V+ Gotham"/>
        </w:rPr>
        <w:t xml:space="preserve"> </w:t>
      </w:r>
      <w:r w:rsidRPr="00224219">
        <w:rPr>
          <w:rStyle w:val="A91"/>
          <w:rFonts w:ascii="Verdana" w:hAnsi="Verdana"/>
          <w:sz w:val="24"/>
          <w:szCs w:val="24"/>
        </w:rPr>
        <w:t xml:space="preserve"> </w:t>
      </w:r>
      <w:r w:rsidRPr="00224219">
        <w:rPr>
          <w:rFonts w:ascii="Verdana" w:hAnsi="Verdana" w:cs="YIUEB V+ Gotham"/>
        </w:rPr>
        <w:t>private and family lif</w:t>
      </w:r>
      <w:r w:rsidR="0006058D" w:rsidRPr="00224219">
        <w:rPr>
          <w:rFonts w:ascii="Verdana" w:hAnsi="Verdana" w:cs="YIUEB V+ Gotham"/>
        </w:rPr>
        <w:t>e</w:t>
      </w:r>
      <w:r w:rsidR="008C2437" w:rsidRPr="00224219">
        <w:rPr>
          <w:rFonts w:ascii="Verdana" w:hAnsi="Verdana" w:cs="YIUEB V+ Gotham"/>
        </w:rPr>
        <w:t>,</w:t>
      </w:r>
      <w:r w:rsidR="0006058D" w:rsidRPr="00F62849">
        <w:rPr>
          <w:rStyle w:val="FootnoteReference"/>
          <w:rFonts w:ascii="Verdana" w:hAnsi="Verdana" w:cs="YIUEB V+ Gotham"/>
        </w:rPr>
        <w:footnoteReference w:id="103"/>
      </w:r>
      <w:r w:rsidRPr="00224219">
        <w:rPr>
          <w:rStyle w:val="A91"/>
          <w:rFonts w:ascii="Verdana" w:hAnsi="Verdana"/>
          <w:sz w:val="24"/>
          <w:szCs w:val="24"/>
        </w:rPr>
        <w:t xml:space="preserve"> </w:t>
      </w:r>
      <w:r w:rsidRPr="00224219">
        <w:rPr>
          <w:rFonts w:ascii="Verdana" w:hAnsi="Verdana" w:cs="YIUEB V+ Gotham"/>
        </w:rPr>
        <w:t>and the rights of the child</w:t>
      </w:r>
      <w:r w:rsidR="008C2437" w:rsidRPr="00224219">
        <w:rPr>
          <w:rFonts w:ascii="Verdana" w:hAnsi="Verdana" w:cs="YIUEB V+ Gotham"/>
        </w:rPr>
        <w:t>,</w:t>
      </w:r>
      <w:r w:rsidR="0006058D" w:rsidRPr="00F62849">
        <w:rPr>
          <w:rStyle w:val="FootnoteReference"/>
          <w:rFonts w:ascii="Verdana" w:hAnsi="Verdana" w:cs="YIUEB V+ Gotham"/>
        </w:rPr>
        <w:footnoteReference w:id="104"/>
      </w:r>
      <w:r w:rsidR="004737AA" w:rsidRPr="00224219">
        <w:rPr>
          <w:rFonts w:ascii="Verdana" w:hAnsi="Verdana" w:cs="YIUEB V+ Gotham"/>
        </w:rPr>
        <w:t xml:space="preserve"> the CJEU held that the authorities “</w:t>
      </w:r>
      <w:r w:rsidR="004737AA" w:rsidRPr="00224219">
        <w:rPr>
          <w:rFonts w:ascii="Verdana" w:hAnsi="Verdana" w:cs="Gotham Light"/>
        </w:rPr>
        <w:t>may refuse an application for social assistance, such as Universal Credit, only after ascertaining that that refusal does not expose the citizen concerned and the children for which he or she is responsible to an actual and current risk of violation of their fundamental right.”</w:t>
      </w:r>
      <w:r w:rsidR="004737AA" w:rsidRPr="00F15BB3">
        <w:rPr>
          <w:rStyle w:val="FootnoteReference"/>
          <w:rFonts w:ascii="Verdana" w:hAnsi="Verdana" w:cs="Gotham Light"/>
        </w:rPr>
        <w:footnoteReference w:id="105"/>
      </w:r>
      <w:r w:rsidRPr="00224219">
        <w:rPr>
          <w:rStyle w:val="A91"/>
          <w:rFonts w:ascii="Verdana" w:hAnsi="Verdana"/>
          <w:sz w:val="24"/>
          <w:szCs w:val="24"/>
        </w:rPr>
        <w:t xml:space="preserve"> </w:t>
      </w:r>
    </w:p>
    <w:p w14:paraId="6D929E06" w14:textId="77777777" w:rsidR="00224219" w:rsidRDefault="00224219" w:rsidP="00224219">
      <w:pPr>
        <w:pStyle w:val="ListParagraph"/>
        <w:rPr>
          <w:rFonts w:ascii="Verdana" w:hAnsi="Verdana" w:cs="Gotham Light"/>
        </w:rPr>
      </w:pPr>
    </w:p>
    <w:p w14:paraId="37CCE790" w14:textId="77777777" w:rsidR="00224219" w:rsidRPr="00224219" w:rsidRDefault="003B4B2A"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Gotham Light"/>
        </w:rPr>
        <w:t>In December 2021, the UK Supreme Court allowed an appeal by the Secretary of State in another case concerning pre-settled status and access to Universal Credit.</w:t>
      </w:r>
      <w:r w:rsidRPr="00D14F11">
        <w:rPr>
          <w:rStyle w:val="FootnoteReference"/>
          <w:rFonts w:ascii="Verdana" w:hAnsi="Verdana" w:cs="Gotham Light"/>
        </w:rPr>
        <w:footnoteReference w:id="106"/>
      </w:r>
      <w:r w:rsidRPr="00224219">
        <w:rPr>
          <w:rFonts w:ascii="Verdana" w:hAnsi="Verdana" w:cs="Gotham Light"/>
        </w:rPr>
        <w:t xml:space="preserve"> The applicants had originally argued that denying access to social assistance on the basis of their pre-settled status was discriminatory, since</w:t>
      </w:r>
      <w:r w:rsidR="005B1F83" w:rsidRPr="00224219">
        <w:rPr>
          <w:rFonts w:ascii="Verdana" w:hAnsi="Verdana" w:cs="Gotham Light"/>
        </w:rPr>
        <w:t>, under EU law,</w:t>
      </w:r>
      <w:r w:rsidRPr="00224219">
        <w:rPr>
          <w:rFonts w:ascii="Verdana" w:hAnsi="Verdana" w:cs="Gotham Light"/>
        </w:rPr>
        <w:t xml:space="preserve"> once a citizen is granted a right of residence in another Member State under the provisions of domestic law, they are entitled to the same benefit as a national of that state.</w:t>
      </w:r>
      <w:r>
        <w:rPr>
          <w:rStyle w:val="FootnoteReference"/>
          <w:rFonts w:ascii="Verdana" w:hAnsi="Verdana" w:cs="Gotham Light"/>
        </w:rPr>
        <w:footnoteReference w:id="107"/>
      </w:r>
      <w:r w:rsidRPr="00224219">
        <w:rPr>
          <w:rFonts w:ascii="Verdana" w:hAnsi="Verdana" w:cs="Gotham Light"/>
        </w:rPr>
        <w:t xml:space="preserve"> </w:t>
      </w:r>
      <w:r w:rsidR="004737AA" w:rsidRPr="00224219">
        <w:rPr>
          <w:rFonts w:ascii="Verdana" w:hAnsi="Verdana" w:cs="Gotham Light"/>
        </w:rPr>
        <w:t>T</w:t>
      </w:r>
      <w:r w:rsidR="00173942" w:rsidRPr="00224219">
        <w:rPr>
          <w:rFonts w:ascii="Verdana" w:hAnsi="Verdana" w:cs="Gotham Light"/>
        </w:rPr>
        <w:t>he</w:t>
      </w:r>
      <w:r w:rsidRPr="00224219">
        <w:rPr>
          <w:rFonts w:ascii="Verdana" w:hAnsi="Verdana" w:cs="Gotham Light"/>
        </w:rPr>
        <w:t xml:space="preserve"> Supreme Court found that the applicants’ residence did not comply with the Citizen</w:t>
      </w:r>
      <w:r w:rsidR="00964240" w:rsidRPr="00224219">
        <w:rPr>
          <w:rFonts w:ascii="Verdana" w:hAnsi="Verdana" w:cs="Gotham Light"/>
        </w:rPr>
        <w:t>s’ Rights</w:t>
      </w:r>
      <w:r w:rsidRPr="00224219">
        <w:rPr>
          <w:rFonts w:ascii="Verdana" w:hAnsi="Verdana" w:cs="Gotham Light"/>
        </w:rPr>
        <w:t xml:space="preserve"> Directive,</w:t>
      </w:r>
      <w:r>
        <w:rPr>
          <w:rStyle w:val="FootnoteReference"/>
          <w:rFonts w:ascii="Verdana" w:hAnsi="Verdana" w:cs="Gotham Light"/>
        </w:rPr>
        <w:footnoteReference w:id="108"/>
      </w:r>
      <w:r w:rsidRPr="00224219">
        <w:rPr>
          <w:rFonts w:ascii="Verdana" w:hAnsi="Verdana" w:cs="Gotham Light"/>
        </w:rPr>
        <w:t xml:space="preserve"> and as such, they could not rely on the EU principle of non-discrimination.</w:t>
      </w:r>
    </w:p>
    <w:p w14:paraId="4ADC612B" w14:textId="77777777" w:rsidR="00224219" w:rsidRDefault="00224219" w:rsidP="00224219">
      <w:pPr>
        <w:pStyle w:val="ListParagraph"/>
        <w:rPr>
          <w:rFonts w:ascii="Verdana" w:hAnsi="Verdana" w:cs="YIUEB V+ Gotham"/>
        </w:rPr>
      </w:pPr>
    </w:p>
    <w:p w14:paraId="4F4DA0AD" w14:textId="77777777" w:rsidR="00224219" w:rsidRPr="00224219" w:rsidRDefault="005E6F32"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YIUEB V+ Gotham"/>
        </w:rPr>
        <w:t>In October 2021, the Independent Monitoring Authority issued a pre action protocol letter to the Home Office noting that the automatic loss of residence status for EU citizens with pre-settled status who do not apply in time for EU Settled Status is a breach of the UK-EU Withdrawal Agreement and the EEA EFTA Separation Agreement.</w:t>
      </w:r>
      <w:r>
        <w:rPr>
          <w:rStyle w:val="FootnoteReference"/>
          <w:rFonts w:ascii="Verdana" w:hAnsi="Verdana" w:cs="YIUEB V+ Gotham"/>
        </w:rPr>
        <w:footnoteReference w:id="109"/>
      </w:r>
    </w:p>
    <w:p w14:paraId="7019E4E3" w14:textId="77777777" w:rsidR="00224219" w:rsidRDefault="00224219" w:rsidP="00224219">
      <w:pPr>
        <w:pStyle w:val="ListParagraph"/>
        <w:rPr>
          <w:rFonts w:ascii="Verdana" w:hAnsi="Verdana" w:cs="Arial"/>
          <w:b/>
          <w:bCs/>
          <w:color w:val="232120"/>
        </w:rPr>
      </w:pPr>
    </w:p>
    <w:p w14:paraId="3CD130E5" w14:textId="78542648" w:rsidR="005009BB" w:rsidRPr="00224219" w:rsidRDefault="00D447B8"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Arial"/>
          <w:b/>
          <w:bCs/>
          <w:color w:val="232120"/>
        </w:rPr>
        <w:t>The Advisory Committee may wish to recommend to the State Party that it</w:t>
      </w:r>
      <w:r w:rsidR="004475C5" w:rsidRPr="00224219">
        <w:rPr>
          <w:rFonts w:ascii="Verdana" w:hAnsi="Verdana" w:cs="Arial"/>
          <w:b/>
          <w:bCs/>
          <w:color w:val="232120"/>
        </w:rPr>
        <w:t>:</w:t>
      </w:r>
    </w:p>
    <w:p w14:paraId="404DA239" w14:textId="77777777" w:rsidR="005009BB" w:rsidRPr="005009BB" w:rsidRDefault="005009BB" w:rsidP="005009BB">
      <w:pPr>
        <w:pStyle w:val="ListParagraph"/>
        <w:rPr>
          <w:rFonts w:ascii="Verdana" w:hAnsi="Verdana" w:cs="Arial"/>
          <w:b/>
          <w:bCs/>
          <w:color w:val="232120"/>
        </w:rPr>
      </w:pPr>
    </w:p>
    <w:p w14:paraId="250E214B" w14:textId="1260CD59" w:rsidR="00E41E72" w:rsidRDefault="00E41E72" w:rsidP="00915669">
      <w:pPr>
        <w:pStyle w:val="ListParagraph"/>
        <w:numPr>
          <w:ilvl w:val="0"/>
          <w:numId w:val="7"/>
        </w:numPr>
        <w:spacing w:line="276" w:lineRule="auto"/>
        <w:rPr>
          <w:rFonts w:ascii="Verdana" w:hAnsi="Verdana" w:cs="Arial"/>
          <w:b/>
          <w:bCs/>
          <w:color w:val="232120"/>
        </w:rPr>
      </w:pPr>
      <w:r>
        <w:rPr>
          <w:rFonts w:ascii="Verdana" w:hAnsi="Verdana" w:cs="Arial"/>
          <w:b/>
          <w:bCs/>
          <w:color w:val="232120"/>
        </w:rPr>
        <w:t>take</w:t>
      </w:r>
      <w:r w:rsidR="00D447B8">
        <w:rPr>
          <w:rFonts w:ascii="Verdana" w:hAnsi="Verdana" w:cs="Arial"/>
          <w:b/>
          <w:bCs/>
          <w:color w:val="232120"/>
        </w:rPr>
        <w:t xml:space="preserve"> immediate action to resolve all outstanding applications under the EU Settlement Scheme and ensure that no</w:t>
      </w:r>
      <w:r w:rsidR="004475C5">
        <w:rPr>
          <w:rFonts w:ascii="Verdana" w:hAnsi="Verdana" w:cs="Arial"/>
          <w:b/>
          <w:bCs/>
          <w:color w:val="232120"/>
        </w:rPr>
        <w:t>-</w:t>
      </w:r>
      <w:r w:rsidR="00D447B8">
        <w:rPr>
          <w:rFonts w:ascii="Verdana" w:hAnsi="Verdana" w:cs="Arial"/>
          <w:b/>
          <w:bCs/>
          <w:color w:val="232120"/>
        </w:rPr>
        <w:t>on</w:t>
      </w:r>
      <w:r w:rsidR="004475C5">
        <w:rPr>
          <w:rFonts w:ascii="Verdana" w:hAnsi="Verdana" w:cs="Arial"/>
          <w:b/>
          <w:bCs/>
          <w:color w:val="232120"/>
        </w:rPr>
        <w:t>e</w:t>
      </w:r>
      <w:r w:rsidR="00D447B8">
        <w:rPr>
          <w:rFonts w:ascii="Verdana" w:hAnsi="Verdana" w:cs="Arial"/>
          <w:b/>
          <w:bCs/>
          <w:color w:val="232120"/>
        </w:rPr>
        <w:t xml:space="preserve"> is left without the ability to </w:t>
      </w:r>
      <w:r w:rsidR="00933307">
        <w:rPr>
          <w:rFonts w:ascii="Verdana" w:hAnsi="Verdana" w:cs="Arial"/>
          <w:b/>
          <w:bCs/>
          <w:color w:val="232120"/>
        </w:rPr>
        <w:t>prove</w:t>
      </w:r>
      <w:r w:rsidR="00D447B8">
        <w:rPr>
          <w:rFonts w:ascii="Verdana" w:hAnsi="Verdana" w:cs="Arial"/>
          <w:b/>
          <w:bCs/>
          <w:color w:val="232120"/>
        </w:rPr>
        <w:t xml:space="preserve"> their right to live and work in </w:t>
      </w:r>
      <w:r w:rsidR="0085750E">
        <w:rPr>
          <w:rFonts w:ascii="Verdana" w:hAnsi="Verdana" w:cs="Arial"/>
          <w:b/>
          <w:bCs/>
          <w:color w:val="232120"/>
        </w:rPr>
        <w:t>NI</w:t>
      </w:r>
      <w:r w:rsidR="00E93116">
        <w:rPr>
          <w:rFonts w:ascii="Verdana" w:hAnsi="Verdana" w:cs="Arial"/>
          <w:b/>
          <w:bCs/>
          <w:color w:val="232120"/>
        </w:rPr>
        <w:t>; and</w:t>
      </w:r>
      <w:r>
        <w:rPr>
          <w:rFonts w:ascii="Verdana" w:hAnsi="Verdana" w:cs="Arial"/>
          <w:b/>
          <w:bCs/>
          <w:color w:val="232120"/>
        </w:rPr>
        <w:t>,</w:t>
      </w:r>
    </w:p>
    <w:p w14:paraId="6655DB47" w14:textId="210E4642" w:rsidR="002F4AE6" w:rsidRDefault="00E41E72" w:rsidP="0057727A">
      <w:pPr>
        <w:pStyle w:val="ListParagraph"/>
        <w:numPr>
          <w:ilvl w:val="0"/>
          <w:numId w:val="7"/>
        </w:numPr>
        <w:spacing w:line="276" w:lineRule="auto"/>
        <w:rPr>
          <w:rFonts w:ascii="Verdana" w:hAnsi="Verdana" w:cs="Arial"/>
          <w:b/>
          <w:color w:val="232120"/>
        </w:rPr>
      </w:pPr>
      <w:r>
        <w:rPr>
          <w:rFonts w:ascii="Verdana" w:hAnsi="Verdana" w:cs="Arial"/>
          <w:b/>
          <w:bCs/>
          <w:color w:val="232120"/>
        </w:rPr>
        <w:t xml:space="preserve">ensure that all eligible vulnerable groups and </w:t>
      </w:r>
      <w:r w:rsidR="007117EF">
        <w:rPr>
          <w:rFonts w:ascii="Verdana" w:hAnsi="Verdana" w:cs="Arial"/>
          <w:b/>
          <w:bCs/>
          <w:color w:val="232120"/>
        </w:rPr>
        <w:t>individuals,</w:t>
      </w:r>
      <w:r>
        <w:rPr>
          <w:rFonts w:ascii="Verdana" w:hAnsi="Verdana" w:cs="Arial"/>
          <w:b/>
          <w:bCs/>
          <w:color w:val="232120"/>
        </w:rPr>
        <w:t xml:space="preserve"> who have not yet applied to the EUSS, are supported to regularise their status in an efficient and timely way.</w:t>
      </w:r>
      <w:bookmarkStart w:id="20" w:name="_Toc97030910"/>
    </w:p>
    <w:p w14:paraId="07DBDF92" w14:textId="77777777" w:rsidR="008016A5" w:rsidRPr="008016A5" w:rsidRDefault="008016A5" w:rsidP="008016A5">
      <w:pPr>
        <w:spacing w:line="276" w:lineRule="auto"/>
        <w:rPr>
          <w:rFonts w:ascii="Verdana" w:hAnsi="Verdana" w:cs="Arial"/>
          <w:b/>
          <w:bCs/>
          <w:color w:val="232120"/>
        </w:rPr>
      </w:pPr>
    </w:p>
    <w:p w14:paraId="7E683BED" w14:textId="25025A7B" w:rsidR="002E72EE" w:rsidRPr="000A395D" w:rsidRDefault="002E72EE" w:rsidP="0057727A">
      <w:pPr>
        <w:pStyle w:val="Heading2"/>
      </w:pPr>
      <w:proofErr w:type="spellStart"/>
      <w:r w:rsidRPr="000A395D">
        <w:t>Birthright</w:t>
      </w:r>
      <w:bookmarkEnd w:id="20"/>
      <w:proofErr w:type="spellEnd"/>
    </w:p>
    <w:p w14:paraId="6BC60574" w14:textId="77777777" w:rsidR="002E72EE" w:rsidRPr="00B5297F" w:rsidRDefault="002E72EE" w:rsidP="004656A5">
      <w:pPr>
        <w:pStyle w:val="ListParagraph"/>
        <w:spacing w:line="276" w:lineRule="auto"/>
        <w:rPr>
          <w:rFonts w:ascii="Verdana" w:hAnsi="Verdana" w:cs="Arial"/>
          <w:b/>
          <w:bCs/>
          <w:color w:val="232120"/>
        </w:rPr>
      </w:pPr>
    </w:p>
    <w:p w14:paraId="4B7AF0D6" w14:textId="46762ADE" w:rsidR="00224219" w:rsidRPr="00224219" w:rsidRDefault="00AE5B63" w:rsidP="00915669">
      <w:pPr>
        <w:pStyle w:val="BasicParagraph"/>
        <w:numPr>
          <w:ilvl w:val="1"/>
          <w:numId w:val="17"/>
        </w:numPr>
        <w:suppressAutoHyphens/>
        <w:spacing w:line="276" w:lineRule="auto"/>
        <w:rPr>
          <w:rFonts w:ascii="Verdana" w:hAnsi="Verdana" w:cs="Arial"/>
          <w:b/>
          <w:bCs/>
          <w:color w:val="232120"/>
        </w:rPr>
      </w:pPr>
      <w:r w:rsidRPr="00E62B07">
        <w:rPr>
          <w:rFonts w:ascii="Verdana" w:hAnsi="Verdana" w:cs="YIUEB V+ Gotham"/>
        </w:rPr>
        <w:t xml:space="preserve">In 2020, the Joint Committee of the </w:t>
      </w:r>
      <w:r w:rsidR="0085750E">
        <w:rPr>
          <w:rFonts w:ascii="Verdana" w:hAnsi="Verdana" w:cs="YIUEB V+ Gotham"/>
        </w:rPr>
        <w:t>NIHRC</w:t>
      </w:r>
      <w:r w:rsidR="00253805">
        <w:rPr>
          <w:rFonts w:ascii="Verdana" w:hAnsi="Verdana" w:cs="YIUEB V+ Gotham"/>
        </w:rPr>
        <w:t xml:space="preserve"> </w:t>
      </w:r>
      <w:r w:rsidRPr="00E62B07">
        <w:rPr>
          <w:rFonts w:ascii="Verdana" w:hAnsi="Verdana" w:cs="YIUEB V+ Gotham"/>
        </w:rPr>
        <w:t>and the Irish Human Rights and Equality Commission published a legal analysis and proposals for reform to enshrine in domestic law, the recognition in the Belfast (Good Friday) Agreement, of the “</w:t>
      </w:r>
      <w:proofErr w:type="spellStart"/>
      <w:r w:rsidRPr="00E62B07">
        <w:rPr>
          <w:rFonts w:ascii="Verdana" w:hAnsi="Verdana" w:cs="YIUEB V+ Gotham"/>
        </w:rPr>
        <w:t>birthright</w:t>
      </w:r>
      <w:proofErr w:type="spellEnd"/>
      <w:r w:rsidRPr="00E62B07">
        <w:rPr>
          <w:rFonts w:ascii="Verdana" w:hAnsi="Verdana" w:cs="YIUEB V+ Gotham"/>
        </w:rPr>
        <w:t xml:space="preserve"> of all the people of Northern Ireland to identify themselves and be accepted as Irish or British, </w:t>
      </w:r>
      <w:r w:rsidRPr="000F5EF0">
        <w:rPr>
          <w:rFonts w:ascii="Verdana" w:hAnsi="Verdana" w:cs="YIUEB V+ Gotham"/>
        </w:rPr>
        <w:t>or both”.</w:t>
      </w:r>
      <w:r w:rsidRPr="000F5EF0">
        <w:rPr>
          <w:rStyle w:val="FootnoteReference"/>
          <w:rFonts w:ascii="Verdana" w:hAnsi="Verdana" w:cs="YIUEB V+ Gotham"/>
        </w:rPr>
        <w:footnoteReference w:id="110"/>
      </w:r>
      <w:r w:rsidRPr="000F5EF0">
        <w:rPr>
          <w:rStyle w:val="A91"/>
          <w:rFonts w:ascii="Verdana" w:hAnsi="Verdana"/>
          <w:sz w:val="24"/>
          <w:szCs w:val="24"/>
        </w:rPr>
        <w:t xml:space="preserve"> </w:t>
      </w:r>
      <w:r w:rsidRPr="000F5EF0">
        <w:rPr>
          <w:rFonts w:ascii="Verdana" w:hAnsi="Verdana" w:cs="YIUEB V+ Gotham"/>
        </w:rPr>
        <w:t>Under section 1 of the British Nationality Act 1981, anyone born in the UK to a British, Irish or settled parent, is deemed British.</w:t>
      </w:r>
      <w:r w:rsidR="00217F2B" w:rsidRPr="000F5EF0">
        <w:rPr>
          <w:rFonts w:ascii="Verdana" w:hAnsi="Verdana" w:cs="YIUEB V+ Gotham"/>
        </w:rPr>
        <w:t xml:space="preserve"> </w:t>
      </w:r>
    </w:p>
    <w:p w14:paraId="3E575A6B" w14:textId="77777777" w:rsidR="00224219" w:rsidRDefault="00224219" w:rsidP="00224219">
      <w:pPr>
        <w:pStyle w:val="BasicParagraph"/>
        <w:suppressAutoHyphens/>
        <w:spacing w:line="276" w:lineRule="auto"/>
        <w:ind w:left="720"/>
        <w:rPr>
          <w:rFonts w:ascii="Verdana" w:hAnsi="Verdana" w:cs="Arial"/>
          <w:b/>
          <w:bCs/>
          <w:color w:val="232120"/>
        </w:rPr>
      </w:pPr>
    </w:p>
    <w:p w14:paraId="392526D1" w14:textId="77777777" w:rsidR="00224219" w:rsidRDefault="000F5EF0"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YIUEB V+ Gotham"/>
        </w:rPr>
        <w:t xml:space="preserve">In 2019, the Upper Immigration and Asylum Tribunal </w:t>
      </w:r>
      <w:r w:rsidR="004737AA" w:rsidRPr="00224219">
        <w:rPr>
          <w:rFonts w:ascii="Verdana" w:hAnsi="Verdana" w:cs="YIUEB V+ Gotham"/>
        </w:rPr>
        <w:t xml:space="preserve">held </w:t>
      </w:r>
      <w:r w:rsidRPr="00224219">
        <w:rPr>
          <w:rFonts w:ascii="Verdana" w:hAnsi="Verdana" w:cs="YIUEB V+ Gotham"/>
        </w:rPr>
        <w:t>that the system requiring a person to renounce their British citizenship in order to be considered Irish only was a proportionate means of achieving the legitimate aim of avoiding statelessness and maintaining a coherent system of nationality law.</w:t>
      </w:r>
      <w:r w:rsidRPr="000F5EF0">
        <w:rPr>
          <w:rStyle w:val="FootnoteReference"/>
          <w:rFonts w:ascii="Verdana" w:hAnsi="Verdana" w:cs="YIUEB V+ Gotham"/>
        </w:rPr>
        <w:footnoteReference w:id="111"/>
      </w:r>
      <w:r w:rsidRPr="00224219">
        <w:rPr>
          <w:rStyle w:val="A91"/>
          <w:rFonts w:ascii="Verdana" w:hAnsi="Verdana"/>
          <w:sz w:val="24"/>
          <w:szCs w:val="24"/>
        </w:rPr>
        <w:t xml:space="preserve"> </w:t>
      </w:r>
      <w:r w:rsidRPr="00224219">
        <w:rPr>
          <w:rFonts w:ascii="Verdana" w:hAnsi="Verdana" w:cs="YIUEB V+ Gotham"/>
        </w:rPr>
        <w:t xml:space="preserve">In 2021, the </w:t>
      </w:r>
      <w:r w:rsidR="00E73688" w:rsidRPr="00224219">
        <w:rPr>
          <w:rFonts w:ascii="Verdana" w:hAnsi="Verdana" w:cs="YIUEB V+ Gotham"/>
        </w:rPr>
        <w:t>NI</w:t>
      </w:r>
      <w:r w:rsidRPr="00224219">
        <w:rPr>
          <w:rFonts w:ascii="Verdana" w:hAnsi="Verdana" w:cs="YIUEB V+ Gotham"/>
        </w:rPr>
        <w:t xml:space="preserve"> High Court refused a challenge by an Irish identifying applicant to the same legal provision, stating that “she is an Irish citizen; and her </w:t>
      </w:r>
      <w:r w:rsidRPr="00224219">
        <w:rPr>
          <w:rFonts w:ascii="Verdana" w:hAnsi="Verdana" w:cs="Times New Roman"/>
        </w:rPr>
        <w:t>additional British citizenship takes nothing away from this in terms of the rights, benefits and privileges which she enjoys as an Irish citizen”.</w:t>
      </w:r>
      <w:r w:rsidRPr="00276E46">
        <w:rPr>
          <w:rStyle w:val="FootnoteReference"/>
          <w:rFonts w:ascii="Verdana" w:hAnsi="Verdana" w:cs="Times New Roman"/>
        </w:rPr>
        <w:footnoteReference w:id="112"/>
      </w:r>
      <w:r w:rsidR="00AB3EF9" w:rsidRPr="00224219">
        <w:rPr>
          <w:rFonts w:ascii="Verdana" w:hAnsi="Verdana" w:cs="Times New Roman"/>
        </w:rPr>
        <w:t xml:space="preserve"> </w:t>
      </w:r>
    </w:p>
    <w:p w14:paraId="614EEE73" w14:textId="77777777" w:rsidR="00224219" w:rsidRDefault="00224219" w:rsidP="00224219">
      <w:pPr>
        <w:pStyle w:val="ListParagraph"/>
        <w:rPr>
          <w:rFonts w:ascii="Verdana" w:hAnsi="Verdana" w:cs="Times New Roman"/>
        </w:rPr>
      </w:pPr>
    </w:p>
    <w:p w14:paraId="36F76F6D" w14:textId="77777777" w:rsidR="00224219" w:rsidRDefault="00AB3EF9"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Times New Roman"/>
        </w:rPr>
        <w:t xml:space="preserve">In </w:t>
      </w:r>
      <w:r w:rsidR="00E73688" w:rsidRPr="00224219">
        <w:rPr>
          <w:rFonts w:ascii="Verdana" w:hAnsi="Verdana" w:cs="Times New Roman"/>
        </w:rPr>
        <w:t>the</w:t>
      </w:r>
      <w:r w:rsidRPr="00224219">
        <w:rPr>
          <w:rFonts w:ascii="Verdana" w:hAnsi="Verdana" w:cs="Times New Roman"/>
        </w:rPr>
        <w:t xml:space="preserve"> New Decade, New Approach</w:t>
      </w:r>
      <w:r w:rsidR="00E73688" w:rsidRPr="00224219">
        <w:rPr>
          <w:rFonts w:ascii="Verdana" w:hAnsi="Verdana" w:cs="Times New Roman"/>
        </w:rPr>
        <w:t xml:space="preserve"> Agreement</w:t>
      </w:r>
      <w:r w:rsidRPr="00224219">
        <w:rPr>
          <w:rFonts w:ascii="Verdana" w:hAnsi="Verdana" w:cs="Times New Roman"/>
        </w:rPr>
        <w:t>, the UK Government noted that it had reviewed its rules on family migration arrangements “taking into account the letter and spirit of the Belfast Agreement and recognising that the policy should not create incentives for renunciation of British citizenship by those citizens who may wish to retain it</w:t>
      </w:r>
      <w:r w:rsidR="00276E46" w:rsidRPr="00224219">
        <w:rPr>
          <w:rFonts w:ascii="Verdana" w:hAnsi="Verdana" w:cs="Times New Roman"/>
        </w:rPr>
        <w:t>.</w:t>
      </w:r>
      <w:r w:rsidRPr="00224219">
        <w:rPr>
          <w:rFonts w:ascii="Verdana" w:hAnsi="Verdana" w:cs="Times New Roman"/>
        </w:rPr>
        <w:t>”</w:t>
      </w:r>
      <w:r w:rsidRPr="00221C80">
        <w:rPr>
          <w:rStyle w:val="FootnoteReference"/>
          <w:rFonts w:ascii="Verdana" w:hAnsi="Verdana" w:cs="Times New Roman"/>
        </w:rPr>
        <w:footnoteReference w:id="113"/>
      </w:r>
    </w:p>
    <w:p w14:paraId="4D7A6EF4" w14:textId="77777777" w:rsidR="00224219" w:rsidRDefault="00224219" w:rsidP="00224219">
      <w:pPr>
        <w:pStyle w:val="ListParagraph"/>
        <w:rPr>
          <w:rFonts w:ascii="Verdana" w:hAnsi="Verdana" w:cs="YIUEB V+ Gotham"/>
        </w:rPr>
      </w:pPr>
    </w:p>
    <w:p w14:paraId="573274F3" w14:textId="77777777" w:rsidR="00224219" w:rsidRDefault="007F2F0C"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YIUEB V+ Gotham"/>
        </w:rPr>
        <w:t>On 24 August 2020, changes came into force to allow for a “relevant person of NI” to access EU free movement law protections.</w:t>
      </w:r>
      <w:r w:rsidR="00221C80">
        <w:rPr>
          <w:rStyle w:val="FootnoteReference"/>
          <w:rFonts w:ascii="Verdana" w:hAnsi="Verdana" w:cs="YIUEB V+ Gotham"/>
        </w:rPr>
        <w:footnoteReference w:id="114"/>
      </w:r>
      <w:r w:rsidRPr="00224219">
        <w:rPr>
          <w:rStyle w:val="A91"/>
          <w:rFonts w:ascii="Verdana" w:hAnsi="Verdana"/>
          <w:sz w:val="24"/>
          <w:szCs w:val="24"/>
        </w:rPr>
        <w:t xml:space="preserve"> </w:t>
      </w:r>
      <w:r w:rsidRPr="00224219">
        <w:rPr>
          <w:rFonts w:ascii="Verdana" w:hAnsi="Verdana" w:cs="YIUEB V+ Gotham"/>
        </w:rPr>
        <w:t xml:space="preserve">A relevant person of NI is defined as someone who is a British citizen, an Irish citizen, or both British and Irish and was born in NI to a parent who was British, Irish or both, </w:t>
      </w:r>
      <w:proofErr w:type="gramStart"/>
      <w:r w:rsidRPr="00224219">
        <w:rPr>
          <w:rFonts w:ascii="Verdana" w:hAnsi="Verdana" w:cs="YIUEB V+ Gotham"/>
        </w:rPr>
        <w:t>or</w:t>
      </w:r>
      <w:proofErr w:type="gramEnd"/>
      <w:r w:rsidRPr="00224219">
        <w:rPr>
          <w:rFonts w:ascii="Verdana" w:hAnsi="Verdana" w:cs="YIUEB V+ Gotham"/>
        </w:rPr>
        <w:t xml:space="preserve"> otherwise entitled to reside in NI without any restriction on their period of residence. This scheme closed on 30 June 2021 in line with the EU Settlement Scheme.</w:t>
      </w:r>
      <w:r w:rsidRPr="00221C80">
        <w:rPr>
          <w:rStyle w:val="FootnoteReference"/>
          <w:rFonts w:ascii="Verdana" w:hAnsi="Verdana" w:cs="YIUEB V+ Gotham"/>
        </w:rPr>
        <w:footnoteReference w:id="115"/>
      </w:r>
    </w:p>
    <w:p w14:paraId="45BD6DF6" w14:textId="77777777" w:rsidR="00224219" w:rsidRDefault="00224219" w:rsidP="00224219">
      <w:pPr>
        <w:pStyle w:val="ListParagraph"/>
        <w:rPr>
          <w:rFonts w:ascii="Verdana" w:hAnsi="Verdana" w:cs="YIUEB V+ Gotham"/>
        </w:rPr>
      </w:pPr>
    </w:p>
    <w:p w14:paraId="0621A221" w14:textId="77777777" w:rsidR="00224219" w:rsidRDefault="00F7439F"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YIUEB V+ Gotham"/>
        </w:rPr>
        <w:t xml:space="preserve">In January 2021, the NIHRC provided written </w:t>
      </w:r>
      <w:r w:rsidR="00253805" w:rsidRPr="00224219">
        <w:rPr>
          <w:rFonts w:ascii="Verdana" w:hAnsi="Verdana" w:cs="YIUEB V+ Gotham"/>
        </w:rPr>
        <w:t xml:space="preserve">and oral evidence </w:t>
      </w:r>
      <w:r w:rsidRPr="00224219">
        <w:rPr>
          <w:rFonts w:ascii="Verdana" w:hAnsi="Verdana" w:cs="YIUEB V+ Gotham"/>
        </w:rPr>
        <w:t xml:space="preserve">to the NI Affairs Committee inquiry on Citizenship and Passport Processes in NI which highlighted its recommendation that UK nationality and immigration legislation be amended to give effect to the </w:t>
      </w:r>
      <w:proofErr w:type="spellStart"/>
      <w:r w:rsidRPr="00224219">
        <w:rPr>
          <w:rFonts w:ascii="Verdana" w:hAnsi="Verdana" w:cs="YIUEB V+ Gotham"/>
        </w:rPr>
        <w:t>birthright</w:t>
      </w:r>
      <w:proofErr w:type="spellEnd"/>
      <w:r w:rsidRPr="00224219">
        <w:rPr>
          <w:rFonts w:ascii="Verdana" w:hAnsi="Verdana" w:cs="YIUEB V+ Gotham"/>
        </w:rPr>
        <w:t xml:space="preserve"> commitment.</w:t>
      </w:r>
      <w:r w:rsidR="00221C80" w:rsidRPr="00221C80">
        <w:rPr>
          <w:rStyle w:val="FootnoteReference"/>
          <w:rFonts w:ascii="Verdana" w:hAnsi="Verdana" w:cs="YIUEB V+ Gotham"/>
        </w:rPr>
        <w:footnoteReference w:id="116"/>
      </w:r>
      <w:r w:rsidRPr="00224219">
        <w:rPr>
          <w:rStyle w:val="A91"/>
          <w:rFonts w:ascii="Verdana" w:hAnsi="Verdana"/>
          <w:sz w:val="24"/>
          <w:szCs w:val="24"/>
        </w:rPr>
        <w:t xml:space="preserve"> </w:t>
      </w:r>
      <w:r w:rsidRPr="00224219">
        <w:rPr>
          <w:rFonts w:ascii="Verdana" w:hAnsi="Verdana" w:cs="YIUEB V+ Gotham"/>
        </w:rPr>
        <w:t>The Committee’s report recommended that “in the interests of transparency, the Government must publish in full the results of the review announced by Mrs May”</w:t>
      </w:r>
      <w:r w:rsidR="00221C80" w:rsidRPr="00221C80">
        <w:rPr>
          <w:rStyle w:val="FootnoteReference"/>
          <w:rFonts w:ascii="Verdana" w:hAnsi="Verdana" w:cs="YIUEB V+ Gotham"/>
        </w:rPr>
        <w:footnoteReference w:id="117"/>
      </w:r>
      <w:r w:rsidRPr="00224219">
        <w:rPr>
          <w:rStyle w:val="A91"/>
          <w:rFonts w:ascii="Verdana" w:hAnsi="Verdana"/>
          <w:sz w:val="24"/>
          <w:szCs w:val="24"/>
        </w:rPr>
        <w:t xml:space="preserve"> </w:t>
      </w:r>
      <w:r w:rsidR="00253805" w:rsidRPr="00224219">
        <w:rPr>
          <w:rFonts w:ascii="Verdana" w:hAnsi="Verdana" w:cs="YIUEB V+ Gotham"/>
        </w:rPr>
        <w:t xml:space="preserve">and </w:t>
      </w:r>
      <w:r w:rsidRPr="00224219">
        <w:rPr>
          <w:rFonts w:ascii="Verdana" w:hAnsi="Verdana" w:cs="YIUEB V+ Gotham"/>
        </w:rPr>
        <w:t xml:space="preserve">called for the UK Government to “clarify the meaning of the phrase ‘to be accepted as’ in Article 1(vi) of the Agreement, including how it is respected and upheld in the Government’s approach towards the </w:t>
      </w:r>
      <w:proofErr w:type="spellStart"/>
      <w:r w:rsidRPr="00224219">
        <w:rPr>
          <w:rFonts w:ascii="Verdana" w:hAnsi="Verdana" w:cs="YIUEB V+ Gotham"/>
        </w:rPr>
        <w:t>birthright</w:t>
      </w:r>
      <w:proofErr w:type="spellEnd"/>
      <w:r w:rsidRPr="00224219">
        <w:rPr>
          <w:rFonts w:ascii="Verdana" w:hAnsi="Verdana" w:cs="YIUEB V+ Gotham"/>
        </w:rPr>
        <w:t xml:space="preserve"> provisions for the people of Northern Ireland”.</w:t>
      </w:r>
      <w:r w:rsidR="00221C80" w:rsidRPr="00221C80">
        <w:rPr>
          <w:rStyle w:val="FootnoteReference"/>
          <w:rFonts w:ascii="Verdana" w:hAnsi="Verdana" w:cs="YIUEB V+ Gotham"/>
        </w:rPr>
        <w:footnoteReference w:id="118"/>
      </w:r>
      <w:r w:rsidRPr="00224219">
        <w:rPr>
          <w:rStyle w:val="A91"/>
          <w:rFonts w:ascii="Verdana" w:hAnsi="Verdana"/>
          <w:sz w:val="24"/>
          <w:szCs w:val="24"/>
        </w:rPr>
        <w:t xml:space="preserve"> </w:t>
      </w:r>
      <w:r w:rsidRPr="00224219">
        <w:rPr>
          <w:rFonts w:ascii="Verdana" w:hAnsi="Verdana" w:cs="YIUEB V+ Gotham"/>
        </w:rPr>
        <w:t xml:space="preserve">The Committee further called on the UK Government and Government of Ireland to agree a shared approach to the </w:t>
      </w:r>
      <w:proofErr w:type="spellStart"/>
      <w:r w:rsidRPr="00224219">
        <w:rPr>
          <w:rFonts w:ascii="Verdana" w:hAnsi="Verdana" w:cs="YIUEB V+ Gotham"/>
        </w:rPr>
        <w:t>birthright</w:t>
      </w:r>
      <w:proofErr w:type="spellEnd"/>
      <w:r w:rsidRPr="00224219">
        <w:rPr>
          <w:rFonts w:ascii="Verdana" w:hAnsi="Verdana" w:cs="YIUEB V+ Gotham"/>
        </w:rPr>
        <w:t xml:space="preserve"> provisions to remove any remaining ambiguity.</w:t>
      </w:r>
      <w:r w:rsidR="00221C80" w:rsidRPr="00221C80">
        <w:rPr>
          <w:rStyle w:val="FootnoteReference"/>
          <w:rFonts w:ascii="Verdana" w:hAnsi="Verdana" w:cs="YIUEB V+ Gotham"/>
        </w:rPr>
        <w:footnoteReference w:id="119"/>
      </w:r>
    </w:p>
    <w:p w14:paraId="53558CA7" w14:textId="77777777" w:rsidR="00224219" w:rsidRDefault="00224219" w:rsidP="00224219">
      <w:pPr>
        <w:pStyle w:val="ListParagraph"/>
        <w:rPr>
          <w:rFonts w:ascii="Verdana" w:hAnsi="Verdana" w:cs="YIUEB V+ Gotham"/>
        </w:rPr>
      </w:pPr>
    </w:p>
    <w:p w14:paraId="37A18E45" w14:textId="77777777" w:rsidR="00224219" w:rsidRDefault="00253805"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YIUEB V+ Gotham"/>
        </w:rPr>
        <w:t xml:space="preserve">The </w:t>
      </w:r>
      <w:r w:rsidR="00D33C8F" w:rsidRPr="00224219">
        <w:rPr>
          <w:rFonts w:ascii="Verdana" w:hAnsi="Verdana" w:cs="YIUEB V+ Gotham"/>
        </w:rPr>
        <w:t xml:space="preserve">NIHRC welcomes the </w:t>
      </w:r>
      <w:r w:rsidR="00012B69" w:rsidRPr="00224219">
        <w:rPr>
          <w:rFonts w:ascii="Verdana" w:hAnsi="Verdana" w:cs="YIUEB V+ Gotham"/>
        </w:rPr>
        <w:t xml:space="preserve">potential for </w:t>
      </w:r>
      <w:r w:rsidR="00D33C8F" w:rsidRPr="00224219">
        <w:rPr>
          <w:rFonts w:ascii="Verdana" w:hAnsi="Verdana" w:cs="YIUEB V+ Gotham"/>
        </w:rPr>
        <w:t>regularisation of historical anomalies within UK nationality and citizenship law</w:t>
      </w:r>
      <w:r w:rsidR="00012B69" w:rsidRPr="00224219">
        <w:rPr>
          <w:rFonts w:ascii="Verdana" w:hAnsi="Verdana" w:cs="YIUEB V+ Gotham"/>
        </w:rPr>
        <w:t xml:space="preserve"> under the</w:t>
      </w:r>
      <w:r w:rsidR="00B6122C" w:rsidRPr="00224219">
        <w:rPr>
          <w:rFonts w:ascii="Verdana" w:hAnsi="Verdana" w:cs="YIUEB V+ Gotham"/>
        </w:rPr>
        <w:t xml:space="preserve"> proposed</w:t>
      </w:r>
      <w:r w:rsidR="00012B69" w:rsidRPr="00224219">
        <w:rPr>
          <w:rFonts w:ascii="Verdana" w:hAnsi="Verdana" w:cs="YIUEB V+ Gotham"/>
        </w:rPr>
        <w:t xml:space="preserve"> </w:t>
      </w:r>
      <w:r w:rsidR="00214681" w:rsidRPr="00224219">
        <w:rPr>
          <w:rFonts w:ascii="Verdana" w:hAnsi="Verdana" w:cs="YIUEB V+ Gotham"/>
        </w:rPr>
        <w:t>Nationality and Borders Bill</w:t>
      </w:r>
      <w:r w:rsidR="00D33C8F" w:rsidRPr="00224219">
        <w:rPr>
          <w:rFonts w:ascii="Verdana" w:hAnsi="Verdana" w:cs="YIUEB V+ Gotham"/>
        </w:rPr>
        <w:t xml:space="preserve">. However, the NIHRC expressed concern that the Home Office had not taken the opportunity </w:t>
      </w:r>
      <w:r w:rsidR="000A5393" w:rsidRPr="00224219">
        <w:rPr>
          <w:rFonts w:ascii="Verdana" w:hAnsi="Verdana" w:cs="YIUEB V+ Gotham"/>
        </w:rPr>
        <w:t xml:space="preserve">in the Bill </w:t>
      </w:r>
      <w:r w:rsidR="00D33C8F" w:rsidRPr="00224219">
        <w:rPr>
          <w:rFonts w:ascii="Verdana" w:hAnsi="Verdana" w:cs="YIUEB V+ Gotham"/>
        </w:rPr>
        <w:t xml:space="preserve">to clarify the </w:t>
      </w:r>
      <w:proofErr w:type="spellStart"/>
      <w:r w:rsidR="00D33C8F" w:rsidRPr="00224219">
        <w:rPr>
          <w:rFonts w:ascii="Verdana" w:hAnsi="Verdana" w:cs="YIUEB V+ Gotham"/>
        </w:rPr>
        <w:t>birthright</w:t>
      </w:r>
      <w:proofErr w:type="spellEnd"/>
      <w:r w:rsidR="00D33C8F" w:rsidRPr="00224219">
        <w:rPr>
          <w:rFonts w:ascii="Verdana" w:hAnsi="Verdana" w:cs="YIUEB V+ Gotham"/>
        </w:rPr>
        <w:t xml:space="preserve"> of all the people of NI to identify, and be accepted, as Irish or British or both, without any loss of rights or entitlements.</w:t>
      </w:r>
      <w:r w:rsidR="00D33C8F" w:rsidRPr="00D33C8F">
        <w:rPr>
          <w:rStyle w:val="FootnoteReference"/>
          <w:rFonts w:ascii="Verdana" w:hAnsi="Verdana" w:cs="YIUEB V+ Gotham"/>
        </w:rPr>
        <w:footnoteReference w:id="120"/>
      </w:r>
    </w:p>
    <w:p w14:paraId="4BDBBAEB" w14:textId="77777777" w:rsidR="00224219" w:rsidRDefault="00224219" w:rsidP="00224219">
      <w:pPr>
        <w:pStyle w:val="ListParagraph"/>
        <w:rPr>
          <w:rFonts w:ascii="Verdana" w:hAnsi="Verdana" w:cs="Times New Roman"/>
          <w:b/>
          <w:bCs/>
          <w:color w:val="232120"/>
        </w:rPr>
      </w:pPr>
    </w:p>
    <w:p w14:paraId="3DF5A76F" w14:textId="7766A3A9" w:rsidR="00BC5A98" w:rsidRPr="00224219" w:rsidRDefault="00BC5A98" w:rsidP="00915669">
      <w:pPr>
        <w:pStyle w:val="BasicParagraph"/>
        <w:numPr>
          <w:ilvl w:val="1"/>
          <w:numId w:val="17"/>
        </w:numPr>
        <w:suppressAutoHyphens/>
        <w:spacing w:line="276" w:lineRule="auto"/>
        <w:rPr>
          <w:rFonts w:ascii="Verdana" w:hAnsi="Verdana" w:cs="Arial"/>
          <w:b/>
          <w:bCs/>
          <w:color w:val="232120"/>
        </w:rPr>
      </w:pPr>
      <w:r w:rsidRPr="00224219">
        <w:rPr>
          <w:rFonts w:ascii="Verdana" w:hAnsi="Verdana" w:cs="Times New Roman"/>
          <w:b/>
          <w:bCs/>
          <w:color w:val="232120"/>
        </w:rPr>
        <w:t>The Advisory Committee m</w:t>
      </w:r>
      <w:r w:rsidR="001F17A0" w:rsidRPr="00224219">
        <w:rPr>
          <w:rFonts w:ascii="Verdana" w:hAnsi="Verdana" w:cs="Times New Roman"/>
          <w:b/>
          <w:bCs/>
          <w:color w:val="232120"/>
        </w:rPr>
        <w:t>ay</w:t>
      </w:r>
      <w:r w:rsidRPr="00224219">
        <w:rPr>
          <w:rFonts w:ascii="Verdana" w:hAnsi="Verdana" w:cs="Times New Roman"/>
          <w:b/>
          <w:bCs/>
          <w:color w:val="232120"/>
        </w:rPr>
        <w:t xml:space="preserve"> wish to</w:t>
      </w:r>
      <w:r w:rsidR="005324FC" w:rsidRPr="00224219">
        <w:rPr>
          <w:rFonts w:ascii="Verdana" w:hAnsi="Verdana" w:cs="Times New Roman"/>
          <w:b/>
          <w:bCs/>
          <w:color w:val="232120"/>
        </w:rPr>
        <w:t xml:space="preserve"> ask the State Party</w:t>
      </w:r>
      <w:r w:rsidR="001F17A0" w:rsidRPr="00224219">
        <w:rPr>
          <w:rFonts w:ascii="Verdana" w:hAnsi="Verdana" w:cs="Times New Roman"/>
          <w:b/>
          <w:bCs/>
          <w:color w:val="232120"/>
        </w:rPr>
        <w:t xml:space="preserve"> how</w:t>
      </w:r>
      <w:r w:rsidR="005324FC" w:rsidRPr="00224219">
        <w:rPr>
          <w:rFonts w:ascii="Verdana" w:hAnsi="Verdana" w:cs="Times New Roman"/>
          <w:b/>
          <w:bCs/>
          <w:color w:val="232120"/>
        </w:rPr>
        <w:t xml:space="preserve"> </w:t>
      </w:r>
      <w:r w:rsidR="001F17A0" w:rsidRPr="00224219">
        <w:rPr>
          <w:rFonts w:ascii="Verdana" w:hAnsi="Verdana" w:cs="Times New Roman"/>
          <w:b/>
          <w:bCs/>
          <w:color w:val="232120"/>
        </w:rPr>
        <w:t xml:space="preserve">it will ensure </w:t>
      </w:r>
      <w:r w:rsidR="005324FC" w:rsidRPr="00224219">
        <w:rPr>
          <w:rFonts w:ascii="Verdana" w:hAnsi="Verdana" w:cs="Times New Roman"/>
          <w:b/>
          <w:bCs/>
          <w:color w:val="232120"/>
        </w:rPr>
        <w:t>the</w:t>
      </w:r>
      <w:r w:rsidR="001F17A0" w:rsidRPr="00224219">
        <w:rPr>
          <w:rFonts w:ascii="Verdana" w:hAnsi="Verdana" w:cs="Times New Roman"/>
          <w:b/>
          <w:bCs/>
          <w:color w:val="232120"/>
        </w:rPr>
        <w:t xml:space="preserve"> </w:t>
      </w:r>
      <w:proofErr w:type="spellStart"/>
      <w:r w:rsidR="001F17A0" w:rsidRPr="00224219">
        <w:rPr>
          <w:rFonts w:ascii="Verdana" w:hAnsi="Verdana" w:cs="Times New Roman"/>
          <w:b/>
          <w:bCs/>
          <w:color w:val="232120"/>
        </w:rPr>
        <w:t>birthright</w:t>
      </w:r>
      <w:proofErr w:type="spellEnd"/>
      <w:r w:rsidR="005324FC" w:rsidRPr="00224219">
        <w:rPr>
          <w:rFonts w:ascii="Verdana" w:hAnsi="Verdana" w:cs="Times New Roman"/>
          <w:b/>
          <w:bCs/>
          <w:color w:val="232120"/>
        </w:rPr>
        <w:t xml:space="preserve"> commitment under the Belfast (Good Friday) Agreement 1998</w:t>
      </w:r>
      <w:r w:rsidR="001F17A0" w:rsidRPr="00224219">
        <w:rPr>
          <w:rFonts w:ascii="Verdana" w:hAnsi="Verdana" w:cs="Times New Roman"/>
          <w:b/>
          <w:bCs/>
          <w:color w:val="232120"/>
        </w:rPr>
        <w:t xml:space="preserve"> is reflected in nationality and immigration laws. </w:t>
      </w:r>
    </w:p>
    <w:p w14:paraId="081CC2B6" w14:textId="52666368" w:rsidR="008A1142" w:rsidRPr="00B5297F" w:rsidRDefault="008A1142" w:rsidP="004656A5">
      <w:pPr>
        <w:pStyle w:val="BasicParagraph"/>
        <w:suppressAutoHyphens/>
        <w:spacing w:line="276" w:lineRule="auto"/>
        <w:rPr>
          <w:rFonts w:ascii="Verdana" w:hAnsi="Verdana" w:cs="Arial"/>
          <w:b/>
          <w:bCs/>
          <w:color w:val="232120"/>
        </w:rPr>
      </w:pPr>
    </w:p>
    <w:p w14:paraId="3D007BD3" w14:textId="01122DDA" w:rsidR="008A1142" w:rsidRPr="00C7595E" w:rsidRDefault="008A1142" w:rsidP="00591D80">
      <w:pPr>
        <w:pStyle w:val="Heading2"/>
      </w:pPr>
      <w:bookmarkStart w:id="21" w:name="_Toc97030911"/>
      <w:r>
        <w:t>Electoral Rights of EU Citizens</w:t>
      </w:r>
      <w:bookmarkEnd w:id="21"/>
    </w:p>
    <w:p w14:paraId="3175AF21" w14:textId="77777777" w:rsidR="008A1142" w:rsidRPr="00D62DEB" w:rsidRDefault="008A1142" w:rsidP="004656A5">
      <w:pPr>
        <w:pStyle w:val="BasicParagraph"/>
        <w:suppressAutoHyphens/>
        <w:spacing w:line="276" w:lineRule="auto"/>
        <w:rPr>
          <w:rFonts w:ascii="Verdana" w:hAnsi="Verdana" w:cs="Arial"/>
          <w:b/>
          <w:bCs/>
          <w:color w:val="232120"/>
        </w:rPr>
      </w:pPr>
    </w:p>
    <w:p w14:paraId="3DEF7976" w14:textId="27136F8C" w:rsidR="00305950" w:rsidRPr="00305950" w:rsidRDefault="00D567E8" w:rsidP="00915669">
      <w:pPr>
        <w:pStyle w:val="BasicParagraph"/>
        <w:numPr>
          <w:ilvl w:val="1"/>
          <w:numId w:val="17"/>
        </w:numPr>
        <w:suppressAutoHyphens/>
        <w:spacing w:line="276" w:lineRule="auto"/>
        <w:rPr>
          <w:rFonts w:ascii="Verdana" w:hAnsi="Verdana" w:cs="Arial"/>
          <w:b/>
          <w:bCs/>
          <w:color w:val="232120"/>
        </w:rPr>
      </w:pPr>
      <w:r w:rsidRPr="00D62DEB">
        <w:rPr>
          <w:rFonts w:ascii="Verdana" w:hAnsi="Verdana" w:cs="YIUEB V+ Gotham"/>
        </w:rPr>
        <w:t>In June 2021, the</w:t>
      </w:r>
      <w:r w:rsidR="00B40481" w:rsidRPr="00D62DEB">
        <w:rPr>
          <w:rFonts w:ascii="Verdana" w:hAnsi="Verdana" w:cs="YIUEB V+ Gotham"/>
        </w:rPr>
        <w:t xml:space="preserve"> NIHRC </w:t>
      </w:r>
      <w:r w:rsidRPr="00D62DEB">
        <w:rPr>
          <w:rFonts w:ascii="Verdana" w:hAnsi="Verdana" w:cs="YIUEB V+ Gotham"/>
        </w:rPr>
        <w:t xml:space="preserve">and </w:t>
      </w:r>
      <w:r w:rsidR="00B40481" w:rsidRPr="00D62DEB">
        <w:rPr>
          <w:rFonts w:ascii="Verdana" w:hAnsi="Verdana" w:cs="YIUEB V+ Gotham"/>
        </w:rPr>
        <w:t>ECNI</w:t>
      </w:r>
      <w:r w:rsidRPr="00D62DEB">
        <w:rPr>
          <w:rFonts w:ascii="Verdana" w:hAnsi="Verdana" w:cs="YIUEB V+ Gotham"/>
        </w:rPr>
        <w:t xml:space="preserve">, wrote to the Secretary of State outlining their concerns that </w:t>
      </w:r>
      <w:r w:rsidR="00966AF6" w:rsidRPr="53829189">
        <w:rPr>
          <w:rFonts w:ascii="Verdana" w:hAnsi="Verdana" w:cs="YIUEB V+ Gotham"/>
        </w:rPr>
        <w:t xml:space="preserve">Protocol </w:t>
      </w:r>
      <w:r w:rsidRPr="00D62DEB">
        <w:rPr>
          <w:rFonts w:ascii="Verdana" w:hAnsi="Verdana" w:cs="YIUEB V+ Gotham"/>
        </w:rPr>
        <w:t>Article 2</w:t>
      </w:r>
      <w:r w:rsidR="00735ECC">
        <w:rPr>
          <w:rFonts w:ascii="Verdana" w:hAnsi="Verdana" w:cs="YIUEB V+ Gotham"/>
        </w:rPr>
        <w:t xml:space="preserve"> </w:t>
      </w:r>
      <w:r w:rsidRPr="00D62DEB">
        <w:rPr>
          <w:rFonts w:ascii="Verdana" w:hAnsi="Verdana" w:cs="YIUEB V+ Gotham"/>
        </w:rPr>
        <w:t>would be engaged should the UK Government amend, replace, or repeal legislation governing the voting franchise for local council elections in NI to remove the right to vote and stand in these elections by EU citizens.</w:t>
      </w:r>
      <w:r w:rsidRPr="00D62DEB">
        <w:rPr>
          <w:rStyle w:val="FootnoteReference"/>
          <w:rFonts w:ascii="Verdana" w:hAnsi="Verdana" w:cs="YIUEB V+ Gotham"/>
        </w:rPr>
        <w:footnoteReference w:id="121"/>
      </w:r>
      <w:r w:rsidRPr="00D62DEB">
        <w:rPr>
          <w:rStyle w:val="A91"/>
          <w:rFonts w:ascii="Verdana" w:hAnsi="Verdana"/>
          <w:sz w:val="24"/>
          <w:szCs w:val="24"/>
        </w:rPr>
        <w:t xml:space="preserve"> </w:t>
      </w:r>
      <w:r w:rsidRPr="00D62DEB">
        <w:rPr>
          <w:rFonts w:ascii="Verdana" w:hAnsi="Verdana" w:cs="YIUEB V+ Gotham"/>
        </w:rPr>
        <w:t>The UK Government subsequently confirmed that EU citizens living in the UK prior 1 January 2021 will maintain their local voting and candidacy rights in NI, including NI Assembly elections.</w:t>
      </w:r>
      <w:r w:rsidRPr="00D62DEB">
        <w:rPr>
          <w:rStyle w:val="FootnoteReference"/>
          <w:rFonts w:ascii="Verdana" w:hAnsi="Verdana" w:cs="YIUEB V+ Gotham"/>
        </w:rPr>
        <w:footnoteReference w:id="122"/>
      </w:r>
    </w:p>
    <w:p w14:paraId="2FAB12DF" w14:textId="77777777" w:rsidR="00305950" w:rsidRDefault="00305950" w:rsidP="00305950">
      <w:pPr>
        <w:pStyle w:val="BasicParagraph"/>
        <w:suppressAutoHyphens/>
        <w:spacing w:line="276" w:lineRule="auto"/>
        <w:ind w:left="720"/>
        <w:rPr>
          <w:rFonts w:ascii="Verdana" w:hAnsi="Verdana" w:cs="Arial"/>
          <w:b/>
          <w:bCs/>
          <w:color w:val="232120"/>
        </w:rPr>
      </w:pPr>
    </w:p>
    <w:p w14:paraId="7FE373B3" w14:textId="77777777" w:rsidR="00305950" w:rsidRDefault="00AF6BCC"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YIUEB V+ Gotham"/>
        </w:rPr>
        <w:t xml:space="preserve">In October 2021, the </w:t>
      </w:r>
      <w:r w:rsidR="00B40481" w:rsidRPr="00305950">
        <w:rPr>
          <w:rFonts w:ascii="Verdana" w:hAnsi="Verdana" w:cs="YIUEB V+ Gotham"/>
        </w:rPr>
        <w:t xml:space="preserve">NIHRC and </w:t>
      </w:r>
      <w:r w:rsidR="00070A31" w:rsidRPr="00305950">
        <w:rPr>
          <w:rFonts w:ascii="Verdana" w:hAnsi="Verdana" w:cs="YIUEB V+ Gotham"/>
        </w:rPr>
        <w:t xml:space="preserve">the </w:t>
      </w:r>
      <w:r w:rsidR="00B40481" w:rsidRPr="00305950">
        <w:rPr>
          <w:rFonts w:ascii="Verdana" w:hAnsi="Verdana" w:cs="YIUEB V+ Gotham"/>
        </w:rPr>
        <w:t>ECNI</w:t>
      </w:r>
      <w:r w:rsidRPr="00305950">
        <w:rPr>
          <w:rFonts w:ascii="Verdana" w:hAnsi="Verdana" w:cs="YIUEB V+ Gotham"/>
        </w:rPr>
        <w:t xml:space="preserve"> wrote to the Public Bill Committee on the Elections Bill requesting that it give further consideration to the proposed changes to voting and candidacy rights of ‘qualifying’ EU citizens NI as part of its scrutiny of the Bill.</w:t>
      </w:r>
      <w:r w:rsidRPr="00D62DEB">
        <w:rPr>
          <w:rStyle w:val="FootnoteReference"/>
          <w:rFonts w:ascii="Verdana" w:hAnsi="Verdana" w:cs="YIUEB V+ Gotham"/>
        </w:rPr>
        <w:footnoteReference w:id="123"/>
      </w:r>
      <w:r w:rsidR="00D73E74" w:rsidRPr="00305950">
        <w:rPr>
          <w:rFonts w:ascii="Verdana" w:hAnsi="Verdana" w:cs="YIUEB V+ Gotham"/>
        </w:rPr>
        <w:t xml:space="preserve"> </w:t>
      </w:r>
      <w:r w:rsidR="00070A31" w:rsidRPr="00305950">
        <w:rPr>
          <w:rFonts w:ascii="Verdana" w:hAnsi="Verdana" w:cs="YIUEB V+ Gotham"/>
        </w:rPr>
        <w:t>These concerns have been recently reiterated by the NIHRC and the EC</w:t>
      </w:r>
      <w:r w:rsidR="000128F0" w:rsidRPr="00305950">
        <w:rPr>
          <w:rFonts w:ascii="Verdana" w:hAnsi="Verdana" w:cs="YIUEB V+ Gotham"/>
        </w:rPr>
        <w:t xml:space="preserve">NI </w:t>
      </w:r>
      <w:r w:rsidR="00DD0D86" w:rsidRPr="00305950">
        <w:rPr>
          <w:rFonts w:ascii="Verdana" w:hAnsi="Verdana" w:cs="YIUEB V+ Gotham"/>
        </w:rPr>
        <w:t xml:space="preserve">in </w:t>
      </w:r>
      <w:r w:rsidR="00AF58C1" w:rsidRPr="00305950">
        <w:rPr>
          <w:rFonts w:ascii="Verdana" w:hAnsi="Verdana" w:cs="YIUEB V+ Gotham"/>
        </w:rPr>
        <w:t>a letter to the</w:t>
      </w:r>
      <w:r w:rsidR="001F56DD" w:rsidRPr="001F56DD">
        <w:t xml:space="preserve"> </w:t>
      </w:r>
      <w:r w:rsidR="001F56DD" w:rsidRPr="00305950">
        <w:rPr>
          <w:rFonts w:ascii="Verdana" w:hAnsi="Verdana" w:cs="YIUEB V+ Gotham"/>
        </w:rPr>
        <w:t>Chair of Protocol on Ireland/Northern Ireland Sub-Committee</w:t>
      </w:r>
      <w:r w:rsidR="00A63B87" w:rsidRPr="00305950">
        <w:rPr>
          <w:rFonts w:ascii="Verdana" w:hAnsi="Verdana" w:cs="YIUEB V+ Gotham"/>
        </w:rPr>
        <w:t xml:space="preserve">, </w:t>
      </w:r>
      <w:r w:rsidR="000128F0" w:rsidRPr="00305950">
        <w:rPr>
          <w:rFonts w:ascii="Verdana" w:hAnsi="Verdana" w:cs="YIUEB V+ Gotham"/>
        </w:rPr>
        <w:t xml:space="preserve">ahead of the second reading </w:t>
      </w:r>
      <w:r w:rsidR="00985D79" w:rsidRPr="00305950">
        <w:rPr>
          <w:rFonts w:ascii="Verdana" w:hAnsi="Verdana" w:cs="YIUEB V+ Gotham"/>
        </w:rPr>
        <w:t xml:space="preserve">of the Bill in </w:t>
      </w:r>
      <w:r w:rsidR="00785C5E" w:rsidRPr="00305950">
        <w:rPr>
          <w:rFonts w:ascii="Verdana" w:hAnsi="Verdana" w:cs="YIUEB V+ Gotham"/>
        </w:rPr>
        <w:t>the House of Lords.</w:t>
      </w:r>
      <w:r w:rsidR="00AF58C1">
        <w:rPr>
          <w:rStyle w:val="FootnoteReference"/>
          <w:rFonts w:ascii="Verdana" w:hAnsi="Verdana" w:cs="YIUEB V+ Gotham"/>
        </w:rPr>
        <w:footnoteReference w:id="124"/>
      </w:r>
      <w:r w:rsidR="00785C5E" w:rsidRPr="00305950">
        <w:rPr>
          <w:rFonts w:ascii="Verdana" w:hAnsi="Verdana" w:cs="YIUEB V+ Gotham"/>
        </w:rPr>
        <w:t xml:space="preserve"> </w:t>
      </w:r>
    </w:p>
    <w:p w14:paraId="53DAA35F" w14:textId="77777777" w:rsidR="00305950" w:rsidRDefault="00305950" w:rsidP="00305950">
      <w:pPr>
        <w:pStyle w:val="ListParagraph"/>
        <w:rPr>
          <w:rFonts w:ascii="Verdana" w:hAnsi="Verdana" w:cs="Arial"/>
          <w:b/>
          <w:bCs/>
          <w:color w:val="232120"/>
        </w:rPr>
      </w:pPr>
    </w:p>
    <w:p w14:paraId="2C42CDB0" w14:textId="614A7125" w:rsidR="002F7CD0" w:rsidRPr="00305950" w:rsidRDefault="005A1471"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Arial"/>
          <w:b/>
          <w:bCs/>
          <w:color w:val="232120"/>
        </w:rPr>
        <w:t>The Advisory Committee may wish to ask the State Party what steps are being taken to ensure that the electoral rights of EU Citizens in the UK are being upheld and protected.</w:t>
      </w:r>
    </w:p>
    <w:p w14:paraId="30EA8C70" w14:textId="7EC51B54" w:rsidR="00C7595E" w:rsidRPr="00C7595E" w:rsidRDefault="00C7595E" w:rsidP="00C7595E">
      <w:pPr>
        <w:pStyle w:val="BasicParagraph"/>
        <w:suppressAutoHyphens/>
        <w:spacing w:line="276" w:lineRule="auto"/>
        <w:rPr>
          <w:rFonts w:ascii="Verdana" w:hAnsi="Verdana" w:cs="Arial"/>
          <w:b/>
          <w:bCs/>
          <w:color w:val="232120"/>
        </w:rPr>
      </w:pPr>
    </w:p>
    <w:p w14:paraId="272FBE84" w14:textId="7233E359" w:rsidR="00B40481" w:rsidRPr="00C7595E" w:rsidRDefault="00B40481" w:rsidP="00591D80">
      <w:pPr>
        <w:pStyle w:val="Heading2"/>
      </w:pPr>
      <w:bookmarkStart w:id="22" w:name="_Toc97030912"/>
      <w:r>
        <w:t>EU Citizenship and Workers’ Rights</w:t>
      </w:r>
      <w:bookmarkEnd w:id="22"/>
    </w:p>
    <w:p w14:paraId="33C2ECC0" w14:textId="77777777" w:rsidR="00B40481" w:rsidRPr="00D62DEB" w:rsidRDefault="00B40481" w:rsidP="004656A5">
      <w:pPr>
        <w:pStyle w:val="ListParagraph"/>
        <w:spacing w:line="276" w:lineRule="auto"/>
        <w:rPr>
          <w:rFonts w:ascii="Verdana" w:hAnsi="Verdana" w:cs="Arial"/>
          <w:b/>
          <w:bCs/>
          <w:color w:val="232120"/>
        </w:rPr>
      </w:pPr>
    </w:p>
    <w:p w14:paraId="0DF34F69" w14:textId="4A3A1DE6" w:rsidR="00305950" w:rsidRPr="00305950" w:rsidRDefault="00E832F1" w:rsidP="00915669">
      <w:pPr>
        <w:pStyle w:val="BasicParagraph"/>
        <w:numPr>
          <w:ilvl w:val="1"/>
          <w:numId w:val="17"/>
        </w:numPr>
        <w:suppressAutoHyphens/>
        <w:spacing w:line="276" w:lineRule="auto"/>
        <w:rPr>
          <w:rFonts w:ascii="Verdana" w:hAnsi="Verdana" w:cs="Arial"/>
          <w:b/>
          <w:bCs/>
          <w:color w:val="232120"/>
        </w:rPr>
      </w:pPr>
      <w:r w:rsidRPr="53829189">
        <w:rPr>
          <w:rFonts w:ascii="Verdana" w:hAnsi="Verdana" w:cs="YIUEB V+ Gotham"/>
        </w:rPr>
        <w:t xml:space="preserve">Under Article 26 of the UK-EU Withdrawal Agreement, frontier workers are entitled to be issued with appropriate documentation which certifies their rights as frontier workers. </w:t>
      </w:r>
      <w:r w:rsidR="00895E8E" w:rsidRPr="53829189">
        <w:rPr>
          <w:rFonts w:ascii="Verdana" w:hAnsi="Verdana" w:cs="YIUEB V+ Gotham"/>
        </w:rPr>
        <w:t>In practical terms, this means that Irish, British and EU citizens who commenced a cross-border job on or before 31 December 2020 will benefit from the Withdrawal Agreement.</w:t>
      </w:r>
    </w:p>
    <w:p w14:paraId="3299E795" w14:textId="77777777" w:rsidR="00305950" w:rsidRDefault="00305950" w:rsidP="00305950">
      <w:pPr>
        <w:pStyle w:val="BasicParagraph"/>
        <w:suppressAutoHyphens/>
        <w:spacing w:line="276" w:lineRule="auto"/>
        <w:ind w:left="720"/>
        <w:rPr>
          <w:rFonts w:ascii="Verdana" w:hAnsi="Verdana" w:cs="Arial"/>
          <w:b/>
          <w:bCs/>
          <w:color w:val="232120"/>
        </w:rPr>
      </w:pPr>
    </w:p>
    <w:p w14:paraId="47D1ED84" w14:textId="77777777" w:rsidR="00305950" w:rsidRDefault="005807C7"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YIUEB V+ Gotham"/>
        </w:rPr>
        <w:t>The Frontier Workers Permit Scheme was established by the UK Government to ensure that EU citizens living in Ireland but working in NI on or after 1 July 2021 can prove their right to work in the UK.</w:t>
      </w:r>
      <w:r w:rsidR="002934B7" w:rsidRPr="00EC18D7">
        <w:rPr>
          <w:rStyle w:val="FootnoteReference"/>
          <w:rFonts w:ascii="Verdana" w:hAnsi="Verdana" w:cs="YIUEB V+ Gotham"/>
        </w:rPr>
        <w:footnoteReference w:id="125"/>
      </w:r>
      <w:r w:rsidR="002934B7" w:rsidRPr="00305950">
        <w:rPr>
          <w:rStyle w:val="A91"/>
          <w:rFonts w:ascii="Verdana" w:hAnsi="Verdana"/>
          <w:sz w:val="24"/>
          <w:szCs w:val="24"/>
        </w:rPr>
        <w:t xml:space="preserve"> </w:t>
      </w:r>
      <w:r w:rsidRPr="00305950">
        <w:rPr>
          <w:rFonts w:ascii="Verdana" w:hAnsi="Verdana" w:cs="YIUEB V+ Gotham"/>
        </w:rPr>
        <w:t>Any EU citizens wishing to come to the UK to work on or after 1 January 2021 will have to apply to the new points-based immigration system.</w:t>
      </w:r>
    </w:p>
    <w:p w14:paraId="5B91AD4E" w14:textId="77777777" w:rsidR="00305950" w:rsidRDefault="00305950" w:rsidP="00305950">
      <w:pPr>
        <w:pStyle w:val="ListParagraph"/>
        <w:rPr>
          <w:rFonts w:ascii="Verdana" w:hAnsi="Verdana" w:cs="YIUEB V+ Gotham"/>
        </w:rPr>
      </w:pPr>
    </w:p>
    <w:p w14:paraId="26DC4556" w14:textId="77777777" w:rsidR="00305950" w:rsidRDefault="002934B7"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YIUEB V+ Gotham"/>
        </w:rPr>
        <w:t xml:space="preserve">EU citizens, including Irish citizens, living in </w:t>
      </w:r>
      <w:proofErr w:type="gramStart"/>
      <w:r w:rsidRPr="00305950">
        <w:rPr>
          <w:rFonts w:ascii="Verdana" w:hAnsi="Verdana" w:cs="YIUEB V+ Gotham"/>
        </w:rPr>
        <w:t>NI</w:t>
      </w:r>
      <w:proofErr w:type="gramEnd"/>
      <w:r w:rsidRPr="00305950">
        <w:rPr>
          <w:rFonts w:ascii="Verdana" w:hAnsi="Verdana" w:cs="YIUEB V+ Gotham"/>
        </w:rPr>
        <w:t xml:space="preserve"> and working in Ireland on or after 1 January 2021 do not have to apply to a similar scheme as they maintain their right to work in the EU as an EU citizen. Similarly, British citizens living in NI and working in Ireland will have their right to work protected under the reciprocal guarantees associated with the Common Travel Area.</w:t>
      </w:r>
      <w:r w:rsidRPr="00EC18D7">
        <w:rPr>
          <w:rStyle w:val="FootnoteReference"/>
          <w:rFonts w:ascii="Verdana" w:hAnsi="Verdana" w:cs="YIUEB V+ Gotham"/>
        </w:rPr>
        <w:footnoteReference w:id="126"/>
      </w:r>
    </w:p>
    <w:p w14:paraId="6B5CBA5F" w14:textId="77777777" w:rsidR="00305950" w:rsidRDefault="00305950" w:rsidP="00305950">
      <w:pPr>
        <w:pStyle w:val="ListParagraph"/>
        <w:rPr>
          <w:rFonts w:ascii="Verdana" w:hAnsi="Verdana" w:cs="YIUEB V+ Gotham"/>
        </w:rPr>
      </w:pPr>
    </w:p>
    <w:p w14:paraId="57907EF1" w14:textId="77777777" w:rsidR="00305950" w:rsidRDefault="002934B7"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YIUEB V+ Gotham"/>
        </w:rPr>
        <w:t xml:space="preserve">The Citizens’ Rights (Frontier Workers) (EU Exit) Regulations 2020 set out the rules governing the application of the frontier workers permit scheme, the time frames within which applications </w:t>
      </w:r>
      <w:proofErr w:type="gramStart"/>
      <w:r w:rsidRPr="00305950">
        <w:rPr>
          <w:rFonts w:ascii="Verdana" w:hAnsi="Verdana" w:cs="YIUEB V+ Gotham"/>
        </w:rPr>
        <w:t>have to</w:t>
      </w:r>
      <w:proofErr w:type="gramEnd"/>
      <w:r w:rsidRPr="00305950">
        <w:rPr>
          <w:rFonts w:ascii="Verdana" w:hAnsi="Verdana" w:cs="YIUEB V+ Gotham"/>
        </w:rPr>
        <w:t xml:space="preserve"> be made, and the grounds upon which a refusal can be issued. They also set out the circumstances in which a worker or self-employed person can retain their status. These cover instances involving accidents, illnesses, engagement in vocational training and pregnancy or childbirth.</w:t>
      </w:r>
      <w:r w:rsidRPr="00EC18D7">
        <w:rPr>
          <w:rStyle w:val="FootnoteReference"/>
          <w:rFonts w:ascii="Verdana" w:hAnsi="Verdana" w:cs="YIUEB V+ Gotham"/>
        </w:rPr>
        <w:footnoteReference w:id="127"/>
      </w:r>
      <w:r w:rsidRPr="00305950">
        <w:rPr>
          <w:rStyle w:val="A91"/>
          <w:rFonts w:ascii="Verdana" w:hAnsi="Verdana"/>
          <w:sz w:val="24"/>
          <w:szCs w:val="24"/>
        </w:rPr>
        <w:t xml:space="preserve"> </w:t>
      </w:r>
      <w:r w:rsidRPr="00305950">
        <w:rPr>
          <w:rFonts w:ascii="Verdana" w:hAnsi="Verdana" w:cs="YIUEB V+ Gotham"/>
        </w:rPr>
        <w:t>The regulations confirm that applications can be refused on grounds of public policy, public security, public health or on grounds of misuse of rights.</w:t>
      </w:r>
      <w:r w:rsidRPr="00EC18D7">
        <w:rPr>
          <w:rStyle w:val="FootnoteReference"/>
          <w:rFonts w:ascii="Verdana" w:hAnsi="Verdana" w:cs="YIUEB V+ Gotham"/>
        </w:rPr>
        <w:footnoteReference w:id="128"/>
      </w:r>
      <w:r w:rsidRPr="00305950">
        <w:rPr>
          <w:rStyle w:val="A91"/>
          <w:rFonts w:ascii="Verdana" w:hAnsi="Verdana"/>
          <w:sz w:val="24"/>
          <w:szCs w:val="24"/>
        </w:rPr>
        <w:t xml:space="preserve"> </w:t>
      </w:r>
      <w:r w:rsidRPr="00305950">
        <w:rPr>
          <w:rFonts w:ascii="Verdana" w:hAnsi="Verdana" w:cs="YIUEB V+ Gotham"/>
        </w:rPr>
        <w:t xml:space="preserve">The regulations are likely to apply to </w:t>
      </w:r>
      <w:proofErr w:type="gramStart"/>
      <w:r w:rsidRPr="00305950">
        <w:rPr>
          <w:rFonts w:ascii="Verdana" w:hAnsi="Verdana" w:cs="YIUEB V+ Gotham"/>
        </w:rPr>
        <w:t>a number of</w:t>
      </w:r>
      <w:proofErr w:type="gramEnd"/>
      <w:r w:rsidRPr="00305950">
        <w:rPr>
          <w:rFonts w:ascii="Verdana" w:hAnsi="Verdana" w:cs="YIUEB V+ Gotham"/>
        </w:rPr>
        <w:t xml:space="preserve"> EU citizens travelling between Ireland and NI for work.</w:t>
      </w:r>
    </w:p>
    <w:p w14:paraId="5D62D8AA" w14:textId="77777777" w:rsidR="00305950" w:rsidRDefault="00305950" w:rsidP="00305950">
      <w:pPr>
        <w:pStyle w:val="ListParagraph"/>
        <w:rPr>
          <w:rFonts w:ascii="Verdana" w:hAnsi="Verdana" w:cs="Arial"/>
        </w:rPr>
      </w:pPr>
    </w:p>
    <w:p w14:paraId="27968B1F" w14:textId="77777777" w:rsidR="00305950" w:rsidRDefault="002934B7"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Arial"/>
          <w:color w:val="auto"/>
        </w:rPr>
        <w:t xml:space="preserve">The NIHRC notes that </w:t>
      </w:r>
      <w:proofErr w:type="gramStart"/>
      <w:r w:rsidRPr="00305950">
        <w:rPr>
          <w:rFonts w:ascii="Verdana" w:hAnsi="Verdana" w:cs="Arial"/>
          <w:color w:val="auto"/>
        </w:rPr>
        <w:t>a number of</w:t>
      </w:r>
      <w:proofErr w:type="gramEnd"/>
      <w:r w:rsidRPr="00305950">
        <w:rPr>
          <w:rFonts w:ascii="Verdana" w:hAnsi="Verdana" w:cs="Arial"/>
          <w:color w:val="auto"/>
        </w:rPr>
        <w:t xml:space="preserve"> civil society organisations raised concerns about this scheme, including the lack of consultation and impact assessment in advance of the regulations being published and the limited period provided for registration.</w:t>
      </w:r>
      <w:r w:rsidRPr="000C4E0F">
        <w:rPr>
          <w:rStyle w:val="FootnoteReference"/>
          <w:rFonts w:ascii="Verdana" w:hAnsi="Verdana" w:cs="Arial"/>
          <w:color w:val="auto"/>
        </w:rPr>
        <w:footnoteReference w:id="129"/>
      </w:r>
    </w:p>
    <w:p w14:paraId="5563F901" w14:textId="77777777" w:rsidR="00305950" w:rsidRDefault="00305950" w:rsidP="00305950">
      <w:pPr>
        <w:pStyle w:val="ListParagraph"/>
        <w:rPr>
          <w:rFonts w:ascii="Verdana" w:hAnsi="Verdana" w:cs="Arial"/>
          <w:b/>
          <w:bCs/>
          <w:color w:val="232120"/>
        </w:rPr>
      </w:pPr>
    </w:p>
    <w:p w14:paraId="21556D56" w14:textId="5406D326" w:rsidR="004F1016" w:rsidRDefault="00EC18D7" w:rsidP="00915669">
      <w:pPr>
        <w:pStyle w:val="BasicParagraph"/>
        <w:numPr>
          <w:ilvl w:val="1"/>
          <w:numId w:val="17"/>
        </w:numPr>
        <w:suppressAutoHyphens/>
        <w:spacing w:line="276" w:lineRule="auto"/>
        <w:rPr>
          <w:rFonts w:ascii="Verdana" w:hAnsi="Verdana" w:cs="Arial"/>
          <w:b/>
          <w:bCs/>
          <w:color w:val="232120"/>
        </w:rPr>
      </w:pPr>
      <w:r w:rsidRPr="00305950">
        <w:rPr>
          <w:rFonts w:ascii="Verdana" w:hAnsi="Verdana" w:cs="Arial"/>
          <w:b/>
          <w:bCs/>
          <w:color w:val="232120"/>
        </w:rPr>
        <w:t>The Adv</w:t>
      </w:r>
      <w:r w:rsidR="00B55BBF" w:rsidRPr="00305950">
        <w:rPr>
          <w:rFonts w:ascii="Verdana" w:hAnsi="Verdana" w:cs="Arial"/>
          <w:b/>
          <w:bCs/>
          <w:color w:val="232120"/>
        </w:rPr>
        <w:t xml:space="preserve">isory Committee may wish to </w:t>
      </w:r>
      <w:r w:rsidR="0032572D" w:rsidRPr="00305950">
        <w:rPr>
          <w:rFonts w:ascii="Verdana" w:hAnsi="Verdana" w:cs="Arial"/>
          <w:b/>
          <w:bCs/>
          <w:color w:val="232120"/>
        </w:rPr>
        <w:t>ask the State Party what steps are being taken to</w:t>
      </w:r>
      <w:r w:rsidR="000E3A9C" w:rsidRPr="00305950">
        <w:rPr>
          <w:rFonts w:ascii="Verdana" w:hAnsi="Verdana" w:cs="Arial"/>
          <w:b/>
          <w:bCs/>
          <w:color w:val="232120"/>
        </w:rPr>
        <w:t xml:space="preserve"> recognise that </w:t>
      </w:r>
      <w:r w:rsidR="0032572D" w:rsidRPr="00305950">
        <w:rPr>
          <w:rFonts w:ascii="Verdana" w:hAnsi="Verdana" w:cs="Arial"/>
          <w:b/>
          <w:bCs/>
          <w:color w:val="232120"/>
        </w:rPr>
        <w:t>people living and working across</w:t>
      </w:r>
      <w:r w:rsidR="000E3A9C" w:rsidRPr="00305950">
        <w:rPr>
          <w:rFonts w:ascii="Verdana" w:hAnsi="Verdana" w:cs="Arial"/>
          <w:b/>
          <w:bCs/>
          <w:color w:val="232120"/>
        </w:rPr>
        <w:t xml:space="preserve"> the border are in a particularly vulnerable situation and </w:t>
      </w:r>
      <w:r w:rsidR="001C5B8F" w:rsidRPr="00305950">
        <w:rPr>
          <w:rFonts w:ascii="Verdana" w:hAnsi="Verdana" w:cs="Arial"/>
          <w:b/>
          <w:bCs/>
          <w:color w:val="232120"/>
        </w:rPr>
        <w:t xml:space="preserve">to </w:t>
      </w:r>
      <w:r w:rsidR="000E3A9C" w:rsidRPr="00305950">
        <w:rPr>
          <w:rFonts w:ascii="Verdana" w:hAnsi="Verdana" w:cs="Arial"/>
          <w:b/>
          <w:bCs/>
          <w:color w:val="232120"/>
        </w:rPr>
        <w:t xml:space="preserve">ensure that no eligible worker of self-employed person </w:t>
      </w:r>
      <w:r w:rsidR="001C5B8F" w:rsidRPr="00305950">
        <w:rPr>
          <w:rFonts w:ascii="Verdana" w:hAnsi="Verdana" w:cs="Arial"/>
          <w:b/>
          <w:bCs/>
          <w:color w:val="232120"/>
        </w:rPr>
        <w:t>is</w:t>
      </w:r>
      <w:r w:rsidR="000E3A9C" w:rsidRPr="00305950">
        <w:rPr>
          <w:rFonts w:ascii="Verdana" w:hAnsi="Verdana" w:cs="Arial"/>
          <w:b/>
          <w:bCs/>
          <w:color w:val="232120"/>
        </w:rPr>
        <w:t xml:space="preserve"> left </w:t>
      </w:r>
      <w:r w:rsidR="001C5B8F" w:rsidRPr="00305950">
        <w:rPr>
          <w:rFonts w:ascii="Verdana" w:hAnsi="Verdana" w:cs="Arial"/>
          <w:b/>
          <w:bCs/>
          <w:color w:val="232120"/>
        </w:rPr>
        <w:t>unprotected</w:t>
      </w:r>
      <w:r w:rsidR="000E3A9C" w:rsidRPr="00305950">
        <w:rPr>
          <w:rFonts w:ascii="Verdana" w:hAnsi="Verdana" w:cs="Arial"/>
          <w:b/>
          <w:bCs/>
          <w:color w:val="232120"/>
        </w:rPr>
        <w:t xml:space="preserve"> by the </w:t>
      </w:r>
      <w:r w:rsidR="001C5B8F" w:rsidRPr="00305950">
        <w:rPr>
          <w:rFonts w:ascii="Verdana" w:hAnsi="Verdana" w:cs="Arial"/>
          <w:b/>
          <w:bCs/>
          <w:color w:val="232120"/>
        </w:rPr>
        <w:t>frontier worker scheme.</w:t>
      </w:r>
    </w:p>
    <w:p w14:paraId="2230AF68" w14:textId="77777777" w:rsidR="001753BE" w:rsidRDefault="001753BE" w:rsidP="001753BE">
      <w:pPr>
        <w:pStyle w:val="ListParagraph"/>
        <w:rPr>
          <w:rFonts w:ascii="Verdana" w:hAnsi="Verdana" w:cs="Arial"/>
          <w:b/>
          <w:bCs/>
          <w:color w:val="232120"/>
        </w:rPr>
      </w:pPr>
    </w:p>
    <w:p w14:paraId="24DF363E" w14:textId="3DD3EBEB" w:rsidR="001753BE" w:rsidRPr="00305950" w:rsidRDefault="001753BE" w:rsidP="001753BE">
      <w:pPr>
        <w:pStyle w:val="Heading2"/>
      </w:pPr>
      <w:bookmarkStart w:id="23" w:name="_Toc97030913"/>
      <w:r>
        <w:t>Nationality and Borders Bill</w:t>
      </w:r>
      <w:bookmarkEnd w:id="23"/>
    </w:p>
    <w:p w14:paraId="21770005" w14:textId="77777777" w:rsidR="004F1016" w:rsidRDefault="004F1016" w:rsidP="004F1016">
      <w:pPr>
        <w:pStyle w:val="ListParagraph"/>
        <w:rPr>
          <w:rFonts w:ascii="Verdana" w:hAnsi="Verdana" w:cs="Arial"/>
          <w:color w:val="232120"/>
        </w:rPr>
      </w:pPr>
    </w:p>
    <w:p w14:paraId="682E26D7" w14:textId="4D950542" w:rsidR="00760D6E" w:rsidRPr="00760D6E" w:rsidRDefault="007233C2" w:rsidP="00915669">
      <w:pPr>
        <w:pStyle w:val="BasicParagraph"/>
        <w:numPr>
          <w:ilvl w:val="1"/>
          <w:numId w:val="17"/>
        </w:numPr>
        <w:suppressAutoHyphens/>
        <w:spacing w:line="276" w:lineRule="auto"/>
        <w:rPr>
          <w:rFonts w:ascii="Verdana" w:hAnsi="Verdana" w:cs="Arial"/>
          <w:color w:val="232120"/>
        </w:rPr>
      </w:pPr>
      <w:r w:rsidRPr="004F1016">
        <w:rPr>
          <w:rFonts w:ascii="Verdana" w:hAnsi="Verdana" w:cs="Arial"/>
          <w:color w:val="232120"/>
        </w:rPr>
        <w:t>The</w:t>
      </w:r>
      <w:r w:rsidR="00CE7A21" w:rsidRPr="004F1016">
        <w:rPr>
          <w:rFonts w:ascii="Verdana" w:hAnsi="Verdana" w:cs="Arial"/>
          <w:color w:val="232120"/>
        </w:rPr>
        <w:t xml:space="preserve"> </w:t>
      </w:r>
      <w:r w:rsidRPr="004F1016">
        <w:rPr>
          <w:rFonts w:ascii="Verdana" w:hAnsi="Verdana" w:cs="Arial"/>
          <w:color w:val="232120"/>
        </w:rPr>
        <w:t xml:space="preserve">NIHRC </w:t>
      </w:r>
      <w:r w:rsidR="00852B11" w:rsidRPr="004F1016">
        <w:rPr>
          <w:rFonts w:ascii="Verdana" w:hAnsi="Verdana" w:cs="Arial"/>
          <w:color w:val="232120"/>
        </w:rPr>
        <w:t>is</w:t>
      </w:r>
      <w:r w:rsidRPr="004F1016">
        <w:rPr>
          <w:rFonts w:ascii="Verdana" w:hAnsi="Verdana" w:cs="Arial"/>
          <w:color w:val="232120"/>
        </w:rPr>
        <w:t xml:space="preserve"> concerned </w:t>
      </w:r>
      <w:r w:rsidR="0065400B" w:rsidRPr="004F1016">
        <w:rPr>
          <w:rFonts w:ascii="Verdana" w:hAnsi="Verdana" w:cs="Arial"/>
          <w:color w:val="232120"/>
        </w:rPr>
        <w:t>that the</w:t>
      </w:r>
      <w:r w:rsidR="00093FCC" w:rsidRPr="004F1016">
        <w:rPr>
          <w:rFonts w:ascii="Verdana" w:hAnsi="Verdana" w:cs="Arial"/>
          <w:color w:val="232120"/>
        </w:rPr>
        <w:t xml:space="preserve"> </w:t>
      </w:r>
      <w:r w:rsidR="0065400B" w:rsidRPr="004F1016">
        <w:rPr>
          <w:rFonts w:ascii="Verdana" w:hAnsi="Verdana" w:cs="Arial"/>
          <w:color w:val="232120"/>
        </w:rPr>
        <w:t>Nationality and Borders</w:t>
      </w:r>
      <w:r w:rsidR="00CE7A21" w:rsidRPr="004F1016">
        <w:rPr>
          <w:rFonts w:ascii="Verdana" w:hAnsi="Verdana" w:cs="Arial"/>
          <w:color w:val="232120"/>
        </w:rPr>
        <w:t xml:space="preserve"> Bill</w:t>
      </w:r>
      <w:r w:rsidR="00E73688" w:rsidRPr="004F1016">
        <w:rPr>
          <w:rFonts w:ascii="Verdana" w:hAnsi="Verdana" w:cs="Arial"/>
          <w:color w:val="232120"/>
        </w:rPr>
        <w:t xml:space="preserve">, </w:t>
      </w:r>
      <w:r w:rsidR="00E93116" w:rsidRPr="004F1016">
        <w:rPr>
          <w:rFonts w:ascii="Verdana" w:hAnsi="Verdana" w:cs="Arial"/>
          <w:color w:val="232120"/>
        </w:rPr>
        <w:t>recently</w:t>
      </w:r>
      <w:r w:rsidR="00291C8B" w:rsidRPr="004F1016">
        <w:rPr>
          <w:rFonts w:ascii="Verdana" w:hAnsi="Verdana" w:cs="Arial"/>
          <w:color w:val="232120"/>
        </w:rPr>
        <w:t xml:space="preserve"> </w:t>
      </w:r>
      <w:r w:rsidR="00E73688" w:rsidRPr="004F1016">
        <w:rPr>
          <w:rFonts w:ascii="Verdana" w:hAnsi="Verdana" w:cs="Arial"/>
          <w:color w:val="232120"/>
        </w:rPr>
        <w:t>introduced to the Westminster Parliament,</w:t>
      </w:r>
      <w:r w:rsidR="00567F14">
        <w:rPr>
          <w:rStyle w:val="FootnoteReference"/>
          <w:rFonts w:ascii="Verdana" w:hAnsi="Verdana" w:cs="Arial"/>
          <w:color w:val="232120"/>
        </w:rPr>
        <w:footnoteReference w:id="130"/>
      </w:r>
      <w:r w:rsidR="00F62B7C" w:rsidRPr="004F1016">
        <w:rPr>
          <w:rFonts w:ascii="Verdana" w:hAnsi="Verdana" w:cs="Arial"/>
          <w:color w:val="232120"/>
        </w:rPr>
        <w:t xml:space="preserve"> </w:t>
      </w:r>
      <w:r w:rsidR="001D5E54" w:rsidRPr="004F1016">
        <w:rPr>
          <w:rFonts w:ascii="Verdana" w:hAnsi="Verdana" w:cs="Arial"/>
          <w:color w:val="232120"/>
        </w:rPr>
        <w:t xml:space="preserve">will </w:t>
      </w:r>
      <w:r w:rsidR="001D5E54" w:rsidRPr="004F1016">
        <w:rPr>
          <w:rFonts w:ascii="Verdana" w:hAnsi="Verdana" w:cstheme="majorHAnsi"/>
        </w:rPr>
        <w:t>encroach on provisions within devolved legislation, primarily around support for victims of human trafficking.</w:t>
      </w:r>
      <w:r w:rsidR="001D5E54" w:rsidRPr="00CB3AC1">
        <w:rPr>
          <w:rStyle w:val="FootnoteReference"/>
          <w:rFonts w:ascii="Verdana" w:hAnsi="Verdana" w:cstheme="majorHAnsi"/>
        </w:rPr>
        <w:footnoteReference w:id="131"/>
      </w:r>
      <w:r w:rsidR="003647BD" w:rsidRPr="004F1016">
        <w:rPr>
          <w:rFonts w:ascii="Verdana" w:hAnsi="Verdana" w:cstheme="majorHAnsi"/>
        </w:rPr>
        <w:t xml:space="preserve"> </w:t>
      </w:r>
      <w:r w:rsidR="00D74DE8" w:rsidRPr="004F1016">
        <w:rPr>
          <w:rFonts w:ascii="Verdana" w:hAnsi="Verdana" w:cstheme="majorHAnsi"/>
        </w:rPr>
        <w:t>Asylum seekers</w:t>
      </w:r>
      <w:r w:rsidR="00354683" w:rsidRPr="004F1016">
        <w:rPr>
          <w:rFonts w:ascii="Verdana" w:hAnsi="Verdana" w:cstheme="majorHAnsi"/>
        </w:rPr>
        <w:t xml:space="preserve">, </w:t>
      </w:r>
      <w:proofErr w:type="gramStart"/>
      <w:r w:rsidR="00354683" w:rsidRPr="004F1016">
        <w:rPr>
          <w:rFonts w:ascii="Verdana" w:hAnsi="Verdana" w:cstheme="majorHAnsi"/>
        </w:rPr>
        <w:t>refugees</w:t>
      </w:r>
      <w:proofErr w:type="gramEnd"/>
      <w:r w:rsidR="00D74DE8" w:rsidRPr="004F1016">
        <w:rPr>
          <w:rFonts w:ascii="Verdana" w:hAnsi="Verdana" w:cstheme="majorHAnsi"/>
        </w:rPr>
        <w:t xml:space="preserve"> and </w:t>
      </w:r>
      <w:r w:rsidR="00354683" w:rsidRPr="004F1016">
        <w:rPr>
          <w:rFonts w:ascii="Verdana" w:hAnsi="Verdana" w:cstheme="majorHAnsi"/>
        </w:rPr>
        <w:t xml:space="preserve">irregular </w:t>
      </w:r>
      <w:r w:rsidR="00D74DE8" w:rsidRPr="004F1016">
        <w:rPr>
          <w:rFonts w:ascii="Verdana" w:hAnsi="Verdana" w:cstheme="majorHAnsi"/>
        </w:rPr>
        <w:t>migrants with</w:t>
      </w:r>
      <w:r w:rsidR="003F6212" w:rsidRPr="004F1016">
        <w:rPr>
          <w:rFonts w:ascii="Verdana" w:hAnsi="Verdana" w:cstheme="majorHAnsi"/>
        </w:rPr>
        <w:t xml:space="preserve"> </w:t>
      </w:r>
      <w:r w:rsidR="00596FEA" w:rsidRPr="004F1016">
        <w:rPr>
          <w:rFonts w:ascii="Verdana" w:hAnsi="Verdana" w:cstheme="majorHAnsi"/>
        </w:rPr>
        <w:t>limited</w:t>
      </w:r>
      <w:r w:rsidR="003F6212" w:rsidRPr="004F1016">
        <w:rPr>
          <w:rFonts w:ascii="Verdana" w:hAnsi="Verdana" w:cstheme="majorHAnsi"/>
        </w:rPr>
        <w:t xml:space="preserve"> </w:t>
      </w:r>
      <w:r w:rsidR="00D74DE8" w:rsidRPr="004F1016">
        <w:rPr>
          <w:rFonts w:ascii="Verdana" w:hAnsi="Verdana" w:cstheme="majorHAnsi"/>
        </w:rPr>
        <w:t xml:space="preserve">access to legitimate forms of employment, legal status or social protection </w:t>
      </w:r>
      <w:r w:rsidR="00354683" w:rsidRPr="004F1016">
        <w:rPr>
          <w:rFonts w:ascii="Verdana" w:hAnsi="Verdana" w:cstheme="majorHAnsi"/>
        </w:rPr>
        <w:t>are at particular risk to trafficking and modern slavery.</w:t>
      </w:r>
      <w:r w:rsidR="00354683">
        <w:rPr>
          <w:rStyle w:val="FootnoteReference"/>
          <w:rFonts w:ascii="Verdana" w:hAnsi="Verdana" w:cstheme="majorHAnsi"/>
        </w:rPr>
        <w:footnoteReference w:id="132"/>
      </w:r>
    </w:p>
    <w:p w14:paraId="68F7982E" w14:textId="77777777" w:rsidR="00760D6E" w:rsidRPr="00760D6E" w:rsidRDefault="00760D6E" w:rsidP="00760D6E">
      <w:pPr>
        <w:pStyle w:val="BasicParagraph"/>
        <w:suppressAutoHyphens/>
        <w:spacing w:line="276" w:lineRule="auto"/>
        <w:ind w:left="720"/>
        <w:rPr>
          <w:rFonts w:ascii="Verdana" w:hAnsi="Verdana" w:cs="Arial"/>
          <w:color w:val="232120"/>
        </w:rPr>
      </w:pPr>
    </w:p>
    <w:p w14:paraId="39B13F86" w14:textId="77777777" w:rsidR="00760D6E" w:rsidRPr="00760D6E" w:rsidRDefault="00EA300F"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theme="majorHAnsi"/>
        </w:rPr>
        <w:t xml:space="preserve">The NIHRC </w:t>
      </w:r>
      <w:r w:rsidR="00AE29A3" w:rsidRPr="00760D6E">
        <w:rPr>
          <w:rFonts w:ascii="Verdana" w:hAnsi="Verdana" w:cstheme="majorHAnsi"/>
        </w:rPr>
        <w:t xml:space="preserve">is </w:t>
      </w:r>
      <w:r w:rsidRPr="00760D6E">
        <w:rPr>
          <w:rFonts w:ascii="Verdana" w:hAnsi="Verdana" w:cstheme="majorHAnsi"/>
        </w:rPr>
        <w:t>concern</w:t>
      </w:r>
      <w:r w:rsidR="00AE29A3" w:rsidRPr="00760D6E">
        <w:rPr>
          <w:rFonts w:ascii="Verdana" w:hAnsi="Verdana" w:cstheme="majorHAnsi"/>
        </w:rPr>
        <w:t>ed</w:t>
      </w:r>
      <w:r w:rsidRPr="00760D6E">
        <w:rPr>
          <w:rFonts w:ascii="Verdana" w:hAnsi="Verdana" w:cstheme="majorHAnsi"/>
        </w:rPr>
        <w:t xml:space="preserve"> that the Bill</w:t>
      </w:r>
      <w:r w:rsidR="00AE29A3" w:rsidRPr="00760D6E">
        <w:rPr>
          <w:rFonts w:ascii="Verdana" w:hAnsi="Verdana" w:cstheme="majorHAnsi"/>
        </w:rPr>
        <w:t>,</w:t>
      </w:r>
      <w:r w:rsidRPr="00760D6E">
        <w:rPr>
          <w:rFonts w:ascii="Verdana" w:hAnsi="Verdana" w:cstheme="majorHAnsi"/>
        </w:rPr>
        <w:t xml:space="preserve"> </w:t>
      </w:r>
      <w:r w:rsidR="007B4097" w:rsidRPr="00760D6E">
        <w:rPr>
          <w:rFonts w:ascii="Verdana" w:hAnsi="Verdana" w:cstheme="majorHAnsi"/>
        </w:rPr>
        <w:t>in its current form</w:t>
      </w:r>
      <w:r w:rsidR="00AE29A3" w:rsidRPr="00760D6E">
        <w:rPr>
          <w:rFonts w:ascii="Verdana" w:hAnsi="Verdana" w:cstheme="majorHAnsi"/>
        </w:rPr>
        <w:t>,</w:t>
      </w:r>
      <w:r w:rsidR="007B4097" w:rsidRPr="00760D6E">
        <w:rPr>
          <w:rFonts w:ascii="Verdana" w:hAnsi="Verdana" w:cstheme="majorHAnsi"/>
        </w:rPr>
        <w:t xml:space="preserve"> </w:t>
      </w:r>
      <w:r w:rsidR="00AE29A3" w:rsidRPr="00760D6E">
        <w:rPr>
          <w:rFonts w:ascii="Verdana" w:hAnsi="Verdana" w:cstheme="majorHAnsi"/>
        </w:rPr>
        <w:t>fails</w:t>
      </w:r>
      <w:r w:rsidR="00667E1A" w:rsidRPr="00760D6E">
        <w:rPr>
          <w:rFonts w:ascii="Verdana" w:hAnsi="Verdana" w:cstheme="majorHAnsi"/>
        </w:rPr>
        <w:t xml:space="preserve"> to recognise the impact of trauma experienced by a victim of trafficking</w:t>
      </w:r>
      <w:r w:rsidR="00474AAA" w:rsidRPr="00760D6E">
        <w:rPr>
          <w:rFonts w:ascii="Verdana" w:hAnsi="Verdana" w:cstheme="majorHAnsi"/>
        </w:rPr>
        <w:t xml:space="preserve"> or modern slavery, fai</w:t>
      </w:r>
      <w:r w:rsidR="007E502D" w:rsidRPr="00760D6E">
        <w:rPr>
          <w:rFonts w:ascii="Verdana" w:hAnsi="Verdana" w:cstheme="majorHAnsi"/>
        </w:rPr>
        <w:t>lure</w:t>
      </w:r>
      <w:r w:rsidR="00474AAA" w:rsidRPr="00760D6E">
        <w:rPr>
          <w:rFonts w:ascii="Verdana" w:hAnsi="Verdana" w:cstheme="majorHAnsi"/>
        </w:rPr>
        <w:t xml:space="preserve"> to acknowledge the positive obligation on the State to identify victims, failure to ensure victims receive specific treatment aimed at preventing secondary victimisation</w:t>
      </w:r>
      <w:r w:rsidR="007E502D" w:rsidRPr="00760D6E">
        <w:rPr>
          <w:rFonts w:ascii="Verdana" w:hAnsi="Verdana" w:cstheme="majorHAnsi"/>
        </w:rPr>
        <w:t>,</w:t>
      </w:r>
      <w:r w:rsidR="00474AAA" w:rsidRPr="00760D6E">
        <w:rPr>
          <w:rFonts w:ascii="Verdana" w:hAnsi="Verdana" w:cstheme="majorHAnsi"/>
        </w:rPr>
        <w:t xml:space="preserve"> and </w:t>
      </w:r>
      <w:r w:rsidR="007E502D" w:rsidRPr="00760D6E">
        <w:rPr>
          <w:rFonts w:ascii="Verdana" w:hAnsi="Verdana" w:cstheme="majorHAnsi"/>
        </w:rPr>
        <w:t xml:space="preserve">to ensure non-prosecution of the victim relating to crimes they were compelled to commit </w:t>
      </w:r>
      <w:proofErr w:type="gramStart"/>
      <w:r w:rsidR="007E502D" w:rsidRPr="00760D6E">
        <w:rPr>
          <w:rFonts w:ascii="Verdana" w:hAnsi="Verdana" w:cstheme="majorHAnsi"/>
        </w:rPr>
        <w:t>as a consequence of</w:t>
      </w:r>
      <w:proofErr w:type="gramEnd"/>
      <w:r w:rsidR="007E502D" w:rsidRPr="00760D6E">
        <w:rPr>
          <w:rFonts w:ascii="Verdana" w:hAnsi="Verdana" w:cstheme="majorHAnsi"/>
        </w:rPr>
        <w:t xml:space="preserve"> being trafficked.</w:t>
      </w:r>
      <w:r w:rsidR="007E502D">
        <w:rPr>
          <w:rStyle w:val="FootnoteReference"/>
          <w:rFonts w:ascii="Verdana" w:hAnsi="Verdana" w:cstheme="majorHAnsi"/>
        </w:rPr>
        <w:footnoteReference w:id="133"/>
      </w:r>
    </w:p>
    <w:p w14:paraId="5FDECC92" w14:textId="77777777" w:rsidR="00760D6E" w:rsidRDefault="00760D6E" w:rsidP="00760D6E">
      <w:pPr>
        <w:pStyle w:val="ListParagraph"/>
        <w:rPr>
          <w:rFonts w:ascii="Verdana" w:hAnsi="Verdana" w:cstheme="majorHAnsi"/>
        </w:rPr>
      </w:pPr>
    </w:p>
    <w:p w14:paraId="1A6F4DB1" w14:textId="77777777" w:rsidR="00760D6E" w:rsidRPr="00760D6E" w:rsidRDefault="002E3367"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theme="majorHAnsi"/>
        </w:rPr>
        <w:t xml:space="preserve">The NIHRC </w:t>
      </w:r>
      <w:r w:rsidR="00AE29A3" w:rsidRPr="00760D6E">
        <w:rPr>
          <w:rFonts w:ascii="Verdana" w:hAnsi="Verdana" w:cstheme="majorHAnsi"/>
        </w:rPr>
        <w:t xml:space="preserve">has raised specific concerns about compliance </w:t>
      </w:r>
      <w:r w:rsidR="00505795" w:rsidRPr="00760D6E">
        <w:rPr>
          <w:rFonts w:ascii="Verdana" w:hAnsi="Verdana" w:cstheme="majorHAnsi"/>
        </w:rPr>
        <w:t xml:space="preserve">about the Bill, with regards to its frustration of </w:t>
      </w:r>
      <w:r w:rsidR="00AE29A3" w:rsidRPr="00760D6E">
        <w:rPr>
          <w:rFonts w:ascii="Verdana" w:hAnsi="Verdana" w:cstheme="majorHAnsi"/>
        </w:rPr>
        <w:t xml:space="preserve">the </w:t>
      </w:r>
      <w:r w:rsidR="00DC5D11" w:rsidRPr="00760D6E">
        <w:rPr>
          <w:rFonts w:ascii="Verdana" w:hAnsi="Verdana" w:cstheme="majorHAnsi"/>
        </w:rPr>
        <w:t xml:space="preserve">Trafficking </w:t>
      </w:r>
      <w:r w:rsidR="00AE29A3" w:rsidRPr="00760D6E">
        <w:rPr>
          <w:rFonts w:ascii="Verdana" w:hAnsi="Verdana" w:cstheme="majorHAnsi"/>
        </w:rPr>
        <w:t>Directive</w:t>
      </w:r>
      <w:r w:rsidR="00505795" w:rsidRPr="00760D6E">
        <w:rPr>
          <w:rFonts w:ascii="Verdana" w:hAnsi="Verdana" w:cstheme="majorHAnsi"/>
        </w:rPr>
        <w:t>,</w:t>
      </w:r>
      <w:r w:rsidR="001973E7">
        <w:rPr>
          <w:rStyle w:val="FootnoteReference"/>
          <w:rFonts w:ascii="Verdana" w:hAnsi="Verdana" w:cstheme="majorHAnsi"/>
        </w:rPr>
        <w:footnoteReference w:id="134"/>
      </w:r>
      <w:r w:rsidR="00AE29A3" w:rsidRPr="00760D6E">
        <w:rPr>
          <w:rFonts w:ascii="Verdana" w:hAnsi="Verdana" w:cstheme="majorHAnsi"/>
        </w:rPr>
        <w:t xml:space="preserve"> and</w:t>
      </w:r>
      <w:r w:rsidRPr="00760D6E">
        <w:rPr>
          <w:rFonts w:ascii="Verdana" w:hAnsi="Verdana" w:cstheme="majorHAnsi"/>
        </w:rPr>
        <w:t xml:space="preserve"> </w:t>
      </w:r>
      <w:r w:rsidR="00505795" w:rsidRPr="00760D6E">
        <w:rPr>
          <w:rFonts w:ascii="Verdana" w:hAnsi="Verdana" w:cstheme="majorHAnsi"/>
        </w:rPr>
        <w:t xml:space="preserve">further notes </w:t>
      </w:r>
      <w:r w:rsidRPr="00760D6E">
        <w:rPr>
          <w:rFonts w:ascii="Verdana" w:hAnsi="Verdana" w:cstheme="majorHAnsi"/>
        </w:rPr>
        <w:t xml:space="preserve">that three UN Special Rapporteurs have raised concerns about the Bill </w:t>
      </w:r>
      <w:r w:rsidR="008026E3" w:rsidRPr="00760D6E">
        <w:rPr>
          <w:rFonts w:ascii="Verdana" w:hAnsi="Verdana" w:cstheme="majorHAnsi"/>
        </w:rPr>
        <w:t>and</w:t>
      </w:r>
      <w:r w:rsidR="00387825" w:rsidRPr="00760D6E">
        <w:rPr>
          <w:rFonts w:ascii="Verdana" w:hAnsi="Verdana" w:cstheme="majorHAnsi"/>
        </w:rPr>
        <w:t xml:space="preserve"> its compliance with </w:t>
      </w:r>
      <w:r w:rsidR="001D5E54" w:rsidRPr="00760D6E">
        <w:rPr>
          <w:rFonts w:ascii="Verdana" w:hAnsi="Verdana" w:cstheme="majorHAnsi"/>
        </w:rPr>
        <w:t>international</w:t>
      </w:r>
      <w:r w:rsidR="00387825" w:rsidRPr="00760D6E">
        <w:rPr>
          <w:rFonts w:ascii="Verdana" w:hAnsi="Verdana" w:cstheme="majorHAnsi"/>
        </w:rPr>
        <w:t xml:space="preserve"> obligations </w:t>
      </w:r>
      <w:r w:rsidR="008026E3" w:rsidRPr="00760D6E">
        <w:rPr>
          <w:rFonts w:ascii="Verdana" w:hAnsi="Verdana" w:cstheme="majorHAnsi"/>
        </w:rPr>
        <w:t>in relation to trafficking and modern slavery.</w:t>
      </w:r>
      <w:r w:rsidR="008026E3">
        <w:rPr>
          <w:rStyle w:val="FootnoteReference"/>
          <w:rFonts w:ascii="Verdana" w:hAnsi="Verdana" w:cstheme="majorHAnsi"/>
        </w:rPr>
        <w:footnoteReference w:id="135"/>
      </w:r>
    </w:p>
    <w:p w14:paraId="3B045060" w14:textId="77777777" w:rsidR="00760D6E" w:rsidRDefault="00760D6E" w:rsidP="00760D6E">
      <w:pPr>
        <w:pStyle w:val="ListParagraph"/>
        <w:rPr>
          <w:rFonts w:ascii="Verdana" w:hAnsi="Verdana" w:cstheme="majorHAnsi"/>
        </w:rPr>
      </w:pPr>
    </w:p>
    <w:p w14:paraId="65586E4C" w14:textId="77777777" w:rsidR="00760D6E" w:rsidRPr="00760D6E" w:rsidRDefault="00D32EF1"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theme="majorHAnsi"/>
        </w:rPr>
        <w:t xml:space="preserve">The NIHRC also observes that there is no specific provision, </w:t>
      </w:r>
      <w:proofErr w:type="gramStart"/>
      <w:r w:rsidRPr="00760D6E">
        <w:rPr>
          <w:rFonts w:ascii="Verdana" w:hAnsi="Verdana" w:cstheme="majorHAnsi"/>
        </w:rPr>
        <w:t>guidance</w:t>
      </w:r>
      <w:proofErr w:type="gramEnd"/>
      <w:r w:rsidRPr="00760D6E">
        <w:rPr>
          <w:rFonts w:ascii="Verdana" w:hAnsi="Verdana" w:cstheme="majorHAnsi"/>
        </w:rPr>
        <w:t xml:space="preserve"> or information on how these provisions will impact upon children</w:t>
      </w:r>
      <w:r w:rsidR="00403ECC" w:rsidRPr="00760D6E">
        <w:rPr>
          <w:rFonts w:ascii="Verdana" w:hAnsi="Verdana" w:cstheme="majorHAnsi"/>
        </w:rPr>
        <w:t>, particularly</w:t>
      </w:r>
      <w:r w:rsidR="00E31DBD" w:rsidRPr="00760D6E">
        <w:rPr>
          <w:rFonts w:ascii="Verdana" w:hAnsi="Verdana" w:cstheme="majorHAnsi"/>
        </w:rPr>
        <w:t xml:space="preserve"> those who are </w:t>
      </w:r>
      <w:r w:rsidR="0046235B" w:rsidRPr="00760D6E">
        <w:rPr>
          <w:rFonts w:ascii="Verdana" w:hAnsi="Verdana" w:cstheme="majorHAnsi"/>
        </w:rPr>
        <w:t>seeking asylum, refugees or</w:t>
      </w:r>
      <w:r w:rsidR="007303C6" w:rsidRPr="00760D6E">
        <w:rPr>
          <w:rFonts w:ascii="Verdana" w:hAnsi="Verdana" w:cstheme="majorHAnsi"/>
        </w:rPr>
        <w:t xml:space="preserve"> those</w:t>
      </w:r>
      <w:r w:rsidR="0046235B" w:rsidRPr="00760D6E">
        <w:rPr>
          <w:rFonts w:ascii="Verdana" w:hAnsi="Verdana" w:cstheme="majorHAnsi"/>
        </w:rPr>
        <w:t xml:space="preserve"> with irregular immigration status</w:t>
      </w:r>
      <w:r w:rsidR="007303C6" w:rsidRPr="00760D6E">
        <w:rPr>
          <w:rFonts w:ascii="Verdana" w:hAnsi="Verdana" w:cstheme="majorHAnsi"/>
        </w:rPr>
        <w:t xml:space="preserve"> or who have been separated from their families</w:t>
      </w:r>
      <w:r w:rsidRPr="00760D6E">
        <w:rPr>
          <w:rFonts w:ascii="Verdana" w:hAnsi="Verdana" w:cstheme="majorHAnsi"/>
        </w:rPr>
        <w:t>. In accordance with the Trafficking Directive read with other international obligations, including the UN Convention on the Rights of the Child, the child’s best interest must always be the primary consideration in any decision or action.</w:t>
      </w:r>
      <w:r w:rsidRPr="00CB3AC1">
        <w:rPr>
          <w:rStyle w:val="FootnoteReference"/>
          <w:rFonts w:ascii="Verdana" w:hAnsi="Verdana" w:cstheme="majorHAnsi"/>
        </w:rPr>
        <w:footnoteReference w:id="136"/>
      </w:r>
      <w:r w:rsidRPr="00760D6E">
        <w:rPr>
          <w:rFonts w:ascii="Verdana" w:hAnsi="Verdana" w:cstheme="majorHAnsi"/>
        </w:rPr>
        <w:t xml:space="preserve"> There is no reference in the Bill to child victims of human trafficking or modern slavery.</w:t>
      </w:r>
    </w:p>
    <w:p w14:paraId="0C8C5099" w14:textId="77777777" w:rsidR="00760D6E" w:rsidRDefault="00760D6E" w:rsidP="00760D6E">
      <w:pPr>
        <w:pStyle w:val="ListParagraph"/>
        <w:rPr>
          <w:rFonts w:ascii="Verdana" w:hAnsi="Verdana" w:cs="Arial"/>
          <w:b/>
          <w:bCs/>
          <w:color w:val="232120"/>
        </w:rPr>
      </w:pPr>
    </w:p>
    <w:p w14:paraId="5BDC6D91" w14:textId="2AE9C5DD" w:rsidR="001D047A" w:rsidRPr="00760D6E" w:rsidRDefault="00924F0A"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Arial"/>
          <w:b/>
          <w:bCs/>
          <w:color w:val="232120"/>
        </w:rPr>
        <w:t xml:space="preserve">The Advisory Committee may wish to ask the State </w:t>
      </w:r>
      <w:r w:rsidR="00783608" w:rsidRPr="00760D6E">
        <w:rPr>
          <w:rFonts w:ascii="Verdana" w:hAnsi="Verdana" w:cs="Arial"/>
          <w:b/>
          <w:bCs/>
          <w:color w:val="232120"/>
        </w:rPr>
        <w:t>Party,</w:t>
      </w:r>
      <w:r w:rsidR="00783608" w:rsidRPr="00760D6E">
        <w:rPr>
          <w:rFonts w:ascii="Verdana" w:hAnsi="Verdana" w:cstheme="majorBidi"/>
          <w:b/>
        </w:rPr>
        <w:t xml:space="preserve"> what</w:t>
      </w:r>
      <w:r w:rsidR="001D047A" w:rsidRPr="00760D6E">
        <w:rPr>
          <w:rFonts w:ascii="Verdana" w:hAnsi="Verdana" w:cstheme="majorBidi"/>
          <w:b/>
        </w:rPr>
        <w:t xml:space="preserve"> consideration </w:t>
      </w:r>
      <w:r w:rsidR="00514989" w:rsidRPr="00760D6E">
        <w:rPr>
          <w:rFonts w:ascii="Verdana" w:hAnsi="Verdana" w:cstheme="majorBidi"/>
          <w:b/>
        </w:rPr>
        <w:t xml:space="preserve">is being given </w:t>
      </w:r>
      <w:r w:rsidR="00783608" w:rsidRPr="00760D6E">
        <w:rPr>
          <w:rFonts w:ascii="Verdana" w:hAnsi="Verdana" w:cstheme="majorBidi"/>
          <w:b/>
        </w:rPr>
        <w:t xml:space="preserve">on </w:t>
      </w:r>
      <w:r w:rsidR="00514989" w:rsidRPr="00760D6E">
        <w:rPr>
          <w:rFonts w:ascii="Verdana" w:hAnsi="Verdana" w:cstheme="majorBidi"/>
          <w:b/>
        </w:rPr>
        <w:t>the impact of trauma experienced by a victim of trafficking and modern slavery</w:t>
      </w:r>
      <w:r w:rsidR="00B8224E" w:rsidRPr="00760D6E">
        <w:rPr>
          <w:rFonts w:ascii="Verdana" w:hAnsi="Verdana" w:cstheme="majorBidi"/>
          <w:b/>
        </w:rPr>
        <w:t>, the prevention of secondary victimisation and non-</w:t>
      </w:r>
      <w:r w:rsidR="00BA042B" w:rsidRPr="00760D6E">
        <w:rPr>
          <w:rFonts w:ascii="Verdana" w:hAnsi="Verdana" w:cstheme="majorBidi"/>
          <w:b/>
        </w:rPr>
        <w:t>prosecution</w:t>
      </w:r>
      <w:r w:rsidR="00B8224E" w:rsidRPr="00760D6E">
        <w:rPr>
          <w:rFonts w:ascii="Verdana" w:hAnsi="Verdana" w:cstheme="majorBidi"/>
          <w:b/>
        </w:rPr>
        <w:t xml:space="preserve"> of victims and</w:t>
      </w:r>
      <w:r w:rsidR="00BA042B" w:rsidRPr="00760D6E">
        <w:rPr>
          <w:rFonts w:ascii="Verdana" w:hAnsi="Verdana" w:cstheme="majorBidi"/>
          <w:b/>
        </w:rPr>
        <w:t xml:space="preserve"> </w:t>
      </w:r>
      <w:r w:rsidR="00F41AAA" w:rsidRPr="00760D6E">
        <w:rPr>
          <w:rFonts w:ascii="Verdana" w:hAnsi="Verdana" w:cstheme="majorBidi"/>
          <w:b/>
        </w:rPr>
        <w:t>ensuring</w:t>
      </w:r>
      <w:r w:rsidR="00BA042B" w:rsidRPr="00760D6E">
        <w:rPr>
          <w:rFonts w:ascii="Verdana" w:hAnsi="Verdana" w:cstheme="majorBidi"/>
          <w:b/>
        </w:rPr>
        <w:t xml:space="preserve"> the protection of vulnerable children </w:t>
      </w:r>
      <w:r w:rsidR="001064A1" w:rsidRPr="00760D6E">
        <w:rPr>
          <w:rFonts w:ascii="Verdana" w:hAnsi="Verdana" w:cstheme="majorBidi"/>
          <w:b/>
        </w:rPr>
        <w:t>under the Nationality and Borders Bill</w:t>
      </w:r>
      <w:r w:rsidR="001D047A" w:rsidRPr="00760D6E">
        <w:rPr>
          <w:rFonts w:ascii="Verdana" w:hAnsi="Verdana" w:cstheme="majorBidi"/>
          <w:b/>
        </w:rPr>
        <w:t>.</w:t>
      </w:r>
    </w:p>
    <w:p w14:paraId="3CF046E4" w14:textId="77777777" w:rsidR="001300A0" w:rsidRPr="00D62DEB" w:rsidRDefault="001300A0" w:rsidP="004656A5">
      <w:pPr>
        <w:spacing w:line="276" w:lineRule="auto"/>
        <w:rPr>
          <w:rFonts w:ascii="Verdana" w:hAnsi="Verdana" w:cs="Arial"/>
          <w:color w:val="232120"/>
        </w:rPr>
      </w:pPr>
    </w:p>
    <w:p w14:paraId="0876498C" w14:textId="42444546" w:rsidR="001300A0" w:rsidRPr="00C7595E" w:rsidRDefault="00F56EC1" w:rsidP="00591D80">
      <w:pPr>
        <w:pStyle w:val="Heading2"/>
        <w:rPr>
          <w:szCs w:val="24"/>
        </w:rPr>
      </w:pPr>
      <w:bookmarkStart w:id="24" w:name="_Toc97030914"/>
      <w:r w:rsidRPr="00C7595E">
        <w:rPr>
          <w:szCs w:val="24"/>
        </w:rPr>
        <w:t>Operation Gull</w:t>
      </w:r>
      <w:bookmarkEnd w:id="24"/>
    </w:p>
    <w:p w14:paraId="4083B0F5" w14:textId="77777777" w:rsidR="001300A0" w:rsidRPr="00D62DEB" w:rsidRDefault="001300A0" w:rsidP="004656A5">
      <w:pPr>
        <w:pStyle w:val="ListParagraph"/>
        <w:spacing w:line="276" w:lineRule="auto"/>
        <w:rPr>
          <w:rFonts w:ascii="Verdana" w:hAnsi="Verdana" w:cs="Arial"/>
          <w:color w:val="232120"/>
        </w:rPr>
      </w:pPr>
    </w:p>
    <w:p w14:paraId="7E8DDD4F" w14:textId="23700AEC" w:rsidR="00760D6E" w:rsidRPr="00760D6E" w:rsidRDefault="0079018B" w:rsidP="00915669">
      <w:pPr>
        <w:pStyle w:val="BasicParagraph"/>
        <w:numPr>
          <w:ilvl w:val="1"/>
          <w:numId w:val="17"/>
        </w:numPr>
        <w:suppressAutoHyphens/>
        <w:spacing w:line="276" w:lineRule="auto"/>
        <w:rPr>
          <w:rFonts w:ascii="Verdana" w:hAnsi="Verdana" w:cs="Arial"/>
          <w:color w:val="232120"/>
        </w:rPr>
      </w:pPr>
      <w:r w:rsidRPr="004F1016">
        <w:rPr>
          <w:rFonts w:ascii="Verdana" w:hAnsi="Verdana" w:cs="Times New Roman"/>
        </w:rPr>
        <w:t xml:space="preserve">In its previous report to the Advisory Committee, the </w:t>
      </w:r>
      <w:r w:rsidR="00581F42" w:rsidRPr="004F1016">
        <w:rPr>
          <w:rFonts w:ascii="Verdana" w:hAnsi="Verdana" w:cs="Times New Roman"/>
        </w:rPr>
        <w:t>NIHRC</w:t>
      </w:r>
      <w:r w:rsidRPr="004F1016">
        <w:rPr>
          <w:rFonts w:ascii="Verdana" w:hAnsi="Verdana" w:cs="Times New Roman"/>
        </w:rPr>
        <w:t xml:space="preserve"> noted with concern the conduct of ‘Operation Gull’, a joint scheme run by Home Office Immigration Enforcement, the </w:t>
      </w:r>
      <w:r w:rsidR="00A1676E">
        <w:rPr>
          <w:rFonts w:ascii="Verdana" w:hAnsi="Verdana" w:cs="Times New Roman"/>
        </w:rPr>
        <w:t>P</w:t>
      </w:r>
      <w:r w:rsidR="00D06C6E">
        <w:rPr>
          <w:rFonts w:ascii="Verdana" w:hAnsi="Verdana" w:cs="Times New Roman"/>
        </w:rPr>
        <w:t xml:space="preserve">olice </w:t>
      </w:r>
      <w:r w:rsidR="00A1676E">
        <w:rPr>
          <w:rFonts w:ascii="Verdana" w:hAnsi="Verdana" w:cs="Times New Roman"/>
        </w:rPr>
        <w:t>S</w:t>
      </w:r>
      <w:r w:rsidR="00D06C6E">
        <w:rPr>
          <w:rFonts w:ascii="Verdana" w:hAnsi="Verdana" w:cs="Times New Roman"/>
        </w:rPr>
        <w:t xml:space="preserve">ervice of </w:t>
      </w:r>
      <w:r w:rsidR="00A1676E">
        <w:rPr>
          <w:rFonts w:ascii="Verdana" w:hAnsi="Verdana" w:cs="Times New Roman"/>
        </w:rPr>
        <w:t>NI</w:t>
      </w:r>
      <w:r w:rsidRPr="004F1016">
        <w:rPr>
          <w:rFonts w:ascii="Verdana" w:hAnsi="Verdana" w:cs="Times New Roman"/>
        </w:rPr>
        <w:t xml:space="preserve"> and Police Scotland. Operation Gull is intended to "identify and arrest illegal immigrants transiting Northern Ireland ports, having attempted to abuse or facilitate abuse of the land border as a means of entering the UK and Ireland”.</w:t>
      </w:r>
      <w:r w:rsidR="00796E56" w:rsidRPr="00D62DEB">
        <w:rPr>
          <w:rStyle w:val="FootnoteReference"/>
          <w:rFonts w:ascii="Verdana" w:hAnsi="Verdana" w:cs="Times New Roman"/>
        </w:rPr>
        <w:footnoteReference w:id="137"/>
      </w:r>
    </w:p>
    <w:p w14:paraId="1C5FD6E1" w14:textId="77777777" w:rsidR="00760D6E" w:rsidRDefault="00760D6E" w:rsidP="00760D6E">
      <w:pPr>
        <w:pStyle w:val="BasicParagraph"/>
        <w:suppressAutoHyphens/>
        <w:spacing w:line="276" w:lineRule="auto"/>
        <w:ind w:left="720"/>
        <w:rPr>
          <w:rFonts w:ascii="Verdana" w:hAnsi="Verdana" w:cs="Arial"/>
          <w:color w:val="232120"/>
        </w:rPr>
      </w:pPr>
    </w:p>
    <w:p w14:paraId="5574E544" w14:textId="77777777" w:rsidR="00760D6E" w:rsidRDefault="00987FEC"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Times New Roman"/>
        </w:rPr>
        <w:t>Although no official statistics or information is published in relation to the scheme, statistics published by the Organised Crime Task Force in 2016 indicated that 775 people were detained under Operation Gull – an increase of 66</w:t>
      </w:r>
      <w:r w:rsidR="00164862" w:rsidRPr="00760D6E">
        <w:rPr>
          <w:rFonts w:ascii="Verdana" w:hAnsi="Verdana" w:cs="Times New Roman"/>
        </w:rPr>
        <w:t xml:space="preserve"> percent</w:t>
      </w:r>
      <w:r w:rsidRPr="00760D6E">
        <w:rPr>
          <w:rFonts w:ascii="Verdana" w:hAnsi="Verdana" w:cs="Times New Roman"/>
        </w:rPr>
        <w:t xml:space="preserve"> on the previous year.</w:t>
      </w:r>
      <w:r w:rsidRPr="00D62DEB">
        <w:rPr>
          <w:rStyle w:val="FootnoteReference"/>
          <w:rFonts w:ascii="Verdana" w:hAnsi="Verdana" w:cs="Times New Roman"/>
        </w:rPr>
        <w:footnoteReference w:id="138"/>
      </w:r>
      <w:r w:rsidRPr="00760D6E">
        <w:rPr>
          <w:rFonts w:ascii="Verdana" w:hAnsi="Verdana" w:cs="Times New Roman"/>
        </w:rPr>
        <w:t xml:space="preserve"> The </w:t>
      </w:r>
      <w:r w:rsidR="00581F42" w:rsidRPr="00760D6E">
        <w:rPr>
          <w:rFonts w:ascii="Verdana" w:hAnsi="Verdana" w:cs="Times New Roman"/>
        </w:rPr>
        <w:t>NIHRC</w:t>
      </w:r>
      <w:r w:rsidRPr="00760D6E">
        <w:rPr>
          <w:rFonts w:ascii="Verdana" w:hAnsi="Verdana" w:cs="Times New Roman"/>
        </w:rPr>
        <w:t xml:space="preserve"> notes that recent statistics on the conduct of Operation Gull were unavailable. There have been calls from academics and civil society to suspend the initiative.</w:t>
      </w:r>
      <w:r w:rsidRPr="00D62DEB">
        <w:rPr>
          <w:rStyle w:val="FootnoteReference"/>
          <w:rFonts w:ascii="Verdana" w:hAnsi="Verdana" w:cs="Times New Roman"/>
        </w:rPr>
        <w:footnoteReference w:id="139"/>
      </w:r>
      <w:r w:rsidRPr="00760D6E">
        <w:rPr>
          <w:rFonts w:ascii="Verdana" w:hAnsi="Verdana" w:cs="Times New Roman"/>
        </w:rPr>
        <w:t xml:space="preserve"> </w:t>
      </w:r>
    </w:p>
    <w:p w14:paraId="008C36E7" w14:textId="77777777" w:rsidR="00760D6E" w:rsidRDefault="00760D6E" w:rsidP="00760D6E">
      <w:pPr>
        <w:pStyle w:val="ListParagraph"/>
        <w:rPr>
          <w:rFonts w:ascii="Verdana" w:hAnsi="Verdana" w:cs="Times New Roman"/>
        </w:rPr>
      </w:pPr>
    </w:p>
    <w:p w14:paraId="035B5402" w14:textId="77777777" w:rsidR="00760D6E" w:rsidRPr="001A0DCD" w:rsidRDefault="00323B97"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Times New Roman"/>
        </w:rPr>
        <w:t xml:space="preserve">The NIHRC notes that in an </w:t>
      </w:r>
      <w:r w:rsidR="009718FA" w:rsidRPr="00760D6E">
        <w:rPr>
          <w:rFonts w:ascii="Verdana" w:hAnsi="Verdana" w:cs="Times New Roman"/>
        </w:rPr>
        <w:t xml:space="preserve">answer to a written parliamentary question from NI MP Nigel </w:t>
      </w:r>
      <w:proofErr w:type="spellStart"/>
      <w:r w:rsidR="009718FA" w:rsidRPr="00760D6E">
        <w:rPr>
          <w:rFonts w:ascii="Verdana" w:hAnsi="Verdana" w:cs="Times New Roman"/>
        </w:rPr>
        <w:t>Dodds</w:t>
      </w:r>
      <w:proofErr w:type="spellEnd"/>
      <w:r w:rsidR="00D252AF" w:rsidRPr="00760D6E">
        <w:rPr>
          <w:rFonts w:ascii="Verdana" w:hAnsi="Verdana" w:cs="Times New Roman"/>
        </w:rPr>
        <w:t>,</w:t>
      </w:r>
      <w:r w:rsidR="00A26CCC">
        <w:rPr>
          <w:rStyle w:val="FootnoteReference"/>
          <w:rFonts w:ascii="Verdana" w:hAnsi="Verdana" w:cs="Times New Roman"/>
        </w:rPr>
        <w:footnoteReference w:id="140"/>
      </w:r>
      <w:r w:rsidR="009718FA" w:rsidRPr="00760D6E">
        <w:rPr>
          <w:rFonts w:ascii="Verdana" w:hAnsi="Verdana" w:cs="Times New Roman"/>
        </w:rPr>
        <w:t xml:space="preserve"> the government stated</w:t>
      </w:r>
      <w:r w:rsidR="00A26CCC" w:rsidRPr="00760D6E">
        <w:rPr>
          <w:rFonts w:ascii="Verdana" w:hAnsi="Verdana" w:cs="Times New Roman"/>
        </w:rPr>
        <w:t>,</w:t>
      </w:r>
      <w:r w:rsidR="009718FA" w:rsidRPr="00760D6E">
        <w:rPr>
          <w:rFonts w:ascii="Verdana" w:hAnsi="Verdana" w:cs="Times New Roman"/>
        </w:rPr>
        <w:t xml:space="preserve"> in 2019</w:t>
      </w:r>
      <w:r w:rsidR="00A26CCC" w:rsidRPr="00760D6E">
        <w:rPr>
          <w:rFonts w:ascii="Verdana" w:hAnsi="Verdana" w:cs="Times New Roman"/>
        </w:rPr>
        <w:t>,</w:t>
      </w:r>
      <w:r w:rsidR="009718FA" w:rsidRPr="00760D6E">
        <w:rPr>
          <w:rFonts w:ascii="Verdana" w:hAnsi="Verdana" w:cs="Times New Roman"/>
        </w:rPr>
        <w:t xml:space="preserve"> that there had not yet been discussion between Home Office and NI authorities as to the future of this operation after the UK’s withdrawal from the EU.</w:t>
      </w:r>
      <w:r w:rsidR="0006276B" w:rsidRPr="00D62DEB">
        <w:rPr>
          <w:rStyle w:val="FootnoteReference"/>
          <w:rFonts w:ascii="Verdana" w:hAnsi="Verdana" w:cs="Times New Roman"/>
        </w:rPr>
        <w:footnoteReference w:id="141"/>
      </w:r>
    </w:p>
    <w:p w14:paraId="44292A28" w14:textId="77777777" w:rsidR="00407B30" w:rsidRDefault="00407B30" w:rsidP="001A0DCD">
      <w:pPr>
        <w:pStyle w:val="ListParagraph"/>
        <w:rPr>
          <w:rFonts w:ascii="Verdana" w:hAnsi="Verdana" w:cs="Arial"/>
          <w:color w:val="232120"/>
        </w:rPr>
      </w:pPr>
    </w:p>
    <w:p w14:paraId="4528AAB1" w14:textId="302E76EB" w:rsidR="00407B30" w:rsidRPr="00FF4787" w:rsidRDefault="00FF4787" w:rsidP="00FF4787">
      <w:pPr>
        <w:pStyle w:val="BasicParagraph"/>
        <w:numPr>
          <w:ilvl w:val="1"/>
          <w:numId w:val="17"/>
        </w:numPr>
        <w:suppressAutoHyphens/>
        <w:spacing w:line="276" w:lineRule="auto"/>
        <w:rPr>
          <w:rFonts w:ascii="Verdana" w:hAnsi="Verdana" w:cs="Arial"/>
          <w:color w:val="232120"/>
        </w:rPr>
      </w:pPr>
      <w:r>
        <w:rPr>
          <w:rFonts w:ascii="Verdana" w:hAnsi="Verdana" w:cs="Arial"/>
          <w:color w:val="232120"/>
        </w:rPr>
        <w:t>The Home Office has advised the NIHRC that there are no plans to change the operation of Operation Gull following the UK’s departure from the EU. The Home Office also stated that they do not publish statistics on detentions arising from Operation Gull.</w:t>
      </w:r>
      <w:r>
        <w:rPr>
          <w:rStyle w:val="FootnoteReference"/>
          <w:rFonts w:ascii="Verdana" w:hAnsi="Verdana" w:cs="Arial"/>
          <w:color w:val="232120"/>
        </w:rPr>
        <w:footnoteReference w:id="142"/>
      </w:r>
    </w:p>
    <w:p w14:paraId="61B28194" w14:textId="77777777" w:rsidR="00760D6E" w:rsidRDefault="00760D6E" w:rsidP="00760D6E">
      <w:pPr>
        <w:pStyle w:val="ListParagraph"/>
        <w:rPr>
          <w:rFonts w:ascii="Verdana" w:hAnsi="Verdana" w:cs="Times New Roman"/>
          <w:b/>
          <w:bCs/>
        </w:rPr>
      </w:pPr>
    </w:p>
    <w:p w14:paraId="69CFD5AA" w14:textId="1432ED8D" w:rsidR="008C0296" w:rsidRPr="00760D6E" w:rsidRDefault="008C0296"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Times New Roman"/>
          <w:b/>
          <w:bCs/>
        </w:rPr>
        <w:t xml:space="preserve">The Advisory Committee may wish to ask the State Party for further information </w:t>
      </w:r>
      <w:r w:rsidR="00FF4787">
        <w:rPr>
          <w:rFonts w:ascii="Verdana" w:hAnsi="Verdana" w:cs="Times New Roman"/>
          <w:b/>
          <w:bCs/>
        </w:rPr>
        <w:t xml:space="preserve">and data </w:t>
      </w:r>
      <w:r w:rsidRPr="00760D6E">
        <w:rPr>
          <w:rFonts w:ascii="Verdana" w:hAnsi="Verdana" w:cs="Times New Roman"/>
          <w:b/>
          <w:bCs/>
        </w:rPr>
        <w:t xml:space="preserve">about the </w:t>
      </w:r>
      <w:r w:rsidR="00053528" w:rsidRPr="00760D6E">
        <w:rPr>
          <w:rFonts w:ascii="Verdana" w:hAnsi="Verdana" w:cs="Times New Roman"/>
          <w:b/>
          <w:bCs/>
        </w:rPr>
        <w:t xml:space="preserve">continued </w:t>
      </w:r>
      <w:r w:rsidRPr="00760D6E">
        <w:rPr>
          <w:rFonts w:ascii="Verdana" w:hAnsi="Verdana" w:cs="Times New Roman"/>
          <w:b/>
          <w:bCs/>
        </w:rPr>
        <w:t xml:space="preserve">use of 'Operation Gull', particularly </w:t>
      </w:r>
      <w:proofErr w:type="gramStart"/>
      <w:r w:rsidR="009843F8" w:rsidRPr="00760D6E">
        <w:rPr>
          <w:rFonts w:ascii="Verdana" w:hAnsi="Verdana" w:cs="Times New Roman"/>
          <w:b/>
          <w:bCs/>
        </w:rPr>
        <w:t>in light of</w:t>
      </w:r>
      <w:proofErr w:type="gramEnd"/>
      <w:r w:rsidRPr="00760D6E">
        <w:rPr>
          <w:rFonts w:ascii="Verdana" w:hAnsi="Verdana" w:cs="Times New Roman"/>
          <w:b/>
          <w:bCs/>
        </w:rPr>
        <w:t xml:space="preserve"> the UK’s withdrawal from the EU.</w:t>
      </w:r>
    </w:p>
    <w:p w14:paraId="38772852" w14:textId="77777777" w:rsidR="003830CE" w:rsidRPr="00D62DEB" w:rsidRDefault="003830CE" w:rsidP="004656A5">
      <w:pPr>
        <w:pStyle w:val="ListParagraph"/>
        <w:spacing w:line="276" w:lineRule="auto"/>
        <w:rPr>
          <w:rFonts w:ascii="Verdana" w:hAnsi="Verdana" w:cs="Arial"/>
          <w:color w:val="232120"/>
        </w:rPr>
      </w:pPr>
    </w:p>
    <w:p w14:paraId="4D61B55A" w14:textId="5E51CCA0" w:rsidR="003830CE" w:rsidRPr="00C7595E" w:rsidRDefault="003830CE" w:rsidP="00591D80">
      <w:pPr>
        <w:pStyle w:val="Heading2"/>
        <w:rPr>
          <w:szCs w:val="24"/>
        </w:rPr>
      </w:pPr>
      <w:bookmarkStart w:id="25" w:name="_Toc97030915"/>
      <w:r w:rsidRPr="00C7595E">
        <w:rPr>
          <w:szCs w:val="24"/>
        </w:rPr>
        <w:t>Immigration Facilities</w:t>
      </w:r>
      <w:bookmarkEnd w:id="25"/>
    </w:p>
    <w:p w14:paraId="0275ED86" w14:textId="77777777" w:rsidR="00D40576" w:rsidRPr="00D62DEB" w:rsidRDefault="00D40576" w:rsidP="004656A5">
      <w:pPr>
        <w:pStyle w:val="ListParagraph"/>
        <w:spacing w:line="276" w:lineRule="auto"/>
        <w:rPr>
          <w:rFonts w:ascii="Verdana" w:hAnsi="Verdana" w:cs="Arial"/>
          <w:color w:val="232120"/>
        </w:rPr>
      </w:pPr>
    </w:p>
    <w:p w14:paraId="4BB95C00" w14:textId="210B5367" w:rsidR="00760D6E" w:rsidRDefault="00444AB6" w:rsidP="00915669">
      <w:pPr>
        <w:pStyle w:val="BasicParagraph"/>
        <w:numPr>
          <w:ilvl w:val="1"/>
          <w:numId w:val="17"/>
        </w:numPr>
        <w:suppressAutoHyphens/>
        <w:spacing w:line="276" w:lineRule="auto"/>
        <w:rPr>
          <w:rFonts w:ascii="Verdana" w:hAnsi="Verdana" w:cs="Arial"/>
          <w:color w:val="232120"/>
        </w:rPr>
      </w:pPr>
      <w:r w:rsidRPr="00D62DEB">
        <w:rPr>
          <w:rFonts w:ascii="Verdana" w:hAnsi="Verdana" w:cs="Arial"/>
          <w:color w:val="232120"/>
        </w:rPr>
        <w:t xml:space="preserve">In 2019, the UN CAT Committee recommended that the UK Government should </w:t>
      </w:r>
      <w:r w:rsidR="002F7846" w:rsidRPr="00D62DEB">
        <w:rPr>
          <w:rFonts w:ascii="Verdana" w:hAnsi="Verdana" w:cs="Arial"/>
          <w:color w:val="232120"/>
        </w:rPr>
        <w:t xml:space="preserve">ensure that </w:t>
      </w:r>
      <w:r w:rsidR="00C1569A" w:rsidRPr="00D62DEB">
        <w:rPr>
          <w:rFonts w:ascii="Verdana" w:hAnsi="Verdana" w:cs="Arial"/>
          <w:color w:val="232120"/>
        </w:rPr>
        <w:t xml:space="preserve">statements from health professionals about </w:t>
      </w:r>
      <w:r w:rsidR="00BE4C26" w:rsidRPr="00D62DEB">
        <w:rPr>
          <w:rFonts w:ascii="Verdana" w:hAnsi="Verdana" w:cs="Arial"/>
          <w:color w:val="232120"/>
        </w:rPr>
        <w:t>detained victims of torture or other person at risk of suffering harm as a consequence of deten</w:t>
      </w:r>
      <w:r w:rsidR="00C1569A" w:rsidRPr="00D62DEB">
        <w:rPr>
          <w:rFonts w:ascii="Verdana" w:hAnsi="Verdana" w:cs="Arial"/>
          <w:color w:val="232120"/>
        </w:rPr>
        <w:t xml:space="preserve">tion, are given due consideration </w:t>
      </w:r>
      <w:r w:rsidR="009750C7" w:rsidRPr="00D62DEB">
        <w:rPr>
          <w:rFonts w:ascii="Verdana" w:hAnsi="Verdana" w:cs="Arial"/>
          <w:color w:val="232120"/>
        </w:rPr>
        <w:t>and ensure that individuals identified as at risk of future harm in detention receive necessary care and protection.</w:t>
      </w:r>
      <w:r w:rsidR="009750C7" w:rsidRPr="00D62DEB">
        <w:rPr>
          <w:rStyle w:val="FootnoteReference"/>
          <w:rFonts w:ascii="Verdana" w:hAnsi="Verdana" w:cs="Arial"/>
          <w:color w:val="232120"/>
        </w:rPr>
        <w:footnoteReference w:id="143"/>
      </w:r>
      <w:r w:rsidR="00E64C82" w:rsidRPr="00D62DEB">
        <w:rPr>
          <w:rFonts w:ascii="Verdana" w:hAnsi="Verdana" w:cs="Arial"/>
          <w:color w:val="232120"/>
        </w:rPr>
        <w:t xml:space="preserve"> The Committee also recommended </w:t>
      </w:r>
      <w:r w:rsidR="005761A6" w:rsidRPr="00D62DEB">
        <w:rPr>
          <w:rFonts w:ascii="Verdana" w:hAnsi="Verdana" w:cs="Arial"/>
          <w:color w:val="232120"/>
        </w:rPr>
        <w:t>t</w:t>
      </w:r>
      <w:r w:rsidR="006760DA" w:rsidRPr="00D62DEB">
        <w:rPr>
          <w:rFonts w:ascii="Verdana" w:hAnsi="Verdana" w:cs="Arial"/>
          <w:color w:val="232120"/>
        </w:rPr>
        <w:t>h</w:t>
      </w:r>
      <w:r w:rsidR="005761A6" w:rsidRPr="00D62DEB">
        <w:rPr>
          <w:rFonts w:ascii="Verdana" w:hAnsi="Verdana" w:cs="Arial"/>
          <w:color w:val="232120"/>
        </w:rPr>
        <w:t>at the UK Government develop mandatory train</w:t>
      </w:r>
      <w:r w:rsidR="00D87DAF" w:rsidRPr="00D62DEB">
        <w:rPr>
          <w:rFonts w:ascii="Verdana" w:hAnsi="Verdana" w:cs="Arial"/>
          <w:color w:val="232120"/>
        </w:rPr>
        <w:t>ing</w:t>
      </w:r>
      <w:r w:rsidR="005761A6" w:rsidRPr="00D62DEB">
        <w:rPr>
          <w:rFonts w:ascii="Verdana" w:hAnsi="Verdana" w:cs="Arial"/>
          <w:color w:val="232120"/>
        </w:rPr>
        <w:t xml:space="preserve"> programmes </w:t>
      </w:r>
      <w:r w:rsidR="00D87DAF" w:rsidRPr="00D62DEB">
        <w:rPr>
          <w:rFonts w:ascii="Verdana" w:hAnsi="Verdana" w:cs="Arial"/>
          <w:color w:val="232120"/>
        </w:rPr>
        <w:t xml:space="preserve">on the Convention </w:t>
      </w:r>
      <w:r w:rsidR="00164862">
        <w:rPr>
          <w:rFonts w:ascii="Verdana" w:hAnsi="Verdana" w:cs="Arial"/>
          <w:color w:val="232120"/>
        </w:rPr>
        <w:t>a</w:t>
      </w:r>
      <w:r w:rsidR="00D87DAF" w:rsidRPr="00D62DEB">
        <w:rPr>
          <w:rFonts w:ascii="Verdana" w:hAnsi="Verdana" w:cs="Arial"/>
          <w:color w:val="232120"/>
        </w:rPr>
        <w:t xml:space="preserve">gainst Torture and </w:t>
      </w:r>
      <w:r w:rsidR="006760DA" w:rsidRPr="00D62DEB">
        <w:rPr>
          <w:rFonts w:ascii="Verdana" w:hAnsi="Verdana" w:cs="Arial"/>
          <w:color w:val="232120"/>
        </w:rPr>
        <w:t xml:space="preserve">Istanbul Protocol and develop a methodology for assessing the effectiveness of training in </w:t>
      </w:r>
      <w:r w:rsidR="00912596" w:rsidRPr="00D62DEB">
        <w:rPr>
          <w:rFonts w:ascii="Verdana" w:hAnsi="Verdana" w:cs="Arial"/>
          <w:color w:val="232120"/>
        </w:rPr>
        <w:t>reducing</w:t>
      </w:r>
      <w:r w:rsidR="006760DA" w:rsidRPr="00D62DEB">
        <w:rPr>
          <w:rFonts w:ascii="Verdana" w:hAnsi="Verdana" w:cs="Arial"/>
          <w:color w:val="232120"/>
        </w:rPr>
        <w:t xml:space="preserve"> the number of cases of </w:t>
      </w:r>
      <w:r w:rsidR="00912596" w:rsidRPr="00D62DEB">
        <w:rPr>
          <w:rFonts w:ascii="Verdana" w:hAnsi="Verdana" w:cs="Arial"/>
          <w:color w:val="232120"/>
        </w:rPr>
        <w:t>torture and ill-treatment.</w:t>
      </w:r>
      <w:r w:rsidR="00912596" w:rsidRPr="00D62DEB">
        <w:rPr>
          <w:rStyle w:val="FootnoteReference"/>
          <w:rFonts w:ascii="Verdana" w:hAnsi="Verdana" w:cs="Arial"/>
          <w:color w:val="232120"/>
        </w:rPr>
        <w:footnoteReference w:id="144"/>
      </w:r>
    </w:p>
    <w:p w14:paraId="4A8B635E" w14:textId="77777777" w:rsidR="00760D6E" w:rsidRDefault="00760D6E" w:rsidP="00760D6E">
      <w:pPr>
        <w:pStyle w:val="BasicParagraph"/>
        <w:suppressAutoHyphens/>
        <w:spacing w:line="276" w:lineRule="auto"/>
        <w:ind w:left="720"/>
        <w:rPr>
          <w:rFonts w:ascii="Verdana" w:hAnsi="Verdana" w:cs="Arial"/>
          <w:color w:val="232120"/>
        </w:rPr>
      </w:pPr>
    </w:p>
    <w:p w14:paraId="19F4350A" w14:textId="77777777" w:rsidR="00760D6E" w:rsidRDefault="00D11D62"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Arial"/>
          <w:color w:val="232120"/>
        </w:rPr>
        <w:t>In NI</w:t>
      </w:r>
      <w:r w:rsidR="00164862" w:rsidRPr="00760D6E">
        <w:rPr>
          <w:rFonts w:ascii="Verdana" w:hAnsi="Verdana" w:cs="Arial"/>
          <w:color w:val="232120"/>
        </w:rPr>
        <w:t>,</w:t>
      </w:r>
      <w:r w:rsidRPr="00760D6E">
        <w:rPr>
          <w:rFonts w:ascii="Verdana" w:hAnsi="Verdana" w:cs="Arial"/>
          <w:color w:val="232120"/>
        </w:rPr>
        <w:t xml:space="preserve"> irregular migrants are detained at Larne House </w:t>
      </w:r>
      <w:r w:rsidR="003F776F" w:rsidRPr="00760D6E">
        <w:rPr>
          <w:rFonts w:ascii="Verdana" w:hAnsi="Verdana" w:cs="Arial"/>
          <w:color w:val="232120"/>
        </w:rPr>
        <w:t>short-term</w:t>
      </w:r>
      <w:r w:rsidRPr="00760D6E">
        <w:rPr>
          <w:rFonts w:ascii="Verdana" w:hAnsi="Verdana" w:cs="Arial"/>
          <w:color w:val="232120"/>
        </w:rPr>
        <w:t xml:space="preserve"> holding facility.</w:t>
      </w:r>
      <w:r w:rsidR="00323346" w:rsidRPr="00D62DEB">
        <w:rPr>
          <w:rStyle w:val="FootnoteReference"/>
          <w:rFonts w:ascii="Verdana" w:hAnsi="Verdana" w:cs="Arial"/>
          <w:color w:val="232120"/>
        </w:rPr>
        <w:footnoteReference w:id="145"/>
      </w:r>
      <w:r w:rsidR="00913BED" w:rsidRPr="00760D6E">
        <w:rPr>
          <w:rFonts w:ascii="Verdana" w:hAnsi="Verdana" w:cs="Arial"/>
          <w:color w:val="232120"/>
        </w:rPr>
        <w:t xml:space="preserve"> Detainees are held for a maximum period of five or seven days if Removal Directions are in place. Detainees are then released, transferred to Immigration Removal Centres in Great </w:t>
      </w:r>
      <w:proofErr w:type="gramStart"/>
      <w:r w:rsidR="00913BED" w:rsidRPr="00760D6E">
        <w:rPr>
          <w:rFonts w:ascii="Verdana" w:hAnsi="Verdana" w:cs="Arial"/>
          <w:color w:val="232120"/>
        </w:rPr>
        <w:t>Britain</w:t>
      </w:r>
      <w:proofErr w:type="gramEnd"/>
      <w:r w:rsidR="00913BED" w:rsidRPr="00760D6E">
        <w:rPr>
          <w:rFonts w:ascii="Verdana" w:hAnsi="Verdana" w:cs="Arial"/>
          <w:color w:val="232120"/>
        </w:rPr>
        <w:t xml:space="preserve"> or removed, including to Ireland. Across 2020, there were 97 immigration detainees held at Larne House. Across 2021, </w:t>
      </w:r>
      <w:r w:rsidR="00380098" w:rsidRPr="00760D6E">
        <w:rPr>
          <w:rFonts w:ascii="Verdana" w:hAnsi="Verdana" w:cs="Arial"/>
          <w:color w:val="232120"/>
        </w:rPr>
        <w:t>this number decreased with</w:t>
      </w:r>
      <w:r w:rsidR="00913BED" w:rsidRPr="00760D6E">
        <w:rPr>
          <w:rFonts w:ascii="Verdana" w:hAnsi="Verdana" w:cs="Arial"/>
          <w:color w:val="232120"/>
        </w:rPr>
        <w:t xml:space="preserve"> 57 immigration detainees at Larne House.</w:t>
      </w:r>
      <w:r w:rsidR="00913BED" w:rsidRPr="00D62DEB">
        <w:rPr>
          <w:rStyle w:val="FootnoteReference"/>
          <w:rFonts w:ascii="Verdana" w:hAnsi="Verdana" w:cs="Arial"/>
          <w:color w:val="232120"/>
        </w:rPr>
        <w:footnoteReference w:id="146"/>
      </w:r>
    </w:p>
    <w:p w14:paraId="48A38F15" w14:textId="77777777" w:rsidR="00760D6E" w:rsidRDefault="00760D6E" w:rsidP="00760D6E">
      <w:pPr>
        <w:pStyle w:val="ListParagraph"/>
        <w:rPr>
          <w:rFonts w:ascii="Verdana" w:hAnsi="Verdana" w:cs="YIUEB V+ Gotham"/>
        </w:rPr>
      </w:pPr>
    </w:p>
    <w:p w14:paraId="17EE81C9" w14:textId="77777777" w:rsidR="00760D6E" w:rsidRDefault="00FF350F"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YIUEB V+ Gotham"/>
        </w:rPr>
        <w:t>The Immigration Detention Centre Rules make provision for the regulation and management of detention centres.</w:t>
      </w:r>
      <w:r w:rsidRPr="00D62DEB">
        <w:rPr>
          <w:rStyle w:val="FootnoteReference"/>
          <w:rFonts w:ascii="Verdana" w:hAnsi="Verdana" w:cs="YIUEB V+ Gotham"/>
        </w:rPr>
        <w:footnoteReference w:id="147"/>
      </w:r>
      <w:r w:rsidRPr="00760D6E">
        <w:rPr>
          <w:rStyle w:val="A91"/>
          <w:rFonts w:ascii="Verdana" w:hAnsi="Verdana"/>
          <w:sz w:val="24"/>
          <w:szCs w:val="24"/>
        </w:rPr>
        <w:t xml:space="preserve"> </w:t>
      </w:r>
      <w:r w:rsidRPr="00760D6E">
        <w:rPr>
          <w:rFonts w:ascii="Verdana" w:hAnsi="Verdana" w:cs="YIUEB V+ Gotham"/>
        </w:rPr>
        <w:t>The Rules provide for matters such as the welfare and health care of immigration detainees. Rule 35(3) of the Detention Centre Rules places an obligation on a medical practitioner to report to the manager of the Centre any detained person who he/she is concerned may have been the victim of torture. The Detention Centre Rules do not apply to Larne House, due to its classification as a short-term holding facility.</w:t>
      </w:r>
    </w:p>
    <w:p w14:paraId="33F5CAC5" w14:textId="77777777" w:rsidR="00760D6E" w:rsidRDefault="00760D6E" w:rsidP="00760D6E">
      <w:pPr>
        <w:pStyle w:val="ListParagraph"/>
        <w:rPr>
          <w:rFonts w:ascii="Verdana" w:hAnsi="Verdana" w:cs="YIUEB V+ Gotham"/>
        </w:rPr>
      </w:pPr>
    </w:p>
    <w:p w14:paraId="0583524A" w14:textId="6C97D4FB" w:rsidR="00FA07D9" w:rsidRPr="00760D6E" w:rsidRDefault="00FA07D9" w:rsidP="002D0AE6">
      <w:pPr>
        <w:pStyle w:val="BasicParagraph"/>
        <w:numPr>
          <w:ilvl w:val="1"/>
          <w:numId w:val="17"/>
        </w:numPr>
        <w:suppressAutoHyphens/>
        <w:spacing w:after="240" w:line="276" w:lineRule="auto"/>
        <w:rPr>
          <w:rFonts w:ascii="Verdana" w:hAnsi="Verdana" w:cs="Arial"/>
          <w:color w:val="232120"/>
        </w:rPr>
      </w:pPr>
      <w:r w:rsidRPr="00760D6E">
        <w:rPr>
          <w:rFonts w:ascii="Verdana" w:hAnsi="Verdana" w:cs="YIUEB V+ Gotham"/>
        </w:rPr>
        <w:t>The Short-term Holding Facility Rules 2018 provide “where a health care professional has concerns that a detained person may have been a victim of torture this must be reported to the manager”.</w:t>
      </w:r>
      <w:r w:rsidRPr="00D62DEB">
        <w:rPr>
          <w:rStyle w:val="FootnoteReference"/>
          <w:rFonts w:ascii="Verdana" w:hAnsi="Verdana" w:cs="YIUEB V+ Gotham"/>
        </w:rPr>
        <w:footnoteReference w:id="148"/>
      </w:r>
      <w:r w:rsidRPr="00760D6E">
        <w:rPr>
          <w:rFonts w:ascii="Verdana" w:hAnsi="Verdana" w:cs="YIUEB V+ Gotham"/>
        </w:rPr>
        <w:t xml:space="preserve"> </w:t>
      </w:r>
      <w:r w:rsidR="0030347A">
        <w:rPr>
          <w:rFonts w:ascii="Verdana" w:hAnsi="Verdana" w:cs="YIUEB V+ Gotham"/>
        </w:rPr>
        <w:t>In 2018, the</w:t>
      </w:r>
      <w:r w:rsidRPr="00760D6E">
        <w:rPr>
          <w:rFonts w:ascii="Verdana" w:hAnsi="Verdana" w:cs="YIUEB V+ Gotham"/>
        </w:rPr>
        <w:t xml:space="preserve"> HM Chief Inspector of Prisons, </w:t>
      </w:r>
      <w:r w:rsidR="0030347A">
        <w:rPr>
          <w:rFonts w:ascii="Verdana" w:hAnsi="Verdana" w:cs="YIUEB V+ Gotham"/>
        </w:rPr>
        <w:t>found</w:t>
      </w:r>
      <w:r w:rsidR="0030347A" w:rsidRPr="00760D6E">
        <w:rPr>
          <w:rFonts w:ascii="Verdana" w:hAnsi="Verdana" w:cs="YIUEB V+ Gotham"/>
        </w:rPr>
        <w:t xml:space="preserve"> </w:t>
      </w:r>
      <w:r w:rsidRPr="00760D6E">
        <w:rPr>
          <w:rFonts w:ascii="Verdana" w:hAnsi="Verdana" w:cs="YIUEB V+ Gotham"/>
        </w:rPr>
        <w:t xml:space="preserve">that: </w:t>
      </w:r>
    </w:p>
    <w:p w14:paraId="084657A9" w14:textId="330F6B7A" w:rsidR="00EA570D" w:rsidRPr="002D0AE6" w:rsidRDefault="00FA07D9" w:rsidP="002D0AE6">
      <w:pPr>
        <w:autoSpaceDE w:val="0"/>
        <w:autoSpaceDN w:val="0"/>
        <w:adjustRightInd w:val="0"/>
        <w:spacing w:before="80" w:after="40" w:line="276" w:lineRule="auto"/>
        <w:ind w:left="1149" w:right="280"/>
        <w:rPr>
          <w:rFonts w:ascii="Verdana" w:hAnsi="Verdana" w:cs="YIUEB V+ Gotham"/>
          <w:color w:val="000000"/>
        </w:rPr>
      </w:pPr>
      <w:r w:rsidRPr="001907A1">
        <w:rPr>
          <w:rFonts w:ascii="Verdana" w:hAnsi="Verdana" w:cs="Gotham Light"/>
          <w:color w:val="000000"/>
        </w:rPr>
        <w:t xml:space="preserve">detainee custody officers [at Larne House] were not aware of any safeguarding </w:t>
      </w:r>
      <w:proofErr w:type="gramStart"/>
      <w:r w:rsidRPr="001907A1">
        <w:rPr>
          <w:rFonts w:ascii="Verdana" w:hAnsi="Verdana" w:cs="Gotham Light"/>
          <w:color w:val="000000"/>
        </w:rPr>
        <w:t>adults</w:t>
      </w:r>
      <w:proofErr w:type="gramEnd"/>
      <w:r w:rsidRPr="001907A1">
        <w:rPr>
          <w:rFonts w:ascii="Verdana" w:hAnsi="Verdana" w:cs="Gotham Light"/>
          <w:color w:val="000000"/>
        </w:rPr>
        <w:t xml:space="preserve"> policy or the national referral mechanism to identify and support victims of trafficking. We were told that if the detainee custody officers identified detainees who were at risk of harm due to specific vulnerabilities, this would be reported immediately to the Home Office.</w:t>
      </w:r>
      <w:r w:rsidR="00EA570D" w:rsidRPr="001907A1">
        <w:rPr>
          <w:rStyle w:val="FootnoteReference"/>
          <w:rFonts w:ascii="Verdana" w:hAnsi="Verdana" w:cs="Gotham Light"/>
          <w:color w:val="000000"/>
        </w:rPr>
        <w:footnoteReference w:id="149"/>
      </w:r>
      <w:r w:rsidRPr="00D62DEB">
        <w:rPr>
          <w:rFonts w:ascii="Verdana" w:hAnsi="Verdana" w:cs="YIUEB V+ Gotham"/>
          <w:color w:val="000000"/>
        </w:rPr>
        <w:t xml:space="preserve"> </w:t>
      </w:r>
    </w:p>
    <w:p w14:paraId="445338C5" w14:textId="77777777" w:rsidR="00760D6E" w:rsidRDefault="00760D6E" w:rsidP="00760D6E">
      <w:pPr>
        <w:pStyle w:val="BasicParagraph"/>
        <w:suppressAutoHyphens/>
        <w:spacing w:line="276" w:lineRule="auto"/>
        <w:ind w:left="720"/>
        <w:rPr>
          <w:rFonts w:ascii="Verdana" w:hAnsi="Verdana" w:cs="Arial"/>
          <w:color w:val="232120"/>
        </w:rPr>
      </w:pPr>
    </w:p>
    <w:p w14:paraId="3A0434B9" w14:textId="2F199B56" w:rsidR="00760D6E" w:rsidRDefault="00FF1435"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YIUEB V+ Gotham"/>
        </w:rPr>
        <w:t xml:space="preserve">Women </w:t>
      </w:r>
      <w:r w:rsidR="00182B2E" w:rsidRPr="00760D6E">
        <w:rPr>
          <w:rFonts w:ascii="Verdana" w:hAnsi="Verdana" w:cs="YIUEB V+ Gotham"/>
        </w:rPr>
        <w:t>immigration</w:t>
      </w:r>
      <w:r w:rsidRPr="00760D6E">
        <w:rPr>
          <w:rFonts w:ascii="Verdana" w:hAnsi="Verdana" w:cs="YIUEB V+ Gotham"/>
        </w:rPr>
        <w:t xml:space="preserve"> detainees are held with men in Larne House</w:t>
      </w:r>
      <w:r w:rsidR="00182B2E" w:rsidRPr="00760D6E">
        <w:rPr>
          <w:rFonts w:ascii="Verdana" w:hAnsi="Verdana" w:cs="YIUEB V+ Gotham"/>
        </w:rPr>
        <w:t>. There are currently t</w:t>
      </w:r>
      <w:r w:rsidRPr="00760D6E">
        <w:rPr>
          <w:rFonts w:ascii="Verdana" w:hAnsi="Verdana" w:cs="YIUEB V+ Gotham"/>
        </w:rPr>
        <w:t xml:space="preserve">hree rooms, on a single corridor, are designated for women detainees. This corridor is not separate from the rest of the facility and men can walk through to go to the dining room. Women can lock the doors to their rooms, which can be overridden by staff in the event of an emergency. </w:t>
      </w:r>
    </w:p>
    <w:p w14:paraId="4E67624A" w14:textId="77777777" w:rsidR="00760D6E" w:rsidRDefault="00760D6E" w:rsidP="00760D6E">
      <w:pPr>
        <w:pStyle w:val="ListParagraph"/>
        <w:rPr>
          <w:rFonts w:ascii="Verdana" w:hAnsi="Verdana" w:cs="Arial"/>
          <w:color w:val="232120"/>
        </w:rPr>
      </w:pPr>
    </w:p>
    <w:p w14:paraId="0F22BA77" w14:textId="77777777" w:rsidR="00760D6E" w:rsidRDefault="006A09EA"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Arial"/>
          <w:color w:val="232120"/>
        </w:rPr>
        <w:t xml:space="preserve">In March 2021, the </w:t>
      </w:r>
      <w:r w:rsidR="00581F42" w:rsidRPr="00760D6E">
        <w:rPr>
          <w:rFonts w:ascii="Verdana" w:hAnsi="Verdana" w:cs="Arial"/>
          <w:color w:val="232120"/>
        </w:rPr>
        <w:t>NIHRC</w:t>
      </w:r>
      <w:r w:rsidRPr="00760D6E">
        <w:rPr>
          <w:rFonts w:ascii="Verdana" w:hAnsi="Verdana" w:cs="Arial"/>
          <w:color w:val="232120"/>
        </w:rPr>
        <w:t xml:space="preserve"> </w:t>
      </w:r>
      <w:r w:rsidR="00AD4A1C" w:rsidRPr="00760D6E">
        <w:rPr>
          <w:rFonts w:ascii="Verdana" w:hAnsi="Verdana" w:cs="Arial"/>
          <w:color w:val="232120"/>
        </w:rPr>
        <w:t>responded</w:t>
      </w:r>
      <w:r w:rsidRPr="00760D6E">
        <w:rPr>
          <w:rFonts w:ascii="Verdana" w:hAnsi="Verdana" w:cs="Arial"/>
          <w:color w:val="232120"/>
        </w:rPr>
        <w:t xml:space="preserve"> to the Department of Justice</w:t>
      </w:r>
      <w:r w:rsidR="00164862" w:rsidRPr="00760D6E">
        <w:rPr>
          <w:rFonts w:ascii="Verdana" w:hAnsi="Verdana" w:cs="Arial"/>
          <w:color w:val="232120"/>
        </w:rPr>
        <w:t>’s</w:t>
      </w:r>
      <w:r w:rsidRPr="00760D6E">
        <w:rPr>
          <w:rFonts w:ascii="Verdana" w:hAnsi="Verdana" w:cs="Arial"/>
          <w:color w:val="232120"/>
        </w:rPr>
        <w:t xml:space="preserve"> proposed strategy for dealing with women and girls in contact with the criminal justice system</w:t>
      </w:r>
      <w:r w:rsidR="00164862" w:rsidRPr="00760D6E">
        <w:rPr>
          <w:rFonts w:ascii="Verdana" w:hAnsi="Verdana" w:cs="Arial"/>
          <w:color w:val="232120"/>
        </w:rPr>
        <w:t>, in which it raised concerns in relation to women immigration detainees and access to gender-specific areas at Larne House</w:t>
      </w:r>
      <w:r w:rsidRPr="00760D6E">
        <w:rPr>
          <w:rFonts w:ascii="Verdana" w:hAnsi="Verdana" w:cs="Arial"/>
          <w:color w:val="232120"/>
        </w:rPr>
        <w:t>.</w:t>
      </w:r>
      <w:r w:rsidRPr="00D62DEB">
        <w:rPr>
          <w:rStyle w:val="FootnoteReference"/>
          <w:rFonts w:ascii="Verdana" w:hAnsi="Verdana" w:cs="Arial"/>
          <w:color w:val="232120"/>
        </w:rPr>
        <w:footnoteReference w:id="150"/>
      </w:r>
      <w:r w:rsidR="00AD4A1C" w:rsidRPr="00760D6E">
        <w:rPr>
          <w:rFonts w:ascii="Verdana" w:hAnsi="Verdana" w:cs="Arial"/>
          <w:color w:val="232120"/>
        </w:rPr>
        <w:t xml:space="preserve"> </w:t>
      </w:r>
      <w:r w:rsidR="0048650E" w:rsidRPr="00760D6E">
        <w:rPr>
          <w:rFonts w:ascii="Verdana" w:hAnsi="Verdana" w:cs="Arial"/>
          <w:color w:val="232120"/>
        </w:rPr>
        <w:t xml:space="preserve">A copy of the response was forwarded to the Home Office. </w:t>
      </w:r>
    </w:p>
    <w:p w14:paraId="425823B3" w14:textId="77777777" w:rsidR="00760D6E" w:rsidRDefault="00760D6E" w:rsidP="00760D6E">
      <w:pPr>
        <w:pStyle w:val="ListParagraph"/>
        <w:rPr>
          <w:rFonts w:ascii="Verdana" w:hAnsi="Verdana" w:cs="Arial"/>
          <w:color w:val="232120"/>
        </w:rPr>
      </w:pPr>
    </w:p>
    <w:p w14:paraId="7344F7C8" w14:textId="77777777" w:rsidR="00760D6E" w:rsidRDefault="00B11ED2"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Arial"/>
          <w:color w:val="232120"/>
        </w:rPr>
        <w:t xml:space="preserve">In August 2021, the </w:t>
      </w:r>
      <w:r w:rsidR="00581F42" w:rsidRPr="00760D6E">
        <w:rPr>
          <w:rFonts w:ascii="Verdana" w:hAnsi="Verdana" w:cs="Arial"/>
          <w:color w:val="232120"/>
        </w:rPr>
        <w:t>NIHRC</w:t>
      </w:r>
      <w:r w:rsidRPr="00760D6E">
        <w:rPr>
          <w:rFonts w:ascii="Verdana" w:hAnsi="Verdana" w:cs="Arial"/>
          <w:color w:val="232120"/>
        </w:rPr>
        <w:t xml:space="preserve"> received a response to the concerns raised above.</w:t>
      </w:r>
      <w:r w:rsidRPr="00D62DEB">
        <w:rPr>
          <w:rStyle w:val="FootnoteReference"/>
          <w:rFonts w:ascii="Verdana" w:hAnsi="Verdana" w:cs="Arial"/>
          <w:color w:val="232120"/>
        </w:rPr>
        <w:footnoteReference w:id="151"/>
      </w:r>
      <w:r w:rsidRPr="00760D6E">
        <w:rPr>
          <w:rFonts w:ascii="Verdana" w:hAnsi="Verdana" w:cs="Arial"/>
          <w:color w:val="232120"/>
        </w:rPr>
        <w:t xml:space="preserve"> The Home Office provided that the immigration removal estate is operated in line with the Detention Centre</w:t>
      </w:r>
      <w:r w:rsidR="00AC5FD9" w:rsidRPr="00760D6E">
        <w:rPr>
          <w:rFonts w:ascii="Verdana" w:hAnsi="Verdana" w:cs="Arial"/>
          <w:color w:val="232120"/>
        </w:rPr>
        <w:t xml:space="preserve"> Rules 2001 and for short-term holding </w:t>
      </w:r>
      <w:r w:rsidR="00CE0EED" w:rsidRPr="00760D6E">
        <w:rPr>
          <w:rFonts w:ascii="Verdana" w:hAnsi="Verdana" w:cs="Arial"/>
          <w:color w:val="232120"/>
        </w:rPr>
        <w:t>facilities</w:t>
      </w:r>
      <w:r w:rsidR="00AC5FD9" w:rsidRPr="00760D6E">
        <w:rPr>
          <w:rFonts w:ascii="Verdana" w:hAnsi="Verdana" w:cs="Arial"/>
          <w:color w:val="232120"/>
        </w:rPr>
        <w:t xml:space="preserve"> such as Larn</w:t>
      </w:r>
      <w:r w:rsidR="00CE0EED" w:rsidRPr="00760D6E">
        <w:rPr>
          <w:rFonts w:ascii="Verdana" w:hAnsi="Verdana" w:cs="Arial"/>
          <w:color w:val="232120"/>
        </w:rPr>
        <w:t xml:space="preserve">e House, the Short-Term Holding Facility Rules 2018, as well as the Detention Services Order; a Framework which includes specific guidance on women in detention. The Home Office </w:t>
      </w:r>
      <w:r w:rsidR="00945AD4" w:rsidRPr="00760D6E">
        <w:rPr>
          <w:rFonts w:ascii="Verdana" w:hAnsi="Verdana" w:cs="Arial"/>
          <w:color w:val="232120"/>
        </w:rPr>
        <w:t xml:space="preserve">further stated that oversight is provided by HM Chief Inspector of Prisons and the Independent Monitoring Boards. </w:t>
      </w:r>
    </w:p>
    <w:p w14:paraId="37E29CA2" w14:textId="77777777" w:rsidR="00760D6E" w:rsidRDefault="00760D6E" w:rsidP="00760D6E">
      <w:pPr>
        <w:pStyle w:val="ListParagraph"/>
        <w:rPr>
          <w:rFonts w:ascii="Verdana" w:hAnsi="Verdana" w:cs="Arial"/>
          <w:color w:val="232120"/>
        </w:rPr>
      </w:pPr>
    </w:p>
    <w:p w14:paraId="62E73DB1" w14:textId="77777777" w:rsidR="00760D6E" w:rsidRDefault="00945AD4"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Arial"/>
          <w:color w:val="232120"/>
        </w:rPr>
        <w:t>The Home Office stated that accommodation changes are currently being planned at Larne House, which will provide for a separate win</w:t>
      </w:r>
      <w:r w:rsidR="00800E9A" w:rsidRPr="00760D6E">
        <w:rPr>
          <w:rFonts w:ascii="Verdana" w:hAnsi="Verdana" w:cs="Arial"/>
          <w:color w:val="232120"/>
        </w:rPr>
        <w:t>g</w:t>
      </w:r>
      <w:r w:rsidRPr="00760D6E">
        <w:rPr>
          <w:rFonts w:ascii="Verdana" w:hAnsi="Verdana" w:cs="Arial"/>
          <w:color w:val="232120"/>
        </w:rPr>
        <w:t xml:space="preserve"> for women, with single occupancy bedrooms and a separate association room. The Home Office stated that this </w:t>
      </w:r>
      <w:r w:rsidR="00AF30D8" w:rsidRPr="00760D6E">
        <w:rPr>
          <w:rFonts w:ascii="Verdana" w:hAnsi="Verdana" w:cs="Arial"/>
          <w:color w:val="232120"/>
        </w:rPr>
        <w:t xml:space="preserve">project is currently in the early </w:t>
      </w:r>
      <w:r w:rsidR="00E6439D" w:rsidRPr="00760D6E">
        <w:rPr>
          <w:rFonts w:ascii="Verdana" w:hAnsi="Verdana" w:cs="Arial"/>
          <w:color w:val="232120"/>
        </w:rPr>
        <w:t>stages</w:t>
      </w:r>
      <w:r w:rsidR="00AF30D8" w:rsidRPr="00760D6E">
        <w:rPr>
          <w:rFonts w:ascii="Verdana" w:hAnsi="Verdana" w:cs="Arial"/>
          <w:color w:val="232120"/>
        </w:rPr>
        <w:t xml:space="preserve"> but </w:t>
      </w:r>
      <w:r w:rsidR="0056295E" w:rsidRPr="00760D6E">
        <w:rPr>
          <w:rFonts w:ascii="Verdana" w:hAnsi="Verdana" w:cs="Arial"/>
          <w:color w:val="232120"/>
        </w:rPr>
        <w:t>was set to commence</w:t>
      </w:r>
      <w:r w:rsidR="00AF30D8" w:rsidRPr="00760D6E">
        <w:rPr>
          <w:rFonts w:ascii="Verdana" w:hAnsi="Verdana" w:cs="Arial"/>
          <w:color w:val="232120"/>
        </w:rPr>
        <w:t xml:space="preserve"> in late 2021.</w:t>
      </w:r>
    </w:p>
    <w:p w14:paraId="5C36A084" w14:textId="77777777" w:rsidR="00760D6E" w:rsidRDefault="00760D6E" w:rsidP="00760D6E">
      <w:pPr>
        <w:pStyle w:val="ListParagraph"/>
        <w:rPr>
          <w:rFonts w:ascii="Verdana" w:hAnsi="Verdana" w:cs="Arial"/>
          <w:b/>
          <w:bCs/>
          <w:color w:val="232120"/>
        </w:rPr>
      </w:pPr>
    </w:p>
    <w:p w14:paraId="7054A8B3" w14:textId="6D9E09B4" w:rsidR="008C0296" w:rsidRPr="00760D6E" w:rsidRDefault="00091CBD"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Arial"/>
          <w:b/>
          <w:bCs/>
          <w:color w:val="232120"/>
        </w:rPr>
        <w:t>The Advisory Committee</w:t>
      </w:r>
      <w:r w:rsidR="00A90BFF" w:rsidRPr="00760D6E">
        <w:rPr>
          <w:rFonts w:ascii="Verdana" w:hAnsi="Verdana" w:cs="Arial"/>
          <w:b/>
          <w:bCs/>
          <w:color w:val="232120"/>
        </w:rPr>
        <w:t xml:space="preserve"> may wish to </w:t>
      </w:r>
      <w:r w:rsidR="002B0637" w:rsidRPr="00760D6E">
        <w:rPr>
          <w:rFonts w:ascii="Verdana" w:hAnsi="Verdana" w:cs="Arial"/>
          <w:b/>
          <w:bCs/>
          <w:color w:val="232120"/>
        </w:rPr>
        <w:t>seek an update</w:t>
      </w:r>
      <w:r w:rsidRPr="00760D6E">
        <w:rPr>
          <w:rFonts w:ascii="Verdana" w:hAnsi="Verdana" w:cs="Arial"/>
          <w:b/>
          <w:bCs/>
          <w:color w:val="232120"/>
        </w:rPr>
        <w:t xml:space="preserve"> from the State Party</w:t>
      </w:r>
      <w:r w:rsidR="002B0637" w:rsidRPr="00760D6E">
        <w:rPr>
          <w:rFonts w:ascii="Verdana" w:hAnsi="Verdana" w:cs="Arial"/>
          <w:b/>
          <w:bCs/>
          <w:color w:val="232120"/>
        </w:rPr>
        <w:t xml:space="preserve"> </w:t>
      </w:r>
      <w:r w:rsidR="001B0BD1" w:rsidRPr="00760D6E">
        <w:rPr>
          <w:rFonts w:ascii="Verdana" w:hAnsi="Verdana" w:cs="Arial"/>
          <w:b/>
          <w:bCs/>
          <w:color w:val="232120"/>
        </w:rPr>
        <w:t>as to the</w:t>
      </w:r>
      <w:r w:rsidR="00FF626A" w:rsidRPr="00760D6E">
        <w:rPr>
          <w:rFonts w:ascii="Verdana" w:hAnsi="Verdana" w:cs="Arial"/>
          <w:b/>
          <w:bCs/>
          <w:color w:val="232120"/>
        </w:rPr>
        <w:t xml:space="preserve"> planned separate</w:t>
      </w:r>
      <w:r w:rsidR="001B0BD1" w:rsidRPr="00760D6E">
        <w:rPr>
          <w:rFonts w:ascii="Verdana" w:hAnsi="Verdana" w:cs="Arial"/>
          <w:b/>
          <w:bCs/>
          <w:color w:val="232120"/>
        </w:rPr>
        <w:t xml:space="preserve"> accommodation </w:t>
      </w:r>
      <w:r w:rsidR="00FF626A" w:rsidRPr="00760D6E">
        <w:rPr>
          <w:rFonts w:ascii="Verdana" w:hAnsi="Verdana" w:cs="Arial"/>
          <w:b/>
          <w:bCs/>
          <w:color w:val="232120"/>
        </w:rPr>
        <w:t>project at Larne House.</w:t>
      </w:r>
    </w:p>
    <w:p w14:paraId="168D842B" w14:textId="77777777" w:rsidR="00A90BFF" w:rsidRPr="00D62DEB" w:rsidRDefault="00A90BFF" w:rsidP="004656A5">
      <w:pPr>
        <w:pStyle w:val="ListParagraph"/>
        <w:spacing w:line="276" w:lineRule="auto"/>
        <w:rPr>
          <w:rFonts w:ascii="Verdana" w:hAnsi="Verdana" w:cs="Arial"/>
          <w:color w:val="232120"/>
        </w:rPr>
      </w:pPr>
    </w:p>
    <w:p w14:paraId="28387008" w14:textId="15EA25BC" w:rsidR="00A90BFF" w:rsidRPr="007E0E9C" w:rsidRDefault="00A90BFF" w:rsidP="00591D80">
      <w:pPr>
        <w:pStyle w:val="Heading2"/>
        <w:rPr>
          <w:szCs w:val="24"/>
        </w:rPr>
      </w:pPr>
      <w:bookmarkStart w:id="26" w:name="_Toc97030916"/>
      <w:r w:rsidRPr="007E0E9C">
        <w:rPr>
          <w:szCs w:val="24"/>
        </w:rPr>
        <w:t xml:space="preserve">Welfare </w:t>
      </w:r>
      <w:r w:rsidRPr="007E0E9C">
        <w:rPr>
          <w:bCs/>
          <w:szCs w:val="24"/>
        </w:rPr>
        <w:t>Reform</w:t>
      </w:r>
      <w:bookmarkEnd w:id="26"/>
    </w:p>
    <w:p w14:paraId="2BCB3C1C" w14:textId="77777777" w:rsidR="00A90BFF" w:rsidRPr="00D62DEB" w:rsidRDefault="00A90BFF" w:rsidP="004656A5">
      <w:pPr>
        <w:pStyle w:val="ListParagraph"/>
        <w:spacing w:line="276" w:lineRule="auto"/>
        <w:rPr>
          <w:rFonts w:ascii="Verdana" w:hAnsi="Verdana" w:cs="Arial"/>
          <w:color w:val="232120"/>
        </w:rPr>
      </w:pPr>
    </w:p>
    <w:p w14:paraId="1662884A" w14:textId="5D13386D" w:rsidR="00760D6E" w:rsidRPr="00760D6E" w:rsidRDefault="00041645" w:rsidP="00915669">
      <w:pPr>
        <w:pStyle w:val="BasicParagraph"/>
        <w:numPr>
          <w:ilvl w:val="1"/>
          <w:numId w:val="17"/>
        </w:numPr>
        <w:suppressAutoHyphens/>
        <w:spacing w:line="276" w:lineRule="auto"/>
        <w:rPr>
          <w:rFonts w:ascii="Verdana" w:hAnsi="Verdana" w:cs="Arial"/>
          <w:color w:val="auto"/>
        </w:rPr>
      </w:pPr>
      <w:r w:rsidRPr="00CA3F3B">
        <w:rPr>
          <w:rFonts w:ascii="Verdana" w:hAnsi="Verdana" w:cs="YIUEB V+ Gotham"/>
        </w:rPr>
        <w:t xml:space="preserve">In 2015, the Fresh Start Agreement committed to implementing the social security reforms legislated for by the UK Parliament in the Welfare Reform and Work Act 2012. The agreement also included funding for a package of </w:t>
      </w:r>
      <w:r w:rsidRPr="00E41E72">
        <w:rPr>
          <w:rFonts w:ascii="Verdana" w:hAnsi="Verdana" w:cs="YIUEB V+ Gotham"/>
          <w:color w:val="auto"/>
        </w:rPr>
        <w:t>measures, worth up to £585 million over four years, paid for by NI Executive funds, to ‘mitigate’ some of the social security change</w:t>
      </w:r>
      <w:r w:rsidR="00941A2B" w:rsidRPr="00E41E72">
        <w:rPr>
          <w:rFonts w:ascii="Verdana" w:hAnsi="Verdana" w:cs="YIUEB V+ Gotham"/>
          <w:color w:val="auto"/>
        </w:rPr>
        <w:t>s.</w:t>
      </w:r>
    </w:p>
    <w:p w14:paraId="45689A9E" w14:textId="77777777" w:rsidR="00760D6E" w:rsidRDefault="00760D6E" w:rsidP="00760D6E">
      <w:pPr>
        <w:pStyle w:val="BasicParagraph"/>
        <w:suppressAutoHyphens/>
        <w:spacing w:line="276" w:lineRule="auto"/>
        <w:ind w:left="720"/>
        <w:rPr>
          <w:rFonts w:ascii="Verdana" w:hAnsi="Verdana" w:cs="Arial"/>
          <w:color w:val="auto"/>
        </w:rPr>
      </w:pPr>
    </w:p>
    <w:p w14:paraId="00908484" w14:textId="77777777" w:rsidR="00760D6E" w:rsidRDefault="00E41E72"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olor w:val="auto"/>
          <w:shd w:val="clear" w:color="auto" w:fill="FFFFFF"/>
        </w:rPr>
        <w:t>A</w:t>
      </w:r>
      <w:r w:rsidR="00941A2B" w:rsidRPr="00760D6E">
        <w:rPr>
          <w:rFonts w:ascii="Verdana" w:hAnsi="Verdana"/>
          <w:color w:val="auto"/>
          <w:shd w:val="clear" w:color="auto" w:fill="FFFFFF"/>
        </w:rPr>
        <w:t xml:space="preserve"> review of the existing mitigation package </w:t>
      </w:r>
      <w:r w:rsidRPr="00760D6E">
        <w:rPr>
          <w:rFonts w:ascii="Verdana" w:hAnsi="Verdana"/>
          <w:color w:val="auto"/>
          <w:shd w:val="clear" w:color="auto" w:fill="FFFFFF"/>
        </w:rPr>
        <w:t>was completed by the Department of Communities</w:t>
      </w:r>
      <w:r w:rsidR="00941A2B" w:rsidRPr="00760D6E">
        <w:rPr>
          <w:rFonts w:ascii="Verdana" w:hAnsi="Verdana"/>
          <w:color w:val="auto"/>
          <w:shd w:val="clear" w:color="auto" w:fill="FFFFFF"/>
        </w:rPr>
        <w:t xml:space="preserve"> in March 2019</w:t>
      </w:r>
      <w:r w:rsidRPr="00760D6E">
        <w:rPr>
          <w:rFonts w:ascii="Verdana" w:hAnsi="Verdana"/>
          <w:color w:val="auto"/>
          <w:shd w:val="clear" w:color="auto" w:fill="FFFFFF"/>
        </w:rPr>
        <w:t>,</w:t>
      </w:r>
      <w:r w:rsidR="00941A2B" w:rsidRPr="00760D6E">
        <w:rPr>
          <w:rFonts w:ascii="Verdana" w:hAnsi="Verdana"/>
          <w:color w:val="auto"/>
          <w:shd w:val="clear" w:color="auto" w:fill="FFFFFF"/>
        </w:rPr>
        <w:t xml:space="preserve"> specifically consider</w:t>
      </w:r>
      <w:r w:rsidRPr="00760D6E">
        <w:rPr>
          <w:rFonts w:ascii="Verdana" w:hAnsi="Verdana"/>
          <w:color w:val="auto"/>
          <w:shd w:val="clear" w:color="auto" w:fill="FFFFFF"/>
        </w:rPr>
        <w:t>ing</w:t>
      </w:r>
      <w:r w:rsidR="00941A2B" w:rsidRPr="00760D6E">
        <w:rPr>
          <w:rFonts w:ascii="Verdana" w:hAnsi="Verdana"/>
          <w:color w:val="auto"/>
          <w:shd w:val="clear" w:color="auto" w:fill="FFFFFF"/>
        </w:rPr>
        <w:t xml:space="preserve"> the progress made in delivering the recommended welfare mitigations, details of expenditure for each scheme and, importantly, an analysis of the evidence to determine the need for a continuation of the mitigation package.</w:t>
      </w:r>
      <w:r w:rsidR="00E933F2" w:rsidRPr="00E41E72">
        <w:rPr>
          <w:rStyle w:val="FootnoteReference"/>
          <w:rFonts w:ascii="Verdana" w:hAnsi="Verdana"/>
          <w:color w:val="auto"/>
          <w:shd w:val="clear" w:color="auto" w:fill="FFFFFF"/>
        </w:rPr>
        <w:footnoteReference w:id="152"/>
      </w:r>
      <w:r w:rsidR="007E0E9C" w:rsidRPr="00760D6E">
        <w:rPr>
          <w:rFonts w:ascii="Verdana" w:hAnsi="Verdana" w:cs="Arial"/>
          <w:color w:val="auto"/>
        </w:rPr>
        <w:t xml:space="preserve"> </w:t>
      </w:r>
      <w:r w:rsidR="007E0E9C" w:rsidRPr="00760D6E">
        <w:rPr>
          <w:rFonts w:ascii="Verdana" w:hAnsi="Verdana" w:cs="YIUEB V+ Gotham"/>
          <w:color w:val="auto"/>
        </w:rPr>
        <w:t>C</w:t>
      </w:r>
      <w:r w:rsidR="00E57567" w:rsidRPr="00760D6E">
        <w:rPr>
          <w:rFonts w:ascii="Verdana" w:hAnsi="Verdana" w:cs="YIUEB V+ Gotham"/>
          <w:color w:val="auto"/>
        </w:rPr>
        <w:t>ivil society organisations expressed grave concern about the imminent ‘cliff edge’ if the mitigation package would come to an end in March 2020.</w:t>
      </w:r>
      <w:r w:rsidR="006C491D" w:rsidRPr="00E41E72">
        <w:rPr>
          <w:rStyle w:val="FootnoteReference"/>
          <w:rFonts w:ascii="Verdana" w:hAnsi="Verdana" w:cs="YIUEB V+ Gotham"/>
          <w:color w:val="auto"/>
        </w:rPr>
        <w:footnoteReference w:id="153"/>
      </w:r>
      <w:r w:rsidR="00E57567" w:rsidRPr="00760D6E">
        <w:rPr>
          <w:rFonts w:ascii="Verdana" w:hAnsi="Verdana" w:cs="YIUEB V+ Gotham"/>
          <w:color w:val="auto"/>
        </w:rPr>
        <w:t xml:space="preserve"> The majority of mitigations cannot be extended without legislative provision.</w:t>
      </w:r>
    </w:p>
    <w:p w14:paraId="433869F6" w14:textId="77777777" w:rsidR="00760D6E" w:rsidRDefault="00760D6E" w:rsidP="00760D6E">
      <w:pPr>
        <w:pStyle w:val="ListParagraph"/>
        <w:rPr>
          <w:rFonts w:ascii="Verdana" w:hAnsi="Verdana" w:cs="YIUEB V+ Gotham"/>
        </w:rPr>
      </w:pPr>
    </w:p>
    <w:p w14:paraId="66B87E37" w14:textId="77777777" w:rsidR="00760D6E" w:rsidRDefault="00066870"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YIUEB V+ Gotham"/>
          <w:color w:val="auto"/>
        </w:rPr>
        <w:t xml:space="preserve">In 2019, the </w:t>
      </w:r>
      <w:r w:rsidR="005F02E0" w:rsidRPr="00760D6E">
        <w:rPr>
          <w:rFonts w:ascii="Verdana" w:hAnsi="Verdana" w:cs="YIUEB V+ Gotham"/>
          <w:color w:val="auto"/>
        </w:rPr>
        <w:t>NIHRC</w:t>
      </w:r>
      <w:r w:rsidRPr="00760D6E">
        <w:rPr>
          <w:rFonts w:ascii="Verdana" w:hAnsi="Verdana" w:cs="YIUEB V+ Gotham"/>
          <w:color w:val="auto"/>
        </w:rPr>
        <w:t xml:space="preserve"> published its Cumulative Impact Assessment report of tax and social security reforms implemented between 2010 and 2017, which demonstrated the need for mitigations in NI.</w:t>
      </w:r>
      <w:r w:rsidRPr="00E41E72">
        <w:rPr>
          <w:rStyle w:val="FootnoteReference"/>
          <w:rFonts w:ascii="Verdana" w:hAnsi="Verdana" w:cs="YIUEB V+ Gotham"/>
          <w:color w:val="auto"/>
        </w:rPr>
        <w:footnoteReference w:id="154"/>
      </w:r>
      <w:r w:rsidR="00D2060D" w:rsidRPr="00760D6E">
        <w:rPr>
          <w:rFonts w:ascii="Verdana" w:hAnsi="Verdana" w:cs="YIUEB V+ Gotham"/>
          <w:color w:val="auto"/>
        </w:rPr>
        <w:t xml:space="preserve"> These recommendations were</w:t>
      </w:r>
      <w:r w:rsidR="0037769A" w:rsidRPr="00760D6E">
        <w:rPr>
          <w:rFonts w:ascii="Verdana" w:hAnsi="Verdana" w:cs="YIUEB V+ Gotham"/>
          <w:color w:val="auto"/>
        </w:rPr>
        <w:t xml:space="preserve"> more recently</w:t>
      </w:r>
      <w:r w:rsidR="00D2060D" w:rsidRPr="00760D6E">
        <w:rPr>
          <w:rFonts w:ascii="Verdana" w:hAnsi="Verdana" w:cs="YIUEB V+ Gotham"/>
          <w:color w:val="auto"/>
        </w:rPr>
        <w:t xml:space="preserve"> re-iterated </w:t>
      </w:r>
      <w:r w:rsidR="00087FBA" w:rsidRPr="00760D6E">
        <w:rPr>
          <w:rFonts w:ascii="Verdana" w:hAnsi="Verdana" w:cs="YIUEB V+ Gotham"/>
          <w:color w:val="auto"/>
        </w:rPr>
        <w:t xml:space="preserve">in </w:t>
      </w:r>
      <w:r w:rsidR="00511539" w:rsidRPr="00760D6E">
        <w:rPr>
          <w:rFonts w:ascii="Verdana" w:hAnsi="Verdana" w:cs="YIUEB V+ Gotham"/>
          <w:color w:val="auto"/>
        </w:rPr>
        <w:t>reports commission</w:t>
      </w:r>
      <w:r w:rsidR="00163065" w:rsidRPr="00760D6E">
        <w:rPr>
          <w:rFonts w:ascii="Verdana" w:hAnsi="Verdana" w:cs="YIUEB V+ Gotham"/>
          <w:color w:val="auto"/>
        </w:rPr>
        <w:t>ed</w:t>
      </w:r>
      <w:r w:rsidR="00511539" w:rsidRPr="00760D6E">
        <w:rPr>
          <w:rFonts w:ascii="Verdana" w:hAnsi="Verdana" w:cs="YIUEB V+ Gotham"/>
          <w:color w:val="auto"/>
        </w:rPr>
        <w:t xml:space="preserve"> by the NIHRC </w:t>
      </w:r>
      <w:r w:rsidR="0021279A" w:rsidRPr="00760D6E">
        <w:rPr>
          <w:rFonts w:ascii="Verdana" w:hAnsi="Verdana" w:cs="YIUEB V+ Gotham"/>
          <w:color w:val="auto"/>
        </w:rPr>
        <w:t xml:space="preserve">on the impact of public spending </w:t>
      </w:r>
      <w:r w:rsidR="001A7BE0" w:rsidRPr="00760D6E">
        <w:rPr>
          <w:rFonts w:ascii="Verdana" w:hAnsi="Verdana" w:cs="YIUEB V+ Gotham"/>
          <w:color w:val="auto"/>
        </w:rPr>
        <w:t>changes in NI</w:t>
      </w:r>
      <w:r w:rsidR="00AB78B3" w:rsidRPr="00760D6E">
        <w:rPr>
          <w:rFonts w:ascii="Verdana" w:hAnsi="Verdana" w:cs="YIUEB V+ Gotham"/>
          <w:color w:val="auto"/>
        </w:rPr>
        <w:t>,</w:t>
      </w:r>
      <w:r w:rsidR="001A7BE0" w:rsidRPr="00E41E72">
        <w:rPr>
          <w:rStyle w:val="FootnoteReference"/>
          <w:rFonts w:ascii="Verdana" w:hAnsi="Verdana" w:cs="YIUEB V+ Gotham"/>
          <w:color w:val="auto"/>
        </w:rPr>
        <w:footnoteReference w:id="155"/>
      </w:r>
      <w:r w:rsidR="00AB78B3" w:rsidRPr="00760D6E">
        <w:rPr>
          <w:rFonts w:ascii="Verdana" w:hAnsi="Verdana" w:cs="YIUEB V+ Gotham"/>
          <w:color w:val="auto"/>
        </w:rPr>
        <w:t xml:space="preserve"> </w:t>
      </w:r>
      <w:r w:rsidR="00511539" w:rsidRPr="00760D6E">
        <w:rPr>
          <w:rFonts w:ascii="Verdana" w:hAnsi="Verdana" w:cs="YIUEB V+ Gotham"/>
          <w:color w:val="auto"/>
        </w:rPr>
        <w:t xml:space="preserve">and </w:t>
      </w:r>
      <w:r w:rsidR="00A85853" w:rsidRPr="00760D6E">
        <w:rPr>
          <w:rFonts w:ascii="Verdana" w:hAnsi="Verdana" w:cs="YIUEB V+ Gotham"/>
          <w:color w:val="auto"/>
        </w:rPr>
        <w:t>the effect of Covid-19 on public services in NI.</w:t>
      </w:r>
      <w:r w:rsidR="00A85853" w:rsidRPr="00E41E72">
        <w:rPr>
          <w:rStyle w:val="FootnoteReference"/>
          <w:rFonts w:ascii="Verdana" w:hAnsi="Verdana" w:cs="YIUEB V+ Gotham"/>
          <w:color w:val="auto"/>
        </w:rPr>
        <w:footnoteReference w:id="156"/>
      </w:r>
      <w:r w:rsidR="00A85853" w:rsidRPr="00760D6E">
        <w:rPr>
          <w:rFonts w:ascii="Verdana" w:hAnsi="Verdana" w:cs="YIUEB V+ Gotham"/>
          <w:color w:val="auto"/>
        </w:rPr>
        <w:t xml:space="preserve"> </w:t>
      </w:r>
    </w:p>
    <w:p w14:paraId="4ECEEF5A" w14:textId="77777777" w:rsidR="00760D6E" w:rsidRDefault="00760D6E" w:rsidP="00760D6E">
      <w:pPr>
        <w:pStyle w:val="ListParagraph"/>
        <w:rPr>
          <w:rFonts w:ascii="Verdana" w:hAnsi="Verdana" w:cs="YIUEB V+ Gotham"/>
        </w:rPr>
      </w:pPr>
    </w:p>
    <w:p w14:paraId="01A8CBE4" w14:textId="77777777" w:rsidR="00760D6E" w:rsidRDefault="00000358"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YIUEB V+ Gotham"/>
          <w:color w:val="auto"/>
        </w:rPr>
        <w:t xml:space="preserve">In January 2021, the Department for Communities consulted on its Equality Impact Assessment on the Executive’s draft budget for 2021/2022. The Department identified that the </w:t>
      </w:r>
      <w:r w:rsidR="00164862" w:rsidRPr="00760D6E">
        <w:rPr>
          <w:rFonts w:ascii="Verdana" w:hAnsi="Verdana" w:cs="YIUEB V+ Gotham"/>
          <w:color w:val="auto"/>
        </w:rPr>
        <w:t xml:space="preserve">NI </w:t>
      </w:r>
      <w:r w:rsidRPr="00760D6E">
        <w:rPr>
          <w:rFonts w:ascii="Verdana" w:hAnsi="Verdana" w:cs="YIUEB V+ Gotham"/>
          <w:color w:val="auto"/>
        </w:rPr>
        <w:t>Executive and all Departments were dealing with the challenges of a constrained draft budget in light of the COVID-19 pandemic and economic fallout</w:t>
      </w:r>
      <w:r w:rsidR="00BB0F79" w:rsidRPr="00760D6E">
        <w:rPr>
          <w:rFonts w:ascii="Verdana" w:hAnsi="Verdana" w:cs="YIUEB V+ Gotham"/>
          <w:color w:val="auto"/>
        </w:rPr>
        <w:t>.</w:t>
      </w:r>
      <w:r w:rsidR="00BB0F79" w:rsidRPr="00E41E72">
        <w:rPr>
          <w:rStyle w:val="FootnoteReference"/>
          <w:rFonts w:ascii="Verdana" w:hAnsi="Verdana" w:cs="YIUEB V+ Gotham"/>
          <w:color w:val="auto"/>
        </w:rPr>
        <w:footnoteReference w:id="157"/>
      </w:r>
      <w:r w:rsidR="00BB0F79" w:rsidRPr="00760D6E">
        <w:rPr>
          <w:rFonts w:ascii="Verdana" w:hAnsi="Verdana" w:cs="YIUEB V+ Gotham"/>
          <w:color w:val="auto"/>
        </w:rPr>
        <w:t xml:space="preserve"> </w:t>
      </w:r>
      <w:r w:rsidR="00164862" w:rsidRPr="00760D6E">
        <w:rPr>
          <w:rFonts w:ascii="Verdana" w:hAnsi="Verdana" w:cs="YIUEB V+ Gotham"/>
          <w:color w:val="auto"/>
        </w:rPr>
        <w:t>T</w:t>
      </w:r>
      <w:r w:rsidR="001F49BC" w:rsidRPr="00760D6E">
        <w:rPr>
          <w:rFonts w:ascii="Verdana" w:hAnsi="Verdana" w:cs="YIUEB V+ Gotham"/>
          <w:color w:val="auto"/>
        </w:rPr>
        <w:t xml:space="preserve">he Department stated that there is no allocated budget to offset the two-child policy which </w:t>
      </w:r>
      <w:r w:rsidR="001F49BC" w:rsidRPr="00760D6E">
        <w:rPr>
          <w:rFonts w:ascii="Verdana" w:hAnsi="Verdana"/>
          <w:color w:val="auto"/>
        </w:rPr>
        <w:t>limits child tax credit for new claimants to two children per family.</w:t>
      </w:r>
      <w:r w:rsidR="001F49BC" w:rsidRPr="00E41E72">
        <w:rPr>
          <w:rStyle w:val="FootnoteReference"/>
          <w:rFonts w:ascii="Verdana" w:hAnsi="Verdana"/>
          <w:color w:val="auto"/>
        </w:rPr>
        <w:footnoteReference w:id="158"/>
      </w:r>
      <w:r w:rsidR="001A0317" w:rsidRPr="00760D6E">
        <w:rPr>
          <w:rFonts w:ascii="Verdana" w:hAnsi="Verdana" w:cs="Arial"/>
          <w:color w:val="auto"/>
        </w:rPr>
        <w:t xml:space="preserve"> </w:t>
      </w:r>
      <w:r w:rsidRPr="00760D6E">
        <w:rPr>
          <w:rFonts w:ascii="Verdana" w:hAnsi="Verdana" w:cs="YIUEB V+ Gotham"/>
          <w:color w:val="auto"/>
        </w:rPr>
        <w:t xml:space="preserve">The Department </w:t>
      </w:r>
      <w:r w:rsidR="001A0317" w:rsidRPr="00760D6E">
        <w:rPr>
          <w:rFonts w:ascii="Verdana" w:hAnsi="Verdana" w:cs="YIUEB V+ Gotham"/>
          <w:color w:val="auto"/>
        </w:rPr>
        <w:t xml:space="preserve">further </w:t>
      </w:r>
      <w:r w:rsidRPr="00760D6E">
        <w:rPr>
          <w:rFonts w:ascii="Verdana" w:hAnsi="Verdana" w:cs="YIUEB V+ Gotham"/>
          <w:color w:val="auto"/>
        </w:rPr>
        <w:t xml:space="preserve">noted that no additional funding had been allocated for the Independent </w:t>
      </w:r>
      <w:r w:rsidRPr="00760D6E">
        <w:rPr>
          <w:rFonts w:ascii="Verdana" w:hAnsi="Verdana" w:cs="YIUEB V+ Gotham"/>
        </w:rPr>
        <w:t>Advice Sector to support welfare changes, which equates to a £1.5 million reduction in funding.</w:t>
      </w:r>
      <w:r w:rsidR="00BB0F79" w:rsidRPr="00A33C65">
        <w:rPr>
          <w:rStyle w:val="FootnoteReference"/>
          <w:rFonts w:ascii="Verdana" w:hAnsi="Verdana" w:cs="YIUEB V+ Gotham"/>
        </w:rPr>
        <w:footnoteReference w:id="159"/>
      </w:r>
      <w:r w:rsidR="00BB0F79" w:rsidRPr="00760D6E">
        <w:rPr>
          <w:rFonts w:ascii="Verdana" w:hAnsi="Verdana" w:cs="YIUEB V+ Gotham"/>
        </w:rPr>
        <w:t xml:space="preserve"> </w:t>
      </w:r>
      <w:r w:rsidRPr="00760D6E">
        <w:rPr>
          <w:rFonts w:ascii="Verdana" w:hAnsi="Verdana" w:cs="YIUEB V+ Gotham"/>
        </w:rPr>
        <w:t xml:space="preserve">The Department identified that no budget allocation had been approved for the Department’s New Decade New Approach bids, which included a range of new mitigations that were recommended by the </w:t>
      </w:r>
      <w:r w:rsidR="000D3640" w:rsidRPr="00760D6E">
        <w:rPr>
          <w:rFonts w:ascii="Verdana" w:hAnsi="Verdana" w:cs="YIUEB V+ Gotham"/>
        </w:rPr>
        <w:t>NIHRC</w:t>
      </w:r>
      <w:r w:rsidRPr="00760D6E">
        <w:rPr>
          <w:rFonts w:ascii="Verdana" w:hAnsi="Verdana" w:cs="YIUEB V+ Gotham"/>
        </w:rPr>
        <w:t>.</w:t>
      </w:r>
      <w:r w:rsidR="00BB0F79" w:rsidRPr="00A33C65">
        <w:rPr>
          <w:rStyle w:val="FootnoteReference"/>
          <w:rFonts w:ascii="Verdana" w:hAnsi="Verdana" w:cs="YIUEB V+ Gotham"/>
        </w:rPr>
        <w:footnoteReference w:id="160"/>
      </w:r>
      <w:r w:rsidR="00BB0F79" w:rsidRPr="00760D6E">
        <w:rPr>
          <w:rFonts w:ascii="Verdana" w:hAnsi="Verdana" w:cs="YIUEB V+ Gotham"/>
        </w:rPr>
        <w:t xml:space="preserve"> </w:t>
      </w:r>
      <w:r w:rsidR="00E50454" w:rsidRPr="00760D6E">
        <w:rPr>
          <w:rFonts w:ascii="Verdana" w:hAnsi="Verdana" w:cs="YIUEB V+ Gotham"/>
        </w:rPr>
        <w:t xml:space="preserve">The </w:t>
      </w:r>
      <w:r w:rsidRPr="00760D6E">
        <w:rPr>
          <w:rFonts w:ascii="Verdana" w:hAnsi="Verdana" w:cs="YIUEB V+ Gotham"/>
        </w:rPr>
        <w:t xml:space="preserve">Department </w:t>
      </w:r>
      <w:r w:rsidR="00E50454" w:rsidRPr="00760D6E">
        <w:rPr>
          <w:rFonts w:ascii="Verdana" w:hAnsi="Verdana" w:cs="YIUEB V+ Gotham"/>
        </w:rPr>
        <w:t xml:space="preserve">also </w:t>
      </w:r>
      <w:r w:rsidRPr="00760D6E">
        <w:rPr>
          <w:rFonts w:ascii="Verdana" w:hAnsi="Verdana" w:cs="YIUEB V+ Gotham"/>
        </w:rPr>
        <w:t>noted that no funding allocation had been provided for Housing Transformation, a revitalisation programme aiming to secure the NI Housing Executive’s social housing stock.</w:t>
      </w:r>
      <w:r w:rsidR="00BB0F79" w:rsidRPr="00A33C65">
        <w:rPr>
          <w:rStyle w:val="FootnoteReference"/>
          <w:rFonts w:ascii="Verdana" w:hAnsi="Verdana" w:cs="YIUEB V+ Gotham"/>
        </w:rPr>
        <w:footnoteReference w:id="161"/>
      </w:r>
      <w:r w:rsidR="00E50454" w:rsidRPr="00760D6E">
        <w:rPr>
          <w:rFonts w:ascii="Verdana" w:hAnsi="Verdana" w:cs="YIUEB V+ Gotham"/>
        </w:rPr>
        <w:t xml:space="preserve"> </w:t>
      </w:r>
    </w:p>
    <w:p w14:paraId="43A28F72" w14:textId="77777777" w:rsidR="00760D6E" w:rsidRDefault="00760D6E" w:rsidP="00760D6E">
      <w:pPr>
        <w:pStyle w:val="ListParagraph"/>
        <w:rPr>
          <w:rFonts w:ascii="Verdana" w:hAnsi="Verdana" w:cs="Arial"/>
          <w:color w:val="232120"/>
        </w:rPr>
      </w:pPr>
    </w:p>
    <w:p w14:paraId="49B9271D" w14:textId="77777777" w:rsidR="00760D6E" w:rsidRDefault="00F67385"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Arial"/>
          <w:color w:val="232120"/>
        </w:rPr>
        <w:t>The NIHRC</w:t>
      </w:r>
      <w:r w:rsidR="005317CA" w:rsidRPr="00760D6E">
        <w:rPr>
          <w:rFonts w:ascii="Verdana" w:hAnsi="Verdana" w:cs="Arial"/>
          <w:color w:val="232120"/>
        </w:rPr>
        <w:t xml:space="preserve"> </w:t>
      </w:r>
      <w:r w:rsidR="008137B9" w:rsidRPr="00760D6E">
        <w:rPr>
          <w:rFonts w:ascii="Verdana" w:hAnsi="Verdana" w:cs="YIUEB V+ Gotham"/>
        </w:rPr>
        <w:t>has raised concerns about</w:t>
      </w:r>
      <w:r w:rsidR="001549CC" w:rsidRPr="00760D6E">
        <w:rPr>
          <w:rFonts w:ascii="Verdana" w:hAnsi="Verdana" w:cs="YIUEB V+ Gotham"/>
        </w:rPr>
        <w:t xml:space="preserve"> social security support for ethnic minorities and migrants</w:t>
      </w:r>
      <w:r w:rsidR="00C205F6" w:rsidRPr="00A33C65">
        <w:rPr>
          <w:rStyle w:val="FootnoteReference"/>
          <w:rFonts w:ascii="Verdana" w:hAnsi="Verdana" w:cs="Arial"/>
          <w:color w:val="232120"/>
        </w:rPr>
        <w:footnoteReference w:id="162"/>
      </w:r>
      <w:r w:rsidR="005317CA" w:rsidRPr="00760D6E">
        <w:rPr>
          <w:rFonts w:ascii="Verdana" w:hAnsi="Verdana" w:cs="Arial"/>
          <w:color w:val="232120"/>
        </w:rPr>
        <w:t xml:space="preserve"> </w:t>
      </w:r>
      <w:r w:rsidR="008137B9" w:rsidRPr="00760D6E">
        <w:rPr>
          <w:rFonts w:ascii="Verdana" w:hAnsi="Verdana"/>
        </w:rPr>
        <w:t xml:space="preserve">and the </w:t>
      </w:r>
      <w:r w:rsidR="001F49BC" w:rsidRPr="00760D6E">
        <w:rPr>
          <w:rFonts w:ascii="Verdana" w:hAnsi="Verdana"/>
        </w:rPr>
        <w:t xml:space="preserve">negative </w:t>
      </w:r>
      <w:r w:rsidR="008137B9" w:rsidRPr="00760D6E">
        <w:rPr>
          <w:rFonts w:ascii="Verdana" w:hAnsi="Verdana"/>
        </w:rPr>
        <w:t>impact of the two-child policy</w:t>
      </w:r>
      <w:r w:rsidR="001F49BC" w:rsidRPr="00760D6E">
        <w:rPr>
          <w:rFonts w:ascii="Verdana" w:hAnsi="Verdana"/>
        </w:rPr>
        <w:t xml:space="preserve"> on families from specific cultural and religious backgrounds who may have larger families, or moral objections to the use of contraception, emergency contraception and abortion.</w:t>
      </w:r>
      <w:r w:rsidR="001A0317" w:rsidRPr="00A33C65">
        <w:rPr>
          <w:rStyle w:val="FootnoteReference"/>
          <w:rFonts w:ascii="Verdana" w:hAnsi="Verdana"/>
        </w:rPr>
        <w:footnoteReference w:id="163"/>
      </w:r>
      <w:r w:rsidR="001F49BC" w:rsidRPr="00760D6E">
        <w:rPr>
          <w:rFonts w:ascii="Verdana" w:hAnsi="Verdana"/>
        </w:rPr>
        <w:t xml:space="preserve"> </w:t>
      </w:r>
      <w:r w:rsidR="00976740" w:rsidRPr="00760D6E">
        <w:rPr>
          <w:rFonts w:ascii="Verdana" w:hAnsi="Verdana"/>
        </w:rPr>
        <w:t>The UN</w:t>
      </w:r>
      <w:r w:rsidR="003F0833" w:rsidRPr="00760D6E">
        <w:rPr>
          <w:rFonts w:ascii="Verdana" w:hAnsi="Verdana"/>
        </w:rPr>
        <w:t xml:space="preserve"> CEDAW</w:t>
      </w:r>
      <w:r w:rsidR="00976740" w:rsidRPr="00760D6E">
        <w:rPr>
          <w:rFonts w:ascii="Verdana" w:hAnsi="Verdana"/>
        </w:rPr>
        <w:t xml:space="preserve"> Committee</w:t>
      </w:r>
      <w:r w:rsidR="001F49BC" w:rsidRPr="00760D6E">
        <w:rPr>
          <w:rFonts w:ascii="Verdana" w:hAnsi="Verdana"/>
        </w:rPr>
        <w:t xml:space="preserve"> has recommended the repeal of the two-child limit</w:t>
      </w:r>
      <w:r w:rsidR="00A33C65" w:rsidRPr="00A33C65">
        <w:rPr>
          <w:rStyle w:val="FootnoteReference"/>
          <w:rFonts w:ascii="Verdana" w:hAnsi="Verdana"/>
        </w:rPr>
        <w:footnoteReference w:id="164"/>
      </w:r>
      <w:r w:rsidR="00A33C65" w:rsidRPr="00760D6E">
        <w:rPr>
          <w:rFonts w:ascii="Verdana" w:hAnsi="Verdana"/>
        </w:rPr>
        <w:t xml:space="preserve"> and the UN </w:t>
      </w:r>
      <w:r w:rsidR="00724F47" w:rsidRPr="00760D6E">
        <w:rPr>
          <w:rFonts w:ascii="Verdana" w:hAnsi="Verdana"/>
        </w:rPr>
        <w:t xml:space="preserve">CRC </w:t>
      </w:r>
      <w:r w:rsidR="001F49BC" w:rsidRPr="00760D6E">
        <w:rPr>
          <w:rFonts w:ascii="Verdana" w:hAnsi="Verdana"/>
        </w:rPr>
        <w:t xml:space="preserve">Committee </w:t>
      </w:r>
      <w:r w:rsidR="008137B9" w:rsidRPr="00760D6E">
        <w:rPr>
          <w:rFonts w:ascii="Verdana" w:hAnsi="Verdana"/>
        </w:rPr>
        <w:t>has</w:t>
      </w:r>
      <w:r w:rsidR="001F49BC" w:rsidRPr="00760D6E">
        <w:rPr>
          <w:rFonts w:ascii="Verdana" w:hAnsi="Verdana"/>
        </w:rPr>
        <w:t xml:space="preserve"> recommended the state “conduct a comprehensive assessment of the cumulative impact of the full range of social security and tax credit reforms… on children, including children with disabilities and children belonging to ethnic minority groups”.</w:t>
      </w:r>
      <w:r w:rsidR="00A33C65" w:rsidRPr="00A33C65">
        <w:rPr>
          <w:rStyle w:val="FootnoteReference"/>
          <w:rFonts w:ascii="Verdana" w:hAnsi="Verdana"/>
        </w:rPr>
        <w:footnoteReference w:id="165"/>
      </w:r>
    </w:p>
    <w:p w14:paraId="5F1E6637" w14:textId="77777777" w:rsidR="00760D6E" w:rsidRDefault="00760D6E" w:rsidP="00760D6E">
      <w:pPr>
        <w:pStyle w:val="ListParagraph"/>
        <w:rPr>
          <w:rFonts w:ascii="Verdana" w:hAnsi="Verdana" w:cs="Arial"/>
          <w:color w:val="232120"/>
        </w:rPr>
      </w:pPr>
    </w:p>
    <w:p w14:paraId="14D43A01" w14:textId="2CC1E8D8" w:rsidR="00760D6E" w:rsidRPr="00760D6E" w:rsidRDefault="00EC2108"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Arial"/>
          <w:color w:val="232120"/>
        </w:rPr>
        <w:t xml:space="preserve">The </w:t>
      </w:r>
      <w:r w:rsidR="00370A5C" w:rsidRPr="00760D6E">
        <w:rPr>
          <w:rFonts w:ascii="Verdana" w:hAnsi="Verdana" w:cs="Arial"/>
          <w:color w:val="232120"/>
        </w:rPr>
        <w:t xml:space="preserve">NIHRC </w:t>
      </w:r>
      <w:r w:rsidRPr="00760D6E">
        <w:rPr>
          <w:rFonts w:ascii="Verdana" w:hAnsi="Verdana" w:cs="Arial"/>
          <w:color w:val="232120"/>
        </w:rPr>
        <w:t>response</w:t>
      </w:r>
      <w:r w:rsidR="006D67E5" w:rsidRPr="00760D6E">
        <w:rPr>
          <w:rFonts w:ascii="Verdana" w:hAnsi="Verdana" w:cs="Arial"/>
          <w:color w:val="232120"/>
        </w:rPr>
        <w:t xml:space="preserve"> </w:t>
      </w:r>
      <w:r w:rsidR="00370A5C" w:rsidRPr="00760D6E">
        <w:rPr>
          <w:rFonts w:ascii="Verdana" w:hAnsi="Verdana" w:cs="Arial"/>
          <w:color w:val="232120"/>
        </w:rPr>
        <w:t>also</w:t>
      </w:r>
      <w:r w:rsidRPr="00760D6E">
        <w:rPr>
          <w:rFonts w:ascii="Verdana" w:hAnsi="Verdana" w:cs="Arial"/>
          <w:color w:val="232120"/>
        </w:rPr>
        <w:t xml:space="preserve"> noted that while </w:t>
      </w:r>
      <w:r w:rsidRPr="00760D6E">
        <w:rPr>
          <w:rFonts w:ascii="Verdana" w:hAnsi="Verdana"/>
        </w:rPr>
        <w:t xml:space="preserve">minority ethnic communities were not identified by the Department's impact assessment, there are </w:t>
      </w:r>
      <w:r w:rsidR="008B608E" w:rsidRPr="00760D6E">
        <w:rPr>
          <w:rFonts w:ascii="Verdana" w:hAnsi="Verdana"/>
        </w:rPr>
        <w:t xml:space="preserve">clear </w:t>
      </w:r>
      <w:r w:rsidRPr="00760D6E">
        <w:rPr>
          <w:rFonts w:ascii="Verdana" w:hAnsi="Verdana"/>
        </w:rPr>
        <w:t>links between poverty and ethnicity in N</w:t>
      </w:r>
      <w:r w:rsidR="00164862" w:rsidRPr="00760D6E">
        <w:rPr>
          <w:rFonts w:ascii="Verdana" w:hAnsi="Verdana"/>
        </w:rPr>
        <w:t>I</w:t>
      </w:r>
      <w:r w:rsidR="00131A94" w:rsidRPr="00760D6E">
        <w:rPr>
          <w:rFonts w:ascii="Verdana" w:hAnsi="Verdana"/>
        </w:rPr>
        <w:t xml:space="preserve">, </w:t>
      </w:r>
      <w:r w:rsidRPr="00760D6E">
        <w:rPr>
          <w:rFonts w:ascii="Verdana" w:hAnsi="Verdana"/>
        </w:rPr>
        <w:t>attributed to higher unemployment rates and over-representation in low-paid work.</w:t>
      </w:r>
      <w:r w:rsidRPr="00A33C65">
        <w:rPr>
          <w:rStyle w:val="FootnoteReference"/>
          <w:rFonts w:ascii="Verdana" w:hAnsi="Verdana"/>
        </w:rPr>
        <w:footnoteReference w:id="166"/>
      </w:r>
      <w:r w:rsidR="00131A94" w:rsidRPr="00760D6E">
        <w:rPr>
          <w:rFonts w:ascii="Verdana" w:hAnsi="Verdana"/>
        </w:rPr>
        <w:t xml:space="preserve"> </w:t>
      </w:r>
      <w:r w:rsidR="00370A5C" w:rsidRPr="00760D6E">
        <w:rPr>
          <w:rFonts w:ascii="Verdana" w:hAnsi="Verdana"/>
        </w:rPr>
        <w:t>T</w:t>
      </w:r>
      <w:r w:rsidR="00BA6C40" w:rsidRPr="00760D6E">
        <w:rPr>
          <w:rFonts w:ascii="Verdana" w:hAnsi="Verdana"/>
        </w:rPr>
        <w:t>he lack of</w:t>
      </w:r>
      <w:r w:rsidR="00131A94" w:rsidRPr="00760D6E">
        <w:rPr>
          <w:rFonts w:ascii="Verdana" w:hAnsi="Verdana"/>
        </w:rPr>
        <w:t xml:space="preserve"> allocation for job market interventions in the draft budget for 2021-22 will have an adverse impact on minority ethnic communities, who already face barriers to employment within NI.</w:t>
      </w:r>
      <w:r w:rsidR="00AB6C18" w:rsidRPr="00760D6E">
        <w:rPr>
          <w:rFonts w:ascii="Verdana" w:hAnsi="Verdana"/>
        </w:rPr>
        <w:t xml:space="preserve"> </w:t>
      </w:r>
      <w:r w:rsidR="00867401" w:rsidRPr="00760D6E">
        <w:rPr>
          <w:rFonts w:ascii="Verdana" w:hAnsi="Verdana"/>
        </w:rPr>
        <w:t>Citing the UN High Commissioner</w:t>
      </w:r>
      <w:r w:rsidR="00F0559B" w:rsidRPr="00760D6E">
        <w:rPr>
          <w:rFonts w:ascii="Verdana" w:hAnsi="Verdana"/>
        </w:rPr>
        <w:t xml:space="preserve"> for Human Rights</w:t>
      </w:r>
      <w:r w:rsidR="00867401" w:rsidRPr="00760D6E">
        <w:rPr>
          <w:rFonts w:ascii="Verdana" w:hAnsi="Verdana"/>
        </w:rPr>
        <w:t xml:space="preserve">, the </w:t>
      </w:r>
      <w:r w:rsidR="00357FBA" w:rsidRPr="00760D6E">
        <w:rPr>
          <w:rFonts w:ascii="Verdana" w:hAnsi="Verdana"/>
        </w:rPr>
        <w:t>NIHRC</w:t>
      </w:r>
      <w:r w:rsidR="00AB6C18" w:rsidRPr="00760D6E">
        <w:rPr>
          <w:rFonts w:ascii="Verdana" w:hAnsi="Verdana"/>
        </w:rPr>
        <w:t xml:space="preserve"> highlighted th</w:t>
      </w:r>
      <w:r w:rsidR="00BA6C40" w:rsidRPr="00760D6E">
        <w:rPr>
          <w:rFonts w:ascii="Verdana" w:hAnsi="Verdana"/>
        </w:rPr>
        <w:t>at minority ethnic communities have been disproportionately impacted by Covid-19 due to “systemically unequal access to services and opportunities” including health care, education, housing and access to</w:t>
      </w:r>
      <w:r w:rsidR="00E13062" w:rsidRPr="00760D6E">
        <w:rPr>
          <w:rFonts w:ascii="Verdana" w:hAnsi="Verdana"/>
        </w:rPr>
        <w:t xml:space="preserve"> employment and justice.</w:t>
      </w:r>
      <w:r w:rsidR="00E13062" w:rsidRPr="00A33C65">
        <w:rPr>
          <w:rStyle w:val="FootnoteReference"/>
          <w:rFonts w:ascii="Verdana" w:hAnsi="Verdana"/>
        </w:rPr>
        <w:footnoteReference w:id="167"/>
      </w:r>
      <w:r w:rsidR="00E13062" w:rsidRPr="00760D6E">
        <w:rPr>
          <w:rFonts w:ascii="Verdana" w:hAnsi="Verdana"/>
        </w:rPr>
        <w:t xml:space="preserve"> Members of minority groups are more exposed to the virus because of their over-representation in low-paid, insecure work.</w:t>
      </w:r>
      <w:r w:rsidR="00867401" w:rsidRPr="00A33C65">
        <w:rPr>
          <w:rStyle w:val="FootnoteReference"/>
          <w:rFonts w:ascii="Verdana" w:hAnsi="Verdana"/>
        </w:rPr>
        <w:footnoteReference w:id="168"/>
      </w:r>
      <w:r w:rsidR="00F0559B" w:rsidRPr="00760D6E">
        <w:rPr>
          <w:rFonts w:ascii="Verdana" w:hAnsi="Verdana" w:cs="Arial"/>
          <w:color w:val="232120"/>
        </w:rPr>
        <w:t xml:space="preserve"> Finally, t</w:t>
      </w:r>
      <w:r w:rsidR="005317CA" w:rsidRPr="00760D6E">
        <w:rPr>
          <w:rFonts w:ascii="Verdana" w:hAnsi="Verdana" w:cs="Arial"/>
          <w:color w:val="232120"/>
        </w:rPr>
        <w:t xml:space="preserve">he response </w:t>
      </w:r>
      <w:r w:rsidR="00D14897" w:rsidRPr="00760D6E">
        <w:rPr>
          <w:rFonts w:ascii="Verdana" w:hAnsi="Verdana" w:cs="Arial"/>
          <w:color w:val="232120"/>
        </w:rPr>
        <w:t>stated that</w:t>
      </w:r>
      <w:r w:rsidR="005317CA" w:rsidRPr="00760D6E">
        <w:rPr>
          <w:rFonts w:ascii="Verdana" w:hAnsi="Verdana" w:cs="Arial"/>
          <w:color w:val="232120"/>
        </w:rPr>
        <w:t xml:space="preserve"> the </w:t>
      </w:r>
      <w:r w:rsidR="005317CA" w:rsidRPr="00760D6E">
        <w:rPr>
          <w:rFonts w:ascii="Verdana" w:hAnsi="Verdana"/>
        </w:rPr>
        <w:t>c</w:t>
      </w:r>
      <w:r w:rsidR="00F67385" w:rsidRPr="00760D6E">
        <w:rPr>
          <w:rFonts w:ascii="Verdana" w:hAnsi="Verdana"/>
        </w:rPr>
        <w:t>omplex documentation required to apply for social security payments already adversely impact migrant workers in NI.</w:t>
      </w:r>
      <w:r w:rsidR="00F67385" w:rsidRPr="00A33C65">
        <w:rPr>
          <w:rStyle w:val="FootnoteReference"/>
          <w:rFonts w:ascii="Verdana" w:hAnsi="Verdana"/>
        </w:rPr>
        <w:footnoteReference w:id="169"/>
      </w:r>
      <w:r w:rsidR="00F67385" w:rsidRPr="00760D6E">
        <w:rPr>
          <w:rFonts w:ascii="Verdana" w:hAnsi="Verdana"/>
        </w:rPr>
        <w:t xml:space="preserve"> </w:t>
      </w:r>
      <w:r w:rsidR="00D14897" w:rsidRPr="00760D6E">
        <w:rPr>
          <w:rFonts w:ascii="Verdana" w:hAnsi="Verdana"/>
        </w:rPr>
        <w:t>The p</w:t>
      </w:r>
      <w:r w:rsidR="00F67385" w:rsidRPr="00760D6E">
        <w:rPr>
          <w:rFonts w:ascii="Verdana" w:hAnsi="Verdana"/>
        </w:rPr>
        <w:t>roposed cuts to the Independent Advice Sector alongside no additional staff to process social security payments will exacerbate these pre-existing issues for minority ethnic and migrant workers.</w:t>
      </w:r>
    </w:p>
    <w:p w14:paraId="260E6DF4" w14:textId="77777777" w:rsidR="00760D6E" w:rsidRDefault="00760D6E" w:rsidP="00760D6E">
      <w:pPr>
        <w:pStyle w:val="BasicParagraph"/>
        <w:suppressAutoHyphens/>
        <w:spacing w:line="276" w:lineRule="auto"/>
        <w:ind w:left="720"/>
        <w:rPr>
          <w:rFonts w:ascii="Verdana" w:hAnsi="Verdana" w:cs="Arial"/>
          <w:color w:val="auto"/>
        </w:rPr>
      </w:pPr>
    </w:p>
    <w:p w14:paraId="511C830B" w14:textId="77777777" w:rsidR="00760D6E" w:rsidRDefault="00E5087C"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YIUEB V+ Gotham"/>
        </w:rPr>
        <w:t xml:space="preserve">The Minister also announced the appointment of an Independent Advisory Panel to </w:t>
      </w:r>
      <w:r w:rsidRPr="00760D6E">
        <w:rPr>
          <w:rFonts w:ascii="Verdana" w:hAnsi="Verdana" w:cs="YIUEB V+ Gotham"/>
          <w:color w:val="auto"/>
        </w:rPr>
        <w:t xml:space="preserve">review welfare mitigation measures in NI, which will be chaired by the former Chief Commissioner of the </w:t>
      </w:r>
      <w:r w:rsidR="00926E5C" w:rsidRPr="00760D6E">
        <w:rPr>
          <w:rFonts w:ascii="Verdana" w:hAnsi="Verdana" w:cs="YIUEB V+ Gotham"/>
          <w:color w:val="auto"/>
        </w:rPr>
        <w:t>NIHRC,</w:t>
      </w:r>
      <w:r w:rsidRPr="00760D6E">
        <w:rPr>
          <w:rFonts w:ascii="Verdana" w:hAnsi="Verdana" w:cs="YIUEB V+ Gotham"/>
          <w:color w:val="auto"/>
        </w:rPr>
        <w:t xml:space="preserve"> Les Allamby.</w:t>
      </w:r>
      <w:r w:rsidR="00654266" w:rsidRPr="009F05FD">
        <w:rPr>
          <w:rStyle w:val="FootnoteReference"/>
          <w:rFonts w:ascii="Verdana" w:hAnsi="Verdana" w:cs="YIUEB V+ Gotham"/>
          <w:color w:val="auto"/>
        </w:rPr>
        <w:footnoteReference w:id="170"/>
      </w:r>
      <w:r w:rsidRPr="00760D6E">
        <w:rPr>
          <w:rStyle w:val="A91"/>
          <w:rFonts w:ascii="Verdana" w:hAnsi="Verdana"/>
          <w:color w:val="auto"/>
          <w:sz w:val="24"/>
          <w:szCs w:val="24"/>
        </w:rPr>
        <w:t xml:space="preserve"> </w:t>
      </w:r>
      <w:r w:rsidRPr="00760D6E">
        <w:rPr>
          <w:rFonts w:ascii="Verdana" w:hAnsi="Verdana" w:cs="YIUEB V+ Gotham"/>
          <w:color w:val="auto"/>
        </w:rPr>
        <w:t xml:space="preserve">The Panel is expected to produce a final report </w:t>
      </w:r>
      <w:r w:rsidR="007549F2" w:rsidRPr="00760D6E">
        <w:rPr>
          <w:rFonts w:ascii="Verdana" w:hAnsi="Verdana" w:cs="YIUEB V+ Gotham"/>
          <w:color w:val="auto"/>
        </w:rPr>
        <w:t xml:space="preserve">by 4 </w:t>
      </w:r>
      <w:r w:rsidRPr="00760D6E">
        <w:rPr>
          <w:rFonts w:ascii="Verdana" w:hAnsi="Verdana" w:cs="YIUEB V+ Gotham"/>
          <w:color w:val="auto"/>
        </w:rPr>
        <w:t>February 2022.</w:t>
      </w:r>
    </w:p>
    <w:p w14:paraId="4DDC2658" w14:textId="77777777" w:rsidR="00760D6E" w:rsidRDefault="00760D6E" w:rsidP="00760D6E">
      <w:pPr>
        <w:pStyle w:val="ListParagraph"/>
        <w:rPr>
          <w:rFonts w:ascii="Verdana" w:hAnsi="Verdana" w:cs="Arial"/>
        </w:rPr>
      </w:pPr>
    </w:p>
    <w:p w14:paraId="44607D37" w14:textId="77777777" w:rsidR="00760D6E" w:rsidRDefault="009F05FD"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Arial"/>
          <w:color w:val="auto"/>
        </w:rPr>
        <w:t>Following extensions to the mitigations in 2020</w:t>
      </w:r>
      <w:r w:rsidRPr="009F05FD">
        <w:rPr>
          <w:rStyle w:val="FootnoteReference"/>
          <w:rFonts w:ascii="Verdana" w:hAnsi="Verdana" w:cs="Arial"/>
          <w:color w:val="auto"/>
        </w:rPr>
        <w:footnoteReference w:id="171"/>
      </w:r>
      <w:r w:rsidRPr="00760D6E">
        <w:rPr>
          <w:rFonts w:ascii="Verdana" w:hAnsi="Verdana" w:cs="Arial"/>
          <w:color w:val="auto"/>
        </w:rPr>
        <w:t xml:space="preserve"> and a commitment by the then Minister for Communities to legislate, i</w:t>
      </w:r>
      <w:r w:rsidR="00E44DFA" w:rsidRPr="00760D6E">
        <w:rPr>
          <w:rFonts w:ascii="Verdana" w:hAnsi="Verdana" w:cs="Arial"/>
          <w:color w:val="auto"/>
        </w:rPr>
        <w:t xml:space="preserve">n February 2022, </w:t>
      </w:r>
      <w:r w:rsidR="00B3173C" w:rsidRPr="00760D6E">
        <w:rPr>
          <w:rFonts w:ascii="Verdana" w:hAnsi="Verdana" w:cs="Arial"/>
          <w:color w:val="auto"/>
        </w:rPr>
        <w:t xml:space="preserve">the NI Assembly </w:t>
      </w:r>
      <w:r w:rsidR="007B3B4F" w:rsidRPr="00760D6E">
        <w:rPr>
          <w:rFonts w:ascii="Verdana" w:hAnsi="Verdana" w:cs="Arial"/>
          <w:color w:val="auto"/>
        </w:rPr>
        <w:t>legislated</w:t>
      </w:r>
      <w:r w:rsidR="00E739DF" w:rsidRPr="00760D6E">
        <w:rPr>
          <w:rFonts w:ascii="Verdana" w:hAnsi="Verdana" w:cs="Arial"/>
          <w:color w:val="auto"/>
        </w:rPr>
        <w:t xml:space="preserve"> to </w:t>
      </w:r>
      <w:r w:rsidR="00756B5A" w:rsidRPr="00760D6E">
        <w:rPr>
          <w:rFonts w:ascii="Verdana" w:hAnsi="Verdana" w:cs="Arial"/>
          <w:color w:val="auto"/>
        </w:rPr>
        <w:t xml:space="preserve">extend some welfare </w:t>
      </w:r>
      <w:r w:rsidR="00E97ACD" w:rsidRPr="00760D6E">
        <w:rPr>
          <w:rFonts w:ascii="Verdana" w:hAnsi="Verdana" w:cs="Arial"/>
          <w:color w:val="auto"/>
        </w:rPr>
        <w:t>mitigations</w:t>
      </w:r>
      <w:r w:rsidR="00756B5A" w:rsidRPr="00760D6E">
        <w:rPr>
          <w:rFonts w:ascii="Verdana" w:hAnsi="Verdana" w:cs="Arial"/>
          <w:color w:val="auto"/>
        </w:rPr>
        <w:t xml:space="preserve"> </w:t>
      </w:r>
      <w:r w:rsidR="007B3B4F" w:rsidRPr="00760D6E">
        <w:rPr>
          <w:rFonts w:ascii="Verdana" w:hAnsi="Verdana" w:cs="Arial"/>
          <w:color w:val="auto"/>
        </w:rPr>
        <w:t>indefinitely</w:t>
      </w:r>
      <w:r w:rsidR="00451DB5" w:rsidRPr="00760D6E">
        <w:rPr>
          <w:rFonts w:ascii="Verdana" w:hAnsi="Verdana" w:cs="Arial"/>
          <w:color w:val="auto"/>
        </w:rPr>
        <w:t xml:space="preserve">, ensuring that people who would have been affected by the </w:t>
      </w:r>
      <w:r w:rsidR="00DE7BBC" w:rsidRPr="00760D6E">
        <w:rPr>
          <w:rFonts w:ascii="Verdana" w:hAnsi="Verdana" w:cs="Arial"/>
          <w:color w:val="auto"/>
        </w:rPr>
        <w:t>‘bedroom tax’</w:t>
      </w:r>
      <w:r w:rsidR="00DE7BBC" w:rsidRPr="009F05FD">
        <w:rPr>
          <w:rStyle w:val="FootnoteReference"/>
          <w:rFonts w:ascii="Verdana" w:hAnsi="Verdana" w:cs="Arial"/>
          <w:color w:val="auto"/>
        </w:rPr>
        <w:footnoteReference w:id="172"/>
      </w:r>
      <w:r w:rsidR="0084424A" w:rsidRPr="00760D6E">
        <w:rPr>
          <w:rFonts w:ascii="Verdana" w:hAnsi="Verdana" w:cs="Arial"/>
          <w:color w:val="auto"/>
        </w:rPr>
        <w:t xml:space="preserve"> </w:t>
      </w:r>
      <w:r w:rsidR="003F1974" w:rsidRPr="00760D6E">
        <w:rPr>
          <w:rFonts w:ascii="Verdana" w:hAnsi="Verdana" w:cs="Arial"/>
          <w:color w:val="auto"/>
        </w:rPr>
        <w:t xml:space="preserve">to </w:t>
      </w:r>
      <w:r w:rsidR="0084424A" w:rsidRPr="00760D6E">
        <w:rPr>
          <w:rFonts w:ascii="Verdana" w:hAnsi="Verdana" w:cs="Arial"/>
          <w:color w:val="auto"/>
        </w:rPr>
        <w:t>get top-up payments.</w:t>
      </w:r>
      <w:r w:rsidR="0094714F" w:rsidRPr="00760D6E">
        <w:rPr>
          <w:rFonts w:ascii="Verdana" w:hAnsi="Verdana" w:cs="Arial"/>
          <w:color w:val="auto"/>
        </w:rPr>
        <w:t xml:space="preserve"> The legislation is due to take effect from </w:t>
      </w:r>
      <w:proofErr w:type="gramStart"/>
      <w:r w:rsidR="0094714F" w:rsidRPr="00760D6E">
        <w:rPr>
          <w:rFonts w:ascii="Verdana" w:hAnsi="Verdana" w:cs="Arial"/>
          <w:color w:val="auto"/>
        </w:rPr>
        <w:t>February 2022</w:t>
      </w:r>
      <w:r w:rsidR="009D1101" w:rsidRPr="00760D6E">
        <w:rPr>
          <w:rFonts w:ascii="Verdana" w:hAnsi="Verdana" w:cs="Arial"/>
          <w:color w:val="auto"/>
        </w:rPr>
        <w:t xml:space="preserve">, </w:t>
      </w:r>
      <w:r w:rsidR="00C7595E" w:rsidRPr="00760D6E">
        <w:rPr>
          <w:rFonts w:ascii="Verdana" w:hAnsi="Verdana" w:cs="Arial"/>
          <w:color w:val="auto"/>
        </w:rPr>
        <w:t>and</w:t>
      </w:r>
      <w:proofErr w:type="gramEnd"/>
      <w:r w:rsidR="0094714F" w:rsidRPr="00760D6E">
        <w:rPr>
          <w:rFonts w:ascii="Verdana" w:hAnsi="Verdana" w:cs="Arial"/>
          <w:color w:val="auto"/>
        </w:rPr>
        <w:t xml:space="preserve"> puts an obligation on the Department for Communities to extend the </w:t>
      </w:r>
      <w:r w:rsidR="003046E0" w:rsidRPr="00760D6E">
        <w:rPr>
          <w:rFonts w:ascii="Verdana" w:hAnsi="Verdana" w:cs="Arial"/>
          <w:color w:val="auto"/>
        </w:rPr>
        <w:t>mitigations permanently.</w:t>
      </w:r>
      <w:r w:rsidR="00DC7F49" w:rsidRPr="009F05FD">
        <w:rPr>
          <w:rStyle w:val="FootnoteReference"/>
          <w:rFonts w:ascii="Verdana" w:hAnsi="Verdana" w:cs="Arial"/>
          <w:color w:val="auto"/>
        </w:rPr>
        <w:footnoteReference w:id="173"/>
      </w:r>
    </w:p>
    <w:p w14:paraId="44B08923" w14:textId="77777777" w:rsidR="00760D6E" w:rsidRDefault="00760D6E" w:rsidP="00760D6E">
      <w:pPr>
        <w:pStyle w:val="ListParagraph"/>
        <w:rPr>
          <w:rFonts w:ascii="Verdana" w:hAnsi="Verdana" w:cs="Arial"/>
          <w:b/>
        </w:rPr>
      </w:pPr>
    </w:p>
    <w:p w14:paraId="299E6FA0" w14:textId="30804840" w:rsidR="00DA51A3" w:rsidRPr="00760D6E" w:rsidRDefault="008B608E" w:rsidP="00915669">
      <w:pPr>
        <w:pStyle w:val="BasicParagraph"/>
        <w:numPr>
          <w:ilvl w:val="1"/>
          <w:numId w:val="17"/>
        </w:numPr>
        <w:suppressAutoHyphens/>
        <w:spacing w:line="276" w:lineRule="auto"/>
        <w:rPr>
          <w:rFonts w:ascii="Verdana" w:hAnsi="Verdana" w:cs="Arial"/>
          <w:color w:val="auto"/>
        </w:rPr>
      </w:pPr>
      <w:r w:rsidRPr="00760D6E">
        <w:rPr>
          <w:rFonts w:ascii="Verdana" w:hAnsi="Verdana" w:cs="Arial"/>
          <w:b/>
          <w:color w:val="auto"/>
        </w:rPr>
        <w:t xml:space="preserve">The Advisory Committee may wish to </w:t>
      </w:r>
      <w:r w:rsidR="00D258A0" w:rsidRPr="00760D6E">
        <w:rPr>
          <w:rFonts w:ascii="Verdana" w:hAnsi="Verdana" w:cs="Arial"/>
          <w:b/>
          <w:color w:val="auto"/>
        </w:rPr>
        <w:t xml:space="preserve">ask </w:t>
      </w:r>
      <w:r w:rsidR="00D258A0" w:rsidRPr="00760D6E">
        <w:rPr>
          <w:rFonts w:ascii="Verdana" w:hAnsi="Verdana" w:cs="Arial"/>
          <w:b/>
          <w:bCs/>
          <w:color w:val="232120"/>
        </w:rPr>
        <w:t>the State Party</w:t>
      </w:r>
      <w:r w:rsidR="00DA51A3" w:rsidRPr="00760D6E">
        <w:rPr>
          <w:rFonts w:ascii="Verdana" w:hAnsi="Verdana" w:cs="Arial"/>
          <w:b/>
          <w:bCs/>
          <w:color w:val="232120"/>
        </w:rPr>
        <w:t>:</w:t>
      </w:r>
    </w:p>
    <w:p w14:paraId="3E2D0B51" w14:textId="77777777" w:rsidR="00DA51A3" w:rsidRDefault="00DA51A3" w:rsidP="008A5AFC">
      <w:pPr>
        <w:pStyle w:val="ListParagraph"/>
        <w:ind w:left="709" w:hanging="709"/>
        <w:rPr>
          <w:rFonts w:ascii="Verdana" w:hAnsi="Verdana" w:cs="Arial"/>
          <w:b/>
          <w:bCs/>
          <w:color w:val="232120"/>
          <w:highlight w:val="yellow"/>
        </w:rPr>
      </w:pPr>
    </w:p>
    <w:p w14:paraId="305AE88B" w14:textId="03AFD401" w:rsidR="008B608E" w:rsidRPr="00877CA1" w:rsidRDefault="00A940A2" w:rsidP="00915669">
      <w:pPr>
        <w:pStyle w:val="BasicParagraph"/>
        <w:numPr>
          <w:ilvl w:val="0"/>
          <w:numId w:val="5"/>
        </w:numPr>
        <w:suppressAutoHyphens/>
        <w:spacing w:line="276" w:lineRule="auto"/>
        <w:ind w:left="1560" w:hanging="426"/>
        <w:rPr>
          <w:rFonts w:ascii="Verdana" w:hAnsi="Verdana" w:cs="Arial"/>
          <w:b/>
          <w:bCs/>
          <w:color w:val="232120"/>
        </w:rPr>
      </w:pPr>
      <w:r w:rsidRPr="00877CA1">
        <w:rPr>
          <w:rFonts w:ascii="Verdana" w:hAnsi="Verdana" w:cs="Arial"/>
          <w:b/>
          <w:bCs/>
          <w:color w:val="232120"/>
        </w:rPr>
        <w:t>to en</w:t>
      </w:r>
      <w:r w:rsidR="00DA51A3" w:rsidRPr="00877CA1">
        <w:rPr>
          <w:rFonts w:ascii="Verdana" w:hAnsi="Verdana" w:cs="Arial"/>
          <w:b/>
          <w:bCs/>
          <w:color w:val="232120"/>
        </w:rPr>
        <w:t>s</w:t>
      </w:r>
      <w:r w:rsidRPr="00877CA1">
        <w:rPr>
          <w:rFonts w:ascii="Verdana" w:hAnsi="Verdana" w:cs="Arial"/>
          <w:b/>
          <w:bCs/>
          <w:color w:val="232120"/>
        </w:rPr>
        <w:t xml:space="preserve">ure that social security is accessible, promptly available and guarantees an </w:t>
      </w:r>
      <w:r w:rsidR="00877CA1" w:rsidRPr="00877CA1">
        <w:rPr>
          <w:rFonts w:ascii="Verdana" w:hAnsi="Verdana" w:cs="Arial"/>
          <w:b/>
          <w:bCs/>
          <w:color w:val="232120"/>
        </w:rPr>
        <w:t>adequate standard</w:t>
      </w:r>
      <w:r w:rsidRPr="00877CA1">
        <w:rPr>
          <w:rFonts w:ascii="Verdana" w:hAnsi="Verdana" w:cs="Arial"/>
          <w:b/>
          <w:bCs/>
          <w:color w:val="232120"/>
        </w:rPr>
        <w:t xml:space="preserve"> of </w:t>
      </w:r>
      <w:proofErr w:type="gramStart"/>
      <w:r w:rsidRPr="00877CA1">
        <w:rPr>
          <w:rFonts w:ascii="Verdana" w:hAnsi="Verdana" w:cs="Arial"/>
          <w:b/>
          <w:bCs/>
          <w:color w:val="232120"/>
        </w:rPr>
        <w:t>living</w:t>
      </w:r>
      <w:r w:rsidR="00DA51A3" w:rsidRPr="00877CA1">
        <w:rPr>
          <w:rFonts w:ascii="Verdana" w:hAnsi="Verdana" w:cs="Arial"/>
          <w:b/>
          <w:bCs/>
          <w:color w:val="232120"/>
        </w:rPr>
        <w:t>;</w:t>
      </w:r>
      <w:proofErr w:type="gramEnd"/>
    </w:p>
    <w:p w14:paraId="3529C4AA" w14:textId="39DE3BBC" w:rsidR="00DA51A3" w:rsidRPr="00877CA1" w:rsidRDefault="00877CA1" w:rsidP="00915669">
      <w:pPr>
        <w:pStyle w:val="BasicParagraph"/>
        <w:numPr>
          <w:ilvl w:val="0"/>
          <w:numId w:val="5"/>
        </w:numPr>
        <w:suppressAutoHyphens/>
        <w:spacing w:line="276" w:lineRule="auto"/>
        <w:rPr>
          <w:rFonts w:ascii="Verdana" w:hAnsi="Verdana" w:cs="Arial"/>
          <w:b/>
          <w:bCs/>
          <w:color w:val="232120"/>
        </w:rPr>
      </w:pPr>
      <w:r w:rsidRPr="00877CA1">
        <w:rPr>
          <w:rFonts w:ascii="Verdana" w:hAnsi="Verdana" w:cs="Arial"/>
          <w:b/>
          <w:bCs/>
          <w:color w:val="232120"/>
        </w:rPr>
        <w:t>to</w:t>
      </w:r>
      <w:r w:rsidR="00AF2914" w:rsidRPr="00877CA1">
        <w:rPr>
          <w:rFonts w:ascii="Verdana" w:hAnsi="Verdana" w:cs="Arial"/>
          <w:b/>
          <w:bCs/>
          <w:color w:val="232120"/>
        </w:rPr>
        <w:t xml:space="preserve"> review the cuts in social welfare benefits </w:t>
      </w:r>
      <w:r w:rsidR="00E659C5" w:rsidRPr="00877CA1">
        <w:rPr>
          <w:rFonts w:ascii="Verdana" w:hAnsi="Verdana" w:cs="Arial"/>
          <w:b/>
          <w:bCs/>
          <w:color w:val="232120"/>
        </w:rPr>
        <w:t>and</w:t>
      </w:r>
      <w:r w:rsidR="00504C92" w:rsidRPr="00877CA1">
        <w:rPr>
          <w:rFonts w:ascii="Verdana" w:hAnsi="Verdana" w:cs="Arial"/>
          <w:b/>
          <w:bCs/>
          <w:color w:val="232120"/>
        </w:rPr>
        <w:t>, in the interim,</w:t>
      </w:r>
      <w:r w:rsidR="00E659C5" w:rsidRPr="00877CA1">
        <w:rPr>
          <w:rFonts w:ascii="Verdana" w:hAnsi="Verdana" w:cs="Arial"/>
          <w:b/>
          <w:bCs/>
          <w:color w:val="232120"/>
        </w:rPr>
        <w:t xml:space="preserve"> ensure a comprehensive mitigation package for NI</w:t>
      </w:r>
      <w:r w:rsidR="005D4571">
        <w:rPr>
          <w:rFonts w:ascii="Verdana" w:hAnsi="Verdana" w:cs="Arial"/>
          <w:b/>
          <w:bCs/>
          <w:color w:val="232120"/>
        </w:rPr>
        <w:t xml:space="preserve">; and </w:t>
      </w:r>
      <w:r w:rsidR="00E659C5" w:rsidRPr="00877CA1">
        <w:rPr>
          <w:rFonts w:ascii="Verdana" w:hAnsi="Verdana" w:cs="Arial"/>
          <w:b/>
          <w:bCs/>
          <w:color w:val="232120"/>
        </w:rPr>
        <w:t xml:space="preserve"> </w:t>
      </w:r>
    </w:p>
    <w:p w14:paraId="692BB29F" w14:textId="576C429E" w:rsidR="00E659C5" w:rsidRPr="00877CA1" w:rsidRDefault="00877CA1" w:rsidP="00915669">
      <w:pPr>
        <w:pStyle w:val="BasicParagraph"/>
        <w:numPr>
          <w:ilvl w:val="0"/>
          <w:numId w:val="5"/>
        </w:numPr>
        <w:suppressAutoHyphens/>
        <w:spacing w:line="276" w:lineRule="auto"/>
        <w:rPr>
          <w:rFonts w:ascii="Verdana" w:hAnsi="Verdana" w:cs="Arial"/>
          <w:b/>
          <w:bCs/>
          <w:color w:val="232120"/>
        </w:rPr>
      </w:pPr>
      <w:r w:rsidRPr="00877CA1">
        <w:rPr>
          <w:rFonts w:ascii="Verdana" w:hAnsi="Verdana" w:cs="Arial"/>
          <w:b/>
          <w:bCs/>
          <w:color w:val="232120"/>
        </w:rPr>
        <w:t>to</w:t>
      </w:r>
      <w:r w:rsidR="001F3840" w:rsidRPr="00877CA1">
        <w:rPr>
          <w:rFonts w:ascii="Verdana" w:hAnsi="Verdana" w:cs="Arial"/>
          <w:b/>
          <w:bCs/>
          <w:color w:val="232120"/>
        </w:rPr>
        <w:t xml:space="preserve"> monitor the </w:t>
      </w:r>
      <w:r w:rsidRPr="00877CA1">
        <w:rPr>
          <w:rFonts w:ascii="Verdana" w:hAnsi="Verdana" w:cs="Arial"/>
          <w:b/>
          <w:bCs/>
          <w:color w:val="232120"/>
        </w:rPr>
        <w:t>cumulative</w:t>
      </w:r>
      <w:r w:rsidR="001F3840" w:rsidRPr="00877CA1">
        <w:rPr>
          <w:rFonts w:ascii="Verdana" w:hAnsi="Verdana" w:cs="Arial"/>
          <w:b/>
          <w:bCs/>
          <w:color w:val="232120"/>
        </w:rPr>
        <w:t xml:space="preserve"> impact of social security reforms on ethnic minorities, women and low-income families and families with </w:t>
      </w:r>
      <w:r w:rsidRPr="00877CA1">
        <w:rPr>
          <w:rFonts w:ascii="Verdana" w:hAnsi="Verdana" w:cs="Arial"/>
          <w:b/>
          <w:bCs/>
          <w:color w:val="232120"/>
        </w:rPr>
        <w:t>two or more children.</w:t>
      </w:r>
    </w:p>
    <w:p w14:paraId="718FB217" w14:textId="30B00003" w:rsidR="0030745A" w:rsidRPr="00D62DEB" w:rsidRDefault="0030745A" w:rsidP="004656A5">
      <w:pPr>
        <w:pStyle w:val="BasicParagraph"/>
        <w:suppressAutoHyphens/>
        <w:spacing w:line="276" w:lineRule="auto"/>
        <w:rPr>
          <w:rFonts w:ascii="Verdana" w:hAnsi="Verdana" w:cs="Arial"/>
          <w:color w:val="232120"/>
        </w:rPr>
      </w:pPr>
    </w:p>
    <w:p w14:paraId="101BB38E" w14:textId="79DEB2B6" w:rsidR="0030745A" w:rsidRPr="009F05FD" w:rsidRDefault="0030745A" w:rsidP="00591D80">
      <w:pPr>
        <w:pStyle w:val="Heading2"/>
      </w:pPr>
      <w:bookmarkStart w:id="27" w:name="_Toc97030917"/>
      <w:r>
        <w:t>Asylum Support</w:t>
      </w:r>
      <w:bookmarkEnd w:id="27"/>
      <w:r>
        <w:t xml:space="preserve"> </w:t>
      </w:r>
    </w:p>
    <w:p w14:paraId="6AFD3D0B" w14:textId="77777777" w:rsidR="0030745A" w:rsidRPr="00D62DEB" w:rsidRDefault="0030745A" w:rsidP="004656A5">
      <w:pPr>
        <w:pStyle w:val="BasicParagraph"/>
        <w:suppressAutoHyphens/>
        <w:spacing w:line="276" w:lineRule="auto"/>
        <w:ind w:left="142"/>
        <w:rPr>
          <w:rFonts w:ascii="Verdana" w:hAnsi="Verdana"/>
        </w:rPr>
      </w:pPr>
    </w:p>
    <w:p w14:paraId="2EB43F4D" w14:textId="53ED30EF" w:rsidR="00760D6E" w:rsidRPr="00760D6E" w:rsidRDefault="009958B7" w:rsidP="00915669">
      <w:pPr>
        <w:pStyle w:val="BasicParagraph"/>
        <w:numPr>
          <w:ilvl w:val="1"/>
          <w:numId w:val="17"/>
        </w:numPr>
        <w:suppressAutoHyphens/>
        <w:spacing w:line="276" w:lineRule="auto"/>
        <w:rPr>
          <w:rFonts w:ascii="Verdana" w:hAnsi="Verdana" w:cs="Arial"/>
          <w:b/>
          <w:color w:val="734791"/>
        </w:rPr>
      </w:pPr>
      <w:r w:rsidRPr="00D62DEB">
        <w:rPr>
          <w:rFonts w:ascii="Verdana" w:eastAsia="Verdana" w:hAnsi="Verdana" w:cs="Verdana"/>
        </w:rPr>
        <w:t>In 2016, the UN ICESCR Committee recommended that the UK Government “increase the level of support provided to asylum seekers, including through the daily allowance, to ensure that they enjoy their economic, social and cultural rights, in particular the right to an adequate standard of living”.</w:t>
      </w:r>
      <w:r w:rsidRPr="00D62DEB">
        <w:rPr>
          <w:rStyle w:val="FootnoteReference"/>
          <w:rFonts w:ascii="Verdana" w:hAnsi="Verdana"/>
        </w:rPr>
        <w:footnoteReference w:id="174"/>
      </w:r>
      <w:r w:rsidRPr="00D62DEB">
        <w:rPr>
          <w:rFonts w:ascii="Verdana" w:eastAsia="Verdana" w:hAnsi="Verdana" w:cs="Verdana"/>
        </w:rPr>
        <w:t xml:space="preserve"> The UN ICESCR Committee further encouraged the UK Government “to ensure that asylum seekers are not restricted from accessing employment while their claims are being processed”.</w:t>
      </w:r>
      <w:r w:rsidRPr="00D62DEB">
        <w:rPr>
          <w:rStyle w:val="FootnoteReference"/>
          <w:rFonts w:ascii="Verdana" w:hAnsi="Verdana"/>
        </w:rPr>
        <w:footnoteReference w:id="175"/>
      </w:r>
      <w:r w:rsidRPr="00D62DEB">
        <w:rPr>
          <w:rFonts w:ascii="Verdana" w:eastAsia="Verdana" w:hAnsi="Verdana" w:cs="Verdana"/>
        </w:rPr>
        <w:t xml:space="preserve">  </w:t>
      </w:r>
    </w:p>
    <w:p w14:paraId="4D7B10FF" w14:textId="77777777" w:rsidR="00760D6E" w:rsidRDefault="00760D6E" w:rsidP="00760D6E">
      <w:pPr>
        <w:pStyle w:val="BasicParagraph"/>
        <w:suppressAutoHyphens/>
        <w:spacing w:line="276" w:lineRule="auto"/>
        <w:ind w:left="720"/>
        <w:rPr>
          <w:rFonts w:ascii="Verdana" w:hAnsi="Verdana" w:cs="Arial"/>
          <w:b/>
          <w:color w:val="734791"/>
        </w:rPr>
      </w:pPr>
    </w:p>
    <w:p w14:paraId="041655E7" w14:textId="77777777" w:rsidR="00760D6E" w:rsidRDefault="009958B7" w:rsidP="00915669">
      <w:pPr>
        <w:pStyle w:val="BasicParagraph"/>
        <w:numPr>
          <w:ilvl w:val="1"/>
          <w:numId w:val="17"/>
        </w:numPr>
        <w:suppressAutoHyphens/>
        <w:spacing w:line="276" w:lineRule="auto"/>
        <w:rPr>
          <w:rFonts w:ascii="Verdana" w:hAnsi="Verdana" w:cs="Arial"/>
          <w:b/>
          <w:color w:val="734791"/>
        </w:rPr>
      </w:pPr>
      <w:r w:rsidRPr="00760D6E">
        <w:rPr>
          <w:rFonts w:ascii="Verdana" w:eastAsia="Verdana" w:hAnsi="Verdana" w:cs="Verdana"/>
        </w:rPr>
        <w:t xml:space="preserve">In March 2019, the UN CEDAW Committee, recalling its General Recommendation No 32 (2014) on the gender-related dimensions of </w:t>
      </w:r>
      <w:r w:rsidRPr="00760D6E">
        <w:rPr>
          <w:rFonts w:ascii="Verdana" w:eastAsia="Verdana" w:hAnsi="Verdana" w:cs="Verdana"/>
          <w:color w:val="auto"/>
        </w:rPr>
        <w:t xml:space="preserve">refugee status, asylum, </w:t>
      </w:r>
      <w:proofErr w:type="gramStart"/>
      <w:r w:rsidRPr="00760D6E">
        <w:rPr>
          <w:rFonts w:ascii="Verdana" w:eastAsia="Verdana" w:hAnsi="Verdana" w:cs="Verdana"/>
          <w:color w:val="auto"/>
        </w:rPr>
        <w:t>nationality</w:t>
      </w:r>
      <w:proofErr w:type="gramEnd"/>
      <w:r w:rsidRPr="00760D6E">
        <w:rPr>
          <w:rFonts w:ascii="Verdana" w:eastAsia="Verdana" w:hAnsi="Verdana" w:cs="Verdana"/>
          <w:color w:val="auto"/>
        </w:rPr>
        <w:t xml:space="preserve"> and statelessness of women, recommended that the UK Government “take measures to enable asylum-seeking and refugee women to access employment and appropriate housing”.</w:t>
      </w:r>
      <w:r w:rsidRPr="00CA27C8">
        <w:rPr>
          <w:rStyle w:val="FootnoteReference"/>
          <w:rFonts w:ascii="Verdana" w:hAnsi="Verdana"/>
          <w:color w:val="auto"/>
        </w:rPr>
        <w:footnoteReference w:id="176"/>
      </w:r>
    </w:p>
    <w:p w14:paraId="67EA3CCE" w14:textId="77777777" w:rsidR="00760D6E" w:rsidRDefault="00760D6E" w:rsidP="00760D6E">
      <w:pPr>
        <w:pStyle w:val="ListParagraph"/>
        <w:rPr>
          <w:rFonts w:ascii="Verdana" w:hAnsi="Verdana" w:cs="Arial"/>
        </w:rPr>
      </w:pPr>
    </w:p>
    <w:p w14:paraId="1C17EA83" w14:textId="77777777" w:rsidR="00760D6E" w:rsidRDefault="00127274" w:rsidP="00915669">
      <w:pPr>
        <w:pStyle w:val="BasicParagraph"/>
        <w:numPr>
          <w:ilvl w:val="1"/>
          <w:numId w:val="17"/>
        </w:numPr>
        <w:suppressAutoHyphens/>
        <w:spacing w:line="276" w:lineRule="auto"/>
        <w:rPr>
          <w:rFonts w:ascii="Verdana" w:hAnsi="Verdana" w:cs="Arial"/>
          <w:b/>
          <w:color w:val="734791"/>
        </w:rPr>
      </w:pPr>
      <w:r w:rsidRPr="00760D6E">
        <w:rPr>
          <w:rFonts w:ascii="Verdana" w:hAnsi="Verdana" w:cs="Arial"/>
          <w:color w:val="auto"/>
        </w:rPr>
        <w:t>Except for very limited circumstances,</w:t>
      </w:r>
      <w:r w:rsidR="00357FBA" w:rsidRPr="00760D6E">
        <w:rPr>
          <w:rFonts w:ascii="Verdana" w:hAnsi="Verdana" w:cs="Arial"/>
          <w:color w:val="auto"/>
        </w:rPr>
        <w:t xml:space="preserve"> a</w:t>
      </w:r>
      <w:r w:rsidR="00EF1697" w:rsidRPr="00760D6E">
        <w:rPr>
          <w:rFonts w:ascii="Verdana" w:hAnsi="Verdana" w:cs="Arial"/>
          <w:color w:val="auto"/>
        </w:rPr>
        <w:t>sylum seekers are not able to work in the UK</w:t>
      </w:r>
      <w:r w:rsidR="004171C1" w:rsidRPr="00760D6E">
        <w:rPr>
          <w:rFonts w:ascii="Verdana" w:hAnsi="Verdana" w:cs="Arial"/>
          <w:color w:val="auto"/>
        </w:rPr>
        <w:t>.</w:t>
      </w:r>
      <w:r w:rsidR="00EF1697" w:rsidRPr="00760D6E">
        <w:rPr>
          <w:rFonts w:ascii="Verdana" w:hAnsi="Verdana" w:cs="Arial"/>
          <w:color w:val="auto"/>
        </w:rPr>
        <w:t xml:space="preserve"> </w:t>
      </w:r>
      <w:r w:rsidR="004171C1" w:rsidRPr="00760D6E">
        <w:rPr>
          <w:rFonts w:ascii="Verdana" w:hAnsi="Verdana" w:cs="Arial"/>
          <w:color w:val="auto"/>
        </w:rPr>
        <w:t>F</w:t>
      </w:r>
      <w:r w:rsidR="00357FBA" w:rsidRPr="00760D6E">
        <w:rPr>
          <w:rFonts w:ascii="Verdana" w:hAnsi="Verdana" w:cs="Arial"/>
          <w:color w:val="auto"/>
        </w:rPr>
        <w:t>inancial</w:t>
      </w:r>
      <w:r w:rsidR="00B07805" w:rsidRPr="00760D6E">
        <w:rPr>
          <w:rFonts w:ascii="Verdana" w:hAnsi="Verdana" w:cs="Arial"/>
          <w:color w:val="auto"/>
        </w:rPr>
        <w:t xml:space="preserve"> support </w:t>
      </w:r>
      <w:r w:rsidR="00357FBA" w:rsidRPr="00760D6E">
        <w:rPr>
          <w:rFonts w:ascii="Verdana" w:hAnsi="Verdana" w:cs="Arial"/>
          <w:color w:val="auto"/>
        </w:rPr>
        <w:t xml:space="preserve">is available to those </w:t>
      </w:r>
      <w:r w:rsidR="00B07805" w:rsidRPr="00760D6E">
        <w:rPr>
          <w:rFonts w:ascii="Verdana" w:hAnsi="Verdana" w:cs="Arial"/>
          <w:color w:val="auto"/>
        </w:rPr>
        <w:t xml:space="preserve">who appear to the Home Secretary to be </w:t>
      </w:r>
      <w:r w:rsidR="004A2A3E" w:rsidRPr="00760D6E">
        <w:rPr>
          <w:rFonts w:ascii="Verdana" w:hAnsi="Verdana" w:cs="Arial"/>
          <w:color w:val="auto"/>
        </w:rPr>
        <w:t>destitute</w:t>
      </w:r>
      <w:r w:rsidR="00B07805" w:rsidRPr="00760D6E">
        <w:rPr>
          <w:rFonts w:ascii="Verdana" w:hAnsi="Verdana" w:cs="Arial"/>
          <w:color w:val="auto"/>
        </w:rPr>
        <w:t xml:space="preserve"> or who are likely to become destitute</w:t>
      </w:r>
      <w:r w:rsidR="000A1A17" w:rsidRPr="00760D6E">
        <w:rPr>
          <w:rFonts w:ascii="Verdana" w:hAnsi="Verdana" w:cs="Arial"/>
          <w:color w:val="auto"/>
        </w:rPr>
        <w:t>.</w:t>
      </w:r>
      <w:r w:rsidR="00357FBA">
        <w:rPr>
          <w:rStyle w:val="FootnoteReference"/>
          <w:rFonts w:ascii="Verdana" w:hAnsi="Verdana" w:cs="Arial"/>
          <w:color w:val="auto"/>
        </w:rPr>
        <w:footnoteReference w:id="177"/>
      </w:r>
      <w:r w:rsidR="000A1A17" w:rsidRPr="00760D6E">
        <w:rPr>
          <w:rFonts w:ascii="Verdana" w:hAnsi="Verdana" w:cs="Arial"/>
          <w:color w:val="auto"/>
        </w:rPr>
        <w:t xml:space="preserve"> In 2020, this support was increased from £37.75 to £3</w:t>
      </w:r>
      <w:r w:rsidR="00A65E5D" w:rsidRPr="00760D6E">
        <w:rPr>
          <w:rFonts w:ascii="Verdana" w:hAnsi="Verdana" w:cs="Arial"/>
          <w:color w:val="auto"/>
        </w:rPr>
        <w:t>9</w:t>
      </w:r>
      <w:r w:rsidR="000A1A17" w:rsidRPr="00760D6E">
        <w:rPr>
          <w:rFonts w:ascii="Verdana" w:hAnsi="Verdana" w:cs="Arial"/>
          <w:color w:val="auto"/>
        </w:rPr>
        <w:t>.6</w:t>
      </w:r>
      <w:r w:rsidR="00357FBA" w:rsidRPr="00760D6E">
        <w:rPr>
          <w:rFonts w:ascii="Verdana" w:hAnsi="Verdana" w:cs="Arial"/>
          <w:color w:val="auto"/>
        </w:rPr>
        <w:t>3</w:t>
      </w:r>
      <w:r w:rsidR="00D45AFA" w:rsidRPr="00760D6E">
        <w:rPr>
          <w:rFonts w:ascii="Verdana" w:hAnsi="Verdana" w:cs="Arial"/>
          <w:color w:val="auto"/>
        </w:rPr>
        <w:t>,</w:t>
      </w:r>
      <w:r w:rsidR="0024239C" w:rsidRPr="00CA27C8">
        <w:rPr>
          <w:rStyle w:val="FootnoteReference"/>
          <w:rFonts w:ascii="Verdana" w:hAnsi="Verdana" w:cs="Arial"/>
          <w:color w:val="auto"/>
        </w:rPr>
        <w:footnoteReference w:id="178"/>
      </w:r>
      <w:r w:rsidR="000A1A17" w:rsidRPr="00760D6E">
        <w:rPr>
          <w:rFonts w:ascii="Verdana" w:hAnsi="Verdana" w:cs="Arial"/>
          <w:color w:val="auto"/>
        </w:rPr>
        <w:t xml:space="preserve"> </w:t>
      </w:r>
      <w:r w:rsidR="00852A89" w:rsidRPr="00760D6E">
        <w:rPr>
          <w:rFonts w:ascii="Verdana" w:hAnsi="Verdana" w:cs="Arial"/>
          <w:color w:val="auto"/>
        </w:rPr>
        <w:t>and</w:t>
      </w:r>
      <w:r w:rsidR="00C05A19" w:rsidRPr="00760D6E">
        <w:rPr>
          <w:rFonts w:ascii="Verdana" w:hAnsi="Verdana" w:cs="Arial"/>
          <w:color w:val="auto"/>
        </w:rPr>
        <w:t xml:space="preserve"> </w:t>
      </w:r>
      <w:r w:rsidR="0089243E" w:rsidRPr="00760D6E">
        <w:rPr>
          <w:rFonts w:ascii="Verdana" w:hAnsi="Verdana" w:cs="Arial"/>
          <w:color w:val="auto"/>
        </w:rPr>
        <w:t>again by</w:t>
      </w:r>
      <w:r w:rsidR="00C05A19" w:rsidRPr="00760D6E">
        <w:rPr>
          <w:rFonts w:ascii="Verdana" w:hAnsi="Verdana" w:cs="Arial"/>
          <w:color w:val="auto"/>
        </w:rPr>
        <w:t xml:space="preserve"> seventeen</w:t>
      </w:r>
      <w:r w:rsidR="0089243E" w:rsidRPr="00760D6E">
        <w:rPr>
          <w:rFonts w:ascii="Verdana" w:hAnsi="Verdana" w:cs="Arial"/>
          <w:color w:val="auto"/>
        </w:rPr>
        <w:t xml:space="preserve"> pence per day in January 2022, </w:t>
      </w:r>
      <w:r w:rsidR="0017650A" w:rsidRPr="00760D6E">
        <w:rPr>
          <w:rFonts w:ascii="Verdana" w:hAnsi="Verdana" w:cs="Arial"/>
          <w:color w:val="auto"/>
        </w:rPr>
        <w:t>taking</w:t>
      </w:r>
      <w:r w:rsidR="0089243E" w:rsidRPr="00760D6E">
        <w:rPr>
          <w:rFonts w:ascii="Verdana" w:hAnsi="Verdana" w:cs="Arial"/>
          <w:color w:val="auto"/>
        </w:rPr>
        <w:t xml:space="preserve"> the total </w:t>
      </w:r>
      <w:r w:rsidR="00EA497D" w:rsidRPr="00760D6E">
        <w:rPr>
          <w:rFonts w:ascii="Verdana" w:hAnsi="Verdana" w:cs="Arial"/>
          <w:color w:val="auto"/>
        </w:rPr>
        <w:t>allowance</w:t>
      </w:r>
      <w:r w:rsidR="0017650A" w:rsidRPr="00760D6E">
        <w:rPr>
          <w:rFonts w:ascii="Verdana" w:hAnsi="Verdana" w:cs="Arial"/>
          <w:color w:val="auto"/>
        </w:rPr>
        <w:t xml:space="preserve"> to</w:t>
      </w:r>
      <w:r w:rsidR="0089243E" w:rsidRPr="00760D6E">
        <w:rPr>
          <w:rFonts w:ascii="Verdana" w:hAnsi="Verdana" w:cs="Arial"/>
          <w:color w:val="auto"/>
        </w:rPr>
        <w:t xml:space="preserve"> £</w:t>
      </w:r>
      <w:r w:rsidR="00EA497D" w:rsidRPr="00760D6E">
        <w:rPr>
          <w:rFonts w:ascii="Verdana" w:hAnsi="Verdana" w:cs="Arial"/>
          <w:color w:val="auto"/>
        </w:rPr>
        <w:t>40.85 per week.</w:t>
      </w:r>
      <w:r w:rsidR="0017650A">
        <w:rPr>
          <w:rStyle w:val="FootnoteReference"/>
          <w:rFonts w:ascii="Verdana" w:hAnsi="Verdana" w:cs="Arial"/>
          <w:color w:val="auto"/>
        </w:rPr>
        <w:footnoteReference w:id="179"/>
      </w:r>
      <w:r w:rsidR="0089243E" w:rsidRPr="00760D6E">
        <w:rPr>
          <w:rFonts w:ascii="Verdana" w:hAnsi="Verdana" w:cs="Arial"/>
          <w:color w:val="auto"/>
        </w:rPr>
        <w:t xml:space="preserve"> </w:t>
      </w:r>
      <w:r w:rsidR="00C05A19" w:rsidRPr="00760D6E">
        <w:rPr>
          <w:rFonts w:ascii="Verdana" w:hAnsi="Verdana" w:cs="Arial"/>
          <w:color w:val="auto"/>
        </w:rPr>
        <w:t xml:space="preserve"> </w:t>
      </w:r>
      <w:r w:rsidR="0024239C" w:rsidRPr="00760D6E">
        <w:rPr>
          <w:rFonts w:ascii="Verdana" w:hAnsi="Verdana" w:cs="Arial"/>
          <w:color w:val="auto"/>
        </w:rPr>
        <w:t>Additional money</w:t>
      </w:r>
      <w:r w:rsidR="00357FBA" w:rsidRPr="00760D6E">
        <w:rPr>
          <w:rFonts w:ascii="Verdana" w:hAnsi="Verdana" w:cs="Arial"/>
          <w:color w:val="auto"/>
        </w:rPr>
        <w:t>, between £3 and £5 per week,</w:t>
      </w:r>
      <w:r w:rsidR="0024239C" w:rsidRPr="00760D6E">
        <w:rPr>
          <w:rFonts w:ascii="Verdana" w:hAnsi="Verdana" w:cs="Arial"/>
          <w:color w:val="auto"/>
        </w:rPr>
        <w:t xml:space="preserve"> to buy healthy food is provided to asylum seekers that are pregnant or a mother of a child under </w:t>
      </w:r>
      <w:r w:rsidR="00CA27C8" w:rsidRPr="00760D6E">
        <w:rPr>
          <w:rFonts w:ascii="Verdana" w:hAnsi="Verdana" w:cs="Arial"/>
          <w:color w:val="auto"/>
        </w:rPr>
        <w:t>three</w:t>
      </w:r>
      <w:r w:rsidR="0024239C" w:rsidRPr="00760D6E">
        <w:rPr>
          <w:rFonts w:ascii="Verdana" w:hAnsi="Verdana" w:cs="Arial"/>
          <w:color w:val="auto"/>
        </w:rPr>
        <w:t>.</w:t>
      </w:r>
      <w:r w:rsidR="005F46EB" w:rsidRPr="00760D6E">
        <w:rPr>
          <w:rFonts w:ascii="Verdana" w:hAnsi="Verdana" w:cs="Arial"/>
          <w:color w:val="auto"/>
        </w:rPr>
        <w:t xml:space="preserve"> An </w:t>
      </w:r>
      <w:r w:rsidR="00266925" w:rsidRPr="00760D6E">
        <w:rPr>
          <w:rFonts w:ascii="Verdana" w:hAnsi="Verdana" w:cs="Arial"/>
          <w:color w:val="auto"/>
        </w:rPr>
        <w:t>asylum seeker</w:t>
      </w:r>
      <w:r w:rsidR="005F46EB" w:rsidRPr="00760D6E">
        <w:rPr>
          <w:rFonts w:ascii="Verdana" w:hAnsi="Verdana" w:cs="Arial"/>
          <w:color w:val="auto"/>
        </w:rPr>
        <w:t xml:space="preserve"> can </w:t>
      </w:r>
      <w:r w:rsidR="00357FBA" w:rsidRPr="00760D6E">
        <w:rPr>
          <w:rFonts w:ascii="Verdana" w:hAnsi="Verdana" w:cs="Arial"/>
          <w:color w:val="auto"/>
        </w:rPr>
        <w:t>also</w:t>
      </w:r>
      <w:r w:rsidR="005F46EB" w:rsidRPr="00760D6E">
        <w:rPr>
          <w:rFonts w:ascii="Verdana" w:hAnsi="Verdana" w:cs="Arial"/>
          <w:color w:val="auto"/>
        </w:rPr>
        <w:t xml:space="preserve"> apply for a one-off maternity payment if their baby is due in e</w:t>
      </w:r>
      <w:r w:rsidR="00266925" w:rsidRPr="00760D6E">
        <w:rPr>
          <w:rFonts w:ascii="Verdana" w:hAnsi="Verdana" w:cs="Arial"/>
          <w:color w:val="auto"/>
        </w:rPr>
        <w:t>i</w:t>
      </w:r>
      <w:r w:rsidR="005F46EB" w:rsidRPr="00760D6E">
        <w:rPr>
          <w:rFonts w:ascii="Verdana" w:hAnsi="Verdana" w:cs="Arial"/>
          <w:color w:val="auto"/>
        </w:rPr>
        <w:t>ght weeks or less, or if the individual’s baby is under six weeks old.</w:t>
      </w:r>
      <w:r w:rsidR="00266925" w:rsidRPr="00CA27C8">
        <w:rPr>
          <w:rStyle w:val="FootnoteReference"/>
          <w:rFonts w:ascii="Verdana" w:hAnsi="Verdana" w:cs="Arial"/>
          <w:color w:val="auto"/>
        </w:rPr>
        <w:footnoteReference w:id="180"/>
      </w:r>
      <w:r w:rsidR="005F46EB" w:rsidRPr="00760D6E">
        <w:rPr>
          <w:rFonts w:ascii="Verdana" w:hAnsi="Verdana" w:cs="Arial"/>
          <w:color w:val="auto"/>
        </w:rPr>
        <w:t xml:space="preserve"> A</w:t>
      </w:r>
      <w:r w:rsidR="00266925" w:rsidRPr="00760D6E">
        <w:rPr>
          <w:rFonts w:ascii="Verdana" w:hAnsi="Verdana" w:cs="Arial"/>
          <w:color w:val="auto"/>
        </w:rPr>
        <w:t>s of</w:t>
      </w:r>
      <w:r w:rsidR="005F46EB" w:rsidRPr="00760D6E">
        <w:rPr>
          <w:rFonts w:ascii="Verdana" w:hAnsi="Verdana" w:cs="Arial"/>
          <w:color w:val="auto"/>
        </w:rPr>
        <w:t xml:space="preserve"> </w:t>
      </w:r>
      <w:r w:rsidR="0020602A" w:rsidRPr="00760D6E">
        <w:rPr>
          <w:rFonts w:ascii="Verdana" w:hAnsi="Verdana" w:cs="Arial"/>
          <w:color w:val="auto"/>
        </w:rPr>
        <w:t xml:space="preserve">September </w:t>
      </w:r>
      <w:r w:rsidR="005F46EB" w:rsidRPr="00760D6E">
        <w:rPr>
          <w:rFonts w:ascii="Verdana" w:hAnsi="Verdana" w:cs="Arial"/>
          <w:color w:val="auto"/>
        </w:rPr>
        <w:t xml:space="preserve">2021, </w:t>
      </w:r>
      <w:r w:rsidR="00F06ACF" w:rsidRPr="00760D6E">
        <w:rPr>
          <w:rFonts w:ascii="Verdana" w:hAnsi="Verdana" w:cs="Arial"/>
          <w:color w:val="auto"/>
        </w:rPr>
        <w:t>942</w:t>
      </w:r>
      <w:r w:rsidR="005F46EB" w:rsidRPr="00760D6E">
        <w:rPr>
          <w:rFonts w:ascii="Verdana" w:hAnsi="Verdana" w:cs="Arial"/>
          <w:color w:val="auto"/>
        </w:rPr>
        <w:t xml:space="preserve"> </w:t>
      </w:r>
      <w:r w:rsidR="00266925" w:rsidRPr="00760D6E">
        <w:rPr>
          <w:rFonts w:ascii="Verdana" w:hAnsi="Verdana" w:cs="Arial"/>
          <w:color w:val="auto"/>
        </w:rPr>
        <w:t>asylum</w:t>
      </w:r>
      <w:r w:rsidR="005F46EB" w:rsidRPr="00760D6E">
        <w:rPr>
          <w:rFonts w:ascii="Verdana" w:hAnsi="Verdana" w:cs="Arial"/>
          <w:color w:val="auto"/>
        </w:rPr>
        <w:t xml:space="preserve"> seekers were in receipt of </w:t>
      </w:r>
      <w:r w:rsidR="00266925" w:rsidRPr="00760D6E">
        <w:rPr>
          <w:rFonts w:ascii="Verdana" w:hAnsi="Verdana" w:cs="Arial"/>
          <w:color w:val="auto"/>
        </w:rPr>
        <w:t xml:space="preserve">Section 95 support in NI. Of those, </w:t>
      </w:r>
      <w:r w:rsidR="00152D0E" w:rsidRPr="00760D6E">
        <w:rPr>
          <w:rFonts w:ascii="Verdana" w:hAnsi="Verdana" w:cs="Arial"/>
          <w:color w:val="auto"/>
        </w:rPr>
        <w:t>21</w:t>
      </w:r>
      <w:r w:rsidR="00266925" w:rsidRPr="00760D6E">
        <w:rPr>
          <w:rFonts w:ascii="Verdana" w:hAnsi="Verdana" w:cs="Arial"/>
          <w:color w:val="auto"/>
        </w:rPr>
        <w:t xml:space="preserve"> were in receipt of subsistence only and </w:t>
      </w:r>
      <w:r w:rsidR="0051297B" w:rsidRPr="00760D6E">
        <w:rPr>
          <w:rFonts w:ascii="Verdana" w:hAnsi="Verdana" w:cs="Arial"/>
          <w:color w:val="auto"/>
        </w:rPr>
        <w:t>921</w:t>
      </w:r>
      <w:r w:rsidR="00266925" w:rsidRPr="00760D6E">
        <w:rPr>
          <w:rFonts w:ascii="Verdana" w:hAnsi="Verdana" w:cs="Arial"/>
          <w:color w:val="auto"/>
        </w:rPr>
        <w:t xml:space="preserve"> in dispersed accommodation.</w:t>
      </w:r>
      <w:r w:rsidR="00266925" w:rsidRPr="00CA27C8">
        <w:rPr>
          <w:rStyle w:val="FootnoteReference"/>
          <w:rFonts w:ascii="Verdana" w:hAnsi="Verdana" w:cs="Arial"/>
          <w:color w:val="auto"/>
        </w:rPr>
        <w:footnoteReference w:id="181"/>
      </w:r>
    </w:p>
    <w:p w14:paraId="5C8C6C0B" w14:textId="77777777" w:rsidR="00760D6E" w:rsidRDefault="00760D6E" w:rsidP="00760D6E">
      <w:pPr>
        <w:pStyle w:val="ListParagraph"/>
        <w:rPr>
          <w:rFonts w:ascii="Verdana" w:hAnsi="Verdana" w:cs="YIUEB V+ Gotham"/>
        </w:rPr>
      </w:pPr>
    </w:p>
    <w:p w14:paraId="58E71E6E" w14:textId="77777777" w:rsidR="00760D6E" w:rsidRDefault="00200260" w:rsidP="00915669">
      <w:pPr>
        <w:pStyle w:val="BasicParagraph"/>
        <w:numPr>
          <w:ilvl w:val="1"/>
          <w:numId w:val="17"/>
        </w:numPr>
        <w:suppressAutoHyphens/>
        <w:spacing w:line="276" w:lineRule="auto"/>
        <w:rPr>
          <w:rFonts w:ascii="Verdana" w:hAnsi="Verdana" w:cs="Arial"/>
          <w:b/>
          <w:color w:val="734791"/>
        </w:rPr>
      </w:pPr>
      <w:r w:rsidRPr="00760D6E">
        <w:rPr>
          <w:rFonts w:ascii="Verdana" w:hAnsi="Verdana" w:cs="YIUEB V+ Gotham"/>
          <w:color w:val="auto"/>
        </w:rPr>
        <w:t xml:space="preserve">The Immigration Act 2016 </w:t>
      </w:r>
      <w:r w:rsidR="003740AB" w:rsidRPr="00760D6E">
        <w:rPr>
          <w:rFonts w:ascii="Verdana" w:hAnsi="Verdana" w:cs="YIUEB V+ Gotham"/>
          <w:color w:val="auto"/>
        </w:rPr>
        <w:t xml:space="preserve">created </w:t>
      </w:r>
      <w:r w:rsidRPr="00760D6E">
        <w:rPr>
          <w:rFonts w:ascii="Verdana" w:hAnsi="Verdana" w:cs="YIUEB V+ Gotham"/>
          <w:color w:val="auto"/>
        </w:rPr>
        <w:t>a new power to support rejected asylum seekers who can demonstrate that they are destitute and face a genuine obstacle to leaving the UK at the point their appeal rights have been exhausted.</w:t>
      </w:r>
      <w:r w:rsidRPr="00CA27C8">
        <w:rPr>
          <w:rStyle w:val="FootnoteReference"/>
          <w:rFonts w:ascii="Verdana" w:hAnsi="Verdana" w:cs="YIUEB V+ Gotham"/>
          <w:color w:val="auto"/>
        </w:rPr>
        <w:footnoteReference w:id="182"/>
      </w:r>
      <w:r w:rsidRPr="00760D6E">
        <w:rPr>
          <w:rStyle w:val="A91"/>
          <w:rFonts w:ascii="Verdana" w:hAnsi="Verdana"/>
          <w:color w:val="auto"/>
          <w:sz w:val="24"/>
          <w:szCs w:val="24"/>
        </w:rPr>
        <w:t xml:space="preserve"> </w:t>
      </w:r>
      <w:r w:rsidRPr="00760D6E">
        <w:rPr>
          <w:rFonts w:ascii="Verdana" w:hAnsi="Verdana" w:cs="YIUEB V+ Gotham"/>
          <w:color w:val="auto"/>
        </w:rPr>
        <w:t>The</w:t>
      </w:r>
      <w:r w:rsidR="003740AB" w:rsidRPr="00760D6E">
        <w:rPr>
          <w:rFonts w:ascii="Verdana" w:hAnsi="Verdana" w:cs="YIUEB V+ Gotham"/>
          <w:color w:val="auto"/>
        </w:rPr>
        <w:t>refore,</w:t>
      </w:r>
      <w:r w:rsidRPr="00760D6E">
        <w:rPr>
          <w:rFonts w:ascii="Verdana" w:hAnsi="Verdana" w:cs="YIUEB V+ Gotham"/>
          <w:color w:val="auto"/>
        </w:rPr>
        <w:t xml:space="preserve"> persons who have children in their household at the time their asylum claim</w:t>
      </w:r>
      <w:r w:rsidR="00325F7F" w:rsidRPr="00760D6E">
        <w:rPr>
          <w:rFonts w:ascii="Verdana" w:hAnsi="Verdana" w:cs="YIUEB V+ Gotham"/>
          <w:color w:val="auto"/>
        </w:rPr>
        <w:t>,</w:t>
      </w:r>
      <w:r w:rsidRPr="00760D6E">
        <w:rPr>
          <w:rFonts w:ascii="Verdana" w:hAnsi="Verdana" w:cs="YIUEB V+ Gotham"/>
          <w:color w:val="auto"/>
        </w:rPr>
        <w:t xml:space="preserve"> and any appeal is finally rejected will no longer be treated as though they were still asylum seekers and so will no longer be eligible for support under section 95. Those refused asylum will be given somewhere to live and £35.39 per person on a payment card for food, </w:t>
      </w:r>
      <w:proofErr w:type="gramStart"/>
      <w:r w:rsidRPr="00760D6E">
        <w:rPr>
          <w:rFonts w:ascii="Verdana" w:hAnsi="Verdana" w:cs="YIUEB V+ Gotham"/>
          <w:color w:val="auto"/>
        </w:rPr>
        <w:t>clothing</w:t>
      </w:r>
      <w:proofErr w:type="gramEnd"/>
      <w:r w:rsidRPr="00760D6E">
        <w:rPr>
          <w:rFonts w:ascii="Verdana" w:hAnsi="Verdana" w:cs="YIUEB V+ Gotham"/>
          <w:color w:val="auto"/>
        </w:rPr>
        <w:t xml:space="preserve"> and toiletries. They will not be given any money and will not be given the payment card if they do not take the offer of somewhere to live. Those refused asylum can apply </w:t>
      </w:r>
      <w:r w:rsidRPr="00760D6E">
        <w:rPr>
          <w:rFonts w:ascii="Verdana" w:hAnsi="Verdana" w:cs="YIUEB V+ Gotham"/>
        </w:rPr>
        <w:t>for a one-off £250 maternity payment if the baby is due in eight weeks or less, or if the baby is under six weeks old.</w:t>
      </w:r>
      <w:r w:rsidRPr="00D62DEB">
        <w:rPr>
          <w:rStyle w:val="FootnoteReference"/>
          <w:rFonts w:ascii="Verdana" w:hAnsi="Verdana" w:cs="YIUEB V+ Gotham"/>
        </w:rPr>
        <w:footnoteReference w:id="183"/>
      </w:r>
    </w:p>
    <w:p w14:paraId="35873462" w14:textId="77777777" w:rsidR="00760D6E" w:rsidRDefault="00760D6E" w:rsidP="00760D6E">
      <w:pPr>
        <w:pStyle w:val="ListParagraph"/>
        <w:rPr>
          <w:rFonts w:ascii="Verdana" w:hAnsi="Verdana" w:cs="YIUEB V+ Gotham"/>
        </w:rPr>
      </w:pPr>
    </w:p>
    <w:p w14:paraId="51CC4B1D" w14:textId="77777777" w:rsidR="00760D6E" w:rsidRPr="00760D6E" w:rsidRDefault="008529C5" w:rsidP="00915669">
      <w:pPr>
        <w:pStyle w:val="BasicParagraph"/>
        <w:numPr>
          <w:ilvl w:val="1"/>
          <w:numId w:val="17"/>
        </w:numPr>
        <w:suppressAutoHyphens/>
        <w:spacing w:line="276" w:lineRule="auto"/>
        <w:rPr>
          <w:rFonts w:ascii="Verdana" w:hAnsi="Verdana" w:cs="Arial"/>
          <w:b/>
          <w:color w:val="734791"/>
        </w:rPr>
      </w:pPr>
      <w:r w:rsidRPr="00760D6E">
        <w:rPr>
          <w:rFonts w:ascii="Verdana" w:hAnsi="Verdana" w:cs="YIUEB V+ Gotham"/>
        </w:rPr>
        <w:t>Research published by the British Red Cross exploring life under COVID-19 restrictions found that people seeking asylum spoke of difficulties making their asylum support payments of £39.63 per week stretch to cover their living costs, particularly when they were forced to shop in local, more expensive shops as a result of restrictions due to the pandemic.</w:t>
      </w:r>
      <w:r w:rsidR="001221D4" w:rsidRPr="00D62DEB">
        <w:rPr>
          <w:rStyle w:val="FootnoteReference"/>
          <w:rFonts w:ascii="Verdana" w:hAnsi="Verdana" w:cs="YIUEB V+ Gotham"/>
        </w:rPr>
        <w:footnoteReference w:id="184"/>
      </w:r>
      <w:r w:rsidR="00C119B8" w:rsidRPr="00760D6E">
        <w:rPr>
          <w:rStyle w:val="A91"/>
          <w:rFonts w:ascii="Verdana" w:hAnsi="Verdana"/>
          <w:sz w:val="24"/>
          <w:szCs w:val="24"/>
        </w:rPr>
        <w:t xml:space="preserve"> </w:t>
      </w:r>
      <w:r w:rsidRPr="00760D6E">
        <w:rPr>
          <w:rFonts w:ascii="Verdana" w:hAnsi="Verdana" w:cs="YIUEB V+ Gotham"/>
        </w:rPr>
        <w:t>The research also found that their ability to spend this money was restricted as the ASPEN card, which is how asylum support payments are made, cannot be used online</w:t>
      </w:r>
      <w:r w:rsidR="00760D6E">
        <w:rPr>
          <w:rFonts w:ascii="Verdana" w:hAnsi="Verdana" w:cs="YIUEB V+ Gotham"/>
        </w:rPr>
        <w:t xml:space="preserve">. </w:t>
      </w:r>
    </w:p>
    <w:p w14:paraId="256A751F" w14:textId="77777777" w:rsidR="00760D6E" w:rsidRDefault="00760D6E" w:rsidP="00760D6E">
      <w:pPr>
        <w:pStyle w:val="ListParagraph"/>
        <w:rPr>
          <w:rFonts w:ascii="Verdana" w:hAnsi="Verdana" w:cs="YIUEB V+ Gotham"/>
        </w:rPr>
      </w:pPr>
    </w:p>
    <w:p w14:paraId="6B2A7750" w14:textId="77777777" w:rsidR="00760D6E" w:rsidRDefault="00662593" w:rsidP="00915669">
      <w:pPr>
        <w:pStyle w:val="BasicParagraph"/>
        <w:numPr>
          <w:ilvl w:val="1"/>
          <w:numId w:val="17"/>
        </w:numPr>
        <w:suppressAutoHyphens/>
        <w:spacing w:line="276" w:lineRule="auto"/>
        <w:rPr>
          <w:rFonts w:ascii="Verdana" w:hAnsi="Verdana" w:cs="Arial"/>
          <w:b/>
          <w:color w:val="734791"/>
        </w:rPr>
      </w:pPr>
      <w:r w:rsidRPr="00760D6E">
        <w:rPr>
          <w:rFonts w:ascii="Verdana" w:hAnsi="Verdana" w:cs="YIUEB V+ Gotham"/>
        </w:rPr>
        <w:t>Further, research published by the NI Commissioner for Children and Young People, found that children are suffering due to their parent’s or carer’s immigration status and as a result are plunged into extreme poverty, facing homelessness and destitution.</w:t>
      </w:r>
      <w:r w:rsidR="004C5096" w:rsidRPr="00D62DEB">
        <w:rPr>
          <w:rStyle w:val="FootnoteReference"/>
          <w:rFonts w:ascii="Verdana" w:hAnsi="Verdana" w:cs="YIUEB V+ Gotham"/>
        </w:rPr>
        <w:footnoteReference w:id="185"/>
      </w:r>
      <w:r w:rsidRPr="00760D6E">
        <w:rPr>
          <w:rStyle w:val="A91"/>
          <w:rFonts w:ascii="Verdana" w:hAnsi="Verdana"/>
          <w:sz w:val="24"/>
          <w:szCs w:val="24"/>
        </w:rPr>
        <w:t xml:space="preserve"> </w:t>
      </w:r>
      <w:r w:rsidRPr="00760D6E">
        <w:rPr>
          <w:rFonts w:ascii="Verdana" w:hAnsi="Verdana" w:cs="YIUEB V+ Gotham"/>
        </w:rPr>
        <w:t>The research also found that this situation had been exacerbated by the COVID-19 pandemic, further widening the inequality gap for children and their parents.</w:t>
      </w:r>
      <w:r w:rsidR="004C5096" w:rsidRPr="00D62DEB">
        <w:rPr>
          <w:rStyle w:val="FootnoteReference"/>
          <w:rFonts w:ascii="Verdana" w:hAnsi="Verdana" w:cs="YIUEB V+ Gotham"/>
        </w:rPr>
        <w:footnoteReference w:id="186"/>
      </w:r>
    </w:p>
    <w:p w14:paraId="573025D5" w14:textId="77777777" w:rsidR="00760D6E" w:rsidRDefault="00760D6E" w:rsidP="00760D6E">
      <w:pPr>
        <w:pStyle w:val="ListParagraph"/>
        <w:rPr>
          <w:rFonts w:ascii="Verdana" w:eastAsia="Verdana" w:hAnsi="Verdana" w:cs="Verdana"/>
        </w:rPr>
      </w:pPr>
    </w:p>
    <w:p w14:paraId="75868458" w14:textId="4D29C391" w:rsidR="00760D6E" w:rsidRDefault="00E249E8" w:rsidP="00915669">
      <w:pPr>
        <w:pStyle w:val="BasicParagraph"/>
        <w:numPr>
          <w:ilvl w:val="1"/>
          <w:numId w:val="17"/>
        </w:numPr>
        <w:suppressAutoHyphens/>
        <w:spacing w:line="276" w:lineRule="auto"/>
        <w:rPr>
          <w:rFonts w:ascii="Verdana" w:hAnsi="Verdana" w:cs="Arial"/>
          <w:b/>
          <w:color w:val="734791"/>
        </w:rPr>
      </w:pPr>
      <w:r w:rsidRPr="00760D6E">
        <w:rPr>
          <w:rFonts w:ascii="Verdana" w:eastAsia="Verdana" w:hAnsi="Verdana" w:cs="Verdana"/>
        </w:rPr>
        <w:t>In its response to the NI Affairs Committee Inquiry into the experience of minority ethnic and migrant people in N</w:t>
      </w:r>
      <w:r w:rsidR="00666488" w:rsidRPr="00760D6E">
        <w:rPr>
          <w:rFonts w:ascii="Verdana" w:eastAsia="Verdana" w:hAnsi="Verdana" w:cs="Verdana"/>
        </w:rPr>
        <w:t>I</w:t>
      </w:r>
      <w:r w:rsidRPr="00760D6E">
        <w:rPr>
          <w:rFonts w:ascii="Verdana" w:eastAsia="Verdana" w:hAnsi="Verdana" w:cs="Verdana"/>
        </w:rPr>
        <w:t>,</w:t>
      </w:r>
      <w:r w:rsidRPr="00D62DEB">
        <w:rPr>
          <w:rStyle w:val="FootnoteReference"/>
          <w:rFonts w:ascii="Verdana" w:hAnsi="Verdana"/>
        </w:rPr>
        <w:footnoteReference w:id="187"/>
      </w:r>
      <w:r w:rsidRPr="00760D6E">
        <w:rPr>
          <w:rFonts w:ascii="Verdana" w:eastAsia="Verdana" w:hAnsi="Verdana" w:cs="Verdana"/>
        </w:rPr>
        <w:t xml:space="preserve"> the </w:t>
      </w:r>
      <w:r w:rsidR="00EF1B20" w:rsidRPr="00760D6E">
        <w:rPr>
          <w:rFonts w:ascii="Verdana" w:eastAsia="Verdana" w:hAnsi="Verdana" w:cs="Verdana"/>
        </w:rPr>
        <w:t xml:space="preserve">NIHRC </w:t>
      </w:r>
      <w:r w:rsidRPr="00760D6E">
        <w:rPr>
          <w:rFonts w:ascii="Verdana" w:eastAsia="Verdana" w:hAnsi="Verdana" w:cs="Verdana"/>
        </w:rPr>
        <w:t xml:space="preserve">highlighted that people whose immigration status is based on having ‘no recourse to public funds’ have not been effectively provided for, noting that the reliance on local authority provision as an alternative source of support is a problem in </w:t>
      </w:r>
      <w:r w:rsidR="00666488" w:rsidRPr="00760D6E">
        <w:rPr>
          <w:rFonts w:ascii="Verdana" w:eastAsia="Verdana" w:hAnsi="Verdana" w:cs="Verdana"/>
        </w:rPr>
        <w:t>NI</w:t>
      </w:r>
      <w:r w:rsidRPr="00760D6E">
        <w:rPr>
          <w:rFonts w:ascii="Verdana" w:eastAsia="Verdana" w:hAnsi="Verdana" w:cs="Verdana"/>
        </w:rPr>
        <w:t xml:space="preserve"> where local councils do not have responsibility for housing, social services or education. </w:t>
      </w:r>
    </w:p>
    <w:p w14:paraId="44901CE7" w14:textId="77777777" w:rsidR="00760D6E" w:rsidRDefault="00760D6E" w:rsidP="00760D6E">
      <w:pPr>
        <w:pStyle w:val="ListParagraph"/>
        <w:rPr>
          <w:rFonts w:ascii="Verdana" w:hAnsi="Verdana" w:cs="Arial"/>
          <w:color w:val="232120"/>
        </w:rPr>
      </w:pPr>
    </w:p>
    <w:p w14:paraId="14672234" w14:textId="77777777" w:rsidR="00760D6E" w:rsidRDefault="00C57EE6" w:rsidP="00915669">
      <w:pPr>
        <w:pStyle w:val="BasicParagraph"/>
        <w:numPr>
          <w:ilvl w:val="1"/>
          <w:numId w:val="17"/>
        </w:numPr>
        <w:suppressAutoHyphens/>
        <w:spacing w:line="276" w:lineRule="auto"/>
        <w:rPr>
          <w:rFonts w:ascii="Verdana" w:hAnsi="Verdana" w:cs="Arial"/>
          <w:b/>
          <w:color w:val="734791"/>
        </w:rPr>
      </w:pPr>
      <w:r w:rsidRPr="00760D6E">
        <w:rPr>
          <w:rFonts w:ascii="Verdana" w:hAnsi="Verdana" w:cs="Arial"/>
          <w:color w:val="232120"/>
        </w:rPr>
        <w:t>The NIHRC also notes with the concern the Home Office’s ‘New Plan for Immigration’</w:t>
      </w:r>
      <w:r w:rsidR="005E4D80" w:rsidRPr="00760D6E">
        <w:rPr>
          <w:rFonts w:ascii="Verdana" w:hAnsi="Verdana" w:cs="Arial"/>
          <w:color w:val="232120"/>
        </w:rPr>
        <w:t xml:space="preserve"> </w:t>
      </w:r>
      <w:r w:rsidRPr="00760D6E">
        <w:rPr>
          <w:rFonts w:ascii="Verdana" w:hAnsi="Verdana" w:cs="Arial"/>
          <w:color w:val="232120"/>
        </w:rPr>
        <w:t>as part of a wider public consultation on refugee and asylum reform.</w:t>
      </w:r>
      <w:r w:rsidRPr="00D62DEB">
        <w:rPr>
          <w:rStyle w:val="FootnoteReference"/>
          <w:rFonts w:ascii="Verdana" w:hAnsi="Verdana" w:cs="Arial"/>
          <w:color w:val="232120"/>
        </w:rPr>
        <w:footnoteReference w:id="188"/>
      </w:r>
      <w:r w:rsidRPr="00760D6E">
        <w:rPr>
          <w:rFonts w:ascii="Verdana" w:hAnsi="Verdana" w:cs="Arial"/>
          <w:color w:val="232120"/>
        </w:rPr>
        <w:t xml:space="preserve"> </w:t>
      </w:r>
      <w:r w:rsidR="006D2CBB" w:rsidRPr="00760D6E">
        <w:rPr>
          <w:rFonts w:ascii="Verdana" w:hAnsi="Verdana" w:cs="Arial"/>
          <w:color w:val="232120"/>
        </w:rPr>
        <w:t xml:space="preserve">The NIHRC </w:t>
      </w:r>
      <w:r w:rsidR="003740AB" w:rsidRPr="00760D6E">
        <w:rPr>
          <w:rFonts w:ascii="Verdana" w:hAnsi="Verdana" w:cs="Arial"/>
          <w:color w:val="232120"/>
        </w:rPr>
        <w:t>highligh</w:t>
      </w:r>
      <w:r w:rsidR="0058407D" w:rsidRPr="00760D6E">
        <w:rPr>
          <w:rFonts w:ascii="Verdana" w:hAnsi="Verdana" w:cs="Arial"/>
          <w:color w:val="232120"/>
        </w:rPr>
        <w:t>t</w:t>
      </w:r>
      <w:r w:rsidR="003740AB" w:rsidRPr="00760D6E">
        <w:rPr>
          <w:rFonts w:ascii="Verdana" w:hAnsi="Verdana" w:cs="Arial"/>
          <w:color w:val="232120"/>
        </w:rPr>
        <w:t xml:space="preserve">ed </w:t>
      </w:r>
      <w:r w:rsidR="006D2CBB" w:rsidRPr="00760D6E">
        <w:rPr>
          <w:rFonts w:ascii="Verdana" w:hAnsi="Verdana" w:cs="Arial"/>
          <w:color w:val="232120"/>
        </w:rPr>
        <w:t>the failure to engage with h</w:t>
      </w:r>
      <w:r w:rsidR="00C526DF" w:rsidRPr="00760D6E">
        <w:rPr>
          <w:rFonts w:ascii="Verdana" w:hAnsi="Verdana" w:cs="Arial"/>
          <w:color w:val="232120"/>
        </w:rPr>
        <w:t>u</w:t>
      </w:r>
      <w:r w:rsidR="006D2CBB" w:rsidRPr="00760D6E">
        <w:rPr>
          <w:rFonts w:ascii="Verdana" w:hAnsi="Verdana" w:cs="Arial"/>
          <w:color w:val="232120"/>
        </w:rPr>
        <w:t xml:space="preserve">man rights and refugee law </w:t>
      </w:r>
      <w:r w:rsidR="00176A1B" w:rsidRPr="00760D6E">
        <w:rPr>
          <w:rFonts w:ascii="Verdana" w:hAnsi="Verdana" w:cs="Arial"/>
          <w:color w:val="232120"/>
        </w:rPr>
        <w:t>across several fronts</w:t>
      </w:r>
      <w:r w:rsidR="003740AB" w:rsidRPr="00760D6E">
        <w:rPr>
          <w:rFonts w:ascii="Verdana" w:hAnsi="Verdana" w:cs="Arial"/>
          <w:color w:val="232120"/>
        </w:rPr>
        <w:t xml:space="preserve">, including </w:t>
      </w:r>
      <w:r w:rsidR="00C526DF" w:rsidRPr="00760D6E">
        <w:rPr>
          <w:rFonts w:ascii="Verdana" w:hAnsi="Verdana" w:cs="YIUEB V+ Gotham"/>
        </w:rPr>
        <w:t>failure to establish future refugee resettlement figures</w:t>
      </w:r>
      <w:r w:rsidR="00932D74" w:rsidRPr="00760D6E">
        <w:rPr>
          <w:rFonts w:ascii="Verdana" w:hAnsi="Verdana" w:cs="YIUEB V+ Gotham"/>
        </w:rPr>
        <w:t>,</w:t>
      </w:r>
      <w:r w:rsidR="00C526DF" w:rsidRPr="00760D6E">
        <w:rPr>
          <w:rFonts w:ascii="Verdana" w:hAnsi="Verdana" w:cs="YIUEB V+ Gotham"/>
        </w:rPr>
        <w:t xml:space="preserve"> to demonstrate the human rights compliance of many of the proposed reforms which included </w:t>
      </w:r>
      <w:r w:rsidR="00932D74" w:rsidRPr="00760D6E">
        <w:rPr>
          <w:rFonts w:ascii="Verdana" w:hAnsi="Verdana" w:cs="YIUEB V+ Gotham"/>
        </w:rPr>
        <w:t xml:space="preserve">such as </w:t>
      </w:r>
      <w:r w:rsidR="00C526DF" w:rsidRPr="00760D6E">
        <w:rPr>
          <w:rFonts w:ascii="Verdana" w:hAnsi="Verdana" w:cs="YIUEB V+ Gotham"/>
        </w:rPr>
        <w:t>changes to the age assessment of minors and the evidential and procedural rules underpinning a future application for refugee status which would make it more difficult for individuals to apply for refugee</w:t>
      </w:r>
      <w:r w:rsidR="004B6548" w:rsidRPr="00760D6E">
        <w:rPr>
          <w:rFonts w:ascii="Verdana" w:hAnsi="Verdana" w:cs="YIUEB V+ Gotham"/>
        </w:rPr>
        <w:t xml:space="preserve"> status or asylum.</w:t>
      </w:r>
      <w:r w:rsidR="00464D1D">
        <w:rPr>
          <w:rStyle w:val="FootnoteReference"/>
          <w:rFonts w:ascii="Verdana" w:hAnsi="Verdana" w:cs="YIUEB V+ Gotham"/>
        </w:rPr>
        <w:footnoteReference w:id="189"/>
      </w:r>
      <w:r w:rsidR="004B6548" w:rsidRPr="00760D6E">
        <w:rPr>
          <w:rFonts w:ascii="Verdana" w:hAnsi="Verdana" w:cs="YIUEB V+ Gotham"/>
        </w:rPr>
        <w:t xml:space="preserve"> </w:t>
      </w:r>
      <w:r w:rsidR="00464D1D" w:rsidRPr="00760D6E">
        <w:rPr>
          <w:rFonts w:cs="YIUEB V+ Gotham"/>
          <w:sz w:val="23"/>
          <w:szCs w:val="23"/>
        </w:rPr>
        <w:t xml:space="preserve"> </w:t>
      </w:r>
      <w:r w:rsidR="00464D1D" w:rsidRPr="00760D6E">
        <w:rPr>
          <w:rFonts w:ascii="Verdana" w:hAnsi="Verdana" w:cs="YIUEB V+ Gotham"/>
        </w:rPr>
        <w:t xml:space="preserve">These concerns were further reiterated in the NIHRC's response to the Joint Committee on Human Rights’ call for evidence on the subsequent Nationality and Borders Bill in </w:t>
      </w:r>
      <w:r w:rsidR="006E34C5" w:rsidRPr="00760D6E">
        <w:rPr>
          <w:rFonts w:ascii="Verdana" w:hAnsi="Verdana" w:cs="YIUEB V+ Gotham"/>
        </w:rPr>
        <w:t>October</w:t>
      </w:r>
      <w:r w:rsidR="00464D1D" w:rsidRPr="00760D6E">
        <w:rPr>
          <w:rFonts w:ascii="Verdana" w:hAnsi="Verdana" w:cs="YIUEB V+ Gotham"/>
        </w:rPr>
        <w:t xml:space="preserve"> 2021</w:t>
      </w:r>
      <w:r w:rsidR="00444AB2" w:rsidRPr="00760D6E">
        <w:rPr>
          <w:rFonts w:ascii="Verdana" w:hAnsi="Verdana" w:cs="YIUEB V+ Gotham"/>
        </w:rPr>
        <w:t>,</w:t>
      </w:r>
      <w:r w:rsidR="00464D1D" w:rsidRPr="00464D1D">
        <w:rPr>
          <w:rStyle w:val="FootnoteReference"/>
          <w:rFonts w:ascii="Verdana" w:hAnsi="Verdana" w:cs="YIUEB V+ Gotham"/>
        </w:rPr>
        <w:footnoteReference w:id="190"/>
      </w:r>
      <w:r w:rsidR="006617EB" w:rsidRPr="00760D6E">
        <w:rPr>
          <w:rFonts w:ascii="Verdana" w:hAnsi="Verdana" w:cs="YIUEB V+ Gotham"/>
        </w:rPr>
        <w:t xml:space="preserve"> and in a </w:t>
      </w:r>
      <w:r w:rsidR="00444AB2" w:rsidRPr="00760D6E">
        <w:rPr>
          <w:rFonts w:ascii="Verdana" w:hAnsi="Verdana" w:cs="YIUEB V+ Gotham"/>
        </w:rPr>
        <w:t>briefing</w:t>
      </w:r>
      <w:r w:rsidR="006617EB" w:rsidRPr="00760D6E">
        <w:rPr>
          <w:rFonts w:ascii="Verdana" w:hAnsi="Verdana" w:cs="YIUEB V+ Gotham"/>
        </w:rPr>
        <w:t xml:space="preserve"> </w:t>
      </w:r>
      <w:r w:rsidR="00444AB2" w:rsidRPr="00760D6E">
        <w:rPr>
          <w:rFonts w:ascii="Verdana" w:hAnsi="Verdana" w:cs="YIUEB V+ Gotham"/>
        </w:rPr>
        <w:t>on the Bill to the House of Lords in January 2022.</w:t>
      </w:r>
      <w:r w:rsidR="00444AB2">
        <w:rPr>
          <w:rStyle w:val="FootnoteReference"/>
          <w:rFonts w:ascii="Verdana" w:hAnsi="Verdana" w:cs="YIUEB V+ Gotham"/>
        </w:rPr>
        <w:footnoteReference w:id="191"/>
      </w:r>
    </w:p>
    <w:p w14:paraId="5397E03C" w14:textId="77777777" w:rsidR="00760D6E" w:rsidRDefault="00760D6E" w:rsidP="00760D6E">
      <w:pPr>
        <w:pStyle w:val="ListParagraph"/>
        <w:rPr>
          <w:rFonts w:ascii="Verdana" w:hAnsi="Verdana" w:cs="Arial"/>
          <w:b/>
          <w:bCs/>
          <w:color w:val="232120"/>
        </w:rPr>
      </w:pPr>
    </w:p>
    <w:p w14:paraId="66D80DB9" w14:textId="65CA13D1" w:rsidR="00B12EC7" w:rsidRPr="00760D6E" w:rsidRDefault="00192A8C" w:rsidP="00915669">
      <w:pPr>
        <w:pStyle w:val="BasicParagraph"/>
        <w:numPr>
          <w:ilvl w:val="1"/>
          <w:numId w:val="17"/>
        </w:numPr>
        <w:suppressAutoHyphens/>
        <w:spacing w:line="276" w:lineRule="auto"/>
        <w:rPr>
          <w:rFonts w:ascii="Verdana" w:hAnsi="Verdana" w:cs="Arial"/>
          <w:b/>
          <w:color w:val="734791"/>
        </w:rPr>
      </w:pPr>
      <w:r w:rsidRPr="00760D6E">
        <w:rPr>
          <w:rFonts w:ascii="Verdana" w:hAnsi="Verdana" w:cs="Arial"/>
          <w:b/>
          <w:bCs/>
          <w:color w:val="232120"/>
        </w:rPr>
        <w:t xml:space="preserve">The Committee may wish to </w:t>
      </w:r>
      <w:r w:rsidR="006D193A" w:rsidRPr="00760D6E">
        <w:rPr>
          <w:rFonts w:ascii="Verdana" w:hAnsi="Verdana" w:cs="Arial"/>
          <w:b/>
          <w:bCs/>
          <w:color w:val="232120"/>
        </w:rPr>
        <w:t>ask the State part</w:t>
      </w:r>
      <w:r w:rsidR="00F54A6F" w:rsidRPr="00760D6E">
        <w:rPr>
          <w:rFonts w:ascii="Verdana" w:hAnsi="Verdana" w:cs="Arial"/>
          <w:b/>
          <w:bCs/>
          <w:color w:val="232120"/>
        </w:rPr>
        <w:t>y</w:t>
      </w:r>
      <w:r w:rsidR="00B12EC7" w:rsidRPr="00760D6E">
        <w:rPr>
          <w:rFonts w:ascii="Verdana" w:hAnsi="Verdana" w:cs="Arial"/>
          <w:b/>
          <w:bCs/>
          <w:color w:val="232120"/>
        </w:rPr>
        <w:t>:</w:t>
      </w:r>
    </w:p>
    <w:p w14:paraId="09934FF2" w14:textId="77777777" w:rsidR="00B12EC7" w:rsidRPr="00D62DEB" w:rsidRDefault="00B12EC7" w:rsidP="004656A5">
      <w:pPr>
        <w:pStyle w:val="ListParagraph"/>
        <w:spacing w:line="276" w:lineRule="auto"/>
        <w:rPr>
          <w:rFonts w:ascii="Verdana" w:hAnsi="Verdana" w:cs="Arial"/>
          <w:b/>
          <w:bCs/>
          <w:color w:val="232120"/>
        </w:rPr>
      </w:pPr>
    </w:p>
    <w:p w14:paraId="42D0C2C8" w14:textId="77777777" w:rsidR="00B12EC7" w:rsidRPr="00D62DEB" w:rsidRDefault="00F54A6F" w:rsidP="00915669">
      <w:pPr>
        <w:pStyle w:val="BasicParagraph"/>
        <w:numPr>
          <w:ilvl w:val="0"/>
          <w:numId w:val="2"/>
        </w:numPr>
        <w:suppressAutoHyphens/>
        <w:spacing w:line="276" w:lineRule="auto"/>
        <w:rPr>
          <w:rFonts w:ascii="Verdana" w:hAnsi="Verdana" w:cs="Arial"/>
          <w:color w:val="232120"/>
        </w:rPr>
      </w:pPr>
      <w:r w:rsidRPr="00D62DEB">
        <w:rPr>
          <w:rFonts w:ascii="Verdana" w:hAnsi="Verdana" w:cs="Arial"/>
          <w:b/>
          <w:bCs/>
          <w:color w:val="232120"/>
        </w:rPr>
        <w:t xml:space="preserve">whether it intends to review the restrictions placed on asylum seekers regarding </w:t>
      </w:r>
      <w:proofErr w:type="gramStart"/>
      <w:r w:rsidRPr="00D62DEB">
        <w:rPr>
          <w:rFonts w:ascii="Verdana" w:hAnsi="Verdana" w:cs="Arial"/>
          <w:b/>
          <w:bCs/>
          <w:color w:val="232120"/>
        </w:rPr>
        <w:t>work</w:t>
      </w:r>
      <w:r w:rsidR="00E51B80" w:rsidRPr="00D62DEB">
        <w:rPr>
          <w:rFonts w:ascii="Verdana" w:hAnsi="Verdana" w:cs="Arial"/>
          <w:b/>
          <w:bCs/>
          <w:color w:val="232120"/>
        </w:rPr>
        <w:t>;</w:t>
      </w:r>
      <w:proofErr w:type="gramEnd"/>
      <w:r w:rsidR="006D193A" w:rsidRPr="00D62DEB">
        <w:rPr>
          <w:rFonts w:ascii="Verdana" w:hAnsi="Verdana" w:cs="Arial"/>
          <w:b/>
          <w:bCs/>
          <w:color w:val="232120"/>
        </w:rPr>
        <w:t xml:space="preserve"> </w:t>
      </w:r>
    </w:p>
    <w:p w14:paraId="29A302CD" w14:textId="2462C98D" w:rsidR="00B12EC7" w:rsidRPr="00D62DEB" w:rsidRDefault="00B017F4" w:rsidP="00915669">
      <w:pPr>
        <w:pStyle w:val="BasicParagraph"/>
        <w:numPr>
          <w:ilvl w:val="0"/>
          <w:numId w:val="2"/>
        </w:numPr>
        <w:suppressAutoHyphens/>
        <w:spacing w:line="276" w:lineRule="auto"/>
        <w:rPr>
          <w:rFonts w:ascii="Verdana" w:hAnsi="Verdana" w:cs="Arial"/>
          <w:color w:val="232120"/>
        </w:rPr>
      </w:pPr>
      <w:r w:rsidRPr="00D62DEB">
        <w:rPr>
          <w:rFonts w:ascii="Verdana" w:hAnsi="Verdana" w:cs="Arial"/>
          <w:b/>
          <w:bCs/>
          <w:color w:val="232120"/>
        </w:rPr>
        <w:t>what it intends to do</w:t>
      </w:r>
      <w:r w:rsidR="006D193A" w:rsidRPr="00D62DEB">
        <w:rPr>
          <w:rFonts w:ascii="Verdana" w:hAnsi="Verdana" w:cs="Arial"/>
          <w:b/>
          <w:bCs/>
          <w:color w:val="232120"/>
        </w:rPr>
        <w:t xml:space="preserve"> to further support asylum seekers</w:t>
      </w:r>
      <w:r w:rsidR="0022094D" w:rsidRPr="00D62DEB">
        <w:rPr>
          <w:rFonts w:ascii="Verdana" w:hAnsi="Verdana" w:cs="Arial"/>
          <w:b/>
          <w:bCs/>
          <w:color w:val="232120"/>
        </w:rPr>
        <w:t xml:space="preserve"> who face extreme poverty</w:t>
      </w:r>
      <w:r w:rsidR="006D193A" w:rsidRPr="00D62DEB">
        <w:rPr>
          <w:rFonts w:ascii="Verdana" w:hAnsi="Verdana" w:cs="Arial"/>
          <w:b/>
          <w:bCs/>
          <w:color w:val="232120"/>
        </w:rPr>
        <w:t xml:space="preserve">, </w:t>
      </w:r>
      <w:r w:rsidR="0022094D" w:rsidRPr="00D62DEB">
        <w:rPr>
          <w:rFonts w:ascii="Verdana" w:hAnsi="Verdana" w:cs="Arial"/>
          <w:b/>
          <w:bCs/>
          <w:color w:val="232120"/>
        </w:rPr>
        <w:t xml:space="preserve">particularly </w:t>
      </w:r>
      <w:r w:rsidR="00F54A6F" w:rsidRPr="00D62DEB">
        <w:rPr>
          <w:rFonts w:ascii="Verdana" w:hAnsi="Verdana" w:cs="Arial"/>
          <w:b/>
          <w:bCs/>
          <w:color w:val="232120"/>
        </w:rPr>
        <w:t>children</w:t>
      </w:r>
      <w:r w:rsidR="000D1F6C" w:rsidRPr="00D62DEB">
        <w:rPr>
          <w:rFonts w:ascii="Verdana" w:hAnsi="Verdana" w:cs="Arial"/>
          <w:b/>
          <w:bCs/>
          <w:color w:val="232120"/>
        </w:rPr>
        <w:t>,</w:t>
      </w:r>
      <w:r w:rsidR="00AF7EEC" w:rsidRPr="00D62DEB">
        <w:rPr>
          <w:rFonts w:ascii="Verdana" w:hAnsi="Verdana" w:cs="Arial"/>
          <w:b/>
          <w:bCs/>
          <w:color w:val="232120"/>
        </w:rPr>
        <w:t xml:space="preserve"> over the course of the pandemic</w:t>
      </w:r>
      <w:r w:rsidR="00E51B80" w:rsidRPr="00D62DEB">
        <w:rPr>
          <w:rFonts w:ascii="Verdana" w:hAnsi="Verdana" w:cs="Arial"/>
          <w:b/>
          <w:bCs/>
          <w:color w:val="232120"/>
        </w:rPr>
        <w:t>;</w:t>
      </w:r>
      <w:r w:rsidR="00F54A6F" w:rsidRPr="00D62DEB">
        <w:rPr>
          <w:rFonts w:ascii="Verdana" w:hAnsi="Verdana" w:cs="Arial"/>
          <w:b/>
          <w:bCs/>
          <w:color w:val="232120"/>
        </w:rPr>
        <w:t xml:space="preserve"> </w:t>
      </w:r>
      <w:r w:rsidR="003B6463">
        <w:rPr>
          <w:rFonts w:ascii="Verdana" w:hAnsi="Verdana" w:cs="Arial"/>
          <w:b/>
          <w:bCs/>
          <w:color w:val="232120"/>
        </w:rPr>
        <w:t xml:space="preserve">and, </w:t>
      </w:r>
    </w:p>
    <w:p w14:paraId="7DE8F4A7" w14:textId="6AD73209" w:rsidR="00FB2A59" w:rsidRPr="00D62DEB" w:rsidRDefault="007B577B" w:rsidP="00915669">
      <w:pPr>
        <w:pStyle w:val="BasicParagraph"/>
        <w:numPr>
          <w:ilvl w:val="0"/>
          <w:numId w:val="2"/>
        </w:numPr>
        <w:suppressAutoHyphens/>
        <w:spacing w:line="276" w:lineRule="auto"/>
        <w:rPr>
          <w:rFonts w:ascii="Verdana" w:hAnsi="Verdana" w:cs="Arial"/>
          <w:color w:val="232120"/>
        </w:rPr>
      </w:pPr>
      <w:r w:rsidRPr="00D62DEB">
        <w:rPr>
          <w:rFonts w:ascii="Verdana" w:hAnsi="Verdana" w:cs="Arial"/>
          <w:b/>
          <w:bCs/>
          <w:color w:val="232120"/>
        </w:rPr>
        <w:t xml:space="preserve">to </w:t>
      </w:r>
      <w:r w:rsidR="000D1F6C" w:rsidRPr="00D62DEB">
        <w:rPr>
          <w:rFonts w:ascii="Verdana" w:hAnsi="Verdana" w:cs="Arial"/>
          <w:b/>
          <w:bCs/>
          <w:color w:val="232120"/>
        </w:rPr>
        <w:t>review the</w:t>
      </w:r>
      <w:r w:rsidR="00AF7EEC" w:rsidRPr="00D62DEB">
        <w:rPr>
          <w:rFonts w:ascii="Verdana" w:hAnsi="Verdana" w:cs="Arial"/>
          <w:b/>
          <w:bCs/>
          <w:color w:val="232120"/>
        </w:rPr>
        <w:t xml:space="preserve"> conditions of those whose immigration status</w:t>
      </w:r>
      <w:r w:rsidR="000D1F6C" w:rsidRPr="00D62DEB">
        <w:rPr>
          <w:rFonts w:ascii="Verdana" w:hAnsi="Verdana" w:cs="Arial"/>
          <w:b/>
          <w:bCs/>
          <w:color w:val="232120"/>
        </w:rPr>
        <w:t xml:space="preserve"> </w:t>
      </w:r>
      <w:r w:rsidR="00FB2A59" w:rsidRPr="00D62DEB">
        <w:rPr>
          <w:rFonts w:ascii="Verdana" w:hAnsi="Verdana" w:cs="Arial"/>
          <w:b/>
          <w:bCs/>
          <w:color w:val="232120"/>
        </w:rPr>
        <w:t xml:space="preserve">is based on </w:t>
      </w:r>
      <w:r w:rsidR="000D1F6C" w:rsidRPr="00D62DEB">
        <w:rPr>
          <w:rFonts w:ascii="Verdana" w:hAnsi="Verdana" w:cs="Arial"/>
          <w:b/>
          <w:bCs/>
          <w:color w:val="232120"/>
        </w:rPr>
        <w:t>‘no recourse to public</w:t>
      </w:r>
      <w:r w:rsidR="00FB2A59" w:rsidRPr="00D62DEB">
        <w:rPr>
          <w:rFonts w:ascii="Verdana" w:hAnsi="Verdana" w:cs="Arial"/>
          <w:b/>
          <w:bCs/>
          <w:color w:val="232120"/>
        </w:rPr>
        <w:t xml:space="preserve"> funds’</w:t>
      </w:r>
      <w:r w:rsidR="00932D74">
        <w:rPr>
          <w:rFonts w:ascii="Verdana" w:hAnsi="Verdana" w:cs="Arial"/>
          <w:b/>
          <w:bCs/>
          <w:color w:val="232120"/>
        </w:rPr>
        <w:t>.</w:t>
      </w:r>
    </w:p>
    <w:p w14:paraId="3E2575A0" w14:textId="77777777" w:rsidR="0054171C" w:rsidRPr="00D62DEB" w:rsidRDefault="0054171C" w:rsidP="004656A5">
      <w:pPr>
        <w:pStyle w:val="ListParagraph"/>
        <w:spacing w:line="276" w:lineRule="auto"/>
        <w:rPr>
          <w:rFonts w:ascii="Verdana" w:hAnsi="Verdana" w:cs="Arial"/>
          <w:color w:val="232120"/>
        </w:rPr>
      </w:pPr>
    </w:p>
    <w:p w14:paraId="29DFB9BC" w14:textId="77777777" w:rsidR="0054171C" w:rsidRPr="00ED0CFA" w:rsidRDefault="0054171C" w:rsidP="00591D80">
      <w:pPr>
        <w:pStyle w:val="Heading2"/>
        <w:rPr>
          <w:szCs w:val="24"/>
        </w:rPr>
      </w:pPr>
      <w:bookmarkStart w:id="28" w:name="_Toc97030918"/>
      <w:r w:rsidRPr="00ED0CFA">
        <w:rPr>
          <w:szCs w:val="24"/>
        </w:rPr>
        <w:t>Crisis Fund</w:t>
      </w:r>
      <w:bookmarkEnd w:id="28"/>
    </w:p>
    <w:p w14:paraId="5933BFB8" w14:textId="77777777" w:rsidR="0054171C" w:rsidRPr="00D62DEB" w:rsidRDefault="0054171C" w:rsidP="004656A5">
      <w:pPr>
        <w:spacing w:line="276" w:lineRule="auto"/>
        <w:rPr>
          <w:rFonts w:ascii="Verdana" w:hAnsi="Verdana" w:cs="Arial"/>
          <w:color w:val="232120"/>
        </w:rPr>
      </w:pPr>
    </w:p>
    <w:p w14:paraId="3C3D26AC" w14:textId="02B6C012" w:rsidR="00491E5E" w:rsidRPr="00D62DEB" w:rsidRDefault="00646D67" w:rsidP="00915669">
      <w:pPr>
        <w:pStyle w:val="BasicParagraph"/>
        <w:numPr>
          <w:ilvl w:val="1"/>
          <w:numId w:val="17"/>
        </w:numPr>
        <w:suppressAutoHyphens/>
        <w:spacing w:line="276" w:lineRule="auto"/>
        <w:rPr>
          <w:rFonts w:ascii="Verdana" w:hAnsi="Verdana" w:cs="Arial"/>
          <w:color w:val="232120"/>
        </w:rPr>
      </w:pPr>
      <w:r w:rsidRPr="00D62DEB">
        <w:rPr>
          <w:rFonts w:ascii="Verdana" w:eastAsia="Verdana" w:hAnsi="Verdana" w:cs="Verdana"/>
        </w:rPr>
        <w:t>In 2016, the UN ICESCR Committee called on the UK Government and NI Executive to:</w:t>
      </w:r>
    </w:p>
    <w:p w14:paraId="05994EDD" w14:textId="77777777" w:rsidR="00491E5E" w:rsidRPr="00D62DEB" w:rsidRDefault="00491E5E" w:rsidP="004656A5">
      <w:pPr>
        <w:pStyle w:val="BasicParagraph"/>
        <w:suppressAutoHyphens/>
        <w:spacing w:line="276" w:lineRule="auto"/>
        <w:ind w:left="709"/>
        <w:rPr>
          <w:rFonts w:ascii="Verdana" w:hAnsi="Verdana" w:cs="Arial"/>
          <w:color w:val="232120"/>
        </w:rPr>
      </w:pPr>
    </w:p>
    <w:p w14:paraId="785E28BF" w14:textId="657324D6" w:rsidR="00491E5E" w:rsidRPr="00D62DEB" w:rsidRDefault="00646D67" w:rsidP="004656A5">
      <w:pPr>
        <w:pStyle w:val="BasicParagraph"/>
        <w:suppressAutoHyphens/>
        <w:spacing w:line="276" w:lineRule="auto"/>
        <w:ind w:left="1440"/>
        <w:rPr>
          <w:rFonts w:ascii="Verdana" w:eastAsia="Verdana" w:hAnsi="Verdana" w:cs="Verdana"/>
        </w:rPr>
      </w:pPr>
      <w:r w:rsidRPr="00D62DEB">
        <w:rPr>
          <w:rFonts w:ascii="Verdana" w:eastAsia="Verdana" w:hAnsi="Verdana" w:cs="Verdana"/>
        </w:rPr>
        <w:t xml:space="preserve">take steps to introduce measures to guarantee targeted support to all those living in poverty or at risk of poverty, in particular persons with disabilities, persons belonging to ethnic, </w:t>
      </w:r>
      <w:proofErr w:type="gramStart"/>
      <w:r w:rsidRPr="00D62DEB">
        <w:rPr>
          <w:rFonts w:ascii="Verdana" w:eastAsia="Verdana" w:hAnsi="Verdana" w:cs="Verdana"/>
        </w:rPr>
        <w:t>religious</w:t>
      </w:r>
      <w:proofErr w:type="gramEnd"/>
      <w:r w:rsidRPr="00D62DEB">
        <w:rPr>
          <w:rFonts w:ascii="Verdana" w:eastAsia="Verdana" w:hAnsi="Verdana" w:cs="Verdana"/>
        </w:rPr>
        <w:t xml:space="preserve"> or other minorities, single-parent families and families with children, and adopt an anti-poverty strategy in NI.</w:t>
      </w:r>
      <w:r w:rsidRPr="00D62DEB">
        <w:rPr>
          <w:rStyle w:val="FootnoteReference"/>
          <w:rFonts w:ascii="Verdana" w:hAnsi="Verdana"/>
        </w:rPr>
        <w:footnoteReference w:id="192"/>
      </w:r>
      <w:r w:rsidRPr="00D62DEB">
        <w:rPr>
          <w:rFonts w:ascii="Verdana" w:eastAsia="Verdana" w:hAnsi="Verdana" w:cs="Verdana"/>
        </w:rPr>
        <w:t xml:space="preserve">  </w:t>
      </w:r>
    </w:p>
    <w:p w14:paraId="4F6598E3" w14:textId="77777777" w:rsidR="00491E5E" w:rsidRPr="00D62DEB" w:rsidRDefault="00491E5E" w:rsidP="00FC7ADA">
      <w:pPr>
        <w:pStyle w:val="BasicParagraph"/>
        <w:suppressAutoHyphens/>
        <w:spacing w:line="276" w:lineRule="auto"/>
        <w:rPr>
          <w:rFonts w:ascii="Verdana" w:hAnsi="Verdana" w:cs="Arial"/>
          <w:color w:val="232120"/>
        </w:rPr>
      </w:pPr>
    </w:p>
    <w:p w14:paraId="7A5F6809" w14:textId="39270BD1" w:rsidR="00760D6E" w:rsidRPr="00760D6E" w:rsidRDefault="00646D67" w:rsidP="00915669">
      <w:pPr>
        <w:pStyle w:val="BasicParagraph"/>
        <w:numPr>
          <w:ilvl w:val="1"/>
          <w:numId w:val="17"/>
        </w:numPr>
        <w:suppressAutoHyphens/>
        <w:spacing w:line="276" w:lineRule="auto"/>
        <w:rPr>
          <w:rFonts w:ascii="Verdana" w:hAnsi="Verdana" w:cs="Arial"/>
          <w:color w:val="232120"/>
        </w:rPr>
      </w:pPr>
      <w:r w:rsidRPr="00D62DEB">
        <w:rPr>
          <w:rFonts w:ascii="Verdana" w:eastAsia="Verdana" w:hAnsi="Verdana" w:cs="Verdana"/>
        </w:rPr>
        <w:t xml:space="preserve">The Crisis Fund, which is managed by </w:t>
      </w:r>
      <w:r w:rsidR="00D16C78">
        <w:rPr>
          <w:rFonts w:ascii="Verdana" w:eastAsia="Verdana" w:hAnsi="Verdana" w:cs="Verdana"/>
        </w:rPr>
        <w:t>T</w:t>
      </w:r>
      <w:r w:rsidRPr="00D62DEB">
        <w:rPr>
          <w:rFonts w:ascii="Verdana" w:eastAsia="Verdana" w:hAnsi="Verdana" w:cs="Verdana"/>
        </w:rPr>
        <w:t>he Executive Office, aims “to help minority ethnic individuals with no other means of support through emergency situations, such as vulnerable migrants, refugees and asylum seekers and other vulnerable groups”.</w:t>
      </w:r>
      <w:r w:rsidRPr="00D62DEB">
        <w:rPr>
          <w:rStyle w:val="FootnoteReference"/>
          <w:rFonts w:ascii="Verdana" w:hAnsi="Verdana"/>
        </w:rPr>
        <w:footnoteReference w:id="193"/>
      </w:r>
      <w:r w:rsidRPr="00D62DEB">
        <w:rPr>
          <w:rFonts w:ascii="Verdana" w:eastAsia="Verdana" w:hAnsi="Verdana" w:cs="Verdana"/>
        </w:rPr>
        <w:t xml:space="preserve"> </w:t>
      </w:r>
      <w:r w:rsidR="00766785">
        <w:rPr>
          <w:rFonts w:ascii="Verdana" w:eastAsia="Verdana" w:hAnsi="Verdana" w:cs="Verdana"/>
        </w:rPr>
        <w:t>While it is</w:t>
      </w:r>
      <w:r w:rsidRPr="00D62DEB">
        <w:rPr>
          <w:rFonts w:ascii="Verdana" w:eastAsia="Verdana" w:hAnsi="Verdana" w:cs="Verdana"/>
        </w:rPr>
        <w:t xml:space="preserve"> not a permanent arrangement, </w:t>
      </w:r>
      <w:r w:rsidR="00766785">
        <w:rPr>
          <w:rFonts w:ascii="Verdana" w:eastAsia="Verdana" w:hAnsi="Verdana" w:cs="Verdana"/>
        </w:rPr>
        <w:t>the fund</w:t>
      </w:r>
      <w:r w:rsidRPr="00766785">
        <w:rPr>
          <w:rFonts w:ascii="Verdana" w:eastAsia="Verdana" w:hAnsi="Verdana" w:cs="Verdana"/>
        </w:rPr>
        <w:t xml:space="preserve"> has proved to be “critical in alleviating short-term hardships for destitute asylum seekers and refugees”.</w:t>
      </w:r>
      <w:r w:rsidRPr="00D62DEB">
        <w:rPr>
          <w:rStyle w:val="FootnoteReference"/>
          <w:rFonts w:ascii="Verdana" w:hAnsi="Verdana"/>
        </w:rPr>
        <w:footnoteReference w:id="194"/>
      </w:r>
    </w:p>
    <w:p w14:paraId="29FD3628" w14:textId="77777777" w:rsidR="00760D6E" w:rsidRDefault="00760D6E" w:rsidP="00760D6E">
      <w:pPr>
        <w:pStyle w:val="BasicParagraph"/>
        <w:suppressAutoHyphens/>
        <w:spacing w:line="276" w:lineRule="auto"/>
        <w:ind w:left="720"/>
        <w:rPr>
          <w:rFonts w:ascii="Verdana" w:hAnsi="Verdana" w:cs="Arial"/>
          <w:color w:val="232120"/>
        </w:rPr>
      </w:pPr>
    </w:p>
    <w:p w14:paraId="0E5CBA95" w14:textId="77777777" w:rsidR="00760D6E" w:rsidRDefault="00646D67" w:rsidP="00915669">
      <w:pPr>
        <w:pStyle w:val="BasicParagraph"/>
        <w:numPr>
          <w:ilvl w:val="1"/>
          <w:numId w:val="17"/>
        </w:numPr>
        <w:suppressAutoHyphens/>
        <w:spacing w:line="276" w:lineRule="auto"/>
        <w:rPr>
          <w:rFonts w:ascii="Verdana" w:hAnsi="Verdana" w:cs="Arial"/>
          <w:color w:val="232120"/>
        </w:rPr>
      </w:pPr>
      <w:r w:rsidRPr="00760D6E">
        <w:rPr>
          <w:rFonts w:ascii="Verdana" w:eastAsia="Verdana" w:hAnsi="Verdana" w:cs="Verdana"/>
        </w:rPr>
        <w:t xml:space="preserve">In </w:t>
      </w:r>
      <w:r w:rsidR="00143809" w:rsidRPr="00760D6E">
        <w:rPr>
          <w:rFonts w:ascii="Verdana" w:eastAsia="Verdana" w:hAnsi="Verdana" w:cs="Verdana"/>
        </w:rPr>
        <w:t>2020/21</w:t>
      </w:r>
      <w:r w:rsidRPr="00760D6E">
        <w:rPr>
          <w:rFonts w:ascii="Verdana" w:eastAsia="Verdana" w:hAnsi="Verdana" w:cs="Verdana"/>
        </w:rPr>
        <w:t>, the Crisis Fund</w:t>
      </w:r>
      <w:r w:rsidR="00932D74" w:rsidRPr="00760D6E">
        <w:rPr>
          <w:rFonts w:ascii="Verdana" w:eastAsia="Verdana" w:hAnsi="Verdana" w:cs="Verdana"/>
        </w:rPr>
        <w:t>, managed by the Red Cross,</w:t>
      </w:r>
      <w:r w:rsidRPr="00760D6E">
        <w:rPr>
          <w:rFonts w:ascii="Verdana" w:eastAsia="Verdana" w:hAnsi="Verdana" w:cs="Verdana"/>
        </w:rPr>
        <w:t xml:space="preserve"> supported </w:t>
      </w:r>
      <w:r w:rsidR="00143809" w:rsidRPr="00760D6E">
        <w:rPr>
          <w:rFonts w:ascii="Verdana" w:eastAsia="Verdana" w:hAnsi="Verdana" w:cs="Verdana"/>
        </w:rPr>
        <w:t>1,178</w:t>
      </w:r>
      <w:r w:rsidRPr="00760D6E">
        <w:rPr>
          <w:rFonts w:ascii="Verdana" w:eastAsia="Verdana" w:hAnsi="Verdana" w:cs="Verdana"/>
        </w:rPr>
        <w:t xml:space="preserve"> people including </w:t>
      </w:r>
      <w:r w:rsidR="00143809" w:rsidRPr="00760D6E">
        <w:rPr>
          <w:rFonts w:ascii="Verdana" w:eastAsia="Verdana" w:hAnsi="Verdana" w:cs="Verdana"/>
        </w:rPr>
        <w:t>753</w:t>
      </w:r>
      <w:r w:rsidRPr="00760D6E">
        <w:rPr>
          <w:rFonts w:ascii="Verdana" w:eastAsia="Verdana" w:hAnsi="Verdana" w:cs="Verdana"/>
        </w:rPr>
        <w:t xml:space="preserve"> children from </w:t>
      </w:r>
      <w:r w:rsidR="00143809" w:rsidRPr="00760D6E">
        <w:rPr>
          <w:rFonts w:ascii="Verdana" w:eastAsia="Verdana" w:hAnsi="Verdana" w:cs="Verdana"/>
        </w:rPr>
        <w:t>66</w:t>
      </w:r>
      <w:r w:rsidRPr="00760D6E">
        <w:rPr>
          <w:rFonts w:ascii="Verdana" w:eastAsia="Verdana" w:hAnsi="Verdana" w:cs="Verdana"/>
        </w:rPr>
        <w:t xml:space="preserve"> different countries.</w:t>
      </w:r>
      <w:r w:rsidR="00AC1659" w:rsidRPr="00D62DEB">
        <w:rPr>
          <w:rStyle w:val="FootnoteReference"/>
          <w:rFonts w:ascii="Verdana" w:eastAsia="Verdana" w:hAnsi="Verdana" w:cs="Verdana"/>
        </w:rPr>
        <w:footnoteReference w:id="195"/>
      </w:r>
      <w:r w:rsidRPr="00760D6E">
        <w:rPr>
          <w:rFonts w:ascii="Verdana" w:eastAsia="Verdana" w:hAnsi="Verdana" w:cs="Verdana"/>
        </w:rPr>
        <w:t xml:space="preserve"> The primary causes of destitution that can lead to someone applying to the Crisis Fund were</w:t>
      </w:r>
      <w:r w:rsidR="00143809" w:rsidRPr="00760D6E">
        <w:rPr>
          <w:rFonts w:ascii="Verdana" w:eastAsia="Verdana" w:hAnsi="Verdana" w:cs="Verdana"/>
        </w:rPr>
        <w:t xml:space="preserve"> asylum issues (including No Recourse to Public Funds), benefit issues and employment issues</w:t>
      </w:r>
      <w:r w:rsidRPr="00760D6E">
        <w:rPr>
          <w:rFonts w:ascii="Verdana" w:eastAsia="Verdana" w:hAnsi="Verdana" w:cs="Verdana"/>
        </w:rPr>
        <w:t>.</w:t>
      </w:r>
      <w:r w:rsidR="00D13419" w:rsidRPr="00D62DEB">
        <w:rPr>
          <w:rStyle w:val="FootnoteReference"/>
          <w:rFonts w:ascii="Verdana" w:eastAsia="Verdana" w:hAnsi="Verdana" w:cs="Verdana"/>
        </w:rPr>
        <w:footnoteReference w:id="196"/>
      </w:r>
      <w:r w:rsidRPr="00760D6E">
        <w:rPr>
          <w:rFonts w:ascii="Verdana" w:eastAsia="Verdana" w:hAnsi="Verdana" w:cs="Verdana"/>
        </w:rPr>
        <w:t xml:space="preserve"> </w:t>
      </w:r>
    </w:p>
    <w:p w14:paraId="166EACDD" w14:textId="77777777" w:rsidR="00760D6E" w:rsidRDefault="00760D6E" w:rsidP="00760D6E">
      <w:pPr>
        <w:pStyle w:val="ListParagraph"/>
        <w:rPr>
          <w:rFonts w:ascii="Verdana" w:hAnsi="Verdana" w:cs="YIUEB V+ Gotham"/>
        </w:rPr>
      </w:pPr>
    </w:p>
    <w:p w14:paraId="6172569A" w14:textId="77777777" w:rsidR="00464E4B" w:rsidRDefault="006A2E87" w:rsidP="00915669">
      <w:pPr>
        <w:pStyle w:val="BasicParagraph"/>
        <w:numPr>
          <w:ilvl w:val="1"/>
          <w:numId w:val="17"/>
        </w:numPr>
        <w:suppressAutoHyphens/>
        <w:spacing w:line="276" w:lineRule="auto"/>
        <w:rPr>
          <w:rFonts w:ascii="Verdana" w:hAnsi="Verdana" w:cs="Arial"/>
          <w:color w:val="232120"/>
        </w:rPr>
      </w:pPr>
      <w:r w:rsidRPr="00760D6E">
        <w:rPr>
          <w:rFonts w:ascii="Verdana" w:hAnsi="Verdana" w:cs="YIUEB V+ Gotham"/>
        </w:rPr>
        <w:t xml:space="preserve">In </w:t>
      </w:r>
      <w:r w:rsidR="006E69C0" w:rsidRPr="00760D6E">
        <w:rPr>
          <w:rFonts w:ascii="Verdana" w:hAnsi="Verdana" w:cs="YIUEB V+ Gotham"/>
        </w:rPr>
        <w:t xml:space="preserve">response to the pandemic and the overall need to support the most vulnerable migrants, asylum seekers and refugees, </w:t>
      </w:r>
      <w:r w:rsidR="00932D74" w:rsidRPr="00760D6E">
        <w:rPr>
          <w:rFonts w:ascii="Verdana" w:hAnsi="Verdana" w:cs="YIUEB V+ Gotham"/>
        </w:rPr>
        <w:t xml:space="preserve">the </w:t>
      </w:r>
      <w:r w:rsidR="006E69C0" w:rsidRPr="00760D6E">
        <w:rPr>
          <w:rFonts w:ascii="Verdana" w:hAnsi="Verdana" w:cs="YIUEB V+ Gotham"/>
        </w:rPr>
        <w:t xml:space="preserve">Executive Office launched </w:t>
      </w:r>
      <w:r w:rsidR="00932D74" w:rsidRPr="00760D6E">
        <w:rPr>
          <w:rFonts w:ascii="Verdana" w:hAnsi="Verdana" w:cs="YIUEB V+ Gotham"/>
        </w:rPr>
        <w:t xml:space="preserve">an earlier </w:t>
      </w:r>
      <w:r w:rsidR="006E69C0" w:rsidRPr="00760D6E">
        <w:rPr>
          <w:rFonts w:ascii="Verdana" w:hAnsi="Verdana" w:cs="YIUEB V+ Gotham"/>
        </w:rPr>
        <w:t>procurement process</w:t>
      </w:r>
      <w:r w:rsidR="00932D74" w:rsidRPr="00760D6E">
        <w:rPr>
          <w:rFonts w:ascii="Verdana" w:hAnsi="Verdana" w:cs="YIUEB V+ Gotham"/>
        </w:rPr>
        <w:t>,</w:t>
      </w:r>
      <w:r w:rsidR="006E69C0" w:rsidRPr="00760D6E">
        <w:rPr>
          <w:rFonts w:ascii="Verdana" w:hAnsi="Verdana" w:cs="YIUEB V+ Gotham"/>
        </w:rPr>
        <w:t xml:space="preserve"> award</w:t>
      </w:r>
      <w:r w:rsidR="00932D74" w:rsidRPr="00760D6E">
        <w:rPr>
          <w:rFonts w:ascii="Verdana" w:hAnsi="Verdana" w:cs="YIUEB V+ Gotham"/>
        </w:rPr>
        <w:t>ing the contract</w:t>
      </w:r>
      <w:r w:rsidR="006E69C0" w:rsidRPr="00760D6E">
        <w:rPr>
          <w:rFonts w:ascii="Verdana" w:hAnsi="Verdana" w:cs="YIUEB V+ Gotham"/>
        </w:rPr>
        <w:t xml:space="preserve"> in May 2021. In addition to running for longer over the financial year, the amount of funding available in 2021/22 </w:t>
      </w:r>
      <w:r w:rsidR="00932D74" w:rsidRPr="00760D6E">
        <w:rPr>
          <w:rFonts w:ascii="Verdana" w:hAnsi="Verdana" w:cs="YIUEB V+ Gotham"/>
        </w:rPr>
        <w:t xml:space="preserve">was doubled </w:t>
      </w:r>
      <w:r w:rsidR="006E69C0" w:rsidRPr="00760D6E">
        <w:rPr>
          <w:rFonts w:ascii="Verdana" w:hAnsi="Verdana" w:cs="YIUEB V+ Gotham"/>
        </w:rPr>
        <w:t>to £202,000</w:t>
      </w:r>
      <w:r w:rsidR="00D13419" w:rsidRPr="00760D6E">
        <w:rPr>
          <w:rFonts w:ascii="Verdana" w:hAnsi="Verdana" w:cs="YIUEB V+ Gotham"/>
        </w:rPr>
        <w:t>.</w:t>
      </w:r>
      <w:r w:rsidR="00D13419" w:rsidRPr="00D62DEB">
        <w:rPr>
          <w:rStyle w:val="FootnoteReference"/>
          <w:rFonts w:ascii="Verdana" w:hAnsi="Verdana" w:cs="YIUEB V+ Gotham"/>
        </w:rPr>
        <w:footnoteReference w:id="197"/>
      </w:r>
      <w:r w:rsidR="00D16C78" w:rsidRPr="00760D6E">
        <w:rPr>
          <w:rFonts w:ascii="Verdana" w:hAnsi="Verdana" w:cs="YIUEB V+ Gotham"/>
        </w:rPr>
        <w:t xml:space="preserve"> Subject to budget allocation, The Executive Office hopes </w:t>
      </w:r>
      <w:r w:rsidR="002D6C83" w:rsidRPr="00760D6E">
        <w:rPr>
          <w:rFonts w:ascii="Verdana" w:hAnsi="Verdana" w:cs="YIUEB V+ Gotham"/>
        </w:rPr>
        <w:t xml:space="preserve">to retain this </w:t>
      </w:r>
      <w:r w:rsidR="004152EC" w:rsidRPr="00760D6E">
        <w:rPr>
          <w:rFonts w:ascii="Verdana" w:hAnsi="Verdana" w:cs="YIUEB V+ Gotham"/>
        </w:rPr>
        <w:t>upper level</w:t>
      </w:r>
      <w:r w:rsidR="002D6C83" w:rsidRPr="00760D6E">
        <w:rPr>
          <w:rFonts w:ascii="Verdana" w:hAnsi="Verdana" w:cs="YIUEB V+ Gotham"/>
        </w:rPr>
        <w:t xml:space="preserve"> of fu</w:t>
      </w:r>
      <w:r w:rsidR="002600D0" w:rsidRPr="00760D6E">
        <w:rPr>
          <w:rFonts w:ascii="Verdana" w:hAnsi="Verdana" w:cs="YIUEB V+ Gotham"/>
        </w:rPr>
        <w:t>n</w:t>
      </w:r>
      <w:r w:rsidR="002D6C83" w:rsidRPr="00760D6E">
        <w:rPr>
          <w:rFonts w:ascii="Verdana" w:hAnsi="Verdana" w:cs="YIUEB V+ Gotham"/>
        </w:rPr>
        <w:t>ding</w:t>
      </w:r>
      <w:r w:rsidR="004152EC" w:rsidRPr="00760D6E">
        <w:rPr>
          <w:rFonts w:ascii="Verdana" w:hAnsi="Verdana" w:cs="YIUEB V+ Gotham"/>
        </w:rPr>
        <w:t xml:space="preserve"> in the coming years.</w:t>
      </w:r>
      <w:r w:rsidR="002600D0">
        <w:rPr>
          <w:rStyle w:val="FootnoteReference"/>
          <w:rFonts w:ascii="Verdana" w:hAnsi="Verdana" w:cs="YIUEB V+ Gotham"/>
        </w:rPr>
        <w:footnoteReference w:id="198"/>
      </w:r>
    </w:p>
    <w:p w14:paraId="7A713A78" w14:textId="77777777" w:rsidR="00464E4B" w:rsidRDefault="00464E4B" w:rsidP="00464E4B">
      <w:pPr>
        <w:pStyle w:val="ListParagraph"/>
        <w:rPr>
          <w:rFonts w:ascii="Verdana" w:eastAsia="Verdana" w:hAnsi="Verdana" w:cs="Verdana"/>
        </w:rPr>
      </w:pPr>
    </w:p>
    <w:p w14:paraId="1205EB8F" w14:textId="77777777" w:rsidR="00464E4B" w:rsidRDefault="00646D67" w:rsidP="00915669">
      <w:pPr>
        <w:pStyle w:val="BasicParagraph"/>
        <w:numPr>
          <w:ilvl w:val="1"/>
          <w:numId w:val="17"/>
        </w:numPr>
        <w:suppressAutoHyphens/>
        <w:spacing w:line="276" w:lineRule="auto"/>
        <w:rPr>
          <w:rFonts w:ascii="Verdana" w:hAnsi="Verdana" w:cs="Arial"/>
          <w:color w:val="232120"/>
        </w:rPr>
      </w:pPr>
      <w:r w:rsidRPr="00464E4B">
        <w:rPr>
          <w:rFonts w:ascii="Verdana" w:eastAsia="Verdana" w:hAnsi="Verdana" w:cs="Verdana"/>
        </w:rPr>
        <w:t>In 2021, in its response to the NI Affairs Committee Inquiry into the experience of minority ethnic and migrant people in N</w:t>
      </w:r>
      <w:r w:rsidR="009E7CF1" w:rsidRPr="00464E4B">
        <w:rPr>
          <w:rFonts w:ascii="Verdana" w:eastAsia="Verdana" w:hAnsi="Verdana" w:cs="Verdana"/>
        </w:rPr>
        <w:t>I</w:t>
      </w:r>
      <w:r w:rsidRPr="00464E4B">
        <w:rPr>
          <w:rFonts w:ascii="Verdana" w:eastAsia="Verdana" w:hAnsi="Verdana" w:cs="Verdana"/>
        </w:rPr>
        <w:t>,</w:t>
      </w:r>
      <w:r w:rsidRPr="00D62DEB">
        <w:rPr>
          <w:rStyle w:val="FootnoteReference"/>
          <w:rFonts w:ascii="Verdana" w:hAnsi="Verdana"/>
        </w:rPr>
        <w:footnoteReference w:id="199"/>
      </w:r>
      <w:r w:rsidR="00491E5E" w:rsidRPr="00464E4B">
        <w:rPr>
          <w:rFonts w:ascii="Verdana" w:eastAsia="Verdana" w:hAnsi="Verdana" w:cs="Verdana"/>
        </w:rPr>
        <w:t xml:space="preserve"> </w:t>
      </w:r>
      <w:r w:rsidRPr="00464E4B">
        <w:rPr>
          <w:rFonts w:ascii="Verdana" w:eastAsia="Verdana" w:hAnsi="Verdana" w:cs="Verdana"/>
        </w:rPr>
        <w:t xml:space="preserve">the </w:t>
      </w:r>
      <w:r w:rsidR="00EF1B20" w:rsidRPr="00464E4B">
        <w:rPr>
          <w:rFonts w:ascii="Verdana" w:eastAsia="Verdana" w:hAnsi="Verdana" w:cs="Verdana"/>
        </w:rPr>
        <w:t>NIHRC</w:t>
      </w:r>
      <w:r w:rsidRPr="00464E4B">
        <w:rPr>
          <w:rFonts w:ascii="Verdana" w:eastAsia="Verdana" w:hAnsi="Verdana" w:cs="Verdana"/>
        </w:rPr>
        <w:t xml:space="preserve"> reiterated its recommendation that the Crisis Fund be put on a permanent footing, and that the UK Government and NI Executive address the causes of destitution. </w:t>
      </w:r>
    </w:p>
    <w:p w14:paraId="082A7EA1" w14:textId="77777777" w:rsidR="00464E4B" w:rsidRDefault="00464E4B" w:rsidP="00464E4B">
      <w:pPr>
        <w:pStyle w:val="ListParagraph"/>
        <w:rPr>
          <w:rFonts w:ascii="Verdana" w:eastAsia="Times New Roman" w:hAnsi="Verdana" w:cs="Times New Roman"/>
          <w:b/>
          <w:lang w:val="en-US"/>
        </w:rPr>
      </w:pPr>
    </w:p>
    <w:p w14:paraId="23A30008" w14:textId="746CEE7B" w:rsidR="005F26B4" w:rsidRPr="00464E4B" w:rsidRDefault="00443D07" w:rsidP="00915669">
      <w:pPr>
        <w:pStyle w:val="BasicParagraph"/>
        <w:numPr>
          <w:ilvl w:val="1"/>
          <w:numId w:val="17"/>
        </w:numPr>
        <w:suppressAutoHyphens/>
        <w:spacing w:line="276" w:lineRule="auto"/>
        <w:rPr>
          <w:rFonts w:ascii="Verdana" w:hAnsi="Verdana" w:cs="Arial"/>
          <w:color w:val="232120"/>
        </w:rPr>
      </w:pPr>
      <w:r w:rsidRPr="00464E4B">
        <w:rPr>
          <w:rFonts w:ascii="Verdana" w:eastAsia="Times New Roman" w:hAnsi="Verdana" w:cs="Times New Roman"/>
          <w:b/>
          <w:lang w:val="en-US"/>
        </w:rPr>
        <w:t xml:space="preserve">The Advisory Committee may wish to ask the State party what plans </w:t>
      </w:r>
      <w:r w:rsidR="002A0BFB" w:rsidRPr="00464E4B">
        <w:rPr>
          <w:rFonts w:ascii="Verdana" w:eastAsia="Times New Roman" w:hAnsi="Verdana" w:cs="Times New Roman"/>
          <w:b/>
          <w:lang w:val="en-US"/>
        </w:rPr>
        <w:t>there are</w:t>
      </w:r>
      <w:r w:rsidRPr="00464E4B">
        <w:rPr>
          <w:rFonts w:ascii="Verdana" w:eastAsia="Times New Roman" w:hAnsi="Verdana" w:cs="Times New Roman"/>
          <w:b/>
          <w:lang w:val="en-US"/>
        </w:rPr>
        <w:t xml:space="preserve"> to ensure long term planning and the continuation of the </w:t>
      </w:r>
      <w:r w:rsidR="004152EC" w:rsidRPr="00464E4B">
        <w:rPr>
          <w:rFonts w:ascii="Verdana" w:eastAsia="Times New Roman" w:hAnsi="Verdana" w:cs="Times New Roman"/>
          <w:b/>
          <w:lang w:val="en-US"/>
        </w:rPr>
        <w:t>Crisis F</w:t>
      </w:r>
      <w:r w:rsidRPr="00464E4B">
        <w:rPr>
          <w:rFonts w:ascii="Verdana" w:eastAsia="Times New Roman" w:hAnsi="Verdana" w:cs="Times New Roman"/>
          <w:b/>
          <w:lang w:val="en-US"/>
        </w:rPr>
        <w:t>und on a permanent basis in N</w:t>
      </w:r>
      <w:r w:rsidR="00910A20" w:rsidRPr="00464E4B">
        <w:rPr>
          <w:rFonts w:ascii="Verdana" w:eastAsia="Times New Roman" w:hAnsi="Verdana" w:cs="Times New Roman"/>
          <w:b/>
          <w:lang w:val="en-US"/>
        </w:rPr>
        <w:t>I.</w:t>
      </w:r>
    </w:p>
    <w:p w14:paraId="1455C6C8" w14:textId="77777777" w:rsidR="005F26B4" w:rsidRPr="005F26B4" w:rsidRDefault="005F26B4" w:rsidP="005F26B4">
      <w:pPr>
        <w:pStyle w:val="ListParagraph"/>
        <w:rPr>
          <w:rFonts w:ascii="Verdana" w:eastAsia="Verdana" w:hAnsi="Verdana" w:cs="Verdana"/>
          <w:color w:val="000000"/>
        </w:rPr>
      </w:pPr>
    </w:p>
    <w:p w14:paraId="663AF354" w14:textId="7D3F9A7A" w:rsidR="005F26B4" w:rsidRPr="00C7595E" w:rsidRDefault="000C57D0" w:rsidP="005F26B4">
      <w:pPr>
        <w:pStyle w:val="Heading1"/>
        <w:spacing w:line="276" w:lineRule="auto"/>
        <w:rPr>
          <w:color w:val="7030A0"/>
          <w:szCs w:val="30"/>
        </w:rPr>
      </w:pPr>
      <w:bookmarkStart w:id="29" w:name="_Toc97030919"/>
      <w:r>
        <w:rPr>
          <w:color w:val="7030A0"/>
          <w:szCs w:val="30"/>
        </w:rPr>
        <w:t xml:space="preserve">5.0. </w:t>
      </w:r>
      <w:r w:rsidR="005F26B4" w:rsidRPr="00C7595E">
        <w:rPr>
          <w:color w:val="7030A0"/>
          <w:szCs w:val="30"/>
        </w:rPr>
        <w:t>Article 4(2) Measures to Promote Full and Effective Equality</w:t>
      </w:r>
      <w:bookmarkEnd w:id="29"/>
    </w:p>
    <w:p w14:paraId="148706A6" w14:textId="1B16C215" w:rsidR="005F26B4" w:rsidRPr="00C7595E" w:rsidRDefault="005F26B4" w:rsidP="005F26B4">
      <w:pPr>
        <w:spacing w:line="276" w:lineRule="auto"/>
        <w:rPr>
          <w:rFonts w:ascii="Verdana" w:hAnsi="Verdana"/>
          <w:b/>
        </w:rPr>
      </w:pPr>
    </w:p>
    <w:p w14:paraId="532066CF" w14:textId="4EE7C4A2" w:rsidR="005F26B4" w:rsidRPr="00C7595E" w:rsidRDefault="005F26B4" w:rsidP="005F26B4">
      <w:pPr>
        <w:pStyle w:val="Heading2"/>
      </w:pPr>
      <w:bookmarkStart w:id="30" w:name="_Toc97030920"/>
      <w:r>
        <w:t>Racial Equality Strategy</w:t>
      </w:r>
      <w:bookmarkEnd w:id="30"/>
    </w:p>
    <w:p w14:paraId="5174068C" w14:textId="77777777" w:rsidR="005F26B4" w:rsidRPr="005F26B4" w:rsidRDefault="005F26B4" w:rsidP="005F26B4">
      <w:pPr>
        <w:pStyle w:val="ListParagraph"/>
        <w:rPr>
          <w:rFonts w:ascii="Verdana" w:eastAsia="Verdana" w:hAnsi="Verdana" w:cs="Verdana"/>
          <w:color w:val="000000"/>
        </w:rPr>
      </w:pPr>
    </w:p>
    <w:p w14:paraId="4DCFDC0C" w14:textId="3A39A754" w:rsidR="000C57D0" w:rsidRDefault="00A239F5" w:rsidP="00915669">
      <w:pPr>
        <w:pStyle w:val="ListParagraph"/>
        <w:numPr>
          <w:ilvl w:val="1"/>
          <w:numId w:val="18"/>
        </w:numPr>
        <w:spacing w:line="276" w:lineRule="auto"/>
        <w:rPr>
          <w:rFonts w:ascii="Verdana" w:eastAsia="Verdana" w:hAnsi="Verdana" w:cs="Verdana"/>
          <w:color w:val="000000"/>
        </w:rPr>
      </w:pPr>
      <w:r w:rsidRPr="000C57D0">
        <w:rPr>
          <w:rFonts w:ascii="Verdana" w:eastAsia="Verdana" w:hAnsi="Verdana" w:cs="Verdana"/>
          <w:color w:val="000000"/>
        </w:rPr>
        <w:t>The</w:t>
      </w:r>
      <w:r w:rsidR="00871EB1" w:rsidRPr="000C57D0">
        <w:rPr>
          <w:rFonts w:ascii="Verdana" w:eastAsia="Verdana" w:hAnsi="Verdana" w:cs="Verdana"/>
          <w:color w:val="000000"/>
        </w:rPr>
        <w:t xml:space="preserve"> Racial Equality Strategy for NI </w:t>
      </w:r>
      <w:r w:rsidR="00275EBC" w:rsidRPr="000C57D0">
        <w:rPr>
          <w:rFonts w:ascii="Verdana" w:eastAsia="Verdana" w:hAnsi="Verdana" w:cs="Verdana"/>
          <w:color w:val="000000"/>
        </w:rPr>
        <w:t>2015-2025</w:t>
      </w:r>
      <w:r w:rsidR="009C5D25" w:rsidRPr="000C57D0">
        <w:rPr>
          <w:rFonts w:ascii="Verdana" w:eastAsia="Verdana" w:hAnsi="Verdana" w:cs="Verdana"/>
          <w:color w:val="000000"/>
        </w:rPr>
        <w:t xml:space="preserve"> </w:t>
      </w:r>
      <w:r w:rsidR="00203F97" w:rsidRPr="000C57D0">
        <w:rPr>
          <w:rFonts w:ascii="Verdana" w:eastAsia="Verdana" w:hAnsi="Verdana" w:cs="Verdana"/>
          <w:color w:val="000000"/>
        </w:rPr>
        <w:t xml:space="preserve">establishes a framework for government departments (and others) to tackle racial inequalities, to eradicate racism and hate crime and along with </w:t>
      </w:r>
      <w:r w:rsidR="00BC7C03" w:rsidRPr="000C57D0">
        <w:rPr>
          <w:rFonts w:ascii="Verdana" w:eastAsia="Verdana" w:hAnsi="Verdana" w:cs="Verdana"/>
          <w:color w:val="000000"/>
        </w:rPr>
        <w:t>‘Together: Building a United Community’, to promote good race relations and social cohesion.</w:t>
      </w:r>
      <w:r w:rsidR="00BC7C03" w:rsidRPr="00D62DEB">
        <w:rPr>
          <w:rStyle w:val="FootnoteReference"/>
          <w:rFonts w:ascii="Verdana" w:eastAsia="Verdana" w:hAnsi="Verdana" w:cs="Verdana"/>
          <w:color w:val="000000"/>
        </w:rPr>
        <w:footnoteReference w:id="200"/>
      </w:r>
    </w:p>
    <w:p w14:paraId="50D51BBB" w14:textId="77777777" w:rsidR="000C57D0" w:rsidRDefault="000C57D0" w:rsidP="000C57D0">
      <w:pPr>
        <w:pStyle w:val="ListParagraph"/>
        <w:spacing w:line="276" w:lineRule="auto"/>
        <w:rPr>
          <w:rFonts w:ascii="Verdana" w:eastAsia="Verdana" w:hAnsi="Verdana" w:cs="Verdana"/>
          <w:color w:val="000000"/>
        </w:rPr>
      </w:pPr>
    </w:p>
    <w:p w14:paraId="5F0722B5" w14:textId="77777777" w:rsidR="000C57D0" w:rsidRPr="000C57D0" w:rsidRDefault="00722AC4" w:rsidP="00915669">
      <w:pPr>
        <w:pStyle w:val="ListParagraph"/>
        <w:numPr>
          <w:ilvl w:val="1"/>
          <w:numId w:val="18"/>
        </w:numPr>
        <w:spacing w:line="276" w:lineRule="auto"/>
        <w:rPr>
          <w:rFonts w:ascii="Verdana" w:eastAsia="Verdana" w:hAnsi="Verdana" w:cs="Verdana"/>
          <w:color w:val="000000"/>
        </w:rPr>
      </w:pPr>
      <w:r w:rsidRPr="000C57D0">
        <w:rPr>
          <w:rFonts w:ascii="Verdana" w:hAnsi="Verdana" w:cs="YIUEB V+ Gotham"/>
          <w:color w:val="000000"/>
        </w:rPr>
        <w:t xml:space="preserve">As mentioned above, </w:t>
      </w:r>
      <w:r w:rsidR="000E2367" w:rsidRPr="000C57D0">
        <w:rPr>
          <w:rFonts w:ascii="Verdana" w:hAnsi="Verdana" w:cs="YIUEB V+ Gotham"/>
          <w:color w:val="000000"/>
        </w:rPr>
        <w:t>the Executive Office completed a study</w:t>
      </w:r>
      <w:r w:rsidRPr="000C57D0">
        <w:rPr>
          <w:rFonts w:ascii="Verdana" w:hAnsi="Verdana" w:cs="YIUEB V+ Gotham"/>
          <w:color w:val="000000"/>
        </w:rPr>
        <w:t xml:space="preserve"> in</w:t>
      </w:r>
      <w:r w:rsidR="000E2367" w:rsidRPr="000C57D0">
        <w:rPr>
          <w:rFonts w:ascii="Verdana" w:hAnsi="Verdana" w:cs="YIUEB V+ Gotham"/>
          <w:color w:val="000000"/>
        </w:rPr>
        <w:t xml:space="preserve"> 2020 to determine the feasibility of introducing monitoring to the public sector in NI. The final report is now complete: following receipt of the report, the Department has initiated work to consider how best to look beyond the report’s evidence for operation and to implement its key findings. To date</w:t>
      </w:r>
      <w:r w:rsidR="00C40050" w:rsidRPr="000C57D0">
        <w:rPr>
          <w:rFonts w:ascii="Verdana" w:hAnsi="Verdana" w:cs="YIUEB V+ Gotham"/>
          <w:color w:val="000000"/>
        </w:rPr>
        <w:t>,</w:t>
      </w:r>
      <w:r w:rsidR="000E2367" w:rsidRPr="000C57D0">
        <w:rPr>
          <w:rFonts w:ascii="Verdana" w:hAnsi="Verdana" w:cs="YIUEB V+ Gotham"/>
          <w:color w:val="000000"/>
        </w:rPr>
        <w:t xml:space="preserve"> officials have been engaging with stakeholders to gauge the impact of introducing monitoring and what information might be required to ensure the outcome is fit for purpose. </w:t>
      </w:r>
    </w:p>
    <w:p w14:paraId="2FCB58EA" w14:textId="77777777" w:rsidR="000C57D0" w:rsidRPr="000C57D0" w:rsidRDefault="000C57D0" w:rsidP="000C57D0">
      <w:pPr>
        <w:pStyle w:val="ListParagraph"/>
        <w:rPr>
          <w:rFonts w:ascii="Verdana" w:eastAsia="Verdana" w:hAnsi="Verdana" w:cs="Verdana"/>
          <w:b/>
          <w:color w:val="000000" w:themeColor="text1"/>
        </w:rPr>
      </w:pPr>
    </w:p>
    <w:p w14:paraId="012BD3B4" w14:textId="5E0ACA7E" w:rsidR="00921A41" w:rsidRPr="000C57D0" w:rsidRDefault="00D23FA0" w:rsidP="00915669">
      <w:pPr>
        <w:pStyle w:val="ListParagraph"/>
        <w:numPr>
          <w:ilvl w:val="1"/>
          <w:numId w:val="18"/>
        </w:numPr>
        <w:spacing w:line="276" w:lineRule="auto"/>
        <w:rPr>
          <w:rFonts w:ascii="Verdana" w:eastAsia="Verdana" w:hAnsi="Verdana" w:cs="Verdana"/>
          <w:color w:val="000000"/>
        </w:rPr>
      </w:pPr>
      <w:r w:rsidRPr="000C57D0">
        <w:rPr>
          <w:rFonts w:ascii="Verdana" w:eastAsia="Verdana" w:hAnsi="Verdana" w:cs="Verdana"/>
          <w:b/>
          <w:color w:val="000000" w:themeColor="text1"/>
        </w:rPr>
        <w:t>The</w:t>
      </w:r>
      <w:r w:rsidR="00905EDD" w:rsidRPr="000C57D0">
        <w:rPr>
          <w:rFonts w:ascii="Verdana" w:eastAsia="Verdana" w:hAnsi="Verdana" w:cs="Verdana"/>
          <w:b/>
          <w:color w:val="000000" w:themeColor="text1"/>
        </w:rPr>
        <w:t xml:space="preserve"> Advisory</w:t>
      </w:r>
      <w:r w:rsidRPr="000C57D0">
        <w:rPr>
          <w:rFonts w:ascii="Verdana" w:eastAsia="Verdana" w:hAnsi="Verdana" w:cs="Verdana"/>
          <w:b/>
          <w:color w:val="000000" w:themeColor="text1"/>
        </w:rPr>
        <w:t xml:space="preserve"> Committee may wish to ask the State party</w:t>
      </w:r>
      <w:r w:rsidR="001529BA" w:rsidRPr="000C57D0">
        <w:rPr>
          <w:rFonts w:ascii="Verdana" w:eastAsia="Verdana" w:hAnsi="Verdana" w:cs="Verdana"/>
          <w:b/>
          <w:color w:val="000000" w:themeColor="text1"/>
        </w:rPr>
        <w:t xml:space="preserve"> for more information on the implementation</w:t>
      </w:r>
      <w:r w:rsidR="00034A71" w:rsidRPr="000C57D0">
        <w:rPr>
          <w:rFonts w:ascii="Verdana" w:eastAsia="Verdana" w:hAnsi="Verdana" w:cs="Verdana"/>
          <w:b/>
          <w:color w:val="000000" w:themeColor="text1"/>
        </w:rPr>
        <w:t xml:space="preserve"> plan for</w:t>
      </w:r>
      <w:r w:rsidR="001529BA" w:rsidRPr="000C57D0">
        <w:rPr>
          <w:rFonts w:ascii="Verdana" w:eastAsia="Verdana" w:hAnsi="Verdana" w:cs="Verdana"/>
          <w:b/>
          <w:color w:val="000000" w:themeColor="text1"/>
        </w:rPr>
        <w:t xml:space="preserve"> the Racial Equality Strategy</w:t>
      </w:r>
      <w:r w:rsidR="2357BB30" w:rsidRPr="000C57D0">
        <w:rPr>
          <w:rFonts w:ascii="Verdana" w:eastAsia="Verdana" w:hAnsi="Verdana" w:cs="Verdana"/>
          <w:b/>
          <w:bCs/>
          <w:color w:val="000000" w:themeColor="text1"/>
        </w:rPr>
        <w:t xml:space="preserve"> for NI 2015-25</w:t>
      </w:r>
      <w:r w:rsidR="00034A71" w:rsidRPr="000C57D0">
        <w:rPr>
          <w:rFonts w:ascii="Verdana" w:eastAsia="Verdana" w:hAnsi="Verdana" w:cs="Verdana"/>
          <w:b/>
          <w:color w:val="000000" w:themeColor="text1"/>
        </w:rPr>
        <w:t>.</w:t>
      </w:r>
    </w:p>
    <w:p w14:paraId="421A6ADA" w14:textId="77777777" w:rsidR="00921A41" w:rsidRPr="00921A41" w:rsidRDefault="00921A41" w:rsidP="00921A41">
      <w:pPr>
        <w:pStyle w:val="ListParagraph"/>
        <w:rPr>
          <w:rFonts w:ascii="Verdana" w:eastAsia="Verdana" w:hAnsi="Verdana" w:cs="Verdana"/>
          <w:color w:val="000000"/>
        </w:rPr>
      </w:pPr>
    </w:p>
    <w:p w14:paraId="2B930458" w14:textId="7CD94244" w:rsidR="00921A41" w:rsidRPr="00E5776D" w:rsidRDefault="00921A41" w:rsidP="00921A41">
      <w:pPr>
        <w:pStyle w:val="Heading2"/>
        <w:spacing w:line="276" w:lineRule="auto"/>
        <w:rPr>
          <w:szCs w:val="24"/>
        </w:rPr>
      </w:pPr>
      <w:bookmarkStart w:id="31" w:name="_Toc97030921"/>
      <w:r w:rsidRPr="00E5776D">
        <w:rPr>
          <w:szCs w:val="24"/>
        </w:rPr>
        <w:t>Refugees</w:t>
      </w:r>
      <w:bookmarkEnd w:id="31"/>
    </w:p>
    <w:p w14:paraId="0965525F" w14:textId="77777777" w:rsidR="00921A41" w:rsidRPr="00921A41" w:rsidRDefault="00921A41" w:rsidP="00921A41">
      <w:pPr>
        <w:pStyle w:val="ListParagraph"/>
        <w:rPr>
          <w:rFonts w:ascii="Verdana" w:eastAsia="Verdana" w:hAnsi="Verdana" w:cs="Verdana"/>
          <w:color w:val="000000"/>
        </w:rPr>
      </w:pPr>
    </w:p>
    <w:p w14:paraId="57AC61B0" w14:textId="0B2C7701" w:rsidR="00EF6689" w:rsidRDefault="00C91A9A"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In 2016, the UN CRC Committee noted that “unaccompanied and separated refugee children within and outside of the State party face restrictions on family reunification” and urged the UK Government and NI Executive to “review its asylum policy in order to facilitate family reunion for unaccompanied and separated refugee children within and outside of the State party”.</w:t>
      </w:r>
      <w:r w:rsidRPr="00D62DEB">
        <w:rPr>
          <w:rStyle w:val="FootnoteReference"/>
          <w:rFonts w:ascii="Verdana" w:eastAsia="Verdana" w:hAnsi="Verdana" w:cs="Verdana"/>
          <w:color w:val="000000"/>
        </w:rPr>
        <w:footnoteReference w:id="201"/>
      </w:r>
      <w:r w:rsidRPr="00EF6689">
        <w:rPr>
          <w:rFonts w:ascii="Verdana" w:eastAsia="Verdana" w:hAnsi="Verdana" w:cs="Verdana"/>
          <w:color w:val="000000"/>
        </w:rPr>
        <w:t xml:space="preserve"> In addition, it noted that that “asylum-seeking, refugee and migrant children and their families face difficulty in accessing basic services, such as education and health care, and are at a high risk of destitution” called for “sufficient support to … access basic services”.</w:t>
      </w:r>
      <w:r w:rsidRPr="00D62DEB">
        <w:rPr>
          <w:rStyle w:val="FootnoteReference"/>
          <w:rFonts w:ascii="Verdana" w:eastAsia="Verdana" w:hAnsi="Verdana" w:cs="Verdana"/>
          <w:color w:val="000000"/>
        </w:rPr>
        <w:footnoteReference w:id="202"/>
      </w:r>
    </w:p>
    <w:p w14:paraId="43DE2194" w14:textId="77777777" w:rsidR="00EF6689" w:rsidRDefault="00EF6689" w:rsidP="00EF6689">
      <w:pPr>
        <w:pStyle w:val="ListParagraph"/>
        <w:spacing w:line="276" w:lineRule="auto"/>
        <w:rPr>
          <w:rFonts w:ascii="Verdana" w:eastAsia="Verdana" w:hAnsi="Verdana" w:cs="Verdana"/>
          <w:color w:val="000000"/>
        </w:rPr>
      </w:pPr>
    </w:p>
    <w:p w14:paraId="1AB22572" w14:textId="77777777" w:rsidR="00EF6689" w:rsidRDefault="00F409E4"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The European Commission against Racial Intolerance recommended that a refugee integration strategy is developed in NI “to assist newly-arrived refugees, in particular as concerns housing, employment, access to welfare and learning English, and that refugee integration is systematically evaluated.”</w:t>
      </w:r>
      <w:r w:rsidRPr="00D62DEB">
        <w:rPr>
          <w:rStyle w:val="FootnoteReference"/>
          <w:rFonts w:ascii="Verdana" w:eastAsia="Verdana" w:hAnsi="Verdana" w:cs="Verdana"/>
          <w:color w:val="000000"/>
        </w:rPr>
        <w:footnoteReference w:id="203"/>
      </w:r>
      <w:r w:rsidR="00297A0E" w:rsidRPr="00EF6689">
        <w:rPr>
          <w:rFonts w:ascii="Verdana" w:eastAsia="Verdana" w:hAnsi="Verdana" w:cs="Verdana"/>
          <w:color w:val="000000"/>
        </w:rPr>
        <w:t xml:space="preserve"> </w:t>
      </w:r>
    </w:p>
    <w:p w14:paraId="3F533432" w14:textId="77777777" w:rsidR="00EF6689" w:rsidRPr="00EF6689" w:rsidRDefault="00EF6689" w:rsidP="00EF6689">
      <w:pPr>
        <w:pStyle w:val="ListParagraph"/>
        <w:rPr>
          <w:rFonts w:ascii="Verdana" w:eastAsia="Verdana" w:hAnsi="Verdana" w:cs="Verdana"/>
          <w:color w:val="000000"/>
        </w:rPr>
      </w:pPr>
    </w:p>
    <w:p w14:paraId="1C8C9662" w14:textId="77777777" w:rsidR="00EF6689" w:rsidRDefault="00297A0E"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NI’s</w:t>
      </w:r>
      <w:r w:rsidR="000A0458" w:rsidRPr="00EF6689">
        <w:rPr>
          <w:rFonts w:ascii="Verdana" w:eastAsia="Verdana" w:hAnsi="Verdana" w:cs="Verdana"/>
          <w:color w:val="000000"/>
        </w:rPr>
        <w:t xml:space="preserve"> Racial Equality Strategy 2015-2025 commits to the development of a Refugee Integration Strategy, which already exists in Scotland and Wales.</w:t>
      </w:r>
      <w:r w:rsidR="00DE3B0D" w:rsidRPr="00EF6689">
        <w:rPr>
          <w:rFonts w:ascii="Verdana" w:eastAsia="Verdana" w:hAnsi="Verdana" w:cs="Verdana"/>
          <w:color w:val="000000"/>
        </w:rPr>
        <w:t xml:space="preserve"> </w:t>
      </w:r>
      <w:r w:rsidR="000A0458" w:rsidRPr="00EF6689">
        <w:rPr>
          <w:rFonts w:ascii="Verdana" w:eastAsia="Verdana" w:hAnsi="Verdana" w:cs="Verdana"/>
          <w:color w:val="000000"/>
        </w:rPr>
        <w:t>Refugee integration is a particular issue for NI as “integration is more difficult in a divided society”.</w:t>
      </w:r>
      <w:r w:rsidR="000A0458" w:rsidRPr="00D62DEB">
        <w:rPr>
          <w:rStyle w:val="FootnoteReference"/>
          <w:rFonts w:ascii="Verdana" w:eastAsia="Verdana" w:hAnsi="Verdana" w:cs="Verdana"/>
          <w:color w:val="000000"/>
        </w:rPr>
        <w:footnoteReference w:id="204"/>
      </w:r>
      <w:r w:rsidR="000A0458" w:rsidRPr="00EF6689">
        <w:rPr>
          <w:rFonts w:ascii="Verdana" w:eastAsia="Verdana" w:hAnsi="Verdana" w:cs="Verdana"/>
          <w:color w:val="000000"/>
        </w:rPr>
        <w:t xml:space="preserve"> </w:t>
      </w:r>
      <w:r w:rsidR="00932D74" w:rsidRPr="00EF6689">
        <w:rPr>
          <w:rFonts w:ascii="Verdana" w:eastAsia="Verdana" w:hAnsi="Verdana" w:cs="Verdana"/>
          <w:color w:val="000000"/>
        </w:rPr>
        <w:t xml:space="preserve">A </w:t>
      </w:r>
      <w:r w:rsidR="00E265D1" w:rsidRPr="00EF6689">
        <w:rPr>
          <w:rFonts w:ascii="Verdana" w:eastAsia="Verdana" w:hAnsi="Verdana" w:cs="Verdana"/>
          <w:color w:val="000000"/>
        </w:rPr>
        <w:t xml:space="preserve">draft </w:t>
      </w:r>
      <w:r w:rsidR="00B7513D" w:rsidRPr="00EF6689">
        <w:rPr>
          <w:rFonts w:ascii="Verdana" w:eastAsia="Verdana" w:hAnsi="Verdana" w:cs="Verdana"/>
          <w:color w:val="000000"/>
        </w:rPr>
        <w:t>Strategy</w:t>
      </w:r>
      <w:r w:rsidR="00E265D1" w:rsidRPr="00EF6689">
        <w:rPr>
          <w:rFonts w:ascii="Verdana" w:eastAsia="Verdana" w:hAnsi="Verdana" w:cs="Verdana"/>
          <w:color w:val="000000"/>
        </w:rPr>
        <w:t xml:space="preserve"> has </w:t>
      </w:r>
      <w:r w:rsidR="00932D74" w:rsidRPr="00EF6689">
        <w:rPr>
          <w:rFonts w:ascii="Verdana" w:eastAsia="Verdana" w:hAnsi="Verdana" w:cs="Verdana"/>
          <w:color w:val="000000"/>
        </w:rPr>
        <w:t xml:space="preserve">now </w:t>
      </w:r>
      <w:r w:rsidR="00E265D1" w:rsidRPr="00EF6689">
        <w:rPr>
          <w:rFonts w:ascii="Verdana" w:eastAsia="Verdana" w:hAnsi="Verdana" w:cs="Verdana"/>
          <w:color w:val="000000"/>
        </w:rPr>
        <w:t xml:space="preserve">been </w:t>
      </w:r>
      <w:r w:rsidR="009C5D25" w:rsidRPr="00EF6689">
        <w:rPr>
          <w:rFonts w:ascii="Verdana" w:eastAsia="Verdana" w:hAnsi="Verdana" w:cs="Verdana"/>
          <w:color w:val="000000"/>
        </w:rPr>
        <w:t>published for</w:t>
      </w:r>
      <w:r w:rsidR="000A0458" w:rsidRPr="00EF6689">
        <w:rPr>
          <w:rFonts w:ascii="Verdana" w:eastAsia="Verdana" w:hAnsi="Verdana" w:cs="Verdana"/>
          <w:color w:val="000000"/>
        </w:rPr>
        <w:t xml:space="preserve"> public consultation</w:t>
      </w:r>
      <w:r w:rsidR="00680EEA" w:rsidRPr="00EF6689">
        <w:rPr>
          <w:rFonts w:ascii="Verdana" w:eastAsia="Verdana" w:hAnsi="Verdana" w:cs="Verdana"/>
          <w:color w:val="000000"/>
        </w:rPr>
        <w:t>, which</w:t>
      </w:r>
      <w:r w:rsidR="000A0458" w:rsidRPr="00EF6689">
        <w:rPr>
          <w:rFonts w:ascii="Verdana" w:eastAsia="Verdana" w:hAnsi="Verdana" w:cs="Verdana"/>
          <w:color w:val="000000"/>
        </w:rPr>
        <w:t xml:space="preserve"> </w:t>
      </w:r>
      <w:r w:rsidR="00683B2C" w:rsidRPr="00EF6689">
        <w:rPr>
          <w:rFonts w:ascii="Verdana" w:eastAsia="Verdana" w:hAnsi="Verdana" w:cs="Verdana"/>
          <w:color w:val="000000"/>
        </w:rPr>
        <w:t xml:space="preserve">is </w:t>
      </w:r>
      <w:r w:rsidR="009C5D25" w:rsidRPr="00EF6689">
        <w:rPr>
          <w:rFonts w:ascii="Verdana" w:eastAsia="Verdana" w:hAnsi="Verdana" w:cs="Verdana"/>
          <w:color w:val="000000"/>
        </w:rPr>
        <w:t>expected</w:t>
      </w:r>
      <w:r w:rsidR="00683B2C" w:rsidRPr="00EF6689">
        <w:rPr>
          <w:rFonts w:ascii="Verdana" w:eastAsia="Verdana" w:hAnsi="Verdana" w:cs="Verdana"/>
          <w:color w:val="000000"/>
        </w:rPr>
        <w:t xml:space="preserve"> to </w:t>
      </w:r>
      <w:r w:rsidR="00B939C0" w:rsidRPr="00EF6689">
        <w:rPr>
          <w:rFonts w:ascii="Verdana" w:eastAsia="Verdana" w:hAnsi="Verdana" w:cs="Verdana"/>
          <w:color w:val="000000"/>
        </w:rPr>
        <w:t xml:space="preserve">end </w:t>
      </w:r>
      <w:r w:rsidR="0075046F" w:rsidRPr="00EF6689">
        <w:rPr>
          <w:rFonts w:ascii="Verdana" w:eastAsia="Verdana" w:hAnsi="Verdana" w:cs="Verdana"/>
          <w:color w:val="000000"/>
        </w:rPr>
        <w:t>in late</w:t>
      </w:r>
      <w:r w:rsidR="00683B2C" w:rsidRPr="00EF6689">
        <w:rPr>
          <w:rFonts w:ascii="Verdana" w:eastAsia="Verdana" w:hAnsi="Verdana" w:cs="Verdana"/>
          <w:color w:val="000000"/>
        </w:rPr>
        <w:t xml:space="preserve"> Feb</w:t>
      </w:r>
      <w:r w:rsidR="0075046F" w:rsidRPr="00EF6689">
        <w:rPr>
          <w:rFonts w:ascii="Verdana" w:eastAsia="Verdana" w:hAnsi="Verdana" w:cs="Verdana"/>
          <w:color w:val="000000"/>
        </w:rPr>
        <w:t>ruary</w:t>
      </w:r>
      <w:r w:rsidR="00683B2C" w:rsidRPr="00EF6689">
        <w:rPr>
          <w:rFonts w:ascii="Verdana" w:eastAsia="Verdana" w:hAnsi="Verdana" w:cs="Verdana"/>
          <w:color w:val="000000"/>
        </w:rPr>
        <w:t xml:space="preserve"> 2022</w:t>
      </w:r>
      <w:r w:rsidR="000A0458" w:rsidRPr="00EF6689">
        <w:rPr>
          <w:rFonts w:ascii="Verdana" w:eastAsia="Verdana" w:hAnsi="Verdana" w:cs="Verdana"/>
          <w:color w:val="000000"/>
        </w:rPr>
        <w:t>.</w:t>
      </w:r>
      <w:r w:rsidR="00715E6A" w:rsidRPr="00B7513D">
        <w:rPr>
          <w:rStyle w:val="FootnoteReference"/>
          <w:rFonts w:ascii="Verdana" w:eastAsia="Verdana" w:hAnsi="Verdana" w:cs="Verdana"/>
          <w:color w:val="000000"/>
        </w:rPr>
        <w:footnoteReference w:id="205"/>
      </w:r>
      <w:r w:rsidR="00E265D1" w:rsidRPr="00EF6689">
        <w:rPr>
          <w:rFonts w:ascii="Verdana" w:eastAsia="Verdana" w:hAnsi="Verdana" w:cs="Verdana"/>
          <w:color w:val="000000"/>
        </w:rPr>
        <w:t xml:space="preserve"> </w:t>
      </w:r>
      <w:r w:rsidR="00393A7C" w:rsidRPr="00EF6689">
        <w:rPr>
          <w:rFonts w:ascii="Verdana" w:eastAsia="Verdana" w:hAnsi="Verdana" w:cs="Verdana"/>
          <w:color w:val="000000"/>
        </w:rPr>
        <w:t>The NIHRC understands that the absence of an Executive is unlikely to impact the Strategy’s timeline.</w:t>
      </w:r>
      <w:r w:rsidR="00393A7C">
        <w:rPr>
          <w:rStyle w:val="FootnoteReference"/>
          <w:rFonts w:ascii="Verdana" w:eastAsia="Verdana" w:hAnsi="Verdana" w:cs="Verdana"/>
          <w:color w:val="000000"/>
        </w:rPr>
        <w:footnoteReference w:id="206"/>
      </w:r>
      <w:r w:rsidR="00393A7C" w:rsidRPr="00EF6689">
        <w:rPr>
          <w:rFonts w:ascii="Verdana" w:eastAsia="Verdana" w:hAnsi="Verdana" w:cs="Verdana"/>
          <w:color w:val="000000"/>
        </w:rPr>
        <w:t xml:space="preserve"> </w:t>
      </w:r>
    </w:p>
    <w:p w14:paraId="5871F468" w14:textId="77777777" w:rsidR="00EF6689" w:rsidRPr="00EF6689" w:rsidRDefault="00EF6689" w:rsidP="00EF6689">
      <w:pPr>
        <w:pStyle w:val="ListParagraph"/>
        <w:rPr>
          <w:rFonts w:ascii="Verdana" w:eastAsia="Verdana" w:hAnsi="Verdana" w:cs="Verdana"/>
          <w:color w:val="000000"/>
        </w:rPr>
      </w:pPr>
    </w:p>
    <w:p w14:paraId="7FF34F5A" w14:textId="0EDA37DD" w:rsidR="00EF6689" w:rsidRDefault="00C75439"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The NIHRC</w:t>
      </w:r>
      <w:r w:rsidR="00CA7E83" w:rsidRPr="00EF6689">
        <w:rPr>
          <w:rFonts w:ascii="Verdana" w:eastAsia="Verdana" w:hAnsi="Verdana" w:cs="Verdana"/>
          <w:color w:val="000000"/>
        </w:rPr>
        <w:t xml:space="preserve"> </w:t>
      </w:r>
      <w:r w:rsidR="00932D74" w:rsidRPr="00EF6689">
        <w:rPr>
          <w:rFonts w:ascii="Verdana" w:eastAsia="Verdana" w:hAnsi="Verdana" w:cs="Verdana"/>
          <w:color w:val="000000"/>
        </w:rPr>
        <w:t>has</w:t>
      </w:r>
      <w:r w:rsidR="00CA7E83" w:rsidRPr="00EF6689">
        <w:rPr>
          <w:rFonts w:ascii="Verdana" w:eastAsia="Verdana" w:hAnsi="Verdana" w:cs="Verdana"/>
          <w:color w:val="000000"/>
        </w:rPr>
        <w:t xml:space="preserve"> highlight</w:t>
      </w:r>
      <w:r w:rsidR="00953BD9" w:rsidRPr="00EF6689">
        <w:rPr>
          <w:rFonts w:ascii="Verdana" w:eastAsia="Verdana" w:hAnsi="Verdana" w:cs="Verdana"/>
          <w:color w:val="000000"/>
        </w:rPr>
        <w:t>ed</w:t>
      </w:r>
      <w:r w:rsidR="00B732F1" w:rsidRPr="00EF6689">
        <w:rPr>
          <w:rFonts w:ascii="Verdana" w:eastAsia="Verdana" w:hAnsi="Verdana" w:cs="Verdana"/>
          <w:color w:val="000000"/>
        </w:rPr>
        <w:t xml:space="preserve"> overarching</w:t>
      </w:r>
      <w:r w:rsidR="00CA7E83" w:rsidRPr="00EF6689">
        <w:rPr>
          <w:rFonts w:ascii="Verdana" w:eastAsia="Verdana" w:hAnsi="Verdana" w:cs="Verdana"/>
          <w:color w:val="000000"/>
        </w:rPr>
        <w:t xml:space="preserve"> </w:t>
      </w:r>
      <w:r w:rsidR="004E3E49" w:rsidRPr="00EF6689">
        <w:rPr>
          <w:rFonts w:ascii="Verdana" w:eastAsia="Verdana" w:hAnsi="Verdana" w:cs="Verdana"/>
          <w:color w:val="000000"/>
        </w:rPr>
        <w:t>concerns for</w:t>
      </w:r>
      <w:r w:rsidR="00B732F1" w:rsidRPr="00EF6689">
        <w:rPr>
          <w:rFonts w:ascii="Verdana" w:eastAsia="Verdana" w:hAnsi="Verdana" w:cs="Verdana"/>
          <w:color w:val="000000"/>
        </w:rPr>
        <w:t xml:space="preserve"> </w:t>
      </w:r>
      <w:r w:rsidR="001336F8" w:rsidRPr="00EF6689">
        <w:rPr>
          <w:rFonts w:ascii="Verdana" w:eastAsia="Verdana" w:hAnsi="Verdana" w:cs="Verdana"/>
          <w:color w:val="000000"/>
        </w:rPr>
        <w:t xml:space="preserve">the </w:t>
      </w:r>
      <w:r w:rsidR="00B732F1" w:rsidRPr="00EF6689">
        <w:rPr>
          <w:rFonts w:ascii="Verdana" w:eastAsia="Verdana" w:hAnsi="Verdana" w:cs="Verdana"/>
          <w:color w:val="000000"/>
        </w:rPr>
        <w:t xml:space="preserve">implementation, monitoring and data collection </w:t>
      </w:r>
      <w:r w:rsidR="00A31958" w:rsidRPr="00EF6689">
        <w:rPr>
          <w:rFonts w:ascii="Verdana" w:eastAsia="Verdana" w:hAnsi="Verdana" w:cs="Verdana"/>
          <w:color w:val="000000"/>
        </w:rPr>
        <w:t>areas of the Strategy.</w:t>
      </w:r>
      <w:r w:rsidR="000D4D03">
        <w:rPr>
          <w:rStyle w:val="FootnoteReference"/>
          <w:rFonts w:ascii="Verdana" w:eastAsia="Verdana" w:hAnsi="Verdana" w:cs="Verdana"/>
          <w:color w:val="000000"/>
        </w:rPr>
        <w:footnoteReference w:id="207"/>
      </w:r>
      <w:r w:rsidR="00681610" w:rsidRPr="00EF6689">
        <w:rPr>
          <w:rFonts w:ascii="Verdana" w:eastAsia="Verdana" w:hAnsi="Verdana" w:cs="Verdana"/>
          <w:color w:val="000000"/>
        </w:rPr>
        <w:t xml:space="preserve"> </w:t>
      </w:r>
      <w:r w:rsidR="00A31958" w:rsidRPr="00EF6689">
        <w:rPr>
          <w:rFonts w:ascii="Verdana" w:eastAsia="Verdana" w:hAnsi="Verdana" w:cs="Verdana"/>
          <w:color w:val="000000"/>
        </w:rPr>
        <w:t xml:space="preserve">It emphasised </w:t>
      </w:r>
      <w:r w:rsidR="00681610" w:rsidRPr="00EF6689">
        <w:rPr>
          <w:rFonts w:ascii="Verdana" w:eastAsia="Verdana" w:hAnsi="Verdana" w:cs="Verdana"/>
          <w:color w:val="000000"/>
        </w:rPr>
        <w:t>the</w:t>
      </w:r>
      <w:r w:rsidR="00CA7E83" w:rsidRPr="00EF6689">
        <w:rPr>
          <w:rFonts w:ascii="Verdana" w:eastAsia="Verdana" w:hAnsi="Verdana" w:cs="Verdana"/>
          <w:color w:val="000000"/>
        </w:rPr>
        <w:t xml:space="preserve"> </w:t>
      </w:r>
      <w:r w:rsidR="00E82BE7" w:rsidRPr="00EF6689">
        <w:rPr>
          <w:rFonts w:ascii="Verdana" w:eastAsia="Verdana" w:hAnsi="Verdana" w:cs="Verdana"/>
          <w:color w:val="000000"/>
        </w:rPr>
        <w:t xml:space="preserve">need </w:t>
      </w:r>
      <w:r w:rsidR="00486F23" w:rsidRPr="00EF6689">
        <w:rPr>
          <w:rFonts w:ascii="Verdana" w:eastAsia="Verdana" w:hAnsi="Verdana" w:cs="Verdana"/>
          <w:color w:val="000000"/>
        </w:rPr>
        <w:t>to adopt a human rights-based approach</w:t>
      </w:r>
      <w:r w:rsidR="006113FB" w:rsidRPr="00EF6689">
        <w:rPr>
          <w:rFonts w:ascii="Verdana" w:eastAsia="Verdana" w:hAnsi="Verdana" w:cs="Verdana"/>
          <w:color w:val="000000"/>
        </w:rPr>
        <w:t xml:space="preserve">, including </w:t>
      </w:r>
      <w:r w:rsidR="00181A5B" w:rsidRPr="00EF6689">
        <w:rPr>
          <w:rFonts w:ascii="Verdana" w:eastAsia="Verdana" w:hAnsi="Verdana" w:cs="Verdana"/>
          <w:color w:val="000000"/>
        </w:rPr>
        <w:t xml:space="preserve">consideration of </w:t>
      </w:r>
      <w:r w:rsidR="006113FB" w:rsidRPr="00EF6689">
        <w:rPr>
          <w:rFonts w:ascii="Verdana" w:eastAsia="Verdana" w:hAnsi="Verdana" w:cs="Verdana"/>
          <w:color w:val="000000"/>
        </w:rPr>
        <w:t>Protocol Article 2,</w:t>
      </w:r>
      <w:r w:rsidR="00486F23" w:rsidRPr="00EF6689">
        <w:rPr>
          <w:rFonts w:ascii="Verdana" w:eastAsia="Verdana" w:hAnsi="Verdana" w:cs="Verdana"/>
          <w:color w:val="000000"/>
        </w:rPr>
        <w:t xml:space="preserve"> and</w:t>
      </w:r>
      <w:r w:rsidR="00A31958" w:rsidRPr="00EF6689">
        <w:rPr>
          <w:rFonts w:ascii="Verdana" w:eastAsia="Verdana" w:hAnsi="Verdana" w:cs="Verdana"/>
          <w:color w:val="000000"/>
        </w:rPr>
        <w:t xml:space="preserve"> </w:t>
      </w:r>
      <w:r w:rsidR="00E82BE7" w:rsidRPr="00EF6689">
        <w:rPr>
          <w:rFonts w:ascii="Verdana" w:eastAsia="Verdana" w:hAnsi="Verdana" w:cs="Verdana"/>
          <w:color w:val="000000"/>
        </w:rPr>
        <w:t xml:space="preserve">for </w:t>
      </w:r>
      <w:r w:rsidR="00681610" w:rsidRPr="00EF6689">
        <w:rPr>
          <w:rFonts w:ascii="Verdana" w:eastAsia="Verdana" w:hAnsi="Verdana" w:cs="Verdana"/>
          <w:color w:val="000000"/>
        </w:rPr>
        <w:t xml:space="preserve">adequate </w:t>
      </w:r>
      <w:r w:rsidR="00E82BE7" w:rsidRPr="00EF6689">
        <w:rPr>
          <w:rFonts w:ascii="Verdana" w:eastAsia="Verdana" w:hAnsi="Verdana" w:cs="Verdana"/>
          <w:color w:val="000000"/>
        </w:rPr>
        <w:t xml:space="preserve">training to ensure those who are responsible for the Strategy </w:t>
      </w:r>
      <w:r w:rsidR="004825C3" w:rsidRPr="00EF6689">
        <w:rPr>
          <w:rFonts w:ascii="Verdana" w:eastAsia="Verdana" w:hAnsi="Verdana" w:cs="Verdana"/>
          <w:color w:val="000000"/>
        </w:rPr>
        <w:t>have a relevant understand</w:t>
      </w:r>
      <w:r w:rsidR="004E3E49" w:rsidRPr="00EF6689">
        <w:rPr>
          <w:rFonts w:ascii="Verdana" w:eastAsia="Verdana" w:hAnsi="Verdana" w:cs="Verdana"/>
          <w:color w:val="000000"/>
        </w:rPr>
        <w:t>ing</w:t>
      </w:r>
      <w:r w:rsidR="004825C3" w:rsidRPr="00EF6689">
        <w:rPr>
          <w:rFonts w:ascii="Verdana" w:eastAsia="Verdana" w:hAnsi="Verdana" w:cs="Verdana"/>
          <w:color w:val="000000"/>
        </w:rPr>
        <w:t xml:space="preserve"> </w:t>
      </w:r>
      <w:r w:rsidR="004E3E49" w:rsidRPr="00EF6689">
        <w:rPr>
          <w:rFonts w:ascii="Verdana" w:eastAsia="Verdana" w:hAnsi="Verdana" w:cs="Verdana"/>
          <w:color w:val="000000"/>
        </w:rPr>
        <w:t xml:space="preserve">of </w:t>
      </w:r>
      <w:r w:rsidR="004825C3" w:rsidRPr="00EF6689">
        <w:rPr>
          <w:rFonts w:ascii="Verdana" w:eastAsia="Verdana" w:hAnsi="Verdana" w:cs="Verdana"/>
          <w:color w:val="000000"/>
        </w:rPr>
        <w:t>human rights application and practice</w:t>
      </w:r>
      <w:r w:rsidR="00681610" w:rsidRPr="00EF6689">
        <w:rPr>
          <w:rFonts w:ascii="Verdana" w:eastAsia="Verdana" w:hAnsi="Verdana" w:cs="Verdana"/>
          <w:color w:val="000000"/>
        </w:rPr>
        <w:t>.</w:t>
      </w:r>
      <w:r w:rsidR="00486F23" w:rsidRPr="00EF6689">
        <w:rPr>
          <w:rFonts w:ascii="Verdana" w:eastAsia="Verdana" w:hAnsi="Verdana" w:cs="Verdana"/>
          <w:color w:val="000000"/>
        </w:rPr>
        <w:t xml:space="preserve"> </w:t>
      </w:r>
      <w:r w:rsidR="005F6269" w:rsidRPr="00EF6689">
        <w:rPr>
          <w:rFonts w:ascii="Verdana" w:eastAsia="Verdana" w:hAnsi="Verdana" w:cs="Verdana"/>
          <w:color w:val="000000"/>
        </w:rPr>
        <w:t>The NIHRC</w:t>
      </w:r>
      <w:r w:rsidR="0056724A" w:rsidRPr="00EF6689">
        <w:rPr>
          <w:rFonts w:ascii="Verdana" w:eastAsia="Verdana" w:hAnsi="Verdana" w:cs="Verdana"/>
          <w:color w:val="000000"/>
        </w:rPr>
        <w:t xml:space="preserve"> note</w:t>
      </w:r>
      <w:r w:rsidR="00486F23" w:rsidRPr="00EF6689">
        <w:rPr>
          <w:rFonts w:ascii="Verdana" w:eastAsia="Verdana" w:hAnsi="Verdana" w:cs="Verdana"/>
          <w:color w:val="000000"/>
        </w:rPr>
        <w:t>d</w:t>
      </w:r>
      <w:r w:rsidR="0056724A" w:rsidRPr="00EF6689">
        <w:rPr>
          <w:rFonts w:ascii="Verdana" w:eastAsia="Verdana" w:hAnsi="Verdana" w:cs="Verdana"/>
          <w:color w:val="000000"/>
        </w:rPr>
        <w:t xml:space="preserve"> the</w:t>
      </w:r>
      <w:r w:rsidR="00F10156" w:rsidRPr="00EF6689">
        <w:rPr>
          <w:rFonts w:ascii="Verdana" w:eastAsia="Verdana" w:hAnsi="Verdana" w:cs="Verdana"/>
          <w:color w:val="000000"/>
        </w:rPr>
        <w:t xml:space="preserve"> lack of clarity in the current iteration of the draft Strategy</w:t>
      </w:r>
      <w:r w:rsidR="0056724A" w:rsidRPr="00EF6689">
        <w:rPr>
          <w:rFonts w:ascii="Verdana" w:eastAsia="Verdana" w:hAnsi="Verdana" w:cs="Verdana"/>
          <w:color w:val="000000"/>
        </w:rPr>
        <w:t xml:space="preserve"> </w:t>
      </w:r>
      <w:r w:rsidR="00B74551" w:rsidRPr="00EF6689">
        <w:rPr>
          <w:rFonts w:ascii="Verdana" w:eastAsia="Verdana" w:hAnsi="Verdana" w:cs="Verdana"/>
          <w:color w:val="000000"/>
        </w:rPr>
        <w:t>in terms of</w:t>
      </w:r>
      <w:r w:rsidR="00B037D0" w:rsidRPr="00EF6689">
        <w:rPr>
          <w:rFonts w:ascii="Verdana" w:eastAsia="Verdana" w:hAnsi="Verdana" w:cs="Verdana"/>
          <w:color w:val="000000"/>
        </w:rPr>
        <w:t xml:space="preserve"> language, particularly </w:t>
      </w:r>
      <w:r w:rsidR="001F3A35" w:rsidRPr="00EF6689">
        <w:rPr>
          <w:rFonts w:ascii="Verdana" w:eastAsia="Verdana" w:hAnsi="Verdana" w:cs="Verdana"/>
          <w:color w:val="000000"/>
        </w:rPr>
        <w:t xml:space="preserve">in relation to </w:t>
      </w:r>
      <w:r w:rsidR="00E91AB2" w:rsidRPr="00EF6689">
        <w:rPr>
          <w:rFonts w:ascii="Verdana" w:eastAsia="Verdana" w:hAnsi="Verdana" w:cs="Verdana"/>
          <w:color w:val="000000"/>
        </w:rPr>
        <w:t>distinctions</w:t>
      </w:r>
      <w:r w:rsidR="00255652" w:rsidRPr="00EF6689">
        <w:rPr>
          <w:rFonts w:ascii="Verdana" w:eastAsia="Verdana" w:hAnsi="Verdana" w:cs="Verdana"/>
          <w:color w:val="000000"/>
        </w:rPr>
        <w:t xml:space="preserve"> between </w:t>
      </w:r>
      <w:r w:rsidR="00C3539B" w:rsidRPr="00EF6689">
        <w:rPr>
          <w:rFonts w:ascii="Verdana" w:eastAsia="Verdana" w:hAnsi="Verdana" w:cs="Verdana"/>
          <w:color w:val="000000"/>
        </w:rPr>
        <w:t>asylum seekers and refugees</w:t>
      </w:r>
      <w:r w:rsidR="00EC24FF" w:rsidRPr="5487FFD0">
        <w:rPr>
          <w:rFonts w:ascii="Verdana" w:eastAsia="Verdana" w:hAnsi="Verdana" w:cs="Verdana"/>
          <w:color w:val="000000" w:themeColor="text1"/>
        </w:rPr>
        <w:t>,</w:t>
      </w:r>
      <w:r w:rsidR="00475D83" w:rsidRPr="00EF6689">
        <w:rPr>
          <w:rFonts w:ascii="Verdana" w:eastAsia="Verdana" w:hAnsi="Verdana" w:cs="Verdana"/>
          <w:color w:val="000000"/>
        </w:rPr>
        <w:t xml:space="preserve"> and the subsequent legal frameworks that apply to each group.</w:t>
      </w:r>
      <w:r w:rsidR="00724717" w:rsidRPr="00EF6689">
        <w:rPr>
          <w:rFonts w:ascii="Verdana" w:eastAsia="Verdana" w:hAnsi="Verdana" w:cs="Verdana"/>
          <w:color w:val="000000"/>
        </w:rPr>
        <w:t xml:space="preserve"> The NIHRC </w:t>
      </w:r>
      <w:r w:rsidR="00F648B6" w:rsidRPr="00EF6689">
        <w:rPr>
          <w:rFonts w:ascii="Verdana" w:eastAsia="Verdana" w:hAnsi="Verdana" w:cs="Verdana"/>
          <w:color w:val="000000"/>
        </w:rPr>
        <w:t>further querie</w:t>
      </w:r>
      <w:r w:rsidR="00BA7DFD" w:rsidRPr="00EF6689">
        <w:rPr>
          <w:rFonts w:ascii="Verdana" w:eastAsia="Verdana" w:hAnsi="Verdana" w:cs="Verdana"/>
          <w:color w:val="000000"/>
        </w:rPr>
        <w:t>d</w:t>
      </w:r>
      <w:r w:rsidR="00F648B6" w:rsidRPr="00EF6689">
        <w:rPr>
          <w:rFonts w:ascii="Verdana" w:eastAsia="Verdana" w:hAnsi="Verdana" w:cs="Verdana"/>
          <w:color w:val="000000"/>
        </w:rPr>
        <w:t xml:space="preserve"> the appropriateness</w:t>
      </w:r>
      <w:r w:rsidR="00E17DA7" w:rsidRPr="00EF6689">
        <w:rPr>
          <w:rFonts w:ascii="Verdana" w:eastAsia="Verdana" w:hAnsi="Verdana" w:cs="Verdana"/>
          <w:color w:val="000000"/>
        </w:rPr>
        <w:t xml:space="preserve"> and</w:t>
      </w:r>
      <w:r w:rsidR="00F648B6" w:rsidRPr="00EF6689">
        <w:rPr>
          <w:rFonts w:ascii="Verdana" w:eastAsia="Verdana" w:hAnsi="Verdana" w:cs="Verdana"/>
          <w:color w:val="000000"/>
        </w:rPr>
        <w:t xml:space="preserve"> accuracy of </w:t>
      </w:r>
      <w:r w:rsidR="0047637B" w:rsidRPr="00EF6689">
        <w:rPr>
          <w:rFonts w:ascii="Verdana" w:eastAsia="Verdana" w:hAnsi="Verdana" w:cs="Verdana"/>
          <w:color w:val="000000"/>
        </w:rPr>
        <w:t xml:space="preserve">the </w:t>
      </w:r>
      <w:r w:rsidR="00F648B6" w:rsidRPr="00EF6689">
        <w:rPr>
          <w:rFonts w:ascii="Verdana" w:eastAsia="Verdana" w:hAnsi="Verdana" w:cs="Verdana"/>
          <w:color w:val="000000"/>
        </w:rPr>
        <w:t xml:space="preserve">language used in the </w:t>
      </w:r>
      <w:r w:rsidR="0047637B" w:rsidRPr="00EF6689">
        <w:rPr>
          <w:rFonts w:ascii="Verdana" w:eastAsia="Verdana" w:hAnsi="Verdana" w:cs="Verdana"/>
          <w:color w:val="000000"/>
        </w:rPr>
        <w:t xml:space="preserve">Strategy, particularly </w:t>
      </w:r>
      <w:r w:rsidR="00E17DA7" w:rsidRPr="00EF6689">
        <w:rPr>
          <w:rFonts w:ascii="Verdana" w:eastAsia="Verdana" w:hAnsi="Verdana" w:cs="Verdana"/>
          <w:color w:val="000000"/>
        </w:rPr>
        <w:t>when referring to vulnerable or marginalised groups</w:t>
      </w:r>
      <w:r w:rsidR="0047637B" w:rsidRPr="00EF6689">
        <w:rPr>
          <w:rFonts w:ascii="Verdana" w:eastAsia="Verdana" w:hAnsi="Verdana" w:cs="Verdana"/>
          <w:color w:val="000000"/>
        </w:rPr>
        <w:t xml:space="preserve">. </w:t>
      </w:r>
      <w:r w:rsidR="00BA7DFD" w:rsidRPr="00EF6689">
        <w:rPr>
          <w:rFonts w:ascii="Verdana" w:eastAsia="Verdana" w:hAnsi="Verdana" w:cs="Verdana"/>
          <w:color w:val="000000"/>
        </w:rPr>
        <w:t>The NIHRC</w:t>
      </w:r>
      <w:r w:rsidR="001C19BE" w:rsidRPr="00EF6689">
        <w:rPr>
          <w:rFonts w:ascii="Verdana" w:eastAsia="Verdana" w:hAnsi="Verdana" w:cs="Verdana"/>
          <w:color w:val="000000"/>
        </w:rPr>
        <w:t xml:space="preserve"> also</w:t>
      </w:r>
      <w:r w:rsidR="00BA7DFD" w:rsidRPr="00EF6689">
        <w:rPr>
          <w:rFonts w:ascii="Verdana" w:eastAsia="Verdana" w:hAnsi="Verdana" w:cs="Verdana"/>
          <w:color w:val="000000"/>
        </w:rPr>
        <w:t xml:space="preserve"> recommended</w:t>
      </w:r>
      <w:r w:rsidR="00D04022" w:rsidRPr="00EF6689">
        <w:rPr>
          <w:rFonts w:ascii="Verdana" w:eastAsia="Verdana" w:hAnsi="Verdana" w:cs="Verdana"/>
          <w:color w:val="000000"/>
        </w:rPr>
        <w:t xml:space="preserve"> </w:t>
      </w:r>
      <w:r w:rsidR="00836ADE" w:rsidRPr="00EF6689">
        <w:rPr>
          <w:rFonts w:ascii="Verdana" w:eastAsia="Verdana" w:hAnsi="Verdana" w:cs="Verdana"/>
          <w:color w:val="000000"/>
        </w:rPr>
        <w:t xml:space="preserve">that </w:t>
      </w:r>
      <w:r w:rsidR="00D04022" w:rsidRPr="00EF6689">
        <w:rPr>
          <w:rFonts w:ascii="Verdana" w:eastAsia="Verdana" w:hAnsi="Verdana" w:cs="Verdana"/>
          <w:color w:val="000000"/>
        </w:rPr>
        <w:t xml:space="preserve">greater </w:t>
      </w:r>
      <w:r w:rsidR="00836ADE" w:rsidRPr="00EF6689">
        <w:rPr>
          <w:rFonts w:ascii="Verdana" w:eastAsia="Verdana" w:hAnsi="Verdana" w:cs="Verdana"/>
          <w:color w:val="000000"/>
        </w:rPr>
        <w:t>consideration should be given to outcomes focused on destitution and</w:t>
      </w:r>
      <w:r w:rsidR="00BA7DFD" w:rsidRPr="00EF6689">
        <w:rPr>
          <w:rFonts w:ascii="Verdana" w:eastAsia="Verdana" w:hAnsi="Verdana" w:cs="Verdana"/>
          <w:color w:val="000000"/>
        </w:rPr>
        <w:t xml:space="preserve"> </w:t>
      </w:r>
      <w:r w:rsidR="00B6145E" w:rsidRPr="00EF6689">
        <w:rPr>
          <w:rFonts w:ascii="Verdana" w:eastAsia="Verdana" w:hAnsi="Verdana" w:cs="Verdana"/>
          <w:color w:val="000000"/>
        </w:rPr>
        <w:t xml:space="preserve">that any further strategy design and </w:t>
      </w:r>
      <w:r w:rsidR="001C19BE" w:rsidRPr="00EF6689">
        <w:rPr>
          <w:rFonts w:ascii="Verdana" w:eastAsia="Verdana" w:hAnsi="Verdana" w:cs="Verdana"/>
          <w:color w:val="000000"/>
        </w:rPr>
        <w:t xml:space="preserve">adoption </w:t>
      </w:r>
      <w:r w:rsidR="00953BD9" w:rsidRPr="00EF6689">
        <w:rPr>
          <w:rFonts w:ascii="Verdana" w:eastAsia="Verdana" w:hAnsi="Verdana" w:cs="Verdana"/>
          <w:color w:val="000000"/>
        </w:rPr>
        <w:t>stages</w:t>
      </w:r>
      <w:r w:rsidR="001C19BE" w:rsidRPr="00EF6689">
        <w:rPr>
          <w:rFonts w:ascii="Verdana" w:eastAsia="Verdana" w:hAnsi="Verdana" w:cs="Verdana"/>
          <w:color w:val="000000"/>
        </w:rPr>
        <w:t xml:space="preserve"> should ensure effective participation</w:t>
      </w:r>
      <w:r w:rsidR="00953BD9" w:rsidRPr="00EF6689">
        <w:rPr>
          <w:rFonts w:ascii="Verdana" w:eastAsia="Verdana" w:hAnsi="Verdana" w:cs="Verdana"/>
          <w:color w:val="000000"/>
        </w:rPr>
        <w:t>.</w:t>
      </w:r>
    </w:p>
    <w:p w14:paraId="34381ED1" w14:textId="77777777" w:rsidR="00EF6689" w:rsidRPr="00EF6689" w:rsidRDefault="00EF6689" w:rsidP="00EF6689">
      <w:pPr>
        <w:pStyle w:val="ListParagraph"/>
        <w:rPr>
          <w:rFonts w:ascii="Verdana" w:eastAsia="Verdana" w:hAnsi="Verdana" w:cs="Verdana"/>
          <w:color w:val="000000"/>
        </w:rPr>
      </w:pPr>
    </w:p>
    <w:p w14:paraId="43030CC5" w14:textId="77777777" w:rsidR="00EF6689" w:rsidRDefault="00670683"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 xml:space="preserve">As of </w:t>
      </w:r>
      <w:r w:rsidR="009C5D25" w:rsidRPr="00EF6689">
        <w:rPr>
          <w:rFonts w:ascii="Verdana" w:eastAsia="Verdana" w:hAnsi="Verdana" w:cs="Verdana"/>
          <w:color w:val="000000"/>
        </w:rPr>
        <w:t>October</w:t>
      </w:r>
      <w:r w:rsidRPr="00EF6689">
        <w:rPr>
          <w:rFonts w:ascii="Verdana" w:eastAsia="Verdana" w:hAnsi="Verdana" w:cs="Verdana"/>
          <w:color w:val="000000"/>
        </w:rPr>
        <w:t xml:space="preserve"> 202</w:t>
      </w:r>
      <w:r w:rsidR="009C5D25" w:rsidRPr="00EF6689">
        <w:rPr>
          <w:rFonts w:ascii="Verdana" w:eastAsia="Verdana" w:hAnsi="Verdana" w:cs="Verdana"/>
          <w:color w:val="000000"/>
        </w:rPr>
        <w:t>1</w:t>
      </w:r>
      <w:r w:rsidRPr="00EF6689">
        <w:rPr>
          <w:rFonts w:ascii="Verdana" w:eastAsia="Verdana" w:hAnsi="Verdana" w:cs="Verdana"/>
          <w:color w:val="000000"/>
        </w:rPr>
        <w:t>, NI has received approximately 1,815 Syrian refugees under the UK Government’s Vulnerable Person Relocation Scheme.</w:t>
      </w:r>
      <w:r w:rsidR="000444E8">
        <w:rPr>
          <w:rStyle w:val="FootnoteReference"/>
          <w:rFonts w:ascii="Verdana" w:eastAsia="Verdana" w:hAnsi="Verdana" w:cs="Verdana"/>
          <w:color w:val="000000"/>
        </w:rPr>
        <w:footnoteReference w:id="208"/>
      </w:r>
      <w:r w:rsidRPr="00EF6689">
        <w:rPr>
          <w:rFonts w:ascii="Verdana" w:eastAsia="Verdana" w:hAnsi="Verdana" w:cs="Verdana"/>
          <w:color w:val="000000"/>
        </w:rPr>
        <w:t xml:space="preserve">  Under this scheme, the Home Office determines suitability for resettlement and refers such cases onto the devolved administrations, for consideration, with the first 12 months of a refugee’s resettlement costs fully funded by central government using the overseas aid budget.</w:t>
      </w:r>
    </w:p>
    <w:p w14:paraId="670DC2F9" w14:textId="77777777" w:rsidR="00EF6689" w:rsidRPr="00EF6689" w:rsidRDefault="00EF6689" w:rsidP="00EF6689">
      <w:pPr>
        <w:pStyle w:val="ListParagraph"/>
        <w:rPr>
          <w:rFonts w:ascii="Verdana" w:eastAsia="Verdana" w:hAnsi="Verdana" w:cs="Verdana"/>
          <w:color w:val="000000"/>
        </w:rPr>
      </w:pPr>
    </w:p>
    <w:p w14:paraId="523544B0" w14:textId="77777777" w:rsidR="00EF6689" w:rsidRDefault="006B2D0B"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In April 2020, the Global Resettlement Scheme was established by the UK Government</w:t>
      </w:r>
      <w:r w:rsidR="00945EB3" w:rsidRPr="00EF6689">
        <w:rPr>
          <w:rFonts w:ascii="Verdana" w:eastAsia="Verdana" w:hAnsi="Verdana" w:cs="Verdana"/>
          <w:color w:val="000000"/>
        </w:rPr>
        <w:t xml:space="preserve"> to</w:t>
      </w:r>
      <w:r w:rsidRPr="00EF6689">
        <w:rPr>
          <w:rFonts w:ascii="Verdana" w:eastAsia="Verdana" w:hAnsi="Verdana" w:cs="Verdana"/>
          <w:color w:val="000000"/>
        </w:rPr>
        <w:t xml:space="preserve"> consolidate the Vulnerable Persons’ Resettlement Scheme, the Vulnerable Children’s Resettlement Scheme, and the gateway protection programme</w:t>
      </w:r>
      <w:r w:rsidR="00945EB3" w:rsidRPr="00EF6689">
        <w:rPr>
          <w:rFonts w:ascii="Verdana" w:eastAsia="Verdana" w:hAnsi="Verdana" w:cs="Verdana"/>
          <w:color w:val="000000"/>
        </w:rPr>
        <w:t>.</w:t>
      </w:r>
      <w:r w:rsidRPr="00EF6689">
        <w:rPr>
          <w:rFonts w:ascii="Verdana" w:eastAsia="Verdana" w:hAnsi="Verdana" w:cs="Verdana"/>
          <w:color w:val="000000"/>
        </w:rPr>
        <w:t xml:space="preserve"> It aims to be simpler to operate</w:t>
      </w:r>
      <w:r w:rsidR="00945EB3" w:rsidRPr="00EF6689">
        <w:rPr>
          <w:rFonts w:ascii="Verdana" w:eastAsia="Verdana" w:hAnsi="Verdana" w:cs="Verdana"/>
          <w:color w:val="000000"/>
        </w:rPr>
        <w:t>,</w:t>
      </w:r>
      <w:r w:rsidRPr="00EF6689">
        <w:rPr>
          <w:rFonts w:ascii="Verdana" w:eastAsia="Verdana" w:hAnsi="Verdana" w:cs="Verdana"/>
          <w:color w:val="000000"/>
        </w:rPr>
        <w:t xml:space="preserve"> </w:t>
      </w:r>
      <w:r w:rsidR="00312321" w:rsidRPr="00EF6689">
        <w:rPr>
          <w:rFonts w:ascii="Verdana" w:eastAsia="Verdana" w:hAnsi="Verdana" w:cs="Verdana"/>
          <w:color w:val="000000"/>
        </w:rPr>
        <w:t xml:space="preserve">offer </w:t>
      </w:r>
      <w:r w:rsidRPr="00EF6689">
        <w:rPr>
          <w:rFonts w:ascii="Verdana" w:eastAsia="Verdana" w:hAnsi="Verdana" w:cs="Verdana"/>
          <w:color w:val="000000"/>
        </w:rPr>
        <w:t xml:space="preserve">greater consistency </w:t>
      </w:r>
      <w:r w:rsidR="00945EB3" w:rsidRPr="00EF6689">
        <w:rPr>
          <w:rFonts w:ascii="Verdana" w:eastAsia="Verdana" w:hAnsi="Verdana" w:cs="Verdana"/>
          <w:color w:val="000000"/>
        </w:rPr>
        <w:t xml:space="preserve">and </w:t>
      </w:r>
      <w:r w:rsidRPr="00EF6689">
        <w:rPr>
          <w:rFonts w:ascii="Verdana" w:eastAsia="Verdana" w:hAnsi="Verdana" w:cs="Verdana"/>
          <w:color w:val="000000"/>
        </w:rPr>
        <w:t xml:space="preserve">includes emergency resettlement </w:t>
      </w:r>
      <w:r w:rsidR="00945EB3" w:rsidRPr="00EF6689">
        <w:rPr>
          <w:rFonts w:ascii="Verdana" w:eastAsia="Verdana" w:hAnsi="Verdana" w:cs="Verdana"/>
          <w:color w:val="000000"/>
        </w:rPr>
        <w:t xml:space="preserve">to allow </w:t>
      </w:r>
      <w:r w:rsidRPr="00EF6689">
        <w:rPr>
          <w:rFonts w:ascii="Verdana" w:eastAsia="Verdana" w:hAnsi="Verdana" w:cs="Verdana"/>
          <w:color w:val="000000"/>
        </w:rPr>
        <w:t>the UK to respond quickly</w:t>
      </w:r>
      <w:r w:rsidR="004B1CD7" w:rsidRPr="00EF6689">
        <w:rPr>
          <w:rFonts w:ascii="Verdana" w:eastAsia="Verdana" w:hAnsi="Verdana" w:cs="Verdana"/>
          <w:color w:val="000000"/>
        </w:rPr>
        <w:t>,</w:t>
      </w:r>
      <w:r w:rsidRPr="00EF6689">
        <w:rPr>
          <w:rFonts w:ascii="Verdana" w:eastAsia="Verdana" w:hAnsi="Verdana" w:cs="Verdana"/>
          <w:color w:val="000000"/>
        </w:rPr>
        <w:t xml:space="preserve"> </w:t>
      </w:r>
      <w:r w:rsidR="00C91133" w:rsidRPr="00EF6689">
        <w:rPr>
          <w:rFonts w:ascii="Verdana" w:eastAsia="Verdana" w:hAnsi="Verdana" w:cs="Verdana"/>
          <w:color w:val="000000"/>
        </w:rPr>
        <w:t>providing</w:t>
      </w:r>
      <w:r w:rsidRPr="00EF6689">
        <w:rPr>
          <w:rFonts w:ascii="Verdana" w:eastAsia="Verdana" w:hAnsi="Verdana" w:cs="Verdana"/>
          <w:color w:val="000000"/>
        </w:rPr>
        <w:t xml:space="preserve"> </w:t>
      </w:r>
      <w:r w:rsidR="00662FCD" w:rsidRPr="00EF6689">
        <w:rPr>
          <w:rFonts w:ascii="Verdana" w:eastAsia="Verdana" w:hAnsi="Verdana" w:cs="Verdana"/>
          <w:color w:val="000000"/>
        </w:rPr>
        <w:t>a</w:t>
      </w:r>
      <w:r w:rsidRPr="00EF6689">
        <w:rPr>
          <w:rFonts w:ascii="Verdana" w:eastAsia="Verdana" w:hAnsi="Verdana" w:cs="Verdana"/>
          <w:color w:val="000000"/>
        </w:rPr>
        <w:t xml:space="preserve"> faster route to resettlement</w:t>
      </w:r>
      <w:r w:rsidR="00945EB3" w:rsidRPr="00EF6689">
        <w:rPr>
          <w:rFonts w:ascii="Verdana" w:eastAsia="Verdana" w:hAnsi="Verdana" w:cs="Verdana"/>
          <w:color w:val="000000"/>
        </w:rPr>
        <w:t>.</w:t>
      </w:r>
      <w:r w:rsidRPr="00EF6689">
        <w:rPr>
          <w:rFonts w:ascii="Verdana" w:eastAsia="Verdana" w:hAnsi="Verdana" w:cs="Verdana"/>
          <w:color w:val="000000"/>
        </w:rPr>
        <w:t xml:space="preserve"> The new scheme will be based on need and involve</w:t>
      </w:r>
      <w:r w:rsidR="00945EB3" w:rsidRPr="00EF6689">
        <w:rPr>
          <w:rFonts w:ascii="Verdana" w:eastAsia="Verdana" w:hAnsi="Verdana" w:cs="Verdana"/>
          <w:color w:val="000000"/>
        </w:rPr>
        <w:t>s</w:t>
      </w:r>
      <w:r w:rsidRPr="00EF6689">
        <w:rPr>
          <w:rFonts w:ascii="Verdana" w:eastAsia="Verdana" w:hAnsi="Verdana" w:cs="Verdana"/>
          <w:color w:val="000000"/>
        </w:rPr>
        <w:t xml:space="preserve"> </w:t>
      </w:r>
      <w:r w:rsidR="00945EB3" w:rsidRPr="00EF6689">
        <w:rPr>
          <w:rFonts w:ascii="Verdana" w:eastAsia="Verdana" w:hAnsi="Verdana" w:cs="Verdana"/>
          <w:color w:val="000000"/>
        </w:rPr>
        <w:t>liaison</w:t>
      </w:r>
      <w:r w:rsidRPr="00EF6689">
        <w:rPr>
          <w:rFonts w:ascii="Verdana" w:eastAsia="Verdana" w:hAnsi="Verdana" w:cs="Verdana"/>
          <w:color w:val="000000"/>
        </w:rPr>
        <w:t xml:space="preserve"> with the UN High Commissioner for Refugees to identify the most vulnerable refugees from around the world</w:t>
      </w:r>
      <w:r w:rsidR="00491FFD" w:rsidRPr="00EF6689">
        <w:rPr>
          <w:rFonts w:ascii="Verdana" w:eastAsia="Verdana" w:hAnsi="Verdana" w:cs="Verdana"/>
          <w:color w:val="000000"/>
        </w:rPr>
        <w:t>.</w:t>
      </w:r>
      <w:r w:rsidRPr="00D62DEB">
        <w:rPr>
          <w:rStyle w:val="FootnoteReference"/>
          <w:rFonts w:ascii="Verdana" w:eastAsia="Verdana" w:hAnsi="Verdana" w:cs="Verdana"/>
          <w:color w:val="000000"/>
        </w:rPr>
        <w:footnoteReference w:id="209"/>
      </w:r>
    </w:p>
    <w:p w14:paraId="609904A1" w14:textId="77777777" w:rsidR="00EF6689" w:rsidRPr="00EF6689" w:rsidRDefault="00EF6689" w:rsidP="00EF6689">
      <w:pPr>
        <w:pStyle w:val="ListParagraph"/>
        <w:rPr>
          <w:rFonts w:ascii="Verdana" w:hAnsi="Verdana" w:cs="YIUEB V+ Gotham"/>
          <w:color w:val="000000"/>
        </w:rPr>
      </w:pPr>
    </w:p>
    <w:p w14:paraId="0F896D5D" w14:textId="77777777" w:rsidR="00EF6689" w:rsidRPr="00EF6689" w:rsidRDefault="00CF4F68"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 xml:space="preserve">The </w:t>
      </w:r>
      <w:r w:rsidR="0021449D" w:rsidRPr="00EF6689">
        <w:rPr>
          <w:rFonts w:ascii="Verdana" w:hAnsi="Verdana" w:cs="YIUEB V+ Gotham"/>
          <w:color w:val="000000"/>
        </w:rPr>
        <w:t xml:space="preserve">Secretary of State </w:t>
      </w:r>
      <w:r w:rsidRPr="00EF6689">
        <w:rPr>
          <w:rFonts w:ascii="Verdana" w:hAnsi="Verdana" w:cs="YIUEB V+ Gotham"/>
          <w:color w:val="000000"/>
        </w:rPr>
        <w:t>is required</w:t>
      </w:r>
      <w:r w:rsidR="0021449D" w:rsidRPr="00EF6689">
        <w:rPr>
          <w:rFonts w:ascii="Verdana" w:hAnsi="Verdana" w:cs="YIUEB V+ Gotham"/>
          <w:color w:val="000000"/>
        </w:rPr>
        <w:t xml:space="preserve"> to “make arrangements to relocate to the UK and support a specific number of unaccompanied refugee children from other countries in Europe” in addition to the resettlement of children under the then Vulnerable Persons Relocation Scheme.</w:t>
      </w:r>
      <w:r>
        <w:rPr>
          <w:rStyle w:val="FootnoteReference"/>
          <w:rFonts w:ascii="Verdana" w:hAnsi="Verdana" w:cs="YIUEB V+ Gotham"/>
          <w:color w:val="000000"/>
        </w:rPr>
        <w:footnoteReference w:id="210"/>
      </w:r>
      <w:r w:rsidR="0021449D" w:rsidRPr="00EF6689">
        <w:rPr>
          <w:rFonts w:ascii="Verdana" w:hAnsi="Verdana" w:cs="YIUEB V+ Gotham"/>
          <w:color w:val="000000"/>
        </w:rPr>
        <w:t xml:space="preserve"> </w:t>
      </w:r>
      <w:r w:rsidRPr="00EF6689">
        <w:rPr>
          <w:rFonts w:ascii="Verdana" w:hAnsi="Verdana" w:cs="YIUEB V+ Gotham"/>
          <w:color w:val="000000"/>
        </w:rPr>
        <w:t xml:space="preserve">The </w:t>
      </w:r>
      <w:r w:rsidR="0021449D" w:rsidRPr="00EF6689">
        <w:rPr>
          <w:rFonts w:ascii="Verdana" w:hAnsi="Verdana" w:cs="YIUEB V+ Gotham"/>
          <w:color w:val="000000"/>
        </w:rPr>
        <w:t xml:space="preserve">number of children to be transferred under section 67 </w:t>
      </w:r>
      <w:r w:rsidRPr="00EF6689">
        <w:rPr>
          <w:rFonts w:ascii="Verdana" w:hAnsi="Verdana" w:cs="YIUEB V+ Gotham"/>
          <w:color w:val="000000"/>
        </w:rPr>
        <w:t>is</w:t>
      </w:r>
      <w:r w:rsidR="0021449D" w:rsidRPr="00EF6689">
        <w:rPr>
          <w:rFonts w:ascii="Verdana" w:hAnsi="Verdana" w:cs="YIUEB V+ Gotham"/>
          <w:color w:val="000000"/>
        </w:rPr>
        <w:t xml:space="preserve"> 480</w:t>
      </w:r>
      <w:r w:rsidRPr="00EF6689">
        <w:rPr>
          <w:rFonts w:ascii="Verdana" w:hAnsi="Verdana" w:cs="YIUEB V+ Gotham"/>
          <w:color w:val="000000"/>
        </w:rPr>
        <w:t>, none of which have been resettled in NI</w:t>
      </w:r>
      <w:r w:rsidR="0021449D" w:rsidRPr="00EF6689">
        <w:rPr>
          <w:rFonts w:ascii="Verdana" w:hAnsi="Verdana" w:cs="YIUEB V+ Gotham"/>
          <w:color w:val="000000"/>
        </w:rPr>
        <w:t>.</w:t>
      </w:r>
      <w:r w:rsidR="0021449D" w:rsidRPr="00D62DEB">
        <w:rPr>
          <w:rStyle w:val="FootnoteReference"/>
          <w:rFonts w:ascii="Verdana" w:hAnsi="Verdana" w:cs="YIUEB V+ Gotham"/>
          <w:color w:val="000000"/>
        </w:rPr>
        <w:footnoteReference w:id="211"/>
      </w:r>
      <w:r w:rsidR="0021449D" w:rsidRPr="00EF6689">
        <w:rPr>
          <w:rFonts w:ascii="Verdana" w:hAnsi="Verdana" w:cs="YIUEB V+ Gotham"/>
          <w:color w:val="000000"/>
        </w:rPr>
        <w:t xml:space="preserve"> </w:t>
      </w:r>
    </w:p>
    <w:p w14:paraId="26354302" w14:textId="77777777" w:rsidR="00EF6689" w:rsidRPr="00EF6689" w:rsidRDefault="00EF6689" w:rsidP="00EF6689">
      <w:pPr>
        <w:pStyle w:val="ListParagraph"/>
        <w:rPr>
          <w:rFonts w:ascii="Verdana" w:eastAsia="Verdana" w:hAnsi="Verdana" w:cs="Verdana"/>
          <w:color w:val="000000"/>
        </w:rPr>
      </w:pPr>
    </w:p>
    <w:p w14:paraId="0EEB80CC" w14:textId="77777777" w:rsidR="00EF6689" w:rsidRDefault="00707E54"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In October 2020, the NIHRC wrote to the Executive Office in support of NI’s continued and long-term involvement in refugee resettlement.</w:t>
      </w:r>
      <w:r w:rsidRPr="00D62DEB">
        <w:rPr>
          <w:rStyle w:val="FootnoteReference"/>
          <w:rFonts w:ascii="Verdana" w:eastAsia="Verdana" w:hAnsi="Verdana" w:cs="Verdana"/>
          <w:color w:val="000000"/>
        </w:rPr>
        <w:footnoteReference w:id="212"/>
      </w:r>
      <w:r w:rsidRPr="00EF6689">
        <w:rPr>
          <w:rFonts w:ascii="Verdana" w:eastAsia="Verdana" w:hAnsi="Verdana" w:cs="Verdana"/>
          <w:color w:val="000000"/>
        </w:rPr>
        <w:t xml:space="preserve"> </w:t>
      </w:r>
      <w:r w:rsidR="00682C5C" w:rsidRPr="00EF6689">
        <w:rPr>
          <w:rFonts w:ascii="Verdana" w:eastAsia="Verdana" w:hAnsi="Verdana" w:cs="Verdana"/>
          <w:color w:val="000000"/>
        </w:rPr>
        <w:t>The UK Government committed to receiving up to 5000 refugees in 2020/2021 under the Global Resettlement Scheme.</w:t>
      </w:r>
      <w:r w:rsidR="00682C5C" w:rsidRPr="00D62DEB">
        <w:rPr>
          <w:rStyle w:val="FootnoteReference"/>
          <w:rFonts w:ascii="Verdana" w:eastAsia="Verdana" w:hAnsi="Verdana" w:cs="Verdana"/>
          <w:color w:val="000000"/>
        </w:rPr>
        <w:footnoteReference w:id="213"/>
      </w:r>
      <w:r w:rsidR="00682C5C" w:rsidRPr="00EF6689">
        <w:rPr>
          <w:rFonts w:ascii="Verdana" w:eastAsia="Verdana" w:hAnsi="Verdana" w:cs="Verdana"/>
          <w:color w:val="000000"/>
        </w:rPr>
        <w:t xml:space="preserve"> The then Head of the NI Civil Service, David Sterling, committed to NI’s involvement in the scheme until March 2021. The Executive Office </w:t>
      </w:r>
      <w:r w:rsidR="00B31624" w:rsidRPr="00EF6689">
        <w:rPr>
          <w:rFonts w:ascii="Verdana" w:eastAsia="Verdana" w:hAnsi="Verdana" w:cs="Verdana"/>
          <w:color w:val="000000"/>
        </w:rPr>
        <w:t>conducted</w:t>
      </w:r>
      <w:r w:rsidR="00682C5C" w:rsidRPr="00EF6689">
        <w:rPr>
          <w:rFonts w:ascii="Verdana" w:eastAsia="Verdana" w:hAnsi="Verdana" w:cs="Verdana"/>
          <w:color w:val="000000"/>
        </w:rPr>
        <w:t xml:space="preserve"> an evaluation of the future of refugee resettlement in NI</w:t>
      </w:r>
      <w:r w:rsidR="00945EB3" w:rsidRPr="00EF6689">
        <w:rPr>
          <w:rFonts w:ascii="Verdana" w:eastAsia="Verdana" w:hAnsi="Verdana" w:cs="Verdana"/>
          <w:color w:val="000000"/>
        </w:rPr>
        <w:t>, which the NIHRC understands has been completed</w:t>
      </w:r>
      <w:r w:rsidR="00682C5C" w:rsidRPr="00EF6689" w:rsidDel="00945EB3">
        <w:rPr>
          <w:rFonts w:ascii="Verdana" w:eastAsia="Verdana" w:hAnsi="Verdana" w:cs="Verdana"/>
          <w:color w:val="000000"/>
        </w:rPr>
        <w:t>.</w:t>
      </w:r>
      <w:r w:rsidR="0076379A">
        <w:rPr>
          <w:rStyle w:val="FootnoteReference"/>
          <w:rFonts w:ascii="Verdana" w:eastAsia="Verdana" w:hAnsi="Verdana" w:cs="Verdana"/>
          <w:color w:val="000000"/>
        </w:rPr>
        <w:footnoteReference w:id="214"/>
      </w:r>
      <w:r w:rsidR="00EA5B16" w:rsidRPr="00EF6689">
        <w:rPr>
          <w:rFonts w:ascii="Verdana" w:eastAsia="Verdana" w:hAnsi="Verdana" w:cs="Verdana"/>
          <w:color w:val="000000"/>
        </w:rPr>
        <w:t xml:space="preserve"> It is not yet publicly available.</w:t>
      </w:r>
      <w:r w:rsidR="007020A1" w:rsidRPr="00EF6689">
        <w:rPr>
          <w:rFonts w:ascii="Verdana" w:eastAsia="Verdana" w:hAnsi="Verdana" w:cs="Verdana"/>
          <w:color w:val="000000"/>
        </w:rPr>
        <w:t xml:space="preserve"> </w:t>
      </w:r>
    </w:p>
    <w:p w14:paraId="7BB8C0A3" w14:textId="77777777" w:rsidR="00EF6689" w:rsidRPr="00EF6689" w:rsidRDefault="00EF6689" w:rsidP="00EF6689">
      <w:pPr>
        <w:pStyle w:val="ListParagraph"/>
        <w:rPr>
          <w:rFonts w:ascii="Verdana" w:eastAsia="Verdana" w:hAnsi="Verdana" w:cs="Verdana"/>
          <w:color w:val="000000"/>
        </w:rPr>
      </w:pPr>
    </w:p>
    <w:p w14:paraId="5A054A34" w14:textId="77777777" w:rsidR="00EF6689" w:rsidRDefault="00DF3B9B"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In 2021, the Department of Health consulted on proposals for a new regional model of service for separated and unaccompanied asylum</w:t>
      </w:r>
      <w:r w:rsidR="00532D61" w:rsidRPr="00EF6689">
        <w:rPr>
          <w:rFonts w:ascii="Verdana" w:eastAsia="Verdana" w:hAnsi="Verdana" w:cs="Verdana"/>
          <w:color w:val="000000"/>
        </w:rPr>
        <w:t>-</w:t>
      </w:r>
      <w:r w:rsidRPr="00EF6689">
        <w:rPr>
          <w:rFonts w:ascii="Verdana" w:eastAsia="Verdana" w:hAnsi="Verdana" w:cs="Verdana"/>
          <w:color w:val="000000"/>
        </w:rPr>
        <w:t xml:space="preserve">seeking children in NI.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supported proposals for a single Trust Based Central Hub with Dispersal Arrangements.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also highlighted the need for trauma informed approaches, and recommended cross-departmental collaboration to support long-term integration and settlement for unaccompanied and separated children.</w:t>
      </w:r>
      <w:r w:rsidRPr="00D62DEB">
        <w:rPr>
          <w:rStyle w:val="FootnoteReference"/>
          <w:rFonts w:ascii="Verdana" w:eastAsia="Verdana" w:hAnsi="Verdana" w:cs="Verdana"/>
          <w:color w:val="000000"/>
        </w:rPr>
        <w:footnoteReference w:id="215"/>
      </w:r>
    </w:p>
    <w:p w14:paraId="17FCA11B" w14:textId="77777777" w:rsidR="00EF6689" w:rsidRPr="00EF6689" w:rsidRDefault="00EF6689" w:rsidP="00EF6689">
      <w:pPr>
        <w:pStyle w:val="ListParagraph"/>
        <w:rPr>
          <w:rFonts w:ascii="Verdana" w:eastAsia="Verdana" w:hAnsi="Verdana" w:cs="Verdana"/>
          <w:color w:val="000000"/>
        </w:rPr>
      </w:pPr>
    </w:p>
    <w:p w14:paraId="1AA8790F" w14:textId="77777777" w:rsidR="00EF6689" w:rsidRDefault="002F716B"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 xml:space="preserve">The NIHRC </w:t>
      </w:r>
      <w:r w:rsidR="004E2DD8" w:rsidRPr="00EF6689">
        <w:rPr>
          <w:rFonts w:ascii="Verdana" w:eastAsia="Verdana" w:hAnsi="Verdana" w:cs="Verdana"/>
          <w:color w:val="000000"/>
        </w:rPr>
        <w:t>further notes with concern the</w:t>
      </w:r>
      <w:r w:rsidR="00302E57" w:rsidRPr="00EF6689">
        <w:rPr>
          <w:rFonts w:ascii="Verdana" w:eastAsia="Verdana" w:hAnsi="Verdana" w:cs="Verdana"/>
          <w:color w:val="000000"/>
        </w:rPr>
        <w:t xml:space="preserve"> </w:t>
      </w:r>
      <w:r w:rsidR="00382C39" w:rsidRPr="00EF6689">
        <w:rPr>
          <w:rFonts w:ascii="Verdana" w:eastAsia="Verdana" w:hAnsi="Verdana" w:cs="Verdana"/>
          <w:color w:val="000000"/>
        </w:rPr>
        <w:t xml:space="preserve">‘New Plan for Immigration’ </w:t>
      </w:r>
      <w:r w:rsidR="00B52988" w:rsidRPr="00EF6689">
        <w:rPr>
          <w:rFonts w:ascii="Verdana" w:eastAsia="Verdana" w:hAnsi="Verdana" w:cs="Verdana"/>
          <w:color w:val="000000"/>
        </w:rPr>
        <w:t>from the Home Office</w:t>
      </w:r>
      <w:r w:rsidR="0072389D" w:rsidRPr="00EF6689">
        <w:rPr>
          <w:rFonts w:ascii="Verdana" w:eastAsia="Verdana" w:hAnsi="Verdana" w:cs="Verdana"/>
          <w:color w:val="000000"/>
        </w:rPr>
        <w:t xml:space="preserve"> and the </w:t>
      </w:r>
      <w:r w:rsidR="001D1505" w:rsidRPr="00EF6689">
        <w:rPr>
          <w:rFonts w:ascii="Verdana" w:eastAsia="Verdana" w:hAnsi="Verdana" w:cs="Verdana"/>
          <w:color w:val="000000"/>
        </w:rPr>
        <w:t>proposed Nationality and Borders Bill</w:t>
      </w:r>
      <w:r w:rsidR="00CF4F68" w:rsidRPr="00EF6689">
        <w:rPr>
          <w:rFonts w:ascii="Verdana" w:eastAsia="Verdana" w:hAnsi="Verdana" w:cs="Verdana"/>
          <w:color w:val="000000"/>
        </w:rPr>
        <w:t xml:space="preserve"> which will impact refugees in NI</w:t>
      </w:r>
      <w:r w:rsidR="001D1505" w:rsidRPr="00EF6689">
        <w:rPr>
          <w:rFonts w:ascii="Verdana" w:eastAsia="Verdana" w:hAnsi="Verdana" w:cs="Verdana"/>
          <w:color w:val="000000"/>
        </w:rPr>
        <w:t>. These concerns are</w:t>
      </w:r>
      <w:r w:rsidR="00C55761" w:rsidRPr="00EF6689">
        <w:rPr>
          <w:rFonts w:ascii="Verdana" w:eastAsia="Verdana" w:hAnsi="Verdana" w:cs="Verdana"/>
          <w:color w:val="000000"/>
        </w:rPr>
        <w:t xml:space="preserve"> expanded in </w:t>
      </w:r>
      <w:r w:rsidR="00D11920" w:rsidRPr="00EF6689" w:rsidDel="00E324B1">
        <w:rPr>
          <w:rFonts w:ascii="Verdana" w:eastAsia="Verdana" w:hAnsi="Verdana" w:cs="Verdana"/>
          <w:color w:val="000000"/>
        </w:rPr>
        <w:t xml:space="preserve">paragraph </w:t>
      </w:r>
      <w:r w:rsidR="00C32A6A" w:rsidRPr="00EF6689">
        <w:rPr>
          <w:rFonts w:ascii="Verdana" w:eastAsia="Verdana" w:hAnsi="Verdana" w:cs="Verdana"/>
          <w:color w:val="000000"/>
        </w:rPr>
        <w:t>130</w:t>
      </w:r>
      <w:r w:rsidR="001D1505" w:rsidRPr="00EF6689">
        <w:rPr>
          <w:rFonts w:ascii="Verdana" w:eastAsia="Verdana" w:hAnsi="Verdana" w:cs="Verdana"/>
          <w:color w:val="000000"/>
        </w:rPr>
        <w:t xml:space="preserve"> </w:t>
      </w:r>
      <w:r w:rsidR="00221728" w:rsidRPr="00EF6689">
        <w:rPr>
          <w:rFonts w:ascii="Verdana" w:eastAsia="Verdana" w:hAnsi="Verdana" w:cs="Verdana"/>
          <w:color w:val="000000"/>
        </w:rPr>
        <w:t>above</w:t>
      </w:r>
      <w:r w:rsidR="001D1505" w:rsidRPr="00EF6689">
        <w:rPr>
          <w:rFonts w:ascii="Verdana" w:eastAsia="Verdana" w:hAnsi="Verdana" w:cs="Verdana"/>
          <w:color w:val="000000"/>
        </w:rPr>
        <w:t>.</w:t>
      </w:r>
      <w:r w:rsidR="0072389D" w:rsidRPr="00EF6689">
        <w:rPr>
          <w:rFonts w:ascii="Verdana" w:eastAsia="Verdana" w:hAnsi="Verdana" w:cs="Verdana"/>
          <w:color w:val="000000"/>
        </w:rPr>
        <w:t xml:space="preserve"> </w:t>
      </w:r>
      <w:r w:rsidR="00F02F0C" w:rsidRPr="00EF6689">
        <w:rPr>
          <w:rFonts w:ascii="Verdana" w:eastAsia="Verdana" w:hAnsi="Verdana" w:cs="Verdana"/>
          <w:color w:val="000000"/>
        </w:rPr>
        <w:t xml:space="preserve"> </w:t>
      </w:r>
    </w:p>
    <w:p w14:paraId="4C39079F" w14:textId="77777777" w:rsidR="00EF6689" w:rsidRPr="00EF6689" w:rsidRDefault="00EF6689" w:rsidP="00EF6689">
      <w:pPr>
        <w:pStyle w:val="ListParagraph"/>
        <w:rPr>
          <w:rFonts w:ascii="Verdana" w:eastAsia="Verdana" w:hAnsi="Verdana" w:cs="Verdana"/>
          <w:b/>
          <w:bCs/>
          <w:color w:val="000000"/>
        </w:rPr>
      </w:pPr>
    </w:p>
    <w:p w14:paraId="7CE76EE8" w14:textId="4FE18B43" w:rsidR="003D6C00" w:rsidRPr="00EF6689" w:rsidRDefault="000A35D1"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b/>
          <w:bCs/>
          <w:color w:val="000000"/>
        </w:rPr>
        <w:t xml:space="preserve">The </w:t>
      </w:r>
      <w:r w:rsidR="00336BB6" w:rsidRPr="00EF6689">
        <w:rPr>
          <w:rFonts w:ascii="Verdana" w:eastAsia="Verdana" w:hAnsi="Verdana" w:cs="Verdana"/>
          <w:b/>
          <w:bCs/>
          <w:color w:val="000000"/>
        </w:rPr>
        <w:t xml:space="preserve">Advisory </w:t>
      </w:r>
      <w:r w:rsidRPr="00EF6689">
        <w:rPr>
          <w:rFonts w:ascii="Verdana" w:eastAsia="Verdana" w:hAnsi="Verdana" w:cs="Verdana"/>
          <w:b/>
          <w:bCs/>
          <w:color w:val="000000"/>
        </w:rPr>
        <w:t>Committee may wish to ask the State Party</w:t>
      </w:r>
      <w:r w:rsidR="003D6C00" w:rsidRPr="00EF6689">
        <w:rPr>
          <w:rFonts w:ascii="Verdana" w:eastAsia="Verdana" w:hAnsi="Verdana" w:cs="Verdana"/>
          <w:b/>
          <w:bCs/>
          <w:color w:val="000000"/>
        </w:rPr>
        <w:t xml:space="preserve">: </w:t>
      </w:r>
    </w:p>
    <w:p w14:paraId="1B85CA53" w14:textId="77777777" w:rsidR="003D6C00" w:rsidRPr="00D62DEB" w:rsidRDefault="003D6C00" w:rsidP="004656A5">
      <w:pPr>
        <w:pStyle w:val="ListParagraph"/>
        <w:spacing w:line="276" w:lineRule="auto"/>
        <w:rPr>
          <w:rFonts w:ascii="Verdana" w:eastAsia="Verdana" w:hAnsi="Verdana" w:cs="Verdana"/>
          <w:b/>
          <w:bCs/>
          <w:color w:val="000000"/>
        </w:rPr>
      </w:pPr>
    </w:p>
    <w:p w14:paraId="7971BDA8" w14:textId="49597CB2" w:rsidR="003D6C00" w:rsidRPr="00330FC5" w:rsidRDefault="00655292" w:rsidP="00915669">
      <w:pPr>
        <w:pStyle w:val="ListParagraph"/>
        <w:numPr>
          <w:ilvl w:val="0"/>
          <w:numId w:val="4"/>
        </w:numPr>
        <w:spacing w:line="276" w:lineRule="auto"/>
        <w:rPr>
          <w:rFonts w:ascii="Verdana" w:eastAsia="Verdana" w:hAnsi="Verdana" w:cs="Verdana"/>
          <w:b/>
          <w:bCs/>
          <w:color w:val="000000"/>
        </w:rPr>
      </w:pPr>
      <w:r w:rsidRPr="00D62DEB">
        <w:rPr>
          <w:rFonts w:ascii="Verdana" w:eastAsia="Verdana" w:hAnsi="Verdana" w:cs="Verdana"/>
          <w:b/>
          <w:bCs/>
          <w:color w:val="000000"/>
        </w:rPr>
        <w:t xml:space="preserve">what </w:t>
      </w:r>
      <w:r w:rsidR="004372A6" w:rsidRPr="00D62DEB">
        <w:rPr>
          <w:rFonts w:ascii="Verdana" w:eastAsia="Verdana" w:hAnsi="Verdana" w:cs="Verdana"/>
          <w:b/>
          <w:bCs/>
          <w:color w:val="000000"/>
        </w:rPr>
        <w:t xml:space="preserve">appropriate arrangements </w:t>
      </w:r>
      <w:r w:rsidRPr="00D62DEB">
        <w:rPr>
          <w:rFonts w:ascii="Verdana" w:eastAsia="Verdana" w:hAnsi="Verdana" w:cs="Verdana"/>
          <w:b/>
          <w:bCs/>
          <w:color w:val="000000"/>
        </w:rPr>
        <w:t xml:space="preserve">are being made </w:t>
      </w:r>
      <w:r w:rsidR="004372A6" w:rsidRPr="00D62DEB">
        <w:rPr>
          <w:rFonts w:ascii="Verdana" w:eastAsia="Verdana" w:hAnsi="Verdana" w:cs="Verdana"/>
          <w:b/>
          <w:bCs/>
          <w:color w:val="000000"/>
        </w:rPr>
        <w:t xml:space="preserve">to </w:t>
      </w:r>
      <w:r w:rsidR="004372A6" w:rsidRPr="00330FC5">
        <w:rPr>
          <w:rFonts w:ascii="Verdana" w:eastAsia="Verdana" w:hAnsi="Verdana" w:cs="Verdana"/>
          <w:b/>
          <w:bCs/>
          <w:color w:val="000000"/>
        </w:rPr>
        <w:t xml:space="preserve">ensure NI accommodates a proportional number of unaccompanied </w:t>
      </w:r>
      <w:r w:rsidR="001725B6" w:rsidRPr="00330FC5">
        <w:rPr>
          <w:rFonts w:ascii="Verdana" w:eastAsia="Verdana" w:hAnsi="Verdana" w:cs="Verdana"/>
          <w:b/>
          <w:bCs/>
          <w:color w:val="000000"/>
        </w:rPr>
        <w:t>asylum-seeking</w:t>
      </w:r>
      <w:r w:rsidR="004372A6" w:rsidRPr="00330FC5">
        <w:rPr>
          <w:rFonts w:ascii="Verdana" w:eastAsia="Verdana" w:hAnsi="Verdana" w:cs="Verdana"/>
          <w:b/>
          <w:bCs/>
          <w:color w:val="000000"/>
        </w:rPr>
        <w:t xml:space="preserve"> children and refu</w:t>
      </w:r>
      <w:r w:rsidR="00C276C5" w:rsidRPr="00330FC5">
        <w:rPr>
          <w:rFonts w:ascii="Verdana" w:eastAsia="Verdana" w:hAnsi="Verdana" w:cs="Verdana"/>
          <w:b/>
          <w:bCs/>
          <w:color w:val="000000"/>
        </w:rPr>
        <w:t>gees</w:t>
      </w:r>
      <w:r w:rsidRPr="00330FC5">
        <w:rPr>
          <w:rFonts w:ascii="Verdana" w:eastAsia="Verdana" w:hAnsi="Verdana" w:cs="Verdana"/>
          <w:b/>
          <w:bCs/>
          <w:color w:val="000000"/>
        </w:rPr>
        <w:t>;</w:t>
      </w:r>
      <w:r w:rsidR="003B6463">
        <w:rPr>
          <w:rFonts w:ascii="Verdana" w:eastAsia="Verdana" w:hAnsi="Verdana" w:cs="Verdana"/>
          <w:b/>
          <w:bCs/>
          <w:color w:val="000000"/>
        </w:rPr>
        <w:t xml:space="preserve"> and</w:t>
      </w:r>
    </w:p>
    <w:p w14:paraId="0311D3A3" w14:textId="77BE9C45" w:rsidR="00C276C5" w:rsidRPr="00330FC5" w:rsidRDefault="003B6463" w:rsidP="00915669">
      <w:pPr>
        <w:pStyle w:val="ListParagraph"/>
        <w:numPr>
          <w:ilvl w:val="0"/>
          <w:numId w:val="4"/>
        </w:numPr>
        <w:spacing w:line="276" w:lineRule="auto"/>
        <w:rPr>
          <w:rFonts w:ascii="Verdana" w:eastAsia="Verdana" w:hAnsi="Verdana" w:cs="Verdana"/>
          <w:b/>
          <w:bCs/>
          <w:color w:val="000000"/>
        </w:rPr>
      </w:pPr>
      <w:r>
        <w:rPr>
          <w:rFonts w:ascii="Verdana" w:eastAsia="Verdana" w:hAnsi="Verdana" w:cs="Verdana"/>
          <w:b/>
          <w:bCs/>
          <w:color w:val="000000"/>
        </w:rPr>
        <w:t>f</w:t>
      </w:r>
      <w:r w:rsidR="00330FC5" w:rsidRPr="00330FC5">
        <w:rPr>
          <w:rFonts w:ascii="Verdana" w:eastAsia="Verdana" w:hAnsi="Verdana" w:cs="Verdana"/>
          <w:b/>
          <w:bCs/>
          <w:color w:val="000000"/>
        </w:rPr>
        <w:t>or a timeline of publishing and implementing a</w:t>
      </w:r>
      <w:r w:rsidR="00C276C5" w:rsidRPr="00330FC5">
        <w:rPr>
          <w:rFonts w:ascii="Verdana" w:eastAsia="Verdana" w:hAnsi="Verdana" w:cs="Verdana"/>
          <w:b/>
          <w:bCs/>
          <w:color w:val="000000"/>
        </w:rPr>
        <w:t xml:space="preserve"> comprehensive Refugee Integration Strategy</w:t>
      </w:r>
      <w:r w:rsidR="000C4C2A">
        <w:rPr>
          <w:rFonts w:ascii="Verdana" w:eastAsia="Verdana" w:hAnsi="Verdana" w:cs="Verdana"/>
          <w:b/>
          <w:bCs/>
          <w:color w:val="000000"/>
        </w:rPr>
        <w:t>.</w:t>
      </w:r>
      <w:r w:rsidR="00655292" w:rsidRPr="00330FC5">
        <w:rPr>
          <w:rFonts w:ascii="Verdana" w:eastAsia="Verdana" w:hAnsi="Verdana" w:cs="Verdana"/>
          <w:b/>
          <w:bCs/>
          <w:color w:val="000000"/>
        </w:rPr>
        <w:t xml:space="preserve"> </w:t>
      </w:r>
    </w:p>
    <w:p w14:paraId="3905EC75" w14:textId="77777777" w:rsidR="00811D41" w:rsidRDefault="00811D41" w:rsidP="00666BE6">
      <w:pPr>
        <w:spacing w:line="276" w:lineRule="auto"/>
        <w:rPr>
          <w:rFonts w:ascii="Verdana" w:eastAsia="Verdana" w:hAnsi="Verdana" w:cs="Verdana"/>
          <w:color w:val="000000"/>
        </w:rPr>
      </w:pPr>
    </w:p>
    <w:p w14:paraId="2E2025CF" w14:textId="78C21113" w:rsidR="00666BE6" w:rsidRDefault="00666BE6" w:rsidP="002F4AE6">
      <w:pPr>
        <w:pStyle w:val="Heading2"/>
        <w:spacing w:line="276" w:lineRule="auto"/>
        <w:rPr>
          <w:szCs w:val="24"/>
        </w:rPr>
      </w:pPr>
      <w:bookmarkStart w:id="33" w:name="_Toc97030922"/>
      <w:r w:rsidRPr="00FF0BDC">
        <w:rPr>
          <w:szCs w:val="24"/>
        </w:rPr>
        <w:t>Traveller Accommodation</w:t>
      </w:r>
      <w:bookmarkEnd w:id="33"/>
    </w:p>
    <w:p w14:paraId="0FE6AC48" w14:textId="77777777" w:rsidR="002F4AE6" w:rsidRPr="002F4AE6" w:rsidRDefault="002F4AE6" w:rsidP="002F4AE6"/>
    <w:p w14:paraId="39CC6E53" w14:textId="72B12A09" w:rsidR="00EF6689" w:rsidRPr="00EF6689" w:rsidRDefault="00492C24"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 xml:space="preserve">In 2018, the </w:t>
      </w:r>
      <w:r w:rsidR="00C35AD9" w:rsidRPr="00EF6689">
        <w:rPr>
          <w:rFonts w:ascii="Verdana" w:hAnsi="Verdana" w:cs="YIUEB V+ Gotham"/>
          <w:color w:val="000000"/>
        </w:rPr>
        <w:t>NIHRC</w:t>
      </w:r>
      <w:r w:rsidRPr="00EF6689">
        <w:rPr>
          <w:rFonts w:ascii="Verdana" w:hAnsi="Verdana" w:cs="YIUEB V+ Gotham"/>
          <w:color w:val="000000"/>
        </w:rPr>
        <w:t xml:space="preserve"> published its investigation report into Travellers’ accommodation in NI.</w:t>
      </w:r>
      <w:r w:rsidRPr="00D62DEB">
        <w:rPr>
          <w:rStyle w:val="FootnoteReference"/>
          <w:rFonts w:ascii="Verdana" w:hAnsi="Verdana" w:cs="YIUEB V+ Gotham"/>
          <w:color w:val="000000"/>
        </w:rPr>
        <w:footnoteReference w:id="216"/>
      </w:r>
      <w:r w:rsidRPr="00EF6689">
        <w:rPr>
          <w:rFonts w:ascii="Verdana" w:hAnsi="Verdana" w:cs="YIUEB V+ Gotham"/>
          <w:color w:val="000000"/>
        </w:rPr>
        <w:t xml:space="preserve"> Thirteen systemic issues were identified, including: that existing law and practice did not provide for sufficient, habitable and culturally adequate Travellers’ accommodation; inadequacy of current Travellers’ sites; discrimination; the disproportionate impact of the Unauthorised Encampments (NI) Order 2005 on Traveller communities; the general lack of disaggregated data on Travellers’ accommodation; insufficient resources available for developing and maintaining Traveller-specific accommodation; and ineffective and inadequate efforts made for participation of Travellers in decision-making processes.</w:t>
      </w:r>
      <w:r w:rsidR="00DC619A" w:rsidRPr="00D62DEB">
        <w:rPr>
          <w:rStyle w:val="FootnoteReference"/>
          <w:rFonts w:ascii="Verdana" w:hAnsi="Verdana" w:cs="YIUEB V+ Gotham"/>
          <w:color w:val="000000"/>
        </w:rPr>
        <w:footnoteReference w:id="217"/>
      </w:r>
      <w:r w:rsidR="00B74038" w:rsidRPr="00EF6689">
        <w:rPr>
          <w:rFonts w:ascii="Verdana" w:hAnsi="Verdana" w:cs="YIUEB V+ Gotham"/>
          <w:color w:val="000000"/>
        </w:rPr>
        <w:t xml:space="preserve"> The </w:t>
      </w:r>
      <w:r w:rsidR="00C35AD9" w:rsidRPr="00EF6689">
        <w:rPr>
          <w:rFonts w:ascii="Verdana" w:hAnsi="Verdana" w:cs="YIUEB V+ Gotham"/>
          <w:color w:val="000000"/>
        </w:rPr>
        <w:t>NIHRC</w:t>
      </w:r>
      <w:r w:rsidR="00B74038" w:rsidRPr="00EF6689">
        <w:rPr>
          <w:rFonts w:ascii="Verdana" w:hAnsi="Verdana" w:cs="YIUEB V+ Gotham"/>
          <w:color w:val="000000"/>
        </w:rPr>
        <w:t xml:space="preserve"> made 45 recommendations aimed at addressing the investigation’s findings.</w:t>
      </w:r>
      <w:r w:rsidR="00B74038" w:rsidRPr="00D62DEB">
        <w:rPr>
          <w:rStyle w:val="FootnoteReference"/>
          <w:rFonts w:ascii="Verdana" w:hAnsi="Verdana" w:cs="YIUEB V+ Gotham"/>
          <w:color w:val="000000"/>
        </w:rPr>
        <w:footnoteReference w:id="218"/>
      </w:r>
    </w:p>
    <w:p w14:paraId="11A68AD7" w14:textId="77777777" w:rsidR="00EF6689" w:rsidRPr="00EF6689" w:rsidRDefault="00EF6689" w:rsidP="00EF6689">
      <w:pPr>
        <w:pStyle w:val="ListParagraph"/>
        <w:spacing w:line="276" w:lineRule="auto"/>
        <w:rPr>
          <w:rFonts w:ascii="Verdana" w:eastAsia="Verdana" w:hAnsi="Verdana" w:cs="Verdana"/>
          <w:color w:val="000000"/>
        </w:rPr>
      </w:pPr>
    </w:p>
    <w:p w14:paraId="4B5FF3CC" w14:textId="67A0A4D4" w:rsidR="00EF6689" w:rsidRDefault="0091051E"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 xml:space="preserve">In 2019,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published a 12-month progress report, which noted mixed progress.</w:t>
      </w:r>
      <w:r w:rsidRPr="00D62DEB">
        <w:rPr>
          <w:rStyle w:val="FootnoteReference"/>
          <w:rFonts w:ascii="Verdana" w:eastAsia="Verdana" w:hAnsi="Verdana" w:cs="Verdana"/>
          <w:color w:val="000000"/>
        </w:rPr>
        <w:footnoteReference w:id="219"/>
      </w:r>
      <w:r w:rsidRPr="00EF6689">
        <w:rPr>
          <w:rFonts w:ascii="Verdana" w:eastAsia="Verdana" w:hAnsi="Verdana" w:cs="Verdana"/>
          <w:color w:val="000000"/>
        </w:rPr>
        <w:t xml:space="preserve"> Only three recommendations had been effectively implemented</w:t>
      </w:r>
      <w:r w:rsidR="00D7483D" w:rsidRPr="00EF6689">
        <w:rPr>
          <w:rFonts w:ascii="Verdana" w:eastAsia="Verdana" w:hAnsi="Verdana" w:cs="Verdana"/>
          <w:color w:val="000000"/>
        </w:rPr>
        <w:t xml:space="preserve">. </w:t>
      </w:r>
      <w:r w:rsidRPr="00EF6689">
        <w:rPr>
          <w:rFonts w:ascii="Verdana" w:eastAsia="Verdana" w:hAnsi="Verdana" w:cs="Verdana"/>
          <w:color w:val="000000"/>
        </w:rPr>
        <w:t xml:space="preserve"> </w:t>
      </w:r>
      <w:r w:rsidR="00D7483D" w:rsidRPr="00EF6689">
        <w:rPr>
          <w:rFonts w:ascii="Verdana" w:eastAsia="Verdana" w:hAnsi="Verdana" w:cs="Verdana"/>
          <w:color w:val="000000"/>
        </w:rPr>
        <w:t>N</w:t>
      </w:r>
      <w:r w:rsidRPr="00EF6689">
        <w:rPr>
          <w:rFonts w:ascii="Verdana" w:eastAsia="Verdana" w:hAnsi="Verdana" w:cs="Verdana"/>
          <w:color w:val="000000"/>
        </w:rPr>
        <w:t>o steps had been taken to ensure effective implementation of six recommendations</w:t>
      </w:r>
      <w:r w:rsidR="00EC00CC" w:rsidRPr="00EF6689">
        <w:rPr>
          <w:rFonts w:ascii="Verdana" w:eastAsia="Verdana" w:hAnsi="Verdana" w:cs="Verdana"/>
          <w:color w:val="000000"/>
        </w:rPr>
        <w:t>. These included</w:t>
      </w:r>
      <w:r w:rsidR="000075EE" w:rsidRPr="00EF6689">
        <w:rPr>
          <w:rFonts w:ascii="Verdana" w:eastAsia="Verdana" w:hAnsi="Verdana" w:cs="Verdana"/>
          <w:color w:val="000000"/>
        </w:rPr>
        <w:t>:</w:t>
      </w:r>
      <w:r w:rsidR="00EC00CC" w:rsidRPr="00EF6689">
        <w:rPr>
          <w:rFonts w:ascii="Verdana" w:eastAsia="Verdana" w:hAnsi="Verdana" w:cs="Verdana"/>
          <w:color w:val="000000"/>
        </w:rPr>
        <w:t xml:space="preserve"> the need to </w:t>
      </w:r>
      <w:r w:rsidR="0011299B" w:rsidRPr="00EF6689">
        <w:rPr>
          <w:rFonts w:ascii="Verdana" w:eastAsia="Verdana" w:hAnsi="Verdana" w:cs="Verdana"/>
          <w:color w:val="000000"/>
        </w:rPr>
        <w:t>amend</w:t>
      </w:r>
      <w:r w:rsidR="00EC00CC" w:rsidRPr="00EF6689">
        <w:rPr>
          <w:rFonts w:ascii="Verdana" w:eastAsia="Verdana" w:hAnsi="Verdana" w:cs="Verdana"/>
          <w:color w:val="000000"/>
        </w:rPr>
        <w:t xml:space="preserve"> </w:t>
      </w:r>
      <w:r w:rsidR="0011299B" w:rsidRPr="00EF6689">
        <w:rPr>
          <w:rFonts w:ascii="Verdana" w:eastAsia="Verdana" w:hAnsi="Verdana" w:cs="Verdana"/>
          <w:color w:val="000000"/>
        </w:rPr>
        <w:t>the Housing</w:t>
      </w:r>
      <w:r w:rsidR="00A05399" w:rsidRPr="00EF6689">
        <w:rPr>
          <w:rFonts w:ascii="Verdana" w:eastAsia="Verdana" w:hAnsi="Verdana" w:cs="Verdana"/>
          <w:color w:val="000000"/>
        </w:rPr>
        <w:t xml:space="preserve"> (NI)</w:t>
      </w:r>
      <w:r w:rsidR="0011299B" w:rsidRPr="00EF6689">
        <w:rPr>
          <w:rFonts w:ascii="Verdana" w:eastAsia="Verdana" w:hAnsi="Verdana" w:cs="Verdana"/>
          <w:color w:val="000000"/>
        </w:rPr>
        <w:t xml:space="preserve"> Order</w:t>
      </w:r>
      <w:r w:rsidR="00281FBD" w:rsidRPr="00EF6689">
        <w:rPr>
          <w:rFonts w:ascii="Verdana" w:eastAsia="Verdana" w:hAnsi="Verdana" w:cs="Verdana"/>
          <w:color w:val="000000"/>
        </w:rPr>
        <w:t xml:space="preserve"> 2003,</w:t>
      </w:r>
      <w:r w:rsidR="00EC00CC" w:rsidRPr="00EF6689">
        <w:rPr>
          <w:rFonts w:ascii="Verdana" w:eastAsia="Verdana" w:hAnsi="Verdana" w:cs="Verdana"/>
          <w:color w:val="000000"/>
        </w:rPr>
        <w:t xml:space="preserve"> </w:t>
      </w:r>
      <w:r w:rsidR="00553076" w:rsidRPr="00EF6689">
        <w:rPr>
          <w:rFonts w:ascii="Verdana" w:eastAsia="Verdana" w:hAnsi="Verdana" w:cs="Verdana"/>
          <w:color w:val="000000"/>
        </w:rPr>
        <w:t>for</w:t>
      </w:r>
      <w:r w:rsidR="00EC00CC" w:rsidRPr="00EF6689">
        <w:rPr>
          <w:rFonts w:ascii="Verdana" w:eastAsia="Verdana" w:hAnsi="Verdana" w:cs="Verdana"/>
          <w:color w:val="000000"/>
        </w:rPr>
        <w:t xml:space="preserve"> the NI Housing Executive to provide nomadic housing </w:t>
      </w:r>
      <w:r w:rsidR="00E35432" w:rsidRPr="00EF6689">
        <w:rPr>
          <w:rFonts w:ascii="Verdana" w:eastAsia="Verdana" w:hAnsi="Verdana" w:cs="Verdana"/>
          <w:color w:val="000000"/>
        </w:rPr>
        <w:t>structures</w:t>
      </w:r>
      <w:r w:rsidR="007757B3" w:rsidRPr="00EF6689">
        <w:rPr>
          <w:rFonts w:ascii="Verdana" w:eastAsia="Verdana" w:hAnsi="Verdana" w:cs="Verdana"/>
          <w:color w:val="000000"/>
        </w:rPr>
        <w:t xml:space="preserve">, </w:t>
      </w:r>
      <w:r w:rsidR="00553076" w:rsidRPr="00EF6689">
        <w:rPr>
          <w:rFonts w:ascii="Verdana" w:eastAsia="Verdana" w:hAnsi="Verdana" w:cs="Verdana"/>
          <w:color w:val="000000"/>
        </w:rPr>
        <w:t xml:space="preserve">a </w:t>
      </w:r>
      <w:r w:rsidR="00281FBD" w:rsidRPr="00EF6689">
        <w:rPr>
          <w:rFonts w:ascii="Verdana" w:eastAsia="Verdana" w:hAnsi="Verdana" w:cs="Verdana"/>
          <w:color w:val="000000"/>
        </w:rPr>
        <w:t xml:space="preserve">repeal </w:t>
      </w:r>
      <w:r w:rsidR="00553076" w:rsidRPr="00EF6689">
        <w:rPr>
          <w:rFonts w:ascii="Verdana" w:eastAsia="Verdana" w:hAnsi="Verdana" w:cs="Verdana"/>
          <w:color w:val="000000"/>
        </w:rPr>
        <w:t xml:space="preserve">of </w:t>
      </w:r>
      <w:r w:rsidR="00281FBD" w:rsidRPr="00EF6689">
        <w:rPr>
          <w:rFonts w:ascii="Verdana" w:eastAsia="Verdana" w:hAnsi="Verdana" w:cs="Verdana"/>
          <w:color w:val="000000"/>
        </w:rPr>
        <w:t xml:space="preserve">the Unauthorised Encampments (NI) Order 2005 (see </w:t>
      </w:r>
      <w:r w:rsidR="00440B87" w:rsidRPr="00EF6689">
        <w:rPr>
          <w:rFonts w:ascii="Verdana" w:eastAsia="Verdana" w:hAnsi="Verdana" w:cs="Verdana"/>
          <w:color w:val="000000"/>
        </w:rPr>
        <w:t xml:space="preserve">also </w:t>
      </w:r>
      <w:r w:rsidR="00281FBD" w:rsidRPr="00EF6689">
        <w:rPr>
          <w:rFonts w:ascii="Verdana" w:eastAsia="Verdana" w:hAnsi="Verdana" w:cs="Verdana"/>
          <w:color w:val="000000"/>
        </w:rPr>
        <w:t>para</w:t>
      </w:r>
      <w:r w:rsidR="00440B87" w:rsidRPr="00EF6689">
        <w:rPr>
          <w:rFonts w:ascii="Verdana" w:eastAsia="Verdana" w:hAnsi="Verdana" w:cs="Verdana"/>
          <w:color w:val="000000"/>
        </w:rPr>
        <w:t>graphs</w:t>
      </w:r>
      <w:r w:rsidR="00281FBD" w:rsidRPr="00EF6689">
        <w:rPr>
          <w:rFonts w:ascii="Verdana" w:eastAsia="Verdana" w:hAnsi="Verdana" w:cs="Verdana"/>
          <w:color w:val="000000"/>
        </w:rPr>
        <w:t xml:space="preserve"> </w:t>
      </w:r>
      <w:r w:rsidR="003074D7">
        <w:rPr>
          <w:rFonts w:ascii="Verdana" w:eastAsia="Verdana" w:hAnsi="Verdana" w:cs="Verdana"/>
          <w:color w:val="000000"/>
        </w:rPr>
        <w:t>5.23 – 5.28</w:t>
      </w:r>
      <w:r w:rsidR="00066736" w:rsidRPr="00EF6689">
        <w:rPr>
          <w:rFonts w:ascii="Verdana" w:eastAsia="Verdana" w:hAnsi="Verdana" w:cs="Verdana"/>
          <w:color w:val="000000"/>
        </w:rPr>
        <w:t xml:space="preserve"> </w:t>
      </w:r>
      <w:r w:rsidR="00066736" w:rsidRPr="00EF6689">
        <w:rPr>
          <w:rFonts w:ascii="Verdana" w:eastAsia="Verdana" w:hAnsi="Verdana" w:cs="Verdana"/>
          <w:color w:val="000000"/>
        </w:rPr>
        <w:t>below)</w:t>
      </w:r>
      <w:r w:rsidR="00281FBD" w:rsidRPr="00EF6689">
        <w:rPr>
          <w:rFonts w:ascii="Verdana" w:eastAsia="Verdana" w:hAnsi="Verdana" w:cs="Verdana"/>
          <w:color w:val="000000"/>
        </w:rPr>
        <w:t>,</w:t>
      </w:r>
      <w:r w:rsidR="0040650F" w:rsidRPr="00EF6689">
        <w:rPr>
          <w:rFonts w:ascii="Verdana" w:eastAsia="Verdana" w:hAnsi="Verdana" w:cs="Verdana"/>
          <w:color w:val="000000"/>
        </w:rPr>
        <w:t xml:space="preserve"> </w:t>
      </w:r>
      <w:r w:rsidR="0072177E" w:rsidRPr="00EF6689">
        <w:rPr>
          <w:rFonts w:ascii="Verdana" w:eastAsia="Verdana" w:hAnsi="Verdana" w:cs="Verdana"/>
          <w:color w:val="000000"/>
        </w:rPr>
        <w:t>inclu</w:t>
      </w:r>
      <w:r w:rsidR="000075EE" w:rsidRPr="00EF6689">
        <w:rPr>
          <w:rFonts w:ascii="Verdana" w:eastAsia="Verdana" w:hAnsi="Verdana" w:cs="Verdana"/>
          <w:color w:val="000000"/>
        </w:rPr>
        <w:t>sion</w:t>
      </w:r>
      <w:r w:rsidR="0040650F" w:rsidRPr="00EF6689">
        <w:rPr>
          <w:rFonts w:ascii="Verdana" w:eastAsia="Verdana" w:hAnsi="Verdana" w:cs="Verdana"/>
          <w:color w:val="000000"/>
        </w:rPr>
        <w:t xml:space="preserve"> </w:t>
      </w:r>
      <w:r w:rsidR="00230C60" w:rsidRPr="00EF6689">
        <w:rPr>
          <w:rFonts w:ascii="Verdana" w:eastAsia="Verdana" w:hAnsi="Verdana" w:cs="Verdana"/>
          <w:color w:val="000000"/>
        </w:rPr>
        <w:t xml:space="preserve">specific policy provisions for </w:t>
      </w:r>
      <w:r w:rsidR="00406BAB" w:rsidRPr="00EF6689">
        <w:rPr>
          <w:rFonts w:ascii="Verdana" w:eastAsia="Verdana" w:hAnsi="Verdana" w:cs="Verdana"/>
          <w:color w:val="000000"/>
        </w:rPr>
        <w:t>Travellers in any homeless</w:t>
      </w:r>
      <w:r w:rsidR="0072177E" w:rsidRPr="00EF6689">
        <w:rPr>
          <w:rFonts w:ascii="Verdana" w:eastAsia="Verdana" w:hAnsi="Verdana" w:cs="Verdana"/>
          <w:color w:val="000000"/>
        </w:rPr>
        <w:t>ness strategies,</w:t>
      </w:r>
      <w:r w:rsidR="00526D12" w:rsidRPr="00EF6689">
        <w:rPr>
          <w:rFonts w:ascii="Verdana" w:eastAsia="Verdana" w:hAnsi="Verdana" w:cs="Verdana"/>
          <w:color w:val="000000"/>
        </w:rPr>
        <w:t xml:space="preserve"> </w:t>
      </w:r>
      <w:r w:rsidR="000075EE" w:rsidRPr="00EF6689">
        <w:rPr>
          <w:rFonts w:ascii="Verdana" w:eastAsia="Verdana" w:hAnsi="Verdana" w:cs="Verdana"/>
          <w:color w:val="000000"/>
        </w:rPr>
        <w:t xml:space="preserve">monitoring </w:t>
      </w:r>
      <w:r w:rsidR="00526D12" w:rsidRPr="00EF6689">
        <w:rPr>
          <w:rFonts w:ascii="Verdana" w:eastAsia="Verdana" w:hAnsi="Verdana" w:cs="Verdana"/>
          <w:color w:val="000000"/>
        </w:rPr>
        <w:t>the use of Housing Benefit</w:t>
      </w:r>
      <w:r w:rsidR="00353E33" w:rsidRPr="00EF6689">
        <w:rPr>
          <w:rFonts w:ascii="Verdana" w:eastAsia="Verdana" w:hAnsi="Verdana" w:cs="Verdana"/>
          <w:color w:val="000000"/>
        </w:rPr>
        <w:t xml:space="preserve"> and ensure that the accommodation </w:t>
      </w:r>
      <w:r w:rsidR="004D6207" w:rsidRPr="00EF6689">
        <w:rPr>
          <w:rFonts w:ascii="Verdana" w:eastAsia="Verdana" w:hAnsi="Verdana" w:cs="Verdana"/>
          <w:color w:val="000000"/>
        </w:rPr>
        <w:t>it pays for is fit for habitation</w:t>
      </w:r>
      <w:r w:rsidR="00542D11" w:rsidRPr="00EF6689">
        <w:rPr>
          <w:rFonts w:ascii="Verdana" w:eastAsia="Verdana" w:hAnsi="Verdana" w:cs="Verdana"/>
          <w:color w:val="000000"/>
        </w:rPr>
        <w:t>, and</w:t>
      </w:r>
      <w:r w:rsidR="00246B3B" w:rsidRPr="00EF6689">
        <w:rPr>
          <w:rFonts w:ascii="Verdana" w:eastAsia="Verdana" w:hAnsi="Verdana" w:cs="Verdana"/>
          <w:color w:val="000000"/>
        </w:rPr>
        <w:t xml:space="preserve"> to ensure that NI Housing Executive staff</w:t>
      </w:r>
      <w:r w:rsidR="00717473" w:rsidRPr="00EF6689">
        <w:rPr>
          <w:rFonts w:ascii="Verdana" w:eastAsia="Verdana" w:hAnsi="Verdana" w:cs="Verdana"/>
          <w:color w:val="000000"/>
        </w:rPr>
        <w:t xml:space="preserve"> are accessible to Travellers, particularly regarding transit and emergency halting on Travellers’ sites</w:t>
      </w:r>
      <w:r w:rsidRPr="00EF6689">
        <w:rPr>
          <w:rFonts w:ascii="Verdana" w:eastAsia="Verdana" w:hAnsi="Verdana" w:cs="Verdana"/>
          <w:color w:val="000000"/>
        </w:rPr>
        <w:t>. On the other 36 recommendations, various degrees of progress had been made but some substantial outstanding issues persisted.</w:t>
      </w:r>
      <w:r w:rsidRPr="00D62DEB">
        <w:rPr>
          <w:rStyle w:val="FootnoteReference"/>
          <w:rFonts w:ascii="Verdana" w:eastAsia="Verdana" w:hAnsi="Verdana" w:cs="Verdana"/>
          <w:color w:val="000000"/>
        </w:rPr>
        <w:footnoteReference w:id="220"/>
      </w:r>
    </w:p>
    <w:p w14:paraId="3B18B605" w14:textId="77777777" w:rsidR="00EF6689" w:rsidRPr="00EF6689" w:rsidRDefault="00EF6689" w:rsidP="00EF6689">
      <w:pPr>
        <w:pStyle w:val="ListParagraph"/>
        <w:rPr>
          <w:rFonts w:ascii="Verdana" w:eastAsia="Verdana" w:hAnsi="Verdana" w:cs="Verdana"/>
          <w:color w:val="000000"/>
        </w:rPr>
      </w:pPr>
    </w:p>
    <w:p w14:paraId="4A0DE858" w14:textId="77777777" w:rsidR="00EF6689" w:rsidRDefault="005416C1"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 xml:space="preserve">In April 2021, the NI Housing Executive wrote to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to outline its response to recommendations and indicating implementation of the recommendations relevant to the Housing Executive.</w:t>
      </w:r>
      <w:r w:rsidRPr="00D62DEB">
        <w:rPr>
          <w:rStyle w:val="FootnoteReference"/>
          <w:rFonts w:ascii="Verdana" w:eastAsia="Verdana" w:hAnsi="Verdana" w:cs="Verdana"/>
          <w:color w:val="000000"/>
        </w:rPr>
        <w:footnoteReference w:id="221"/>
      </w:r>
    </w:p>
    <w:p w14:paraId="129750B0" w14:textId="77777777" w:rsidR="00EF6689" w:rsidRPr="00EF6689" w:rsidRDefault="00EF6689" w:rsidP="00EF6689">
      <w:pPr>
        <w:pStyle w:val="ListParagraph"/>
        <w:rPr>
          <w:rFonts w:ascii="Verdana" w:eastAsia="Verdana" w:hAnsi="Verdana" w:cs="Verdana"/>
          <w:color w:val="000000"/>
        </w:rPr>
      </w:pPr>
    </w:p>
    <w:p w14:paraId="0807E3B3" w14:textId="77777777" w:rsidR="00EF6689" w:rsidRDefault="00E273CF"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In 2020, the NI Housing Executive published its draft Irish Traveller Accommodation Strategy for consultation.</w:t>
      </w:r>
      <w:r w:rsidR="00FC0B32" w:rsidRPr="00D62DEB">
        <w:rPr>
          <w:rStyle w:val="FootnoteReference"/>
          <w:rFonts w:ascii="Verdana" w:eastAsia="Verdana" w:hAnsi="Verdana" w:cs="Verdana"/>
          <w:color w:val="000000"/>
        </w:rPr>
        <w:footnoteReference w:id="222"/>
      </w:r>
      <w:r w:rsidRPr="00EF6689">
        <w:rPr>
          <w:rFonts w:ascii="Verdana" w:eastAsia="Verdana" w:hAnsi="Verdana" w:cs="Verdana"/>
          <w:color w:val="000000"/>
        </w:rPr>
        <w:t xml:space="preserve">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provided a response to the consultation, which highlighted the need to be careful about the language used, to make full use of available data sources</w:t>
      </w:r>
      <w:r w:rsidR="009F2E22" w:rsidRPr="00EF6689">
        <w:rPr>
          <w:rFonts w:ascii="Verdana" w:eastAsia="Verdana" w:hAnsi="Verdana" w:cs="Verdana"/>
          <w:color w:val="000000"/>
        </w:rPr>
        <w:t xml:space="preserve"> and</w:t>
      </w:r>
      <w:r w:rsidRPr="00EF6689">
        <w:rPr>
          <w:rFonts w:ascii="Verdana" w:eastAsia="Verdana" w:hAnsi="Verdana" w:cs="Verdana"/>
          <w:color w:val="000000"/>
        </w:rPr>
        <w:t xml:space="preserve"> to ensure the needs of specific groups of Travellers are addressed.</w:t>
      </w:r>
      <w:r w:rsidRPr="00D62DEB">
        <w:rPr>
          <w:rStyle w:val="FootnoteReference"/>
          <w:rFonts w:ascii="Verdana" w:eastAsia="Verdana" w:hAnsi="Verdana" w:cs="Verdana"/>
          <w:color w:val="000000"/>
        </w:rPr>
        <w:footnoteReference w:id="223"/>
      </w:r>
      <w:r w:rsidR="005019EF" w:rsidRPr="00EF6689">
        <w:rPr>
          <w:rFonts w:ascii="Verdana" w:eastAsia="Verdana" w:hAnsi="Verdana" w:cs="Verdana"/>
          <w:color w:val="000000"/>
        </w:rPr>
        <w:t xml:space="preserve"> </w:t>
      </w:r>
      <w:r w:rsidRPr="00EF6689">
        <w:rPr>
          <w:rFonts w:ascii="Verdana" w:eastAsia="Verdana" w:hAnsi="Verdana" w:cs="Verdana"/>
          <w:color w:val="000000"/>
        </w:rPr>
        <w:t>The new Strategy was subsequently launched in July 2021.</w:t>
      </w:r>
      <w:r w:rsidRPr="00D62DEB">
        <w:rPr>
          <w:rStyle w:val="FootnoteReference"/>
          <w:rFonts w:ascii="Verdana" w:eastAsia="Verdana" w:hAnsi="Verdana" w:cs="Verdana"/>
          <w:color w:val="000000"/>
        </w:rPr>
        <w:footnoteReference w:id="224"/>
      </w:r>
    </w:p>
    <w:p w14:paraId="31B6FFFA" w14:textId="77777777" w:rsidR="00EF6689" w:rsidRPr="00EF6689" w:rsidRDefault="00EF6689" w:rsidP="00EF6689">
      <w:pPr>
        <w:pStyle w:val="ListParagraph"/>
        <w:rPr>
          <w:rFonts w:ascii="Verdana" w:hAnsi="Verdana" w:cs="YIUEB V+ Gotham"/>
          <w:color w:val="000000"/>
        </w:rPr>
      </w:pPr>
    </w:p>
    <w:p w14:paraId="73C57416" w14:textId="77777777" w:rsidR="00EF6689" w:rsidRPr="00EF6689" w:rsidRDefault="00524E08"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In 2020, following a recommendation to do so, the Department for Communities completed a comprehensive review of the 20-year-old Design Guide on Travellers’ Sites, which included focused consultation with the relevant statutory bodies, local councils, interest groups, members of the Traveller communities and their advice and advocacy groups.</w:t>
      </w:r>
      <w:r w:rsidRPr="00D62DEB">
        <w:rPr>
          <w:rStyle w:val="FootnoteReference"/>
          <w:rFonts w:ascii="Verdana" w:hAnsi="Verdana" w:cs="YIUEB V+ Gotham"/>
          <w:color w:val="000000"/>
        </w:rPr>
        <w:footnoteReference w:id="225"/>
      </w:r>
      <w:r w:rsidRPr="00EF6689">
        <w:rPr>
          <w:rStyle w:val="A91"/>
          <w:rFonts w:ascii="Verdana" w:hAnsi="Verdana"/>
          <w:sz w:val="24"/>
          <w:szCs w:val="24"/>
        </w:rPr>
        <w:t xml:space="preserve"> </w:t>
      </w:r>
      <w:r w:rsidRPr="00EF6689">
        <w:rPr>
          <w:rFonts w:ascii="Verdana" w:hAnsi="Verdana" w:cs="YIUEB V+ Gotham"/>
          <w:color w:val="000000"/>
        </w:rPr>
        <w:t>In October 2020, the Department for Communities published a revised Design Guide for Travellers’ Sites in NI, which has been updated to include current health and safety requirements, fire safety guidance, legal and technical advice in relation to fitness standards, service provisions, adaptations and advice on site licencing. It is intended to support the provision of appropriate, cost-effective facilities for Travellers living in NI.</w:t>
      </w:r>
      <w:r w:rsidRPr="00D62DEB">
        <w:rPr>
          <w:rStyle w:val="FootnoteReference"/>
          <w:rFonts w:ascii="Verdana" w:hAnsi="Verdana" w:cs="YIUEB V+ Gotham"/>
          <w:color w:val="000000"/>
        </w:rPr>
        <w:footnoteReference w:id="226"/>
      </w:r>
    </w:p>
    <w:p w14:paraId="7903573D" w14:textId="77777777" w:rsidR="00EF6689" w:rsidRPr="00EF6689" w:rsidRDefault="00EF6689" w:rsidP="00EF6689">
      <w:pPr>
        <w:pStyle w:val="ListParagraph"/>
        <w:rPr>
          <w:rFonts w:ascii="Verdana" w:eastAsia="Verdana" w:hAnsi="Verdana" w:cs="Verdana"/>
          <w:color w:val="000000"/>
        </w:rPr>
      </w:pPr>
    </w:p>
    <w:p w14:paraId="3E5770BD" w14:textId="77777777" w:rsidR="00EF6689" w:rsidRDefault="00803525"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The Department for Communities published a consultation on a new housing supply strategy call for evidence in 2021, in which it highlighted that access to appropriate accommodation for Irish Travellers is limited.</w:t>
      </w:r>
      <w:r w:rsidRPr="00D62DEB">
        <w:rPr>
          <w:rStyle w:val="FootnoteReference"/>
          <w:rFonts w:ascii="Verdana" w:eastAsia="Verdana" w:hAnsi="Verdana" w:cs="Verdana"/>
          <w:color w:val="000000"/>
        </w:rPr>
        <w:footnoteReference w:id="227"/>
      </w:r>
      <w:r w:rsidRPr="00EF6689">
        <w:rPr>
          <w:rFonts w:ascii="Verdana" w:eastAsia="Verdana" w:hAnsi="Verdana" w:cs="Verdana"/>
          <w:color w:val="000000"/>
        </w:rPr>
        <w:t xml:space="preserve"> In its response,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recommended that any housing strategy should ensure sufficient sites for Travellers to set up accommodation, recognising the cultural rights of the Irish Traveller Community to live their traditional lifestyle, and that these sites have sufficient access to essential utilities.</w:t>
      </w:r>
      <w:r w:rsidRPr="00D62DEB">
        <w:rPr>
          <w:rStyle w:val="FootnoteReference"/>
          <w:rFonts w:ascii="Verdana" w:eastAsia="Verdana" w:hAnsi="Verdana" w:cs="Verdana"/>
          <w:color w:val="000000"/>
        </w:rPr>
        <w:footnoteReference w:id="228"/>
      </w:r>
      <w:r w:rsidR="005019EF" w:rsidRPr="00EF6689">
        <w:rPr>
          <w:rFonts w:ascii="Verdana" w:eastAsia="Verdana" w:hAnsi="Verdana" w:cs="Verdana"/>
          <w:color w:val="000000"/>
        </w:rPr>
        <w:t xml:space="preserve"> The NIHRC further noted that there was no specific legislation or policy in place to tackle homelessness within the Traveller communities in NI.</w:t>
      </w:r>
      <w:r w:rsidR="005019EF" w:rsidRPr="00D62DEB">
        <w:rPr>
          <w:rStyle w:val="FootnoteReference"/>
          <w:rFonts w:ascii="Verdana" w:eastAsia="Verdana" w:hAnsi="Verdana" w:cs="Verdana"/>
          <w:color w:val="000000"/>
        </w:rPr>
        <w:footnoteReference w:id="229"/>
      </w:r>
    </w:p>
    <w:p w14:paraId="3B8CC8B8" w14:textId="77777777" w:rsidR="00EF6689" w:rsidRPr="00EF6689" w:rsidRDefault="00EF6689" w:rsidP="00EF6689">
      <w:pPr>
        <w:pStyle w:val="ListParagraph"/>
        <w:rPr>
          <w:rFonts w:ascii="Verdana" w:eastAsia="Verdana" w:hAnsi="Verdana" w:cs="Verdana"/>
          <w:color w:val="000000"/>
        </w:rPr>
      </w:pPr>
    </w:p>
    <w:p w14:paraId="7EC23754" w14:textId="77777777" w:rsidR="00EF6689" w:rsidRPr="00EF6689" w:rsidRDefault="00720E59"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In December 2021, the</w:t>
      </w:r>
      <w:r w:rsidR="00F344B9" w:rsidRPr="00EF6689">
        <w:rPr>
          <w:rFonts w:ascii="Verdana" w:eastAsia="Verdana" w:hAnsi="Verdana" w:cs="Verdana"/>
          <w:color w:val="000000"/>
        </w:rPr>
        <w:t xml:space="preserve"> Department of Communities </w:t>
      </w:r>
      <w:r w:rsidR="002300E5" w:rsidRPr="00EF6689">
        <w:rPr>
          <w:rFonts w:ascii="Verdana" w:eastAsia="Verdana" w:hAnsi="Verdana" w:cs="Verdana"/>
          <w:color w:val="000000"/>
        </w:rPr>
        <w:t>also</w:t>
      </w:r>
      <w:r w:rsidR="00F344B9" w:rsidRPr="00EF6689">
        <w:rPr>
          <w:rFonts w:ascii="Verdana" w:eastAsia="Verdana" w:hAnsi="Verdana" w:cs="Verdana"/>
          <w:color w:val="000000"/>
        </w:rPr>
        <w:t xml:space="preserve"> </w:t>
      </w:r>
      <w:r w:rsidR="002300E5" w:rsidRPr="00EF6689">
        <w:rPr>
          <w:rFonts w:ascii="Verdana" w:eastAsia="Verdana" w:hAnsi="Verdana" w:cs="Verdana"/>
          <w:color w:val="000000"/>
        </w:rPr>
        <w:t xml:space="preserve">launched a 12-week stakeholder engagement </w:t>
      </w:r>
      <w:r w:rsidR="00F966DA" w:rsidRPr="00EF6689">
        <w:rPr>
          <w:rFonts w:ascii="Verdana" w:eastAsia="Verdana" w:hAnsi="Verdana" w:cs="Verdana"/>
          <w:color w:val="000000"/>
        </w:rPr>
        <w:t xml:space="preserve">consultation </w:t>
      </w:r>
      <w:r w:rsidR="002300E5" w:rsidRPr="00EF6689">
        <w:rPr>
          <w:rFonts w:ascii="Verdana" w:eastAsia="Verdana" w:hAnsi="Verdana" w:cs="Verdana"/>
          <w:color w:val="000000"/>
        </w:rPr>
        <w:t>on the review of the Caravan</w:t>
      </w:r>
      <w:r w:rsidRPr="00EF6689">
        <w:rPr>
          <w:rFonts w:ascii="Verdana" w:eastAsia="Verdana" w:hAnsi="Verdana" w:cs="Verdana"/>
          <w:color w:val="000000"/>
        </w:rPr>
        <w:t>s</w:t>
      </w:r>
      <w:r w:rsidR="002300E5" w:rsidRPr="00EF6689">
        <w:rPr>
          <w:rFonts w:ascii="Verdana" w:eastAsia="Verdana" w:hAnsi="Verdana" w:cs="Verdana"/>
          <w:color w:val="000000"/>
        </w:rPr>
        <w:t xml:space="preserve"> Act</w:t>
      </w:r>
      <w:r w:rsidR="002B694E" w:rsidRPr="00EF6689">
        <w:rPr>
          <w:rFonts w:ascii="Verdana" w:eastAsia="Verdana" w:hAnsi="Verdana" w:cs="Verdana"/>
          <w:color w:val="000000"/>
        </w:rPr>
        <w:t xml:space="preserve"> </w:t>
      </w:r>
      <w:r w:rsidR="002B694E" w:rsidRPr="00EF6689">
        <w:rPr>
          <w:rFonts w:ascii="Verdana" w:hAnsi="Verdana"/>
          <w:color w:val="222222"/>
          <w:shd w:val="clear" w:color="auto" w:fill="FFFFFF"/>
        </w:rPr>
        <w:t>(NI) 2011</w:t>
      </w:r>
      <w:r w:rsidR="00D14B05" w:rsidRPr="00EF6689">
        <w:rPr>
          <w:rFonts w:ascii="Verdana" w:hAnsi="Verdana"/>
          <w:color w:val="222222"/>
          <w:shd w:val="clear" w:color="auto" w:fill="FFFFFF"/>
        </w:rPr>
        <w:t xml:space="preserve"> for an </w:t>
      </w:r>
      <w:r w:rsidR="002B694E" w:rsidRPr="00EF6689">
        <w:rPr>
          <w:rFonts w:ascii="Verdana" w:hAnsi="Verdana"/>
          <w:color w:val="222222"/>
          <w:shd w:val="clear" w:color="auto" w:fill="FFFFFF"/>
        </w:rPr>
        <w:t>assessment of the key emerging issues of the current</w:t>
      </w:r>
      <w:r w:rsidR="00D14B05" w:rsidRPr="00EF6689">
        <w:rPr>
          <w:rFonts w:ascii="Verdana" w:hAnsi="Verdana"/>
          <w:color w:val="222222"/>
          <w:shd w:val="clear" w:color="auto" w:fill="FFFFFF"/>
        </w:rPr>
        <w:t xml:space="preserve"> legislation</w:t>
      </w:r>
      <w:r w:rsidR="008B4899" w:rsidRPr="00EF6689">
        <w:rPr>
          <w:rFonts w:ascii="Verdana" w:hAnsi="Verdana"/>
          <w:color w:val="222222"/>
          <w:shd w:val="clear" w:color="auto" w:fill="FFFFFF"/>
        </w:rPr>
        <w:t>.</w:t>
      </w:r>
      <w:r w:rsidR="00567DFC">
        <w:rPr>
          <w:rStyle w:val="FootnoteReference"/>
          <w:rFonts w:ascii="Verdana" w:hAnsi="Verdana"/>
          <w:color w:val="222222"/>
          <w:shd w:val="clear" w:color="auto" w:fill="FFFFFF"/>
        </w:rPr>
        <w:footnoteReference w:id="230"/>
      </w:r>
      <w:r w:rsidR="008B4899" w:rsidRPr="00EF6689">
        <w:rPr>
          <w:rFonts w:ascii="Verdana" w:hAnsi="Verdana"/>
          <w:color w:val="222222"/>
          <w:shd w:val="clear" w:color="auto" w:fill="FFFFFF"/>
        </w:rPr>
        <w:t xml:space="preserve"> </w:t>
      </w:r>
    </w:p>
    <w:p w14:paraId="7BD1892C" w14:textId="77777777" w:rsidR="00EF6689" w:rsidRPr="00EF6689" w:rsidRDefault="00EF6689" w:rsidP="00EF6689">
      <w:pPr>
        <w:pStyle w:val="ListParagraph"/>
        <w:rPr>
          <w:rFonts w:ascii="Verdana" w:eastAsia="Verdana" w:hAnsi="Verdana" w:cs="Verdana"/>
          <w:b/>
          <w:color w:val="000000" w:themeColor="text1"/>
        </w:rPr>
      </w:pPr>
    </w:p>
    <w:p w14:paraId="5DF76E96" w14:textId="54348AEB" w:rsidR="009E7B60" w:rsidRPr="00EF6689" w:rsidRDefault="001B74A1"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b/>
          <w:color w:val="000000" w:themeColor="text1"/>
        </w:rPr>
        <w:t xml:space="preserve">The </w:t>
      </w:r>
      <w:r w:rsidR="00905EDD" w:rsidRPr="00EF6689">
        <w:rPr>
          <w:rFonts w:ascii="Verdana" w:eastAsia="Verdana" w:hAnsi="Verdana" w:cs="Verdana"/>
          <w:b/>
          <w:color w:val="000000" w:themeColor="text1"/>
        </w:rPr>
        <w:t>Advisory Committee may wish to ask the State party</w:t>
      </w:r>
      <w:r w:rsidR="001B05AE" w:rsidRPr="00EF6689">
        <w:rPr>
          <w:rFonts w:ascii="Verdana" w:eastAsia="Verdana" w:hAnsi="Verdana" w:cs="Verdana"/>
          <w:b/>
          <w:color w:val="000000" w:themeColor="text1"/>
        </w:rPr>
        <w:t>:</w:t>
      </w:r>
      <w:r w:rsidR="00905EDD" w:rsidRPr="00EF6689">
        <w:rPr>
          <w:rFonts w:ascii="Verdana" w:eastAsia="Verdana" w:hAnsi="Verdana" w:cs="Verdana"/>
          <w:b/>
          <w:color w:val="000000" w:themeColor="text1"/>
        </w:rPr>
        <w:t xml:space="preserve"> </w:t>
      </w:r>
    </w:p>
    <w:p w14:paraId="785A520C" w14:textId="77777777" w:rsidR="009E7B60" w:rsidRPr="00007227" w:rsidRDefault="009E7B60" w:rsidP="00EA5F3D">
      <w:pPr>
        <w:pStyle w:val="ListParagraph"/>
        <w:rPr>
          <w:rFonts w:ascii="Verdana" w:eastAsia="Verdana" w:hAnsi="Verdana" w:cs="Verdana"/>
          <w:b/>
          <w:color w:val="000000" w:themeColor="text1"/>
        </w:rPr>
      </w:pPr>
    </w:p>
    <w:p w14:paraId="0E4C488C" w14:textId="5D47AD48" w:rsidR="001B05AE" w:rsidRPr="000F0757" w:rsidRDefault="00083E51" w:rsidP="00915669">
      <w:pPr>
        <w:pStyle w:val="ListParagraph"/>
        <w:numPr>
          <w:ilvl w:val="0"/>
          <w:numId w:val="11"/>
        </w:numPr>
        <w:spacing w:line="276" w:lineRule="auto"/>
        <w:rPr>
          <w:rFonts w:ascii="Verdana" w:eastAsia="Verdana" w:hAnsi="Verdana" w:cs="Verdana"/>
          <w:b/>
          <w:color w:val="000000"/>
        </w:rPr>
      </w:pPr>
      <w:r w:rsidRPr="000E775E">
        <w:rPr>
          <w:rFonts w:ascii="Verdana" w:eastAsia="Verdana" w:hAnsi="Verdana" w:cs="Verdana"/>
          <w:b/>
          <w:color w:val="000000" w:themeColor="text1"/>
        </w:rPr>
        <w:t xml:space="preserve">how it intends to implement the </w:t>
      </w:r>
      <w:r w:rsidR="00173BA9">
        <w:rPr>
          <w:rFonts w:ascii="Verdana" w:eastAsia="Verdana" w:hAnsi="Verdana" w:cs="Verdana"/>
          <w:b/>
          <w:color w:val="000000" w:themeColor="text1"/>
        </w:rPr>
        <w:t>outstanding</w:t>
      </w:r>
      <w:r w:rsidRPr="000E775E">
        <w:rPr>
          <w:rFonts w:ascii="Verdana" w:eastAsia="Verdana" w:hAnsi="Verdana" w:cs="Verdana"/>
          <w:b/>
          <w:color w:val="000000" w:themeColor="text1"/>
        </w:rPr>
        <w:t xml:space="preserve"> recommendations </w:t>
      </w:r>
      <w:r w:rsidR="00173BA9">
        <w:rPr>
          <w:rFonts w:ascii="Verdana" w:eastAsia="Verdana" w:hAnsi="Verdana" w:cs="Verdana"/>
          <w:b/>
          <w:color w:val="000000" w:themeColor="text1"/>
        </w:rPr>
        <w:t>from</w:t>
      </w:r>
      <w:r w:rsidR="00E20F1C" w:rsidRPr="000E775E">
        <w:rPr>
          <w:rFonts w:ascii="Verdana" w:eastAsia="Verdana" w:hAnsi="Verdana" w:cs="Verdana"/>
          <w:b/>
          <w:color w:val="000000" w:themeColor="text1"/>
        </w:rPr>
        <w:t xml:space="preserve"> the </w:t>
      </w:r>
      <w:r w:rsidR="00B83E02" w:rsidRPr="000E775E">
        <w:rPr>
          <w:rFonts w:ascii="Verdana" w:eastAsia="Verdana" w:hAnsi="Verdana" w:cs="Verdana"/>
          <w:b/>
          <w:color w:val="000000" w:themeColor="text1"/>
        </w:rPr>
        <w:t>NIHRC’s</w:t>
      </w:r>
      <w:r w:rsidR="00E20F1C" w:rsidRPr="000E775E">
        <w:rPr>
          <w:rFonts w:ascii="Verdana" w:eastAsia="Verdana" w:hAnsi="Verdana" w:cs="Verdana"/>
          <w:b/>
          <w:color w:val="000000" w:themeColor="text1"/>
        </w:rPr>
        <w:t xml:space="preserve"> investigation</w:t>
      </w:r>
      <w:r w:rsidR="004B0951" w:rsidRPr="000E775E">
        <w:rPr>
          <w:rFonts w:ascii="Verdana" w:eastAsia="Verdana" w:hAnsi="Verdana" w:cs="Verdana"/>
          <w:b/>
          <w:color w:val="000000" w:themeColor="text1"/>
        </w:rPr>
        <w:t xml:space="preserve"> – including</w:t>
      </w:r>
      <w:r w:rsidR="001B05AE" w:rsidRPr="000E775E">
        <w:rPr>
          <w:rFonts w:ascii="Verdana" w:eastAsia="Verdana" w:hAnsi="Verdana" w:cs="Verdana"/>
          <w:b/>
          <w:color w:val="000000" w:themeColor="text1"/>
        </w:rPr>
        <w:t xml:space="preserve"> </w:t>
      </w:r>
      <w:r w:rsidR="003E1D7B" w:rsidRPr="000E775E">
        <w:rPr>
          <w:rFonts w:ascii="Verdana" w:eastAsia="Verdana" w:hAnsi="Verdana" w:cs="Verdana"/>
          <w:b/>
          <w:color w:val="000000"/>
        </w:rPr>
        <w:t>amending the Housing (NI) Order 2003 to enable the NI Housing Executive to provide nomadic housing structures</w:t>
      </w:r>
      <w:r w:rsidR="00173BA9">
        <w:rPr>
          <w:rFonts w:ascii="Verdana" w:eastAsia="Verdana" w:hAnsi="Verdana" w:cs="Verdana"/>
          <w:b/>
          <w:color w:val="000000"/>
        </w:rPr>
        <w:t>;</w:t>
      </w:r>
      <w:r w:rsidR="003E1D7B" w:rsidRPr="000E775E">
        <w:rPr>
          <w:rFonts w:ascii="Verdana" w:eastAsia="Verdana" w:hAnsi="Verdana" w:cs="Verdana"/>
          <w:b/>
          <w:color w:val="000000"/>
        </w:rPr>
        <w:t xml:space="preserve"> </w:t>
      </w:r>
      <w:r w:rsidR="00AB59B6" w:rsidRPr="000E775E">
        <w:rPr>
          <w:rFonts w:ascii="Verdana" w:eastAsia="Verdana" w:hAnsi="Verdana" w:cs="Verdana"/>
          <w:b/>
          <w:color w:val="000000"/>
        </w:rPr>
        <w:t>providing</w:t>
      </w:r>
      <w:r w:rsidR="002744B7" w:rsidRPr="000E775E">
        <w:rPr>
          <w:rFonts w:ascii="Verdana" w:eastAsia="Verdana" w:hAnsi="Verdana" w:cs="Verdana"/>
          <w:b/>
          <w:color w:val="000000"/>
        </w:rPr>
        <w:t xml:space="preserve"> specific policies to tackle homelessness</w:t>
      </w:r>
      <w:r w:rsidR="00173BA9">
        <w:rPr>
          <w:rFonts w:ascii="Verdana" w:eastAsia="Verdana" w:hAnsi="Verdana" w:cs="Verdana"/>
          <w:b/>
          <w:color w:val="000000"/>
        </w:rPr>
        <w:t>;</w:t>
      </w:r>
      <w:r w:rsidR="002744B7" w:rsidRPr="000E775E">
        <w:rPr>
          <w:rFonts w:ascii="Verdana" w:eastAsia="Verdana" w:hAnsi="Verdana" w:cs="Verdana"/>
          <w:b/>
          <w:color w:val="000000"/>
        </w:rPr>
        <w:t xml:space="preserve"> </w:t>
      </w:r>
      <w:r w:rsidR="00AB59B6" w:rsidRPr="000E775E">
        <w:rPr>
          <w:rFonts w:ascii="Verdana" w:eastAsia="Verdana" w:hAnsi="Verdana" w:cs="Verdana"/>
          <w:b/>
          <w:color w:val="000000"/>
        </w:rPr>
        <w:t>monitoring</w:t>
      </w:r>
      <w:r w:rsidR="002744B7" w:rsidRPr="000E775E">
        <w:rPr>
          <w:rFonts w:ascii="Verdana" w:eastAsia="Verdana" w:hAnsi="Verdana" w:cs="Verdana"/>
          <w:b/>
          <w:color w:val="000000"/>
        </w:rPr>
        <w:t xml:space="preserve"> the use of Housing Benefit and</w:t>
      </w:r>
      <w:r w:rsidR="004B0951" w:rsidRPr="000E775E">
        <w:rPr>
          <w:rFonts w:ascii="Verdana" w:eastAsia="Verdana" w:hAnsi="Verdana" w:cs="Verdana"/>
          <w:b/>
          <w:color w:val="000000" w:themeColor="text1"/>
        </w:rPr>
        <w:t xml:space="preserve"> </w:t>
      </w:r>
      <w:r w:rsidR="00705B87" w:rsidRPr="000E775E">
        <w:rPr>
          <w:rFonts w:ascii="Verdana" w:eastAsia="Verdana" w:hAnsi="Verdana" w:cs="Verdana"/>
          <w:b/>
          <w:color w:val="000000" w:themeColor="text1"/>
        </w:rPr>
        <w:t xml:space="preserve">ensure </w:t>
      </w:r>
      <w:r w:rsidR="002A7C24" w:rsidRPr="000E775E">
        <w:rPr>
          <w:rFonts w:ascii="Verdana" w:eastAsia="Verdana" w:hAnsi="Verdana" w:cs="Verdana"/>
          <w:b/>
          <w:color w:val="000000" w:themeColor="text1"/>
        </w:rPr>
        <w:t>that public authorities are accessible to Traveller communi</w:t>
      </w:r>
      <w:r w:rsidR="000E775E" w:rsidRPr="000E775E">
        <w:rPr>
          <w:rFonts w:ascii="Verdana" w:eastAsia="Verdana" w:hAnsi="Verdana" w:cs="Verdana"/>
          <w:b/>
          <w:color w:val="000000" w:themeColor="text1"/>
        </w:rPr>
        <w:t>ties</w:t>
      </w:r>
      <w:r w:rsidR="001B05AE" w:rsidRPr="000E775E">
        <w:rPr>
          <w:rFonts w:ascii="Verdana" w:eastAsia="Verdana" w:hAnsi="Verdana" w:cs="Verdana"/>
          <w:b/>
          <w:color w:val="000000" w:themeColor="text1"/>
        </w:rPr>
        <w:t>;</w:t>
      </w:r>
      <w:r w:rsidR="000E775E" w:rsidRPr="000E775E">
        <w:rPr>
          <w:rFonts w:ascii="Verdana" w:eastAsia="Verdana" w:hAnsi="Verdana" w:cs="Verdana"/>
          <w:b/>
          <w:color w:val="000000" w:themeColor="text1"/>
        </w:rPr>
        <w:t xml:space="preserve"> </w:t>
      </w:r>
      <w:r w:rsidR="00E20F1C" w:rsidRPr="000E775E">
        <w:rPr>
          <w:rFonts w:ascii="Verdana" w:eastAsia="Verdana" w:hAnsi="Verdana" w:cs="Verdana"/>
          <w:b/>
          <w:color w:val="000000" w:themeColor="text1"/>
        </w:rPr>
        <w:t xml:space="preserve">and </w:t>
      </w:r>
    </w:p>
    <w:p w14:paraId="7C424A9E" w14:textId="26289510" w:rsidR="00666BE6" w:rsidRPr="000E775E" w:rsidRDefault="005B6FF0" w:rsidP="00915669">
      <w:pPr>
        <w:pStyle w:val="ListParagraph"/>
        <w:numPr>
          <w:ilvl w:val="0"/>
          <w:numId w:val="11"/>
        </w:numPr>
        <w:spacing w:line="276" w:lineRule="auto"/>
        <w:rPr>
          <w:rFonts w:ascii="Verdana" w:eastAsia="Verdana" w:hAnsi="Verdana" w:cs="Verdana"/>
          <w:b/>
          <w:color w:val="000000"/>
        </w:rPr>
      </w:pPr>
      <w:r w:rsidRPr="000E775E">
        <w:rPr>
          <w:rFonts w:ascii="Verdana" w:eastAsia="Verdana" w:hAnsi="Verdana" w:cs="Verdana"/>
          <w:b/>
          <w:color w:val="000000" w:themeColor="text1"/>
        </w:rPr>
        <w:t xml:space="preserve">to </w:t>
      </w:r>
      <w:r w:rsidR="004277B4" w:rsidRPr="000E775E">
        <w:rPr>
          <w:rFonts w:ascii="Verdana" w:eastAsia="Verdana" w:hAnsi="Verdana" w:cs="Verdana"/>
          <w:b/>
          <w:color w:val="000000" w:themeColor="text1"/>
        </w:rPr>
        <w:t>ensure there are</w:t>
      </w:r>
      <w:r w:rsidRPr="000E775E">
        <w:rPr>
          <w:rFonts w:ascii="Verdana" w:eastAsia="Verdana" w:hAnsi="Verdana" w:cs="Verdana"/>
          <w:b/>
          <w:color w:val="000000" w:themeColor="text1"/>
        </w:rPr>
        <w:t xml:space="preserve"> </w:t>
      </w:r>
      <w:r w:rsidR="00E20F1C" w:rsidRPr="000E775E">
        <w:rPr>
          <w:rFonts w:ascii="Verdana" w:eastAsia="Verdana" w:hAnsi="Verdana" w:cs="Verdana"/>
          <w:b/>
          <w:color w:val="000000" w:themeColor="text1"/>
        </w:rPr>
        <w:t xml:space="preserve">long-term strategies </w:t>
      </w:r>
      <w:r w:rsidR="009E7480" w:rsidRPr="000E775E">
        <w:rPr>
          <w:rFonts w:ascii="Verdana" w:eastAsia="Verdana" w:hAnsi="Verdana" w:cs="Verdana"/>
          <w:b/>
          <w:color w:val="000000" w:themeColor="text1"/>
        </w:rPr>
        <w:t>that guarantee</w:t>
      </w:r>
      <w:r w:rsidR="004B0951" w:rsidRPr="000E775E">
        <w:rPr>
          <w:rFonts w:ascii="Verdana" w:eastAsia="Verdana" w:hAnsi="Verdana" w:cs="Verdana"/>
          <w:b/>
          <w:color w:val="000000" w:themeColor="text1"/>
        </w:rPr>
        <w:t xml:space="preserve"> </w:t>
      </w:r>
      <w:r w:rsidR="00E20F1C" w:rsidRPr="000E775E">
        <w:rPr>
          <w:rFonts w:ascii="Verdana" w:eastAsia="Verdana" w:hAnsi="Verdana" w:cs="Verdana"/>
          <w:b/>
          <w:color w:val="000000" w:themeColor="text1"/>
        </w:rPr>
        <w:t>that these recommendations are adhered to.</w:t>
      </w:r>
    </w:p>
    <w:p w14:paraId="6A533549" w14:textId="77777777" w:rsidR="00666BE6" w:rsidRPr="00666BE6" w:rsidRDefault="00666BE6" w:rsidP="00EA04B3">
      <w:pPr>
        <w:pStyle w:val="ListParagraph"/>
        <w:ind w:left="709" w:hanging="709"/>
        <w:rPr>
          <w:rFonts w:ascii="Verdana" w:eastAsia="Verdana" w:hAnsi="Verdana" w:cs="Verdana"/>
          <w:color w:val="000000"/>
        </w:rPr>
      </w:pPr>
    </w:p>
    <w:p w14:paraId="6C0A8312" w14:textId="1E13788A" w:rsidR="00666BE6" w:rsidRPr="00FF0BDC" w:rsidRDefault="00666BE6" w:rsidP="00666BE6">
      <w:pPr>
        <w:pStyle w:val="Heading2"/>
        <w:spacing w:line="276" w:lineRule="auto"/>
        <w:rPr>
          <w:szCs w:val="24"/>
        </w:rPr>
      </w:pPr>
      <w:bookmarkStart w:id="34" w:name="_Toc97030923"/>
      <w:r w:rsidRPr="00FF0BDC">
        <w:rPr>
          <w:szCs w:val="24"/>
        </w:rPr>
        <w:t>Unauthorised Encampments (NI) Order 2005</w:t>
      </w:r>
      <w:bookmarkEnd w:id="34"/>
    </w:p>
    <w:p w14:paraId="16358F02" w14:textId="77777777" w:rsidR="00666BE6" w:rsidRPr="00666BE6" w:rsidRDefault="00666BE6" w:rsidP="00666BE6">
      <w:pPr>
        <w:pStyle w:val="ListParagraph"/>
        <w:rPr>
          <w:rFonts w:ascii="Verdana" w:hAnsi="Verdana" w:cs="YIUEB V+ Gotham"/>
          <w:color w:val="000000"/>
        </w:rPr>
      </w:pPr>
    </w:p>
    <w:p w14:paraId="3E8CEAD2" w14:textId="3F19425F" w:rsidR="00EF6689" w:rsidRPr="00EF6689" w:rsidRDefault="00EF6689"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I</w:t>
      </w:r>
      <w:r w:rsidR="008361D9" w:rsidRPr="00EF6689">
        <w:rPr>
          <w:rFonts w:ascii="Verdana" w:hAnsi="Verdana" w:cs="YIUEB V+ Gotham"/>
          <w:color w:val="000000"/>
        </w:rPr>
        <w:t>n 2016, the UN ICESCR Committee expressed concern at how the Unauthorised Encampments (NI) Order 2005 “makes Roma/Gypsies and Irish Travellers liable to be evicted from their homes, to have their homes destroyed and then to be imprisoned and/or fined” and has recommended that this is legislation repealed</w:t>
      </w:r>
      <w:r w:rsidR="0042081D" w:rsidRPr="00EF6689">
        <w:rPr>
          <w:rFonts w:ascii="Verdana" w:hAnsi="Verdana" w:cs="YIUEB V+ Gotham"/>
          <w:color w:val="000000"/>
        </w:rPr>
        <w:t>.</w:t>
      </w:r>
      <w:r w:rsidR="000F050E" w:rsidRPr="00D62DEB">
        <w:rPr>
          <w:rStyle w:val="FootnoteReference"/>
          <w:rFonts w:ascii="Verdana" w:hAnsi="Verdana" w:cs="YIUEB V+ Gotham"/>
          <w:color w:val="000000"/>
        </w:rPr>
        <w:footnoteReference w:id="231"/>
      </w:r>
    </w:p>
    <w:p w14:paraId="4714064F" w14:textId="77777777" w:rsidR="00EF6689" w:rsidRPr="00EF6689" w:rsidRDefault="00EF6689" w:rsidP="00EF6689">
      <w:pPr>
        <w:pStyle w:val="ListParagraph"/>
        <w:spacing w:line="276" w:lineRule="auto"/>
        <w:rPr>
          <w:rFonts w:ascii="Verdana" w:eastAsia="Verdana" w:hAnsi="Verdana" w:cs="Verdana"/>
          <w:color w:val="000000"/>
        </w:rPr>
      </w:pPr>
    </w:p>
    <w:p w14:paraId="49F9664A" w14:textId="77777777" w:rsidR="00EF6689" w:rsidRDefault="003645EA"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 xml:space="preserve">In 2018, use of the Unauthorised Encampments (NI) Order 2005 was considered by the </w:t>
      </w:r>
      <w:r w:rsidR="00C35AD9" w:rsidRPr="00EF6689">
        <w:rPr>
          <w:rFonts w:ascii="Verdana" w:eastAsia="Verdana" w:hAnsi="Verdana" w:cs="Verdana"/>
          <w:color w:val="000000"/>
        </w:rPr>
        <w:t>NIHRC</w:t>
      </w:r>
      <w:r w:rsidRPr="00EF6689">
        <w:rPr>
          <w:rFonts w:ascii="Verdana" w:eastAsia="Verdana" w:hAnsi="Verdana" w:cs="Verdana"/>
          <w:color w:val="000000"/>
        </w:rPr>
        <w:t xml:space="preserve"> as part of its Travellers’ accommodation investigation. The Police Service of NI reported that the powers under the legislation are used sparingly. Some representatives of the Police Service of NI and civil society organisations believe the 2005 Order bears more heavily on Traveller communities.</w:t>
      </w:r>
      <w:r w:rsidRPr="00D62DEB">
        <w:rPr>
          <w:rStyle w:val="FootnoteReference"/>
          <w:rFonts w:ascii="Verdana" w:eastAsia="Verdana" w:hAnsi="Verdana" w:cs="Verdana"/>
          <w:color w:val="000000"/>
        </w:rPr>
        <w:footnoteReference w:id="232"/>
      </w:r>
      <w:r w:rsidRPr="00EF6689">
        <w:rPr>
          <w:rFonts w:ascii="Verdana" w:eastAsia="Verdana" w:hAnsi="Verdana" w:cs="Verdana"/>
          <w:color w:val="000000"/>
        </w:rPr>
        <w:t xml:space="preserve"> The </w:t>
      </w:r>
      <w:r w:rsidR="00B83E02" w:rsidRPr="00EF6689">
        <w:rPr>
          <w:rFonts w:ascii="Verdana" w:eastAsia="Verdana" w:hAnsi="Verdana" w:cs="Verdana"/>
          <w:color w:val="000000"/>
        </w:rPr>
        <w:t>NIHRC’s</w:t>
      </w:r>
      <w:r w:rsidRPr="00EF6689">
        <w:rPr>
          <w:rFonts w:ascii="Verdana" w:eastAsia="Verdana" w:hAnsi="Verdana" w:cs="Verdana"/>
          <w:color w:val="000000"/>
        </w:rPr>
        <w:t xml:space="preserve"> investigation confirmed that the 2005 Order “has a disproportionate impact on the Traveller communities and threatens their nomadic culture”.</w:t>
      </w:r>
      <w:r w:rsidR="00191CD5" w:rsidRPr="00D62DEB">
        <w:rPr>
          <w:rStyle w:val="FootnoteReference"/>
          <w:rFonts w:ascii="Verdana" w:eastAsia="Verdana" w:hAnsi="Verdana" w:cs="Verdana"/>
          <w:color w:val="000000"/>
        </w:rPr>
        <w:footnoteReference w:id="233"/>
      </w:r>
    </w:p>
    <w:p w14:paraId="7FD6120D" w14:textId="77777777" w:rsidR="00EF6689" w:rsidRPr="00EF6689" w:rsidRDefault="00EF6689" w:rsidP="00EF6689">
      <w:pPr>
        <w:pStyle w:val="ListParagraph"/>
        <w:rPr>
          <w:rFonts w:ascii="Verdana" w:hAnsi="Verdana" w:cs="YIUEB V+ Gotham"/>
          <w:color w:val="000000"/>
        </w:rPr>
      </w:pPr>
    </w:p>
    <w:p w14:paraId="41719ED4" w14:textId="3EE7011C" w:rsidR="00EF6689" w:rsidRPr="00EF6689" w:rsidRDefault="00A95014"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The Department for Communities accepts that the powers under the 2005 Order ha</w:t>
      </w:r>
      <w:r w:rsidR="00D46E99" w:rsidRPr="00EF6689">
        <w:rPr>
          <w:rFonts w:ascii="Verdana" w:hAnsi="Verdana" w:cs="YIUEB V+ Gotham"/>
          <w:color w:val="000000"/>
        </w:rPr>
        <w:t>ve</w:t>
      </w:r>
      <w:r w:rsidRPr="00EF6689">
        <w:rPr>
          <w:rFonts w:ascii="Verdana" w:hAnsi="Verdana" w:cs="YIUEB V+ Gotham"/>
          <w:color w:val="000000"/>
        </w:rPr>
        <w:t xml:space="preserve"> a particular impact on Travellers in NI, but states that annual monitoring of the impact “indicates that the provisions of the 2005 Order have been applied sensitively, pragmatically and proportionately and are effective in balancing the rights of the Irish Travellers, landowners and the settled community”.</w:t>
      </w:r>
      <w:r w:rsidRPr="00D62DEB">
        <w:rPr>
          <w:rStyle w:val="FootnoteReference"/>
          <w:rFonts w:ascii="Verdana" w:hAnsi="Verdana" w:cs="YIUEB V+ Gotham"/>
          <w:color w:val="000000"/>
        </w:rPr>
        <w:footnoteReference w:id="234"/>
      </w:r>
      <w:r w:rsidRPr="00EF6689">
        <w:rPr>
          <w:rStyle w:val="A91"/>
          <w:rFonts w:ascii="Verdana" w:hAnsi="Verdana"/>
          <w:sz w:val="24"/>
          <w:szCs w:val="24"/>
        </w:rPr>
        <w:t xml:space="preserve"> </w:t>
      </w:r>
      <w:r w:rsidRPr="00EF6689">
        <w:rPr>
          <w:rFonts w:ascii="Verdana" w:hAnsi="Verdana" w:cs="YIUEB V+ Gotham"/>
          <w:color w:val="000000"/>
        </w:rPr>
        <w:t>For example, the NI Housing Executive operates a co-operation policy. This policy permits Travellers to set up an</w:t>
      </w:r>
      <w:r w:rsidR="000C5D8B" w:rsidRPr="00EF6689">
        <w:rPr>
          <w:rFonts w:ascii="Verdana" w:hAnsi="Verdana" w:cs="YIUEB V+ Gotham"/>
          <w:color w:val="000000"/>
        </w:rPr>
        <w:t xml:space="preserve"> </w:t>
      </w:r>
      <w:r w:rsidRPr="00EF6689">
        <w:rPr>
          <w:rFonts w:ascii="Verdana" w:hAnsi="Verdana" w:cs="YIUEB V+ Gotham"/>
          <w:color w:val="000000"/>
        </w:rPr>
        <w:t>unauthorised encampment on public land for which there is no current or immediate use and permits them to occupy the land provided it does not create a public health or traffic hazard and the land is maintained in a reasonable and orderly manner. The NI Housing Executive emphasises that the policy is not a substitute for permanent or transit sites but is intended to act as a way of dealing with a humane requirement.</w:t>
      </w:r>
      <w:r w:rsidRPr="00D62DEB">
        <w:rPr>
          <w:rStyle w:val="FootnoteReference"/>
          <w:rFonts w:ascii="Verdana" w:hAnsi="Verdana" w:cs="YIUEB V+ Gotham"/>
          <w:color w:val="000000"/>
        </w:rPr>
        <w:footnoteReference w:id="235"/>
      </w:r>
      <w:r w:rsidRPr="00EF6689">
        <w:rPr>
          <w:rStyle w:val="A91"/>
          <w:rFonts w:ascii="Verdana" w:hAnsi="Verdana"/>
          <w:sz w:val="24"/>
          <w:szCs w:val="24"/>
        </w:rPr>
        <w:t xml:space="preserve"> </w:t>
      </w:r>
      <w:r w:rsidRPr="00EF6689">
        <w:rPr>
          <w:rFonts w:ascii="Verdana" w:hAnsi="Verdana" w:cs="YIUEB V+ Gotham"/>
          <w:color w:val="000000"/>
        </w:rPr>
        <w:t>The NI Housing Executive Irish Travellers Accommodation Strategy 2021-26 notes that the number of unauthorised encampments operating in NI has significantly reduced over the years, with the NI Housing Executive aware of only one at the time of the strategy’s publication in July 2021.</w:t>
      </w:r>
      <w:r w:rsidR="009B2E28" w:rsidRPr="00D62DEB">
        <w:rPr>
          <w:rStyle w:val="FootnoteReference"/>
          <w:rFonts w:ascii="Verdana" w:hAnsi="Verdana" w:cs="YIUEB V+ Gotham"/>
          <w:color w:val="000000"/>
        </w:rPr>
        <w:footnoteReference w:id="236"/>
      </w:r>
    </w:p>
    <w:p w14:paraId="3F226929" w14:textId="77777777" w:rsidR="00EF6689" w:rsidRPr="00EF6689" w:rsidRDefault="00EF6689" w:rsidP="00EF6689">
      <w:pPr>
        <w:pStyle w:val="ListParagraph"/>
        <w:spacing w:line="276" w:lineRule="auto"/>
        <w:rPr>
          <w:rFonts w:ascii="Verdana" w:eastAsia="Verdana" w:hAnsi="Verdana" w:cs="Verdana"/>
          <w:color w:val="000000"/>
        </w:rPr>
      </w:pPr>
    </w:p>
    <w:p w14:paraId="7130A14D" w14:textId="77777777" w:rsidR="00EF6689" w:rsidRPr="00EF6689" w:rsidRDefault="000A4C7E"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In 2019, the Department for Communities re-confirmed it had no plans to repeal the 2005 Order and highlighted that any proposed change to legislation would require the approval of the Minister for Communities and NI Executive and the agreement of the NI Assembly.</w:t>
      </w:r>
      <w:r w:rsidRPr="00D62DEB">
        <w:rPr>
          <w:rStyle w:val="FootnoteReference"/>
          <w:rFonts w:ascii="Verdana" w:hAnsi="Verdana" w:cs="YIUEB V+ Gotham"/>
          <w:color w:val="000000"/>
        </w:rPr>
        <w:footnoteReference w:id="237"/>
      </w:r>
    </w:p>
    <w:p w14:paraId="71A9042D" w14:textId="77777777" w:rsidR="00EF6689" w:rsidRPr="00EF6689" w:rsidRDefault="00EF6689" w:rsidP="00EF6689">
      <w:pPr>
        <w:pStyle w:val="ListParagraph"/>
        <w:rPr>
          <w:rFonts w:ascii="Verdana" w:hAnsi="Verdana" w:cs="YIUEB V+ Gotham"/>
          <w:color w:val="000000"/>
        </w:rPr>
      </w:pPr>
    </w:p>
    <w:p w14:paraId="2E2A27A8" w14:textId="77777777" w:rsidR="00EF6689" w:rsidRPr="00EF6689" w:rsidRDefault="00F36DD4" w:rsidP="00915669">
      <w:pPr>
        <w:pStyle w:val="ListParagraph"/>
        <w:numPr>
          <w:ilvl w:val="1"/>
          <w:numId w:val="18"/>
        </w:numPr>
        <w:spacing w:line="276" w:lineRule="auto"/>
        <w:rPr>
          <w:rFonts w:ascii="Verdana" w:eastAsia="Verdana" w:hAnsi="Verdana" w:cs="Verdana"/>
          <w:color w:val="000000"/>
        </w:rPr>
      </w:pPr>
      <w:r w:rsidRPr="00EF6689">
        <w:rPr>
          <w:rFonts w:ascii="Verdana" w:hAnsi="Verdana" w:cs="YIUEB V+ Gotham"/>
          <w:color w:val="000000"/>
        </w:rPr>
        <w:t xml:space="preserve">In </w:t>
      </w:r>
      <w:r w:rsidR="002877E8" w:rsidRPr="00EF6689">
        <w:rPr>
          <w:rFonts w:ascii="Verdana" w:hAnsi="Verdana" w:cs="YIUEB V+ Gotham"/>
          <w:color w:val="000000"/>
        </w:rPr>
        <w:t>advice to the</w:t>
      </w:r>
      <w:r w:rsidRPr="00EF6689">
        <w:rPr>
          <w:rFonts w:ascii="Verdana" w:hAnsi="Verdana" w:cs="YIUEB V+ Gotham"/>
          <w:color w:val="000000"/>
        </w:rPr>
        <w:t xml:space="preserve"> Department for Communities consultation on a new housing supply strategy call for evidence,</w:t>
      </w:r>
      <w:r w:rsidRPr="00D62DEB">
        <w:rPr>
          <w:rStyle w:val="FootnoteReference"/>
          <w:rFonts w:ascii="Verdana" w:hAnsi="Verdana" w:cs="YIUEB V+ Gotham"/>
          <w:color w:val="000000"/>
        </w:rPr>
        <w:footnoteReference w:id="238"/>
      </w:r>
      <w:r w:rsidRPr="00EF6689">
        <w:rPr>
          <w:rStyle w:val="A91"/>
          <w:rFonts w:ascii="Verdana" w:hAnsi="Verdana"/>
          <w:sz w:val="24"/>
          <w:szCs w:val="24"/>
        </w:rPr>
        <w:t xml:space="preserve"> </w:t>
      </w:r>
      <w:r w:rsidRPr="00EF6689">
        <w:rPr>
          <w:rFonts w:ascii="Verdana" w:hAnsi="Verdana" w:cs="YIUEB V+ Gotham"/>
          <w:color w:val="000000"/>
        </w:rPr>
        <w:t xml:space="preserve">the </w:t>
      </w:r>
      <w:r w:rsidR="00C35AD9" w:rsidRPr="00EF6689">
        <w:rPr>
          <w:rFonts w:ascii="Verdana" w:hAnsi="Verdana" w:cs="YIUEB V+ Gotham"/>
          <w:color w:val="000000"/>
        </w:rPr>
        <w:t xml:space="preserve">NIHRC </w:t>
      </w:r>
      <w:r w:rsidRPr="00EF6689">
        <w:rPr>
          <w:rFonts w:ascii="Verdana" w:hAnsi="Verdana" w:cs="YIUEB V+ Gotham"/>
          <w:color w:val="000000"/>
        </w:rPr>
        <w:t>highlighted that the limited provision of Traveller-specific accommodation and the existence of the Unauthorised Encampments (NI) Order 2005</w:t>
      </w:r>
      <w:r w:rsidR="00765CF0" w:rsidRPr="00EF6689">
        <w:rPr>
          <w:rFonts w:ascii="Verdana" w:hAnsi="Verdana" w:cs="YIUEB V+ Gotham"/>
          <w:color w:val="000000"/>
        </w:rPr>
        <w:t xml:space="preserve"> leaves Travellers vulnerable to homelessness; the </w:t>
      </w:r>
      <w:r w:rsidR="00C35AD9" w:rsidRPr="00EF6689">
        <w:rPr>
          <w:rFonts w:ascii="Verdana" w:hAnsi="Verdana" w:cs="YIUEB V+ Gotham"/>
          <w:color w:val="000000"/>
        </w:rPr>
        <w:t>NIHRC</w:t>
      </w:r>
      <w:r w:rsidR="00765CF0" w:rsidRPr="00EF6689">
        <w:rPr>
          <w:rFonts w:ascii="Verdana" w:hAnsi="Verdana" w:cs="YIUEB V+ Gotham"/>
          <w:color w:val="000000"/>
        </w:rPr>
        <w:t xml:space="preserve"> therefore called on the Department to recognise the cultural rights of the Irish Traveller Community to live their traditional lifestyle and to provide appropriate sites for Traveller accommodation with sufficient access to essential utilities.</w:t>
      </w:r>
      <w:r w:rsidRPr="00D62DEB">
        <w:rPr>
          <w:rStyle w:val="FootnoteReference"/>
          <w:rFonts w:ascii="Verdana" w:hAnsi="Verdana" w:cs="YIUEB V+ Gotham"/>
          <w:color w:val="000000"/>
        </w:rPr>
        <w:footnoteReference w:id="239"/>
      </w:r>
    </w:p>
    <w:p w14:paraId="22401AA5" w14:textId="77777777" w:rsidR="00EF6689" w:rsidRPr="00EF6689" w:rsidRDefault="00EF6689" w:rsidP="00EF6689">
      <w:pPr>
        <w:pStyle w:val="ListParagraph"/>
        <w:rPr>
          <w:rFonts w:ascii="Verdana" w:eastAsia="Verdana" w:hAnsi="Verdana" w:cs="Verdana"/>
          <w:b/>
          <w:color w:val="000000" w:themeColor="text1"/>
        </w:rPr>
      </w:pPr>
    </w:p>
    <w:p w14:paraId="71BA1E03" w14:textId="22FBBA63" w:rsidR="000D0FCA" w:rsidRPr="00EF6689" w:rsidRDefault="004D3E8D"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b/>
          <w:color w:val="000000" w:themeColor="text1"/>
        </w:rPr>
        <w:t xml:space="preserve">The Advisory Committee may </w:t>
      </w:r>
      <w:r w:rsidR="00A63A19" w:rsidRPr="00EF6689">
        <w:rPr>
          <w:rFonts w:ascii="Verdana" w:eastAsia="Verdana" w:hAnsi="Verdana" w:cs="Verdana"/>
          <w:b/>
          <w:color w:val="000000" w:themeColor="text1"/>
        </w:rPr>
        <w:t>wish to call upon the State Party to repeal the Unauthorised Encampments (NI) Order 2005.</w:t>
      </w:r>
    </w:p>
    <w:p w14:paraId="039960E5" w14:textId="77777777" w:rsidR="000D0FCA" w:rsidRDefault="000D0FCA" w:rsidP="000D0FCA">
      <w:pPr>
        <w:spacing w:line="276" w:lineRule="auto"/>
        <w:ind w:left="142"/>
        <w:rPr>
          <w:rFonts w:ascii="Verdana" w:eastAsia="Verdana" w:hAnsi="Verdana" w:cs="Verdana"/>
          <w:color w:val="000000"/>
        </w:rPr>
      </w:pPr>
    </w:p>
    <w:p w14:paraId="70F53B27" w14:textId="5808F929" w:rsidR="000D0FCA" w:rsidRPr="00FF0BDC" w:rsidRDefault="000D0FCA" w:rsidP="000D0FCA">
      <w:pPr>
        <w:pStyle w:val="Heading2"/>
        <w:spacing w:line="276" w:lineRule="auto"/>
      </w:pPr>
      <w:bookmarkStart w:id="35" w:name="_Toc97030924"/>
      <w:r w:rsidRPr="00FF0BDC">
        <w:t>Housing Inequality</w:t>
      </w:r>
      <w:bookmarkEnd w:id="35"/>
    </w:p>
    <w:p w14:paraId="5C562C7A" w14:textId="77777777" w:rsidR="000D0FCA" w:rsidRPr="000D0FCA" w:rsidRDefault="000D0FCA" w:rsidP="000D0FCA">
      <w:pPr>
        <w:spacing w:line="276" w:lineRule="auto"/>
        <w:ind w:left="142"/>
        <w:rPr>
          <w:rFonts w:ascii="Verdana" w:eastAsia="Verdana" w:hAnsi="Verdana" w:cs="Verdana"/>
          <w:color w:val="000000"/>
        </w:rPr>
      </w:pPr>
    </w:p>
    <w:p w14:paraId="335E128B" w14:textId="0F133687" w:rsidR="00070636" w:rsidRPr="00EF6689" w:rsidRDefault="00070636" w:rsidP="00915669">
      <w:pPr>
        <w:pStyle w:val="ListParagraph"/>
        <w:numPr>
          <w:ilvl w:val="1"/>
          <w:numId w:val="18"/>
        </w:numPr>
        <w:spacing w:line="276" w:lineRule="auto"/>
        <w:rPr>
          <w:rFonts w:ascii="Verdana" w:eastAsia="Verdana" w:hAnsi="Verdana" w:cs="Verdana"/>
          <w:color w:val="000000"/>
        </w:rPr>
      </w:pPr>
      <w:r w:rsidRPr="00EF6689">
        <w:rPr>
          <w:rFonts w:ascii="Verdana" w:eastAsia="Verdana" w:hAnsi="Verdana" w:cs="Verdana"/>
          <w:color w:val="000000"/>
        </w:rPr>
        <w:t xml:space="preserve">In 2016, the UN ICESCR Committee urged the UK Government and NI Executive to: </w:t>
      </w:r>
    </w:p>
    <w:p w14:paraId="3AFA3B2F" w14:textId="77777777" w:rsidR="00070636" w:rsidRPr="00D62DEB" w:rsidRDefault="00070636" w:rsidP="004656A5">
      <w:pPr>
        <w:spacing w:line="276" w:lineRule="auto"/>
        <w:rPr>
          <w:rFonts w:ascii="Verdana" w:eastAsia="Verdana" w:hAnsi="Verdana" w:cs="Verdana"/>
          <w:color w:val="000000"/>
        </w:rPr>
      </w:pPr>
    </w:p>
    <w:p w14:paraId="15BB60A0" w14:textId="0FEF73D7" w:rsidR="00397822" w:rsidRPr="00D62DEB" w:rsidRDefault="00070636" w:rsidP="004656A5">
      <w:pPr>
        <w:spacing w:line="276" w:lineRule="auto"/>
        <w:ind w:left="1440"/>
        <w:rPr>
          <w:rFonts w:ascii="Verdana" w:hAnsi="Verdana" w:cs="Gotham Light"/>
          <w:i/>
          <w:iCs/>
          <w:color w:val="000000"/>
        </w:rPr>
      </w:pPr>
      <w:r w:rsidRPr="0015190A">
        <w:rPr>
          <w:rFonts w:ascii="Verdana" w:hAnsi="Verdana" w:cs="Gotham Light"/>
          <w:color w:val="000000"/>
        </w:rPr>
        <w:t xml:space="preserve">adopt all necessary measures to address the housing deficit by ensuring a sufficient supply of housing, in particular social housing units, especially for the most disadvantaged and marginalised individuals and groups, including middle-and-low-income individuals and households, young </w:t>
      </w:r>
      <w:proofErr w:type="gramStart"/>
      <w:r w:rsidRPr="0015190A">
        <w:rPr>
          <w:rFonts w:ascii="Verdana" w:hAnsi="Verdana" w:cs="Gotham Light"/>
          <w:color w:val="000000"/>
        </w:rPr>
        <w:t>people</w:t>
      </w:r>
      <w:proofErr w:type="gramEnd"/>
      <w:r w:rsidRPr="0015190A">
        <w:rPr>
          <w:rFonts w:ascii="Verdana" w:hAnsi="Verdana" w:cs="Gotham Light"/>
          <w:color w:val="000000"/>
        </w:rPr>
        <w:t xml:space="preserve"> and persons with disabilities</w:t>
      </w:r>
      <w:r w:rsidRPr="00D62DEB">
        <w:rPr>
          <w:rFonts w:ascii="Verdana" w:hAnsi="Verdana" w:cs="Gotham Light"/>
          <w:i/>
          <w:iCs/>
          <w:color w:val="000000"/>
        </w:rPr>
        <w:t>.</w:t>
      </w:r>
      <w:r w:rsidRPr="00D62DEB">
        <w:rPr>
          <w:rStyle w:val="FootnoteReference"/>
          <w:rFonts w:ascii="Verdana" w:hAnsi="Verdana" w:cs="Gotham Light"/>
          <w:i/>
          <w:iCs/>
          <w:color w:val="000000"/>
        </w:rPr>
        <w:footnoteReference w:id="240"/>
      </w:r>
    </w:p>
    <w:p w14:paraId="703BAD1C" w14:textId="77777777" w:rsidR="00397822" w:rsidRPr="00D62DEB" w:rsidRDefault="00397822" w:rsidP="004656A5">
      <w:pPr>
        <w:spacing w:line="276" w:lineRule="auto"/>
        <w:ind w:left="1440"/>
        <w:rPr>
          <w:rFonts w:ascii="Verdana" w:hAnsi="Verdana" w:cs="Gotham Light"/>
          <w:i/>
          <w:iCs/>
          <w:color w:val="000000"/>
        </w:rPr>
      </w:pPr>
    </w:p>
    <w:p w14:paraId="4DA65C7C" w14:textId="0236D858" w:rsidR="00EF6689" w:rsidRPr="00EF6689" w:rsidRDefault="009043D8" w:rsidP="00915669">
      <w:pPr>
        <w:pStyle w:val="ListParagraph"/>
        <w:numPr>
          <w:ilvl w:val="1"/>
          <w:numId w:val="18"/>
        </w:numPr>
        <w:spacing w:line="276" w:lineRule="auto"/>
        <w:rPr>
          <w:rFonts w:ascii="Verdana" w:hAnsi="Verdana" w:cs="Gotham Light"/>
          <w:i/>
          <w:color w:val="000000"/>
        </w:rPr>
      </w:pPr>
      <w:r w:rsidRPr="00EF6689">
        <w:rPr>
          <w:rFonts w:ascii="Verdana" w:hAnsi="Verdana" w:cs="YIUEB V+ Gotham"/>
          <w:color w:val="000000"/>
        </w:rPr>
        <w:t>On 31 March 202</w:t>
      </w:r>
      <w:r w:rsidR="00584F65" w:rsidRPr="00EF6689">
        <w:rPr>
          <w:rFonts w:ascii="Verdana" w:hAnsi="Verdana" w:cs="YIUEB V+ Gotham"/>
          <w:color w:val="000000"/>
        </w:rPr>
        <w:t>1</w:t>
      </w:r>
      <w:r w:rsidRPr="00EF6689">
        <w:rPr>
          <w:rFonts w:ascii="Verdana" w:hAnsi="Verdana" w:cs="YIUEB V+ Gotham"/>
          <w:color w:val="000000"/>
        </w:rPr>
        <w:t xml:space="preserve">, the total number of applicants on the social housing waiting list was </w:t>
      </w:r>
      <w:r w:rsidR="00584F65" w:rsidRPr="00EF6689">
        <w:rPr>
          <w:rFonts w:ascii="Verdana" w:hAnsi="Verdana" w:cs="YIUEB V+ Gotham"/>
          <w:color w:val="000000"/>
        </w:rPr>
        <w:t>43,971</w:t>
      </w:r>
      <w:r w:rsidRPr="00EF6689">
        <w:rPr>
          <w:rFonts w:ascii="Verdana" w:hAnsi="Verdana" w:cs="YIUEB V+ Gotham"/>
          <w:color w:val="000000"/>
        </w:rPr>
        <w:t xml:space="preserve">, an increase from </w:t>
      </w:r>
      <w:r w:rsidR="00933CEF" w:rsidRPr="00EF6689">
        <w:rPr>
          <w:rFonts w:ascii="Verdana" w:hAnsi="Verdana" w:cs="YIUEB V+ Gotham"/>
          <w:color w:val="000000"/>
        </w:rPr>
        <w:t>38,245</w:t>
      </w:r>
      <w:r w:rsidRPr="00EF6689">
        <w:rPr>
          <w:rFonts w:ascii="Verdana" w:hAnsi="Verdana" w:cs="YIUEB V+ Gotham"/>
          <w:color w:val="000000"/>
        </w:rPr>
        <w:t xml:space="preserve"> in the previous year.</w:t>
      </w:r>
      <w:r w:rsidR="00397822" w:rsidRPr="00D62DEB">
        <w:rPr>
          <w:rStyle w:val="FootnoteReference"/>
          <w:rFonts w:ascii="Verdana" w:hAnsi="Verdana" w:cs="YIUEB V+ Gotham"/>
          <w:color w:val="000000"/>
        </w:rPr>
        <w:footnoteReference w:id="241"/>
      </w:r>
      <w:r w:rsidR="00397822" w:rsidRPr="00EF6689">
        <w:rPr>
          <w:rFonts w:ascii="Verdana" w:hAnsi="Verdana" w:cs="YIUEB V+ Gotham"/>
          <w:color w:val="000000"/>
        </w:rPr>
        <w:t xml:space="preserve"> </w:t>
      </w:r>
      <w:r w:rsidRPr="00EF6689">
        <w:rPr>
          <w:rFonts w:ascii="Verdana" w:hAnsi="Verdana" w:cs="YIUEB V+ Gotham"/>
          <w:color w:val="000000"/>
        </w:rPr>
        <w:t xml:space="preserve">Of these applicants, </w:t>
      </w:r>
      <w:r w:rsidR="00933CEF" w:rsidRPr="00EF6689">
        <w:rPr>
          <w:rFonts w:ascii="Verdana" w:hAnsi="Verdana" w:cs="YIUEB V+ Gotham"/>
          <w:color w:val="000000"/>
        </w:rPr>
        <w:t>30,288</w:t>
      </w:r>
      <w:r w:rsidRPr="00EF6689">
        <w:rPr>
          <w:rFonts w:ascii="Verdana" w:hAnsi="Verdana" w:cs="YIUEB V+ Gotham"/>
          <w:color w:val="000000"/>
        </w:rPr>
        <w:t xml:space="preserve"> were in housing stress, where they had 30 or more points under the Common Selection Scheme.</w:t>
      </w:r>
      <w:r w:rsidR="00397822" w:rsidRPr="00D62DEB">
        <w:rPr>
          <w:rStyle w:val="FootnoteReference"/>
          <w:rFonts w:ascii="Verdana" w:hAnsi="Verdana" w:cs="YIUEB V+ Gotham"/>
          <w:color w:val="000000"/>
        </w:rPr>
        <w:footnoteReference w:id="242"/>
      </w:r>
      <w:r w:rsidRPr="00EF6689">
        <w:rPr>
          <w:rFonts w:ascii="Verdana" w:hAnsi="Verdana" w:cs="YIUEB V+ Gotham"/>
          <w:color w:val="000000"/>
        </w:rPr>
        <w:t xml:space="preserve"> In 2015, it was reported that there is an overall requirement of 190,000 new dwellings needed in NI between 2008 and 2025, an annual figure of 11,200.</w:t>
      </w:r>
      <w:r w:rsidR="00397822" w:rsidRPr="00D62DEB">
        <w:rPr>
          <w:rStyle w:val="FootnoteReference"/>
          <w:rFonts w:ascii="Verdana" w:hAnsi="Verdana" w:cs="YIUEB V+ Gotham"/>
          <w:color w:val="000000"/>
        </w:rPr>
        <w:footnoteReference w:id="243"/>
      </w:r>
      <w:r w:rsidRPr="00EF6689">
        <w:rPr>
          <w:rFonts w:ascii="Verdana" w:hAnsi="Verdana" w:cs="YIUEB V+ Gotham"/>
          <w:color w:val="000000"/>
        </w:rPr>
        <w:t xml:space="preserve"> Current targets fall short of this, with an increase of </w:t>
      </w:r>
      <w:r w:rsidR="00076B7B" w:rsidRPr="00EF6689">
        <w:rPr>
          <w:rFonts w:ascii="Verdana" w:hAnsi="Verdana" w:cs="YIUEB V+ Gotham"/>
          <w:color w:val="000000"/>
        </w:rPr>
        <w:t>6,398</w:t>
      </w:r>
      <w:r w:rsidRPr="00EF6689">
        <w:rPr>
          <w:rFonts w:ascii="Verdana" w:hAnsi="Verdana" w:cs="YIUEB V+ Gotham"/>
          <w:color w:val="000000"/>
        </w:rPr>
        <w:t xml:space="preserve"> social housing stock between 2019/2020 and 20</w:t>
      </w:r>
      <w:r w:rsidR="009F01B8" w:rsidRPr="00EF6689">
        <w:rPr>
          <w:rFonts w:ascii="Verdana" w:hAnsi="Verdana" w:cs="YIUEB V+ Gotham"/>
          <w:color w:val="000000"/>
        </w:rPr>
        <w:t>20</w:t>
      </w:r>
      <w:r w:rsidRPr="00EF6689">
        <w:rPr>
          <w:rFonts w:ascii="Verdana" w:hAnsi="Verdana" w:cs="YIUEB V+ Gotham"/>
          <w:color w:val="000000"/>
        </w:rPr>
        <w:t>/202</w:t>
      </w:r>
      <w:r w:rsidR="009F01B8" w:rsidRPr="00EF6689">
        <w:rPr>
          <w:rFonts w:ascii="Verdana" w:hAnsi="Verdana" w:cs="YIUEB V+ Gotham"/>
          <w:color w:val="000000"/>
        </w:rPr>
        <w:t>1</w:t>
      </w:r>
      <w:r w:rsidRPr="00EF6689">
        <w:rPr>
          <w:rFonts w:ascii="Verdana" w:hAnsi="Verdana" w:cs="YIUEB V+ Gotham"/>
          <w:color w:val="000000"/>
        </w:rPr>
        <w:t>. In 2020/20</w:t>
      </w:r>
      <w:r w:rsidR="00FF5047" w:rsidRPr="00EF6689">
        <w:rPr>
          <w:rFonts w:ascii="Verdana" w:hAnsi="Verdana" w:cs="YIUEB V+ Gotham"/>
          <w:color w:val="000000"/>
        </w:rPr>
        <w:t>21</w:t>
      </w:r>
      <w:r w:rsidR="004953CB" w:rsidRPr="00EF6689">
        <w:rPr>
          <w:rFonts w:ascii="Verdana" w:hAnsi="Verdana" w:cs="YIUEB V+ Gotham"/>
          <w:color w:val="000000"/>
        </w:rPr>
        <w:t xml:space="preserve">, the total social housing stock was </w:t>
      </w:r>
      <w:r w:rsidR="002B4D2A" w:rsidRPr="00EF6689">
        <w:rPr>
          <w:rFonts w:ascii="Verdana" w:hAnsi="Verdana" w:cs="YIUEB V+ Gotham"/>
          <w:color w:val="000000"/>
        </w:rPr>
        <w:t>814,210</w:t>
      </w:r>
      <w:r w:rsidR="004953CB" w:rsidRPr="00EF6689">
        <w:rPr>
          <w:rFonts w:ascii="Verdana" w:hAnsi="Verdana" w:cs="YIUEB V+ Gotham"/>
          <w:color w:val="000000"/>
        </w:rPr>
        <w:t xml:space="preserve">, an increase from </w:t>
      </w:r>
      <w:r w:rsidR="00FF5047" w:rsidRPr="00EF6689">
        <w:rPr>
          <w:rFonts w:ascii="Verdana" w:hAnsi="Verdana" w:cs="YIUEB V+ Gotham"/>
          <w:color w:val="000000"/>
        </w:rPr>
        <w:t>807,812</w:t>
      </w:r>
      <w:r w:rsidR="004953CB" w:rsidRPr="00EF6689">
        <w:rPr>
          <w:rFonts w:ascii="Verdana" w:hAnsi="Verdana" w:cs="YIUEB V+ Gotham"/>
          <w:color w:val="000000"/>
        </w:rPr>
        <w:t xml:space="preserve"> in 2019/20</w:t>
      </w:r>
      <w:r w:rsidR="00FF5047" w:rsidRPr="00EF6689">
        <w:rPr>
          <w:rFonts w:ascii="Verdana" w:hAnsi="Verdana" w:cs="YIUEB V+ Gotham"/>
          <w:color w:val="000000"/>
        </w:rPr>
        <w:t>20</w:t>
      </w:r>
      <w:r w:rsidR="004953CB" w:rsidRPr="00EF6689">
        <w:rPr>
          <w:rFonts w:ascii="Verdana" w:hAnsi="Verdana" w:cs="YIUEB V+ Gotham"/>
          <w:color w:val="000000"/>
        </w:rPr>
        <w:t>.</w:t>
      </w:r>
      <w:r w:rsidR="004953CB" w:rsidRPr="00D62DEB">
        <w:rPr>
          <w:rStyle w:val="FootnoteReference"/>
          <w:rFonts w:ascii="Verdana" w:hAnsi="Verdana" w:cs="YIUEB V+ Gotham"/>
          <w:color w:val="000000"/>
        </w:rPr>
        <w:footnoteReference w:id="244"/>
      </w:r>
    </w:p>
    <w:p w14:paraId="0D164C8A" w14:textId="77777777" w:rsidR="00EF6689" w:rsidRPr="00EF6689" w:rsidRDefault="00EF6689" w:rsidP="00EF6689">
      <w:pPr>
        <w:pStyle w:val="ListParagraph"/>
        <w:spacing w:line="276" w:lineRule="auto"/>
        <w:rPr>
          <w:rFonts w:ascii="Verdana" w:hAnsi="Verdana" w:cs="Gotham Light"/>
          <w:i/>
          <w:color w:val="000000"/>
        </w:rPr>
      </w:pPr>
    </w:p>
    <w:p w14:paraId="0A62900C" w14:textId="77777777" w:rsidR="00EF6689" w:rsidRPr="00EF6689" w:rsidRDefault="00696EA0" w:rsidP="00915669">
      <w:pPr>
        <w:pStyle w:val="ListParagraph"/>
        <w:numPr>
          <w:ilvl w:val="1"/>
          <w:numId w:val="18"/>
        </w:numPr>
        <w:spacing w:line="276" w:lineRule="auto"/>
        <w:rPr>
          <w:rStyle w:val="A91"/>
          <w:rFonts w:ascii="Verdana" w:hAnsi="Verdana" w:cs="Gotham Light"/>
          <w:i/>
          <w:sz w:val="24"/>
          <w:szCs w:val="24"/>
        </w:rPr>
      </w:pPr>
      <w:r w:rsidRPr="00EF6689">
        <w:rPr>
          <w:rFonts w:ascii="Verdana" w:hAnsi="Verdana" w:cs="YIUEB V+ Gotham"/>
          <w:color w:val="000000"/>
        </w:rPr>
        <w:t>The housing strategy for NI expired in 2017.</w:t>
      </w:r>
      <w:r w:rsidRPr="00D62DEB">
        <w:rPr>
          <w:rStyle w:val="FootnoteReference"/>
          <w:rFonts w:ascii="Verdana" w:hAnsi="Verdana" w:cs="YIUEB V+ Gotham"/>
          <w:color w:val="000000"/>
        </w:rPr>
        <w:footnoteReference w:id="245"/>
      </w:r>
      <w:r w:rsidRPr="00EF6689">
        <w:rPr>
          <w:rStyle w:val="A91"/>
          <w:rFonts w:ascii="Verdana" w:hAnsi="Verdana"/>
          <w:sz w:val="24"/>
          <w:szCs w:val="24"/>
        </w:rPr>
        <w:t xml:space="preserve"> </w:t>
      </w:r>
      <w:r w:rsidRPr="00EF6689">
        <w:rPr>
          <w:rFonts w:ascii="Verdana" w:hAnsi="Verdana" w:cs="YIUEB V+ Gotham"/>
          <w:color w:val="000000"/>
        </w:rPr>
        <w:t>In New Decade, New Approach, the NI Executive committed to “including housing as a specific priority in the Programme for Government”, which “will be augmented with a new outcome and indicators to provide specific focus on ensuring every household has access to a good quality, affordable and sustainable home that is appropriate for its needs”.</w:t>
      </w:r>
      <w:r w:rsidRPr="00D62DEB">
        <w:rPr>
          <w:rStyle w:val="FootnoteReference"/>
          <w:rFonts w:ascii="Verdana" w:hAnsi="Verdana" w:cs="YIUEB V+ Gotham"/>
          <w:color w:val="000000"/>
        </w:rPr>
        <w:footnoteReference w:id="246"/>
      </w:r>
      <w:r w:rsidRPr="00EF6689">
        <w:rPr>
          <w:rStyle w:val="A91"/>
          <w:rFonts w:ascii="Verdana" w:hAnsi="Verdana"/>
          <w:sz w:val="24"/>
          <w:szCs w:val="24"/>
        </w:rPr>
        <w:t xml:space="preserve"> </w:t>
      </w:r>
      <w:r w:rsidRPr="00EF6689">
        <w:rPr>
          <w:rFonts w:ascii="Verdana" w:hAnsi="Verdana" w:cs="YIUEB V+ Gotham"/>
          <w:color w:val="000000"/>
        </w:rPr>
        <w:t>It also committed to “enhance investment and agree a target for new social and affordable home starts and tackle the maintenance backlog for NI Housing Executive properties”.</w:t>
      </w:r>
      <w:r w:rsidRPr="00D62DEB">
        <w:rPr>
          <w:rStyle w:val="FootnoteReference"/>
          <w:rFonts w:ascii="Verdana" w:hAnsi="Verdana" w:cs="YIUEB V+ Gotham"/>
          <w:color w:val="000000"/>
        </w:rPr>
        <w:footnoteReference w:id="247"/>
      </w:r>
      <w:r w:rsidRPr="00EF6689">
        <w:rPr>
          <w:rStyle w:val="A91"/>
          <w:rFonts w:ascii="Verdana" w:hAnsi="Verdana"/>
          <w:sz w:val="24"/>
          <w:szCs w:val="24"/>
        </w:rPr>
        <w:t xml:space="preserve"> </w:t>
      </w:r>
    </w:p>
    <w:p w14:paraId="023CD575" w14:textId="77777777" w:rsidR="00EF6689" w:rsidRPr="00EF6689" w:rsidRDefault="00EF6689" w:rsidP="00EF6689">
      <w:pPr>
        <w:pStyle w:val="ListParagraph"/>
        <w:rPr>
          <w:rFonts w:ascii="Verdana" w:hAnsi="Verdana" w:cs="YIUEB V+ Gotham"/>
          <w:color w:val="000000"/>
        </w:rPr>
      </w:pPr>
    </w:p>
    <w:p w14:paraId="696FEAB5" w14:textId="77777777" w:rsidR="00EF6689" w:rsidRPr="00EF6689" w:rsidRDefault="00EF3563" w:rsidP="00915669">
      <w:pPr>
        <w:pStyle w:val="ListParagraph"/>
        <w:numPr>
          <w:ilvl w:val="1"/>
          <w:numId w:val="18"/>
        </w:numPr>
        <w:spacing w:line="276" w:lineRule="auto"/>
        <w:rPr>
          <w:rFonts w:ascii="Verdana" w:hAnsi="Verdana" w:cs="Gotham Light"/>
          <w:i/>
          <w:color w:val="000000"/>
        </w:rPr>
      </w:pPr>
      <w:r w:rsidRPr="00EF6689">
        <w:rPr>
          <w:rFonts w:ascii="Verdana" w:hAnsi="Verdana" w:cs="YIUEB V+ Gotham"/>
          <w:color w:val="000000"/>
        </w:rPr>
        <w:t>The New Decade, New Approach includes a commitment to reclassify housing associations</w:t>
      </w:r>
      <w:r w:rsidR="009E7480" w:rsidRPr="00EF6689">
        <w:rPr>
          <w:rFonts w:ascii="Verdana" w:hAnsi="Verdana" w:cs="YIUEB V+ Gotham"/>
          <w:color w:val="000000"/>
        </w:rPr>
        <w:t xml:space="preserve"> </w:t>
      </w:r>
      <w:r w:rsidRPr="00EF6689">
        <w:rPr>
          <w:rFonts w:ascii="Verdana" w:hAnsi="Verdana" w:cs="YIUEB V+ Gotham"/>
          <w:color w:val="000000"/>
        </w:rPr>
        <w:t>to “enable housing associations to continue building new social housing and intermediate housing, including the Co-ownership Housing Scheme after March 2020”.</w:t>
      </w:r>
      <w:r w:rsidRPr="00D62DEB">
        <w:rPr>
          <w:rStyle w:val="FootnoteReference"/>
          <w:rFonts w:ascii="Verdana" w:hAnsi="Verdana" w:cs="YIUEB V+ Gotham"/>
          <w:color w:val="000000"/>
        </w:rPr>
        <w:footnoteReference w:id="248"/>
      </w:r>
      <w:r w:rsidRPr="00EF6689">
        <w:rPr>
          <w:rFonts w:ascii="Verdana" w:hAnsi="Verdana" w:cs="YIUEB V+ Gotham"/>
          <w:color w:val="000000"/>
        </w:rPr>
        <w:t xml:space="preserve"> In August 2020, the Housing (Amendment) Act (NI) 2020, which delivers on this commitment and ends the statutory right to buy scheme for Housing Associations was given Royal Assent.</w:t>
      </w:r>
    </w:p>
    <w:p w14:paraId="058C009E" w14:textId="77777777" w:rsidR="00EF6689" w:rsidRPr="00EF6689" w:rsidRDefault="00EF6689" w:rsidP="00EF6689">
      <w:pPr>
        <w:pStyle w:val="ListParagraph"/>
        <w:rPr>
          <w:rFonts w:ascii="Verdana" w:hAnsi="Verdana" w:cs="YIUEB V+ Gotham"/>
          <w:color w:val="000000"/>
        </w:rPr>
      </w:pPr>
    </w:p>
    <w:p w14:paraId="1A18E8ED" w14:textId="77777777" w:rsidR="00EF6689" w:rsidRPr="00EF6689" w:rsidRDefault="0033000D" w:rsidP="00915669">
      <w:pPr>
        <w:pStyle w:val="ListParagraph"/>
        <w:numPr>
          <w:ilvl w:val="1"/>
          <w:numId w:val="18"/>
        </w:numPr>
        <w:spacing w:line="276" w:lineRule="auto"/>
        <w:rPr>
          <w:rFonts w:ascii="Verdana" w:hAnsi="Verdana" w:cs="Gotham Light"/>
          <w:i/>
          <w:color w:val="000000"/>
        </w:rPr>
      </w:pPr>
      <w:r w:rsidRPr="00EF6689">
        <w:rPr>
          <w:rFonts w:ascii="Verdana" w:hAnsi="Verdana" w:cs="YIUEB V+ Gotham"/>
          <w:color w:val="000000"/>
        </w:rPr>
        <w:t>The Programme for Government draft Outcomes Framework, published for consultation in early 2021, explicitly referenced housing as a priority area under three of the outcomes.</w:t>
      </w:r>
      <w:r w:rsidRPr="00D62DEB">
        <w:rPr>
          <w:rStyle w:val="FootnoteReference"/>
          <w:rFonts w:ascii="Verdana" w:hAnsi="Verdana" w:cs="YIUEB V+ Gotham"/>
          <w:color w:val="000000"/>
        </w:rPr>
        <w:footnoteReference w:id="249"/>
      </w:r>
      <w:r w:rsidRPr="00EF6689">
        <w:rPr>
          <w:rStyle w:val="A91"/>
          <w:rFonts w:ascii="Verdana" w:hAnsi="Verdana"/>
          <w:sz w:val="24"/>
          <w:szCs w:val="24"/>
        </w:rPr>
        <w:t xml:space="preserve"> </w:t>
      </w:r>
      <w:r w:rsidRPr="00EF6689">
        <w:rPr>
          <w:rFonts w:ascii="Verdana" w:hAnsi="Verdana" w:cs="YIUEB V+ Gotham"/>
          <w:color w:val="000000"/>
        </w:rPr>
        <w:t xml:space="preserve">In 2021, Communities Minister Deirdre </w:t>
      </w:r>
      <w:proofErr w:type="spellStart"/>
      <w:r w:rsidRPr="00EF6689">
        <w:rPr>
          <w:rFonts w:ascii="Verdana" w:hAnsi="Verdana" w:cs="YIUEB V+ Gotham"/>
          <w:color w:val="000000"/>
        </w:rPr>
        <w:t>Hargey</w:t>
      </w:r>
      <w:proofErr w:type="spellEnd"/>
      <w:r w:rsidRPr="00EF6689">
        <w:rPr>
          <w:rFonts w:ascii="Verdana" w:hAnsi="Verdana" w:cs="YIUEB V+ Gotham"/>
          <w:color w:val="000000"/>
        </w:rPr>
        <w:t xml:space="preserve"> MLA confirmed that 2,403 new social homes were started in 2020/21 – almost 30 per cent more than the target for the year.</w:t>
      </w:r>
      <w:r w:rsidRPr="00D62DEB">
        <w:rPr>
          <w:rStyle w:val="FootnoteReference"/>
          <w:rFonts w:ascii="Verdana" w:hAnsi="Verdana" w:cs="YIUEB V+ Gotham"/>
          <w:color w:val="000000"/>
        </w:rPr>
        <w:footnoteReference w:id="250"/>
      </w:r>
      <w:r w:rsidRPr="00EF6689">
        <w:rPr>
          <w:rStyle w:val="A91"/>
          <w:rFonts w:ascii="Verdana" w:hAnsi="Verdana"/>
          <w:sz w:val="24"/>
          <w:szCs w:val="24"/>
        </w:rPr>
        <w:t xml:space="preserve"> </w:t>
      </w:r>
      <w:r w:rsidRPr="00EF6689">
        <w:rPr>
          <w:rFonts w:ascii="Verdana" w:hAnsi="Verdana" w:cs="YIUEB V+ Gotham"/>
          <w:color w:val="000000"/>
        </w:rPr>
        <w:t>She also announced a new three-year Social Housing Development Programme 2021/22 – 2023/24</w:t>
      </w:r>
      <w:r w:rsidR="00D26379" w:rsidRPr="00EF6689">
        <w:rPr>
          <w:rFonts w:ascii="Verdana" w:hAnsi="Verdana" w:cs="YIUEB V+ Gotham"/>
          <w:color w:val="000000"/>
        </w:rPr>
        <w:t>, highlighting that her approach was based upon equality and human rights, where housing is a fundamental right.</w:t>
      </w:r>
      <w:r w:rsidR="00D26379" w:rsidRPr="00D62DEB">
        <w:rPr>
          <w:rStyle w:val="FootnoteReference"/>
          <w:rFonts w:ascii="Verdana" w:hAnsi="Verdana" w:cs="YIUEB V+ Gotham"/>
          <w:color w:val="000000"/>
        </w:rPr>
        <w:footnoteReference w:id="251"/>
      </w:r>
    </w:p>
    <w:p w14:paraId="48AC82B8" w14:textId="77777777" w:rsidR="00EF6689" w:rsidRPr="00EF6689" w:rsidRDefault="00EF6689" w:rsidP="00EF6689">
      <w:pPr>
        <w:pStyle w:val="ListParagraph"/>
        <w:rPr>
          <w:rFonts w:ascii="Verdana" w:hAnsi="Verdana" w:cs="YIUEB V+ Gotham"/>
          <w:color w:val="000000"/>
        </w:rPr>
      </w:pPr>
    </w:p>
    <w:p w14:paraId="3E229EA1" w14:textId="77777777" w:rsidR="00EF6689" w:rsidRPr="00EF6689" w:rsidRDefault="00945EB3" w:rsidP="00915669">
      <w:pPr>
        <w:pStyle w:val="ListParagraph"/>
        <w:numPr>
          <w:ilvl w:val="1"/>
          <w:numId w:val="18"/>
        </w:numPr>
        <w:spacing w:line="276" w:lineRule="auto"/>
        <w:rPr>
          <w:rFonts w:ascii="Verdana" w:hAnsi="Verdana" w:cs="Gotham Light"/>
          <w:i/>
          <w:color w:val="000000"/>
        </w:rPr>
      </w:pPr>
      <w:r w:rsidRPr="00EF6689">
        <w:rPr>
          <w:rFonts w:ascii="Verdana" w:hAnsi="Verdana" w:cs="YIUEB V+ Gotham"/>
          <w:color w:val="000000"/>
        </w:rPr>
        <w:t xml:space="preserve">The </w:t>
      </w:r>
      <w:r w:rsidR="00111626" w:rsidRPr="00EF6689">
        <w:rPr>
          <w:rFonts w:ascii="Verdana" w:hAnsi="Verdana" w:cs="YIUEB V+ Gotham"/>
          <w:color w:val="000000"/>
        </w:rPr>
        <w:t xml:space="preserve">Minister </w:t>
      </w:r>
      <w:r w:rsidRPr="00EF6689">
        <w:rPr>
          <w:rFonts w:ascii="Verdana" w:hAnsi="Verdana" w:cs="YIUEB V+ Gotham"/>
          <w:color w:val="000000"/>
        </w:rPr>
        <w:t xml:space="preserve">also highlighted </w:t>
      </w:r>
      <w:r w:rsidR="00111626" w:rsidRPr="00EF6689">
        <w:rPr>
          <w:rFonts w:ascii="Verdana" w:hAnsi="Verdana" w:cs="YIUEB V+ Gotham"/>
          <w:color w:val="000000"/>
        </w:rPr>
        <w:t xml:space="preserve">“Housing stress levels here are totally unacceptable. Our housing system </w:t>
      </w:r>
      <w:proofErr w:type="gramStart"/>
      <w:r w:rsidR="00111626" w:rsidRPr="00EF6689">
        <w:rPr>
          <w:rFonts w:ascii="Verdana" w:hAnsi="Verdana" w:cs="YIUEB V+ Gotham"/>
          <w:color w:val="000000"/>
        </w:rPr>
        <w:t>is in need of</w:t>
      </w:r>
      <w:proofErr w:type="gramEnd"/>
      <w:r w:rsidR="00111626" w:rsidRPr="00EF6689">
        <w:rPr>
          <w:rFonts w:ascii="Verdana" w:hAnsi="Verdana" w:cs="YIUEB V+ Gotham"/>
          <w:color w:val="000000"/>
        </w:rPr>
        <w:t xml:space="preserve"> transformative change.”</w:t>
      </w:r>
      <w:r w:rsidR="00D93008" w:rsidRPr="00D62DEB">
        <w:rPr>
          <w:rStyle w:val="FootnoteReference"/>
          <w:rFonts w:ascii="Verdana" w:hAnsi="Verdana" w:cs="YIUEB V+ Gotham"/>
          <w:color w:val="000000"/>
        </w:rPr>
        <w:footnoteReference w:id="252"/>
      </w:r>
      <w:r w:rsidR="00111626" w:rsidRPr="00EF6689">
        <w:rPr>
          <w:rFonts w:ascii="Verdana" w:hAnsi="Verdana" w:cs="YIUEB V+ Gotham"/>
          <w:color w:val="000000"/>
        </w:rPr>
        <w:t xml:space="preserve"> In May 2021, the Department for Communities launched a consultation on new housing supply strategy call for evidence.</w:t>
      </w:r>
      <w:r w:rsidR="00D93008" w:rsidRPr="00D62DEB">
        <w:rPr>
          <w:rStyle w:val="FootnoteReference"/>
          <w:rFonts w:ascii="Verdana" w:hAnsi="Verdana" w:cs="YIUEB V+ Gotham"/>
          <w:color w:val="000000"/>
        </w:rPr>
        <w:footnoteReference w:id="253"/>
      </w:r>
      <w:r w:rsidR="00111626" w:rsidRPr="00EF6689">
        <w:rPr>
          <w:rFonts w:ascii="Verdana" w:hAnsi="Verdana" w:cs="YIUEB V+ Gotham"/>
          <w:color w:val="000000"/>
        </w:rPr>
        <w:t xml:space="preserve"> The </w:t>
      </w:r>
      <w:r w:rsidR="00C35AD9" w:rsidRPr="00EF6689">
        <w:rPr>
          <w:rFonts w:ascii="Verdana" w:hAnsi="Verdana" w:cs="YIUEB V+ Gotham"/>
          <w:color w:val="000000"/>
        </w:rPr>
        <w:t xml:space="preserve">NIHRC </w:t>
      </w:r>
      <w:r w:rsidR="00111626" w:rsidRPr="00EF6689">
        <w:rPr>
          <w:rFonts w:ascii="Verdana" w:hAnsi="Verdana" w:cs="YIUEB V+ Gotham"/>
          <w:color w:val="000000"/>
        </w:rPr>
        <w:t>responded to this consultation, in which it recommended a rebalancing of housing provision in NI, with an increased focus on the provision of publicly owned social housing and increased regulation of the private rented housing sector</w:t>
      </w:r>
      <w:r w:rsidR="00D93008" w:rsidRPr="00EF6689">
        <w:rPr>
          <w:rFonts w:ascii="Verdana" w:hAnsi="Verdana" w:cs="YIUEB V+ Gotham"/>
          <w:color w:val="000000"/>
        </w:rPr>
        <w:t>.</w:t>
      </w:r>
      <w:r w:rsidR="00D93008" w:rsidRPr="00D62DEB">
        <w:rPr>
          <w:rStyle w:val="FootnoteReference"/>
          <w:rFonts w:ascii="Verdana" w:hAnsi="Verdana" w:cs="YIUEB V+ Gotham"/>
          <w:color w:val="000000"/>
        </w:rPr>
        <w:footnoteReference w:id="254"/>
      </w:r>
    </w:p>
    <w:p w14:paraId="512C4CEC" w14:textId="77777777" w:rsidR="00EF6689" w:rsidRPr="00EF6689" w:rsidRDefault="00EF6689" w:rsidP="00EF6689">
      <w:pPr>
        <w:pStyle w:val="ListParagraph"/>
        <w:rPr>
          <w:rFonts w:ascii="Verdana" w:hAnsi="Verdana" w:cs="YIUEB V+ Gotham"/>
          <w:color w:val="000000"/>
        </w:rPr>
      </w:pPr>
    </w:p>
    <w:p w14:paraId="215AA224" w14:textId="77777777" w:rsidR="00EF6689" w:rsidRPr="00EF6689" w:rsidRDefault="00111626" w:rsidP="00915669">
      <w:pPr>
        <w:pStyle w:val="ListParagraph"/>
        <w:numPr>
          <w:ilvl w:val="1"/>
          <w:numId w:val="18"/>
        </w:numPr>
        <w:spacing w:line="276" w:lineRule="auto"/>
        <w:rPr>
          <w:rFonts w:ascii="Verdana" w:hAnsi="Verdana" w:cs="Gotham Light"/>
          <w:i/>
          <w:color w:val="000000"/>
        </w:rPr>
      </w:pPr>
      <w:r w:rsidRPr="00EF6689">
        <w:rPr>
          <w:rFonts w:ascii="Verdana" w:hAnsi="Verdana" w:cs="YIUEB V+ Gotham"/>
          <w:color w:val="000000"/>
        </w:rPr>
        <w:t xml:space="preserve">In November 2021, Minister </w:t>
      </w:r>
      <w:proofErr w:type="spellStart"/>
      <w:r w:rsidRPr="00EF6689">
        <w:rPr>
          <w:rFonts w:ascii="Verdana" w:hAnsi="Verdana" w:cs="YIUEB V+ Gotham"/>
          <w:color w:val="000000"/>
        </w:rPr>
        <w:t>Hargey</w:t>
      </w:r>
      <w:proofErr w:type="spellEnd"/>
      <w:r w:rsidRPr="00EF6689">
        <w:rPr>
          <w:rFonts w:ascii="Verdana" w:hAnsi="Verdana" w:cs="YIUEB V+ Gotham"/>
          <w:color w:val="000000"/>
        </w:rPr>
        <w:t xml:space="preserve"> further confirmed her commitment to delivering more social housing, stating that the investment she has directed to the social housing development programme represents 64 per cent of her entire capital budget.</w:t>
      </w:r>
      <w:r w:rsidR="00BF2DA7" w:rsidRPr="00D62DEB">
        <w:rPr>
          <w:rStyle w:val="FootnoteReference"/>
          <w:rFonts w:ascii="Verdana" w:hAnsi="Verdana" w:cs="YIUEB V+ Gotham"/>
          <w:color w:val="000000"/>
        </w:rPr>
        <w:footnoteReference w:id="255"/>
      </w:r>
    </w:p>
    <w:p w14:paraId="2D0B09EF" w14:textId="77777777" w:rsidR="00EF6689" w:rsidRPr="00EF6689" w:rsidRDefault="00EF6689" w:rsidP="00EF6689">
      <w:pPr>
        <w:pStyle w:val="ListParagraph"/>
        <w:rPr>
          <w:rFonts w:ascii="Verdana" w:hAnsi="Verdana" w:cs="YIUEB V+ Gotham"/>
          <w:color w:val="000000"/>
        </w:rPr>
      </w:pPr>
    </w:p>
    <w:p w14:paraId="48888D76" w14:textId="77777777" w:rsidR="00EF6689" w:rsidRPr="00EF6689" w:rsidRDefault="00032020" w:rsidP="00915669">
      <w:pPr>
        <w:pStyle w:val="ListParagraph"/>
        <w:numPr>
          <w:ilvl w:val="1"/>
          <w:numId w:val="18"/>
        </w:numPr>
        <w:spacing w:line="276" w:lineRule="auto"/>
        <w:rPr>
          <w:rFonts w:ascii="Verdana" w:hAnsi="Verdana" w:cs="Gotham Light"/>
          <w:i/>
          <w:color w:val="000000"/>
        </w:rPr>
      </w:pPr>
      <w:r w:rsidRPr="00EF6689">
        <w:rPr>
          <w:rFonts w:ascii="Verdana" w:hAnsi="Verdana" w:cs="YIUEB V+ Gotham"/>
          <w:color w:val="000000"/>
        </w:rPr>
        <w:t xml:space="preserve">The </w:t>
      </w:r>
      <w:r w:rsidR="00C35AD9" w:rsidRPr="00EF6689">
        <w:rPr>
          <w:rFonts w:ascii="Verdana" w:hAnsi="Verdana" w:cs="YIUEB V+ Gotham"/>
          <w:color w:val="000000"/>
        </w:rPr>
        <w:t>ECNI’s</w:t>
      </w:r>
      <w:r w:rsidRPr="00EF6689">
        <w:rPr>
          <w:rFonts w:ascii="Verdana" w:hAnsi="Verdana" w:cs="YIUEB V+ Gotham"/>
          <w:color w:val="000000"/>
        </w:rPr>
        <w:t xml:space="preserve"> assessment of the Facing the Future: Housing Strategy for NI 2012-2017 and Building Successful Communities found that, despite monitoring guidance for public authorities, there is a lack of robust housing and communities data relating to a number of equality grounds.</w:t>
      </w:r>
      <w:r w:rsidRPr="00D62DEB">
        <w:rPr>
          <w:rStyle w:val="FootnoteReference"/>
          <w:rFonts w:ascii="Verdana" w:hAnsi="Verdana" w:cs="YIUEB V+ Gotham"/>
          <w:color w:val="000000"/>
        </w:rPr>
        <w:footnoteReference w:id="256"/>
      </w:r>
      <w:r w:rsidRPr="00EF6689">
        <w:rPr>
          <w:rStyle w:val="A91"/>
          <w:rFonts w:ascii="Verdana" w:hAnsi="Verdana"/>
          <w:sz w:val="24"/>
          <w:szCs w:val="24"/>
        </w:rPr>
        <w:t xml:space="preserve"> </w:t>
      </w:r>
      <w:r w:rsidRPr="00EF6689">
        <w:rPr>
          <w:rFonts w:ascii="Verdana" w:hAnsi="Verdana" w:cs="YIUEB V+ Gotham"/>
          <w:color w:val="000000"/>
        </w:rPr>
        <w:t xml:space="preserve">In 2019, the </w:t>
      </w:r>
      <w:r w:rsidR="00C35AD9" w:rsidRPr="00EF6689">
        <w:rPr>
          <w:rFonts w:ascii="Verdana" w:hAnsi="Verdana" w:cs="YIUEB V+ Gotham"/>
          <w:color w:val="000000"/>
        </w:rPr>
        <w:t>ECNI</w:t>
      </w:r>
      <w:r w:rsidRPr="00EF6689">
        <w:rPr>
          <w:rFonts w:ascii="Verdana" w:hAnsi="Verdana" w:cs="YIUEB V+ Gotham"/>
          <w:color w:val="000000"/>
        </w:rPr>
        <w:t xml:space="preserve"> further reiterated its calls for improved data collection to address gaps and for data to be disaggregated, noting that “These shortfalls limit the ability to draw robust conclusions about inequalities, and/or progress in addressing the same, across the full range of equality categories and groups.”</w:t>
      </w:r>
      <w:r w:rsidRPr="00D62DEB">
        <w:rPr>
          <w:rStyle w:val="FootnoteReference"/>
          <w:rFonts w:ascii="Verdana" w:hAnsi="Verdana" w:cs="YIUEB V+ Gotham"/>
          <w:color w:val="000000"/>
        </w:rPr>
        <w:footnoteReference w:id="257"/>
      </w:r>
    </w:p>
    <w:p w14:paraId="39A7B0EC" w14:textId="77777777" w:rsidR="00EF6689" w:rsidRPr="00EF6689" w:rsidRDefault="00EF6689" w:rsidP="00EF6689">
      <w:pPr>
        <w:pStyle w:val="ListParagraph"/>
        <w:rPr>
          <w:rFonts w:ascii="Verdana" w:hAnsi="Verdana" w:cs="Gotham Light"/>
          <w:b/>
          <w:bCs/>
          <w:color w:val="000000"/>
        </w:rPr>
      </w:pPr>
    </w:p>
    <w:p w14:paraId="4B465E90" w14:textId="715AEED0" w:rsidR="008816B2" w:rsidRPr="00EF6689" w:rsidRDefault="00B80648" w:rsidP="00915669">
      <w:pPr>
        <w:pStyle w:val="ListParagraph"/>
        <w:numPr>
          <w:ilvl w:val="1"/>
          <w:numId w:val="18"/>
        </w:numPr>
        <w:spacing w:line="276" w:lineRule="auto"/>
        <w:rPr>
          <w:rFonts w:ascii="Verdana" w:hAnsi="Verdana" w:cs="Gotham Light"/>
          <w:i/>
          <w:color w:val="000000"/>
        </w:rPr>
      </w:pPr>
      <w:r w:rsidRPr="00EF6689">
        <w:rPr>
          <w:rFonts w:ascii="Verdana" w:hAnsi="Verdana" w:cs="Gotham Light"/>
          <w:b/>
          <w:bCs/>
          <w:color w:val="000000"/>
        </w:rPr>
        <w:t>The Advisory Committee may want to recommend to the State Party collect and publish disaggregated equality data to assess, monitor and allow for evaluation of Department actions to address housing inequalities in NI.</w:t>
      </w:r>
    </w:p>
    <w:p w14:paraId="1AE7708B" w14:textId="77777777" w:rsidR="008816B2" w:rsidRPr="008816B2" w:rsidRDefault="008816B2" w:rsidP="00D455F0">
      <w:pPr>
        <w:pStyle w:val="ListParagraph"/>
        <w:ind w:left="709" w:hanging="709"/>
        <w:rPr>
          <w:rFonts w:ascii="Verdana" w:hAnsi="Verdana" w:cs="Gotham Light"/>
          <w:i/>
          <w:iCs/>
          <w:color w:val="000000"/>
        </w:rPr>
      </w:pPr>
    </w:p>
    <w:p w14:paraId="3C47141D" w14:textId="77777777" w:rsidR="008816B2" w:rsidRPr="00FF0BDC" w:rsidRDefault="008816B2" w:rsidP="008816B2">
      <w:pPr>
        <w:pStyle w:val="Heading2"/>
        <w:spacing w:line="276" w:lineRule="auto"/>
        <w:rPr>
          <w:szCs w:val="24"/>
        </w:rPr>
      </w:pPr>
      <w:bookmarkStart w:id="36" w:name="_Toc97030925"/>
      <w:r w:rsidRPr="00FF0BDC">
        <w:rPr>
          <w:szCs w:val="24"/>
        </w:rPr>
        <w:t>Segregated and Shared Housing</w:t>
      </w:r>
      <w:bookmarkEnd w:id="36"/>
    </w:p>
    <w:p w14:paraId="65A69DF7" w14:textId="77777777" w:rsidR="008816B2" w:rsidRPr="008816B2" w:rsidRDefault="008816B2" w:rsidP="00D455F0">
      <w:pPr>
        <w:ind w:left="709" w:hanging="709"/>
        <w:rPr>
          <w:rFonts w:ascii="Verdana" w:hAnsi="Verdana" w:cs="Gotham Light"/>
          <w:color w:val="000000"/>
        </w:rPr>
      </w:pPr>
    </w:p>
    <w:p w14:paraId="18DBC172" w14:textId="4198E331" w:rsidR="00EC4B5F" w:rsidRPr="00EC4B5F" w:rsidRDefault="000545C3" w:rsidP="00915669">
      <w:pPr>
        <w:pStyle w:val="ListParagraph"/>
        <w:numPr>
          <w:ilvl w:val="1"/>
          <w:numId w:val="18"/>
        </w:numPr>
        <w:spacing w:line="276" w:lineRule="auto"/>
        <w:rPr>
          <w:rFonts w:ascii="Verdana" w:hAnsi="Verdana" w:cs="Gotham Light"/>
          <w:i/>
          <w:iCs/>
          <w:color w:val="000000"/>
        </w:rPr>
      </w:pPr>
      <w:r w:rsidRPr="00EC4B5F">
        <w:rPr>
          <w:rFonts w:ascii="Verdana" w:hAnsi="Verdana" w:cs="Gotham Light"/>
          <w:color w:val="000000"/>
        </w:rPr>
        <w:t>In</w:t>
      </w:r>
      <w:r w:rsidR="00070636" w:rsidRPr="00EC4B5F">
        <w:rPr>
          <w:rFonts w:ascii="Verdana" w:hAnsi="Verdana" w:cs="Gotham Light"/>
          <w:color w:val="000000"/>
        </w:rPr>
        <w:t xml:space="preserve"> 2016, </w:t>
      </w:r>
      <w:r w:rsidRPr="00EC4B5F">
        <w:rPr>
          <w:rFonts w:ascii="Verdana" w:hAnsi="Verdana" w:cs="Gotham Light"/>
          <w:color w:val="000000"/>
        </w:rPr>
        <w:t>the UN ICESCR Committee urged the NI Executive to “intensify its efforts to address the challenges to overcome persistent inequalities in housing for Catholic families in North Belfast, including through meaningful participation of all actors in decision-making processes related to housing”</w:t>
      </w:r>
      <w:r w:rsidR="004A27DE" w:rsidRPr="00EC4B5F">
        <w:rPr>
          <w:rFonts w:ascii="Verdana" w:hAnsi="Verdana" w:cs="Gotham Light"/>
          <w:color w:val="000000"/>
        </w:rPr>
        <w:t>.</w:t>
      </w:r>
      <w:r w:rsidR="004A27DE" w:rsidRPr="00D62DEB">
        <w:rPr>
          <w:rStyle w:val="FootnoteReference"/>
          <w:rFonts w:ascii="Verdana" w:hAnsi="Verdana" w:cs="Gotham Light"/>
          <w:color w:val="000000"/>
        </w:rPr>
        <w:footnoteReference w:id="258"/>
      </w:r>
    </w:p>
    <w:p w14:paraId="2150B228" w14:textId="77777777" w:rsidR="00EC4B5F" w:rsidRPr="00EC4B5F" w:rsidRDefault="00EC4B5F" w:rsidP="00EC4B5F">
      <w:pPr>
        <w:pStyle w:val="ListParagraph"/>
        <w:spacing w:line="276" w:lineRule="auto"/>
        <w:rPr>
          <w:rFonts w:ascii="Verdana" w:hAnsi="Verdana" w:cs="Gotham Light"/>
          <w:i/>
          <w:iCs/>
          <w:color w:val="000000"/>
        </w:rPr>
      </w:pPr>
    </w:p>
    <w:p w14:paraId="46051F58" w14:textId="77777777" w:rsidR="00EC4B5F" w:rsidRPr="00EC4B5F" w:rsidRDefault="007779E7" w:rsidP="00915669">
      <w:pPr>
        <w:pStyle w:val="ListParagraph"/>
        <w:numPr>
          <w:ilvl w:val="1"/>
          <w:numId w:val="18"/>
        </w:numPr>
        <w:spacing w:line="276" w:lineRule="auto"/>
        <w:rPr>
          <w:rFonts w:ascii="Verdana" w:hAnsi="Verdana" w:cs="Gotham Light"/>
          <w:i/>
          <w:iCs/>
          <w:color w:val="000000"/>
        </w:rPr>
      </w:pPr>
      <w:r w:rsidRPr="00EC4B5F">
        <w:rPr>
          <w:rStyle w:val="cf01"/>
          <w:rFonts w:ascii="Verdana" w:hAnsi="Verdana"/>
          <w:sz w:val="24"/>
          <w:szCs w:val="24"/>
        </w:rPr>
        <w:t>In NI, the social housing stock is still largely segregated</w:t>
      </w:r>
      <w:r w:rsidR="00A40CB4" w:rsidRPr="00EC4B5F">
        <w:rPr>
          <w:rStyle w:val="cf01"/>
          <w:rFonts w:ascii="Verdana" w:hAnsi="Verdana"/>
          <w:sz w:val="24"/>
          <w:szCs w:val="24"/>
        </w:rPr>
        <w:t>.</w:t>
      </w:r>
      <w:r w:rsidRPr="00D5567A">
        <w:rPr>
          <w:rStyle w:val="FootnoteReference"/>
          <w:rFonts w:ascii="Verdana" w:hAnsi="Verdana" w:cs="Segoe UI"/>
        </w:rPr>
        <w:footnoteReference w:id="259"/>
      </w:r>
      <w:r w:rsidRPr="00EC4B5F">
        <w:rPr>
          <w:rStyle w:val="cf01"/>
          <w:rFonts w:ascii="Verdana" w:hAnsi="Verdana"/>
          <w:sz w:val="24"/>
          <w:szCs w:val="24"/>
        </w:rPr>
        <w:t xml:space="preserve"> </w:t>
      </w:r>
      <w:r w:rsidR="00880D83" w:rsidRPr="00EC4B5F">
        <w:rPr>
          <w:rFonts w:ascii="Verdana" w:hAnsi="Verdana" w:cs="YIUEB V+ Gotham"/>
          <w:color w:val="000000"/>
        </w:rPr>
        <w:t xml:space="preserve">In 2017, the </w:t>
      </w:r>
      <w:r w:rsidR="00C35AD9" w:rsidRPr="00EC4B5F">
        <w:rPr>
          <w:rFonts w:ascii="Verdana" w:hAnsi="Verdana" w:cs="YIUEB V+ Gotham"/>
          <w:color w:val="000000"/>
        </w:rPr>
        <w:t>ECNI</w:t>
      </w:r>
      <w:r w:rsidR="00880D83" w:rsidRPr="00EC4B5F">
        <w:rPr>
          <w:rFonts w:ascii="Verdana" w:hAnsi="Verdana" w:cs="YIUEB V+ Gotham"/>
          <w:color w:val="000000"/>
        </w:rPr>
        <w:t xml:space="preserve"> found that the Catholic household reference person applicants continue to experience longest waiting times for social housing in NI as a whole and that “while median waiting times had increased for all groups, more substantive increases were noted for households with a ‘Catholic’ or ‘Other’ religion household reference person”.</w:t>
      </w:r>
      <w:r w:rsidR="00880D83" w:rsidRPr="00D62DEB">
        <w:rPr>
          <w:rStyle w:val="FootnoteReference"/>
          <w:rFonts w:ascii="Verdana" w:hAnsi="Verdana" w:cs="YIUEB V+ Gotham"/>
          <w:color w:val="000000"/>
        </w:rPr>
        <w:footnoteReference w:id="260"/>
      </w:r>
    </w:p>
    <w:p w14:paraId="4D905E1E" w14:textId="77777777" w:rsidR="00EC4B5F" w:rsidRPr="00EC4B5F" w:rsidRDefault="00EC4B5F" w:rsidP="00EC4B5F">
      <w:pPr>
        <w:pStyle w:val="ListParagraph"/>
        <w:rPr>
          <w:rFonts w:ascii="Verdana" w:hAnsi="Verdana" w:cs="YIUEB V+ Gotham"/>
          <w:color w:val="000000"/>
        </w:rPr>
      </w:pPr>
    </w:p>
    <w:p w14:paraId="0BEE0A1C" w14:textId="77777777" w:rsidR="00EC4B5F" w:rsidRPr="00EC4B5F" w:rsidRDefault="00874F30" w:rsidP="00915669">
      <w:pPr>
        <w:pStyle w:val="ListParagraph"/>
        <w:numPr>
          <w:ilvl w:val="1"/>
          <w:numId w:val="18"/>
        </w:numPr>
        <w:spacing w:line="276" w:lineRule="auto"/>
        <w:rPr>
          <w:rFonts w:ascii="Verdana" w:hAnsi="Verdana" w:cs="Gotham Light"/>
          <w:i/>
          <w:iCs/>
          <w:color w:val="000000"/>
        </w:rPr>
      </w:pPr>
      <w:r w:rsidRPr="00EC4B5F">
        <w:rPr>
          <w:rFonts w:ascii="Verdana" w:hAnsi="Verdana" w:cs="YIUEB V+ Gotham"/>
          <w:color w:val="000000"/>
        </w:rPr>
        <w:t>The Shared Housing Programme completed the 10th Shared Neighbourhood in 2019-20, meeting the target set in the Together: Building a United Community Strategy, and providing 483 new homes.</w:t>
      </w:r>
      <w:r w:rsidRPr="00D62DEB">
        <w:rPr>
          <w:rStyle w:val="FootnoteReference"/>
          <w:rFonts w:ascii="Verdana" w:hAnsi="Verdana" w:cs="YIUEB V+ Gotham"/>
          <w:color w:val="000000"/>
        </w:rPr>
        <w:footnoteReference w:id="261"/>
      </w:r>
      <w:r w:rsidRPr="00EC4B5F">
        <w:rPr>
          <w:rStyle w:val="A91"/>
          <w:rFonts w:ascii="Verdana" w:hAnsi="Verdana"/>
          <w:sz w:val="24"/>
          <w:szCs w:val="24"/>
        </w:rPr>
        <w:t xml:space="preserve"> </w:t>
      </w:r>
      <w:r w:rsidRPr="00EC4B5F">
        <w:rPr>
          <w:rFonts w:ascii="Verdana" w:hAnsi="Verdana" w:cs="YIUEB V+ Gotham"/>
          <w:color w:val="000000"/>
        </w:rPr>
        <w:t>The Executive Office stated that the focus is now on delivering good relations schemes within these areas</w:t>
      </w:r>
      <w:r w:rsidR="008816B2" w:rsidRPr="00EC4B5F">
        <w:rPr>
          <w:rFonts w:ascii="Verdana" w:hAnsi="Verdana" w:cs="YIUEB V+ Gotham"/>
          <w:color w:val="000000"/>
        </w:rPr>
        <w:t>.</w:t>
      </w:r>
    </w:p>
    <w:p w14:paraId="46068F5D" w14:textId="77777777" w:rsidR="00EC4B5F" w:rsidRPr="00EC4B5F" w:rsidRDefault="00EC4B5F" w:rsidP="00EC4B5F">
      <w:pPr>
        <w:pStyle w:val="ListParagraph"/>
        <w:rPr>
          <w:rFonts w:ascii="Verdana" w:hAnsi="Verdana" w:cs="YIUEB V+ Gotham"/>
          <w:color w:val="000000"/>
        </w:rPr>
      </w:pPr>
    </w:p>
    <w:p w14:paraId="676DFAB7" w14:textId="77777777" w:rsidR="00EC4B5F" w:rsidRPr="00EC4B5F" w:rsidRDefault="00EE7585" w:rsidP="00915669">
      <w:pPr>
        <w:pStyle w:val="ListParagraph"/>
        <w:numPr>
          <w:ilvl w:val="1"/>
          <w:numId w:val="18"/>
        </w:numPr>
        <w:spacing w:line="276" w:lineRule="auto"/>
        <w:rPr>
          <w:rFonts w:ascii="Verdana" w:hAnsi="Verdana" w:cs="Gotham Light"/>
          <w:i/>
          <w:iCs/>
          <w:color w:val="000000"/>
        </w:rPr>
      </w:pPr>
      <w:r w:rsidRPr="00EC4B5F">
        <w:rPr>
          <w:rFonts w:ascii="Verdana" w:hAnsi="Verdana" w:cs="YIUEB V+ Gotham"/>
          <w:color w:val="000000"/>
        </w:rPr>
        <w:t>The Community Cohesion Strategy includes segregation/integration as a theme.</w:t>
      </w:r>
      <w:r w:rsidRPr="00D62DEB">
        <w:rPr>
          <w:rStyle w:val="FootnoteReference"/>
          <w:rFonts w:ascii="Verdana" w:hAnsi="Verdana" w:cs="YIUEB V+ Gotham"/>
          <w:color w:val="000000"/>
        </w:rPr>
        <w:footnoteReference w:id="262"/>
      </w:r>
      <w:r w:rsidRPr="00EC4B5F">
        <w:rPr>
          <w:rStyle w:val="A91"/>
          <w:rFonts w:ascii="Verdana" w:hAnsi="Verdana"/>
          <w:sz w:val="24"/>
          <w:szCs w:val="24"/>
        </w:rPr>
        <w:t xml:space="preserve"> </w:t>
      </w:r>
      <w:r w:rsidRPr="00EC4B5F">
        <w:rPr>
          <w:rFonts w:ascii="Verdana" w:hAnsi="Verdana" w:cs="YIUEB V+ Gotham"/>
          <w:color w:val="000000"/>
        </w:rPr>
        <w:t>It contains several actions including supporting research into segregated and shared housing and updating the Mapping Segregation report; facilitating and encouraging mixed housing schemes in the social and affordable sector. The Strategy also commits to developing programmes of action to address issues of residential segregation and integration across three years, as well as developing legacy programmes targeting young champions in neighbourhoods.</w:t>
      </w:r>
      <w:r w:rsidRPr="00D62DEB">
        <w:rPr>
          <w:rStyle w:val="FootnoteReference"/>
          <w:rFonts w:ascii="Verdana" w:hAnsi="Verdana" w:cs="YIUEB V+ Gotham"/>
          <w:color w:val="000000"/>
        </w:rPr>
        <w:footnoteReference w:id="263"/>
      </w:r>
      <w:r w:rsidRPr="00EC4B5F">
        <w:rPr>
          <w:rStyle w:val="A91"/>
          <w:rFonts w:ascii="Verdana" w:hAnsi="Verdana"/>
          <w:sz w:val="24"/>
          <w:szCs w:val="24"/>
        </w:rPr>
        <w:t xml:space="preserve"> </w:t>
      </w:r>
      <w:r w:rsidRPr="00EC4B5F">
        <w:rPr>
          <w:rFonts w:ascii="Verdana" w:hAnsi="Verdana" w:cs="YIUEB V+ Gotham"/>
          <w:color w:val="000000"/>
        </w:rPr>
        <w:t>The Cohesion Strategy has since been extended for a further year.</w:t>
      </w:r>
      <w:r w:rsidRPr="00D62DEB">
        <w:rPr>
          <w:rStyle w:val="FootnoteReference"/>
          <w:rFonts w:ascii="Verdana" w:hAnsi="Verdana" w:cs="YIUEB V+ Gotham"/>
          <w:color w:val="000000"/>
        </w:rPr>
        <w:footnoteReference w:id="264"/>
      </w:r>
    </w:p>
    <w:p w14:paraId="01381D1E" w14:textId="77777777" w:rsidR="00EC4B5F" w:rsidRPr="00EC4B5F" w:rsidRDefault="00EC4B5F" w:rsidP="00EC4B5F">
      <w:pPr>
        <w:pStyle w:val="ListParagraph"/>
        <w:rPr>
          <w:rFonts w:ascii="Verdana" w:hAnsi="Verdana" w:cs="YIUEB V+ Gotham"/>
          <w:color w:val="000000"/>
        </w:rPr>
      </w:pPr>
    </w:p>
    <w:p w14:paraId="427B674F" w14:textId="77777777" w:rsidR="00EC4B5F" w:rsidRPr="00EC4B5F" w:rsidRDefault="00CB7FD5" w:rsidP="00915669">
      <w:pPr>
        <w:pStyle w:val="ListParagraph"/>
        <w:numPr>
          <w:ilvl w:val="1"/>
          <w:numId w:val="18"/>
        </w:numPr>
        <w:spacing w:line="276" w:lineRule="auto"/>
        <w:rPr>
          <w:rFonts w:ascii="Verdana" w:hAnsi="Verdana" w:cs="Gotham Light"/>
          <w:i/>
          <w:iCs/>
          <w:color w:val="000000"/>
        </w:rPr>
      </w:pPr>
      <w:r w:rsidRPr="00EC4B5F">
        <w:rPr>
          <w:rFonts w:ascii="Verdana" w:hAnsi="Verdana" w:cs="YIUEB V+ Gotham"/>
          <w:color w:val="000000"/>
        </w:rPr>
        <w:t>Despite these actions,</w:t>
      </w:r>
      <w:r w:rsidR="00F45010" w:rsidRPr="00EC4B5F">
        <w:rPr>
          <w:rFonts w:ascii="Verdana" w:hAnsi="Verdana" w:cs="YIUEB V+ Gotham"/>
          <w:color w:val="000000"/>
        </w:rPr>
        <w:t xml:space="preserve"> the </w:t>
      </w:r>
      <w:r w:rsidR="00C35AD9" w:rsidRPr="00EC4B5F">
        <w:rPr>
          <w:rFonts w:ascii="Verdana" w:hAnsi="Verdana" w:cs="YIUEB V+ Gotham"/>
          <w:color w:val="000000"/>
        </w:rPr>
        <w:t>NIHRC</w:t>
      </w:r>
      <w:r w:rsidR="00F45010" w:rsidRPr="00EC4B5F">
        <w:rPr>
          <w:rFonts w:ascii="Verdana" w:hAnsi="Verdana" w:cs="YIUEB V+ Gotham"/>
          <w:color w:val="000000"/>
        </w:rPr>
        <w:t xml:space="preserve"> notes that</w:t>
      </w:r>
      <w:r w:rsidRPr="00EC4B5F">
        <w:rPr>
          <w:rFonts w:ascii="Verdana" w:hAnsi="Verdana" w:cs="YIUEB V+ Gotham"/>
          <w:color w:val="000000"/>
        </w:rPr>
        <w:t xml:space="preserve"> people continue to be intimidated out of their homes</w:t>
      </w:r>
      <w:r w:rsidRPr="00D62DEB">
        <w:rPr>
          <w:rStyle w:val="FootnoteReference"/>
          <w:rFonts w:ascii="Verdana" w:hAnsi="Verdana" w:cs="YIUEB V+ Gotham"/>
          <w:color w:val="000000"/>
        </w:rPr>
        <w:footnoteReference w:id="265"/>
      </w:r>
      <w:r w:rsidR="002877E8" w:rsidRPr="00EC4B5F">
        <w:rPr>
          <w:rFonts w:ascii="Verdana" w:hAnsi="Verdana" w:cs="YIUEB V+ Gotham"/>
          <w:color w:val="000000"/>
        </w:rPr>
        <w:t xml:space="preserve"> for example, between April 2015 and October 2018, 2,017 households presented themselves as homeless due to intimidation.</w:t>
      </w:r>
      <w:r w:rsidR="002877E8" w:rsidRPr="00D62DEB">
        <w:rPr>
          <w:rStyle w:val="FootnoteReference"/>
          <w:rFonts w:ascii="Verdana" w:hAnsi="Verdana" w:cs="YIUEB V+ Gotham"/>
          <w:color w:val="000000"/>
        </w:rPr>
        <w:footnoteReference w:id="266"/>
      </w:r>
      <w:r w:rsidR="002877E8" w:rsidRPr="00EC4B5F">
        <w:rPr>
          <w:rStyle w:val="A91"/>
          <w:rFonts w:ascii="Verdana" w:hAnsi="Verdana"/>
          <w:sz w:val="24"/>
          <w:szCs w:val="24"/>
        </w:rPr>
        <w:t xml:space="preserve"> </w:t>
      </w:r>
      <w:r w:rsidR="002877E8" w:rsidRPr="00EC4B5F">
        <w:rPr>
          <w:rFonts w:ascii="Verdana" w:hAnsi="Verdana" w:cs="YIUEB V+ Gotham"/>
          <w:color w:val="000000"/>
        </w:rPr>
        <w:t>In 1,488 of these cases the reason cited was intimidation from paramilitaries and another 135 cases were linked to sectarianism.</w:t>
      </w:r>
      <w:r w:rsidR="002877E8" w:rsidRPr="00D62DEB">
        <w:rPr>
          <w:rStyle w:val="FootnoteReference"/>
          <w:rFonts w:ascii="Verdana" w:hAnsi="Verdana" w:cs="YIUEB V+ Gotham"/>
          <w:color w:val="000000"/>
        </w:rPr>
        <w:footnoteReference w:id="267"/>
      </w:r>
      <w:r w:rsidR="002877E8" w:rsidRPr="00EC4B5F">
        <w:rPr>
          <w:rStyle w:val="A91"/>
          <w:rFonts w:ascii="Verdana" w:hAnsi="Verdana"/>
          <w:sz w:val="24"/>
          <w:szCs w:val="24"/>
        </w:rPr>
        <w:t xml:space="preserve"> </w:t>
      </w:r>
      <w:r w:rsidRPr="00EC4B5F">
        <w:rPr>
          <w:rFonts w:ascii="Verdana" w:hAnsi="Verdana" w:cs="YIUEB V+ Gotham"/>
          <w:color w:val="000000"/>
        </w:rPr>
        <w:t xml:space="preserve"> Public authorities have been criticised for not addressing the root of the problem and not having a strategy in place that offers mitigation measures.</w:t>
      </w:r>
      <w:r w:rsidRPr="00D62DEB">
        <w:rPr>
          <w:rStyle w:val="FootnoteReference"/>
          <w:rFonts w:ascii="Verdana" w:hAnsi="Verdana" w:cs="YIUEB V+ Gotham"/>
          <w:color w:val="000000"/>
        </w:rPr>
        <w:footnoteReference w:id="268"/>
      </w:r>
      <w:r w:rsidRPr="00EC4B5F">
        <w:rPr>
          <w:rStyle w:val="A91"/>
          <w:rFonts w:ascii="Verdana" w:hAnsi="Verdana"/>
          <w:sz w:val="24"/>
          <w:szCs w:val="24"/>
        </w:rPr>
        <w:t xml:space="preserve"> </w:t>
      </w:r>
      <w:r w:rsidR="002877E8" w:rsidRPr="00EC4B5F">
        <w:rPr>
          <w:rFonts w:ascii="Verdana" w:hAnsi="Verdana" w:cs="YIUEB V+ Gotham"/>
          <w:color w:val="000000"/>
        </w:rPr>
        <w:t xml:space="preserve">In </w:t>
      </w:r>
      <w:r w:rsidRPr="00EC4B5F">
        <w:rPr>
          <w:rFonts w:ascii="Verdana" w:hAnsi="Verdana" w:cs="YIUEB V+ Gotham"/>
          <w:color w:val="000000"/>
        </w:rPr>
        <w:t>November 2020, the then Minister for Communities confirmed that she did not intend to proceed with a previous proposal to remove intimidation points,</w:t>
      </w:r>
      <w:r w:rsidR="00B50E93">
        <w:rPr>
          <w:rStyle w:val="FootnoteReference"/>
          <w:rFonts w:ascii="Verdana" w:hAnsi="Verdana" w:cs="YIUEB V+ Gotham"/>
          <w:color w:val="000000"/>
        </w:rPr>
        <w:footnoteReference w:id="269"/>
      </w:r>
      <w:r w:rsidRPr="00EC4B5F">
        <w:rPr>
          <w:rFonts w:ascii="Verdana" w:hAnsi="Verdana" w:cs="YIUEB V+ Gotham"/>
          <w:color w:val="000000"/>
        </w:rPr>
        <w:t xml:space="preserve"> but that the mechanisms for such prioritisation need to prevent abuse and provide robust verification.</w:t>
      </w:r>
      <w:r w:rsidRPr="00D62DEB">
        <w:rPr>
          <w:rStyle w:val="FootnoteReference"/>
          <w:rFonts w:ascii="Verdana" w:hAnsi="Verdana" w:cs="YIUEB V+ Gotham"/>
          <w:color w:val="000000"/>
        </w:rPr>
        <w:footnoteReference w:id="270"/>
      </w:r>
      <w:r w:rsidRPr="00EC4B5F">
        <w:rPr>
          <w:rStyle w:val="A91"/>
          <w:rFonts w:ascii="Verdana" w:hAnsi="Verdana"/>
          <w:sz w:val="24"/>
          <w:szCs w:val="24"/>
        </w:rPr>
        <w:t xml:space="preserve"> </w:t>
      </w:r>
      <w:r w:rsidRPr="00EC4B5F">
        <w:rPr>
          <w:rFonts w:ascii="Verdana" w:hAnsi="Verdana" w:cs="YIUEB V+ Gotham"/>
          <w:color w:val="000000"/>
        </w:rPr>
        <w:t>The Minister advised that officials are investigating options for an alternative proposal, including consideration of a statutory body to independently manage this verification process.</w:t>
      </w:r>
    </w:p>
    <w:p w14:paraId="13371386" w14:textId="77777777" w:rsidR="00EC4B5F" w:rsidRPr="00EC4B5F" w:rsidRDefault="00EC4B5F" w:rsidP="00EC4B5F">
      <w:pPr>
        <w:pStyle w:val="ListParagraph"/>
        <w:rPr>
          <w:rFonts w:ascii="Verdana" w:eastAsia="Verdana" w:hAnsi="Verdana" w:cs="Verdana"/>
          <w:b/>
          <w:bCs/>
          <w:color w:val="000000"/>
        </w:rPr>
      </w:pPr>
    </w:p>
    <w:p w14:paraId="76214C00" w14:textId="31B9DDB6" w:rsidR="0042035F" w:rsidRPr="00EC4B5F" w:rsidRDefault="00336BB6" w:rsidP="00915669">
      <w:pPr>
        <w:pStyle w:val="ListParagraph"/>
        <w:numPr>
          <w:ilvl w:val="1"/>
          <w:numId w:val="18"/>
        </w:numPr>
        <w:spacing w:line="276" w:lineRule="auto"/>
        <w:rPr>
          <w:rFonts w:ascii="Verdana" w:hAnsi="Verdana" w:cs="Gotham Light"/>
          <w:i/>
          <w:iCs/>
          <w:color w:val="000000"/>
        </w:rPr>
      </w:pPr>
      <w:r w:rsidRPr="00EC4B5F">
        <w:rPr>
          <w:rFonts w:ascii="Verdana" w:eastAsia="Verdana" w:hAnsi="Verdana" w:cs="Verdana"/>
          <w:b/>
          <w:bCs/>
          <w:color w:val="000000"/>
        </w:rPr>
        <w:t>The Advisory Committee may wish to</w:t>
      </w:r>
      <w:r w:rsidR="00C16EFF" w:rsidRPr="00EC4B5F">
        <w:rPr>
          <w:rFonts w:ascii="Verdana" w:eastAsia="Verdana" w:hAnsi="Verdana" w:cs="Verdana"/>
          <w:b/>
          <w:bCs/>
          <w:color w:val="000000"/>
        </w:rPr>
        <w:t xml:space="preserve"> a</w:t>
      </w:r>
      <w:r w:rsidR="00337C74" w:rsidRPr="00EC4B5F">
        <w:rPr>
          <w:rFonts w:ascii="Verdana" w:eastAsia="Verdana" w:hAnsi="Verdana" w:cs="Verdana"/>
          <w:b/>
          <w:bCs/>
          <w:color w:val="000000"/>
        </w:rPr>
        <w:t xml:space="preserve">sk </w:t>
      </w:r>
      <w:r w:rsidR="00F26D0D" w:rsidRPr="00EC4B5F">
        <w:rPr>
          <w:rFonts w:ascii="Verdana" w:eastAsia="Verdana" w:hAnsi="Verdana" w:cs="Verdana"/>
          <w:b/>
          <w:bCs/>
          <w:color w:val="000000"/>
        </w:rPr>
        <w:t xml:space="preserve">the </w:t>
      </w:r>
      <w:r w:rsidR="00337C74" w:rsidRPr="00EC4B5F">
        <w:rPr>
          <w:rFonts w:ascii="Verdana" w:eastAsia="Verdana" w:hAnsi="Verdana" w:cs="Verdana"/>
          <w:b/>
          <w:bCs/>
          <w:color w:val="000000"/>
        </w:rPr>
        <w:t>State Party</w:t>
      </w:r>
      <w:r w:rsidR="00F26D0D" w:rsidRPr="00EC4B5F">
        <w:rPr>
          <w:rFonts w:ascii="Verdana" w:eastAsia="Verdana" w:hAnsi="Verdana" w:cs="Verdana"/>
          <w:b/>
          <w:bCs/>
          <w:color w:val="000000"/>
        </w:rPr>
        <w:t xml:space="preserve">: </w:t>
      </w:r>
    </w:p>
    <w:p w14:paraId="7E1FF290" w14:textId="77777777" w:rsidR="00F26D0D" w:rsidRPr="00F26D0D" w:rsidRDefault="00F26D0D" w:rsidP="00F26D0D">
      <w:pPr>
        <w:spacing w:line="276" w:lineRule="auto"/>
        <w:rPr>
          <w:rFonts w:ascii="Verdana" w:eastAsia="Verdana" w:hAnsi="Verdana" w:cs="Verdana"/>
          <w:b/>
          <w:bCs/>
          <w:color w:val="000000"/>
        </w:rPr>
      </w:pPr>
    </w:p>
    <w:p w14:paraId="613EF97F" w14:textId="65E93262" w:rsidR="00D045B5" w:rsidRPr="0042035F" w:rsidRDefault="00F26D0D" w:rsidP="00915669">
      <w:pPr>
        <w:pStyle w:val="ListParagraph"/>
        <w:numPr>
          <w:ilvl w:val="0"/>
          <w:numId w:val="10"/>
        </w:numPr>
        <w:spacing w:line="276" w:lineRule="auto"/>
        <w:rPr>
          <w:rFonts w:ascii="Verdana" w:hAnsi="Verdana" w:cs="Gotham Light"/>
          <w:i/>
          <w:iCs/>
          <w:color w:val="000000"/>
        </w:rPr>
      </w:pPr>
      <w:r w:rsidRPr="0F41D650">
        <w:rPr>
          <w:rFonts w:ascii="Verdana" w:eastAsia="Verdana" w:hAnsi="Verdana" w:cs="Verdana"/>
          <w:b/>
          <w:bCs/>
          <w:color w:val="000000" w:themeColor="text1"/>
        </w:rPr>
        <w:t>what</w:t>
      </w:r>
      <w:r w:rsidRPr="6BF7D35B">
        <w:rPr>
          <w:rFonts w:ascii="Verdana" w:eastAsia="Verdana" w:hAnsi="Verdana" w:cs="Verdana"/>
          <w:b/>
          <w:color w:val="000000" w:themeColor="text1"/>
        </w:rPr>
        <w:t xml:space="preserve"> action has been taken to</w:t>
      </w:r>
      <w:r w:rsidR="0042035F" w:rsidRPr="6BF7D35B">
        <w:rPr>
          <w:rFonts w:ascii="Verdana" w:eastAsia="Verdana" w:hAnsi="Verdana" w:cs="Verdana"/>
          <w:b/>
          <w:color w:val="000000" w:themeColor="text1"/>
        </w:rPr>
        <w:t xml:space="preserve"> </w:t>
      </w:r>
      <w:r w:rsidR="004F560A" w:rsidRPr="6BF7D35B">
        <w:rPr>
          <w:rFonts w:ascii="Verdana" w:eastAsia="Verdana" w:hAnsi="Verdana" w:cs="Verdana"/>
          <w:b/>
          <w:color w:val="000000" w:themeColor="text1"/>
        </w:rPr>
        <w:t>effectively</w:t>
      </w:r>
      <w:r w:rsidR="00337C74" w:rsidRPr="6BF7D35B">
        <w:rPr>
          <w:rFonts w:ascii="Verdana" w:eastAsia="Verdana" w:hAnsi="Verdana" w:cs="Verdana"/>
          <w:b/>
          <w:color w:val="000000" w:themeColor="text1"/>
        </w:rPr>
        <w:t xml:space="preserve"> eradicate </w:t>
      </w:r>
      <w:r w:rsidR="009A6DFC" w:rsidRPr="6BF7D35B">
        <w:rPr>
          <w:rFonts w:ascii="Verdana" w:eastAsia="Verdana" w:hAnsi="Verdana" w:cs="Verdana"/>
          <w:b/>
          <w:color w:val="000000" w:themeColor="text1"/>
        </w:rPr>
        <w:t xml:space="preserve">the </w:t>
      </w:r>
      <w:r w:rsidR="001800C7" w:rsidRPr="6BF7D35B">
        <w:rPr>
          <w:rFonts w:ascii="Verdana" w:eastAsia="Verdana" w:hAnsi="Verdana" w:cs="Verdana"/>
          <w:b/>
          <w:color w:val="000000" w:themeColor="text1"/>
        </w:rPr>
        <w:t>paramilitary and sectarian intimidation</w:t>
      </w:r>
      <w:r w:rsidR="009A6DFC" w:rsidRPr="6BF7D35B">
        <w:rPr>
          <w:rFonts w:ascii="Verdana" w:eastAsia="Verdana" w:hAnsi="Verdana" w:cs="Verdana"/>
          <w:b/>
          <w:color w:val="000000" w:themeColor="text1"/>
        </w:rPr>
        <w:t xml:space="preserve"> that is leading families to be forced from their homes</w:t>
      </w:r>
      <w:r w:rsidR="0042035F" w:rsidRPr="6BF7D35B">
        <w:rPr>
          <w:rFonts w:ascii="Verdana" w:eastAsia="Verdana" w:hAnsi="Verdana" w:cs="Verdana"/>
          <w:b/>
          <w:color w:val="000000" w:themeColor="text1"/>
        </w:rPr>
        <w:t xml:space="preserve">; and </w:t>
      </w:r>
    </w:p>
    <w:p w14:paraId="4DEFC219" w14:textId="31A465B0" w:rsidR="0042035F" w:rsidRPr="0042035F" w:rsidRDefault="00E41D44" w:rsidP="00915669">
      <w:pPr>
        <w:pStyle w:val="ListParagraph"/>
        <w:numPr>
          <w:ilvl w:val="0"/>
          <w:numId w:val="10"/>
        </w:numPr>
        <w:spacing w:line="276" w:lineRule="auto"/>
        <w:rPr>
          <w:rFonts w:ascii="Verdana" w:hAnsi="Verdana" w:cs="Gotham Light"/>
          <w:i/>
          <w:iCs/>
          <w:color w:val="000000"/>
        </w:rPr>
      </w:pPr>
      <w:r w:rsidRPr="0F41D650">
        <w:rPr>
          <w:rFonts w:ascii="Verdana" w:hAnsi="Verdana" w:cs="Gotham Light"/>
          <w:b/>
          <w:bCs/>
          <w:color w:val="000000" w:themeColor="text1"/>
        </w:rPr>
        <w:t>for</w:t>
      </w:r>
      <w:r w:rsidRPr="00626575">
        <w:rPr>
          <w:rFonts w:ascii="Verdana" w:hAnsi="Verdana" w:cs="Gotham Light"/>
          <w:b/>
          <w:color w:val="000000" w:themeColor="text1"/>
        </w:rPr>
        <w:t xml:space="preserve"> an update on alternative</w:t>
      </w:r>
      <w:r w:rsidR="00FA6774" w:rsidRPr="00626575">
        <w:rPr>
          <w:rFonts w:ascii="Verdana" w:hAnsi="Verdana" w:cs="Gotham Light"/>
          <w:b/>
          <w:color w:val="000000" w:themeColor="text1"/>
        </w:rPr>
        <w:t xml:space="preserve"> strategies that can provide effective mitigation measures for when this intimidation leads to families being forced from their homes.</w:t>
      </w:r>
    </w:p>
    <w:p w14:paraId="30244E19" w14:textId="77777777" w:rsidR="00D045B5" w:rsidRPr="00D045B5" w:rsidRDefault="00D045B5" w:rsidP="00D045B5">
      <w:pPr>
        <w:pStyle w:val="ListParagraph"/>
        <w:rPr>
          <w:rFonts w:ascii="Verdana" w:hAnsi="Verdana" w:cs="Gotham Light"/>
          <w:i/>
          <w:iCs/>
          <w:color w:val="000000"/>
        </w:rPr>
      </w:pPr>
    </w:p>
    <w:p w14:paraId="4701FD13" w14:textId="31DE08CC" w:rsidR="00D045B5" w:rsidRPr="00ED0CFA" w:rsidRDefault="00D045B5" w:rsidP="00D045B5">
      <w:pPr>
        <w:pStyle w:val="Heading2"/>
        <w:spacing w:line="276" w:lineRule="auto"/>
      </w:pPr>
      <w:bookmarkStart w:id="37" w:name="_Toc97030926"/>
      <w:r>
        <w:t>Access to Healthcare</w:t>
      </w:r>
      <w:bookmarkEnd w:id="37"/>
    </w:p>
    <w:p w14:paraId="52604772" w14:textId="77777777" w:rsidR="00D045B5" w:rsidRPr="00D045B5" w:rsidRDefault="00D045B5" w:rsidP="00D045B5">
      <w:pPr>
        <w:pStyle w:val="ListParagraph"/>
        <w:rPr>
          <w:rFonts w:ascii="Verdana" w:hAnsi="Verdana" w:cs="Gotham Light"/>
          <w:color w:val="000000"/>
        </w:rPr>
      </w:pPr>
    </w:p>
    <w:p w14:paraId="6C3B2CE6" w14:textId="353666DF" w:rsidR="00EC4B5F" w:rsidRPr="00EC4B5F" w:rsidRDefault="00986446" w:rsidP="00915669">
      <w:pPr>
        <w:pStyle w:val="ListParagraph"/>
        <w:numPr>
          <w:ilvl w:val="1"/>
          <w:numId w:val="18"/>
        </w:numPr>
        <w:spacing w:line="276" w:lineRule="auto"/>
        <w:rPr>
          <w:rFonts w:ascii="Verdana" w:hAnsi="Verdana" w:cs="Gotham Light"/>
          <w:i/>
          <w:iCs/>
          <w:color w:val="000000"/>
        </w:rPr>
      </w:pPr>
      <w:r w:rsidRPr="00EC4B5F">
        <w:rPr>
          <w:rFonts w:ascii="Verdana" w:hAnsi="Verdana" w:cs="Gotham Light"/>
          <w:color w:val="000000"/>
        </w:rPr>
        <w:t xml:space="preserve">Since 2012, </w:t>
      </w:r>
      <w:proofErr w:type="gramStart"/>
      <w:r w:rsidRPr="00EC4B5F">
        <w:rPr>
          <w:rFonts w:ascii="Verdana" w:hAnsi="Verdana" w:cs="Gotham Light"/>
          <w:color w:val="000000"/>
        </w:rPr>
        <w:t>a number of</w:t>
      </w:r>
      <w:proofErr w:type="gramEnd"/>
      <w:r w:rsidRPr="00EC4B5F">
        <w:rPr>
          <w:rFonts w:ascii="Verdana" w:hAnsi="Verdana" w:cs="Gotham Light"/>
          <w:color w:val="000000"/>
        </w:rPr>
        <w:t xml:space="preserve"> the Health and Social Care Trusts in NI offer the NI New Entrants Service. I</w:t>
      </w:r>
      <w:r w:rsidR="004F560A" w:rsidRPr="00EC4B5F">
        <w:rPr>
          <w:rFonts w:ascii="Verdana" w:hAnsi="Verdana" w:cs="Gotham Light"/>
          <w:color w:val="000000"/>
        </w:rPr>
        <w:t>t</w:t>
      </w:r>
      <w:r w:rsidRPr="00EC4B5F">
        <w:rPr>
          <w:rFonts w:ascii="Verdana" w:hAnsi="Verdana" w:cs="Gotham Light"/>
          <w:color w:val="000000"/>
        </w:rPr>
        <w:t xml:space="preserve"> is the first point of contact to the health services for new migrants, including asylum seekers; it offers initial health assessments health promotion advice, and information on accessing health services in NI.</w:t>
      </w:r>
    </w:p>
    <w:p w14:paraId="03154179" w14:textId="77777777" w:rsidR="00EC4B5F" w:rsidRPr="00EC4B5F" w:rsidRDefault="00EC4B5F" w:rsidP="00EC4B5F">
      <w:pPr>
        <w:pStyle w:val="ListParagraph"/>
        <w:spacing w:line="276" w:lineRule="auto"/>
        <w:rPr>
          <w:rFonts w:ascii="Verdana" w:hAnsi="Verdana" w:cs="Gotham Light"/>
          <w:i/>
          <w:iCs/>
          <w:color w:val="000000"/>
        </w:rPr>
      </w:pPr>
    </w:p>
    <w:p w14:paraId="4BBBF489" w14:textId="4D90D070" w:rsidR="00EC4B5F" w:rsidRPr="00EC4B5F" w:rsidRDefault="00D25DA9" w:rsidP="00915669">
      <w:pPr>
        <w:pStyle w:val="ListParagraph"/>
        <w:numPr>
          <w:ilvl w:val="1"/>
          <w:numId w:val="18"/>
        </w:numPr>
        <w:spacing w:line="276" w:lineRule="auto"/>
        <w:rPr>
          <w:rFonts w:ascii="Verdana" w:hAnsi="Verdana" w:cs="Gotham Light"/>
          <w:i/>
          <w:iCs/>
          <w:color w:val="000000"/>
        </w:rPr>
      </w:pPr>
      <w:r w:rsidRPr="00EC4B5F">
        <w:rPr>
          <w:rFonts w:ascii="Verdana" w:hAnsi="Verdana" w:cs="Gotham Light"/>
          <w:color w:val="000000"/>
        </w:rPr>
        <w:t>Since 2015, all asylum seekers who have made an application to be granted temporary protection, asylum or humanitarian protection are entitled to free primary</w:t>
      </w:r>
      <w:r w:rsidR="002168BC" w:rsidRPr="00EC4B5F">
        <w:rPr>
          <w:rFonts w:ascii="Verdana" w:hAnsi="Verdana" w:cs="YIUEB V+ Gotham"/>
          <w:color w:val="000000"/>
        </w:rPr>
        <w:t>, secondary and emergency healthcare.</w:t>
      </w:r>
      <w:r w:rsidR="002168BC" w:rsidRPr="00D62DEB">
        <w:rPr>
          <w:rStyle w:val="FootnoteReference"/>
          <w:rFonts w:ascii="Verdana" w:hAnsi="Verdana" w:cs="YIUEB V+ Gotham"/>
          <w:color w:val="000000"/>
        </w:rPr>
        <w:footnoteReference w:id="271"/>
      </w:r>
      <w:r w:rsidR="002168BC" w:rsidRPr="00EC4B5F">
        <w:rPr>
          <w:rFonts w:ascii="Verdana" w:hAnsi="Verdana" w:cs="YIUEB V+ Gotham"/>
          <w:color w:val="000000"/>
        </w:rPr>
        <w:t xml:space="preserve"> This includes asylum seekers who have exhausted the appeals process and remain in NI. </w:t>
      </w:r>
    </w:p>
    <w:p w14:paraId="04A11041" w14:textId="77777777" w:rsidR="00EC4B5F" w:rsidRPr="00EC4B5F" w:rsidRDefault="00EC4B5F" w:rsidP="00EC4B5F">
      <w:pPr>
        <w:pStyle w:val="ListParagraph"/>
        <w:rPr>
          <w:rFonts w:ascii="Verdana" w:hAnsi="Verdana" w:cs="Gotham Light"/>
          <w:color w:val="000000"/>
        </w:rPr>
      </w:pPr>
    </w:p>
    <w:p w14:paraId="71412AF6" w14:textId="77777777" w:rsidR="00EC4B5F" w:rsidRPr="00EC4B5F" w:rsidRDefault="00984077" w:rsidP="00915669">
      <w:pPr>
        <w:pStyle w:val="ListParagraph"/>
        <w:numPr>
          <w:ilvl w:val="1"/>
          <w:numId w:val="18"/>
        </w:numPr>
        <w:spacing w:line="276" w:lineRule="auto"/>
        <w:rPr>
          <w:rFonts w:ascii="Verdana" w:hAnsi="Verdana" w:cs="Gotham Light"/>
          <w:i/>
          <w:iCs/>
          <w:color w:val="000000"/>
        </w:rPr>
      </w:pPr>
      <w:r w:rsidRPr="00EC4B5F">
        <w:rPr>
          <w:rFonts w:ascii="Verdana" w:hAnsi="Verdana" w:cs="Gotham Light"/>
          <w:color w:val="000000"/>
        </w:rPr>
        <w:t xml:space="preserve">In 2019, the UN CEDAW Committee highlighted the </w:t>
      </w:r>
      <w:r w:rsidR="00AB450B" w:rsidRPr="00EC4B5F">
        <w:rPr>
          <w:rFonts w:ascii="Verdana" w:hAnsi="Verdana" w:cs="Gotham Light"/>
          <w:color w:val="000000"/>
        </w:rPr>
        <w:t>obstacles</w:t>
      </w:r>
      <w:r w:rsidRPr="00EC4B5F">
        <w:rPr>
          <w:rFonts w:ascii="Verdana" w:hAnsi="Verdana" w:cs="Gotham Light"/>
          <w:color w:val="000000"/>
        </w:rPr>
        <w:t xml:space="preserve"> faced by women from marginalised groups to access </w:t>
      </w:r>
      <w:r w:rsidR="00B461CB" w:rsidRPr="00EC4B5F">
        <w:rPr>
          <w:rFonts w:ascii="Verdana" w:hAnsi="Verdana" w:cs="Gotham Light"/>
          <w:color w:val="000000"/>
        </w:rPr>
        <w:t>healthcare</w:t>
      </w:r>
      <w:r w:rsidRPr="00EC4B5F">
        <w:rPr>
          <w:rFonts w:ascii="Verdana" w:hAnsi="Verdana" w:cs="Gotham Light"/>
          <w:color w:val="000000"/>
        </w:rPr>
        <w:t xml:space="preserve"> services, incl</w:t>
      </w:r>
      <w:r w:rsidR="00F5659E" w:rsidRPr="00EC4B5F">
        <w:rPr>
          <w:rFonts w:ascii="Verdana" w:hAnsi="Verdana" w:cs="Gotham Light"/>
          <w:color w:val="000000"/>
        </w:rPr>
        <w:t xml:space="preserve">uding due to their inability to provide </w:t>
      </w:r>
      <w:r w:rsidR="00AB450B" w:rsidRPr="00EC4B5F">
        <w:rPr>
          <w:rFonts w:ascii="Verdana" w:hAnsi="Verdana" w:cs="Gotham Light"/>
          <w:color w:val="000000"/>
        </w:rPr>
        <w:t xml:space="preserve">identity </w:t>
      </w:r>
      <w:r w:rsidR="00F5659E" w:rsidRPr="00EC4B5F">
        <w:rPr>
          <w:rFonts w:ascii="Verdana" w:hAnsi="Verdana" w:cs="Gotham Light"/>
          <w:color w:val="000000"/>
        </w:rPr>
        <w:t>documentation, proof of address or immigrations status.</w:t>
      </w:r>
      <w:r w:rsidR="00F5659E" w:rsidRPr="00D62DEB">
        <w:rPr>
          <w:rStyle w:val="FootnoteReference"/>
          <w:rFonts w:ascii="Verdana" w:hAnsi="Verdana" w:cs="Gotham Light"/>
          <w:color w:val="000000"/>
        </w:rPr>
        <w:footnoteReference w:id="272"/>
      </w:r>
      <w:r w:rsidR="00B60729" w:rsidRPr="00EC4B5F">
        <w:rPr>
          <w:rFonts w:ascii="Verdana" w:hAnsi="Verdana" w:cs="Gotham Light"/>
          <w:color w:val="000000"/>
        </w:rPr>
        <w:t xml:space="preserve"> It </w:t>
      </w:r>
      <w:r w:rsidR="00AB450B" w:rsidRPr="00EC4B5F">
        <w:rPr>
          <w:rFonts w:ascii="Verdana" w:hAnsi="Verdana" w:cs="Gotham Light"/>
          <w:color w:val="000000"/>
        </w:rPr>
        <w:t>recommended</w:t>
      </w:r>
      <w:r w:rsidR="00B60729" w:rsidRPr="00EC4B5F">
        <w:rPr>
          <w:rFonts w:ascii="Verdana" w:hAnsi="Verdana" w:cs="Gotham Light"/>
          <w:color w:val="000000"/>
        </w:rPr>
        <w:t xml:space="preserve"> that UK Government and NI Executive strengthen the implementation of </w:t>
      </w:r>
      <w:r w:rsidR="00AB450B" w:rsidRPr="00EC4B5F">
        <w:rPr>
          <w:rFonts w:ascii="Verdana" w:hAnsi="Verdana" w:cs="Gotham Light"/>
          <w:color w:val="000000"/>
        </w:rPr>
        <w:t>programmes</w:t>
      </w:r>
      <w:r w:rsidR="00B60729" w:rsidRPr="00EC4B5F">
        <w:rPr>
          <w:rFonts w:ascii="Verdana" w:hAnsi="Verdana" w:cs="Gotham Light"/>
          <w:color w:val="000000"/>
        </w:rPr>
        <w:t xml:space="preserve"> and policies </w:t>
      </w:r>
      <w:r w:rsidR="00AB450B" w:rsidRPr="00EC4B5F">
        <w:rPr>
          <w:rFonts w:ascii="Verdana" w:hAnsi="Verdana" w:cs="Gotham Light"/>
          <w:color w:val="000000"/>
        </w:rPr>
        <w:t>at providing effective accesses to healthcare by women from marginalised groups, particularly asylum-seeking and refugee women, migrant women, Gypsy and Traveller women and victims of trafficking”.</w:t>
      </w:r>
      <w:r w:rsidR="00AB450B" w:rsidRPr="00D62DEB">
        <w:rPr>
          <w:rStyle w:val="FootnoteReference"/>
          <w:rFonts w:ascii="Verdana" w:hAnsi="Verdana" w:cs="Gotham Light"/>
          <w:color w:val="000000"/>
        </w:rPr>
        <w:footnoteReference w:id="273"/>
      </w:r>
    </w:p>
    <w:p w14:paraId="6C1A1886" w14:textId="77777777" w:rsidR="00EC4B5F" w:rsidRPr="00EC4B5F" w:rsidRDefault="00EC4B5F" w:rsidP="00EC4B5F">
      <w:pPr>
        <w:pStyle w:val="ListParagraph"/>
        <w:rPr>
          <w:rFonts w:ascii="Verdana" w:hAnsi="Verdana" w:cs="Gotham Light"/>
          <w:color w:val="000000"/>
        </w:rPr>
      </w:pPr>
    </w:p>
    <w:p w14:paraId="2393720C" w14:textId="77777777" w:rsidR="00EC4B5F" w:rsidRPr="00EC4B5F" w:rsidRDefault="00B60729" w:rsidP="00915669">
      <w:pPr>
        <w:pStyle w:val="ListParagraph"/>
        <w:numPr>
          <w:ilvl w:val="1"/>
          <w:numId w:val="18"/>
        </w:numPr>
        <w:spacing w:line="276" w:lineRule="auto"/>
        <w:rPr>
          <w:rFonts w:ascii="Verdana" w:hAnsi="Verdana" w:cs="Gotham Light"/>
          <w:i/>
          <w:iCs/>
          <w:color w:val="000000"/>
        </w:rPr>
      </w:pPr>
      <w:proofErr w:type="gramStart"/>
      <w:r w:rsidRPr="00EC4B5F">
        <w:rPr>
          <w:rFonts w:ascii="Verdana" w:hAnsi="Verdana" w:cs="Gotham Light"/>
          <w:color w:val="000000"/>
        </w:rPr>
        <w:t xml:space="preserve">A </w:t>
      </w:r>
      <w:r w:rsidR="000A7692" w:rsidRPr="00EC4B5F">
        <w:rPr>
          <w:rFonts w:ascii="Verdana" w:hAnsi="Verdana" w:cs="Gotham Light"/>
          <w:color w:val="000000"/>
        </w:rPr>
        <w:t>number of</w:t>
      </w:r>
      <w:proofErr w:type="gramEnd"/>
      <w:r w:rsidR="000A7692" w:rsidRPr="00EC4B5F">
        <w:rPr>
          <w:rFonts w:ascii="Verdana" w:hAnsi="Verdana" w:cs="Gotham Light"/>
          <w:color w:val="000000"/>
        </w:rPr>
        <w:t xml:space="preserve"> </w:t>
      </w:r>
      <w:r w:rsidR="00984077" w:rsidRPr="00EC4B5F">
        <w:rPr>
          <w:rFonts w:ascii="Verdana" w:hAnsi="Verdana" w:cs="Gotham Light"/>
          <w:color w:val="000000"/>
        </w:rPr>
        <w:t xml:space="preserve">other </w:t>
      </w:r>
      <w:r w:rsidR="000A7692" w:rsidRPr="00EC4B5F">
        <w:rPr>
          <w:rFonts w:ascii="Verdana" w:hAnsi="Verdana" w:cs="Gotham Light"/>
          <w:color w:val="000000"/>
        </w:rPr>
        <w:t xml:space="preserve">UN Committees have also </w:t>
      </w:r>
      <w:r w:rsidR="00341FDB" w:rsidRPr="00EC4B5F">
        <w:rPr>
          <w:rFonts w:ascii="Verdana" w:hAnsi="Verdana" w:cs="Gotham Light"/>
          <w:color w:val="000000"/>
        </w:rPr>
        <w:t>recommended</w:t>
      </w:r>
      <w:r w:rsidR="000A7692" w:rsidRPr="00EC4B5F">
        <w:rPr>
          <w:rFonts w:ascii="Verdana" w:hAnsi="Verdana" w:cs="Gotham Light"/>
          <w:color w:val="000000"/>
        </w:rPr>
        <w:t xml:space="preserve"> </w:t>
      </w:r>
      <w:r w:rsidR="00341FDB" w:rsidRPr="00EC4B5F">
        <w:rPr>
          <w:rFonts w:ascii="Verdana" w:hAnsi="Verdana" w:cs="Gotham Light"/>
          <w:color w:val="000000"/>
        </w:rPr>
        <w:t xml:space="preserve">that </w:t>
      </w:r>
      <w:r w:rsidR="000A7692" w:rsidRPr="00EC4B5F">
        <w:rPr>
          <w:rFonts w:ascii="Verdana" w:hAnsi="Verdana" w:cs="Gotham Light"/>
          <w:color w:val="000000"/>
        </w:rPr>
        <w:t>the UK Government and NI Executive also take steps to</w:t>
      </w:r>
      <w:r w:rsidR="00BD5549" w:rsidRPr="00EC4B5F">
        <w:rPr>
          <w:rFonts w:ascii="Verdana" w:hAnsi="Verdana" w:cs="Gotham Light"/>
          <w:color w:val="000000"/>
        </w:rPr>
        <w:t xml:space="preserve"> ensure that migrant, refugees, asylum-seeking children and ethnic minorities all have access to </w:t>
      </w:r>
      <w:r w:rsidR="00A32035" w:rsidRPr="00EC4B5F">
        <w:rPr>
          <w:rFonts w:ascii="Verdana" w:hAnsi="Verdana" w:cs="Gotham Light"/>
          <w:color w:val="000000"/>
        </w:rPr>
        <w:t>necessary healthcare services</w:t>
      </w:r>
      <w:r w:rsidR="00984077" w:rsidRPr="00EC4B5F">
        <w:rPr>
          <w:rFonts w:ascii="Verdana" w:hAnsi="Verdana" w:cs="Gotham Light"/>
          <w:color w:val="000000"/>
        </w:rPr>
        <w:t>.</w:t>
      </w:r>
      <w:r w:rsidR="00A32035" w:rsidRPr="00D62DEB">
        <w:rPr>
          <w:rStyle w:val="FootnoteReference"/>
          <w:rFonts w:ascii="Verdana" w:hAnsi="Verdana" w:cs="Gotham Light"/>
          <w:color w:val="000000"/>
        </w:rPr>
        <w:footnoteReference w:id="274"/>
      </w:r>
    </w:p>
    <w:p w14:paraId="6A8AF3CC" w14:textId="77777777" w:rsidR="00EC4B5F" w:rsidRPr="00EC4B5F" w:rsidRDefault="00EC4B5F" w:rsidP="00EC4B5F">
      <w:pPr>
        <w:pStyle w:val="ListParagraph"/>
        <w:rPr>
          <w:rFonts w:ascii="Verdana" w:hAnsi="Verdana"/>
        </w:rPr>
      </w:pPr>
    </w:p>
    <w:p w14:paraId="4E7E05E1" w14:textId="77777777" w:rsidR="00EC4B5F" w:rsidRPr="00EC4B5F" w:rsidRDefault="00A00383" w:rsidP="00915669">
      <w:pPr>
        <w:pStyle w:val="ListParagraph"/>
        <w:numPr>
          <w:ilvl w:val="1"/>
          <w:numId w:val="18"/>
        </w:numPr>
        <w:spacing w:line="276" w:lineRule="auto"/>
        <w:rPr>
          <w:rFonts w:ascii="Verdana" w:hAnsi="Verdana" w:cs="Gotham Light"/>
          <w:i/>
          <w:iCs/>
          <w:color w:val="000000"/>
        </w:rPr>
      </w:pPr>
      <w:r w:rsidRPr="00EC4B5F">
        <w:rPr>
          <w:rFonts w:ascii="Verdana" w:hAnsi="Verdana"/>
        </w:rPr>
        <w:t xml:space="preserve">The </w:t>
      </w:r>
      <w:r w:rsidR="00AF30BD" w:rsidRPr="00EC4B5F">
        <w:rPr>
          <w:rFonts w:ascii="Verdana" w:hAnsi="Verdana"/>
        </w:rPr>
        <w:t>NIHRC</w:t>
      </w:r>
      <w:r w:rsidRPr="00EC4B5F">
        <w:rPr>
          <w:rFonts w:ascii="Verdana" w:hAnsi="Verdana"/>
        </w:rPr>
        <w:t xml:space="preserve"> is also aware that women and girls that may face additional challenges and barriers in accessing </w:t>
      </w:r>
      <w:r w:rsidR="00EB0D98" w:rsidRPr="00EC4B5F">
        <w:rPr>
          <w:rFonts w:ascii="Verdana" w:hAnsi="Verdana"/>
        </w:rPr>
        <w:t xml:space="preserve">abortion </w:t>
      </w:r>
      <w:r w:rsidRPr="00EC4B5F">
        <w:rPr>
          <w:rFonts w:ascii="Verdana" w:hAnsi="Verdana"/>
        </w:rPr>
        <w:t>services in NI. These include girls under 18 years old, women and girls living in poverty, in rural areas, with disabilities, experiencing domestic abuse and from a migrant background, particularly where language is a barrier.</w:t>
      </w:r>
      <w:r w:rsidR="00AA2E08">
        <w:rPr>
          <w:rStyle w:val="FootnoteReference"/>
          <w:rFonts w:ascii="Verdana" w:hAnsi="Verdana"/>
        </w:rPr>
        <w:footnoteReference w:id="275"/>
      </w:r>
    </w:p>
    <w:p w14:paraId="53B47336" w14:textId="77777777" w:rsidR="00EC4B5F" w:rsidRPr="00EC4B5F" w:rsidRDefault="00EC4B5F" w:rsidP="00EC4B5F">
      <w:pPr>
        <w:pStyle w:val="ListParagraph"/>
        <w:rPr>
          <w:rFonts w:ascii="Verdana" w:hAnsi="Verdana" w:cs="Gotham Light"/>
          <w:color w:val="000000"/>
        </w:rPr>
      </w:pPr>
    </w:p>
    <w:p w14:paraId="1839B34B" w14:textId="77777777" w:rsidR="00EC4B5F" w:rsidRPr="00EC4B5F" w:rsidRDefault="00F0585A" w:rsidP="00915669">
      <w:pPr>
        <w:pStyle w:val="ListParagraph"/>
        <w:numPr>
          <w:ilvl w:val="1"/>
          <w:numId w:val="18"/>
        </w:numPr>
        <w:spacing w:line="276" w:lineRule="auto"/>
        <w:rPr>
          <w:rFonts w:ascii="Verdana" w:hAnsi="Verdana" w:cs="Gotham Light"/>
          <w:i/>
          <w:iCs/>
          <w:color w:val="000000"/>
        </w:rPr>
      </w:pPr>
      <w:r w:rsidRPr="00EC4B5F">
        <w:rPr>
          <w:rFonts w:ascii="Verdana" w:hAnsi="Verdana" w:cs="Gotham Light"/>
          <w:color w:val="000000"/>
        </w:rPr>
        <w:t xml:space="preserve">The NIHRC </w:t>
      </w:r>
      <w:r w:rsidR="00497D32" w:rsidRPr="00EC4B5F">
        <w:rPr>
          <w:rFonts w:ascii="Verdana" w:hAnsi="Verdana" w:cs="Gotham Light"/>
          <w:color w:val="000000"/>
        </w:rPr>
        <w:t>has further raised concerns</w:t>
      </w:r>
      <w:r w:rsidR="003857C3" w:rsidRPr="00EC4B5F">
        <w:rPr>
          <w:rFonts w:ascii="Verdana" w:hAnsi="Verdana" w:cs="Gotham Light"/>
          <w:color w:val="000000"/>
        </w:rPr>
        <w:t xml:space="preserve"> with</w:t>
      </w:r>
      <w:r w:rsidR="00497D32" w:rsidRPr="00EC4B5F">
        <w:rPr>
          <w:rFonts w:ascii="Verdana" w:hAnsi="Verdana" w:cs="Gotham Light"/>
          <w:color w:val="000000"/>
        </w:rPr>
        <w:t xml:space="preserve"> the Department of Health</w:t>
      </w:r>
      <w:r w:rsidRPr="00EC4B5F">
        <w:rPr>
          <w:rFonts w:ascii="Verdana" w:hAnsi="Verdana" w:cs="Gotham Light"/>
          <w:color w:val="000000"/>
        </w:rPr>
        <w:t xml:space="preserve"> that the </w:t>
      </w:r>
      <w:r w:rsidR="00A050DD" w:rsidRPr="00EC4B5F">
        <w:rPr>
          <w:rFonts w:ascii="Verdana" w:hAnsi="Verdana" w:cs="Gotham Light"/>
          <w:color w:val="000000"/>
        </w:rPr>
        <w:t xml:space="preserve">introduction of the </w:t>
      </w:r>
      <w:r w:rsidR="003857C3" w:rsidRPr="00EC4B5F">
        <w:rPr>
          <w:rFonts w:ascii="Verdana" w:hAnsi="Verdana" w:cs="Gotham Light"/>
          <w:color w:val="000000"/>
        </w:rPr>
        <w:t>COVID status certification could further marginalise people from vulnerable groups including those experiencing homelessness, disabled persons as</w:t>
      </w:r>
      <w:r w:rsidR="00A74EEA" w:rsidRPr="00EC4B5F">
        <w:rPr>
          <w:rFonts w:ascii="Verdana" w:hAnsi="Verdana" w:cs="Gotham Light"/>
          <w:color w:val="000000"/>
        </w:rPr>
        <w:t xml:space="preserve"> well as</w:t>
      </w:r>
      <w:r w:rsidR="003857C3" w:rsidRPr="00EC4B5F">
        <w:rPr>
          <w:rFonts w:ascii="Verdana" w:hAnsi="Verdana" w:cs="Gotham Light"/>
          <w:color w:val="000000"/>
        </w:rPr>
        <w:t xml:space="preserve"> refugees and </w:t>
      </w:r>
      <w:r w:rsidR="00A74EEA" w:rsidRPr="00EC4B5F">
        <w:rPr>
          <w:rFonts w:ascii="Verdana" w:hAnsi="Verdana" w:cs="Gotham Light"/>
          <w:color w:val="000000"/>
        </w:rPr>
        <w:t>migrants</w:t>
      </w:r>
      <w:r w:rsidR="00EB0D98" w:rsidRPr="00EC4B5F">
        <w:rPr>
          <w:rFonts w:ascii="Verdana" w:hAnsi="Verdana" w:cs="Gotham Light"/>
          <w:color w:val="000000"/>
        </w:rPr>
        <w:t>, recommending</w:t>
      </w:r>
      <w:r w:rsidR="003E41F5" w:rsidRPr="00EC4B5F">
        <w:rPr>
          <w:rFonts w:ascii="Verdana" w:hAnsi="Verdana" w:cs="Gotham Light"/>
          <w:color w:val="000000"/>
        </w:rPr>
        <w:t xml:space="preserve"> </w:t>
      </w:r>
      <w:r w:rsidR="003E41F5" w:rsidRPr="00EC4B5F">
        <w:rPr>
          <w:rFonts w:ascii="Verdana" w:hAnsi="Verdana"/>
        </w:rPr>
        <w:t>appropriate safeguards to ensure that measures are applied in a non-discriminatory manner.</w:t>
      </w:r>
      <w:r w:rsidR="00A74EEA" w:rsidRPr="00D62DEB">
        <w:rPr>
          <w:rStyle w:val="FootnoteReference"/>
          <w:rFonts w:ascii="Verdana" w:hAnsi="Verdana" w:cs="Gotham Light"/>
          <w:color w:val="000000"/>
        </w:rPr>
        <w:footnoteReference w:id="276"/>
      </w:r>
    </w:p>
    <w:p w14:paraId="789FFDCA" w14:textId="77777777" w:rsidR="00EC4B5F" w:rsidRPr="00EC4B5F" w:rsidRDefault="00EC4B5F" w:rsidP="00EC4B5F">
      <w:pPr>
        <w:pStyle w:val="ListParagraph"/>
        <w:rPr>
          <w:rFonts w:ascii="Verdana" w:hAnsi="Verdana" w:cs="YIUEB V+ Gotham"/>
          <w:color w:val="000000"/>
        </w:rPr>
      </w:pPr>
    </w:p>
    <w:p w14:paraId="70F5145B" w14:textId="77777777" w:rsidR="00EC4B5F" w:rsidRPr="00EC4B5F" w:rsidRDefault="00AA3BDF" w:rsidP="00915669">
      <w:pPr>
        <w:pStyle w:val="ListParagraph"/>
        <w:numPr>
          <w:ilvl w:val="1"/>
          <w:numId w:val="18"/>
        </w:numPr>
        <w:spacing w:line="276" w:lineRule="auto"/>
        <w:rPr>
          <w:rStyle w:val="A91"/>
          <w:rFonts w:ascii="Verdana" w:hAnsi="Verdana" w:cs="Gotham Light"/>
          <w:i/>
          <w:iCs/>
          <w:sz w:val="24"/>
          <w:szCs w:val="24"/>
        </w:rPr>
      </w:pPr>
      <w:r w:rsidRPr="00EC4B5F">
        <w:rPr>
          <w:rFonts w:ascii="Verdana" w:hAnsi="Verdana" w:cs="YIUEB V+ Gotham"/>
          <w:color w:val="000000"/>
        </w:rPr>
        <w:t xml:space="preserve">After the withdrawal of the UK from the European Union, EU, </w:t>
      </w:r>
      <w:proofErr w:type="gramStart"/>
      <w:r w:rsidRPr="00EC4B5F">
        <w:rPr>
          <w:rFonts w:ascii="Verdana" w:hAnsi="Verdana" w:cs="YIUEB V+ Gotham"/>
          <w:color w:val="000000"/>
        </w:rPr>
        <w:t>EEA</w:t>
      </w:r>
      <w:proofErr w:type="gramEnd"/>
      <w:r w:rsidRPr="00EC4B5F">
        <w:rPr>
          <w:rFonts w:ascii="Verdana" w:hAnsi="Verdana" w:cs="YIUEB V+ Gotham"/>
          <w:color w:val="000000"/>
        </w:rPr>
        <w:t xml:space="preserve"> and Swiss citizens living in the UK </w:t>
      </w:r>
      <w:r w:rsidR="00EB0D98" w:rsidRPr="00EC4B5F">
        <w:rPr>
          <w:rFonts w:ascii="Verdana" w:hAnsi="Verdana" w:cs="YIUEB V+ Gotham"/>
          <w:color w:val="000000"/>
        </w:rPr>
        <w:t>were required</w:t>
      </w:r>
      <w:r w:rsidRPr="00EC4B5F">
        <w:rPr>
          <w:rFonts w:ascii="Verdana" w:hAnsi="Verdana" w:cs="YIUEB V+ Gotham"/>
          <w:color w:val="000000"/>
        </w:rPr>
        <w:t xml:space="preserve"> apply for settled status, through the EU Settlement Scheme, to ensure they have leave to remain in the UK.</w:t>
      </w:r>
      <w:r w:rsidRPr="00D62DEB">
        <w:rPr>
          <w:rStyle w:val="FootnoteReference"/>
          <w:rFonts w:ascii="Verdana" w:hAnsi="Verdana" w:cs="YIUEB V+ Gotham"/>
          <w:color w:val="000000"/>
        </w:rPr>
        <w:footnoteReference w:id="277"/>
      </w:r>
      <w:r w:rsidRPr="00EC4B5F">
        <w:rPr>
          <w:rFonts w:ascii="Verdana" w:hAnsi="Verdana" w:cs="YIUEB V+ Gotham"/>
          <w:color w:val="000000"/>
        </w:rPr>
        <w:t xml:space="preserve"> </w:t>
      </w:r>
      <w:r w:rsidR="00A8276F" w:rsidRPr="00EC4B5F">
        <w:rPr>
          <w:rFonts w:ascii="Verdana" w:hAnsi="Verdana" w:cs="YIUEB V+ Gotham"/>
          <w:color w:val="000000"/>
        </w:rPr>
        <w:t xml:space="preserve">The deadline to apply for the EU Settlement Scheme was 30 June 2021. </w:t>
      </w:r>
      <w:r w:rsidR="00EB0D98" w:rsidRPr="00EC4B5F">
        <w:rPr>
          <w:rFonts w:ascii="Verdana" w:hAnsi="Verdana" w:cs="YIUEB V+ Gotham"/>
          <w:color w:val="000000"/>
        </w:rPr>
        <w:t>Those</w:t>
      </w:r>
      <w:r w:rsidR="00A8276F" w:rsidRPr="00EC4B5F">
        <w:rPr>
          <w:rFonts w:ascii="Verdana" w:hAnsi="Verdana" w:cs="YIUEB V+ Gotham"/>
          <w:color w:val="000000"/>
        </w:rPr>
        <w:t xml:space="preserve"> EU, </w:t>
      </w:r>
      <w:proofErr w:type="gramStart"/>
      <w:r w:rsidR="00A8276F" w:rsidRPr="00EC4B5F">
        <w:rPr>
          <w:rFonts w:ascii="Verdana" w:hAnsi="Verdana" w:cs="YIUEB V+ Gotham"/>
          <w:color w:val="000000"/>
        </w:rPr>
        <w:t>EEA</w:t>
      </w:r>
      <w:proofErr w:type="gramEnd"/>
      <w:r w:rsidR="00A8276F" w:rsidRPr="00EC4B5F">
        <w:rPr>
          <w:rFonts w:ascii="Verdana" w:hAnsi="Verdana" w:cs="YIUEB V+ Gotham"/>
          <w:color w:val="000000"/>
        </w:rPr>
        <w:t xml:space="preserve"> and Swiss citizens </w:t>
      </w:r>
      <w:r w:rsidR="00EB0D98" w:rsidRPr="00EC4B5F">
        <w:rPr>
          <w:rFonts w:ascii="Verdana" w:hAnsi="Verdana" w:cs="YIUEB V+ Gotham"/>
          <w:color w:val="000000"/>
        </w:rPr>
        <w:t xml:space="preserve">without </w:t>
      </w:r>
      <w:r w:rsidR="00A8276F" w:rsidRPr="00EC4B5F">
        <w:rPr>
          <w:rFonts w:ascii="Verdana" w:hAnsi="Verdana" w:cs="YIUEB V+ Gotham"/>
          <w:color w:val="000000"/>
        </w:rPr>
        <w:t>settled status risk being viewed as irregular migrants and may lose access to healthcare</w:t>
      </w:r>
      <w:r w:rsidR="00EB0D98" w:rsidRPr="00EC4B5F">
        <w:rPr>
          <w:rFonts w:ascii="Verdana" w:hAnsi="Verdana" w:cs="YIUEB V+ Gotham"/>
          <w:color w:val="000000"/>
        </w:rPr>
        <w:t>,</w:t>
      </w:r>
      <w:r w:rsidR="00A8276F" w:rsidRPr="00EC4B5F">
        <w:rPr>
          <w:rFonts w:ascii="Verdana" w:hAnsi="Verdana" w:cs="YIUEB V+ Gotham"/>
          <w:color w:val="000000"/>
        </w:rPr>
        <w:t xml:space="preserve"> among other benefits.</w:t>
      </w:r>
      <w:r w:rsidR="00A8276F" w:rsidRPr="00D62DEB">
        <w:rPr>
          <w:rStyle w:val="FootnoteReference"/>
          <w:rFonts w:ascii="Verdana" w:hAnsi="Verdana" w:cs="YIUEB V+ Gotham"/>
          <w:color w:val="000000"/>
        </w:rPr>
        <w:footnoteReference w:id="278"/>
      </w:r>
      <w:r w:rsidR="00A8276F" w:rsidRPr="00EC4B5F">
        <w:rPr>
          <w:rStyle w:val="A91"/>
          <w:rFonts w:ascii="Verdana" w:hAnsi="Verdana"/>
          <w:sz w:val="24"/>
          <w:szCs w:val="24"/>
        </w:rPr>
        <w:t xml:space="preserve"> </w:t>
      </w:r>
    </w:p>
    <w:p w14:paraId="051AE757" w14:textId="77777777" w:rsidR="00EC4B5F" w:rsidRPr="00EC4B5F" w:rsidRDefault="00EC4B5F" w:rsidP="00EC4B5F">
      <w:pPr>
        <w:pStyle w:val="ListParagraph"/>
        <w:rPr>
          <w:rFonts w:ascii="Verdana" w:hAnsi="Verdana" w:cs="YIUEB V+ Gotham"/>
          <w:color w:val="000000"/>
        </w:rPr>
      </w:pPr>
    </w:p>
    <w:p w14:paraId="08EB73AC" w14:textId="77777777" w:rsidR="00EC4B5F" w:rsidRPr="00EC4B5F" w:rsidRDefault="00A8276F" w:rsidP="00915669">
      <w:pPr>
        <w:pStyle w:val="ListParagraph"/>
        <w:numPr>
          <w:ilvl w:val="1"/>
          <w:numId w:val="18"/>
        </w:numPr>
        <w:spacing w:line="276" w:lineRule="auto"/>
        <w:rPr>
          <w:rFonts w:ascii="Verdana" w:hAnsi="Verdana" w:cs="Gotham Light"/>
          <w:i/>
          <w:iCs/>
          <w:color w:val="000000"/>
        </w:rPr>
      </w:pPr>
      <w:r w:rsidRPr="00EC4B5F">
        <w:rPr>
          <w:rFonts w:ascii="Verdana" w:hAnsi="Verdana" w:cs="YIUEB V+ Gotham"/>
          <w:color w:val="000000"/>
        </w:rPr>
        <w:t>Concerns have been raised regarding the accessibility of the EU Settlement Scheme, particularly for more vulnerable members of the community, including young people who have grown up in care, victims of modern slavery and members of the Roma community.</w:t>
      </w:r>
      <w:r w:rsidR="00BB3366" w:rsidRPr="00D62DEB">
        <w:rPr>
          <w:rStyle w:val="FootnoteReference"/>
          <w:rFonts w:ascii="Verdana" w:hAnsi="Verdana" w:cs="YIUEB V+ Gotham"/>
          <w:color w:val="000000"/>
        </w:rPr>
        <w:footnoteReference w:id="279"/>
      </w:r>
      <w:r w:rsidR="00BB3366" w:rsidRPr="00EC4B5F">
        <w:rPr>
          <w:rFonts w:ascii="Verdana" w:hAnsi="Verdana" w:cs="YIUEB V+ Gotham"/>
          <w:color w:val="000000"/>
        </w:rPr>
        <w:t xml:space="preserve"> </w:t>
      </w:r>
      <w:r w:rsidRPr="00EC4B5F">
        <w:rPr>
          <w:rFonts w:ascii="Verdana" w:hAnsi="Verdana" w:cs="YIUEB V+ Gotham"/>
          <w:color w:val="000000"/>
        </w:rPr>
        <w:t xml:space="preserve">In March 2021, the High Court </w:t>
      </w:r>
      <w:r w:rsidR="004F560A" w:rsidRPr="00EC4B5F">
        <w:rPr>
          <w:rFonts w:ascii="Verdana" w:hAnsi="Verdana" w:cs="YIUEB V+ Gotham"/>
          <w:color w:val="000000"/>
        </w:rPr>
        <w:t>in England and Wales</w:t>
      </w:r>
      <w:r w:rsidRPr="00EC4B5F">
        <w:rPr>
          <w:rFonts w:ascii="Verdana" w:hAnsi="Verdana" w:cs="YIUEB V+ Gotham"/>
          <w:color w:val="000000"/>
        </w:rPr>
        <w:t xml:space="preserve"> rejected a legal bid to extend the application deadline to allow more people to apply for the scheme.</w:t>
      </w:r>
      <w:r w:rsidR="00BB3366" w:rsidRPr="00D62DEB">
        <w:rPr>
          <w:rStyle w:val="FootnoteReference"/>
          <w:rFonts w:ascii="Verdana" w:hAnsi="Verdana" w:cs="YIUEB V+ Gotham"/>
          <w:color w:val="000000"/>
        </w:rPr>
        <w:footnoteReference w:id="280"/>
      </w:r>
      <w:r w:rsidRPr="00EC4B5F">
        <w:rPr>
          <w:rStyle w:val="A91"/>
          <w:rFonts w:ascii="Verdana" w:hAnsi="Verdana"/>
          <w:sz w:val="24"/>
          <w:szCs w:val="24"/>
        </w:rPr>
        <w:t xml:space="preserve"> </w:t>
      </w:r>
      <w:r w:rsidRPr="00EC4B5F">
        <w:rPr>
          <w:rFonts w:ascii="Verdana" w:hAnsi="Verdana" w:cs="YIUEB V+ Gotham"/>
          <w:color w:val="000000"/>
        </w:rPr>
        <w:t>In May 2021, the Home Office released guidance on</w:t>
      </w:r>
      <w:r w:rsidR="00621B5C" w:rsidRPr="00EC4B5F">
        <w:rPr>
          <w:rFonts w:ascii="Verdana" w:hAnsi="Verdana" w:cs="YIUEB V+ Gotham"/>
          <w:color w:val="000000"/>
        </w:rPr>
        <w:t xml:space="preserve"> </w:t>
      </w:r>
      <w:r w:rsidR="007113A5" w:rsidRPr="00EC4B5F">
        <w:rPr>
          <w:rFonts w:ascii="Verdana" w:hAnsi="Verdana" w:cs="YIUEB V+ Gotham"/>
          <w:color w:val="000000"/>
        </w:rPr>
        <w:t>circumstances</w:t>
      </w:r>
      <w:r w:rsidR="00621B5C" w:rsidRPr="00EC4B5F">
        <w:rPr>
          <w:rFonts w:ascii="Verdana" w:hAnsi="Verdana" w:cs="YIUEB V+ Gotham"/>
          <w:color w:val="000000"/>
        </w:rPr>
        <w:t xml:space="preserve"> that would constitute</w:t>
      </w:r>
      <w:r w:rsidRPr="00EC4B5F">
        <w:rPr>
          <w:rFonts w:ascii="Verdana" w:hAnsi="Verdana" w:cs="YIUEB V+ Gotham"/>
          <w:color w:val="000000"/>
        </w:rPr>
        <w:t xml:space="preserve"> reasonable grounds for failing to meet the June 2021 deadline.</w:t>
      </w:r>
      <w:r w:rsidR="00BB3366" w:rsidRPr="00D62DEB">
        <w:rPr>
          <w:rStyle w:val="FootnoteReference"/>
          <w:rFonts w:ascii="Verdana" w:hAnsi="Verdana" w:cs="YIUEB V+ Gotham"/>
          <w:color w:val="000000"/>
        </w:rPr>
        <w:footnoteReference w:id="281"/>
      </w:r>
    </w:p>
    <w:p w14:paraId="4BC1477A" w14:textId="77777777" w:rsidR="00EC4B5F" w:rsidRPr="00EC4B5F" w:rsidRDefault="00EC4B5F" w:rsidP="00EC4B5F">
      <w:pPr>
        <w:pStyle w:val="ListParagraph"/>
        <w:rPr>
          <w:rFonts w:ascii="Verdana" w:hAnsi="Verdana" w:cs="YIUEB V+ Gotham"/>
          <w:color w:val="000000"/>
        </w:rPr>
      </w:pPr>
    </w:p>
    <w:p w14:paraId="2D4EC90B" w14:textId="77777777" w:rsidR="00EC4B5F" w:rsidRPr="00EC4B5F" w:rsidRDefault="009575FB" w:rsidP="00915669">
      <w:pPr>
        <w:pStyle w:val="ListParagraph"/>
        <w:numPr>
          <w:ilvl w:val="1"/>
          <w:numId w:val="18"/>
        </w:numPr>
        <w:spacing w:line="276" w:lineRule="auto"/>
        <w:rPr>
          <w:rFonts w:ascii="Verdana" w:hAnsi="Verdana" w:cs="Gotham Light"/>
          <w:i/>
          <w:iCs/>
          <w:color w:val="000000"/>
        </w:rPr>
      </w:pPr>
      <w:r w:rsidRPr="00EC4B5F">
        <w:rPr>
          <w:rFonts w:ascii="Verdana" w:hAnsi="Verdana" w:cs="YIUEB V+ Gotham"/>
          <w:color w:val="000000"/>
        </w:rPr>
        <w:t>In August 2021, the Home Office gave assurances that the rights of late applicants to the EU Settlement Scheme and the rights of their joining family members would be temporarily upheld. The Home Office noted that it had “put in place comprehensive arrangements to enable those with reasonable grounds for missing the deadline to apply to the EUSS”.</w:t>
      </w:r>
      <w:r w:rsidRPr="00D62DEB">
        <w:rPr>
          <w:rStyle w:val="FootnoteReference"/>
          <w:rFonts w:ascii="Verdana" w:hAnsi="Verdana" w:cs="YIUEB V+ Gotham"/>
          <w:color w:val="000000"/>
        </w:rPr>
        <w:footnoteReference w:id="282"/>
      </w:r>
      <w:r w:rsidR="0057604A" w:rsidRPr="00EC4B5F">
        <w:rPr>
          <w:rFonts w:ascii="Verdana" w:hAnsi="Verdana" w:cs="YIUEB V+ Gotham"/>
          <w:color w:val="000000"/>
        </w:rPr>
        <w:t xml:space="preserve"> </w:t>
      </w:r>
      <w:r w:rsidR="0018624B" w:rsidRPr="00EC4B5F">
        <w:rPr>
          <w:rFonts w:ascii="Verdana" w:hAnsi="Verdana" w:cs="YIUEB V+ Gotham"/>
          <w:color w:val="000000"/>
        </w:rPr>
        <w:t xml:space="preserve">The </w:t>
      </w:r>
      <w:r w:rsidR="0018624B" w:rsidRPr="00EC4B5F">
        <w:rPr>
          <w:rFonts w:ascii="Verdana" w:hAnsi="Verdana" w:cs="YIUEB V+ Gotham"/>
        </w:rPr>
        <w:t>Independent Monitoring Authority subsequently welcomed the announcement from the Home Office but warned that greater clarity was needed for public authorities to ensure that these rights were protected in practice.</w:t>
      </w:r>
      <w:r w:rsidR="0018624B" w:rsidRPr="00790A4F">
        <w:rPr>
          <w:rStyle w:val="FootnoteReference"/>
          <w:rFonts w:ascii="Verdana" w:hAnsi="Verdana" w:cs="YIUEB V+ Gotham"/>
        </w:rPr>
        <w:footnoteReference w:id="283"/>
      </w:r>
    </w:p>
    <w:p w14:paraId="428365AA" w14:textId="77777777" w:rsidR="00EC4B5F" w:rsidRPr="00EC4B5F" w:rsidRDefault="00EC4B5F" w:rsidP="00EC4B5F">
      <w:pPr>
        <w:pStyle w:val="ListParagraph"/>
        <w:rPr>
          <w:rFonts w:ascii="Verdana" w:hAnsi="Verdana" w:cs="Gotham Light"/>
          <w:b/>
          <w:bCs/>
          <w:color w:val="000000"/>
        </w:rPr>
      </w:pPr>
    </w:p>
    <w:p w14:paraId="29B42ABA" w14:textId="5201E22D" w:rsidR="00573763" w:rsidRPr="00EC4B5F" w:rsidRDefault="00120F8C" w:rsidP="00915669">
      <w:pPr>
        <w:pStyle w:val="ListParagraph"/>
        <w:numPr>
          <w:ilvl w:val="1"/>
          <w:numId w:val="18"/>
        </w:numPr>
        <w:spacing w:line="276" w:lineRule="auto"/>
        <w:rPr>
          <w:rFonts w:ascii="Verdana" w:hAnsi="Verdana" w:cs="Gotham Light"/>
          <w:i/>
          <w:iCs/>
          <w:color w:val="000000"/>
        </w:rPr>
      </w:pPr>
      <w:r w:rsidRPr="00EC4B5F">
        <w:rPr>
          <w:rFonts w:ascii="Verdana" w:hAnsi="Verdana" w:cs="Gotham Light"/>
          <w:b/>
          <w:bCs/>
          <w:color w:val="000000"/>
        </w:rPr>
        <w:t xml:space="preserve">The Advisory Committee may wish to ask the State Party what steps are being </w:t>
      </w:r>
      <w:r w:rsidR="006A1249" w:rsidRPr="00EC4B5F">
        <w:rPr>
          <w:rFonts w:ascii="Verdana" w:hAnsi="Verdana" w:cs="Gotham Light"/>
          <w:b/>
          <w:bCs/>
          <w:color w:val="000000"/>
        </w:rPr>
        <w:t>taken</w:t>
      </w:r>
      <w:r w:rsidRPr="00EC4B5F">
        <w:rPr>
          <w:rFonts w:ascii="Verdana" w:hAnsi="Verdana" w:cs="Gotham Light"/>
          <w:b/>
          <w:bCs/>
          <w:color w:val="000000"/>
        </w:rPr>
        <w:t xml:space="preserve"> to identify and minimise procedural barriers to </w:t>
      </w:r>
      <w:r w:rsidR="006A1249" w:rsidRPr="00EC4B5F">
        <w:rPr>
          <w:rFonts w:ascii="Verdana" w:hAnsi="Verdana" w:cs="Gotham Light"/>
          <w:b/>
          <w:bCs/>
          <w:color w:val="000000"/>
        </w:rPr>
        <w:t xml:space="preserve">accessing </w:t>
      </w:r>
      <w:r w:rsidR="00AE4684" w:rsidRPr="00EC4B5F">
        <w:rPr>
          <w:rFonts w:ascii="Verdana" w:hAnsi="Verdana" w:cs="Gotham Light"/>
          <w:b/>
          <w:bCs/>
          <w:color w:val="000000"/>
        </w:rPr>
        <w:t>healthcare and</w:t>
      </w:r>
      <w:r w:rsidR="006A1249" w:rsidRPr="00EC4B5F">
        <w:rPr>
          <w:rFonts w:ascii="Verdana" w:hAnsi="Verdana" w:cs="Gotham Light"/>
          <w:b/>
          <w:bCs/>
          <w:color w:val="000000"/>
        </w:rPr>
        <w:t xml:space="preserve"> </w:t>
      </w:r>
      <w:r w:rsidR="007870BC" w:rsidRPr="00EC4B5F">
        <w:rPr>
          <w:rFonts w:ascii="Verdana" w:hAnsi="Verdana" w:cs="Gotham Light"/>
          <w:b/>
          <w:bCs/>
          <w:color w:val="000000"/>
        </w:rPr>
        <w:t xml:space="preserve">provide further guidance to </w:t>
      </w:r>
      <w:r w:rsidR="00DB6EA3" w:rsidRPr="00EC4B5F">
        <w:rPr>
          <w:rFonts w:ascii="Verdana" w:hAnsi="Verdana" w:cs="Gotham Light"/>
          <w:b/>
          <w:bCs/>
          <w:color w:val="000000"/>
        </w:rPr>
        <w:t xml:space="preserve">healthcare professionals </w:t>
      </w:r>
      <w:r w:rsidR="00CB551B" w:rsidRPr="00EC4B5F">
        <w:rPr>
          <w:rFonts w:ascii="Verdana" w:hAnsi="Verdana" w:cs="Gotham Light"/>
          <w:b/>
          <w:bCs/>
          <w:color w:val="000000"/>
        </w:rPr>
        <w:t xml:space="preserve">to </w:t>
      </w:r>
      <w:r w:rsidR="007870BC" w:rsidRPr="00EC4B5F">
        <w:rPr>
          <w:rFonts w:ascii="Verdana" w:hAnsi="Verdana" w:cs="Gotham Light"/>
          <w:b/>
          <w:bCs/>
          <w:color w:val="000000"/>
        </w:rPr>
        <w:t xml:space="preserve">ensure </w:t>
      </w:r>
      <w:r w:rsidR="00326FF6" w:rsidRPr="00EC4B5F">
        <w:rPr>
          <w:rFonts w:ascii="Verdana" w:hAnsi="Verdana" w:cs="Gotham Light"/>
          <w:b/>
          <w:bCs/>
          <w:color w:val="000000"/>
        </w:rPr>
        <w:t xml:space="preserve">that applicants to the </w:t>
      </w:r>
      <w:r w:rsidR="0050231B" w:rsidRPr="00EC4B5F">
        <w:rPr>
          <w:rFonts w:ascii="Verdana" w:hAnsi="Verdana" w:cs="Gotham Light"/>
          <w:b/>
          <w:bCs/>
          <w:color w:val="000000"/>
        </w:rPr>
        <w:t xml:space="preserve">EU settlement scheme are </w:t>
      </w:r>
      <w:r w:rsidR="00246BBF" w:rsidRPr="00EC4B5F">
        <w:rPr>
          <w:rFonts w:ascii="Verdana" w:hAnsi="Verdana" w:cs="Gotham Light"/>
          <w:b/>
          <w:bCs/>
          <w:color w:val="000000"/>
        </w:rPr>
        <w:t>not</w:t>
      </w:r>
      <w:r w:rsidR="00DB6EA3" w:rsidRPr="00EC4B5F">
        <w:rPr>
          <w:rFonts w:ascii="Verdana" w:hAnsi="Verdana" w:cs="Gotham Light"/>
          <w:b/>
          <w:bCs/>
          <w:color w:val="000000"/>
        </w:rPr>
        <w:t xml:space="preserve"> denied access</w:t>
      </w:r>
      <w:r w:rsidR="009C25F3" w:rsidRPr="00EC4B5F">
        <w:rPr>
          <w:rFonts w:ascii="Verdana" w:hAnsi="Verdana" w:cs="Gotham Light"/>
          <w:b/>
          <w:bCs/>
          <w:color w:val="000000"/>
        </w:rPr>
        <w:t xml:space="preserve">. </w:t>
      </w:r>
      <w:r w:rsidR="00246BBF" w:rsidRPr="00EC4B5F">
        <w:rPr>
          <w:rFonts w:ascii="Verdana" w:hAnsi="Verdana" w:cs="Gotham Light"/>
          <w:b/>
          <w:bCs/>
          <w:color w:val="000000"/>
        </w:rPr>
        <w:t xml:space="preserve"> </w:t>
      </w:r>
    </w:p>
    <w:p w14:paraId="499B8DDE" w14:textId="77777777" w:rsidR="00EA3A15" w:rsidRPr="00D62DEB" w:rsidRDefault="00EA3A15" w:rsidP="004050FA">
      <w:pPr>
        <w:spacing w:line="276" w:lineRule="auto"/>
        <w:rPr>
          <w:rFonts w:ascii="Verdana" w:hAnsi="Verdana" w:cs="Gotham Light"/>
          <w:color w:val="000000"/>
        </w:rPr>
      </w:pPr>
    </w:p>
    <w:p w14:paraId="792C5626" w14:textId="296967C2" w:rsidR="004050FA" w:rsidRPr="00FF0BDC" w:rsidRDefault="000D19C7" w:rsidP="006B2800">
      <w:pPr>
        <w:pStyle w:val="Heading1"/>
        <w:rPr>
          <w:color w:val="7030A0"/>
          <w:szCs w:val="30"/>
        </w:rPr>
      </w:pPr>
      <w:bookmarkStart w:id="38" w:name="_Toc97030927"/>
      <w:r>
        <w:rPr>
          <w:color w:val="7030A0"/>
          <w:szCs w:val="30"/>
        </w:rPr>
        <w:t xml:space="preserve">6.0. </w:t>
      </w:r>
      <w:r w:rsidR="004050FA" w:rsidRPr="00FF0BDC">
        <w:rPr>
          <w:color w:val="7030A0"/>
          <w:szCs w:val="30"/>
        </w:rPr>
        <w:t>Article 5: Promote conditions to maintain culture</w:t>
      </w:r>
      <w:bookmarkEnd w:id="38"/>
    </w:p>
    <w:p w14:paraId="662DE395" w14:textId="77777777" w:rsidR="006B2800" w:rsidRPr="00FF0BDC" w:rsidRDefault="006B2800" w:rsidP="006B2800">
      <w:pPr>
        <w:rPr>
          <w:b/>
        </w:rPr>
      </w:pPr>
    </w:p>
    <w:p w14:paraId="34F1F58D" w14:textId="77777777" w:rsidR="004050FA" w:rsidRPr="00FF0BDC" w:rsidRDefault="004050FA" w:rsidP="006B2800">
      <w:pPr>
        <w:pStyle w:val="Heading2"/>
        <w:rPr>
          <w:szCs w:val="24"/>
        </w:rPr>
      </w:pPr>
      <w:bookmarkStart w:id="39" w:name="_Toc97030928"/>
      <w:r w:rsidRPr="00FF0BDC">
        <w:rPr>
          <w:szCs w:val="24"/>
        </w:rPr>
        <w:t>Minority Ethnic Development Fund</w:t>
      </w:r>
      <w:bookmarkEnd w:id="39"/>
    </w:p>
    <w:p w14:paraId="416604E7" w14:textId="77777777" w:rsidR="004050FA" w:rsidRPr="00517082" w:rsidRDefault="004050FA" w:rsidP="005300B5">
      <w:pPr>
        <w:spacing w:line="276" w:lineRule="auto"/>
        <w:rPr>
          <w:rFonts w:ascii="Verdana" w:hAnsi="Verdana"/>
        </w:rPr>
      </w:pPr>
    </w:p>
    <w:p w14:paraId="0C26008E" w14:textId="28F00328" w:rsidR="000D19C7" w:rsidRDefault="004050FA" w:rsidP="00915669">
      <w:pPr>
        <w:pStyle w:val="ListParagraph"/>
        <w:numPr>
          <w:ilvl w:val="1"/>
          <w:numId w:val="19"/>
        </w:numPr>
        <w:spacing w:line="276" w:lineRule="auto"/>
        <w:rPr>
          <w:rFonts w:ascii="Verdana" w:hAnsi="Verdana"/>
        </w:rPr>
      </w:pPr>
      <w:r w:rsidRPr="000D19C7">
        <w:rPr>
          <w:rFonts w:ascii="Verdana" w:hAnsi="Verdana"/>
        </w:rPr>
        <w:t>The Minority Ethnic Development Fund (MEDF) provides support for voluntary and community organisations working with minority ethnic people and groups to promote good relations. The NIHRC previously raised concerns about the strategic delivery and long-term planning of the MEDF.</w:t>
      </w:r>
      <w:r w:rsidR="00420B4E">
        <w:rPr>
          <w:rStyle w:val="FootnoteReference"/>
          <w:rFonts w:ascii="Verdana" w:hAnsi="Verdana"/>
        </w:rPr>
        <w:footnoteReference w:id="284"/>
      </w:r>
      <w:r w:rsidRPr="000D19C7">
        <w:rPr>
          <w:rFonts w:ascii="Verdana" w:hAnsi="Verdana"/>
        </w:rPr>
        <w:t xml:space="preserve"> The allocation of funds on a year-to-year basis did not allow groups the ability to </w:t>
      </w:r>
      <w:proofErr w:type="gramStart"/>
      <w:r w:rsidRPr="000D19C7">
        <w:rPr>
          <w:rFonts w:ascii="Verdana" w:hAnsi="Verdana"/>
        </w:rPr>
        <w:t>plan ahead</w:t>
      </w:r>
      <w:proofErr w:type="gramEnd"/>
      <w:r w:rsidRPr="000D19C7">
        <w:rPr>
          <w:rFonts w:ascii="Verdana" w:hAnsi="Verdana"/>
        </w:rPr>
        <w:t xml:space="preserve"> or develop their services, and the NI Refugee and Asylum Forum identified issues with the way funding was spread across the sector, leaving gaps in key services.</w:t>
      </w:r>
      <w:r w:rsidRPr="00517082">
        <w:rPr>
          <w:rStyle w:val="FootnoteReference"/>
          <w:rFonts w:ascii="Verdana" w:hAnsi="Verdana"/>
        </w:rPr>
        <w:footnoteReference w:id="285"/>
      </w:r>
      <w:r w:rsidRPr="000D19C7">
        <w:rPr>
          <w:rFonts w:ascii="Verdana" w:hAnsi="Verdana"/>
        </w:rPr>
        <w:t xml:space="preserve"> </w:t>
      </w:r>
    </w:p>
    <w:p w14:paraId="1AB5D885" w14:textId="77777777" w:rsidR="000D19C7" w:rsidRDefault="000D19C7" w:rsidP="000D19C7">
      <w:pPr>
        <w:pStyle w:val="ListParagraph"/>
        <w:spacing w:line="276" w:lineRule="auto"/>
        <w:rPr>
          <w:rFonts w:ascii="Verdana" w:hAnsi="Verdana"/>
        </w:rPr>
      </w:pPr>
    </w:p>
    <w:p w14:paraId="7AA0C427"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 xml:space="preserve">Therefore, the NIHRC </w:t>
      </w:r>
      <w:r w:rsidR="004F560A" w:rsidRPr="000D19C7">
        <w:rPr>
          <w:rFonts w:ascii="Verdana" w:hAnsi="Verdana"/>
        </w:rPr>
        <w:t>is</w:t>
      </w:r>
      <w:r w:rsidRPr="000D19C7">
        <w:rPr>
          <w:rFonts w:ascii="Verdana" w:hAnsi="Verdana"/>
        </w:rPr>
        <w:t xml:space="preserve"> pleased to note that, following a review of the scheme the Executive Office </w:t>
      </w:r>
      <w:r w:rsidR="004F560A" w:rsidRPr="000D19C7">
        <w:rPr>
          <w:rFonts w:ascii="Verdana" w:hAnsi="Verdana"/>
        </w:rPr>
        <w:t>is</w:t>
      </w:r>
      <w:r w:rsidRPr="000D19C7">
        <w:rPr>
          <w:rFonts w:ascii="Verdana" w:hAnsi="Verdana"/>
        </w:rPr>
        <w:t xml:space="preserve"> now inviting applications to a new three-year MEDF which aims to provide groups with more stability and longer-term planning. MEDF funding is available for projects of various sizes ranging from £100 to £75,000 per annum.</w:t>
      </w:r>
      <w:r w:rsidRPr="00517082">
        <w:rPr>
          <w:rStyle w:val="FootnoteReference"/>
          <w:rFonts w:ascii="Verdana" w:hAnsi="Verdana"/>
        </w:rPr>
        <w:footnoteReference w:id="286"/>
      </w:r>
      <w:r w:rsidR="004F560A" w:rsidRPr="000D19C7">
        <w:rPr>
          <w:rFonts w:ascii="Verdana" w:hAnsi="Verdana"/>
        </w:rPr>
        <w:t xml:space="preserve"> </w:t>
      </w:r>
      <w:r w:rsidR="00440B87" w:rsidRPr="000D19C7">
        <w:rPr>
          <w:rFonts w:ascii="Verdana" w:hAnsi="Verdana"/>
        </w:rPr>
        <w:t>It is unclear</w:t>
      </w:r>
      <w:r w:rsidR="003A4322" w:rsidRPr="000D19C7">
        <w:rPr>
          <w:rFonts w:ascii="Verdana" w:hAnsi="Verdana"/>
        </w:rPr>
        <w:t xml:space="preserve">, </w:t>
      </w:r>
      <w:r w:rsidR="008A7B14" w:rsidRPr="000D19C7">
        <w:rPr>
          <w:rFonts w:ascii="Verdana" w:hAnsi="Verdana"/>
        </w:rPr>
        <w:t>in the absence of the Executive</w:t>
      </w:r>
      <w:r w:rsidR="00440B87" w:rsidRPr="000D19C7">
        <w:rPr>
          <w:rFonts w:ascii="Verdana" w:hAnsi="Verdana"/>
        </w:rPr>
        <w:t xml:space="preserve"> and a current</w:t>
      </w:r>
      <w:r w:rsidR="00042EAA" w:rsidRPr="000D19C7">
        <w:rPr>
          <w:rFonts w:ascii="Verdana" w:hAnsi="Verdana"/>
        </w:rPr>
        <w:t xml:space="preserve"> </w:t>
      </w:r>
      <w:r w:rsidR="00FF7CD4" w:rsidRPr="000D19C7">
        <w:rPr>
          <w:rFonts w:ascii="Verdana" w:hAnsi="Verdana"/>
        </w:rPr>
        <w:t>budget</w:t>
      </w:r>
      <w:r w:rsidR="00440B87" w:rsidRPr="000D19C7">
        <w:rPr>
          <w:rFonts w:ascii="Verdana" w:hAnsi="Verdana"/>
        </w:rPr>
        <w:t>, how the delivery of a three-year fund will be progressed</w:t>
      </w:r>
      <w:r w:rsidR="00702C88" w:rsidRPr="000D19C7">
        <w:rPr>
          <w:rFonts w:ascii="Verdana" w:hAnsi="Verdana"/>
        </w:rPr>
        <w:t>.</w:t>
      </w:r>
      <w:r w:rsidR="00702C88">
        <w:rPr>
          <w:rStyle w:val="FootnoteReference"/>
          <w:rFonts w:ascii="Verdana" w:hAnsi="Verdana"/>
        </w:rPr>
        <w:footnoteReference w:id="287"/>
      </w:r>
      <w:r w:rsidR="00C70B52" w:rsidRPr="000D19C7">
        <w:rPr>
          <w:rFonts w:ascii="Verdana" w:hAnsi="Verdana"/>
        </w:rPr>
        <w:t xml:space="preserve"> </w:t>
      </w:r>
      <w:r w:rsidR="004F560A" w:rsidRPr="000D19C7">
        <w:rPr>
          <w:rFonts w:ascii="Verdana" w:hAnsi="Verdana"/>
        </w:rPr>
        <w:t>The NIHRC will continue to monitor the delivery of the MEDF.</w:t>
      </w:r>
    </w:p>
    <w:p w14:paraId="0491F632" w14:textId="77777777" w:rsidR="000D19C7" w:rsidRPr="000D19C7" w:rsidRDefault="000D19C7" w:rsidP="000D19C7">
      <w:pPr>
        <w:pStyle w:val="ListParagraph"/>
        <w:rPr>
          <w:rFonts w:ascii="Verdana" w:hAnsi="Verdana"/>
          <w:b/>
        </w:rPr>
      </w:pPr>
    </w:p>
    <w:p w14:paraId="6E886BCF" w14:textId="2E652DF4" w:rsidR="00440B87" w:rsidRPr="000D19C7" w:rsidRDefault="00440B87" w:rsidP="00915669">
      <w:pPr>
        <w:pStyle w:val="ListParagraph"/>
        <w:numPr>
          <w:ilvl w:val="1"/>
          <w:numId w:val="19"/>
        </w:numPr>
        <w:spacing w:line="276" w:lineRule="auto"/>
        <w:rPr>
          <w:rFonts w:ascii="Verdana" w:hAnsi="Verdana"/>
        </w:rPr>
      </w:pPr>
      <w:r w:rsidRPr="000D19C7">
        <w:rPr>
          <w:rFonts w:ascii="Verdana" w:hAnsi="Verdana"/>
          <w:b/>
        </w:rPr>
        <w:t xml:space="preserve">The Advisory Committee may wish to ask the State Party for an update of the delivery of the three-year Minority Ethnic Development Fund. </w:t>
      </w:r>
    </w:p>
    <w:p w14:paraId="3B6C017D" w14:textId="77777777" w:rsidR="00A87B29" w:rsidRPr="00A87B29" w:rsidRDefault="00A87B29" w:rsidP="00A87B29">
      <w:pPr>
        <w:spacing w:line="276" w:lineRule="auto"/>
        <w:rPr>
          <w:rFonts w:ascii="Verdana" w:hAnsi="Verdana"/>
        </w:rPr>
      </w:pPr>
    </w:p>
    <w:p w14:paraId="13575F14" w14:textId="3989EA75" w:rsidR="004050FA" w:rsidRPr="00D447E8" w:rsidRDefault="004050FA" w:rsidP="006B2800">
      <w:pPr>
        <w:pStyle w:val="Heading2"/>
        <w:rPr>
          <w:szCs w:val="24"/>
        </w:rPr>
      </w:pPr>
      <w:bookmarkStart w:id="41" w:name="_Toc97030929"/>
      <w:r w:rsidRPr="00D447E8">
        <w:rPr>
          <w:szCs w:val="24"/>
        </w:rPr>
        <w:t>Parades, protests</w:t>
      </w:r>
      <w:r w:rsidR="00A2447F">
        <w:rPr>
          <w:szCs w:val="24"/>
        </w:rPr>
        <w:t>,</w:t>
      </w:r>
      <w:r w:rsidRPr="00D447E8">
        <w:rPr>
          <w:szCs w:val="24"/>
        </w:rPr>
        <w:t xml:space="preserve"> flags, </w:t>
      </w:r>
      <w:proofErr w:type="gramStart"/>
      <w:r w:rsidRPr="00D447E8">
        <w:rPr>
          <w:szCs w:val="24"/>
        </w:rPr>
        <w:t>symbols</w:t>
      </w:r>
      <w:proofErr w:type="gramEnd"/>
      <w:r w:rsidRPr="00D447E8">
        <w:rPr>
          <w:szCs w:val="24"/>
        </w:rPr>
        <w:t xml:space="preserve"> and emblems</w:t>
      </w:r>
      <w:bookmarkEnd w:id="41"/>
    </w:p>
    <w:p w14:paraId="4F171BD2" w14:textId="77777777" w:rsidR="005300B5" w:rsidRPr="00517082" w:rsidRDefault="005300B5" w:rsidP="005300B5">
      <w:pPr>
        <w:spacing w:line="276" w:lineRule="auto"/>
        <w:rPr>
          <w:rFonts w:ascii="Verdana" w:hAnsi="Verdana"/>
          <w:b/>
          <w:bCs/>
        </w:rPr>
      </w:pPr>
    </w:p>
    <w:p w14:paraId="3A141D97" w14:textId="30C00079" w:rsidR="000D19C7" w:rsidRDefault="004050FA" w:rsidP="00915669">
      <w:pPr>
        <w:pStyle w:val="ListParagraph"/>
        <w:numPr>
          <w:ilvl w:val="1"/>
          <w:numId w:val="19"/>
        </w:numPr>
        <w:spacing w:line="276" w:lineRule="auto"/>
        <w:rPr>
          <w:rFonts w:ascii="Verdana" w:hAnsi="Verdana"/>
        </w:rPr>
      </w:pPr>
      <w:r w:rsidRPr="000D19C7">
        <w:rPr>
          <w:rFonts w:ascii="Verdana" w:hAnsi="Verdana"/>
        </w:rPr>
        <w:t>In 2013, the then UN Special Rapporteur on peaceful assembly, parades and association called for a “political resolution of the issues – such as parades, flags and emblems – that still make the enjoyment of freedom of peaceful assembly problematic in NI”.</w:t>
      </w:r>
      <w:r w:rsidRPr="00517082">
        <w:rPr>
          <w:rStyle w:val="FootnoteReference"/>
          <w:rFonts w:ascii="Verdana" w:hAnsi="Verdana"/>
        </w:rPr>
        <w:footnoteReference w:id="288"/>
      </w:r>
    </w:p>
    <w:p w14:paraId="50DEFAE5" w14:textId="77777777" w:rsidR="000D19C7" w:rsidRDefault="000D19C7" w:rsidP="000D19C7">
      <w:pPr>
        <w:pStyle w:val="ListParagraph"/>
        <w:spacing w:line="276" w:lineRule="auto"/>
        <w:rPr>
          <w:rFonts w:ascii="Verdana" w:hAnsi="Verdana"/>
        </w:rPr>
      </w:pPr>
    </w:p>
    <w:p w14:paraId="5D947741"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The Stormont House Agreement proposed that responsibility for parades and related protests should, in principle, be devolved to the NI Assembly.</w:t>
      </w:r>
      <w:r w:rsidRPr="00517082">
        <w:rPr>
          <w:rStyle w:val="FootnoteReference"/>
          <w:rFonts w:ascii="Verdana" w:hAnsi="Verdana"/>
        </w:rPr>
        <w:footnoteReference w:id="289"/>
      </w:r>
      <w:r w:rsidRPr="000D19C7">
        <w:rPr>
          <w:rStyle w:val="EndnoteReference"/>
          <w:rFonts w:ascii="Verdana" w:hAnsi="Verdana"/>
        </w:rPr>
        <w:t xml:space="preserve"> </w:t>
      </w:r>
      <w:r w:rsidRPr="000D19C7">
        <w:rPr>
          <w:rFonts w:ascii="Verdana" w:hAnsi="Verdana"/>
        </w:rPr>
        <w:t>It also proposed that the Office of Legislative Counsel, working in conjunction with the</w:t>
      </w:r>
      <w:r w:rsidR="003A4D8C" w:rsidRPr="000D19C7">
        <w:rPr>
          <w:rFonts w:ascii="Verdana" w:hAnsi="Verdana"/>
        </w:rPr>
        <w:t xml:space="preserve"> Office of the First Minister and the Deputy First Minister</w:t>
      </w:r>
      <w:r w:rsidRPr="000D19C7">
        <w:rPr>
          <w:rFonts w:ascii="Verdana" w:hAnsi="Verdana"/>
        </w:rPr>
        <w:t>, should produce a range of options on how the remaining key issues which include the Code of Conduct, criteria and accountability could be addressed in legislation. The then Office of the First and Deputy First Ministers was to bring forward proposals to the NI Executive by June 2015.</w:t>
      </w:r>
      <w:r w:rsidRPr="00517082">
        <w:rPr>
          <w:rStyle w:val="FootnoteReference"/>
          <w:rFonts w:ascii="Verdana" w:hAnsi="Verdana"/>
        </w:rPr>
        <w:footnoteReference w:id="290"/>
      </w:r>
      <w:r w:rsidRPr="000D19C7">
        <w:rPr>
          <w:rFonts w:ascii="Verdana" w:hAnsi="Verdana"/>
        </w:rPr>
        <w:t xml:space="preserve"> </w:t>
      </w:r>
    </w:p>
    <w:p w14:paraId="23AFF05A" w14:textId="77777777" w:rsidR="000D19C7" w:rsidRPr="000D19C7" w:rsidRDefault="000D19C7" w:rsidP="000D19C7">
      <w:pPr>
        <w:pStyle w:val="ListParagraph"/>
        <w:rPr>
          <w:rFonts w:ascii="Verdana" w:hAnsi="Verdana"/>
        </w:rPr>
      </w:pPr>
    </w:p>
    <w:p w14:paraId="061B4482"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In November 2015, an update was provided in ‘A Fresh Start’ which stated that a discussion paper was being prepared for the Executive which “will outline options in relation to the model and operation of the regulation of parades and related protests and the key outstanding issues of contention such as a code of conduct, criteria and accountability. OFMDFM will bring the paper forward to the Executive”.</w:t>
      </w:r>
      <w:r w:rsidRPr="00517082">
        <w:rPr>
          <w:rStyle w:val="FootnoteReference"/>
          <w:rFonts w:ascii="Verdana" w:hAnsi="Verdana"/>
        </w:rPr>
        <w:footnoteReference w:id="291"/>
      </w:r>
      <w:r w:rsidRPr="000D19C7">
        <w:rPr>
          <w:rFonts w:ascii="Verdana" w:hAnsi="Verdana"/>
        </w:rPr>
        <w:t xml:space="preserve"> This remains the position in 2021.</w:t>
      </w:r>
      <w:r w:rsidRPr="00517082">
        <w:rPr>
          <w:rStyle w:val="FootnoteReference"/>
          <w:rFonts w:ascii="Verdana" w:hAnsi="Verdana"/>
        </w:rPr>
        <w:footnoteReference w:id="292"/>
      </w:r>
      <w:r w:rsidRPr="000D19C7">
        <w:rPr>
          <w:rFonts w:ascii="Verdana" w:hAnsi="Verdana"/>
        </w:rPr>
        <w:t xml:space="preserve"> </w:t>
      </w:r>
    </w:p>
    <w:p w14:paraId="5F1FE998" w14:textId="77777777" w:rsidR="000D19C7" w:rsidRPr="000D19C7" w:rsidRDefault="000D19C7" w:rsidP="000D19C7">
      <w:pPr>
        <w:pStyle w:val="ListParagraph"/>
        <w:rPr>
          <w:rFonts w:ascii="Verdana" w:hAnsi="Verdana"/>
        </w:rPr>
      </w:pPr>
    </w:p>
    <w:p w14:paraId="7929D442" w14:textId="77777777" w:rsidR="000D19C7" w:rsidRPr="000D19C7" w:rsidRDefault="004050FA" w:rsidP="00915669">
      <w:pPr>
        <w:pStyle w:val="ListParagraph"/>
        <w:numPr>
          <w:ilvl w:val="1"/>
          <w:numId w:val="19"/>
        </w:numPr>
        <w:spacing w:line="276" w:lineRule="auto"/>
        <w:rPr>
          <w:rFonts w:ascii="Verdana" w:hAnsi="Verdana"/>
        </w:rPr>
      </w:pPr>
      <w:r w:rsidRPr="000D19C7">
        <w:rPr>
          <w:rFonts w:ascii="Verdana" w:hAnsi="Verdana"/>
        </w:rPr>
        <w:t>In 2020/2021, the Parades Commission for NI was notified of 690 Protestant/Unionist/Loyalist, 30 Catholic/Republican/Nationalist and 393 “other” parades. Of these, 52 Protestant/Unionist/Loyalist, one Catholic/Republican/Nationalist, and six “others” were considered ‘sensitive’, in that they have the potential to raise concerns and community tensions.</w:t>
      </w:r>
      <w:r w:rsidRPr="00517082">
        <w:rPr>
          <w:rStyle w:val="FootnoteReference"/>
          <w:rFonts w:ascii="Verdana" w:hAnsi="Verdana"/>
        </w:rPr>
        <w:footnoteReference w:id="293"/>
      </w:r>
      <w:r w:rsidRPr="000D19C7">
        <w:rPr>
          <w:rFonts w:ascii="Verdana" w:hAnsi="Verdana"/>
        </w:rPr>
        <w:t xml:space="preserve"> There was a reduction (2,680) in the number of notified parades and parade-related protests in 2020/21 when compared to the previous year; the COVID-19 pandemic meant that there was no traditional parading season in 2020 with the</w:t>
      </w:r>
      <w:r w:rsidR="0021082B" w:rsidRPr="000D19C7">
        <w:rPr>
          <w:rFonts w:ascii="Verdana" w:hAnsi="Verdana"/>
        </w:rPr>
        <w:t xml:space="preserve"> </w:t>
      </w:r>
      <w:r w:rsidRPr="000D19C7">
        <w:rPr>
          <w:rFonts w:ascii="Verdana" w:hAnsi="Verdana"/>
        </w:rPr>
        <w:t>majority of annual parades being cancelled.</w:t>
      </w:r>
      <w:r w:rsidRPr="00517082">
        <w:rPr>
          <w:rStyle w:val="FootnoteReference"/>
          <w:rFonts w:ascii="Verdana" w:hAnsi="Verdana"/>
        </w:rPr>
        <w:footnoteReference w:id="294"/>
      </w:r>
      <w:r w:rsidRPr="00A87B29">
        <w:t xml:space="preserve"> </w:t>
      </w:r>
    </w:p>
    <w:p w14:paraId="54C0EEC6" w14:textId="77777777" w:rsidR="000D19C7" w:rsidRPr="000D19C7" w:rsidRDefault="000D19C7" w:rsidP="000D19C7">
      <w:pPr>
        <w:pStyle w:val="ListParagraph"/>
        <w:rPr>
          <w:rFonts w:ascii="Verdana" w:hAnsi="Verdana"/>
        </w:rPr>
      </w:pPr>
    </w:p>
    <w:p w14:paraId="1C6C0F66"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 xml:space="preserve">In May and June 2020, there were a series of anti-racism protests in NI in response to the global ‘Black Lives Matter’ movement. At that time, the existing iteration of the Health Protection (Coronavirus, Restrictions) (NI) Regulations, which are aimed at preventing the spread of COVID-19, prohibited gatherings in public spaces of more than two people with limited exceptions. The </w:t>
      </w:r>
      <w:r w:rsidR="003E6E14" w:rsidRPr="000D19C7">
        <w:rPr>
          <w:rFonts w:ascii="Verdana" w:hAnsi="Verdana"/>
        </w:rPr>
        <w:t>R</w:t>
      </w:r>
      <w:r w:rsidRPr="000D19C7">
        <w:rPr>
          <w:rFonts w:ascii="Verdana" w:hAnsi="Verdana"/>
        </w:rPr>
        <w:t xml:space="preserve">egulations also provided the Police Service NI with the powers to restrict freedom of movement and protests for this purpose. The Police Service NI issued </w:t>
      </w:r>
      <w:proofErr w:type="gramStart"/>
      <w:r w:rsidRPr="000D19C7">
        <w:rPr>
          <w:rFonts w:ascii="Verdana" w:hAnsi="Verdana"/>
        </w:rPr>
        <w:t>a number of</w:t>
      </w:r>
      <w:proofErr w:type="gramEnd"/>
      <w:r w:rsidRPr="000D19C7">
        <w:rPr>
          <w:rFonts w:ascii="Verdana" w:hAnsi="Verdana"/>
        </w:rPr>
        <w:t xml:space="preserve"> fines to ‘Black Lives Matter’ protestors under these regulations.</w:t>
      </w:r>
      <w:r w:rsidRPr="00517082">
        <w:rPr>
          <w:rStyle w:val="FootnoteReference"/>
          <w:rFonts w:ascii="Verdana" w:hAnsi="Verdana"/>
        </w:rPr>
        <w:footnoteReference w:id="295"/>
      </w:r>
      <w:r w:rsidRPr="000D19C7">
        <w:rPr>
          <w:rFonts w:ascii="Verdana" w:hAnsi="Verdana"/>
        </w:rPr>
        <w:t xml:space="preserve"> However, subsequent protests by the NI Cenotaph Protection Group reportedly took place without fines being issued.</w:t>
      </w:r>
      <w:r w:rsidRPr="00517082">
        <w:rPr>
          <w:rStyle w:val="FootnoteReference"/>
          <w:rFonts w:ascii="Verdana" w:hAnsi="Verdana"/>
        </w:rPr>
        <w:footnoteReference w:id="296"/>
      </w:r>
      <w:r w:rsidRPr="000D19C7">
        <w:rPr>
          <w:rFonts w:ascii="Verdana" w:hAnsi="Verdana"/>
        </w:rPr>
        <w:t xml:space="preserve"> </w:t>
      </w:r>
    </w:p>
    <w:p w14:paraId="78978A34" w14:textId="77777777" w:rsidR="000D19C7" w:rsidRPr="000D19C7" w:rsidRDefault="000D19C7" w:rsidP="000D19C7">
      <w:pPr>
        <w:pStyle w:val="ListParagraph"/>
        <w:rPr>
          <w:rFonts w:ascii="Verdana" w:hAnsi="Verdana"/>
        </w:rPr>
      </w:pPr>
    </w:p>
    <w:p w14:paraId="5540614D"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In December 2020, the Police Ombudsman NI issued a report following its investigation of the use of police powers in relation to large public gatherings during this period.</w:t>
      </w:r>
      <w:r w:rsidRPr="00517082">
        <w:rPr>
          <w:rStyle w:val="FootnoteReference"/>
          <w:rFonts w:ascii="Verdana" w:hAnsi="Verdana"/>
        </w:rPr>
        <w:footnoteReference w:id="297"/>
      </w:r>
      <w:r w:rsidRPr="000D19C7">
        <w:rPr>
          <w:rFonts w:ascii="Verdana" w:hAnsi="Verdana"/>
        </w:rPr>
        <w:t xml:space="preserve"> </w:t>
      </w:r>
      <w:r w:rsidR="004D2B8E" w:rsidRPr="000D19C7">
        <w:rPr>
          <w:rFonts w:ascii="Verdana" w:hAnsi="Verdana"/>
        </w:rPr>
        <w:t>It found failings in balancing human rights and public health considerations and</w:t>
      </w:r>
      <w:r w:rsidRPr="000D19C7">
        <w:rPr>
          <w:rFonts w:ascii="Verdana" w:hAnsi="Verdana"/>
        </w:rPr>
        <w:t xml:space="preserve"> recommended that the Police Service of NI “consider adopting a human rights based approach to policing of protests based on the four principles: participation, empowerment, equality and non-discrimination and accountability” and further that they “develop human rights based assessments, evidencing the identification of relevant rights, balancing competing rights and risk to include appropriate measures to address PSNI’s obligations and mitigate identified risks”. </w:t>
      </w:r>
      <w:r w:rsidR="003A4D8C" w:rsidRPr="000D19C7">
        <w:rPr>
          <w:rFonts w:ascii="Verdana" w:hAnsi="Verdana"/>
        </w:rPr>
        <w:t>The P</w:t>
      </w:r>
      <w:r w:rsidR="004D2B8E" w:rsidRPr="000D19C7">
        <w:rPr>
          <w:rFonts w:ascii="Verdana" w:hAnsi="Verdana"/>
        </w:rPr>
        <w:t xml:space="preserve">olice </w:t>
      </w:r>
      <w:r w:rsidR="003A4D8C" w:rsidRPr="000D19C7">
        <w:rPr>
          <w:rFonts w:ascii="Verdana" w:hAnsi="Verdana"/>
        </w:rPr>
        <w:t>S</w:t>
      </w:r>
      <w:r w:rsidR="004D2B8E" w:rsidRPr="000D19C7">
        <w:rPr>
          <w:rFonts w:ascii="Verdana" w:hAnsi="Verdana"/>
        </w:rPr>
        <w:t xml:space="preserve">ervice of </w:t>
      </w:r>
      <w:r w:rsidR="003A4D8C" w:rsidRPr="000D19C7">
        <w:rPr>
          <w:rFonts w:ascii="Verdana" w:hAnsi="Verdana"/>
        </w:rPr>
        <w:t>NI later apologised and asked for the fines that were issued at the two Black Lives Matter protests to be refunded.</w:t>
      </w:r>
      <w:r w:rsidR="003A4D8C">
        <w:rPr>
          <w:rStyle w:val="FootnoteReference"/>
          <w:rFonts w:ascii="Verdana" w:hAnsi="Verdana"/>
        </w:rPr>
        <w:footnoteReference w:id="298"/>
      </w:r>
    </w:p>
    <w:p w14:paraId="21E1AC81" w14:textId="77777777" w:rsidR="000D19C7" w:rsidRPr="000D19C7" w:rsidRDefault="000D19C7" w:rsidP="000D19C7">
      <w:pPr>
        <w:pStyle w:val="ListParagraph"/>
        <w:rPr>
          <w:rFonts w:ascii="Verdana" w:hAnsi="Verdana"/>
        </w:rPr>
      </w:pPr>
    </w:p>
    <w:p w14:paraId="3B2EDE92"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In June 2016, the Commission on Flags, Identity, Culture and Tradition was established</w:t>
      </w:r>
      <w:r w:rsidR="00AC0F44" w:rsidRPr="000D19C7">
        <w:rPr>
          <w:rFonts w:ascii="Verdana" w:hAnsi="Verdana"/>
        </w:rPr>
        <w:t xml:space="preserve">, with a remit to “focus on flags and emblems and as required, broader issues of identity, </w:t>
      </w:r>
      <w:proofErr w:type="gramStart"/>
      <w:r w:rsidR="00AC0F44" w:rsidRPr="000D19C7">
        <w:rPr>
          <w:rFonts w:ascii="Verdana" w:hAnsi="Verdana"/>
        </w:rPr>
        <w:t>culture</w:t>
      </w:r>
      <w:proofErr w:type="gramEnd"/>
      <w:r w:rsidR="00AC0F44" w:rsidRPr="000D19C7">
        <w:rPr>
          <w:rFonts w:ascii="Verdana" w:hAnsi="Verdana"/>
        </w:rPr>
        <w:t xml:space="preserve"> and tradition, and seek to identify maximum consensus on their application. In its work, it will be guided by the principles of the existing Agreements including parity of esteem.”</w:t>
      </w:r>
      <w:r w:rsidR="00AC0F44" w:rsidRPr="00517082">
        <w:rPr>
          <w:rStyle w:val="FootnoteReference"/>
          <w:rFonts w:ascii="Verdana" w:hAnsi="Verdana"/>
        </w:rPr>
        <w:footnoteReference w:id="299"/>
      </w:r>
      <w:r w:rsidRPr="000D19C7">
        <w:rPr>
          <w:rFonts w:ascii="Verdana" w:hAnsi="Verdana"/>
        </w:rPr>
        <w:t xml:space="preserve"> </w:t>
      </w:r>
      <w:r w:rsidR="004D2B8E" w:rsidRPr="000D19C7">
        <w:rPr>
          <w:rFonts w:ascii="Verdana" w:hAnsi="Verdana"/>
        </w:rPr>
        <w:t>Having been</w:t>
      </w:r>
      <w:r w:rsidRPr="000D19C7">
        <w:rPr>
          <w:rFonts w:ascii="Verdana" w:hAnsi="Verdana"/>
        </w:rPr>
        <w:t xml:space="preserve"> delayed by the collapse of devolution in 2017</w:t>
      </w:r>
      <w:r w:rsidR="004D2B8E" w:rsidRPr="000D19C7">
        <w:rPr>
          <w:rFonts w:ascii="Verdana" w:hAnsi="Verdana"/>
        </w:rPr>
        <w:t xml:space="preserve"> and </w:t>
      </w:r>
      <w:r w:rsidR="00AC0F44" w:rsidRPr="000D19C7">
        <w:rPr>
          <w:rFonts w:ascii="Verdana" w:hAnsi="Verdana"/>
        </w:rPr>
        <w:t>Covid-19,</w:t>
      </w:r>
      <w:r w:rsidR="004D2B8E" w:rsidRPr="000D19C7">
        <w:rPr>
          <w:rFonts w:ascii="Verdana" w:hAnsi="Verdana"/>
        </w:rPr>
        <w:t xml:space="preserve"> </w:t>
      </w:r>
      <w:r w:rsidRPr="000D19C7">
        <w:rPr>
          <w:rFonts w:ascii="Verdana" w:hAnsi="Verdana"/>
        </w:rPr>
        <w:t>the Commission report</w:t>
      </w:r>
      <w:r w:rsidR="00A93A8D" w:rsidRPr="000D19C7">
        <w:rPr>
          <w:rFonts w:ascii="Verdana" w:hAnsi="Verdana"/>
        </w:rPr>
        <w:t>ed</w:t>
      </w:r>
      <w:r w:rsidRPr="000D19C7">
        <w:rPr>
          <w:rFonts w:ascii="Verdana" w:hAnsi="Verdana"/>
        </w:rPr>
        <w:t xml:space="preserve"> to the Executive Office</w:t>
      </w:r>
      <w:r w:rsidR="00AC0F44" w:rsidRPr="000D19C7">
        <w:rPr>
          <w:rFonts w:ascii="Verdana" w:hAnsi="Verdana"/>
        </w:rPr>
        <w:t xml:space="preserve"> in 2020</w:t>
      </w:r>
      <w:r w:rsidRPr="000D19C7">
        <w:rPr>
          <w:rFonts w:ascii="Verdana" w:hAnsi="Verdana"/>
        </w:rPr>
        <w:t>.</w:t>
      </w:r>
      <w:r w:rsidRPr="00517082">
        <w:rPr>
          <w:rStyle w:val="FootnoteReference"/>
          <w:rFonts w:ascii="Verdana" w:hAnsi="Verdana"/>
        </w:rPr>
        <w:footnoteReference w:id="300"/>
      </w:r>
      <w:r w:rsidRPr="000D19C7">
        <w:rPr>
          <w:rFonts w:ascii="Verdana" w:hAnsi="Verdana"/>
        </w:rPr>
        <w:t xml:space="preserve"> </w:t>
      </w:r>
    </w:p>
    <w:p w14:paraId="101D68E6" w14:textId="77777777" w:rsidR="000D19C7" w:rsidRPr="000D19C7" w:rsidRDefault="000D19C7" w:rsidP="000D19C7">
      <w:pPr>
        <w:pStyle w:val="ListParagraph"/>
        <w:rPr>
          <w:rFonts w:ascii="Verdana" w:hAnsi="Verdana"/>
        </w:rPr>
      </w:pPr>
    </w:p>
    <w:p w14:paraId="3C1F0424"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The final report contained 44 recommendations</w:t>
      </w:r>
      <w:r w:rsidR="00AC0F44" w:rsidRPr="000D19C7">
        <w:rPr>
          <w:rFonts w:ascii="Verdana" w:hAnsi="Verdana"/>
        </w:rPr>
        <w:t xml:space="preserve">; </w:t>
      </w:r>
      <w:r w:rsidRPr="000D19C7">
        <w:rPr>
          <w:rFonts w:ascii="Verdana" w:hAnsi="Verdana"/>
        </w:rPr>
        <w:t xml:space="preserve">however, it was published without an accompanying implementation plan due to a lack of consensus on </w:t>
      </w:r>
      <w:proofErr w:type="gramStart"/>
      <w:r w:rsidRPr="000D19C7">
        <w:rPr>
          <w:rFonts w:ascii="Verdana" w:hAnsi="Verdana"/>
        </w:rPr>
        <w:t>a number of</w:t>
      </w:r>
      <w:proofErr w:type="gramEnd"/>
      <w:r w:rsidRPr="000D19C7">
        <w:rPr>
          <w:rFonts w:ascii="Verdana" w:hAnsi="Verdana"/>
        </w:rPr>
        <w:t xml:space="preserve"> critical issues.</w:t>
      </w:r>
      <w:r w:rsidRPr="00517082">
        <w:rPr>
          <w:rStyle w:val="FootnoteReference"/>
          <w:rFonts w:ascii="Verdana" w:hAnsi="Verdana"/>
        </w:rPr>
        <w:footnoteReference w:id="301"/>
      </w:r>
      <w:r w:rsidRPr="000D19C7">
        <w:rPr>
          <w:rFonts w:ascii="Verdana" w:hAnsi="Verdana"/>
        </w:rPr>
        <w:t xml:space="preserve"> In particular, the report states that many challenges remain around flags, bonfires, and memorials. </w:t>
      </w:r>
    </w:p>
    <w:p w14:paraId="0CEEA270" w14:textId="77777777" w:rsidR="000D19C7" w:rsidRPr="000D19C7" w:rsidRDefault="000D19C7" w:rsidP="000D19C7">
      <w:pPr>
        <w:pStyle w:val="ListParagraph"/>
        <w:rPr>
          <w:rFonts w:ascii="Verdana" w:hAnsi="Verdana"/>
        </w:rPr>
      </w:pPr>
    </w:p>
    <w:p w14:paraId="53A6CEC9" w14:textId="77777777" w:rsidR="000D19C7" w:rsidRDefault="004050FA" w:rsidP="00915669">
      <w:pPr>
        <w:pStyle w:val="ListParagraph"/>
        <w:numPr>
          <w:ilvl w:val="1"/>
          <w:numId w:val="19"/>
        </w:numPr>
        <w:spacing w:line="276" w:lineRule="auto"/>
        <w:rPr>
          <w:rFonts w:ascii="Verdana" w:hAnsi="Verdana"/>
        </w:rPr>
      </w:pPr>
      <w:r w:rsidRPr="000D19C7">
        <w:rPr>
          <w:rFonts w:ascii="Verdana" w:hAnsi="Verdana"/>
        </w:rPr>
        <w:t>In relation to flags, symbols and emblems, the Commission considered: whether changes should be made to existing legislation on placing flags on lampposts and other street furniture; flying flags on public buildings; prohibition of flying flags supporting paramilitary organisations; developing a Flags Protocol; and the possibility of developing a new “civic flag”.</w:t>
      </w:r>
      <w:r w:rsidRPr="00517082">
        <w:rPr>
          <w:rStyle w:val="FootnoteReference"/>
          <w:rFonts w:ascii="Verdana" w:hAnsi="Verdana"/>
        </w:rPr>
        <w:footnoteReference w:id="302"/>
      </w:r>
      <w:r w:rsidRPr="000D19C7">
        <w:rPr>
          <w:rFonts w:ascii="Verdana" w:hAnsi="Verdana"/>
        </w:rPr>
        <w:t xml:space="preserve"> However, it was unable to reach consensus on proposals for the way forward. </w:t>
      </w:r>
      <w:r w:rsidR="00516374" w:rsidRPr="000D19C7">
        <w:rPr>
          <w:rFonts w:ascii="Verdana" w:hAnsi="Verdana"/>
        </w:rPr>
        <w:t>The NIHRC is unaware</w:t>
      </w:r>
      <w:r w:rsidR="00D12458" w:rsidRPr="000D19C7">
        <w:rPr>
          <w:rFonts w:ascii="Verdana" w:hAnsi="Verdana"/>
        </w:rPr>
        <w:t xml:space="preserve"> of any plans to progress the recommendations or build consensus on these issues.</w:t>
      </w:r>
      <w:r w:rsidRPr="000D19C7">
        <w:rPr>
          <w:rFonts w:ascii="Verdana" w:hAnsi="Verdana"/>
        </w:rPr>
        <w:t xml:space="preserve"> </w:t>
      </w:r>
    </w:p>
    <w:p w14:paraId="4157D84D" w14:textId="77777777" w:rsidR="000D19C7" w:rsidRPr="000D19C7" w:rsidRDefault="000D19C7" w:rsidP="000D19C7">
      <w:pPr>
        <w:pStyle w:val="ListParagraph"/>
        <w:rPr>
          <w:rFonts w:ascii="Verdana" w:hAnsi="Verdana"/>
          <w:b/>
          <w:bCs/>
        </w:rPr>
      </w:pPr>
    </w:p>
    <w:p w14:paraId="5D8356AE" w14:textId="76D4900A" w:rsidR="00A87B29" w:rsidRPr="000D19C7" w:rsidRDefault="004050FA" w:rsidP="00915669">
      <w:pPr>
        <w:pStyle w:val="ListParagraph"/>
        <w:numPr>
          <w:ilvl w:val="1"/>
          <w:numId w:val="19"/>
        </w:numPr>
        <w:spacing w:line="276" w:lineRule="auto"/>
        <w:rPr>
          <w:rFonts w:ascii="Verdana" w:hAnsi="Verdana"/>
        </w:rPr>
      </w:pPr>
      <w:r w:rsidRPr="000D19C7">
        <w:rPr>
          <w:rFonts w:ascii="Verdana" w:hAnsi="Verdana"/>
          <w:b/>
          <w:bCs/>
        </w:rPr>
        <w:t xml:space="preserve">The Advisory Committee may wish to request further information from the State Party on how the Report of the Commission on Flags, Identity, Culture and Tradition will be progressed in the absence of political consensus over </w:t>
      </w:r>
      <w:proofErr w:type="gramStart"/>
      <w:r w:rsidRPr="000D19C7">
        <w:rPr>
          <w:rFonts w:ascii="Verdana" w:hAnsi="Verdana"/>
          <w:b/>
          <w:bCs/>
        </w:rPr>
        <w:t>a number of</w:t>
      </w:r>
      <w:proofErr w:type="gramEnd"/>
      <w:r w:rsidRPr="000D19C7">
        <w:rPr>
          <w:rFonts w:ascii="Verdana" w:hAnsi="Verdana"/>
          <w:b/>
          <w:bCs/>
        </w:rPr>
        <w:t xml:space="preserve"> critical issues in NI. </w:t>
      </w:r>
    </w:p>
    <w:p w14:paraId="154F2154" w14:textId="77777777" w:rsidR="00A87B29" w:rsidRPr="00A87B29" w:rsidRDefault="00A87B29" w:rsidP="00A87B29">
      <w:pPr>
        <w:pStyle w:val="ListParagraph"/>
        <w:rPr>
          <w:rFonts w:ascii="Verdana" w:hAnsi="Verdana"/>
        </w:rPr>
      </w:pPr>
    </w:p>
    <w:p w14:paraId="082D36CA" w14:textId="6834160C" w:rsidR="00A87B29" w:rsidRPr="00FF0BDC" w:rsidRDefault="000D19C7" w:rsidP="00A87B29">
      <w:pPr>
        <w:pStyle w:val="Heading1"/>
        <w:spacing w:line="276" w:lineRule="auto"/>
        <w:rPr>
          <w:color w:val="7030A0"/>
          <w:szCs w:val="30"/>
        </w:rPr>
      </w:pPr>
      <w:bookmarkStart w:id="42" w:name="_Toc97030930"/>
      <w:r>
        <w:rPr>
          <w:color w:val="7030A0"/>
          <w:szCs w:val="30"/>
        </w:rPr>
        <w:t xml:space="preserve">7.0. </w:t>
      </w:r>
      <w:r w:rsidR="00A87B29" w:rsidRPr="00FF0BDC">
        <w:rPr>
          <w:color w:val="7030A0"/>
          <w:szCs w:val="30"/>
        </w:rPr>
        <w:t>Article 6(1) Tolerance and Intercultural Dialogue</w:t>
      </w:r>
      <w:bookmarkEnd w:id="42"/>
    </w:p>
    <w:p w14:paraId="47018FC4" w14:textId="21F53A81" w:rsidR="00A87B29" w:rsidRPr="00D62DEB" w:rsidRDefault="00A87B29" w:rsidP="00A87B29">
      <w:pPr>
        <w:spacing w:line="276" w:lineRule="auto"/>
        <w:rPr>
          <w:rFonts w:ascii="Verdana" w:hAnsi="Verdana"/>
          <w:b/>
          <w:bCs/>
          <w:color w:val="7030A0"/>
          <w:sz w:val="30"/>
          <w:szCs w:val="30"/>
        </w:rPr>
      </w:pPr>
    </w:p>
    <w:p w14:paraId="57D23AB5" w14:textId="61F15FE2" w:rsidR="00A87B29" w:rsidRPr="00FF0BDC" w:rsidRDefault="00A87B29" w:rsidP="00A87B29">
      <w:pPr>
        <w:pStyle w:val="Heading2"/>
        <w:spacing w:line="276" w:lineRule="auto"/>
        <w:rPr>
          <w:szCs w:val="24"/>
        </w:rPr>
      </w:pPr>
      <w:bookmarkStart w:id="43" w:name="_Toc97030931"/>
      <w:r w:rsidRPr="00FF0BDC">
        <w:rPr>
          <w:szCs w:val="24"/>
        </w:rPr>
        <w:t>Together: Building a United Community</w:t>
      </w:r>
      <w:bookmarkEnd w:id="43"/>
    </w:p>
    <w:p w14:paraId="71443150" w14:textId="77777777" w:rsidR="00A87B29" w:rsidRPr="00A87B29" w:rsidRDefault="00A87B29" w:rsidP="00A87B29">
      <w:pPr>
        <w:pStyle w:val="ListParagraph"/>
        <w:rPr>
          <w:rFonts w:ascii="Verdana" w:hAnsi="Verdana" w:cs="Gotham Light"/>
          <w:color w:val="000000"/>
        </w:rPr>
      </w:pPr>
    </w:p>
    <w:p w14:paraId="47E669AC" w14:textId="6D70D5A8" w:rsidR="0003231E" w:rsidRPr="0003231E" w:rsidRDefault="00780DDE" w:rsidP="00915669">
      <w:pPr>
        <w:pStyle w:val="ListParagraph"/>
        <w:numPr>
          <w:ilvl w:val="1"/>
          <w:numId w:val="20"/>
        </w:numPr>
        <w:spacing w:line="276" w:lineRule="auto"/>
        <w:rPr>
          <w:rFonts w:ascii="Verdana" w:hAnsi="Verdana"/>
        </w:rPr>
      </w:pPr>
      <w:r w:rsidRPr="0003231E">
        <w:rPr>
          <w:rFonts w:ascii="Verdana" w:hAnsi="Verdana" w:cs="Gotham Light"/>
          <w:color w:val="000000"/>
        </w:rPr>
        <w:t>The ‘Together: Building a United Community’ Strategy</w:t>
      </w:r>
      <w:r w:rsidR="00B360E7" w:rsidRPr="0003231E">
        <w:rPr>
          <w:rFonts w:ascii="Verdana" w:hAnsi="Verdana" w:cs="Gotham Light"/>
          <w:color w:val="000000"/>
        </w:rPr>
        <w:t xml:space="preserve"> (TBUC)</w:t>
      </w:r>
      <w:r w:rsidR="001A058D" w:rsidRPr="0003231E">
        <w:rPr>
          <w:rFonts w:ascii="Verdana" w:hAnsi="Verdana" w:cs="Gotham Light"/>
          <w:color w:val="000000"/>
        </w:rPr>
        <w:t xml:space="preserve">, </w:t>
      </w:r>
      <w:r w:rsidR="002B772B" w:rsidRPr="0003231E">
        <w:rPr>
          <w:rFonts w:ascii="Verdana" w:hAnsi="Verdana" w:cs="Gotham Light"/>
          <w:color w:val="000000"/>
        </w:rPr>
        <w:t>published in 2013</w:t>
      </w:r>
      <w:r w:rsidR="001A058D" w:rsidRPr="0003231E">
        <w:rPr>
          <w:rFonts w:ascii="Verdana" w:hAnsi="Verdana" w:cs="Gotham Light"/>
          <w:color w:val="000000"/>
        </w:rPr>
        <w:t xml:space="preserve">, </w:t>
      </w:r>
      <w:r w:rsidR="00D02AD9" w:rsidRPr="0003231E">
        <w:rPr>
          <w:rFonts w:ascii="Verdana" w:hAnsi="Verdana" w:cs="Gotham Light"/>
          <w:color w:val="000000"/>
        </w:rPr>
        <w:t xml:space="preserve">outlined </w:t>
      </w:r>
      <w:r w:rsidR="00887125" w:rsidRPr="0003231E">
        <w:rPr>
          <w:rFonts w:ascii="Verdana" w:hAnsi="Verdana" w:cs="Gotham Light"/>
          <w:color w:val="000000"/>
        </w:rPr>
        <w:t>the Executive’s commitment to improving community relations in N</w:t>
      </w:r>
      <w:r w:rsidR="003E6E14" w:rsidRPr="0003231E">
        <w:rPr>
          <w:rFonts w:ascii="Verdana" w:hAnsi="Verdana" w:cs="Gotham Light"/>
          <w:color w:val="000000"/>
        </w:rPr>
        <w:t>I</w:t>
      </w:r>
      <w:r w:rsidR="00CE4CDB" w:rsidRPr="0003231E">
        <w:rPr>
          <w:rFonts w:ascii="Verdana" w:hAnsi="Verdana" w:cs="Gotham Light"/>
          <w:color w:val="000000"/>
        </w:rPr>
        <w:t xml:space="preserve">. </w:t>
      </w:r>
      <w:r w:rsidR="003E6E14" w:rsidRPr="0003231E">
        <w:rPr>
          <w:rFonts w:ascii="Verdana" w:hAnsi="Verdana" w:cs="Gotham Light"/>
          <w:color w:val="000000"/>
        </w:rPr>
        <w:t>The Strategy commits to developing statutory definitions of ‘good relations’ and ‘sectarianism’.</w:t>
      </w:r>
      <w:r w:rsidR="00CE4CDB" w:rsidRPr="0003231E">
        <w:rPr>
          <w:rFonts w:ascii="Verdana" w:hAnsi="Verdana" w:cs="Gotham Light"/>
          <w:color w:val="000000"/>
        </w:rPr>
        <w:t xml:space="preserve"> </w:t>
      </w:r>
    </w:p>
    <w:p w14:paraId="1CC176A2" w14:textId="77777777" w:rsidR="0003231E" w:rsidRPr="0003231E" w:rsidRDefault="0003231E" w:rsidP="0003231E">
      <w:pPr>
        <w:pStyle w:val="ListParagraph"/>
        <w:spacing w:line="276" w:lineRule="auto"/>
        <w:rPr>
          <w:rFonts w:ascii="Verdana" w:hAnsi="Verdana"/>
        </w:rPr>
      </w:pPr>
    </w:p>
    <w:p w14:paraId="103E4659" w14:textId="77777777" w:rsidR="0003231E" w:rsidRPr="0003231E" w:rsidRDefault="00DA3DA8" w:rsidP="00915669">
      <w:pPr>
        <w:pStyle w:val="ListParagraph"/>
        <w:numPr>
          <w:ilvl w:val="1"/>
          <w:numId w:val="20"/>
        </w:numPr>
        <w:spacing w:line="276" w:lineRule="auto"/>
        <w:rPr>
          <w:rFonts w:ascii="Verdana" w:hAnsi="Verdana"/>
        </w:rPr>
      </w:pPr>
      <w:r w:rsidRPr="0003231E">
        <w:rPr>
          <w:rFonts w:ascii="Verdana" w:hAnsi="Verdana" w:cs="Gotham Light"/>
          <w:color w:val="000000"/>
        </w:rPr>
        <w:t xml:space="preserve">The NIHRC notes the </w:t>
      </w:r>
      <w:r w:rsidRPr="0003231E">
        <w:rPr>
          <w:rFonts w:ascii="Verdana" w:hAnsi="Verdana" w:cs="Calibri-Bold"/>
        </w:rPr>
        <w:t>Advisory Committee</w:t>
      </w:r>
      <w:r w:rsidR="00D16B43" w:rsidRPr="0003231E">
        <w:rPr>
          <w:rFonts w:ascii="Verdana" w:hAnsi="Verdana" w:cs="Calibri-Bold"/>
        </w:rPr>
        <w:t>’</w:t>
      </w:r>
      <w:r w:rsidRPr="0003231E">
        <w:rPr>
          <w:rFonts w:ascii="Verdana" w:hAnsi="Verdana" w:cs="Calibri-Bold"/>
        </w:rPr>
        <w:t xml:space="preserve">s previous recommendation </w:t>
      </w:r>
      <w:r w:rsidR="00C12A5D" w:rsidRPr="0003231E">
        <w:rPr>
          <w:rFonts w:ascii="Verdana" w:hAnsi="Verdana" w:cs="Calibri-Bold"/>
        </w:rPr>
        <w:t xml:space="preserve">that </w:t>
      </w:r>
      <w:r w:rsidRPr="0003231E">
        <w:rPr>
          <w:rFonts w:ascii="Verdana" w:hAnsi="Verdana" w:cs="Calibri-Bold"/>
        </w:rPr>
        <w:t>N</w:t>
      </w:r>
      <w:r w:rsidR="003E6E14" w:rsidRPr="0003231E">
        <w:rPr>
          <w:rFonts w:ascii="Verdana" w:hAnsi="Verdana" w:cs="Calibri-Bold"/>
        </w:rPr>
        <w:t>I</w:t>
      </w:r>
      <w:r w:rsidRPr="0003231E">
        <w:rPr>
          <w:rFonts w:ascii="Verdana" w:hAnsi="Verdana" w:cs="Calibri-Bold"/>
        </w:rPr>
        <w:t xml:space="preserve"> to </w:t>
      </w:r>
      <w:r w:rsidR="00A5680F" w:rsidRPr="0003231E">
        <w:rPr>
          <w:rFonts w:ascii="Verdana" w:hAnsi="Verdana" w:cs="Calibri-Bold"/>
        </w:rPr>
        <w:t xml:space="preserve">define and </w:t>
      </w:r>
      <w:r w:rsidRPr="0003231E">
        <w:rPr>
          <w:rFonts w:ascii="Verdana" w:hAnsi="Verdana" w:cs="Calibri-Bold"/>
        </w:rPr>
        <w:t>implement the ‘good relations’ duty as provided under the Northern Ireland Act 1998 in a manner</w:t>
      </w:r>
      <w:r w:rsidR="00941B3D" w:rsidRPr="0003231E">
        <w:rPr>
          <w:rFonts w:ascii="Verdana" w:hAnsi="Verdana" w:cs="Calibri-Bold"/>
        </w:rPr>
        <w:t xml:space="preserve"> </w:t>
      </w:r>
      <w:r w:rsidRPr="0003231E">
        <w:rPr>
          <w:rFonts w:ascii="Verdana" w:hAnsi="Verdana" w:cs="Calibri-Bold"/>
        </w:rPr>
        <w:t xml:space="preserve">that does not run counter to the equality duty and that does not prevent access to rights </w:t>
      </w:r>
      <w:r w:rsidR="00A029B6" w:rsidRPr="0003231E">
        <w:rPr>
          <w:rFonts w:ascii="Verdana" w:hAnsi="Verdana" w:cs="Calibri-Bold"/>
        </w:rPr>
        <w:t>o</w:t>
      </w:r>
      <w:r w:rsidRPr="0003231E">
        <w:rPr>
          <w:rFonts w:ascii="Verdana" w:hAnsi="Verdana" w:cs="Calibri-Bold"/>
        </w:rPr>
        <w:t>f persons belonging to all national and ethnic minorities</w:t>
      </w:r>
      <w:r w:rsidR="007B1012" w:rsidRPr="0003231E">
        <w:rPr>
          <w:rFonts w:ascii="Verdana" w:hAnsi="Verdana" w:cs="Calibri-Bold"/>
        </w:rPr>
        <w:t>,</w:t>
      </w:r>
      <w:r w:rsidR="006D736C" w:rsidRPr="0003231E">
        <w:rPr>
          <w:rFonts w:ascii="Verdana" w:hAnsi="Verdana" w:cs="Calibri-Bold"/>
        </w:rPr>
        <w:t xml:space="preserve"> and to define sectarianism</w:t>
      </w:r>
      <w:r w:rsidR="00E87D2B" w:rsidRPr="0003231E">
        <w:rPr>
          <w:rFonts w:ascii="Verdana" w:hAnsi="Verdana" w:cs="Calibri-Bold"/>
        </w:rPr>
        <w:t>.</w:t>
      </w:r>
      <w:r w:rsidR="00422513">
        <w:rPr>
          <w:rStyle w:val="FootnoteReference"/>
          <w:rFonts w:ascii="Verdana" w:hAnsi="Verdana" w:cs="Calibri-Bold"/>
        </w:rPr>
        <w:footnoteReference w:id="303"/>
      </w:r>
      <w:r w:rsidR="00E72C12" w:rsidRPr="0003231E">
        <w:rPr>
          <w:rFonts w:ascii="Verdana" w:hAnsi="Verdana" w:cs="Calibri-Bold"/>
        </w:rPr>
        <w:t xml:space="preserve"> There has been no</w:t>
      </w:r>
      <w:r w:rsidR="00B25585" w:rsidRPr="0003231E">
        <w:rPr>
          <w:rFonts w:ascii="Verdana" w:hAnsi="Verdana" w:cs="Calibri-Bold"/>
        </w:rPr>
        <w:t xml:space="preserve"> progress on </w:t>
      </w:r>
      <w:r w:rsidR="004D0CD0" w:rsidRPr="0003231E">
        <w:rPr>
          <w:rFonts w:ascii="Verdana" w:hAnsi="Verdana" w:cs="Calibri-Bold"/>
        </w:rPr>
        <w:t>the</w:t>
      </w:r>
      <w:r w:rsidR="00B25585" w:rsidRPr="0003231E">
        <w:rPr>
          <w:rFonts w:ascii="Verdana" w:hAnsi="Verdana" w:cs="Calibri-Bold"/>
        </w:rPr>
        <w:t xml:space="preserve"> </w:t>
      </w:r>
      <w:r w:rsidR="006D736C" w:rsidRPr="0003231E">
        <w:rPr>
          <w:rFonts w:ascii="Verdana" w:hAnsi="Verdana" w:cs="Calibri-Bold"/>
        </w:rPr>
        <w:t>definition of ‘good relations’</w:t>
      </w:r>
      <w:r w:rsidR="002C14B4" w:rsidRPr="0003231E">
        <w:rPr>
          <w:rFonts w:ascii="Verdana" w:hAnsi="Verdana" w:cs="Calibri-Bold"/>
        </w:rPr>
        <w:t>;</w:t>
      </w:r>
      <w:r w:rsidR="006D736C" w:rsidRPr="0003231E">
        <w:rPr>
          <w:rFonts w:ascii="Verdana" w:hAnsi="Verdana" w:cs="Calibri-Bold"/>
        </w:rPr>
        <w:t xml:space="preserve"> however, developments in relation to the definition of sectarianism will be covered in greater detail in the discussion of Art 6(2</w:t>
      </w:r>
      <w:r w:rsidR="002C14B4" w:rsidRPr="0003231E">
        <w:rPr>
          <w:rFonts w:ascii="Verdana" w:hAnsi="Verdana" w:cs="Calibri-Bold"/>
        </w:rPr>
        <w:t>)</w:t>
      </w:r>
      <w:r w:rsidR="006D736C" w:rsidRPr="0003231E">
        <w:rPr>
          <w:rFonts w:ascii="Verdana" w:hAnsi="Verdana" w:cs="Calibri-Bold"/>
        </w:rPr>
        <w:t>.</w:t>
      </w:r>
      <w:r w:rsidR="004D0CD0" w:rsidRPr="0003231E">
        <w:rPr>
          <w:rFonts w:ascii="Verdana" w:hAnsi="Verdana" w:cs="Calibri-Bold"/>
        </w:rPr>
        <w:t xml:space="preserve"> </w:t>
      </w:r>
    </w:p>
    <w:p w14:paraId="401D8033" w14:textId="77777777" w:rsidR="0003231E" w:rsidRPr="0003231E" w:rsidRDefault="0003231E" w:rsidP="0003231E">
      <w:pPr>
        <w:pStyle w:val="ListParagraph"/>
        <w:rPr>
          <w:rFonts w:ascii="Verdana" w:hAnsi="Verdana" w:cs="Calibri-Bold"/>
        </w:rPr>
      </w:pPr>
    </w:p>
    <w:p w14:paraId="362F907C" w14:textId="77777777" w:rsidR="0003231E" w:rsidRPr="0003231E" w:rsidRDefault="004D0CD0" w:rsidP="00915669">
      <w:pPr>
        <w:pStyle w:val="ListParagraph"/>
        <w:numPr>
          <w:ilvl w:val="1"/>
          <w:numId w:val="20"/>
        </w:numPr>
        <w:spacing w:line="276" w:lineRule="auto"/>
        <w:rPr>
          <w:rFonts w:ascii="Verdana" w:hAnsi="Verdana"/>
        </w:rPr>
      </w:pPr>
      <w:r w:rsidRPr="0003231E">
        <w:rPr>
          <w:rFonts w:ascii="Verdana" w:hAnsi="Verdana" w:cs="Calibri-Bold"/>
        </w:rPr>
        <w:t>In its report in December 2021, the Commission on Flags, Identity, Culture</w:t>
      </w:r>
      <w:r w:rsidR="00D146A3" w:rsidRPr="0003231E">
        <w:rPr>
          <w:rFonts w:ascii="Verdana" w:hAnsi="Verdana" w:cs="Calibri-Bold"/>
        </w:rPr>
        <w:t>,</w:t>
      </w:r>
      <w:r w:rsidRPr="0003231E">
        <w:rPr>
          <w:rFonts w:ascii="Verdana" w:hAnsi="Verdana" w:cs="Calibri-Bold"/>
        </w:rPr>
        <w:t xml:space="preserve"> and Tradition also recommended that the legal duty of good relations should be clearly defined in law.</w:t>
      </w:r>
      <w:r w:rsidR="006149A4">
        <w:rPr>
          <w:rStyle w:val="FootnoteReference"/>
          <w:rFonts w:ascii="Verdana" w:hAnsi="Verdana" w:cs="Calibri-Bold"/>
        </w:rPr>
        <w:footnoteReference w:id="304"/>
      </w:r>
    </w:p>
    <w:p w14:paraId="59C6C52E" w14:textId="77777777" w:rsidR="0003231E" w:rsidRPr="0003231E" w:rsidRDefault="0003231E" w:rsidP="0003231E">
      <w:pPr>
        <w:pStyle w:val="ListParagraph"/>
        <w:rPr>
          <w:rFonts w:ascii="Verdana" w:hAnsi="Verdana" w:cs="Gotham Light"/>
          <w:b/>
          <w:color w:val="000000" w:themeColor="text1"/>
        </w:rPr>
      </w:pPr>
    </w:p>
    <w:p w14:paraId="68B25406" w14:textId="7888E113" w:rsidR="00A029B6" w:rsidRPr="0003231E" w:rsidRDefault="00D16B43" w:rsidP="00915669">
      <w:pPr>
        <w:pStyle w:val="ListParagraph"/>
        <w:numPr>
          <w:ilvl w:val="1"/>
          <w:numId w:val="20"/>
        </w:numPr>
        <w:spacing w:line="276" w:lineRule="auto"/>
        <w:rPr>
          <w:rFonts w:ascii="Verdana" w:hAnsi="Verdana"/>
        </w:rPr>
      </w:pPr>
      <w:r w:rsidRPr="0003231E">
        <w:rPr>
          <w:rFonts w:ascii="Verdana" w:hAnsi="Verdana" w:cs="Gotham Light"/>
          <w:b/>
          <w:color w:val="000000" w:themeColor="text1"/>
        </w:rPr>
        <w:t xml:space="preserve">The </w:t>
      </w:r>
      <w:r w:rsidR="00BB16F3" w:rsidRPr="0003231E">
        <w:rPr>
          <w:rFonts w:ascii="Verdana" w:hAnsi="Verdana" w:cs="Gotham Light"/>
          <w:b/>
          <w:color w:val="000000" w:themeColor="text1"/>
        </w:rPr>
        <w:t xml:space="preserve">Advisory Committee may want to ask the State Party what </w:t>
      </w:r>
      <w:r w:rsidR="00B95E23" w:rsidRPr="0003231E">
        <w:rPr>
          <w:rFonts w:ascii="Verdana" w:hAnsi="Verdana" w:cs="Gotham Light"/>
          <w:b/>
          <w:color w:val="000000" w:themeColor="text1"/>
        </w:rPr>
        <w:t>measures are being taken to progress the commitments of the Together: Building a United Community Strategy</w:t>
      </w:r>
      <w:proofErr w:type="gramStart"/>
      <w:r w:rsidR="00B95E23" w:rsidRPr="0003231E">
        <w:rPr>
          <w:rFonts w:ascii="Verdana" w:hAnsi="Verdana" w:cs="Gotham Light"/>
          <w:b/>
          <w:color w:val="000000" w:themeColor="text1"/>
        </w:rPr>
        <w:t xml:space="preserve">, in particular, </w:t>
      </w:r>
      <w:r w:rsidR="00B95E23" w:rsidRPr="0003231E">
        <w:rPr>
          <w:rFonts w:ascii="Verdana" w:hAnsi="Verdana" w:cs="Gotham Light"/>
          <w:b/>
          <w:bCs/>
          <w:color w:val="000000" w:themeColor="text1"/>
        </w:rPr>
        <w:t>to</w:t>
      </w:r>
      <w:proofErr w:type="gramEnd"/>
      <w:r w:rsidR="00B95E23" w:rsidRPr="0003231E">
        <w:rPr>
          <w:rFonts w:ascii="Verdana" w:hAnsi="Verdana" w:cs="Gotham Light"/>
          <w:b/>
          <w:bCs/>
          <w:color w:val="000000" w:themeColor="text1"/>
        </w:rPr>
        <w:t xml:space="preserve"> define and strengthen</w:t>
      </w:r>
      <w:r w:rsidR="00B95E23" w:rsidRPr="0003231E">
        <w:rPr>
          <w:rFonts w:ascii="Verdana" w:hAnsi="Verdana" w:cs="Gotham Light"/>
          <w:b/>
          <w:color w:val="000000" w:themeColor="text1"/>
        </w:rPr>
        <w:t xml:space="preserve"> the ‘good relations’ duty.</w:t>
      </w:r>
    </w:p>
    <w:p w14:paraId="050C40B7" w14:textId="1298C7A9" w:rsidR="00C441C0" w:rsidRPr="00D62DEB" w:rsidRDefault="00C441C0" w:rsidP="004656A5">
      <w:pPr>
        <w:spacing w:line="276" w:lineRule="auto"/>
        <w:rPr>
          <w:rFonts w:ascii="Verdana" w:hAnsi="Verdana" w:cs="Gotham Light"/>
          <w:color w:val="000000"/>
        </w:rPr>
      </w:pPr>
    </w:p>
    <w:p w14:paraId="444F94D4" w14:textId="4EFD2367" w:rsidR="00C441C0" w:rsidRPr="00FF0BDC" w:rsidRDefault="0003231E" w:rsidP="004656A5">
      <w:pPr>
        <w:pStyle w:val="Heading1"/>
        <w:spacing w:line="276" w:lineRule="auto"/>
        <w:rPr>
          <w:color w:val="7030A0"/>
          <w:szCs w:val="30"/>
        </w:rPr>
      </w:pPr>
      <w:bookmarkStart w:id="44" w:name="_Toc97030932"/>
      <w:r>
        <w:rPr>
          <w:color w:val="7030A0"/>
          <w:szCs w:val="30"/>
        </w:rPr>
        <w:t xml:space="preserve">8.0. </w:t>
      </w:r>
      <w:r w:rsidR="00C441C0" w:rsidRPr="00FF0BDC">
        <w:rPr>
          <w:color w:val="7030A0"/>
          <w:szCs w:val="30"/>
        </w:rPr>
        <w:t>Article 6(2)</w:t>
      </w:r>
      <w:r w:rsidR="00923C04" w:rsidRPr="00FF0BDC">
        <w:rPr>
          <w:color w:val="7030A0"/>
          <w:szCs w:val="30"/>
        </w:rPr>
        <w:t xml:space="preserve"> Protection Against Discrimination</w:t>
      </w:r>
      <w:r w:rsidR="0049035F" w:rsidRPr="00FF0BDC">
        <w:rPr>
          <w:color w:val="7030A0"/>
          <w:szCs w:val="30"/>
        </w:rPr>
        <w:t>, Hostility and Violence</w:t>
      </w:r>
      <w:bookmarkEnd w:id="44"/>
    </w:p>
    <w:p w14:paraId="67122EB0" w14:textId="6C09D2C0" w:rsidR="00C441C0" w:rsidRPr="00D62DEB" w:rsidRDefault="00C441C0" w:rsidP="004656A5">
      <w:pPr>
        <w:spacing w:line="276" w:lineRule="auto"/>
        <w:rPr>
          <w:rFonts w:ascii="Verdana" w:hAnsi="Verdana" w:cs="Gotham Light"/>
          <w:color w:val="000000"/>
        </w:rPr>
      </w:pPr>
    </w:p>
    <w:p w14:paraId="657A389D" w14:textId="0E4E66EC" w:rsidR="00DE1699" w:rsidRPr="00FF0BDC" w:rsidRDefault="00DE1699" w:rsidP="00DE1699">
      <w:pPr>
        <w:pStyle w:val="Heading2"/>
        <w:spacing w:line="276" w:lineRule="auto"/>
      </w:pPr>
      <w:bookmarkStart w:id="45" w:name="_Toc97030933"/>
      <w:r>
        <w:t>Racist Hate Crime</w:t>
      </w:r>
      <w:bookmarkEnd w:id="45"/>
    </w:p>
    <w:p w14:paraId="033A3B83" w14:textId="77777777" w:rsidR="0081349B" w:rsidRPr="00D62DEB" w:rsidRDefault="0081349B" w:rsidP="004656A5">
      <w:pPr>
        <w:spacing w:line="276" w:lineRule="auto"/>
        <w:rPr>
          <w:rFonts w:ascii="Verdana" w:hAnsi="Verdana" w:cs="Gotham Light"/>
          <w:color w:val="000000"/>
        </w:rPr>
      </w:pPr>
    </w:p>
    <w:p w14:paraId="1D221E75" w14:textId="40F73071" w:rsidR="0003231E" w:rsidRDefault="00F129CA" w:rsidP="00915669">
      <w:pPr>
        <w:pStyle w:val="ListParagraph"/>
        <w:numPr>
          <w:ilvl w:val="1"/>
          <w:numId w:val="21"/>
        </w:numPr>
        <w:spacing w:line="276" w:lineRule="auto"/>
        <w:rPr>
          <w:rFonts w:ascii="Verdana" w:hAnsi="Verdana" w:cs="YIUEB V+ Gotham"/>
          <w:color w:val="000000"/>
        </w:rPr>
      </w:pPr>
      <w:r w:rsidRPr="0003231E">
        <w:rPr>
          <w:rFonts w:ascii="Verdana" w:hAnsi="Verdana" w:cs="YIUEB V+ Gotham"/>
          <w:color w:val="000000"/>
        </w:rPr>
        <w:t>The NIHRC recognises that racist hate crime is a growing concern in NI.</w:t>
      </w:r>
      <w:r w:rsidR="00720439" w:rsidRPr="0003231E">
        <w:rPr>
          <w:rFonts w:ascii="Verdana" w:hAnsi="Verdana" w:cs="YIUEB V+ Gotham"/>
          <w:color w:val="000000"/>
        </w:rPr>
        <w:t xml:space="preserve"> In 2020/21, there were 2,493 recorded incidents of hate</w:t>
      </w:r>
      <w:r w:rsidR="001266D4" w:rsidRPr="0003231E">
        <w:rPr>
          <w:rFonts w:ascii="Verdana" w:hAnsi="Verdana" w:cs="YIUEB V+ Gotham"/>
          <w:color w:val="000000"/>
        </w:rPr>
        <w:t xml:space="preserve"> </w:t>
      </w:r>
      <w:r w:rsidR="00720439" w:rsidRPr="0003231E">
        <w:rPr>
          <w:rFonts w:ascii="Verdana" w:hAnsi="Verdana" w:cs="YIUEB V+ Gotham"/>
          <w:color w:val="000000"/>
        </w:rPr>
        <w:t>and 1,757 recorded crimes</w:t>
      </w:r>
      <w:r w:rsidR="00720439" w:rsidRPr="0003231E" w:rsidDel="004D3940">
        <w:rPr>
          <w:rFonts w:ascii="Verdana" w:hAnsi="Verdana" w:cs="YIUEB V+ Gotham"/>
          <w:color w:val="000000"/>
        </w:rPr>
        <w:t>.</w:t>
      </w:r>
      <w:r w:rsidR="00C916F0">
        <w:rPr>
          <w:rStyle w:val="FootnoteReference"/>
          <w:rFonts w:ascii="Verdana" w:hAnsi="Verdana" w:cs="YIUEB V+ Gotham"/>
          <w:color w:val="000000"/>
        </w:rPr>
        <w:footnoteReference w:id="305"/>
      </w:r>
      <w:r w:rsidR="00720439" w:rsidRPr="0003231E">
        <w:rPr>
          <w:rStyle w:val="A91"/>
          <w:rFonts w:ascii="Verdana" w:hAnsi="Verdana"/>
          <w:sz w:val="24"/>
          <w:szCs w:val="24"/>
        </w:rPr>
        <w:t xml:space="preserve"> </w:t>
      </w:r>
      <w:r w:rsidR="00772A86" w:rsidRPr="0003231E">
        <w:rPr>
          <w:rFonts w:ascii="Verdana" w:hAnsi="Verdana" w:cs="YIUEB V+ Gotham"/>
          <w:color w:val="000000"/>
        </w:rPr>
        <w:t>Incidents and crimes with a racist motivation showed the largest overall increase (353 incidents and 276 crimes).</w:t>
      </w:r>
      <w:r w:rsidR="00772A86">
        <w:rPr>
          <w:rStyle w:val="FootnoteReference"/>
          <w:rFonts w:ascii="Verdana" w:hAnsi="Verdana" w:cs="YIUEB V+ Gotham"/>
          <w:color w:val="000000"/>
        </w:rPr>
        <w:footnoteReference w:id="306"/>
      </w:r>
      <w:r w:rsidR="00772A86" w:rsidRPr="0003231E">
        <w:rPr>
          <w:rFonts w:ascii="Verdana" w:hAnsi="Verdana" w:cs="YIUEB V+ Gotham"/>
          <w:color w:val="000000"/>
        </w:rPr>
        <w:t xml:space="preserve"> </w:t>
      </w:r>
    </w:p>
    <w:p w14:paraId="660A32E5" w14:textId="77777777" w:rsidR="0003231E" w:rsidRDefault="0003231E" w:rsidP="0003231E">
      <w:pPr>
        <w:pStyle w:val="ListParagraph"/>
        <w:spacing w:line="276" w:lineRule="auto"/>
        <w:rPr>
          <w:rFonts w:ascii="Verdana" w:hAnsi="Verdana" w:cs="YIUEB V+ Gotham"/>
          <w:color w:val="000000"/>
        </w:rPr>
      </w:pPr>
    </w:p>
    <w:p w14:paraId="4AB5F738" w14:textId="77777777" w:rsidR="0003231E" w:rsidRDefault="00AD35DD" w:rsidP="00915669">
      <w:pPr>
        <w:pStyle w:val="ListParagraph"/>
        <w:numPr>
          <w:ilvl w:val="1"/>
          <w:numId w:val="21"/>
        </w:numPr>
        <w:spacing w:line="276" w:lineRule="auto"/>
        <w:rPr>
          <w:rFonts w:ascii="Verdana" w:hAnsi="Verdana" w:cs="YIUEB V+ Gotham"/>
          <w:color w:val="000000"/>
        </w:rPr>
      </w:pPr>
      <w:r w:rsidRPr="0003231E">
        <w:rPr>
          <w:rFonts w:ascii="Verdana" w:hAnsi="Verdana" w:cs="YIUEB V+ Gotham"/>
          <w:color w:val="000000"/>
        </w:rPr>
        <w:t>In 2016, the UN CERD Committee recommended that the UK Government and NI Executive “investigate all reported acts of racist hate crimes… and provide effective remedies to victims” and that it “systematically collect disaggregated data … undertake a thorough impact assessment of the measures adopted to ensure their continued effectiveness”.</w:t>
      </w:r>
      <w:r w:rsidRPr="00D62DEB">
        <w:rPr>
          <w:rStyle w:val="FootnoteReference"/>
          <w:rFonts w:ascii="Verdana" w:hAnsi="Verdana" w:cs="YIUEB V+ Gotham"/>
          <w:color w:val="000000"/>
        </w:rPr>
        <w:footnoteReference w:id="307"/>
      </w:r>
      <w:r w:rsidRPr="0003231E">
        <w:rPr>
          <w:rStyle w:val="A91"/>
          <w:rFonts w:ascii="Verdana" w:hAnsi="Verdana"/>
          <w:sz w:val="24"/>
          <w:szCs w:val="24"/>
        </w:rPr>
        <w:t xml:space="preserve"> </w:t>
      </w:r>
      <w:r w:rsidRPr="0003231E">
        <w:rPr>
          <w:rFonts w:ascii="Verdana" w:hAnsi="Verdana" w:cs="YIUEB V+ Gotham"/>
          <w:color w:val="000000"/>
        </w:rPr>
        <w:t>In addition, the UK Government and NI Executive should “adopt concrete measures, in consultation with affected groups, to increase the reporting of racist hate crimes” as well as adopting measures to “combat racist hate speech and xenophobic political discourse, including on the Internet”.</w:t>
      </w:r>
      <w:r w:rsidR="00D31F06" w:rsidRPr="00D62DEB">
        <w:rPr>
          <w:rStyle w:val="FootnoteReference"/>
          <w:rFonts w:ascii="Verdana" w:hAnsi="Verdana" w:cs="YIUEB V+ Gotham"/>
          <w:color w:val="000000"/>
        </w:rPr>
        <w:footnoteReference w:id="308"/>
      </w:r>
    </w:p>
    <w:p w14:paraId="41DA0BB1" w14:textId="77777777" w:rsidR="0003231E" w:rsidRPr="0003231E" w:rsidRDefault="0003231E" w:rsidP="0003231E">
      <w:pPr>
        <w:pStyle w:val="ListParagraph"/>
        <w:rPr>
          <w:rFonts w:ascii="Verdana" w:hAnsi="Verdana" w:cs="YIUEB V+ Gotham"/>
          <w:color w:val="000000"/>
        </w:rPr>
      </w:pPr>
    </w:p>
    <w:p w14:paraId="591B728C" w14:textId="77777777" w:rsidR="0003231E" w:rsidRDefault="001E0959" w:rsidP="00915669">
      <w:pPr>
        <w:pStyle w:val="ListParagraph"/>
        <w:numPr>
          <w:ilvl w:val="1"/>
          <w:numId w:val="21"/>
        </w:numPr>
        <w:spacing w:line="276" w:lineRule="auto"/>
        <w:rPr>
          <w:rFonts w:ascii="Verdana" w:hAnsi="Verdana" w:cs="YIUEB V+ Gotham"/>
          <w:color w:val="000000"/>
        </w:rPr>
      </w:pPr>
      <w:r w:rsidRPr="0003231E">
        <w:rPr>
          <w:rFonts w:ascii="Verdana" w:hAnsi="Verdana" w:cs="YIUEB V+ Gotham"/>
          <w:color w:val="000000"/>
        </w:rPr>
        <w:t>In 2019, the UN CAT Committee recommended that the UK Government and NI Executive “strengthen its efforts to investigate alleged hate crimes and prosecute perpetrators, including by improving hate crimes training for the police and improving their initial handling of hate crimes reports”.</w:t>
      </w:r>
      <w:r w:rsidRPr="00D62DEB">
        <w:rPr>
          <w:rStyle w:val="FootnoteReference"/>
          <w:rFonts w:ascii="Verdana" w:hAnsi="Verdana" w:cs="YIUEB V+ Gotham"/>
          <w:color w:val="000000"/>
        </w:rPr>
        <w:footnoteReference w:id="309"/>
      </w:r>
    </w:p>
    <w:p w14:paraId="0D0657F4" w14:textId="77777777" w:rsidR="0003231E" w:rsidRPr="0003231E" w:rsidRDefault="0003231E" w:rsidP="0003231E">
      <w:pPr>
        <w:pStyle w:val="ListParagraph"/>
        <w:rPr>
          <w:rFonts w:ascii="Verdana" w:hAnsi="Verdana" w:cs="Gotham Light"/>
          <w:color w:val="000000"/>
        </w:rPr>
      </w:pPr>
    </w:p>
    <w:p w14:paraId="73AB25DD" w14:textId="77777777" w:rsidR="0003231E" w:rsidRPr="0003231E" w:rsidRDefault="00A8732B" w:rsidP="00915669">
      <w:pPr>
        <w:pStyle w:val="ListParagraph"/>
        <w:numPr>
          <w:ilvl w:val="1"/>
          <w:numId w:val="21"/>
        </w:numPr>
        <w:spacing w:line="276" w:lineRule="auto"/>
        <w:rPr>
          <w:rFonts w:ascii="Verdana" w:hAnsi="Verdana" w:cs="YIUEB V+ Gotham"/>
          <w:color w:val="000000"/>
        </w:rPr>
      </w:pPr>
      <w:r w:rsidRPr="0003231E">
        <w:rPr>
          <w:rFonts w:ascii="Verdana" w:hAnsi="Verdana" w:cs="Gotham Light"/>
          <w:color w:val="000000"/>
        </w:rPr>
        <w:t xml:space="preserve">The EU </w:t>
      </w:r>
      <w:r w:rsidR="00D713D7" w:rsidRPr="0003231E">
        <w:rPr>
          <w:rFonts w:ascii="Verdana" w:hAnsi="Verdana" w:cs="Gotham Light"/>
          <w:color w:val="000000"/>
        </w:rPr>
        <w:t>Victims’ Directive</w:t>
      </w:r>
      <w:r w:rsidRPr="0003231E">
        <w:rPr>
          <w:rFonts w:ascii="Verdana" w:hAnsi="Verdana" w:cs="Gotham Light"/>
          <w:color w:val="000000"/>
        </w:rPr>
        <w:t xml:space="preserve"> </w:t>
      </w:r>
      <w:r w:rsidR="009C1C48" w:rsidRPr="0003231E">
        <w:rPr>
          <w:rFonts w:ascii="Verdana" w:hAnsi="Verdana" w:cs="Gotham Light"/>
          <w:color w:val="000000"/>
        </w:rPr>
        <w:t>provides for a number of protections for victims of crime.</w:t>
      </w:r>
      <w:r w:rsidR="009C1C48">
        <w:rPr>
          <w:rStyle w:val="FootnoteReference"/>
          <w:rFonts w:ascii="Verdana" w:hAnsi="Verdana" w:cs="Gotham Light"/>
          <w:color w:val="000000"/>
        </w:rPr>
        <w:footnoteReference w:id="310"/>
      </w:r>
      <w:r w:rsidR="009C1C48" w:rsidRPr="0003231E">
        <w:rPr>
          <w:rFonts w:ascii="Verdana" w:hAnsi="Verdana" w:cs="Gotham Light"/>
          <w:color w:val="000000"/>
        </w:rPr>
        <w:t xml:space="preserve"> The Directive </w:t>
      </w:r>
      <w:r w:rsidRPr="0003231E">
        <w:rPr>
          <w:rFonts w:ascii="Verdana" w:hAnsi="Verdana" w:cs="Gotham Light"/>
          <w:color w:val="000000"/>
        </w:rPr>
        <w:t xml:space="preserve">requires that individual assessments of the personal characteristics of </w:t>
      </w:r>
      <w:r w:rsidR="009C1C48" w:rsidRPr="0003231E">
        <w:rPr>
          <w:rFonts w:ascii="Verdana" w:hAnsi="Verdana" w:cs="Gotham Light"/>
          <w:color w:val="000000"/>
        </w:rPr>
        <w:t>victims and the nature of the crime, including whether it is a hate crime</w:t>
      </w:r>
      <w:r w:rsidR="00414552" w:rsidRPr="0003231E">
        <w:rPr>
          <w:rFonts w:ascii="Verdana" w:hAnsi="Verdana" w:cs="Gotham Light"/>
          <w:color w:val="000000"/>
        </w:rPr>
        <w:t xml:space="preserve"> to identify specific protection needs.</w:t>
      </w:r>
      <w:r w:rsidR="00414552">
        <w:rPr>
          <w:rStyle w:val="FootnoteReference"/>
          <w:rFonts w:ascii="Verdana" w:hAnsi="Verdana" w:cs="Gotham Light"/>
          <w:color w:val="000000"/>
        </w:rPr>
        <w:footnoteReference w:id="311"/>
      </w:r>
      <w:r w:rsidR="00414552" w:rsidRPr="0003231E">
        <w:rPr>
          <w:rFonts w:ascii="Verdana" w:hAnsi="Verdana" w:cs="Gotham Light"/>
          <w:color w:val="000000"/>
        </w:rPr>
        <w:t xml:space="preserve"> It further notes that particular care should be taken to assess whether victims of hate crime are at risk of victimisation, intimidation and retaliation and that there should be a strong presumption that victims of hate crime would benefit from special protection measures</w:t>
      </w:r>
      <w:r w:rsidR="00D713D7" w:rsidRPr="0003231E">
        <w:rPr>
          <w:rFonts w:ascii="Verdana" w:hAnsi="Verdana" w:cs="Gotham Light"/>
          <w:color w:val="000000"/>
        </w:rPr>
        <w:t>.</w:t>
      </w:r>
      <w:r w:rsidR="00414552">
        <w:rPr>
          <w:rStyle w:val="FootnoteReference"/>
          <w:rFonts w:ascii="Verdana" w:hAnsi="Verdana" w:cs="Gotham Light"/>
          <w:color w:val="000000"/>
        </w:rPr>
        <w:footnoteReference w:id="312"/>
      </w:r>
    </w:p>
    <w:p w14:paraId="07D89722" w14:textId="77777777" w:rsidR="0003231E" w:rsidRPr="0003231E" w:rsidRDefault="0003231E" w:rsidP="0003231E">
      <w:pPr>
        <w:pStyle w:val="ListParagraph"/>
        <w:rPr>
          <w:rFonts w:ascii="Verdana" w:hAnsi="Verdana" w:cs="YIUEB V+ Gotham"/>
          <w:color w:val="000000"/>
        </w:rPr>
      </w:pPr>
    </w:p>
    <w:p w14:paraId="5E46496F" w14:textId="77777777" w:rsidR="0003231E" w:rsidRDefault="001E3EE1" w:rsidP="00915669">
      <w:pPr>
        <w:pStyle w:val="ListParagraph"/>
        <w:numPr>
          <w:ilvl w:val="1"/>
          <w:numId w:val="21"/>
        </w:numPr>
        <w:spacing w:line="276" w:lineRule="auto"/>
        <w:rPr>
          <w:rFonts w:ascii="Verdana" w:hAnsi="Verdana" w:cs="YIUEB V+ Gotham"/>
          <w:color w:val="000000"/>
        </w:rPr>
      </w:pPr>
      <w:r w:rsidRPr="0003231E">
        <w:rPr>
          <w:rFonts w:ascii="Verdana" w:hAnsi="Verdana" w:cs="YIUEB V+ Gotham"/>
          <w:color w:val="000000"/>
        </w:rPr>
        <w:t>In early 2020, the Independent Hate Crime Review Team undertook a public consultation on reviewing hate crime legislation in NI.</w:t>
      </w:r>
      <w:r w:rsidRPr="00D62DEB">
        <w:rPr>
          <w:rStyle w:val="FootnoteReference"/>
          <w:rFonts w:ascii="Verdana" w:hAnsi="Verdana" w:cs="YIUEB V+ Gotham"/>
          <w:color w:val="000000"/>
        </w:rPr>
        <w:footnoteReference w:id="313"/>
      </w:r>
      <w:r w:rsidRPr="0003231E">
        <w:rPr>
          <w:rStyle w:val="A91"/>
          <w:rFonts w:ascii="Verdana" w:hAnsi="Verdana"/>
          <w:sz w:val="24"/>
          <w:szCs w:val="24"/>
        </w:rPr>
        <w:t xml:space="preserve"> </w:t>
      </w:r>
      <w:r w:rsidRPr="0003231E">
        <w:rPr>
          <w:rFonts w:ascii="Verdana" w:hAnsi="Verdana" w:cs="YIUEB V+ Gotham"/>
          <w:color w:val="000000"/>
        </w:rPr>
        <w:t>The findings and recommendations were published in December 2020, following delays due to COVID-19.</w:t>
      </w:r>
      <w:r w:rsidRPr="00D62DEB">
        <w:rPr>
          <w:rStyle w:val="FootnoteReference"/>
          <w:rFonts w:ascii="Verdana" w:hAnsi="Verdana" w:cs="YIUEB V+ Gotham"/>
          <w:color w:val="000000"/>
        </w:rPr>
        <w:footnoteReference w:id="314"/>
      </w:r>
      <w:r w:rsidR="001C231D" w:rsidRPr="0003231E">
        <w:rPr>
          <w:rFonts w:ascii="Verdana" w:hAnsi="Verdana" w:cs="YIUEB V+ Gotham"/>
          <w:color w:val="000000"/>
        </w:rPr>
        <w:t xml:space="preserve"> </w:t>
      </w:r>
      <w:r w:rsidR="009D4E9C" w:rsidRPr="0003231E">
        <w:rPr>
          <w:rFonts w:ascii="Verdana" w:hAnsi="Verdana" w:cs="YIUEB V+ Gotham"/>
          <w:color w:val="000000"/>
        </w:rPr>
        <w:t>Recommendations from this report included</w:t>
      </w:r>
      <w:r w:rsidR="00A91113" w:rsidRPr="0003231E">
        <w:rPr>
          <w:rFonts w:ascii="Verdana" w:hAnsi="Verdana" w:cs="YIUEB V+ Gotham"/>
          <w:color w:val="000000"/>
        </w:rPr>
        <w:t>, amongst other issues,</w:t>
      </w:r>
      <w:r w:rsidR="00210B7F" w:rsidRPr="0003231E">
        <w:rPr>
          <w:rFonts w:ascii="Verdana" w:hAnsi="Verdana" w:cs="YIUEB V+ Gotham"/>
          <w:color w:val="000000"/>
        </w:rPr>
        <w:t xml:space="preserve"> a clearer definition of what constituted hate crime,</w:t>
      </w:r>
      <w:r w:rsidR="00A829D8" w:rsidRPr="0003231E">
        <w:rPr>
          <w:rFonts w:ascii="Verdana" w:hAnsi="Verdana" w:cs="YIUEB V+ Gotham"/>
          <w:color w:val="000000"/>
        </w:rPr>
        <w:t xml:space="preserve"> includ</w:t>
      </w:r>
      <w:r w:rsidR="003539A1" w:rsidRPr="0003231E">
        <w:rPr>
          <w:rFonts w:ascii="Verdana" w:hAnsi="Verdana" w:cs="YIUEB V+ Gotham"/>
          <w:color w:val="000000"/>
        </w:rPr>
        <w:t xml:space="preserve">ing </w:t>
      </w:r>
      <w:r w:rsidR="00146D9B" w:rsidRPr="0003231E">
        <w:rPr>
          <w:rFonts w:ascii="Verdana" w:hAnsi="Verdana" w:cs="YIUEB V+ Gotham"/>
          <w:color w:val="000000"/>
        </w:rPr>
        <w:t xml:space="preserve">of </w:t>
      </w:r>
      <w:r w:rsidR="003539A1" w:rsidRPr="0003231E">
        <w:rPr>
          <w:rFonts w:ascii="Verdana" w:hAnsi="Verdana" w:cs="YIUEB V+ Gotham"/>
          <w:color w:val="000000"/>
        </w:rPr>
        <w:t xml:space="preserve">statutory aggravation to all existing NI offences, </w:t>
      </w:r>
      <w:r w:rsidR="00D15C3C" w:rsidRPr="0003231E">
        <w:rPr>
          <w:rFonts w:ascii="Verdana" w:hAnsi="Verdana" w:cs="YIUEB V+ Gotham"/>
          <w:color w:val="000000"/>
        </w:rPr>
        <w:t xml:space="preserve">removal of hate expressions from public </w:t>
      </w:r>
      <w:r w:rsidR="00A829D8" w:rsidRPr="0003231E">
        <w:rPr>
          <w:rFonts w:ascii="Verdana" w:hAnsi="Verdana" w:cs="YIUEB V+ Gotham"/>
          <w:color w:val="000000"/>
        </w:rPr>
        <w:t xml:space="preserve">property, </w:t>
      </w:r>
      <w:r w:rsidR="00146D9B" w:rsidRPr="0003231E">
        <w:rPr>
          <w:rFonts w:ascii="Verdana" w:hAnsi="Verdana" w:cs="YIUEB V+ Gotham"/>
          <w:color w:val="000000"/>
        </w:rPr>
        <w:t>setting up a statutory restorative justice framework</w:t>
      </w:r>
      <w:r w:rsidR="00C741DF" w:rsidRPr="0003231E">
        <w:rPr>
          <w:rFonts w:ascii="Verdana" w:hAnsi="Verdana" w:cs="YIUEB V+ Gotham"/>
          <w:color w:val="000000"/>
        </w:rPr>
        <w:t xml:space="preserve">, </w:t>
      </w:r>
      <w:r w:rsidR="000865B6" w:rsidRPr="0003231E">
        <w:rPr>
          <w:rFonts w:ascii="Verdana" w:hAnsi="Verdana" w:cs="YIUEB V+ Gotham"/>
          <w:color w:val="000000"/>
        </w:rPr>
        <w:t xml:space="preserve">and </w:t>
      </w:r>
      <w:r w:rsidR="00C741DF" w:rsidRPr="0003231E">
        <w:rPr>
          <w:rFonts w:ascii="Verdana" w:hAnsi="Verdana" w:cs="YIUEB V+ Gotham"/>
          <w:color w:val="000000"/>
        </w:rPr>
        <w:t>consolidation of hate crime law into a singular piece of legislation</w:t>
      </w:r>
      <w:r w:rsidR="000865B6" w:rsidRPr="0003231E">
        <w:rPr>
          <w:rFonts w:ascii="Verdana" w:hAnsi="Verdana" w:cs="YIUEB V+ Gotham"/>
          <w:color w:val="000000"/>
        </w:rPr>
        <w:t>.</w:t>
      </w:r>
    </w:p>
    <w:p w14:paraId="497C12D9" w14:textId="77777777" w:rsidR="0003231E" w:rsidRPr="0003231E" w:rsidRDefault="0003231E" w:rsidP="0003231E">
      <w:pPr>
        <w:pStyle w:val="ListParagraph"/>
        <w:rPr>
          <w:rFonts w:ascii="Verdana" w:hAnsi="Verdana" w:cs="YIUEB V+ Gotham"/>
          <w:color w:val="000000"/>
        </w:rPr>
      </w:pPr>
    </w:p>
    <w:p w14:paraId="2529B5B0" w14:textId="77777777" w:rsidR="0003231E" w:rsidRDefault="00CF2642" w:rsidP="00915669">
      <w:pPr>
        <w:pStyle w:val="ListParagraph"/>
        <w:numPr>
          <w:ilvl w:val="1"/>
          <w:numId w:val="21"/>
        </w:numPr>
        <w:spacing w:line="276" w:lineRule="auto"/>
        <w:rPr>
          <w:rFonts w:ascii="Verdana" w:hAnsi="Verdana" w:cs="YIUEB V+ Gotham"/>
          <w:color w:val="000000"/>
        </w:rPr>
      </w:pPr>
      <w:r w:rsidRPr="0003231E">
        <w:rPr>
          <w:rFonts w:ascii="Verdana" w:hAnsi="Verdana" w:cs="YIUEB V+ Gotham"/>
          <w:color w:val="000000"/>
        </w:rPr>
        <w:t xml:space="preserve">Judge </w:t>
      </w:r>
      <w:proofErr w:type="spellStart"/>
      <w:r w:rsidRPr="0003231E">
        <w:rPr>
          <w:rFonts w:ascii="Verdana" w:hAnsi="Verdana" w:cs="YIUEB V+ Gotham"/>
          <w:color w:val="000000"/>
        </w:rPr>
        <w:t>Marrinan</w:t>
      </w:r>
      <w:proofErr w:type="spellEnd"/>
      <w:r w:rsidR="00113A08" w:rsidRPr="0003231E">
        <w:rPr>
          <w:rFonts w:ascii="Verdana" w:hAnsi="Verdana" w:cs="YIUEB V+ Gotham"/>
          <w:color w:val="000000"/>
        </w:rPr>
        <w:t xml:space="preserve"> </w:t>
      </w:r>
      <w:r w:rsidRPr="0003231E">
        <w:rPr>
          <w:rFonts w:ascii="Verdana" w:hAnsi="Verdana" w:cs="YIUEB V+ Gotham"/>
          <w:color w:val="000000"/>
        </w:rPr>
        <w:t xml:space="preserve">further </w:t>
      </w:r>
      <w:r w:rsidR="00113A08" w:rsidRPr="0003231E">
        <w:rPr>
          <w:rFonts w:ascii="Verdana" w:hAnsi="Verdana" w:cs="YIUEB V+ Gotham"/>
          <w:color w:val="000000"/>
        </w:rPr>
        <w:t>noted that while he had recommended a Hate Crime Commissioner for NI, he said he would “strongly support” the alternative proposal from the Department of Justice to establish a Victims of Crime Commissioner who would particularly focus on victims of hate crime and domestic violence.</w:t>
      </w:r>
      <w:r w:rsidR="002D636C" w:rsidRPr="00D62DEB">
        <w:rPr>
          <w:rStyle w:val="FootnoteReference"/>
          <w:rFonts w:ascii="Verdana" w:hAnsi="Verdana" w:cs="YIUEB V+ Gotham"/>
          <w:color w:val="000000"/>
        </w:rPr>
        <w:footnoteReference w:id="315"/>
      </w:r>
      <w:r w:rsidR="00113A08" w:rsidRPr="0003231E">
        <w:rPr>
          <w:rFonts w:ascii="Verdana" w:hAnsi="Verdana" w:cs="YIUEB V+ Gotham"/>
          <w:color w:val="000000"/>
        </w:rPr>
        <w:t xml:space="preserve"> The NIHRC has also welcomed the proposal to establish a Victims of Crime Commissioner.</w:t>
      </w:r>
      <w:r w:rsidR="002D636C" w:rsidRPr="00D62DEB">
        <w:rPr>
          <w:rStyle w:val="FootnoteReference"/>
          <w:rFonts w:ascii="Verdana" w:hAnsi="Verdana" w:cs="YIUEB V+ Gotham"/>
          <w:color w:val="000000"/>
        </w:rPr>
        <w:footnoteReference w:id="316"/>
      </w:r>
    </w:p>
    <w:p w14:paraId="4C2BE32C" w14:textId="77777777" w:rsidR="0003231E" w:rsidRPr="0003231E" w:rsidRDefault="0003231E" w:rsidP="0003231E">
      <w:pPr>
        <w:pStyle w:val="ListParagraph"/>
        <w:rPr>
          <w:rFonts w:ascii="Verdana" w:hAnsi="Verdana" w:cs="YIUEB V+ Gotham"/>
          <w:color w:val="000000"/>
        </w:rPr>
      </w:pPr>
    </w:p>
    <w:p w14:paraId="74F215E7" w14:textId="77777777" w:rsidR="0003231E" w:rsidRDefault="00E82F01" w:rsidP="00915669">
      <w:pPr>
        <w:pStyle w:val="ListParagraph"/>
        <w:numPr>
          <w:ilvl w:val="1"/>
          <w:numId w:val="21"/>
        </w:numPr>
        <w:spacing w:line="276" w:lineRule="auto"/>
        <w:rPr>
          <w:rFonts w:ascii="Verdana" w:hAnsi="Verdana" w:cs="YIUEB V+ Gotham"/>
          <w:color w:val="000000"/>
        </w:rPr>
      </w:pPr>
      <w:r w:rsidRPr="0003231E">
        <w:rPr>
          <w:rFonts w:ascii="Verdana" w:hAnsi="Verdana" w:cs="YIUEB V+ Gotham"/>
          <w:color w:val="000000"/>
        </w:rPr>
        <w:t>The Department of Justice published its response to the Hate Crime Review in July 2021, indicating that no recommendations had been wholly rejected at this stage.</w:t>
      </w:r>
      <w:r w:rsidRPr="00D62DEB">
        <w:rPr>
          <w:rStyle w:val="FootnoteReference"/>
          <w:rFonts w:ascii="Verdana" w:hAnsi="Verdana" w:cs="YIUEB V+ Gotham"/>
          <w:color w:val="000000"/>
        </w:rPr>
        <w:footnoteReference w:id="317"/>
      </w:r>
      <w:r w:rsidRPr="0003231E">
        <w:rPr>
          <w:rStyle w:val="A91"/>
          <w:rFonts w:ascii="Verdana" w:hAnsi="Verdana"/>
          <w:sz w:val="24"/>
          <w:szCs w:val="24"/>
        </w:rPr>
        <w:t xml:space="preserve"> </w:t>
      </w:r>
      <w:r w:rsidRPr="0003231E">
        <w:rPr>
          <w:rFonts w:ascii="Verdana" w:hAnsi="Verdana" w:cs="YIUEB V+ Gotham"/>
          <w:color w:val="000000"/>
        </w:rPr>
        <w:t>The response also outlined how the Department has put in place a dedicated Hate Crime Branch, with effect from 1 June 2021, to take forward work on implementing the Hate Crime Review Report.</w:t>
      </w:r>
      <w:r w:rsidRPr="00D62DEB">
        <w:rPr>
          <w:rStyle w:val="FootnoteReference"/>
          <w:rFonts w:ascii="Verdana" w:hAnsi="Verdana" w:cs="YIUEB V+ Gotham"/>
          <w:color w:val="000000"/>
        </w:rPr>
        <w:footnoteReference w:id="318"/>
      </w:r>
      <w:r w:rsidRPr="0003231E">
        <w:rPr>
          <w:rStyle w:val="A91"/>
          <w:rFonts w:ascii="Verdana" w:hAnsi="Verdana"/>
          <w:sz w:val="24"/>
          <w:szCs w:val="24"/>
        </w:rPr>
        <w:t xml:space="preserve"> </w:t>
      </w:r>
      <w:r w:rsidRPr="0003231E">
        <w:rPr>
          <w:rFonts w:ascii="Verdana" w:hAnsi="Verdana" w:cs="YIUEB V+ Gotham"/>
          <w:color w:val="000000"/>
        </w:rPr>
        <w:t xml:space="preserve">The Department plans to continue monitoring developments in related policy areas and in other jurisdictions, with a view to introducing a consolidated Hate Crime Bill in the next NI Assembly mandate following </w:t>
      </w:r>
      <w:r w:rsidR="00B64D99" w:rsidRPr="0003231E">
        <w:rPr>
          <w:rFonts w:ascii="Verdana" w:hAnsi="Verdana" w:cs="YIUEB V+ Gotham"/>
          <w:color w:val="000000"/>
        </w:rPr>
        <w:t xml:space="preserve">a public </w:t>
      </w:r>
      <w:r w:rsidRPr="0003231E">
        <w:rPr>
          <w:rFonts w:ascii="Verdana" w:hAnsi="Verdana" w:cs="YIUEB V+ Gotham"/>
          <w:color w:val="000000"/>
        </w:rPr>
        <w:t>consultation</w:t>
      </w:r>
      <w:r w:rsidR="00B64D99" w:rsidRPr="0003231E">
        <w:rPr>
          <w:rFonts w:ascii="Verdana" w:hAnsi="Verdana" w:cs="YIUEB V+ Gotham"/>
          <w:color w:val="000000"/>
        </w:rPr>
        <w:t>,</w:t>
      </w:r>
      <w:r w:rsidR="00090656" w:rsidRPr="0003231E">
        <w:rPr>
          <w:rFonts w:ascii="Verdana" w:hAnsi="Verdana" w:cs="YIUEB V+ Gotham"/>
          <w:color w:val="000000"/>
        </w:rPr>
        <w:t xml:space="preserve"> which closes in </w:t>
      </w:r>
      <w:r w:rsidR="00B64D99" w:rsidRPr="0003231E">
        <w:rPr>
          <w:rFonts w:ascii="Verdana" w:hAnsi="Verdana" w:cs="YIUEB V+ Gotham"/>
          <w:color w:val="000000"/>
        </w:rPr>
        <w:t>late March 2022</w:t>
      </w:r>
      <w:r w:rsidRPr="0003231E">
        <w:rPr>
          <w:rFonts w:ascii="Verdana" w:hAnsi="Verdana" w:cs="YIUEB V+ Gotham"/>
          <w:color w:val="000000"/>
        </w:rPr>
        <w:t>.</w:t>
      </w:r>
      <w:r w:rsidRPr="00D62DEB">
        <w:rPr>
          <w:rStyle w:val="FootnoteReference"/>
          <w:rFonts w:ascii="Verdana" w:hAnsi="Verdana" w:cs="YIUEB V+ Gotham"/>
          <w:color w:val="000000"/>
        </w:rPr>
        <w:footnoteReference w:id="319"/>
      </w:r>
    </w:p>
    <w:p w14:paraId="063F2726" w14:textId="77777777" w:rsidR="0003231E" w:rsidRPr="0003231E" w:rsidRDefault="0003231E" w:rsidP="0003231E">
      <w:pPr>
        <w:pStyle w:val="ListParagraph"/>
        <w:rPr>
          <w:rFonts w:ascii="Verdana" w:hAnsi="Verdana" w:cs="Gotham Light"/>
          <w:color w:val="000000"/>
        </w:rPr>
      </w:pPr>
    </w:p>
    <w:p w14:paraId="5B9FB538" w14:textId="77777777" w:rsidR="0003231E" w:rsidRPr="0003231E" w:rsidRDefault="00566AD9" w:rsidP="00915669">
      <w:pPr>
        <w:pStyle w:val="ListParagraph"/>
        <w:numPr>
          <w:ilvl w:val="1"/>
          <w:numId w:val="21"/>
        </w:numPr>
        <w:spacing w:line="276" w:lineRule="auto"/>
        <w:rPr>
          <w:rFonts w:ascii="Verdana" w:hAnsi="Verdana" w:cs="YIUEB V+ Gotham"/>
          <w:color w:val="000000"/>
        </w:rPr>
      </w:pPr>
      <w:r w:rsidRPr="0003231E">
        <w:rPr>
          <w:rFonts w:ascii="Verdana" w:hAnsi="Verdana" w:cs="Gotham Light"/>
          <w:color w:val="000000"/>
        </w:rPr>
        <w:t xml:space="preserve">The </w:t>
      </w:r>
      <w:r w:rsidR="006536D9" w:rsidRPr="0003231E">
        <w:rPr>
          <w:rFonts w:ascii="Verdana" w:hAnsi="Verdana" w:cs="Gotham Light"/>
          <w:color w:val="000000"/>
        </w:rPr>
        <w:t>NIHRC</w:t>
      </w:r>
      <w:r w:rsidR="00166C33" w:rsidRPr="0003231E">
        <w:rPr>
          <w:rFonts w:ascii="Verdana" w:hAnsi="Verdana" w:cs="Gotham Light"/>
          <w:color w:val="000000"/>
        </w:rPr>
        <w:t xml:space="preserve"> welcomes the NI Executive’s commitment to addressing hate crimes</w:t>
      </w:r>
      <w:r w:rsidR="0001459E" w:rsidRPr="0003231E">
        <w:rPr>
          <w:rFonts w:ascii="Verdana" w:hAnsi="Verdana" w:cs="Gotham Light"/>
          <w:color w:val="000000"/>
        </w:rPr>
        <w:t xml:space="preserve">, noting </w:t>
      </w:r>
      <w:r w:rsidR="006536D9" w:rsidRPr="0003231E">
        <w:rPr>
          <w:rFonts w:ascii="Verdana" w:hAnsi="Verdana" w:cs="Gotham Light"/>
          <w:color w:val="000000"/>
        </w:rPr>
        <w:t>that addressing hate crime is a priority area in the Programme for Government.</w:t>
      </w:r>
      <w:r w:rsidR="006536D9" w:rsidRPr="00D62DEB">
        <w:rPr>
          <w:rStyle w:val="FootnoteReference"/>
          <w:rFonts w:ascii="Verdana" w:hAnsi="Verdana" w:cs="Gotham Light"/>
          <w:color w:val="000000"/>
        </w:rPr>
        <w:footnoteReference w:id="320"/>
      </w:r>
      <w:r w:rsidR="006536D9" w:rsidRPr="0003231E">
        <w:rPr>
          <w:rFonts w:ascii="Verdana" w:hAnsi="Verdana" w:cs="Gotham Light"/>
          <w:color w:val="000000"/>
        </w:rPr>
        <w:t xml:space="preserve"> However, the NIHRC </w:t>
      </w:r>
      <w:r w:rsidR="00425DC3" w:rsidRPr="0003231E">
        <w:rPr>
          <w:rFonts w:ascii="Verdana" w:hAnsi="Verdana" w:cs="Gotham Light"/>
          <w:color w:val="000000"/>
        </w:rPr>
        <w:t xml:space="preserve">continues to </w:t>
      </w:r>
      <w:r w:rsidR="00BF7E94" w:rsidRPr="0003231E">
        <w:rPr>
          <w:rFonts w:ascii="Verdana" w:hAnsi="Verdana" w:cs="Gotham Light"/>
          <w:color w:val="000000"/>
        </w:rPr>
        <w:t>ask</w:t>
      </w:r>
      <w:r w:rsidR="00AE79DC" w:rsidRPr="0003231E">
        <w:rPr>
          <w:rFonts w:ascii="Verdana" w:hAnsi="Verdana" w:cs="Gotham Light"/>
          <w:color w:val="000000"/>
        </w:rPr>
        <w:t xml:space="preserve"> that the Executive</w:t>
      </w:r>
      <w:r w:rsidR="00327EE9" w:rsidRPr="0003231E">
        <w:rPr>
          <w:rFonts w:ascii="Verdana" w:hAnsi="Verdana" w:cs="Gotham Light"/>
          <w:color w:val="000000"/>
        </w:rPr>
        <w:t xml:space="preserve"> implements the </w:t>
      </w:r>
      <w:r w:rsidR="001E4C17" w:rsidRPr="0003231E">
        <w:rPr>
          <w:rFonts w:ascii="Verdana" w:hAnsi="Verdana" w:cs="Gotham Light"/>
          <w:color w:val="000000"/>
        </w:rPr>
        <w:t>recommendations</w:t>
      </w:r>
      <w:r w:rsidR="00327EE9" w:rsidRPr="0003231E">
        <w:rPr>
          <w:rFonts w:ascii="Verdana" w:hAnsi="Verdana" w:cs="Gotham Light"/>
          <w:color w:val="000000"/>
        </w:rPr>
        <w:t xml:space="preserve"> of the Independent Hate Crime Review Team</w:t>
      </w:r>
      <w:r w:rsidR="00AE79DC" w:rsidRPr="0003231E">
        <w:rPr>
          <w:rFonts w:ascii="Verdana" w:hAnsi="Verdana" w:cs="Gotham Light"/>
          <w:color w:val="000000"/>
        </w:rPr>
        <w:t>.</w:t>
      </w:r>
    </w:p>
    <w:p w14:paraId="18F808B4" w14:textId="77777777" w:rsidR="0003231E" w:rsidRPr="0003231E" w:rsidRDefault="0003231E" w:rsidP="0003231E">
      <w:pPr>
        <w:pStyle w:val="ListParagraph"/>
        <w:rPr>
          <w:rFonts w:ascii="Verdana" w:hAnsi="Verdana" w:cs="Gotham Light"/>
          <w:b/>
          <w:bCs/>
          <w:color w:val="000000"/>
        </w:rPr>
      </w:pPr>
    </w:p>
    <w:p w14:paraId="4085A19D" w14:textId="41D9CD24" w:rsidR="003327EF" w:rsidRPr="0003231E" w:rsidRDefault="008D63D3" w:rsidP="00915669">
      <w:pPr>
        <w:pStyle w:val="ListParagraph"/>
        <w:numPr>
          <w:ilvl w:val="1"/>
          <w:numId w:val="21"/>
        </w:numPr>
        <w:spacing w:line="276" w:lineRule="auto"/>
        <w:rPr>
          <w:rFonts w:ascii="Verdana" w:hAnsi="Verdana" w:cs="YIUEB V+ Gotham"/>
          <w:color w:val="000000"/>
        </w:rPr>
      </w:pPr>
      <w:r w:rsidRPr="0003231E">
        <w:rPr>
          <w:rFonts w:ascii="Verdana" w:hAnsi="Verdana" w:cs="Gotham Light"/>
          <w:b/>
          <w:bCs/>
          <w:color w:val="000000"/>
        </w:rPr>
        <w:t xml:space="preserve">The Advisory Committee may wish to ask the State </w:t>
      </w:r>
      <w:r w:rsidR="001602E0" w:rsidRPr="0003231E">
        <w:rPr>
          <w:rFonts w:ascii="Verdana" w:hAnsi="Verdana" w:cs="Gotham Light"/>
          <w:b/>
          <w:bCs/>
          <w:color w:val="000000"/>
        </w:rPr>
        <w:t xml:space="preserve">about </w:t>
      </w:r>
      <w:r w:rsidR="003327EF" w:rsidRPr="0003231E">
        <w:rPr>
          <w:rFonts w:ascii="Verdana" w:hAnsi="Verdana" w:cs="Gotham Light"/>
          <w:b/>
          <w:bCs/>
          <w:color w:val="000000"/>
        </w:rPr>
        <w:t>its progress in promptly and effectively plans to implement the recommendations of the Independent Hate Crime Review Team.</w:t>
      </w:r>
    </w:p>
    <w:p w14:paraId="3E8C3379" w14:textId="77777777" w:rsidR="003327EF" w:rsidRPr="00D62DEB" w:rsidRDefault="003327EF" w:rsidP="004656A5">
      <w:pPr>
        <w:pStyle w:val="ListParagraph"/>
        <w:spacing w:line="276" w:lineRule="auto"/>
        <w:rPr>
          <w:rFonts w:ascii="Verdana" w:hAnsi="Verdana" w:cs="Gotham Light"/>
          <w:b/>
          <w:bCs/>
          <w:color w:val="000000"/>
        </w:rPr>
      </w:pPr>
    </w:p>
    <w:p w14:paraId="044AA442" w14:textId="1943E56F" w:rsidR="00435AC7" w:rsidRPr="00FF0BDC" w:rsidRDefault="00435AC7" w:rsidP="00435AC7">
      <w:pPr>
        <w:pStyle w:val="Heading2"/>
        <w:spacing w:line="276" w:lineRule="auto"/>
        <w:rPr>
          <w:szCs w:val="24"/>
        </w:rPr>
      </w:pPr>
      <w:bookmarkStart w:id="46" w:name="_Toc97030934"/>
      <w:r w:rsidRPr="00FF0BDC">
        <w:rPr>
          <w:szCs w:val="24"/>
        </w:rPr>
        <w:t>Sectarian Hate Crime</w:t>
      </w:r>
      <w:bookmarkEnd w:id="46"/>
    </w:p>
    <w:p w14:paraId="7C04E3C3" w14:textId="77777777" w:rsidR="003327EF" w:rsidRPr="00D62DEB" w:rsidRDefault="003327EF" w:rsidP="004656A5">
      <w:pPr>
        <w:pStyle w:val="ListParagraph"/>
        <w:spacing w:line="276" w:lineRule="auto"/>
        <w:rPr>
          <w:rFonts w:ascii="Verdana" w:hAnsi="Verdana" w:cs="Gotham Light"/>
          <w:b/>
          <w:bCs/>
          <w:color w:val="000000"/>
        </w:rPr>
      </w:pPr>
    </w:p>
    <w:p w14:paraId="0765B1B0" w14:textId="635E5060" w:rsidR="008D79FA" w:rsidRPr="008D79FA" w:rsidRDefault="00C858A2" w:rsidP="00915669">
      <w:pPr>
        <w:pStyle w:val="ListParagraph"/>
        <w:numPr>
          <w:ilvl w:val="1"/>
          <w:numId w:val="21"/>
        </w:numPr>
        <w:spacing w:line="276" w:lineRule="auto"/>
        <w:rPr>
          <w:rFonts w:ascii="Verdana" w:hAnsi="Verdana" w:cs="Gotham Light"/>
          <w:color w:val="000000"/>
        </w:rPr>
      </w:pPr>
      <w:r w:rsidRPr="008D79FA">
        <w:rPr>
          <w:rFonts w:ascii="Verdana" w:hAnsi="Verdana" w:cs="Gotham Light"/>
          <w:color w:val="000000"/>
        </w:rPr>
        <w:t>The NIHRC recognises that sectarian violence and attitudes continue in NI. In 2020/21,</w:t>
      </w:r>
      <w:r w:rsidR="000354DE" w:rsidRPr="008D79FA">
        <w:rPr>
          <w:rFonts w:ascii="Verdana" w:hAnsi="Verdana" w:cs="Gotham Light"/>
          <w:color w:val="000000"/>
        </w:rPr>
        <w:t xml:space="preserve"> </w:t>
      </w:r>
      <w:r w:rsidR="000354DE" w:rsidRPr="008D79FA">
        <w:rPr>
          <w:rFonts w:ascii="Verdana" w:hAnsi="Verdana" w:cs="YIUEB V+ Gotham"/>
          <w:color w:val="000000"/>
        </w:rPr>
        <w:t>934 sectarian incidents and 674 sectarian crimes were recorded.</w:t>
      </w:r>
      <w:r w:rsidR="000354DE" w:rsidRPr="00D62DEB">
        <w:rPr>
          <w:rStyle w:val="FootnoteReference"/>
          <w:rFonts w:ascii="Verdana" w:hAnsi="Verdana" w:cs="YIUEB V+ Gotham"/>
          <w:color w:val="000000"/>
        </w:rPr>
        <w:footnoteReference w:id="321"/>
      </w:r>
      <w:r w:rsidR="000354DE" w:rsidRPr="008D79FA">
        <w:rPr>
          <w:rFonts w:ascii="Verdana" w:hAnsi="Verdana" w:cs="YIUEB V+ Gotham"/>
          <w:color w:val="000000"/>
        </w:rPr>
        <w:t xml:space="preserve"> This represented an increase from 888 recorded sectarian incidents and 639 recorded sectarian crimes in 2019/2020.</w:t>
      </w:r>
      <w:r w:rsidR="000354DE" w:rsidRPr="00D62DEB">
        <w:rPr>
          <w:rStyle w:val="FootnoteReference"/>
          <w:rFonts w:ascii="Verdana" w:hAnsi="Verdana" w:cs="YIUEB V+ Gotham"/>
          <w:color w:val="000000"/>
        </w:rPr>
        <w:footnoteReference w:id="322"/>
      </w:r>
      <w:r w:rsidR="00D465D6" w:rsidRPr="008D79FA">
        <w:rPr>
          <w:rFonts w:ascii="Verdana" w:hAnsi="Verdana" w:cs="YIUEB V+ Gotham"/>
          <w:color w:val="000000"/>
        </w:rPr>
        <w:t xml:space="preserve"> </w:t>
      </w:r>
      <w:r w:rsidR="00D465D6" w:rsidRPr="008D79FA">
        <w:rPr>
          <w:rFonts w:ascii="Verdana" w:hAnsi="Verdana"/>
        </w:rPr>
        <w:t>The level of sectarian incidents</w:t>
      </w:r>
      <w:r w:rsidR="00C859BA" w:rsidRPr="008D79FA">
        <w:rPr>
          <w:rFonts w:ascii="Verdana" w:hAnsi="Verdana"/>
        </w:rPr>
        <w:t xml:space="preserve"> in 2020/21</w:t>
      </w:r>
      <w:r w:rsidR="00D465D6" w:rsidRPr="008D79FA">
        <w:rPr>
          <w:rFonts w:ascii="Verdana" w:hAnsi="Verdana"/>
        </w:rPr>
        <w:t xml:space="preserve"> is the highest </w:t>
      </w:r>
      <w:r w:rsidR="004C07CA" w:rsidRPr="008D79FA">
        <w:rPr>
          <w:rFonts w:ascii="Verdana" w:hAnsi="Verdana"/>
        </w:rPr>
        <w:t>12-month</w:t>
      </w:r>
      <w:r w:rsidR="00D465D6" w:rsidRPr="008D79FA">
        <w:rPr>
          <w:rFonts w:ascii="Verdana" w:hAnsi="Verdana"/>
        </w:rPr>
        <w:t xml:space="preserve"> period recorded since the period January 2016 to December 2016.</w:t>
      </w:r>
      <w:r w:rsidR="00D465D6" w:rsidRPr="00D62DEB">
        <w:rPr>
          <w:rStyle w:val="FootnoteReference"/>
          <w:rFonts w:ascii="Verdana" w:hAnsi="Verdana"/>
        </w:rPr>
        <w:footnoteReference w:id="323"/>
      </w:r>
    </w:p>
    <w:p w14:paraId="343E6FDB" w14:textId="77777777" w:rsidR="008D79FA" w:rsidRPr="008D79FA" w:rsidRDefault="008D79FA" w:rsidP="008D79FA">
      <w:pPr>
        <w:pStyle w:val="ListParagraph"/>
        <w:spacing w:line="276" w:lineRule="auto"/>
        <w:rPr>
          <w:rFonts w:ascii="Verdana" w:hAnsi="Verdana" w:cs="Gotham Light"/>
          <w:color w:val="000000"/>
        </w:rPr>
      </w:pPr>
    </w:p>
    <w:p w14:paraId="6D8931AD" w14:textId="77777777" w:rsidR="008D79FA" w:rsidRDefault="00D00FCF" w:rsidP="00915669">
      <w:pPr>
        <w:pStyle w:val="ListParagraph"/>
        <w:numPr>
          <w:ilvl w:val="1"/>
          <w:numId w:val="21"/>
        </w:numPr>
        <w:spacing w:line="276" w:lineRule="auto"/>
        <w:rPr>
          <w:rFonts w:ascii="Verdana" w:hAnsi="Verdana" w:cs="Gotham Light"/>
          <w:color w:val="000000"/>
        </w:rPr>
      </w:pPr>
      <w:r w:rsidRPr="008D79FA">
        <w:rPr>
          <w:rFonts w:ascii="Verdana" w:hAnsi="Verdana" w:cs="Gotham Light"/>
          <w:color w:val="000000"/>
        </w:rPr>
        <w:t>The NIHRC notes t</w:t>
      </w:r>
      <w:r w:rsidR="00164E3E" w:rsidRPr="008D79FA">
        <w:rPr>
          <w:rFonts w:ascii="Verdana" w:hAnsi="Verdana" w:cs="Gotham Light"/>
          <w:color w:val="000000"/>
        </w:rPr>
        <w:t>he</w:t>
      </w:r>
      <w:r w:rsidRPr="008D79FA">
        <w:rPr>
          <w:rFonts w:ascii="Verdana" w:hAnsi="Verdana" w:cs="Gotham Light"/>
          <w:color w:val="000000"/>
        </w:rPr>
        <w:t xml:space="preserve"> UN CERD Committee</w:t>
      </w:r>
      <w:r w:rsidR="00164E3E" w:rsidRPr="008D79FA">
        <w:rPr>
          <w:rFonts w:ascii="Verdana" w:hAnsi="Verdana" w:cs="Gotham Light"/>
          <w:color w:val="000000"/>
        </w:rPr>
        <w:t>’s</w:t>
      </w:r>
      <w:r w:rsidRPr="008D79FA">
        <w:rPr>
          <w:rFonts w:ascii="Verdana" w:hAnsi="Verdana" w:cs="Gotham Light"/>
          <w:color w:val="000000"/>
        </w:rPr>
        <w:t xml:space="preserve"> reiteration of its concern </w:t>
      </w:r>
      <w:r w:rsidR="00800BE0" w:rsidRPr="008D79FA">
        <w:rPr>
          <w:rFonts w:ascii="Verdana" w:hAnsi="Verdana" w:cs="Gotham Light"/>
          <w:color w:val="000000"/>
        </w:rPr>
        <w:t>that measures to tackle racism and sectarianism are kept outside the framework of protections against discrimination provided by the Conven</w:t>
      </w:r>
      <w:r w:rsidR="00164E3E" w:rsidRPr="008D79FA">
        <w:rPr>
          <w:rFonts w:ascii="Verdana" w:hAnsi="Verdana" w:cs="Gotham Light"/>
          <w:color w:val="000000"/>
        </w:rPr>
        <w:t>tion and the Durban Programme of Action.</w:t>
      </w:r>
      <w:r w:rsidR="00164E3E" w:rsidRPr="000D544C">
        <w:rPr>
          <w:rStyle w:val="FootnoteReference"/>
          <w:rFonts w:ascii="Verdana" w:hAnsi="Verdana" w:cs="Gotham Light"/>
          <w:color w:val="000000"/>
        </w:rPr>
        <w:footnoteReference w:id="324"/>
      </w:r>
      <w:r w:rsidR="00E05CAA" w:rsidRPr="008D79FA">
        <w:rPr>
          <w:rFonts w:ascii="Verdana" w:hAnsi="Verdana" w:cs="Gotham Light"/>
          <w:color w:val="000000"/>
        </w:rPr>
        <w:t xml:space="preserve"> </w:t>
      </w:r>
    </w:p>
    <w:p w14:paraId="4343A3CC" w14:textId="77777777" w:rsidR="008D79FA" w:rsidRPr="008D79FA" w:rsidRDefault="008D79FA" w:rsidP="008D79FA">
      <w:pPr>
        <w:pStyle w:val="ListParagraph"/>
        <w:rPr>
          <w:rFonts w:ascii="Verdana" w:hAnsi="Verdana" w:cs="YIUEB V+ Gotham"/>
          <w:color w:val="000000"/>
        </w:rPr>
      </w:pPr>
    </w:p>
    <w:p w14:paraId="5B4AF954" w14:textId="77777777" w:rsidR="008D79FA" w:rsidRPr="008D79FA" w:rsidRDefault="00D73512" w:rsidP="00915669">
      <w:pPr>
        <w:pStyle w:val="ListParagraph"/>
        <w:numPr>
          <w:ilvl w:val="1"/>
          <w:numId w:val="21"/>
        </w:numPr>
        <w:spacing w:line="276" w:lineRule="auto"/>
        <w:rPr>
          <w:rFonts w:ascii="Verdana" w:hAnsi="Verdana" w:cs="Gotham Light"/>
          <w:color w:val="000000"/>
        </w:rPr>
      </w:pPr>
      <w:r w:rsidRPr="008D79FA">
        <w:rPr>
          <w:rFonts w:ascii="Verdana" w:hAnsi="Verdana" w:cs="YIUEB V+ Gotham"/>
          <w:color w:val="000000"/>
        </w:rPr>
        <w:t xml:space="preserve">In NI, sectarian </w:t>
      </w:r>
      <w:r w:rsidR="00F062F2" w:rsidRPr="008D79FA">
        <w:rPr>
          <w:rFonts w:ascii="Verdana" w:hAnsi="Verdana" w:cs="YIUEB V+ Gotham"/>
          <w:color w:val="000000"/>
        </w:rPr>
        <w:t>offences are</w:t>
      </w:r>
      <w:r w:rsidR="00A56E34" w:rsidRPr="008D79FA">
        <w:rPr>
          <w:rFonts w:ascii="Verdana" w:hAnsi="Verdana" w:cs="YIUEB V+ Gotham"/>
          <w:color w:val="000000"/>
        </w:rPr>
        <w:t xml:space="preserve"> not included in the Criminal Justice (No 2) (NI) Order (2004) </w:t>
      </w:r>
      <w:r w:rsidR="00E317F6" w:rsidRPr="008D79FA">
        <w:rPr>
          <w:rFonts w:ascii="Verdana" w:hAnsi="Verdana" w:cs="YIUEB V+ Gotham"/>
          <w:color w:val="000000"/>
        </w:rPr>
        <w:t>as attracting</w:t>
      </w:r>
      <w:r w:rsidR="00391B38" w:rsidRPr="008D79FA">
        <w:rPr>
          <w:rFonts w:ascii="Verdana" w:hAnsi="Verdana" w:cs="YIUEB V+ Gotham"/>
          <w:color w:val="000000"/>
        </w:rPr>
        <w:t xml:space="preserve"> an enhanced sentence as</w:t>
      </w:r>
      <w:r w:rsidRPr="008D79FA">
        <w:rPr>
          <w:rFonts w:ascii="Verdana" w:hAnsi="Verdana"/>
        </w:rPr>
        <w:t xml:space="preserve"> </w:t>
      </w:r>
      <w:r w:rsidR="005E7E4E" w:rsidRPr="008D79FA">
        <w:rPr>
          <w:rFonts w:ascii="Verdana" w:hAnsi="Verdana"/>
        </w:rPr>
        <w:t>‘</w:t>
      </w:r>
      <w:r w:rsidRPr="008D79FA">
        <w:rPr>
          <w:rFonts w:ascii="Verdana" w:hAnsi="Verdana"/>
        </w:rPr>
        <w:t>aggravated by hostility</w:t>
      </w:r>
      <w:r w:rsidR="005E7E4E" w:rsidRPr="008D79FA">
        <w:rPr>
          <w:rFonts w:ascii="Verdana" w:hAnsi="Verdana"/>
        </w:rPr>
        <w:t>’</w:t>
      </w:r>
      <w:r w:rsidRPr="008D79FA">
        <w:rPr>
          <w:rFonts w:ascii="Verdana" w:hAnsi="Verdana"/>
        </w:rPr>
        <w:t xml:space="preserve">. An offence that has a sectarian motivation must </w:t>
      </w:r>
      <w:r w:rsidR="005E7E4E" w:rsidRPr="008D79FA">
        <w:rPr>
          <w:rFonts w:ascii="Verdana" w:hAnsi="Verdana"/>
        </w:rPr>
        <w:t>therefore</w:t>
      </w:r>
      <w:r w:rsidRPr="008D79FA">
        <w:rPr>
          <w:rFonts w:ascii="Verdana" w:hAnsi="Verdana"/>
        </w:rPr>
        <w:t xml:space="preserve"> fall under race or religion </w:t>
      </w:r>
      <w:proofErr w:type="gramStart"/>
      <w:r w:rsidRPr="008D79FA">
        <w:rPr>
          <w:rFonts w:ascii="Verdana" w:hAnsi="Verdana"/>
        </w:rPr>
        <w:t>in order for</w:t>
      </w:r>
      <w:proofErr w:type="gramEnd"/>
      <w:r w:rsidRPr="008D79FA">
        <w:rPr>
          <w:rFonts w:ascii="Verdana" w:hAnsi="Verdana"/>
        </w:rPr>
        <w:t xml:space="preserve"> the courts to be able to impose an enhanced sentence.</w:t>
      </w:r>
    </w:p>
    <w:p w14:paraId="664C044C" w14:textId="77777777" w:rsidR="008D79FA" w:rsidRPr="008D79FA" w:rsidRDefault="008D79FA" w:rsidP="008D79FA">
      <w:pPr>
        <w:pStyle w:val="ListParagraph"/>
        <w:rPr>
          <w:rFonts w:ascii="Verdana" w:hAnsi="Verdana" w:cs="Gotham Light"/>
          <w:color w:val="000000"/>
        </w:rPr>
      </w:pPr>
    </w:p>
    <w:p w14:paraId="36636FAA" w14:textId="77777777" w:rsidR="008D79FA" w:rsidRPr="008D79FA" w:rsidRDefault="00C0529D" w:rsidP="00915669">
      <w:pPr>
        <w:pStyle w:val="ListParagraph"/>
        <w:numPr>
          <w:ilvl w:val="1"/>
          <w:numId w:val="21"/>
        </w:numPr>
        <w:spacing w:line="276" w:lineRule="auto"/>
        <w:rPr>
          <w:rFonts w:ascii="Verdana" w:hAnsi="Verdana" w:cs="Gotham Light"/>
          <w:color w:val="000000"/>
        </w:rPr>
      </w:pPr>
      <w:r w:rsidRPr="008D79FA">
        <w:rPr>
          <w:rFonts w:ascii="Verdana" w:hAnsi="Verdana" w:cs="Gotham Light"/>
          <w:color w:val="000000"/>
        </w:rPr>
        <w:t>Following</w:t>
      </w:r>
      <w:r w:rsidR="009F313B" w:rsidRPr="008D79FA">
        <w:rPr>
          <w:rFonts w:ascii="Verdana" w:hAnsi="Verdana" w:cs="Gotham Light"/>
          <w:color w:val="000000"/>
        </w:rPr>
        <w:t xml:space="preserve"> the</w:t>
      </w:r>
      <w:r w:rsidR="00175086" w:rsidRPr="008D79FA">
        <w:rPr>
          <w:rFonts w:ascii="Verdana" w:hAnsi="Verdana" w:cs="Gotham Light"/>
          <w:color w:val="000000"/>
        </w:rPr>
        <w:t xml:space="preserve"> </w:t>
      </w:r>
      <w:r w:rsidR="00CC4004" w:rsidRPr="008D79FA">
        <w:rPr>
          <w:rFonts w:ascii="Verdana" w:hAnsi="Verdana" w:cs="Gotham Light"/>
          <w:color w:val="000000"/>
        </w:rPr>
        <w:t>Together: Building</w:t>
      </w:r>
      <w:r w:rsidR="00175086" w:rsidRPr="008D79FA">
        <w:rPr>
          <w:rFonts w:ascii="Verdana" w:hAnsi="Verdana" w:cs="Gotham Light"/>
          <w:color w:val="000000"/>
        </w:rPr>
        <w:t xml:space="preserve"> a United Community Strategy, </w:t>
      </w:r>
      <w:r w:rsidRPr="008D79FA">
        <w:rPr>
          <w:rFonts w:ascii="Verdana" w:hAnsi="Verdana" w:cs="Gotham Light"/>
          <w:color w:val="000000"/>
        </w:rPr>
        <w:t>t</w:t>
      </w:r>
      <w:r w:rsidR="00175086" w:rsidRPr="008D79FA">
        <w:rPr>
          <w:rFonts w:ascii="Verdana" w:hAnsi="Verdana" w:cs="Gotham Light"/>
          <w:color w:val="000000"/>
        </w:rPr>
        <w:t>he New Decade New Approach Agreement</w:t>
      </w:r>
      <w:r w:rsidR="004D1A34" w:rsidRPr="008D79FA">
        <w:rPr>
          <w:rFonts w:ascii="Verdana" w:hAnsi="Verdana" w:cs="Gotham Light"/>
          <w:color w:val="000000"/>
        </w:rPr>
        <w:t xml:space="preserve"> </w:t>
      </w:r>
      <w:r w:rsidR="00175086" w:rsidRPr="008D79FA">
        <w:rPr>
          <w:rFonts w:ascii="Verdana" w:hAnsi="Verdana" w:cs="Gotham Light"/>
          <w:color w:val="000000"/>
        </w:rPr>
        <w:t>recommits to “ending sectarianism and robust supporting strategies and actions will be put in place”</w:t>
      </w:r>
      <w:r w:rsidR="00640A2B" w:rsidRPr="008D79FA">
        <w:rPr>
          <w:rFonts w:ascii="Verdana" w:hAnsi="Verdana" w:cs="Gotham Light"/>
          <w:color w:val="000000"/>
        </w:rPr>
        <w:t>,</w:t>
      </w:r>
      <w:r w:rsidR="00585F39" w:rsidRPr="00235E59">
        <w:rPr>
          <w:rStyle w:val="FootnoteReference"/>
          <w:rFonts w:ascii="Verdana" w:hAnsi="Verdana" w:cs="Gotham Light"/>
          <w:color w:val="000000"/>
        </w:rPr>
        <w:footnoteReference w:id="325"/>
      </w:r>
      <w:r w:rsidR="00585F39" w:rsidRPr="008D79FA">
        <w:rPr>
          <w:rFonts w:ascii="Verdana" w:hAnsi="Verdana" w:cs="YIUEB V+ Gotham"/>
          <w:color w:val="000000"/>
        </w:rPr>
        <w:t xml:space="preserve"> </w:t>
      </w:r>
      <w:r w:rsidR="00640A2B" w:rsidRPr="008D79FA">
        <w:rPr>
          <w:rFonts w:ascii="Verdana" w:hAnsi="Verdana" w:cs="YIUEB V+ Gotham"/>
          <w:color w:val="000000"/>
        </w:rPr>
        <w:t>an</w:t>
      </w:r>
      <w:r w:rsidR="00585F39" w:rsidRPr="008D79FA">
        <w:rPr>
          <w:rFonts w:ascii="Verdana" w:hAnsi="Verdana" w:cs="YIUEB V+ Gotham"/>
          <w:color w:val="000000"/>
        </w:rPr>
        <w:t>d</w:t>
      </w:r>
      <w:r w:rsidR="00640A2B" w:rsidRPr="008D79FA">
        <w:rPr>
          <w:rFonts w:ascii="Verdana" w:hAnsi="Verdana" w:cs="YIUEB V+ Gotham"/>
          <w:color w:val="000000"/>
        </w:rPr>
        <w:t xml:space="preserve"> “</w:t>
      </w:r>
      <w:r w:rsidR="00585F39" w:rsidRPr="008D79FA">
        <w:rPr>
          <w:rFonts w:ascii="Verdana" w:hAnsi="Verdana" w:cs="YIUEB V+ Gotham"/>
          <w:color w:val="000000"/>
        </w:rPr>
        <w:t>to see sectarianism given legal expression as a hate crime”.</w:t>
      </w:r>
      <w:r w:rsidR="00585F39" w:rsidRPr="00235E59">
        <w:rPr>
          <w:rStyle w:val="FootnoteReference"/>
          <w:rFonts w:ascii="Verdana" w:hAnsi="Verdana" w:cs="YIUEB V+ Gotham"/>
          <w:color w:val="000000"/>
        </w:rPr>
        <w:footnoteReference w:id="326"/>
      </w:r>
    </w:p>
    <w:p w14:paraId="1FBF99B6" w14:textId="77777777" w:rsidR="008D79FA" w:rsidRPr="008D79FA" w:rsidRDefault="008D79FA" w:rsidP="008D79FA">
      <w:pPr>
        <w:pStyle w:val="ListParagraph"/>
        <w:rPr>
          <w:rFonts w:ascii="Verdana" w:hAnsi="Verdana" w:cs="YIUEB V+ Gotham"/>
          <w:color w:val="000000"/>
        </w:rPr>
      </w:pPr>
    </w:p>
    <w:p w14:paraId="7A3CE6C1" w14:textId="77777777" w:rsidR="008D79FA" w:rsidRPr="008D79FA" w:rsidRDefault="00C0529D" w:rsidP="00915669">
      <w:pPr>
        <w:pStyle w:val="ListParagraph"/>
        <w:numPr>
          <w:ilvl w:val="1"/>
          <w:numId w:val="21"/>
        </w:numPr>
        <w:spacing w:line="276" w:lineRule="auto"/>
        <w:rPr>
          <w:rStyle w:val="A91"/>
          <w:rFonts w:ascii="Verdana" w:hAnsi="Verdana" w:cs="Gotham Light"/>
          <w:sz w:val="24"/>
          <w:szCs w:val="24"/>
        </w:rPr>
      </w:pPr>
      <w:r w:rsidRPr="008D79FA">
        <w:rPr>
          <w:rFonts w:ascii="Verdana" w:hAnsi="Verdana" w:cs="YIUEB V+ Gotham"/>
          <w:color w:val="000000"/>
        </w:rPr>
        <w:t xml:space="preserve">The </w:t>
      </w:r>
      <w:r w:rsidR="00175086" w:rsidRPr="008D79FA">
        <w:rPr>
          <w:rFonts w:ascii="Verdana" w:hAnsi="Verdana" w:cs="YIUEB V+ Gotham"/>
          <w:color w:val="000000"/>
        </w:rPr>
        <w:t xml:space="preserve">NIHRC </w:t>
      </w:r>
      <w:r w:rsidR="00A93A8D" w:rsidRPr="008D79FA">
        <w:rPr>
          <w:rFonts w:ascii="Verdana" w:hAnsi="Verdana" w:cs="YIUEB V+ Gotham"/>
          <w:color w:val="000000"/>
        </w:rPr>
        <w:t>identified</w:t>
      </w:r>
      <w:r w:rsidR="00175086" w:rsidRPr="008D79FA">
        <w:rPr>
          <w:rFonts w:ascii="Verdana" w:hAnsi="Verdana" w:cs="YIUEB V+ Gotham"/>
          <w:color w:val="000000"/>
        </w:rPr>
        <w:t xml:space="preserve"> the Independent Hate Crime Review an opportunity to introduce a statutory definition of sectarianism in NI.</w:t>
      </w:r>
      <w:r w:rsidR="00175086" w:rsidRPr="00235E59">
        <w:rPr>
          <w:rStyle w:val="FootnoteReference"/>
          <w:rFonts w:ascii="Verdana" w:hAnsi="Verdana" w:cs="YIUEB V+ Gotham"/>
          <w:color w:val="000000"/>
        </w:rPr>
        <w:footnoteReference w:id="327"/>
      </w:r>
      <w:r w:rsidR="00175086" w:rsidRPr="008D79FA">
        <w:rPr>
          <w:rStyle w:val="A91"/>
          <w:rFonts w:ascii="Verdana" w:hAnsi="Verdana"/>
          <w:sz w:val="24"/>
          <w:szCs w:val="24"/>
        </w:rPr>
        <w:t xml:space="preserve"> </w:t>
      </w:r>
    </w:p>
    <w:p w14:paraId="0D6D7BD1" w14:textId="77777777" w:rsidR="008D79FA" w:rsidRPr="008D79FA" w:rsidRDefault="008D79FA" w:rsidP="008D79FA">
      <w:pPr>
        <w:pStyle w:val="ListParagraph"/>
        <w:rPr>
          <w:rFonts w:ascii="Verdana" w:hAnsi="Verdana" w:cs="YIUEB V+ Gotham"/>
          <w:color w:val="000000"/>
        </w:rPr>
      </w:pPr>
    </w:p>
    <w:p w14:paraId="5AA91572" w14:textId="77777777" w:rsidR="00D01678" w:rsidRPr="00D01678" w:rsidRDefault="00175086" w:rsidP="00915669">
      <w:pPr>
        <w:pStyle w:val="ListParagraph"/>
        <w:numPr>
          <w:ilvl w:val="1"/>
          <w:numId w:val="21"/>
        </w:numPr>
        <w:spacing w:line="276" w:lineRule="auto"/>
        <w:rPr>
          <w:rFonts w:ascii="Verdana" w:hAnsi="Verdana" w:cs="Gotham Light"/>
          <w:color w:val="000000"/>
        </w:rPr>
      </w:pPr>
      <w:r w:rsidRPr="008D79FA">
        <w:rPr>
          <w:rFonts w:ascii="Verdana" w:hAnsi="Verdana" w:cs="YIUEB V+ Gotham"/>
          <w:color w:val="000000"/>
        </w:rPr>
        <w:t>In the subsequent Hate Crime Review report</w:t>
      </w:r>
      <w:r w:rsidR="00A93A8D" w:rsidRPr="008D79FA">
        <w:rPr>
          <w:rFonts w:ascii="Verdana" w:hAnsi="Verdana" w:cs="YIUEB V+ Gotham"/>
          <w:color w:val="000000"/>
        </w:rPr>
        <w:t>,</w:t>
      </w:r>
      <w:r w:rsidRPr="008D79FA">
        <w:rPr>
          <w:rFonts w:ascii="Verdana" w:hAnsi="Verdana" w:cs="YIUEB V+ Gotham"/>
          <w:color w:val="000000"/>
        </w:rPr>
        <w:t xml:space="preserve"> Judge Marrinan reflected the need for an agreed definition and recommended that the findings in the report of the Working Group on defining sectarianism in Scots law in November 2018 should be applied in NI.</w:t>
      </w:r>
      <w:r w:rsidR="00BD276E" w:rsidRPr="00235E59">
        <w:rPr>
          <w:rStyle w:val="FootnoteReference"/>
          <w:rFonts w:ascii="Verdana" w:hAnsi="Verdana" w:cs="YIUEB V+ Gotham"/>
          <w:color w:val="000000"/>
        </w:rPr>
        <w:footnoteReference w:id="328"/>
      </w:r>
      <w:r w:rsidR="00A124E6" w:rsidRPr="008D79FA">
        <w:rPr>
          <w:rFonts w:ascii="Verdana" w:hAnsi="Verdana" w:cs="YIUEB V+ Gotham"/>
          <w:color w:val="000000"/>
        </w:rPr>
        <w:t xml:space="preserve"> </w:t>
      </w:r>
      <w:r w:rsidRPr="008D79FA">
        <w:rPr>
          <w:rStyle w:val="A91"/>
          <w:rFonts w:ascii="Verdana" w:hAnsi="Verdana"/>
          <w:sz w:val="24"/>
          <w:szCs w:val="24"/>
        </w:rPr>
        <w:t xml:space="preserve"> </w:t>
      </w:r>
      <w:r w:rsidRPr="008D79FA">
        <w:rPr>
          <w:rFonts w:ascii="Verdana" w:hAnsi="Verdana" w:cs="YIUEB V+ Gotham"/>
          <w:color w:val="000000"/>
        </w:rPr>
        <w:t xml:space="preserve">The Department of Justice </w:t>
      </w:r>
      <w:r w:rsidR="00A93A8D" w:rsidRPr="008D79FA">
        <w:rPr>
          <w:rFonts w:ascii="Verdana" w:hAnsi="Verdana" w:cs="YIUEB V+ Gotham"/>
          <w:color w:val="000000"/>
        </w:rPr>
        <w:t>has</w:t>
      </w:r>
      <w:r w:rsidRPr="008D79FA">
        <w:rPr>
          <w:rFonts w:ascii="Verdana" w:hAnsi="Verdana" w:cs="YIUEB V+ Gotham"/>
          <w:color w:val="000000"/>
        </w:rPr>
        <w:t xml:space="preserve"> agreed in principle that there should be a sectarian offences definition in legislation and that, whilst wide-ranging, there is merit in considering the Scots law definition carefully in relation to its implementation in NI.</w:t>
      </w:r>
      <w:r w:rsidR="00BD276E" w:rsidRPr="00235E59">
        <w:rPr>
          <w:rStyle w:val="FootnoteReference"/>
          <w:rFonts w:ascii="Verdana" w:hAnsi="Verdana" w:cs="YIUEB V+ Gotham"/>
          <w:color w:val="000000"/>
        </w:rPr>
        <w:footnoteReference w:id="329"/>
      </w:r>
    </w:p>
    <w:p w14:paraId="23A89BA5" w14:textId="77777777" w:rsidR="00D01678" w:rsidRPr="00D01678" w:rsidRDefault="00D01678" w:rsidP="00D01678">
      <w:pPr>
        <w:pStyle w:val="ListParagraph"/>
        <w:rPr>
          <w:rFonts w:ascii="Verdana" w:hAnsi="Verdana" w:cs="YIUEB V+ Gotham"/>
          <w:color w:val="000000"/>
        </w:rPr>
      </w:pPr>
    </w:p>
    <w:p w14:paraId="4A5688B0" w14:textId="77777777" w:rsidR="00D01678" w:rsidRPr="00D01678" w:rsidRDefault="00311308" w:rsidP="00915669">
      <w:pPr>
        <w:pStyle w:val="ListParagraph"/>
        <w:numPr>
          <w:ilvl w:val="1"/>
          <w:numId w:val="21"/>
        </w:numPr>
        <w:spacing w:line="276" w:lineRule="auto"/>
        <w:rPr>
          <w:rFonts w:ascii="Verdana" w:hAnsi="Verdana" w:cs="Gotham Light"/>
          <w:color w:val="000000"/>
        </w:rPr>
      </w:pPr>
      <w:r w:rsidRPr="00D01678">
        <w:rPr>
          <w:rFonts w:ascii="Verdana" w:hAnsi="Verdana" w:cs="YIUEB V+ Gotham"/>
          <w:color w:val="000000"/>
        </w:rPr>
        <w:t xml:space="preserve">The </w:t>
      </w:r>
      <w:r w:rsidR="009F313B" w:rsidRPr="00D01678">
        <w:rPr>
          <w:rFonts w:ascii="Verdana" w:hAnsi="Verdana" w:cs="YIUEB V+ Gotham"/>
          <w:color w:val="000000"/>
        </w:rPr>
        <w:t xml:space="preserve">Independent Hate Crime Review Team </w:t>
      </w:r>
      <w:r w:rsidRPr="00D01678">
        <w:rPr>
          <w:rFonts w:ascii="Verdana" w:hAnsi="Verdana" w:cs="YIUEB V+ Gotham"/>
          <w:color w:val="000000"/>
        </w:rPr>
        <w:t xml:space="preserve">also </w:t>
      </w:r>
      <w:r w:rsidR="00A93A8D" w:rsidRPr="00D01678">
        <w:rPr>
          <w:rFonts w:ascii="Verdana" w:hAnsi="Verdana" w:cs="YIUEB V+ Gotham"/>
          <w:color w:val="000000"/>
        </w:rPr>
        <w:t xml:space="preserve">recommended </w:t>
      </w:r>
      <w:r w:rsidR="009F313B" w:rsidRPr="00D01678">
        <w:rPr>
          <w:rFonts w:ascii="Verdana" w:hAnsi="Verdana" w:cs="YIUEB V+ Gotham"/>
          <w:color w:val="000000"/>
        </w:rPr>
        <w:t>that there should be a new statutory aggravation for sectarian prejudice.</w:t>
      </w:r>
      <w:r w:rsidR="009F313B" w:rsidRPr="00235E59">
        <w:rPr>
          <w:rStyle w:val="FootnoteReference"/>
          <w:rFonts w:ascii="Verdana" w:hAnsi="Verdana" w:cs="YIUEB V+ Gotham"/>
          <w:color w:val="000000"/>
        </w:rPr>
        <w:footnoteReference w:id="330"/>
      </w:r>
      <w:r w:rsidR="009F313B" w:rsidRPr="00D01678">
        <w:rPr>
          <w:rStyle w:val="A91"/>
          <w:rFonts w:ascii="Verdana" w:hAnsi="Verdana"/>
          <w:sz w:val="24"/>
          <w:szCs w:val="24"/>
        </w:rPr>
        <w:t xml:space="preserve"> </w:t>
      </w:r>
      <w:r w:rsidR="009F313B" w:rsidRPr="00D01678">
        <w:rPr>
          <w:rFonts w:ascii="Verdana" w:hAnsi="Verdana" w:cs="YIUEB V+ Gotham"/>
          <w:color w:val="000000"/>
        </w:rPr>
        <w:t xml:space="preserve">It its response, the Department of Justice agreed in principle to the aggravation </w:t>
      </w:r>
      <w:r w:rsidR="00DD4D07" w:rsidRPr="00D01678">
        <w:rPr>
          <w:rFonts w:ascii="Verdana" w:hAnsi="Verdana" w:cs="YIUEB V+ Gotham"/>
          <w:color w:val="000000"/>
        </w:rPr>
        <w:t>recommendation</w:t>
      </w:r>
      <w:r w:rsidR="009F313B" w:rsidRPr="00D01678">
        <w:rPr>
          <w:rFonts w:ascii="Verdana" w:hAnsi="Verdana" w:cs="YIUEB V+ Gotham"/>
          <w:color w:val="000000"/>
        </w:rPr>
        <w:t xml:space="preserve"> (subject to the agreed definition of sectarianism), which could be monitored by the proposed Victims of Crime Commissioner</w:t>
      </w:r>
      <w:r w:rsidR="00FD349B" w:rsidRPr="00D01678">
        <w:rPr>
          <w:rFonts w:ascii="Verdana" w:hAnsi="Verdana" w:cs="YIUEB V+ Gotham"/>
          <w:color w:val="000000"/>
        </w:rPr>
        <w:t>.</w:t>
      </w:r>
      <w:r w:rsidR="00FD349B" w:rsidRPr="00235E59">
        <w:rPr>
          <w:rStyle w:val="FootnoteReference"/>
          <w:rFonts w:ascii="Verdana" w:hAnsi="Verdana" w:cs="YIUEB V+ Gotham"/>
          <w:color w:val="000000"/>
        </w:rPr>
        <w:footnoteReference w:id="331"/>
      </w:r>
      <w:r w:rsidR="00FD349B" w:rsidRPr="00D01678">
        <w:rPr>
          <w:rFonts w:ascii="Verdana" w:hAnsi="Verdana" w:cs="YIUEB V+ Gotham"/>
          <w:color w:val="000000"/>
        </w:rPr>
        <w:t xml:space="preserve"> </w:t>
      </w:r>
      <w:r w:rsidR="009F313B" w:rsidRPr="00D01678">
        <w:rPr>
          <w:rFonts w:ascii="Verdana" w:hAnsi="Verdana" w:cs="YIUEB V+ Gotham"/>
          <w:color w:val="000000"/>
        </w:rPr>
        <w:t xml:space="preserve">However, the Department highlighted that both this recommendation and the above recommendation in relation to a definition of sectarianism will need to be considered in conjunction with any recommendations </w:t>
      </w:r>
      <w:r w:rsidR="00C257DF" w:rsidRPr="00D01678">
        <w:rPr>
          <w:rFonts w:ascii="Verdana" w:hAnsi="Verdana" w:cs="YIUEB V+ Gotham"/>
          <w:color w:val="000000"/>
        </w:rPr>
        <w:t>in</w:t>
      </w:r>
      <w:r w:rsidR="009F313B" w:rsidRPr="00D01678">
        <w:rPr>
          <w:rFonts w:ascii="Verdana" w:hAnsi="Verdana" w:cs="YIUEB V+ Gotham"/>
          <w:color w:val="000000"/>
        </w:rPr>
        <w:t xml:space="preserve"> the </w:t>
      </w:r>
      <w:r w:rsidR="00172D00" w:rsidRPr="00D01678">
        <w:rPr>
          <w:rFonts w:ascii="Verdana" w:hAnsi="Verdana" w:cs="YIUEB V+ Gotham"/>
          <w:color w:val="000000"/>
        </w:rPr>
        <w:t>report by the Commission on</w:t>
      </w:r>
      <w:r w:rsidR="009F313B" w:rsidRPr="00D01678">
        <w:rPr>
          <w:rFonts w:ascii="Verdana" w:hAnsi="Verdana" w:cs="YIUEB V+ Gotham"/>
          <w:color w:val="000000"/>
        </w:rPr>
        <w:t xml:space="preserve"> Flags, Identity, Culture, </w:t>
      </w:r>
      <w:r w:rsidR="00172D00" w:rsidRPr="00D01678">
        <w:rPr>
          <w:rFonts w:ascii="Verdana" w:hAnsi="Verdana" w:cs="YIUEB V+ Gotham"/>
          <w:color w:val="000000"/>
        </w:rPr>
        <w:t xml:space="preserve">and </w:t>
      </w:r>
      <w:r w:rsidR="009F313B" w:rsidRPr="00D01678">
        <w:rPr>
          <w:rFonts w:ascii="Verdana" w:hAnsi="Verdana" w:cs="YIUEB V+ Gotham"/>
          <w:color w:val="000000"/>
        </w:rPr>
        <w:t>Tradition.</w:t>
      </w:r>
      <w:r w:rsidR="009F313B" w:rsidRPr="007B1E2C">
        <w:rPr>
          <w:rStyle w:val="FootnoteReference"/>
          <w:rFonts w:ascii="Verdana" w:hAnsi="Verdana" w:cs="YIUEB V+ Gotham"/>
          <w:color w:val="000000"/>
        </w:rPr>
        <w:footnoteReference w:id="332"/>
      </w:r>
      <w:r w:rsidR="00CC2D5A" w:rsidRPr="00D01678">
        <w:rPr>
          <w:rFonts w:ascii="Verdana" w:hAnsi="Verdana" w:cs="YIUEB V+ Gotham"/>
          <w:color w:val="000000"/>
        </w:rPr>
        <w:t xml:space="preserve"> </w:t>
      </w:r>
    </w:p>
    <w:p w14:paraId="74C6A0F3" w14:textId="77777777" w:rsidR="00D01678" w:rsidRPr="00D01678" w:rsidRDefault="00D01678" w:rsidP="00D01678">
      <w:pPr>
        <w:pStyle w:val="ListParagraph"/>
        <w:rPr>
          <w:rFonts w:ascii="Verdana" w:hAnsi="Verdana" w:cs="Gotham Light"/>
          <w:color w:val="000000"/>
        </w:rPr>
      </w:pPr>
    </w:p>
    <w:p w14:paraId="6BCEDFC8" w14:textId="77777777" w:rsidR="00D01678" w:rsidRPr="00D01678" w:rsidRDefault="005B4A39" w:rsidP="00915669">
      <w:pPr>
        <w:pStyle w:val="ListParagraph"/>
        <w:numPr>
          <w:ilvl w:val="1"/>
          <w:numId w:val="21"/>
        </w:numPr>
        <w:spacing w:line="276" w:lineRule="auto"/>
        <w:rPr>
          <w:rFonts w:ascii="Verdana" w:hAnsi="Verdana" w:cs="Gotham Light"/>
          <w:color w:val="000000"/>
        </w:rPr>
      </w:pPr>
      <w:r w:rsidRPr="00D01678">
        <w:rPr>
          <w:rFonts w:ascii="Verdana" w:hAnsi="Verdana" w:cs="Gotham Light"/>
          <w:color w:val="000000"/>
        </w:rPr>
        <w:t xml:space="preserve">A public consultation </w:t>
      </w:r>
      <w:r w:rsidR="00481E4F" w:rsidRPr="00D01678">
        <w:rPr>
          <w:rFonts w:ascii="Verdana" w:hAnsi="Verdana" w:cs="Gotham Light"/>
          <w:color w:val="000000"/>
        </w:rPr>
        <w:t>is currently underway on</w:t>
      </w:r>
      <w:r w:rsidR="006C01C5" w:rsidRPr="00D01678">
        <w:rPr>
          <w:rFonts w:ascii="Verdana" w:hAnsi="Verdana" w:cs="Gotham Light"/>
          <w:color w:val="000000"/>
        </w:rPr>
        <w:t xml:space="preserve"> new</w:t>
      </w:r>
      <w:r w:rsidR="00481E4F" w:rsidRPr="00D01678">
        <w:rPr>
          <w:rFonts w:ascii="Verdana" w:hAnsi="Verdana" w:cs="Gotham Light"/>
          <w:color w:val="000000"/>
        </w:rPr>
        <w:t xml:space="preserve"> </w:t>
      </w:r>
      <w:r w:rsidR="006C01C5" w:rsidRPr="00D01678">
        <w:rPr>
          <w:rFonts w:ascii="Verdana" w:hAnsi="Verdana" w:cs="Gotham Light"/>
          <w:color w:val="000000"/>
        </w:rPr>
        <w:t xml:space="preserve">hate crime legislation for </w:t>
      </w:r>
      <w:r w:rsidR="0008365A" w:rsidRPr="00D01678">
        <w:rPr>
          <w:rFonts w:ascii="Verdana" w:hAnsi="Verdana" w:cs="Gotham Light"/>
          <w:color w:val="000000"/>
        </w:rPr>
        <w:t>NI</w:t>
      </w:r>
      <w:r w:rsidR="00C93F2C" w:rsidRPr="00D01678">
        <w:rPr>
          <w:rFonts w:ascii="Verdana" w:hAnsi="Verdana" w:cs="Gotham Light"/>
          <w:color w:val="000000"/>
        </w:rPr>
        <w:t xml:space="preserve"> which seeks views on </w:t>
      </w:r>
      <w:r w:rsidR="00E752AB" w:rsidRPr="00D01678">
        <w:rPr>
          <w:rFonts w:ascii="Verdana" w:hAnsi="Verdana"/>
        </w:rPr>
        <w:t>a</w:t>
      </w:r>
      <w:r w:rsidR="00FA2F40" w:rsidRPr="00D01678">
        <w:rPr>
          <w:rFonts w:ascii="Verdana" w:hAnsi="Verdana"/>
        </w:rPr>
        <w:t xml:space="preserve"> definition of sectarianis</w:t>
      </w:r>
      <w:r w:rsidR="00E752AB" w:rsidRPr="00D01678">
        <w:rPr>
          <w:rFonts w:ascii="Verdana" w:hAnsi="Verdana"/>
        </w:rPr>
        <w:t>m</w:t>
      </w:r>
      <w:r w:rsidR="00FA2F40" w:rsidRPr="00D01678">
        <w:rPr>
          <w:rFonts w:ascii="Verdana" w:hAnsi="Verdana"/>
        </w:rPr>
        <w:t xml:space="preserve"> and a new statutory aggravation for sectarian prejudice, subject to agreement of definition.</w:t>
      </w:r>
      <w:r w:rsidR="00E752AB">
        <w:rPr>
          <w:rStyle w:val="FootnoteReference"/>
          <w:rFonts w:ascii="Verdana" w:hAnsi="Verdana"/>
        </w:rPr>
        <w:footnoteReference w:id="333"/>
      </w:r>
    </w:p>
    <w:p w14:paraId="7A6BE71A" w14:textId="77777777" w:rsidR="00D01678" w:rsidRPr="00D01678" w:rsidRDefault="00D01678" w:rsidP="00D01678">
      <w:pPr>
        <w:pStyle w:val="ListParagraph"/>
        <w:rPr>
          <w:rFonts w:ascii="Verdana" w:hAnsi="Verdana" w:cs="YIUEB V+ Gotham"/>
          <w:color w:val="000000"/>
        </w:rPr>
      </w:pPr>
    </w:p>
    <w:p w14:paraId="5FA311A9" w14:textId="77777777" w:rsidR="00D01678" w:rsidRPr="00D01678" w:rsidRDefault="00EC5FE4" w:rsidP="00915669">
      <w:pPr>
        <w:pStyle w:val="ListParagraph"/>
        <w:numPr>
          <w:ilvl w:val="1"/>
          <w:numId w:val="21"/>
        </w:numPr>
        <w:spacing w:line="276" w:lineRule="auto"/>
        <w:rPr>
          <w:rFonts w:ascii="Verdana" w:hAnsi="Verdana" w:cs="Gotham Light"/>
          <w:color w:val="000000"/>
        </w:rPr>
      </w:pPr>
      <w:r w:rsidRPr="00D01678">
        <w:rPr>
          <w:rFonts w:ascii="Verdana" w:hAnsi="Verdana" w:cs="YIUEB V+ Gotham"/>
          <w:color w:val="000000"/>
        </w:rPr>
        <w:t xml:space="preserve">In </w:t>
      </w:r>
      <w:r w:rsidR="00AD0F09" w:rsidRPr="00D01678">
        <w:rPr>
          <w:rFonts w:ascii="Verdana" w:hAnsi="Verdana" w:cs="YIUEB V+ Gotham"/>
          <w:color w:val="000000"/>
        </w:rPr>
        <w:t>December 2021, the</w:t>
      </w:r>
      <w:r w:rsidR="0042125B" w:rsidRPr="00D01678">
        <w:rPr>
          <w:rFonts w:ascii="Verdana" w:hAnsi="Verdana" w:cs="YIUEB V+ Gotham"/>
          <w:color w:val="000000"/>
        </w:rPr>
        <w:t xml:space="preserve"> Report </w:t>
      </w:r>
      <w:r w:rsidR="00F55245" w:rsidRPr="00D01678">
        <w:rPr>
          <w:rFonts w:ascii="Verdana" w:hAnsi="Verdana" w:cs="YIUEB V+ Gotham"/>
          <w:color w:val="000000"/>
        </w:rPr>
        <w:t xml:space="preserve">from the Commission </w:t>
      </w:r>
      <w:r w:rsidR="00C434AE" w:rsidRPr="00D01678">
        <w:rPr>
          <w:rFonts w:ascii="Verdana" w:hAnsi="Verdana" w:cs="YIUEB V+ Gotham"/>
          <w:color w:val="000000"/>
        </w:rPr>
        <w:t xml:space="preserve">on </w:t>
      </w:r>
      <w:r w:rsidR="00D93215" w:rsidRPr="00D01678">
        <w:rPr>
          <w:rFonts w:ascii="Verdana" w:hAnsi="Verdana" w:cs="YIUEB V+ Gotham"/>
          <w:color w:val="000000"/>
        </w:rPr>
        <w:t>Flags, Identity, Culture and Tradition</w:t>
      </w:r>
      <w:r w:rsidR="009F58EB">
        <w:rPr>
          <w:rStyle w:val="FootnoteReference"/>
          <w:rFonts w:ascii="Verdana" w:hAnsi="Verdana" w:cs="YIUEB V+ Gotham"/>
          <w:color w:val="000000"/>
        </w:rPr>
        <w:footnoteReference w:id="334"/>
      </w:r>
      <w:r w:rsidR="008621E1" w:rsidRPr="00D01678">
        <w:rPr>
          <w:rFonts w:ascii="Verdana" w:hAnsi="Verdana" w:cs="YIUEB V+ Gotham"/>
          <w:color w:val="000000"/>
        </w:rPr>
        <w:t xml:space="preserve"> further recommended</w:t>
      </w:r>
      <w:r w:rsidR="00CF2394" w:rsidRPr="00D01678">
        <w:rPr>
          <w:rFonts w:ascii="Verdana" w:hAnsi="Verdana" w:cs="YIUEB V+ Gotham"/>
          <w:color w:val="000000"/>
        </w:rPr>
        <w:t xml:space="preserve"> that the legal duty of Good Relations be clearly defined in law and that the delivery of Good Relations interventions has reductions of sectarian and race hate incidents as key outcomes.</w:t>
      </w:r>
      <w:r w:rsidR="00463E72">
        <w:rPr>
          <w:rStyle w:val="FootnoteReference"/>
          <w:rFonts w:ascii="Verdana" w:hAnsi="Verdana" w:cs="YIUEB V+ Gotham"/>
          <w:color w:val="000000"/>
        </w:rPr>
        <w:footnoteReference w:id="335"/>
      </w:r>
    </w:p>
    <w:p w14:paraId="0DE95DD5" w14:textId="77777777" w:rsidR="00D01678" w:rsidRPr="00D01678" w:rsidRDefault="00D01678" w:rsidP="00D01678">
      <w:pPr>
        <w:pStyle w:val="ListParagraph"/>
        <w:rPr>
          <w:rFonts w:ascii="Verdana" w:hAnsi="Verdana" w:cs="YIUEB V+ Gotham"/>
          <w:color w:val="000000"/>
        </w:rPr>
      </w:pPr>
    </w:p>
    <w:p w14:paraId="433DCE07" w14:textId="77777777" w:rsidR="00D01678" w:rsidRPr="00D01678" w:rsidRDefault="00F46FB7" w:rsidP="00915669">
      <w:pPr>
        <w:pStyle w:val="ListParagraph"/>
        <w:numPr>
          <w:ilvl w:val="1"/>
          <w:numId w:val="21"/>
        </w:numPr>
        <w:spacing w:line="276" w:lineRule="auto"/>
        <w:rPr>
          <w:rFonts w:ascii="Verdana" w:hAnsi="Verdana" w:cs="Gotham Light"/>
          <w:color w:val="000000"/>
        </w:rPr>
      </w:pPr>
      <w:r w:rsidRPr="00D01678">
        <w:rPr>
          <w:rFonts w:ascii="Verdana" w:hAnsi="Verdana" w:cs="YIUEB V+ Gotham"/>
          <w:color w:val="000000"/>
        </w:rPr>
        <w:t>In 2018, the draft NI (Stormont House Agreement) Bill proposed the establishment of the Implementation and Reconciliation Group which was intended to promote reconciliation and anti-sectarianism.</w:t>
      </w:r>
      <w:r w:rsidRPr="007B1E2C">
        <w:rPr>
          <w:rStyle w:val="FootnoteReference"/>
          <w:rFonts w:ascii="Verdana" w:hAnsi="Verdana" w:cs="YIUEB V+ Gotham"/>
          <w:color w:val="000000"/>
        </w:rPr>
        <w:footnoteReference w:id="336"/>
      </w:r>
      <w:r w:rsidRPr="00D01678">
        <w:rPr>
          <w:rFonts w:ascii="Verdana" w:hAnsi="Verdana" w:cs="YIUEB V+ Gotham"/>
          <w:color w:val="000000"/>
        </w:rPr>
        <w:t xml:space="preserve"> However, in March 2020, the Secretary of State for NI, Brandon Lewis</w:t>
      </w:r>
      <w:r w:rsidR="00655F90" w:rsidRPr="00D01678">
        <w:rPr>
          <w:rFonts w:ascii="Verdana" w:hAnsi="Verdana" w:cs="YIUEB V+ Gotham"/>
          <w:color w:val="000000"/>
        </w:rPr>
        <w:t xml:space="preserve"> MP</w:t>
      </w:r>
      <w:r w:rsidRPr="00D01678">
        <w:rPr>
          <w:rFonts w:ascii="Verdana" w:hAnsi="Verdana" w:cs="YIUEB V+ Gotham"/>
          <w:color w:val="000000"/>
        </w:rPr>
        <w:t>, speaking on the Stormont House Agreement stated that “significant changes will be needed to obtain a broad consensus for the implementation of any legislation”.</w:t>
      </w:r>
      <w:r w:rsidRPr="007B1E2C">
        <w:rPr>
          <w:rStyle w:val="FootnoteReference"/>
          <w:rFonts w:ascii="Verdana" w:hAnsi="Verdana" w:cs="YIUEB V+ Gotham"/>
          <w:color w:val="000000"/>
        </w:rPr>
        <w:footnoteReference w:id="337"/>
      </w:r>
      <w:r w:rsidRPr="00D01678">
        <w:rPr>
          <w:rStyle w:val="A91"/>
          <w:rFonts w:ascii="Verdana" w:hAnsi="Verdana"/>
          <w:sz w:val="24"/>
          <w:szCs w:val="24"/>
        </w:rPr>
        <w:t xml:space="preserve"> </w:t>
      </w:r>
      <w:r w:rsidRPr="00D01678">
        <w:rPr>
          <w:rFonts w:ascii="Verdana" w:hAnsi="Verdana" w:cs="YIUEB V+ Gotham"/>
          <w:color w:val="000000"/>
        </w:rPr>
        <w:t>The statement largely related to a shift in the UK Government’s policy to put “information recovery and reconciliation to be at the heart of a revised legacy system that puts victims first”.</w:t>
      </w:r>
      <w:r w:rsidRPr="007B1E2C">
        <w:rPr>
          <w:rStyle w:val="FootnoteReference"/>
          <w:rFonts w:ascii="Verdana" w:hAnsi="Verdana" w:cs="YIUEB V+ Gotham"/>
          <w:color w:val="000000"/>
        </w:rPr>
        <w:footnoteReference w:id="338"/>
      </w:r>
      <w:r w:rsidRPr="00D01678">
        <w:rPr>
          <w:rStyle w:val="A91"/>
          <w:rFonts w:ascii="Verdana" w:hAnsi="Verdana"/>
          <w:sz w:val="24"/>
          <w:szCs w:val="24"/>
        </w:rPr>
        <w:t xml:space="preserve"> </w:t>
      </w:r>
      <w:r w:rsidRPr="00D01678">
        <w:rPr>
          <w:rFonts w:ascii="Verdana" w:hAnsi="Verdana" w:cs="YIUEB V+ Gotham"/>
          <w:color w:val="000000"/>
        </w:rPr>
        <w:t>It provided little detail as to</w:t>
      </w:r>
      <w:r w:rsidR="004528D6" w:rsidRPr="00D01678">
        <w:rPr>
          <w:rFonts w:ascii="Verdana" w:hAnsi="Verdana" w:cs="YIUEB V+ Gotham"/>
          <w:color w:val="000000"/>
        </w:rPr>
        <w:t xml:space="preserve"> </w:t>
      </w:r>
      <w:r w:rsidRPr="00D01678">
        <w:rPr>
          <w:rFonts w:ascii="Verdana" w:hAnsi="Verdana" w:cs="YIUEB V+ Gotham"/>
          <w:color w:val="000000"/>
        </w:rPr>
        <w:t>what this would mean in practice.</w:t>
      </w:r>
    </w:p>
    <w:p w14:paraId="3515C9DF" w14:textId="77777777" w:rsidR="00D01678" w:rsidRPr="00D01678" w:rsidRDefault="00D01678" w:rsidP="00D01678">
      <w:pPr>
        <w:pStyle w:val="ListParagraph"/>
        <w:rPr>
          <w:rFonts w:ascii="Verdana" w:hAnsi="Verdana" w:cs="YIUEB V+ Gotham"/>
          <w:color w:val="000000"/>
        </w:rPr>
      </w:pPr>
    </w:p>
    <w:p w14:paraId="66DE1A57" w14:textId="77777777" w:rsidR="00D01678" w:rsidRPr="00D01678" w:rsidRDefault="007B1E2C" w:rsidP="00915669">
      <w:pPr>
        <w:pStyle w:val="ListParagraph"/>
        <w:numPr>
          <w:ilvl w:val="1"/>
          <w:numId w:val="21"/>
        </w:numPr>
        <w:spacing w:line="276" w:lineRule="auto"/>
        <w:rPr>
          <w:rStyle w:val="A91"/>
          <w:rFonts w:ascii="Verdana" w:hAnsi="Verdana" w:cs="Gotham Light"/>
          <w:sz w:val="24"/>
          <w:szCs w:val="24"/>
        </w:rPr>
      </w:pPr>
      <w:r w:rsidRPr="00D01678">
        <w:rPr>
          <w:rFonts w:ascii="Verdana" w:hAnsi="Verdana" w:cs="YIUEB V+ Gotham"/>
          <w:color w:val="000000"/>
        </w:rPr>
        <w:t xml:space="preserve">In 2021, the Secretary of State published </w:t>
      </w:r>
      <w:r w:rsidR="00655F90" w:rsidRPr="00D01678">
        <w:rPr>
          <w:rFonts w:ascii="Verdana" w:hAnsi="Verdana" w:cs="YIUEB V+ Gotham"/>
          <w:color w:val="000000"/>
        </w:rPr>
        <w:t>a C</w:t>
      </w:r>
      <w:r w:rsidRPr="00D01678">
        <w:rPr>
          <w:rFonts w:ascii="Verdana" w:hAnsi="Verdana" w:cs="YIUEB V+ Gotham"/>
          <w:color w:val="000000"/>
        </w:rPr>
        <w:t xml:space="preserve">ommand </w:t>
      </w:r>
      <w:r w:rsidR="00655F90" w:rsidRPr="00D01678">
        <w:rPr>
          <w:rFonts w:ascii="Verdana" w:hAnsi="Verdana" w:cs="YIUEB V+ Gotham"/>
          <w:color w:val="000000"/>
        </w:rPr>
        <w:t>P</w:t>
      </w:r>
      <w:r w:rsidRPr="00D01678">
        <w:rPr>
          <w:rFonts w:ascii="Verdana" w:hAnsi="Verdana" w:cs="YIUEB V+ Gotham"/>
          <w:color w:val="000000"/>
        </w:rPr>
        <w:t>aper outlining</w:t>
      </w:r>
      <w:r w:rsidRPr="00D01678">
        <w:rPr>
          <w:rFonts w:ascii="Verdana" w:hAnsi="Verdana" w:cs="YIUEB V+ Gotham"/>
          <w:color w:val="000000" w:themeColor="text1"/>
        </w:rPr>
        <w:t xml:space="preserve"> </w:t>
      </w:r>
      <w:r w:rsidR="000A25A2" w:rsidRPr="00D01678">
        <w:rPr>
          <w:rFonts w:ascii="Verdana" w:hAnsi="Verdana" w:cs="YIUEB V+ Gotham"/>
          <w:color w:val="000000" w:themeColor="text1"/>
        </w:rPr>
        <w:t>the UK Government</w:t>
      </w:r>
      <w:r w:rsidR="00655F90" w:rsidRPr="00D01678">
        <w:rPr>
          <w:rFonts w:ascii="Verdana" w:hAnsi="Verdana" w:cs="YIUEB V+ Gotham"/>
          <w:color w:val="000000" w:themeColor="text1"/>
        </w:rPr>
        <w:t>’s</w:t>
      </w:r>
      <w:r w:rsidRPr="00D01678">
        <w:rPr>
          <w:rFonts w:ascii="Verdana" w:hAnsi="Verdana" w:cs="YIUEB V+ Gotham"/>
          <w:color w:val="000000"/>
        </w:rPr>
        <w:t xml:space="preserve"> proposals</w:t>
      </w:r>
      <w:r w:rsidR="000A25A2" w:rsidRPr="00D01678">
        <w:rPr>
          <w:rFonts w:ascii="Verdana" w:hAnsi="Verdana" w:cs="YIUEB V+ Gotham"/>
          <w:color w:val="000000" w:themeColor="text1"/>
        </w:rPr>
        <w:t xml:space="preserve"> for legislation to address the legacy of the </w:t>
      </w:r>
      <w:r w:rsidR="00316F29" w:rsidRPr="00D01678">
        <w:rPr>
          <w:rFonts w:ascii="Verdana" w:hAnsi="Verdana" w:cs="YIUEB V+ Gotham"/>
          <w:color w:val="000000" w:themeColor="text1"/>
        </w:rPr>
        <w:t>past</w:t>
      </w:r>
      <w:r w:rsidR="000A25A2" w:rsidRPr="00D01678">
        <w:rPr>
          <w:rFonts w:ascii="Verdana" w:hAnsi="Verdana" w:cs="YIUEB V+ Gotham"/>
          <w:color w:val="000000" w:themeColor="text1"/>
        </w:rPr>
        <w:t xml:space="preserve"> in NI.</w:t>
      </w:r>
      <w:r w:rsidR="000A25A2">
        <w:rPr>
          <w:rStyle w:val="FootnoteReference"/>
          <w:rFonts w:ascii="Verdana" w:hAnsi="Verdana" w:cs="YIUEB V+ Gotham"/>
          <w:color w:val="000000"/>
        </w:rPr>
        <w:footnoteReference w:id="339"/>
      </w:r>
      <w:r w:rsidR="000A25A2" w:rsidRPr="00D01678">
        <w:rPr>
          <w:rFonts w:ascii="Verdana" w:hAnsi="Verdana" w:cs="YIUEB V+ Gotham"/>
          <w:color w:val="000000" w:themeColor="text1"/>
        </w:rPr>
        <w:t xml:space="preserve"> This included</w:t>
      </w:r>
      <w:r w:rsidRPr="00D01678">
        <w:rPr>
          <w:rFonts w:ascii="Verdana" w:hAnsi="Verdana" w:cs="YIUEB V+ Gotham"/>
          <w:color w:val="000000"/>
        </w:rPr>
        <w:t xml:space="preserve"> a </w:t>
      </w:r>
      <w:r w:rsidR="00377A80" w:rsidRPr="00D01678">
        <w:rPr>
          <w:rFonts w:ascii="Verdana" w:hAnsi="Verdana" w:cs="YIUEB V+ Gotham"/>
          <w:color w:val="000000" w:themeColor="text1"/>
        </w:rPr>
        <w:t>proposal</w:t>
      </w:r>
      <w:r w:rsidRPr="00D01678">
        <w:rPr>
          <w:rFonts w:ascii="Verdana" w:hAnsi="Verdana" w:cs="YIUEB V+ Gotham"/>
          <w:color w:val="000000" w:themeColor="text1"/>
        </w:rPr>
        <w:t xml:space="preserve"> for a </w:t>
      </w:r>
      <w:r w:rsidRPr="00D01678">
        <w:rPr>
          <w:rFonts w:ascii="Verdana" w:hAnsi="Verdana" w:cs="YIUEB V+ Gotham"/>
          <w:color w:val="000000"/>
        </w:rPr>
        <w:t>new Information Recovery Body, which would focus on information recovery and reconciliation rather than a criminal justice response to the Troubles.</w:t>
      </w:r>
      <w:r w:rsidRPr="007B1E2C">
        <w:rPr>
          <w:rStyle w:val="FootnoteReference"/>
          <w:rFonts w:ascii="Verdana" w:hAnsi="Verdana" w:cs="YIUEB V+ Gotham"/>
          <w:color w:val="000000"/>
        </w:rPr>
        <w:footnoteReference w:id="340"/>
      </w:r>
      <w:r w:rsidRPr="00D01678">
        <w:rPr>
          <w:rStyle w:val="A91"/>
          <w:rFonts w:ascii="Verdana" w:hAnsi="Verdana"/>
          <w:sz w:val="24"/>
          <w:szCs w:val="24"/>
        </w:rPr>
        <w:t xml:space="preserve"> </w:t>
      </w:r>
    </w:p>
    <w:p w14:paraId="71A56FE4" w14:textId="77777777" w:rsidR="00D01678" w:rsidRPr="00D01678" w:rsidRDefault="00D01678" w:rsidP="00D01678">
      <w:pPr>
        <w:pStyle w:val="ListParagraph"/>
        <w:rPr>
          <w:rFonts w:ascii="Verdana" w:hAnsi="Verdana" w:cs="Gotham Light"/>
          <w:color w:val="000000"/>
        </w:rPr>
      </w:pPr>
    </w:p>
    <w:p w14:paraId="0FBA6D72" w14:textId="77777777" w:rsidR="00D01678" w:rsidRPr="00D01678" w:rsidRDefault="000D34DC" w:rsidP="00915669">
      <w:pPr>
        <w:pStyle w:val="ListParagraph"/>
        <w:numPr>
          <w:ilvl w:val="1"/>
          <w:numId w:val="21"/>
        </w:numPr>
        <w:spacing w:line="276" w:lineRule="auto"/>
        <w:rPr>
          <w:rFonts w:ascii="Verdana" w:hAnsi="Verdana" w:cs="Gotham Light"/>
          <w:color w:val="000000"/>
        </w:rPr>
      </w:pPr>
      <w:r w:rsidRPr="00D01678">
        <w:rPr>
          <w:rFonts w:ascii="Verdana" w:hAnsi="Verdana" w:cs="Gotham Light"/>
          <w:color w:val="000000"/>
        </w:rPr>
        <w:t xml:space="preserve">The NIHRC </w:t>
      </w:r>
      <w:r w:rsidR="00655F90" w:rsidRPr="00D01678">
        <w:rPr>
          <w:rFonts w:ascii="Verdana" w:hAnsi="Verdana" w:cs="Gotham Light"/>
          <w:color w:val="000000"/>
        </w:rPr>
        <w:t>continues to raise</w:t>
      </w:r>
      <w:r w:rsidRPr="00D01678">
        <w:rPr>
          <w:rFonts w:ascii="Verdana" w:hAnsi="Verdana" w:cs="Gotham Light"/>
          <w:color w:val="000000"/>
        </w:rPr>
        <w:t xml:space="preserve"> </w:t>
      </w:r>
      <w:r w:rsidR="00316F29" w:rsidRPr="00D01678">
        <w:rPr>
          <w:rFonts w:ascii="Verdana" w:hAnsi="Verdana" w:cs="Gotham Light"/>
          <w:color w:val="000000"/>
        </w:rPr>
        <w:t>significant</w:t>
      </w:r>
      <w:r w:rsidRPr="00D01678">
        <w:rPr>
          <w:rFonts w:ascii="Verdana" w:hAnsi="Verdana" w:cs="Gotham Light"/>
          <w:color w:val="000000"/>
        </w:rPr>
        <w:t xml:space="preserve"> concerns over the Command </w:t>
      </w:r>
      <w:r w:rsidR="000A25A2" w:rsidRPr="00D01678">
        <w:rPr>
          <w:rFonts w:ascii="Verdana" w:hAnsi="Verdana" w:cs="Gotham Light"/>
          <w:color w:val="000000"/>
        </w:rPr>
        <w:t>Paper</w:t>
      </w:r>
      <w:r w:rsidR="00655F90" w:rsidRPr="00D01678">
        <w:rPr>
          <w:rFonts w:ascii="Verdana" w:hAnsi="Verdana" w:cs="Gotham Light"/>
          <w:color w:val="000000"/>
        </w:rPr>
        <w:t>,</w:t>
      </w:r>
      <w:r w:rsidR="000A25A2" w:rsidRPr="00D01678">
        <w:rPr>
          <w:rFonts w:ascii="Verdana" w:hAnsi="Verdana" w:cs="Gotham Light"/>
          <w:color w:val="000000"/>
        </w:rPr>
        <w:t xml:space="preserve"> which </w:t>
      </w:r>
      <w:r w:rsidR="00655F90" w:rsidRPr="00D01678">
        <w:rPr>
          <w:rFonts w:ascii="Verdana" w:hAnsi="Verdana" w:cs="Gotham Light"/>
          <w:color w:val="000000"/>
        </w:rPr>
        <w:t xml:space="preserve">conflicts with </w:t>
      </w:r>
      <w:r w:rsidR="000A25A2" w:rsidRPr="00D01678">
        <w:rPr>
          <w:rFonts w:ascii="Verdana" w:hAnsi="Verdana" w:cs="Gotham Light"/>
          <w:color w:val="000000"/>
        </w:rPr>
        <w:t>the requirements for effective investigation</w:t>
      </w:r>
      <w:r w:rsidR="00655F90" w:rsidRPr="00D01678">
        <w:rPr>
          <w:rFonts w:ascii="Verdana" w:hAnsi="Verdana" w:cs="Gotham Light"/>
          <w:color w:val="000000"/>
        </w:rPr>
        <w:t>s</w:t>
      </w:r>
      <w:r w:rsidR="000A25A2" w:rsidRPr="00D01678">
        <w:rPr>
          <w:rFonts w:ascii="Verdana" w:hAnsi="Verdana" w:cs="Gotham Light"/>
          <w:color w:val="000000"/>
        </w:rPr>
        <w:t xml:space="preserve"> under the European Convention on Human Rights.</w:t>
      </w:r>
      <w:r w:rsidR="00377A80">
        <w:rPr>
          <w:rStyle w:val="FootnoteReference"/>
          <w:rFonts w:ascii="Verdana" w:hAnsi="Verdana" w:cs="Gotham Light"/>
          <w:color w:val="000000"/>
        </w:rPr>
        <w:footnoteReference w:id="341"/>
      </w:r>
      <w:r w:rsidR="000A25A2" w:rsidRPr="00D01678">
        <w:rPr>
          <w:rFonts w:ascii="Verdana" w:hAnsi="Verdana" w:cs="Gotham Light"/>
          <w:color w:val="000000" w:themeColor="text1"/>
        </w:rPr>
        <w:t xml:space="preserve"> This has been accompanied by concerns by the </w:t>
      </w:r>
      <w:r w:rsidR="000A25A2" w:rsidRPr="00D01678">
        <w:rPr>
          <w:rFonts w:ascii="Verdana" w:hAnsi="Verdana" w:cs="Gotham Light"/>
        </w:rPr>
        <w:t>Commissioner for Human Rights of the Council of Europe</w:t>
      </w:r>
      <w:r w:rsidR="000A25A2" w:rsidRPr="00440B87">
        <w:rPr>
          <w:rStyle w:val="FootnoteReference"/>
          <w:rFonts w:ascii="Verdana" w:hAnsi="Verdana" w:cs="Gotham Light"/>
        </w:rPr>
        <w:footnoteReference w:id="342"/>
      </w:r>
      <w:r w:rsidR="000A25A2" w:rsidRPr="00D01678">
        <w:rPr>
          <w:rFonts w:ascii="Verdana" w:hAnsi="Verdana" w:cs="Gotham Light"/>
        </w:rPr>
        <w:t xml:space="preserve"> and the UN Special Rapporteurs Fabián Salvioli (on the promotion of truth, justice, reparation and guarantees of non-recurrence) and Morris Tidball-Binz (on extrajudicial, summary or arbitrary executions).</w:t>
      </w:r>
      <w:r w:rsidR="000A25A2" w:rsidRPr="00440B87">
        <w:rPr>
          <w:rStyle w:val="FootnoteReference"/>
          <w:rFonts w:ascii="Verdana" w:hAnsi="Verdana" w:cs="Gotham Light"/>
        </w:rPr>
        <w:footnoteReference w:id="343"/>
      </w:r>
      <w:r w:rsidR="000A25A2" w:rsidRPr="00D01678">
        <w:rPr>
          <w:rFonts w:ascii="Verdana" w:hAnsi="Verdana" w:cs="Gotham Light"/>
        </w:rPr>
        <w:t xml:space="preserve"> </w:t>
      </w:r>
      <w:r w:rsidR="00655F90" w:rsidRPr="00D01678">
        <w:rPr>
          <w:rFonts w:ascii="Verdana" w:hAnsi="Verdana" w:cs="Gotham Light"/>
        </w:rPr>
        <w:t xml:space="preserve">The UK Government has not yet sought advice from the NIHRC </w:t>
      </w:r>
      <w:r w:rsidR="000A25A2" w:rsidRPr="00D01678">
        <w:rPr>
          <w:rFonts w:ascii="Verdana" w:hAnsi="Verdana" w:cs="Gotham Light"/>
        </w:rPr>
        <w:t>on the</w:t>
      </w:r>
      <w:r w:rsidR="00655F90" w:rsidRPr="00D01678">
        <w:rPr>
          <w:rFonts w:ascii="Verdana" w:hAnsi="Verdana" w:cs="Gotham Light"/>
        </w:rPr>
        <w:t>se</w:t>
      </w:r>
      <w:r w:rsidR="000A25A2" w:rsidRPr="00D01678">
        <w:rPr>
          <w:rFonts w:ascii="Verdana" w:hAnsi="Verdana" w:cs="Gotham Light"/>
        </w:rPr>
        <w:t xml:space="preserve"> proposals</w:t>
      </w:r>
      <w:r w:rsidR="003E4A01" w:rsidRPr="00D01678">
        <w:rPr>
          <w:rFonts w:ascii="Verdana" w:hAnsi="Verdana" w:cs="Gotham Light"/>
        </w:rPr>
        <w:t xml:space="preserve">. The NIHRC continues to encourage consultation on the ECHR requirements before any legislation is introduced to the Westminster Parliament. In any event, the NIHRC will offer advice once draft legislation is made available. </w:t>
      </w:r>
    </w:p>
    <w:p w14:paraId="7E0556F2" w14:textId="77777777" w:rsidR="00D01678" w:rsidRPr="00D01678" w:rsidRDefault="00D01678" w:rsidP="00D01678">
      <w:pPr>
        <w:pStyle w:val="ListParagraph"/>
        <w:rPr>
          <w:rFonts w:ascii="Verdana" w:hAnsi="Verdana" w:cs="Gotham Light"/>
          <w:b/>
          <w:color w:val="000000" w:themeColor="text1"/>
        </w:rPr>
      </w:pPr>
    </w:p>
    <w:p w14:paraId="32D808DA" w14:textId="77777777" w:rsidR="00D01678" w:rsidRPr="00D01678" w:rsidRDefault="00B3614A" w:rsidP="00915669">
      <w:pPr>
        <w:pStyle w:val="ListParagraph"/>
        <w:numPr>
          <w:ilvl w:val="1"/>
          <w:numId w:val="21"/>
        </w:numPr>
        <w:spacing w:line="276" w:lineRule="auto"/>
        <w:rPr>
          <w:rFonts w:ascii="Verdana" w:hAnsi="Verdana" w:cs="Gotham Light"/>
          <w:color w:val="000000"/>
        </w:rPr>
      </w:pPr>
      <w:r w:rsidRPr="00D01678">
        <w:rPr>
          <w:rFonts w:ascii="Verdana" w:hAnsi="Verdana" w:cs="Gotham Light"/>
          <w:b/>
          <w:color w:val="000000" w:themeColor="text1"/>
        </w:rPr>
        <w:t>The Advisory Committee may wish to ask the State Party</w:t>
      </w:r>
      <w:r w:rsidR="008D50B9" w:rsidRPr="00D01678">
        <w:rPr>
          <w:rFonts w:ascii="Verdana" w:hAnsi="Verdana" w:cs="Gotham Light"/>
          <w:b/>
          <w:color w:val="000000" w:themeColor="text1"/>
        </w:rPr>
        <w:t xml:space="preserve"> about its progress in</w:t>
      </w:r>
      <w:r w:rsidRPr="00D01678">
        <w:rPr>
          <w:rFonts w:ascii="Verdana" w:hAnsi="Verdana" w:cs="Gotham Light"/>
          <w:b/>
          <w:color w:val="000000" w:themeColor="text1"/>
        </w:rPr>
        <w:t xml:space="preserve"> </w:t>
      </w:r>
      <w:r w:rsidR="008D50B9" w:rsidRPr="00D01678">
        <w:rPr>
          <w:rFonts w:ascii="Verdana" w:hAnsi="Verdana" w:cs="Gotham Light"/>
          <w:b/>
          <w:color w:val="000000" w:themeColor="text1"/>
        </w:rPr>
        <w:t xml:space="preserve">promptly and effectively </w:t>
      </w:r>
      <w:r w:rsidR="0022341C" w:rsidRPr="00D01678">
        <w:rPr>
          <w:rFonts w:ascii="Verdana" w:hAnsi="Verdana" w:cs="Gotham Light"/>
          <w:b/>
          <w:color w:val="000000" w:themeColor="text1"/>
        </w:rPr>
        <w:t xml:space="preserve">implementing </w:t>
      </w:r>
      <w:r w:rsidR="008D50B9" w:rsidRPr="00D01678">
        <w:rPr>
          <w:rFonts w:ascii="Verdana" w:hAnsi="Verdana" w:cs="Gotham Light"/>
          <w:b/>
          <w:color w:val="000000" w:themeColor="text1"/>
        </w:rPr>
        <w:t xml:space="preserve">the </w:t>
      </w:r>
      <w:r w:rsidR="00C221E5" w:rsidRPr="00D01678">
        <w:rPr>
          <w:rFonts w:ascii="Verdana" w:hAnsi="Verdana" w:cs="Gotham Light"/>
          <w:b/>
          <w:color w:val="000000" w:themeColor="text1"/>
        </w:rPr>
        <w:t>recommendations of the Independent Hate Crime Review relating to sectarianism</w:t>
      </w:r>
      <w:r w:rsidR="00480FDE" w:rsidRPr="00D01678">
        <w:rPr>
          <w:rFonts w:ascii="Verdana" w:hAnsi="Verdana" w:cs="Gotham Light"/>
          <w:b/>
          <w:bCs/>
          <w:color w:val="000000" w:themeColor="text1"/>
        </w:rPr>
        <w:t>.</w:t>
      </w:r>
    </w:p>
    <w:p w14:paraId="24D86F22" w14:textId="77777777" w:rsidR="00D01678" w:rsidRPr="00D01678" w:rsidRDefault="00D01678" w:rsidP="00D01678">
      <w:pPr>
        <w:pStyle w:val="ListParagraph"/>
        <w:rPr>
          <w:rFonts w:ascii="Verdana" w:hAnsi="Verdana" w:cs="Gotham Light"/>
          <w:b/>
          <w:bCs/>
          <w:color w:val="000000" w:themeColor="text1"/>
        </w:rPr>
      </w:pPr>
    </w:p>
    <w:p w14:paraId="6B2951CE" w14:textId="491E84C3" w:rsidR="0F41D650" w:rsidRPr="00D01678" w:rsidRDefault="0F41D650" w:rsidP="00915669">
      <w:pPr>
        <w:pStyle w:val="ListParagraph"/>
        <w:numPr>
          <w:ilvl w:val="1"/>
          <w:numId w:val="21"/>
        </w:numPr>
        <w:spacing w:line="276" w:lineRule="auto"/>
        <w:rPr>
          <w:rFonts w:ascii="Verdana" w:hAnsi="Verdana" w:cs="Gotham Light"/>
          <w:color w:val="000000"/>
        </w:rPr>
      </w:pPr>
      <w:r w:rsidRPr="00D01678">
        <w:rPr>
          <w:rFonts w:ascii="Verdana" w:hAnsi="Verdana" w:cs="Gotham Light"/>
          <w:b/>
          <w:bCs/>
          <w:color w:val="000000" w:themeColor="text1"/>
        </w:rPr>
        <w:t xml:space="preserve">The Advisory Committee may wish to recommend that the State Party seeks formal advice from the NIHRC in respect of its legacy proposals. </w:t>
      </w:r>
    </w:p>
    <w:p w14:paraId="21E79914" w14:textId="313BCEA7" w:rsidR="00E76ED1" w:rsidRPr="00E76ED1" w:rsidRDefault="00C21F48" w:rsidP="00A16ADD">
      <w:pPr>
        <w:pStyle w:val="Heading1"/>
      </w:pPr>
      <w:bookmarkStart w:id="47" w:name="_Hlk95214742"/>
      <w:bookmarkStart w:id="48" w:name="_Toc97030935"/>
      <w:r>
        <w:t xml:space="preserve">9.0. </w:t>
      </w:r>
      <w:r w:rsidR="00E76ED1">
        <w:t>Article 10: Minority language rights</w:t>
      </w:r>
      <w:bookmarkEnd w:id="48"/>
      <w:r w:rsidR="00E76ED1">
        <w:t xml:space="preserve"> </w:t>
      </w:r>
    </w:p>
    <w:p w14:paraId="0F69FF31" w14:textId="1F63BFD0" w:rsidR="00AC6493" w:rsidRPr="00E76ED1" w:rsidRDefault="00AC6493" w:rsidP="00C42A0A">
      <w:pPr>
        <w:spacing w:line="276" w:lineRule="auto"/>
        <w:rPr>
          <w:rFonts w:ascii="Verdana" w:hAnsi="Verdana" w:cs="Gotham Light"/>
          <w:b/>
          <w:bCs/>
          <w:color w:val="000000"/>
        </w:rPr>
      </w:pPr>
    </w:p>
    <w:p w14:paraId="00E91C22" w14:textId="09E8E22D" w:rsidR="00C21F48" w:rsidRDefault="00E76ED1" w:rsidP="00915669">
      <w:pPr>
        <w:pStyle w:val="ListParagraph"/>
        <w:numPr>
          <w:ilvl w:val="1"/>
          <w:numId w:val="22"/>
        </w:numPr>
        <w:spacing w:line="276" w:lineRule="auto"/>
        <w:rPr>
          <w:rFonts w:ascii="Verdana" w:hAnsi="Verdana" w:cs="Gotham Light"/>
          <w:color w:val="000000"/>
        </w:rPr>
      </w:pPr>
      <w:r w:rsidRPr="00C21F48">
        <w:rPr>
          <w:rFonts w:ascii="Verdana" w:hAnsi="Verdana" w:cs="Gotham Light"/>
          <w:color w:val="000000"/>
        </w:rPr>
        <w:t>The Belfast (Good Friday) Agreement 1998 recognised the “importance of respect, understanding and tolerance in relation to linguistic diversity, including in Northern Ireland, the Irish language, Ulster Scots and the languages of the various ethnic communities, all of which are part of the cultural wealth of the island of Ireland”.</w:t>
      </w:r>
      <w:r w:rsidRPr="00E76ED1">
        <w:rPr>
          <w:vertAlign w:val="superscript"/>
        </w:rPr>
        <w:footnoteReference w:id="344"/>
      </w:r>
    </w:p>
    <w:p w14:paraId="46399710" w14:textId="77777777" w:rsidR="00C21F48" w:rsidRDefault="00C21F48" w:rsidP="00C21F48">
      <w:pPr>
        <w:pStyle w:val="ListParagraph"/>
        <w:spacing w:line="276" w:lineRule="auto"/>
        <w:rPr>
          <w:rFonts w:ascii="Verdana" w:hAnsi="Verdana" w:cs="Gotham Light"/>
          <w:color w:val="000000"/>
        </w:rPr>
      </w:pPr>
    </w:p>
    <w:p w14:paraId="7C671881" w14:textId="77777777" w:rsidR="00C21F48" w:rsidRDefault="00E76ED1" w:rsidP="00915669">
      <w:pPr>
        <w:pStyle w:val="ListParagraph"/>
        <w:numPr>
          <w:ilvl w:val="1"/>
          <w:numId w:val="22"/>
        </w:numPr>
        <w:spacing w:line="276" w:lineRule="auto"/>
        <w:rPr>
          <w:rFonts w:ascii="Verdana" w:hAnsi="Verdana" w:cs="Gotham Light"/>
          <w:color w:val="000000"/>
        </w:rPr>
      </w:pPr>
      <w:r w:rsidRPr="00C21F48">
        <w:rPr>
          <w:rFonts w:ascii="Verdana" w:hAnsi="Verdana" w:cs="Gotham Light"/>
          <w:color w:val="000000"/>
        </w:rPr>
        <w:t>The St Andrews Agreement 2006 committed the Government to introduce an Irish Language Act, reflecting on the experience of Wales and Ireland and work with the incoming Executive to enhance and protect the development of the Irish language.</w:t>
      </w:r>
      <w:r w:rsidRPr="00E76ED1">
        <w:rPr>
          <w:vertAlign w:val="superscript"/>
        </w:rPr>
        <w:footnoteReference w:id="345"/>
      </w:r>
      <w:r w:rsidRPr="00C21F48">
        <w:rPr>
          <w:rFonts w:ascii="Verdana" w:hAnsi="Verdana" w:cs="Gotham Light"/>
          <w:color w:val="000000"/>
        </w:rPr>
        <w:t xml:space="preserve"> The Northern Ireland (St Andrew’s Agreement) Act 2006 required the Executive Committee to adopt strategies relating to the Irish language and Ulster-Scots.</w:t>
      </w:r>
      <w:r w:rsidRPr="00E76ED1">
        <w:rPr>
          <w:vertAlign w:val="superscript"/>
        </w:rPr>
        <w:footnoteReference w:id="346"/>
      </w:r>
    </w:p>
    <w:p w14:paraId="1A2406B3" w14:textId="77777777" w:rsidR="00C21F48" w:rsidRPr="00C21F48" w:rsidRDefault="00C21F48" w:rsidP="00C21F48">
      <w:pPr>
        <w:pStyle w:val="ListParagraph"/>
        <w:rPr>
          <w:rFonts w:ascii="Verdana" w:hAnsi="Verdana" w:cs="Gotham Light"/>
          <w:color w:val="000000"/>
        </w:rPr>
      </w:pPr>
    </w:p>
    <w:p w14:paraId="34ADB07F" w14:textId="77777777" w:rsidR="00C21F48" w:rsidRDefault="00E76ED1" w:rsidP="00915669">
      <w:pPr>
        <w:pStyle w:val="ListParagraph"/>
        <w:numPr>
          <w:ilvl w:val="1"/>
          <w:numId w:val="22"/>
        </w:numPr>
        <w:spacing w:line="276" w:lineRule="auto"/>
        <w:rPr>
          <w:rFonts w:ascii="Verdana" w:hAnsi="Verdana" w:cs="Gotham Light"/>
          <w:color w:val="000000"/>
        </w:rPr>
      </w:pPr>
      <w:r w:rsidRPr="00C21F48">
        <w:rPr>
          <w:rFonts w:ascii="Verdana" w:hAnsi="Verdana" w:cs="Gotham Light"/>
          <w:color w:val="000000"/>
        </w:rPr>
        <w:t xml:space="preserve">The Stormont House Agreement (SHA) recalled commitments from previous </w:t>
      </w:r>
      <w:r w:rsidR="005B4E36" w:rsidRPr="00C21F48">
        <w:rPr>
          <w:rFonts w:ascii="Verdana" w:hAnsi="Verdana" w:cs="Gotham Light"/>
          <w:color w:val="000000"/>
        </w:rPr>
        <w:t>a</w:t>
      </w:r>
      <w:r w:rsidRPr="00C21F48">
        <w:rPr>
          <w:rFonts w:ascii="Verdana" w:hAnsi="Verdana" w:cs="Gotham Light"/>
          <w:color w:val="000000"/>
        </w:rPr>
        <w:t>greements, and “recognising the importance of understanding, tolerance and respect in relation to linguistic diversity, endorse the need for respect for and recognition of the Irish language in Northern Ireland, consistent with the Council of Europe Charter on Regional or Minority Languages”.</w:t>
      </w:r>
      <w:r w:rsidRPr="00E76ED1">
        <w:rPr>
          <w:vertAlign w:val="superscript"/>
        </w:rPr>
        <w:footnoteReference w:id="347"/>
      </w:r>
      <w:r w:rsidRPr="00C21F48">
        <w:rPr>
          <w:rFonts w:ascii="Verdana" w:hAnsi="Verdana" w:cs="Gotham Light"/>
          <w:color w:val="000000"/>
        </w:rPr>
        <w:t xml:space="preserve"> This remains outstanding in the ‘Fresh Start: Stormont Agreement and Implementation Plan’.</w:t>
      </w:r>
      <w:r w:rsidRPr="00E76ED1">
        <w:rPr>
          <w:vertAlign w:val="superscript"/>
        </w:rPr>
        <w:footnoteReference w:id="348"/>
      </w:r>
    </w:p>
    <w:p w14:paraId="0658C864" w14:textId="77777777" w:rsidR="00C21F48" w:rsidRPr="00C21F48" w:rsidRDefault="00C21F48" w:rsidP="00C21F48">
      <w:pPr>
        <w:pStyle w:val="ListParagraph"/>
        <w:rPr>
          <w:rFonts w:ascii="Verdana" w:hAnsi="Verdana" w:cs="Gotham Light"/>
          <w:color w:val="000000"/>
        </w:rPr>
      </w:pPr>
    </w:p>
    <w:p w14:paraId="6A56933E" w14:textId="77777777" w:rsidR="00C21F48" w:rsidRDefault="00E76ED1" w:rsidP="00915669">
      <w:pPr>
        <w:pStyle w:val="ListParagraph"/>
        <w:numPr>
          <w:ilvl w:val="1"/>
          <w:numId w:val="22"/>
        </w:numPr>
        <w:spacing w:line="276" w:lineRule="auto"/>
        <w:rPr>
          <w:rFonts w:ascii="Verdana" w:hAnsi="Verdana" w:cs="Gotham Light"/>
          <w:color w:val="000000"/>
        </w:rPr>
      </w:pPr>
      <w:r w:rsidRPr="00C21F48">
        <w:rPr>
          <w:rFonts w:ascii="Verdana" w:hAnsi="Verdana" w:cs="Gotham Light"/>
          <w:color w:val="000000"/>
        </w:rPr>
        <w:t>At the conclusion of the previous monitoring cycle, the Advisory Committee highlighted legislation as a necessity to protect and promote the Irish language and called upon the UK Government to help create the political consensus needed for such adoption.</w:t>
      </w:r>
      <w:r w:rsidRPr="00E76ED1">
        <w:rPr>
          <w:vertAlign w:val="superscript"/>
        </w:rPr>
        <w:footnoteReference w:id="349"/>
      </w:r>
    </w:p>
    <w:p w14:paraId="165BB2C7" w14:textId="77777777" w:rsidR="00C21F48" w:rsidRPr="00C21F48" w:rsidRDefault="00C21F48" w:rsidP="00C21F48">
      <w:pPr>
        <w:pStyle w:val="ListParagraph"/>
        <w:rPr>
          <w:rFonts w:ascii="Verdana" w:hAnsi="Verdana" w:cs="Gotham Light"/>
          <w:color w:val="000000"/>
        </w:rPr>
      </w:pPr>
    </w:p>
    <w:p w14:paraId="7A3B344F" w14:textId="77777777" w:rsidR="00C21F48" w:rsidRDefault="00E76ED1" w:rsidP="00915669">
      <w:pPr>
        <w:pStyle w:val="ListParagraph"/>
        <w:numPr>
          <w:ilvl w:val="1"/>
          <w:numId w:val="22"/>
        </w:numPr>
        <w:spacing w:line="276" w:lineRule="auto"/>
        <w:rPr>
          <w:rFonts w:ascii="Verdana" w:hAnsi="Verdana" w:cs="Gotham Light"/>
          <w:color w:val="000000"/>
        </w:rPr>
      </w:pPr>
      <w:r w:rsidRPr="00C21F48">
        <w:rPr>
          <w:rFonts w:ascii="Verdana" w:hAnsi="Verdana" w:cs="Gotham Light"/>
          <w:color w:val="000000"/>
        </w:rPr>
        <w:t>Through the New Decade, New Approach agreement, the NI Executive agreed to legislate to implement a framework to recognise and celebrate NI’s “diversity of identities and culture and accommodating cultural difference”.</w:t>
      </w:r>
      <w:r w:rsidRPr="00E76ED1">
        <w:rPr>
          <w:vertAlign w:val="superscript"/>
        </w:rPr>
        <w:footnoteReference w:id="350"/>
      </w:r>
      <w:r w:rsidRPr="00C21F48">
        <w:rPr>
          <w:rFonts w:ascii="Verdana" w:hAnsi="Verdana" w:cs="Gotham Light"/>
          <w:color w:val="000000"/>
        </w:rPr>
        <w:t xml:space="preserve"> </w:t>
      </w:r>
      <w:r w:rsidR="00AC6493" w:rsidRPr="00C21F48">
        <w:rPr>
          <w:rFonts w:ascii="Verdana" w:hAnsi="Verdana" w:cs="Gotham Light"/>
          <w:color w:val="000000"/>
        </w:rPr>
        <w:t>The three Bills that were intended to provide for this legislative framework were published with the agreement – NI Act 1998 (Amendment No 1) Bill, NI Act 1998 (Amendment No 2) Bill, and NI Act (Amendment No 3) Bill. These Bills were to be presented to the NI Assembly by April 2020,</w:t>
      </w:r>
      <w:r w:rsidR="00AC6493" w:rsidRPr="00E76ED1">
        <w:rPr>
          <w:vertAlign w:val="superscript"/>
        </w:rPr>
        <w:footnoteReference w:id="351"/>
      </w:r>
      <w:r w:rsidR="00AC6493" w:rsidRPr="00C21F48">
        <w:rPr>
          <w:rFonts w:ascii="Verdana" w:hAnsi="Verdana" w:cs="Gotham Light"/>
          <w:color w:val="000000"/>
        </w:rPr>
        <w:t xml:space="preserve"> but this is still awaited.</w:t>
      </w:r>
    </w:p>
    <w:p w14:paraId="4C52A878" w14:textId="77777777" w:rsidR="00C21F48" w:rsidRPr="00C21F48" w:rsidRDefault="00C21F48" w:rsidP="00C21F48">
      <w:pPr>
        <w:pStyle w:val="ListParagraph"/>
        <w:rPr>
          <w:rFonts w:ascii="Verdana" w:hAnsi="Verdana" w:cs="Gotham Light"/>
          <w:color w:val="000000"/>
        </w:rPr>
      </w:pPr>
    </w:p>
    <w:p w14:paraId="42456BC2" w14:textId="095E1AEA" w:rsidR="00E76ED1" w:rsidRPr="00C21F48" w:rsidRDefault="00E76ED1" w:rsidP="00915669">
      <w:pPr>
        <w:pStyle w:val="ListParagraph"/>
        <w:numPr>
          <w:ilvl w:val="1"/>
          <w:numId w:val="22"/>
        </w:numPr>
        <w:spacing w:line="276" w:lineRule="auto"/>
        <w:rPr>
          <w:rFonts w:ascii="Verdana" w:hAnsi="Verdana" w:cs="Gotham Light"/>
          <w:color w:val="000000"/>
        </w:rPr>
      </w:pPr>
      <w:r w:rsidRPr="00C21F48">
        <w:rPr>
          <w:rFonts w:ascii="Verdana" w:hAnsi="Verdana" w:cs="Gotham Light"/>
          <w:color w:val="000000"/>
        </w:rPr>
        <w:t xml:space="preserve">In May 2020, the </w:t>
      </w:r>
      <w:r w:rsidR="002B1E06" w:rsidRPr="00C21F48">
        <w:rPr>
          <w:rFonts w:ascii="Verdana" w:hAnsi="Verdana" w:cs="Gotham Light"/>
          <w:color w:val="000000"/>
        </w:rPr>
        <w:t xml:space="preserve">NIHRC </w:t>
      </w:r>
      <w:r w:rsidRPr="00C21F48">
        <w:rPr>
          <w:rFonts w:ascii="Verdana" w:hAnsi="Verdana" w:cs="Gotham Light"/>
          <w:color w:val="000000"/>
        </w:rPr>
        <w:t>provided advice to the Executive Office and Secretary of State for NI, Brandon Lewis MP, on the three Bills.</w:t>
      </w:r>
      <w:r w:rsidRPr="00E76ED1">
        <w:rPr>
          <w:vertAlign w:val="superscript"/>
        </w:rPr>
        <w:footnoteReference w:id="352"/>
      </w:r>
      <w:r w:rsidR="002B1E06" w:rsidRPr="00C21F48">
        <w:rPr>
          <w:rFonts w:ascii="Verdana" w:hAnsi="Verdana" w:cs="Gotham Light"/>
          <w:color w:val="000000"/>
        </w:rPr>
        <w:t xml:space="preserve"> In February 2021, the NIHRC additionally provided a submission to the Committee of Experts on the European Charter for Regional and Minority Languages which examines NI’s compliance with the Charter.</w:t>
      </w:r>
      <w:r w:rsidR="002B1E06">
        <w:rPr>
          <w:rStyle w:val="FootnoteReference"/>
          <w:rFonts w:ascii="Verdana" w:hAnsi="Verdana" w:cs="Gotham Light"/>
          <w:color w:val="000000"/>
        </w:rPr>
        <w:footnoteReference w:id="353"/>
      </w:r>
    </w:p>
    <w:p w14:paraId="7C43CB16" w14:textId="77777777" w:rsidR="00E76ED1" w:rsidRPr="00E76ED1" w:rsidRDefault="00E76ED1" w:rsidP="00C42A0A">
      <w:pPr>
        <w:pStyle w:val="ListParagraph"/>
        <w:spacing w:line="276" w:lineRule="auto"/>
        <w:ind w:left="851"/>
        <w:rPr>
          <w:rFonts w:ascii="Verdana" w:hAnsi="Verdana" w:cs="Gotham Light"/>
          <w:color w:val="000000"/>
        </w:rPr>
      </w:pPr>
    </w:p>
    <w:p w14:paraId="4FD3147C" w14:textId="1267A6E5" w:rsidR="00E76ED1" w:rsidRPr="00E76ED1" w:rsidRDefault="00E76ED1" w:rsidP="005907DC">
      <w:pPr>
        <w:pStyle w:val="Heading2"/>
        <w:rPr>
          <w:rFonts w:cs="Gotham Light"/>
          <w:b w:val="0"/>
          <w:bCs/>
          <w:color w:val="000000"/>
        </w:rPr>
      </w:pPr>
      <w:bookmarkStart w:id="49" w:name="_Toc97030936"/>
      <w:r w:rsidRPr="00E76ED1">
        <w:t xml:space="preserve">Irish </w:t>
      </w:r>
      <w:r w:rsidR="00AC6493">
        <w:rPr>
          <w:rFonts w:cs="Gotham Light"/>
          <w:bCs/>
          <w:color w:val="000000"/>
        </w:rPr>
        <w:t>L</w:t>
      </w:r>
      <w:r w:rsidRPr="00E76ED1">
        <w:rPr>
          <w:rFonts w:cs="Gotham Light"/>
          <w:bCs/>
          <w:color w:val="000000"/>
        </w:rPr>
        <w:t>anguage</w:t>
      </w:r>
      <w:bookmarkEnd w:id="49"/>
      <w:r w:rsidRPr="00E76ED1">
        <w:rPr>
          <w:rFonts w:cs="Gotham Light"/>
          <w:bCs/>
          <w:color w:val="000000"/>
        </w:rPr>
        <w:t xml:space="preserve"> </w:t>
      </w:r>
    </w:p>
    <w:p w14:paraId="6FC5BEDF" w14:textId="77777777" w:rsidR="00E76ED1" w:rsidRDefault="00E76ED1" w:rsidP="00B065F7">
      <w:pPr>
        <w:spacing w:line="276" w:lineRule="auto"/>
        <w:rPr>
          <w:rFonts w:ascii="Verdana" w:hAnsi="Verdana" w:cs="Gotham Light"/>
          <w:color w:val="000000"/>
        </w:rPr>
      </w:pPr>
    </w:p>
    <w:p w14:paraId="7164C7BB" w14:textId="38B115EC" w:rsidR="00B065F7" w:rsidRDefault="00B065F7" w:rsidP="005907DC">
      <w:pPr>
        <w:pStyle w:val="Heading3"/>
        <w:rPr>
          <w:rFonts w:cs="Gotham Light"/>
          <w:color w:val="000000"/>
        </w:rPr>
      </w:pPr>
      <w:bookmarkStart w:id="50" w:name="_Toc97030937"/>
      <w:r w:rsidRPr="00B065F7">
        <w:t>Irish Language Strategy</w:t>
      </w:r>
      <w:bookmarkEnd w:id="50"/>
    </w:p>
    <w:p w14:paraId="5F7EC6C2" w14:textId="77777777" w:rsidR="00E76ED1" w:rsidRPr="00E76ED1" w:rsidRDefault="00E76ED1" w:rsidP="00C42A0A">
      <w:pPr>
        <w:pStyle w:val="ListParagraph"/>
        <w:spacing w:line="276" w:lineRule="auto"/>
        <w:ind w:left="851"/>
        <w:rPr>
          <w:rFonts w:ascii="Verdana" w:hAnsi="Verdana" w:cs="Gotham Light"/>
          <w:color w:val="000000"/>
        </w:rPr>
      </w:pPr>
    </w:p>
    <w:p w14:paraId="03B27D0E" w14:textId="717446A5" w:rsidR="00BC08AA"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color w:val="000000"/>
        </w:rPr>
        <w:t xml:space="preserve">Prior to </w:t>
      </w:r>
      <w:r w:rsidR="005907DC" w:rsidRPr="00BC08AA">
        <w:rPr>
          <w:rFonts w:ascii="Verdana" w:hAnsi="Verdana" w:cs="Gotham Light"/>
          <w:color w:val="000000"/>
        </w:rPr>
        <w:t xml:space="preserve">the </w:t>
      </w:r>
      <w:r w:rsidRPr="00BC08AA">
        <w:rPr>
          <w:rFonts w:ascii="Verdana" w:hAnsi="Verdana" w:cs="Gotham Light"/>
          <w:color w:val="000000"/>
        </w:rPr>
        <w:t>New Decade, New Approach</w:t>
      </w:r>
      <w:r w:rsidR="005907DC" w:rsidRPr="00BC08AA">
        <w:rPr>
          <w:rFonts w:ascii="Verdana" w:hAnsi="Verdana" w:cs="Gotham Light"/>
          <w:color w:val="000000"/>
        </w:rPr>
        <w:t xml:space="preserve"> agreement</w:t>
      </w:r>
      <w:r w:rsidRPr="00BC08AA">
        <w:rPr>
          <w:rFonts w:ascii="Verdana" w:hAnsi="Verdana" w:cs="Gotham Light"/>
          <w:color w:val="000000"/>
        </w:rPr>
        <w:t>, previous commitments to an Irish Language Strategy have not been fulfilled. In 2017, in a challenge to the failure to produce a strategy, the NI High Court ruled that the NI Executive had failed to comply with its duty under section 28</w:t>
      </w:r>
      <w:proofErr w:type="gramStart"/>
      <w:r w:rsidRPr="00BC08AA">
        <w:rPr>
          <w:rFonts w:ascii="Verdana" w:hAnsi="Verdana" w:cs="Gotham Light"/>
          <w:color w:val="000000"/>
        </w:rPr>
        <w:t>D(</w:t>
      </w:r>
      <w:proofErr w:type="gramEnd"/>
      <w:r w:rsidRPr="00BC08AA">
        <w:rPr>
          <w:rFonts w:ascii="Verdana" w:hAnsi="Verdana" w:cs="Gotham Light"/>
          <w:color w:val="000000"/>
        </w:rPr>
        <w:t>1) of the St Andrews Agreement to “adopt a strategy setting out how it proposes to enhance and protect the development of the Irish language”.</w:t>
      </w:r>
      <w:r w:rsidRPr="00E76ED1">
        <w:rPr>
          <w:vertAlign w:val="superscript"/>
        </w:rPr>
        <w:footnoteReference w:id="354"/>
      </w:r>
    </w:p>
    <w:p w14:paraId="14C70980" w14:textId="77777777" w:rsidR="00BC08AA" w:rsidRDefault="00BC08AA" w:rsidP="00BC08AA">
      <w:pPr>
        <w:pStyle w:val="ListParagraph"/>
        <w:spacing w:line="276" w:lineRule="auto"/>
        <w:rPr>
          <w:rFonts w:ascii="Verdana" w:hAnsi="Verdana" w:cs="Gotham Light"/>
          <w:color w:val="000000"/>
        </w:rPr>
      </w:pPr>
    </w:p>
    <w:p w14:paraId="696B5EB3" w14:textId="77777777" w:rsidR="00BC08AA" w:rsidRDefault="00B065F7"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color w:val="000000"/>
        </w:rPr>
        <w:t>In 2020, New Decade New Approach committed to the introduction of an Irish Language Strategy and indicated a draft strategy would be produced for consultation within six months.</w:t>
      </w:r>
      <w:r w:rsidR="00AC6493">
        <w:rPr>
          <w:rStyle w:val="FootnoteReference"/>
          <w:rFonts w:ascii="Verdana" w:hAnsi="Verdana" w:cs="Gotham Light"/>
          <w:color w:val="000000"/>
        </w:rPr>
        <w:footnoteReference w:id="355"/>
      </w:r>
      <w:r w:rsidRPr="00BC08AA">
        <w:rPr>
          <w:rFonts w:ascii="Verdana" w:hAnsi="Verdana" w:cs="Gotham Light"/>
          <w:color w:val="000000"/>
        </w:rPr>
        <w:t xml:space="preserve"> In</w:t>
      </w:r>
      <w:r w:rsidRPr="00BC08AA" w:rsidDel="001B2D7A">
        <w:rPr>
          <w:rFonts w:ascii="Verdana" w:hAnsi="Verdana" w:cs="Gotham Light"/>
          <w:color w:val="000000"/>
        </w:rPr>
        <w:t xml:space="preserve"> </w:t>
      </w:r>
      <w:r w:rsidR="001B2D7A" w:rsidRPr="00BC08AA">
        <w:rPr>
          <w:rFonts w:ascii="Verdana" w:hAnsi="Verdana" w:cs="Gotham Light"/>
          <w:color w:val="000000"/>
        </w:rPr>
        <w:t>June</w:t>
      </w:r>
      <w:r w:rsidRPr="00BC08AA">
        <w:rPr>
          <w:rFonts w:ascii="Verdana" w:hAnsi="Verdana" w:cs="Gotham Light"/>
          <w:color w:val="000000"/>
        </w:rPr>
        <w:t xml:space="preserve"> 2021, Conradh na Gaeilge was</w:t>
      </w:r>
      <w:r w:rsidR="00AC6493" w:rsidRPr="00BC08AA">
        <w:rPr>
          <w:rFonts w:ascii="Verdana" w:hAnsi="Verdana" w:cs="Gotham Light"/>
          <w:color w:val="000000"/>
        </w:rPr>
        <w:t xml:space="preserve"> </w:t>
      </w:r>
      <w:r w:rsidRPr="00BC08AA">
        <w:rPr>
          <w:rFonts w:ascii="Verdana" w:hAnsi="Verdana" w:cs="Gotham Light"/>
          <w:color w:val="000000"/>
        </w:rPr>
        <w:t xml:space="preserve">granted leave by the </w:t>
      </w:r>
      <w:r w:rsidR="001B2D7A" w:rsidRPr="00BC08AA">
        <w:rPr>
          <w:rFonts w:ascii="Verdana" w:hAnsi="Verdana" w:cs="Gotham Light"/>
          <w:color w:val="000000"/>
        </w:rPr>
        <w:t xml:space="preserve">NI </w:t>
      </w:r>
      <w:r w:rsidRPr="00BC08AA">
        <w:rPr>
          <w:rFonts w:ascii="Verdana" w:hAnsi="Verdana" w:cs="Gotham Light"/>
          <w:color w:val="000000"/>
        </w:rPr>
        <w:t xml:space="preserve">High Court to apply for a judicial review </w:t>
      </w:r>
      <w:r w:rsidR="001B2D7A" w:rsidRPr="00BC08AA">
        <w:rPr>
          <w:rFonts w:ascii="Verdana" w:hAnsi="Verdana" w:cs="Gotham Light"/>
          <w:color w:val="000000"/>
        </w:rPr>
        <w:t xml:space="preserve">of the failure to </w:t>
      </w:r>
      <w:r w:rsidR="00A57730" w:rsidRPr="00BC08AA">
        <w:rPr>
          <w:rFonts w:ascii="Verdana" w:hAnsi="Verdana" w:cs="Gotham Light"/>
          <w:color w:val="000000"/>
        </w:rPr>
        <w:t>implement</w:t>
      </w:r>
      <w:r w:rsidR="001B2D7A" w:rsidRPr="00BC08AA">
        <w:rPr>
          <w:rFonts w:ascii="Verdana" w:hAnsi="Verdana" w:cs="Gotham Light"/>
          <w:color w:val="000000"/>
        </w:rPr>
        <w:t xml:space="preserve"> a strategy</w:t>
      </w:r>
      <w:r w:rsidRPr="00BC08AA">
        <w:rPr>
          <w:rFonts w:ascii="Verdana" w:hAnsi="Verdana" w:cs="Gotham Light"/>
          <w:color w:val="000000"/>
        </w:rPr>
        <w:t>.</w:t>
      </w:r>
      <w:r w:rsidR="00AC6493">
        <w:rPr>
          <w:rStyle w:val="FootnoteReference"/>
          <w:rFonts w:ascii="Verdana" w:hAnsi="Verdana" w:cs="Gotham Light"/>
          <w:color w:val="000000"/>
        </w:rPr>
        <w:footnoteReference w:id="356"/>
      </w:r>
      <w:r w:rsidR="00A57730" w:rsidRPr="00BC08AA">
        <w:rPr>
          <w:rFonts w:ascii="Verdana" w:hAnsi="Verdana" w:cs="Gotham Light"/>
          <w:color w:val="000000"/>
        </w:rPr>
        <w:t xml:space="preserve"> A hearing is awaited. </w:t>
      </w:r>
    </w:p>
    <w:p w14:paraId="571CDE8E" w14:textId="77777777" w:rsidR="00BC08AA" w:rsidRPr="00BC08AA" w:rsidRDefault="00BC08AA" w:rsidP="00BC08AA">
      <w:pPr>
        <w:pStyle w:val="ListParagraph"/>
        <w:rPr>
          <w:rFonts w:ascii="Verdana" w:hAnsi="Verdana" w:cs="Gotham Light"/>
          <w:color w:val="000000"/>
        </w:rPr>
      </w:pPr>
    </w:p>
    <w:p w14:paraId="69162DBC" w14:textId="77777777" w:rsidR="00BC08AA"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color w:val="000000"/>
        </w:rPr>
        <w:t>In August 2021, the Minister for Communities commenced preparatory work to assist the production of the Irish Language Strategy</w:t>
      </w:r>
      <w:r w:rsidR="00690CB8" w:rsidRPr="00BC08AA">
        <w:rPr>
          <w:rFonts w:ascii="Verdana" w:hAnsi="Verdana" w:cs="Gotham Light"/>
          <w:color w:val="000000"/>
        </w:rPr>
        <w:t xml:space="preserve"> </w:t>
      </w:r>
      <w:r w:rsidRPr="00BC08AA">
        <w:rPr>
          <w:rFonts w:ascii="Verdana" w:hAnsi="Verdana" w:cs="Gotham Light"/>
          <w:color w:val="000000"/>
        </w:rPr>
        <w:t>through a co-design process</w:t>
      </w:r>
      <w:r w:rsidR="00690CB8" w:rsidRPr="00BC08AA">
        <w:rPr>
          <w:rFonts w:ascii="Verdana" w:hAnsi="Verdana" w:cs="Gotham Light"/>
          <w:color w:val="000000"/>
        </w:rPr>
        <w:t xml:space="preserve"> which</w:t>
      </w:r>
      <w:r w:rsidRPr="00BC08AA">
        <w:rPr>
          <w:rFonts w:ascii="Verdana" w:hAnsi="Verdana" w:cs="Gotham Light"/>
          <w:color w:val="000000"/>
        </w:rPr>
        <w:t xml:space="preserve"> involv</w:t>
      </w:r>
      <w:r w:rsidR="00690CB8" w:rsidRPr="00BC08AA">
        <w:rPr>
          <w:rFonts w:ascii="Verdana" w:hAnsi="Verdana" w:cs="Gotham Light"/>
          <w:color w:val="000000"/>
        </w:rPr>
        <w:t>es</w:t>
      </w:r>
      <w:r w:rsidRPr="00BC08AA">
        <w:rPr>
          <w:rFonts w:ascii="Verdana" w:hAnsi="Verdana" w:cs="Gotham Light"/>
          <w:color w:val="000000"/>
        </w:rPr>
        <w:t xml:space="preserve"> representatives from the sector.</w:t>
      </w:r>
      <w:r w:rsidRPr="00E76ED1">
        <w:rPr>
          <w:vertAlign w:val="superscript"/>
        </w:rPr>
        <w:footnoteReference w:id="357"/>
      </w:r>
      <w:r w:rsidRPr="00BC08AA">
        <w:rPr>
          <w:rFonts w:ascii="Verdana" w:hAnsi="Verdana" w:cs="Gotham Light"/>
          <w:color w:val="000000"/>
        </w:rPr>
        <w:t xml:space="preserve"> </w:t>
      </w:r>
      <w:r w:rsidR="00690CB8" w:rsidRPr="00BC08AA">
        <w:rPr>
          <w:rFonts w:ascii="Verdana" w:hAnsi="Verdana" w:cs="Gotham Light"/>
          <w:color w:val="000000"/>
        </w:rPr>
        <w:t>An</w:t>
      </w:r>
      <w:r w:rsidRPr="00BC08AA">
        <w:rPr>
          <w:rFonts w:ascii="Verdana" w:hAnsi="Verdana" w:cs="Gotham Light"/>
          <w:color w:val="000000"/>
        </w:rPr>
        <w:t xml:space="preserve"> expert advisory panel </w:t>
      </w:r>
      <w:r w:rsidR="001B2D7A" w:rsidRPr="00BC08AA">
        <w:rPr>
          <w:rFonts w:ascii="Verdana" w:hAnsi="Verdana" w:cs="Gotham Light"/>
          <w:color w:val="000000"/>
        </w:rPr>
        <w:t xml:space="preserve">was </w:t>
      </w:r>
      <w:r w:rsidRPr="00BC08AA">
        <w:rPr>
          <w:rFonts w:ascii="Verdana" w:hAnsi="Verdana" w:cs="Gotham Light"/>
          <w:color w:val="000000"/>
        </w:rPr>
        <w:t xml:space="preserve">appointed to provide recommendations about what key actions should be included in </w:t>
      </w:r>
      <w:r w:rsidR="00690CB8" w:rsidRPr="00BC08AA">
        <w:rPr>
          <w:rFonts w:ascii="Verdana" w:hAnsi="Verdana" w:cs="Gotham Light"/>
          <w:color w:val="000000"/>
        </w:rPr>
        <w:t>the</w:t>
      </w:r>
      <w:r w:rsidRPr="00BC08AA">
        <w:rPr>
          <w:rFonts w:ascii="Verdana" w:hAnsi="Verdana" w:cs="Gotham Light"/>
          <w:color w:val="000000"/>
        </w:rPr>
        <w:t xml:space="preserve"> strategy. The report </w:t>
      </w:r>
      <w:r w:rsidR="00690CB8" w:rsidRPr="00BC08AA">
        <w:rPr>
          <w:rFonts w:ascii="Verdana" w:hAnsi="Verdana" w:cs="Gotham Light"/>
          <w:color w:val="000000"/>
        </w:rPr>
        <w:t>is</w:t>
      </w:r>
      <w:r w:rsidRPr="00BC08AA">
        <w:rPr>
          <w:rFonts w:ascii="Verdana" w:hAnsi="Verdana" w:cs="Gotham Light"/>
          <w:color w:val="000000"/>
        </w:rPr>
        <w:t xml:space="preserve"> expected to be published in early 2022 which will then inform the working groups established to support the drafting </w:t>
      </w:r>
      <w:r w:rsidR="00690CB8" w:rsidRPr="00BC08AA">
        <w:rPr>
          <w:rFonts w:ascii="Verdana" w:hAnsi="Verdana" w:cs="Gotham Light"/>
          <w:color w:val="000000"/>
        </w:rPr>
        <w:t>process</w:t>
      </w:r>
      <w:r w:rsidRPr="00BC08AA">
        <w:rPr>
          <w:rFonts w:ascii="Verdana" w:hAnsi="Verdana" w:cs="Gotham Light"/>
          <w:color w:val="000000"/>
        </w:rPr>
        <w:t xml:space="preserve">. The </w:t>
      </w:r>
      <w:r w:rsidR="00690CB8" w:rsidRPr="00BC08AA">
        <w:rPr>
          <w:rFonts w:ascii="Verdana" w:hAnsi="Verdana" w:cs="Gotham Light"/>
          <w:color w:val="000000"/>
        </w:rPr>
        <w:t>NIHRC</w:t>
      </w:r>
      <w:r w:rsidRPr="00BC08AA">
        <w:rPr>
          <w:rFonts w:ascii="Verdana" w:hAnsi="Verdana" w:cs="Gotham Light"/>
          <w:color w:val="000000"/>
        </w:rPr>
        <w:t xml:space="preserve"> is a member of </w:t>
      </w:r>
      <w:r w:rsidR="00690CB8" w:rsidRPr="00BC08AA">
        <w:rPr>
          <w:rFonts w:ascii="Verdana" w:hAnsi="Verdana" w:cs="Gotham Light"/>
          <w:color w:val="000000"/>
        </w:rPr>
        <w:t>the</w:t>
      </w:r>
      <w:r w:rsidRPr="00BC08AA">
        <w:rPr>
          <w:rFonts w:ascii="Verdana" w:hAnsi="Verdana" w:cs="Gotham Light"/>
          <w:color w:val="000000"/>
        </w:rPr>
        <w:t xml:space="preserve"> </w:t>
      </w:r>
      <w:r w:rsidR="00690CB8" w:rsidRPr="00BC08AA">
        <w:rPr>
          <w:rFonts w:ascii="Verdana" w:hAnsi="Verdana" w:cs="Gotham Light"/>
          <w:color w:val="000000"/>
        </w:rPr>
        <w:t xml:space="preserve">Irish Language </w:t>
      </w:r>
      <w:r w:rsidRPr="00BC08AA">
        <w:rPr>
          <w:rFonts w:ascii="Verdana" w:hAnsi="Verdana" w:cs="Gotham Light"/>
          <w:color w:val="000000"/>
        </w:rPr>
        <w:t>Co-Design Group.</w:t>
      </w:r>
    </w:p>
    <w:p w14:paraId="12E56881" w14:textId="77777777" w:rsidR="00BC08AA" w:rsidRPr="00BC08AA" w:rsidRDefault="00BC08AA" w:rsidP="00BC08AA">
      <w:pPr>
        <w:pStyle w:val="ListParagraph"/>
        <w:rPr>
          <w:rFonts w:ascii="Verdana" w:hAnsi="Verdana" w:cs="Gotham Light"/>
          <w:b/>
          <w:color w:val="000000" w:themeColor="text1"/>
        </w:rPr>
      </w:pPr>
    </w:p>
    <w:p w14:paraId="5326511A" w14:textId="5BF5359A" w:rsidR="00A57730" w:rsidRPr="00BC08AA" w:rsidRDefault="00A57730"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b/>
          <w:color w:val="000000" w:themeColor="text1"/>
        </w:rPr>
        <w:t xml:space="preserve">The Advisory Committee may wish to seek assurances from the State Party that the necessary support is in place to guarantee the timely development and full implementation of the Irish Language Strategy. </w:t>
      </w:r>
    </w:p>
    <w:p w14:paraId="05A2B7DF" w14:textId="77777777" w:rsidR="00E76ED1" w:rsidRDefault="00E76ED1" w:rsidP="00690CB8">
      <w:pPr>
        <w:spacing w:line="276" w:lineRule="auto"/>
        <w:ind w:left="142"/>
        <w:rPr>
          <w:rFonts w:ascii="Verdana" w:hAnsi="Verdana" w:cs="Gotham Light"/>
          <w:color w:val="000000"/>
        </w:rPr>
      </w:pPr>
    </w:p>
    <w:p w14:paraId="78498D46" w14:textId="5D25E6EB" w:rsidR="00690CB8" w:rsidRDefault="00690CB8" w:rsidP="005907DC">
      <w:pPr>
        <w:pStyle w:val="Heading3"/>
      </w:pPr>
      <w:bookmarkStart w:id="51" w:name="_Toc97030938"/>
      <w:r w:rsidRPr="00690CB8">
        <w:t>Irish Language Provisions of the Northern Ireland Act 1998 (Amendment No. 2)</w:t>
      </w:r>
      <w:bookmarkEnd w:id="51"/>
    </w:p>
    <w:p w14:paraId="1218B5D7" w14:textId="77777777" w:rsidR="00690CB8" w:rsidRPr="00690CB8" w:rsidRDefault="00690CB8" w:rsidP="00690CB8">
      <w:pPr>
        <w:spacing w:line="276" w:lineRule="auto"/>
        <w:ind w:left="142"/>
        <w:rPr>
          <w:rFonts w:ascii="Verdana" w:hAnsi="Verdana" w:cs="Gotham Light"/>
          <w:color w:val="000000"/>
          <w:u w:val="single"/>
        </w:rPr>
      </w:pPr>
    </w:p>
    <w:p w14:paraId="704FF6E5" w14:textId="46BF99BD" w:rsidR="00BC08AA"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color w:val="000000"/>
        </w:rPr>
        <w:t>New Decade New Approach proposes the introduction of legislation to create an Irish Language Commissioner to “recognise, support, protect, and enhance the development of the Irish language” and to provide “official recognition of the status of the Irish language in NI”.</w:t>
      </w:r>
      <w:r w:rsidRPr="00E76ED1">
        <w:rPr>
          <w:vertAlign w:val="superscript"/>
        </w:rPr>
        <w:footnoteReference w:id="358"/>
      </w:r>
    </w:p>
    <w:p w14:paraId="3F79CCE3" w14:textId="77777777" w:rsidR="00BC08AA" w:rsidRDefault="00BC08AA" w:rsidP="00BC08AA">
      <w:pPr>
        <w:pStyle w:val="ListParagraph"/>
        <w:spacing w:line="276" w:lineRule="auto"/>
        <w:rPr>
          <w:rFonts w:ascii="Verdana" w:hAnsi="Verdana" w:cs="Gotham Light"/>
          <w:color w:val="000000"/>
        </w:rPr>
      </w:pPr>
    </w:p>
    <w:p w14:paraId="12BA8280" w14:textId="77777777" w:rsidR="00BC08AA" w:rsidRDefault="00E76ED1" w:rsidP="00915669">
      <w:pPr>
        <w:pStyle w:val="ListParagraph"/>
        <w:numPr>
          <w:ilvl w:val="1"/>
          <w:numId w:val="22"/>
        </w:numPr>
        <w:spacing w:line="276" w:lineRule="auto"/>
        <w:rPr>
          <w:rFonts w:ascii="Verdana" w:hAnsi="Verdana" w:cs="Gotham Light"/>
          <w:color w:val="000000"/>
        </w:rPr>
      </w:pPr>
      <w:r w:rsidRPr="00BC08AA" w:rsidDel="004052FD">
        <w:rPr>
          <w:rFonts w:ascii="Verdana" w:hAnsi="Verdana" w:cs="Gotham Light"/>
          <w:color w:val="000000"/>
        </w:rPr>
        <w:t>The draft Bill for Amendment No 2 provides official recognition of the status of the Irish Language in NI at clause 78F.</w:t>
      </w:r>
      <w:r w:rsidRPr="00690CB8" w:rsidDel="004052FD">
        <w:rPr>
          <w:vertAlign w:val="superscript"/>
        </w:rPr>
        <w:footnoteReference w:id="359"/>
      </w:r>
      <w:r w:rsidRPr="00BC08AA" w:rsidDel="004052FD">
        <w:rPr>
          <w:rFonts w:ascii="Verdana" w:hAnsi="Verdana" w:cs="Gotham Light"/>
          <w:color w:val="000000"/>
        </w:rPr>
        <w:t xml:space="preserve"> The NIHRC has advised that the legislation is necessary to fulfil human rights obligations but has raised a concern that the Bill does not outline the status of Irish language in tandem with English language.</w:t>
      </w:r>
    </w:p>
    <w:p w14:paraId="182D27BE" w14:textId="77777777" w:rsidR="00BC08AA" w:rsidRPr="00BC08AA" w:rsidRDefault="00BC08AA" w:rsidP="00BC08AA">
      <w:pPr>
        <w:pStyle w:val="ListParagraph"/>
        <w:rPr>
          <w:rFonts w:ascii="Verdana" w:hAnsi="Verdana" w:cs="Gotham Light"/>
          <w:color w:val="000000"/>
        </w:rPr>
      </w:pPr>
    </w:p>
    <w:p w14:paraId="14553B78" w14:textId="77777777" w:rsidR="00BC08AA"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color w:val="000000"/>
        </w:rPr>
        <w:t>Clauses 78G-H of the draft Bill for Amendment No 2 provide for the establishment of an Irish Language Commissioner and outlines the functions of the Commissioner.</w:t>
      </w:r>
      <w:r w:rsidRPr="00E76ED1">
        <w:rPr>
          <w:vertAlign w:val="superscript"/>
        </w:rPr>
        <w:footnoteReference w:id="360"/>
      </w:r>
      <w:r w:rsidRPr="00BC08AA">
        <w:rPr>
          <w:rFonts w:ascii="Verdana" w:hAnsi="Verdana" w:cs="Gotham Light"/>
          <w:color w:val="000000"/>
        </w:rPr>
        <w:t xml:space="preserve"> </w:t>
      </w:r>
      <w:r w:rsidR="005907DC" w:rsidRPr="00BC08AA">
        <w:rPr>
          <w:rFonts w:ascii="Verdana" w:hAnsi="Verdana" w:cs="Gotham Light"/>
          <w:color w:val="000000"/>
        </w:rPr>
        <w:t>T</w:t>
      </w:r>
      <w:r w:rsidRPr="00BC08AA">
        <w:rPr>
          <w:rFonts w:ascii="Verdana" w:hAnsi="Verdana" w:cs="Gotham Light"/>
          <w:color w:val="000000"/>
        </w:rPr>
        <w:t>he NIHRC outlined several concerns regarding the role and function of the Irish Language Commissioner.</w:t>
      </w:r>
      <w:r w:rsidRPr="00E76ED1">
        <w:rPr>
          <w:vertAlign w:val="superscript"/>
        </w:rPr>
        <w:footnoteReference w:id="361"/>
      </w:r>
      <w:r w:rsidRPr="00BC08AA">
        <w:rPr>
          <w:rFonts w:ascii="Verdana" w:hAnsi="Verdana" w:cs="Gotham Light"/>
          <w:color w:val="000000"/>
        </w:rPr>
        <w:t xml:space="preserve"> First, there is a disparity between the functions afforded to each of the language Commissioners and no clear reason has been advanced for this. For example, the Commissioner for Ulster Scots has a role to provide advice on the effect and implementation of the</w:t>
      </w:r>
      <w:r w:rsidR="005C63CB" w:rsidRPr="00BC08AA">
        <w:rPr>
          <w:rFonts w:ascii="Verdana" w:hAnsi="Verdana" w:cs="Gotham Light"/>
          <w:color w:val="000000"/>
        </w:rPr>
        <w:t xml:space="preserve"> European Charter for Regional or Minority Languages, FCNM and UN Convention on the Rights of the Child. </w:t>
      </w:r>
    </w:p>
    <w:p w14:paraId="24D71B73" w14:textId="77777777" w:rsidR="00BC08AA" w:rsidRPr="00BC08AA" w:rsidRDefault="00BC08AA" w:rsidP="00BC08AA">
      <w:pPr>
        <w:pStyle w:val="ListParagraph"/>
        <w:rPr>
          <w:rFonts w:ascii="Verdana" w:hAnsi="Verdana" w:cs="Gotham Light"/>
          <w:color w:val="000000" w:themeColor="text1"/>
        </w:rPr>
      </w:pPr>
    </w:p>
    <w:p w14:paraId="428ABB1B" w14:textId="77777777" w:rsidR="00BC08AA" w:rsidRPr="00BC08AA"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color w:val="000000" w:themeColor="text1"/>
        </w:rPr>
        <w:t xml:space="preserve">No similar role is provided for the Irish </w:t>
      </w:r>
      <w:r w:rsidR="006149C2" w:rsidRPr="00BC08AA">
        <w:rPr>
          <w:rFonts w:ascii="Verdana" w:hAnsi="Verdana" w:cs="Gotham Light"/>
          <w:color w:val="000000" w:themeColor="text1"/>
        </w:rPr>
        <w:t xml:space="preserve">Language </w:t>
      </w:r>
      <w:r w:rsidRPr="00BC08AA">
        <w:rPr>
          <w:rFonts w:ascii="Verdana" w:hAnsi="Verdana" w:cs="Gotham Light"/>
          <w:color w:val="000000" w:themeColor="text1"/>
        </w:rPr>
        <w:t xml:space="preserve">Commissioner. In addition, the function of the Irish </w:t>
      </w:r>
      <w:r w:rsidR="006149C2" w:rsidRPr="00BC08AA">
        <w:rPr>
          <w:rFonts w:ascii="Verdana" w:hAnsi="Verdana" w:cs="Gotham Light"/>
          <w:color w:val="000000" w:themeColor="text1"/>
        </w:rPr>
        <w:t xml:space="preserve">Language </w:t>
      </w:r>
      <w:r w:rsidRPr="00BC08AA">
        <w:rPr>
          <w:rFonts w:ascii="Verdana" w:hAnsi="Verdana" w:cs="Gotham Light"/>
          <w:color w:val="000000" w:themeColor="text1"/>
        </w:rPr>
        <w:t xml:space="preserve">Commissioner is to “protect and enhance” compared to the duty to “enhance and develop” given to the Ulster Scots/British Commissioner. Both functions </w:t>
      </w:r>
      <w:proofErr w:type="gramStart"/>
      <w:r w:rsidRPr="00BC08AA">
        <w:rPr>
          <w:rFonts w:ascii="Verdana" w:hAnsi="Verdana" w:cs="Gotham Light"/>
          <w:color w:val="000000" w:themeColor="text1"/>
        </w:rPr>
        <w:t>are in contrast to</w:t>
      </w:r>
      <w:proofErr w:type="gramEnd"/>
      <w:r w:rsidRPr="00BC08AA">
        <w:rPr>
          <w:rFonts w:ascii="Verdana" w:hAnsi="Verdana" w:cs="Gotham Light"/>
          <w:color w:val="000000" w:themeColor="text1"/>
        </w:rPr>
        <w:t xml:space="preserve"> the terminology used in international human rights standards. For example, the Vienna Declaration 1993 states, “the promotion and protection of all human rights and fundamental freedoms must be considered as a priority objective of the United Nations in accordance with its purposes and principles”. Human rights bodies have consistently reaffirmed the ‘promote and protect’ principles.</w:t>
      </w:r>
    </w:p>
    <w:p w14:paraId="5F38C85C" w14:textId="77777777" w:rsidR="00BC08AA" w:rsidRPr="00BC08AA" w:rsidRDefault="00BC08AA" w:rsidP="00BC08AA">
      <w:pPr>
        <w:pStyle w:val="ListParagraph"/>
        <w:rPr>
          <w:rFonts w:ascii="Verdana" w:hAnsi="Verdana" w:cs="Gotham Light"/>
          <w:b/>
          <w:color w:val="000000" w:themeColor="text1"/>
        </w:rPr>
      </w:pPr>
    </w:p>
    <w:p w14:paraId="3E25BE1A" w14:textId="77777777" w:rsidR="00BC08AA" w:rsidRPr="00BC08AA"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b/>
          <w:color w:val="000000" w:themeColor="text1"/>
        </w:rPr>
        <w:t>The Advisory Committee may wish to recommend that the primary role</w:t>
      </w:r>
      <w:r w:rsidR="006149C2" w:rsidRPr="00BC08AA">
        <w:rPr>
          <w:rFonts w:ascii="Verdana" w:hAnsi="Verdana" w:cs="Gotham Light"/>
          <w:b/>
          <w:color w:val="000000" w:themeColor="text1"/>
        </w:rPr>
        <w:t>s</w:t>
      </w:r>
      <w:r w:rsidRPr="00BC08AA">
        <w:rPr>
          <w:rFonts w:ascii="Verdana" w:hAnsi="Verdana" w:cs="Gotham Light"/>
          <w:b/>
          <w:color w:val="000000" w:themeColor="text1"/>
        </w:rPr>
        <w:t xml:space="preserve"> of the Irish Language Commissioner </w:t>
      </w:r>
      <w:r w:rsidR="006149C2" w:rsidRPr="00BC08AA">
        <w:rPr>
          <w:rFonts w:ascii="Verdana" w:hAnsi="Verdana" w:cs="Gotham Light"/>
          <w:b/>
          <w:color w:val="000000" w:themeColor="text1"/>
        </w:rPr>
        <w:t>and the Ulster Scots/ Ulster British Commissioner are</w:t>
      </w:r>
      <w:r w:rsidRPr="00BC08AA">
        <w:rPr>
          <w:rFonts w:ascii="Verdana" w:hAnsi="Verdana" w:cs="Gotham Light"/>
          <w:b/>
          <w:color w:val="000000" w:themeColor="text1"/>
        </w:rPr>
        <w:t xml:space="preserve"> amended to include both a duty to ‘enhance and develop’ and to ‘promote and protect’.</w:t>
      </w:r>
    </w:p>
    <w:p w14:paraId="48FABFE4" w14:textId="77777777" w:rsidR="00BC08AA" w:rsidRPr="00BC08AA" w:rsidRDefault="00BC08AA" w:rsidP="00BC08AA">
      <w:pPr>
        <w:pStyle w:val="ListParagraph"/>
        <w:rPr>
          <w:rFonts w:ascii="Verdana" w:hAnsi="Verdana" w:cs="Gotham Light"/>
          <w:b/>
          <w:color w:val="000000" w:themeColor="text1"/>
        </w:rPr>
      </w:pPr>
    </w:p>
    <w:p w14:paraId="2A3F5CA3" w14:textId="77777777" w:rsidR="00156EC1" w:rsidRPr="00156EC1" w:rsidRDefault="00E76ED1" w:rsidP="00915669">
      <w:pPr>
        <w:pStyle w:val="ListParagraph"/>
        <w:numPr>
          <w:ilvl w:val="1"/>
          <w:numId w:val="22"/>
        </w:numPr>
        <w:spacing w:line="276" w:lineRule="auto"/>
        <w:rPr>
          <w:rFonts w:ascii="Verdana" w:hAnsi="Verdana" w:cs="Gotham Light"/>
          <w:color w:val="000000"/>
        </w:rPr>
      </w:pPr>
      <w:r w:rsidRPr="00BC08AA">
        <w:rPr>
          <w:rFonts w:ascii="Verdana" w:hAnsi="Verdana" w:cs="Gotham Light"/>
          <w:b/>
          <w:color w:val="000000" w:themeColor="text1"/>
        </w:rPr>
        <w:t xml:space="preserve">The Advisory Committee may wish to recommend that the Irish Language Commissioner </w:t>
      </w:r>
      <w:r w:rsidR="00966423" w:rsidRPr="00BC08AA">
        <w:rPr>
          <w:rFonts w:ascii="Verdana" w:hAnsi="Verdana" w:cs="Gotham Light"/>
          <w:b/>
          <w:color w:val="000000" w:themeColor="text1"/>
        </w:rPr>
        <w:t>and</w:t>
      </w:r>
      <w:r w:rsidRPr="00BC08AA">
        <w:rPr>
          <w:rFonts w:ascii="Verdana" w:hAnsi="Verdana" w:cs="Gotham Light"/>
          <w:b/>
          <w:color w:val="000000" w:themeColor="text1"/>
        </w:rPr>
        <w:t xml:space="preserve"> the Ulster Scots/Ulster British Commissioner </w:t>
      </w:r>
      <w:r w:rsidR="00966423" w:rsidRPr="00BC08AA">
        <w:rPr>
          <w:rFonts w:ascii="Verdana" w:hAnsi="Verdana" w:cs="Gotham Light"/>
          <w:b/>
          <w:color w:val="000000" w:themeColor="text1"/>
        </w:rPr>
        <w:t xml:space="preserve">are </w:t>
      </w:r>
      <w:r w:rsidR="006149C2" w:rsidRPr="00BC08AA">
        <w:rPr>
          <w:rFonts w:ascii="Verdana" w:hAnsi="Verdana" w:cs="Gotham Light"/>
          <w:b/>
          <w:color w:val="000000" w:themeColor="text1"/>
        </w:rPr>
        <w:t>both</w:t>
      </w:r>
      <w:r w:rsidR="00966423" w:rsidRPr="00BC08AA">
        <w:rPr>
          <w:rFonts w:ascii="Verdana" w:hAnsi="Verdana" w:cs="Gotham Light"/>
          <w:b/>
          <w:color w:val="000000" w:themeColor="text1"/>
        </w:rPr>
        <w:t xml:space="preserve"> provided with</w:t>
      </w:r>
      <w:r w:rsidRPr="00BC08AA">
        <w:rPr>
          <w:rFonts w:ascii="Verdana" w:hAnsi="Verdana" w:cs="Gotham Light"/>
          <w:b/>
          <w:color w:val="000000" w:themeColor="text1"/>
        </w:rPr>
        <w:t xml:space="preserve"> an advisory role in respect of European Charter for Regional or Minority Languages, </w:t>
      </w:r>
      <w:r w:rsidR="00966423" w:rsidRPr="00BC08AA">
        <w:rPr>
          <w:rFonts w:ascii="Verdana" w:hAnsi="Verdana" w:cs="Gotham Light"/>
          <w:b/>
          <w:color w:val="000000" w:themeColor="text1"/>
        </w:rPr>
        <w:t xml:space="preserve">the </w:t>
      </w:r>
      <w:r w:rsidRPr="00BC08AA">
        <w:rPr>
          <w:rFonts w:ascii="Verdana" w:hAnsi="Verdana" w:cs="Gotham Light"/>
          <w:b/>
          <w:color w:val="000000" w:themeColor="text1"/>
        </w:rPr>
        <w:t xml:space="preserve">Framework Convention on National </w:t>
      </w:r>
      <w:proofErr w:type="gramStart"/>
      <w:r w:rsidRPr="00BC08AA">
        <w:rPr>
          <w:rFonts w:ascii="Verdana" w:hAnsi="Verdana" w:cs="Gotham Light"/>
          <w:b/>
          <w:color w:val="000000" w:themeColor="text1"/>
        </w:rPr>
        <w:t>Minorities</w:t>
      </w:r>
      <w:proofErr w:type="gramEnd"/>
      <w:r w:rsidRPr="00BC08AA">
        <w:rPr>
          <w:rFonts w:ascii="Verdana" w:hAnsi="Verdana" w:cs="Gotham Light"/>
          <w:b/>
          <w:color w:val="000000" w:themeColor="text1"/>
        </w:rPr>
        <w:t xml:space="preserve"> and the culture provisions in UN Convention on the Rights of the Child.</w:t>
      </w:r>
    </w:p>
    <w:p w14:paraId="5BD1A6B0" w14:textId="77777777" w:rsidR="00156EC1" w:rsidRPr="00156EC1" w:rsidRDefault="00156EC1" w:rsidP="00156EC1">
      <w:pPr>
        <w:pStyle w:val="ListParagraph"/>
        <w:rPr>
          <w:rFonts w:ascii="Verdana" w:hAnsi="Verdana" w:cs="Gotham Light"/>
          <w:color w:val="000000"/>
        </w:rPr>
      </w:pPr>
    </w:p>
    <w:p w14:paraId="3690DC87" w14:textId="77777777" w:rsid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color w:val="000000"/>
        </w:rPr>
        <w:t>Overall, the NIHRC views this Bill as a positive measure that will help protect the rights of members of the Irish language community.</w:t>
      </w:r>
      <w:r w:rsidRPr="00E76ED1">
        <w:rPr>
          <w:vertAlign w:val="superscript"/>
        </w:rPr>
        <w:footnoteReference w:id="362"/>
      </w:r>
      <w:r w:rsidRPr="00156EC1">
        <w:rPr>
          <w:rFonts w:ascii="Verdana" w:hAnsi="Verdana" w:cs="Gotham Light"/>
          <w:color w:val="000000"/>
        </w:rPr>
        <w:t xml:space="preserve"> </w:t>
      </w:r>
      <w:r w:rsidR="007C4C89" w:rsidRPr="00156EC1">
        <w:rPr>
          <w:rFonts w:ascii="Verdana" w:hAnsi="Verdana" w:cs="Gotham Light"/>
          <w:color w:val="000000"/>
        </w:rPr>
        <w:t>Therefore,</w:t>
      </w:r>
      <w:r w:rsidRPr="00156EC1">
        <w:rPr>
          <w:rFonts w:ascii="Verdana" w:hAnsi="Verdana" w:cs="Gotham Light"/>
          <w:color w:val="000000"/>
        </w:rPr>
        <w:t xml:space="preserve"> </w:t>
      </w:r>
      <w:r w:rsidR="007C4C89" w:rsidRPr="00156EC1">
        <w:rPr>
          <w:rFonts w:ascii="Verdana" w:hAnsi="Verdana" w:cs="Gotham Light"/>
          <w:color w:val="000000"/>
        </w:rPr>
        <w:t>it remains disappointing that,</w:t>
      </w:r>
      <w:r w:rsidRPr="00156EC1">
        <w:rPr>
          <w:rFonts w:ascii="Verdana" w:hAnsi="Verdana" w:cs="Gotham Light"/>
          <w:color w:val="000000"/>
        </w:rPr>
        <w:t xml:space="preserve"> </w:t>
      </w:r>
      <w:r w:rsidR="007C4C89" w:rsidRPr="00156EC1">
        <w:rPr>
          <w:rFonts w:ascii="Verdana" w:hAnsi="Verdana" w:cs="Gotham Light"/>
          <w:color w:val="000000"/>
        </w:rPr>
        <w:t>a</w:t>
      </w:r>
      <w:r w:rsidRPr="00156EC1">
        <w:rPr>
          <w:rFonts w:ascii="Verdana" w:hAnsi="Verdana" w:cs="Gotham Light"/>
          <w:color w:val="000000"/>
        </w:rPr>
        <w:t xml:space="preserve">t </w:t>
      </w:r>
      <w:r w:rsidR="007C4C89" w:rsidRPr="00156EC1">
        <w:rPr>
          <w:rFonts w:ascii="Verdana" w:hAnsi="Verdana" w:cs="Gotham Light"/>
          <w:color w:val="000000"/>
        </w:rPr>
        <w:t>the time of writing,</w:t>
      </w:r>
      <w:r w:rsidRPr="00156EC1">
        <w:rPr>
          <w:rFonts w:ascii="Verdana" w:hAnsi="Verdana" w:cs="Gotham Light"/>
          <w:color w:val="000000"/>
        </w:rPr>
        <w:t xml:space="preserve"> the three draft Bills have not been formally considered within the NI Assembly.</w:t>
      </w:r>
      <w:r w:rsidR="007C4C89" w:rsidRPr="00156EC1">
        <w:rPr>
          <w:rFonts w:ascii="Verdana" w:hAnsi="Verdana" w:cs="Gotham Light"/>
          <w:color w:val="000000"/>
        </w:rPr>
        <w:t xml:space="preserve"> </w:t>
      </w:r>
    </w:p>
    <w:p w14:paraId="6E69047A" w14:textId="77777777" w:rsidR="00156EC1" w:rsidRPr="00156EC1" w:rsidRDefault="00156EC1" w:rsidP="00156EC1">
      <w:pPr>
        <w:pStyle w:val="ListParagraph"/>
        <w:rPr>
          <w:rFonts w:ascii="Verdana" w:hAnsi="Verdana" w:cs="Gotham Light"/>
          <w:color w:val="000000"/>
        </w:rPr>
      </w:pPr>
    </w:p>
    <w:p w14:paraId="0161FDCF" w14:textId="77777777" w:rsid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color w:val="000000"/>
        </w:rPr>
        <w:t>In March 2021, COMEX published their response to the UK Government's interim report</w:t>
      </w:r>
      <w:r w:rsidR="007C4C89" w:rsidRPr="00156EC1">
        <w:rPr>
          <w:rFonts w:ascii="Verdana" w:hAnsi="Verdana" w:cs="Gotham Light"/>
          <w:color w:val="000000"/>
        </w:rPr>
        <w:t xml:space="preserve">, stating </w:t>
      </w:r>
      <w:r w:rsidRPr="00156EC1">
        <w:rPr>
          <w:rFonts w:ascii="Verdana" w:hAnsi="Verdana" w:cs="Gotham Light"/>
          <w:color w:val="000000"/>
        </w:rPr>
        <w:t>that "an Irish Language Act and a strategy are integral to the protection and promotion of Irish in Northern Ireland. It cannot but reiterate its previous recommendations to this effect".</w:t>
      </w:r>
      <w:r w:rsidRPr="00E76ED1">
        <w:rPr>
          <w:vertAlign w:val="superscript"/>
        </w:rPr>
        <w:footnoteReference w:id="363"/>
      </w:r>
      <w:r w:rsidRPr="00156EC1">
        <w:rPr>
          <w:rFonts w:ascii="Verdana" w:hAnsi="Verdana" w:cs="Gotham Light"/>
          <w:color w:val="000000"/>
        </w:rPr>
        <w:t xml:space="preserve"> </w:t>
      </w:r>
    </w:p>
    <w:p w14:paraId="27529769" w14:textId="77777777" w:rsidR="00156EC1" w:rsidRPr="00156EC1" w:rsidRDefault="00156EC1" w:rsidP="00156EC1">
      <w:pPr>
        <w:pStyle w:val="ListParagraph"/>
        <w:rPr>
          <w:rFonts w:ascii="Verdana" w:hAnsi="Verdana" w:cs="Gotham Light"/>
          <w:color w:val="000000"/>
        </w:rPr>
      </w:pPr>
    </w:p>
    <w:p w14:paraId="786AEF21" w14:textId="2EA1FB2E" w:rsid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color w:val="000000"/>
        </w:rPr>
        <w:t xml:space="preserve">In June 2021, </w:t>
      </w:r>
      <w:r w:rsidR="007C4C89" w:rsidRPr="00156EC1">
        <w:rPr>
          <w:rFonts w:ascii="Verdana" w:hAnsi="Verdana" w:cs="Gotham Light"/>
          <w:color w:val="000000"/>
        </w:rPr>
        <w:t xml:space="preserve">The </w:t>
      </w:r>
      <w:r w:rsidRPr="00156EC1">
        <w:rPr>
          <w:rFonts w:ascii="Verdana" w:hAnsi="Verdana" w:cs="Gotham Light"/>
          <w:color w:val="000000"/>
        </w:rPr>
        <w:t>Secretary of State for NI Brandon Lewis announced that the UK Government will introduce legislation in NI should the NI Assembly fail to do so before the end of September.</w:t>
      </w:r>
      <w:r w:rsidRPr="00E76ED1">
        <w:rPr>
          <w:vertAlign w:val="superscript"/>
        </w:rPr>
        <w:footnoteReference w:id="364"/>
      </w:r>
      <w:r w:rsidRPr="00156EC1">
        <w:rPr>
          <w:rFonts w:ascii="Verdana" w:hAnsi="Verdana" w:cs="Gotham Light"/>
          <w:color w:val="000000"/>
        </w:rPr>
        <w:t xml:space="preserve"> </w:t>
      </w:r>
      <w:r w:rsidR="007C4C89" w:rsidRPr="00156EC1">
        <w:rPr>
          <w:rFonts w:ascii="Verdana" w:hAnsi="Verdana" w:cs="Gotham Light"/>
          <w:color w:val="000000"/>
        </w:rPr>
        <w:t>He reiterated his intention in November 2021, promising that “the cultural package [will be] delivered within the mandate”.</w:t>
      </w:r>
      <w:r w:rsidR="007C4C89" w:rsidRPr="00E76ED1">
        <w:rPr>
          <w:vertAlign w:val="superscript"/>
        </w:rPr>
        <w:footnoteReference w:id="365"/>
      </w:r>
      <w:r w:rsidR="007C4C89" w:rsidRPr="00156EC1">
        <w:rPr>
          <w:rFonts w:ascii="Verdana" w:hAnsi="Verdana" w:cs="Gotham Light"/>
          <w:color w:val="000000"/>
          <w:vertAlign w:val="superscript"/>
        </w:rPr>
        <w:t xml:space="preserve"> </w:t>
      </w:r>
      <w:r w:rsidR="005907DC" w:rsidRPr="00156EC1">
        <w:rPr>
          <w:rFonts w:ascii="Verdana" w:hAnsi="Verdana" w:cs="Gotham Light"/>
          <w:color w:val="000000"/>
        </w:rPr>
        <w:t>The NI Office has</w:t>
      </w:r>
      <w:r w:rsidR="00D53813" w:rsidRPr="5487FFD0">
        <w:rPr>
          <w:rFonts w:ascii="Verdana" w:hAnsi="Verdana" w:cs="Gotham Light"/>
          <w:color w:val="000000" w:themeColor="text1"/>
        </w:rPr>
        <w:t xml:space="preserve"> previously</w:t>
      </w:r>
      <w:r w:rsidR="005907DC" w:rsidRPr="00156EC1">
        <w:rPr>
          <w:rFonts w:ascii="Verdana" w:hAnsi="Verdana" w:cs="Gotham Light"/>
          <w:color w:val="000000"/>
        </w:rPr>
        <w:t xml:space="preserve"> indicated that it intends to introduce legislation to Westminster before March 2022</w:t>
      </w:r>
      <w:r w:rsidR="00946D03">
        <w:rPr>
          <w:rStyle w:val="FootnoteReference"/>
          <w:rFonts w:ascii="Verdana" w:hAnsi="Verdana" w:cs="Gotham Light"/>
          <w:color w:val="000000"/>
        </w:rPr>
        <w:footnoteReference w:id="366"/>
      </w:r>
      <w:r w:rsidR="786FBB00" w:rsidRPr="5487FFD0">
        <w:rPr>
          <w:rStyle w:val="FootnoteReference"/>
          <w:rFonts w:ascii="Verdana" w:hAnsi="Verdana" w:cs="Gotham Light"/>
          <w:color w:val="000000" w:themeColor="text1"/>
        </w:rPr>
        <w:t>;</w:t>
      </w:r>
      <w:r w:rsidR="000B2B86" w:rsidRPr="5487FFD0">
        <w:rPr>
          <w:rFonts w:ascii="Verdana" w:hAnsi="Verdana" w:cs="Gotham Light"/>
          <w:color w:val="000000" w:themeColor="text1"/>
        </w:rPr>
        <w:t>however</w:t>
      </w:r>
      <w:r w:rsidR="6F617E5E" w:rsidRPr="5487FFD0">
        <w:rPr>
          <w:rFonts w:ascii="Verdana" w:hAnsi="Verdana" w:cs="Gotham Light"/>
          <w:color w:val="000000" w:themeColor="text1"/>
        </w:rPr>
        <w:t>,</w:t>
      </w:r>
      <w:r w:rsidR="000B2B86" w:rsidRPr="5487FFD0">
        <w:rPr>
          <w:rFonts w:ascii="Verdana" w:hAnsi="Verdana" w:cs="Gotham Light"/>
          <w:color w:val="000000" w:themeColor="text1"/>
        </w:rPr>
        <w:t xml:space="preserve"> as of the end of February 2022 no further progress has been made and the NI Office were unable to provide an exact timeframe.</w:t>
      </w:r>
      <w:r w:rsidR="000B2B86" w:rsidRPr="5487FFD0">
        <w:rPr>
          <w:rStyle w:val="FootnoteReference"/>
          <w:rFonts w:ascii="Verdana" w:hAnsi="Verdana" w:cs="Gotham Light"/>
          <w:color w:val="000000" w:themeColor="text1"/>
        </w:rPr>
        <w:footnoteReference w:id="367"/>
      </w:r>
    </w:p>
    <w:p w14:paraId="3964BDEC" w14:textId="77777777" w:rsidR="00156EC1" w:rsidRPr="00156EC1" w:rsidRDefault="00156EC1" w:rsidP="00156EC1">
      <w:pPr>
        <w:pStyle w:val="ListParagraph"/>
        <w:rPr>
          <w:rFonts w:ascii="Verdana" w:hAnsi="Verdana" w:cs="Gotham Light"/>
          <w:b/>
          <w:color w:val="000000" w:themeColor="text1"/>
        </w:rPr>
      </w:pPr>
    </w:p>
    <w:p w14:paraId="2BF2F222" w14:textId="61D9B7BE" w:rsidR="000736C0" w:rsidRP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b/>
          <w:color w:val="000000" w:themeColor="text1"/>
        </w:rPr>
        <w:t>Th</w:t>
      </w:r>
      <w:r w:rsidR="000736C0" w:rsidRPr="00156EC1">
        <w:rPr>
          <w:rFonts w:ascii="Verdana" w:hAnsi="Verdana"/>
          <w:b/>
          <w:bCs/>
        </w:rPr>
        <w:t xml:space="preserve">e Advisory Committee may wish to recommend that the UK government, the Northern Ireland </w:t>
      </w:r>
      <w:proofErr w:type="gramStart"/>
      <w:r w:rsidR="000736C0" w:rsidRPr="00156EC1">
        <w:rPr>
          <w:rFonts w:ascii="Verdana" w:hAnsi="Verdana"/>
          <w:b/>
          <w:bCs/>
        </w:rPr>
        <w:t>Office</w:t>
      </w:r>
      <w:proofErr w:type="gramEnd"/>
      <w:r w:rsidR="000736C0" w:rsidRPr="00156EC1">
        <w:rPr>
          <w:rFonts w:ascii="Verdana" w:hAnsi="Verdana"/>
          <w:b/>
          <w:bCs/>
        </w:rPr>
        <w:t xml:space="preserve"> and the NI Executive</w:t>
      </w:r>
      <w:r w:rsidR="004363C3" w:rsidRPr="00156EC1">
        <w:rPr>
          <w:rFonts w:ascii="Verdana" w:hAnsi="Verdana"/>
          <w:b/>
          <w:bCs/>
        </w:rPr>
        <w:t xml:space="preserve"> </w:t>
      </w:r>
      <w:r w:rsidR="000736C0" w:rsidRPr="00156EC1">
        <w:rPr>
          <w:rFonts w:ascii="Verdana" w:hAnsi="Verdana"/>
          <w:b/>
          <w:bCs/>
        </w:rPr>
        <w:t xml:space="preserve">take steps to </w:t>
      </w:r>
      <w:r w:rsidR="004363C3" w:rsidRPr="00156EC1">
        <w:rPr>
          <w:rFonts w:ascii="Verdana" w:hAnsi="Verdana"/>
          <w:b/>
          <w:bCs/>
        </w:rPr>
        <w:t xml:space="preserve">expedite the </w:t>
      </w:r>
      <w:r w:rsidR="00D710DC" w:rsidRPr="00156EC1">
        <w:rPr>
          <w:rFonts w:ascii="Verdana" w:hAnsi="Verdana"/>
          <w:b/>
          <w:bCs/>
        </w:rPr>
        <w:t>enactme</w:t>
      </w:r>
      <w:r w:rsidR="00BD4CFC" w:rsidRPr="00156EC1">
        <w:rPr>
          <w:rFonts w:ascii="Verdana" w:hAnsi="Verdana"/>
          <w:b/>
          <w:bCs/>
        </w:rPr>
        <w:t>nt</w:t>
      </w:r>
      <w:r w:rsidR="00D710DC" w:rsidRPr="00156EC1">
        <w:rPr>
          <w:rFonts w:ascii="Verdana" w:hAnsi="Verdana"/>
          <w:b/>
          <w:bCs/>
        </w:rPr>
        <w:t xml:space="preserve"> </w:t>
      </w:r>
      <w:r w:rsidR="004363C3" w:rsidRPr="00156EC1">
        <w:rPr>
          <w:rFonts w:ascii="Verdana" w:hAnsi="Verdana"/>
          <w:b/>
          <w:bCs/>
        </w:rPr>
        <w:t>of</w:t>
      </w:r>
      <w:r w:rsidR="000736C0" w:rsidRPr="00156EC1">
        <w:rPr>
          <w:rFonts w:ascii="Verdana" w:hAnsi="Verdana"/>
          <w:b/>
          <w:bCs/>
        </w:rPr>
        <w:t xml:space="preserve"> the three draft Amendment Bills.</w:t>
      </w:r>
    </w:p>
    <w:p w14:paraId="4282D13D" w14:textId="77777777" w:rsidR="00B07F50" w:rsidRPr="00B07F50" w:rsidRDefault="00B07F50" w:rsidP="00B07F50">
      <w:pPr>
        <w:pStyle w:val="ListParagraph"/>
        <w:rPr>
          <w:rFonts w:ascii="Verdana" w:hAnsi="Verdana" w:cs="Gotham Light"/>
          <w:b/>
          <w:bCs/>
          <w:color w:val="000000"/>
        </w:rPr>
      </w:pPr>
    </w:p>
    <w:p w14:paraId="30AB5FE2" w14:textId="3D3FD5FF" w:rsidR="00B07F50" w:rsidRPr="00B07F50" w:rsidRDefault="00B07F50" w:rsidP="00A57730">
      <w:pPr>
        <w:pStyle w:val="Heading2"/>
        <w:rPr>
          <w:rFonts w:cs="Gotham Light"/>
          <w:b w:val="0"/>
          <w:bCs/>
          <w:color w:val="000000"/>
        </w:rPr>
      </w:pPr>
      <w:bookmarkStart w:id="52" w:name="_Toc97030939"/>
      <w:r w:rsidRPr="00B07F50">
        <w:t xml:space="preserve">The Use of Minority Language in the </w:t>
      </w:r>
      <w:r>
        <w:rPr>
          <w:rFonts w:cs="Gotham Light"/>
          <w:bCs/>
          <w:color w:val="000000"/>
        </w:rPr>
        <w:t>Public Sphere</w:t>
      </w:r>
      <w:bookmarkEnd w:id="52"/>
    </w:p>
    <w:p w14:paraId="398A2237" w14:textId="77777777" w:rsidR="00B07F50" w:rsidRPr="001431F0" w:rsidRDefault="00B07F50" w:rsidP="00B07F50">
      <w:pPr>
        <w:spacing w:line="276" w:lineRule="auto"/>
        <w:ind w:left="142"/>
        <w:rPr>
          <w:rFonts w:ascii="Verdana" w:hAnsi="Verdana" w:cs="Gotham Light"/>
          <w:color w:val="000000"/>
        </w:rPr>
      </w:pPr>
    </w:p>
    <w:p w14:paraId="3326CF0B" w14:textId="72E1ACC3" w:rsidR="00156EC1" w:rsidRDefault="00B07F50" w:rsidP="00915669">
      <w:pPr>
        <w:pStyle w:val="ListParagraph"/>
        <w:numPr>
          <w:ilvl w:val="1"/>
          <w:numId w:val="22"/>
        </w:numPr>
        <w:spacing w:after="200" w:line="276" w:lineRule="auto"/>
        <w:rPr>
          <w:rFonts w:ascii="Verdana" w:hAnsi="Verdana"/>
        </w:rPr>
      </w:pPr>
      <w:r w:rsidRPr="00156EC1">
        <w:rPr>
          <w:rFonts w:ascii="Verdana" w:hAnsi="Verdana"/>
        </w:rPr>
        <w:t>Under the Administration of Justice (Language) Act (Ireland) 1737, languages other than English are not permitted to be used in the Courts. The legislation was challenged but upheld as lawful by the NI Court of Appeal in 2010.</w:t>
      </w:r>
      <w:r w:rsidR="000600A4">
        <w:rPr>
          <w:rStyle w:val="FootnoteReference"/>
          <w:rFonts w:ascii="Verdana" w:hAnsi="Verdana"/>
        </w:rPr>
        <w:footnoteReference w:id="368"/>
      </w:r>
      <w:r w:rsidRPr="00156EC1">
        <w:rPr>
          <w:rFonts w:ascii="Verdana" w:hAnsi="Verdana"/>
        </w:rPr>
        <w:t xml:space="preserve"> The Advisory Committee has previously expressed its concern that the lack of opportunity to use the Irish language in the public sphere and in relations with local administrative authorities contributes to an overall climate that NI does not encourage the use or development of the language.</w:t>
      </w:r>
      <w:r>
        <w:rPr>
          <w:rStyle w:val="FootnoteReference"/>
          <w:rFonts w:ascii="Verdana" w:hAnsi="Verdana"/>
        </w:rPr>
        <w:footnoteReference w:id="369"/>
      </w:r>
    </w:p>
    <w:p w14:paraId="56ADB7E3" w14:textId="77777777" w:rsidR="00156EC1" w:rsidRDefault="00156EC1" w:rsidP="00156EC1">
      <w:pPr>
        <w:pStyle w:val="ListParagraph"/>
        <w:spacing w:after="200" w:line="276" w:lineRule="auto"/>
        <w:rPr>
          <w:rFonts w:ascii="Verdana" w:hAnsi="Verdana"/>
        </w:rPr>
      </w:pPr>
    </w:p>
    <w:p w14:paraId="29E6E57E" w14:textId="77777777" w:rsidR="00156EC1" w:rsidRPr="00156EC1" w:rsidRDefault="00B07F50" w:rsidP="00915669">
      <w:pPr>
        <w:pStyle w:val="ListParagraph"/>
        <w:numPr>
          <w:ilvl w:val="1"/>
          <w:numId w:val="22"/>
        </w:numPr>
        <w:spacing w:after="200" w:line="276" w:lineRule="auto"/>
        <w:rPr>
          <w:rFonts w:ascii="Verdana" w:hAnsi="Verdana"/>
        </w:rPr>
      </w:pPr>
      <w:r w:rsidRPr="00156EC1">
        <w:rPr>
          <w:rFonts w:ascii="Verdana" w:hAnsi="Verdana" w:cs="Gotham Light"/>
          <w:color w:val="000000"/>
        </w:rPr>
        <w:t>Similarly, the Committee of Experts of the European Charter for Regional or Minority Languages (COMEX) has previously stated, "the prohibition of the use of Irish in courts in Northern Ireland by the 1737 Act is an unjustified restriction relating to the use of Irish, endangering the development of the language.”</w:t>
      </w:r>
      <w:r w:rsidRPr="00E76ED1">
        <w:rPr>
          <w:vertAlign w:val="superscript"/>
        </w:rPr>
        <w:footnoteReference w:id="370"/>
      </w:r>
      <w:r w:rsidRPr="00156EC1">
        <w:rPr>
          <w:rFonts w:ascii="Verdana" w:hAnsi="Verdana" w:cs="Gotham Light"/>
          <w:color w:val="000000"/>
        </w:rPr>
        <w:t xml:space="preserve"> Therefore, the NIHRC highlights that the draft Bill for Amendment No 1 contains provisions to remove the prohibition of Irish being used in courts by repealing the Administration of Justice (Language) Act (Ireland) 1737.</w:t>
      </w:r>
    </w:p>
    <w:p w14:paraId="19FEE426" w14:textId="77777777" w:rsidR="00156EC1" w:rsidRPr="00156EC1" w:rsidRDefault="00156EC1" w:rsidP="00156EC1">
      <w:pPr>
        <w:pStyle w:val="ListParagraph"/>
        <w:rPr>
          <w:rFonts w:ascii="Verdana" w:hAnsi="Verdana" w:cs="Gotham Light"/>
          <w:color w:val="000000"/>
        </w:rPr>
      </w:pPr>
    </w:p>
    <w:p w14:paraId="730028C3" w14:textId="77777777" w:rsidR="00156EC1" w:rsidRPr="00156EC1" w:rsidRDefault="00B07F50" w:rsidP="00915669">
      <w:pPr>
        <w:pStyle w:val="ListParagraph"/>
        <w:numPr>
          <w:ilvl w:val="1"/>
          <w:numId w:val="22"/>
        </w:numPr>
        <w:spacing w:after="200" w:line="276" w:lineRule="auto"/>
        <w:rPr>
          <w:rFonts w:ascii="Verdana" w:hAnsi="Verdana"/>
        </w:rPr>
      </w:pPr>
      <w:r w:rsidRPr="00156EC1">
        <w:rPr>
          <w:rFonts w:ascii="Verdana" w:hAnsi="Verdana" w:cs="Gotham Light"/>
          <w:color w:val="000000"/>
        </w:rPr>
        <w:t>In November 2021, the Department of Finance advised that it proposes to make a Statutory Rule under powers conferred by the Births and Deaths Registration (Northern Ireland) 1976, the Marriage (Northern Ireland) Order 2003 and the Civil Partnership Act 2004.</w:t>
      </w:r>
      <w:r w:rsidRPr="00E76ED1">
        <w:rPr>
          <w:vertAlign w:val="superscript"/>
        </w:rPr>
        <w:footnoteReference w:id="371"/>
      </w:r>
      <w:r w:rsidRPr="00156EC1">
        <w:rPr>
          <w:rFonts w:ascii="Verdana" w:hAnsi="Verdana" w:cs="Gotham Light"/>
          <w:color w:val="000000"/>
        </w:rPr>
        <w:t xml:space="preserve"> The Statutory Rule will introduce changes to civil registration legislation to enable registrations and subsequent life event certificates to be produced with the choice of certificate headings in English, Irish or bi-lingual English/Irish with all content remaining in English. </w:t>
      </w:r>
    </w:p>
    <w:p w14:paraId="6828B427" w14:textId="77777777" w:rsidR="00156EC1" w:rsidRPr="00156EC1" w:rsidRDefault="00156EC1" w:rsidP="00156EC1">
      <w:pPr>
        <w:pStyle w:val="ListParagraph"/>
        <w:rPr>
          <w:rFonts w:ascii="Verdana" w:hAnsi="Verdana" w:cs="Gotham Light"/>
          <w:color w:val="000000"/>
        </w:rPr>
      </w:pPr>
    </w:p>
    <w:p w14:paraId="699ACB35" w14:textId="7EA3F523" w:rsidR="00B07F50" w:rsidRPr="00156EC1" w:rsidRDefault="00B07F50" w:rsidP="00915669">
      <w:pPr>
        <w:pStyle w:val="ListParagraph"/>
        <w:numPr>
          <w:ilvl w:val="1"/>
          <w:numId w:val="22"/>
        </w:numPr>
        <w:spacing w:after="200" w:line="276" w:lineRule="auto"/>
        <w:rPr>
          <w:rFonts w:ascii="Verdana" w:hAnsi="Verdana"/>
        </w:rPr>
      </w:pPr>
      <w:r w:rsidRPr="00156EC1">
        <w:rPr>
          <w:rFonts w:ascii="Verdana" w:hAnsi="Verdana" w:cs="Gotham Light"/>
          <w:color w:val="000000"/>
        </w:rPr>
        <w:t>The Department advised that the legislation will be the first step in a phased approach to meeting the New Decade, New Approach requirement to “make any necessary statutory provision for births, marriages and deaths to be registerable in Irish”.</w:t>
      </w:r>
      <w:r w:rsidRPr="00E76ED1">
        <w:rPr>
          <w:vertAlign w:val="superscript"/>
        </w:rPr>
        <w:footnoteReference w:id="372"/>
      </w:r>
      <w:r w:rsidRPr="00156EC1">
        <w:rPr>
          <w:rFonts w:ascii="Verdana" w:hAnsi="Verdana" w:cs="Gotham Light"/>
          <w:color w:val="000000"/>
        </w:rPr>
        <w:t xml:space="preserve"> While the agreement only stipulates births, marriages and deaths, the option for registration in Irish will include the registration of all life events including still births, civil partnerships and the conversion of civil partnership to marriage and vice versa.</w:t>
      </w:r>
      <w:r w:rsidRPr="00E76ED1">
        <w:rPr>
          <w:vertAlign w:val="superscript"/>
        </w:rPr>
        <w:footnoteReference w:id="373"/>
      </w:r>
      <w:r w:rsidRPr="00156EC1">
        <w:rPr>
          <w:rFonts w:ascii="Verdana" w:hAnsi="Verdana" w:cs="Gotham Light"/>
          <w:color w:val="000000"/>
        </w:rPr>
        <w:t xml:space="preserve"> It is proposed the rule will come into operation on 1 March 2022. </w:t>
      </w:r>
    </w:p>
    <w:p w14:paraId="3002D947" w14:textId="77777777" w:rsidR="007F79E2" w:rsidRDefault="007F79E2" w:rsidP="007F79E2">
      <w:pPr>
        <w:pStyle w:val="ListParagraph"/>
        <w:rPr>
          <w:rFonts w:ascii="Verdana" w:hAnsi="Verdana" w:cs="Gotham Light"/>
          <w:b/>
          <w:bCs/>
          <w:color w:val="000000"/>
        </w:rPr>
      </w:pPr>
    </w:p>
    <w:p w14:paraId="2EE5CE56" w14:textId="03651A57" w:rsidR="00E76ED1" w:rsidRPr="00E76ED1" w:rsidRDefault="007F79E2" w:rsidP="00A57730">
      <w:pPr>
        <w:pStyle w:val="Heading2"/>
        <w:rPr>
          <w:rFonts w:cs="Gotham Light"/>
          <w:b w:val="0"/>
          <w:bCs/>
          <w:color w:val="000000"/>
        </w:rPr>
      </w:pPr>
      <w:bookmarkStart w:id="53" w:name="_Toc97030940"/>
      <w:r w:rsidRPr="008B1ECD">
        <w:t>Ulster Scots</w:t>
      </w:r>
      <w:bookmarkEnd w:id="53"/>
    </w:p>
    <w:p w14:paraId="7542F0DD" w14:textId="77777777" w:rsidR="00AA4B06" w:rsidRDefault="00AA4B06" w:rsidP="00C42A0A">
      <w:pPr>
        <w:spacing w:line="276" w:lineRule="auto"/>
        <w:rPr>
          <w:rFonts w:ascii="Verdana" w:hAnsi="Verdana" w:cs="Gotham Light"/>
          <w:b/>
          <w:bCs/>
          <w:color w:val="000000"/>
        </w:rPr>
      </w:pPr>
    </w:p>
    <w:p w14:paraId="3D01A293" w14:textId="27E1F576" w:rsidR="00AA4B06" w:rsidRPr="00AA4B06" w:rsidRDefault="00AA4B06" w:rsidP="005907DC">
      <w:pPr>
        <w:pStyle w:val="Heading3"/>
        <w:rPr>
          <w:rFonts w:cs="Gotham Light"/>
          <w:color w:val="000000"/>
        </w:rPr>
      </w:pPr>
      <w:bookmarkStart w:id="54" w:name="_Toc97030941"/>
      <w:r w:rsidRPr="00AA4B06">
        <w:t>Ulster Scots</w:t>
      </w:r>
      <w:r>
        <w:t xml:space="preserve"> Strategy</w:t>
      </w:r>
      <w:bookmarkEnd w:id="54"/>
    </w:p>
    <w:p w14:paraId="7202498D" w14:textId="77777777" w:rsidR="00E76ED1" w:rsidRPr="00E76ED1" w:rsidRDefault="00E76ED1" w:rsidP="00C42A0A">
      <w:pPr>
        <w:pStyle w:val="ListParagraph"/>
        <w:spacing w:line="276" w:lineRule="auto"/>
        <w:ind w:left="851"/>
        <w:rPr>
          <w:rFonts w:ascii="Verdana" w:hAnsi="Verdana" w:cs="Gotham Light"/>
          <w:color w:val="000000"/>
        </w:rPr>
      </w:pPr>
    </w:p>
    <w:p w14:paraId="3E9D023A" w14:textId="286B4BE1" w:rsidR="00156EC1" w:rsidRPr="00156EC1" w:rsidRDefault="00E76ED1" w:rsidP="00915669">
      <w:pPr>
        <w:pStyle w:val="ListParagraph"/>
        <w:numPr>
          <w:ilvl w:val="1"/>
          <w:numId w:val="22"/>
        </w:numPr>
        <w:spacing w:line="276" w:lineRule="auto"/>
        <w:rPr>
          <w:rFonts w:ascii="Verdana" w:hAnsi="Verdana" w:cs="Gotham Light"/>
          <w:b/>
          <w:bCs/>
          <w:color w:val="000000"/>
        </w:rPr>
      </w:pPr>
      <w:r w:rsidRPr="00156EC1">
        <w:rPr>
          <w:rFonts w:ascii="Verdana" w:hAnsi="Verdana" w:cs="Gotham Light"/>
          <w:color w:val="000000"/>
        </w:rPr>
        <w:t>Domestic commitments to Ulster Scots language, heritage and culture have been identified within the Belfast (Good Friday) Agreement 1998,</w:t>
      </w:r>
      <w:r w:rsidRPr="00E76ED1">
        <w:rPr>
          <w:vertAlign w:val="superscript"/>
        </w:rPr>
        <w:footnoteReference w:id="374"/>
      </w:r>
      <w:r w:rsidRPr="00156EC1">
        <w:rPr>
          <w:rFonts w:ascii="Verdana" w:hAnsi="Verdana" w:cs="Gotham Light"/>
          <w:color w:val="000000"/>
        </w:rPr>
        <w:t xml:space="preserve"> the St Andrews Agreement 2006,</w:t>
      </w:r>
      <w:r w:rsidRPr="00E76ED1">
        <w:rPr>
          <w:vertAlign w:val="superscript"/>
        </w:rPr>
        <w:footnoteReference w:id="375"/>
      </w:r>
      <w:r w:rsidRPr="00156EC1">
        <w:rPr>
          <w:rFonts w:ascii="Verdana" w:hAnsi="Verdana" w:cs="Gotham Light"/>
          <w:color w:val="000000"/>
        </w:rPr>
        <w:t xml:space="preserve"> an amendment to section 28(d)(2) of the Northern Ireland Act 1998,</w:t>
      </w:r>
      <w:r w:rsidRPr="00E76ED1">
        <w:rPr>
          <w:vertAlign w:val="superscript"/>
        </w:rPr>
        <w:footnoteReference w:id="376"/>
      </w:r>
      <w:r w:rsidRPr="00156EC1">
        <w:rPr>
          <w:rFonts w:ascii="Verdana" w:hAnsi="Verdana" w:cs="Gotham Light"/>
          <w:color w:val="000000"/>
        </w:rPr>
        <w:t xml:space="preserve"> and the New Decade New Approach deal.</w:t>
      </w:r>
      <w:r w:rsidRPr="00E76ED1">
        <w:rPr>
          <w:vertAlign w:val="superscript"/>
        </w:rPr>
        <w:footnoteReference w:id="377"/>
      </w:r>
      <w:r w:rsidRPr="00156EC1">
        <w:rPr>
          <w:rFonts w:ascii="Verdana" w:hAnsi="Verdana" w:cs="Gotham Light"/>
          <w:color w:val="000000"/>
        </w:rPr>
        <w:t xml:space="preserve"> </w:t>
      </w:r>
    </w:p>
    <w:p w14:paraId="374AC44A" w14:textId="77777777" w:rsidR="00156EC1" w:rsidRPr="00156EC1" w:rsidRDefault="00156EC1" w:rsidP="00156EC1">
      <w:pPr>
        <w:pStyle w:val="ListParagraph"/>
        <w:spacing w:line="276" w:lineRule="auto"/>
        <w:rPr>
          <w:rFonts w:ascii="Verdana" w:hAnsi="Verdana" w:cs="Gotham Light"/>
          <w:b/>
          <w:bCs/>
          <w:color w:val="000000"/>
        </w:rPr>
      </w:pPr>
    </w:p>
    <w:p w14:paraId="6443F692" w14:textId="77777777" w:rsidR="00156EC1" w:rsidRPr="00156EC1" w:rsidRDefault="00E76ED1" w:rsidP="00915669">
      <w:pPr>
        <w:pStyle w:val="ListParagraph"/>
        <w:numPr>
          <w:ilvl w:val="1"/>
          <w:numId w:val="22"/>
        </w:numPr>
        <w:spacing w:line="276" w:lineRule="auto"/>
        <w:rPr>
          <w:rFonts w:ascii="Verdana" w:hAnsi="Verdana" w:cs="Gotham Light"/>
          <w:b/>
          <w:bCs/>
          <w:color w:val="000000"/>
        </w:rPr>
      </w:pPr>
      <w:r w:rsidRPr="00156EC1">
        <w:rPr>
          <w:rFonts w:ascii="Verdana" w:hAnsi="Verdana" w:cs="Gotham Light"/>
          <w:color w:val="000000"/>
        </w:rPr>
        <w:t>The New Decade, New Approach agreement provided for an Ulster Scots Strategy.</w:t>
      </w:r>
      <w:r w:rsidRPr="00E76ED1">
        <w:rPr>
          <w:rFonts w:cs="Gotham Light"/>
          <w:color w:val="000000"/>
          <w:vertAlign w:val="superscript"/>
        </w:rPr>
        <w:footnoteReference w:id="378"/>
      </w:r>
      <w:r w:rsidRPr="00156EC1">
        <w:rPr>
          <w:rFonts w:ascii="Verdana" w:hAnsi="Verdana" w:cs="Gotham Light"/>
          <w:color w:val="000000"/>
        </w:rPr>
        <w:t xml:space="preserve"> </w:t>
      </w:r>
      <w:r w:rsidR="002D62AC" w:rsidRPr="00156EC1">
        <w:rPr>
          <w:rFonts w:ascii="Verdana" w:hAnsi="Verdana"/>
        </w:rPr>
        <w:t xml:space="preserve">The agreement makes the same commitment to the production of a draft strategy for Ulster Scots within </w:t>
      </w:r>
      <w:r w:rsidR="00A57730" w:rsidRPr="00156EC1">
        <w:rPr>
          <w:rFonts w:ascii="Verdana" w:hAnsi="Verdana"/>
        </w:rPr>
        <w:t>six</w:t>
      </w:r>
      <w:r w:rsidR="002D62AC" w:rsidRPr="00156EC1">
        <w:rPr>
          <w:rFonts w:ascii="Verdana" w:hAnsi="Verdana"/>
        </w:rPr>
        <w:t xml:space="preserve"> months as it does for the Irish Language Strategy. </w:t>
      </w:r>
    </w:p>
    <w:p w14:paraId="1E5735CE" w14:textId="77777777" w:rsidR="00156EC1" w:rsidRPr="00156EC1" w:rsidRDefault="00156EC1" w:rsidP="00156EC1">
      <w:pPr>
        <w:pStyle w:val="ListParagraph"/>
        <w:rPr>
          <w:rFonts w:ascii="Verdana" w:hAnsi="Verdana" w:cs="Gotham Light"/>
          <w:color w:val="000000"/>
        </w:rPr>
      </w:pPr>
    </w:p>
    <w:p w14:paraId="14C91735" w14:textId="77777777" w:rsidR="00156EC1" w:rsidRPr="00156EC1" w:rsidRDefault="002D62AC" w:rsidP="00915669">
      <w:pPr>
        <w:pStyle w:val="ListParagraph"/>
        <w:numPr>
          <w:ilvl w:val="1"/>
          <w:numId w:val="22"/>
        </w:numPr>
        <w:spacing w:line="276" w:lineRule="auto"/>
        <w:rPr>
          <w:rFonts w:ascii="Verdana" w:hAnsi="Verdana" w:cs="Gotham Light"/>
          <w:b/>
          <w:bCs/>
          <w:color w:val="000000"/>
        </w:rPr>
      </w:pPr>
      <w:r w:rsidRPr="00156EC1">
        <w:rPr>
          <w:rFonts w:ascii="Verdana" w:hAnsi="Verdana" w:cs="Gotham Light"/>
          <w:color w:val="000000"/>
        </w:rPr>
        <w:t>In March 2021, COMEX published its evaluation report, recommending for immediate action, that the UK Government adopt a strategy to promote Ulster Scots in education and other areas of public life. The Committee noted its regret at the lack of progress on the strategy and asked the UK Government to take steps to expedite its production.</w:t>
      </w:r>
      <w:r w:rsidRPr="00E76ED1">
        <w:rPr>
          <w:vertAlign w:val="superscript"/>
        </w:rPr>
        <w:footnoteReference w:id="379"/>
      </w:r>
      <w:r w:rsidRPr="00156EC1">
        <w:rPr>
          <w:rFonts w:ascii="Verdana" w:hAnsi="Verdana" w:cs="Gotham Light"/>
          <w:color w:val="000000"/>
        </w:rPr>
        <w:t xml:space="preserve"> </w:t>
      </w:r>
    </w:p>
    <w:p w14:paraId="018BF5D8" w14:textId="77777777" w:rsidR="00156EC1" w:rsidRPr="00156EC1" w:rsidRDefault="00156EC1" w:rsidP="00156EC1">
      <w:pPr>
        <w:pStyle w:val="ListParagraph"/>
        <w:rPr>
          <w:rFonts w:ascii="Verdana" w:hAnsi="Verdana" w:cs="Gotham Light"/>
          <w:color w:val="000000" w:themeColor="text1"/>
        </w:rPr>
      </w:pPr>
    </w:p>
    <w:p w14:paraId="20FAF3E4" w14:textId="77777777" w:rsidR="00156EC1" w:rsidRPr="00156EC1" w:rsidRDefault="002D62AC" w:rsidP="00915669">
      <w:pPr>
        <w:pStyle w:val="ListParagraph"/>
        <w:numPr>
          <w:ilvl w:val="1"/>
          <w:numId w:val="22"/>
        </w:numPr>
        <w:spacing w:line="276" w:lineRule="auto"/>
        <w:rPr>
          <w:rFonts w:ascii="Verdana" w:hAnsi="Verdana" w:cs="Gotham Light"/>
          <w:b/>
          <w:bCs/>
          <w:color w:val="000000"/>
        </w:rPr>
      </w:pPr>
      <w:r w:rsidRPr="00156EC1">
        <w:rPr>
          <w:rFonts w:ascii="Verdana" w:hAnsi="Verdana" w:cs="Gotham Light"/>
          <w:color w:val="000000" w:themeColor="text1"/>
        </w:rPr>
        <w:t>Like the Irish Language Strategy, in August 2021, the Minister for Communities appointed an expert advisory panel to produce recommendations on the key actions to be included in the strategy. The report is expected to be published in early 2022 which will inform the working group established to support the drafting process. The NIHRC is a member of the Ulster Scots Language, Heritage and Culture Strategy Co-Design Group.</w:t>
      </w:r>
    </w:p>
    <w:p w14:paraId="566B2A06" w14:textId="77777777" w:rsidR="00156EC1" w:rsidRPr="00156EC1" w:rsidRDefault="00156EC1" w:rsidP="00156EC1">
      <w:pPr>
        <w:pStyle w:val="ListParagraph"/>
        <w:rPr>
          <w:rFonts w:ascii="Verdana" w:hAnsi="Verdana" w:cs="Gotham Light"/>
          <w:b/>
          <w:color w:val="000000" w:themeColor="text1"/>
        </w:rPr>
      </w:pPr>
    </w:p>
    <w:p w14:paraId="473D025D" w14:textId="22152A0D" w:rsidR="00AA4B06" w:rsidRPr="00156EC1" w:rsidRDefault="00E166B1" w:rsidP="00915669">
      <w:pPr>
        <w:pStyle w:val="ListParagraph"/>
        <w:numPr>
          <w:ilvl w:val="1"/>
          <w:numId w:val="22"/>
        </w:numPr>
        <w:spacing w:line="276" w:lineRule="auto"/>
        <w:rPr>
          <w:rFonts w:ascii="Verdana" w:hAnsi="Verdana" w:cs="Gotham Light"/>
          <w:b/>
          <w:bCs/>
          <w:color w:val="000000"/>
        </w:rPr>
      </w:pPr>
      <w:r w:rsidRPr="00156EC1">
        <w:rPr>
          <w:rFonts w:ascii="Verdana" w:hAnsi="Verdana" w:cs="Gotham Light"/>
          <w:b/>
          <w:color w:val="000000" w:themeColor="text1"/>
        </w:rPr>
        <w:t xml:space="preserve">The Advisory Committee may wish to seek assurances from the State Party that the necessary support is in place to guarantee the timely development and full implementation of the Ulster Scots </w:t>
      </w:r>
      <w:r w:rsidR="00A57730" w:rsidRPr="00156EC1">
        <w:rPr>
          <w:rFonts w:ascii="Verdana" w:hAnsi="Verdana" w:cs="Gotham Light"/>
          <w:b/>
          <w:color w:val="000000" w:themeColor="text1"/>
        </w:rPr>
        <w:t>Language, Heritage</w:t>
      </w:r>
      <w:r w:rsidRPr="00156EC1">
        <w:rPr>
          <w:rFonts w:ascii="Verdana" w:hAnsi="Verdana" w:cs="Gotham Light"/>
          <w:b/>
          <w:color w:val="000000" w:themeColor="text1"/>
        </w:rPr>
        <w:t xml:space="preserve"> and </w:t>
      </w:r>
      <w:r w:rsidR="00A57730" w:rsidRPr="00156EC1">
        <w:rPr>
          <w:rFonts w:ascii="Verdana" w:hAnsi="Verdana" w:cs="Gotham Light"/>
          <w:b/>
          <w:color w:val="000000" w:themeColor="text1"/>
        </w:rPr>
        <w:t xml:space="preserve">Culture </w:t>
      </w:r>
      <w:r w:rsidRPr="00156EC1">
        <w:rPr>
          <w:rFonts w:ascii="Verdana" w:hAnsi="Verdana" w:cs="Gotham Light"/>
          <w:b/>
          <w:color w:val="000000" w:themeColor="text1"/>
        </w:rPr>
        <w:t>Strategy</w:t>
      </w:r>
      <w:r w:rsidR="00A57730" w:rsidRPr="00156EC1">
        <w:rPr>
          <w:rFonts w:ascii="Verdana" w:hAnsi="Verdana" w:cs="Gotham Light"/>
          <w:b/>
          <w:color w:val="000000" w:themeColor="text1"/>
        </w:rPr>
        <w:t>.</w:t>
      </w:r>
      <w:r w:rsidRPr="00156EC1">
        <w:rPr>
          <w:rFonts w:ascii="Verdana" w:hAnsi="Verdana" w:cs="Gotham Light"/>
          <w:b/>
          <w:color w:val="000000" w:themeColor="text1"/>
        </w:rPr>
        <w:t xml:space="preserve"> </w:t>
      </w:r>
    </w:p>
    <w:p w14:paraId="4172E50A" w14:textId="537FFA9D" w:rsidR="00A57730" w:rsidRPr="00A57730" w:rsidRDefault="00A57730" w:rsidP="00A57730">
      <w:pPr>
        <w:spacing w:line="276" w:lineRule="auto"/>
        <w:rPr>
          <w:rFonts w:ascii="Verdana" w:hAnsi="Verdana"/>
          <w:u w:val="single"/>
        </w:rPr>
      </w:pPr>
    </w:p>
    <w:p w14:paraId="1CD82CE3" w14:textId="5DCC55BB" w:rsidR="00E84806" w:rsidRPr="00A57730" w:rsidRDefault="00AA4B06" w:rsidP="005907DC">
      <w:pPr>
        <w:pStyle w:val="Heading3"/>
        <w:rPr>
          <w:rFonts w:cs="Gotham Light"/>
          <w:color w:val="000000"/>
        </w:rPr>
      </w:pPr>
      <w:bookmarkStart w:id="55" w:name="_Toc97030942"/>
      <w:r w:rsidRPr="00AA4B06">
        <w:t>Ulster Scots/ Ulster British Provisions of the Northern Ireland Act 1998 (Amendment No. 3)</w:t>
      </w:r>
      <w:bookmarkEnd w:id="55"/>
    </w:p>
    <w:p w14:paraId="0F826E2B" w14:textId="77777777" w:rsidR="00AA4B06" w:rsidRPr="00AA4B06" w:rsidRDefault="00AA4B06" w:rsidP="000A395D">
      <w:pPr>
        <w:ind w:left="709"/>
        <w:rPr>
          <w:rFonts w:ascii="Verdana" w:hAnsi="Verdana" w:cs="Gotham Light"/>
          <w:color w:val="000000"/>
        </w:rPr>
      </w:pPr>
    </w:p>
    <w:p w14:paraId="5640D028" w14:textId="0F7E6D9E" w:rsid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color w:val="000000"/>
        </w:rPr>
        <w:t xml:space="preserve">The </w:t>
      </w:r>
      <w:r w:rsidR="00AA4B06" w:rsidRPr="00156EC1">
        <w:rPr>
          <w:rFonts w:ascii="Verdana" w:hAnsi="Verdana" w:cs="Gotham Light"/>
          <w:color w:val="000000"/>
        </w:rPr>
        <w:t xml:space="preserve">draft Bill for </w:t>
      </w:r>
      <w:r w:rsidRPr="00156EC1">
        <w:rPr>
          <w:rFonts w:ascii="Verdana" w:hAnsi="Verdana" w:cs="Gotham Light"/>
          <w:color w:val="000000"/>
        </w:rPr>
        <w:t xml:space="preserve">Amendment No 3 establishes a </w:t>
      </w:r>
      <w:proofErr w:type="gramStart"/>
      <w:r w:rsidRPr="00156EC1">
        <w:rPr>
          <w:rFonts w:ascii="Verdana" w:hAnsi="Verdana" w:cs="Gotham Light"/>
          <w:color w:val="000000"/>
        </w:rPr>
        <w:t>Commissioner</w:t>
      </w:r>
      <w:proofErr w:type="gramEnd"/>
      <w:r w:rsidRPr="00156EC1">
        <w:rPr>
          <w:rFonts w:ascii="Verdana" w:hAnsi="Verdana" w:cs="Gotham Light"/>
          <w:color w:val="000000"/>
        </w:rPr>
        <w:t xml:space="preserve"> in relation to Ulster Scots/Ulster British and details the functions, powers and status of this new public office.</w:t>
      </w:r>
      <w:r w:rsidRPr="00E76ED1">
        <w:rPr>
          <w:vertAlign w:val="superscript"/>
        </w:rPr>
        <w:footnoteReference w:id="380"/>
      </w:r>
      <w:r w:rsidRPr="00156EC1">
        <w:rPr>
          <w:rFonts w:ascii="Verdana" w:hAnsi="Verdana" w:cs="Gotham Light"/>
          <w:color w:val="000000"/>
        </w:rPr>
        <w:t xml:space="preserve"> It also proposes a new duty on the Department of Education in relation to Ulster Scots.</w:t>
      </w:r>
      <w:r w:rsidRPr="00E76ED1">
        <w:rPr>
          <w:vertAlign w:val="superscript"/>
        </w:rPr>
        <w:footnoteReference w:id="381"/>
      </w:r>
      <w:r w:rsidRPr="00156EC1">
        <w:rPr>
          <w:rFonts w:ascii="Verdana" w:hAnsi="Verdana" w:cs="Gotham Light"/>
          <w:color w:val="000000"/>
        </w:rPr>
        <w:t xml:space="preserve"> The agreement identified the intention to present the draft Bills to the Assembly within </w:t>
      </w:r>
      <w:r w:rsidR="002F46C5" w:rsidRPr="00156EC1">
        <w:rPr>
          <w:rFonts w:ascii="Verdana" w:hAnsi="Verdana" w:cs="Gotham Light"/>
          <w:color w:val="000000"/>
        </w:rPr>
        <w:t>three</w:t>
      </w:r>
      <w:r w:rsidRPr="00156EC1">
        <w:rPr>
          <w:rFonts w:ascii="Verdana" w:hAnsi="Verdana" w:cs="Gotham Light"/>
          <w:color w:val="000000"/>
        </w:rPr>
        <w:t xml:space="preserve"> months of the restoration of the institutions.</w:t>
      </w:r>
    </w:p>
    <w:p w14:paraId="00400D23" w14:textId="77777777" w:rsidR="00156EC1" w:rsidRDefault="00156EC1" w:rsidP="00156EC1">
      <w:pPr>
        <w:pStyle w:val="ListParagraph"/>
        <w:spacing w:line="276" w:lineRule="auto"/>
        <w:rPr>
          <w:rFonts w:ascii="Verdana" w:hAnsi="Verdana" w:cs="Gotham Light"/>
          <w:color w:val="000000"/>
        </w:rPr>
      </w:pPr>
    </w:p>
    <w:p w14:paraId="12091559" w14:textId="77777777" w:rsid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color w:val="000000"/>
        </w:rPr>
        <w:t>The NIHRC has raised concerns about the title of the Bill, as ‘Ulster British’ is not a term or a linguistic/national minority group presently recognised by human rights treaty bodies.</w:t>
      </w:r>
      <w:r w:rsidRPr="00E76ED1">
        <w:rPr>
          <w:vertAlign w:val="superscript"/>
        </w:rPr>
        <w:footnoteReference w:id="382"/>
      </w:r>
      <w:r w:rsidRPr="00156EC1">
        <w:rPr>
          <w:rFonts w:ascii="Verdana" w:hAnsi="Verdana" w:cs="Gotham Light"/>
          <w:color w:val="000000"/>
        </w:rPr>
        <w:t xml:space="preserve"> The NIHRC notes the conflation of Ulster Scots culture with a distinct political identity, may have unintended consequences. Binding the established Ulster Scots community</w:t>
      </w:r>
      <w:r w:rsidR="00A57730" w:rsidRPr="00156EC1">
        <w:rPr>
          <w:rFonts w:ascii="Verdana" w:hAnsi="Verdana" w:cs="Gotham Light"/>
          <w:color w:val="000000"/>
        </w:rPr>
        <w:t>,</w:t>
      </w:r>
      <w:r w:rsidRPr="00156EC1">
        <w:rPr>
          <w:rFonts w:ascii="Verdana" w:hAnsi="Verdana" w:cs="Gotham Light"/>
          <w:color w:val="000000"/>
        </w:rPr>
        <w:t xml:space="preserve"> recognised in international law</w:t>
      </w:r>
      <w:r w:rsidR="00A57730" w:rsidRPr="00156EC1">
        <w:rPr>
          <w:rFonts w:ascii="Verdana" w:hAnsi="Verdana" w:cs="Gotham Light"/>
          <w:color w:val="000000"/>
        </w:rPr>
        <w:t>,</w:t>
      </w:r>
      <w:r w:rsidRPr="00156EC1">
        <w:rPr>
          <w:rFonts w:ascii="Verdana" w:hAnsi="Verdana" w:cs="Gotham Light"/>
          <w:color w:val="000000"/>
        </w:rPr>
        <w:t xml:space="preserve"> with a concept of Ulster British in a single mandate could undermine developments in respect of Ulster Scots language and culture.</w:t>
      </w:r>
      <w:r w:rsidRPr="00E76ED1">
        <w:rPr>
          <w:vertAlign w:val="superscript"/>
        </w:rPr>
        <w:footnoteReference w:id="383"/>
      </w:r>
    </w:p>
    <w:p w14:paraId="0184A86A" w14:textId="77777777" w:rsidR="00156EC1" w:rsidRPr="00156EC1" w:rsidRDefault="00156EC1" w:rsidP="00156EC1">
      <w:pPr>
        <w:pStyle w:val="ListParagraph"/>
        <w:rPr>
          <w:rFonts w:ascii="Verdana" w:hAnsi="Verdana"/>
        </w:rPr>
      </w:pPr>
    </w:p>
    <w:p w14:paraId="2E338EB5" w14:textId="77777777" w:rsidR="00156EC1" w:rsidRPr="00156EC1" w:rsidRDefault="00A4368F" w:rsidP="00915669">
      <w:pPr>
        <w:pStyle w:val="ListParagraph"/>
        <w:numPr>
          <w:ilvl w:val="1"/>
          <w:numId w:val="22"/>
        </w:numPr>
        <w:spacing w:line="276" w:lineRule="auto"/>
        <w:rPr>
          <w:rFonts w:ascii="Verdana" w:hAnsi="Verdana" w:cs="Gotham Light"/>
          <w:color w:val="000000"/>
        </w:rPr>
      </w:pPr>
      <w:r w:rsidRPr="00156EC1">
        <w:rPr>
          <w:rFonts w:ascii="Verdana" w:hAnsi="Verdana"/>
        </w:rPr>
        <w:t>Clause 78Q(3)(a) of the draft Bill creates an awareness-raising function for the Commissioner, requiring them to increase awareness and visibility of Ulster Scots services to public authorities.</w:t>
      </w:r>
      <w:r>
        <w:rPr>
          <w:rStyle w:val="FootnoteReference"/>
          <w:rFonts w:ascii="Verdana" w:hAnsi="Verdana"/>
        </w:rPr>
        <w:footnoteReference w:id="384"/>
      </w:r>
      <w:r w:rsidRPr="00156EC1">
        <w:rPr>
          <w:rFonts w:ascii="Verdana" w:hAnsi="Verdana"/>
        </w:rPr>
        <w:t xml:space="preserve"> This function is directed towards those who have already established links within the Ulster Scots Community. The UN Human Rights Committee identified that “the fabric of society as a whole” is enriched by minority languages.</w:t>
      </w:r>
      <w:r>
        <w:rPr>
          <w:rStyle w:val="FootnoteReference"/>
          <w:rFonts w:ascii="Verdana" w:hAnsi="Verdana"/>
        </w:rPr>
        <w:footnoteReference w:id="385"/>
      </w:r>
      <w:r w:rsidRPr="00156EC1">
        <w:rPr>
          <w:rFonts w:ascii="Verdana" w:hAnsi="Verdana"/>
        </w:rPr>
        <w:t xml:space="preserve"> Resultantly, the NIHRC recommended that the awareness-raising function be expanded to include the promotion of Ulster Scots within wider society.</w:t>
      </w:r>
      <w:r>
        <w:rPr>
          <w:rStyle w:val="FootnoteReference"/>
          <w:rFonts w:ascii="Verdana" w:hAnsi="Verdana"/>
        </w:rPr>
        <w:footnoteReference w:id="386"/>
      </w:r>
      <w:r w:rsidRPr="00156EC1">
        <w:rPr>
          <w:rFonts w:ascii="Verdana" w:hAnsi="Verdana"/>
        </w:rPr>
        <w:t xml:space="preserve">  </w:t>
      </w:r>
    </w:p>
    <w:p w14:paraId="0AF68209" w14:textId="77777777" w:rsidR="00156EC1" w:rsidRPr="00156EC1" w:rsidRDefault="00156EC1" w:rsidP="00156EC1">
      <w:pPr>
        <w:pStyle w:val="ListParagraph"/>
        <w:rPr>
          <w:rFonts w:ascii="Verdana" w:hAnsi="Verdana"/>
        </w:rPr>
      </w:pPr>
    </w:p>
    <w:p w14:paraId="116BCE64" w14:textId="77777777" w:rsidR="00156EC1" w:rsidRPr="00156EC1" w:rsidRDefault="00A4368F" w:rsidP="00915669">
      <w:pPr>
        <w:pStyle w:val="ListParagraph"/>
        <w:numPr>
          <w:ilvl w:val="1"/>
          <w:numId w:val="22"/>
        </w:numPr>
        <w:spacing w:line="276" w:lineRule="auto"/>
        <w:rPr>
          <w:rFonts w:ascii="Verdana" w:hAnsi="Verdana" w:cs="Gotham Light"/>
          <w:color w:val="000000"/>
        </w:rPr>
      </w:pPr>
      <w:r w:rsidRPr="00156EC1">
        <w:rPr>
          <w:rFonts w:ascii="Verdana" w:hAnsi="Verdana"/>
        </w:rPr>
        <w:t>The draft Bill places a statutory duty on the Department of Education “to encourage and facilitate the use and understanding of Ulster Scots in the education system”.</w:t>
      </w:r>
      <w:r>
        <w:rPr>
          <w:rStyle w:val="FootnoteReference"/>
          <w:rFonts w:ascii="Verdana" w:hAnsi="Verdana"/>
        </w:rPr>
        <w:footnoteReference w:id="387"/>
      </w:r>
      <w:r w:rsidRPr="00156EC1">
        <w:rPr>
          <w:rFonts w:ascii="Verdana" w:hAnsi="Verdana"/>
        </w:rPr>
        <w:t xml:space="preserve"> The UN Committee on Economic, Social and Cultural Rights has also identified that the right to cultural life is intrinsically linked to the right to education. As such, the NIHRC welcomed this statutory duty on the DoE, but noted a lack of clarity on whether it applies solely to Ulster Scots language alone, or if it applies more broadly to other aspects of the Ulster Scots identity.</w:t>
      </w:r>
      <w:r>
        <w:rPr>
          <w:rStyle w:val="FootnoteReference"/>
          <w:rFonts w:ascii="Verdana" w:hAnsi="Verdana"/>
        </w:rPr>
        <w:footnoteReference w:id="388"/>
      </w:r>
    </w:p>
    <w:p w14:paraId="6FD9880D" w14:textId="77777777" w:rsidR="00156EC1" w:rsidRPr="00156EC1" w:rsidRDefault="00156EC1" w:rsidP="00156EC1">
      <w:pPr>
        <w:pStyle w:val="ListParagraph"/>
        <w:rPr>
          <w:rFonts w:ascii="Verdana" w:hAnsi="Verdana" w:cs="Gotham Light"/>
          <w:b/>
          <w:color w:val="000000" w:themeColor="text1"/>
        </w:rPr>
      </w:pPr>
    </w:p>
    <w:p w14:paraId="517E1791" w14:textId="77777777" w:rsidR="00156EC1" w:rsidRPr="00156EC1" w:rsidRDefault="00E76ED1"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b/>
          <w:color w:val="000000" w:themeColor="text1"/>
        </w:rPr>
        <w:t xml:space="preserve">The Advisory Committee may wish to </w:t>
      </w:r>
      <w:r w:rsidR="006149C2" w:rsidRPr="00156EC1">
        <w:rPr>
          <w:rFonts w:ascii="Verdana" w:hAnsi="Verdana"/>
          <w:b/>
          <w:bCs/>
        </w:rPr>
        <w:t>recommend that the Ulster Scots Commissioner’s awareness-raising function should be enhanced to include promoting Ulster Scots within wider society.</w:t>
      </w:r>
    </w:p>
    <w:p w14:paraId="6D5AFBBA" w14:textId="77777777" w:rsidR="00156EC1" w:rsidRPr="00156EC1" w:rsidRDefault="00156EC1" w:rsidP="00156EC1">
      <w:pPr>
        <w:pStyle w:val="ListParagraph"/>
        <w:rPr>
          <w:rFonts w:ascii="Verdana" w:hAnsi="Verdana" w:cs="Gotham Light"/>
          <w:b/>
          <w:color w:val="000000" w:themeColor="text1"/>
        </w:rPr>
      </w:pPr>
    </w:p>
    <w:p w14:paraId="28776794" w14:textId="47B3A2EC" w:rsidR="00E76ED1" w:rsidRPr="00156EC1" w:rsidRDefault="006149C2" w:rsidP="00915669">
      <w:pPr>
        <w:pStyle w:val="ListParagraph"/>
        <w:numPr>
          <w:ilvl w:val="1"/>
          <w:numId w:val="22"/>
        </w:numPr>
        <w:spacing w:line="276" w:lineRule="auto"/>
        <w:rPr>
          <w:rFonts w:ascii="Verdana" w:hAnsi="Verdana" w:cs="Gotham Light"/>
          <w:color w:val="000000"/>
        </w:rPr>
      </w:pPr>
      <w:r w:rsidRPr="00156EC1">
        <w:rPr>
          <w:rFonts w:ascii="Verdana" w:hAnsi="Verdana" w:cs="Gotham Light"/>
          <w:b/>
          <w:color w:val="000000" w:themeColor="text1"/>
        </w:rPr>
        <w:t xml:space="preserve">The Advisory Committee </w:t>
      </w:r>
      <w:r w:rsidRPr="00156EC1">
        <w:rPr>
          <w:rFonts w:ascii="Verdana" w:hAnsi="Verdana"/>
          <w:b/>
          <w:bCs/>
        </w:rPr>
        <w:t xml:space="preserve">may wish to recommend that </w:t>
      </w:r>
      <w:r w:rsidR="00F725DC" w:rsidRPr="00156EC1">
        <w:rPr>
          <w:rFonts w:ascii="Verdana" w:hAnsi="Verdana" w:cs="Gotham Light"/>
          <w:b/>
          <w:color w:val="000000" w:themeColor="text1"/>
        </w:rPr>
        <w:t>the</w:t>
      </w:r>
      <w:r w:rsidRPr="00156EC1">
        <w:rPr>
          <w:rFonts w:ascii="Verdana" w:hAnsi="Verdana" w:cs="Gotham Light"/>
          <w:b/>
          <w:color w:val="000000" w:themeColor="text1"/>
        </w:rPr>
        <w:t xml:space="preserve"> Ulster Scots </w:t>
      </w:r>
      <w:r w:rsidR="00F725DC" w:rsidRPr="00156EC1">
        <w:rPr>
          <w:rFonts w:ascii="Verdana" w:hAnsi="Verdana" w:cs="Gotham Light"/>
          <w:b/>
          <w:color w:val="000000" w:themeColor="text1"/>
        </w:rPr>
        <w:t>Language, Heritage and Culture Strategy</w:t>
      </w:r>
      <w:r w:rsidRPr="00156EC1">
        <w:rPr>
          <w:rFonts w:ascii="Verdana" w:hAnsi="Verdana"/>
          <w:b/>
          <w:bCs/>
        </w:rPr>
        <w:t xml:space="preserve"> clarifies the scope of any duty placed on the Department of Education in relation to Ulster Scots and recommends that any duty is extended to the full mandate of the Commissioner, not only language.</w:t>
      </w:r>
      <w:r w:rsidR="00E76ED1" w:rsidRPr="00156EC1">
        <w:rPr>
          <w:rFonts w:ascii="Verdana" w:hAnsi="Verdana" w:cs="Gotham Light"/>
          <w:b/>
          <w:color w:val="000000" w:themeColor="text1"/>
        </w:rPr>
        <w:t xml:space="preserve"> </w:t>
      </w:r>
      <w:bookmarkEnd w:id="47"/>
    </w:p>
    <w:p w14:paraId="07CD7109" w14:textId="31616BD2" w:rsidR="00E76ED1" w:rsidRPr="00E76ED1" w:rsidRDefault="00E76ED1" w:rsidP="00E166B1">
      <w:pPr>
        <w:spacing w:line="276" w:lineRule="auto"/>
        <w:rPr>
          <w:rFonts w:ascii="Verdana" w:hAnsi="Verdana" w:cs="Gotham Light"/>
          <w:b/>
          <w:bCs/>
          <w:color w:val="000000"/>
        </w:rPr>
      </w:pPr>
    </w:p>
    <w:p w14:paraId="6F7618B2" w14:textId="2F8C3BF8" w:rsidR="00E76ED1" w:rsidRPr="008B1ECD" w:rsidRDefault="00156EC1" w:rsidP="00A16ADD">
      <w:pPr>
        <w:pStyle w:val="Heading1"/>
        <w:rPr>
          <w:rFonts w:cs="Gotham Light"/>
          <w:b w:val="0"/>
          <w:bCs/>
          <w:szCs w:val="30"/>
        </w:rPr>
      </w:pPr>
      <w:bookmarkStart w:id="56" w:name="_Toc97030943"/>
      <w:r>
        <w:t>10.</w:t>
      </w:r>
      <w:r w:rsidR="00B83347">
        <w:t>0</w:t>
      </w:r>
      <w:r>
        <w:t xml:space="preserve"> </w:t>
      </w:r>
      <w:r w:rsidR="00E76ED1" w:rsidRPr="008B1ECD">
        <w:t>Article 11: Traditional names</w:t>
      </w:r>
      <w:bookmarkEnd w:id="56"/>
    </w:p>
    <w:p w14:paraId="209E47DF" w14:textId="77777777" w:rsidR="00E76ED1" w:rsidRPr="00E76ED1" w:rsidRDefault="00E76ED1" w:rsidP="00C42A0A">
      <w:pPr>
        <w:pStyle w:val="ListParagraph"/>
        <w:spacing w:line="276" w:lineRule="auto"/>
        <w:ind w:left="851"/>
        <w:rPr>
          <w:rFonts w:ascii="Verdana" w:hAnsi="Verdana" w:cs="Gotham Light"/>
          <w:color w:val="000000"/>
        </w:rPr>
      </w:pPr>
    </w:p>
    <w:p w14:paraId="7337FC5E" w14:textId="77777777" w:rsidR="00E76ED1" w:rsidRPr="008B1ECD" w:rsidRDefault="00E76ED1" w:rsidP="00A16ADD">
      <w:pPr>
        <w:pStyle w:val="Heading2"/>
        <w:rPr>
          <w:rFonts w:cs="Gotham Light"/>
          <w:b w:val="0"/>
          <w:bCs/>
          <w:color w:val="000000"/>
        </w:rPr>
      </w:pPr>
      <w:bookmarkStart w:id="57" w:name="_Toc97030944"/>
      <w:r w:rsidRPr="008B1ECD">
        <w:t>Street Names</w:t>
      </w:r>
      <w:bookmarkEnd w:id="57"/>
      <w:r w:rsidRPr="008B1ECD">
        <w:t> </w:t>
      </w:r>
    </w:p>
    <w:p w14:paraId="45D9917E" w14:textId="77777777" w:rsidR="00E76ED1" w:rsidRPr="00E76ED1" w:rsidRDefault="00E76ED1" w:rsidP="00C42A0A">
      <w:pPr>
        <w:pStyle w:val="ListParagraph"/>
        <w:spacing w:line="276" w:lineRule="auto"/>
        <w:ind w:left="851"/>
        <w:rPr>
          <w:rFonts w:ascii="Verdana" w:hAnsi="Verdana" w:cs="Gotham Light"/>
          <w:color w:val="000000"/>
        </w:rPr>
      </w:pPr>
      <w:r w:rsidRPr="00E76ED1">
        <w:rPr>
          <w:rFonts w:ascii="Verdana" w:hAnsi="Verdana" w:cs="Gotham Light"/>
          <w:color w:val="000000"/>
        </w:rPr>
        <w:t xml:space="preserve"> </w:t>
      </w:r>
    </w:p>
    <w:p w14:paraId="7ADCEA35" w14:textId="77777777" w:rsidR="00533C10" w:rsidRPr="00533C10" w:rsidRDefault="00E76ED1" w:rsidP="00915669">
      <w:pPr>
        <w:pStyle w:val="ListParagraph"/>
        <w:numPr>
          <w:ilvl w:val="1"/>
          <w:numId w:val="23"/>
        </w:numPr>
        <w:spacing w:line="276" w:lineRule="auto"/>
        <w:rPr>
          <w:rFonts w:ascii="Verdana" w:hAnsi="Verdana" w:cs="Gotham Light"/>
          <w:color w:val="000000"/>
        </w:rPr>
      </w:pPr>
      <w:r w:rsidRPr="00A57C69">
        <w:rPr>
          <w:rFonts w:ascii="Verdana" w:hAnsi="Verdana" w:cs="Gotham Light"/>
          <w:color w:val="000000" w:themeColor="text1"/>
        </w:rPr>
        <w:t xml:space="preserve">The Advisory Committee previously called for a closer dialogue on signage among the government and local authorities in </w:t>
      </w:r>
      <w:r w:rsidR="007D4E6A" w:rsidRPr="00A57C69">
        <w:rPr>
          <w:rFonts w:ascii="Verdana" w:hAnsi="Verdana" w:cs="Gotham Light"/>
          <w:color w:val="000000" w:themeColor="text1"/>
        </w:rPr>
        <w:t>NI</w:t>
      </w:r>
      <w:r w:rsidRPr="00A57C69">
        <w:rPr>
          <w:rFonts w:ascii="Verdana" w:hAnsi="Verdana" w:cs="Gotham Light"/>
          <w:color w:val="000000" w:themeColor="text1"/>
        </w:rPr>
        <w:t>, “to identify pragmatic and flexible solutions that accommodate the demands of the population in line with the principles contained in Article 11 of the Framework Convention”.</w:t>
      </w:r>
    </w:p>
    <w:p w14:paraId="2A57CA80" w14:textId="050062DA" w:rsidR="00533C10" w:rsidRPr="00533C10" w:rsidRDefault="00E76ED1" w:rsidP="00533C10">
      <w:pPr>
        <w:pStyle w:val="ListParagraph"/>
        <w:spacing w:line="276" w:lineRule="auto"/>
        <w:rPr>
          <w:rFonts w:ascii="Verdana" w:hAnsi="Verdana" w:cs="Gotham Light"/>
          <w:color w:val="000000"/>
        </w:rPr>
      </w:pPr>
      <w:r w:rsidRPr="00A57C69">
        <w:rPr>
          <w:rFonts w:ascii="Verdana" w:hAnsi="Verdana" w:cs="Gotham Light"/>
          <w:color w:val="000000" w:themeColor="text1"/>
        </w:rPr>
        <w:t xml:space="preserve"> </w:t>
      </w:r>
    </w:p>
    <w:p w14:paraId="4A87B75C" w14:textId="77777777" w:rsidR="00533C10" w:rsidRDefault="00E76ED1" w:rsidP="00915669">
      <w:pPr>
        <w:pStyle w:val="ListParagraph"/>
        <w:numPr>
          <w:ilvl w:val="1"/>
          <w:numId w:val="23"/>
        </w:numPr>
        <w:spacing w:line="276" w:lineRule="auto"/>
        <w:rPr>
          <w:rFonts w:ascii="Verdana" w:hAnsi="Verdana" w:cs="Gotham Light"/>
          <w:color w:val="000000"/>
        </w:rPr>
      </w:pPr>
      <w:r w:rsidRPr="00533C10">
        <w:rPr>
          <w:rFonts w:ascii="Verdana" w:hAnsi="Verdana" w:cs="Gotham Light"/>
          <w:color w:val="000000"/>
        </w:rPr>
        <w:t>The provision of traditional local names and street signs in a minority language remains an issue in NI. Although there are examples of street signs in both Irish and Ulster Scots, there does not appear to be a consistent approach to dealing with requests for bilingual signage. The Local Government (Miscellaneous) Order 1995</w:t>
      </w:r>
      <w:r w:rsidRPr="00E76ED1">
        <w:rPr>
          <w:vertAlign w:val="superscript"/>
        </w:rPr>
        <w:footnoteReference w:id="389"/>
      </w:r>
      <w:r w:rsidRPr="00533C10">
        <w:rPr>
          <w:rFonts w:ascii="Verdana" w:hAnsi="Verdana" w:cs="Gotham Light"/>
          <w:color w:val="000000"/>
        </w:rPr>
        <w:t xml:space="preserve"> </w:t>
      </w:r>
      <w:r w:rsidR="00F24AD5" w:rsidRPr="00533C10">
        <w:rPr>
          <w:rFonts w:ascii="Verdana" w:hAnsi="Verdana" w:cs="Gotham Light"/>
          <w:color w:val="000000"/>
        </w:rPr>
        <w:t xml:space="preserve">gives local councils the </w:t>
      </w:r>
      <w:r w:rsidR="00C26A2E" w:rsidRPr="00533C10">
        <w:rPr>
          <w:rFonts w:ascii="Verdana" w:hAnsi="Verdana" w:cs="Gotham Light"/>
          <w:color w:val="000000"/>
        </w:rPr>
        <w:t xml:space="preserve">discretion </w:t>
      </w:r>
      <w:r w:rsidR="00F24AD5" w:rsidRPr="00533C10">
        <w:rPr>
          <w:rFonts w:ascii="Verdana" w:hAnsi="Verdana" w:cs="Gotham Light"/>
          <w:color w:val="000000"/>
        </w:rPr>
        <w:t>to erect</w:t>
      </w:r>
      <w:r w:rsidRPr="00533C10">
        <w:rPr>
          <w:rFonts w:ascii="Verdana" w:hAnsi="Verdana" w:cs="Gotham Light"/>
          <w:color w:val="000000"/>
        </w:rPr>
        <w:t xml:space="preserve"> bilingual street signs only and there continues to be no provision for bilingual road signage. </w:t>
      </w:r>
    </w:p>
    <w:p w14:paraId="53920F80" w14:textId="77777777" w:rsidR="00533C10" w:rsidRPr="00533C10" w:rsidRDefault="00533C10" w:rsidP="00533C10">
      <w:pPr>
        <w:pStyle w:val="ListParagraph"/>
        <w:rPr>
          <w:rFonts w:ascii="Verdana" w:hAnsi="Verdana" w:cs="Gotham Light"/>
          <w:color w:val="000000"/>
        </w:rPr>
      </w:pPr>
    </w:p>
    <w:p w14:paraId="7AE82817" w14:textId="77777777" w:rsidR="00533C10" w:rsidRDefault="00E24858" w:rsidP="00915669">
      <w:pPr>
        <w:pStyle w:val="ListParagraph"/>
        <w:numPr>
          <w:ilvl w:val="1"/>
          <w:numId w:val="23"/>
        </w:numPr>
        <w:spacing w:line="276" w:lineRule="auto"/>
        <w:rPr>
          <w:rFonts w:ascii="Verdana" w:hAnsi="Verdana" w:cs="Gotham Light"/>
          <w:color w:val="000000"/>
        </w:rPr>
      </w:pPr>
      <w:r w:rsidRPr="00533C10">
        <w:rPr>
          <w:rFonts w:ascii="Verdana" w:hAnsi="Verdana" w:cs="Gotham Light"/>
          <w:color w:val="000000"/>
        </w:rPr>
        <w:t>Local council policies vary in their approach to bilingual street signage. The NIHRC notes good practice from Belfast City Council</w:t>
      </w:r>
      <w:r w:rsidR="00C26A2E" w:rsidRPr="00533C10">
        <w:rPr>
          <w:rFonts w:ascii="Verdana" w:hAnsi="Verdana" w:cs="Gotham Light"/>
          <w:color w:val="000000"/>
        </w:rPr>
        <w:t xml:space="preserve"> and Derry City and Strabane District Council</w:t>
      </w:r>
      <w:r w:rsidRPr="00533C10">
        <w:rPr>
          <w:rFonts w:ascii="Verdana" w:hAnsi="Verdana" w:cs="Gotham Light"/>
          <w:color w:val="000000"/>
        </w:rPr>
        <w:t>, who have voted to adopt a new policy on bilingual street signs that will make is easier for residents to apply for a dual language sign where they live.</w:t>
      </w:r>
      <w:r w:rsidRPr="00E76ED1">
        <w:rPr>
          <w:vertAlign w:val="superscript"/>
        </w:rPr>
        <w:footnoteReference w:id="390"/>
      </w:r>
      <w:r w:rsidRPr="00533C10">
        <w:rPr>
          <w:rFonts w:ascii="Verdana" w:hAnsi="Verdana" w:cs="Gotham Light"/>
          <w:color w:val="000000"/>
        </w:rPr>
        <w:t xml:space="preserve"> The </w:t>
      </w:r>
      <w:r w:rsidR="00C26A2E" w:rsidRPr="00533C10">
        <w:rPr>
          <w:rFonts w:ascii="Verdana" w:hAnsi="Verdana" w:cs="Gotham Light"/>
          <w:color w:val="000000"/>
        </w:rPr>
        <w:t xml:space="preserve">new </w:t>
      </w:r>
      <w:r w:rsidRPr="00533C10">
        <w:rPr>
          <w:rFonts w:ascii="Verdana" w:hAnsi="Verdana" w:cs="Gotham Light"/>
          <w:color w:val="000000"/>
        </w:rPr>
        <w:t>polic</w:t>
      </w:r>
      <w:r w:rsidR="00C26A2E" w:rsidRPr="00533C10">
        <w:rPr>
          <w:rFonts w:ascii="Verdana" w:hAnsi="Verdana" w:cs="Gotham Light"/>
          <w:color w:val="000000"/>
        </w:rPr>
        <w:t>ies</w:t>
      </w:r>
      <w:r w:rsidRPr="00533C10">
        <w:rPr>
          <w:rFonts w:ascii="Verdana" w:hAnsi="Verdana" w:cs="Gotham Light"/>
          <w:color w:val="000000"/>
        </w:rPr>
        <w:t xml:space="preserve"> </w:t>
      </w:r>
      <w:r w:rsidR="00C26A2E" w:rsidRPr="00533C10">
        <w:rPr>
          <w:rFonts w:ascii="Verdana" w:hAnsi="Verdana" w:cs="Gotham Light"/>
          <w:color w:val="000000"/>
        </w:rPr>
        <w:t>allow a resident</w:t>
      </w:r>
      <w:r w:rsidRPr="00533C10">
        <w:rPr>
          <w:rFonts w:ascii="Verdana" w:hAnsi="Verdana" w:cs="Gotham Light"/>
          <w:color w:val="000000"/>
        </w:rPr>
        <w:t xml:space="preserve"> or their local councillor to make the request and 15 per cent of the occupiers of the street to be in favour of the application.</w:t>
      </w:r>
      <w:r w:rsidRPr="00E76ED1">
        <w:rPr>
          <w:vertAlign w:val="superscript"/>
        </w:rPr>
        <w:footnoteReference w:id="391"/>
      </w:r>
      <w:r w:rsidRPr="00533C10">
        <w:rPr>
          <w:rFonts w:ascii="Verdana" w:hAnsi="Verdana" w:cs="Gotham Light"/>
          <w:color w:val="000000"/>
        </w:rPr>
        <w:t xml:space="preserve"> If that threshold is reached, a report will be brought to the committee to consider the application. This threshold in line with guidelines from the UN Special Rapporteur on minority issues, who recommends an approach that allows bilingual or trilingual signs</w:t>
      </w:r>
      <w:r w:rsidR="00ED7274" w:rsidRPr="00533C10">
        <w:rPr>
          <w:rFonts w:ascii="Verdana" w:hAnsi="Verdana" w:cs="Gotham Light"/>
          <w:color w:val="000000"/>
        </w:rPr>
        <w:t>,</w:t>
      </w:r>
      <w:r w:rsidRPr="00533C10">
        <w:rPr>
          <w:rFonts w:ascii="Verdana" w:hAnsi="Verdana" w:cs="Gotham Light"/>
          <w:color w:val="000000"/>
        </w:rPr>
        <w:t xml:space="preserve"> where between five – 20 percent of the local population speak the regional or minority language.</w:t>
      </w:r>
      <w:r w:rsidRPr="00E76ED1">
        <w:rPr>
          <w:vertAlign w:val="superscript"/>
        </w:rPr>
        <w:footnoteReference w:id="392"/>
      </w:r>
      <w:r w:rsidRPr="00533C10">
        <w:rPr>
          <w:rFonts w:ascii="Verdana" w:hAnsi="Verdana" w:cs="Gotham Light"/>
          <w:color w:val="000000"/>
        </w:rPr>
        <w:t xml:space="preserve"> </w:t>
      </w:r>
    </w:p>
    <w:p w14:paraId="3756F9BC" w14:textId="77777777" w:rsidR="00533C10" w:rsidRPr="00533C10" w:rsidRDefault="00533C10" w:rsidP="00533C10">
      <w:pPr>
        <w:pStyle w:val="ListParagraph"/>
        <w:rPr>
          <w:rFonts w:ascii="Verdana" w:hAnsi="Verdana" w:cs="Gotham Light"/>
          <w:color w:val="000000"/>
        </w:rPr>
      </w:pPr>
    </w:p>
    <w:p w14:paraId="6C79B2B6" w14:textId="77777777" w:rsidR="00533C10" w:rsidRDefault="00E24858" w:rsidP="00915669">
      <w:pPr>
        <w:pStyle w:val="ListParagraph"/>
        <w:numPr>
          <w:ilvl w:val="1"/>
          <w:numId w:val="23"/>
        </w:numPr>
        <w:spacing w:line="276" w:lineRule="auto"/>
        <w:rPr>
          <w:rFonts w:ascii="Verdana" w:hAnsi="Verdana" w:cs="Gotham Light"/>
          <w:color w:val="000000"/>
        </w:rPr>
      </w:pPr>
      <w:r w:rsidRPr="00533C10">
        <w:rPr>
          <w:rFonts w:ascii="Verdana" w:hAnsi="Verdana" w:cs="Gotham Light"/>
          <w:color w:val="000000"/>
        </w:rPr>
        <w:t>However, in February 2021, a Notice of Motion to reduce the threshold by which applications could be approved from two thirds to 15 per cent was rejected by Lisburn and Castlereagh City Council.</w:t>
      </w:r>
      <w:r w:rsidR="00C26A2E">
        <w:rPr>
          <w:rStyle w:val="FootnoteReference"/>
          <w:rFonts w:ascii="Verdana" w:hAnsi="Verdana" w:cs="Gotham Light"/>
          <w:color w:val="000000"/>
        </w:rPr>
        <w:footnoteReference w:id="393"/>
      </w:r>
      <w:r w:rsidRPr="00533C10">
        <w:rPr>
          <w:rFonts w:ascii="Verdana" w:hAnsi="Verdana" w:cs="Gotham Light"/>
          <w:color w:val="000000"/>
        </w:rPr>
        <w:t xml:space="preserve"> Mid Ulster District Council requires at least 51 per cent of residents to approve before the application is considered by its Environment Committee.</w:t>
      </w:r>
      <w:r w:rsidR="00C26A2E">
        <w:rPr>
          <w:rStyle w:val="FootnoteReference"/>
          <w:rFonts w:ascii="Verdana" w:hAnsi="Verdana" w:cs="Gotham Light"/>
          <w:color w:val="000000"/>
        </w:rPr>
        <w:footnoteReference w:id="394"/>
      </w:r>
      <w:r w:rsidRPr="00533C10">
        <w:rPr>
          <w:rFonts w:ascii="Verdana" w:hAnsi="Verdana" w:cs="Gotham Light"/>
          <w:color w:val="000000"/>
        </w:rPr>
        <w:t xml:space="preserve"> Armagh City, Banbridge and Craigavon Borough Council,</w:t>
      </w:r>
      <w:r w:rsidR="00C26A2E">
        <w:rPr>
          <w:rStyle w:val="FootnoteReference"/>
          <w:rFonts w:ascii="Verdana" w:hAnsi="Verdana" w:cs="Gotham Light"/>
          <w:color w:val="000000"/>
        </w:rPr>
        <w:footnoteReference w:id="395"/>
      </w:r>
      <w:r w:rsidRPr="00533C10">
        <w:rPr>
          <w:rFonts w:ascii="Verdana" w:hAnsi="Verdana" w:cs="Gotham Light"/>
          <w:color w:val="000000"/>
        </w:rPr>
        <w:t xml:space="preserve"> and Causeway Coast and Glens Borough Council </w:t>
      </w:r>
      <w:r w:rsidR="00C26A2E" w:rsidRPr="00533C10">
        <w:rPr>
          <w:rFonts w:ascii="Verdana" w:hAnsi="Verdana" w:cs="Gotham Light"/>
          <w:color w:val="000000"/>
        </w:rPr>
        <w:t>require approval from at least two-thirds of residents.</w:t>
      </w:r>
      <w:r w:rsidR="00C26A2E">
        <w:rPr>
          <w:rStyle w:val="FootnoteReference"/>
          <w:rFonts w:ascii="Verdana" w:hAnsi="Verdana" w:cs="Gotham Light"/>
          <w:color w:val="000000"/>
        </w:rPr>
        <w:footnoteReference w:id="396"/>
      </w:r>
      <w:r w:rsidR="00222E93" w:rsidRPr="00533C10">
        <w:rPr>
          <w:rFonts w:ascii="Verdana" w:hAnsi="Verdana" w:cs="Gotham Light"/>
          <w:color w:val="000000"/>
        </w:rPr>
        <w:t xml:space="preserve"> Antrim and Newtownabbey Council are currently consulting on draft policy that would require two thirds of residents to be in favour of the proposal and if it is refused it cannot come back for three years.</w:t>
      </w:r>
      <w:r w:rsidR="00222E93">
        <w:rPr>
          <w:rStyle w:val="FootnoteReference"/>
          <w:rFonts w:ascii="Verdana" w:hAnsi="Verdana" w:cs="Gotham Light"/>
          <w:color w:val="000000"/>
        </w:rPr>
        <w:footnoteReference w:id="397"/>
      </w:r>
    </w:p>
    <w:p w14:paraId="13C9D62C" w14:textId="77777777" w:rsidR="00533C10" w:rsidRPr="00533C10" w:rsidRDefault="00533C10" w:rsidP="00533C10">
      <w:pPr>
        <w:pStyle w:val="ListParagraph"/>
        <w:rPr>
          <w:rFonts w:ascii="Verdana" w:hAnsi="Verdana" w:cs="Gotham Light"/>
          <w:b/>
          <w:color w:val="000000" w:themeColor="text1"/>
        </w:rPr>
      </w:pPr>
    </w:p>
    <w:p w14:paraId="5246C98C" w14:textId="29F30E56" w:rsidR="00E76ED1" w:rsidRPr="00533C10" w:rsidRDefault="00E76ED1" w:rsidP="00915669">
      <w:pPr>
        <w:pStyle w:val="ListParagraph"/>
        <w:numPr>
          <w:ilvl w:val="1"/>
          <w:numId w:val="23"/>
        </w:numPr>
        <w:spacing w:line="276" w:lineRule="auto"/>
        <w:rPr>
          <w:rFonts w:ascii="Verdana" w:hAnsi="Verdana" w:cs="Gotham Light"/>
          <w:color w:val="000000"/>
        </w:rPr>
      </w:pPr>
      <w:r w:rsidRPr="00533C10">
        <w:rPr>
          <w:rFonts w:ascii="Verdana" w:hAnsi="Verdana" w:cs="Gotham Light"/>
          <w:b/>
          <w:color w:val="000000" w:themeColor="text1"/>
        </w:rPr>
        <w:t>The Advisory Committee may wish to reaffirm its previous recommendation and ask the State Party:</w:t>
      </w:r>
    </w:p>
    <w:p w14:paraId="00AEF01B" w14:textId="77777777" w:rsidR="00E76ED1" w:rsidRPr="00E76ED1" w:rsidRDefault="00E76ED1" w:rsidP="00C42A0A">
      <w:pPr>
        <w:pStyle w:val="ListParagraph"/>
        <w:spacing w:line="276" w:lineRule="auto"/>
        <w:ind w:left="851"/>
        <w:rPr>
          <w:rFonts w:ascii="Verdana" w:hAnsi="Verdana" w:cs="Gotham Light"/>
          <w:b/>
          <w:bCs/>
          <w:color w:val="000000"/>
        </w:rPr>
      </w:pPr>
    </w:p>
    <w:p w14:paraId="5F0774D7" w14:textId="28E6D8CF" w:rsidR="008B1ECD" w:rsidRPr="002F4AE6" w:rsidRDefault="00E76ED1" w:rsidP="002F4AE6">
      <w:pPr>
        <w:pStyle w:val="ListParagraph"/>
        <w:numPr>
          <w:ilvl w:val="0"/>
          <w:numId w:val="8"/>
        </w:numPr>
        <w:spacing w:line="276" w:lineRule="auto"/>
        <w:ind w:left="1211"/>
        <w:rPr>
          <w:rFonts w:ascii="Verdana" w:hAnsi="Verdana" w:cs="Gotham Light"/>
          <w:b/>
          <w:bCs/>
          <w:color w:val="000000"/>
        </w:rPr>
      </w:pPr>
      <w:r w:rsidRPr="0F41D650">
        <w:rPr>
          <w:rFonts w:ascii="Verdana" w:hAnsi="Verdana" w:cs="Gotham Light"/>
          <w:b/>
          <w:bCs/>
          <w:color w:val="000000" w:themeColor="text1"/>
        </w:rPr>
        <w:t>what</w:t>
      </w:r>
      <w:r w:rsidRPr="0F41D650">
        <w:rPr>
          <w:rFonts w:ascii="Verdana" w:hAnsi="Verdana" w:cs="Gotham Light"/>
          <w:b/>
          <w:color w:val="000000" w:themeColor="text1"/>
        </w:rPr>
        <w:t xml:space="preserve"> measures are being taken to overcome the politicisation of language issues in NI; and </w:t>
      </w:r>
    </w:p>
    <w:p w14:paraId="20560C31" w14:textId="5AB26C60" w:rsidR="00E76ED1" w:rsidRPr="00533C10" w:rsidRDefault="00E76ED1" w:rsidP="00915669">
      <w:pPr>
        <w:pStyle w:val="ListParagraph"/>
        <w:numPr>
          <w:ilvl w:val="0"/>
          <w:numId w:val="8"/>
        </w:numPr>
        <w:spacing w:line="276" w:lineRule="auto"/>
        <w:ind w:left="1211"/>
        <w:rPr>
          <w:rFonts w:ascii="Verdana" w:hAnsi="Verdana" w:cs="Gotham Light"/>
          <w:b/>
          <w:bCs/>
          <w:color w:val="000000"/>
        </w:rPr>
      </w:pPr>
      <w:r w:rsidRPr="1946A2B3">
        <w:rPr>
          <w:rFonts w:ascii="Verdana" w:hAnsi="Verdana" w:cs="Gotham Light"/>
          <w:b/>
          <w:color w:val="000000" w:themeColor="text1"/>
        </w:rPr>
        <w:t>how it will fulfil its obligations to promote the use of minority languages in street names and other topographical indicators in the absence of political consensus in NI.</w:t>
      </w:r>
    </w:p>
    <w:p w14:paraId="201E6661" w14:textId="04F1F02D" w:rsidR="00E76ED1" w:rsidRPr="008B1ECD" w:rsidRDefault="00533C10" w:rsidP="00A16ADD">
      <w:pPr>
        <w:pStyle w:val="Heading1"/>
        <w:rPr>
          <w:rFonts w:cs="Gotham Light"/>
          <w:b w:val="0"/>
          <w:bCs/>
          <w:szCs w:val="30"/>
        </w:rPr>
      </w:pPr>
      <w:bookmarkStart w:id="58" w:name="_Toc97030945"/>
      <w:r>
        <w:t>11.</w:t>
      </w:r>
      <w:r w:rsidR="00B83347">
        <w:t>0</w:t>
      </w:r>
      <w:r>
        <w:t xml:space="preserve"> </w:t>
      </w:r>
      <w:r w:rsidR="00E76ED1" w:rsidRPr="008B1ECD">
        <w:t>Article 12: Education</w:t>
      </w:r>
      <w:bookmarkEnd w:id="58"/>
    </w:p>
    <w:p w14:paraId="494A6204" w14:textId="77777777" w:rsidR="00E76ED1" w:rsidRPr="00E76ED1" w:rsidRDefault="00E76ED1" w:rsidP="00C42A0A">
      <w:pPr>
        <w:pStyle w:val="ListParagraph"/>
        <w:spacing w:line="276" w:lineRule="auto"/>
        <w:ind w:left="851"/>
        <w:rPr>
          <w:rFonts w:ascii="Verdana" w:hAnsi="Verdana" w:cs="Gotham Light"/>
          <w:color w:val="000000"/>
        </w:rPr>
      </w:pPr>
    </w:p>
    <w:p w14:paraId="459F17EF" w14:textId="77777777" w:rsidR="00E76ED1" w:rsidRPr="008B1ECD" w:rsidRDefault="00E76ED1" w:rsidP="00A16ADD">
      <w:pPr>
        <w:pStyle w:val="Heading2"/>
        <w:rPr>
          <w:rFonts w:cs="Gotham Light"/>
          <w:b w:val="0"/>
          <w:bCs/>
          <w:color w:val="000000"/>
        </w:rPr>
      </w:pPr>
      <w:bookmarkStart w:id="59" w:name="_Toc97030946"/>
      <w:r w:rsidRPr="008B1ECD">
        <w:t>Independent Review of Education in NI</w:t>
      </w:r>
      <w:bookmarkEnd w:id="59"/>
    </w:p>
    <w:p w14:paraId="0365F58F" w14:textId="77777777" w:rsidR="00E76ED1" w:rsidRPr="00E76ED1" w:rsidRDefault="00E76ED1" w:rsidP="00C42A0A">
      <w:pPr>
        <w:pStyle w:val="ListParagraph"/>
        <w:spacing w:line="276" w:lineRule="auto"/>
        <w:ind w:left="851"/>
        <w:rPr>
          <w:rFonts w:ascii="Verdana" w:hAnsi="Verdana" w:cs="Gotham Light"/>
          <w:b/>
          <w:bCs/>
          <w:color w:val="000000"/>
        </w:rPr>
      </w:pPr>
    </w:p>
    <w:p w14:paraId="1156C79B" w14:textId="493438DC" w:rsidR="00C531F9" w:rsidRDefault="00533C10"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T</w:t>
      </w:r>
      <w:r w:rsidR="00E76ED1" w:rsidRPr="00C531F9">
        <w:rPr>
          <w:rFonts w:ascii="Verdana" w:hAnsi="Verdana" w:cs="Gotham Light"/>
          <w:color w:val="000000"/>
        </w:rPr>
        <w:t>he New Decade, New Approach agreement committed to the establishment and delivery of an Independent Review of Education “with a focus on securing greater efficiency in delivery costs, raising standards, access to the curriculum for all pupils, and the prospects of moving towards a single education system”.</w:t>
      </w:r>
      <w:r w:rsidR="00E76ED1" w:rsidRPr="00E76ED1">
        <w:rPr>
          <w:vertAlign w:val="superscript"/>
        </w:rPr>
        <w:footnoteReference w:id="398"/>
      </w:r>
    </w:p>
    <w:p w14:paraId="7376288F" w14:textId="77777777" w:rsidR="00C531F9" w:rsidRDefault="00C531F9" w:rsidP="00C531F9">
      <w:pPr>
        <w:pStyle w:val="ListParagraph"/>
        <w:spacing w:line="276" w:lineRule="auto"/>
        <w:rPr>
          <w:rFonts w:ascii="Verdana" w:hAnsi="Verdana" w:cs="Gotham Light"/>
          <w:color w:val="000000"/>
        </w:rPr>
      </w:pPr>
    </w:p>
    <w:p w14:paraId="799ECC79" w14:textId="546A694E" w:rsidR="00E76ED1" w:rsidRPr="00C531F9" w:rsidRDefault="007D4E6A"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The</w:t>
      </w:r>
      <w:r w:rsidR="00E76ED1" w:rsidRPr="00C531F9">
        <w:rPr>
          <w:rFonts w:ascii="Verdana" w:hAnsi="Verdana" w:cs="Gotham Light"/>
          <w:color w:val="000000"/>
        </w:rPr>
        <w:t xml:space="preserve"> Terms of Reference for the Review has been agreed by the NI Executive and published by the Education Minister.</w:t>
      </w:r>
      <w:r w:rsidR="00E76ED1" w:rsidRPr="00E76ED1">
        <w:rPr>
          <w:vertAlign w:val="superscript"/>
        </w:rPr>
        <w:footnoteReference w:id="399"/>
      </w:r>
      <w:r w:rsidR="00E76ED1" w:rsidRPr="00C531F9">
        <w:rPr>
          <w:rFonts w:ascii="Verdana" w:hAnsi="Verdana" w:cs="Gotham Light"/>
          <w:color w:val="000000"/>
        </w:rPr>
        <w:t xml:space="preserve"> The Panel w</w:t>
      </w:r>
      <w:r w:rsidRPr="00C531F9">
        <w:rPr>
          <w:rFonts w:ascii="Verdana" w:hAnsi="Verdana" w:cs="Gotham Light"/>
          <w:color w:val="000000"/>
        </w:rPr>
        <w:t>as</w:t>
      </w:r>
      <w:r w:rsidR="00E76ED1" w:rsidRPr="00C531F9">
        <w:rPr>
          <w:rFonts w:ascii="Verdana" w:hAnsi="Verdana" w:cs="Gotham Light"/>
          <w:color w:val="000000"/>
        </w:rPr>
        <w:t xml:space="preserve"> appointed in September 2021 and commenced work in October 2021, with the review expected to take a minimum of 18 months.</w:t>
      </w:r>
      <w:r w:rsidR="00E76ED1" w:rsidRPr="00E76ED1">
        <w:rPr>
          <w:vertAlign w:val="superscript"/>
        </w:rPr>
        <w:footnoteReference w:id="400"/>
      </w:r>
      <w:r w:rsidR="00E76ED1" w:rsidRPr="00C531F9">
        <w:rPr>
          <w:rFonts w:ascii="Verdana" w:hAnsi="Verdana" w:cs="Gotham Light"/>
          <w:color w:val="000000"/>
        </w:rPr>
        <w:t xml:space="preserve"> The review has the potential to radically re-shape education design, delivery, and provision, albeit decisions following the Review will be subject to Executive agreement, wider stakeholder consensus and the availability of appropriate funding.</w:t>
      </w:r>
    </w:p>
    <w:p w14:paraId="5C1733E5" w14:textId="77777777" w:rsidR="00E76ED1" w:rsidRPr="00E76ED1" w:rsidRDefault="00E76ED1" w:rsidP="00C42A0A">
      <w:pPr>
        <w:pStyle w:val="ListParagraph"/>
        <w:spacing w:line="276" w:lineRule="auto"/>
        <w:ind w:left="851"/>
        <w:rPr>
          <w:rFonts w:ascii="Verdana" w:hAnsi="Verdana" w:cs="Gotham Light"/>
          <w:color w:val="000000"/>
        </w:rPr>
      </w:pPr>
    </w:p>
    <w:p w14:paraId="012EAE70" w14:textId="538F544F" w:rsidR="00E76ED1" w:rsidRPr="008B1ECD" w:rsidRDefault="00E76ED1" w:rsidP="00A16ADD">
      <w:pPr>
        <w:pStyle w:val="Heading2"/>
      </w:pPr>
      <w:bookmarkStart w:id="60" w:name="_Toc97030947"/>
      <w:r w:rsidRPr="008B1ECD">
        <w:t>Traveller and Roma children</w:t>
      </w:r>
      <w:bookmarkEnd w:id="60"/>
    </w:p>
    <w:p w14:paraId="76E6B4C8" w14:textId="77777777" w:rsidR="00E76ED1" w:rsidRPr="00E76ED1" w:rsidRDefault="00E76ED1" w:rsidP="00C42A0A">
      <w:pPr>
        <w:pStyle w:val="ListParagraph"/>
        <w:spacing w:line="276" w:lineRule="auto"/>
        <w:ind w:left="851"/>
        <w:rPr>
          <w:rFonts w:ascii="Verdana" w:hAnsi="Verdana" w:cs="Gotham Light"/>
          <w:color w:val="000000"/>
        </w:rPr>
      </w:pPr>
    </w:p>
    <w:p w14:paraId="6D88A837" w14:textId="2EAA2D28" w:rsidR="00C531F9" w:rsidRDefault="00E76ED1"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In 2016, the UN CRC Committee raised concerns that</w:t>
      </w:r>
      <w:r w:rsidR="00DB15DF" w:rsidRPr="00C531F9">
        <w:rPr>
          <w:rFonts w:ascii="Verdana" w:hAnsi="Verdana" w:cs="Gotham Light"/>
          <w:color w:val="000000"/>
        </w:rPr>
        <w:t xml:space="preserve"> substantial inequalities persist in educational attainment, including for Roma, Gypsy and Traveller children, and newcomer children.</w:t>
      </w:r>
      <w:r w:rsidR="00DB15DF">
        <w:rPr>
          <w:rStyle w:val="FootnoteReference"/>
          <w:rFonts w:ascii="Verdana" w:hAnsi="Verdana" w:cs="Gotham Light"/>
          <w:color w:val="000000"/>
        </w:rPr>
        <w:footnoteReference w:id="401"/>
      </w:r>
      <w:r w:rsidR="00DB15DF" w:rsidRPr="00C531F9">
        <w:rPr>
          <w:rFonts w:ascii="Verdana" w:hAnsi="Verdana" w:cs="Gotham Light"/>
          <w:color w:val="000000"/>
        </w:rPr>
        <w:t xml:space="preserve"> It was additionally noted that among children subject to permanent or temporary school exclusions there is a disproportionate number of Roma, Gypsy and Traveller children, and children of Caribbean descent.</w:t>
      </w:r>
      <w:r w:rsidRPr="00C531F9">
        <w:rPr>
          <w:rFonts w:ascii="Verdana" w:hAnsi="Verdana" w:cs="Gotham Light"/>
          <w:color w:val="000000"/>
        </w:rPr>
        <w:t xml:space="preserve"> </w:t>
      </w:r>
    </w:p>
    <w:p w14:paraId="51933604" w14:textId="77777777" w:rsidR="00C531F9" w:rsidRDefault="00C531F9" w:rsidP="00C531F9">
      <w:pPr>
        <w:pStyle w:val="ListParagraph"/>
        <w:spacing w:line="276" w:lineRule="auto"/>
        <w:rPr>
          <w:rFonts w:ascii="Verdana" w:hAnsi="Verdana" w:cs="Gotham Light"/>
          <w:color w:val="000000"/>
        </w:rPr>
      </w:pPr>
    </w:p>
    <w:p w14:paraId="6DAA7271" w14:textId="400A7DCB" w:rsidR="00393918" w:rsidRPr="00C531F9" w:rsidRDefault="00E76ED1"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themeColor="text1"/>
        </w:rPr>
        <w:t>In 2019, the UN Special Rapporteur on Racism, E Tendayi Achiume, reported on her visit to the UK that</w:t>
      </w:r>
      <w:r w:rsidR="00393918" w:rsidRPr="00C531F9">
        <w:rPr>
          <w:rFonts w:ascii="Verdana" w:hAnsi="Verdana" w:cs="Gotham Light"/>
          <w:color w:val="000000" w:themeColor="text1"/>
        </w:rPr>
        <w:t>,</w:t>
      </w:r>
      <w:r w:rsidR="00F34388" w:rsidRPr="00C531F9">
        <w:rPr>
          <w:rFonts w:ascii="Verdana" w:hAnsi="Verdana" w:cs="Gotham Light"/>
          <w:color w:val="000000" w:themeColor="text1"/>
        </w:rPr>
        <w:t xml:space="preserve"> </w:t>
      </w:r>
      <w:r w:rsidR="00F34388" w:rsidRPr="00F34388">
        <w:t xml:space="preserve"> </w:t>
      </w:r>
    </w:p>
    <w:p w14:paraId="582144F3" w14:textId="77777777" w:rsidR="00393918" w:rsidRDefault="00393918" w:rsidP="00393918">
      <w:pPr>
        <w:pStyle w:val="ListParagraph"/>
        <w:spacing w:line="276" w:lineRule="auto"/>
        <w:ind w:left="851"/>
      </w:pPr>
    </w:p>
    <w:p w14:paraId="635672BB" w14:textId="37EA2A51" w:rsidR="00977021" w:rsidRPr="00E76ED1" w:rsidRDefault="00F34388" w:rsidP="00C42A0A">
      <w:pPr>
        <w:pStyle w:val="ListParagraph"/>
        <w:spacing w:line="276" w:lineRule="auto"/>
        <w:ind w:left="1440"/>
        <w:rPr>
          <w:rFonts w:ascii="Verdana" w:hAnsi="Verdana" w:cs="Gotham Light"/>
          <w:color w:val="000000"/>
        </w:rPr>
      </w:pPr>
      <w:r w:rsidRPr="00F34388">
        <w:rPr>
          <w:rFonts w:ascii="Verdana" w:hAnsi="Verdana" w:cs="Gotham Light"/>
          <w:color w:val="000000"/>
        </w:rPr>
        <w:t>race and ethnicity continue to have a significant impact on educational outcomes. The circumstances confronting Gypsies, Roma and Travellers are especially dire.</w:t>
      </w:r>
      <w:r w:rsidR="00393918">
        <w:rPr>
          <w:rFonts w:ascii="Verdana" w:hAnsi="Verdana" w:cs="Gotham Light"/>
          <w:color w:val="000000"/>
        </w:rPr>
        <w:t xml:space="preserve"> </w:t>
      </w:r>
      <w:r w:rsidR="00393918" w:rsidRPr="00393918">
        <w:rPr>
          <w:rFonts w:ascii="Verdana" w:eastAsia="Verdana" w:hAnsi="Verdana" w:cs="Verdana"/>
          <w:color w:val="000000"/>
        </w:rPr>
        <w:t>In 2016–2017, Gypsy/Roma children, as well as children Travellers of Irish Heritage, had the highest rates of both temporary (“fixed period”) and permanent exclusions in England. In secondary schools, over half of Traveller of Irish Heritage and 45 per cent of Gypsy/Roma pupils had fixed period exclusions. In special schools, such exclusions affected 51.24 per cent of Travellers of Irish Heritage and 31.94 per cent of Black Caribbean pupils.</w:t>
      </w:r>
      <w:r w:rsidRPr="00E76ED1">
        <w:rPr>
          <w:vertAlign w:val="superscript"/>
        </w:rPr>
        <w:footnoteReference w:id="402"/>
      </w:r>
      <w:r w:rsidRPr="00EE702B">
        <w:rPr>
          <w:rFonts w:ascii="Verdana" w:hAnsi="Verdana" w:cs="Gotham Light"/>
          <w:color w:val="000000"/>
        </w:rPr>
        <w:t xml:space="preserve"> </w:t>
      </w:r>
      <w:r w:rsidRPr="00F34388">
        <w:rPr>
          <w:rFonts w:ascii="Verdana" w:hAnsi="Verdana" w:cs="Gotham Light"/>
          <w:color w:val="000000"/>
        </w:rPr>
        <w:t xml:space="preserve">  </w:t>
      </w:r>
    </w:p>
    <w:p w14:paraId="003874A4" w14:textId="77777777" w:rsidR="00E76ED1" w:rsidRPr="00E76ED1" w:rsidRDefault="00E76ED1" w:rsidP="004664DC">
      <w:pPr>
        <w:spacing w:line="276" w:lineRule="auto"/>
        <w:rPr>
          <w:rFonts w:ascii="Verdana" w:hAnsi="Verdana" w:cs="Gotham Light"/>
          <w:color w:val="000000"/>
        </w:rPr>
      </w:pPr>
    </w:p>
    <w:p w14:paraId="3FCA0D2C" w14:textId="45682FEB" w:rsidR="00C531F9" w:rsidRDefault="00766CE6"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 xml:space="preserve">Protocol Article 2 </w:t>
      </w:r>
      <w:r w:rsidRPr="00C531F9">
        <w:rPr>
          <w:rFonts w:ascii="Verdana" w:hAnsi="Verdana" w:cs="Arial"/>
        </w:rPr>
        <w:t>requires the UK Government and NI Executive to “keep pace” with any changes made by the EU to six Annex 1 Equality Directives which improve the minimum levels of protection available, after 1 January 2021</w:t>
      </w:r>
      <w:r w:rsidRPr="00C531F9">
        <w:rPr>
          <w:rFonts w:ascii="Verdana" w:hAnsi="Verdana" w:cs="Gotham Light"/>
          <w:color w:val="000000"/>
        </w:rPr>
        <w:t xml:space="preserve">, including the Racial Equality Directive which protects against discrimination on the grounds of race and ethnicity </w:t>
      </w:r>
      <w:proofErr w:type="gramStart"/>
      <w:r w:rsidRPr="00C531F9">
        <w:rPr>
          <w:rFonts w:ascii="Verdana" w:hAnsi="Verdana" w:cs="Gotham Light"/>
          <w:color w:val="000000"/>
        </w:rPr>
        <w:t>in the area of</w:t>
      </w:r>
      <w:proofErr w:type="gramEnd"/>
      <w:r w:rsidRPr="00C531F9">
        <w:rPr>
          <w:rFonts w:ascii="Verdana" w:hAnsi="Verdana" w:cs="Gotham Light"/>
          <w:color w:val="000000"/>
        </w:rPr>
        <w:t xml:space="preserve"> education.</w:t>
      </w:r>
      <w:r>
        <w:rPr>
          <w:rStyle w:val="FootnoteReference"/>
          <w:rFonts w:ascii="Verdana" w:hAnsi="Verdana" w:cs="Gotham Light"/>
          <w:color w:val="000000"/>
        </w:rPr>
        <w:footnoteReference w:id="403"/>
      </w:r>
    </w:p>
    <w:p w14:paraId="49032988" w14:textId="77777777" w:rsidR="00C531F9" w:rsidRPr="00C531F9" w:rsidRDefault="00C531F9" w:rsidP="00C531F9">
      <w:pPr>
        <w:spacing w:line="276" w:lineRule="auto"/>
        <w:rPr>
          <w:rFonts w:ascii="Verdana" w:hAnsi="Verdana" w:cs="Gotham Light"/>
          <w:color w:val="000000"/>
        </w:rPr>
      </w:pPr>
    </w:p>
    <w:p w14:paraId="333A6824" w14:textId="77777777" w:rsidR="00C531F9" w:rsidRDefault="00E76ED1"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The number of Irish Traveller children enrolled in school has steadily increased over the last decade from 866 in 2009/2010 to 1,106 in 2020/21. Although it remains lower than for the average school population (94 per cent), the attendance rate of Irish Traveller children has also steadily increased, currently at 74 per cent, which is up from 64 per cent in 2009/2010. Approximately two thirds (67 per cent) of Irish Traveller children receive free school meals.</w:t>
      </w:r>
      <w:r w:rsidRPr="00E76ED1">
        <w:rPr>
          <w:vertAlign w:val="superscript"/>
        </w:rPr>
        <w:footnoteReference w:id="404"/>
      </w:r>
      <w:r w:rsidRPr="00C531F9">
        <w:rPr>
          <w:rFonts w:ascii="Verdana" w:hAnsi="Verdana" w:cs="Gotham Light"/>
          <w:color w:val="000000"/>
        </w:rPr>
        <w:t xml:space="preserve"> </w:t>
      </w:r>
    </w:p>
    <w:p w14:paraId="62BA057E" w14:textId="77777777" w:rsidR="00C531F9" w:rsidRPr="00C531F9" w:rsidRDefault="00C531F9" w:rsidP="00C531F9">
      <w:pPr>
        <w:pStyle w:val="ListParagraph"/>
        <w:rPr>
          <w:rFonts w:ascii="Verdana" w:hAnsi="Verdana" w:cs="Gotham Light"/>
          <w:color w:val="000000"/>
        </w:rPr>
      </w:pPr>
    </w:p>
    <w:p w14:paraId="0A213452" w14:textId="77777777" w:rsidR="00C531F9" w:rsidRDefault="00E76ED1"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The attendance rate of Roma children has steadily increased over the last decade and school enrolment has increased significantly. There were 779 Roma children enrolled in NI schools in 2020/21, an increase of 74 from the previous year and significant increase from 2009/10 when there were only 30 children enrolled. Attendance rate of Roma children is 79 per cent, which although lower than the average school population (94 per cent), has steadily increased from 2009/10 (70 per cent). Approximately one quarter (28 per cent) of Roma children receive free school meals.</w:t>
      </w:r>
      <w:r w:rsidRPr="00E76ED1">
        <w:rPr>
          <w:vertAlign w:val="superscript"/>
        </w:rPr>
        <w:footnoteReference w:id="405"/>
      </w:r>
      <w:r w:rsidRPr="00C531F9">
        <w:rPr>
          <w:rFonts w:ascii="Verdana" w:hAnsi="Verdana" w:cs="Gotham Light"/>
          <w:color w:val="000000"/>
        </w:rPr>
        <w:t xml:space="preserve"> In 2020/21, there were 17,664 children from migrant families enrolled in schools in NI, an increase of 273 from 2019/20, equating to </w:t>
      </w:r>
      <w:r w:rsidR="00442DB1" w:rsidRPr="00C531F9">
        <w:rPr>
          <w:rFonts w:ascii="Verdana" w:hAnsi="Verdana" w:cs="Gotham Light"/>
          <w:color w:val="000000"/>
        </w:rPr>
        <w:t>five</w:t>
      </w:r>
      <w:r w:rsidRPr="00C531F9">
        <w:rPr>
          <w:rFonts w:ascii="Verdana" w:hAnsi="Verdana" w:cs="Gotham Light"/>
          <w:color w:val="000000"/>
        </w:rPr>
        <w:t xml:space="preserve"> per cent of total school enrolments.</w:t>
      </w:r>
      <w:r w:rsidRPr="00E76ED1">
        <w:rPr>
          <w:vertAlign w:val="superscript"/>
        </w:rPr>
        <w:footnoteReference w:id="406"/>
      </w:r>
      <w:r w:rsidRPr="00C531F9">
        <w:rPr>
          <w:rFonts w:ascii="Verdana" w:hAnsi="Verdana" w:cs="Gotham Light"/>
          <w:color w:val="000000"/>
        </w:rPr>
        <w:t xml:space="preserve"> </w:t>
      </w:r>
    </w:p>
    <w:p w14:paraId="36E0DD5F" w14:textId="77777777" w:rsidR="00C531F9" w:rsidRPr="00C531F9" w:rsidRDefault="00C531F9" w:rsidP="00C531F9">
      <w:pPr>
        <w:pStyle w:val="ListParagraph"/>
        <w:rPr>
          <w:rFonts w:ascii="Verdana" w:hAnsi="Verdana" w:cs="Gotham Light"/>
          <w:color w:val="000000"/>
        </w:rPr>
      </w:pPr>
    </w:p>
    <w:p w14:paraId="55A5C4F6" w14:textId="77777777" w:rsidR="00C531F9" w:rsidRPr="00C531F9" w:rsidRDefault="00E76ED1"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color w:val="000000"/>
        </w:rPr>
        <w:t>As of</w:t>
      </w:r>
      <w:r w:rsidR="00EE1E7C" w:rsidRPr="00C531F9">
        <w:rPr>
          <w:rFonts w:ascii="Verdana" w:hAnsi="Verdana" w:cs="Gotham Light"/>
          <w:color w:val="000000"/>
        </w:rPr>
        <w:t xml:space="preserve"> </w:t>
      </w:r>
      <w:r w:rsidR="007A19DE" w:rsidRPr="00C531F9">
        <w:rPr>
          <w:rFonts w:ascii="Verdana" w:hAnsi="Verdana" w:cs="Gotham Light"/>
          <w:color w:val="000000"/>
        </w:rPr>
        <w:t xml:space="preserve">October </w:t>
      </w:r>
      <w:r w:rsidRPr="00C531F9">
        <w:rPr>
          <w:rFonts w:ascii="Verdana" w:hAnsi="Verdana" w:cs="Gotham Light"/>
          <w:color w:val="000000"/>
        </w:rPr>
        <w:t xml:space="preserve">2020, </w:t>
      </w:r>
      <w:proofErr w:type="gramStart"/>
      <w:r w:rsidRPr="00C531F9">
        <w:rPr>
          <w:rFonts w:ascii="Verdana" w:hAnsi="Verdana" w:cs="Gotham Light"/>
          <w:color w:val="000000"/>
        </w:rPr>
        <w:t>1815</w:t>
      </w:r>
      <w:proofErr w:type="gramEnd"/>
      <w:r w:rsidRPr="00C531F9">
        <w:rPr>
          <w:rFonts w:ascii="Verdana" w:hAnsi="Verdana" w:cs="Gotham Light"/>
          <w:color w:val="000000"/>
        </w:rPr>
        <w:t xml:space="preserve"> Syrian refugees have been resettled in NI through the Vulnerable Persons Resettlement Scheme.</w:t>
      </w:r>
      <w:r w:rsidRPr="00E76ED1">
        <w:rPr>
          <w:vertAlign w:val="superscript"/>
        </w:rPr>
        <w:footnoteReference w:id="407"/>
      </w:r>
      <w:r w:rsidRPr="00C531F9">
        <w:rPr>
          <w:rFonts w:ascii="Verdana" w:hAnsi="Verdana" w:cs="Gotham Light"/>
          <w:color w:val="000000"/>
        </w:rPr>
        <w:t xml:space="preserve"> A report by </w:t>
      </w:r>
      <w:r w:rsidR="007117EF" w:rsidRPr="00C531F9">
        <w:rPr>
          <w:rFonts w:ascii="Verdana" w:hAnsi="Verdana" w:cs="Gotham Light"/>
          <w:color w:val="000000"/>
        </w:rPr>
        <w:t xml:space="preserve">the </w:t>
      </w:r>
      <w:r w:rsidRPr="00C531F9">
        <w:rPr>
          <w:rFonts w:ascii="Verdana" w:hAnsi="Verdana" w:cs="Gotham Light"/>
          <w:color w:val="000000"/>
        </w:rPr>
        <w:t>Barnardo</w:t>
      </w:r>
      <w:r w:rsidR="007117EF" w:rsidRPr="00C531F9">
        <w:rPr>
          <w:rFonts w:ascii="Verdana" w:hAnsi="Verdana" w:cs="Gotham Light"/>
          <w:color w:val="000000"/>
        </w:rPr>
        <w:t>’s charity</w:t>
      </w:r>
      <w:r w:rsidRPr="00C531F9">
        <w:rPr>
          <w:rFonts w:ascii="Verdana" w:hAnsi="Verdana" w:cs="Gotham Light"/>
          <w:color w:val="000000"/>
        </w:rPr>
        <w:t xml:space="preserve"> noted that education has been a broadly positive experience for most of the children resettled under this scheme. However, </w:t>
      </w:r>
      <w:proofErr w:type="gramStart"/>
      <w:r w:rsidRPr="00C531F9">
        <w:rPr>
          <w:rFonts w:ascii="Verdana" w:hAnsi="Verdana" w:cs="Gotham Light"/>
          <w:color w:val="000000"/>
        </w:rPr>
        <w:t>a number of</w:t>
      </w:r>
      <w:proofErr w:type="gramEnd"/>
      <w:r w:rsidRPr="00C531F9">
        <w:rPr>
          <w:rFonts w:ascii="Verdana" w:hAnsi="Verdana" w:cs="Gotham Light"/>
          <w:color w:val="000000"/>
        </w:rPr>
        <w:t xml:space="preserve"> recommendations are identified including language support for parents to assist their </w:t>
      </w:r>
      <w:r w:rsidRPr="00C531F9">
        <w:rPr>
          <w:rFonts w:ascii="Verdana" w:hAnsi="Verdana" w:cs="Gotham Light"/>
        </w:rPr>
        <w:t>involvement in their children's education.</w:t>
      </w:r>
      <w:r w:rsidRPr="000A395D">
        <w:rPr>
          <w:vertAlign w:val="superscript"/>
        </w:rPr>
        <w:footnoteReference w:id="408"/>
      </w:r>
      <w:r w:rsidR="009004C3" w:rsidRPr="00C531F9">
        <w:rPr>
          <w:rFonts w:ascii="Verdana" w:hAnsi="Verdana" w:cs="Gotham Light"/>
        </w:rPr>
        <w:t xml:space="preserve"> Similarly, research </w:t>
      </w:r>
      <w:r w:rsidR="00DB15DF" w:rsidRPr="00C531F9">
        <w:rPr>
          <w:rFonts w:ascii="Verdana" w:hAnsi="Verdana"/>
          <w:shd w:val="clear" w:color="auto" w:fill="FFFFFF"/>
        </w:rPr>
        <w:t>into support for Syrian refugee pupils</w:t>
      </w:r>
      <w:r w:rsidR="00DB15DF" w:rsidRPr="00C531F9">
        <w:rPr>
          <w:rFonts w:ascii="Helvetica" w:hAnsi="Helvetica"/>
          <w:shd w:val="clear" w:color="auto" w:fill="FFFFFF"/>
        </w:rPr>
        <w:t xml:space="preserve"> </w:t>
      </w:r>
      <w:r w:rsidR="009004C3" w:rsidRPr="00C531F9">
        <w:rPr>
          <w:rFonts w:ascii="Verdana" w:hAnsi="Verdana"/>
          <w:shd w:val="clear" w:color="auto" w:fill="FFFFFF"/>
        </w:rPr>
        <w:t xml:space="preserve">commissioned by the Education Authority </w:t>
      </w:r>
      <w:r w:rsidR="00DB15DF" w:rsidRPr="00C531F9">
        <w:rPr>
          <w:rFonts w:ascii="Verdana" w:hAnsi="Verdana"/>
          <w:shd w:val="clear" w:color="auto" w:fill="FFFFFF"/>
        </w:rPr>
        <w:t>revealed that schools and teachers needed more support to help newcomer children with their language skills.</w:t>
      </w:r>
      <w:r w:rsidR="00DB15DF" w:rsidRPr="000A395D">
        <w:rPr>
          <w:rStyle w:val="FootnoteReference"/>
          <w:rFonts w:ascii="Verdana" w:hAnsi="Verdana"/>
          <w:shd w:val="clear" w:color="auto" w:fill="FFFFFF"/>
        </w:rPr>
        <w:footnoteReference w:id="409"/>
      </w:r>
    </w:p>
    <w:p w14:paraId="5381FF70" w14:textId="77777777" w:rsidR="00C531F9" w:rsidRPr="00C531F9" w:rsidRDefault="00C531F9" w:rsidP="00C531F9">
      <w:pPr>
        <w:pStyle w:val="ListParagraph"/>
        <w:rPr>
          <w:rFonts w:ascii="Verdana" w:hAnsi="Verdana" w:cs="Gotham Light"/>
        </w:rPr>
      </w:pPr>
    </w:p>
    <w:p w14:paraId="67C7688C" w14:textId="77777777" w:rsidR="00C531F9" w:rsidRDefault="00E76ED1" w:rsidP="00915669">
      <w:pPr>
        <w:pStyle w:val="ListParagraph"/>
        <w:numPr>
          <w:ilvl w:val="1"/>
          <w:numId w:val="24"/>
        </w:numPr>
        <w:spacing w:line="276" w:lineRule="auto"/>
        <w:rPr>
          <w:rFonts w:ascii="Verdana" w:hAnsi="Verdana" w:cs="Gotham Light"/>
          <w:color w:val="000000"/>
        </w:rPr>
      </w:pPr>
      <w:r w:rsidRPr="00C531F9">
        <w:rPr>
          <w:rFonts w:ascii="Verdana" w:hAnsi="Verdana" w:cs="Gotham Light"/>
        </w:rPr>
        <w:t xml:space="preserve">In 2019, the Department of Education issued a public consultation on updating the Supporting Newcomer Pupils Policy </w:t>
      </w:r>
      <w:r w:rsidRPr="00C531F9">
        <w:rPr>
          <w:rFonts w:ascii="Verdana" w:hAnsi="Verdana" w:cs="Gotham Light"/>
          <w:color w:val="000000"/>
        </w:rPr>
        <w:t>2009.</w:t>
      </w:r>
      <w:r w:rsidRPr="00E76ED1">
        <w:rPr>
          <w:vertAlign w:val="superscript"/>
        </w:rPr>
        <w:footnoteReference w:id="410"/>
      </w:r>
      <w:r w:rsidRPr="00C531F9">
        <w:rPr>
          <w:rFonts w:ascii="Verdana" w:hAnsi="Verdana" w:cs="Gotham Light"/>
          <w:color w:val="000000"/>
        </w:rPr>
        <w:t xml:space="preserve"> The NIHRC welcomed the proposal to develop a new strategy and highlighted the need for a robust and well-resourced policy that recognises the interplay between other departmental strategies, such as: support for home languages; mental health services; free school meals; support for asylum seekers; EU Settlement Scheme.</w:t>
      </w:r>
      <w:r w:rsidRPr="00E76ED1">
        <w:rPr>
          <w:vertAlign w:val="superscript"/>
        </w:rPr>
        <w:footnoteReference w:id="411"/>
      </w:r>
      <w:r w:rsidRPr="00C531F9">
        <w:rPr>
          <w:rFonts w:ascii="Verdana" w:hAnsi="Verdana" w:cs="Gotham Light"/>
          <w:color w:val="000000"/>
        </w:rPr>
        <w:t xml:space="preserve"> The consultation closed in October 2019 and its outcome is awaited.</w:t>
      </w:r>
    </w:p>
    <w:p w14:paraId="6802BF63" w14:textId="77777777" w:rsidR="00C531F9" w:rsidRPr="00C531F9" w:rsidRDefault="00C531F9" w:rsidP="00C531F9">
      <w:pPr>
        <w:pStyle w:val="ListParagraph"/>
        <w:rPr>
          <w:rFonts w:ascii="Verdana" w:hAnsi="Verdana" w:cs="Gotham Light"/>
          <w:color w:val="000000" w:themeColor="text1"/>
        </w:rPr>
      </w:pPr>
    </w:p>
    <w:p w14:paraId="3600D4BC" w14:textId="29882A31" w:rsidR="00E76ED1" w:rsidRPr="00C531F9" w:rsidRDefault="00E76ED1" w:rsidP="00915669">
      <w:pPr>
        <w:pStyle w:val="ListParagraph"/>
        <w:numPr>
          <w:ilvl w:val="1"/>
          <w:numId w:val="24"/>
        </w:numPr>
        <w:spacing w:line="276" w:lineRule="auto"/>
        <w:ind w:left="709" w:hanging="862"/>
        <w:rPr>
          <w:rFonts w:ascii="Verdana" w:hAnsi="Verdana" w:cs="Gotham Light"/>
          <w:color w:val="000000"/>
        </w:rPr>
      </w:pPr>
      <w:r w:rsidRPr="00C531F9">
        <w:rPr>
          <w:rFonts w:ascii="Verdana" w:hAnsi="Verdana" w:cs="Gotham Light"/>
          <w:color w:val="000000" w:themeColor="text1"/>
        </w:rPr>
        <w:t xml:space="preserve">The New Decade, New Approach agreement established an Expert Panel on Education Underachievement to examine the links between persistent educational underachievement and socio-economic background. In its final report published in 2021, the Expert Panel highlighted that: </w:t>
      </w:r>
    </w:p>
    <w:p w14:paraId="58EDF89B" w14:textId="77777777" w:rsidR="00E76ED1" w:rsidRPr="00E76ED1" w:rsidRDefault="00E76ED1" w:rsidP="00C42A0A">
      <w:pPr>
        <w:pStyle w:val="ListParagraph"/>
        <w:spacing w:line="276" w:lineRule="auto"/>
        <w:ind w:left="851"/>
        <w:rPr>
          <w:rFonts w:ascii="Verdana" w:hAnsi="Verdana" w:cs="Gotham Light"/>
          <w:color w:val="000000"/>
        </w:rPr>
      </w:pPr>
    </w:p>
    <w:p w14:paraId="3C6727A7" w14:textId="69C76AFA" w:rsidR="00E76ED1" w:rsidRPr="00E76ED1" w:rsidRDefault="00E76ED1" w:rsidP="00C42A0A">
      <w:pPr>
        <w:pStyle w:val="ListParagraph"/>
        <w:spacing w:line="276" w:lineRule="auto"/>
        <w:ind w:left="1440"/>
        <w:rPr>
          <w:rFonts w:ascii="Verdana" w:hAnsi="Verdana" w:cs="Gotham Light"/>
          <w:color w:val="000000"/>
        </w:rPr>
      </w:pPr>
      <w:r w:rsidRPr="00E76ED1">
        <w:rPr>
          <w:rFonts w:ascii="Verdana" w:hAnsi="Verdana" w:cs="Gotham Light"/>
          <w:color w:val="000000"/>
        </w:rPr>
        <w:t>Children from the Traveller community, Roma children and children looked after have some of the lowest levels of attainment of all equality groups. A combination of early intervention, a whole-school approach to nurture and schools having the scope (and budget) to provide a differentiated curriculum bespoke to their pupils’ specific needs are essential in addressing these inequalities.</w:t>
      </w:r>
      <w:r w:rsidRPr="00E76ED1">
        <w:rPr>
          <w:rFonts w:ascii="Verdana" w:hAnsi="Verdana" w:cs="Gotham Light"/>
          <w:color w:val="000000"/>
          <w:vertAlign w:val="superscript"/>
        </w:rPr>
        <w:footnoteReference w:id="412"/>
      </w:r>
      <w:r w:rsidRPr="00E76ED1">
        <w:rPr>
          <w:rFonts w:ascii="Verdana" w:hAnsi="Verdana" w:cs="Gotham Light"/>
          <w:color w:val="000000"/>
        </w:rPr>
        <w:t xml:space="preserve"> </w:t>
      </w:r>
    </w:p>
    <w:p w14:paraId="5C69073C" w14:textId="77777777" w:rsidR="00E76ED1" w:rsidRPr="00E76ED1" w:rsidRDefault="00E76ED1" w:rsidP="00C42A0A">
      <w:pPr>
        <w:pStyle w:val="ListParagraph"/>
        <w:spacing w:line="276" w:lineRule="auto"/>
        <w:ind w:left="851"/>
        <w:rPr>
          <w:rFonts w:ascii="Verdana" w:hAnsi="Verdana" w:cs="Gotham Light"/>
          <w:color w:val="000000"/>
        </w:rPr>
      </w:pPr>
    </w:p>
    <w:p w14:paraId="70733DA4" w14:textId="1010B092" w:rsid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In 2020, the Committee of Ministers adopted a Recommendation to include the history of Roma and/or Travellers in school curricula and teaching materials.</w:t>
      </w:r>
      <w:r w:rsidRPr="00E76ED1">
        <w:rPr>
          <w:vertAlign w:val="superscript"/>
        </w:rPr>
        <w:footnoteReference w:id="413"/>
      </w:r>
      <w:r w:rsidRPr="00D470AE">
        <w:rPr>
          <w:rFonts w:ascii="Verdana" w:hAnsi="Verdana" w:cs="Gotham Light"/>
          <w:color w:val="000000"/>
        </w:rPr>
        <w:t xml:space="preserve"> The NIHRC notes that civil society organisations in NI have highlighted the need for increased cultural awareness within schools and for history lessons taught in school to be representative of the school population.</w:t>
      </w:r>
      <w:r w:rsidRPr="00E76ED1">
        <w:rPr>
          <w:vertAlign w:val="superscript"/>
        </w:rPr>
        <w:footnoteReference w:id="414"/>
      </w:r>
    </w:p>
    <w:p w14:paraId="6B528B68" w14:textId="77777777" w:rsidR="00D470AE" w:rsidRDefault="00D470AE" w:rsidP="00D470AE">
      <w:pPr>
        <w:pStyle w:val="ListParagraph"/>
        <w:spacing w:line="276" w:lineRule="auto"/>
        <w:ind w:left="851"/>
        <w:rPr>
          <w:rFonts w:ascii="Verdana" w:hAnsi="Verdana" w:cs="Gotham Light"/>
          <w:color w:val="000000"/>
        </w:rPr>
      </w:pPr>
    </w:p>
    <w:p w14:paraId="1613A3E2" w14:textId="77777777" w:rsidR="00D470AE" w:rsidRP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In 2016, the UN CERD Committee recommended that steps are taken across the UK to</w:t>
      </w:r>
      <w:r w:rsidR="00B54716" w:rsidRPr="00D470AE">
        <w:rPr>
          <w:rFonts w:ascii="Verdana" w:hAnsi="Verdana" w:cs="Gotham Light"/>
          <w:color w:val="000000"/>
        </w:rPr>
        <w:t xml:space="preserve"> strengthen efforts to challenge and eliminate all racist bullying and harassment in the State party’s schools by improving data collection, promoting diversity, and ensuring school curricula contains a balanced account of the history of the British Empire, colonialism and slavery and other grave human rights violations.</w:t>
      </w:r>
      <w:r w:rsidR="00B54716" w:rsidRPr="00D470AE">
        <w:rPr>
          <w:rFonts w:ascii="Verdana" w:hAnsi="Verdana" w:cs="Gotham Light"/>
          <w:color w:val="000000"/>
          <w:vertAlign w:val="superscript"/>
        </w:rPr>
        <w:t xml:space="preserve"> </w:t>
      </w:r>
      <w:r w:rsidR="00B54716" w:rsidRPr="00E76ED1">
        <w:rPr>
          <w:vertAlign w:val="superscript"/>
        </w:rPr>
        <w:footnoteReference w:id="415"/>
      </w:r>
    </w:p>
    <w:p w14:paraId="0A82DACA" w14:textId="77777777" w:rsidR="00D470AE" w:rsidRPr="00D470AE" w:rsidRDefault="00D470AE" w:rsidP="00D470AE">
      <w:pPr>
        <w:pStyle w:val="ListParagraph"/>
        <w:rPr>
          <w:rFonts w:ascii="Verdana" w:hAnsi="Verdana" w:cs="Gotham Light"/>
          <w:color w:val="000000"/>
        </w:rPr>
      </w:pPr>
    </w:p>
    <w:p w14:paraId="53024160" w14:textId="77777777" w:rsid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 xml:space="preserve">The NIHRC welcomes the commencement </w:t>
      </w:r>
      <w:r w:rsidR="00CB6944" w:rsidRPr="00D470AE">
        <w:rPr>
          <w:rFonts w:ascii="Verdana" w:hAnsi="Verdana" w:cs="Gotham Light"/>
          <w:color w:val="000000"/>
        </w:rPr>
        <w:t>of</w:t>
      </w:r>
      <w:r w:rsidRPr="00D470AE">
        <w:rPr>
          <w:rFonts w:ascii="Verdana" w:hAnsi="Verdana" w:cs="Gotham Light"/>
          <w:color w:val="000000"/>
        </w:rPr>
        <w:t xml:space="preserve"> the Addressing Bullying in Schools (NI) Act,</w:t>
      </w:r>
      <w:r w:rsidR="00CB6944">
        <w:rPr>
          <w:rStyle w:val="FootnoteReference"/>
          <w:rFonts w:ascii="Verdana" w:hAnsi="Verdana" w:cs="Gotham Light"/>
          <w:color w:val="000000"/>
        </w:rPr>
        <w:footnoteReference w:id="416"/>
      </w:r>
      <w:r w:rsidR="00CB6944" w:rsidRPr="00D470AE">
        <w:rPr>
          <w:rFonts w:ascii="Verdana" w:hAnsi="Verdana" w:cs="Gotham Light"/>
          <w:color w:val="000000"/>
        </w:rPr>
        <w:t xml:space="preserve"> which</w:t>
      </w:r>
      <w:r w:rsidRPr="00D470AE">
        <w:rPr>
          <w:rFonts w:ascii="Verdana" w:hAnsi="Verdana" w:cs="Gotham Light"/>
          <w:color w:val="000000"/>
        </w:rPr>
        <w:t xml:space="preserve"> provides a common definition of bullying; establishes a new duty for schools to record all incidents of bullying, including their motivation and their outcome; and requires the school Boards of Governors collectively to take responsibility for the development, implementation, monitoring and periodic review of the school’s anti-bullying policies and procedures. </w:t>
      </w:r>
    </w:p>
    <w:p w14:paraId="1892D0F3" w14:textId="77777777" w:rsidR="00D470AE" w:rsidRPr="00D470AE" w:rsidRDefault="00D470AE" w:rsidP="00D470AE">
      <w:pPr>
        <w:pStyle w:val="ListParagraph"/>
        <w:rPr>
          <w:rFonts w:ascii="Verdana" w:hAnsi="Verdana" w:cs="Gotham Light"/>
          <w:color w:val="000000" w:themeColor="text1"/>
        </w:rPr>
      </w:pPr>
    </w:p>
    <w:p w14:paraId="60B3E6C3" w14:textId="77777777" w:rsidR="00D470AE" w:rsidRP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themeColor="text1"/>
        </w:rPr>
        <w:t xml:space="preserve">In June 2021, the NI Executive Office established the Travellers Thematic Group to ensure the government is aware of the impact of policies and practice on Travellers. The group seeks to promote and enable the participation of Travellers and their organisations in its work. It is in the process of agreeing key areas of work and developing actions with targets, </w:t>
      </w:r>
      <w:proofErr w:type="gramStart"/>
      <w:r w:rsidRPr="00D470AE">
        <w:rPr>
          <w:rFonts w:ascii="Verdana" w:hAnsi="Verdana" w:cs="Gotham Light"/>
          <w:color w:val="000000" w:themeColor="text1"/>
        </w:rPr>
        <w:t>review</w:t>
      </w:r>
      <w:proofErr w:type="gramEnd"/>
      <w:r w:rsidRPr="00D470AE">
        <w:rPr>
          <w:rFonts w:ascii="Verdana" w:hAnsi="Verdana" w:cs="Gotham Light"/>
          <w:color w:val="000000" w:themeColor="text1"/>
        </w:rPr>
        <w:t xml:space="preserve"> and monitoring</w:t>
      </w:r>
      <w:r w:rsidR="002677B9" w:rsidRPr="00D470AE">
        <w:rPr>
          <w:rFonts w:ascii="Verdana" w:hAnsi="Verdana" w:cs="Gotham Light"/>
          <w:color w:val="000000" w:themeColor="text1"/>
        </w:rPr>
        <w:t xml:space="preserve"> processes.</w:t>
      </w:r>
      <w:r w:rsidRPr="00D470AE">
        <w:rPr>
          <w:rFonts w:ascii="Verdana" w:hAnsi="Verdana" w:cs="Gotham Light"/>
          <w:color w:val="000000" w:themeColor="text1"/>
        </w:rPr>
        <w:t xml:space="preserve"> </w:t>
      </w:r>
      <w:r w:rsidR="002677B9" w:rsidRPr="00D470AE">
        <w:rPr>
          <w:rFonts w:ascii="Verdana" w:hAnsi="Verdana" w:cs="Gotham Light"/>
          <w:color w:val="000000" w:themeColor="text1"/>
        </w:rPr>
        <w:t>The group is to provide an advisory function to the Executive through the Strategic Planning Group on Travellers and Roma</w:t>
      </w:r>
      <w:r w:rsidRPr="00D470AE">
        <w:rPr>
          <w:rFonts w:ascii="Verdana" w:hAnsi="Verdana" w:cs="Gotham Light"/>
          <w:color w:val="000000" w:themeColor="text1"/>
        </w:rPr>
        <w:t xml:space="preserve">. </w:t>
      </w:r>
    </w:p>
    <w:p w14:paraId="70A8A805" w14:textId="77777777" w:rsidR="00D470AE" w:rsidRPr="00D470AE" w:rsidRDefault="00D470AE" w:rsidP="00D470AE">
      <w:pPr>
        <w:pStyle w:val="ListParagraph"/>
        <w:rPr>
          <w:rFonts w:ascii="Verdana" w:hAnsi="Verdana" w:cs="Gotham Light"/>
          <w:b/>
          <w:color w:val="000000" w:themeColor="text1"/>
        </w:rPr>
      </w:pPr>
    </w:p>
    <w:p w14:paraId="4E0D8DA4" w14:textId="2D5CEB19" w:rsidR="00E76ED1" w:rsidRP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b/>
          <w:color w:val="000000" w:themeColor="text1"/>
        </w:rPr>
        <w:t>The Advisory Committee may wish to ask the State Party:</w:t>
      </w:r>
    </w:p>
    <w:p w14:paraId="5A158F1A" w14:textId="77777777" w:rsidR="008B1ECD" w:rsidRPr="008B1ECD" w:rsidRDefault="008B1ECD" w:rsidP="00C42A0A">
      <w:pPr>
        <w:spacing w:line="276" w:lineRule="auto"/>
        <w:rPr>
          <w:rFonts w:ascii="Verdana" w:hAnsi="Verdana" w:cs="Gotham Light"/>
          <w:b/>
          <w:bCs/>
          <w:color w:val="000000"/>
        </w:rPr>
      </w:pPr>
    </w:p>
    <w:p w14:paraId="06072CD3" w14:textId="5E3E4958" w:rsidR="00E76ED1" w:rsidRPr="00C64846" w:rsidRDefault="00E76ED1" w:rsidP="00C64846">
      <w:pPr>
        <w:pStyle w:val="ListParagraph"/>
        <w:numPr>
          <w:ilvl w:val="0"/>
          <w:numId w:val="9"/>
        </w:numPr>
        <w:spacing w:line="276" w:lineRule="auto"/>
        <w:ind w:left="1418" w:hanging="284"/>
        <w:rPr>
          <w:rFonts w:ascii="Verdana" w:hAnsi="Verdana" w:cs="Gotham Light"/>
          <w:b/>
          <w:color w:val="000000"/>
        </w:rPr>
      </w:pPr>
      <w:r w:rsidRPr="008B1ECD">
        <w:rPr>
          <w:rFonts w:ascii="Verdana" w:hAnsi="Verdana" w:cs="Gotham Light"/>
          <w:b/>
          <w:bCs/>
          <w:color w:val="000000"/>
        </w:rPr>
        <w:t xml:space="preserve">what action has been taken to develop and deliver training to promote cultural awareness within NI schools, and ensure that history lessons are representative of the school population as </w:t>
      </w:r>
      <w:proofErr w:type="gramStart"/>
      <w:r w:rsidRPr="008B1ECD">
        <w:rPr>
          <w:rFonts w:ascii="Verdana" w:hAnsi="Verdana" w:cs="Gotham Light"/>
          <w:b/>
          <w:bCs/>
          <w:color w:val="000000"/>
        </w:rPr>
        <w:t>standard;</w:t>
      </w:r>
      <w:proofErr w:type="gramEnd"/>
      <w:r w:rsidRPr="008B1ECD">
        <w:rPr>
          <w:rFonts w:ascii="Verdana" w:hAnsi="Verdana" w:cs="Gotham Light"/>
          <w:b/>
          <w:bCs/>
          <w:color w:val="000000"/>
        </w:rPr>
        <w:t xml:space="preserve"> </w:t>
      </w:r>
    </w:p>
    <w:p w14:paraId="6ACE0A24" w14:textId="70A49D10" w:rsidR="00E76ED1" w:rsidRPr="00C64846" w:rsidRDefault="00E76ED1" w:rsidP="00C64846">
      <w:pPr>
        <w:pStyle w:val="ListParagraph"/>
        <w:numPr>
          <w:ilvl w:val="0"/>
          <w:numId w:val="9"/>
        </w:numPr>
        <w:spacing w:line="276" w:lineRule="auto"/>
        <w:ind w:left="1418" w:hanging="284"/>
        <w:rPr>
          <w:rFonts w:ascii="Verdana" w:hAnsi="Verdana" w:cs="Gotham Light"/>
          <w:b/>
          <w:bCs/>
          <w:color w:val="000000"/>
        </w:rPr>
      </w:pPr>
      <w:r w:rsidRPr="008B1ECD">
        <w:rPr>
          <w:rFonts w:ascii="Verdana" w:hAnsi="Verdana" w:cs="Gotham Light"/>
          <w:b/>
          <w:bCs/>
          <w:color w:val="000000"/>
        </w:rPr>
        <w:t xml:space="preserve">what targeted strategies and measures are being taken forward to address the educational inequalities among Traveller and Roma children to ensure that tangible outcomes are </w:t>
      </w:r>
      <w:proofErr w:type="gramStart"/>
      <w:r w:rsidRPr="008B1ECD">
        <w:rPr>
          <w:rFonts w:ascii="Verdana" w:hAnsi="Verdana" w:cs="Gotham Light"/>
          <w:b/>
          <w:bCs/>
          <w:color w:val="000000"/>
        </w:rPr>
        <w:t>delivered;</w:t>
      </w:r>
      <w:proofErr w:type="gramEnd"/>
    </w:p>
    <w:p w14:paraId="1ACFDBA4" w14:textId="0D1C0EF8" w:rsidR="004D48B5" w:rsidRPr="00C64846" w:rsidRDefault="00E76ED1" w:rsidP="00C64846">
      <w:pPr>
        <w:pStyle w:val="ListParagraph"/>
        <w:numPr>
          <w:ilvl w:val="0"/>
          <w:numId w:val="9"/>
        </w:numPr>
        <w:spacing w:line="276" w:lineRule="auto"/>
        <w:ind w:left="1418" w:hanging="284"/>
        <w:rPr>
          <w:rFonts w:ascii="Verdana" w:hAnsi="Verdana" w:cs="Gotham Light"/>
          <w:b/>
          <w:bCs/>
          <w:color w:val="000000"/>
        </w:rPr>
      </w:pPr>
      <w:r w:rsidRPr="008B1ECD">
        <w:rPr>
          <w:rFonts w:ascii="Verdana" w:hAnsi="Verdana" w:cs="Gotham Light"/>
          <w:b/>
          <w:bCs/>
          <w:color w:val="000000"/>
        </w:rPr>
        <w:t>for a timeline regarding publication and implementation of the revised Supporting Newcomer Pupils Policy</w:t>
      </w:r>
      <w:r w:rsidR="00A16ADD">
        <w:rPr>
          <w:rFonts w:ascii="Verdana" w:hAnsi="Verdana" w:cs="Gotham Light"/>
          <w:b/>
          <w:bCs/>
          <w:color w:val="000000"/>
        </w:rPr>
        <w:t>; and,</w:t>
      </w:r>
    </w:p>
    <w:p w14:paraId="3875D096" w14:textId="5FE26600" w:rsidR="004D48B5" w:rsidRPr="008B1ECD" w:rsidRDefault="004D48B5" w:rsidP="00915669">
      <w:pPr>
        <w:pStyle w:val="ListParagraph"/>
        <w:numPr>
          <w:ilvl w:val="0"/>
          <w:numId w:val="9"/>
        </w:numPr>
        <w:spacing w:line="276" w:lineRule="auto"/>
        <w:ind w:left="1418" w:hanging="284"/>
        <w:rPr>
          <w:rFonts w:ascii="Verdana" w:hAnsi="Verdana" w:cs="Gotham Light"/>
          <w:b/>
          <w:bCs/>
          <w:color w:val="000000"/>
        </w:rPr>
      </w:pPr>
      <w:r>
        <w:rPr>
          <w:rFonts w:ascii="Verdana" w:hAnsi="Verdana" w:cs="Gotham Light"/>
          <w:b/>
          <w:bCs/>
          <w:color w:val="000000"/>
        </w:rPr>
        <w:t>whether it intends to establish a Roma Thematic Group as indicated in the Racial Equality Strategy 2015-2025.</w:t>
      </w:r>
    </w:p>
    <w:p w14:paraId="70FAFF69" w14:textId="77777777" w:rsidR="005E57D5" w:rsidRPr="00C64846" w:rsidRDefault="005E57D5" w:rsidP="00C64846">
      <w:pPr>
        <w:spacing w:line="276" w:lineRule="auto"/>
        <w:rPr>
          <w:rFonts w:ascii="Verdana" w:hAnsi="Verdana" w:cs="Gotham Light"/>
          <w:color w:val="000000"/>
        </w:rPr>
      </w:pPr>
    </w:p>
    <w:p w14:paraId="6D8A32DD" w14:textId="77777777" w:rsidR="00E76ED1" w:rsidRPr="008B1ECD" w:rsidRDefault="00E76ED1" w:rsidP="1946A2B3">
      <w:pPr>
        <w:pStyle w:val="Heading2"/>
        <w:rPr>
          <w:rFonts w:cs="Gotham Light"/>
          <w:b w:val="0"/>
          <w:bCs/>
          <w:color w:val="000000"/>
        </w:rPr>
      </w:pPr>
      <w:bookmarkStart w:id="61" w:name="_Toc97030948"/>
      <w:r>
        <w:t>Integrated education</w:t>
      </w:r>
      <w:bookmarkEnd w:id="61"/>
      <w:r>
        <w:t xml:space="preserve"> </w:t>
      </w:r>
    </w:p>
    <w:p w14:paraId="69CE2C16" w14:textId="77777777" w:rsidR="00E76ED1" w:rsidRPr="00E76ED1" w:rsidRDefault="00E76ED1" w:rsidP="00C42A0A">
      <w:pPr>
        <w:pStyle w:val="ListParagraph"/>
        <w:spacing w:line="276" w:lineRule="auto"/>
        <w:ind w:left="851"/>
        <w:rPr>
          <w:rFonts w:ascii="Verdana" w:hAnsi="Verdana" w:cs="Gotham Light"/>
          <w:color w:val="000000"/>
        </w:rPr>
      </w:pPr>
    </w:p>
    <w:p w14:paraId="11852219" w14:textId="3B79D9E5" w:rsid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In 2016, the UN CRC Committee recommended that the UK Government and NI Executive “actively promote a fully integrated education system”.</w:t>
      </w:r>
      <w:r w:rsidRPr="00E76ED1">
        <w:rPr>
          <w:vertAlign w:val="superscript"/>
        </w:rPr>
        <w:footnoteReference w:id="417"/>
      </w:r>
      <w:r w:rsidRPr="00D470AE">
        <w:rPr>
          <w:rFonts w:ascii="Verdana" w:hAnsi="Verdana" w:cs="Gotham Light"/>
          <w:color w:val="000000"/>
        </w:rPr>
        <w:t xml:space="preserve"> </w:t>
      </w:r>
    </w:p>
    <w:p w14:paraId="4CA9049A" w14:textId="77777777" w:rsidR="00D470AE" w:rsidRDefault="00D470AE" w:rsidP="00D470AE">
      <w:pPr>
        <w:pStyle w:val="ListParagraph"/>
        <w:spacing w:line="276" w:lineRule="auto"/>
        <w:ind w:left="851"/>
        <w:rPr>
          <w:rFonts w:ascii="Verdana" w:hAnsi="Verdana" w:cs="Gotham Light"/>
          <w:color w:val="000000"/>
        </w:rPr>
      </w:pPr>
    </w:p>
    <w:p w14:paraId="603FC468" w14:textId="77777777" w:rsid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There are currently 65 grant-aided integrated schools in NI, made up of 38 grant-maintained integrated schools and 27 controlled integrated schools.</w:t>
      </w:r>
      <w:r w:rsidRPr="00E76ED1">
        <w:rPr>
          <w:vertAlign w:val="superscript"/>
        </w:rPr>
        <w:footnoteReference w:id="418"/>
      </w:r>
      <w:r w:rsidRPr="00D470AE">
        <w:rPr>
          <w:rFonts w:ascii="Verdana" w:hAnsi="Verdana" w:cs="Gotham Light"/>
          <w:color w:val="000000"/>
        </w:rPr>
        <w:t xml:space="preserve"> In September 2020, of 3,032 pupils who applied for an integrated school, 2,310 were offered a place.</w:t>
      </w:r>
      <w:r w:rsidRPr="00E76ED1">
        <w:rPr>
          <w:vertAlign w:val="superscript"/>
        </w:rPr>
        <w:footnoteReference w:id="419"/>
      </w:r>
      <w:r w:rsidRPr="00D470AE">
        <w:rPr>
          <w:rFonts w:ascii="Verdana" w:hAnsi="Verdana" w:cs="Gotham Light"/>
          <w:color w:val="000000"/>
        </w:rPr>
        <w:t xml:space="preserve"> In 2020/21, there are a total of 24,861 pupils educated in integrated education, an increase of 600 on the previous year.</w:t>
      </w:r>
      <w:r w:rsidRPr="00E76ED1">
        <w:rPr>
          <w:vertAlign w:val="superscript"/>
        </w:rPr>
        <w:footnoteReference w:id="420"/>
      </w:r>
      <w:r w:rsidRPr="00D470AE">
        <w:rPr>
          <w:rFonts w:ascii="Verdana" w:hAnsi="Verdana" w:cs="Gotham Light"/>
          <w:color w:val="000000"/>
        </w:rPr>
        <w:t xml:space="preserve"> </w:t>
      </w:r>
    </w:p>
    <w:p w14:paraId="095EAFC3" w14:textId="77777777" w:rsidR="00D470AE" w:rsidRPr="00D470AE" w:rsidRDefault="00D470AE" w:rsidP="00D470AE">
      <w:pPr>
        <w:pStyle w:val="ListParagraph"/>
        <w:rPr>
          <w:rFonts w:ascii="Verdana" w:hAnsi="Verdana" w:cs="Gotham Light"/>
          <w:color w:val="000000"/>
        </w:rPr>
      </w:pPr>
    </w:p>
    <w:p w14:paraId="01D9AFBF" w14:textId="77777777" w:rsid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In February 2021</w:t>
      </w:r>
      <w:r w:rsidR="00442DB1" w:rsidRPr="00D470AE">
        <w:rPr>
          <w:rFonts w:ascii="Verdana" w:hAnsi="Verdana" w:cs="Gotham Light"/>
          <w:color w:val="000000"/>
        </w:rPr>
        <w:t>,</w:t>
      </w:r>
      <w:r w:rsidRPr="00D470AE">
        <w:rPr>
          <w:rFonts w:ascii="Verdana" w:hAnsi="Verdana" w:cs="Gotham Light"/>
          <w:color w:val="000000"/>
        </w:rPr>
        <w:t xml:space="preserve"> the Minister of Education advised that, under the Education Reform (Northern Ireland) Order 1989, 25 schools in </w:t>
      </w:r>
      <w:r w:rsidR="00EB6B69" w:rsidRPr="00D470AE">
        <w:rPr>
          <w:rFonts w:ascii="Verdana" w:hAnsi="Verdana" w:cs="Gotham Light"/>
          <w:color w:val="000000"/>
        </w:rPr>
        <w:t xml:space="preserve">NI </w:t>
      </w:r>
      <w:r w:rsidRPr="00D470AE">
        <w:rPr>
          <w:rFonts w:ascii="Verdana" w:hAnsi="Verdana" w:cs="Gotham Light"/>
          <w:color w:val="000000"/>
        </w:rPr>
        <w:t xml:space="preserve">have transformed to become Integrated Schools, made up of 20 primary schools and </w:t>
      </w:r>
      <w:r w:rsidR="00442DB1" w:rsidRPr="00D470AE">
        <w:rPr>
          <w:rFonts w:ascii="Verdana" w:hAnsi="Verdana" w:cs="Gotham Light"/>
          <w:color w:val="000000"/>
        </w:rPr>
        <w:t>five</w:t>
      </w:r>
      <w:r w:rsidRPr="00D470AE">
        <w:rPr>
          <w:rFonts w:ascii="Verdana" w:hAnsi="Verdana" w:cs="Gotham Light"/>
          <w:color w:val="000000"/>
        </w:rPr>
        <w:t xml:space="preserve"> post-primary schools.</w:t>
      </w:r>
      <w:r w:rsidRPr="00E76ED1">
        <w:rPr>
          <w:vertAlign w:val="superscript"/>
        </w:rPr>
        <w:footnoteReference w:id="421"/>
      </w:r>
    </w:p>
    <w:p w14:paraId="1737DA2D" w14:textId="77777777" w:rsidR="00D470AE" w:rsidRPr="00D470AE" w:rsidRDefault="00D470AE" w:rsidP="00D470AE">
      <w:pPr>
        <w:pStyle w:val="ListParagraph"/>
        <w:rPr>
          <w:rFonts w:ascii="Verdana" w:hAnsi="Verdana" w:cs="Gotham Light"/>
          <w:color w:val="000000"/>
        </w:rPr>
      </w:pPr>
    </w:p>
    <w:p w14:paraId="3F7DAA1F" w14:textId="77777777" w:rsidR="00D470AE" w:rsidRDefault="00EB6B69"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In</w:t>
      </w:r>
      <w:r w:rsidR="00E76ED1" w:rsidRPr="00D470AE">
        <w:rPr>
          <w:rFonts w:ascii="Verdana" w:hAnsi="Verdana" w:cs="Gotham Light"/>
          <w:color w:val="000000"/>
        </w:rPr>
        <w:t xml:space="preserve"> June 2021, an Integrated Education Bill </w:t>
      </w:r>
      <w:r w:rsidRPr="00D470AE">
        <w:rPr>
          <w:rFonts w:ascii="Verdana" w:hAnsi="Verdana" w:cs="Gotham Light"/>
          <w:color w:val="000000"/>
        </w:rPr>
        <w:t>was introduced</w:t>
      </w:r>
      <w:r w:rsidR="00E76ED1" w:rsidRPr="00D470AE">
        <w:rPr>
          <w:rFonts w:ascii="Verdana" w:hAnsi="Verdana" w:cs="Gotham Light"/>
          <w:color w:val="000000"/>
        </w:rPr>
        <w:t xml:space="preserve"> to the </w:t>
      </w:r>
      <w:r w:rsidRPr="00D470AE">
        <w:rPr>
          <w:rFonts w:ascii="Verdana" w:hAnsi="Verdana" w:cs="Gotham Light"/>
          <w:color w:val="000000"/>
        </w:rPr>
        <w:t xml:space="preserve">NI </w:t>
      </w:r>
      <w:r w:rsidR="00CB6944" w:rsidRPr="00D470AE">
        <w:rPr>
          <w:rFonts w:ascii="Verdana" w:hAnsi="Verdana" w:cs="Gotham Light"/>
          <w:color w:val="000000"/>
        </w:rPr>
        <w:t>A</w:t>
      </w:r>
      <w:r w:rsidR="00E76ED1" w:rsidRPr="00D470AE">
        <w:rPr>
          <w:rFonts w:ascii="Verdana" w:hAnsi="Verdana" w:cs="Gotham Light"/>
          <w:color w:val="000000"/>
        </w:rPr>
        <w:t>ssembly, which would require education bodies to apply a presumption that any new school would be an integrated school in appropriate circumstances and require the Department of Education to develop an Integrated Education Strategy.</w:t>
      </w:r>
      <w:r w:rsidR="00E76ED1" w:rsidRPr="00E76ED1">
        <w:rPr>
          <w:vertAlign w:val="superscript"/>
        </w:rPr>
        <w:footnoteReference w:id="422"/>
      </w:r>
      <w:r w:rsidR="00E76ED1" w:rsidRPr="00D470AE">
        <w:rPr>
          <w:rFonts w:ascii="Verdana" w:hAnsi="Verdana" w:cs="Gotham Light"/>
          <w:color w:val="000000"/>
        </w:rPr>
        <w:t xml:space="preserve"> The </w:t>
      </w:r>
      <w:r w:rsidRPr="00D470AE">
        <w:rPr>
          <w:rFonts w:ascii="Verdana" w:hAnsi="Verdana" w:cs="Gotham Light"/>
          <w:color w:val="000000"/>
        </w:rPr>
        <w:t>NIHRC</w:t>
      </w:r>
      <w:r w:rsidR="00E76ED1" w:rsidRPr="00D470AE">
        <w:rPr>
          <w:rFonts w:ascii="Verdana" w:hAnsi="Verdana" w:cs="Gotham Light"/>
          <w:color w:val="000000"/>
        </w:rPr>
        <w:t xml:space="preserve"> welcomes the Bill for widening the statutory definition of integrated education, placing the ethos for integrated on a statutory footing and requiring the Department of Education to actively promote an integrated education system.</w:t>
      </w:r>
      <w:r w:rsidR="00E76ED1" w:rsidRPr="00E76ED1">
        <w:rPr>
          <w:vertAlign w:val="superscript"/>
        </w:rPr>
        <w:footnoteReference w:id="423"/>
      </w:r>
      <w:r w:rsidR="00E76ED1" w:rsidRPr="00D470AE">
        <w:rPr>
          <w:rFonts w:ascii="Verdana" w:hAnsi="Verdana" w:cs="Gotham Light"/>
          <w:color w:val="000000"/>
        </w:rPr>
        <w:t xml:space="preserve"> </w:t>
      </w:r>
    </w:p>
    <w:p w14:paraId="52F448F8" w14:textId="77777777" w:rsidR="00D470AE" w:rsidRPr="00D470AE" w:rsidRDefault="00D470AE" w:rsidP="00D470AE">
      <w:pPr>
        <w:pStyle w:val="ListParagraph"/>
        <w:rPr>
          <w:rFonts w:ascii="Verdana" w:hAnsi="Verdana" w:cs="Gotham Light"/>
          <w:color w:val="000000"/>
        </w:rPr>
      </w:pPr>
    </w:p>
    <w:p w14:paraId="018D50BC" w14:textId="77777777" w:rsidR="00D470AE"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 xml:space="preserve">In </w:t>
      </w:r>
      <w:r w:rsidR="002C504D" w:rsidRPr="00D470AE">
        <w:rPr>
          <w:rFonts w:ascii="Verdana" w:hAnsi="Verdana" w:cs="Gotham Light"/>
          <w:color w:val="000000"/>
        </w:rPr>
        <w:t>October</w:t>
      </w:r>
      <w:r w:rsidR="00EB6B69" w:rsidRPr="00D470AE">
        <w:rPr>
          <w:rFonts w:ascii="Verdana" w:hAnsi="Verdana" w:cs="Gotham Light"/>
          <w:color w:val="000000"/>
        </w:rPr>
        <w:t xml:space="preserve"> 2021</w:t>
      </w:r>
      <w:r w:rsidR="00CE7A62" w:rsidRPr="00D470AE">
        <w:rPr>
          <w:rFonts w:ascii="Verdana" w:hAnsi="Verdana" w:cs="Gotham Light"/>
          <w:color w:val="000000"/>
        </w:rPr>
        <w:t>, a</w:t>
      </w:r>
      <w:r w:rsidRPr="00D470AE">
        <w:rPr>
          <w:rFonts w:ascii="Verdana" w:hAnsi="Verdana" w:cs="Gotham Light"/>
          <w:color w:val="000000"/>
        </w:rPr>
        <w:t xml:space="preserve"> research report by the Centre for Children’s Rights at Queen’s University Belfast in partnership with the Commission for Victims and Survivors noted that while Shared Education has been an important step towards mixing within the school environment, more fundamental and structural changes are required.</w:t>
      </w:r>
      <w:r w:rsidRPr="00E76ED1">
        <w:rPr>
          <w:vertAlign w:val="superscript"/>
        </w:rPr>
        <w:footnoteReference w:id="424"/>
      </w:r>
      <w:r w:rsidRPr="00D470AE">
        <w:rPr>
          <w:rFonts w:ascii="Verdana" w:hAnsi="Verdana" w:cs="Gotham Light"/>
          <w:color w:val="000000"/>
        </w:rPr>
        <w:t xml:space="preserve"> It </w:t>
      </w:r>
      <w:r w:rsidR="00EB6B69" w:rsidRPr="00D470AE">
        <w:rPr>
          <w:rFonts w:ascii="Verdana" w:hAnsi="Verdana" w:cs="Gotham Light"/>
          <w:color w:val="000000"/>
        </w:rPr>
        <w:t xml:space="preserve">recommended </w:t>
      </w:r>
      <w:r w:rsidRPr="00D470AE">
        <w:rPr>
          <w:rFonts w:ascii="Verdana" w:hAnsi="Verdana" w:cs="Gotham Light"/>
          <w:color w:val="000000"/>
        </w:rPr>
        <w:t>increasing the provision and funding of integrated education, particularly given the increasing demand and oversubscription, and reiterates the UN CRC Committee’s Concluding Observations 2016 that “a fully integrated system” is actively promoted.</w:t>
      </w:r>
    </w:p>
    <w:p w14:paraId="255EE836" w14:textId="77777777" w:rsidR="00D470AE" w:rsidRPr="00D470AE" w:rsidRDefault="00D470AE" w:rsidP="00D470AE">
      <w:pPr>
        <w:pStyle w:val="ListParagraph"/>
        <w:rPr>
          <w:rFonts w:ascii="Verdana" w:hAnsi="Verdana" w:cs="Gotham Light"/>
          <w:b/>
          <w:color w:val="000000"/>
        </w:rPr>
      </w:pPr>
    </w:p>
    <w:p w14:paraId="2F1E9A28" w14:textId="19FFFED3" w:rsidR="00D470AE" w:rsidRPr="00D470AE" w:rsidRDefault="00EA7078"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b/>
          <w:color w:val="000000"/>
        </w:rPr>
        <w:t>The Advisory Committee</w:t>
      </w:r>
      <w:r w:rsidR="00A55053" w:rsidRPr="00D470AE">
        <w:rPr>
          <w:rFonts w:ascii="Verdana" w:hAnsi="Verdana" w:cs="Gotham Light"/>
          <w:b/>
          <w:color w:val="000000"/>
        </w:rPr>
        <w:t xml:space="preserve"> may wish to</w:t>
      </w:r>
      <w:r w:rsidR="005C1692" w:rsidRPr="00D470AE">
        <w:rPr>
          <w:rFonts w:ascii="Verdana" w:hAnsi="Verdana" w:cs="Gotham Light"/>
          <w:b/>
          <w:color w:val="000000"/>
        </w:rPr>
        <w:t xml:space="preserve"> </w:t>
      </w:r>
      <w:r w:rsidR="00894E0E" w:rsidRPr="00D470AE">
        <w:rPr>
          <w:rFonts w:ascii="Verdana" w:hAnsi="Verdana" w:cs="Gotham Light"/>
          <w:b/>
          <w:color w:val="000000"/>
        </w:rPr>
        <w:t>recommend</w:t>
      </w:r>
      <w:r w:rsidR="00B57DE7" w:rsidRPr="00D470AE">
        <w:rPr>
          <w:rFonts w:ascii="Verdana" w:hAnsi="Verdana" w:cs="Gotham Light"/>
          <w:b/>
          <w:color w:val="000000"/>
        </w:rPr>
        <w:t xml:space="preserve"> </w:t>
      </w:r>
      <w:r w:rsidR="00894E0E" w:rsidRPr="00D470AE">
        <w:rPr>
          <w:rFonts w:ascii="Verdana" w:hAnsi="Verdana" w:cs="Gotham Light"/>
          <w:b/>
          <w:color w:val="000000"/>
        </w:rPr>
        <w:t xml:space="preserve">the enactment of </w:t>
      </w:r>
      <w:r w:rsidR="00B57DE7" w:rsidRPr="00D470AE">
        <w:rPr>
          <w:rFonts w:ascii="Verdana" w:hAnsi="Verdana" w:cs="Gotham Light"/>
          <w:b/>
          <w:color w:val="000000"/>
        </w:rPr>
        <w:t>the Integrated Education Bill</w:t>
      </w:r>
      <w:r w:rsidR="00894E0E" w:rsidRPr="00D470AE">
        <w:rPr>
          <w:rFonts w:ascii="Verdana" w:hAnsi="Verdana" w:cs="Gotham Light"/>
          <w:b/>
          <w:color w:val="000000"/>
        </w:rPr>
        <w:t>, as introduced,</w:t>
      </w:r>
      <w:r w:rsidR="00682D7A" w:rsidRPr="00D470AE">
        <w:rPr>
          <w:rFonts w:ascii="Verdana" w:hAnsi="Verdana" w:cs="Gotham Light"/>
          <w:b/>
          <w:color w:val="000000"/>
        </w:rPr>
        <w:t xml:space="preserve"> and the duty to actively promote an integrated education system in NI.</w:t>
      </w:r>
    </w:p>
    <w:p w14:paraId="7A406B9F" w14:textId="77777777" w:rsidR="00D470AE" w:rsidRDefault="00D470AE" w:rsidP="00D470AE">
      <w:pPr>
        <w:pStyle w:val="ListParagraph"/>
        <w:rPr>
          <w:rFonts w:ascii="Verdana" w:hAnsi="Verdana" w:cs="Gotham Light"/>
          <w:color w:val="000000"/>
        </w:rPr>
      </w:pPr>
    </w:p>
    <w:p w14:paraId="2A694A83" w14:textId="77777777" w:rsidR="002F4AE6" w:rsidRPr="00D470AE" w:rsidRDefault="002F4AE6" w:rsidP="00D470AE">
      <w:pPr>
        <w:pStyle w:val="ListParagraph"/>
        <w:rPr>
          <w:rFonts w:ascii="Verdana" w:hAnsi="Verdana" w:cs="Gotham Light"/>
          <w:color w:val="000000"/>
        </w:rPr>
      </w:pPr>
    </w:p>
    <w:p w14:paraId="0CDFA16C" w14:textId="017A6480" w:rsidR="00D470AE" w:rsidRPr="00D470AE" w:rsidRDefault="00D470AE" w:rsidP="00D470AE">
      <w:pPr>
        <w:pStyle w:val="Heading2"/>
      </w:pPr>
      <w:bookmarkStart w:id="62" w:name="_Toc97030949"/>
      <w:r>
        <w:t>Shared</w:t>
      </w:r>
      <w:r w:rsidR="007A41F4">
        <w:t xml:space="preserve"> Education</w:t>
      </w:r>
      <w:bookmarkEnd w:id="62"/>
    </w:p>
    <w:p w14:paraId="440CACEC" w14:textId="77777777" w:rsidR="00D470AE" w:rsidRPr="00D470AE" w:rsidRDefault="00D470AE" w:rsidP="00D470AE">
      <w:pPr>
        <w:pStyle w:val="ListParagraph"/>
        <w:rPr>
          <w:rFonts w:ascii="Verdana" w:hAnsi="Verdana" w:cs="Gotham Light"/>
          <w:color w:val="000000"/>
        </w:rPr>
      </w:pPr>
    </w:p>
    <w:p w14:paraId="2B408382" w14:textId="6501E731" w:rsidR="007A41F4" w:rsidRDefault="00E76ED1" w:rsidP="00915669">
      <w:pPr>
        <w:pStyle w:val="ListParagraph"/>
        <w:numPr>
          <w:ilvl w:val="1"/>
          <w:numId w:val="24"/>
        </w:numPr>
        <w:spacing w:line="276" w:lineRule="auto"/>
        <w:ind w:left="851" w:hanging="851"/>
        <w:rPr>
          <w:rFonts w:ascii="Verdana" w:hAnsi="Verdana" w:cs="Gotham Light"/>
          <w:color w:val="000000"/>
        </w:rPr>
      </w:pPr>
      <w:r w:rsidRPr="00D470AE">
        <w:rPr>
          <w:rFonts w:ascii="Verdana" w:hAnsi="Verdana" w:cs="Gotham Light"/>
          <w:color w:val="000000"/>
        </w:rPr>
        <w:t>In 2016, the UN CRC Committee recommended that the UK Government and NI Executive “carefully monitor the provision of shared education, with the participation of children, in order to ensure that it facilitates social integration”.</w:t>
      </w:r>
      <w:r w:rsidRPr="00E76ED1">
        <w:rPr>
          <w:vertAlign w:val="superscript"/>
        </w:rPr>
        <w:footnoteReference w:id="425"/>
      </w:r>
      <w:r w:rsidRPr="00D470AE">
        <w:rPr>
          <w:rFonts w:ascii="Verdana" w:hAnsi="Verdana" w:cs="Gotham Light"/>
          <w:color w:val="000000"/>
        </w:rPr>
        <w:t xml:space="preserve"> </w:t>
      </w:r>
    </w:p>
    <w:p w14:paraId="150F4242" w14:textId="77777777" w:rsidR="007A41F4" w:rsidRDefault="007A41F4" w:rsidP="007A41F4">
      <w:pPr>
        <w:pStyle w:val="ListParagraph"/>
        <w:spacing w:line="276" w:lineRule="auto"/>
        <w:ind w:left="851"/>
        <w:rPr>
          <w:rFonts w:ascii="Verdana" w:hAnsi="Verdana" w:cs="Gotham Light"/>
          <w:color w:val="000000"/>
        </w:rPr>
      </w:pPr>
    </w:p>
    <w:p w14:paraId="6474AC37" w14:textId="366A68BA" w:rsidR="00E76ED1" w:rsidRPr="007A41F4" w:rsidRDefault="00E76ED1" w:rsidP="00915669">
      <w:pPr>
        <w:pStyle w:val="ListParagraph"/>
        <w:numPr>
          <w:ilvl w:val="1"/>
          <w:numId w:val="24"/>
        </w:numPr>
        <w:spacing w:line="276" w:lineRule="auto"/>
        <w:ind w:left="851" w:hanging="851"/>
        <w:rPr>
          <w:rFonts w:ascii="Verdana" w:hAnsi="Verdana" w:cs="Gotham Light"/>
          <w:color w:val="000000"/>
        </w:rPr>
      </w:pPr>
      <w:r w:rsidRPr="007A41F4">
        <w:rPr>
          <w:rFonts w:ascii="Verdana" w:hAnsi="Verdana" w:cs="Gotham Light"/>
          <w:color w:val="000000" w:themeColor="text1"/>
        </w:rPr>
        <w:t>In addition, the UN ICESCR Committee recommended:</w:t>
      </w:r>
    </w:p>
    <w:p w14:paraId="6AFFB5D6" w14:textId="77777777" w:rsidR="00E76ED1" w:rsidRPr="00E76ED1" w:rsidRDefault="00E76ED1" w:rsidP="00C42A0A">
      <w:pPr>
        <w:pStyle w:val="ListParagraph"/>
        <w:spacing w:line="276" w:lineRule="auto"/>
        <w:ind w:left="851"/>
        <w:rPr>
          <w:rFonts w:ascii="Verdana" w:hAnsi="Verdana" w:cs="Gotham Light"/>
          <w:color w:val="000000"/>
        </w:rPr>
      </w:pPr>
    </w:p>
    <w:p w14:paraId="6EEFB63F" w14:textId="1AE88A3A" w:rsidR="00E76ED1" w:rsidRDefault="00E76ED1" w:rsidP="00C42A0A">
      <w:pPr>
        <w:pStyle w:val="ListParagraph"/>
        <w:spacing w:line="276" w:lineRule="auto"/>
        <w:ind w:left="1440"/>
        <w:rPr>
          <w:rFonts w:ascii="Verdana" w:hAnsi="Verdana" w:cs="Gotham Light"/>
          <w:color w:val="000000"/>
        </w:rPr>
      </w:pPr>
      <w:r w:rsidRPr="00E76ED1">
        <w:rPr>
          <w:rFonts w:ascii="Verdana" w:hAnsi="Verdana" w:cs="Gotham Light"/>
          <w:color w:val="000000"/>
        </w:rPr>
        <w:t>that the State party take all necessary measures to reduce the attainment gaps, particularly among children belonging to low-income families, including by reconsidering the austerity programmes adopted and effectively implementing measures aimed at reducing de facto discrimination and segregation of students based on their religion, national or social origin, as well as their economic background</w:t>
      </w:r>
      <w:r w:rsidR="00A16ADD">
        <w:rPr>
          <w:rFonts w:ascii="Verdana" w:hAnsi="Verdana" w:cs="Gotham Light"/>
          <w:color w:val="000000"/>
        </w:rPr>
        <w:t>.</w:t>
      </w:r>
      <w:r w:rsidRPr="00E76ED1">
        <w:rPr>
          <w:rFonts w:ascii="Verdana" w:hAnsi="Verdana" w:cs="Gotham Light"/>
          <w:color w:val="000000"/>
          <w:vertAlign w:val="superscript"/>
        </w:rPr>
        <w:footnoteReference w:id="426"/>
      </w:r>
      <w:r w:rsidRPr="00E76ED1">
        <w:rPr>
          <w:rFonts w:ascii="Verdana" w:hAnsi="Verdana" w:cs="Gotham Light"/>
          <w:color w:val="000000"/>
        </w:rPr>
        <w:t xml:space="preserve">  </w:t>
      </w:r>
    </w:p>
    <w:p w14:paraId="660B8FAF" w14:textId="77777777" w:rsidR="001504FD" w:rsidRPr="001504FD" w:rsidRDefault="001504FD" w:rsidP="001504FD">
      <w:pPr>
        <w:spacing w:line="276" w:lineRule="auto"/>
        <w:rPr>
          <w:rFonts w:ascii="Verdana" w:hAnsi="Verdana" w:cs="Gotham Light"/>
          <w:color w:val="000000"/>
        </w:rPr>
      </w:pPr>
    </w:p>
    <w:p w14:paraId="3AFE3EB0" w14:textId="46B7B3DD" w:rsidR="001504FD" w:rsidRDefault="00EB6B69" w:rsidP="00915669">
      <w:pPr>
        <w:pStyle w:val="ListParagraph"/>
        <w:numPr>
          <w:ilvl w:val="1"/>
          <w:numId w:val="24"/>
        </w:numPr>
        <w:spacing w:line="276" w:lineRule="auto"/>
        <w:ind w:left="851" w:hanging="851"/>
        <w:rPr>
          <w:rFonts w:ascii="Verdana" w:hAnsi="Verdana" w:cs="Gotham Light"/>
          <w:color w:val="000000"/>
        </w:rPr>
      </w:pPr>
      <w:r w:rsidRPr="001504FD">
        <w:rPr>
          <w:rFonts w:ascii="Verdana" w:hAnsi="Verdana" w:cs="Gotham Light"/>
          <w:color w:val="000000"/>
        </w:rPr>
        <w:t xml:space="preserve">The </w:t>
      </w:r>
      <w:r w:rsidR="00E76ED1" w:rsidRPr="001504FD">
        <w:rPr>
          <w:rFonts w:ascii="Verdana" w:hAnsi="Verdana" w:cs="Gotham Light"/>
          <w:color w:val="000000"/>
        </w:rPr>
        <w:t>Shared Education Act (NI) 2016 places an obligation on the Department of Education to promote 'shared education’</w:t>
      </w:r>
      <w:r w:rsidRPr="001504FD">
        <w:rPr>
          <w:rFonts w:ascii="Verdana" w:hAnsi="Verdana" w:cs="Gotham Light"/>
          <w:color w:val="000000"/>
        </w:rPr>
        <w:t>.</w:t>
      </w:r>
      <w:r>
        <w:rPr>
          <w:rStyle w:val="FootnoteReference"/>
          <w:rFonts w:ascii="Verdana" w:hAnsi="Verdana" w:cs="Gotham Light"/>
          <w:color w:val="000000"/>
        </w:rPr>
        <w:footnoteReference w:id="427"/>
      </w:r>
      <w:r w:rsidR="00E76ED1" w:rsidRPr="001504FD">
        <w:rPr>
          <w:rFonts w:ascii="Verdana" w:hAnsi="Verdana" w:cs="Gotham Light"/>
          <w:color w:val="000000"/>
        </w:rPr>
        <w:t xml:space="preserve"> In accordance with section 7 of the Act, the second biennial report laid before the NI Assembly revealed that 61 per cent of NI’s </w:t>
      </w:r>
      <w:r w:rsidRPr="001504FD">
        <w:rPr>
          <w:rFonts w:ascii="Verdana" w:hAnsi="Verdana" w:cs="Gotham Light"/>
          <w:color w:val="000000"/>
        </w:rPr>
        <w:t>primary</w:t>
      </w:r>
      <w:r w:rsidR="00E76ED1" w:rsidRPr="001504FD">
        <w:rPr>
          <w:rFonts w:ascii="Verdana" w:hAnsi="Verdana" w:cs="Gotham Light"/>
          <w:color w:val="000000"/>
        </w:rPr>
        <w:t xml:space="preserve">, </w:t>
      </w:r>
      <w:r w:rsidRPr="001504FD">
        <w:rPr>
          <w:rFonts w:ascii="Verdana" w:hAnsi="Verdana" w:cs="Gotham Light"/>
          <w:color w:val="000000"/>
        </w:rPr>
        <w:t>post primary</w:t>
      </w:r>
      <w:r w:rsidR="00E76ED1" w:rsidRPr="001504FD">
        <w:rPr>
          <w:rFonts w:ascii="Verdana" w:hAnsi="Verdana" w:cs="Gotham Light"/>
          <w:color w:val="000000"/>
        </w:rPr>
        <w:t xml:space="preserve">, and </w:t>
      </w:r>
      <w:r w:rsidRPr="001504FD">
        <w:rPr>
          <w:rFonts w:ascii="Verdana" w:hAnsi="Verdana" w:cs="Gotham Light"/>
          <w:color w:val="000000"/>
        </w:rPr>
        <w:t xml:space="preserve">special </w:t>
      </w:r>
      <w:r w:rsidR="00E76ED1" w:rsidRPr="001504FD">
        <w:rPr>
          <w:rFonts w:ascii="Verdana" w:hAnsi="Verdana" w:cs="Gotham Light"/>
          <w:color w:val="000000"/>
        </w:rPr>
        <w:t>schools were involved in shared education.</w:t>
      </w:r>
      <w:r w:rsidR="00E76ED1" w:rsidRPr="00E76ED1">
        <w:rPr>
          <w:vertAlign w:val="superscript"/>
        </w:rPr>
        <w:footnoteReference w:id="428"/>
      </w:r>
      <w:r w:rsidR="00E76ED1" w:rsidRPr="001504FD">
        <w:rPr>
          <w:rFonts w:ascii="Verdana" w:hAnsi="Verdana" w:cs="Gotham Light"/>
          <w:color w:val="000000"/>
        </w:rPr>
        <w:t xml:space="preserve"> </w:t>
      </w:r>
    </w:p>
    <w:p w14:paraId="107BFB88" w14:textId="77777777" w:rsidR="001504FD" w:rsidRDefault="001504FD" w:rsidP="001504FD">
      <w:pPr>
        <w:pStyle w:val="ListParagraph"/>
        <w:spacing w:line="276" w:lineRule="auto"/>
        <w:ind w:left="851"/>
        <w:rPr>
          <w:rFonts w:ascii="Verdana" w:hAnsi="Verdana" w:cs="Gotham Light"/>
          <w:color w:val="000000"/>
        </w:rPr>
      </w:pPr>
    </w:p>
    <w:p w14:paraId="58EADE40" w14:textId="77777777" w:rsidR="001504FD" w:rsidRDefault="00E76ED1" w:rsidP="00915669">
      <w:pPr>
        <w:pStyle w:val="ListParagraph"/>
        <w:numPr>
          <w:ilvl w:val="1"/>
          <w:numId w:val="24"/>
        </w:numPr>
        <w:spacing w:line="276" w:lineRule="auto"/>
        <w:ind w:left="851" w:hanging="851"/>
        <w:rPr>
          <w:rFonts w:ascii="Verdana" w:hAnsi="Verdana" w:cs="Gotham Light"/>
          <w:color w:val="000000"/>
        </w:rPr>
      </w:pPr>
      <w:r w:rsidRPr="001504FD">
        <w:rPr>
          <w:rFonts w:ascii="Verdana" w:hAnsi="Verdana" w:cs="Gotham Light"/>
          <w:color w:val="000000"/>
        </w:rPr>
        <w:t>The Department of Education states that the UK leaving the EU will have no impact on current funding.</w:t>
      </w:r>
      <w:r w:rsidRPr="00E76ED1">
        <w:rPr>
          <w:vertAlign w:val="superscript"/>
        </w:rPr>
        <w:footnoteReference w:id="429"/>
      </w:r>
      <w:r w:rsidRPr="001504FD">
        <w:rPr>
          <w:rFonts w:ascii="Verdana" w:hAnsi="Verdana" w:cs="Gotham Light"/>
          <w:color w:val="000000"/>
        </w:rPr>
        <w:t xml:space="preserve"> However, EU Peace IV funding for Shared Education programmes is due to cease in June 2022.</w:t>
      </w:r>
      <w:r w:rsidRPr="00E76ED1">
        <w:rPr>
          <w:vertAlign w:val="superscript"/>
        </w:rPr>
        <w:footnoteReference w:id="430"/>
      </w:r>
      <w:r w:rsidRPr="001504FD">
        <w:rPr>
          <w:rFonts w:ascii="Verdana" w:hAnsi="Verdana" w:cs="Gotham Light"/>
          <w:color w:val="000000"/>
        </w:rPr>
        <w:t xml:space="preserve"> Civil society organisations have expressed concerns as to how these programmes will be funded in the future.</w:t>
      </w:r>
      <w:r w:rsidRPr="00E76ED1">
        <w:rPr>
          <w:vertAlign w:val="superscript"/>
        </w:rPr>
        <w:footnoteReference w:id="431"/>
      </w:r>
      <w:r w:rsidRPr="001504FD">
        <w:rPr>
          <w:rFonts w:ascii="Verdana" w:hAnsi="Verdana" w:cs="Gotham Light"/>
          <w:color w:val="000000"/>
        </w:rPr>
        <w:t xml:space="preserve"> In February 2021</w:t>
      </w:r>
      <w:r w:rsidR="00EB6B69" w:rsidRPr="001504FD">
        <w:rPr>
          <w:rFonts w:ascii="Verdana" w:hAnsi="Verdana" w:cs="Gotham Light"/>
          <w:color w:val="000000"/>
        </w:rPr>
        <w:t>,</w:t>
      </w:r>
      <w:r w:rsidRPr="001504FD">
        <w:rPr>
          <w:rFonts w:ascii="Verdana" w:hAnsi="Verdana" w:cs="Gotham Light"/>
          <w:color w:val="000000"/>
        </w:rPr>
        <w:t xml:space="preserve"> the Minister of Education advised that the Departments of Education in NI and Ireland provide match funding for the Peace IV Shared Education Programme.</w:t>
      </w:r>
      <w:r w:rsidRPr="00E76ED1">
        <w:rPr>
          <w:vertAlign w:val="superscript"/>
        </w:rPr>
        <w:footnoteReference w:id="432"/>
      </w:r>
      <w:r w:rsidRPr="001504FD">
        <w:rPr>
          <w:rFonts w:ascii="Verdana" w:hAnsi="Verdana" w:cs="Gotham Light"/>
          <w:color w:val="000000"/>
        </w:rPr>
        <w:t xml:space="preserve"> </w:t>
      </w:r>
    </w:p>
    <w:p w14:paraId="455D331D" w14:textId="77777777" w:rsidR="001504FD" w:rsidRPr="001504FD" w:rsidRDefault="001504FD" w:rsidP="001504FD">
      <w:pPr>
        <w:pStyle w:val="ListParagraph"/>
        <w:rPr>
          <w:rFonts w:ascii="Verdana" w:hAnsi="Verdana" w:cs="Gotham Light"/>
          <w:b/>
          <w:color w:val="000000" w:themeColor="text1"/>
        </w:rPr>
      </w:pPr>
    </w:p>
    <w:p w14:paraId="2D508226" w14:textId="2BAE4194" w:rsidR="009A4033" w:rsidRPr="00482D10" w:rsidRDefault="00E76ED1" w:rsidP="00915669">
      <w:pPr>
        <w:pStyle w:val="ListParagraph"/>
        <w:numPr>
          <w:ilvl w:val="1"/>
          <w:numId w:val="24"/>
        </w:numPr>
        <w:spacing w:line="276" w:lineRule="auto"/>
        <w:ind w:left="851" w:hanging="851"/>
        <w:rPr>
          <w:rFonts w:ascii="Verdana" w:hAnsi="Verdana" w:cs="Gotham Light"/>
          <w:color w:val="000000"/>
        </w:rPr>
      </w:pPr>
      <w:r w:rsidRPr="001504FD">
        <w:rPr>
          <w:rFonts w:ascii="Verdana" w:hAnsi="Verdana" w:cs="Gotham Light"/>
          <w:b/>
          <w:color w:val="000000" w:themeColor="text1"/>
        </w:rPr>
        <w:t xml:space="preserve">The Advisory Committee may wish to seek assurances from the State Party that long-term secure funding for shared education is guaranteed in NI. </w:t>
      </w:r>
    </w:p>
    <w:p w14:paraId="009AEB82" w14:textId="183773C0" w:rsidR="00E76ED1" w:rsidRPr="008B1ECD" w:rsidRDefault="007D2989" w:rsidP="007D2989">
      <w:pPr>
        <w:pStyle w:val="Heading1"/>
      </w:pPr>
      <w:bookmarkStart w:id="63" w:name="_Toc97030950"/>
      <w:r>
        <w:t xml:space="preserve">12.0 </w:t>
      </w:r>
      <w:r w:rsidR="00E76ED1" w:rsidRPr="008B1ECD">
        <w:t>Article 14: Right to learn in minority language</w:t>
      </w:r>
      <w:bookmarkEnd w:id="63"/>
    </w:p>
    <w:p w14:paraId="52498EAD" w14:textId="77777777" w:rsidR="00E76ED1" w:rsidRPr="00E76ED1" w:rsidRDefault="00E76ED1" w:rsidP="00C42A0A">
      <w:pPr>
        <w:pStyle w:val="ListParagraph"/>
        <w:spacing w:line="276" w:lineRule="auto"/>
        <w:ind w:left="851"/>
        <w:rPr>
          <w:rFonts w:ascii="Verdana" w:hAnsi="Verdana" w:cs="Gotham Light"/>
          <w:color w:val="000000"/>
        </w:rPr>
      </w:pPr>
    </w:p>
    <w:p w14:paraId="6AF36261" w14:textId="77777777" w:rsidR="00E76ED1" w:rsidRPr="008B1ECD" w:rsidRDefault="00E76ED1" w:rsidP="00C42A0A">
      <w:pPr>
        <w:spacing w:line="276" w:lineRule="auto"/>
        <w:rPr>
          <w:rFonts w:ascii="Verdana" w:hAnsi="Verdana" w:cs="Gotham Light"/>
          <w:b/>
          <w:bCs/>
          <w:color w:val="000000"/>
        </w:rPr>
      </w:pPr>
      <w:r w:rsidRPr="008B1ECD">
        <w:rPr>
          <w:rFonts w:ascii="Verdana" w:hAnsi="Verdana" w:cs="Gotham Light"/>
          <w:b/>
          <w:bCs/>
          <w:color w:val="000000"/>
        </w:rPr>
        <w:t>Instruction in and of minority languages</w:t>
      </w:r>
    </w:p>
    <w:p w14:paraId="16121F3F" w14:textId="77777777" w:rsidR="00E76ED1" w:rsidRPr="00E76ED1" w:rsidRDefault="00E76ED1" w:rsidP="00C42A0A">
      <w:pPr>
        <w:pStyle w:val="ListParagraph"/>
        <w:spacing w:line="276" w:lineRule="auto"/>
        <w:ind w:left="851"/>
        <w:rPr>
          <w:rFonts w:ascii="Verdana" w:hAnsi="Verdana" w:cs="Gotham Light"/>
          <w:color w:val="000000"/>
        </w:rPr>
      </w:pPr>
    </w:p>
    <w:p w14:paraId="2E2DFCC2" w14:textId="35B51FCD" w:rsidR="001B52DB" w:rsidRPr="00B83347" w:rsidRDefault="00CB6944" w:rsidP="00B83347">
      <w:pPr>
        <w:pStyle w:val="ListParagraph"/>
        <w:numPr>
          <w:ilvl w:val="1"/>
          <w:numId w:val="29"/>
        </w:numPr>
        <w:spacing w:line="276" w:lineRule="auto"/>
        <w:rPr>
          <w:rFonts w:ascii="Verdana" w:hAnsi="Verdana" w:cs="Gotham Light"/>
          <w:color w:val="000000"/>
        </w:rPr>
      </w:pPr>
      <w:r w:rsidRPr="00B83347">
        <w:rPr>
          <w:rFonts w:ascii="Verdana" w:hAnsi="Verdana" w:cs="Gotham Light"/>
          <w:color w:val="000000"/>
        </w:rPr>
        <w:t>The</w:t>
      </w:r>
      <w:r w:rsidR="00E76ED1" w:rsidRPr="00B83347">
        <w:rPr>
          <w:rFonts w:ascii="Verdana" w:hAnsi="Verdana" w:cs="Gotham Light"/>
          <w:color w:val="000000"/>
        </w:rPr>
        <w:t xml:space="preserve"> Education (Northern Ireland) Order 1998</w:t>
      </w:r>
      <w:r w:rsidRPr="00B83347">
        <w:rPr>
          <w:rFonts w:ascii="Verdana" w:hAnsi="Verdana" w:cs="Gotham Light"/>
          <w:color w:val="000000"/>
        </w:rPr>
        <w:t xml:space="preserve"> places a duty on</w:t>
      </w:r>
      <w:r w:rsidR="00E76ED1" w:rsidRPr="00B83347">
        <w:rPr>
          <w:rFonts w:ascii="Verdana" w:hAnsi="Verdana" w:cs="Gotham Light"/>
          <w:color w:val="000000"/>
        </w:rPr>
        <w:t xml:space="preserve"> the Department of Education to encourage and facilitate the development of Irish-medium education.</w:t>
      </w:r>
      <w:r>
        <w:rPr>
          <w:rStyle w:val="FootnoteReference"/>
          <w:rFonts w:ascii="Verdana" w:hAnsi="Verdana" w:cs="Gotham Light"/>
          <w:color w:val="000000"/>
        </w:rPr>
        <w:footnoteReference w:id="433"/>
      </w:r>
    </w:p>
    <w:p w14:paraId="69212883" w14:textId="77777777" w:rsidR="001B52DB" w:rsidRDefault="001B52DB" w:rsidP="001B52DB">
      <w:pPr>
        <w:pStyle w:val="ListParagraph"/>
        <w:spacing w:line="276" w:lineRule="auto"/>
        <w:rPr>
          <w:rFonts w:ascii="Verdana" w:hAnsi="Verdana" w:cs="Gotham Light"/>
          <w:color w:val="000000"/>
        </w:rPr>
      </w:pPr>
    </w:p>
    <w:p w14:paraId="019E82D6" w14:textId="2214EF60" w:rsidR="001B52DB" w:rsidRPr="00B83347" w:rsidRDefault="00E76ED1" w:rsidP="00B83347">
      <w:pPr>
        <w:pStyle w:val="ListParagraph"/>
        <w:numPr>
          <w:ilvl w:val="1"/>
          <w:numId w:val="29"/>
        </w:numPr>
        <w:spacing w:line="276" w:lineRule="auto"/>
        <w:rPr>
          <w:rFonts w:ascii="Verdana" w:hAnsi="Verdana" w:cs="Gotham Light"/>
          <w:color w:val="000000"/>
        </w:rPr>
      </w:pPr>
      <w:r w:rsidRPr="00B83347">
        <w:rPr>
          <w:rFonts w:ascii="Verdana" w:hAnsi="Verdana" w:cs="Gotham Light"/>
          <w:color w:val="000000"/>
        </w:rPr>
        <w:t>In the previous monitoring cycle, the Advisory Committee highlighted concerns regarding the Department’s limited engagement with this issue and factors presenting progress, such as a lack of teachers and insufficient training. The Advisory Committee called on “the authorities to renew and intensify their efforts to develop Irish-medium education and Irish language teaching”.</w:t>
      </w:r>
      <w:r w:rsidRPr="00E76ED1">
        <w:rPr>
          <w:vertAlign w:val="superscript"/>
        </w:rPr>
        <w:footnoteReference w:id="434"/>
      </w:r>
    </w:p>
    <w:p w14:paraId="390E0A15" w14:textId="77777777" w:rsidR="001B52DB" w:rsidRPr="001B52DB" w:rsidRDefault="001B52DB" w:rsidP="001B52DB">
      <w:pPr>
        <w:pStyle w:val="ListParagraph"/>
        <w:rPr>
          <w:rFonts w:ascii="Verdana" w:hAnsi="Verdana" w:cs="Gotham Light"/>
          <w:color w:val="000000"/>
        </w:rPr>
      </w:pPr>
    </w:p>
    <w:p w14:paraId="163DF53B" w14:textId="2D250E33" w:rsidR="00E76ED1" w:rsidRPr="001B52DB" w:rsidRDefault="00E76ED1" w:rsidP="00B83347">
      <w:pPr>
        <w:pStyle w:val="ListParagraph"/>
        <w:numPr>
          <w:ilvl w:val="1"/>
          <w:numId w:val="29"/>
        </w:numPr>
        <w:spacing w:line="276" w:lineRule="auto"/>
        <w:rPr>
          <w:rFonts w:ascii="Verdana" w:hAnsi="Verdana" w:cs="Gotham Light"/>
          <w:color w:val="000000"/>
        </w:rPr>
      </w:pPr>
      <w:r w:rsidRPr="001B52DB">
        <w:rPr>
          <w:rFonts w:ascii="Verdana" w:hAnsi="Verdana" w:cs="Gotham Light"/>
          <w:color w:val="000000"/>
        </w:rPr>
        <w:t xml:space="preserve">Similarly, in its fifth periodic report of the UK, the Committee of Experts </w:t>
      </w:r>
      <w:r w:rsidR="00CB6944" w:rsidRPr="001B52DB">
        <w:rPr>
          <w:rFonts w:ascii="Verdana" w:hAnsi="Verdana" w:cs="Gotham Light"/>
          <w:color w:val="000000"/>
        </w:rPr>
        <w:t>for the Charter of Regional and Minority Languages</w:t>
      </w:r>
      <w:r w:rsidRPr="001B52DB">
        <w:rPr>
          <w:rFonts w:ascii="Verdana" w:hAnsi="Verdana" w:cs="Gotham Light"/>
          <w:color w:val="000000"/>
        </w:rPr>
        <w:t xml:space="preserve"> identified that “there is a lack of teachers and planning for Irish-medium education”.</w:t>
      </w:r>
      <w:r w:rsidRPr="00E76ED1">
        <w:rPr>
          <w:vertAlign w:val="superscript"/>
        </w:rPr>
        <w:footnoteReference w:id="435"/>
      </w:r>
      <w:r w:rsidRPr="001B52DB">
        <w:rPr>
          <w:rFonts w:ascii="Verdana" w:hAnsi="Verdana" w:cs="Gotham Light"/>
          <w:color w:val="000000"/>
        </w:rPr>
        <w:t xml:space="preserve"> The Committee recommended that the UK government take immediate action to provide basic and further training of a sufficient number of teachers teaching in Irish.</w:t>
      </w:r>
      <w:r w:rsidRPr="00E76ED1">
        <w:rPr>
          <w:vertAlign w:val="superscript"/>
        </w:rPr>
        <w:footnoteReference w:id="436"/>
      </w:r>
      <w:r w:rsidRPr="001B52DB">
        <w:rPr>
          <w:rFonts w:ascii="Verdana" w:hAnsi="Verdana" w:cs="Gotham Light"/>
          <w:color w:val="000000"/>
        </w:rPr>
        <w:t xml:space="preserve"> However, in the most recent monitoring cycle, the UK government did not identify how it has implemented actions to fulfil this recommendation.</w:t>
      </w:r>
      <w:r w:rsidRPr="00E76ED1">
        <w:rPr>
          <w:vertAlign w:val="superscript"/>
        </w:rPr>
        <w:footnoteReference w:id="437"/>
      </w:r>
      <w:r w:rsidRPr="001B52DB">
        <w:rPr>
          <w:rFonts w:ascii="Verdana" w:hAnsi="Verdana" w:cs="Gotham Light"/>
          <w:color w:val="000000"/>
        </w:rPr>
        <w:t xml:space="preserve"> COMEX has therefore reiterated its previous recommendation and asked that, </w:t>
      </w:r>
    </w:p>
    <w:p w14:paraId="61F58889" w14:textId="77777777" w:rsidR="00E76ED1" w:rsidRPr="00E76ED1" w:rsidRDefault="00E76ED1" w:rsidP="00C42A0A">
      <w:pPr>
        <w:pStyle w:val="ListParagraph"/>
        <w:spacing w:line="276" w:lineRule="auto"/>
        <w:ind w:left="851"/>
        <w:rPr>
          <w:rFonts w:ascii="Verdana" w:hAnsi="Verdana" w:cs="Gotham Light"/>
          <w:color w:val="000000"/>
        </w:rPr>
      </w:pPr>
    </w:p>
    <w:p w14:paraId="2383E123" w14:textId="7E19D766" w:rsidR="00E76ED1" w:rsidRPr="008B1ECD" w:rsidRDefault="00E76ED1" w:rsidP="00C42A0A">
      <w:pPr>
        <w:spacing w:line="276" w:lineRule="auto"/>
        <w:ind w:left="1440"/>
        <w:rPr>
          <w:rFonts w:ascii="Verdana" w:hAnsi="Verdana" w:cs="Gotham Light"/>
          <w:color w:val="000000"/>
        </w:rPr>
      </w:pPr>
      <w:r w:rsidRPr="008B1ECD">
        <w:rPr>
          <w:rFonts w:ascii="Verdana" w:hAnsi="Verdana" w:cs="Gotham Light"/>
          <w:color w:val="000000"/>
        </w:rPr>
        <w:t>the authorities work with representatives of Irish language speakers to develop a long-term strategy to tackle this shortage, as well as short-term remedies such as incentives to students (such as further bursaries, guaranteed employment or salary bonuses) and intensive courses to boost capacities to teach in Irish.</w:t>
      </w:r>
      <w:r w:rsidRPr="00E76ED1">
        <w:rPr>
          <w:vertAlign w:val="superscript"/>
        </w:rPr>
        <w:footnoteReference w:id="438"/>
      </w:r>
      <w:r w:rsidRPr="008B1ECD">
        <w:rPr>
          <w:rFonts w:ascii="Verdana" w:hAnsi="Verdana" w:cs="Gotham Light"/>
          <w:color w:val="000000"/>
        </w:rPr>
        <w:t xml:space="preserve"> </w:t>
      </w:r>
    </w:p>
    <w:p w14:paraId="1560CEBD" w14:textId="77777777" w:rsidR="00E76ED1" w:rsidRPr="00E76ED1" w:rsidRDefault="00E76ED1" w:rsidP="00C42A0A">
      <w:pPr>
        <w:pStyle w:val="ListParagraph"/>
        <w:spacing w:line="276" w:lineRule="auto"/>
        <w:ind w:left="851"/>
        <w:rPr>
          <w:rFonts w:ascii="Verdana" w:hAnsi="Verdana" w:cs="Gotham Light"/>
          <w:color w:val="000000"/>
        </w:rPr>
      </w:pPr>
    </w:p>
    <w:p w14:paraId="3DE7E607" w14:textId="1C2410F3" w:rsidR="00E76ED1" w:rsidRPr="001B52DB" w:rsidRDefault="00E76ED1" w:rsidP="00B83347">
      <w:pPr>
        <w:pStyle w:val="ListParagraph"/>
        <w:numPr>
          <w:ilvl w:val="1"/>
          <w:numId w:val="29"/>
        </w:numPr>
        <w:spacing w:line="276" w:lineRule="auto"/>
        <w:rPr>
          <w:rFonts w:ascii="Verdana" w:hAnsi="Verdana" w:cs="Gotham Light"/>
          <w:b/>
          <w:bCs/>
          <w:color w:val="000000"/>
        </w:rPr>
      </w:pPr>
      <w:r w:rsidRPr="001B52DB">
        <w:rPr>
          <w:rFonts w:ascii="Verdana" w:hAnsi="Verdana" w:cs="Gotham Light"/>
          <w:b/>
          <w:color w:val="000000" w:themeColor="text1"/>
        </w:rPr>
        <w:t xml:space="preserve">The Advisory Committee may wish to seek assurances from the State Party that effective steps are being taken to build capacity for Irish language teaching and Irish-medium education. </w:t>
      </w:r>
    </w:p>
    <w:p w14:paraId="04706B52" w14:textId="77777777" w:rsidR="00E76ED1" w:rsidRPr="00E76ED1" w:rsidRDefault="00E76ED1" w:rsidP="00C42A0A">
      <w:pPr>
        <w:pStyle w:val="ListParagraph"/>
        <w:spacing w:line="276" w:lineRule="auto"/>
        <w:ind w:left="851"/>
        <w:rPr>
          <w:rFonts w:ascii="Verdana" w:hAnsi="Verdana" w:cs="Gotham Light"/>
          <w:b/>
          <w:bCs/>
          <w:color w:val="000000"/>
        </w:rPr>
      </w:pPr>
    </w:p>
    <w:p w14:paraId="67D1D4EB" w14:textId="2D2D278B" w:rsidR="00E76ED1" w:rsidRPr="008B1ECD" w:rsidRDefault="001B52DB" w:rsidP="00A16ADD">
      <w:pPr>
        <w:pStyle w:val="Heading1"/>
        <w:rPr>
          <w:rFonts w:cs="Gotham Light"/>
          <w:b w:val="0"/>
          <w:bCs/>
          <w:szCs w:val="30"/>
        </w:rPr>
      </w:pPr>
      <w:bookmarkStart w:id="64" w:name="_Toc97030951"/>
      <w:r>
        <w:t>13.</w:t>
      </w:r>
      <w:r w:rsidR="006F7E98">
        <w:t>0</w:t>
      </w:r>
      <w:r>
        <w:t xml:space="preserve"> </w:t>
      </w:r>
      <w:r w:rsidR="00E76ED1" w:rsidRPr="000A395D">
        <w:t xml:space="preserve">Article 15: Conditions necessary for participation in cultural, </w:t>
      </w:r>
      <w:proofErr w:type="gramStart"/>
      <w:r w:rsidR="00E76ED1" w:rsidRPr="000A395D">
        <w:t>social</w:t>
      </w:r>
      <w:proofErr w:type="gramEnd"/>
      <w:r w:rsidR="00E76ED1" w:rsidRPr="000A395D">
        <w:t xml:space="preserve"> and economic life</w:t>
      </w:r>
      <w:bookmarkEnd w:id="64"/>
      <w:r w:rsidR="00E76ED1" w:rsidRPr="000A395D">
        <w:t xml:space="preserve"> </w:t>
      </w:r>
    </w:p>
    <w:p w14:paraId="77E23B0C" w14:textId="77777777" w:rsidR="00E76ED1" w:rsidRPr="00E76ED1" w:rsidRDefault="00E76ED1" w:rsidP="00C42A0A">
      <w:pPr>
        <w:pStyle w:val="ListParagraph"/>
        <w:spacing w:line="276" w:lineRule="auto"/>
        <w:ind w:left="851"/>
        <w:rPr>
          <w:rFonts w:ascii="Verdana" w:hAnsi="Verdana" w:cs="Gotham Light"/>
          <w:b/>
          <w:bCs/>
          <w:color w:val="000000"/>
        </w:rPr>
      </w:pPr>
    </w:p>
    <w:p w14:paraId="3D0028FB" w14:textId="77777777" w:rsidR="00E76ED1" w:rsidRPr="008B1ECD" w:rsidRDefault="00E76ED1" w:rsidP="00A16ADD">
      <w:pPr>
        <w:pStyle w:val="Heading2"/>
        <w:rPr>
          <w:rFonts w:cs="Gotham Light"/>
          <w:b w:val="0"/>
          <w:bCs/>
          <w:color w:val="000000"/>
        </w:rPr>
      </w:pPr>
      <w:bookmarkStart w:id="65" w:name="_Toc97030952"/>
      <w:r w:rsidRPr="000A395D">
        <w:rPr>
          <w:szCs w:val="24"/>
        </w:rPr>
        <w:t>Participation in public life</w:t>
      </w:r>
      <w:bookmarkEnd w:id="65"/>
    </w:p>
    <w:p w14:paraId="4A30F522" w14:textId="77777777" w:rsidR="00E76ED1" w:rsidRPr="00E76ED1" w:rsidRDefault="00E76ED1" w:rsidP="00C42A0A">
      <w:pPr>
        <w:pStyle w:val="ListParagraph"/>
        <w:spacing w:line="276" w:lineRule="auto"/>
        <w:ind w:left="851"/>
        <w:rPr>
          <w:rFonts w:ascii="Verdana" w:hAnsi="Verdana" w:cs="Gotham Light"/>
          <w:b/>
          <w:bCs/>
          <w:color w:val="000000"/>
        </w:rPr>
      </w:pPr>
    </w:p>
    <w:p w14:paraId="0A8676EB" w14:textId="638CCA58" w:rsidR="001B52DB" w:rsidRDefault="00442DB1" w:rsidP="00915669">
      <w:pPr>
        <w:pStyle w:val="ListParagraph"/>
        <w:numPr>
          <w:ilvl w:val="1"/>
          <w:numId w:val="25"/>
        </w:numPr>
        <w:spacing w:line="276" w:lineRule="auto"/>
        <w:rPr>
          <w:rFonts w:ascii="Verdana" w:hAnsi="Verdana" w:cs="Gotham Light"/>
          <w:color w:val="000000"/>
        </w:rPr>
      </w:pPr>
      <w:r w:rsidRPr="001B52DB">
        <w:rPr>
          <w:rFonts w:ascii="Verdana" w:hAnsi="Verdana" w:cs="Gotham Light"/>
          <w:color w:val="000000"/>
        </w:rPr>
        <w:t>In 2016, t</w:t>
      </w:r>
      <w:r w:rsidR="00E76ED1" w:rsidRPr="001B52DB">
        <w:rPr>
          <w:rFonts w:ascii="Verdana" w:hAnsi="Verdana" w:cs="Gotham Light"/>
          <w:color w:val="000000"/>
        </w:rPr>
        <w:t xml:space="preserve">he Advisory Committee highlighted </w:t>
      </w:r>
      <w:r w:rsidR="0076544C" w:rsidRPr="001B52DB">
        <w:rPr>
          <w:rFonts w:ascii="Verdana" w:hAnsi="Verdana" w:cs="Gotham Light"/>
          <w:color w:val="000000"/>
        </w:rPr>
        <w:t>the importance of “political participation of minority representatives in relevant decision-making processes” and the need to promote recruitment into</w:t>
      </w:r>
      <w:r w:rsidR="0076544C" w:rsidRPr="0076544C">
        <w:t xml:space="preserve"> </w:t>
      </w:r>
      <w:r w:rsidR="0076544C" w:rsidRPr="001B52DB">
        <w:rPr>
          <w:rFonts w:ascii="Verdana" w:hAnsi="Verdana" w:cs="Gotham Light"/>
          <w:color w:val="000000"/>
        </w:rPr>
        <w:t>public administration, law enforcement and the judiciary as a means to “better respond to their needs and to attest to the government’s openness to diversity in society.”</w:t>
      </w:r>
      <w:r w:rsidR="0076544C">
        <w:rPr>
          <w:rStyle w:val="FootnoteReference"/>
          <w:rFonts w:ascii="Verdana" w:hAnsi="Verdana" w:cs="Gotham Light"/>
          <w:color w:val="000000"/>
        </w:rPr>
        <w:footnoteReference w:id="439"/>
      </w:r>
      <w:r w:rsidR="0076544C" w:rsidRPr="001B52DB">
        <w:rPr>
          <w:rFonts w:ascii="Verdana" w:hAnsi="Verdana" w:cs="Gotham Light"/>
          <w:color w:val="000000"/>
        </w:rPr>
        <w:t xml:space="preserve"> </w:t>
      </w:r>
    </w:p>
    <w:p w14:paraId="2B3B7BEB" w14:textId="77777777" w:rsidR="001B52DB" w:rsidRDefault="001B52DB" w:rsidP="001B52DB">
      <w:pPr>
        <w:pStyle w:val="ListParagraph"/>
        <w:spacing w:line="276" w:lineRule="auto"/>
        <w:rPr>
          <w:rFonts w:ascii="Verdana" w:hAnsi="Verdana" w:cs="Gotham Light"/>
          <w:color w:val="000000"/>
        </w:rPr>
      </w:pPr>
    </w:p>
    <w:p w14:paraId="0AD258F5" w14:textId="77777777" w:rsidR="001B52DB" w:rsidRDefault="00E76ED1" w:rsidP="00915669">
      <w:pPr>
        <w:pStyle w:val="ListParagraph"/>
        <w:numPr>
          <w:ilvl w:val="1"/>
          <w:numId w:val="25"/>
        </w:numPr>
        <w:spacing w:line="276" w:lineRule="auto"/>
        <w:rPr>
          <w:rFonts w:ascii="Verdana" w:hAnsi="Verdana" w:cs="Gotham Light"/>
          <w:color w:val="000000"/>
        </w:rPr>
      </w:pPr>
      <w:r w:rsidRPr="001B52DB">
        <w:rPr>
          <w:rFonts w:ascii="Verdana" w:hAnsi="Verdana" w:cs="Gotham Light"/>
          <w:color w:val="000000"/>
        </w:rPr>
        <w:t xml:space="preserve">The NIHRC notes </w:t>
      </w:r>
      <w:r w:rsidR="0076544C" w:rsidRPr="001B52DB">
        <w:rPr>
          <w:rFonts w:ascii="Verdana" w:hAnsi="Verdana" w:cs="Gotham Light"/>
          <w:color w:val="000000"/>
        </w:rPr>
        <w:t>the continu</w:t>
      </w:r>
      <w:r w:rsidR="00A16ADD" w:rsidRPr="001B52DB">
        <w:rPr>
          <w:rFonts w:ascii="Verdana" w:hAnsi="Verdana" w:cs="Gotham Light"/>
          <w:color w:val="000000"/>
        </w:rPr>
        <w:t>ing</w:t>
      </w:r>
      <w:r w:rsidR="0076544C" w:rsidRPr="001B52DB">
        <w:rPr>
          <w:rFonts w:ascii="Verdana" w:hAnsi="Verdana" w:cs="Gotham Light"/>
          <w:color w:val="000000"/>
        </w:rPr>
        <w:t xml:space="preserve"> </w:t>
      </w:r>
      <w:r w:rsidRPr="001B52DB">
        <w:rPr>
          <w:rFonts w:ascii="Verdana" w:hAnsi="Verdana" w:cs="Gotham Light"/>
          <w:color w:val="000000"/>
        </w:rPr>
        <w:t xml:space="preserve">underrepresentation </w:t>
      </w:r>
      <w:r w:rsidR="0076544C" w:rsidRPr="001B52DB">
        <w:rPr>
          <w:rFonts w:ascii="Verdana" w:hAnsi="Verdana" w:cs="Gotham Light"/>
          <w:color w:val="000000"/>
        </w:rPr>
        <w:t xml:space="preserve">of </w:t>
      </w:r>
      <w:r w:rsidRPr="001B52DB">
        <w:rPr>
          <w:rFonts w:ascii="Verdana" w:hAnsi="Verdana" w:cs="Gotham Light"/>
          <w:color w:val="000000"/>
        </w:rPr>
        <w:t xml:space="preserve">minority ethnic groups in participation in public life. The Executive Office’s most recent annual report on public bodies and public appointments </w:t>
      </w:r>
      <w:r w:rsidR="0076544C" w:rsidRPr="001B52DB">
        <w:rPr>
          <w:rFonts w:ascii="Verdana" w:hAnsi="Verdana" w:cs="Gotham Light"/>
          <w:color w:val="000000"/>
        </w:rPr>
        <w:t>notes that</w:t>
      </w:r>
      <w:r w:rsidRPr="001B52DB">
        <w:rPr>
          <w:rFonts w:ascii="Verdana" w:hAnsi="Verdana" w:cs="Gotham Light"/>
          <w:color w:val="000000"/>
        </w:rPr>
        <w:t xml:space="preserve"> “Of those whose ethnicity is known, five or fewer appointments in 2018/19 were individuals from a minority ethnic group. (The precise figure and percentage cannot be released due to disclosure control.)”</w:t>
      </w:r>
      <w:r w:rsidRPr="00E76ED1">
        <w:rPr>
          <w:vertAlign w:val="superscript"/>
        </w:rPr>
        <w:footnoteReference w:id="440"/>
      </w:r>
      <w:r w:rsidRPr="001B52DB">
        <w:rPr>
          <w:rFonts w:ascii="Verdana" w:hAnsi="Verdana" w:cs="Gotham Light"/>
          <w:color w:val="000000"/>
        </w:rPr>
        <w:t xml:space="preserve"> </w:t>
      </w:r>
    </w:p>
    <w:p w14:paraId="42AB70A4" w14:textId="77777777" w:rsidR="001B52DB" w:rsidRPr="001B52DB" w:rsidRDefault="001B52DB" w:rsidP="001B52DB">
      <w:pPr>
        <w:pStyle w:val="ListParagraph"/>
        <w:rPr>
          <w:rFonts w:ascii="Verdana" w:hAnsi="Verdana" w:cs="Gotham Light"/>
          <w:color w:val="000000"/>
        </w:rPr>
      </w:pPr>
    </w:p>
    <w:p w14:paraId="5E343652" w14:textId="77777777" w:rsidR="001B52DB" w:rsidRDefault="00E76ED1" w:rsidP="00915669">
      <w:pPr>
        <w:pStyle w:val="ListParagraph"/>
        <w:numPr>
          <w:ilvl w:val="1"/>
          <w:numId w:val="25"/>
        </w:numPr>
        <w:spacing w:line="276" w:lineRule="auto"/>
        <w:rPr>
          <w:rFonts w:ascii="Verdana" w:hAnsi="Verdana" w:cs="Gotham Light"/>
          <w:color w:val="000000"/>
        </w:rPr>
      </w:pPr>
      <w:r w:rsidRPr="001B52DB">
        <w:rPr>
          <w:rFonts w:ascii="Verdana" w:hAnsi="Verdana" w:cs="Gotham Light"/>
          <w:color w:val="000000"/>
        </w:rPr>
        <w:t xml:space="preserve">The </w:t>
      </w:r>
      <w:r w:rsidR="0008365A" w:rsidRPr="001B52DB">
        <w:rPr>
          <w:rFonts w:ascii="Verdana" w:hAnsi="Verdana" w:cs="Gotham Light"/>
          <w:color w:val="000000"/>
        </w:rPr>
        <w:t>NI</w:t>
      </w:r>
      <w:r w:rsidRPr="001B52DB">
        <w:rPr>
          <w:rFonts w:ascii="Verdana" w:hAnsi="Verdana" w:cs="Gotham Light"/>
          <w:color w:val="000000"/>
        </w:rPr>
        <w:t xml:space="preserve"> Judicial Appointments Commission’s Equality Monitoring Report 2020 records</w:t>
      </w:r>
      <w:r w:rsidR="0076544C" w:rsidRPr="001B52DB">
        <w:rPr>
          <w:rFonts w:ascii="Verdana" w:hAnsi="Verdana" w:cs="Gotham Light"/>
          <w:color w:val="000000"/>
        </w:rPr>
        <w:t xml:space="preserve"> that</w:t>
      </w:r>
      <w:r w:rsidRPr="001B52DB">
        <w:rPr>
          <w:rFonts w:ascii="Verdana" w:hAnsi="Verdana" w:cs="Gotham Light"/>
          <w:color w:val="000000"/>
        </w:rPr>
        <w:t xml:space="preserve"> minority ethnic representation among Lay Magistrates was 1.6 per cent, while for Tribunal members it was 1.7 per cent. No judicial office holders </w:t>
      </w:r>
      <w:r w:rsidR="0076544C" w:rsidRPr="001B52DB">
        <w:rPr>
          <w:rFonts w:ascii="Verdana" w:hAnsi="Verdana" w:cs="Gotham Light"/>
          <w:color w:val="000000"/>
        </w:rPr>
        <w:t>are</w:t>
      </w:r>
      <w:r w:rsidRPr="001B52DB">
        <w:rPr>
          <w:rFonts w:ascii="Verdana" w:hAnsi="Verdana" w:cs="Gotham Light"/>
          <w:color w:val="000000"/>
        </w:rPr>
        <w:t xml:space="preserve"> from a minority ethnic background.</w:t>
      </w:r>
      <w:r w:rsidRPr="00E76ED1">
        <w:rPr>
          <w:vertAlign w:val="superscript"/>
        </w:rPr>
        <w:footnoteReference w:id="441"/>
      </w:r>
    </w:p>
    <w:p w14:paraId="1414E18D" w14:textId="77777777" w:rsidR="001B52DB" w:rsidRPr="001B52DB" w:rsidRDefault="001B52DB" w:rsidP="001B52DB">
      <w:pPr>
        <w:pStyle w:val="ListParagraph"/>
        <w:rPr>
          <w:rFonts w:ascii="Verdana" w:hAnsi="Verdana" w:cs="Gotham Light"/>
          <w:color w:val="000000"/>
        </w:rPr>
      </w:pPr>
    </w:p>
    <w:p w14:paraId="5948561E" w14:textId="77777777" w:rsidR="001B52DB" w:rsidRDefault="00E76ED1" w:rsidP="00915669">
      <w:pPr>
        <w:pStyle w:val="ListParagraph"/>
        <w:numPr>
          <w:ilvl w:val="1"/>
          <w:numId w:val="25"/>
        </w:numPr>
        <w:spacing w:line="276" w:lineRule="auto"/>
        <w:rPr>
          <w:rFonts w:ascii="Verdana" w:hAnsi="Verdana" w:cs="Gotham Light"/>
          <w:color w:val="000000"/>
        </w:rPr>
      </w:pPr>
      <w:r w:rsidRPr="001B52DB">
        <w:rPr>
          <w:rFonts w:ascii="Verdana" w:hAnsi="Verdana" w:cs="Gotham Light"/>
          <w:color w:val="000000"/>
        </w:rPr>
        <w:t xml:space="preserve">The </w:t>
      </w:r>
      <w:r w:rsidR="0008365A" w:rsidRPr="001B52DB">
        <w:rPr>
          <w:rFonts w:ascii="Verdana" w:hAnsi="Verdana" w:cs="Gotham Light"/>
          <w:color w:val="000000"/>
        </w:rPr>
        <w:t>NI</w:t>
      </w:r>
      <w:r w:rsidRPr="001B52DB">
        <w:rPr>
          <w:rFonts w:ascii="Verdana" w:hAnsi="Verdana" w:cs="Gotham Light"/>
          <w:color w:val="000000"/>
        </w:rPr>
        <w:t xml:space="preserve"> Statistics &amp; Research Agency collects equality statistics on employment within the NI Civil Service and analyses the composition of the service.</w:t>
      </w:r>
      <w:r w:rsidRPr="00E76ED1">
        <w:rPr>
          <w:vertAlign w:val="superscript"/>
        </w:rPr>
        <w:footnoteReference w:id="442"/>
      </w:r>
      <w:r w:rsidRPr="001B52DB">
        <w:rPr>
          <w:rFonts w:ascii="Verdana" w:hAnsi="Verdana" w:cs="Gotham Light"/>
          <w:color w:val="000000"/>
        </w:rPr>
        <w:t xml:space="preserve"> The most recent report is based on 22,883 staff in post on 1 January 2021. Data on ethnicity was missing for 2,497 staff (10.9 per cent), excluding these cases from the analyses, 67 staff (0.3 per cent) were from an ethnic minority. This represents a 0.1 percent increase from the previous monitoring cycle, when it was reported that the proportion from an ethnic minority background was 0.2</w:t>
      </w:r>
      <w:r w:rsidR="00442DB1" w:rsidRPr="001B52DB">
        <w:rPr>
          <w:rFonts w:ascii="Verdana" w:hAnsi="Verdana" w:cs="Gotham Light"/>
          <w:color w:val="000000"/>
        </w:rPr>
        <w:t xml:space="preserve"> per cent</w:t>
      </w:r>
      <w:r w:rsidRPr="001B52DB">
        <w:rPr>
          <w:rFonts w:ascii="Verdana" w:hAnsi="Verdana" w:cs="Gotham Light"/>
          <w:color w:val="000000"/>
        </w:rPr>
        <w:t xml:space="preserve"> in 201</w:t>
      </w:r>
      <w:r w:rsidR="007A19DE" w:rsidRPr="001B52DB">
        <w:rPr>
          <w:rFonts w:ascii="Verdana" w:hAnsi="Verdana" w:cs="Gotham Light"/>
          <w:color w:val="000000"/>
        </w:rPr>
        <w:t>3</w:t>
      </w:r>
      <w:r w:rsidRPr="001B52DB">
        <w:rPr>
          <w:rFonts w:ascii="Verdana" w:hAnsi="Verdana" w:cs="Gotham Light"/>
          <w:color w:val="000000"/>
        </w:rPr>
        <w:t>, equating to 55 staff.</w:t>
      </w:r>
      <w:r w:rsidRPr="00E76ED1">
        <w:rPr>
          <w:vertAlign w:val="superscript"/>
        </w:rPr>
        <w:footnoteReference w:id="443"/>
      </w:r>
      <w:r w:rsidRPr="001B52DB">
        <w:rPr>
          <w:rFonts w:ascii="Verdana" w:hAnsi="Verdana" w:cs="Gotham Light"/>
          <w:color w:val="000000"/>
        </w:rPr>
        <w:t xml:space="preserve"> The Advisory Committee previously raised concerns in relation to the lack of measures in place to support the progression of persons belonging to minorities, such as training for leadership or similar schemes.</w:t>
      </w:r>
      <w:r w:rsidR="009A4033">
        <w:rPr>
          <w:rStyle w:val="FootnoteReference"/>
          <w:rFonts w:ascii="Verdana" w:hAnsi="Verdana" w:cs="Gotham Light"/>
          <w:color w:val="000000"/>
        </w:rPr>
        <w:footnoteReference w:id="444"/>
      </w:r>
      <w:r w:rsidRPr="001B52DB">
        <w:rPr>
          <w:rFonts w:ascii="Verdana" w:hAnsi="Verdana" w:cs="Gotham Light"/>
          <w:color w:val="000000"/>
        </w:rPr>
        <w:t xml:space="preserve"> </w:t>
      </w:r>
    </w:p>
    <w:p w14:paraId="471CA0A1" w14:textId="77777777" w:rsidR="001B52DB" w:rsidRPr="001B52DB" w:rsidRDefault="001B52DB" w:rsidP="001B52DB">
      <w:pPr>
        <w:pStyle w:val="ListParagraph"/>
        <w:rPr>
          <w:rFonts w:ascii="Verdana" w:hAnsi="Verdana" w:cs="Gotham Light"/>
          <w:color w:val="000000"/>
        </w:rPr>
      </w:pPr>
    </w:p>
    <w:p w14:paraId="42AAB2A6" w14:textId="77777777" w:rsidR="001B52DB" w:rsidRDefault="00E76ED1" w:rsidP="00915669">
      <w:pPr>
        <w:pStyle w:val="ListParagraph"/>
        <w:numPr>
          <w:ilvl w:val="1"/>
          <w:numId w:val="25"/>
        </w:numPr>
        <w:spacing w:line="276" w:lineRule="auto"/>
        <w:rPr>
          <w:rFonts w:ascii="Verdana" w:hAnsi="Verdana" w:cs="Gotham Light"/>
          <w:color w:val="000000"/>
        </w:rPr>
      </w:pPr>
      <w:r w:rsidRPr="001B52DB">
        <w:rPr>
          <w:rFonts w:ascii="Verdana" w:hAnsi="Verdana" w:cs="Gotham Light"/>
          <w:color w:val="000000"/>
        </w:rPr>
        <w:t>During the previous reporting cycle, the Committee noted positive efforts by the P</w:t>
      </w:r>
      <w:r w:rsidR="00442DB1" w:rsidRPr="001B52DB">
        <w:rPr>
          <w:rFonts w:ascii="Verdana" w:hAnsi="Verdana" w:cs="Gotham Light"/>
          <w:color w:val="000000"/>
        </w:rPr>
        <w:t xml:space="preserve">olice </w:t>
      </w:r>
      <w:r w:rsidRPr="001B52DB">
        <w:rPr>
          <w:rFonts w:ascii="Verdana" w:hAnsi="Verdana" w:cs="Gotham Light"/>
          <w:color w:val="000000"/>
        </w:rPr>
        <w:t>S</w:t>
      </w:r>
      <w:r w:rsidR="00442DB1" w:rsidRPr="001B52DB">
        <w:rPr>
          <w:rFonts w:ascii="Verdana" w:hAnsi="Verdana" w:cs="Gotham Light"/>
          <w:color w:val="000000"/>
        </w:rPr>
        <w:t xml:space="preserve">ervice of </w:t>
      </w:r>
      <w:r w:rsidRPr="001B52DB">
        <w:rPr>
          <w:rFonts w:ascii="Verdana" w:hAnsi="Verdana" w:cs="Gotham Light"/>
          <w:color w:val="000000"/>
        </w:rPr>
        <w:t>NI to encourage applications from underrepresented groups such as establishing an Ethnic Minority Police Association in its Equality, Diversity and Good Relations Strategy.</w:t>
      </w:r>
      <w:r w:rsidR="009A4033">
        <w:rPr>
          <w:rStyle w:val="FootnoteReference"/>
          <w:rFonts w:ascii="Verdana" w:hAnsi="Verdana" w:cs="Gotham Light"/>
          <w:color w:val="000000"/>
        </w:rPr>
        <w:footnoteReference w:id="445"/>
      </w:r>
      <w:r w:rsidRPr="001B52DB">
        <w:rPr>
          <w:rFonts w:ascii="Verdana" w:hAnsi="Verdana" w:cs="Gotham Light"/>
          <w:color w:val="000000"/>
        </w:rPr>
        <w:t xml:space="preserve"> The most recent statistics show that of 7,020 officers, 66.50</w:t>
      </w:r>
      <w:r w:rsidR="00442DB1" w:rsidRPr="001B52DB">
        <w:rPr>
          <w:rFonts w:ascii="Verdana" w:hAnsi="Verdana" w:cs="Gotham Light"/>
          <w:color w:val="000000"/>
        </w:rPr>
        <w:t xml:space="preserve"> per cent</w:t>
      </w:r>
      <w:r w:rsidRPr="001B52DB">
        <w:rPr>
          <w:rFonts w:ascii="Verdana" w:hAnsi="Verdana" w:cs="Gotham Light"/>
          <w:color w:val="000000"/>
        </w:rPr>
        <w:t xml:space="preserve"> are perceived Protestant, 32.17</w:t>
      </w:r>
      <w:r w:rsidR="00CB6944" w:rsidRPr="001B52DB">
        <w:rPr>
          <w:rFonts w:ascii="Verdana" w:hAnsi="Verdana" w:cs="Gotham Light"/>
          <w:color w:val="000000"/>
        </w:rPr>
        <w:t xml:space="preserve"> </w:t>
      </w:r>
      <w:r w:rsidR="00442DB1" w:rsidRPr="001B52DB">
        <w:rPr>
          <w:rFonts w:ascii="Verdana" w:hAnsi="Verdana" w:cs="Gotham Light"/>
          <w:color w:val="000000"/>
        </w:rPr>
        <w:t>per cent</w:t>
      </w:r>
      <w:r w:rsidRPr="001B52DB">
        <w:rPr>
          <w:rFonts w:ascii="Verdana" w:hAnsi="Verdana" w:cs="Gotham Light"/>
          <w:color w:val="000000"/>
        </w:rPr>
        <w:t xml:space="preserve"> are perceived Catholic and 0.58</w:t>
      </w:r>
      <w:r w:rsidR="00CB6944" w:rsidRPr="001B52DB">
        <w:rPr>
          <w:rFonts w:ascii="Verdana" w:hAnsi="Verdana" w:cs="Gotham Light"/>
          <w:color w:val="000000"/>
        </w:rPr>
        <w:t xml:space="preserve"> </w:t>
      </w:r>
      <w:r w:rsidR="00442DB1" w:rsidRPr="001B52DB">
        <w:rPr>
          <w:rFonts w:ascii="Verdana" w:hAnsi="Verdana" w:cs="Gotham Light"/>
          <w:color w:val="000000"/>
        </w:rPr>
        <w:t>per cent</w:t>
      </w:r>
      <w:r w:rsidRPr="001B52DB">
        <w:rPr>
          <w:rFonts w:ascii="Verdana" w:hAnsi="Verdana" w:cs="Gotham Light"/>
          <w:color w:val="000000"/>
        </w:rPr>
        <w:t xml:space="preserve"> are from an ethnic minority. These figures are relatively consistent with those reported during the previous monitoring cycle in 2016, when 67.28</w:t>
      </w:r>
      <w:r w:rsidR="00CB6944" w:rsidRPr="001B52DB">
        <w:rPr>
          <w:rFonts w:ascii="Verdana" w:hAnsi="Verdana" w:cs="Gotham Light"/>
          <w:color w:val="000000"/>
        </w:rPr>
        <w:t xml:space="preserve"> </w:t>
      </w:r>
      <w:r w:rsidR="00442DB1" w:rsidRPr="001B52DB">
        <w:rPr>
          <w:rFonts w:ascii="Verdana" w:hAnsi="Verdana" w:cs="Gotham Light"/>
          <w:color w:val="000000"/>
        </w:rPr>
        <w:t>per cent</w:t>
      </w:r>
      <w:r w:rsidRPr="001B52DB">
        <w:rPr>
          <w:rFonts w:ascii="Verdana" w:hAnsi="Verdana" w:cs="Gotham Light"/>
          <w:color w:val="000000"/>
        </w:rPr>
        <w:t xml:space="preserve"> were perceived Protestant, 31.16</w:t>
      </w:r>
      <w:r w:rsidR="00CB6944" w:rsidRPr="001B52DB">
        <w:rPr>
          <w:rFonts w:ascii="Verdana" w:hAnsi="Verdana" w:cs="Gotham Light"/>
          <w:color w:val="000000"/>
        </w:rPr>
        <w:t xml:space="preserve"> </w:t>
      </w:r>
      <w:r w:rsidR="00442DB1" w:rsidRPr="001B52DB">
        <w:rPr>
          <w:rFonts w:ascii="Verdana" w:hAnsi="Verdana" w:cs="Gotham Light"/>
          <w:color w:val="000000"/>
        </w:rPr>
        <w:t>per cent</w:t>
      </w:r>
      <w:r w:rsidRPr="001B52DB">
        <w:rPr>
          <w:rFonts w:ascii="Verdana" w:hAnsi="Verdana" w:cs="Gotham Light"/>
          <w:color w:val="000000"/>
        </w:rPr>
        <w:t xml:space="preserve"> were perceived Catholic, and 0.54</w:t>
      </w:r>
      <w:r w:rsidR="00442DB1" w:rsidRPr="001B52DB">
        <w:rPr>
          <w:rFonts w:ascii="Verdana" w:hAnsi="Verdana" w:cs="Gotham Light"/>
          <w:color w:val="000000"/>
        </w:rPr>
        <w:t>per cent</w:t>
      </w:r>
      <w:r w:rsidRPr="001B52DB">
        <w:rPr>
          <w:rFonts w:ascii="Verdana" w:hAnsi="Verdana" w:cs="Gotham Light"/>
          <w:color w:val="000000"/>
        </w:rPr>
        <w:t xml:space="preserve"> officers were from an ethnic minority.  </w:t>
      </w:r>
    </w:p>
    <w:p w14:paraId="29946EC9" w14:textId="77777777" w:rsidR="001B52DB" w:rsidRPr="001B52DB" w:rsidRDefault="001B52DB" w:rsidP="001B52DB">
      <w:pPr>
        <w:pStyle w:val="ListParagraph"/>
        <w:rPr>
          <w:rFonts w:ascii="Verdana" w:hAnsi="Verdana" w:cs="Gotham Light"/>
          <w:b/>
          <w:color w:val="000000" w:themeColor="text1"/>
        </w:rPr>
      </w:pPr>
    </w:p>
    <w:p w14:paraId="73B37ABA" w14:textId="53496B6A" w:rsidR="00E76ED1" w:rsidRPr="001B52DB" w:rsidRDefault="00E76ED1" w:rsidP="00915669">
      <w:pPr>
        <w:pStyle w:val="ListParagraph"/>
        <w:numPr>
          <w:ilvl w:val="1"/>
          <w:numId w:val="25"/>
        </w:numPr>
        <w:spacing w:line="276" w:lineRule="auto"/>
        <w:rPr>
          <w:rFonts w:ascii="Verdana" w:hAnsi="Verdana" w:cs="Gotham Light"/>
          <w:color w:val="000000"/>
        </w:rPr>
      </w:pPr>
      <w:r w:rsidRPr="001B52DB">
        <w:rPr>
          <w:rFonts w:ascii="Verdana" w:hAnsi="Verdana" w:cs="Gotham Light"/>
          <w:b/>
          <w:color w:val="000000" w:themeColor="text1"/>
        </w:rPr>
        <w:t>The Advisory Committee may wish to reaffirm the importance of the representation of ethnic minorities in the public sector and law enforcement and seek further information about specific measures being taken to address under-representation.</w:t>
      </w:r>
    </w:p>
    <w:p w14:paraId="4CF2493C" w14:textId="77777777" w:rsidR="00752EAB" w:rsidRPr="00E464D8" w:rsidRDefault="00752EAB" w:rsidP="00C42A0A">
      <w:pPr>
        <w:pStyle w:val="ListParagraph"/>
        <w:spacing w:line="276" w:lineRule="auto"/>
        <w:ind w:left="851"/>
        <w:rPr>
          <w:rFonts w:ascii="Verdana" w:hAnsi="Verdana" w:cs="Gotham Light"/>
          <w:color w:val="000000"/>
        </w:rPr>
      </w:pPr>
    </w:p>
    <w:p w14:paraId="2E353912" w14:textId="77777777" w:rsidR="00517082" w:rsidRDefault="00517082" w:rsidP="00517082">
      <w:pPr>
        <w:spacing w:line="276" w:lineRule="auto"/>
        <w:rPr>
          <w:rFonts w:ascii="Verdana" w:hAnsi="Verdana" w:cs="Gotham Light"/>
          <w:b/>
          <w:bCs/>
          <w:color w:val="000000"/>
        </w:rPr>
      </w:pPr>
    </w:p>
    <w:p w14:paraId="0B5AFD18" w14:textId="77777777" w:rsidR="00C738F9" w:rsidRPr="00CB637F" w:rsidRDefault="00C738F9" w:rsidP="00517082">
      <w:pPr>
        <w:spacing w:line="276" w:lineRule="auto"/>
        <w:rPr>
          <w:rFonts w:ascii="Verdana" w:hAnsi="Verdana" w:cs="Gotham Light"/>
          <w:b/>
          <w:bCs/>
          <w:color w:val="000000"/>
        </w:rPr>
      </w:pPr>
    </w:p>
    <w:sectPr w:rsidR="00C738F9" w:rsidRPr="00CB637F"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93C4E" w14:textId="77777777" w:rsidR="00637881" w:rsidRDefault="00637881" w:rsidP="00962B2B">
      <w:r>
        <w:separator/>
      </w:r>
    </w:p>
  </w:endnote>
  <w:endnote w:type="continuationSeparator" w:id="0">
    <w:p w14:paraId="21A21059" w14:textId="77777777" w:rsidR="00637881" w:rsidRDefault="00637881" w:rsidP="00962B2B">
      <w:r>
        <w:continuationSeparator/>
      </w:r>
    </w:p>
  </w:endnote>
  <w:endnote w:type="continuationNotice" w:id="1">
    <w:p w14:paraId="54526ED4" w14:textId="77777777" w:rsidR="00637881" w:rsidRDefault="00637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Light">
    <w:altName w:val="Calibri"/>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MinionPro-Regular">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YIUEB V+ Gotham">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Bold">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5F6A" w14:textId="77777777" w:rsidR="00EE18DD" w:rsidRDefault="00EE18DD" w:rsidP="00656ECD">
    <w:pPr>
      <w:pStyle w:val="Footer"/>
      <w:jc w:val="right"/>
      <w:rPr>
        <w:rStyle w:val="PageNumber"/>
        <w:rFonts w:ascii="Arial" w:hAnsi="Arial" w:cs="Arial"/>
        <w:b/>
        <w:sz w:val="16"/>
        <w:szCs w:val="16"/>
      </w:rPr>
    </w:pPr>
  </w:p>
  <w:p w14:paraId="0FBE2341" w14:textId="6992939D" w:rsidR="00EE18DD" w:rsidRPr="007569C1" w:rsidRDefault="00F34C2C"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173BA9">
      <w:rPr>
        <w:rStyle w:val="PageNumber"/>
        <w:rFonts w:ascii="Arial" w:hAnsi="Arial" w:cs="Arial"/>
        <w:b/>
        <w:noProof/>
        <w:color w:val="77328A"/>
        <w:sz w:val="16"/>
        <w:szCs w:val="16"/>
      </w:rPr>
      <w:t>42</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E1C2" w14:textId="77777777" w:rsidR="00EE18DD" w:rsidRDefault="00EE18DD" w:rsidP="00046705">
    <w:pPr>
      <w:pStyle w:val="Footer"/>
      <w:jc w:val="right"/>
      <w:rPr>
        <w:rStyle w:val="PageNumber"/>
        <w:rFonts w:ascii="Arial" w:hAnsi="Arial" w:cs="Arial"/>
        <w:b/>
        <w:sz w:val="16"/>
        <w:szCs w:val="16"/>
      </w:rPr>
    </w:pPr>
  </w:p>
  <w:p w14:paraId="53F3844D" w14:textId="77777777" w:rsidR="00EE18DD" w:rsidRPr="00D12EF8" w:rsidRDefault="00EE18DD"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272E9" w14:textId="77777777" w:rsidR="00637881" w:rsidRPr="00B96D34" w:rsidRDefault="00637881" w:rsidP="007B560E">
      <w:r>
        <w:continuationSeparator/>
      </w:r>
    </w:p>
  </w:footnote>
  <w:footnote w:type="continuationSeparator" w:id="0">
    <w:p w14:paraId="12C51AA7" w14:textId="77777777" w:rsidR="00637881" w:rsidRDefault="00637881" w:rsidP="00962B2B">
      <w:r>
        <w:continuationSeparator/>
      </w:r>
    </w:p>
  </w:footnote>
  <w:footnote w:type="continuationNotice" w:id="1">
    <w:p w14:paraId="39E30744" w14:textId="77777777" w:rsidR="00637881" w:rsidRDefault="00637881"/>
  </w:footnote>
  <w:footnote w:id="2">
    <w:p w14:paraId="7572A2F6" w14:textId="77777777" w:rsidR="00F05A47" w:rsidRPr="004540ED" w:rsidRDefault="00F05A47" w:rsidP="00F05A4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Belfast (Good Friday) Agreement 1998, at para 18.</w:t>
      </w:r>
    </w:p>
  </w:footnote>
  <w:footnote w:id="3">
    <w:p w14:paraId="49E2BC11" w14:textId="77777777" w:rsidR="00F05A47" w:rsidRPr="004540ED" w:rsidRDefault="00F05A47" w:rsidP="00F05A4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UK Government, ‘Information Document on the Implementation of the Recommendations for Immediate Action based on the 5th Monitoring Cycle’ (2021); See also NI Human Rights Commission, ‘Submission to the Committee of Experts on the European Charter for Regional and Minority Languages on the Interim Report of the United Kingdom of Great Britain and Northern Ireland’ (NIHRC, 2021).</w:t>
      </w:r>
    </w:p>
  </w:footnote>
  <w:footnote w:id="4">
    <w:p w14:paraId="1A55A607" w14:textId="77777777" w:rsidR="00F05A47" w:rsidRPr="007117EF" w:rsidRDefault="00F05A47" w:rsidP="00F05A4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Damien Edgar and Eimear Flanagan, ‘DUP:NI First Minister Paul Givan announces resignation’ </w:t>
      </w:r>
      <w:r w:rsidRPr="007117EF">
        <w:rPr>
          <w:rFonts w:ascii="Verdana" w:hAnsi="Verdana"/>
          <w:i/>
          <w:color w:val="77328A"/>
          <w:sz w:val="16"/>
          <w:szCs w:val="16"/>
        </w:rPr>
        <w:t>BBC News NI</w:t>
      </w:r>
      <w:r w:rsidRPr="007117EF">
        <w:rPr>
          <w:rFonts w:ascii="Verdana" w:hAnsi="Verdana"/>
          <w:color w:val="77328A"/>
          <w:sz w:val="16"/>
          <w:szCs w:val="16"/>
        </w:rPr>
        <w:t>, 4 February 2022.</w:t>
      </w:r>
    </w:p>
  </w:footnote>
  <w:footnote w:id="5">
    <w:p w14:paraId="62CF29D1" w14:textId="77777777" w:rsidR="00F05A47" w:rsidRPr="004540ED" w:rsidRDefault="00F05A47" w:rsidP="00F05A4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Jayne McCormack, ‘NI political crisis: MPs pass bill to help prevent future Stormont collapse’ </w:t>
      </w:r>
      <w:r w:rsidRPr="007117EF">
        <w:rPr>
          <w:rFonts w:ascii="Verdana" w:hAnsi="Verdana"/>
          <w:i/>
          <w:color w:val="77328A"/>
          <w:sz w:val="16"/>
          <w:szCs w:val="16"/>
        </w:rPr>
        <w:t>BBC News NI</w:t>
      </w:r>
      <w:r w:rsidRPr="007117EF">
        <w:rPr>
          <w:rFonts w:ascii="Verdana" w:hAnsi="Verdana"/>
          <w:color w:val="77328A"/>
          <w:sz w:val="16"/>
          <w:szCs w:val="16"/>
        </w:rPr>
        <w:t>, 8 February 2022.</w:t>
      </w:r>
    </w:p>
  </w:footnote>
  <w:footnote w:id="6">
    <w:p w14:paraId="40841782" w14:textId="77777777" w:rsidR="00F05A47" w:rsidRPr="007117EF" w:rsidRDefault="00F05A47" w:rsidP="00F05A4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Northern Ireland (Ministers, Elections and Petitions of Concern) Bill contains a provision stating that the Secretary of State cannot call an election for six weeks after the resignation of the First or Deputy First Minister. See also: Christopher Leebody, ‘Northern Ireland Secretary Brandon Lewis rules out early Stormont election’ </w:t>
      </w:r>
      <w:r w:rsidRPr="007117EF">
        <w:rPr>
          <w:rFonts w:ascii="Verdana" w:hAnsi="Verdana"/>
          <w:i/>
          <w:color w:val="77328A"/>
          <w:sz w:val="16"/>
          <w:szCs w:val="16"/>
        </w:rPr>
        <w:t>Belfast Telegraph</w:t>
      </w:r>
      <w:r w:rsidRPr="007117EF">
        <w:rPr>
          <w:rFonts w:ascii="Verdana" w:hAnsi="Verdana"/>
          <w:color w:val="77328A"/>
          <w:sz w:val="16"/>
          <w:szCs w:val="16"/>
        </w:rPr>
        <w:t>, 8 February 2022.</w:t>
      </w:r>
    </w:p>
  </w:footnote>
  <w:footnote w:id="7">
    <w:p w14:paraId="6268F3DF" w14:textId="1946D0D6" w:rsidR="00301DA8" w:rsidRPr="007117EF" w:rsidRDefault="00301DA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823A8" w:rsidRPr="007117EF">
        <w:rPr>
          <w:rFonts w:ascii="Verdana" w:hAnsi="Verdana"/>
          <w:color w:val="77328A"/>
          <w:sz w:val="16"/>
          <w:szCs w:val="16"/>
        </w:rPr>
        <w:t>Jonathan McCambridge and David Young</w:t>
      </w:r>
      <w:r w:rsidR="004B07DE" w:rsidRPr="007117EF">
        <w:rPr>
          <w:rFonts w:ascii="Verdana" w:hAnsi="Verdana"/>
          <w:color w:val="77328A"/>
          <w:sz w:val="16"/>
          <w:szCs w:val="16"/>
        </w:rPr>
        <w:t>, ‘</w:t>
      </w:r>
      <w:r w:rsidR="00BF54E7" w:rsidRPr="007117EF">
        <w:rPr>
          <w:rFonts w:ascii="Verdana" w:hAnsi="Verdana"/>
          <w:color w:val="77328A"/>
          <w:sz w:val="16"/>
          <w:szCs w:val="16"/>
        </w:rPr>
        <w:t>Murphy seeking to bring budget directly to Assembly, says O’Neill’</w:t>
      </w:r>
      <w:r w:rsidR="009823A8" w:rsidRPr="007117EF">
        <w:rPr>
          <w:rFonts w:ascii="Verdana" w:hAnsi="Verdana"/>
          <w:color w:val="77328A"/>
          <w:sz w:val="16"/>
          <w:szCs w:val="16"/>
        </w:rPr>
        <w:t xml:space="preserve"> Belfast Telegraph, 10 February 2022</w:t>
      </w:r>
    </w:p>
  </w:footnote>
  <w:footnote w:id="8">
    <w:p w14:paraId="67451263" w14:textId="3C4BB302" w:rsidR="004B2D8A" w:rsidRPr="007117EF" w:rsidRDefault="004B2D8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GANHRI, ‘Report and Recommendations of the Virtual Session of the Sub-Committee on Accreditation’, October 2021. </w:t>
      </w:r>
    </w:p>
  </w:footnote>
  <w:footnote w:id="9">
    <w:p w14:paraId="2D208E48" w14:textId="511B93FE" w:rsidR="004B2D8A" w:rsidRPr="004540ED" w:rsidRDefault="004B2D8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 at p.29.</w:t>
      </w:r>
    </w:p>
  </w:footnote>
  <w:footnote w:id="10">
    <w:p w14:paraId="19910F85" w14:textId="77777777" w:rsidR="00127191" w:rsidRPr="007117EF" w:rsidRDefault="00127191" w:rsidP="00127191">
      <w:pPr>
        <w:pStyle w:val="FootnoteText"/>
        <w:jc w:val="both"/>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Protocol on Ireland/NI to the Agreement on the Withdrawal of the UK of Great Britain and NI from the EU and the European Atomic Energy Community 2020.</w:t>
      </w:r>
    </w:p>
  </w:footnote>
  <w:footnote w:id="11">
    <w:p w14:paraId="37F14D56" w14:textId="60214548" w:rsidR="005B2E0E" w:rsidRPr="004B4255" w:rsidRDefault="005B2E0E">
      <w:pPr>
        <w:pStyle w:val="FootnoteText"/>
        <w:rPr>
          <w:rFonts w:ascii="Verdana" w:hAnsi="Verdana"/>
          <w:color w:val="77328A"/>
          <w:sz w:val="16"/>
          <w:szCs w:val="16"/>
        </w:rPr>
      </w:pPr>
      <w:r w:rsidRPr="004B4255">
        <w:rPr>
          <w:rStyle w:val="FootnoteReference"/>
          <w:rFonts w:ascii="Verdana" w:hAnsi="Verdana"/>
          <w:color w:val="77328A"/>
          <w:sz w:val="16"/>
          <w:szCs w:val="16"/>
        </w:rPr>
        <w:footnoteRef/>
      </w:r>
      <w:r w:rsidRPr="004B4255">
        <w:rPr>
          <w:rFonts w:ascii="Verdana" w:hAnsi="Verdana"/>
          <w:color w:val="77328A"/>
          <w:sz w:val="16"/>
          <w:szCs w:val="16"/>
        </w:rPr>
        <w:t xml:space="preserve"> These rights include, in particular: the right of free political thought</w:t>
      </w:r>
      <w:r w:rsidR="00B23841" w:rsidRPr="004B4255">
        <w:rPr>
          <w:rFonts w:ascii="Verdana" w:hAnsi="Verdana"/>
          <w:color w:val="77328A"/>
          <w:sz w:val="16"/>
          <w:szCs w:val="16"/>
        </w:rPr>
        <w:t>; t</w:t>
      </w:r>
      <w:r w:rsidRPr="004B4255">
        <w:rPr>
          <w:rFonts w:ascii="Verdana" w:hAnsi="Verdana" w:cs="Gotham Light"/>
          <w:color w:val="77328A"/>
          <w:sz w:val="16"/>
          <w:szCs w:val="16"/>
        </w:rPr>
        <w:t xml:space="preserve">he right to freedom and expression of religion; the right to pursue democratically national and political aspirations; the right to seek constitutional change by peaceful and legitimate means; the right to freely choose one’s place of residence; the right to equal opportunity in all social and economic activity regardless of class, creed, disability, gender or ethnicity; the right to freedom from sectarian harassment; and the right of women to full and equal political participation. </w:t>
      </w:r>
    </w:p>
  </w:footnote>
  <w:footnote w:id="12">
    <w:p w14:paraId="56FC6D81" w14:textId="77777777" w:rsidR="00424ADE" w:rsidRPr="007117EF" w:rsidRDefault="00424ADE" w:rsidP="00424ADE">
      <w:pPr>
        <w:pStyle w:val="Default"/>
        <w:rPr>
          <w:rFonts w:cs="YIUEB V+ Gotham"/>
          <w:color w:val="77328A"/>
          <w:sz w:val="16"/>
          <w:szCs w:val="16"/>
          <w:lang w:val="en-GB"/>
        </w:rPr>
      </w:pPr>
      <w:r w:rsidRPr="007117EF">
        <w:rPr>
          <w:rStyle w:val="FootnoteReference"/>
          <w:color w:val="77328A"/>
          <w:sz w:val="16"/>
          <w:szCs w:val="16"/>
        </w:rPr>
        <w:footnoteRef/>
      </w:r>
      <w:r w:rsidRPr="007117EF">
        <w:rPr>
          <w:color w:val="77328A"/>
          <w:sz w:val="16"/>
          <w:szCs w:val="16"/>
        </w:rPr>
        <w:t xml:space="preserve"> </w:t>
      </w:r>
      <w:r w:rsidRPr="007117EF">
        <w:rPr>
          <w:rFonts w:cs="YIUEB V+ Gotham"/>
          <w:color w:val="77328A"/>
          <w:sz w:val="16"/>
          <w:szCs w:val="16"/>
        </w:rPr>
        <w:t xml:space="preserve">Belfast (Good Friday) Agreement, 10 April 1998, Part 6 on Rights, Safeguards and Equality of Opportunity – Human Rights. </w:t>
      </w:r>
    </w:p>
  </w:footnote>
  <w:footnote w:id="13">
    <w:p w14:paraId="78FC14A3" w14:textId="6AFD3829" w:rsidR="00904A33" w:rsidRPr="007117EF" w:rsidRDefault="00904A3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958CB" w:rsidRPr="007117EF">
        <w:rPr>
          <w:rFonts w:ascii="Verdana" w:hAnsi="Verdana"/>
          <w:color w:val="77328A"/>
          <w:sz w:val="16"/>
          <w:szCs w:val="16"/>
        </w:rPr>
        <w:t xml:space="preserve"> Council Directive 2004/113/EC on Implementing the Principle of Equal Treatment between Men and Women in the access to and supply of goods and Services, 13 December 2004; </w:t>
      </w:r>
      <w:r w:rsidR="00D958CB" w:rsidRPr="007117EF">
        <w:rPr>
          <w:rFonts w:ascii="Verdana" w:hAnsi="Verdana" w:cs="Cambria"/>
          <w:color w:val="77328A"/>
          <w:sz w:val="16"/>
          <w:szCs w:val="16"/>
        </w:rPr>
        <w:t>Directive 2006/54/EC on the Implementation of the Principle of Equal Opportunities and Equal Treatment of Men and Women in Matters of Employment and Occupation, 5 July 2006; Council Directive 2000/43/EC on Implementing the Principle of Equal Treatment between Persons Irrespective of Racial or Ethnic Origin, 29 June 2000; Council Directive 2000/78/EC on Establishing a General Framework for Equal Treatment in Employment and Occupation, 27 November 2000;</w:t>
      </w:r>
      <w:r w:rsidR="008A144B" w:rsidRPr="007117EF">
        <w:rPr>
          <w:rStyle w:val="FootnoteReference"/>
          <w:rFonts w:ascii="Verdana" w:hAnsi="Verdana"/>
          <w:color w:val="77328A"/>
          <w:sz w:val="16"/>
          <w:szCs w:val="16"/>
        </w:rPr>
        <w:t xml:space="preserve"> </w:t>
      </w:r>
      <w:r w:rsidR="008A144B" w:rsidRPr="007117EF">
        <w:rPr>
          <w:rStyle w:val="FootnoteReference"/>
          <w:rFonts w:ascii="Verdana" w:hAnsi="Verdana"/>
          <w:color w:val="77328A"/>
          <w:sz w:val="16"/>
          <w:szCs w:val="16"/>
        </w:rPr>
        <w:footnoteRef/>
      </w:r>
      <w:r w:rsidR="008A144B" w:rsidRPr="007117EF">
        <w:rPr>
          <w:rFonts w:ascii="Verdana" w:hAnsi="Verdana"/>
          <w:color w:val="77328A"/>
          <w:sz w:val="16"/>
          <w:szCs w:val="16"/>
        </w:rPr>
        <w:t xml:space="preserve"> </w:t>
      </w:r>
      <w:r w:rsidR="008A144B" w:rsidRPr="007117EF">
        <w:rPr>
          <w:rFonts w:ascii="Verdana" w:hAnsi="Verdana" w:cs="Cambria"/>
          <w:color w:val="77328A"/>
          <w:sz w:val="16"/>
          <w:szCs w:val="16"/>
        </w:rPr>
        <w:t>Directive 2010/41/EU on the Application of the Principle of Equal Treatment between Men and Women Engaged in an Activity in a Self-employed Capacity, 7 July 2010;</w:t>
      </w:r>
      <w:r w:rsidR="00A96553" w:rsidRPr="007117EF">
        <w:rPr>
          <w:rFonts w:ascii="Verdana" w:hAnsi="Verdana" w:cs="Cambria"/>
          <w:color w:val="77328A"/>
          <w:sz w:val="16"/>
          <w:szCs w:val="16"/>
        </w:rPr>
        <w:t xml:space="preserve"> Directive 2010/41/EU on the Application of the Principle of Equal Treatment between Men and Women Engaged in an Activity in a Self-employed Capacity, 7 July 2010.</w:t>
      </w:r>
    </w:p>
  </w:footnote>
  <w:footnote w:id="14">
    <w:p w14:paraId="79121E25" w14:textId="77777777" w:rsidR="00127191" w:rsidRPr="007117EF" w:rsidRDefault="00127191" w:rsidP="00127191">
      <w:pPr>
        <w:jc w:val="both"/>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Article 13, Protocol on Ireland/Northern Ireland to the UK-EU Withdrawal Agreement 2020.</w:t>
      </w:r>
    </w:p>
  </w:footnote>
  <w:footnote w:id="15">
    <w:p w14:paraId="74F96D80" w14:textId="77777777" w:rsidR="009B22C5" w:rsidRPr="007117EF" w:rsidRDefault="009B22C5" w:rsidP="009B22C5">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UK Government, ‘UK Government commitment to no-diminution of rights, safeguards and equality of opportunity in Northern Ireland’, (NIO, 2020), at para 13.</w:t>
      </w:r>
    </w:p>
  </w:footnote>
  <w:footnote w:id="16">
    <w:p w14:paraId="037911F8" w14:textId="6D6ADDF2" w:rsidR="00127191" w:rsidRPr="007117EF" w:rsidRDefault="00127191" w:rsidP="00127191">
      <w:pPr>
        <w:pStyle w:val="FootnoteText"/>
        <w:jc w:val="both"/>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w:t>
      </w:r>
      <w:r w:rsidR="00937DA0" w:rsidRPr="004540ED">
        <w:rPr>
          <w:rFonts w:ascii="Verdana" w:hAnsi="Verdana"/>
          <w:color w:val="77328A"/>
          <w:sz w:val="16"/>
          <w:szCs w:val="16"/>
        </w:rPr>
        <w:t xml:space="preserve"> </w:t>
      </w:r>
      <w:r w:rsidR="00937DA0" w:rsidRPr="007117EF">
        <w:rPr>
          <w:rStyle w:val="cf01"/>
          <w:rFonts w:ascii="Verdana" w:hAnsi="Verdana"/>
          <w:color w:val="77328A"/>
          <w:sz w:val="16"/>
          <w:szCs w:val="16"/>
        </w:rPr>
        <w:t>Sections 78A-78E Northern Ireland Act 1998.</w:t>
      </w:r>
    </w:p>
  </w:footnote>
  <w:footnote w:id="17">
    <w:p w14:paraId="24B4F4EE" w14:textId="7777777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UK Parliament Hansard, ‘Written Ministerial Statement: Minister of State Hugo Swire MP’, 16 December 2010.</w:t>
      </w:r>
    </w:p>
  </w:footnote>
  <w:footnote w:id="18">
    <w:p w14:paraId="255705D8" w14:textId="2884B4C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Office, ‘New Decade, New Approach’ (NIO, 2020), at para 37</w:t>
      </w:r>
      <w:r w:rsidR="00551FD8" w:rsidRPr="007117EF">
        <w:rPr>
          <w:rFonts w:ascii="Verdana" w:hAnsi="Verdana" w:cs="YIUEB V+ Gotham"/>
          <w:color w:val="77328A"/>
          <w:sz w:val="16"/>
          <w:szCs w:val="16"/>
        </w:rPr>
        <w:t>.</w:t>
      </w:r>
    </w:p>
  </w:footnote>
  <w:footnote w:id="19">
    <w:p w14:paraId="16880231" w14:textId="7777777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Research and Information Service Briefing Note, ‘NI Bill of Rights Survey’, (NI Assembly, 2021).</w:t>
      </w:r>
    </w:p>
  </w:footnote>
  <w:footnote w:id="20">
    <w:p w14:paraId="7AC8D9A7" w14:textId="7777777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Human Rights Commission, ‘Response to the Ad Hoc Committee’s consultation on a Bill of Rights for Northern Ireland’, February 2021.</w:t>
      </w:r>
    </w:p>
  </w:footnote>
  <w:footnote w:id="21">
    <w:p w14:paraId="0652E34B" w14:textId="2907B62F" w:rsidR="00B57333" w:rsidRPr="004540ED"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Human Rights Commission, ‘Briefing note to the Ad Hoc Committee on a Bill of Rights EU Withdrawal and a Bill of Rights’, April 2021</w:t>
      </w:r>
      <w:r w:rsidR="00551FD8" w:rsidRPr="007117EF">
        <w:rPr>
          <w:rFonts w:ascii="Verdana" w:hAnsi="Verdana" w:cs="YIUEB V+ Gotham"/>
          <w:color w:val="77328A"/>
          <w:sz w:val="16"/>
          <w:szCs w:val="16"/>
        </w:rPr>
        <w:t>.</w:t>
      </w:r>
    </w:p>
  </w:footnote>
  <w:footnote w:id="22">
    <w:p w14:paraId="34E65F08" w14:textId="7777777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Office, ‘New Decade, New Approach’ (NIO, 2020), at para 5.26.</w:t>
      </w:r>
    </w:p>
  </w:footnote>
  <w:footnote w:id="23">
    <w:p w14:paraId="04D884E2" w14:textId="7777777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Sinn Féin, ‘Press Release: Human Rights expert being blocked by DUP from Bill of Rights Panel – Sheerin’, 4 November 2021.</w:t>
      </w:r>
    </w:p>
  </w:footnote>
  <w:footnote w:id="24">
    <w:p w14:paraId="016E96D1" w14:textId="77777777" w:rsidR="00B57333" w:rsidRPr="007117EF" w:rsidRDefault="00B57333" w:rsidP="00B57333">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Assembly, Ad Hoc Committee on a Bill of Rights, Meeting of 25 November 2021. Available at: https://niassembly.tv/ad-hoc-committee-on-a-bill-of-rights-meeting-thursday-25-november-2021/.</w:t>
      </w:r>
    </w:p>
  </w:footnote>
  <w:footnote w:id="25">
    <w:p w14:paraId="0F0ECFC8" w14:textId="4A526AAA" w:rsidR="00B272AE" w:rsidRPr="007117EF" w:rsidRDefault="00B272AE">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Assembly, ‘Report of the Ad Hoc Committee on a Bill of Rights’, 15 February 2022, at </w:t>
      </w:r>
      <w:r w:rsidR="00630F7C" w:rsidRPr="007117EF">
        <w:rPr>
          <w:rFonts w:ascii="Verdana" w:hAnsi="Verdana"/>
          <w:color w:val="77328A"/>
          <w:sz w:val="16"/>
          <w:szCs w:val="16"/>
        </w:rPr>
        <w:t>para</w:t>
      </w:r>
      <w:r w:rsidRPr="007117EF">
        <w:rPr>
          <w:rFonts w:ascii="Verdana" w:hAnsi="Verdana"/>
          <w:color w:val="77328A"/>
          <w:sz w:val="16"/>
          <w:szCs w:val="16"/>
        </w:rPr>
        <w:t xml:space="preserve"> 8</w:t>
      </w:r>
      <w:r w:rsidR="00630F7C" w:rsidRPr="007117EF">
        <w:rPr>
          <w:rFonts w:ascii="Verdana" w:hAnsi="Verdana"/>
          <w:color w:val="77328A"/>
          <w:sz w:val="16"/>
          <w:szCs w:val="16"/>
        </w:rPr>
        <w:t>.</w:t>
      </w:r>
      <w:r w:rsidRPr="007117EF">
        <w:rPr>
          <w:rFonts w:ascii="Verdana" w:hAnsi="Verdana"/>
          <w:color w:val="77328A"/>
          <w:sz w:val="16"/>
          <w:szCs w:val="16"/>
        </w:rPr>
        <w:t xml:space="preserve">  </w:t>
      </w:r>
    </w:p>
  </w:footnote>
  <w:footnote w:id="26">
    <w:p w14:paraId="179EC697" w14:textId="3593ECDB" w:rsidR="00011D5D" w:rsidRPr="007117EF" w:rsidRDefault="00011D5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UK Government, ‘Independent Human Rights Act </w:t>
      </w:r>
      <w:r w:rsidRPr="003F6938">
        <w:rPr>
          <w:rFonts w:ascii="Verdana" w:hAnsi="Verdana"/>
          <w:color w:val="77328A"/>
          <w:sz w:val="16"/>
          <w:szCs w:val="16"/>
        </w:rPr>
        <w:t>Review’ Ministry of Justice</w:t>
      </w:r>
      <w:r w:rsidRPr="007117EF">
        <w:rPr>
          <w:rFonts w:ascii="Verdana" w:hAnsi="Verdana"/>
          <w:color w:val="77328A"/>
          <w:sz w:val="16"/>
          <w:szCs w:val="16"/>
        </w:rPr>
        <w:t>, 14 December 2021</w:t>
      </w:r>
      <w:r w:rsidR="00630F7C" w:rsidRPr="007117EF">
        <w:rPr>
          <w:rFonts w:ascii="Verdana" w:hAnsi="Verdana"/>
          <w:color w:val="77328A"/>
          <w:sz w:val="16"/>
          <w:szCs w:val="16"/>
        </w:rPr>
        <w:t>.</w:t>
      </w:r>
    </w:p>
  </w:footnote>
  <w:footnote w:id="27">
    <w:p w14:paraId="1B2E96CB" w14:textId="17C0C486" w:rsidR="00011D5D" w:rsidRPr="007117EF" w:rsidRDefault="00011D5D" w:rsidP="00011D5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UK Government, ‘Open consultation Human Rights Act Reform: A Modern Bill of Rights’ Ministry of Justice, 14 December 2021</w:t>
      </w:r>
      <w:r w:rsidR="00630F7C" w:rsidRPr="007117EF">
        <w:rPr>
          <w:rFonts w:ascii="Verdana" w:hAnsi="Verdana"/>
          <w:color w:val="77328A"/>
          <w:sz w:val="16"/>
          <w:szCs w:val="16"/>
        </w:rPr>
        <w:t>.</w:t>
      </w:r>
    </w:p>
  </w:footnote>
  <w:footnote w:id="28">
    <w:p w14:paraId="1BCE15D3" w14:textId="2A0F063E" w:rsidR="00F8487A" w:rsidRPr="00B06775" w:rsidRDefault="00F8487A">
      <w:pPr>
        <w:pStyle w:val="FootnoteText"/>
        <w:rPr>
          <w:rFonts w:ascii="Verdana" w:hAnsi="Verdana"/>
          <w:sz w:val="16"/>
          <w:szCs w:val="16"/>
        </w:rPr>
      </w:pPr>
      <w:r w:rsidRPr="003F6938">
        <w:rPr>
          <w:rStyle w:val="FootnoteReference"/>
          <w:rFonts w:ascii="Verdana" w:hAnsi="Verdana"/>
          <w:color w:val="77328A"/>
          <w:sz w:val="16"/>
          <w:szCs w:val="16"/>
        </w:rPr>
        <w:footnoteRef/>
      </w:r>
      <w:r w:rsidRPr="003F6938">
        <w:rPr>
          <w:rFonts w:ascii="Verdana" w:hAnsi="Verdana"/>
          <w:color w:val="77328A"/>
          <w:sz w:val="16"/>
          <w:szCs w:val="16"/>
        </w:rPr>
        <w:t xml:space="preserve"> The Belfast (Good Friday) Agreement 1998</w:t>
      </w:r>
      <w:r w:rsidR="009F3852" w:rsidRPr="003F6938">
        <w:rPr>
          <w:rFonts w:ascii="Verdana" w:hAnsi="Verdana"/>
          <w:color w:val="77328A"/>
          <w:sz w:val="16"/>
          <w:szCs w:val="16"/>
        </w:rPr>
        <w:t xml:space="preserve"> at</w:t>
      </w:r>
      <w:r w:rsidR="001F1E2C" w:rsidRPr="003F6938">
        <w:rPr>
          <w:rFonts w:ascii="Verdana" w:hAnsi="Verdana"/>
          <w:color w:val="77328A"/>
          <w:sz w:val="16"/>
          <w:szCs w:val="16"/>
        </w:rPr>
        <w:t xml:space="preserve"> Annex 1</w:t>
      </w:r>
      <w:r w:rsidRPr="003F6938">
        <w:rPr>
          <w:rFonts w:ascii="Verdana" w:hAnsi="Verdana"/>
          <w:color w:val="77328A"/>
          <w:sz w:val="16"/>
          <w:szCs w:val="16"/>
        </w:rPr>
        <w:t xml:space="preserve"> provides that the UK Government must incorporate the ECHR into NI law, “with direct access to the courts, and remedies for breach of the Convention, including power for the courts to overrule [NI] Assembly legislation on grounds of inconsistency”.  Th</w:t>
      </w:r>
      <w:r w:rsidR="00160430" w:rsidRPr="003F6938">
        <w:rPr>
          <w:rFonts w:ascii="Verdana" w:hAnsi="Verdana"/>
          <w:color w:val="77328A"/>
          <w:sz w:val="16"/>
          <w:szCs w:val="16"/>
        </w:rPr>
        <w:t>e</w:t>
      </w:r>
      <w:r w:rsidRPr="003F6938">
        <w:rPr>
          <w:rFonts w:ascii="Verdana" w:hAnsi="Verdana"/>
          <w:color w:val="77328A"/>
          <w:sz w:val="16"/>
          <w:szCs w:val="16"/>
        </w:rPr>
        <w:t xml:space="preserve"> St Andrews Agreement 2006</w:t>
      </w:r>
      <w:r w:rsidR="00FE5A1A" w:rsidRPr="003F6938">
        <w:rPr>
          <w:rFonts w:ascii="Verdana" w:hAnsi="Verdana"/>
          <w:color w:val="77328A"/>
          <w:sz w:val="16"/>
          <w:szCs w:val="16"/>
        </w:rPr>
        <w:t>, at para 3</w:t>
      </w:r>
      <w:r w:rsidR="009F3852" w:rsidRPr="003F6938">
        <w:rPr>
          <w:rFonts w:ascii="Verdana" w:hAnsi="Verdana"/>
          <w:color w:val="77328A"/>
          <w:sz w:val="16"/>
          <w:szCs w:val="16"/>
        </w:rPr>
        <w:t>,</w:t>
      </w:r>
      <w:r w:rsidRPr="003F6938">
        <w:rPr>
          <w:rFonts w:ascii="Verdana" w:hAnsi="Verdana"/>
          <w:color w:val="77328A"/>
          <w:sz w:val="16"/>
          <w:szCs w:val="16"/>
        </w:rPr>
        <w:t xml:space="preserve"> reaffirmed that human rights and equality are at the heart of the new dispensation in NI</w:t>
      </w:r>
      <w:r w:rsidR="00D6385C" w:rsidRPr="003F6938">
        <w:rPr>
          <w:rFonts w:ascii="Verdana" w:hAnsi="Verdana"/>
          <w:color w:val="77328A"/>
          <w:sz w:val="16"/>
          <w:szCs w:val="16"/>
        </w:rPr>
        <w:t>.</w:t>
      </w:r>
      <w:r w:rsidRPr="003F6938">
        <w:rPr>
          <w:rFonts w:ascii="Verdana" w:hAnsi="Verdana"/>
          <w:color w:val="77328A"/>
          <w:sz w:val="16"/>
          <w:szCs w:val="16"/>
        </w:rPr>
        <w:t xml:space="preserve"> </w:t>
      </w:r>
      <w:r w:rsidR="00D6385C" w:rsidRPr="003F6938">
        <w:rPr>
          <w:rFonts w:ascii="Verdana" w:hAnsi="Verdana"/>
          <w:color w:val="77328A"/>
          <w:sz w:val="16"/>
          <w:szCs w:val="16"/>
        </w:rPr>
        <w:t>T</w:t>
      </w:r>
      <w:r w:rsidRPr="003F6938">
        <w:rPr>
          <w:rFonts w:ascii="Verdana" w:hAnsi="Verdana"/>
          <w:color w:val="77328A"/>
          <w:sz w:val="16"/>
          <w:szCs w:val="16"/>
        </w:rPr>
        <w:t>he Stormont House Agreement 2014</w:t>
      </w:r>
      <w:r w:rsidR="00C03C94" w:rsidRPr="003F6938">
        <w:rPr>
          <w:rFonts w:ascii="Verdana" w:hAnsi="Verdana"/>
          <w:color w:val="77328A"/>
          <w:sz w:val="16"/>
          <w:szCs w:val="16"/>
        </w:rPr>
        <w:t>,</w:t>
      </w:r>
      <w:r w:rsidRPr="003F6938">
        <w:rPr>
          <w:rFonts w:ascii="Verdana" w:hAnsi="Verdana"/>
          <w:color w:val="77328A"/>
          <w:sz w:val="16"/>
          <w:szCs w:val="16"/>
        </w:rPr>
        <w:t xml:space="preserve"> </w:t>
      </w:r>
      <w:r w:rsidR="00E2344A" w:rsidRPr="003F6938">
        <w:rPr>
          <w:rFonts w:ascii="Verdana" w:hAnsi="Verdana"/>
          <w:color w:val="77328A"/>
          <w:sz w:val="16"/>
          <w:szCs w:val="16"/>
        </w:rPr>
        <w:t>at para</w:t>
      </w:r>
      <w:r w:rsidR="005F281D" w:rsidRPr="003F6938">
        <w:rPr>
          <w:rFonts w:ascii="Verdana" w:hAnsi="Verdana"/>
          <w:color w:val="77328A"/>
          <w:sz w:val="16"/>
          <w:szCs w:val="16"/>
        </w:rPr>
        <w:t xml:space="preserve"> </w:t>
      </w:r>
      <w:r w:rsidR="006C3A28" w:rsidRPr="003F6938">
        <w:rPr>
          <w:rFonts w:ascii="Verdana" w:hAnsi="Verdana"/>
          <w:color w:val="77328A"/>
          <w:sz w:val="16"/>
          <w:szCs w:val="16"/>
        </w:rPr>
        <w:t>19 and 31</w:t>
      </w:r>
      <w:r w:rsidR="00C03C94" w:rsidRPr="003F6938">
        <w:rPr>
          <w:rFonts w:ascii="Verdana" w:hAnsi="Verdana"/>
          <w:color w:val="77328A"/>
          <w:sz w:val="16"/>
          <w:szCs w:val="16"/>
        </w:rPr>
        <w:t xml:space="preserve">, </w:t>
      </w:r>
      <w:r w:rsidRPr="003F6938">
        <w:rPr>
          <w:rFonts w:ascii="Verdana" w:hAnsi="Verdana"/>
          <w:color w:val="77328A"/>
          <w:sz w:val="16"/>
          <w:szCs w:val="16"/>
        </w:rPr>
        <w:t xml:space="preserve">confirmed that future measures on parades and inquests will comply with the ECHR.  </w:t>
      </w:r>
      <w:r w:rsidR="009F1814" w:rsidRPr="003F6938">
        <w:rPr>
          <w:rFonts w:ascii="Verdana" w:hAnsi="Verdana"/>
          <w:color w:val="77328A"/>
          <w:sz w:val="16"/>
          <w:szCs w:val="16"/>
        </w:rPr>
        <w:t>In</w:t>
      </w:r>
      <w:r w:rsidRPr="003F6938">
        <w:rPr>
          <w:rFonts w:ascii="Verdana" w:hAnsi="Verdana"/>
          <w:color w:val="77328A"/>
          <w:sz w:val="16"/>
          <w:szCs w:val="16"/>
        </w:rPr>
        <w:t xml:space="preserve"> New Decade, New Approach </w:t>
      </w:r>
      <w:r w:rsidR="00CB2BBD" w:rsidRPr="003F6938">
        <w:rPr>
          <w:rFonts w:ascii="Verdana" w:hAnsi="Verdana"/>
          <w:color w:val="77328A"/>
          <w:sz w:val="16"/>
          <w:szCs w:val="16"/>
        </w:rPr>
        <w:t>at Annex D</w:t>
      </w:r>
      <w:r w:rsidR="002D33D9" w:rsidRPr="003F6938">
        <w:rPr>
          <w:rFonts w:ascii="Verdana" w:hAnsi="Verdana"/>
          <w:color w:val="77328A"/>
          <w:sz w:val="16"/>
          <w:szCs w:val="16"/>
        </w:rPr>
        <w:t xml:space="preserve">, </w:t>
      </w:r>
      <w:proofErr w:type="gramStart"/>
      <w:r w:rsidR="002D33D9" w:rsidRPr="003F6938">
        <w:rPr>
          <w:rFonts w:ascii="Verdana" w:hAnsi="Verdana"/>
          <w:color w:val="77328A"/>
          <w:sz w:val="16"/>
          <w:szCs w:val="16"/>
        </w:rPr>
        <w:t>in order</w:t>
      </w:r>
      <w:r w:rsidRPr="003F6938">
        <w:rPr>
          <w:rFonts w:ascii="Verdana" w:hAnsi="Verdana"/>
          <w:color w:val="77328A"/>
          <w:sz w:val="16"/>
          <w:szCs w:val="16"/>
        </w:rPr>
        <w:t xml:space="preserve"> to</w:t>
      </w:r>
      <w:proofErr w:type="gramEnd"/>
      <w:r w:rsidRPr="003F6938">
        <w:rPr>
          <w:rFonts w:ascii="Verdana" w:hAnsi="Verdana"/>
          <w:color w:val="77328A"/>
          <w:sz w:val="16"/>
          <w:szCs w:val="16"/>
        </w:rPr>
        <w:t xml:space="preserve"> restore the devolved </w:t>
      </w:r>
      <w:r w:rsidR="003F6938" w:rsidRPr="003F6938">
        <w:rPr>
          <w:rFonts w:ascii="Verdana" w:hAnsi="Verdana"/>
          <w:color w:val="77328A"/>
          <w:sz w:val="16"/>
          <w:szCs w:val="16"/>
        </w:rPr>
        <w:t>government,</w:t>
      </w:r>
      <w:r w:rsidRPr="003F6938">
        <w:rPr>
          <w:rFonts w:ascii="Verdana" w:hAnsi="Verdana"/>
          <w:color w:val="77328A"/>
          <w:sz w:val="16"/>
          <w:szCs w:val="16"/>
        </w:rPr>
        <w:t xml:space="preserve"> the NI parties acknowledged, “the importance of promoting and protecting the rights and identity of individuals and are agreed that the Executive should seek to build a society that reflects the best international standards of human rights”.</w:t>
      </w:r>
    </w:p>
  </w:footnote>
  <w:footnote w:id="29">
    <w:p w14:paraId="4694C675" w14:textId="77777777" w:rsidR="002E430D" w:rsidRPr="004540ED" w:rsidRDefault="002E430D" w:rsidP="002E430D">
      <w:pPr>
        <w:pStyle w:val="FootnoteText"/>
        <w:rPr>
          <w:rFonts w:ascii="Verdana" w:hAnsi="Verdana" w:cstheme="minorHAnsi"/>
          <w:color w:val="77328A"/>
          <w:sz w:val="16"/>
          <w:szCs w:val="16"/>
        </w:rPr>
      </w:pPr>
      <w:r w:rsidRPr="007117EF">
        <w:rPr>
          <w:rStyle w:val="FootnoteReference"/>
          <w:rFonts w:ascii="Verdana" w:hAnsi="Verdana" w:cstheme="minorHAnsi"/>
          <w:color w:val="77328A"/>
          <w:sz w:val="16"/>
          <w:szCs w:val="16"/>
        </w:rPr>
        <w:footnoteRef/>
      </w:r>
      <w:r w:rsidRPr="007117EF">
        <w:rPr>
          <w:rFonts w:ascii="Verdana" w:hAnsi="Verdana" w:cstheme="minorHAnsi"/>
          <w:color w:val="77328A"/>
          <w:sz w:val="16"/>
          <w:szCs w:val="16"/>
        </w:rPr>
        <w:t xml:space="preserve"> NI Office, ‘UK Government Commitment to “No Diminution of Rights, Safeguards and Equality of Opportunity” in Northern Ireland: What does it Mean and How will it be Implemented?’ (NIO, 2020), at para 3.</w:t>
      </w:r>
    </w:p>
  </w:footnote>
  <w:footnote w:id="30">
    <w:p w14:paraId="51B1A20A" w14:textId="14ED9444" w:rsidR="001B361D" w:rsidRPr="007117EF" w:rsidRDefault="001B361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‘Submission to the Independent Human Rights Act Review Team’s Call for Evidence’ (NIHRC, 2021</w:t>
      </w:r>
      <w:r w:rsidR="00E5776D" w:rsidRPr="007117EF">
        <w:rPr>
          <w:rFonts w:ascii="Verdana" w:hAnsi="Verdana"/>
          <w:color w:val="77328A"/>
          <w:sz w:val="16"/>
          <w:szCs w:val="16"/>
        </w:rPr>
        <w:t>).</w:t>
      </w:r>
    </w:p>
  </w:footnote>
  <w:footnote w:id="31">
    <w:p w14:paraId="19F4FDDF" w14:textId="77777777"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ACFC/</w:t>
      </w:r>
      <w:proofErr w:type="gramStart"/>
      <w:r w:rsidRPr="007117EF">
        <w:rPr>
          <w:rFonts w:ascii="Verdana" w:hAnsi="Verdana"/>
          <w:color w:val="77328A"/>
          <w:sz w:val="16"/>
          <w:szCs w:val="16"/>
        </w:rPr>
        <w:t>SR(</w:t>
      </w:r>
      <w:proofErr w:type="gramEnd"/>
      <w:r w:rsidRPr="007117EF">
        <w:rPr>
          <w:rFonts w:ascii="Verdana" w:hAnsi="Verdana"/>
          <w:color w:val="77328A"/>
          <w:sz w:val="16"/>
          <w:szCs w:val="16"/>
        </w:rPr>
        <w:t>1999)013, ‘Report submitted by the United Kingdom on the Framework Convention for the Protection of National Minorities’, 26 July 1999, at para 3.</w:t>
      </w:r>
    </w:p>
  </w:footnote>
  <w:footnote w:id="32">
    <w:p w14:paraId="66BC0CE1" w14:textId="42E81533"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630F7C" w:rsidRPr="007117EF">
        <w:rPr>
          <w:rFonts w:ascii="Verdana" w:hAnsi="Verdana"/>
          <w:color w:val="77328A"/>
          <w:sz w:val="16"/>
          <w:szCs w:val="16"/>
        </w:rPr>
        <w:t xml:space="preserve"> Ibid.</w:t>
      </w:r>
    </w:p>
  </w:footnote>
  <w:footnote w:id="33">
    <w:p w14:paraId="57470EC5" w14:textId="77777777"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ACFC/SR/</w:t>
      </w:r>
      <w:proofErr w:type="gramStart"/>
      <w:r w:rsidRPr="007117EF">
        <w:rPr>
          <w:rFonts w:ascii="Verdana" w:hAnsi="Verdana"/>
          <w:color w:val="77328A"/>
          <w:sz w:val="16"/>
          <w:szCs w:val="16"/>
        </w:rPr>
        <w:t>IV(</w:t>
      </w:r>
      <w:proofErr w:type="gramEnd"/>
      <w:r w:rsidRPr="007117EF">
        <w:rPr>
          <w:rFonts w:ascii="Verdana" w:hAnsi="Verdana"/>
          <w:color w:val="77328A"/>
          <w:sz w:val="16"/>
          <w:szCs w:val="16"/>
        </w:rPr>
        <w:t>2015)004 rev, ‘Fourth Report Submitted by the United Kingdom on the Framework Convention for the Protection of National Minorities’, 26 March 2015, at para 1.</w:t>
      </w:r>
    </w:p>
  </w:footnote>
  <w:footnote w:id="34">
    <w:p w14:paraId="3DFBC1DA" w14:textId="031F44D0"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Office of the First Minister and Deputy First Minister, ‘Racial Equality Strategy 2015-2025’ (OFMdFM, 2015</w:t>
      </w:r>
      <w:r w:rsidR="00A93FF3" w:rsidRPr="007117EF">
        <w:rPr>
          <w:rFonts w:ascii="Verdana" w:hAnsi="Verdana"/>
          <w:color w:val="77328A"/>
          <w:sz w:val="16"/>
          <w:szCs w:val="16"/>
        </w:rPr>
        <w:t>).</w:t>
      </w:r>
    </w:p>
  </w:footnote>
  <w:footnote w:id="35">
    <w:p w14:paraId="7E4898F7" w14:textId="4CAAC67D"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073D0" w:rsidRPr="007117EF">
        <w:rPr>
          <w:rFonts w:ascii="Verdana" w:hAnsi="Verdana"/>
          <w:color w:val="77328A"/>
          <w:sz w:val="16"/>
          <w:szCs w:val="16"/>
        </w:rPr>
        <w:t>Meeting between</w:t>
      </w:r>
      <w:r w:rsidRPr="007117EF">
        <w:rPr>
          <w:rFonts w:ascii="Verdana" w:hAnsi="Verdana"/>
          <w:color w:val="77328A"/>
          <w:sz w:val="16"/>
          <w:szCs w:val="16"/>
        </w:rPr>
        <w:t xml:space="preserve"> the Executive Office </w:t>
      </w:r>
      <w:r w:rsidR="00316F29" w:rsidRPr="007117EF">
        <w:rPr>
          <w:rFonts w:ascii="Verdana" w:hAnsi="Verdana"/>
          <w:color w:val="77328A"/>
          <w:sz w:val="16"/>
          <w:szCs w:val="16"/>
        </w:rPr>
        <w:t xml:space="preserve">and </w:t>
      </w:r>
      <w:r w:rsidRPr="007117EF">
        <w:rPr>
          <w:rFonts w:ascii="Verdana" w:hAnsi="Verdana"/>
          <w:color w:val="77328A"/>
          <w:sz w:val="16"/>
          <w:szCs w:val="16"/>
        </w:rPr>
        <w:t xml:space="preserve">the NI Human Rights Commission, </w:t>
      </w:r>
      <w:r w:rsidR="00D073D0" w:rsidRPr="007117EF">
        <w:rPr>
          <w:rFonts w:ascii="Verdana" w:hAnsi="Verdana"/>
          <w:color w:val="77328A"/>
          <w:sz w:val="16"/>
          <w:szCs w:val="16"/>
        </w:rPr>
        <w:t xml:space="preserve">February </w:t>
      </w:r>
      <w:r w:rsidRPr="007117EF">
        <w:rPr>
          <w:rFonts w:ascii="Verdana" w:hAnsi="Verdana"/>
          <w:color w:val="77328A"/>
          <w:sz w:val="16"/>
          <w:szCs w:val="16"/>
        </w:rPr>
        <w:t>202</w:t>
      </w:r>
      <w:r w:rsidR="00D073D0" w:rsidRPr="007117EF">
        <w:rPr>
          <w:rFonts w:ascii="Verdana" w:hAnsi="Verdana"/>
          <w:color w:val="77328A"/>
          <w:sz w:val="16"/>
          <w:szCs w:val="16"/>
        </w:rPr>
        <w:t>2</w:t>
      </w:r>
      <w:r w:rsidR="00A93FF3" w:rsidRPr="007117EF">
        <w:rPr>
          <w:rFonts w:ascii="Verdana" w:hAnsi="Verdana"/>
          <w:color w:val="77328A"/>
          <w:sz w:val="16"/>
          <w:szCs w:val="16"/>
        </w:rPr>
        <w:t>.</w:t>
      </w:r>
    </w:p>
  </w:footnote>
  <w:footnote w:id="36">
    <w:p w14:paraId="7923B76D" w14:textId="77777777"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Annex A’ (NIO, 2020), at para 24.</w:t>
      </w:r>
    </w:p>
  </w:footnote>
  <w:footnote w:id="37">
    <w:p w14:paraId="5E091AA6" w14:textId="77777777" w:rsidR="00B27AF8" w:rsidRPr="002617D5" w:rsidRDefault="00B27AF8" w:rsidP="00B27AF8">
      <w:pPr>
        <w:pStyle w:val="FootnoteText"/>
        <w:rPr>
          <w:rFonts w:ascii="Verdana" w:hAnsi="Verdana"/>
          <w:color w:val="77328A"/>
          <w:sz w:val="16"/>
          <w:szCs w:val="16"/>
        </w:rPr>
      </w:pPr>
      <w:r w:rsidRPr="002617D5">
        <w:rPr>
          <w:rStyle w:val="FootnoteReference"/>
          <w:rFonts w:ascii="Verdana" w:hAnsi="Verdana"/>
          <w:color w:val="77328A"/>
          <w:sz w:val="16"/>
          <w:szCs w:val="16"/>
        </w:rPr>
        <w:footnoteRef/>
      </w:r>
      <w:r w:rsidRPr="002617D5">
        <w:rPr>
          <w:rFonts w:ascii="Verdana" w:hAnsi="Verdana"/>
          <w:color w:val="77328A"/>
          <w:sz w:val="16"/>
          <w:szCs w:val="16"/>
        </w:rPr>
        <w:t xml:space="preserve"> Email correspondence from the Northern Ireland Office to NI Human Rights Commission,</w:t>
      </w:r>
      <w:r>
        <w:rPr>
          <w:rFonts w:ascii="Verdana" w:hAnsi="Verdana"/>
          <w:color w:val="77328A"/>
          <w:sz w:val="16"/>
          <w:szCs w:val="16"/>
        </w:rPr>
        <w:t xml:space="preserve"> 24</w:t>
      </w:r>
      <w:r w:rsidRPr="002617D5">
        <w:rPr>
          <w:rFonts w:ascii="Verdana" w:hAnsi="Verdana"/>
          <w:color w:val="77328A"/>
          <w:sz w:val="16"/>
          <w:szCs w:val="16"/>
        </w:rPr>
        <w:t xml:space="preserve"> February 2022.</w:t>
      </w:r>
    </w:p>
  </w:footnote>
  <w:footnote w:id="38">
    <w:p w14:paraId="1E5028C6" w14:textId="77777777" w:rsidR="00B27AF8" w:rsidRDefault="00B27AF8" w:rsidP="00B27AF8">
      <w:pPr>
        <w:pStyle w:val="FootnoteText"/>
      </w:pPr>
      <w:r w:rsidRPr="002617D5">
        <w:rPr>
          <w:rStyle w:val="FootnoteReference"/>
          <w:rFonts w:ascii="Verdana" w:hAnsi="Verdana"/>
          <w:color w:val="77328A"/>
          <w:sz w:val="16"/>
          <w:szCs w:val="16"/>
        </w:rPr>
        <w:footnoteRef/>
      </w:r>
      <w:r w:rsidRPr="002617D5">
        <w:rPr>
          <w:rFonts w:ascii="Verdana" w:hAnsi="Verdana"/>
          <w:color w:val="77328A"/>
          <w:sz w:val="16"/>
          <w:szCs w:val="16"/>
        </w:rPr>
        <w:t xml:space="preserve"> Ibid.</w:t>
      </w:r>
    </w:p>
  </w:footnote>
  <w:footnote w:id="39">
    <w:p w14:paraId="5E2AE7B7" w14:textId="77777777"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Council of Europe, Framework Convention for the Protection of National Minorities and Explanatory Report’ (</w:t>
      </w:r>
      <w:proofErr w:type="spellStart"/>
      <w:r w:rsidRPr="007117EF">
        <w:rPr>
          <w:rFonts w:ascii="Verdana" w:hAnsi="Verdana"/>
          <w:color w:val="77328A"/>
          <w:sz w:val="16"/>
          <w:szCs w:val="16"/>
        </w:rPr>
        <w:t>CoE</w:t>
      </w:r>
      <w:proofErr w:type="spellEnd"/>
      <w:r w:rsidRPr="007117EF">
        <w:rPr>
          <w:rFonts w:ascii="Verdana" w:hAnsi="Verdana"/>
          <w:color w:val="77328A"/>
          <w:sz w:val="16"/>
          <w:szCs w:val="16"/>
        </w:rPr>
        <w:t>, 1995), at para 12.</w:t>
      </w:r>
    </w:p>
  </w:footnote>
  <w:footnote w:id="40">
    <w:p w14:paraId="2F0846AD" w14:textId="77777777"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Article 6, Framework Convention on National Minorities 1998.</w:t>
      </w:r>
    </w:p>
  </w:footnote>
  <w:footnote w:id="41">
    <w:p w14:paraId="6B8C239A" w14:textId="77777777"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Article 9, Framework Convention on National Minorities 1998.</w:t>
      </w:r>
    </w:p>
  </w:footnote>
  <w:footnote w:id="42">
    <w:p w14:paraId="7A3EB318" w14:textId="77777777" w:rsidR="00E5776D" w:rsidRPr="004540ED"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ACFC/44</w:t>
      </w:r>
      <w:proofErr w:type="gramStart"/>
      <w:r w:rsidRPr="007117EF">
        <w:rPr>
          <w:rFonts w:ascii="Verdana" w:hAnsi="Verdana"/>
          <w:color w:val="77328A"/>
          <w:sz w:val="16"/>
          <w:szCs w:val="16"/>
        </w:rPr>
        <w:t>DOC(</w:t>
      </w:r>
      <w:proofErr w:type="gramEnd"/>
      <w:r w:rsidRPr="007117EF">
        <w:rPr>
          <w:rFonts w:ascii="Verdana" w:hAnsi="Verdana"/>
          <w:color w:val="77328A"/>
          <w:sz w:val="16"/>
          <w:szCs w:val="16"/>
        </w:rPr>
        <w:t>2012)001 rev, ‘Advisory Committee on the Framework Convention for the Protection of National Minorities Thematic Commentary No 3’, 5 July 2012, at para 2.</w:t>
      </w:r>
    </w:p>
  </w:footnote>
  <w:footnote w:id="43">
    <w:p w14:paraId="52698C24" w14:textId="6B46ABCF"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630F7C" w:rsidRPr="007117EF">
        <w:rPr>
          <w:rFonts w:ascii="Verdana" w:hAnsi="Verdana"/>
          <w:color w:val="77328A"/>
          <w:sz w:val="16"/>
          <w:szCs w:val="16"/>
        </w:rPr>
        <w:t xml:space="preserve"> Ibid, at para 16.</w:t>
      </w:r>
    </w:p>
  </w:footnote>
  <w:footnote w:id="44">
    <w:p w14:paraId="363214A0" w14:textId="68B3425D" w:rsidR="00E5776D" w:rsidRPr="007117EF" w:rsidRDefault="00E5776D" w:rsidP="00FD227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Council of Europe, ‘Framework Convention for the Protection of National Minorities and Explanatory Report’ (CoE, 1995), at para 35.</w:t>
      </w:r>
    </w:p>
  </w:footnote>
  <w:footnote w:id="45">
    <w:p w14:paraId="42213497" w14:textId="5F1515D2"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CERD/C.GBR/CO/21-</w:t>
      </w:r>
      <w:proofErr w:type="gramStart"/>
      <w:r w:rsidRPr="007117EF">
        <w:rPr>
          <w:rFonts w:ascii="Verdana" w:hAnsi="Verdana"/>
          <w:color w:val="77328A"/>
          <w:sz w:val="16"/>
          <w:szCs w:val="16"/>
        </w:rPr>
        <w:t>23  CERD/C.GBR</w:t>
      </w:r>
      <w:proofErr w:type="gramEnd"/>
      <w:r w:rsidRPr="007117EF">
        <w:rPr>
          <w:rFonts w:ascii="Verdana" w:hAnsi="Verdana"/>
          <w:color w:val="77328A"/>
          <w:sz w:val="16"/>
          <w:szCs w:val="16"/>
        </w:rPr>
        <w:t xml:space="preserve">/CO/21-23 ‘UN CERD Committee Concluding observations on the twenty-first to twenty-third periodic reports of United Kingdom of Great Britain and Northern Ireland’ 26 August 2016 at </w:t>
      </w:r>
      <w:r w:rsidR="00551FD8" w:rsidRPr="007117EF">
        <w:rPr>
          <w:rFonts w:ascii="Verdana" w:hAnsi="Verdana"/>
          <w:color w:val="77328A"/>
          <w:sz w:val="16"/>
          <w:szCs w:val="16"/>
        </w:rPr>
        <w:t>para14</w:t>
      </w:r>
      <w:r w:rsidR="00A93FF3" w:rsidRPr="007117EF">
        <w:rPr>
          <w:rFonts w:ascii="Verdana" w:hAnsi="Verdana"/>
          <w:color w:val="77328A"/>
          <w:sz w:val="16"/>
          <w:szCs w:val="16"/>
        </w:rPr>
        <w:t>.</w:t>
      </w:r>
    </w:p>
  </w:footnote>
  <w:footnote w:id="46">
    <w:p w14:paraId="0EEB5E40" w14:textId="66D8894E"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A93FF3" w:rsidRPr="007117EF">
        <w:rPr>
          <w:rFonts w:ascii="Verdana" w:hAnsi="Verdana"/>
          <w:color w:val="77328A"/>
          <w:sz w:val="16"/>
          <w:szCs w:val="16"/>
        </w:rPr>
        <w:t>.</w:t>
      </w:r>
    </w:p>
  </w:footnote>
  <w:footnote w:id="47">
    <w:p w14:paraId="768B651C" w14:textId="77777777" w:rsidR="00807E43" w:rsidRPr="004540ED"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A/HRC/41/54/Add.2, 'Report of the Special Rapporteur on Contemporary Forms of Racism, Racial Discrimination, Xenophobia and Related Intolerance: Visit to the United Kingdom of Great Britain and Northern Ireland', 27 May 2019, at para 74(f).</w:t>
      </w:r>
    </w:p>
  </w:footnote>
  <w:footnote w:id="48">
    <w:p w14:paraId="00A42A0F" w14:textId="4BAB5B0E" w:rsidR="00C04FBC" w:rsidRPr="004540ED" w:rsidRDefault="00C04FB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This would be analogous to sections 149 and 153 of the Equality Act 2010, which does not extend to NI. </w:t>
      </w:r>
    </w:p>
  </w:footnote>
  <w:footnote w:id="49">
    <w:p w14:paraId="5CB2D549" w14:textId="77777777"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Email correspondence from The Executive Office to NI Human Rights Commission, October 2021. </w:t>
      </w:r>
    </w:p>
  </w:footnote>
  <w:footnote w:id="50">
    <w:p w14:paraId="74749397" w14:textId="77777777" w:rsidR="00922032" w:rsidRPr="007117EF" w:rsidRDefault="00922032" w:rsidP="0092203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meeting with The Executive Office, 1 February 2022.</w:t>
      </w:r>
    </w:p>
  </w:footnote>
  <w:footnote w:id="51">
    <w:p w14:paraId="1FA1D5EF" w14:textId="77777777" w:rsidR="00AE4272" w:rsidRPr="007117EF" w:rsidRDefault="00AE4272" w:rsidP="00AE427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bookmarkStart w:id="11" w:name="_Hlk95407896"/>
      <w:r w:rsidRPr="007117EF">
        <w:rPr>
          <w:rFonts w:ascii="Verdana" w:hAnsi="Verdana"/>
          <w:color w:val="77328A"/>
          <w:sz w:val="16"/>
          <w:szCs w:val="16"/>
        </w:rPr>
        <w:t xml:space="preserve">NI Human Rights Commission, ‘Submission to the NI Affairs Committee Inquiry into the experience of minority ethnic and migrant people in Northern Ireland’, May 2021, </w:t>
      </w:r>
      <w:bookmarkEnd w:id="11"/>
      <w:r w:rsidRPr="007117EF">
        <w:rPr>
          <w:rFonts w:ascii="Verdana" w:hAnsi="Verdana"/>
          <w:color w:val="77328A"/>
          <w:sz w:val="16"/>
          <w:szCs w:val="16"/>
        </w:rPr>
        <w:t>at 14.</w:t>
      </w:r>
    </w:p>
  </w:footnote>
  <w:footnote w:id="52">
    <w:p w14:paraId="53AD43EF" w14:textId="1F3CC836"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66833" w:rsidRPr="007117EF">
        <w:rPr>
          <w:rFonts w:ascii="Verdana" w:hAnsi="Verdana"/>
          <w:color w:val="77328A"/>
          <w:sz w:val="16"/>
          <w:szCs w:val="16"/>
        </w:rPr>
        <w:t>The Fair Employment (Monitoring) Regulations (Northern Ireland) 1999. See also:</w:t>
      </w:r>
      <w:r w:rsidR="00666833" w:rsidRPr="004540ED">
        <w:rPr>
          <w:rFonts w:ascii="Verdana" w:hAnsi="Verdana"/>
          <w:color w:val="77328A"/>
          <w:sz w:val="16"/>
          <w:szCs w:val="16"/>
        </w:rPr>
        <w:t xml:space="preserve"> </w:t>
      </w:r>
      <w:r w:rsidRPr="007117EF">
        <w:rPr>
          <w:rFonts w:ascii="Verdana" w:hAnsi="Verdana"/>
          <w:color w:val="77328A"/>
          <w:sz w:val="16"/>
          <w:szCs w:val="16"/>
        </w:rPr>
        <w:t>ACFC/OP/III (2011)006 Advisory Committee on the Framework Convention for the Protection of National Minorities, ‘Third Opinion on the United Kingdom for the Protection of National Minorities’ at para 44.</w:t>
      </w:r>
    </w:p>
  </w:footnote>
  <w:footnote w:id="53">
    <w:p w14:paraId="51AA303F" w14:textId="48CAA071" w:rsidR="00807E43" w:rsidRPr="004540ED"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A24B27" w:rsidRPr="007117EF">
        <w:rPr>
          <w:rFonts w:ascii="Verdana" w:hAnsi="Verdana"/>
          <w:color w:val="77328A"/>
          <w:sz w:val="16"/>
          <w:szCs w:val="16"/>
        </w:rPr>
        <w:t xml:space="preserve"> Equality Commission NI, ‘Fair Employment Monitoring Report No.30 published’ (ECNI, 2021).</w:t>
      </w:r>
    </w:p>
  </w:footnote>
  <w:footnote w:id="54">
    <w:p w14:paraId="30E9F5AC" w14:textId="60C4D519" w:rsidR="00A24B27" w:rsidRPr="007117EF" w:rsidRDefault="00A24B2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Office of the First Minister and Deputy First Minister, ‘Racial Equality Strategy 2015-2025’ (OFMdFM, 2015) at para 5.14.</w:t>
      </w:r>
    </w:p>
  </w:footnote>
  <w:footnote w:id="55">
    <w:p w14:paraId="7F4CC199" w14:textId="6DADDCB1" w:rsidR="00481D8D" w:rsidRPr="007117EF" w:rsidRDefault="00481D8D" w:rsidP="00BF4833">
      <w:pPr>
        <w:pStyle w:val="CommentText"/>
        <w:rPr>
          <w:rFonts w:ascii="Verdana" w:hAnsi="Verdana"/>
          <w:color w:val="77328A"/>
          <w:sz w:val="16"/>
          <w:szCs w:val="16"/>
        </w:rPr>
      </w:pPr>
      <w:r w:rsidRPr="007117EF">
        <w:rPr>
          <w:rStyle w:val="FootnoteReference"/>
          <w:rFonts w:ascii="Verdana" w:hAnsi="Verdana"/>
          <w:color w:val="77328A"/>
          <w:sz w:val="16"/>
          <w:szCs w:val="16"/>
        </w:rPr>
        <w:footnoteRef/>
      </w:r>
      <w:r w:rsidR="00CE50D8" w:rsidRPr="007117EF">
        <w:rPr>
          <w:rFonts w:ascii="Verdana" w:hAnsi="Verdana"/>
          <w:color w:val="77328A"/>
          <w:sz w:val="16"/>
          <w:szCs w:val="16"/>
        </w:rPr>
        <w:t xml:space="preserve"> Article 15 of the </w:t>
      </w:r>
      <w:r w:rsidR="00B5553A" w:rsidRPr="007117EF">
        <w:rPr>
          <w:rFonts w:ascii="Verdana" w:hAnsi="Verdana"/>
          <w:color w:val="77328A"/>
          <w:sz w:val="16"/>
          <w:szCs w:val="16"/>
        </w:rPr>
        <w:t>Framework</w:t>
      </w:r>
      <w:r w:rsidR="00CE50D8" w:rsidRPr="007117EF">
        <w:rPr>
          <w:rFonts w:ascii="Verdana" w:hAnsi="Verdana"/>
          <w:color w:val="77328A"/>
          <w:sz w:val="16"/>
          <w:szCs w:val="16"/>
        </w:rPr>
        <w:t xml:space="preserve"> Equality Directive permits the exclusion of the recruitment of teachers in schools in NI, in so far as this is expressly authorised by national legislation. </w:t>
      </w:r>
      <w:r w:rsidR="00600E61" w:rsidRPr="007117EF">
        <w:rPr>
          <w:rFonts w:ascii="Verdana" w:hAnsi="Verdana"/>
          <w:color w:val="77328A"/>
          <w:sz w:val="16"/>
          <w:szCs w:val="16"/>
        </w:rPr>
        <w:t>However, t</w:t>
      </w:r>
      <w:r w:rsidR="00CE50D8" w:rsidRPr="007117EF">
        <w:rPr>
          <w:rFonts w:ascii="Verdana" w:hAnsi="Verdana"/>
          <w:color w:val="77328A"/>
          <w:sz w:val="16"/>
          <w:szCs w:val="16"/>
        </w:rPr>
        <w:t>his provision does not prevent changes to NI law to remove the exemption for the recruitment of teachers.</w:t>
      </w:r>
      <w:r w:rsidR="00600E61" w:rsidRPr="007117EF">
        <w:rPr>
          <w:rFonts w:ascii="Verdana" w:hAnsi="Verdana"/>
          <w:color w:val="77328A"/>
          <w:sz w:val="16"/>
          <w:szCs w:val="16"/>
        </w:rPr>
        <w:t xml:space="preserve"> </w:t>
      </w:r>
      <w:r w:rsidR="009A4925" w:rsidRPr="007117EF">
        <w:rPr>
          <w:rFonts w:ascii="Verdana" w:hAnsi="Verdana"/>
          <w:color w:val="77328A"/>
          <w:sz w:val="16"/>
          <w:szCs w:val="16"/>
        </w:rPr>
        <w:t xml:space="preserve">See: </w:t>
      </w:r>
      <w:r w:rsidR="00227B08" w:rsidRPr="007117EF">
        <w:rPr>
          <w:rFonts w:ascii="Verdana" w:hAnsi="Verdana" w:cs="Cambria"/>
          <w:color w:val="77328A"/>
          <w:sz w:val="16"/>
          <w:szCs w:val="16"/>
        </w:rPr>
        <w:t>Council Directive 2000/78/EC on Establishing a General Framework for Equal Treatment in Employment and Occupation, 27 November 2000</w:t>
      </w:r>
      <w:r w:rsidR="00B5553A" w:rsidRPr="007117EF">
        <w:rPr>
          <w:rFonts w:ascii="Verdana" w:hAnsi="Verdana" w:cs="Cambria"/>
          <w:color w:val="77328A"/>
          <w:sz w:val="16"/>
          <w:szCs w:val="16"/>
        </w:rPr>
        <w:t>.</w:t>
      </w:r>
    </w:p>
  </w:footnote>
  <w:footnote w:id="56">
    <w:p w14:paraId="0909B6E8" w14:textId="68BF67CC" w:rsidR="00807E43" w:rsidRPr="007117EF" w:rsidRDefault="00807E43" w:rsidP="00807E4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Assembly, Hansard Official Report: Monday 17 May 2021</w:t>
      </w:r>
      <w:r w:rsidR="00A93FF3" w:rsidRPr="007117EF">
        <w:rPr>
          <w:rFonts w:ascii="Verdana" w:hAnsi="Verdana"/>
          <w:color w:val="77328A"/>
          <w:sz w:val="16"/>
          <w:szCs w:val="16"/>
        </w:rPr>
        <w:t>.</w:t>
      </w:r>
    </w:p>
  </w:footnote>
  <w:footnote w:id="57">
    <w:p w14:paraId="1AAF9818" w14:textId="00925E76" w:rsidR="00F807F9" w:rsidRPr="00E8378E" w:rsidRDefault="00F807F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Equality Commission NI, ‘Briefing: FETO Teachers’ Exception’ (ECNI, 2021</w:t>
      </w:r>
      <w:r w:rsidR="00551FD8" w:rsidRPr="007117EF">
        <w:rPr>
          <w:rFonts w:ascii="Verdana" w:hAnsi="Verdana"/>
          <w:color w:val="77328A"/>
          <w:sz w:val="16"/>
          <w:szCs w:val="16"/>
        </w:rPr>
        <w:t>).</w:t>
      </w:r>
    </w:p>
  </w:footnote>
  <w:footnote w:id="58">
    <w:p w14:paraId="54BAA9D6" w14:textId="7859CCC7" w:rsidR="00807E43" w:rsidRPr="007117EF" w:rsidRDefault="00807E43" w:rsidP="000A395D">
      <w:pPr>
        <w:pStyle w:val="NIHRCFootnotes"/>
      </w:pPr>
      <w:r w:rsidRPr="007117EF">
        <w:rPr>
          <w:rStyle w:val="FootnoteReference"/>
        </w:rPr>
        <w:footnoteRef/>
      </w:r>
      <w:r w:rsidRPr="007117EF">
        <w:t xml:space="preserve"> NI Assembly, NIA Bill 51/17-22 Fair Employment (School Teachers) Bill</w:t>
      </w:r>
      <w:r w:rsidR="00A93FF3" w:rsidRPr="007117EF">
        <w:t>.</w:t>
      </w:r>
      <w:r w:rsidRPr="007117EF">
        <w:t xml:space="preserve"> </w:t>
      </w:r>
    </w:p>
  </w:footnote>
  <w:footnote w:id="59">
    <w:p w14:paraId="5C3174C1" w14:textId="3154462A" w:rsidR="00E12A29" w:rsidRPr="007117EF" w:rsidRDefault="00E12A2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33401" w:rsidRPr="007117EF">
        <w:rPr>
          <w:rFonts w:ascii="Verdana" w:hAnsi="Verdana"/>
          <w:color w:val="77328A"/>
          <w:sz w:val="16"/>
          <w:szCs w:val="16"/>
        </w:rPr>
        <w:t xml:space="preserve">NI Assembly, </w:t>
      </w:r>
      <w:r w:rsidR="00630F7C" w:rsidRPr="007117EF">
        <w:rPr>
          <w:rFonts w:ascii="Verdana" w:hAnsi="Verdana"/>
          <w:color w:val="77328A"/>
          <w:sz w:val="16"/>
          <w:szCs w:val="16"/>
        </w:rPr>
        <w:t>‘</w:t>
      </w:r>
      <w:r w:rsidR="00333401" w:rsidRPr="007117EF">
        <w:rPr>
          <w:rFonts w:ascii="Verdana" w:hAnsi="Verdana"/>
          <w:color w:val="77328A"/>
          <w:sz w:val="16"/>
          <w:szCs w:val="16"/>
        </w:rPr>
        <w:t xml:space="preserve">Hansard Official Report: Committee for the Executive </w:t>
      </w:r>
      <w:r w:rsidR="00630F7C" w:rsidRPr="007117EF">
        <w:rPr>
          <w:rFonts w:ascii="Verdana" w:hAnsi="Verdana"/>
          <w:color w:val="77328A"/>
          <w:sz w:val="16"/>
          <w:szCs w:val="16"/>
        </w:rPr>
        <w:t>Office’</w:t>
      </w:r>
      <w:r w:rsidR="00333401" w:rsidRPr="007117EF">
        <w:rPr>
          <w:rFonts w:ascii="Verdana" w:hAnsi="Verdana"/>
          <w:color w:val="77328A"/>
          <w:sz w:val="16"/>
          <w:szCs w:val="16"/>
        </w:rPr>
        <w:t>, Wednesday 16 February 2022.</w:t>
      </w:r>
    </w:p>
  </w:footnote>
  <w:footnote w:id="60">
    <w:p w14:paraId="2688E9B3" w14:textId="77777777" w:rsidR="00551FD8" w:rsidRPr="007117EF" w:rsidRDefault="00551FD8" w:rsidP="000A395D">
      <w:pPr>
        <w:pStyle w:val="NIHRCFootnotes"/>
      </w:pPr>
      <w:r w:rsidRPr="007117EF">
        <w:rPr>
          <w:rStyle w:val="FootnoteReference"/>
        </w:rPr>
        <w:footnoteRef/>
      </w:r>
      <w:r w:rsidRPr="007117EF">
        <w:t xml:space="preserve"> Article 2(1), Protocol on Ireland/Northern Ireland to the UK-EU Withdrawal Agreement 2020.</w:t>
      </w:r>
    </w:p>
  </w:footnote>
  <w:footnote w:id="61">
    <w:p w14:paraId="6D7A499F" w14:textId="77777777" w:rsidR="00551FD8" w:rsidRPr="007117EF" w:rsidRDefault="00551FD8" w:rsidP="000A395D">
      <w:pPr>
        <w:pStyle w:val="NIHRCFootnotes"/>
      </w:pPr>
      <w:r w:rsidRPr="007117EF">
        <w:rPr>
          <w:rStyle w:val="FootnoteReference"/>
        </w:rPr>
        <w:footnoteRef/>
      </w:r>
      <w:r w:rsidRPr="007117EF">
        <w:t xml:space="preserve"> Article 13, Protocol on Ireland/Northern Ireland to the UK-EU Withdrawal Agreement 2020.</w:t>
      </w:r>
    </w:p>
  </w:footnote>
  <w:footnote w:id="62">
    <w:p w14:paraId="181C4625" w14:textId="77777777" w:rsidR="00500892" w:rsidRPr="007117EF" w:rsidRDefault="00500892" w:rsidP="000A395D">
      <w:pPr>
        <w:pStyle w:val="NIHRCFootnotes"/>
        <w:rPr>
          <w:rFonts w:cs="Times New Roman"/>
        </w:rPr>
      </w:pPr>
      <w:r w:rsidRPr="007117EF">
        <w:rPr>
          <w:rStyle w:val="FootnoteReference"/>
          <w:rFonts w:cs="Times New Roman"/>
        </w:rPr>
        <w:footnoteRef/>
      </w:r>
      <w:r w:rsidRPr="007117EF">
        <w:rPr>
          <w:rFonts w:cs="Times New Roman"/>
        </w:rPr>
        <w:t xml:space="preserve"> E/C.12/GBR/CO/5 ‘UN ICESCR Committee Concluding Observations on the Fifth Periodic Report of the UK of Great Britain and NI’ 12 June 2009, at para 16.</w:t>
      </w:r>
    </w:p>
  </w:footnote>
  <w:footnote w:id="63">
    <w:p w14:paraId="0FBBCA38" w14:textId="77777777" w:rsidR="00500892" w:rsidRPr="007117EF" w:rsidRDefault="00500892" w:rsidP="000A395D">
      <w:pPr>
        <w:pStyle w:val="NIHRCFootnotes"/>
        <w:rPr>
          <w:rFonts w:cs="Times New Roman"/>
        </w:rPr>
      </w:pPr>
      <w:r w:rsidRPr="007117EF">
        <w:rPr>
          <w:rStyle w:val="FootnoteReference"/>
          <w:rFonts w:cs="Times New Roman"/>
        </w:rPr>
        <w:footnoteRef/>
      </w:r>
      <w:r w:rsidRPr="007117EF">
        <w:rPr>
          <w:rFonts w:cs="Times New Roman"/>
        </w:rPr>
        <w:t xml:space="preserve"> </w:t>
      </w:r>
      <w:proofErr w:type="gramStart"/>
      <w:r w:rsidRPr="007117EF">
        <w:rPr>
          <w:rFonts w:cs="Times New Roman"/>
        </w:rPr>
        <w:t>CRI(</w:t>
      </w:r>
      <w:proofErr w:type="gramEnd"/>
      <w:r w:rsidRPr="007117EF">
        <w:rPr>
          <w:rFonts w:cs="Times New Roman"/>
        </w:rPr>
        <w:t>2016)38, ‘European Commission on Racial Intolerance Report on the UK (Fifth Monitoring Cycle)’ (ECRI, 2016), at para 22.</w:t>
      </w:r>
    </w:p>
  </w:footnote>
  <w:footnote w:id="64">
    <w:p w14:paraId="3249727A" w14:textId="77777777" w:rsidR="00500892" w:rsidRPr="007117EF" w:rsidRDefault="00500892" w:rsidP="000A395D">
      <w:pPr>
        <w:pStyle w:val="NIHRCFootnotes"/>
        <w:rPr>
          <w:rFonts w:cs="Times New Roman"/>
        </w:rPr>
      </w:pPr>
      <w:r w:rsidRPr="007117EF">
        <w:rPr>
          <w:rStyle w:val="FootnoteReference"/>
          <w:rFonts w:cs="Times New Roman"/>
        </w:rPr>
        <w:footnoteRef/>
      </w:r>
      <w:r w:rsidRPr="007117EF">
        <w:rPr>
          <w:rFonts w:cs="Times New Roman"/>
        </w:rPr>
        <w:t xml:space="preserve"> CRPD/C/GBR/CO/1, ‘UN CRPD Committee Concluding Observations on the Initial Report of the United Kingdom of Great Britain and NI’, 3 October 2017, at para 17(b).</w:t>
      </w:r>
    </w:p>
  </w:footnote>
  <w:footnote w:id="65">
    <w:p w14:paraId="46B98BA2" w14:textId="77777777" w:rsidR="00500892" w:rsidRPr="007117EF" w:rsidRDefault="00500892" w:rsidP="00842FDB">
      <w:pPr>
        <w:pStyle w:val="FootnoteText"/>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CEDAW/C/GBR/CO/8, ‘UN CEDAW Committee Concluding Observations on the Eighth Periodic Report of the United Kingdom of Great Britain and Northern Ireland’, 14 March 2019, at para 16(a).</w:t>
      </w:r>
    </w:p>
  </w:footnote>
  <w:footnote w:id="66">
    <w:p w14:paraId="572EB378" w14:textId="77777777" w:rsidR="00500892" w:rsidRPr="007117EF" w:rsidRDefault="00500892" w:rsidP="00842FDB">
      <w:pPr>
        <w:pStyle w:val="Pa21"/>
        <w:spacing w:line="240" w:lineRule="auto"/>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Email correspondence from the Executive Office to the NI Human Rights Commission, 29 July 2020.</w:t>
      </w:r>
    </w:p>
  </w:footnote>
  <w:footnote w:id="67">
    <w:p w14:paraId="04195A8E" w14:textId="77777777" w:rsidR="00B02C2A" w:rsidRPr="007117EF" w:rsidRDefault="00B02C2A" w:rsidP="00842FDB">
      <w:pPr>
        <w:pStyle w:val="Pa21"/>
        <w:spacing w:line="240" w:lineRule="auto"/>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Equality Commission for NI, ‘Strengthening Protection against Racial Discrimination: Recommendations for Law Reform’, (ECNI, 2014), at 38.</w:t>
      </w:r>
    </w:p>
  </w:footnote>
  <w:footnote w:id="68">
    <w:p w14:paraId="2BCA2304" w14:textId="32431BEE" w:rsidR="00E25933" w:rsidRPr="007117EF" w:rsidRDefault="00E2593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A3681" w:rsidRPr="007117EF">
        <w:rPr>
          <w:rFonts w:ascii="Verdana" w:hAnsi="Verdana"/>
          <w:color w:val="77328A"/>
          <w:sz w:val="16"/>
          <w:szCs w:val="16"/>
        </w:rPr>
        <w:t xml:space="preserve">Correspondence with the </w:t>
      </w:r>
      <w:r w:rsidR="00646BE9" w:rsidRPr="007117EF">
        <w:rPr>
          <w:rFonts w:ascii="Verdana" w:hAnsi="Verdana"/>
          <w:color w:val="77328A"/>
          <w:sz w:val="16"/>
          <w:szCs w:val="16"/>
        </w:rPr>
        <w:t xml:space="preserve">ECNI, </w:t>
      </w:r>
      <w:r w:rsidR="00F97828" w:rsidRPr="007117EF">
        <w:rPr>
          <w:rFonts w:ascii="Verdana" w:hAnsi="Verdana"/>
          <w:color w:val="77328A"/>
          <w:sz w:val="16"/>
          <w:szCs w:val="16"/>
        </w:rPr>
        <w:t xml:space="preserve">4 February 2022. </w:t>
      </w:r>
    </w:p>
  </w:footnote>
  <w:footnote w:id="69">
    <w:p w14:paraId="2179644F" w14:textId="77777777" w:rsidR="00731F16" w:rsidRPr="007117EF" w:rsidRDefault="00731F16" w:rsidP="00842FDB">
      <w:pPr>
        <w:pStyle w:val="Pa21"/>
        <w:spacing w:line="240" w:lineRule="auto"/>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Eoin Mullan, Sinead Brown and Paul Roddy, ‘Racial Equality Legislation Review’ (TEO, 2018), at 7-8.</w:t>
      </w:r>
    </w:p>
  </w:footnote>
  <w:footnote w:id="70">
    <w:p w14:paraId="208E6858" w14:textId="77777777" w:rsidR="00C04FBC" w:rsidRPr="007117EF" w:rsidRDefault="00C04FBC" w:rsidP="008324B7">
      <w:pPr>
        <w:pStyle w:val="Pa21"/>
        <w:spacing w:line="240" w:lineRule="auto"/>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Email correspondence from The Executive Office to the NI Human Rights Commission, October 2021.</w:t>
      </w:r>
    </w:p>
  </w:footnote>
  <w:footnote w:id="71">
    <w:p w14:paraId="3C203D75" w14:textId="61E8EE8E" w:rsidR="00F80FB7" w:rsidRPr="007117EF" w:rsidRDefault="00F80FB7">
      <w:pPr>
        <w:pStyle w:val="FootnoteText"/>
        <w:rPr>
          <w:rFonts w:ascii="Verdana" w:hAnsi="Verdana"/>
          <w:color w:val="77328A"/>
          <w:sz w:val="16"/>
          <w:szCs w:val="16"/>
          <w:lang w:val="en-US"/>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F11BC" w:rsidRPr="007117EF">
        <w:rPr>
          <w:rFonts w:ascii="Verdana" w:hAnsi="Verdana"/>
          <w:color w:val="77328A"/>
          <w:sz w:val="16"/>
          <w:szCs w:val="16"/>
        </w:rPr>
        <w:t>The Executive Office meeting of the Racial Equality Subgroup, 16 February 2022.</w:t>
      </w:r>
    </w:p>
  </w:footnote>
  <w:footnote w:id="72">
    <w:p w14:paraId="31E653DC" w14:textId="77777777" w:rsidR="005A3583" w:rsidRPr="007117EF" w:rsidRDefault="005A3583" w:rsidP="005D5D76">
      <w:pPr>
        <w:pStyle w:val="Pa21"/>
        <w:spacing w:line="240" w:lineRule="auto"/>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Independent Hate Crime Review Team, ‘Hate Crime Legislation in NI Independent Review’, (DoJ 2020), Recommendation 11.</w:t>
      </w:r>
    </w:p>
  </w:footnote>
  <w:footnote w:id="73">
    <w:p w14:paraId="12B372AC" w14:textId="77777777" w:rsidR="00AB2BFE" w:rsidRPr="007117EF" w:rsidRDefault="00AB2BFE" w:rsidP="005D5D76">
      <w:pPr>
        <w:pStyle w:val="FootnoteText"/>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Ibid, at 5.</w:t>
      </w:r>
    </w:p>
  </w:footnote>
  <w:footnote w:id="74">
    <w:p w14:paraId="5DA7889E" w14:textId="44D71F7E" w:rsidR="00D71A8D" w:rsidRPr="007117EF" w:rsidRDefault="00D71A8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56918" w:rsidRPr="007117EF">
        <w:rPr>
          <w:rFonts w:ascii="Verdana" w:hAnsi="Verdana"/>
          <w:color w:val="77328A"/>
          <w:sz w:val="16"/>
          <w:szCs w:val="16"/>
        </w:rPr>
        <w:t xml:space="preserve">Department of Justice, </w:t>
      </w:r>
      <w:r w:rsidR="00F728C2" w:rsidRPr="007117EF">
        <w:rPr>
          <w:rFonts w:ascii="Verdana" w:hAnsi="Verdana"/>
          <w:color w:val="77328A"/>
          <w:sz w:val="16"/>
          <w:szCs w:val="16"/>
        </w:rPr>
        <w:t>‘</w:t>
      </w:r>
      <w:hyperlink r:id="rId1" w:history="1">
        <w:r w:rsidR="00A56918" w:rsidRPr="007117EF">
          <w:rPr>
            <w:rStyle w:val="Hyperlink"/>
            <w:rFonts w:ascii="Verdana" w:hAnsi="Verdana"/>
            <w:color w:val="77328A"/>
            <w:sz w:val="16"/>
            <w:szCs w:val="16"/>
          </w:rPr>
          <w:t>Consultation on Hate Crime Legislation in Northern Ireland</w:t>
        </w:r>
      </w:hyperlink>
      <w:r w:rsidR="00F728C2" w:rsidRPr="007117EF">
        <w:rPr>
          <w:rFonts w:ascii="Verdana" w:hAnsi="Verdana"/>
          <w:color w:val="77328A"/>
          <w:sz w:val="16"/>
          <w:szCs w:val="16"/>
        </w:rPr>
        <w:t>’, (</w:t>
      </w:r>
      <w:r w:rsidR="00A56918" w:rsidRPr="007117EF">
        <w:rPr>
          <w:rFonts w:ascii="Verdana" w:hAnsi="Verdana"/>
          <w:color w:val="77328A"/>
          <w:sz w:val="16"/>
          <w:szCs w:val="16"/>
        </w:rPr>
        <w:t>31 January 2022</w:t>
      </w:r>
      <w:r w:rsidR="00F728C2" w:rsidRPr="007117EF">
        <w:rPr>
          <w:rFonts w:ascii="Verdana" w:hAnsi="Verdana"/>
          <w:color w:val="77328A"/>
          <w:sz w:val="16"/>
          <w:szCs w:val="16"/>
        </w:rPr>
        <w:t>).</w:t>
      </w:r>
    </w:p>
  </w:footnote>
  <w:footnote w:id="75">
    <w:p w14:paraId="060807C0" w14:textId="5E0D873F" w:rsidR="00730C31" w:rsidRPr="007117EF" w:rsidRDefault="00730C3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E60B9" w:rsidRPr="007117EF">
        <w:rPr>
          <w:rStyle w:val="cf01"/>
          <w:rFonts w:ascii="Verdana" w:hAnsi="Verdana"/>
          <w:color w:val="77328A"/>
          <w:sz w:val="16"/>
          <w:szCs w:val="16"/>
        </w:rPr>
        <w:t xml:space="preserve">While this issue has been noted under Article 4(1) in this submission, it also engages </w:t>
      </w:r>
      <w:r w:rsidR="00630F7C" w:rsidRPr="007117EF">
        <w:rPr>
          <w:rStyle w:val="cf01"/>
          <w:rFonts w:ascii="Verdana" w:hAnsi="Verdana"/>
          <w:color w:val="77328A"/>
          <w:sz w:val="16"/>
          <w:szCs w:val="16"/>
        </w:rPr>
        <w:t>Art</w:t>
      </w:r>
      <w:r w:rsidR="00D06C6E" w:rsidRPr="007117EF">
        <w:rPr>
          <w:rStyle w:val="cf01"/>
          <w:rFonts w:ascii="Verdana" w:hAnsi="Verdana"/>
          <w:color w:val="77328A"/>
          <w:sz w:val="16"/>
          <w:szCs w:val="16"/>
        </w:rPr>
        <w:t>icle</w:t>
      </w:r>
      <w:r w:rsidR="00630F7C" w:rsidRPr="007117EF">
        <w:rPr>
          <w:rStyle w:val="cf01"/>
          <w:rFonts w:ascii="Verdana" w:hAnsi="Verdana"/>
          <w:color w:val="77328A"/>
          <w:sz w:val="16"/>
          <w:szCs w:val="16"/>
        </w:rPr>
        <w:t>s</w:t>
      </w:r>
      <w:r w:rsidR="009E60B9" w:rsidRPr="007117EF">
        <w:rPr>
          <w:rStyle w:val="cf01"/>
          <w:rFonts w:ascii="Verdana" w:hAnsi="Verdana"/>
          <w:color w:val="77328A"/>
          <w:sz w:val="16"/>
          <w:szCs w:val="16"/>
        </w:rPr>
        <w:t xml:space="preserve"> 17 and </w:t>
      </w:r>
      <w:r w:rsidR="00D613F8" w:rsidRPr="007117EF">
        <w:rPr>
          <w:rStyle w:val="cf01"/>
          <w:rFonts w:ascii="Verdana" w:hAnsi="Verdana"/>
          <w:color w:val="77328A"/>
          <w:sz w:val="16"/>
          <w:szCs w:val="16"/>
        </w:rPr>
        <w:t>18 of the FCNM.</w:t>
      </w:r>
    </w:p>
  </w:footnote>
  <w:footnote w:id="76">
    <w:p w14:paraId="7F3246E9" w14:textId="6512F652" w:rsidR="00B95F6B" w:rsidRPr="007117EF" w:rsidRDefault="00B95F6B" w:rsidP="00925CC9">
      <w:pPr>
        <w:pStyle w:val="NormalWeb"/>
        <w:shd w:val="clear" w:color="auto" w:fill="FFFFFF"/>
        <w:spacing w:before="0" w:beforeAutospacing="0" w:after="0" w:afterAutospacing="0"/>
        <w:rPr>
          <w:rFonts w:ascii="Verdana" w:eastAsia="Times New Roman" w:hAnsi="Verdana" w:cs="Arial"/>
          <w:color w:val="77328A"/>
          <w:sz w:val="16"/>
          <w:szCs w:val="16"/>
          <w:lang w:eastAsia="en-GB"/>
        </w:rPr>
      </w:pPr>
      <w:r w:rsidRPr="007117EF">
        <w:rPr>
          <w:rStyle w:val="FootnoteReference"/>
          <w:rFonts w:ascii="Verdana" w:hAnsi="Verdana"/>
          <w:color w:val="77328A"/>
          <w:sz w:val="16"/>
          <w:szCs w:val="16"/>
        </w:rPr>
        <w:footnoteRef/>
      </w:r>
      <w:r w:rsidR="00434810" w:rsidRPr="007117EF">
        <w:rPr>
          <w:rFonts w:ascii="Verdana" w:hAnsi="Verdana"/>
          <w:color w:val="77328A"/>
          <w:sz w:val="16"/>
          <w:szCs w:val="16"/>
        </w:rPr>
        <w:t xml:space="preserve"> </w:t>
      </w:r>
      <w:r w:rsidR="00925CC9" w:rsidRPr="007117EF">
        <w:rPr>
          <w:rFonts w:ascii="Verdana" w:hAnsi="Verdana"/>
          <w:color w:val="77328A"/>
          <w:sz w:val="16"/>
          <w:szCs w:val="16"/>
        </w:rPr>
        <w:t xml:space="preserve">The Common Travel Area is a long-standing arrangement between the UK, the Crown Dependencies (Isle of Man, Guernsey etc.,) and Ireland that </w:t>
      </w:r>
      <w:r w:rsidR="00925CC9" w:rsidRPr="007117EF">
        <w:rPr>
          <w:rFonts w:ascii="Verdana" w:eastAsia="Times New Roman" w:hAnsi="Verdana" w:cs="Arial"/>
          <w:color w:val="77328A"/>
          <w:sz w:val="16"/>
          <w:szCs w:val="16"/>
          <w:lang w:eastAsia="en-GB"/>
        </w:rPr>
        <w:t>pre-dates both British and Irish membership of the EU and is not dependent on it. Under the CTA, British and Irish citizens can move freely and reside in either jurisdiction and enjoy associated rights and privileges, including the right to work, study and vote in certain elections, as well as to access social welfare benefits and health services.</w:t>
      </w:r>
    </w:p>
  </w:footnote>
  <w:footnote w:id="77">
    <w:p w14:paraId="6384A18E" w14:textId="250F0D04" w:rsidR="00FB4C78" w:rsidRPr="007117EF" w:rsidRDefault="00FB4C78" w:rsidP="005D5D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D5D76" w:rsidRPr="007117EF">
        <w:rPr>
          <w:rFonts w:ascii="Verdana" w:hAnsi="Verdana" w:cs="YIUEB V+ Gotham"/>
          <w:color w:val="77328A"/>
          <w:sz w:val="16"/>
          <w:szCs w:val="16"/>
        </w:rPr>
        <w:t>Sylvia de Mars, Colin Murray, Aoife O’Donoghue and Ben Warwick, ‘Discussion Paper on the Common Travel Area’ (NIHRC and IHREC, 2018), at 11.</w:t>
      </w:r>
    </w:p>
  </w:footnote>
  <w:footnote w:id="78">
    <w:p w14:paraId="37C76A28" w14:textId="405A7016" w:rsidR="00FB4C78" w:rsidRPr="007117EF" w:rsidRDefault="00FB4C78" w:rsidP="0033092E">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3092E" w:rsidRPr="007117EF">
        <w:rPr>
          <w:rFonts w:ascii="Verdana" w:hAnsi="Verdana" w:cs="YIUEB V+ Gotham"/>
          <w:color w:val="77328A"/>
          <w:sz w:val="16"/>
          <w:szCs w:val="16"/>
        </w:rPr>
        <w:t>Memorandum of Understanding between the UK Government and the Government of Ireland Concerning the Common Travel Area and Associated Reciprocal Rights and Privileges, 8 May 2019</w:t>
      </w:r>
      <w:r w:rsidR="00C04FBC" w:rsidRPr="007117EF">
        <w:rPr>
          <w:rFonts w:ascii="Verdana" w:hAnsi="Verdana" w:cs="YIUEB V+ Gotham"/>
          <w:color w:val="77328A"/>
          <w:sz w:val="16"/>
          <w:szCs w:val="16"/>
        </w:rPr>
        <w:t>.</w:t>
      </w:r>
    </w:p>
  </w:footnote>
  <w:footnote w:id="79">
    <w:p w14:paraId="26AE9D90" w14:textId="31AC80B7" w:rsidR="00210FD1" w:rsidRPr="007117EF" w:rsidRDefault="00210FD1" w:rsidP="0033092E">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3092E" w:rsidRPr="007117EF">
        <w:rPr>
          <w:rFonts w:ascii="Verdana" w:hAnsi="Verdana"/>
          <w:color w:val="77328A"/>
          <w:sz w:val="16"/>
          <w:szCs w:val="16"/>
        </w:rPr>
        <w:t xml:space="preserve">Ibid, </w:t>
      </w:r>
      <w:r w:rsidR="00C04FBC" w:rsidRPr="007117EF">
        <w:rPr>
          <w:rFonts w:ascii="Verdana" w:hAnsi="Verdana"/>
          <w:color w:val="77328A"/>
          <w:sz w:val="16"/>
          <w:szCs w:val="16"/>
        </w:rPr>
        <w:t>at paras</w:t>
      </w:r>
      <w:r w:rsidR="0033092E" w:rsidRPr="007117EF">
        <w:rPr>
          <w:rFonts w:ascii="Verdana" w:hAnsi="Verdana"/>
          <w:color w:val="77328A"/>
          <w:sz w:val="16"/>
          <w:szCs w:val="16"/>
        </w:rPr>
        <w:t xml:space="preserve"> 2 and 17.</w:t>
      </w:r>
    </w:p>
  </w:footnote>
  <w:footnote w:id="80">
    <w:p w14:paraId="0ABE518C" w14:textId="3D204491" w:rsidR="00335E80" w:rsidRPr="007117EF" w:rsidRDefault="00335E8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Convention on Social Security between the Government of the UK and the Government of Ireland</w:t>
      </w:r>
      <w:r w:rsidR="00F25AB7" w:rsidRPr="007117EF">
        <w:rPr>
          <w:rFonts w:ascii="Verdana" w:hAnsi="Verdana"/>
          <w:color w:val="77328A"/>
          <w:sz w:val="16"/>
          <w:szCs w:val="16"/>
        </w:rPr>
        <w:t xml:space="preserve">, </w:t>
      </w:r>
      <w:r w:rsidRPr="007117EF">
        <w:rPr>
          <w:rFonts w:ascii="Verdana" w:hAnsi="Verdana"/>
          <w:color w:val="77328A"/>
          <w:sz w:val="16"/>
          <w:szCs w:val="16"/>
        </w:rPr>
        <w:t>2019.</w:t>
      </w:r>
    </w:p>
  </w:footnote>
  <w:footnote w:id="81">
    <w:p w14:paraId="1925C386" w14:textId="77777777" w:rsidR="001E1BC1" w:rsidRPr="007117EF" w:rsidRDefault="001E1BC1" w:rsidP="0033092E">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A7B9D" w:rsidRPr="007117EF">
        <w:rPr>
          <w:rFonts w:ascii="Verdana" w:hAnsi="Verdana" w:cs="YIUEB V+ Gotham"/>
          <w:color w:val="77328A"/>
          <w:sz w:val="16"/>
          <w:szCs w:val="16"/>
        </w:rPr>
        <w:t>Home Office, ‘Common Travel Area – Version 11.0’ (HO, 2021), at 44-47.</w:t>
      </w:r>
    </w:p>
  </w:footnote>
  <w:footnote w:id="82">
    <w:p w14:paraId="58CA9E68" w14:textId="77777777" w:rsidR="00A8232B" w:rsidRPr="007117EF" w:rsidRDefault="00A8232B" w:rsidP="00A8232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w:t>
      </w:r>
      <w:r w:rsidRPr="007117EF">
        <w:rPr>
          <w:rFonts w:ascii="Verdana" w:hAnsi="Verdana" w:cs="Arial"/>
          <w:color w:val="77328A"/>
          <w:sz w:val="16"/>
          <w:szCs w:val="16"/>
        </w:rPr>
        <w:t xml:space="preserve">ECNI has previously supported a claim of racial discrimination against the Home Office arising from racial profiling by UK immigration officers. This resulted in the settlement of the claim of alleged racial discrimination against a black British woman, arising from the actions of an immigration officer at Belfast City Airport. </w:t>
      </w:r>
      <w:r w:rsidRPr="007117EF">
        <w:rPr>
          <w:rFonts w:ascii="Verdana" w:hAnsi="Verdana"/>
          <w:color w:val="77328A"/>
          <w:sz w:val="16"/>
          <w:szCs w:val="16"/>
        </w:rPr>
        <w:t>ECNI, Race case supported by Commission settled with Home Office, 20 July 2016</w:t>
      </w:r>
      <w:r w:rsidR="00A93FF3" w:rsidRPr="007117EF">
        <w:rPr>
          <w:rFonts w:ascii="Verdana" w:hAnsi="Verdana"/>
          <w:color w:val="77328A"/>
          <w:sz w:val="16"/>
          <w:szCs w:val="16"/>
        </w:rPr>
        <w:t>.</w:t>
      </w:r>
      <w:r w:rsidRPr="007117EF">
        <w:rPr>
          <w:rFonts w:ascii="Verdana" w:hAnsi="Verdana"/>
          <w:color w:val="77328A"/>
          <w:sz w:val="16"/>
          <w:szCs w:val="16"/>
        </w:rPr>
        <w:t xml:space="preserve">  </w:t>
      </w:r>
    </w:p>
  </w:footnote>
  <w:footnote w:id="83">
    <w:p w14:paraId="702BD47E" w14:textId="5DEC6565" w:rsidR="000C79A6" w:rsidRPr="007117EF" w:rsidRDefault="000C79A6" w:rsidP="000C79A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 xml:space="preserve">Joint Committee of the Irish Human Rights and Equality Commission and the </w:t>
      </w:r>
      <w:r w:rsidR="006E36C3" w:rsidRPr="007117EF">
        <w:rPr>
          <w:rFonts w:ascii="Verdana" w:hAnsi="Verdana" w:cs="YIUEB V+ Gotham"/>
          <w:color w:val="77328A"/>
          <w:sz w:val="16"/>
          <w:szCs w:val="16"/>
        </w:rPr>
        <w:t>N</w:t>
      </w:r>
      <w:r w:rsidRPr="007117EF">
        <w:rPr>
          <w:rFonts w:ascii="Verdana" w:hAnsi="Verdana" w:cs="YIUEB V+ Gotham"/>
          <w:color w:val="77328A"/>
          <w:sz w:val="16"/>
          <w:szCs w:val="16"/>
        </w:rPr>
        <w:t>I Human Rights Commission ‘Policy statement on the United Kingdom withdrawal from the European Union’ (NIHRC and IHREC, 2018), at 10-11.</w:t>
      </w:r>
    </w:p>
  </w:footnote>
  <w:footnote w:id="84">
    <w:p w14:paraId="1E5870A5" w14:textId="4963254B" w:rsidR="009E662B" w:rsidRPr="00476666" w:rsidRDefault="009E662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B5B2E" w:rsidRPr="007117EF">
        <w:rPr>
          <w:rFonts w:ascii="Verdana" w:hAnsi="Verdana"/>
          <w:color w:val="77328A"/>
          <w:sz w:val="16"/>
          <w:szCs w:val="16"/>
        </w:rPr>
        <w:t>Letter from the NI Human Rights Commission to the Secretary of State for the Home Department</w:t>
      </w:r>
      <w:r w:rsidR="002A1511" w:rsidRPr="007117EF">
        <w:rPr>
          <w:rFonts w:ascii="Verdana" w:hAnsi="Verdana"/>
          <w:color w:val="77328A"/>
          <w:sz w:val="16"/>
          <w:szCs w:val="16"/>
        </w:rPr>
        <w:t xml:space="preserve">, </w:t>
      </w:r>
      <w:r w:rsidR="00FB7A48" w:rsidRPr="007117EF">
        <w:rPr>
          <w:rFonts w:ascii="Verdana" w:hAnsi="Verdana"/>
          <w:color w:val="77328A"/>
          <w:sz w:val="16"/>
          <w:szCs w:val="16"/>
        </w:rPr>
        <w:t>20 December 2021.</w:t>
      </w:r>
    </w:p>
  </w:footnote>
  <w:footnote w:id="85">
    <w:p w14:paraId="7E06BAD8" w14:textId="1B3C3CE5" w:rsidR="00551FD8" w:rsidRPr="00476666" w:rsidRDefault="00551F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Clause 71, Nationality and Borders Bill 2021.</w:t>
      </w:r>
    </w:p>
  </w:footnote>
  <w:footnote w:id="86">
    <w:p w14:paraId="09F14EC8" w14:textId="1847605F" w:rsidR="00551FD8" w:rsidRPr="007117EF" w:rsidRDefault="00551F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Section 3ZA, Immigration Act 1971.</w:t>
      </w:r>
    </w:p>
  </w:footnote>
  <w:footnote w:id="87">
    <w:p w14:paraId="784D05B1" w14:textId="42915E75" w:rsidR="007B00D7" w:rsidRPr="007117EF" w:rsidRDefault="007B00D7" w:rsidP="00CC2DC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CB7186" w:rsidRPr="007117EF">
        <w:rPr>
          <w:rFonts w:ascii="Verdana" w:hAnsi="Verdana"/>
          <w:color w:val="77328A"/>
          <w:sz w:val="16"/>
          <w:szCs w:val="16"/>
        </w:rPr>
        <w:t xml:space="preserve"> </w:t>
      </w:r>
      <w:r w:rsidR="00D47BA8" w:rsidRPr="007117EF">
        <w:rPr>
          <w:rFonts w:ascii="Verdana" w:hAnsi="Verdana"/>
          <w:color w:val="77328A"/>
          <w:sz w:val="16"/>
          <w:szCs w:val="16"/>
        </w:rPr>
        <w:t>NI Human Rights Commission and Equality Commission</w:t>
      </w:r>
      <w:r w:rsidR="00A70EB5" w:rsidRPr="007117EF">
        <w:rPr>
          <w:rFonts w:ascii="Verdana" w:hAnsi="Verdana"/>
          <w:color w:val="77328A"/>
          <w:sz w:val="16"/>
          <w:szCs w:val="16"/>
        </w:rPr>
        <w:t xml:space="preserve"> NI, ‘Joint Submission to House of Lords on the Nationality and Borders Bill, </w:t>
      </w:r>
      <w:r w:rsidR="005A0F92" w:rsidRPr="007117EF">
        <w:rPr>
          <w:rFonts w:ascii="Verdana" w:hAnsi="Verdana"/>
          <w:color w:val="77328A"/>
          <w:sz w:val="16"/>
          <w:szCs w:val="16"/>
        </w:rPr>
        <w:t>(</w:t>
      </w:r>
      <w:r w:rsidR="00A17227" w:rsidRPr="007117EF">
        <w:rPr>
          <w:rFonts w:ascii="Verdana" w:hAnsi="Verdana"/>
          <w:color w:val="77328A"/>
          <w:sz w:val="16"/>
          <w:szCs w:val="16"/>
        </w:rPr>
        <w:t xml:space="preserve">NIHRC and ECNI, </w:t>
      </w:r>
      <w:r w:rsidR="005A0F92" w:rsidRPr="007117EF">
        <w:rPr>
          <w:rFonts w:ascii="Verdana" w:hAnsi="Verdana"/>
          <w:color w:val="77328A"/>
          <w:sz w:val="16"/>
          <w:szCs w:val="16"/>
        </w:rPr>
        <w:t xml:space="preserve">2022), at </w:t>
      </w:r>
      <w:r w:rsidR="00F0274D" w:rsidRPr="007117EF">
        <w:rPr>
          <w:rFonts w:ascii="Verdana" w:hAnsi="Verdana"/>
          <w:color w:val="77328A"/>
          <w:sz w:val="16"/>
          <w:szCs w:val="16"/>
        </w:rPr>
        <w:t>11-</w:t>
      </w:r>
      <w:r w:rsidR="005834CC" w:rsidRPr="007117EF">
        <w:rPr>
          <w:rFonts w:ascii="Verdana" w:hAnsi="Verdana"/>
          <w:color w:val="77328A"/>
          <w:sz w:val="16"/>
          <w:szCs w:val="16"/>
        </w:rPr>
        <w:t xml:space="preserve">12. </w:t>
      </w:r>
    </w:p>
  </w:footnote>
  <w:footnote w:id="88">
    <w:p w14:paraId="7E7191E2" w14:textId="48B7F91B" w:rsidR="00551FD8" w:rsidRPr="007117EF" w:rsidRDefault="00551FD8" w:rsidP="00CC2DC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scheme gives effect to the Citizens’ Rights provisions in the UK-EU Withdrawal Agreement, see Part 2, UK-EU Withdrawal Agreement 2020.</w:t>
      </w:r>
    </w:p>
  </w:footnote>
  <w:footnote w:id="89">
    <w:p w14:paraId="2BE6BDBB" w14:textId="01FC5D54" w:rsidR="009D189A" w:rsidRPr="007117EF" w:rsidRDefault="009D189A" w:rsidP="00CC2DC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366E1" w:rsidRPr="007117EF">
        <w:rPr>
          <w:rFonts w:ascii="Verdana" w:hAnsi="Verdana"/>
          <w:color w:val="77328A"/>
          <w:sz w:val="16"/>
          <w:szCs w:val="16"/>
        </w:rPr>
        <w:t>Home Office, ‘EU Settlement Scheme: EU, other EEA and Swiss citizens and their family members – Version 15.0’ (HO, 2021)</w:t>
      </w:r>
      <w:r w:rsidR="003F1EDB" w:rsidRPr="007117EF">
        <w:rPr>
          <w:rFonts w:ascii="Verdana" w:hAnsi="Verdana"/>
          <w:color w:val="77328A"/>
          <w:sz w:val="16"/>
          <w:szCs w:val="16"/>
        </w:rPr>
        <w:t>.</w:t>
      </w:r>
    </w:p>
  </w:footnote>
  <w:footnote w:id="90">
    <w:p w14:paraId="1E693921" w14:textId="78773979" w:rsidR="003F1EDB" w:rsidRPr="007117EF" w:rsidRDefault="003F1E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551FD8" w:rsidRPr="007117EF">
        <w:rPr>
          <w:rFonts w:ascii="Verdana" w:hAnsi="Verdana"/>
          <w:color w:val="77328A"/>
          <w:sz w:val="16"/>
          <w:szCs w:val="16"/>
        </w:rPr>
        <w:t xml:space="preserve"> </w:t>
      </w:r>
      <w:r w:rsidR="00551FD8" w:rsidRPr="007117EF">
        <w:rPr>
          <w:rFonts w:ascii="Verdana" w:hAnsi="Verdana" w:cs="YIUEB V+ Gotham"/>
          <w:color w:val="77328A"/>
          <w:sz w:val="16"/>
          <w:szCs w:val="16"/>
        </w:rPr>
        <w:t>House of Lords European Affairs Select Committee, ‘Citizens’ Rights, 1st Report of Session 2021/2022'’, (HL, 2021)</w:t>
      </w:r>
      <w:r w:rsidR="00551FD8" w:rsidRPr="007117EF">
        <w:rPr>
          <w:rFonts w:ascii="Verdana" w:hAnsi="Verdana"/>
          <w:color w:val="77328A"/>
          <w:sz w:val="16"/>
          <w:szCs w:val="16"/>
        </w:rPr>
        <w:t>, at 37.</w:t>
      </w:r>
    </w:p>
  </w:footnote>
  <w:footnote w:id="91">
    <w:p w14:paraId="4B4AAD2B" w14:textId="0D5C52B9" w:rsidR="003F1EDB" w:rsidRPr="007117EF" w:rsidRDefault="003F1E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8D080C" w:rsidRPr="007117EF">
        <w:rPr>
          <w:rFonts w:ascii="Verdana" w:hAnsi="Verdana"/>
          <w:color w:val="77328A"/>
          <w:sz w:val="16"/>
          <w:szCs w:val="16"/>
        </w:rPr>
        <w:t>,</w:t>
      </w:r>
      <w:r w:rsidRPr="007117EF">
        <w:rPr>
          <w:rFonts w:ascii="Verdana" w:hAnsi="Verdana"/>
          <w:color w:val="77328A"/>
          <w:sz w:val="16"/>
          <w:szCs w:val="16"/>
        </w:rPr>
        <w:t xml:space="preserve"> at</w:t>
      </w:r>
      <w:r w:rsidR="001F0F11" w:rsidRPr="007117EF">
        <w:rPr>
          <w:rFonts w:ascii="Verdana" w:hAnsi="Verdana"/>
          <w:color w:val="77328A"/>
          <w:sz w:val="16"/>
          <w:szCs w:val="16"/>
        </w:rPr>
        <w:t xml:space="preserve"> </w:t>
      </w:r>
      <w:r w:rsidR="008D080C" w:rsidRPr="007117EF">
        <w:rPr>
          <w:rFonts w:ascii="Verdana" w:hAnsi="Verdana"/>
          <w:color w:val="77328A"/>
          <w:sz w:val="16"/>
          <w:szCs w:val="16"/>
        </w:rPr>
        <w:t>39.</w:t>
      </w:r>
    </w:p>
  </w:footnote>
  <w:footnote w:id="92">
    <w:p w14:paraId="57DD826B" w14:textId="4D931C0E" w:rsidR="003F1EDB" w:rsidRPr="007117EF" w:rsidRDefault="003F1E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AD2038" w:rsidRPr="007117EF">
        <w:rPr>
          <w:rFonts w:ascii="Verdana" w:hAnsi="Verdana"/>
          <w:color w:val="77328A"/>
          <w:sz w:val="16"/>
          <w:szCs w:val="16"/>
        </w:rPr>
        <w:t>,</w:t>
      </w:r>
      <w:r w:rsidRPr="007117EF">
        <w:rPr>
          <w:rFonts w:ascii="Verdana" w:hAnsi="Verdana"/>
          <w:color w:val="77328A"/>
          <w:sz w:val="16"/>
          <w:szCs w:val="16"/>
        </w:rPr>
        <w:t xml:space="preserve"> at</w:t>
      </w:r>
      <w:r w:rsidR="008D080C" w:rsidRPr="007117EF">
        <w:rPr>
          <w:rFonts w:ascii="Verdana" w:hAnsi="Verdana"/>
          <w:color w:val="77328A"/>
          <w:sz w:val="16"/>
          <w:szCs w:val="16"/>
        </w:rPr>
        <w:t xml:space="preserve"> </w:t>
      </w:r>
      <w:r w:rsidR="009467D0" w:rsidRPr="007117EF">
        <w:rPr>
          <w:rFonts w:ascii="Verdana" w:hAnsi="Verdana"/>
          <w:color w:val="77328A"/>
          <w:sz w:val="16"/>
          <w:szCs w:val="16"/>
        </w:rPr>
        <w:t>49.</w:t>
      </w:r>
    </w:p>
  </w:footnote>
  <w:footnote w:id="93">
    <w:p w14:paraId="7864C7C3" w14:textId="2DFD8810" w:rsidR="00EE611C" w:rsidRPr="007117EF" w:rsidRDefault="00EE611C" w:rsidP="00600839">
      <w:pPr>
        <w:pStyle w:val="Pa151"/>
        <w:spacing w:line="240" w:lineRule="auto"/>
        <w:ind w:right="280"/>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bookmarkStart w:id="19" w:name="_Hlk94860616"/>
      <w:r w:rsidRPr="007117EF">
        <w:rPr>
          <w:rFonts w:ascii="Verdana" w:hAnsi="Verdana" w:cs="YIUEB V+ Gotham"/>
          <w:color w:val="77328A"/>
          <w:sz w:val="16"/>
          <w:szCs w:val="16"/>
        </w:rPr>
        <w:t xml:space="preserve">Home Office, ‘EU Settlement Scheme: EU, other EEA and Swiss citizens and their family members – Version </w:t>
      </w:r>
      <w:r w:rsidR="00551FD8" w:rsidRPr="007117EF">
        <w:rPr>
          <w:rFonts w:ascii="Verdana" w:hAnsi="Verdana" w:cs="YIUEB V+ Gotham"/>
          <w:color w:val="77328A"/>
          <w:sz w:val="16"/>
          <w:szCs w:val="16"/>
        </w:rPr>
        <w:t>15</w:t>
      </w:r>
      <w:r w:rsidRPr="007117EF">
        <w:rPr>
          <w:rFonts w:ascii="Verdana" w:hAnsi="Verdana" w:cs="YIUEB V+ Gotham"/>
          <w:color w:val="77328A"/>
          <w:sz w:val="16"/>
          <w:szCs w:val="16"/>
        </w:rPr>
        <w:t xml:space="preserve">.0’ (HO, 2021), </w:t>
      </w:r>
      <w:bookmarkEnd w:id="19"/>
      <w:r w:rsidRPr="007117EF">
        <w:rPr>
          <w:rFonts w:ascii="Verdana" w:hAnsi="Verdana" w:cs="YIUEB V+ Gotham"/>
          <w:color w:val="77328A"/>
          <w:sz w:val="16"/>
          <w:szCs w:val="16"/>
        </w:rPr>
        <w:t>at 31-32.</w:t>
      </w:r>
    </w:p>
  </w:footnote>
  <w:footnote w:id="94">
    <w:p w14:paraId="579A9F49" w14:textId="3D14F817" w:rsidR="00715E2B" w:rsidRPr="007117EF" w:rsidRDefault="00715E2B" w:rsidP="0060083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44453" w:rsidRPr="007117EF">
        <w:rPr>
          <w:rFonts w:ascii="Verdana" w:hAnsi="Verdana" w:cs="YIUEB V+ Gotham"/>
          <w:color w:val="77328A"/>
          <w:sz w:val="16"/>
          <w:szCs w:val="16"/>
        </w:rPr>
        <w:t>Home Office, ‘Press Release: Temporary protection for more applicants to the Settlement Scheme’, 6 August 2021.</w:t>
      </w:r>
    </w:p>
  </w:footnote>
  <w:footnote w:id="95">
    <w:p w14:paraId="1A0B0FDF" w14:textId="4EC083B6" w:rsidR="001F5A4E" w:rsidRPr="007117EF" w:rsidRDefault="001F5A4E" w:rsidP="0060083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Independent Monitoring Authority, ‘Press Release: Home Office asked to clarify the rights of EU citizens applying late to the EU Settlement Scheme’, 27 September 2021.</w:t>
      </w:r>
    </w:p>
  </w:footnote>
  <w:footnote w:id="96">
    <w:p w14:paraId="58E0AC35" w14:textId="2423F26A" w:rsidR="00E34525" w:rsidRPr="007117EF" w:rsidRDefault="00E34525" w:rsidP="00606C81">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54815" w:rsidRPr="007117EF">
        <w:rPr>
          <w:rFonts w:ascii="Verdana" w:hAnsi="Verdana" w:cs="YIUEB V+ Gotham"/>
          <w:color w:val="77328A"/>
          <w:sz w:val="16"/>
          <w:szCs w:val="16"/>
        </w:rPr>
        <w:t>Home Office, ‘EU Settlement Scheme: Suitability Requirements – Version 6.0 (HO, 2021).</w:t>
      </w:r>
    </w:p>
  </w:footnote>
  <w:footnote w:id="97">
    <w:p w14:paraId="64063B9B" w14:textId="3FE74148" w:rsidR="00E34525" w:rsidRPr="007117EF" w:rsidRDefault="00E34525" w:rsidP="00606C81">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C5C08" w:rsidRPr="007117EF">
        <w:rPr>
          <w:rFonts w:ascii="Verdana" w:hAnsi="Verdana" w:cs="YIUEB V+ Gotham"/>
          <w:color w:val="77328A"/>
          <w:sz w:val="16"/>
          <w:szCs w:val="16"/>
        </w:rPr>
        <w:t xml:space="preserve">Cormac Campbell, ‘Coronavirus: COVID-19 courthouse closures create huge backlog’, </w:t>
      </w:r>
      <w:r w:rsidR="001C5C08" w:rsidRPr="007117EF">
        <w:rPr>
          <w:rFonts w:ascii="Verdana" w:hAnsi="Verdana" w:cs="Gotham Light"/>
          <w:i/>
          <w:color w:val="77328A"/>
          <w:sz w:val="16"/>
          <w:szCs w:val="16"/>
        </w:rPr>
        <w:t>BBC News</w:t>
      </w:r>
      <w:r w:rsidR="001C5C08" w:rsidRPr="007117EF">
        <w:rPr>
          <w:rFonts w:ascii="Verdana" w:hAnsi="Verdana" w:cs="YIUEB V+ Gotham"/>
          <w:color w:val="77328A"/>
          <w:sz w:val="16"/>
          <w:szCs w:val="16"/>
        </w:rPr>
        <w:t>, 15 July 2020; Northern Ireland Audit Office, ‘Speeding Up Justice: Avoidable Delay in the Criminal Justice System’ (NIAO, 2018).</w:t>
      </w:r>
    </w:p>
  </w:footnote>
  <w:footnote w:id="98">
    <w:p w14:paraId="1BF3D94F" w14:textId="20212E6C" w:rsidR="00A72086" w:rsidRPr="007117EF" w:rsidRDefault="00A72086" w:rsidP="00A7208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Letter from the NI Human Rights Commission to the NI Housing Executive, 22 July 2021.</w:t>
      </w:r>
    </w:p>
  </w:footnote>
  <w:footnote w:id="99">
    <w:p w14:paraId="3040AD71" w14:textId="6BD86104" w:rsidR="006E5C7B" w:rsidRPr="007117EF" w:rsidRDefault="006E5C7B" w:rsidP="00C5185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06C81" w:rsidRPr="007117EF">
        <w:rPr>
          <w:rFonts w:ascii="Verdana" w:hAnsi="Verdana" w:cs="YIUEB V+ Gotham"/>
          <w:color w:val="77328A"/>
          <w:sz w:val="16"/>
          <w:szCs w:val="16"/>
        </w:rPr>
        <w:t>Letter from the NI Human Rights Commission and Equality Commission for NI to the Independent Monitoring Authority, 23 August 2021</w:t>
      </w:r>
      <w:r w:rsidR="00E5776D" w:rsidRPr="007117EF">
        <w:rPr>
          <w:rFonts w:ascii="Verdana" w:hAnsi="Verdana" w:cs="YIUEB V+ Gotham"/>
          <w:color w:val="77328A"/>
          <w:sz w:val="16"/>
          <w:szCs w:val="16"/>
        </w:rPr>
        <w:t>.</w:t>
      </w:r>
    </w:p>
  </w:footnote>
  <w:footnote w:id="100">
    <w:p w14:paraId="04212DE6" w14:textId="798E24E1" w:rsidR="0006058D" w:rsidRPr="007117EF" w:rsidRDefault="0006058D" w:rsidP="00C5185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21D0C" w:rsidRPr="007117EF">
        <w:rPr>
          <w:rFonts w:ascii="Verdana" w:hAnsi="Verdana" w:cs="YIUEB V+ Gotham"/>
          <w:color w:val="77328A"/>
          <w:sz w:val="16"/>
          <w:szCs w:val="16"/>
        </w:rPr>
        <w:t>Regulation 9(3)(d), The Universal Credit Regulations (Northern Ireland) 2016.</w:t>
      </w:r>
    </w:p>
  </w:footnote>
  <w:footnote w:id="101">
    <w:p w14:paraId="033E709A" w14:textId="1309C3F7" w:rsidR="0006058D" w:rsidRPr="007117EF" w:rsidRDefault="0006058D" w:rsidP="00C51859">
      <w:pPr>
        <w:pStyle w:val="Pa21"/>
        <w:spacing w:line="240" w:lineRule="auto"/>
        <w:rPr>
          <w:rFonts w:ascii="Verdana" w:eastAsiaTheme="minorEastAsia" w:hAnsi="Verdana" w:cs="Gotham Light"/>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E1751" w:rsidRPr="007117EF">
        <w:rPr>
          <w:rFonts w:ascii="Verdana" w:hAnsi="Verdana" w:cs="Gotham Light"/>
          <w:i/>
          <w:color w:val="77328A"/>
          <w:sz w:val="16"/>
          <w:szCs w:val="16"/>
        </w:rPr>
        <w:t>CG v Department for Communities</w:t>
      </w:r>
      <w:r w:rsidR="00DE1751" w:rsidRPr="007117EF">
        <w:rPr>
          <w:rFonts w:ascii="Verdana" w:hAnsi="Verdana" w:cs="YIUEB V+ Gotham"/>
          <w:color w:val="77328A"/>
          <w:sz w:val="16"/>
          <w:szCs w:val="16"/>
        </w:rPr>
        <w:t>, Case C-709/20, 15 July 2021.</w:t>
      </w:r>
    </w:p>
  </w:footnote>
  <w:footnote w:id="102">
    <w:p w14:paraId="3B9E74CB" w14:textId="47987398" w:rsidR="00551FD8" w:rsidRPr="007117EF" w:rsidRDefault="00551FD8" w:rsidP="00C5185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Article 1, EU Charter of Fundamental Rights.</w:t>
      </w:r>
    </w:p>
  </w:footnote>
  <w:footnote w:id="103">
    <w:p w14:paraId="78153E46" w14:textId="12FDD82A" w:rsidR="00551FD8" w:rsidRPr="007117EF" w:rsidRDefault="00551FD8" w:rsidP="00C5185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Article 7, EU Charter of Fundamental Rights.</w:t>
      </w:r>
    </w:p>
  </w:footnote>
  <w:footnote w:id="104">
    <w:p w14:paraId="48420151" w14:textId="5AD330B6" w:rsidR="00551FD8" w:rsidRPr="007117EF" w:rsidRDefault="00551FD8" w:rsidP="00C5185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Article 24, EU Charter of Fundamental Rights.</w:t>
      </w:r>
    </w:p>
  </w:footnote>
  <w:footnote w:id="105">
    <w:p w14:paraId="5367734F" w14:textId="77777777" w:rsidR="00551FD8" w:rsidRPr="007117EF" w:rsidRDefault="00551FD8" w:rsidP="004737AA">
      <w:pPr>
        <w:pStyle w:val="Pa151"/>
        <w:spacing w:line="240" w:lineRule="auto"/>
        <w:ind w:right="280"/>
        <w:rPr>
          <w:rFonts w:ascii="Verdana" w:hAnsi="Verdana" w:cs="Gotham Light"/>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Gotham Light"/>
          <w:i/>
          <w:color w:val="77328A"/>
          <w:sz w:val="16"/>
          <w:szCs w:val="16"/>
        </w:rPr>
        <w:t>CG v Department for Communities</w:t>
      </w:r>
      <w:r w:rsidRPr="007117EF">
        <w:rPr>
          <w:rFonts w:ascii="Verdana" w:hAnsi="Verdana" w:cs="YIUEB V+ Gotham"/>
          <w:color w:val="77328A"/>
          <w:sz w:val="16"/>
          <w:szCs w:val="16"/>
        </w:rPr>
        <w:t>, Case C-709/20, 15 July 2021, at para 92.</w:t>
      </w:r>
    </w:p>
  </w:footnote>
  <w:footnote w:id="106">
    <w:p w14:paraId="5BA09D51" w14:textId="688F9820" w:rsidR="003B4B2A" w:rsidRPr="007117EF" w:rsidRDefault="003B4B2A" w:rsidP="003B4B2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647F5" w:rsidRPr="007117EF">
        <w:rPr>
          <w:rFonts w:ascii="Verdana" w:hAnsi="Verdana"/>
          <w:i/>
          <w:color w:val="77328A"/>
          <w:sz w:val="16"/>
          <w:szCs w:val="16"/>
        </w:rPr>
        <w:t>Fratila and another v Secretary of State for Work and Pensions</w:t>
      </w:r>
      <w:r w:rsidR="003647F5" w:rsidRPr="007117EF">
        <w:rPr>
          <w:rFonts w:ascii="Verdana" w:hAnsi="Verdana"/>
          <w:color w:val="77328A"/>
          <w:sz w:val="16"/>
          <w:szCs w:val="16"/>
        </w:rPr>
        <w:t xml:space="preserve"> [2021] UKSC 53.</w:t>
      </w:r>
    </w:p>
  </w:footnote>
  <w:footnote w:id="107">
    <w:p w14:paraId="3BC006A4" w14:textId="44AFC0EE" w:rsidR="003B4B2A" w:rsidRPr="007117EF" w:rsidRDefault="003B4B2A" w:rsidP="003B4B2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Art 18</w:t>
      </w:r>
      <w:r w:rsidR="00AD0A6E" w:rsidRPr="007117EF">
        <w:rPr>
          <w:rFonts w:ascii="Verdana" w:hAnsi="Verdana"/>
          <w:color w:val="77328A"/>
          <w:sz w:val="16"/>
          <w:szCs w:val="16"/>
        </w:rPr>
        <w:t>,</w:t>
      </w:r>
      <w:r w:rsidR="004F4D53" w:rsidRPr="007117EF">
        <w:rPr>
          <w:rFonts w:ascii="Verdana" w:hAnsi="Verdana"/>
          <w:color w:val="77328A"/>
          <w:sz w:val="16"/>
          <w:szCs w:val="16"/>
        </w:rPr>
        <w:t xml:space="preserve"> </w:t>
      </w:r>
      <w:r w:rsidR="00E5001D" w:rsidRPr="007117EF">
        <w:rPr>
          <w:rFonts w:ascii="Verdana" w:hAnsi="Verdana"/>
          <w:color w:val="77328A"/>
          <w:sz w:val="16"/>
          <w:szCs w:val="16"/>
        </w:rPr>
        <w:t>Treaty on European Union and the Treaty on the Functioning of the European Union (TFEU) [2016] OJ C202/</w:t>
      </w:r>
      <w:proofErr w:type="gramStart"/>
      <w:r w:rsidR="00E5001D" w:rsidRPr="007117EF">
        <w:rPr>
          <w:rFonts w:ascii="Verdana" w:hAnsi="Verdana"/>
          <w:color w:val="77328A"/>
          <w:sz w:val="16"/>
          <w:szCs w:val="16"/>
        </w:rPr>
        <w:t>1;</w:t>
      </w:r>
      <w:proofErr w:type="gramEnd"/>
      <w:r w:rsidR="00E5001D" w:rsidRPr="007117EF">
        <w:rPr>
          <w:rFonts w:ascii="Verdana" w:hAnsi="Verdana"/>
          <w:color w:val="77328A"/>
          <w:sz w:val="16"/>
          <w:szCs w:val="16"/>
        </w:rPr>
        <w:t xml:space="preserve"> </w:t>
      </w:r>
    </w:p>
  </w:footnote>
  <w:footnote w:id="108">
    <w:p w14:paraId="50CB8FBA" w14:textId="3D1CD1E7" w:rsidR="003B4B2A" w:rsidRPr="00476666" w:rsidRDefault="003B4B2A" w:rsidP="003B4B2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F38DD" w:rsidRPr="007117EF">
        <w:rPr>
          <w:rFonts w:ascii="Verdana" w:hAnsi="Verdana"/>
          <w:color w:val="77328A"/>
          <w:sz w:val="16"/>
          <w:szCs w:val="16"/>
        </w:rPr>
        <w:t>Directive 2004/38/EC of the European Parliament and of the Council of 29 April 2004 on the right of citizens of the Union and their family members to move and reside freely within the territory of the Member States.</w:t>
      </w:r>
    </w:p>
  </w:footnote>
  <w:footnote w:id="109">
    <w:p w14:paraId="440017F1" w14:textId="43350693" w:rsidR="005E6F32" w:rsidRPr="007117EF" w:rsidRDefault="005E6F32"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D2E77" w:rsidRPr="007117EF">
        <w:rPr>
          <w:rFonts w:ascii="Verdana" w:hAnsi="Verdana" w:cs="YIUEB V+ Gotham"/>
          <w:color w:val="77328A"/>
          <w:sz w:val="16"/>
          <w:szCs w:val="16"/>
        </w:rPr>
        <w:t>Independent Monitoring Authority, ‘Press Release: IMA issues Pre-Action Protocol Letter to the Home Office’, 15 October 2021.</w:t>
      </w:r>
    </w:p>
  </w:footnote>
  <w:footnote w:id="110">
    <w:p w14:paraId="2B73B748" w14:textId="002421BC" w:rsidR="00AE5B63" w:rsidRPr="007117EF" w:rsidRDefault="00AE5B63"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65A1C" w:rsidRPr="007117EF">
        <w:rPr>
          <w:rFonts w:ascii="Verdana" w:hAnsi="Verdana" w:cs="YIUEB V+ Gotham"/>
          <w:color w:val="77328A"/>
          <w:sz w:val="16"/>
          <w:szCs w:val="16"/>
        </w:rPr>
        <w:t>Alison Harvey, ‘A Legal Analysis of Incorporating into UK Law the Birthright Commitment under the Belfast (Good Friday) Agreement 1998’, (NIHRC and IHREC, 2020).</w:t>
      </w:r>
    </w:p>
  </w:footnote>
  <w:footnote w:id="111">
    <w:p w14:paraId="150E8B51" w14:textId="32634302" w:rsidR="000F5EF0" w:rsidRPr="007117EF" w:rsidRDefault="000F5EF0" w:rsidP="000E6F07">
      <w:pPr>
        <w:pStyle w:val="Pa21"/>
        <w:spacing w:line="240" w:lineRule="auto"/>
        <w:rPr>
          <w:rFonts w:ascii="Verdana" w:eastAsiaTheme="minorEastAsia" w:hAnsi="Verdana" w:cs="Gotham Light"/>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73F58" w:rsidRPr="007117EF">
        <w:rPr>
          <w:rFonts w:ascii="Verdana" w:hAnsi="Verdana" w:cs="Gotham Light"/>
          <w:i/>
          <w:color w:val="77328A"/>
          <w:sz w:val="16"/>
          <w:szCs w:val="16"/>
        </w:rPr>
        <w:t xml:space="preserve">De Souza (Good Friday Agreement: Nationality) </w:t>
      </w:r>
      <w:r w:rsidR="00D73F58" w:rsidRPr="007117EF">
        <w:rPr>
          <w:rFonts w:ascii="Verdana" w:hAnsi="Verdana" w:cs="YIUEB V+ Gotham"/>
          <w:color w:val="77328A"/>
          <w:sz w:val="16"/>
          <w:szCs w:val="16"/>
        </w:rPr>
        <w:t>[2019] UKUT 355 (IAC),</w:t>
      </w:r>
      <w:r w:rsidR="00C04FBC" w:rsidRPr="007117EF">
        <w:rPr>
          <w:rFonts w:ascii="Verdana" w:hAnsi="Verdana" w:cs="YIUEB V+ Gotham"/>
          <w:color w:val="77328A"/>
          <w:sz w:val="16"/>
          <w:szCs w:val="16"/>
        </w:rPr>
        <w:t xml:space="preserve"> </w:t>
      </w:r>
      <w:r w:rsidR="00A93FF3" w:rsidRPr="007117EF">
        <w:rPr>
          <w:rFonts w:ascii="Verdana" w:hAnsi="Verdana" w:cs="YIUEB V+ Gotham"/>
          <w:color w:val="77328A"/>
          <w:sz w:val="16"/>
          <w:szCs w:val="16"/>
        </w:rPr>
        <w:t>at</w:t>
      </w:r>
      <w:r w:rsidR="00D73F58" w:rsidRPr="007117EF">
        <w:rPr>
          <w:rFonts w:ascii="Verdana" w:hAnsi="Verdana" w:cs="YIUEB V+ Gotham"/>
          <w:color w:val="77328A"/>
          <w:sz w:val="16"/>
          <w:szCs w:val="16"/>
        </w:rPr>
        <w:t xml:space="preserve"> para 54</w:t>
      </w:r>
      <w:r w:rsidR="00A93FF3" w:rsidRPr="007117EF">
        <w:rPr>
          <w:rFonts w:ascii="Verdana" w:hAnsi="Verdana" w:cs="YIUEB V+ Gotham"/>
          <w:color w:val="77328A"/>
          <w:sz w:val="16"/>
          <w:szCs w:val="16"/>
        </w:rPr>
        <w:t>.</w:t>
      </w:r>
    </w:p>
  </w:footnote>
  <w:footnote w:id="112">
    <w:p w14:paraId="76A0F7C2" w14:textId="69406C86" w:rsidR="000F5EF0" w:rsidRPr="007117EF" w:rsidRDefault="000F5EF0" w:rsidP="000E6F07">
      <w:pPr>
        <w:pStyle w:val="Pa21"/>
        <w:spacing w:line="240" w:lineRule="auto"/>
        <w:rPr>
          <w:rFonts w:ascii="Verdana" w:eastAsiaTheme="minorEastAsia" w:hAnsi="Verdana" w:cs="Gotham Light"/>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25B7C" w:rsidRPr="007117EF">
        <w:rPr>
          <w:rFonts w:ascii="Verdana" w:hAnsi="Verdana" w:cs="Gotham Light"/>
          <w:i/>
          <w:color w:val="77328A"/>
          <w:sz w:val="16"/>
          <w:szCs w:val="16"/>
        </w:rPr>
        <w:t xml:space="preserve">In the Matter of NÍ Chuinneagain </w:t>
      </w:r>
      <w:r w:rsidR="00C25B7C" w:rsidRPr="007117EF">
        <w:rPr>
          <w:rFonts w:ascii="Verdana" w:hAnsi="Verdana" w:cs="YIUEB V+ Gotham"/>
          <w:color w:val="77328A"/>
          <w:sz w:val="16"/>
          <w:szCs w:val="16"/>
        </w:rPr>
        <w:t>[2021] NIQB 79, at para 17.</w:t>
      </w:r>
    </w:p>
  </w:footnote>
  <w:footnote w:id="113">
    <w:p w14:paraId="34685253" w14:textId="3AF2E313" w:rsidR="00AB3EF9" w:rsidRPr="007117EF" w:rsidRDefault="00AB3EF9"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1401E" w:rsidRPr="007117EF">
        <w:rPr>
          <w:rFonts w:ascii="Verdana" w:hAnsi="Verdana" w:cs="YIUEB V+ Gotham"/>
          <w:color w:val="77328A"/>
          <w:sz w:val="16"/>
          <w:szCs w:val="16"/>
        </w:rPr>
        <w:t>NI Office, New Decade New Approach, (NI Office, 2020), at 48.</w:t>
      </w:r>
    </w:p>
  </w:footnote>
  <w:footnote w:id="114">
    <w:p w14:paraId="395B97F9" w14:textId="344B43A7" w:rsidR="00221C80" w:rsidRPr="007117EF" w:rsidRDefault="00221C80"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1401E" w:rsidRPr="007117EF">
        <w:rPr>
          <w:rFonts w:ascii="Verdana" w:hAnsi="Verdana" w:cs="YIUEB V+ Gotham"/>
          <w:color w:val="77328A"/>
          <w:sz w:val="16"/>
          <w:szCs w:val="16"/>
        </w:rPr>
        <w:t>Home Office, ‘Statement of Changes in Immigration Rules CP232 (HO, 2020), at 10.</w:t>
      </w:r>
    </w:p>
  </w:footnote>
  <w:footnote w:id="115">
    <w:p w14:paraId="3424FE45" w14:textId="37375A20" w:rsidR="007F2F0C" w:rsidRPr="007117EF" w:rsidRDefault="007F2F0C"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B780D" w:rsidRPr="007117EF">
        <w:rPr>
          <w:rFonts w:ascii="Verdana" w:hAnsi="Verdana" w:cs="YIUEB V+ Gotham"/>
          <w:color w:val="77328A"/>
          <w:sz w:val="16"/>
          <w:szCs w:val="16"/>
        </w:rPr>
        <w:t>NI Human Rights Commission, ‘EU Settlement Scheme extended to the people of Northern Ireland: what does it mean for me?’, (NIHRC, 2020).</w:t>
      </w:r>
    </w:p>
  </w:footnote>
  <w:footnote w:id="116">
    <w:p w14:paraId="5A900C79" w14:textId="283224C1" w:rsidR="00221C80" w:rsidRPr="007117EF" w:rsidRDefault="00221C80"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A6906" w:rsidRPr="007117EF">
        <w:rPr>
          <w:rFonts w:ascii="Verdana" w:hAnsi="Verdana" w:cs="YIUEB V+ Gotham"/>
          <w:color w:val="77328A"/>
          <w:sz w:val="16"/>
          <w:szCs w:val="16"/>
        </w:rPr>
        <w:t xml:space="preserve">Correspondence from Robert Walker MO, Minister of State for NI and Kevin Foster MP, Minister for Future Borders and Immigration to the NI Affairs Committee, 2 March 2021; </w:t>
      </w:r>
      <w:r w:rsidR="00E449B4" w:rsidRPr="007117EF">
        <w:rPr>
          <w:rFonts w:ascii="Verdana" w:hAnsi="Verdana" w:cs="YIUEB V+ Gotham"/>
          <w:color w:val="77328A"/>
          <w:sz w:val="16"/>
          <w:szCs w:val="16"/>
        </w:rPr>
        <w:t xml:space="preserve">NI Human Rights Commission, ‘Submission to the NI Affairs Committee Inquiry into Citizenship and Passport Processes’, (NIHRC, 2021); </w:t>
      </w:r>
      <w:r w:rsidR="00F95B5D" w:rsidRPr="007117EF">
        <w:rPr>
          <w:rFonts w:ascii="Verdana" w:hAnsi="Verdana"/>
          <w:color w:val="77328A"/>
          <w:sz w:val="16"/>
          <w:szCs w:val="16"/>
        </w:rPr>
        <w:t>UK Parliament Hansard, ‘NI Affairs Committee: Citizenship and Passport Process in N</w:t>
      </w:r>
      <w:r w:rsidR="00A83B74" w:rsidRPr="007117EF">
        <w:rPr>
          <w:rFonts w:ascii="Verdana" w:hAnsi="Verdana"/>
          <w:color w:val="77328A"/>
          <w:sz w:val="16"/>
          <w:szCs w:val="16"/>
        </w:rPr>
        <w:t>I, HC 1111’ 10 March 2021</w:t>
      </w:r>
      <w:r w:rsidR="009A6906" w:rsidRPr="007117EF">
        <w:rPr>
          <w:rFonts w:ascii="Verdana" w:hAnsi="Verdana" w:cs="YIUEB V+ Gotham"/>
          <w:color w:val="77328A"/>
          <w:sz w:val="16"/>
          <w:szCs w:val="16"/>
        </w:rPr>
        <w:t>;</w:t>
      </w:r>
      <w:r w:rsidR="00883725" w:rsidRPr="007117EF">
        <w:rPr>
          <w:rFonts w:ascii="Verdana" w:hAnsi="Verdana" w:cs="YIUEB V+ Gotham"/>
          <w:color w:val="77328A"/>
          <w:sz w:val="16"/>
          <w:szCs w:val="16"/>
        </w:rPr>
        <w:t xml:space="preserve"> NI Human Rights Commission, ‘NI Affairs Committee Inquiry into Citizenship and Passport Processes in NI: NIHRC Commentary on the NI Office/Home Office Submission </w:t>
      </w:r>
      <w:r w:rsidR="00F62ECC" w:rsidRPr="007117EF">
        <w:rPr>
          <w:rFonts w:ascii="Verdana" w:hAnsi="Verdana" w:cs="YIUEB V+ Gotham"/>
          <w:color w:val="77328A"/>
          <w:sz w:val="16"/>
          <w:szCs w:val="16"/>
        </w:rPr>
        <w:t>to the Committee’, (NIHRC, 2021</w:t>
      </w:r>
      <w:r w:rsidR="00E5776D" w:rsidRPr="007117EF">
        <w:rPr>
          <w:rFonts w:ascii="Verdana" w:hAnsi="Verdana" w:cs="YIUEB V+ Gotham"/>
          <w:color w:val="77328A"/>
          <w:sz w:val="16"/>
          <w:szCs w:val="16"/>
        </w:rPr>
        <w:t>).</w:t>
      </w:r>
    </w:p>
  </w:footnote>
  <w:footnote w:id="117">
    <w:p w14:paraId="7356EF62" w14:textId="218049C8" w:rsidR="00221C80" w:rsidRPr="007117EF" w:rsidRDefault="00221C80"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66FFC" w:rsidRPr="007117EF">
        <w:rPr>
          <w:rFonts w:ascii="Verdana" w:hAnsi="Verdana" w:cs="YIUEB V+ Gotham"/>
          <w:color w:val="77328A"/>
          <w:sz w:val="16"/>
          <w:szCs w:val="16"/>
        </w:rPr>
        <w:t xml:space="preserve">NI Affairs Committee, ‘First Report of Session 2021/2022 on Citizenship and Passport Processes relating to Northern Ireland’ (HC, 2021), </w:t>
      </w:r>
      <w:r w:rsidR="00A93FF3" w:rsidRPr="007117EF">
        <w:rPr>
          <w:rFonts w:ascii="Verdana" w:hAnsi="Verdana" w:cs="YIUEB V+ Gotham"/>
          <w:color w:val="77328A"/>
          <w:sz w:val="16"/>
          <w:szCs w:val="16"/>
        </w:rPr>
        <w:t xml:space="preserve">at </w:t>
      </w:r>
      <w:r w:rsidR="00C66FFC" w:rsidRPr="007117EF">
        <w:rPr>
          <w:rFonts w:ascii="Verdana" w:hAnsi="Verdana" w:cs="YIUEB V+ Gotham"/>
          <w:color w:val="77328A"/>
          <w:sz w:val="16"/>
          <w:szCs w:val="16"/>
        </w:rPr>
        <w:t>para 16.</w:t>
      </w:r>
    </w:p>
  </w:footnote>
  <w:footnote w:id="118">
    <w:p w14:paraId="439C233F" w14:textId="4F3E7301" w:rsidR="00221C80" w:rsidRPr="007117EF" w:rsidRDefault="00221C80" w:rsidP="000E6F0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66FFC" w:rsidRPr="007117EF">
        <w:rPr>
          <w:rFonts w:ascii="Verdana" w:hAnsi="Verdana"/>
          <w:color w:val="77328A"/>
          <w:sz w:val="16"/>
          <w:szCs w:val="16"/>
        </w:rPr>
        <w:t xml:space="preserve">Ibid, </w:t>
      </w:r>
      <w:r w:rsidR="00A93FF3" w:rsidRPr="007117EF">
        <w:rPr>
          <w:rFonts w:ascii="Verdana" w:hAnsi="Verdana"/>
          <w:color w:val="77328A"/>
          <w:sz w:val="16"/>
          <w:szCs w:val="16"/>
        </w:rPr>
        <w:t xml:space="preserve">at </w:t>
      </w:r>
      <w:r w:rsidR="00C66FFC" w:rsidRPr="007117EF">
        <w:rPr>
          <w:rFonts w:ascii="Verdana" w:hAnsi="Verdana"/>
          <w:color w:val="77328A"/>
          <w:sz w:val="16"/>
          <w:szCs w:val="16"/>
        </w:rPr>
        <w:t>para 14.</w:t>
      </w:r>
    </w:p>
  </w:footnote>
  <w:footnote w:id="119">
    <w:p w14:paraId="7CF5191F" w14:textId="13875EFB" w:rsidR="00221C80" w:rsidRPr="007117EF" w:rsidRDefault="00221C80" w:rsidP="000E6F0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66FFC" w:rsidRPr="007117EF">
        <w:rPr>
          <w:rFonts w:ascii="Verdana" w:hAnsi="Verdana"/>
          <w:color w:val="77328A"/>
          <w:sz w:val="16"/>
          <w:szCs w:val="16"/>
        </w:rPr>
        <w:t>Ibid.</w:t>
      </w:r>
    </w:p>
  </w:footnote>
  <w:footnote w:id="120">
    <w:p w14:paraId="0704B986" w14:textId="02B995AC" w:rsidR="00D33C8F" w:rsidRPr="007117EF" w:rsidRDefault="00D33C8F"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0E6F07" w:rsidRPr="007117EF">
        <w:rPr>
          <w:rFonts w:ascii="Verdana" w:hAnsi="Verdana" w:cs="YIUEB V+ Gotham"/>
          <w:color w:val="77328A"/>
          <w:sz w:val="16"/>
          <w:szCs w:val="16"/>
        </w:rPr>
        <w:t>NI Human Rights Commission, ‘Response to Call for Evidence by the Joint Committee on Human Rights on the Nationality and Borders Bill’ (NIHRC, 2021), at paras 3.1-3.4.</w:t>
      </w:r>
    </w:p>
  </w:footnote>
  <w:footnote w:id="121">
    <w:p w14:paraId="4272F359" w14:textId="50B42CC4" w:rsidR="00D567E8" w:rsidRPr="007117EF" w:rsidRDefault="00D567E8"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B61D9" w:rsidRPr="007117EF">
        <w:rPr>
          <w:rFonts w:ascii="Verdana" w:hAnsi="Verdana" w:cs="YIUEB V+ Gotham"/>
          <w:color w:val="77328A"/>
          <w:sz w:val="16"/>
          <w:szCs w:val="16"/>
        </w:rPr>
        <w:t>Letter from the NI Human Rights Commission to Brandon Lewis MP, Secretary of State for Northern Ireland, 11 June 2021.</w:t>
      </w:r>
    </w:p>
  </w:footnote>
  <w:footnote w:id="122">
    <w:p w14:paraId="3EFA0427" w14:textId="4B520371" w:rsidR="00D567E8" w:rsidRPr="007117EF" w:rsidRDefault="00D567E8" w:rsidP="000E6F0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B61D9" w:rsidRPr="007117EF">
        <w:rPr>
          <w:rFonts w:ascii="Verdana" w:hAnsi="Verdana" w:cs="YIUEB V+ Gotham"/>
          <w:color w:val="77328A"/>
          <w:sz w:val="16"/>
          <w:szCs w:val="16"/>
        </w:rPr>
        <w:t>UK Parliament Hansard, ‘House of Commons Written Statement: Local Elections – Chloe Smith MP, Minister of State for the Constitution and Devolution - HCWS99, 17 June 2021.</w:t>
      </w:r>
    </w:p>
  </w:footnote>
  <w:footnote w:id="123">
    <w:p w14:paraId="1E8AC182" w14:textId="716F2CE0" w:rsidR="00AF6BCC" w:rsidRPr="007117EF" w:rsidRDefault="00AF6BCC" w:rsidP="00F15C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1711" w:rsidRPr="007117EF">
        <w:rPr>
          <w:rFonts w:ascii="Verdana" w:hAnsi="Verdana" w:cs="YIUEB V+ Gotham"/>
          <w:color w:val="77328A"/>
          <w:sz w:val="16"/>
          <w:szCs w:val="16"/>
        </w:rPr>
        <w:t>Letter from the NI Human Rights Commission and the Equality Commission for NI to the Public Bill Committee on the Elections Bill, 20 October 2021.</w:t>
      </w:r>
    </w:p>
  </w:footnote>
  <w:footnote w:id="124">
    <w:p w14:paraId="5784866A" w14:textId="2D8FBC5A" w:rsidR="00AF58C1" w:rsidRPr="007117EF" w:rsidRDefault="00AF58C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Letter from the NI Human Rights Commission and the Equality Commission for NI to the Chair of the Protocol on Ireland/Northern Ireland Sub-Committee</w:t>
      </w:r>
      <w:r w:rsidR="00ED596A" w:rsidRPr="007117EF">
        <w:rPr>
          <w:rFonts w:ascii="Verdana" w:hAnsi="Verdana"/>
          <w:color w:val="77328A"/>
          <w:sz w:val="16"/>
          <w:szCs w:val="16"/>
        </w:rPr>
        <w:t xml:space="preserve"> (HoL), 7 February 2022.</w:t>
      </w:r>
    </w:p>
  </w:footnote>
  <w:footnote w:id="125">
    <w:p w14:paraId="41FC6873" w14:textId="2DB64B75" w:rsidR="002934B7" w:rsidRPr="007117EF" w:rsidRDefault="002934B7" w:rsidP="00F15C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17488" w:rsidRPr="007117EF">
        <w:rPr>
          <w:rFonts w:ascii="Verdana" w:hAnsi="Verdana" w:cs="YIUEB V+ Gotham"/>
          <w:color w:val="77328A"/>
          <w:sz w:val="16"/>
          <w:szCs w:val="16"/>
        </w:rPr>
        <w:t>Citizens’ Rights (Frontier Workers) (EU Exit) Regulations 2020.</w:t>
      </w:r>
    </w:p>
  </w:footnote>
  <w:footnote w:id="126">
    <w:p w14:paraId="2B92518D" w14:textId="56742BEB" w:rsidR="002934B7" w:rsidRPr="007117EF" w:rsidRDefault="002934B7" w:rsidP="00F15C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A1948" w:rsidRPr="007117EF">
        <w:rPr>
          <w:rFonts w:ascii="Verdana" w:eastAsiaTheme="minorEastAsia" w:hAnsi="Verdana" w:cs="YIUEB V+ Gotham"/>
          <w:color w:val="77328A"/>
          <w:sz w:val="16"/>
          <w:szCs w:val="16"/>
        </w:rPr>
        <w:t xml:space="preserve">Memorandum of Understanding between the UK Government and the Government of Ireland Concerning the Common Travel Area and Associated Reciprocal Rights and Privileges, 8 May 2019, </w:t>
      </w:r>
      <w:r w:rsidR="00A93FF3" w:rsidRPr="007117EF">
        <w:rPr>
          <w:rFonts w:ascii="Verdana" w:eastAsiaTheme="minorEastAsia" w:hAnsi="Verdana" w:cs="YIUEB V+ Gotham"/>
          <w:color w:val="77328A"/>
          <w:sz w:val="16"/>
          <w:szCs w:val="16"/>
        </w:rPr>
        <w:t xml:space="preserve">at </w:t>
      </w:r>
      <w:r w:rsidR="005A1948" w:rsidRPr="007117EF">
        <w:rPr>
          <w:rFonts w:ascii="Verdana" w:eastAsiaTheme="minorEastAsia" w:hAnsi="Verdana" w:cs="YIUEB V+ Gotham"/>
          <w:color w:val="77328A"/>
          <w:sz w:val="16"/>
          <w:szCs w:val="16"/>
        </w:rPr>
        <w:t>para 8.</w:t>
      </w:r>
    </w:p>
  </w:footnote>
  <w:footnote w:id="127">
    <w:p w14:paraId="4D76CDFF" w14:textId="100380CD" w:rsidR="002934B7" w:rsidRPr="007117EF" w:rsidRDefault="002934B7" w:rsidP="00F15C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15C76" w:rsidRPr="007117EF">
        <w:rPr>
          <w:rFonts w:ascii="Verdana" w:hAnsi="Verdana" w:cs="YIUEB V+ Gotham"/>
          <w:color w:val="77328A"/>
          <w:sz w:val="16"/>
          <w:szCs w:val="16"/>
        </w:rPr>
        <w:t>Regulation 4, Citizens’ Rights (Frontier Workers) (EU Exit) Regulations 2020.</w:t>
      </w:r>
    </w:p>
  </w:footnote>
  <w:footnote w:id="128">
    <w:p w14:paraId="3043948B" w14:textId="23FA8602" w:rsidR="002934B7" w:rsidRPr="007117EF" w:rsidRDefault="002934B7" w:rsidP="00F15C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15C76" w:rsidRPr="007117EF">
        <w:rPr>
          <w:rFonts w:ascii="Verdana" w:hAnsi="Verdana" w:cs="YIUEB V+ Gotham"/>
          <w:color w:val="77328A"/>
          <w:sz w:val="16"/>
          <w:szCs w:val="16"/>
        </w:rPr>
        <w:t>Regulation 18, Citizens’ Rights (Frontier Workers) (EU Exit) Regulations 2020.</w:t>
      </w:r>
    </w:p>
  </w:footnote>
  <w:footnote w:id="129">
    <w:p w14:paraId="75326767" w14:textId="484A8053" w:rsidR="002934B7" w:rsidRPr="007117EF" w:rsidRDefault="002934B7" w:rsidP="00F15C76">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15C76" w:rsidRPr="007117EF">
        <w:rPr>
          <w:rFonts w:ascii="Verdana" w:hAnsi="Verdana" w:cs="YIUEB V+ Gotham"/>
          <w:color w:val="77328A"/>
          <w:sz w:val="16"/>
          <w:szCs w:val="16"/>
        </w:rPr>
        <w:t xml:space="preserve">Letter from the Committee on the Administration of Justice; UNISON; Border People; Centre for Cross Border Studies; Migrant Centre NI; Irish Congress of Trade Unions; Migrant Rights Centre Ireland; Stronger Together; South Tyrone Empowerment Project; Inter Ethnic Forum: Chinese Welfare Association; Omagh Ethnic Community Support Group; Belfast Metropolitan College, College of Sanctuary; </w:t>
      </w:r>
      <w:proofErr w:type="gramStart"/>
      <w:r w:rsidR="00F15C76" w:rsidRPr="007117EF">
        <w:rPr>
          <w:rFonts w:ascii="Verdana" w:hAnsi="Verdana" w:cs="YIUEB V+ Gotham"/>
          <w:color w:val="77328A"/>
          <w:sz w:val="16"/>
          <w:szCs w:val="16"/>
        </w:rPr>
        <w:t>North West</w:t>
      </w:r>
      <w:proofErr w:type="gramEnd"/>
      <w:r w:rsidR="00F15C76" w:rsidRPr="007117EF">
        <w:rPr>
          <w:rFonts w:ascii="Verdana" w:hAnsi="Verdana" w:cs="YIUEB V+ Gotham"/>
          <w:color w:val="77328A"/>
          <w:sz w:val="16"/>
          <w:szCs w:val="16"/>
        </w:rPr>
        <w:t xml:space="preserve"> Migrant Forum; Advice NI; Granite Legal Services NI to the Home Secretary, 26 October 2020.</w:t>
      </w:r>
    </w:p>
  </w:footnote>
  <w:footnote w:id="130">
    <w:p w14:paraId="08FDAE82" w14:textId="76B39E3A" w:rsidR="00551FD8" w:rsidRPr="007117EF" w:rsidRDefault="00551F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 xml:space="preserve">The Bill will extend to NI, </w:t>
      </w:r>
      <w:proofErr w:type="gramStart"/>
      <w:r w:rsidR="00E5776D" w:rsidRPr="007117EF">
        <w:rPr>
          <w:rFonts w:ascii="Verdana" w:hAnsi="Verdana" w:cstheme="majorHAnsi"/>
          <w:color w:val="77328A"/>
          <w:sz w:val="16"/>
          <w:szCs w:val="16"/>
        </w:rPr>
        <w:t>with</w:t>
      </w:r>
      <w:r w:rsidRPr="007117EF">
        <w:rPr>
          <w:rFonts w:ascii="Verdana" w:hAnsi="Verdana" w:cstheme="majorHAnsi"/>
          <w:color w:val="77328A"/>
          <w:sz w:val="16"/>
          <w:szCs w:val="16"/>
        </w:rPr>
        <w:t xml:space="preserve"> the exception of</w:t>
      </w:r>
      <w:proofErr w:type="gramEnd"/>
      <w:r w:rsidRPr="007117EF">
        <w:rPr>
          <w:rFonts w:ascii="Verdana" w:hAnsi="Verdana" w:cstheme="majorHAnsi"/>
          <w:color w:val="77328A"/>
          <w:sz w:val="16"/>
          <w:szCs w:val="16"/>
        </w:rPr>
        <w:t xml:space="preserve"> seven clauses (</w:t>
      </w:r>
      <w:r w:rsidRPr="007117EF">
        <w:rPr>
          <w:rFonts w:ascii="Verdana" w:hAnsi="Verdana"/>
          <w:color w:val="77328A"/>
          <w:sz w:val="16"/>
          <w:szCs w:val="16"/>
        </w:rPr>
        <w:t xml:space="preserve">clauses 24, 46, 56, 59, 63, 65 and 66) </w:t>
      </w:r>
      <w:r w:rsidRPr="007117EF">
        <w:rPr>
          <w:rFonts w:ascii="Verdana" w:hAnsi="Verdana" w:cstheme="majorHAnsi"/>
          <w:color w:val="77328A"/>
          <w:sz w:val="16"/>
          <w:szCs w:val="16"/>
        </w:rPr>
        <w:t xml:space="preserve">that only apply to England and Wales. </w:t>
      </w:r>
    </w:p>
  </w:footnote>
  <w:footnote w:id="131">
    <w:p w14:paraId="37134E4A" w14:textId="77777777" w:rsidR="00551FD8" w:rsidRPr="007117EF" w:rsidRDefault="00551FD8" w:rsidP="001D5E5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theme="majorHAnsi"/>
          <w:color w:val="77328A"/>
          <w:sz w:val="16"/>
          <w:szCs w:val="16"/>
        </w:rPr>
        <w:t>Human Trafficking and Exploitation (Criminal Justice and Support for Victims) Act (Northern Ireland) 2015.</w:t>
      </w:r>
    </w:p>
  </w:footnote>
  <w:footnote w:id="132">
    <w:p w14:paraId="676B3CD2" w14:textId="769370FB" w:rsidR="00354683" w:rsidRPr="007117EF" w:rsidRDefault="0035468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16439" w:rsidRPr="007117EF">
        <w:rPr>
          <w:rFonts w:ascii="Verdana" w:hAnsi="Verdana"/>
          <w:color w:val="77328A"/>
          <w:sz w:val="16"/>
          <w:szCs w:val="16"/>
        </w:rPr>
        <w:t xml:space="preserve">Fiona David, Katharine Bryant, </w:t>
      </w:r>
      <w:r w:rsidR="00F72F82" w:rsidRPr="007117EF">
        <w:rPr>
          <w:rFonts w:ascii="Verdana" w:hAnsi="Verdana"/>
          <w:color w:val="77328A"/>
          <w:sz w:val="16"/>
          <w:szCs w:val="16"/>
        </w:rPr>
        <w:t xml:space="preserve">Jacqueline </w:t>
      </w:r>
      <w:proofErr w:type="spellStart"/>
      <w:r w:rsidR="00F72F82" w:rsidRPr="007117EF">
        <w:rPr>
          <w:rFonts w:ascii="Verdana" w:hAnsi="Verdana"/>
          <w:color w:val="77328A"/>
          <w:sz w:val="16"/>
          <w:szCs w:val="16"/>
        </w:rPr>
        <w:t>Joudo</w:t>
      </w:r>
      <w:proofErr w:type="spellEnd"/>
      <w:r w:rsidR="00F72F82" w:rsidRPr="007117EF">
        <w:rPr>
          <w:rFonts w:ascii="Verdana" w:hAnsi="Verdana"/>
          <w:color w:val="77328A"/>
          <w:sz w:val="16"/>
          <w:szCs w:val="16"/>
        </w:rPr>
        <w:t xml:space="preserve"> Larsen, ‘</w:t>
      </w:r>
      <w:hyperlink r:id="rId2" w:history="1">
        <w:r w:rsidR="00F72F82" w:rsidRPr="007117EF">
          <w:rPr>
            <w:rStyle w:val="Hyperlink"/>
            <w:rFonts w:ascii="Verdana" w:hAnsi="Verdana"/>
            <w:color w:val="77328A"/>
            <w:sz w:val="16"/>
            <w:szCs w:val="16"/>
          </w:rPr>
          <w:t>Migrants and their vulnerability to trafficking, modern slavery and forced labour</w:t>
        </w:r>
      </w:hyperlink>
      <w:r w:rsidR="00F72F82" w:rsidRPr="007117EF">
        <w:rPr>
          <w:rFonts w:ascii="Verdana" w:hAnsi="Verdana"/>
          <w:color w:val="77328A"/>
          <w:sz w:val="16"/>
          <w:szCs w:val="16"/>
        </w:rPr>
        <w:t>’ (IOM, 2019).</w:t>
      </w:r>
    </w:p>
  </w:footnote>
  <w:footnote w:id="133">
    <w:p w14:paraId="74571E27" w14:textId="0FE28188" w:rsidR="007E502D" w:rsidRPr="007117EF" w:rsidRDefault="007E502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C24FF1" w:rsidRPr="007117EF">
        <w:rPr>
          <w:rFonts w:ascii="Verdana" w:hAnsi="Verdana"/>
          <w:color w:val="77328A"/>
          <w:sz w:val="16"/>
          <w:szCs w:val="16"/>
        </w:rPr>
        <w:t xml:space="preserve"> </w:t>
      </w:r>
      <w:r w:rsidR="00E5776D" w:rsidRPr="007117EF">
        <w:rPr>
          <w:rFonts w:ascii="Verdana" w:hAnsi="Verdana"/>
          <w:color w:val="77328A"/>
          <w:sz w:val="16"/>
          <w:szCs w:val="16"/>
        </w:rPr>
        <w:t>NI Human Rights Commission/ECNI, ‘</w:t>
      </w:r>
      <w:hyperlink r:id="rId3" w:history="1">
        <w:r w:rsidR="005B2B80" w:rsidRPr="007117EF">
          <w:rPr>
            <w:rStyle w:val="Hyperlink"/>
            <w:rFonts w:ascii="Verdana" w:hAnsi="Verdana"/>
            <w:color w:val="77328A"/>
            <w:sz w:val="16"/>
            <w:szCs w:val="16"/>
          </w:rPr>
          <w:t xml:space="preserve">Briefing Paper on Modern Slavery and Human Trafficking and Electronic Travel Authorisation provisions in the National and Borders </w:t>
        </w:r>
        <w:r w:rsidR="00E5776D" w:rsidRPr="007117EF">
          <w:rPr>
            <w:rStyle w:val="Hyperlink"/>
            <w:rFonts w:ascii="Verdana" w:hAnsi="Verdana"/>
            <w:color w:val="77328A"/>
            <w:sz w:val="16"/>
            <w:szCs w:val="16"/>
          </w:rPr>
          <w:t>Bill’,</w:t>
        </w:r>
      </w:hyperlink>
      <w:r w:rsidR="005B2B80" w:rsidRPr="007117EF">
        <w:rPr>
          <w:rFonts w:ascii="Verdana" w:hAnsi="Verdana"/>
          <w:color w:val="77328A"/>
          <w:sz w:val="16"/>
          <w:szCs w:val="16"/>
        </w:rPr>
        <w:t xml:space="preserve"> (28 January 2022), at </w:t>
      </w:r>
      <w:r w:rsidR="0024679B" w:rsidRPr="007117EF">
        <w:rPr>
          <w:rFonts w:ascii="Verdana" w:hAnsi="Verdana"/>
          <w:color w:val="77328A"/>
          <w:sz w:val="16"/>
          <w:szCs w:val="16"/>
        </w:rPr>
        <w:t>8-10.</w:t>
      </w:r>
    </w:p>
  </w:footnote>
  <w:footnote w:id="134">
    <w:p w14:paraId="583BE44B" w14:textId="57837A46" w:rsidR="001973E7" w:rsidRPr="007117EF" w:rsidRDefault="001973E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90704" w:rsidRPr="007117EF">
        <w:rPr>
          <w:rFonts w:ascii="Verdana" w:hAnsi="Verdana"/>
          <w:color w:val="77328A"/>
          <w:sz w:val="16"/>
          <w:szCs w:val="16"/>
        </w:rPr>
        <w:t>Ibid.</w:t>
      </w:r>
    </w:p>
  </w:footnote>
  <w:footnote w:id="135">
    <w:p w14:paraId="7578B0B7" w14:textId="7213A07C" w:rsidR="008026E3" w:rsidRPr="007117EF" w:rsidRDefault="008026E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33108" w:rsidRPr="007117EF">
        <w:rPr>
          <w:rFonts w:ascii="Verdana" w:hAnsi="Verdana"/>
          <w:color w:val="77328A"/>
          <w:sz w:val="16"/>
          <w:szCs w:val="16"/>
        </w:rPr>
        <w:t xml:space="preserve">OL GBR The11/2021, </w:t>
      </w:r>
      <w:r w:rsidR="00E5776D" w:rsidRPr="007117EF">
        <w:rPr>
          <w:rFonts w:ascii="Verdana" w:hAnsi="Verdana"/>
          <w:color w:val="77328A"/>
          <w:sz w:val="16"/>
          <w:szCs w:val="16"/>
        </w:rPr>
        <w:t>‘</w:t>
      </w:r>
      <w:r w:rsidR="00633108" w:rsidRPr="007117EF">
        <w:rPr>
          <w:rFonts w:ascii="Verdana" w:hAnsi="Verdana"/>
          <w:color w:val="77328A"/>
          <w:sz w:val="16"/>
          <w:szCs w:val="16"/>
        </w:rPr>
        <w:t xml:space="preserve">Mandates of the Special Rapporteur on trafficking in persons, especially women and children; the Special Rapporteur on the human rights of migrants; the Special Rapporteur on contemporary forms of slavery, including its causes and consequences and the Special Rapporteur on the promotion and protection of human rights and fundamental freedoms while countering </w:t>
      </w:r>
      <w:r w:rsidR="00E5776D" w:rsidRPr="007117EF">
        <w:rPr>
          <w:rFonts w:ascii="Verdana" w:hAnsi="Verdana"/>
          <w:color w:val="77328A"/>
          <w:sz w:val="16"/>
          <w:szCs w:val="16"/>
        </w:rPr>
        <w:t>terrorism’</w:t>
      </w:r>
      <w:r w:rsidR="00633108" w:rsidRPr="007117EF">
        <w:rPr>
          <w:rFonts w:ascii="Verdana" w:hAnsi="Verdana"/>
          <w:color w:val="77328A"/>
          <w:sz w:val="16"/>
          <w:szCs w:val="16"/>
        </w:rPr>
        <w:t>, 5 November 2021.</w:t>
      </w:r>
    </w:p>
  </w:footnote>
  <w:footnote w:id="136">
    <w:p w14:paraId="51849BF0" w14:textId="77777777" w:rsidR="00D32EF1" w:rsidRPr="007117EF" w:rsidRDefault="00D32EF1" w:rsidP="00D32EF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Recital 8 of Directive 2011/36/EU ‘Council Directive on preventing and combating trafficking in human beings and protecting its victims’, 5 April 2011; Article 3 UN CRC.</w:t>
      </w:r>
    </w:p>
  </w:footnote>
  <w:footnote w:id="137">
    <w:p w14:paraId="5FBDF524" w14:textId="346B3BF3" w:rsidR="00796E56" w:rsidRPr="007117EF" w:rsidRDefault="00796E56" w:rsidP="00F15C76">
      <w:pPr>
        <w:pStyle w:val="FootnoteText"/>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Organised Crime Task Force, </w:t>
      </w:r>
      <w:r w:rsidR="00E5776D" w:rsidRPr="007117EF">
        <w:rPr>
          <w:rFonts w:ascii="Verdana" w:hAnsi="Verdana" w:cs="Times New Roman"/>
          <w:color w:val="77328A"/>
          <w:sz w:val="16"/>
          <w:szCs w:val="16"/>
        </w:rPr>
        <w:t>‘</w:t>
      </w:r>
      <w:hyperlink r:id="rId4" w:history="1">
        <w:r w:rsidRPr="007117EF">
          <w:rPr>
            <w:rStyle w:val="Hyperlink"/>
            <w:rFonts w:ascii="Verdana" w:hAnsi="Verdana" w:cs="Times New Roman"/>
            <w:color w:val="77328A"/>
            <w:sz w:val="16"/>
            <w:szCs w:val="16"/>
          </w:rPr>
          <w:t>Annual Report and Threat Assessment 2016</w:t>
        </w:r>
      </w:hyperlink>
      <w:r w:rsidR="00E5776D" w:rsidRPr="007117EF">
        <w:rPr>
          <w:rStyle w:val="Hyperlink"/>
          <w:rFonts w:ascii="Verdana" w:hAnsi="Verdana" w:cs="Times New Roman"/>
          <w:color w:val="77328A"/>
          <w:sz w:val="16"/>
          <w:szCs w:val="16"/>
        </w:rPr>
        <w:t>’</w:t>
      </w:r>
      <w:r w:rsidRPr="007117EF">
        <w:rPr>
          <w:rFonts w:ascii="Verdana" w:hAnsi="Verdana" w:cs="Times New Roman"/>
          <w:color w:val="77328A"/>
          <w:sz w:val="16"/>
          <w:szCs w:val="16"/>
        </w:rPr>
        <w:t xml:space="preserve"> (June 2016), at </w:t>
      </w:r>
      <w:r w:rsidR="00E5776D" w:rsidRPr="007117EF">
        <w:rPr>
          <w:rFonts w:ascii="Verdana" w:hAnsi="Verdana" w:cs="Times New Roman"/>
          <w:color w:val="77328A"/>
          <w:sz w:val="16"/>
          <w:szCs w:val="16"/>
        </w:rPr>
        <w:t>p13</w:t>
      </w:r>
      <w:r w:rsidRPr="007117EF">
        <w:rPr>
          <w:rFonts w:ascii="Verdana" w:hAnsi="Verdana" w:cs="Times New Roman"/>
          <w:color w:val="77328A"/>
          <w:sz w:val="16"/>
          <w:szCs w:val="16"/>
        </w:rPr>
        <w:t>.</w:t>
      </w:r>
    </w:p>
  </w:footnote>
  <w:footnote w:id="138">
    <w:p w14:paraId="36ABC2E6" w14:textId="6F1A240E" w:rsidR="00987FEC" w:rsidRPr="007117EF" w:rsidRDefault="00987FEC" w:rsidP="00F15C76">
      <w:pPr>
        <w:pStyle w:val="FootnoteText"/>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Ibid</w:t>
      </w:r>
      <w:r w:rsidR="00ED28AB" w:rsidRPr="007117EF">
        <w:rPr>
          <w:rFonts w:ascii="Verdana" w:hAnsi="Verdana" w:cs="Times New Roman"/>
          <w:color w:val="77328A"/>
          <w:sz w:val="16"/>
          <w:szCs w:val="16"/>
        </w:rPr>
        <w:t>.</w:t>
      </w:r>
    </w:p>
  </w:footnote>
  <w:footnote w:id="139">
    <w:p w14:paraId="7660C459" w14:textId="276BDF75" w:rsidR="00987FEC" w:rsidRPr="007117EF" w:rsidRDefault="00987FEC" w:rsidP="00F15C76">
      <w:pPr>
        <w:pStyle w:val="FootnoteText"/>
        <w:rPr>
          <w:rFonts w:ascii="Verdana" w:hAnsi="Verdana" w:cs="Times New Roman"/>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w:t>
      </w:r>
      <w:hyperlink r:id="rId5" w:history="1">
        <w:r w:rsidRPr="007117EF">
          <w:rPr>
            <w:rStyle w:val="Hyperlink"/>
            <w:rFonts w:ascii="Verdana" w:hAnsi="Verdana" w:cs="Times New Roman"/>
            <w:color w:val="77328A"/>
            <w:sz w:val="16"/>
            <w:szCs w:val="16"/>
          </w:rPr>
          <w:t>‘Calls for suspension of ongoing ‘racist’ Operation Gull initiative’</w:t>
        </w:r>
      </w:hyperlink>
      <w:r w:rsidRPr="007117EF">
        <w:rPr>
          <w:rFonts w:ascii="Verdana" w:hAnsi="Verdana" w:cs="Times New Roman"/>
          <w:color w:val="77328A"/>
          <w:sz w:val="16"/>
          <w:szCs w:val="16"/>
        </w:rPr>
        <w:t xml:space="preserve"> </w:t>
      </w:r>
      <w:r w:rsidR="00E5776D" w:rsidRPr="007117EF">
        <w:rPr>
          <w:rFonts w:ascii="Verdana" w:hAnsi="Verdana" w:cs="Times New Roman"/>
          <w:i/>
          <w:color w:val="77328A"/>
          <w:sz w:val="16"/>
          <w:szCs w:val="16"/>
        </w:rPr>
        <w:t>Derry Journal</w:t>
      </w:r>
      <w:r w:rsidR="00E5776D" w:rsidRPr="007117EF">
        <w:rPr>
          <w:rFonts w:ascii="Verdana" w:hAnsi="Verdana" w:cs="Times New Roman"/>
          <w:color w:val="77328A"/>
          <w:sz w:val="16"/>
          <w:szCs w:val="16"/>
        </w:rPr>
        <w:t xml:space="preserve">, 2 </w:t>
      </w:r>
      <w:r w:rsidRPr="007117EF">
        <w:rPr>
          <w:rFonts w:ascii="Verdana" w:hAnsi="Verdana" w:cs="Times New Roman"/>
          <w:color w:val="77328A"/>
          <w:sz w:val="16"/>
          <w:szCs w:val="16"/>
        </w:rPr>
        <w:t>June 2017</w:t>
      </w:r>
      <w:r w:rsidR="00E5776D" w:rsidRPr="007117EF">
        <w:rPr>
          <w:rFonts w:ascii="Verdana" w:hAnsi="Verdana" w:cs="Times New Roman"/>
          <w:color w:val="77328A"/>
          <w:sz w:val="16"/>
          <w:szCs w:val="16"/>
        </w:rPr>
        <w:t>.</w:t>
      </w:r>
    </w:p>
  </w:footnote>
  <w:footnote w:id="140">
    <w:p w14:paraId="2AE97CC3" w14:textId="6A0B5913" w:rsidR="00A26CCC" w:rsidRPr="00476666" w:rsidRDefault="00A26CCC">
      <w:pPr>
        <w:pStyle w:val="FootnoteText"/>
        <w:rPr>
          <w:rFonts w:ascii="Verdana" w:hAnsi="Verdana"/>
          <w:sz w:val="16"/>
          <w:szCs w:val="16"/>
        </w:rPr>
      </w:pPr>
      <w:r w:rsidRPr="00476666">
        <w:rPr>
          <w:rStyle w:val="FootnoteReference"/>
          <w:rFonts w:ascii="Verdana" w:hAnsi="Verdana"/>
          <w:color w:val="77328A"/>
          <w:sz w:val="16"/>
          <w:szCs w:val="16"/>
        </w:rPr>
        <w:footnoteRef/>
      </w:r>
      <w:r w:rsidRPr="00476666">
        <w:rPr>
          <w:rFonts w:ascii="Verdana" w:hAnsi="Verdana"/>
          <w:color w:val="77328A"/>
          <w:sz w:val="16"/>
          <w:szCs w:val="16"/>
        </w:rPr>
        <w:t xml:space="preserve"> Now Lord </w:t>
      </w:r>
      <w:proofErr w:type="spellStart"/>
      <w:r w:rsidRPr="00476666">
        <w:rPr>
          <w:rFonts w:ascii="Verdana" w:hAnsi="Verdana"/>
          <w:color w:val="77328A"/>
          <w:sz w:val="16"/>
          <w:szCs w:val="16"/>
        </w:rPr>
        <w:t>Dodds</w:t>
      </w:r>
      <w:proofErr w:type="spellEnd"/>
      <w:r w:rsidR="00A2447F" w:rsidRPr="00476666">
        <w:rPr>
          <w:rFonts w:ascii="Verdana" w:hAnsi="Verdana"/>
          <w:color w:val="77328A"/>
          <w:sz w:val="16"/>
          <w:szCs w:val="16"/>
        </w:rPr>
        <w:t xml:space="preserve"> of </w:t>
      </w:r>
      <w:proofErr w:type="spellStart"/>
      <w:r w:rsidR="00A2447F" w:rsidRPr="00476666">
        <w:rPr>
          <w:rFonts w:ascii="Verdana" w:hAnsi="Verdana"/>
          <w:color w:val="77328A"/>
          <w:sz w:val="16"/>
          <w:szCs w:val="16"/>
        </w:rPr>
        <w:t>Duncairn</w:t>
      </w:r>
      <w:proofErr w:type="spellEnd"/>
      <w:r w:rsidR="00A2447F" w:rsidRPr="00476666">
        <w:rPr>
          <w:rFonts w:ascii="Verdana" w:hAnsi="Verdana"/>
          <w:color w:val="77328A"/>
          <w:sz w:val="16"/>
          <w:szCs w:val="16"/>
        </w:rPr>
        <w:t>.</w:t>
      </w:r>
    </w:p>
  </w:footnote>
  <w:footnote w:id="141">
    <w:p w14:paraId="452E8A08" w14:textId="77777777" w:rsidR="0006276B" w:rsidRPr="007117EF" w:rsidRDefault="0006276B" w:rsidP="00842FDB">
      <w:pPr>
        <w:pStyle w:val="FootnoteText"/>
        <w:rPr>
          <w:rFonts w:ascii="Verdana" w:hAnsi="Verdana"/>
          <w:color w:val="77328A"/>
          <w:sz w:val="16"/>
          <w:szCs w:val="16"/>
        </w:rPr>
      </w:pPr>
      <w:r w:rsidRPr="007117EF">
        <w:rPr>
          <w:rStyle w:val="FootnoteReference"/>
          <w:rFonts w:ascii="Verdana" w:hAnsi="Verdana" w:cs="Times New Roman"/>
          <w:color w:val="77328A"/>
          <w:sz w:val="16"/>
          <w:szCs w:val="16"/>
        </w:rPr>
        <w:footnoteRef/>
      </w:r>
      <w:r w:rsidRPr="007117EF">
        <w:rPr>
          <w:rFonts w:ascii="Verdana" w:hAnsi="Verdana" w:cs="Times New Roman"/>
          <w:color w:val="77328A"/>
          <w:sz w:val="16"/>
          <w:szCs w:val="16"/>
        </w:rPr>
        <w:t xml:space="preserve"> UK Parliament (Written questions, answers and statements), </w:t>
      </w:r>
      <w:hyperlink r:id="rId6" w:history="1">
        <w:r w:rsidRPr="007117EF">
          <w:rPr>
            <w:rStyle w:val="Hyperlink"/>
            <w:rFonts w:ascii="Verdana" w:hAnsi="Verdana" w:cs="Times New Roman"/>
            <w:color w:val="77328A"/>
            <w:sz w:val="16"/>
            <w:szCs w:val="16"/>
          </w:rPr>
          <w:t xml:space="preserve">Immigration Controls: Northern Ireland – Question for the Home Office, Nigel </w:t>
        </w:r>
        <w:proofErr w:type="spellStart"/>
        <w:r w:rsidRPr="007117EF">
          <w:rPr>
            <w:rStyle w:val="Hyperlink"/>
            <w:rFonts w:ascii="Verdana" w:hAnsi="Verdana" w:cs="Times New Roman"/>
            <w:color w:val="77328A"/>
            <w:sz w:val="16"/>
            <w:szCs w:val="16"/>
          </w:rPr>
          <w:t>Dodds</w:t>
        </w:r>
        <w:proofErr w:type="spellEnd"/>
      </w:hyperlink>
      <w:r w:rsidRPr="007117EF">
        <w:rPr>
          <w:rFonts w:ascii="Verdana" w:hAnsi="Verdana" w:cs="Times New Roman"/>
          <w:color w:val="77328A"/>
          <w:sz w:val="16"/>
          <w:szCs w:val="16"/>
        </w:rPr>
        <w:t xml:space="preserve"> (19 April 2019).</w:t>
      </w:r>
    </w:p>
  </w:footnote>
  <w:footnote w:id="142">
    <w:p w14:paraId="6BA60B13" w14:textId="77777777" w:rsidR="00FF4787" w:rsidRPr="00DB3DE4" w:rsidRDefault="00FF4787" w:rsidP="00FF4787">
      <w:pPr>
        <w:pStyle w:val="FootnoteText"/>
        <w:rPr>
          <w:rFonts w:ascii="Verdana" w:hAnsi="Verdana"/>
          <w:sz w:val="16"/>
          <w:szCs w:val="16"/>
        </w:rPr>
      </w:pPr>
      <w:r w:rsidRPr="000B6217">
        <w:rPr>
          <w:rStyle w:val="FootnoteReference"/>
          <w:rFonts w:ascii="Verdana" w:hAnsi="Verdana"/>
          <w:color w:val="77328A"/>
          <w:sz w:val="16"/>
          <w:szCs w:val="16"/>
        </w:rPr>
        <w:footnoteRef/>
      </w:r>
      <w:r w:rsidRPr="000B6217">
        <w:rPr>
          <w:rFonts w:ascii="Verdana" w:hAnsi="Verdana"/>
          <w:color w:val="77328A"/>
          <w:sz w:val="16"/>
          <w:szCs w:val="16"/>
        </w:rPr>
        <w:t xml:space="preserve"> Email correspondence between the Home Office and the NI Human Rights Commission, 22 February 2022.</w:t>
      </w:r>
    </w:p>
  </w:footnote>
  <w:footnote w:id="143">
    <w:p w14:paraId="0677E4C9" w14:textId="7A0F92BA" w:rsidR="009750C7" w:rsidRPr="007117EF" w:rsidRDefault="009750C7" w:rsidP="00842FDB">
      <w:pPr>
        <w:pStyle w:val="Pa151"/>
        <w:spacing w:line="240" w:lineRule="auto"/>
        <w:ind w:right="280"/>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D4260" w:rsidRPr="007117EF">
        <w:rPr>
          <w:rFonts w:ascii="Verdana" w:hAnsi="Verdana" w:cs="YIUEB V+ Gotham"/>
          <w:color w:val="77328A"/>
          <w:sz w:val="16"/>
          <w:szCs w:val="16"/>
        </w:rPr>
        <w:t>CAT/C/GBR/CO/6, ‘UN Committee against Torture, Concluding Observations on the Sixth Periodic Report of the United Kingdom of Great Britain and Northern Ireland’, 7 June 2019, at para 55(a).</w:t>
      </w:r>
    </w:p>
  </w:footnote>
  <w:footnote w:id="144">
    <w:p w14:paraId="0A72C8F9" w14:textId="05B20C55" w:rsidR="00912596" w:rsidRPr="007117EF" w:rsidRDefault="00912596"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 at para 27.</w:t>
      </w:r>
    </w:p>
  </w:footnote>
  <w:footnote w:id="145">
    <w:p w14:paraId="4BA39E8F" w14:textId="7DAA8EB0" w:rsidR="00323346" w:rsidRPr="007117EF" w:rsidRDefault="00323346"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Email correspondence between UK Border Agency and NI Human Rights Commission, 26 March 2013.</w:t>
      </w:r>
    </w:p>
  </w:footnote>
  <w:footnote w:id="146">
    <w:p w14:paraId="41DD885C" w14:textId="77777777" w:rsidR="00913BED" w:rsidRPr="007117EF" w:rsidRDefault="00913BED"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Home Office, ‘Immigration Statistics Data Tables: Year End September 2021 (HO, 2020) at Table Dt_01.</w:t>
      </w:r>
    </w:p>
  </w:footnote>
  <w:footnote w:id="147">
    <w:p w14:paraId="73580296" w14:textId="3C7F5649" w:rsidR="00FF350F" w:rsidRPr="007117EF" w:rsidRDefault="00FF350F"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80098" w:rsidRPr="007117EF">
        <w:rPr>
          <w:rFonts w:ascii="Verdana" w:hAnsi="Verdana"/>
          <w:color w:val="77328A"/>
          <w:sz w:val="16"/>
          <w:szCs w:val="16"/>
        </w:rPr>
        <w:t>The Detention Centre Rules 2001.</w:t>
      </w:r>
    </w:p>
  </w:footnote>
  <w:footnote w:id="148">
    <w:p w14:paraId="0543EBCC" w14:textId="48B93E5F" w:rsidR="00FA07D9" w:rsidRPr="007117EF" w:rsidRDefault="00FA07D9"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Short-term Holding Facility Rules 2001.</w:t>
      </w:r>
    </w:p>
  </w:footnote>
  <w:footnote w:id="149">
    <w:p w14:paraId="07B9822E" w14:textId="0923E0E9" w:rsidR="00EA570D" w:rsidRPr="007117EF" w:rsidRDefault="00EA570D"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A3B21" w:rsidRPr="007117EF">
        <w:rPr>
          <w:rFonts w:ascii="Verdana" w:hAnsi="Verdana"/>
          <w:color w:val="77328A"/>
          <w:sz w:val="16"/>
          <w:szCs w:val="16"/>
        </w:rPr>
        <w:t>HM Chief Inspector of Prisons, ‘Report on an Unannounced Inspection of the Short-term Holding Facility at Larne House’, (HM Inspectorate of Prisons, 2018), at para 1.8.</w:t>
      </w:r>
    </w:p>
  </w:footnote>
  <w:footnote w:id="150">
    <w:p w14:paraId="1F42F812" w14:textId="15CFCE69" w:rsidR="006A09EA" w:rsidRPr="007117EF" w:rsidRDefault="006A09EA"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D4A1C" w:rsidRPr="007117EF">
        <w:rPr>
          <w:rFonts w:ascii="Verdana" w:hAnsi="Verdana"/>
          <w:color w:val="77328A"/>
          <w:sz w:val="16"/>
          <w:szCs w:val="16"/>
        </w:rPr>
        <w:t>NI Human Rights Commission, ‘NIHRC response to the Department of Justice proposed strategy to support and challenge women and girls in contact with the justice system’, (NIHRC, 2021).</w:t>
      </w:r>
    </w:p>
  </w:footnote>
  <w:footnote w:id="151">
    <w:p w14:paraId="11CEC94D" w14:textId="79201D8A" w:rsidR="00B11ED2" w:rsidRPr="007117EF" w:rsidRDefault="00B11ED2"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439F7" w:rsidRPr="007117EF">
        <w:rPr>
          <w:rFonts w:ascii="Verdana" w:hAnsi="Verdana"/>
          <w:color w:val="77328A"/>
          <w:sz w:val="16"/>
          <w:szCs w:val="16"/>
        </w:rPr>
        <w:t>Correspondence from Home Office to NI Human Rights Commission, 26 August 2021.</w:t>
      </w:r>
    </w:p>
  </w:footnote>
  <w:footnote w:id="152">
    <w:p w14:paraId="0FA0A1B7" w14:textId="72DCDD6F" w:rsidR="00E933F2" w:rsidRPr="007117EF" w:rsidRDefault="00E933F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65A35" w:rsidRPr="007117EF">
        <w:rPr>
          <w:rFonts w:ascii="Verdana" w:hAnsi="Verdana"/>
          <w:color w:val="77328A"/>
          <w:sz w:val="16"/>
          <w:szCs w:val="16"/>
        </w:rPr>
        <w:t xml:space="preserve">Department for Communities, </w:t>
      </w:r>
      <w:r w:rsidR="00E5776D" w:rsidRPr="007117EF">
        <w:rPr>
          <w:rFonts w:ascii="Verdana" w:hAnsi="Verdana"/>
          <w:color w:val="77328A"/>
          <w:sz w:val="16"/>
          <w:szCs w:val="16"/>
        </w:rPr>
        <w:t>‘</w:t>
      </w:r>
      <w:hyperlink r:id="rId7" w:history="1">
        <w:r w:rsidR="00A87B5B" w:rsidRPr="007117EF">
          <w:rPr>
            <w:rStyle w:val="Hyperlink"/>
            <w:rFonts w:ascii="Verdana" w:hAnsi="Verdana"/>
            <w:color w:val="77328A"/>
            <w:sz w:val="16"/>
            <w:szCs w:val="16"/>
          </w:rPr>
          <w:t>Review of Welfare Mitigation Schemes</w:t>
        </w:r>
        <w:r w:rsidR="00E5776D" w:rsidRPr="007117EF">
          <w:rPr>
            <w:rStyle w:val="Hyperlink"/>
            <w:rFonts w:ascii="Verdana" w:hAnsi="Verdana"/>
            <w:color w:val="77328A"/>
            <w:sz w:val="16"/>
            <w:szCs w:val="16"/>
          </w:rPr>
          <w:t>’</w:t>
        </w:r>
      </w:hyperlink>
      <w:r w:rsidR="00E5776D" w:rsidRPr="007117EF">
        <w:rPr>
          <w:rFonts w:ascii="Verdana" w:hAnsi="Verdana"/>
          <w:color w:val="77328A"/>
          <w:sz w:val="16"/>
          <w:szCs w:val="16"/>
        </w:rPr>
        <w:t>,</w:t>
      </w:r>
      <w:r w:rsidR="00553D3C" w:rsidRPr="007117EF">
        <w:rPr>
          <w:rFonts w:ascii="Verdana" w:hAnsi="Verdana"/>
          <w:color w:val="77328A"/>
          <w:sz w:val="16"/>
          <w:szCs w:val="16"/>
        </w:rPr>
        <w:t xml:space="preserve"> </w:t>
      </w:r>
      <w:r w:rsidR="00D41198" w:rsidRPr="007117EF">
        <w:rPr>
          <w:rFonts w:ascii="Verdana" w:hAnsi="Verdana"/>
          <w:color w:val="77328A"/>
          <w:sz w:val="16"/>
          <w:szCs w:val="16"/>
        </w:rPr>
        <w:t>March</w:t>
      </w:r>
      <w:r w:rsidR="00553D3C" w:rsidRPr="007117EF">
        <w:rPr>
          <w:rFonts w:ascii="Verdana" w:hAnsi="Verdana"/>
          <w:color w:val="77328A"/>
          <w:sz w:val="16"/>
          <w:szCs w:val="16"/>
        </w:rPr>
        <w:t xml:space="preserve"> 2019.</w:t>
      </w:r>
    </w:p>
  </w:footnote>
  <w:footnote w:id="153">
    <w:p w14:paraId="35D68D0E" w14:textId="0BB8DBF9" w:rsidR="006C491D" w:rsidRPr="00476666" w:rsidRDefault="006C491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Cliff Edge </w:t>
      </w:r>
      <w:r w:rsidR="005975BB" w:rsidRPr="007117EF">
        <w:rPr>
          <w:rFonts w:ascii="Verdana" w:hAnsi="Verdana"/>
          <w:color w:val="77328A"/>
          <w:sz w:val="16"/>
          <w:szCs w:val="16"/>
        </w:rPr>
        <w:t xml:space="preserve">Coalition </w:t>
      </w:r>
      <w:r w:rsidRPr="007117EF">
        <w:rPr>
          <w:rFonts w:ascii="Verdana" w:hAnsi="Verdana"/>
          <w:color w:val="77328A"/>
          <w:sz w:val="16"/>
          <w:szCs w:val="16"/>
        </w:rPr>
        <w:t xml:space="preserve">NI, </w:t>
      </w:r>
      <w:r w:rsidR="00E5776D" w:rsidRPr="007117EF">
        <w:rPr>
          <w:rFonts w:ascii="Verdana" w:hAnsi="Verdana"/>
          <w:color w:val="77328A"/>
          <w:sz w:val="16"/>
          <w:szCs w:val="16"/>
        </w:rPr>
        <w:t>‘</w:t>
      </w:r>
      <w:hyperlink r:id="rId8" w:history="1">
        <w:r w:rsidR="005975BB" w:rsidRPr="007117EF">
          <w:rPr>
            <w:rStyle w:val="Hyperlink"/>
            <w:rFonts w:ascii="Verdana" w:hAnsi="Verdana"/>
            <w:color w:val="77328A"/>
            <w:sz w:val="16"/>
            <w:szCs w:val="16"/>
          </w:rPr>
          <w:t xml:space="preserve">Submission to the Joint Inquiry </w:t>
        </w:r>
        <w:r w:rsidR="00040056" w:rsidRPr="007117EF">
          <w:rPr>
            <w:rStyle w:val="Hyperlink"/>
            <w:rFonts w:ascii="Verdana" w:hAnsi="Verdana"/>
            <w:color w:val="77328A"/>
            <w:sz w:val="16"/>
            <w:szCs w:val="16"/>
          </w:rPr>
          <w:t>into Welfare Policy in Northern Ireland</w:t>
        </w:r>
      </w:hyperlink>
      <w:r w:rsidR="00E5776D" w:rsidRPr="007117EF">
        <w:rPr>
          <w:rStyle w:val="Hyperlink"/>
          <w:rFonts w:ascii="Verdana" w:hAnsi="Verdana"/>
          <w:color w:val="77328A"/>
          <w:sz w:val="16"/>
          <w:szCs w:val="16"/>
        </w:rPr>
        <w:t>’</w:t>
      </w:r>
      <w:r w:rsidR="00E5776D" w:rsidRPr="007117EF">
        <w:rPr>
          <w:rFonts w:ascii="Verdana" w:hAnsi="Verdana"/>
          <w:color w:val="77328A"/>
          <w:sz w:val="16"/>
          <w:szCs w:val="16"/>
        </w:rPr>
        <w:t>,</w:t>
      </w:r>
      <w:r w:rsidR="00EF071D" w:rsidRPr="007117EF">
        <w:rPr>
          <w:rFonts w:ascii="Verdana" w:hAnsi="Verdana"/>
          <w:color w:val="77328A"/>
          <w:sz w:val="16"/>
          <w:szCs w:val="16"/>
        </w:rPr>
        <w:t xml:space="preserve"> </w:t>
      </w:r>
      <w:r w:rsidR="00734CF0" w:rsidRPr="007117EF">
        <w:rPr>
          <w:rFonts w:ascii="Verdana" w:hAnsi="Verdana"/>
          <w:color w:val="77328A"/>
          <w:sz w:val="16"/>
          <w:szCs w:val="16"/>
        </w:rPr>
        <w:t>May</w:t>
      </w:r>
      <w:r w:rsidR="00EF071D" w:rsidRPr="007117EF">
        <w:rPr>
          <w:rFonts w:ascii="Verdana" w:hAnsi="Verdana"/>
          <w:color w:val="77328A"/>
          <w:sz w:val="16"/>
          <w:szCs w:val="16"/>
        </w:rPr>
        <w:t xml:space="preserve"> </w:t>
      </w:r>
      <w:r w:rsidR="00A57959" w:rsidRPr="007117EF">
        <w:rPr>
          <w:rFonts w:ascii="Verdana" w:hAnsi="Verdana"/>
          <w:color w:val="77328A"/>
          <w:sz w:val="16"/>
          <w:szCs w:val="16"/>
        </w:rPr>
        <w:t>2019</w:t>
      </w:r>
      <w:r w:rsidR="00734CF0" w:rsidRPr="007117EF">
        <w:rPr>
          <w:rFonts w:ascii="Verdana" w:hAnsi="Verdana"/>
          <w:color w:val="77328A"/>
          <w:sz w:val="16"/>
          <w:szCs w:val="16"/>
        </w:rPr>
        <w:t>.</w:t>
      </w:r>
    </w:p>
  </w:footnote>
  <w:footnote w:id="154">
    <w:p w14:paraId="7C519263" w14:textId="3134ACC9" w:rsidR="00066870" w:rsidRPr="007117EF" w:rsidRDefault="00066870" w:rsidP="0041775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203BC" w:rsidRPr="007117EF">
        <w:rPr>
          <w:rFonts w:ascii="Verdana" w:hAnsi="Verdana" w:cs="YIUEB V+ Gotham"/>
          <w:color w:val="77328A"/>
          <w:sz w:val="16"/>
          <w:szCs w:val="16"/>
        </w:rPr>
        <w:t>NI Human Rights Commission, ‘Cumulative Impact Assessment of Tax and Social Security Reforms’, (NIHRC, 2019).</w:t>
      </w:r>
    </w:p>
  </w:footnote>
  <w:footnote w:id="155">
    <w:p w14:paraId="6F1AB876" w14:textId="57E964AD" w:rsidR="001A7BE0" w:rsidRPr="007117EF" w:rsidRDefault="001A7BE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3407C6" w:rsidRPr="007117EF">
        <w:rPr>
          <w:rFonts w:ascii="Verdana" w:hAnsi="Verdana"/>
          <w:color w:val="77328A"/>
          <w:sz w:val="16"/>
          <w:szCs w:val="16"/>
        </w:rPr>
        <w:t xml:space="preserve"> Howard</w:t>
      </w:r>
      <w:r w:rsidRPr="007117EF">
        <w:rPr>
          <w:rFonts w:ascii="Verdana" w:hAnsi="Verdana"/>
          <w:color w:val="77328A"/>
          <w:sz w:val="16"/>
          <w:szCs w:val="16"/>
        </w:rPr>
        <w:t xml:space="preserve"> </w:t>
      </w:r>
      <w:r w:rsidR="00163065" w:rsidRPr="007117EF">
        <w:rPr>
          <w:rFonts w:ascii="Verdana" w:hAnsi="Verdana"/>
          <w:color w:val="77328A"/>
          <w:sz w:val="16"/>
          <w:szCs w:val="16"/>
        </w:rPr>
        <w:t xml:space="preserve">Reed and </w:t>
      </w:r>
      <w:r w:rsidR="003407C6" w:rsidRPr="007117EF">
        <w:rPr>
          <w:rFonts w:ascii="Verdana" w:hAnsi="Verdana"/>
          <w:color w:val="77328A"/>
          <w:sz w:val="16"/>
          <w:szCs w:val="16"/>
        </w:rPr>
        <w:t xml:space="preserve">Jonathan </w:t>
      </w:r>
      <w:proofErr w:type="spellStart"/>
      <w:r w:rsidR="00163065" w:rsidRPr="007117EF">
        <w:rPr>
          <w:rFonts w:ascii="Verdana" w:hAnsi="Verdana"/>
          <w:color w:val="77328A"/>
          <w:sz w:val="16"/>
          <w:szCs w:val="16"/>
        </w:rPr>
        <w:t>Portes</w:t>
      </w:r>
      <w:proofErr w:type="spellEnd"/>
      <w:r w:rsidR="003407C6" w:rsidRPr="007117EF">
        <w:rPr>
          <w:rFonts w:ascii="Verdana" w:hAnsi="Verdana"/>
          <w:color w:val="77328A"/>
          <w:sz w:val="16"/>
          <w:szCs w:val="16"/>
        </w:rPr>
        <w:t xml:space="preserve">, </w:t>
      </w:r>
      <w:r w:rsidR="00864688" w:rsidRPr="007117EF">
        <w:rPr>
          <w:rFonts w:ascii="Verdana" w:hAnsi="Verdana"/>
          <w:color w:val="77328A"/>
          <w:sz w:val="16"/>
          <w:szCs w:val="16"/>
        </w:rPr>
        <w:t>‘</w:t>
      </w:r>
      <w:hyperlink r:id="rId9" w:history="1">
        <w:r w:rsidR="00864688" w:rsidRPr="007117EF">
          <w:rPr>
            <w:rStyle w:val="Hyperlink"/>
            <w:rFonts w:ascii="Verdana" w:hAnsi="Verdana"/>
            <w:color w:val="77328A"/>
            <w:sz w:val="16"/>
            <w:szCs w:val="16"/>
          </w:rPr>
          <w:t>The Impact of Public Spending Changes in Northern Ireland</w:t>
        </w:r>
      </w:hyperlink>
      <w:r w:rsidR="00864688" w:rsidRPr="007117EF">
        <w:rPr>
          <w:rFonts w:ascii="Verdana" w:hAnsi="Verdana"/>
          <w:color w:val="77328A"/>
          <w:sz w:val="16"/>
          <w:szCs w:val="16"/>
        </w:rPr>
        <w:t>’, September 2021.</w:t>
      </w:r>
    </w:p>
  </w:footnote>
  <w:footnote w:id="156">
    <w:p w14:paraId="4DCEFF8E" w14:textId="47475E26" w:rsidR="00A85853" w:rsidRPr="00476666" w:rsidRDefault="00A8585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0369B" w:rsidRPr="007117EF">
        <w:rPr>
          <w:rFonts w:ascii="Verdana" w:hAnsi="Verdana"/>
          <w:color w:val="77328A"/>
          <w:sz w:val="16"/>
          <w:szCs w:val="16"/>
        </w:rPr>
        <w:t xml:space="preserve">Howards Reed and Jonathan </w:t>
      </w:r>
      <w:proofErr w:type="spellStart"/>
      <w:r w:rsidR="0010369B" w:rsidRPr="007117EF">
        <w:rPr>
          <w:rFonts w:ascii="Verdana" w:hAnsi="Verdana"/>
          <w:color w:val="77328A"/>
          <w:sz w:val="16"/>
          <w:szCs w:val="16"/>
        </w:rPr>
        <w:t>Portes</w:t>
      </w:r>
      <w:proofErr w:type="spellEnd"/>
      <w:r w:rsidR="0010369B" w:rsidRPr="007117EF">
        <w:rPr>
          <w:rFonts w:ascii="Verdana" w:hAnsi="Verdana"/>
          <w:color w:val="77328A"/>
          <w:sz w:val="16"/>
          <w:szCs w:val="16"/>
        </w:rPr>
        <w:t>, ‘</w:t>
      </w:r>
      <w:hyperlink r:id="rId10" w:history="1">
        <w:r w:rsidR="0010369B" w:rsidRPr="007117EF">
          <w:rPr>
            <w:rStyle w:val="Hyperlink"/>
            <w:rFonts w:ascii="Verdana" w:hAnsi="Verdana"/>
            <w:color w:val="77328A"/>
            <w:sz w:val="16"/>
            <w:szCs w:val="16"/>
          </w:rPr>
          <w:t>The Impact of Covid-19 on Public Services in Northern Ireland</w:t>
        </w:r>
      </w:hyperlink>
      <w:r w:rsidR="0010369B" w:rsidRPr="007117EF">
        <w:rPr>
          <w:rFonts w:ascii="Verdana" w:hAnsi="Verdana"/>
          <w:color w:val="77328A"/>
          <w:sz w:val="16"/>
          <w:szCs w:val="16"/>
        </w:rPr>
        <w:t>’, November 2021.</w:t>
      </w:r>
    </w:p>
  </w:footnote>
  <w:footnote w:id="157">
    <w:p w14:paraId="23ADE53B" w14:textId="780F9C1B" w:rsidR="00BB0F79" w:rsidRPr="007117EF" w:rsidRDefault="00BB0F79" w:rsidP="0041775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37047" w:rsidRPr="007117EF">
        <w:rPr>
          <w:rFonts w:ascii="Verdana" w:hAnsi="Verdana" w:cs="YIUEB V+ Gotham"/>
          <w:color w:val="77328A"/>
          <w:sz w:val="16"/>
          <w:szCs w:val="16"/>
        </w:rPr>
        <w:t>Department for Communities, ‘Equality Impact Assessment’, (DfC, 2021).</w:t>
      </w:r>
    </w:p>
  </w:footnote>
  <w:footnote w:id="158">
    <w:p w14:paraId="41A44AFD" w14:textId="78E8014D" w:rsidR="001F49BC" w:rsidRPr="007117EF" w:rsidRDefault="001F49BC"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 </w:t>
      </w:r>
      <w:r w:rsidR="00A93FF3" w:rsidRPr="007117EF">
        <w:rPr>
          <w:rFonts w:ascii="Verdana" w:hAnsi="Verdana"/>
          <w:color w:val="77328A"/>
          <w:sz w:val="16"/>
          <w:szCs w:val="16"/>
        </w:rPr>
        <w:t xml:space="preserve">at </w:t>
      </w:r>
      <w:r w:rsidRPr="007117EF">
        <w:rPr>
          <w:rFonts w:ascii="Verdana" w:hAnsi="Verdana"/>
          <w:color w:val="77328A"/>
          <w:sz w:val="16"/>
          <w:szCs w:val="16"/>
        </w:rPr>
        <w:t>para 6.9.</w:t>
      </w:r>
    </w:p>
  </w:footnote>
  <w:footnote w:id="159">
    <w:p w14:paraId="3BBA8FC9" w14:textId="5FA1C053" w:rsidR="00BB0F79" w:rsidRPr="007117EF" w:rsidRDefault="00BB0F79"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37047" w:rsidRPr="007117EF">
        <w:rPr>
          <w:rFonts w:ascii="Verdana" w:hAnsi="Verdana"/>
          <w:color w:val="77328A"/>
          <w:sz w:val="16"/>
          <w:szCs w:val="16"/>
        </w:rPr>
        <w:t xml:space="preserve">Ibid, </w:t>
      </w:r>
      <w:r w:rsidR="00A93FF3" w:rsidRPr="007117EF">
        <w:rPr>
          <w:rFonts w:ascii="Verdana" w:hAnsi="Verdana"/>
          <w:color w:val="77328A"/>
          <w:sz w:val="16"/>
          <w:szCs w:val="16"/>
        </w:rPr>
        <w:t xml:space="preserve">at </w:t>
      </w:r>
      <w:r w:rsidR="00E37047" w:rsidRPr="007117EF">
        <w:rPr>
          <w:rFonts w:ascii="Verdana" w:hAnsi="Verdana"/>
          <w:color w:val="77328A"/>
          <w:sz w:val="16"/>
          <w:szCs w:val="16"/>
        </w:rPr>
        <w:t>para 6.19</w:t>
      </w:r>
      <w:r w:rsidR="00A93FF3" w:rsidRPr="007117EF">
        <w:rPr>
          <w:rFonts w:ascii="Verdana" w:hAnsi="Verdana"/>
          <w:color w:val="77328A"/>
          <w:sz w:val="16"/>
          <w:szCs w:val="16"/>
        </w:rPr>
        <w:t>.</w:t>
      </w:r>
    </w:p>
  </w:footnote>
  <w:footnote w:id="160">
    <w:p w14:paraId="429F8D23" w14:textId="35105AC9" w:rsidR="00BB0F79" w:rsidRPr="007117EF" w:rsidRDefault="00BB0F79"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37047" w:rsidRPr="007117EF">
        <w:rPr>
          <w:rFonts w:ascii="Verdana" w:hAnsi="Verdana"/>
          <w:color w:val="77328A"/>
          <w:sz w:val="16"/>
          <w:szCs w:val="16"/>
        </w:rPr>
        <w:t xml:space="preserve">Ibid, </w:t>
      </w:r>
      <w:r w:rsidR="00A93FF3" w:rsidRPr="007117EF">
        <w:rPr>
          <w:rFonts w:ascii="Verdana" w:hAnsi="Verdana"/>
          <w:color w:val="77328A"/>
          <w:sz w:val="16"/>
          <w:szCs w:val="16"/>
        </w:rPr>
        <w:t xml:space="preserve">at </w:t>
      </w:r>
      <w:r w:rsidR="00E37047" w:rsidRPr="007117EF">
        <w:rPr>
          <w:rFonts w:ascii="Verdana" w:hAnsi="Verdana"/>
          <w:color w:val="77328A"/>
          <w:sz w:val="16"/>
          <w:szCs w:val="16"/>
        </w:rPr>
        <w:t>para 6.18</w:t>
      </w:r>
      <w:r w:rsidR="00A93FF3" w:rsidRPr="007117EF">
        <w:rPr>
          <w:rFonts w:ascii="Verdana" w:hAnsi="Verdana"/>
          <w:color w:val="77328A"/>
          <w:sz w:val="16"/>
          <w:szCs w:val="16"/>
        </w:rPr>
        <w:t>.</w:t>
      </w:r>
    </w:p>
  </w:footnote>
  <w:footnote w:id="161">
    <w:p w14:paraId="1A7EBE79" w14:textId="5CB69300" w:rsidR="00BB0F79" w:rsidRPr="007117EF" w:rsidRDefault="00BB0F79"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55D34" w:rsidRPr="007117EF">
        <w:rPr>
          <w:rFonts w:ascii="Verdana" w:hAnsi="Verdana"/>
          <w:color w:val="77328A"/>
          <w:sz w:val="16"/>
          <w:szCs w:val="16"/>
        </w:rPr>
        <w:t xml:space="preserve">Ibid, </w:t>
      </w:r>
      <w:r w:rsidR="00A93FF3" w:rsidRPr="007117EF">
        <w:rPr>
          <w:rFonts w:ascii="Verdana" w:hAnsi="Verdana"/>
          <w:color w:val="77328A"/>
          <w:sz w:val="16"/>
          <w:szCs w:val="16"/>
        </w:rPr>
        <w:t xml:space="preserve">at </w:t>
      </w:r>
      <w:r w:rsidR="00A55D34" w:rsidRPr="007117EF">
        <w:rPr>
          <w:rFonts w:ascii="Verdana" w:hAnsi="Verdana"/>
          <w:color w:val="77328A"/>
          <w:sz w:val="16"/>
          <w:szCs w:val="16"/>
        </w:rPr>
        <w:t>para 6.21</w:t>
      </w:r>
      <w:r w:rsidR="00A93FF3" w:rsidRPr="007117EF">
        <w:rPr>
          <w:rFonts w:ascii="Verdana" w:hAnsi="Verdana"/>
          <w:color w:val="77328A"/>
          <w:sz w:val="16"/>
          <w:szCs w:val="16"/>
        </w:rPr>
        <w:t>.</w:t>
      </w:r>
    </w:p>
  </w:footnote>
  <w:footnote w:id="162">
    <w:p w14:paraId="7DDFBD5C" w14:textId="3F8CD9EC" w:rsidR="00C205F6" w:rsidRPr="007117EF" w:rsidRDefault="00C205F6" w:rsidP="0041775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w:t>
      </w:r>
      <w:r w:rsidR="0041094B" w:rsidRPr="007117EF">
        <w:rPr>
          <w:rFonts w:ascii="Verdana" w:hAnsi="Verdana"/>
          <w:color w:val="77328A"/>
          <w:sz w:val="16"/>
          <w:szCs w:val="16"/>
        </w:rPr>
        <w:t xml:space="preserve"> </w:t>
      </w:r>
      <w:r w:rsidR="0041094B" w:rsidRPr="007117EF">
        <w:rPr>
          <w:rFonts w:ascii="Verdana" w:hAnsi="Verdana" w:cs="YIUEB V+ Gotham"/>
          <w:color w:val="77328A"/>
          <w:sz w:val="16"/>
          <w:szCs w:val="16"/>
        </w:rPr>
        <w:t>‘Submission to the Department for Communities in Response to Their Equality Impact Assessment of the Draft Budget 2021-22’, (NIHRC, 2021)</w:t>
      </w:r>
      <w:r w:rsidR="0060689B" w:rsidRPr="007117EF">
        <w:rPr>
          <w:rFonts w:ascii="Verdana" w:hAnsi="Verdana" w:cs="YIUEB V+ Gotham"/>
          <w:color w:val="77328A"/>
          <w:sz w:val="16"/>
          <w:szCs w:val="16"/>
        </w:rPr>
        <w:t>.</w:t>
      </w:r>
    </w:p>
  </w:footnote>
  <w:footnote w:id="163">
    <w:p w14:paraId="0E356D64" w14:textId="7E8DB10D" w:rsidR="001A0317" w:rsidRPr="007117EF" w:rsidRDefault="001A0317"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22BC6" w:rsidRPr="007117EF">
        <w:rPr>
          <w:rFonts w:ascii="Verdana" w:hAnsi="Verdana"/>
          <w:color w:val="77328A"/>
          <w:sz w:val="16"/>
          <w:szCs w:val="16"/>
        </w:rPr>
        <w:t>Ibid</w:t>
      </w:r>
      <w:r w:rsidR="0060689B" w:rsidRPr="007117EF">
        <w:rPr>
          <w:rFonts w:ascii="Verdana" w:hAnsi="Verdana"/>
          <w:color w:val="77328A"/>
          <w:sz w:val="16"/>
          <w:szCs w:val="16"/>
        </w:rPr>
        <w:t>.</w:t>
      </w:r>
    </w:p>
  </w:footnote>
  <w:footnote w:id="164">
    <w:p w14:paraId="1AAB2BFF" w14:textId="55679C0C" w:rsidR="00A33C65" w:rsidRPr="007117EF" w:rsidRDefault="00A33C65"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C5F70" w:rsidRPr="007117EF">
        <w:rPr>
          <w:rFonts w:ascii="Verdana" w:hAnsi="Verdana"/>
          <w:color w:val="77328A"/>
          <w:sz w:val="16"/>
          <w:szCs w:val="16"/>
        </w:rPr>
        <w:t>CEDAW/C/GBR/CO/8, UN Committee on the Elimination of Discrimination Against Women, ‘Concluding Observations on the Eighth Periodic Report of the United Kingdom of Great Britain and Northern Ireland’, (CEDAW, 2019), at paras 51-52.</w:t>
      </w:r>
    </w:p>
  </w:footnote>
  <w:footnote w:id="165">
    <w:p w14:paraId="1936DC31" w14:textId="1044D586" w:rsidR="00A33C65" w:rsidRPr="007117EF" w:rsidRDefault="00A33C65"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C5F70" w:rsidRPr="007117EF">
        <w:rPr>
          <w:rFonts w:ascii="Verdana" w:hAnsi="Verdana"/>
          <w:color w:val="77328A"/>
          <w:sz w:val="16"/>
          <w:szCs w:val="16"/>
        </w:rPr>
        <w:t>CRC/C/GBR/CO/5, UN Committee on the Rights of the Child, ‘Concluding Observations on the Fifth Periodic Report of the United Kingdom of Great Britain and Northern Ireland’, (CRC, 2016), at para 71.</w:t>
      </w:r>
    </w:p>
  </w:footnote>
  <w:footnote w:id="166">
    <w:p w14:paraId="19A096A2" w14:textId="118C2433" w:rsidR="00EC2108" w:rsidRPr="007117EF" w:rsidRDefault="00EC2108"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1094B" w:rsidRPr="007117EF">
        <w:rPr>
          <w:rFonts w:ascii="Verdana" w:hAnsi="Verdana"/>
          <w:color w:val="77328A"/>
          <w:sz w:val="16"/>
          <w:szCs w:val="16"/>
        </w:rPr>
        <w:t>Joseph Rowntree Foundation, ‘Poverty and Ethnicity: Key Messages for Northern Ireland’, (JRF, 2016).</w:t>
      </w:r>
    </w:p>
  </w:footnote>
  <w:footnote w:id="167">
    <w:p w14:paraId="05762F70" w14:textId="0DC79B78" w:rsidR="00E13062" w:rsidRPr="007117EF" w:rsidRDefault="00E13062"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F0559B" w:rsidRPr="007117EF">
        <w:rPr>
          <w:rFonts w:ascii="Verdana" w:hAnsi="Verdana"/>
          <w:color w:val="77328A"/>
          <w:sz w:val="16"/>
          <w:szCs w:val="16"/>
        </w:rPr>
        <w:t xml:space="preserve"> UN High Commissioner for Human Rights, ‘Addressing the Disproportionate Impact of Covid-19 on Minority Ethnic Communities’ (OHCHR, 2020</w:t>
      </w:r>
      <w:r w:rsidR="00A93FF3" w:rsidRPr="007117EF">
        <w:rPr>
          <w:rFonts w:ascii="Verdana" w:hAnsi="Verdana"/>
          <w:color w:val="77328A"/>
          <w:sz w:val="16"/>
          <w:szCs w:val="16"/>
        </w:rPr>
        <w:t>).</w:t>
      </w:r>
    </w:p>
  </w:footnote>
  <w:footnote w:id="168">
    <w:p w14:paraId="78E52741" w14:textId="4795B451" w:rsidR="00867401" w:rsidRPr="007117EF" w:rsidRDefault="00867401"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0559B" w:rsidRPr="007117EF">
        <w:rPr>
          <w:rFonts w:ascii="Verdana" w:hAnsi="Verdana"/>
          <w:color w:val="77328A"/>
          <w:sz w:val="16"/>
          <w:szCs w:val="16"/>
        </w:rPr>
        <w:t>Ibid</w:t>
      </w:r>
      <w:r w:rsidR="008B608E" w:rsidRPr="007117EF">
        <w:rPr>
          <w:rFonts w:ascii="Verdana" w:hAnsi="Verdana"/>
          <w:color w:val="77328A"/>
          <w:sz w:val="16"/>
          <w:szCs w:val="16"/>
        </w:rPr>
        <w:t>.</w:t>
      </w:r>
    </w:p>
  </w:footnote>
  <w:footnote w:id="169">
    <w:p w14:paraId="78E0BD21" w14:textId="536D887C" w:rsidR="00F67385" w:rsidRPr="007117EF" w:rsidRDefault="00F67385"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6D67E5" w:rsidRPr="007117EF">
        <w:rPr>
          <w:rFonts w:ascii="Verdana" w:hAnsi="Verdana"/>
          <w:color w:val="77328A"/>
          <w:sz w:val="16"/>
          <w:szCs w:val="16"/>
        </w:rPr>
        <w:t xml:space="preserve"> NI Human Rights Commission, ‘Submission to the Northern Ireland Affairs and Work and Pensions Committees’ Joint Inquiry into Northern Ireland’s Social Security Policy’, (NIHRC, 2020), at para 7.3.</w:t>
      </w:r>
    </w:p>
  </w:footnote>
  <w:footnote w:id="170">
    <w:p w14:paraId="534F3F19" w14:textId="5859B047" w:rsidR="00654266" w:rsidRPr="007117EF" w:rsidRDefault="00654266" w:rsidP="0041775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17757" w:rsidRPr="007117EF">
        <w:rPr>
          <w:rFonts w:ascii="Verdana" w:hAnsi="Verdana" w:cs="YIUEB V+ Gotham"/>
          <w:color w:val="77328A"/>
          <w:sz w:val="16"/>
          <w:szCs w:val="16"/>
        </w:rPr>
        <w:t>Department for Communities, ‘Press Release: Communities Minister commissions welfare mitigations review’, 16 November 2021</w:t>
      </w:r>
      <w:r w:rsidR="00A93FF3" w:rsidRPr="007117EF">
        <w:rPr>
          <w:rFonts w:ascii="Verdana" w:hAnsi="Verdana" w:cs="YIUEB V+ Gotham"/>
          <w:color w:val="77328A"/>
          <w:sz w:val="16"/>
          <w:szCs w:val="16"/>
        </w:rPr>
        <w:t>.</w:t>
      </w:r>
    </w:p>
  </w:footnote>
  <w:footnote w:id="171">
    <w:p w14:paraId="3C059807" w14:textId="45CA643A" w:rsidR="00E5776D" w:rsidRPr="007117EF" w:rsidRDefault="00E5776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Budget Act (NI) 2020 and Budget (No 2) Act 2020.</w:t>
      </w:r>
    </w:p>
  </w:footnote>
  <w:footnote w:id="172">
    <w:p w14:paraId="240B5C5D" w14:textId="279289DA" w:rsidR="00DE7BBC" w:rsidRPr="007117EF" w:rsidRDefault="00DE7BB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F03FD" w:rsidRPr="007117EF">
        <w:rPr>
          <w:rFonts w:ascii="Verdana" w:hAnsi="Verdana"/>
          <w:color w:val="77328A"/>
          <w:sz w:val="16"/>
          <w:szCs w:val="16"/>
        </w:rPr>
        <w:t>Under t</w:t>
      </w:r>
      <w:r w:rsidRPr="007117EF">
        <w:rPr>
          <w:rFonts w:ascii="Verdana" w:hAnsi="Verdana"/>
          <w:color w:val="77328A"/>
          <w:sz w:val="16"/>
          <w:szCs w:val="16"/>
        </w:rPr>
        <w:t>he ‘bedroom tax’ or spare room</w:t>
      </w:r>
      <w:r w:rsidR="003F1974" w:rsidRPr="007117EF">
        <w:rPr>
          <w:rFonts w:ascii="Verdana" w:hAnsi="Verdana"/>
          <w:color w:val="77328A"/>
          <w:sz w:val="16"/>
          <w:szCs w:val="16"/>
        </w:rPr>
        <w:t xml:space="preserve"> subsidy</w:t>
      </w:r>
      <w:r w:rsidRPr="007117EF">
        <w:rPr>
          <w:rFonts w:ascii="Verdana" w:hAnsi="Verdana"/>
          <w:color w:val="77328A"/>
          <w:sz w:val="16"/>
          <w:szCs w:val="16"/>
        </w:rPr>
        <w:t xml:space="preserve">, people who receive welfare payments would have their housing benefit reduced </w:t>
      </w:r>
      <w:r w:rsidR="00E7188F" w:rsidRPr="007117EF">
        <w:rPr>
          <w:rFonts w:ascii="Verdana" w:hAnsi="Verdana"/>
          <w:color w:val="77328A"/>
          <w:sz w:val="16"/>
          <w:szCs w:val="16"/>
        </w:rPr>
        <w:t>if they had one or more spare bedrooms. It was originally meant to take effect in NI in 2017.</w:t>
      </w:r>
    </w:p>
  </w:footnote>
  <w:footnote w:id="173">
    <w:p w14:paraId="67B87B4A" w14:textId="66F2C3B3" w:rsidR="00DC7F49" w:rsidRPr="007117EF" w:rsidRDefault="00DC7F4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E5776D" w:rsidRPr="007117EF">
        <w:rPr>
          <w:rFonts w:ascii="Verdana" w:hAnsi="Verdana"/>
          <w:color w:val="77328A"/>
          <w:sz w:val="16"/>
          <w:szCs w:val="16"/>
        </w:rPr>
        <w:t xml:space="preserve"> </w:t>
      </w:r>
      <w:r w:rsidR="007E379F" w:rsidRPr="007117EF">
        <w:rPr>
          <w:rFonts w:ascii="Verdana" w:hAnsi="Verdana"/>
          <w:color w:val="77328A"/>
          <w:sz w:val="16"/>
          <w:szCs w:val="16"/>
        </w:rPr>
        <w:t>NI Assembly Hansard, Official Report: Tuesday 8 February 2022 (NIA, 2022)</w:t>
      </w:r>
    </w:p>
  </w:footnote>
  <w:footnote w:id="174">
    <w:p w14:paraId="3B1A4FC3" w14:textId="4E0E227D" w:rsidR="009958B7" w:rsidRPr="007117EF" w:rsidRDefault="009958B7" w:rsidP="00417757">
      <w:pPr>
        <w:pStyle w:val="FootnoteText"/>
        <w:rPr>
          <w:rFonts w:ascii="Verdana" w:eastAsia="Times New Roman" w:hAnsi="Verdana" w:cs="Times New Roman"/>
          <w:color w:val="77328A"/>
          <w:sz w:val="16"/>
          <w:szCs w:val="16"/>
        </w:rPr>
      </w:pPr>
      <w:r w:rsidRPr="007117EF">
        <w:rPr>
          <w:rStyle w:val="FootnoteReference"/>
          <w:rFonts w:ascii="Verdana" w:hAnsi="Verdana"/>
          <w:color w:val="77328A"/>
          <w:sz w:val="16"/>
          <w:szCs w:val="16"/>
        </w:rPr>
        <w:footnoteRef/>
      </w:r>
      <w:r w:rsidR="00630F7C" w:rsidRPr="007117EF">
        <w:rPr>
          <w:rFonts w:ascii="Verdana" w:hAnsi="Verdana"/>
          <w:color w:val="77328A"/>
          <w:sz w:val="16"/>
          <w:szCs w:val="16"/>
        </w:rPr>
        <w:t xml:space="preserve"> </w:t>
      </w:r>
      <w:r w:rsidR="00D06C6E" w:rsidRPr="007117EF">
        <w:rPr>
          <w:rFonts w:ascii="Verdana" w:hAnsi="Verdana"/>
          <w:color w:val="77328A"/>
          <w:sz w:val="16"/>
          <w:szCs w:val="16"/>
        </w:rPr>
        <w:t>E/C.12/GBR/CO/6, ‘</w:t>
      </w:r>
      <w:r w:rsidRPr="007117EF">
        <w:rPr>
          <w:rFonts w:ascii="Verdana" w:hAnsi="Verdana"/>
          <w:color w:val="77328A"/>
          <w:sz w:val="16"/>
          <w:szCs w:val="16"/>
        </w:rPr>
        <w:t xml:space="preserve">UN Committee on Economic, Social and Cultural Rights, Concluding observations on the sixth periodic report of the United Kingdom of Great Britain and Northern </w:t>
      </w:r>
      <w:r w:rsidR="00630F7C" w:rsidRPr="007117EF">
        <w:rPr>
          <w:rFonts w:ascii="Verdana" w:hAnsi="Verdana"/>
          <w:color w:val="77328A"/>
          <w:sz w:val="16"/>
          <w:szCs w:val="16"/>
        </w:rPr>
        <w:t>Ireland</w:t>
      </w:r>
      <w:r w:rsidR="00D06C6E" w:rsidRPr="007117EF">
        <w:rPr>
          <w:rFonts w:ascii="Verdana" w:hAnsi="Verdana"/>
          <w:color w:val="77328A"/>
          <w:sz w:val="16"/>
          <w:szCs w:val="16"/>
        </w:rPr>
        <w:t>’</w:t>
      </w:r>
      <w:r w:rsidRPr="007117EF">
        <w:rPr>
          <w:rFonts w:ascii="Verdana" w:hAnsi="Verdana"/>
          <w:color w:val="77328A"/>
          <w:sz w:val="16"/>
          <w:szCs w:val="16"/>
        </w:rPr>
        <w:t>, 14 July 2016.</w:t>
      </w:r>
    </w:p>
  </w:footnote>
  <w:footnote w:id="175">
    <w:p w14:paraId="7B72CE11" w14:textId="16610461" w:rsidR="009958B7" w:rsidRPr="007117EF" w:rsidRDefault="009958B7" w:rsidP="0041775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630F7C" w:rsidRPr="007117EF">
        <w:rPr>
          <w:rFonts w:ascii="Verdana" w:hAnsi="Verdana"/>
          <w:color w:val="77328A"/>
          <w:sz w:val="16"/>
          <w:szCs w:val="16"/>
        </w:rPr>
        <w:t xml:space="preserve"> </w:t>
      </w:r>
      <w:r w:rsidR="00D06C6E" w:rsidRPr="007117EF">
        <w:rPr>
          <w:rFonts w:ascii="Verdana" w:hAnsi="Verdana"/>
          <w:color w:val="77328A"/>
          <w:sz w:val="16"/>
          <w:szCs w:val="16"/>
        </w:rPr>
        <w:t>Ibid</w:t>
      </w:r>
      <w:r w:rsidR="00630F7C" w:rsidRPr="007117EF">
        <w:rPr>
          <w:rFonts w:ascii="Verdana" w:hAnsi="Verdana"/>
          <w:color w:val="77328A"/>
          <w:sz w:val="16"/>
          <w:szCs w:val="16"/>
        </w:rPr>
        <w:t>.</w:t>
      </w:r>
    </w:p>
  </w:footnote>
  <w:footnote w:id="176">
    <w:p w14:paraId="7E586765" w14:textId="753974EA" w:rsidR="009958B7" w:rsidRPr="007117EF" w:rsidRDefault="009958B7"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CEDAW/C/GBR/CO/8, 'UN CEDAW Committee Concluding Observations on the Eighth Periodic Report of the United Kingdom of Great Britain and Northern Ireland', 14 March 2019.</w:t>
      </w:r>
    </w:p>
  </w:footnote>
  <w:footnote w:id="177">
    <w:p w14:paraId="1ADDB6CD" w14:textId="42F35825" w:rsidR="00551FD8" w:rsidRPr="007117EF" w:rsidRDefault="00551F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S.95, Immigration and Asylum Act 1999. </w:t>
      </w:r>
    </w:p>
  </w:footnote>
  <w:footnote w:id="178">
    <w:p w14:paraId="742E6D54" w14:textId="450FB9D5" w:rsidR="0024239C" w:rsidRPr="007117EF" w:rsidRDefault="0024239C"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00551FD8" w:rsidRPr="007117EF">
        <w:rPr>
          <w:rFonts w:ascii="Verdana" w:hAnsi="Verdana"/>
          <w:color w:val="77328A"/>
          <w:sz w:val="16"/>
          <w:szCs w:val="16"/>
        </w:rPr>
        <w:t xml:space="preserve"> </w:t>
      </w:r>
      <w:r w:rsidR="00551FD8" w:rsidRPr="007117EF">
        <w:rPr>
          <w:rFonts w:ascii="Verdana" w:hAnsi="Verdana" w:cs="YIUEB V+ Gotham"/>
          <w:color w:val="77328A"/>
          <w:sz w:val="16"/>
          <w:szCs w:val="16"/>
        </w:rPr>
        <w:t>Regulation 2, Asylum Support (Amendment) Regulations 2018</w:t>
      </w:r>
      <w:r w:rsidR="00E5776D" w:rsidRPr="007117EF">
        <w:rPr>
          <w:rFonts w:ascii="Verdana" w:hAnsi="Verdana" w:cs="YIUEB V+ Gotham"/>
          <w:color w:val="77328A"/>
          <w:sz w:val="16"/>
          <w:szCs w:val="16"/>
        </w:rPr>
        <w:t>;</w:t>
      </w:r>
      <w:r w:rsidRPr="007117EF">
        <w:rPr>
          <w:rFonts w:ascii="Verdana" w:hAnsi="Verdana" w:cs="YIUEB V+ Gotham"/>
          <w:color w:val="77328A"/>
          <w:sz w:val="16"/>
          <w:szCs w:val="16"/>
        </w:rPr>
        <w:t xml:space="preserve"> </w:t>
      </w:r>
      <w:r w:rsidR="00CE0A96" w:rsidRPr="007117EF">
        <w:rPr>
          <w:rFonts w:ascii="Verdana" w:hAnsi="Verdana" w:cs="YIUEB V+ Gotham"/>
          <w:color w:val="77328A"/>
          <w:sz w:val="16"/>
          <w:szCs w:val="16"/>
        </w:rPr>
        <w:t xml:space="preserve">British Red Cross, </w:t>
      </w:r>
      <w:r w:rsidR="00E5776D" w:rsidRPr="007117EF">
        <w:rPr>
          <w:rFonts w:ascii="Verdana" w:hAnsi="Verdana" w:cs="YIUEB V+ Gotham"/>
          <w:color w:val="77328A"/>
          <w:sz w:val="16"/>
          <w:szCs w:val="16"/>
        </w:rPr>
        <w:t>‘</w:t>
      </w:r>
      <w:r w:rsidR="00CE0A96" w:rsidRPr="007117EF">
        <w:rPr>
          <w:rFonts w:ascii="Verdana" w:hAnsi="Verdana" w:cs="YIUEB V+ Gotham"/>
          <w:color w:val="77328A"/>
          <w:sz w:val="16"/>
          <w:szCs w:val="16"/>
        </w:rPr>
        <w:t xml:space="preserve">The Longest Year: life under local </w:t>
      </w:r>
      <w:r w:rsidR="00E5776D" w:rsidRPr="007117EF">
        <w:rPr>
          <w:rFonts w:ascii="Verdana" w:hAnsi="Verdana" w:cs="YIUEB V+ Gotham"/>
          <w:color w:val="77328A"/>
          <w:sz w:val="16"/>
          <w:szCs w:val="16"/>
        </w:rPr>
        <w:t>restrictions’</w:t>
      </w:r>
      <w:r w:rsidR="00CE0A96" w:rsidRPr="007117EF">
        <w:rPr>
          <w:rFonts w:ascii="Verdana" w:hAnsi="Verdana" w:cs="YIUEB V+ Gotham"/>
          <w:color w:val="77328A"/>
          <w:sz w:val="16"/>
          <w:szCs w:val="16"/>
        </w:rPr>
        <w:t>, 2021, at 24.</w:t>
      </w:r>
    </w:p>
  </w:footnote>
  <w:footnote w:id="179">
    <w:p w14:paraId="56F97A2C" w14:textId="0C8C7350" w:rsidR="0017650A" w:rsidRPr="00476666" w:rsidRDefault="0017650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36371" w:rsidRPr="007117EF">
        <w:rPr>
          <w:rFonts w:ascii="Verdana" w:hAnsi="Verdana"/>
          <w:color w:val="77328A"/>
          <w:sz w:val="16"/>
          <w:szCs w:val="16"/>
        </w:rPr>
        <w:t>Refugee Council, ‘</w:t>
      </w:r>
      <w:hyperlink r:id="rId11" w:history="1">
        <w:r w:rsidR="00B36371" w:rsidRPr="007117EF">
          <w:rPr>
            <w:rStyle w:val="Hyperlink"/>
            <w:rFonts w:ascii="Verdana" w:hAnsi="Verdana"/>
            <w:color w:val="77328A"/>
            <w:sz w:val="16"/>
            <w:szCs w:val="16"/>
          </w:rPr>
          <w:t>Changes to Asylum &amp; Resettlement policy and practice in response to Covid19’</w:t>
        </w:r>
      </w:hyperlink>
      <w:r w:rsidR="00B36371" w:rsidRPr="007117EF">
        <w:rPr>
          <w:rFonts w:ascii="Verdana" w:hAnsi="Verdana"/>
          <w:color w:val="77328A"/>
          <w:sz w:val="16"/>
          <w:szCs w:val="16"/>
        </w:rPr>
        <w:t xml:space="preserve"> (</w:t>
      </w:r>
      <w:r w:rsidR="009F76F9" w:rsidRPr="007117EF">
        <w:rPr>
          <w:rFonts w:ascii="Verdana" w:hAnsi="Verdana"/>
          <w:color w:val="77328A"/>
          <w:sz w:val="16"/>
          <w:szCs w:val="16"/>
        </w:rPr>
        <w:t>January 2022).</w:t>
      </w:r>
    </w:p>
  </w:footnote>
  <w:footnote w:id="180">
    <w:p w14:paraId="043AD8D6" w14:textId="5C4E3935" w:rsidR="00266925" w:rsidRPr="007117EF" w:rsidRDefault="00266925"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E4795" w:rsidRPr="007117EF">
        <w:rPr>
          <w:rFonts w:ascii="Verdana" w:hAnsi="Verdana"/>
          <w:color w:val="77328A"/>
          <w:sz w:val="16"/>
          <w:szCs w:val="16"/>
        </w:rPr>
        <w:t>Gov.UK, ‘What You’ll Get’. Available at: https://www.gov.uk/asylum-support/what-youll-get.</w:t>
      </w:r>
    </w:p>
  </w:footnote>
  <w:footnote w:id="181">
    <w:p w14:paraId="1935258D" w14:textId="1B7BC1EA" w:rsidR="00266925" w:rsidRPr="007117EF" w:rsidRDefault="00266925"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E51B7" w:rsidRPr="007117EF">
        <w:rPr>
          <w:rFonts w:ascii="Verdana" w:hAnsi="Verdana" w:cs="YIUEB V+ Gotham"/>
          <w:color w:val="77328A"/>
          <w:sz w:val="16"/>
          <w:szCs w:val="16"/>
        </w:rPr>
        <w:t>Office for National Statistics, ‘Immigration Statistics: Asylum and Protection - Section 95 support by local authority’, (ONS, 2021).</w:t>
      </w:r>
    </w:p>
  </w:footnote>
  <w:footnote w:id="182">
    <w:p w14:paraId="66146FE5" w14:textId="7E1A5C13" w:rsidR="00200260" w:rsidRPr="007117EF" w:rsidRDefault="00200260"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775DC" w:rsidRPr="007117EF">
        <w:rPr>
          <w:rFonts w:ascii="Verdana" w:hAnsi="Verdana"/>
          <w:color w:val="77328A"/>
          <w:sz w:val="16"/>
          <w:szCs w:val="16"/>
        </w:rPr>
        <w:t>Schedule 11, Immigration Act 2016.</w:t>
      </w:r>
    </w:p>
  </w:footnote>
  <w:footnote w:id="183">
    <w:p w14:paraId="6141E683" w14:textId="28BFD937" w:rsidR="00200260" w:rsidRPr="007117EF" w:rsidRDefault="00200260"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47E4B" w:rsidRPr="007117EF">
        <w:rPr>
          <w:rFonts w:ascii="Verdana" w:hAnsi="Verdana"/>
          <w:color w:val="77328A"/>
          <w:sz w:val="16"/>
          <w:szCs w:val="16"/>
        </w:rPr>
        <w:t>Gov.UK, ‘What You’ll Get’. Available at: https://www.gov.uk/asylum-support/what-youll-get.</w:t>
      </w:r>
    </w:p>
  </w:footnote>
  <w:footnote w:id="184">
    <w:p w14:paraId="546F18F0" w14:textId="3DD71E1A" w:rsidR="001221D4" w:rsidRPr="007117EF" w:rsidRDefault="001221D4" w:rsidP="00305963">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00C119B8" w:rsidRPr="007117EF">
        <w:rPr>
          <w:rFonts w:ascii="Verdana" w:hAnsi="Verdana"/>
          <w:color w:val="77328A"/>
          <w:sz w:val="16"/>
          <w:szCs w:val="16"/>
        </w:rPr>
        <w:t xml:space="preserve"> </w:t>
      </w:r>
      <w:r w:rsidR="00C119B8" w:rsidRPr="007117EF">
        <w:rPr>
          <w:rFonts w:ascii="Verdana" w:hAnsi="Verdana" w:cs="YIUEB V+ Gotham"/>
          <w:color w:val="77328A"/>
          <w:sz w:val="16"/>
          <w:szCs w:val="16"/>
        </w:rPr>
        <w:t xml:space="preserve">British Red Cross, </w:t>
      </w:r>
      <w:r w:rsidR="00E5776D" w:rsidRPr="007117EF">
        <w:rPr>
          <w:rFonts w:ascii="Verdana" w:hAnsi="Verdana" w:cs="YIUEB V+ Gotham"/>
          <w:color w:val="77328A"/>
          <w:sz w:val="16"/>
          <w:szCs w:val="16"/>
        </w:rPr>
        <w:t>‘</w:t>
      </w:r>
      <w:r w:rsidR="00C119B8" w:rsidRPr="007117EF">
        <w:rPr>
          <w:rFonts w:ascii="Verdana" w:hAnsi="Verdana" w:cs="YIUEB V+ Gotham"/>
          <w:color w:val="77328A"/>
          <w:sz w:val="16"/>
          <w:szCs w:val="16"/>
        </w:rPr>
        <w:t xml:space="preserve">The longest year: life under local restrictions, Northern Ireland </w:t>
      </w:r>
      <w:r w:rsidR="00E5776D" w:rsidRPr="007117EF">
        <w:rPr>
          <w:rFonts w:ascii="Verdana" w:hAnsi="Verdana" w:cs="YIUEB V+ Gotham"/>
          <w:color w:val="77328A"/>
          <w:sz w:val="16"/>
          <w:szCs w:val="16"/>
        </w:rPr>
        <w:t>Briefing’</w:t>
      </w:r>
      <w:r w:rsidR="00C119B8" w:rsidRPr="007117EF">
        <w:rPr>
          <w:rFonts w:ascii="Verdana" w:hAnsi="Verdana" w:cs="YIUEB V+ Gotham"/>
          <w:color w:val="77328A"/>
          <w:sz w:val="16"/>
          <w:szCs w:val="16"/>
        </w:rPr>
        <w:t>, February 2021.</w:t>
      </w:r>
    </w:p>
  </w:footnote>
  <w:footnote w:id="185">
    <w:p w14:paraId="3E05125C" w14:textId="3FC4BCE1" w:rsidR="004C5096" w:rsidRPr="007117EF" w:rsidRDefault="004C5096" w:rsidP="00EE7235">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54B99" w:rsidRPr="007117EF">
        <w:rPr>
          <w:rFonts w:ascii="Verdana" w:hAnsi="Verdana" w:cs="YIUEB V+ Gotham"/>
          <w:color w:val="77328A"/>
          <w:sz w:val="16"/>
          <w:szCs w:val="16"/>
        </w:rPr>
        <w:t>NI Commissioner for Children and Young People, ‘NICCY, ‘A Hostile Environment: Children and families affected by immigration status and NI Recourse to Public Funds’, October 2021, at p.42.</w:t>
      </w:r>
    </w:p>
  </w:footnote>
  <w:footnote w:id="186">
    <w:p w14:paraId="67D995BC" w14:textId="5E47436A" w:rsidR="004C5096" w:rsidRPr="007117EF" w:rsidRDefault="004C5096" w:rsidP="00E902F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54B99" w:rsidRPr="007117EF">
        <w:rPr>
          <w:rFonts w:ascii="Verdana" w:hAnsi="Verdana"/>
          <w:color w:val="77328A"/>
          <w:sz w:val="16"/>
          <w:szCs w:val="16"/>
        </w:rPr>
        <w:t>Ibid.</w:t>
      </w:r>
    </w:p>
  </w:footnote>
  <w:footnote w:id="187">
    <w:p w14:paraId="358BCB82" w14:textId="725EC6F9" w:rsidR="00E249E8" w:rsidRPr="007117EF" w:rsidRDefault="00E249E8" w:rsidP="006E34C5">
      <w:pPr>
        <w:pStyle w:val="FootnoteText"/>
        <w:rPr>
          <w:rFonts w:ascii="Verdana" w:eastAsia="Times New Roman" w:hAnsi="Verdana" w:cs="Times New Roman"/>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w:t>
      </w:r>
      <w:r w:rsidR="00E5776D" w:rsidRPr="007117EF">
        <w:rPr>
          <w:rFonts w:ascii="Verdana" w:hAnsi="Verdana"/>
          <w:color w:val="77328A"/>
          <w:sz w:val="16"/>
          <w:szCs w:val="16"/>
        </w:rPr>
        <w:t>‘</w:t>
      </w:r>
      <w:r w:rsidRPr="007117EF">
        <w:rPr>
          <w:rFonts w:ascii="Verdana" w:hAnsi="Verdana"/>
          <w:color w:val="77328A"/>
          <w:sz w:val="16"/>
          <w:szCs w:val="16"/>
        </w:rPr>
        <w:t xml:space="preserve">Submission to the NI Affairs Committee Inquiry into the experience of minority ethnic and migrant people in Northern </w:t>
      </w:r>
      <w:r w:rsidR="00E5776D" w:rsidRPr="007117EF">
        <w:rPr>
          <w:rFonts w:ascii="Verdana" w:hAnsi="Verdana"/>
          <w:color w:val="77328A"/>
          <w:sz w:val="16"/>
          <w:szCs w:val="16"/>
        </w:rPr>
        <w:t>Ireland’, (NIHRC,</w:t>
      </w:r>
      <w:r w:rsidRPr="007117EF">
        <w:rPr>
          <w:rFonts w:ascii="Verdana" w:hAnsi="Verdana"/>
          <w:color w:val="77328A"/>
          <w:sz w:val="16"/>
          <w:szCs w:val="16"/>
        </w:rPr>
        <w:t xml:space="preserve"> 2021</w:t>
      </w:r>
      <w:r w:rsidR="00E5776D" w:rsidRPr="007117EF">
        <w:rPr>
          <w:rFonts w:ascii="Verdana" w:hAnsi="Verdana"/>
          <w:color w:val="77328A"/>
          <w:sz w:val="16"/>
          <w:szCs w:val="16"/>
        </w:rPr>
        <w:t>).</w:t>
      </w:r>
    </w:p>
  </w:footnote>
  <w:footnote w:id="188">
    <w:p w14:paraId="59868591" w14:textId="5EDCDE64" w:rsidR="00C57EE6" w:rsidRPr="007117EF" w:rsidRDefault="00C57EE6" w:rsidP="006E34C5">
      <w:pPr>
        <w:pStyle w:val="Pa23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05963" w:rsidRPr="007117EF">
        <w:rPr>
          <w:rFonts w:ascii="Verdana" w:hAnsi="Verdana" w:cs="YIUEB V+ Gotham"/>
          <w:color w:val="77328A"/>
          <w:sz w:val="16"/>
          <w:szCs w:val="16"/>
        </w:rPr>
        <w:t>Home Office, ‘New Plan for Immigration’, (</w:t>
      </w:r>
      <w:r w:rsidR="00E5776D" w:rsidRPr="007117EF">
        <w:rPr>
          <w:rFonts w:ascii="Verdana" w:hAnsi="Verdana" w:cs="YIUEB V+ Gotham"/>
          <w:color w:val="77328A"/>
          <w:sz w:val="16"/>
          <w:szCs w:val="16"/>
        </w:rPr>
        <w:t>UKHO, 202)1</w:t>
      </w:r>
      <w:r w:rsidR="00305963" w:rsidRPr="007117EF">
        <w:rPr>
          <w:rFonts w:ascii="Verdana" w:hAnsi="Verdana" w:cs="YIUEB V+ Gotham"/>
          <w:color w:val="77328A"/>
          <w:sz w:val="16"/>
          <w:szCs w:val="16"/>
        </w:rPr>
        <w:t>.</w:t>
      </w:r>
    </w:p>
  </w:footnote>
  <w:footnote w:id="189">
    <w:p w14:paraId="217FC76B" w14:textId="383F2212" w:rsidR="005D415A" w:rsidRPr="007117EF" w:rsidRDefault="00464D1D" w:rsidP="006E34C5">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NI Human Rights Commission</w:t>
      </w:r>
      <w:r w:rsidR="00762AE3" w:rsidRPr="007117EF">
        <w:rPr>
          <w:rFonts w:ascii="Verdana" w:hAnsi="Verdana"/>
          <w:color w:val="77328A"/>
          <w:sz w:val="16"/>
          <w:szCs w:val="16"/>
        </w:rPr>
        <w:t>, ‘</w:t>
      </w:r>
      <w:hyperlink r:id="rId12" w:history="1">
        <w:r w:rsidR="00762AE3" w:rsidRPr="007117EF">
          <w:rPr>
            <w:rStyle w:val="Hyperlink"/>
            <w:rFonts w:ascii="Verdana" w:hAnsi="Verdana"/>
            <w:color w:val="77328A"/>
            <w:sz w:val="16"/>
            <w:szCs w:val="16"/>
          </w:rPr>
          <w:t xml:space="preserve">Response to </w:t>
        </w:r>
        <w:r w:rsidR="005D415A" w:rsidRPr="007117EF">
          <w:rPr>
            <w:rStyle w:val="Hyperlink"/>
            <w:rFonts w:ascii="Verdana" w:hAnsi="Verdana"/>
            <w:color w:val="77328A"/>
            <w:sz w:val="16"/>
            <w:szCs w:val="16"/>
          </w:rPr>
          <w:t>Public Consultation on the Home Office’s ‘New Plan For Immigration</w:t>
        </w:r>
      </w:hyperlink>
      <w:r w:rsidR="005D415A" w:rsidRPr="007117EF">
        <w:rPr>
          <w:rFonts w:ascii="Verdana" w:hAnsi="Verdana"/>
          <w:color w:val="77328A"/>
          <w:sz w:val="16"/>
          <w:szCs w:val="16"/>
        </w:rPr>
        <w:t>’</w:t>
      </w:r>
      <w:r w:rsidR="00741349" w:rsidRPr="007117EF">
        <w:rPr>
          <w:rFonts w:ascii="Verdana" w:hAnsi="Verdana"/>
          <w:color w:val="77328A"/>
          <w:sz w:val="16"/>
          <w:szCs w:val="16"/>
        </w:rPr>
        <w:t xml:space="preserve">, </w:t>
      </w:r>
      <w:r w:rsidR="00E5776D" w:rsidRPr="007117EF">
        <w:rPr>
          <w:rFonts w:ascii="Verdana" w:hAnsi="Verdana"/>
          <w:color w:val="77328A"/>
          <w:sz w:val="16"/>
          <w:szCs w:val="16"/>
        </w:rPr>
        <w:t xml:space="preserve">(NIHRC, </w:t>
      </w:r>
      <w:r w:rsidR="00741349" w:rsidRPr="007117EF">
        <w:rPr>
          <w:rFonts w:ascii="Verdana" w:hAnsi="Verdana"/>
          <w:color w:val="77328A"/>
          <w:sz w:val="16"/>
          <w:szCs w:val="16"/>
        </w:rPr>
        <w:t>2021</w:t>
      </w:r>
      <w:r w:rsidR="00E5776D" w:rsidRPr="007117EF">
        <w:rPr>
          <w:rFonts w:ascii="Verdana" w:hAnsi="Verdana"/>
          <w:color w:val="77328A"/>
          <w:sz w:val="16"/>
          <w:szCs w:val="16"/>
        </w:rPr>
        <w:t>).</w:t>
      </w:r>
      <w:r w:rsidR="00741349" w:rsidRPr="007117EF">
        <w:rPr>
          <w:rFonts w:ascii="Verdana" w:hAnsi="Verdana"/>
          <w:color w:val="77328A"/>
          <w:sz w:val="16"/>
          <w:szCs w:val="16"/>
        </w:rPr>
        <w:t xml:space="preserve"> </w:t>
      </w:r>
    </w:p>
  </w:footnote>
  <w:footnote w:id="190">
    <w:p w14:paraId="0D7B5B39" w14:textId="45218A60" w:rsidR="00464D1D" w:rsidRPr="007117EF" w:rsidRDefault="00464D1D" w:rsidP="00C7595E">
      <w:pPr>
        <w:pStyle w:val="Pa23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NI Human Rights Commission</w:t>
      </w:r>
      <w:r w:rsidR="006E34C5" w:rsidRPr="007117EF">
        <w:rPr>
          <w:rFonts w:ascii="Verdana" w:hAnsi="Verdana" w:cs="YIUEB V+ Gotham"/>
          <w:color w:val="77328A"/>
          <w:sz w:val="16"/>
          <w:szCs w:val="16"/>
        </w:rPr>
        <w:t>, ‘Response to Call for Evidence by the Joint Committee on Human Rights on the Nationality and Borders Bill’, October 2021.</w:t>
      </w:r>
    </w:p>
  </w:footnote>
  <w:footnote w:id="191">
    <w:p w14:paraId="015DC146" w14:textId="2BD041C8" w:rsidR="00444AB2" w:rsidRPr="00476666" w:rsidRDefault="00444AB2" w:rsidP="006E34C5">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 xml:space="preserve">NI Human Rights Commission </w:t>
      </w:r>
      <w:r w:rsidRPr="007117EF">
        <w:rPr>
          <w:rFonts w:ascii="Verdana" w:hAnsi="Verdana"/>
          <w:color w:val="77328A"/>
          <w:sz w:val="16"/>
          <w:szCs w:val="16"/>
        </w:rPr>
        <w:t xml:space="preserve">/ECNI, </w:t>
      </w:r>
      <w:r w:rsidR="00E5776D" w:rsidRPr="007117EF">
        <w:rPr>
          <w:rFonts w:ascii="Verdana" w:hAnsi="Verdana"/>
          <w:color w:val="77328A"/>
          <w:sz w:val="16"/>
          <w:szCs w:val="16"/>
        </w:rPr>
        <w:t>‘</w:t>
      </w:r>
      <w:r w:rsidRPr="007117EF">
        <w:rPr>
          <w:rFonts w:ascii="Verdana" w:hAnsi="Verdana"/>
          <w:color w:val="77328A"/>
          <w:sz w:val="16"/>
          <w:szCs w:val="16"/>
        </w:rPr>
        <w:t xml:space="preserve">Briefing Paper on Modern Slavery and Human Trafficking and Electronic Travel Authorisation provisions in the National and Borders </w:t>
      </w:r>
      <w:r w:rsidR="00E5776D" w:rsidRPr="007117EF">
        <w:rPr>
          <w:rFonts w:ascii="Verdana" w:hAnsi="Verdana"/>
          <w:color w:val="77328A"/>
          <w:sz w:val="16"/>
          <w:szCs w:val="16"/>
        </w:rPr>
        <w:t>Bill’</w:t>
      </w:r>
      <w:r w:rsidRPr="007117EF">
        <w:rPr>
          <w:rFonts w:ascii="Verdana" w:hAnsi="Verdana"/>
          <w:color w:val="77328A"/>
          <w:sz w:val="16"/>
          <w:szCs w:val="16"/>
        </w:rPr>
        <w:t>, January 2022.</w:t>
      </w:r>
    </w:p>
  </w:footnote>
  <w:footnote w:id="192">
    <w:p w14:paraId="72E35590" w14:textId="3E528506" w:rsidR="00646D67" w:rsidRPr="007117EF" w:rsidRDefault="00646D67" w:rsidP="00842FDB">
      <w:pPr>
        <w:pStyle w:val="FootnoteText"/>
        <w:rPr>
          <w:rFonts w:ascii="Verdana" w:eastAsia="Times New Roman" w:hAnsi="Verdana" w:cs="Times New Roman"/>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UN Committee on Economic, Social and Cultural Rights, Concluding observations on the sixth periodic report of the United Kingdom of Great Britain and Northern Ireland E/C.12/GBR/CO/6, UN Economic and Social Council, 14 July 2016</w:t>
      </w:r>
      <w:r w:rsidR="00491E5E" w:rsidRPr="007117EF">
        <w:rPr>
          <w:rFonts w:ascii="Verdana" w:hAnsi="Verdana"/>
          <w:color w:val="77328A"/>
          <w:sz w:val="16"/>
          <w:szCs w:val="16"/>
        </w:rPr>
        <w:t>.</w:t>
      </w:r>
    </w:p>
  </w:footnote>
  <w:footnote w:id="193">
    <w:p w14:paraId="0DD8BB6D" w14:textId="5C32774C" w:rsidR="00646D67" w:rsidRPr="007117EF" w:rsidRDefault="00646D67"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Executive, ‘Press Release: Junior Ministers Jennifer McCann and Jonathan Bell today outlined the benefits of the new Crisis Fund for vulnerable minority ethnic people,’ 4 February 2015.</w:t>
      </w:r>
    </w:p>
  </w:footnote>
  <w:footnote w:id="194">
    <w:p w14:paraId="4E9AF3CD" w14:textId="6EEF48B2" w:rsidR="00646D67" w:rsidRPr="007117EF" w:rsidRDefault="00646D67"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Fiona Murphy and Ulrike Vieten, 'Asylum Seekers' and Refugee's Experiences of Life in NI: Report of the First Study </w:t>
      </w:r>
      <w:proofErr w:type="gramStart"/>
      <w:r w:rsidRPr="007117EF">
        <w:rPr>
          <w:rFonts w:ascii="Verdana" w:hAnsi="Verdana"/>
          <w:color w:val="77328A"/>
          <w:sz w:val="16"/>
          <w:szCs w:val="16"/>
        </w:rPr>
        <w:t>on the Situation of</w:t>
      </w:r>
      <w:proofErr w:type="gramEnd"/>
      <w:r w:rsidRPr="007117EF">
        <w:rPr>
          <w:rFonts w:ascii="Verdana" w:hAnsi="Verdana"/>
          <w:color w:val="77328A"/>
          <w:sz w:val="16"/>
          <w:szCs w:val="16"/>
        </w:rPr>
        <w:t xml:space="preserve"> Asylum Seekers and Refugees in NI - 2016', QUB, 2017)</w:t>
      </w:r>
      <w:r w:rsidR="00491E5E" w:rsidRPr="007117EF">
        <w:rPr>
          <w:rFonts w:ascii="Verdana" w:hAnsi="Verdana"/>
          <w:color w:val="77328A"/>
          <w:sz w:val="16"/>
          <w:szCs w:val="16"/>
        </w:rPr>
        <w:t>.</w:t>
      </w:r>
    </w:p>
  </w:footnote>
  <w:footnote w:id="195">
    <w:p w14:paraId="2D94F12A" w14:textId="61DDE719" w:rsidR="00AC1659" w:rsidRPr="007117EF" w:rsidRDefault="00AC1659"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Email correspondence from the Executive Office to the NI Human Rights Commission, October 2021.</w:t>
      </w:r>
    </w:p>
  </w:footnote>
  <w:footnote w:id="196">
    <w:p w14:paraId="3DFB4A46" w14:textId="534B5A66" w:rsidR="00D13419" w:rsidRPr="007117EF" w:rsidRDefault="00D13419"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p>
  </w:footnote>
  <w:footnote w:id="197">
    <w:p w14:paraId="52873794" w14:textId="538D58E4" w:rsidR="00D13419" w:rsidRPr="007117EF" w:rsidRDefault="00D13419"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p>
  </w:footnote>
  <w:footnote w:id="198">
    <w:p w14:paraId="3934ACCC" w14:textId="038B08E7" w:rsidR="002600D0" w:rsidRPr="00476666" w:rsidRDefault="002600D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93FF3" w:rsidRPr="007117EF">
        <w:rPr>
          <w:rFonts w:ascii="Verdana" w:hAnsi="Verdana"/>
          <w:color w:val="77328A"/>
          <w:sz w:val="16"/>
          <w:szCs w:val="16"/>
        </w:rPr>
        <w:t>NI Human Rights Commission</w:t>
      </w:r>
      <w:r w:rsidRPr="007117EF">
        <w:rPr>
          <w:rFonts w:ascii="Verdana" w:hAnsi="Verdana"/>
          <w:color w:val="77328A"/>
          <w:sz w:val="16"/>
          <w:szCs w:val="16"/>
        </w:rPr>
        <w:t xml:space="preserve"> meeting with The Executive Office, 1 February 2021.</w:t>
      </w:r>
    </w:p>
  </w:footnote>
  <w:footnote w:id="199">
    <w:p w14:paraId="5E26C706" w14:textId="0F212627" w:rsidR="00646D67" w:rsidRPr="007117EF" w:rsidRDefault="00646D67"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Submission to the NI Affairs Committee Inquiry into the experience of minority ethnic and migrant people in Northern Ireland, May 2021</w:t>
      </w:r>
      <w:r w:rsidR="00491E5E" w:rsidRPr="007117EF">
        <w:rPr>
          <w:rFonts w:ascii="Verdana" w:hAnsi="Verdana"/>
          <w:color w:val="77328A"/>
          <w:sz w:val="16"/>
          <w:szCs w:val="16"/>
        </w:rPr>
        <w:t>.</w:t>
      </w:r>
    </w:p>
  </w:footnote>
  <w:footnote w:id="200">
    <w:p w14:paraId="3AB04E31" w14:textId="775125A0" w:rsidR="00BC7C03" w:rsidRPr="007117EF" w:rsidRDefault="00BC7C03"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83EEF" w:rsidRPr="007117EF">
        <w:rPr>
          <w:rFonts w:ascii="Verdana" w:hAnsi="Verdana"/>
          <w:color w:val="77328A"/>
          <w:sz w:val="16"/>
          <w:szCs w:val="16"/>
        </w:rPr>
        <w:t>OFMDFM, ‘Racial Equality Strategy 2015 – 2025’ (December 2015).</w:t>
      </w:r>
    </w:p>
  </w:footnote>
  <w:footnote w:id="201">
    <w:p w14:paraId="68C6B07D" w14:textId="040D692B" w:rsidR="00C91A9A" w:rsidRPr="007117EF" w:rsidRDefault="00C91A9A"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10FAA" w:rsidRPr="007117EF">
        <w:rPr>
          <w:rFonts w:ascii="Verdana" w:hAnsi="Verdana"/>
          <w:color w:val="77328A"/>
          <w:sz w:val="16"/>
          <w:szCs w:val="16"/>
        </w:rPr>
        <w:t>CRC/C/GBR/CO/5, ‘UN CRC Committee Concluding observations on the fifth periodic report of the United Kingdom of Great Britain and Northern Ireland’, 12 July 2016, at paras 76-77.</w:t>
      </w:r>
    </w:p>
  </w:footnote>
  <w:footnote w:id="202">
    <w:p w14:paraId="54C980C5" w14:textId="0238389A" w:rsidR="00C91A9A" w:rsidRPr="007117EF" w:rsidRDefault="00C91A9A"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10FAA" w:rsidRPr="007117EF">
        <w:rPr>
          <w:rFonts w:ascii="Verdana" w:hAnsi="Verdana"/>
          <w:color w:val="77328A"/>
          <w:sz w:val="16"/>
          <w:szCs w:val="16"/>
        </w:rPr>
        <w:t>Ibid.</w:t>
      </w:r>
    </w:p>
  </w:footnote>
  <w:footnote w:id="203">
    <w:p w14:paraId="067D5044" w14:textId="3178B6ED" w:rsidR="00F409E4" w:rsidRPr="007117EF" w:rsidRDefault="00F409E4"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ECRI (2016) 38, ‘European Commission against Racial Intolerance Report on the UK (Fifth Monitoring Cycle)’, 4 October 2016, at para 116.</w:t>
      </w:r>
    </w:p>
  </w:footnote>
  <w:footnote w:id="204">
    <w:p w14:paraId="66B05C73" w14:textId="77777777" w:rsidR="000A0458" w:rsidRPr="007117EF" w:rsidRDefault="000A0458"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22A63" w:rsidRPr="007117EF">
        <w:rPr>
          <w:rFonts w:ascii="Verdana" w:hAnsi="Verdana"/>
          <w:color w:val="77328A"/>
          <w:sz w:val="16"/>
          <w:szCs w:val="16"/>
        </w:rPr>
        <w:t>Michael Potter, ‘Refugees and Asylum Seekers in NI’, (NI Assembly, 2014), at 14.</w:t>
      </w:r>
    </w:p>
  </w:footnote>
  <w:footnote w:id="205">
    <w:p w14:paraId="16D79EFE" w14:textId="3B96A3A2" w:rsidR="00715E6A" w:rsidRPr="007117EF" w:rsidRDefault="00715E6A"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bookmarkStart w:id="32" w:name="_Hlk95312886"/>
      <w:r w:rsidR="00491FFD" w:rsidRPr="007117EF">
        <w:rPr>
          <w:rFonts w:ascii="Verdana" w:hAnsi="Verdana"/>
          <w:color w:val="77328A"/>
          <w:sz w:val="16"/>
          <w:szCs w:val="16"/>
        </w:rPr>
        <w:t xml:space="preserve">Correspondence from </w:t>
      </w:r>
      <w:r w:rsidR="00551FD8" w:rsidRPr="007117EF">
        <w:rPr>
          <w:rFonts w:ascii="Verdana" w:hAnsi="Verdana"/>
          <w:color w:val="77328A"/>
          <w:sz w:val="16"/>
          <w:szCs w:val="16"/>
        </w:rPr>
        <w:t>the</w:t>
      </w:r>
      <w:r w:rsidR="00491FFD" w:rsidRPr="007117EF">
        <w:rPr>
          <w:rFonts w:ascii="Verdana" w:hAnsi="Verdana"/>
          <w:color w:val="77328A"/>
          <w:sz w:val="16"/>
          <w:szCs w:val="16"/>
        </w:rPr>
        <w:t xml:space="preserve"> Executive Office to the NI Human Rights Commission, 2</w:t>
      </w:r>
      <w:r w:rsidR="0085121E" w:rsidRPr="007117EF">
        <w:rPr>
          <w:rFonts w:ascii="Verdana" w:hAnsi="Verdana"/>
          <w:color w:val="77328A"/>
          <w:sz w:val="16"/>
          <w:szCs w:val="16"/>
        </w:rPr>
        <w:t>7</w:t>
      </w:r>
      <w:r w:rsidR="00491FFD" w:rsidRPr="007117EF">
        <w:rPr>
          <w:rFonts w:ascii="Verdana" w:hAnsi="Verdana"/>
          <w:color w:val="77328A"/>
          <w:sz w:val="16"/>
          <w:szCs w:val="16"/>
        </w:rPr>
        <w:t xml:space="preserve"> October 2021</w:t>
      </w:r>
      <w:bookmarkEnd w:id="32"/>
      <w:r w:rsidR="00491FFD" w:rsidRPr="007117EF">
        <w:rPr>
          <w:rFonts w:ascii="Verdana" w:hAnsi="Verdana"/>
          <w:color w:val="77328A"/>
          <w:sz w:val="16"/>
          <w:szCs w:val="16"/>
        </w:rPr>
        <w:t>.</w:t>
      </w:r>
    </w:p>
  </w:footnote>
  <w:footnote w:id="206">
    <w:p w14:paraId="7C287DF4" w14:textId="77777777" w:rsidR="00393A7C" w:rsidRPr="007117EF" w:rsidRDefault="00393A7C" w:rsidP="00393A7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Executive Office meeting of the Racial Equality Subgroup, 16 February 2022.</w:t>
      </w:r>
    </w:p>
  </w:footnote>
  <w:footnote w:id="207">
    <w:p w14:paraId="4A58E895" w14:textId="27C76FE0" w:rsidR="000D4D03" w:rsidRPr="007117EF" w:rsidRDefault="000D4D03" w:rsidP="000D4D0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CD3969" w:rsidRPr="007117EF">
        <w:rPr>
          <w:rFonts w:ascii="Verdana" w:hAnsi="Verdana"/>
          <w:color w:val="77328A"/>
          <w:sz w:val="16"/>
          <w:szCs w:val="16"/>
        </w:rPr>
        <w:t>NI Human Rights Commission</w:t>
      </w:r>
      <w:r w:rsidR="00CD3969" w:rsidRPr="00C64846">
        <w:rPr>
          <w:rFonts w:ascii="Verdana" w:hAnsi="Verdana"/>
          <w:color w:val="77328A"/>
          <w:sz w:val="16"/>
          <w:szCs w:val="16"/>
        </w:rPr>
        <w:t>, ‘</w:t>
      </w:r>
      <w:hyperlink r:id="rId13" w:history="1">
        <w:r w:rsidR="00CD3969" w:rsidRPr="00C64846">
          <w:rPr>
            <w:rStyle w:val="Hyperlink"/>
            <w:rFonts w:ascii="Verdana" w:hAnsi="Verdana"/>
            <w:color w:val="77328A"/>
            <w:sz w:val="16"/>
            <w:szCs w:val="16"/>
          </w:rPr>
          <w:t xml:space="preserve">Response to </w:t>
        </w:r>
        <w:r w:rsidR="00D45DA7" w:rsidRPr="00C64846">
          <w:rPr>
            <w:rStyle w:val="Hyperlink"/>
            <w:rFonts w:ascii="Verdana" w:hAnsi="Verdana"/>
            <w:color w:val="77328A"/>
            <w:sz w:val="16"/>
            <w:szCs w:val="16"/>
          </w:rPr>
          <w:t>Refugee Integration Strategy</w:t>
        </w:r>
      </w:hyperlink>
      <w:r w:rsidR="00D45DA7" w:rsidRPr="00C64846">
        <w:rPr>
          <w:rFonts w:ascii="Verdana" w:hAnsi="Verdana"/>
          <w:color w:val="77328A"/>
          <w:sz w:val="16"/>
          <w:szCs w:val="16"/>
        </w:rPr>
        <w:t>’, 2022</w:t>
      </w:r>
      <w:r w:rsidR="00007227" w:rsidRPr="007117EF">
        <w:rPr>
          <w:rFonts w:ascii="Verdana" w:hAnsi="Verdana"/>
          <w:color w:val="77328A"/>
          <w:sz w:val="16"/>
          <w:szCs w:val="16"/>
        </w:rPr>
        <w:t>.</w:t>
      </w:r>
    </w:p>
  </w:footnote>
  <w:footnote w:id="208">
    <w:p w14:paraId="69E970D3" w14:textId="18A4F554" w:rsidR="000444E8" w:rsidRPr="00476666" w:rsidRDefault="000444E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51A81" w:rsidRPr="007117EF">
        <w:rPr>
          <w:rFonts w:ascii="Verdana" w:hAnsi="Verdana"/>
          <w:color w:val="77328A"/>
          <w:sz w:val="16"/>
          <w:szCs w:val="16"/>
        </w:rPr>
        <w:t>Correspondence from The Executive Office to the NI Human Rights Commission, 27 October 2021</w:t>
      </w:r>
      <w:r w:rsidR="00551FD8" w:rsidRPr="007117EF">
        <w:rPr>
          <w:rFonts w:ascii="Verdana" w:hAnsi="Verdana"/>
          <w:color w:val="77328A"/>
          <w:sz w:val="16"/>
          <w:szCs w:val="16"/>
        </w:rPr>
        <w:t>.</w:t>
      </w:r>
    </w:p>
  </w:footnote>
  <w:footnote w:id="209">
    <w:p w14:paraId="3EC61F24" w14:textId="14BA675A" w:rsidR="006B2D0B" w:rsidRPr="007117EF" w:rsidRDefault="006B2D0B"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91FFD" w:rsidRPr="007117EF">
        <w:rPr>
          <w:rFonts w:ascii="Verdana" w:hAnsi="Verdana"/>
          <w:color w:val="77328A"/>
          <w:sz w:val="16"/>
          <w:szCs w:val="16"/>
        </w:rPr>
        <w:t>Home Office, ‘Press Release: New global resettlement scheme for the most vulnerable refugees announced’, 17 June 2019.</w:t>
      </w:r>
    </w:p>
  </w:footnote>
  <w:footnote w:id="210">
    <w:p w14:paraId="784FDEDE" w14:textId="6EDF041E" w:rsidR="00551FD8" w:rsidRPr="007117EF" w:rsidRDefault="00551F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S.67, Immigration Act 2016.</w:t>
      </w:r>
    </w:p>
  </w:footnote>
  <w:footnote w:id="211">
    <w:p w14:paraId="4E0BAAB4" w14:textId="4E16B880" w:rsidR="0021449D" w:rsidRPr="007117EF" w:rsidRDefault="0021449D" w:rsidP="0021449D">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Home Office, ‘Policy Statement: Section 67 of the Immigration Act 2016’, (HO,</w:t>
      </w:r>
      <w:r w:rsidR="00E5776D" w:rsidRPr="007117EF">
        <w:rPr>
          <w:rFonts w:ascii="Verdana" w:hAnsi="Verdana"/>
          <w:color w:val="77328A"/>
          <w:sz w:val="16"/>
          <w:szCs w:val="16"/>
        </w:rPr>
        <w:t xml:space="preserve"> </w:t>
      </w:r>
      <w:r w:rsidRPr="007117EF">
        <w:rPr>
          <w:rFonts w:ascii="Verdana" w:hAnsi="Verdana"/>
          <w:color w:val="77328A"/>
          <w:sz w:val="16"/>
          <w:szCs w:val="16"/>
        </w:rPr>
        <w:t>2017).</w:t>
      </w:r>
    </w:p>
  </w:footnote>
  <w:footnote w:id="212">
    <w:p w14:paraId="46013952" w14:textId="77777777" w:rsidR="00707E54" w:rsidRPr="007117EF" w:rsidRDefault="00707E54" w:rsidP="00707E5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Correspondence from NI Human Rights Commission to the Executive Office, October 2020.</w:t>
      </w:r>
    </w:p>
  </w:footnote>
  <w:footnote w:id="213">
    <w:p w14:paraId="070FC3FA" w14:textId="076144AE" w:rsidR="00682C5C" w:rsidRPr="007117EF" w:rsidRDefault="00682C5C"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9551C" w:rsidRPr="007117EF">
        <w:rPr>
          <w:rFonts w:ascii="Verdana" w:hAnsi="Verdana"/>
          <w:color w:val="77328A"/>
          <w:sz w:val="16"/>
          <w:szCs w:val="16"/>
        </w:rPr>
        <w:t>Correspondence from Bryson to the Executive Office, 8 July 2020.</w:t>
      </w:r>
    </w:p>
  </w:footnote>
  <w:footnote w:id="214">
    <w:p w14:paraId="2DFEFB67" w14:textId="63DD68B2" w:rsidR="0076379A" w:rsidRPr="007117EF" w:rsidRDefault="0076379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93FF3" w:rsidRPr="007117EF">
        <w:rPr>
          <w:rFonts w:ascii="Verdana" w:hAnsi="Verdana"/>
          <w:color w:val="77328A"/>
          <w:sz w:val="16"/>
          <w:szCs w:val="16"/>
        </w:rPr>
        <w:t>NI Human Rights Commission</w:t>
      </w:r>
      <w:r w:rsidRPr="007117EF">
        <w:rPr>
          <w:rFonts w:ascii="Verdana" w:hAnsi="Verdana"/>
          <w:color w:val="77328A"/>
          <w:sz w:val="16"/>
          <w:szCs w:val="16"/>
        </w:rPr>
        <w:t xml:space="preserve"> meeting with </w:t>
      </w:r>
      <w:r w:rsidR="00A93FF3" w:rsidRPr="007117EF">
        <w:rPr>
          <w:rFonts w:ascii="Verdana" w:hAnsi="Verdana"/>
          <w:color w:val="77328A"/>
          <w:sz w:val="16"/>
          <w:szCs w:val="16"/>
        </w:rPr>
        <w:t xml:space="preserve">The Executive </w:t>
      </w:r>
      <w:r w:rsidR="00551FD8" w:rsidRPr="007117EF">
        <w:rPr>
          <w:rFonts w:ascii="Verdana" w:hAnsi="Verdana"/>
          <w:color w:val="77328A"/>
          <w:sz w:val="16"/>
          <w:szCs w:val="16"/>
        </w:rPr>
        <w:t>Office</w:t>
      </w:r>
      <w:r w:rsidRPr="007117EF">
        <w:rPr>
          <w:rFonts w:ascii="Verdana" w:hAnsi="Verdana"/>
          <w:color w:val="77328A"/>
          <w:sz w:val="16"/>
          <w:szCs w:val="16"/>
        </w:rPr>
        <w:t>, 1 February 2022.</w:t>
      </w:r>
    </w:p>
  </w:footnote>
  <w:footnote w:id="215">
    <w:p w14:paraId="38051412" w14:textId="16815ACD" w:rsidR="00551FD8" w:rsidRPr="007117EF" w:rsidRDefault="00551FD8"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Human Rights Commission, ‘Response to Department of Health consultation on proposals for a new regional model of service for separated and unaccompanied asylum-seeking children in NI’, July 2021.</w:t>
      </w:r>
    </w:p>
  </w:footnote>
  <w:footnote w:id="216">
    <w:p w14:paraId="1D558AAF" w14:textId="68385789" w:rsidR="00492C24" w:rsidRPr="007117EF" w:rsidRDefault="00492C24"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C619A" w:rsidRPr="007117EF">
        <w:rPr>
          <w:rFonts w:ascii="Verdana" w:hAnsi="Verdana"/>
          <w:color w:val="77328A"/>
          <w:sz w:val="16"/>
          <w:szCs w:val="16"/>
        </w:rPr>
        <w:t>NI Human Rights Commission, ‘Out of Sight, Out of Mind: Travellers’ Accommodation in NI’ (NIHRC, 2018).</w:t>
      </w:r>
    </w:p>
  </w:footnote>
  <w:footnote w:id="217">
    <w:p w14:paraId="1E022C4C" w14:textId="2A62E095" w:rsidR="00DC619A" w:rsidRPr="007117EF" w:rsidRDefault="00DC619A"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p>
  </w:footnote>
  <w:footnote w:id="218">
    <w:p w14:paraId="03A8500E" w14:textId="16DAC533" w:rsidR="00B74038" w:rsidRPr="007117EF" w:rsidRDefault="00B74038"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w:t>
      </w:r>
      <w:r w:rsidR="0091051E" w:rsidRPr="007117EF">
        <w:rPr>
          <w:rFonts w:ascii="Verdana" w:hAnsi="Verdana"/>
          <w:color w:val="77328A"/>
          <w:sz w:val="16"/>
          <w:szCs w:val="16"/>
        </w:rPr>
        <w:t>d.</w:t>
      </w:r>
    </w:p>
  </w:footnote>
  <w:footnote w:id="219">
    <w:p w14:paraId="2C7773F2" w14:textId="260E15D9" w:rsidR="0091051E" w:rsidRPr="007117EF" w:rsidRDefault="0091051E"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D020B" w:rsidRPr="007117EF">
        <w:rPr>
          <w:rFonts w:ascii="Verdana" w:hAnsi="Verdana"/>
          <w:color w:val="77328A"/>
          <w:sz w:val="16"/>
          <w:szCs w:val="16"/>
        </w:rPr>
        <w:t>NI Human Rights Commission, ‘Implementation of Travellers’ Accommodation Recommendations’, (NIHRC, 2019).</w:t>
      </w:r>
    </w:p>
  </w:footnote>
  <w:footnote w:id="220">
    <w:p w14:paraId="344BC79F" w14:textId="44BCF0D9" w:rsidR="0091051E" w:rsidRPr="007117EF" w:rsidRDefault="0091051E"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D020B" w:rsidRPr="007117EF">
        <w:rPr>
          <w:rFonts w:ascii="Verdana" w:hAnsi="Verdana"/>
          <w:color w:val="77328A"/>
          <w:sz w:val="16"/>
          <w:szCs w:val="16"/>
        </w:rPr>
        <w:t>Ibid.</w:t>
      </w:r>
    </w:p>
  </w:footnote>
  <w:footnote w:id="221">
    <w:p w14:paraId="47727077" w14:textId="66B74E63" w:rsidR="005416C1" w:rsidRPr="00476666" w:rsidRDefault="005416C1"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B7D12" w:rsidRPr="007117EF">
        <w:rPr>
          <w:rFonts w:ascii="Verdana" w:hAnsi="Verdana"/>
          <w:color w:val="77328A"/>
          <w:sz w:val="16"/>
          <w:szCs w:val="16"/>
        </w:rPr>
        <w:t>Correspondence from the NI Housing Executive to the NI Human Rights Commission, 13 April 2021.</w:t>
      </w:r>
    </w:p>
  </w:footnote>
  <w:footnote w:id="222">
    <w:p w14:paraId="6C4415E6" w14:textId="3E3901AB" w:rsidR="00FC0B32" w:rsidRPr="007117EF" w:rsidRDefault="00FC0B32"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Housing Executive, ‘Irish Traveller Accommodation Strategy: 2020-2025’ (NIHE, 2020).</w:t>
      </w:r>
    </w:p>
  </w:footnote>
  <w:footnote w:id="223">
    <w:p w14:paraId="749ECE85" w14:textId="09C547C2" w:rsidR="00E273CF" w:rsidRPr="007117EF" w:rsidRDefault="00E273CF"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C76F3" w:rsidRPr="007117EF">
        <w:rPr>
          <w:rFonts w:ascii="Verdana" w:hAnsi="Verdana"/>
          <w:color w:val="77328A"/>
          <w:sz w:val="16"/>
          <w:szCs w:val="16"/>
        </w:rPr>
        <w:t>Letter from NI Human Rights Commission to NI Housing Executive, 16 September 2020.</w:t>
      </w:r>
    </w:p>
  </w:footnote>
  <w:footnote w:id="224">
    <w:p w14:paraId="038100CC" w14:textId="4855C274" w:rsidR="00E273CF" w:rsidRPr="007117EF" w:rsidRDefault="00E273CF"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C76F3" w:rsidRPr="007117EF">
        <w:rPr>
          <w:rFonts w:ascii="Verdana" w:hAnsi="Verdana"/>
          <w:color w:val="77328A"/>
          <w:sz w:val="16"/>
          <w:szCs w:val="16"/>
        </w:rPr>
        <w:t xml:space="preserve">NI Housing Executive, </w:t>
      </w:r>
      <w:r w:rsidR="00A93FF3" w:rsidRPr="007117EF">
        <w:rPr>
          <w:rFonts w:ascii="Verdana" w:hAnsi="Verdana"/>
          <w:color w:val="77328A"/>
          <w:sz w:val="16"/>
          <w:szCs w:val="16"/>
        </w:rPr>
        <w:t>‘</w:t>
      </w:r>
      <w:r w:rsidR="002C76F3" w:rsidRPr="007117EF">
        <w:rPr>
          <w:rFonts w:ascii="Verdana" w:hAnsi="Verdana"/>
          <w:color w:val="77328A"/>
          <w:sz w:val="16"/>
          <w:szCs w:val="16"/>
        </w:rPr>
        <w:t xml:space="preserve">Irish Travellers Accommodation Strategy 2021-2026, </w:t>
      </w:r>
      <w:r w:rsidR="00A93FF3" w:rsidRPr="007117EF">
        <w:rPr>
          <w:rFonts w:ascii="Verdana" w:hAnsi="Verdana"/>
          <w:color w:val="77328A"/>
          <w:sz w:val="16"/>
          <w:szCs w:val="16"/>
        </w:rPr>
        <w:t>(NIHE, 2021).</w:t>
      </w:r>
    </w:p>
  </w:footnote>
  <w:footnote w:id="225">
    <w:p w14:paraId="18748BEE" w14:textId="3469FDEC" w:rsidR="00524E08" w:rsidRPr="007117EF" w:rsidRDefault="00524E08"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A5518" w:rsidRPr="007117EF">
        <w:rPr>
          <w:rFonts w:ascii="Verdana" w:hAnsi="Verdana"/>
          <w:color w:val="77328A"/>
          <w:sz w:val="16"/>
          <w:szCs w:val="16"/>
        </w:rPr>
        <w:t>Department for Communities, ‘Design Guide for Travellers’ Sites in NI’. Available at: https://www.communities-ni.gov.uk/publications/design-guide-travellers-sites-northern-ireland.</w:t>
      </w:r>
    </w:p>
  </w:footnote>
  <w:footnote w:id="226">
    <w:p w14:paraId="68E7830E" w14:textId="1A5C253A" w:rsidR="00524E08" w:rsidRPr="007117EF" w:rsidRDefault="00524E08"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A5518" w:rsidRPr="007117EF">
        <w:rPr>
          <w:rFonts w:ascii="Verdana" w:hAnsi="Verdana"/>
          <w:color w:val="77328A"/>
          <w:sz w:val="16"/>
          <w:szCs w:val="16"/>
        </w:rPr>
        <w:t>Department for Communities, ‘Design Guide for Travellers’ Sites NI’ (DfC, 2020).</w:t>
      </w:r>
    </w:p>
  </w:footnote>
  <w:footnote w:id="227">
    <w:p w14:paraId="2F32612E" w14:textId="1423491E" w:rsidR="00803525" w:rsidRPr="007117EF" w:rsidRDefault="00803525"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for Communities, ‘Consultation on the new housing supply strategy call for evidence’, (DfC, 2021), at 24.</w:t>
      </w:r>
    </w:p>
  </w:footnote>
  <w:footnote w:id="228">
    <w:p w14:paraId="0D1B6B57" w14:textId="2C97AE07" w:rsidR="00803525" w:rsidRPr="007117EF" w:rsidRDefault="00803525"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14C99" w:rsidRPr="007117EF">
        <w:rPr>
          <w:rFonts w:ascii="Verdana" w:hAnsi="Verdana"/>
          <w:color w:val="77328A"/>
          <w:sz w:val="16"/>
          <w:szCs w:val="16"/>
        </w:rPr>
        <w:t>NI Human Rights Commission, ‘Response to public consultation on new housing supply strategy call for evidence’ July 2021.</w:t>
      </w:r>
    </w:p>
  </w:footnote>
  <w:footnote w:id="229">
    <w:p w14:paraId="298B423C" w14:textId="3F7F495D" w:rsidR="005019EF" w:rsidRPr="007117EF" w:rsidRDefault="005019EF" w:rsidP="005019E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883E55" w:rsidRPr="007117EF">
        <w:rPr>
          <w:rFonts w:ascii="Verdana" w:hAnsi="Verdana"/>
          <w:color w:val="77328A"/>
          <w:sz w:val="16"/>
          <w:szCs w:val="16"/>
        </w:rPr>
        <w:t>.</w:t>
      </w:r>
    </w:p>
  </w:footnote>
  <w:footnote w:id="230">
    <w:p w14:paraId="6F372819" w14:textId="781A1EA6" w:rsidR="00567DFC" w:rsidRPr="007117EF" w:rsidRDefault="00567DF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33F1B" w:rsidRPr="007117EF">
        <w:rPr>
          <w:rFonts w:ascii="Verdana" w:hAnsi="Verdana"/>
          <w:color w:val="77328A"/>
          <w:sz w:val="16"/>
          <w:szCs w:val="16"/>
        </w:rPr>
        <w:t>Department for Communities, ‘</w:t>
      </w:r>
      <w:proofErr w:type="spellStart"/>
      <w:r w:rsidR="00626325">
        <w:fldChar w:fldCharType="begin"/>
      </w:r>
      <w:r w:rsidR="00626325">
        <w:instrText xml:space="preserve"> HYPERLINK "https://www.communities-ni.gov.uk/news/hargey-seeks-views-current-caravan-act" </w:instrText>
      </w:r>
      <w:r w:rsidR="00626325">
        <w:fldChar w:fldCharType="separate"/>
      </w:r>
      <w:r w:rsidR="00233F1B" w:rsidRPr="007117EF">
        <w:rPr>
          <w:rStyle w:val="Hyperlink"/>
          <w:rFonts w:ascii="Verdana" w:hAnsi="Verdana"/>
          <w:color w:val="77328A"/>
          <w:sz w:val="16"/>
          <w:szCs w:val="16"/>
        </w:rPr>
        <w:t>Hargey</w:t>
      </w:r>
      <w:proofErr w:type="spellEnd"/>
      <w:r w:rsidR="00233F1B" w:rsidRPr="007117EF">
        <w:rPr>
          <w:rStyle w:val="Hyperlink"/>
          <w:rFonts w:ascii="Verdana" w:hAnsi="Verdana"/>
          <w:color w:val="77328A"/>
          <w:sz w:val="16"/>
          <w:szCs w:val="16"/>
        </w:rPr>
        <w:t xml:space="preserve"> seeks views on Caravan Act</w:t>
      </w:r>
      <w:r w:rsidR="00626325" w:rsidRPr="007117EF">
        <w:rPr>
          <w:rStyle w:val="Hyperlink"/>
          <w:rFonts w:ascii="Verdana" w:hAnsi="Verdana"/>
          <w:color w:val="77328A"/>
          <w:sz w:val="16"/>
          <w:szCs w:val="16"/>
        </w:rPr>
        <w:fldChar w:fldCharType="end"/>
      </w:r>
      <w:r w:rsidR="00233F1B" w:rsidRPr="007117EF">
        <w:rPr>
          <w:rFonts w:ascii="Verdana" w:hAnsi="Verdana"/>
          <w:color w:val="77328A"/>
          <w:sz w:val="16"/>
          <w:szCs w:val="16"/>
        </w:rPr>
        <w:t>’ (14 December 2021).</w:t>
      </w:r>
    </w:p>
  </w:footnote>
  <w:footnote w:id="231">
    <w:p w14:paraId="4ACDA917" w14:textId="0C530674" w:rsidR="000F050E" w:rsidRPr="007117EF" w:rsidRDefault="000F050E"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2081D" w:rsidRPr="007117EF">
        <w:rPr>
          <w:rFonts w:ascii="Verdana" w:hAnsi="Verdana"/>
          <w:color w:val="77328A"/>
          <w:sz w:val="16"/>
          <w:szCs w:val="16"/>
        </w:rPr>
        <w:t>E/C.12/GBR/CO/6, ‘UN ICESCR Committee Concluding Observations on the Sixth Periodic Report of the UK of Great Britain and NI’, 14 July 2016, at paras 49 and 50(d).</w:t>
      </w:r>
    </w:p>
  </w:footnote>
  <w:footnote w:id="232">
    <w:p w14:paraId="520F3926" w14:textId="61750F28" w:rsidR="003645EA" w:rsidRPr="007117EF" w:rsidRDefault="003645EA"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D12EC" w:rsidRPr="007117EF">
        <w:rPr>
          <w:rFonts w:ascii="Verdana" w:hAnsi="Verdana" w:cs="YIUEB V+ Gotham"/>
          <w:color w:val="77328A"/>
          <w:sz w:val="16"/>
          <w:szCs w:val="16"/>
        </w:rPr>
        <w:t>NI Human Rights Commission, ‘Out of Sight, Out of Mind: Travellers’ Accommodation in NI’ (NIHRC, 2018), at 288.</w:t>
      </w:r>
    </w:p>
  </w:footnote>
  <w:footnote w:id="233">
    <w:p w14:paraId="3D5DE0DC" w14:textId="7E4D079C" w:rsidR="00191CD5" w:rsidRPr="007117EF" w:rsidRDefault="00191CD5"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D12EC" w:rsidRPr="007117EF">
        <w:rPr>
          <w:rFonts w:ascii="Verdana" w:hAnsi="Verdana"/>
          <w:color w:val="77328A"/>
          <w:sz w:val="16"/>
          <w:szCs w:val="16"/>
        </w:rPr>
        <w:t xml:space="preserve">Ibid. </w:t>
      </w:r>
    </w:p>
  </w:footnote>
  <w:footnote w:id="234">
    <w:p w14:paraId="4AF540EE" w14:textId="37C6244A" w:rsidR="00A95014" w:rsidRPr="007117EF" w:rsidRDefault="00A95014"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155EA" w:rsidRPr="007117EF">
        <w:rPr>
          <w:rFonts w:ascii="Verdana" w:hAnsi="Verdana" w:cs="YIUEB V+ Gotham"/>
          <w:color w:val="77328A"/>
          <w:sz w:val="16"/>
          <w:szCs w:val="16"/>
        </w:rPr>
        <w:t>Letter from Leo O’Reilly, Permanent Secretary of Department for Communities to the NI Human Rights Commission, 18 May 2018.</w:t>
      </w:r>
    </w:p>
  </w:footnote>
  <w:footnote w:id="235">
    <w:p w14:paraId="7671D1D7" w14:textId="60BA6332" w:rsidR="00A95014" w:rsidRPr="007117EF" w:rsidRDefault="00A95014"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155EA" w:rsidRPr="007117EF">
        <w:rPr>
          <w:rFonts w:ascii="Verdana" w:hAnsi="Verdana" w:cs="YIUEB V+ Gotham"/>
          <w:color w:val="77328A"/>
          <w:sz w:val="16"/>
          <w:szCs w:val="16"/>
        </w:rPr>
        <w:t xml:space="preserve">NI Housing Executive, ‘Our Cooperation Policy for Travellers’. Available at: http://www.nihe.gov.uk/index/advice/advice_ </w:t>
      </w:r>
      <w:r w:rsidR="007117EF" w:rsidRPr="007117EF">
        <w:rPr>
          <w:rFonts w:ascii="Verdana" w:hAnsi="Verdana" w:cs="YIUEB V+ Gotham"/>
          <w:color w:val="77328A"/>
          <w:sz w:val="16"/>
          <w:szCs w:val="16"/>
        </w:rPr>
        <w:t>for travellers</w:t>
      </w:r>
      <w:r w:rsidR="009155EA" w:rsidRPr="007117EF">
        <w:rPr>
          <w:rFonts w:ascii="Verdana" w:hAnsi="Verdana" w:cs="YIUEB V+ Gotham"/>
          <w:color w:val="77328A"/>
          <w:sz w:val="16"/>
          <w:szCs w:val="16"/>
        </w:rPr>
        <w:t>/co-operation_policy.htm</w:t>
      </w:r>
      <w:r w:rsidR="007C66E5" w:rsidRPr="007117EF">
        <w:rPr>
          <w:rFonts w:ascii="Verdana" w:hAnsi="Verdana" w:cs="YIUEB V+ Gotham"/>
          <w:color w:val="77328A"/>
          <w:sz w:val="16"/>
          <w:szCs w:val="16"/>
        </w:rPr>
        <w:t>l.</w:t>
      </w:r>
    </w:p>
  </w:footnote>
  <w:footnote w:id="236">
    <w:p w14:paraId="2FA5D90E" w14:textId="21C76586" w:rsidR="009B2E28" w:rsidRPr="007117EF" w:rsidRDefault="009B2E28"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C66E5" w:rsidRPr="007117EF">
        <w:rPr>
          <w:rFonts w:ascii="Verdana" w:hAnsi="Verdana" w:cs="YIUEB V+ Gotham"/>
          <w:color w:val="77328A"/>
          <w:sz w:val="16"/>
          <w:szCs w:val="16"/>
        </w:rPr>
        <w:t>NI Housing Executive, ‘Irish Travellers Accommodation Strategy 2021-26’, (NIHE, 2021), at 43.</w:t>
      </w:r>
    </w:p>
  </w:footnote>
  <w:footnote w:id="237">
    <w:p w14:paraId="128B72A0" w14:textId="778831FF" w:rsidR="000A4C7E" w:rsidRPr="00476666" w:rsidRDefault="000A4C7E"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Human Rights Commission, ‘Implementation of Travellers’ Accommodation Recommendations’ (NIHRC, 2019), at 9.</w:t>
      </w:r>
    </w:p>
  </w:footnote>
  <w:footnote w:id="238">
    <w:p w14:paraId="1D9B2FAE" w14:textId="4472F8FC" w:rsidR="00F36DD4" w:rsidRPr="007117EF" w:rsidRDefault="00F36DD4"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65CF0" w:rsidRPr="007117EF">
        <w:rPr>
          <w:rFonts w:ascii="Verdana" w:hAnsi="Verdana" w:cs="YIUEB V+ Gotham"/>
          <w:color w:val="77328A"/>
          <w:sz w:val="16"/>
          <w:szCs w:val="16"/>
        </w:rPr>
        <w:t>Department for Communities, 'Consultation on the new housing supply strategy call for evidence', (DfC, 2021).</w:t>
      </w:r>
    </w:p>
  </w:footnote>
  <w:footnote w:id="239">
    <w:p w14:paraId="57346C52" w14:textId="05AEFF60" w:rsidR="00F36DD4" w:rsidRPr="007117EF" w:rsidRDefault="00F36DD4"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D3E8D" w:rsidRPr="007117EF">
        <w:rPr>
          <w:rFonts w:ascii="Verdana" w:hAnsi="Verdana" w:cs="YIUEB V+ Gotham"/>
          <w:color w:val="77328A"/>
          <w:sz w:val="16"/>
          <w:szCs w:val="16"/>
        </w:rPr>
        <w:t>NI Human Rights Commission, ‘Response to public consultation on new housing supply strategy call for evidence’, July 2021.</w:t>
      </w:r>
    </w:p>
  </w:footnote>
  <w:footnote w:id="240">
    <w:p w14:paraId="747FFE3D" w14:textId="77777777" w:rsidR="00070636" w:rsidRPr="007117EF" w:rsidRDefault="00070636" w:rsidP="00842FDB">
      <w:pPr>
        <w:pStyle w:val="Pa151"/>
        <w:spacing w:line="240" w:lineRule="auto"/>
        <w:ind w:right="280"/>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E/C.12/GBR/CO/6, ‘UN ICESCR Committee, Concluding Observations on the Sixth Periodic Report of the UK of Great Britain and NI’ 14 July 2016, at para 50(a).</w:t>
      </w:r>
    </w:p>
  </w:footnote>
  <w:footnote w:id="241">
    <w:p w14:paraId="6158C8BC" w14:textId="2F2DD81C" w:rsidR="00397822" w:rsidRPr="007117EF" w:rsidRDefault="00397822"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57054" w:rsidRPr="007117EF">
        <w:rPr>
          <w:rFonts w:ascii="Verdana" w:hAnsi="Verdana" w:cs="YIUEB V+ Gotham"/>
          <w:color w:val="77328A"/>
          <w:sz w:val="16"/>
          <w:szCs w:val="16"/>
        </w:rPr>
        <w:t xml:space="preserve">Department for Communities, ‘NI Housing Statistics </w:t>
      </w:r>
      <w:r w:rsidR="009F01B8" w:rsidRPr="007117EF">
        <w:rPr>
          <w:rFonts w:ascii="Verdana" w:hAnsi="Verdana" w:cs="YIUEB V+ Gotham"/>
          <w:color w:val="77328A"/>
          <w:sz w:val="16"/>
          <w:szCs w:val="16"/>
        </w:rPr>
        <w:t>2020-2021</w:t>
      </w:r>
      <w:r w:rsidR="00F57054" w:rsidRPr="007117EF">
        <w:rPr>
          <w:rFonts w:ascii="Verdana" w:hAnsi="Verdana" w:cs="YIUEB V+ Gotham"/>
          <w:color w:val="77328A"/>
          <w:sz w:val="16"/>
          <w:szCs w:val="16"/>
        </w:rPr>
        <w:t>’ (DfC, 202</w:t>
      </w:r>
      <w:r w:rsidR="009F01B8" w:rsidRPr="007117EF">
        <w:rPr>
          <w:rFonts w:ascii="Verdana" w:hAnsi="Verdana" w:cs="YIUEB V+ Gotham"/>
          <w:color w:val="77328A"/>
          <w:sz w:val="16"/>
          <w:szCs w:val="16"/>
        </w:rPr>
        <w:t>1</w:t>
      </w:r>
      <w:r w:rsidR="00F57054" w:rsidRPr="007117EF">
        <w:rPr>
          <w:rFonts w:ascii="Verdana" w:hAnsi="Verdana" w:cs="YIUEB V+ Gotham"/>
          <w:color w:val="77328A"/>
          <w:sz w:val="16"/>
          <w:szCs w:val="16"/>
        </w:rPr>
        <w:t xml:space="preserve">), at 1; Department for Communities, ‘NI Housing Statistics </w:t>
      </w:r>
      <w:r w:rsidR="006847C3" w:rsidRPr="007117EF">
        <w:rPr>
          <w:rFonts w:ascii="Verdana" w:hAnsi="Verdana" w:cs="YIUEB V+ Gotham"/>
          <w:color w:val="77328A"/>
          <w:sz w:val="16"/>
          <w:szCs w:val="16"/>
        </w:rPr>
        <w:t>2019-2020</w:t>
      </w:r>
      <w:r w:rsidR="00F57054" w:rsidRPr="007117EF">
        <w:rPr>
          <w:rFonts w:ascii="Verdana" w:hAnsi="Verdana" w:cs="YIUEB V+ Gotham"/>
          <w:color w:val="77328A"/>
          <w:sz w:val="16"/>
          <w:szCs w:val="16"/>
        </w:rPr>
        <w:t>’ (DfC, 20</w:t>
      </w:r>
      <w:r w:rsidR="006847C3" w:rsidRPr="007117EF">
        <w:rPr>
          <w:rFonts w:ascii="Verdana" w:hAnsi="Verdana" w:cs="YIUEB V+ Gotham"/>
          <w:color w:val="77328A"/>
          <w:sz w:val="16"/>
          <w:szCs w:val="16"/>
        </w:rPr>
        <w:t>20</w:t>
      </w:r>
      <w:r w:rsidR="00F57054" w:rsidRPr="007117EF">
        <w:rPr>
          <w:rFonts w:ascii="Verdana" w:hAnsi="Verdana" w:cs="YIUEB V+ Gotham"/>
          <w:color w:val="77328A"/>
          <w:sz w:val="16"/>
          <w:szCs w:val="16"/>
        </w:rPr>
        <w:t>)</w:t>
      </w:r>
      <w:r w:rsidR="006847C3" w:rsidRPr="007117EF">
        <w:rPr>
          <w:rFonts w:ascii="Verdana" w:hAnsi="Verdana" w:cs="YIUEB V+ Gotham"/>
          <w:color w:val="77328A"/>
          <w:sz w:val="16"/>
          <w:szCs w:val="16"/>
        </w:rPr>
        <w:t>.</w:t>
      </w:r>
    </w:p>
  </w:footnote>
  <w:footnote w:id="242">
    <w:p w14:paraId="09E90C2B" w14:textId="6328C154" w:rsidR="00397822" w:rsidRPr="007117EF" w:rsidRDefault="00397822"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34432" w:rsidRPr="007117EF">
        <w:rPr>
          <w:rFonts w:ascii="Verdana" w:hAnsi="Verdana" w:cs="YIUEB V+ Gotham"/>
          <w:color w:val="77328A"/>
          <w:sz w:val="16"/>
          <w:szCs w:val="16"/>
        </w:rPr>
        <w:t>Department for Communities, ‘NI Housing Statistics 20</w:t>
      </w:r>
      <w:r w:rsidR="004B10CD" w:rsidRPr="007117EF">
        <w:rPr>
          <w:rFonts w:ascii="Verdana" w:hAnsi="Verdana" w:cs="YIUEB V+ Gotham"/>
          <w:color w:val="77328A"/>
          <w:sz w:val="16"/>
          <w:szCs w:val="16"/>
        </w:rPr>
        <w:t>20-2021</w:t>
      </w:r>
      <w:r w:rsidR="00A34432" w:rsidRPr="007117EF">
        <w:rPr>
          <w:rFonts w:ascii="Verdana" w:hAnsi="Verdana" w:cs="YIUEB V+ Gotham"/>
          <w:color w:val="77328A"/>
          <w:sz w:val="16"/>
          <w:szCs w:val="16"/>
        </w:rPr>
        <w:t>’ (DfC, 202</w:t>
      </w:r>
      <w:r w:rsidR="004B10CD" w:rsidRPr="007117EF">
        <w:rPr>
          <w:rFonts w:ascii="Verdana" w:hAnsi="Verdana" w:cs="YIUEB V+ Gotham"/>
          <w:color w:val="77328A"/>
          <w:sz w:val="16"/>
          <w:szCs w:val="16"/>
        </w:rPr>
        <w:t>1</w:t>
      </w:r>
      <w:r w:rsidR="00A34432" w:rsidRPr="007117EF">
        <w:rPr>
          <w:rFonts w:ascii="Verdana" w:hAnsi="Verdana" w:cs="YIUEB V+ Gotham"/>
          <w:color w:val="77328A"/>
          <w:sz w:val="16"/>
          <w:szCs w:val="16"/>
        </w:rPr>
        <w:t>), at 1.</w:t>
      </w:r>
    </w:p>
  </w:footnote>
  <w:footnote w:id="243">
    <w:p w14:paraId="5C22A259" w14:textId="6D0FE7F8" w:rsidR="00397822" w:rsidRPr="007117EF" w:rsidRDefault="00397822"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04197" w:rsidRPr="007117EF">
        <w:rPr>
          <w:rFonts w:ascii="Verdana" w:hAnsi="Verdana" w:cs="YIUEB V+ Gotham"/>
          <w:color w:val="77328A"/>
          <w:sz w:val="16"/>
          <w:szCs w:val="16"/>
        </w:rPr>
        <w:t>NI Housing Executive, ‘NI Housing Market Review and Perspectives 2015-2018’ (NIHE, 2015), at 23.</w:t>
      </w:r>
    </w:p>
  </w:footnote>
  <w:footnote w:id="244">
    <w:p w14:paraId="0AAEE70C" w14:textId="3F25A444" w:rsidR="004953CB" w:rsidRPr="00476666" w:rsidRDefault="004953CB"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96EA0" w:rsidRPr="007117EF">
        <w:rPr>
          <w:rFonts w:ascii="Verdana" w:hAnsi="Verdana" w:cs="YIUEB V+ Gotham"/>
          <w:color w:val="77328A"/>
          <w:sz w:val="16"/>
          <w:szCs w:val="16"/>
        </w:rPr>
        <w:t>Department for Communities, ‘NI Housing Statistics 2019-2020’ (DfC, 2020), at 1; Department for Communities, ‘NI Housing Statistics 2018-19’ (DfC, 2019), at 1.</w:t>
      </w:r>
    </w:p>
  </w:footnote>
  <w:footnote w:id="245">
    <w:p w14:paraId="4B047BE6" w14:textId="1D760EFB" w:rsidR="00696EA0" w:rsidRPr="007117EF" w:rsidRDefault="00696EA0"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94BDC" w:rsidRPr="007117EF">
        <w:rPr>
          <w:rFonts w:ascii="Verdana" w:hAnsi="Verdana" w:cs="YIUEB V+ Gotham"/>
          <w:color w:val="77328A"/>
          <w:sz w:val="16"/>
          <w:szCs w:val="16"/>
        </w:rPr>
        <w:t>Department for Social Development, ‘Facing the Future: Housing Strategy for NI’ (DfSD, 2012).</w:t>
      </w:r>
    </w:p>
  </w:footnote>
  <w:footnote w:id="246">
    <w:p w14:paraId="7A57F3C4" w14:textId="14BF7CDC" w:rsidR="00696EA0" w:rsidRPr="007117EF" w:rsidRDefault="00696EA0"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94BDC" w:rsidRPr="007117EF">
        <w:rPr>
          <w:rFonts w:ascii="Verdana" w:hAnsi="Verdana"/>
          <w:color w:val="77328A"/>
          <w:sz w:val="16"/>
          <w:szCs w:val="16"/>
        </w:rPr>
        <w:t xml:space="preserve"> </w:t>
      </w:r>
      <w:r w:rsidR="00F94BDC" w:rsidRPr="007117EF">
        <w:rPr>
          <w:rFonts w:ascii="Verdana" w:hAnsi="Verdana" w:cs="YIUEB V+ Gotham"/>
          <w:color w:val="77328A"/>
          <w:sz w:val="16"/>
          <w:szCs w:val="16"/>
        </w:rPr>
        <w:t>NI Office, New Decade New Approach, (NIO, 2020), at 9 and 39.</w:t>
      </w:r>
    </w:p>
  </w:footnote>
  <w:footnote w:id="247">
    <w:p w14:paraId="0920E420" w14:textId="7345A2F0" w:rsidR="00696EA0" w:rsidRPr="007117EF" w:rsidRDefault="00696EA0"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43246F" w:rsidRPr="007117EF">
        <w:rPr>
          <w:rFonts w:ascii="Verdana" w:hAnsi="Verdana"/>
          <w:color w:val="77328A"/>
          <w:sz w:val="16"/>
          <w:szCs w:val="16"/>
        </w:rPr>
        <w:t xml:space="preserve">Ibid, at 9. </w:t>
      </w:r>
    </w:p>
  </w:footnote>
  <w:footnote w:id="248">
    <w:p w14:paraId="0FF3861D" w14:textId="7788879D" w:rsidR="00EF3563" w:rsidRPr="007117EF" w:rsidRDefault="00EF3563"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p>
  </w:footnote>
  <w:footnote w:id="249">
    <w:p w14:paraId="7F1057E4" w14:textId="31C14D66" w:rsidR="0033000D" w:rsidRPr="007117EF" w:rsidRDefault="0033000D"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34F9C" w:rsidRPr="007117EF">
        <w:rPr>
          <w:rFonts w:ascii="Verdana" w:hAnsi="Verdana" w:cs="YIUEB V+ Gotham"/>
          <w:color w:val="77328A"/>
          <w:sz w:val="16"/>
          <w:szCs w:val="16"/>
        </w:rPr>
        <w:t>NI Executive, ‘Programme for Government: draft Outcomes Framework’, 2021.</w:t>
      </w:r>
    </w:p>
  </w:footnote>
  <w:footnote w:id="250">
    <w:p w14:paraId="49930A9A" w14:textId="49BAF5F3" w:rsidR="0033000D" w:rsidRPr="007117EF" w:rsidRDefault="0033000D"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34F9C" w:rsidRPr="007117EF">
        <w:rPr>
          <w:rFonts w:ascii="Verdana" w:hAnsi="Verdana" w:cs="YIUEB V+ Gotham"/>
          <w:color w:val="77328A"/>
          <w:sz w:val="16"/>
          <w:szCs w:val="16"/>
        </w:rPr>
        <w:t>NI Assembly Hansard, ‘Oral Question: Social Housing Provision – Colm Gildernew MLA – AQO 2000/17-22’, 10 May 2021.</w:t>
      </w:r>
    </w:p>
  </w:footnote>
  <w:footnote w:id="251">
    <w:p w14:paraId="3C20D766" w14:textId="4399B54F" w:rsidR="00D26379" w:rsidRPr="007117EF" w:rsidRDefault="00D26379"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30F6A" w:rsidRPr="007117EF">
        <w:rPr>
          <w:rFonts w:ascii="Verdana" w:hAnsi="Verdana"/>
          <w:color w:val="77328A"/>
          <w:sz w:val="16"/>
          <w:szCs w:val="16"/>
        </w:rPr>
        <w:t>Ibid.</w:t>
      </w:r>
    </w:p>
  </w:footnote>
  <w:footnote w:id="252">
    <w:p w14:paraId="4C268AAA" w14:textId="797F17FD" w:rsidR="00D93008" w:rsidRPr="007117EF" w:rsidRDefault="00D93008"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F1A01" w:rsidRPr="007117EF">
        <w:rPr>
          <w:rFonts w:ascii="Verdana" w:hAnsi="Verdana"/>
          <w:color w:val="77328A"/>
          <w:sz w:val="16"/>
          <w:szCs w:val="16"/>
        </w:rPr>
        <w:t>Ibid.</w:t>
      </w:r>
    </w:p>
  </w:footnote>
  <w:footnote w:id="253">
    <w:p w14:paraId="6922B53B" w14:textId="1ED3B97B" w:rsidR="00D93008" w:rsidRPr="007117EF" w:rsidRDefault="00D93008"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F1A01" w:rsidRPr="007117EF">
        <w:rPr>
          <w:rFonts w:ascii="Verdana" w:hAnsi="Verdana" w:cs="YIUEB V+ Gotham"/>
          <w:color w:val="77328A"/>
          <w:sz w:val="16"/>
          <w:szCs w:val="16"/>
        </w:rPr>
        <w:t>Department for Communities, ‘Consultation on the new housing supply strategy call for evidence’, (DfC, 2021)</w:t>
      </w:r>
    </w:p>
  </w:footnote>
  <w:footnote w:id="254">
    <w:p w14:paraId="105CB51A" w14:textId="451783DA" w:rsidR="00D93008" w:rsidRPr="007117EF" w:rsidRDefault="00D93008"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B5E21" w:rsidRPr="007117EF">
        <w:rPr>
          <w:rFonts w:ascii="Verdana" w:hAnsi="Verdana" w:cs="YIUEB V+ Gotham"/>
          <w:color w:val="77328A"/>
          <w:sz w:val="16"/>
          <w:szCs w:val="16"/>
        </w:rPr>
        <w:t>NI Human Rights Commission, ‘Response to public consultation on new housing supply strategy call for evidence’, July 2021.</w:t>
      </w:r>
    </w:p>
  </w:footnote>
  <w:footnote w:id="255">
    <w:p w14:paraId="0C04F099" w14:textId="0D77DA55" w:rsidR="00BF2DA7" w:rsidRPr="007117EF" w:rsidRDefault="00BF2DA7"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B5E21" w:rsidRPr="007117EF">
        <w:rPr>
          <w:rFonts w:ascii="Verdana" w:hAnsi="Verdana" w:cs="YIUEB V+ Gotham"/>
          <w:color w:val="77328A"/>
          <w:sz w:val="16"/>
          <w:szCs w:val="16"/>
        </w:rPr>
        <w:t>Department for Communities, ‘Press Release: Delivering more social housing a priority – Hargey’, 3 November 2021.</w:t>
      </w:r>
    </w:p>
  </w:footnote>
  <w:footnote w:id="256">
    <w:p w14:paraId="290C28DE" w14:textId="77777777" w:rsidR="00032020" w:rsidRPr="007117EF" w:rsidRDefault="00032020"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s="YIUEB V+ Gotham"/>
          <w:color w:val="77328A"/>
          <w:sz w:val="16"/>
          <w:szCs w:val="16"/>
        </w:rPr>
        <w:t xml:space="preserve"> Equality Commission for NI, ‘Investigation Report under Schedule 9 of the NI Act 1998: Department for Social Development - Housing Policy Proposals’ (ECNI, 2015).</w:t>
      </w:r>
    </w:p>
  </w:footnote>
  <w:footnote w:id="257">
    <w:p w14:paraId="5288A763" w14:textId="77777777" w:rsidR="00032020" w:rsidRPr="007117EF" w:rsidRDefault="00032020"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Equality Commission for NI, ‘Equality in Housing and Communities: Policy Recommendations’ (ECNI, 2019).</w:t>
      </w:r>
    </w:p>
  </w:footnote>
  <w:footnote w:id="258">
    <w:p w14:paraId="2DBE5684" w14:textId="5BAF7A88" w:rsidR="004A27DE" w:rsidRPr="007117EF" w:rsidRDefault="004A27DE"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57054" w:rsidRPr="007117EF">
        <w:rPr>
          <w:rFonts w:ascii="Verdana" w:hAnsi="Verdana" w:cs="YIUEB V+ Gotham"/>
          <w:color w:val="77328A"/>
          <w:sz w:val="16"/>
          <w:szCs w:val="16"/>
        </w:rPr>
        <w:t>E/C.12/GBR/CO/6, ‘UN ICESCR Committee, Concluding Observations on the Sixth Periodic Report of the UK of Great Britain and NI’ 14 July 2016,</w:t>
      </w:r>
      <w:r w:rsidR="000B1BEC" w:rsidRPr="007117EF">
        <w:rPr>
          <w:rFonts w:ascii="Verdana" w:hAnsi="Verdana" w:cs="YIUEB V+ Gotham"/>
          <w:color w:val="77328A"/>
          <w:sz w:val="16"/>
          <w:szCs w:val="16"/>
        </w:rPr>
        <w:t xml:space="preserve"> at para</w:t>
      </w:r>
      <w:r w:rsidR="00F57054" w:rsidRPr="007117EF">
        <w:rPr>
          <w:rFonts w:ascii="Verdana" w:hAnsi="Verdana" w:cs="YIUEB V+ Gotham"/>
          <w:color w:val="77328A"/>
          <w:sz w:val="16"/>
          <w:szCs w:val="16"/>
        </w:rPr>
        <w:t xml:space="preserve"> </w:t>
      </w:r>
      <w:r w:rsidR="00BA52AC" w:rsidRPr="007117EF">
        <w:rPr>
          <w:rFonts w:ascii="Verdana" w:hAnsi="Verdana" w:cs="YIUEB V+ Gotham"/>
          <w:color w:val="77328A"/>
          <w:sz w:val="16"/>
          <w:szCs w:val="16"/>
        </w:rPr>
        <w:t>50(e).</w:t>
      </w:r>
    </w:p>
  </w:footnote>
  <w:footnote w:id="259">
    <w:p w14:paraId="125D3668" w14:textId="30FB11CB" w:rsidR="007779E7" w:rsidRDefault="007779E7">
      <w:pPr>
        <w:pStyle w:val="FootnoteText"/>
      </w:pPr>
      <w:r w:rsidRPr="007779E7">
        <w:rPr>
          <w:rStyle w:val="FootnoteReference"/>
          <w:rFonts w:ascii="Verdana" w:hAnsi="Verdana"/>
          <w:color w:val="77328A"/>
          <w:sz w:val="16"/>
          <w:szCs w:val="16"/>
        </w:rPr>
        <w:footnoteRef/>
      </w:r>
      <w:r w:rsidRPr="007779E7">
        <w:rPr>
          <w:rFonts w:ascii="Verdana" w:hAnsi="Verdana"/>
          <w:color w:val="77328A"/>
          <w:sz w:val="16"/>
          <w:szCs w:val="16"/>
        </w:rPr>
        <w:t xml:space="preserve"> Social housing in NI is allocated </w:t>
      </w:r>
      <w:proofErr w:type="gramStart"/>
      <w:r w:rsidRPr="007779E7">
        <w:rPr>
          <w:rFonts w:ascii="Verdana" w:hAnsi="Verdana"/>
          <w:color w:val="77328A"/>
          <w:sz w:val="16"/>
          <w:szCs w:val="16"/>
        </w:rPr>
        <w:t>on the basis of</w:t>
      </w:r>
      <w:proofErr w:type="gramEnd"/>
      <w:r w:rsidRPr="007779E7">
        <w:rPr>
          <w:rFonts w:ascii="Verdana" w:hAnsi="Verdana"/>
          <w:color w:val="77328A"/>
          <w:sz w:val="16"/>
          <w:szCs w:val="16"/>
        </w:rPr>
        <w:t xml:space="preserve"> need using a points-based system. The Northern Ireland Housing Executive (NIHE) is the public body responsible for identifying housing need and managing the social housing allocation scheme</w:t>
      </w:r>
      <w:r>
        <w:rPr>
          <w:rFonts w:ascii="Verdana" w:hAnsi="Verdana"/>
          <w:color w:val="77328A"/>
          <w:sz w:val="16"/>
          <w:szCs w:val="16"/>
        </w:rPr>
        <w:t>.</w:t>
      </w:r>
    </w:p>
  </w:footnote>
  <w:footnote w:id="260">
    <w:p w14:paraId="757EB673" w14:textId="729696B6" w:rsidR="00880D83" w:rsidRPr="007117EF" w:rsidRDefault="00880D83"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C3370" w:rsidRPr="007117EF">
        <w:rPr>
          <w:rFonts w:ascii="Verdana" w:hAnsi="Verdana" w:cs="YIUEB V+ Gotham"/>
          <w:color w:val="77328A"/>
          <w:sz w:val="16"/>
          <w:szCs w:val="16"/>
        </w:rPr>
        <w:t>Equality Commission for NI, ‘Statement on Key Inequalities in Housing and Communities in NI: Full Statement’ (ECNI, 2017), at para 1.9.</w:t>
      </w:r>
    </w:p>
  </w:footnote>
  <w:footnote w:id="261">
    <w:p w14:paraId="0A2B5552" w14:textId="7E4B3017" w:rsidR="00874F30" w:rsidRPr="007117EF" w:rsidRDefault="00874F30"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00881F59" w:rsidRPr="007117EF">
        <w:rPr>
          <w:rFonts w:ascii="Verdana" w:hAnsi="Verdana"/>
          <w:color w:val="77328A"/>
          <w:sz w:val="16"/>
          <w:szCs w:val="16"/>
        </w:rPr>
        <w:t xml:space="preserve"> </w:t>
      </w:r>
      <w:r w:rsidR="00881F59" w:rsidRPr="007117EF">
        <w:rPr>
          <w:rFonts w:ascii="Verdana" w:hAnsi="Verdana" w:cs="YIUEB V+ Gotham"/>
          <w:color w:val="77328A"/>
          <w:sz w:val="16"/>
          <w:szCs w:val="16"/>
        </w:rPr>
        <w:t>The Executive Office, ‘Together: Building a United Community Strategy – Annual Update 2019/20’ (TEO, 2021).</w:t>
      </w:r>
    </w:p>
  </w:footnote>
  <w:footnote w:id="262">
    <w:p w14:paraId="574D833D" w14:textId="71EBFD99" w:rsidR="00EE7585" w:rsidRPr="007117EF" w:rsidRDefault="00EE7585"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A70F1" w:rsidRPr="007117EF">
        <w:rPr>
          <w:rFonts w:ascii="Verdana" w:hAnsi="Verdana" w:cs="YIUEB V+ Gotham"/>
          <w:color w:val="77328A"/>
          <w:sz w:val="16"/>
          <w:szCs w:val="16"/>
        </w:rPr>
        <w:t>NI Housing Executive for, ‘Community Cohesion Strategy 2015-2020’ (NIHE, 2015).</w:t>
      </w:r>
    </w:p>
  </w:footnote>
  <w:footnote w:id="263">
    <w:p w14:paraId="54E3885D" w14:textId="5A1E966F" w:rsidR="00EE7585" w:rsidRPr="007117EF" w:rsidRDefault="00EE7585"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006A70F1" w:rsidRPr="007117EF">
        <w:rPr>
          <w:rFonts w:ascii="Verdana" w:hAnsi="Verdana" w:cs="YIUEB V+ Gotham"/>
          <w:color w:val="77328A"/>
          <w:sz w:val="16"/>
          <w:szCs w:val="16"/>
        </w:rPr>
        <w:t xml:space="preserve"> Ibid, at 34.</w:t>
      </w:r>
    </w:p>
  </w:footnote>
  <w:footnote w:id="264">
    <w:p w14:paraId="305843D8" w14:textId="627E14FC" w:rsidR="00EE7585" w:rsidRPr="007117EF" w:rsidRDefault="00EE7585" w:rsidP="00842FD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A70F1" w:rsidRPr="007117EF">
        <w:rPr>
          <w:rFonts w:ascii="Verdana" w:hAnsi="Verdana" w:cs="YIUEB V+ Gotham"/>
          <w:color w:val="77328A"/>
          <w:sz w:val="16"/>
          <w:szCs w:val="16"/>
        </w:rPr>
        <w:t>Email correspondence from NI Housing Executive to the NI Human Rights Commission, October 2021.</w:t>
      </w:r>
    </w:p>
  </w:footnote>
  <w:footnote w:id="265">
    <w:p w14:paraId="7062FC6A" w14:textId="2F9516B4" w:rsidR="00551FD8" w:rsidRPr="007117EF" w:rsidRDefault="00551FD8"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 xml:space="preserve">‘Cregagh: Family forced to move after ‘sectarian threat’, </w:t>
      </w:r>
      <w:r w:rsidRPr="007117EF">
        <w:rPr>
          <w:rFonts w:ascii="Verdana" w:hAnsi="Verdana" w:cs="Gotham Light"/>
          <w:i/>
          <w:color w:val="77328A"/>
          <w:sz w:val="16"/>
          <w:szCs w:val="16"/>
        </w:rPr>
        <w:t>BBC News</w:t>
      </w:r>
      <w:r w:rsidRPr="007117EF">
        <w:rPr>
          <w:rFonts w:ascii="Verdana" w:hAnsi="Verdana" w:cs="YIUEB V+ Gotham"/>
          <w:color w:val="77328A"/>
          <w:sz w:val="16"/>
          <w:szCs w:val="16"/>
        </w:rPr>
        <w:t>, 2 August 2021.</w:t>
      </w:r>
    </w:p>
  </w:footnote>
  <w:footnote w:id="266">
    <w:p w14:paraId="6EB77ED5" w14:textId="77777777" w:rsidR="00551FD8" w:rsidRPr="007117EF" w:rsidRDefault="00551FD8" w:rsidP="002877E8">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 xml:space="preserve">Donna Deeney and Adrian Rutherford, ‘Exclusive: 2,000 households forced out of their homes - paramilitaries blamed for 73 per cent of cases’, </w:t>
      </w:r>
      <w:r w:rsidRPr="007117EF">
        <w:rPr>
          <w:rFonts w:ascii="Verdana" w:hAnsi="Verdana" w:cs="Gotham Light"/>
          <w:i/>
          <w:color w:val="77328A"/>
          <w:sz w:val="16"/>
          <w:szCs w:val="16"/>
        </w:rPr>
        <w:t>Belfast Telegraph</w:t>
      </w:r>
      <w:r w:rsidRPr="007117EF">
        <w:rPr>
          <w:rFonts w:ascii="Verdana" w:hAnsi="Verdana" w:cs="YIUEB V+ Gotham"/>
          <w:color w:val="77328A"/>
          <w:sz w:val="16"/>
          <w:szCs w:val="16"/>
        </w:rPr>
        <w:t>, 3 January 2019.</w:t>
      </w:r>
    </w:p>
  </w:footnote>
  <w:footnote w:id="267">
    <w:p w14:paraId="10899855" w14:textId="77777777" w:rsidR="00551FD8" w:rsidRPr="007117EF" w:rsidRDefault="00551FD8" w:rsidP="002877E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p>
  </w:footnote>
  <w:footnote w:id="268">
    <w:p w14:paraId="6E4FC476" w14:textId="3DA3E382" w:rsidR="00CB7FD5" w:rsidRPr="007117EF" w:rsidRDefault="00CB7FD5" w:rsidP="00842FDB">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91E89" w:rsidRPr="007117EF">
        <w:rPr>
          <w:rFonts w:ascii="Verdana" w:hAnsi="Verdana" w:cs="YIUEB V+ Gotham"/>
          <w:color w:val="77328A"/>
          <w:sz w:val="16"/>
          <w:szCs w:val="16"/>
        </w:rPr>
        <w:t xml:space="preserve">Brett Campbell, ‘Belfast families living in fear on mixed estate where Catholics forced to flee’, </w:t>
      </w:r>
      <w:r w:rsidR="00891E89" w:rsidRPr="007117EF">
        <w:rPr>
          <w:rFonts w:ascii="Verdana" w:hAnsi="Verdana" w:cs="Gotham Light"/>
          <w:i/>
          <w:color w:val="77328A"/>
          <w:sz w:val="16"/>
          <w:szCs w:val="16"/>
        </w:rPr>
        <w:t>Belfast Telegraph</w:t>
      </w:r>
      <w:r w:rsidR="00891E89" w:rsidRPr="007117EF">
        <w:rPr>
          <w:rFonts w:ascii="Verdana" w:hAnsi="Verdana" w:cs="YIUEB V+ Gotham"/>
          <w:color w:val="77328A"/>
          <w:sz w:val="16"/>
          <w:szCs w:val="16"/>
        </w:rPr>
        <w:t>, 29 September 2017.</w:t>
      </w:r>
    </w:p>
  </w:footnote>
  <w:footnote w:id="269">
    <w:p w14:paraId="0CA8BCAB" w14:textId="38A53AF1" w:rsidR="00B50E93" w:rsidRPr="007117EF" w:rsidRDefault="00B50E9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4337C" w:rsidRPr="007117EF">
        <w:rPr>
          <w:rFonts w:ascii="Verdana" w:hAnsi="Verdana"/>
          <w:color w:val="77328A"/>
          <w:sz w:val="16"/>
          <w:szCs w:val="16"/>
        </w:rPr>
        <w:t>Under the current scheme, intimidation points can be</w:t>
      </w:r>
      <w:r w:rsidR="00F02E8C" w:rsidRPr="007117EF">
        <w:rPr>
          <w:rFonts w:ascii="Verdana" w:hAnsi="Verdana"/>
          <w:color w:val="77328A"/>
          <w:sz w:val="16"/>
          <w:szCs w:val="16"/>
        </w:rPr>
        <w:t xml:space="preserve"> </w:t>
      </w:r>
      <w:r w:rsidR="004678AD" w:rsidRPr="007117EF">
        <w:rPr>
          <w:rFonts w:ascii="Verdana" w:hAnsi="Verdana"/>
          <w:color w:val="77328A"/>
          <w:sz w:val="16"/>
          <w:szCs w:val="16"/>
        </w:rPr>
        <w:t xml:space="preserve">awarded if </w:t>
      </w:r>
      <w:r w:rsidR="004E37A5" w:rsidRPr="007117EF">
        <w:rPr>
          <w:rFonts w:ascii="Verdana" w:hAnsi="Verdana"/>
          <w:color w:val="77328A"/>
          <w:sz w:val="16"/>
          <w:szCs w:val="16"/>
        </w:rPr>
        <w:t>an applicant meets certain conditions, such as their home being destroyed or seriously damaged in an attack</w:t>
      </w:r>
      <w:r w:rsidR="00A64B88" w:rsidRPr="007117EF">
        <w:rPr>
          <w:rFonts w:ascii="Verdana" w:hAnsi="Verdana"/>
          <w:color w:val="77328A"/>
          <w:sz w:val="16"/>
          <w:szCs w:val="16"/>
        </w:rPr>
        <w:t xml:space="preserve"> or risk of being seriously injured or killed in an attack</w:t>
      </w:r>
      <w:r w:rsidR="005875B0" w:rsidRPr="007117EF">
        <w:rPr>
          <w:rFonts w:ascii="Verdana" w:hAnsi="Verdana"/>
          <w:color w:val="77328A"/>
          <w:sz w:val="16"/>
          <w:szCs w:val="16"/>
        </w:rPr>
        <w:t>, and the attack or threat of attack was</w:t>
      </w:r>
      <w:r w:rsidR="002A748A" w:rsidRPr="007117EF">
        <w:rPr>
          <w:rFonts w:ascii="Verdana" w:hAnsi="Verdana"/>
          <w:color w:val="77328A"/>
          <w:sz w:val="16"/>
          <w:szCs w:val="16"/>
        </w:rPr>
        <w:t xml:space="preserve"> </w:t>
      </w:r>
      <w:r w:rsidR="00972F37" w:rsidRPr="007117EF">
        <w:rPr>
          <w:rFonts w:ascii="Verdana" w:hAnsi="Verdana"/>
          <w:color w:val="77328A"/>
          <w:sz w:val="16"/>
          <w:szCs w:val="16"/>
        </w:rPr>
        <w:t xml:space="preserve">a terrorist incident or due to the </w:t>
      </w:r>
      <w:r w:rsidR="00511F64" w:rsidRPr="007117EF">
        <w:rPr>
          <w:rFonts w:ascii="Verdana" w:hAnsi="Verdana"/>
          <w:color w:val="77328A"/>
          <w:sz w:val="16"/>
          <w:szCs w:val="16"/>
        </w:rPr>
        <w:t xml:space="preserve">applicants’ </w:t>
      </w:r>
      <w:r w:rsidR="00972F37" w:rsidRPr="007117EF">
        <w:rPr>
          <w:rFonts w:ascii="Verdana" w:hAnsi="Verdana"/>
          <w:color w:val="77328A"/>
          <w:sz w:val="16"/>
          <w:szCs w:val="16"/>
        </w:rPr>
        <w:t>religion, race, disability, sexual orientation</w:t>
      </w:r>
      <w:r w:rsidR="00511F64" w:rsidRPr="007117EF">
        <w:rPr>
          <w:rFonts w:ascii="Verdana" w:hAnsi="Verdana"/>
          <w:color w:val="77328A"/>
          <w:sz w:val="16"/>
          <w:szCs w:val="16"/>
        </w:rPr>
        <w:t>.</w:t>
      </w:r>
    </w:p>
  </w:footnote>
  <w:footnote w:id="270">
    <w:p w14:paraId="46CD720F" w14:textId="619F5536" w:rsidR="00CB7FD5" w:rsidRPr="007117EF" w:rsidRDefault="00CB7FD5" w:rsidP="0061485F">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F3EF6" w:rsidRPr="007117EF">
        <w:rPr>
          <w:rFonts w:ascii="Verdana" w:hAnsi="Verdana" w:cs="YIUEB V+ Gotham"/>
          <w:color w:val="77328A"/>
          <w:sz w:val="16"/>
          <w:szCs w:val="16"/>
        </w:rPr>
        <w:t>Minister for Communities, ‘Housing Statement from Communities Minister Carál Ní Chuilín’, 3 November 2020.</w:t>
      </w:r>
    </w:p>
  </w:footnote>
  <w:footnote w:id="271">
    <w:p w14:paraId="10B923AF" w14:textId="3E36AFFB" w:rsidR="002168BC" w:rsidRPr="007117EF" w:rsidRDefault="002168BC" w:rsidP="0061485F">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040E9" w:rsidRPr="007117EF">
        <w:rPr>
          <w:rFonts w:ascii="Verdana" w:hAnsi="Verdana" w:cs="YIUEB V+ Gotham"/>
          <w:color w:val="77328A"/>
          <w:sz w:val="16"/>
          <w:szCs w:val="16"/>
        </w:rPr>
        <w:t>Provision of Health Services to Persons Not Ordinarily Resident Regulations (NI) 2015; Health and Personal Services (General Medical Services Contracts) (Amendment) Regulations (NI) 2015.</w:t>
      </w:r>
    </w:p>
  </w:footnote>
  <w:footnote w:id="272">
    <w:p w14:paraId="7BB9804D" w14:textId="3DFDDC5D" w:rsidR="00F5659E" w:rsidRPr="007117EF" w:rsidRDefault="00F5659E" w:rsidP="005403D8">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324FE" w:rsidRPr="007117EF">
        <w:rPr>
          <w:rFonts w:ascii="Verdana" w:hAnsi="Verdana" w:cs="YIUEB V+ Gotham"/>
          <w:color w:val="77328A"/>
          <w:sz w:val="16"/>
          <w:szCs w:val="16"/>
        </w:rPr>
        <w:t>CEDAW/C/GBR/CO/8, ‘UN CEDAW Committee Concluding Observations on the Eighth Periodic Report of the United Kingdom of Great Britain and Northern Ireland’, 14 March 2019, at para 49.</w:t>
      </w:r>
    </w:p>
  </w:footnote>
  <w:footnote w:id="273">
    <w:p w14:paraId="727A82FF" w14:textId="26DEEC54" w:rsidR="00AB450B" w:rsidRPr="007117EF" w:rsidRDefault="00AB450B" w:rsidP="005403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324FE" w:rsidRPr="007117EF">
        <w:rPr>
          <w:rFonts w:ascii="Verdana" w:hAnsi="Verdana"/>
          <w:color w:val="77328A"/>
          <w:sz w:val="16"/>
          <w:szCs w:val="16"/>
        </w:rPr>
        <w:t>Ibid, at para 50.</w:t>
      </w:r>
    </w:p>
  </w:footnote>
  <w:footnote w:id="274">
    <w:p w14:paraId="34E4E598" w14:textId="0438C209" w:rsidR="00A32035" w:rsidRPr="007117EF" w:rsidRDefault="00A32035" w:rsidP="005403D8">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E/C.12/GBR/CO/6, ‘UN ICESCR Committee Concluding Observations on the Sixth Periodic Report of the United Kingdom of Great Britain and NI’, 14 July 2016, at para 5;</w:t>
      </w:r>
      <w:r w:rsidR="00984077" w:rsidRPr="007117EF">
        <w:rPr>
          <w:rFonts w:ascii="Verdana" w:eastAsiaTheme="minorEastAsia" w:hAnsi="Verdana" w:cs="YIUEB V+ Gotham"/>
          <w:color w:val="77328A"/>
          <w:sz w:val="16"/>
          <w:szCs w:val="16"/>
        </w:rPr>
        <w:t>CRC/C/GBR/CO/5, ‘UN CRC Concluding Observations on the Fifth Periodic Report of the United Kingdom of Great Britain and NI’, 12 July 2016, at paras 77-78;</w:t>
      </w:r>
      <w:r w:rsidR="008324FE" w:rsidRPr="007117EF">
        <w:rPr>
          <w:rFonts w:ascii="Verdana" w:eastAsiaTheme="minorEastAsia" w:hAnsi="Verdana" w:cs="YIUEB V+ Gotham"/>
          <w:color w:val="77328A"/>
          <w:sz w:val="16"/>
          <w:szCs w:val="16"/>
        </w:rPr>
        <w:t xml:space="preserve"> </w:t>
      </w:r>
      <w:r w:rsidR="00984077" w:rsidRPr="007117EF">
        <w:rPr>
          <w:rFonts w:ascii="Verdana" w:eastAsiaTheme="minorEastAsia" w:hAnsi="Verdana" w:cs="YIUEB V+ Gotham"/>
          <w:color w:val="77328A"/>
          <w:sz w:val="16"/>
          <w:szCs w:val="16"/>
        </w:rPr>
        <w:t>CERD/C/GBR/CO/21-23, ‘UN CERD Committee, Concluding Observations on the Twenty-first to Twenty-third periodic Reports of the United Kingdom of Great Britain and NI’, 26 August 2016, at para 31.</w:t>
      </w:r>
    </w:p>
  </w:footnote>
  <w:footnote w:id="275">
    <w:p w14:paraId="7009D3E2" w14:textId="5171F226" w:rsidR="00AA2E08" w:rsidRPr="00476666" w:rsidRDefault="00AA2E08">
      <w:pPr>
        <w:pStyle w:val="FootnoteText"/>
        <w:rPr>
          <w:rFonts w:ascii="Verdana" w:hAnsi="Verdana"/>
          <w:color w:val="77328A"/>
          <w:sz w:val="16"/>
          <w:szCs w:val="16"/>
        </w:rPr>
      </w:pPr>
      <w:r w:rsidRPr="00476666">
        <w:rPr>
          <w:rStyle w:val="FootnoteReference"/>
          <w:rFonts w:ascii="Verdana" w:hAnsi="Verdana"/>
          <w:color w:val="77328A"/>
          <w:sz w:val="16"/>
          <w:szCs w:val="16"/>
        </w:rPr>
        <w:footnoteRef/>
      </w:r>
      <w:r w:rsidRPr="00476666">
        <w:rPr>
          <w:rFonts w:ascii="Verdana" w:hAnsi="Verdana"/>
          <w:color w:val="77328A"/>
          <w:sz w:val="16"/>
          <w:szCs w:val="16"/>
        </w:rPr>
        <w:t xml:space="preserve"> </w:t>
      </w:r>
      <w:r w:rsidRPr="007117EF">
        <w:rPr>
          <w:rFonts w:ascii="Verdana" w:hAnsi="Verdana"/>
          <w:color w:val="77328A"/>
          <w:sz w:val="16"/>
          <w:szCs w:val="16"/>
        </w:rPr>
        <w:t>NI Human Rights Commission, ‘Submission to the NI Affairs Committee Inquiry into the experience of minority ethnic and migrant people in Northern Ireland’, May 2021, at 16.</w:t>
      </w:r>
    </w:p>
  </w:footnote>
  <w:footnote w:id="276">
    <w:p w14:paraId="5B13F8F0" w14:textId="6A077C86" w:rsidR="00A74EEA" w:rsidRPr="007117EF" w:rsidRDefault="00A74EEA" w:rsidP="005403D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A0462" w:rsidRPr="007117EF">
        <w:rPr>
          <w:rFonts w:ascii="Verdana" w:hAnsi="Verdana"/>
          <w:color w:val="77328A"/>
          <w:sz w:val="16"/>
          <w:szCs w:val="16"/>
        </w:rPr>
        <w:t>Letter from NI Human Rights Commission to Minister of Health</w:t>
      </w:r>
      <w:r w:rsidR="00C54480" w:rsidRPr="007117EF">
        <w:rPr>
          <w:rFonts w:ascii="Verdana" w:hAnsi="Verdana"/>
          <w:color w:val="77328A"/>
          <w:sz w:val="16"/>
          <w:szCs w:val="16"/>
        </w:rPr>
        <w:t xml:space="preserve"> on Draft Human Rights Impact Assessment </w:t>
      </w:r>
      <w:r w:rsidR="005403D8" w:rsidRPr="007117EF">
        <w:rPr>
          <w:rFonts w:ascii="Verdana" w:hAnsi="Verdana"/>
          <w:color w:val="77328A"/>
          <w:sz w:val="16"/>
          <w:szCs w:val="16"/>
        </w:rPr>
        <w:t>for Coronavirus Restrictions, 15 December 2021.</w:t>
      </w:r>
    </w:p>
  </w:footnote>
  <w:footnote w:id="277">
    <w:p w14:paraId="5EFEE31A" w14:textId="74AAE7A3" w:rsidR="00AA3BDF" w:rsidRPr="00476666" w:rsidRDefault="00AA3BDF" w:rsidP="005403D8">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04604E" w:rsidRPr="007117EF">
        <w:rPr>
          <w:rFonts w:ascii="Verdana" w:hAnsi="Verdana" w:cs="YIUEB V+ Gotham"/>
          <w:color w:val="77328A"/>
          <w:sz w:val="16"/>
          <w:szCs w:val="16"/>
        </w:rPr>
        <w:t>UK Government, ‘Stay in the UK (‘settled status’): Step by Step’. Accessed at: https://www.gov.uk/eusettledstatus.</w:t>
      </w:r>
    </w:p>
  </w:footnote>
  <w:footnote w:id="278">
    <w:p w14:paraId="76F08396" w14:textId="33B0019D" w:rsidR="00A8276F" w:rsidRPr="007117EF" w:rsidRDefault="00A8276F" w:rsidP="00123EC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011C2" w:rsidRPr="007117EF">
        <w:rPr>
          <w:rFonts w:ascii="Verdana" w:hAnsi="Verdana" w:cs="YIUEB V+ Gotham"/>
          <w:color w:val="77328A"/>
          <w:sz w:val="16"/>
          <w:szCs w:val="16"/>
        </w:rPr>
        <w:t xml:space="preserve">Amelia Gentleman, ‘High court rejects bid to extend UK’s EU settlement scheme’, </w:t>
      </w:r>
      <w:r w:rsidR="005011C2" w:rsidRPr="007117EF">
        <w:rPr>
          <w:rFonts w:ascii="Verdana" w:hAnsi="Verdana" w:cs="Gotham Light"/>
          <w:i/>
          <w:color w:val="77328A"/>
          <w:sz w:val="16"/>
          <w:szCs w:val="16"/>
        </w:rPr>
        <w:t>The Guardian</w:t>
      </w:r>
      <w:r w:rsidR="005011C2" w:rsidRPr="007117EF">
        <w:rPr>
          <w:rFonts w:ascii="Verdana" w:hAnsi="Verdana" w:cs="YIUEB V+ Gotham"/>
          <w:color w:val="77328A"/>
          <w:sz w:val="16"/>
          <w:szCs w:val="16"/>
        </w:rPr>
        <w:t>, 11 March 2021.</w:t>
      </w:r>
    </w:p>
  </w:footnote>
  <w:footnote w:id="279">
    <w:p w14:paraId="0B0614A8" w14:textId="423068F3" w:rsidR="00BB3366" w:rsidRPr="007117EF" w:rsidRDefault="00BB3366" w:rsidP="00123EC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011C2" w:rsidRPr="007117EF">
        <w:rPr>
          <w:rFonts w:ascii="Verdana" w:hAnsi="Verdana" w:cs="YIUEB V+ Gotham"/>
          <w:color w:val="77328A"/>
          <w:sz w:val="16"/>
          <w:szCs w:val="16"/>
        </w:rPr>
        <w:t>The Migration Observatory, ‘Vulnerable EU citizens are at risk of becoming “irregular migrants” after Brexit’. Available at: https://migrationobservatory.ox.ac.uk/press/vulnerable-eu-citizens-are-at-risk-of-becoming-irregular-migrants-after-brexit/.</w:t>
      </w:r>
    </w:p>
  </w:footnote>
  <w:footnote w:id="280">
    <w:p w14:paraId="37ECC380" w14:textId="73A53595" w:rsidR="00BB3366" w:rsidRPr="007117EF" w:rsidRDefault="00BB3366" w:rsidP="00123EC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9028F" w:rsidRPr="007117EF">
        <w:rPr>
          <w:rFonts w:ascii="Verdana" w:hAnsi="Verdana" w:cs="YIUEB V+ Gotham"/>
          <w:color w:val="77328A"/>
          <w:sz w:val="16"/>
          <w:szCs w:val="16"/>
        </w:rPr>
        <w:t xml:space="preserve">Amelia Gentleman, ‘High court rejects bid to extend UK’s EU settlement scheme’, </w:t>
      </w:r>
      <w:r w:rsidR="00F9028F" w:rsidRPr="007117EF">
        <w:rPr>
          <w:rFonts w:ascii="Verdana" w:hAnsi="Verdana" w:cs="Gotham Light"/>
          <w:i/>
          <w:color w:val="77328A"/>
          <w:sz w:val="16"/>
          <w:szCs w:val="16"/>
        </w:rPr>
        <w:t>The Guardian</w:t>
      </w:r>
      <w:r w:rsidR="00F9028F" w:rsidRPr="007117EF">
        <w:rPr>
          <w:rFonts w:ascii="Verdana" w:hAnsi="Verdana" w:cs="YIUEB V+ Gotham"/>
          <w:color w:val="77328A"/>
          <w:sz w:val="16"/>
          <w:szCs w:val="16"/>
        </w:rPr>
        <w:t>, 11 March 2021.</w:t>
      </w:r>
    </w:p>
  </w:footnote>
  <w:footnote w:id="281">
    <w:p w14:paraId="06855D78" w14:textId="074C38F4" w:rsidR="00BB3366" w:rsidRPr="007117EF" w:rsidRDefault="00BB3366" w:rsidP="00123EC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9028F" w:rsidRPr="007117EF">
        <w:rPr>
          <w:rFonts w:ascii="Verdana" w:hAnsi="Verdana" w:cs="YIUEB V+ Gotham"/>
          <w:color w:val="77328A"/>
          <w:sz w:val="16"/>
          <w:szCs w:val="16"/>
        </w:rPr>
        <w:t>Home Office, ‘EU Settlement Scheme: EU, other EEA and Swiss citizens and their family members’, (HO, 2021).</w:t>
      </w:r>
    </w:p>
  </w:footnote>
  <w:footnote w:id="282">
    <w:p w14:paraId="2E61FCFE" w14:textId="7D09247A" w:rsidR="009575FB" w:rsidRPr="007117EF" w:rsidRDefault="009575FB" w:rsidP="00123EC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9028F" w:rsidRPr="007117EF">
        <w:rPr>
          <w:rFonts w:ascii="Verdana" w:hAnsi="Verdana" w:cs="YIUEB V+ Gotham"/>
          <w:color w:val="77328A"/>
          <w:sz w:val="16"/>
          <w:szCs w:val="16"/>
        </w:rPr>
        <w:t>Home Office, ‘Press Release: Temporary protection for more applicants to the Settlement Scheme’, 6 August 2021.</w:t>
      </w:r>
    </w:p>
  </w:footnote>
  <w:footnote w:id="283">
    <w:p w14:paraId="695C38CE" w14:textId="334D1CB5" w:rsidR="0018624B" w:rsidRPr="007117EF" w:rsidRDefault="0018624B" w:rsidP="00EF6FE6">
      <w:pPr>
        <w:pStyle w:val="Pa21"/>
        <w:spacing w:line="240" w:lineRule="auto"/>
        <w:rPr>
          <w:rFonts w:ascii="Verdan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05528" w:rsidRPr="007117EF">
        <w:rPr>
          <w:rFonts w:ascii="Verdana" w:hAnsi="Verdana" w:cs="YIUEB V+ Gotham"/>
          <w:color w:val="77328A"/>
          <w:sz w:val="16"/>
          <w:szCs w:val="16"/>
        </w:rPr>
        <w:t>Independent Monitoring Authority, ‘</w:t>
      </w:r>
      <w:hyperlink r:id="rId14" w:history="1">
        <w:r w:rsidR="00B05528" w:rsidRPr="007117EF">
          <w:rPr>
            <w:rStyle w:val="Hyperlink"/>
            <w:rFonts w:ascii="Verdana" w:hAnsi="Verdana" w:cs="YIUEB V+ Gotham"/>
            <w:color w:val="77328A"/>
            <w:sz w:val="16"/>
            <w:szCs w:val="16"/>
          </w:rPr>
          <w:t>Press Release: Home Office asked to clarify the rights of EU citizens applying late to the EU Settlement Scheme’</w:t>
        </w:r>
      </w:hyperlink>
      <w:r w:rsidR="00B05528" w:rsidRPr="007117EF">
        <w:rPr>
          <w:rFonts w:ascii="Verdana" w:hAnsi="Verdana" w:cs="YIUEB V+ Gotham"/>
          <w:color w:val="77328A"/>
          <w:sz w:val="16"/>
          <w:szCs w:val="16"/>
        </w:rPr>
        <w:t>, 27 September 2021.</w:t>
      </w:r>
    </w:p>
  </w:footnote>
  <w:footnote w:id="284">
    <w:p w14:paraId="627C393E" w14:textId="2511C69C" w:rsidR="00420B4E" w:rsidRPr="007117EF" w:rsidRDefault="00420B4E" w:rsidP="003B766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w:t>
      </w:r>
      <w:r w:rsidR="003B766C" w:rsidRPr="007117EF">
        <w:rPr>
          <w:rFonts w:ascii="Verdana" w:hAnsi="Verdana"/>
          <w:color w:val="77328A"/>
          <w:sz w:val="16"/>
          <w:szCs w:val="16"/>
        </w:rPr>
        <w:t>I</w:t>
      </w:r>
      <w:r w:rsidRPr="007117EF">
        <w:rPr>
          <w:rFonts w:ascii="Verdana" w:hAnsi="Verdana"/>
          <w:color w:val="77328A"/>
          <w:sz w:val="16"/>
          <w:szCs w:val="16"/>
        </w:rPr>
        <w:t xml:space="preserve"> Human Rights Commission, ‘</w:t>
      </w:r>
      <w:r w:rsidR="003B766C" w:rsidRPr="007117EF">
        <w:rPr>
          <w:rFonts w:ascii="Verdana" w:hAnsi="Verdana"/>
          <w:color w:val="77328A"/>
          <w:sz w:val="16"/>
          <w:szCs w:val="16"/>
        </w:rPr>
        <w:t xml:space="preserve">Submission to the Advisory Committee on the Framework Convention for the protection of National Minorities: Parallel Report to the Advisory Committee on the Fourth Monitoring Report of the United Kingdom’ (NIHRC, 2016) at para </w:t>
      </w:r>
      <w:r w:rsidR="00AD2538" w:rsidRPr="007117EF">
        <w:rPr>
          <w:rFonts w:ascii="Verdana" w:hAnsi="Verdana"/>
          <w:color w:val="77328A"/>
          <w:sz w:val="16"/>
          <w:szCs w:val="16"/>
        </w:rPr>
        <w:t>131.</w:t>
      </w:r>
    </w:p>
  </w:footnote>
  <w:footnote w:id="285">
    <w:p w14:paraId="4E7B86AF" w14:textId="2CC4E51F"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Refugee and Asylum Forum NI, ‘5 Key Actions: ensuring Northern Ireland responds to the needs of refugees’ (2015</w:t>
      </w:r>
      <w:r w:rsidR="00A93FF3" w:rsidRPr="007117EF">
        <w:rPr>
          <w:rFonts w:ascii="Verdana" w:hAnsi="Verdana"/>
          <w:color w:val="77328A"/>
          <w:sz w:val="16"/>
          <w:szCs w:val="16"/>
        </w:rPr>
        <w:t>)</w:t>
      </w:r>
      <w:r w:rsidR="003E6E14" w:rsidRPr="007117EF">
        <w:rPr>
          <w:rFonts w:ascii="Verdana" w:hAnsi="Verdana"/>
          <w:color w:val="77328A"/>
          <w:sz w:val="16"/>
          <w:szCs w:val="16"/>
        </w:rPr>
        <w:t>.</w:t>
      </w:r>
    </w:p>
  </w:footnote>
  <w:footnote w:id="286">
    <w:p w14:paraId="73EAC6CE"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Executive Office, ‘Racial Equality’ at </w:t>
      </w:r>
      <w:hyperlink r:id="rId15" w:history="1">
        <w:r w:rsidRPr="007117EF">
          <w:rPr>
            <w:rStyle w:val="Hyperlink"/>
            <w:rFonts w:ascii="Verdana" w:hAnsi="Verdana"/>
            <w:color w:val="77328A"/>
            <w:sz w:val="16"/>
            <w:szCs w:val="16"/>
          </w:rPr>
          <w:t>Racial equality | The Executive Office (executiveoffice-ni.gov.uk)</w:t>
        </w:r>
      </w:hyperlink>
    </w:p>
  </w:footnote>
  <w:footnote w:id="287">
    <w:p w14:paraId="3C00AE9C" w14:textId="26156151" w:rsidR="00702C88" w:rsidRPr="007117EF" w:rsidRDefault="00702C8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bookmarkStart w:id="40" w:name="_Hlk95990907"/>
      <w:r w:rsidR="001C187B" w:rsidRPr="007117EF">
        <w:rPr>
          <w:rFonts w:ascii="Verdana" w:hAnsi="Verdana"/>
          <w:color w:val="77328A"/>
          <w:sz w:val="16"/>
          <w:szCs w:val="16"/>
        </w:rPr>
        <w:t>The Executive Office meeting of the Racial Equality Subgroup, 16 February 2022</w:t>
      </w:r>
      <w:bookmarkEnd w:id="40"/>
      <w:r w:rsidR="001C187B" w:rsidRPr="007117EF">
        <w:rPr>
          <w:rFonts w:ascii="Verdana" w:hAnsi="Verdana"/>
          <w:color w:val="77328A"/>
          <w:sz w:val="16"/>
          <w:szCs w:val="16"/>
        </w:rPr>
        <w:t>.</w:t>
      </w:r>
    </w:p>
  </w:footnote>
  <w:footnote w:id="288">
    <w:p w14:paraId="10D9C7DF" w14:textId="50101BAB" w:rsidR="004050FA" w:rsidRPr="00476666"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A/HRC/23/39/Add.1, ‘Report of the Special Rapporteur on the Rights to Freedom of Peaceful Assembly and of Association, Maina Kiai, on his Mission to the UK (14-23 January 2013)’, 17 June 2013</w:t>
      </w:r>
      <w:r w:rsidR="003E6E14" w:rsidRPr="007117EF">
        <w:rPr>
          <w:rFonts w:ascii="Verdana" w:hAnsi="Verdana"/>
          <w:color w:val="77328A"/>
          <w:sz w:val="16"/>
          <w:szCs w:val="16"/>
        </w:rPr>
        <w:t>.</w:t>
      </w:r>
    </w:p>
  </w:footnote>
  <w:footnote w:id="289">
    <w:p w14:paraId="0DD57362" w14:textId="44931AFC"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Stormont House Agreement, 2014</w:t>
      </w:r>
    </w:p>
  </w:footnote>
  <w:footnote w:id="290">
    <w:p w14:paraId="50B82103" w14:textId="4525FFBD"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Stormont House Agreement, 2014</w:t>
      </w:r>
    </w:p>
  </w:footnote>
  <w:footnote w:id="291">
    <w:p w14:paraId="42D74296"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‘A Fresh Start’, 17 November 2015, at 34.</w:t>
      </w:r>
    </w:p>
  </w:footnote>
  <w:footnote w:id="292">
    <w:p w14:paraId="57224DCE"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Correspondence from the Executive Office to NI Human Rights Commission, October 2021</w:t>
      </w:r>
    </w:p>
  </w:footnote>
  <w:footnote w:id="293">
    <w:p w14:paraId="5A0FC574"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Parades Commission for NI, ‘Annual Report and Financial Statements for the Year Ended 31 March 2021’ (PCNI, 2021) at Table 1.</w:t>
      </w:r>
    </w:p>
  </w:footnote>
  <w:footnote w:id="294">
    <w:p w14:paraId="2A16E961"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 at page 10. </w:t>
      </w:r>
    </w:p>
  </w:footnote>
  <w:footnote w:id="295">
    <w:p w14:paraId="4F949182"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‘Coronavirus: Anti-racism rallies in Belfast and Londonderry’, </w:t>
      </w:r>
      <w:r w:rsidRPr="007117EF">
        <w:rPr>
          <w:rFonts w:ascii="Verdana" w:hAnsi="Verdana"/>
          <w:i/>
          <w:color w:val="77328A"/>
          <w:sz w:val="16"/>
          <w:szCs w:val="16"/>
        </w:rPr>
        <w:t>BBC News</w:t>
      </w:r>
      <w:r w:rsidRPr="007117EF">
        <w:rPr>
          <w:rFonts w:ascii="Verdana" w:hAnsi="Verdana"/>
          <w:color w:val="77328A"/>
          <w:sz w:val="16"/>
          <w:szCs w:val="16"/>
        </w:rPr>
        <w:t>, 6 June 2020</w:t>
      </w:r>
    </w:p>
  </w:footnote>
  <w:footnote w:id="296">
    <w:p w14:paraId="119F115B"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Jonathan Bell, ‘Police Ombudsman to probe difference in PSNI approach to Black Lives Matter rallies and Belfast cenotaph protest’ </w:t>
      </w:r>
      <w:r w:rsidRPr="007117EF">
        <w:rPr>
          <w:rFonts w:ascii="Verdana" w:hAnsi="Verdana"/>
          <w:i/>
          <w:color w:val="77328A"/>
          <w:sz w:val="16"/>
          <w:szCs w:val="16"/>
        </w:rPr>
        <w:t>Belfast Telegraph</w:t>
      </w:r>
      <w:r w:rsidRPr="007117EF">
        <w:rPr>
          <w:rFonts w:ascii="Verdana" w:hAnsi="Verdana"/>
          <w:color w:val="77328A"/>
          <w:sz w:val="16"/>
          <w:szCs w:val="16"/>
        </w:rPr>
        <w:t>, 17 June 2020.</w:t>
      </w:r>
    </w:p>
  </w:footnote>
  <w:footnote w:id="297">
    <w:p w14:paraId="1E697D78" w14:textId="7777777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Police Ombudsman NI, ‘Press Release: Police Ombudsman to look at how police have enforced regulations on large public gatherings’, 17 June 2020.</w:t>
      </w:r>
    </w:p>
  </w:footnote>
  <w:footnote w:id="298">
    <w:p w14:paraId="28B28461" w14:textId="55A9E884" w:rsidR="003A4D8C" w:rsidRPr="007117EF" w:rsidRDefault="003A4D8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‘Black Lives Matter protest fines: PSNI reputation 'damaged'’ </w:t>
      </w:r>
      <w:r w:rsidRPr="007117EF">
        <w:rPr>
          <w:rFonts w:ascii="Verdana" w:hAnsi="Verdana"/>
          <w:i/>
          <w:iCs/>
          <w:color w:val="77328A"/>
          <w:sz w:val="16"/>
          <w:szCs w:val="16"/>
        </w:rPr>
        <w:t>BBC News NI</w:t>
      </w:r>
      <w:r w:rsidRPr="007117EF">
        <w:rPr>
          <w:rFonts w:ascii="Verdana" w:hAnsi="Verdana"/>
          <w:color w:val="77328A"/>
          <w:sz w:val="16"/>
          <w:szCs w:val="16"/>
        </w:rPr>
        <w:t>, 18 August 2021.</w:t>
      </w:r>
    </w:p>
  </w:footnote>
  <w:footnote w:id="299">
    <w:p w14:paraId="0522AFC1" w14:textId="6D7727C0" w:rsidR="00551FD8" w:rsidRPr="007117EF" w:rsidRDefault="00551FD8" w:rsidP="00AC0F4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Executive Office, ‘Commission on Flags, Identity, Culture and Tradition - Final report’ 1 December 2021.</w:t>
      </w:r>
    </w:p>
  </w:footnote>
  <w:footnote w:id="300">
    <w:p w14:paraId="08B8774D" w14:textId="40A5CD07"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Jayne McCormack, ‘Stormont: Flags body submits delayed report’ </w:t>
      </w:r>
      <w:r w:rsidRPr="007117EF">
        <w:rPr>
          <w:rFonts w:ascii="Verdana" w:hAnsi="Verdana"/>
          <w:i/>
          <w:color w:val="77328A"/>
          <w:sz w:val="16"/>
          <w:szCs w:val="16"/>
        </w:rPr>
        <w:t>BBC News NI</w:t>
      </w:r>
      <w:r w:rsidRPr="007117EF">
        <w:rPr>
          <w:rFonts w:ascii="Verdana" w:hAnsi="Verdana"/>
          <w:color w:val="77328A"/>
          <w:sz w:val="16"/>
          <w:szCs w:val="16"/>
        </w:rPr>
        <w:t>, 17 July 2020</w:t>
      </w:r>
      <w:r w:rsidR="00551FD8" w:rsidRPr="007117EF">
        <w:rPr>
          <w:rFonts w:ascii="Verdana" w:hAnsi="Verdana"/>
          <w:color w:val="77328A"/>
          <w:sz w:val="16"/>
          <w:szCs w:val="16"/>
        </w:rPr>
        <w:t>.</w:t>
      </w:r>
    </w:p>
  </w:footnote>
  <w:footnote w:id="301">
    <w:p w14:paraId="5D20ABA8" w14:textId="6C29DF27" w:rsidR="004050FA" w:rsidRPr="00476666"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Jayne McCormack, ‘Flags report: Stormont publishes £800k report without action plan’ </w:t>
      </w:r>
      <w:r w:rsidRPr="007117EF">
        <w:rPr>
          <w:rFonts w:ascii="Verdana" w:hAnsi="Verdana"/>
          <w:i/>
          <w:color w:val="77328A"/>
          <w:sz w:val="16"/>
          <w:szCs w:val="16"/>
        </w:rPr>
        <w:t>BBC News NI</w:t>
      </w:r>
      <w:r w:rsidRPr="007117EF">
        <w:rPr>
          <w:rFonts w:ascii="Verdana" w:hAnsi="Verdana"/>
          <w:color w:val="77328A"/>
          <w:sz w:val="16"/>
          <w:szCs w:val="16"/>
        </w:rPr>
        <w:t>, 1 December 2021</w:t>
      </w:r>
      <w:r w:rsidR="00551FD8" w:rsidRPr="007117EF">
        <w:rPr>
          <w:rFonts w:ascii="Verdana" w:hAnsi="Verdana"/>
          <w:color w:val="77328A"/>
          <w:sz w:val="16"/>
          <w:szCs w:val="16"/>
        </w:rPr>
        <w:t>.</w:t>
      </w:r>
    </w:p>
  </w:footnote>
  <w:footnote w:id="302">
    <w:p w14:paraId="49662B6A" w14:textId="5A367C5F" w:rsidR="004050FA" w:rsidRPr="007117EF" w:rsidRDefault="004050FA" w:rsidP="004050F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Executive Office, ‘Commission on Flags, Identity, Culture and Tradition - Final report’ 1 December 2021, at </w:t>
      </w:r>
      <w:r w:rsidR="00630F7C" w:rsidRPr="007117EF">
        <w:rPr>
          <w:rFonts w:ascii="Verdana" w:hAnsi="Verdana"/>
          <w:color w:val="77328A"/>
          <w:sz w:val="16"/>
          <w:szCs w:val="16"/>
        </w:rPr>
        <w:t>p</w:t>
      </w:r>
      <w:r w:rsidR="00440B87" w:rsidRPr="007117EF">
        <w:rPr>
          <w:rFonts w:ascii="Verdana" w:hAnsi="Verdana"/>
          <w:color w:val="77328A"/>
          <w:sz w:val="16"/>
          <w:szCs w:val="16"/>
        </w:rPr>
        <w:t>p.</w:t>
      </w:r>
      <w:r w:rsidRPr="007117EF">
        <w:rPr>
          <w:rFonts w:ascii="Verdana" w:hAnsi="Verdana"/>
          <w:color w:val="77328A"/>
          <w:sz w:val="16"/>
          <w:szCs w:val="16"/>
        </w:rPr>
        <w:t xml:space="preserve"> 89-114. </w:t>
      </w:r>
    </w:p>
  </w:footnote>
  <w:footnote w:id="303">
    <w:p w14:paraId="378B29E4" w14:textId="418DA40D" w:rsidR="00422513" w:rsidRPr="007117EF" w:rsidRDefault="0042251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34FDF" w:rsidRPr="007117EF">
        <w:rPr>
          <w:rFonts w:ascii="Verdana" w:hAnsi="Verdana"/>
          <w:color w:val="77328A"/>
          <w:sz w:val="16"/>
          <w:szCs w:val="16"/>
        </w:rPr>
        <w:t>ACFC/OP/I</w:t>
      </w:r>
      <w:r w:rsidR="0099647A" w:rsidRPr="007117EF">
        <w:rPr>
          <w:rFonts w:ascii="Verdana" w:hAnsi="Verdana"/>
          <w:color w:val="77328A"/>
          <w:sz w:val="16"/>
          <w:szCs w:val="16"/>
        </w:rPr>
        <w:t>V</w:t>
      </w:r>
      <w:r w:rsidR="00134FDF" w:rsidRPr="007117EF">
        <w:rPr>
          <w:rFonts w:ascii="Verdana" w:hAnsi="Verdana"/>
          <w:color w:val="77328A"/>
          <w:sz w:val="16"/>
          <w:szCs w:val="16"/>
        </w:rPr>
        <w:t xml:space="preserve"> (201</w:t>
      </w:r>
      <w:r w:rsidR="0099647A" w:rsidRPr="007117EF">
        <w:rPr>
          <w:rFonts w:ascii="Verdana" w:hAnsi="Verdana"/>
          <w:color w:val="77328A"/>
          <w:sz w:val="16"/>
          <w:szCs w:val="16"/>
        </w:rPr>
        <w:t>6</w:t>
      </w:r>
      <w:r w:rsidR="00134FDF" w:rsidRPr="007117EF">
        <w:rPr>
          <w:rFonts w:ascii="Verdana" w:hAnsi="Verdana"/>
          <w:color w:val="77328A"/>
          <w:sz w:val="16"/>
          <w:szCs w:val="16"/>
        </w:rPr>
        <w:t>)00</w:t>
      </w:r>
      <w:r w:rsidR="0099647A" w:rsidRPr="007117EF">
        <w:rPr>
          <w:rFonts w:ascii="Verdana" w:hAnsi="Verdana"/>
          <w:color w:val="77328A"/>
          <w:sz w:val="16"/>
          <w:szCs w:val="16"/>
        </w:rPr>
        <w:t>5</w:t>
      </w:r>
      <w:r w:rsidR="00134FDF" w:rsidRPr="007117EF">
        <w:rPr>
          <w:rFonts w:ascii="Verdana" w:hAnsi="Verdana"/>
          <w:color w:val="77328A"/>
          <w:sz w:val="16"/>
          <w:szCs w:val="16"/>
        </w:rPr>
        <w:t xml:space="preserve"> Advisory Committee on the Framework Convention for the Protection of National Minorities, ‘</w:t>
      </w:r>
      <w:r w:rsidR="0099647A" w:rsidRPr="007117EF">
        <w:rPr>
          <w:rFonts w:ascii="Verdana" w:hAnsi="Verdana"/>
          <w:color w:val="77328A"/>
          <w:sz w:val="16"/>
          <w:szCs w:val="16"/>
        </w:rPr>
        <w:t>Fourth</w:t>
      </w:r>
      <w:r w:rsidR="00134FDF" w:rsidRPr="007117EF">
        <w:rPr>
          <w:rFonts w:ascii="Verdana" w:hAnsi="Verdana"/>
          <w:color w:val="77328A"/>
          <w:sz w:val="16"/>
          <w:szCs w:val="16"/>
        </w:rPr>
        <w:t xml:space="preserve"> Opinion on the United Kingdom for the Protection of National Minorities’</w:t>
      </w:r>
      <w:r w:rsidR="009171A1" w:rsidRPr="007117EF">
        <w:rPr>
          <w:rFonts w:ascii="Verdana" w:hAnsi="Verdana"/>
          <w:color w:val="77328A"/>
          <w:sz w:val="16"/>
          <w:szCs w:val="16"/>
        </w:rPr>
        <w:t>, at para 90.</w:t>
      </w:r>
    </w:p>
  </w:footnote>
  <w:footnote w:id="304">
    <w:p w14:paraId="41014615" w14:textId="3A0886A6" w:rsidR="006149A4" w:rsidRPr="00476666" w:rsidRDefault="006149A4" w:rsidP="00CE5B8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E1811" w:rsidRPr="007117EF">
        <w:rPr>
          <w:rFonts w:ascii="Verdana" w:hAnsi="Verdana"/>
          <w:color w:val="77328A"/>
          <w:sz w:val="16"/>
          <w:szCs w:val="16"/>
        </w:rPr>
        <w:t xml:space="preserve">NI Executive Office, ‘Commission on Flags, Identity, Culture and Tradition - Final report’ 1 December 2021, at </w:t>
      </w:r>
      <w:r w:rsidR="00E5776D" w:rsidRPr="007117EF">
        <w:rPr>
          <w:rFonts w:ascii="Verdana" w:hAnsi="Verdana"/>
          <w:color w:val="77328A"/>
          <w:sz w:val="16"/>
          <w:szCs w:val="16"/>
        </w:rPr>
        <w:t>p</w:t>
      </w:r>
      <w:r w:rsidR="005E1811" w:rsidRPr="007117EF">
        <w:rPr>
          <w:rFonts w:ascii="Verdana" w:hAnsi="Verdana"/>
          <w:color w:val="77328A"/>
          <w:sz w:val="16"/>
          <w:szCs w:val="16"/>
        </w:rPr>
        <w:t xml:space="preserve"> 148</w:t>
      </w:r>
      <w:r w:rsidR="0060535F" w:rsidRPr="007117EF">
        <w:rPr>
          <w:rFonts w:ascii="Verdana" w:hAnsi="Verdana"/>
          <w:color w:val="77328A"/>
          <w:sz w:val="16"/>
          <w:szCs w:val="16"/>
        </w:rPr>
        <w:t>.</w:t>
      </w:r>
    </w:p>
  </w:footnote>
  <w:footnote w:id="305">
    <w:p w14:paraId="41C15739" w14:textId="77348058" w:rsidR="00C916F0" w:rsidRPr="00476666" w:rsidRDefault="00C916F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476666">
        <w:rPr>
          <w:rFonts w:ascii="Verdana" w:hAnsi="Verdana"/>
          <w:color w:val="77328A"/>
          <w:sz w:val="16"/>
          <w:szCs w:val="16"/>
        </w:rPr>
        <w:t xml:space="preserve"> </w:t>
      </w:r>
      <w:r w:rsidRPr="007117EF">
        <w:rPr>
          <w:rFonts w:ascii="Verdana" w:hAnsi="Verdana"/>
          <w:color w:val="77328A"/>
          <w:sz w:val="16"/>
          <w:szCs w:val="16"/>
        </w:rPr>
        <w:t>Police Service of NI, ‘Incidents and Crimes with a Hate Motivation Recorded by the Policy in Northern Ireland: Update to 30 September 2021, (PSNI, 2021).</w:t>
      </w:r>
    </w:p>
  </w:footnote>
  <w:footnote w:id="306">
    <w:p w14:paraId="5E8A5D7A" w14:textId="2E9C3C28" w:rsidR="00772A86" w:rsidRPr="007117EF" w:rsidRDefault="00772A86" w:rsidP="00CE5B8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4D1762" w:rsidRPr="007117EF">
        <w:rPr>
          <w:rFonts w:ascii="Verdana" w:hAnsi="Verdana"/>
          <w:color w:val="77328A"/>
          <w:sz w:val="16"/>
          <w:szCs w:val="16"/>
        </w:rPr>
        <w:t xml:space="preserve"> </w:t>
      </w:r>
      <w:r w:rsidR="00C916F0" w:rsidRPr="007117EF">
        <w:rPr>
          <w:rFonts w:ascii="Verdana" w:hAnsi="Verdana"/>
          <w:color w:val="77328A"/>
          <w:sz w:val="16"/>
          <w:szCs w:val="16"/>
        </w:rPr>
        <w:t>Ibid.</w:t>
      </w:r>
    </w:p>
  </w:footnote>
  <w:footnote w:id="307">
    <w:p w14:paraId="442A9C4C" w14:textId="20C93432" w:rsidR="00AD35DD" w:rsidRPr="007117EF" w:rsidRDefault="00AD35DD" w:rsidP="004A5DFA">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E3724" w:rsidRPr="007117EF">
        <w:rPr>
          <w:rFonts w:ascii="Verdana" w:hAnsi="Verdana" w:cs="YIUEB V+ Gotham"/>
          <w:color w:val="77328A"/>
          <w:sz w:val="16"/>
          <w:szCs w:val="16"/>
        </w:rPr>
        <w:t>CERD/C/GBR/CO/21-23, ‘UN CERD Committee Concluding Observations on the Twenty-first to Twenty-third periodic Reports of the United Kingdom of Great Britain and Northern Ireland’, 26 August 2016, at para 16(a) and (b).</w:t>
      </w:r>
    </w:p>
  </w:footnote>
  <w:footnote w:id="308">
    <w:p w14:paraId="0B123DA4" w14:textId="65822579" w:rsidR="00D31F06" w:rsidRPr="007117EF" w:rsidRDefault="00D31F06" w:rsidP="004A5DFA">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E3724" w:rsidRPr="007117EF">
        <w:rPr>
          <w:rFonts w:ascii="Verdana" w:hAnsi="Verdana" w:cs="YIUEB V+ Gotham"/>
          <w:color w:val="77328A"/>
          <w:sz w:val="16"/>
          <w:szCs w:val="16"/>
        </w:rPr>
        <w:t>Ibid, at para 16(c) and (d).</w:t>
      </w:r>
    </w:p>
  </w:footnote>
  <w:footnote w:id="309">
    <w:p w14:paraId="1A6D2D26" w14:textId="4D106BD2" w:rsidR="001E0959" w:rsidRPr="007117EF" w:rsidRDefault="001E0959" w:rsidP="004A5DFA">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BE3724" w:rsidRPr="007117EF">
        <w:rPr>
          <w:rFonts w:ascii="Verdana" w:hAnsi="Verdana" w:cs="YIUEB V+ Gotham"/>
          <w:color w:val="77328A"/>
          <w:sz w:val="16"/>
          <w:szCs w:val="16"/>
        </w:rPr>
        <w:t>CAT/C/GBR/CO/6, ‘UN CAT Committee Concluding Observations on the Sixth Periodic Report of the United Kingdom of Great Britain and NI’, 7 June 2019, at para 63.</w:t>
      </w:r>
    </w:p>
  </w:footnote>
  <w:footnote w:id="310">
    <w:p w14:paraId="14CA2412" w14:textId="2F994B22" w:rsidR="009C1C48" w:rsidRPr="007117EF" w:rsidRDefault="009C1C48" w:rsidP="009C1C4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Directive 2012/29/EU, ‘Directive of the European Parliament and of the Council establishing minimum standards on the rights, support and protection of victims of crime’, 25 October 2012.  Protocol Article 2 encompasses the right of victims within the relevant part of the Belfast (Good Friday) Agreement. </w:t>
      </w:r>
    </w:p>
  </w:footnote>
  <w:footnote w:id="311">
    <w:p w14:paraId="1A1A8165" w14:textId="6FDA8CF9" w:rsidR="00414552" w:rsidRPr="007117EF" w:rsidRDefault="00414552" w:rsidP="0041455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Article 22 and Recital 56, Directive 2012/29/EU, ‘Directive of the European Parliament and of the Council establishing minimum standards on the rights, support and protection of victims of crime’, 25 October 2012.  </w:t>
      </w:r>
    </w:p>
  </w:footnote>
  <w:footnote w:id="312">
    <w:p w14:paraId="3755B098" w14:textId="7AF490E6" w:rsidR="00414552" w:rsidRPr="007117EF" w:rsidRDefault="00414552" w:rsidP="0041455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Recital 57, Directive 2012/29/EU, ‘Directive of the European Parliament and of the Council establishing minimum standards on the rights, support and protection of victims of crime’, 25 October 2012.  </w:t>
      </w:r>
    </w:p>
  </w:footnote>
  <w:footnote w:id="313">
    <w:p w14:paraId="2B271BAC" w14:textId="3EAA933E" w:rsidR="001E3EE1" w:rsidRPr="007117EF" w:rsidRDefault="001E3EE1" w:rsidP="0056257D">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0487B" w:rsidRPr="007117EF">
        <w:rPr>
          <w:rFonts w:ascii="Verdana" w:hAnsi="Verdana" w:cs="YIUEB V+ Gotham"/>
          <w:color w:val="77328A"/>
          <w:sz w:val="16"/>
          <w:szCs w:val="16"/>
        </w:rPr>
        <w:t>Independent Hate Crime Review Team, ‘Hate Crime Legislation in NI: An Independent Review - Consultation Paper’ (IHCRT, 2020).</w:t>
      </w:r>
    </w:p>
  </w:footnote>
  <w:footnote w:id="314">
    <w:p w14:paraId="094AFD72" w14:textId="5EDD065E" w:rsidR="001E3EE1" w:rsidRPr="007117EF" w:rsidRDefault="001E3EE1" w:rsidP="0056257D">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0487B" w:rsidRPr="007117EF">
        <w:rPr>
          <w:rFonts w:ascii="Verdana" w:hAnsi="Verdana" w:cs="YIUEB V+ Gotham"/>
          <w:color w:val="77328A"/>
          <w:sz w:val="16"/>
          <w:szCs w:val="16"/>
        </w:rPr>
        <w:t>Department of Justice, ‘Hate Crime Legislation in NI: Independent Review’ (DoJ, 2020).</w:t>
      </w:r>
    </w:p>
  </w:footnote>
  <w:footnote w:id="315">
    <w:p w14:paraId="176E1B6F" w14:textId="01FBCFE7" w:rsidR="002D636C" w:rsidRPr="007117EF" w:rsidRDefault="002D636C" w:rsidP="0056257D">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F43CD" w:rsidRPr="007117EF">
        <w:rPr>
          <w:rFonts w:ascii="Verdana" w:hAnsi="Verdana" w:cs="YIUEB V+ Gotham"/>
          <w:color w:val="77328A"/>
          <w:sz w:val="16"/>
          <w:szCs w:val="16"/>
        </w:rPr>
        <w:t>Department of Justice, ‘Improving the experiences of victims and witnesses in the criminal justice system: a consultation on a new three-year Victim and Witness Strategy for Northern Ireland and the establishment of a Victims of Crime Commissioner for Northern Ireland’, May 2021.</w:t>
      </w:r>
    </w:p>
  </w:footnote>
  <w:footnote w:id="316">
    <w:p w14:paraId="7D9A9C2E" w14:textId="1B97A365" w:rsidR="002D636C" w:rsidRPr="007117EF" w:rsidRDefault="002D636C" w:rsidP="0056257D">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F43CD" w:rsidRPr="007117EF">
        <w:rPr>
          <w:rFonts w:ascii="Verdana" w:hAnsi="Verdana" w:cs="YIUEB V+ Gotham"/>
          <w:color w:val="77328A"/>
          <w:sz w:val="16"/>
          <w:szCs w:val="16"/>
        </w:rPr>
        <w:t>NI Human Rights Commission, ‘Response to the public consultation on ‘Improving the experiences of victims and witnesses in the criminal justice system: a new three-year Victim and Witness Strategy for Northern Ireland; and the establishment of a Victims of Crime Commissioner for Northern Ireland’, July 2021.</w:t>
      </w:r>
    </w:p>
  </w:footnote>
  <w:footnote w:id="317">
    <w:p w14:paraId="20246B93" w14:textId="2CC49A3A" w:rsidR="00E82F01" w:rsidRPr="007117EF" w:rsidRDefault="00E82F01" w:rsidP="008D63D3">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D63D3" w:rsidRPr="007117EF">
        <w:rPr>
          <w:rFonts w:ascii="Verdana" w:hAnsi="Verdana" w:cs="YIUEB V+ Gotham"/>
          <w:color w:val="77328A"/>
          <w:sz w:val="16"/>
          <w:szCs w:val="16"/>
        </w:rPr>
        <w:t>Department of Justice, ‘Review of Hate Crime Legislation in Northern Ireland</w:t>
      </w:r>
      <w:r w:rsidR="0008365A" w:rsidRPr="007117EF">
        <w:rPr>
          <w:rFonts w:ascii="Verdana" w:hAnsi="Verdana" w:cs="YIUEB V+ Gotham"/>
          <w:color w:val="77328A"/>
          <w:sz w:val="16"/>
          <w:szCs w:val="16"/>
        </w:rPr>
        <w:t>-</w:t>
      </w:r>
      <w:r w:rsidR="008D63D3" w:rsidRPr="007117EF">
        <w:rPr>
          <w:rFonts w:ascii="Verdana" w:hAnsi="Verdana" w:cs="YIUEB V+ Gotham"/>
          <w:color w:val="77328A"/>
          <w:sz w:val="16"/>
          <w:szCs w:val="16"/>
        </w:rPr>
        <w:t>Departmental Response’, July 2021, at 3.</w:t>
      </w:r>
    </w:p>
  </w:footnote>
  <w:footnote w:id="318">
    <w:p w14:paraId="5FE7522D" w14:textId="5576C7B4" w:rsidR="00E82F01" w:rsidRPr="007117EF" w:rsidRDefault="00E82F01" w:rsidP="008D63D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D63D3" w:rsidRPr="007117EF">
        <w:rPr>
          <w:rFonts w:ascii="Verdana" w:hAnsi="Verdana"/>
          <w:color w:val="77328A"/>
          <w:sz w:val="16"/>
          <w:szCs w:val="16"/>
        </w:rPr>
        <w:t>Ibid, at 13.</w:t>
      </w:r>
    </w:p>
  </w:footnote>
  <w:footnote w:id="319">
    <w:p w14:paraId="29E5CB1F" w14:textId="4E57EE2D" w:rsidR="00E82F01" w:rsidRPr="007117EF" w:rsidRDefault="00E82F01" w:rsidP="008D63D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66871" w:rsidRPr="007117EF">
        <w:rPr>
          <w:rFonts w:ascii="Verdana" w:hAnsi="Verdana"/>
          <w:color w:val="77328A"/>
          <w:sz w:val="16"/>
          <w:szCs w:val="16"/>
        </w:rPr>
        <w:t>Department of Justice, ‘</w:t>
      </w:r>
      <w:hyperlink r:id="rId16" w:history="1">
        <w:r w:rsidR="00866871" w:rsidRPr="007117EF">
          <w:rPr>
            <w:rStyle w:val="Hyperlink"/>
            <w:rFonts w:ascii="Verdana" w:hAnsi="Verdana"/>
            <w:color w:val="77328A"/>
            <w:sz w:val="16"/>
            <w:szCs w:val="16"/>
          </w:rPr>
          <w:t>Consultation on Hate Crime Legislation in Northern Ireland</w:t>
        </w:r>
      </w:hyperlink>
      <w:r w:rsidR="00866871" w:rsidRPr="007117EF">
        <w:rPr>
          <w:rFonts w:ascii="Verdana" w:hAnsi="Verdana"/>
          <w:color w:val="77328A"/>
          <w:sz w:val="16"/>
          <w:szCs w:val="16"/>
        </w:rPr>
        <w:t>’, (31 January 2022).</w:t>
      </w:r>
    </w:p>
  </w:footnote>
  <w:footnote w:id="320">
    <w:p w14:paraId="0FF31747" w14:textId="27B12E10" w:rsidR="006536D9" w:rsidRPr="007117EF" w:rsidRDefault="006536D9" w:rsidP="00AD6761">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A5D02" w:rsidRPr="007117EF">
        <w:rPr>
          <w:rFonts w:ascii="Verdana" w:hAnsi="Verdana" w:cs="YIUEB V+ Gotham"/>
          <w:color w:val="77328A"/>
          <w:sz w:val="16"/>
          <w:szCs w:val="16"/>
        </w:rPr>
        <w:t>NI Executive, ‘Programme for Government: draft Outcomes Framework’, 2021, at 26.</w:t>
      </w:r>
    </w:p>
  </w:footnote>
  <w:footnote w:id="321">
    <w:p w14:paraId="4C36E9C8" w14:textId="1BAD34F2" w:rsidR="000354DE" w:rsidRPr="007117EF" w:rsidRDefault="000354DE" w:rsidP="00AD6761">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C4BC6" w:rsidRPr="007117EF">
        <w:rPr>
          <w:rFonts w:ascii="Verdana" w:hAnsi="Verdana" w:cs="YIUEB V+ Gotham"/>
          <w:color w:val="77328A"/>
          <w:sz w:val="16"/>
          <w:szCs w:val="16"/>
        </w:rPr>
        <w:t>Police Service of NI, 'Incidents and Crimes with a Hate Motivation Recorded by the Police in Northern Ireland</w:t>
      </w:r>
      <w:r w:rsidR="009E00D3" w:rsidRPr="007117EF">
        <w:rPr>
          <w:rFonts w:ascii="Verdana" w:hAnsi="Verdana" w:cs="YIUEB V+ Gotham"/>
          <w:color w:val="77328A"/>
          <w:sz w:val="16"/>
          <w:szCs w:val="16"/>
        </w:rPr>
        <w:t>:</w:t>
      </w:r>
      <w:r w:rsidR="009E00D3" w:rsidRPr="007117EF">
        <w:rPr>
          <w:rFonts w:ascii="Verdana" w:hAnsi="Verdana"/>
          <w:color w:val="77328A"/>
          <w:sz w:val="16"/>
          <w:szCs w:val="16"/>
        </w:rPr>
        <w:t xml:space="preserve"> Update to 30 September 2021</w:t>
      </w:r>
      <w:r w:rsidR="009E00D3" w:rsidRPr="007117EF">
        <w:rPr>
          <w:rFonts w:ascii="Verdana" w:hAnsi="Verdana" w:cs="YIUEB V+ Gotham"/>
          <w:color w:val="77328A"/>
          <w:sz w:val="16"/>
          <w:szCs w:val="16"/>
        </w:rPr>
        <w:t xml:space="preserve"> </w:t>
      </w:r>
      <w:r w:rsidR="001C4BC6" w:rsidRPr="007117EF">
        <w:rPr>
          <w:rFonts w:ascii="Verdana" w:hAnsi="Verdana" w:cs="YIUEB V+ Gotham"/>
          <w:color w:val="77328A"/>
          <w:sz w:val="16"/>
          <w:szCs w:val="16"/>
        </w:rPr>
        <w:t>(PSNI, 2021</w:t>
      </w:r>
      <w:r w:rsidR="009E00D3" w:rsidRPr="007117EF">
        <w:rPr>
          <w:rFonts w:ascii="Verdana" w:hAnsi="Verdana" w:cs="YIUEB V+ Gotham"/>
          <w:color w:val="77328A"/>
          <w:sz w:val="16"/>
          <w:szCs w:val="16"/>
        </w:rPr>
        <w:t>).</w:t>
      </w:r>
    </w:p>
  </w:footnote>
  <w:footnote w:id="322">
    <w:p w14:paraId="39573A48" w14:textId="7DA313F9" w:rsidR="000354DE" w:rsidRPr="007117EF" w:rsidRDefault="000354DE" w:rsidP="00AD676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C4BC6" w:rsidRPr="007117EF">
        <w:rPr>
          <w:rFonts w:ascii="Verdana" w:hAnsi="Verdana"/>
          <w:color w:val="77328A"/>
          <w:sz w:val="16"/>
          <w:szCs w:val="16"/>
        </w:rPr>
        <w:t>Ibid.</w:t>
      </w:r>
    </w:p>
  </w:footnote>
  <w:footnote w:id="323">
    <w:p w14:paraId="020E2BAB" w14:textId="4A5D701E" w:rsidR="00D465D6" w:rsidRPr="007117EF" w:rsidRDefault="00D465D6" w:rsidP="00AD676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1C4BC6" w:rsidRPr="007117EF">
        <w:rPr>
          <w:rFonts w:ascii="Verdana" w:hAnsi="Verdana"/>
          <w:color w:val="77328A"/>
          <w:sz w:val="16"/>
          <w:szCs w:val="16"/>
        </w:rPr>
        <w:t>Ibid.</w:t>
      </w:r>
    </w:p>
  </w:footnote>
  <w:footnote w:id="324">
    <w:p w14:paraId="06227E6C" w14:textId="6114C683" w:rsidR="00164E3E" w:rsidRPr="007117EF" w:rsidRDefault="00164E3E" w:rsidP="000D544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00E05CAA" w:rsidRPr="007117EF">
        <w:rPr>
          <w:rFonts w:ascii="Verdana" w:hAnsi="Verdana"/>
          <w:color w:val="77328A"/>
          <w:sz w:val="16"/>
          <w:szCs w:val="16"/>
        </w:rPr>
        <w:t xml:space="preserve"> </w:t>
      </w:r>
      <w:r w:rsidR="00E05CAA" w:rsidRPr="007117EF">
        <w:rPr>
          <w:rFonts w:ascii="Verdana" w:hAnsi="Verdana" w:cs="YIUEB V+ Gotham"/>
          <w:color w:val="77328A"/>
          <w:sz w:val="16"/>
          <w:szCs w:val="16"/>
        </w:rPr>
        <w:t>CERD/C/GBR/CO/21-23, ‘UN Committee on the Elimination of Racial Discrimination Concluding Observations on the Twenty-first to Twenty-third Periodic Reports of UK’, 26 August 2016, at para 37.</w:t>
      </w:r>
    </w:p>
  </w:footnote>
  <w:footnote w:id="325">
    <w:p w14:paraId="4FD5C13E" w14:textId="77777777" w:rsidR="00585F39" w:rsidRPr="007117EF" w:rsidRDefault="00585F39" w:rsidP="00585F3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cs="YIUEB V+ Gotham"/>
          <w:color w:val="77328A"/>
          <w:sz w:val="16"/>
          <w:szCs w:val="16"/>
        </w:rPr>
        <w:t>NI Office, ‘New Decade New Approach’, (NIO, 2020), at 42.</w:t>
      </w:r>
    </w:p>
  </w:footnote>
  <w:footnote w:id="326">
    <w:p w14:paraId="2C2C2533" w14:textId="414C5496" w:rsidR="00585F39" w:rsidRPr="007117EF" w:rsidRDefault="00585F39" w:rsidP="00585F39">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40A2B" w:rsidRPr="007117EF">
        <w:rPr>
          <w:rFonts w:ascii="Verdana" w:hAnsi="Verdana" w:cs="YIUEB V+ Gotham"/>
          <w:color w:val="77328A"/>
          <w:sz w:val="16"/>
          <w:szCs w:val="16"/>
        </w:rPr>
        <w:t xml:space="preserve">Ibid, at </w:t>
      </w:r>
      <w:r w:rsidRPr="007117EF">
        <w:rPr>
          <w:rFonts w:ascii="Verdana" w:hAnsi="Verdana" w:cs="YIUEB V+ Gotham"/>
          <w:color w:val="77328A"/>
          <w:sz w:val="16"/>
          <w:szCs w:val="16"/>
        </w:rPr>
        <w:t>43.</w:t>
      </w:r>
    </w:p>
  </w:footnote>
  <w:footnote w:id="327">
    <w:p w14:paraId="3D7FAA11" w14:textId="05282D1C" w:rsidR="00175086" w:rsidRPr="007117EF" w:rsidRDefault="00175086" w:rsidP="000D544C">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87786" w:rsidRPr="007117EF">
        <w:rPr>
          <w:rFonts w:ascii="Verdana" w:hAnsi="Verdana" w:cs="YIUEB V+ Gotham"/>
          <w:color w:val="77328A"/>
          <w:sz w:val="16"/>
          <w:szCs w:val="16"/>
        </w:rPr>
        <w:t>NI Human Rights Commission, ‘Submission to Hate Crime Review Consultation’, (NIHRC, 2020), at para 6.44.</w:t>
      </w:r>
    </w:p>
  </w:footnote>
  <w:footnote w:id="328">
    <w:p w14:paraId="1D95B2A6" w14:textId="77777777" w:rsidR="00BD276E" w:rsidRPr="007117EF" w:rsidRDefault="00BD276E" w:rsidP="007620BD">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A124E6" w:rsidRPr="007117EF">
        <w:rPr>
          <w:rFonts w:ascii="Verdana" w:hAnsi="Verdana" w:cs="YIUEB V+ Gotham"/>
          <w:color w:val="77328A"/>
          <w:sz w:val="16"/>
          <w:szCs w:val="16"/>
        </w:rPr>
        <w:t>Independent Hate Crime Review Team, ‘Hate Crime Legislation in NI Independent Review’, (DoJ 2020), Recommendation 12.</w:t>
      </w:r>
    </w:p>
  </w:footnote>
  <w:footnote w:id="329">
    <w:p w14:paraId="12F34520" w14:textId="77777777" w:rsidR="00BD276E" w:rsidRPr="007117EF" w:rsidRDefault="00BD276E" w:rsidP="00B3614A">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0D544C" w:rsidRPr="007117EF">
        <w:rPr>
          <w:rFonts w:ascii="Verdana" w:hAnsi="Verdana" w:cs="YIUEB V+ Gotham"/>
          <w:color w:val="77328A"/>
          <w:sz w:val="16"/>
          <w:szCs w:val="16"/>
        </w:rPr>
        <w:t>Department of Justice, ‘Review of Hate Crime Legislation in Northern Ireland - Departmental Response’, (DoJ, 2021), at 6-7.</w:t>
      </w:r>
    </w:p>
  </w:footnote>
  <w:footnote w:id="330">
    <w:p w14:paraId="0F1EE479" w14:textId="3157CCDB" w:rsidR="009F313B" w:rsidRPr="007117EF" w:rsidRDefault="009F313B" w:rsidP="00B3614A">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620BD" w:rsidRPr="007117EF">
        <w:rPr>
          <w:rFonts w:ascii="Verdana" w:hAnsi="Verdana" w:cs="YIUEB V+ Gotham"/>
          <w:color w:val="77328A"/>
          <w:sz w:val="16"/>
          <w:szCs w:val="16"/>
        </w:rPr>
        <w:t>Independent Hate Crime Review Team, ‘Hate Crime Legislation in NI Independent Review’, (DoJ 2020), Recommendation 13.</w:t>
      </w:r>
    </w:p>
  </w:footnote>
  <w:footnote w:id="331">
    <w:p w14:paraId="71BF33B3" w14:textId="4F47F831" w:rsidR="00FD349B" w:rsidRPr="007117EF" w:rsidRDefault="00FD349B" w:rsidP="00B3614A">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620BD" w:rsidRPr="007117EF">
        <w:rPr>
          <w:rFonts w:ascii="Verdana" w:hAnsi="Verdana" w:cs="YIUEB V+ Gotham"/>
          <w:color w:val="77328A"/>
          <w:sz w:val="16"/>
          <w:szCs w:val="16"/>
        </w:rPr>
        <w:t>Department of Justice, ‘Review of Hate Crime Legislation in Northern Ireland - Departmental Response’, July 2021 at 6-7.</w:t>
      </w:r>
    </w:p>
  </w:footnote>
  <w:footnote w:id="332">
    <w:p w14:paraId="7C906031" w14:textId="1992F260" w:rsidR="009F313B" w:rsidRPr="007117EF" w:rsidRDefault="009F313B" w:rsidP="00B3614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7620BD" w:rsidRPr="007117EF">
        <w:rPr>
          <w:rFonts w:ascii="Verdana" w:hAnsi="Verdana"/>
          <w:color w:val="77328A"/>
          <w:sz w:val="16"/>
          <w:szCs w:val="16"/>
        </w:rPr>
        <w:t>Ibid, at 7.</w:t>
      </w:r>
    </w:p>
  </w:footnote>
  <w:footnote w:id="333">
    <w:p w14:paraId="495C8505" w14:textId="3BFD4F33" w:rsidR="00E752AB" w:rsidRPr="007117EF" w:rsidRDefault="00E752AB" w:rsidP="00B3614A">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6175A3" w:rsidRPr="007117EF">
        <w:rPr>
          <w:rFonts w:ascii="Verdana" w:hAnsi="Verdana"/>
          <w:color w:val="77328A"/>
          <w:sz w:val="16"/>
          <w:szCs w:val="16"/>
        </w:rPr>
        <w:t>Department of Justice, ‘</w:t>
      </w:r>
      <w:hyperlink r:id="rId17" w:history="1">
        <w:r w:rsidR="006175A3" w:rsidRPr="007117EF">
          <w:rPr>
            <w:rStyle w:val="Hyperlink"/>
            <w:rFonts w:ascii="Verdana" w:hAnsi="Verdana"/>
            <w:color w:val="77328A"/>
            <w:sz w:val="16"/>
            <w:szCs w:val="16"/>
          </w:rPr>
          <w:t>Consultation on Hate Crime Legislation in Northern Ireland</w:t>
        </w:r>
      </w:hyperlink>
      <w:r w:rsidR="006175A3" w:rsidRPr="007117EF">
        <w:rPr>
          <w:rFonts w:ascii="Verdana" w:hAnsi="Verdana"/>
          <w:color w:val="77328A"/>
          <w:sz w:val="16"/>
          <w:szCs w:val="16"/>
        </w:rPr>
        <w:t>’, (</w:t>
      </w:r>
      <w:proofErr w:type="spellStart"/>
      <w:r w:rsidR="00E5776D" w:rsidRPr="007117EF">
        <w:rPr>
          <w:rFonts w:ascii="Verdana" w:hAnsi="Verdana"/>
          <w:color w:val="77328A"/>
          <w:sz w:val="16"/>
          <w:szCs w:val="16"/>
        </w:rPr>
        <w:t>DoJ</w:t>
      </w:r>
      <w:proofErr w:type="spellEnd"/>
      <w:r w:rsidR="00E5776D" w:rsidRPr="007117EF">
        <w:rPr>
          <w:rFonts w:ascii="Verdana" w:hAnsi="Verdana"/>
          <w:color w:val="77328A"/>
          <w:sz w:val="16"/>
          <w:szCs w:val="16"/>
        </w:rPr>
        <w:t>,</w:t>
      </w:r>
      <w:r w:rsidR="006175A3" w:rsidRPr="007117EF">
        <w:rPr>
          <w:rFonts w:ascii="Verdana" w:hAnsi="Verdana"/>
          <w:color w:val="77328A"/>
          <w:sz w:val="16"/>
          <w:szCs w:val="16"/>
        </w:rPr>
        <w:t xml:space="preserve"> 2022).</w:t>
      </w:r>
    </w:p>
  </w:footnote>
  <w:footnote w:id="334">
    <w:p w14:paraId="0519B968" w14:textId="059B418F" w:rsidR="009F58EB" w:rsidRPr="007117EF" w:rsidRDefault="009F58EB">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See </w:t>
      </w:r>
      <w:r w:rsidR="003C054D" w:rsidRPr="007117EF">
        <w:rPr>
          <w:rFonts w:ascii="Verdana" w:hAnsi="Verdana"/>
          <w:color w:val="77328A"/>
          <w:sz w:val="16"/>
          <w:szCs w:val="16"/>
        </w:rPr>
        <w:t>paragraphs 199 - 201</w:t>
      </w:r>
      <w:r w:rsidR="00CF6460" w:rsidRPr="007117EF">
        <w:rPr>
          <w:rFonts w:ascii="Verdana" w:hAnsi="Verdana"/>
          <w:color w:val="77328A"/>
          <w:sz w:val="16"/>
          <w:szCs w:val="16"/>
        </w:rPr>
        <w:t xml:space="preserve"> of this submission for more details of the Report. </w:t>
      </w:r>
    </w:p>
  </w:footnote>
  <w:footnote w:id="335">
    <w:p w14:paraId="51A01ACD" w14:textId="37603FB2" w:rsidR="00463E72" w:rsidRPr="00476666" w:rsidRDefault="00463E7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65EB8" w:rsidRPr="007117EF">
        <w:rPr>
          <w:rFonts w:ascii="Verdana" w:hAnsi="Verdana"/>
          <w:color w:val="77328A"/>
          <w:sz w:val="16"/>
          <w:szCs w:val="16"/>
        </w:rPr>
        <w:t xml:space="preserve">  NI Executive Office, ‘Commission on Flags, Identity, Culture and Tradition - Final report’ 1 December 2021, at </w:t>
      </w:r>
      <w:r w:rsidR="00C90B7D" w:rsidRPr="007117EF">
        <w:rPr>
          <w:rFonts w:ascii="Verdana" w:hAnsi="Verdana"/>
          <w:color w:val="77328A"/>
          <w:sz w:val="16"/>
          <w:szCs w:val="16"/>
        </w:rPr>
        <w:t>27.</w:t>
      </w:r>
    </w:p>
  </w:footnote>
  <w:footnote w:id="336">
    <w:p w14:paraId="6A6F8EC8" w14:textId="7D74D083" w:rsidR="00F46FB7" w:rsidRPr="007117EF" w:rsidRDefault="00F46FB7" w:rsidP="00DE471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896108" w:rsidRPr="007117EF">
        <w:rPr>
          <w:rFonts w:ascii="Verdana" w:hAnsi="Verdana" w:cs="YIUEB V+ Gotham"/>
          <w:color w:val="77328A"/>
          <w:sz w:val="16"/>
          <w:szCs w:val="16"/>
        </w:rPr>
        <w:t>NI Office, ‘Consultation Paper: Addressing the Legacy of NI’s Past’, (NIO, 2018), at 46.</w:t>
      </w:r>
    </w:p>
  </w:footnote>
  <w:footnote w:id="337">
    <w:p w14:paraId="572DF8B1" w14:textId="6595DFBE" w:rsidR="00F46FB7" w:rsidRPr="007117EF" w:rsidRDefault="00F46FB7" w:rsidP="00DE471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E4717" w:rsidRPr="007117EF">
        <w:rPr>
          <w:rFonts w:ascii="Verdana" w:hAnsi="Verdana" w:cs="YIUEB V+ Gotham"/>
          <w:color w:val="77328A"/>
          <w:sz w:val="16"/>
          <w:szCs w:val="16"/>
        </w:rPr>
        <w:t>UK Parliament Hansard, ‘Written Statement: Addressing Northern Ireland Legacy Issues - Secretary of State for Northern Ireland, Brandon Lewis MP - HCWS168, 18 March 2020.</w:t>
      </w:r>
    </w:p>
  </w:footnote>
  <w:footnote w:id="338">
    <w:p w14:paraId="0956A25E" w14:textId="6AA95C94" w:rsidR="00F46FB7" w:rsidRPr="007117EF" w:rsidRDefault="00F46FB7" w:rsidP="00DE4717">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DE4717" w:rsidRPr="007117EF">
        <w:rPr>
          <w:rFonts w:ascii="Verdana" w:hAnsi="Verdana"/>
          <w:color w:val="77328A"/>
          <w:sz w:val="16"/>
          <w:szCs w:val="16"/>
        </w:rPr>
        <w:t>Ibid.</w:t>
      </w:r>
    </w:p>
  </w:footnote>
  <w:footnote w:id="339">
    <w:p w14:paraId="0C31CD9A" w14:textId="5ECF7A4B" w:rsidR="000A25A2" w:rsidRPr="007117EF" w:rsidRDefault="000A25A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‘Addressing the legacy of Northern Ireland’s past’, (NIO, 2021). </w:t>
      </w:r>
    </w:p>
  </w:footnote>
  <w:footnote w:id="340">
    <w:p w14:paraId="6FD68171" w14:textId="31515A4A" w:rsidR="007B1E2C" w:rsidRPr="007117EF" w:rsidRDefault="007B1E2C" w:rsidP="00DE4717">
      <w:pPr>
        <w:pStyle w:val="Pa21"/>
        <w:spacing w:line="240" w:lineRule="auto"/>
        <w:rPr>
          <w:rFonts w:ascii="Verdana" w:eastAsiaTheme="minorEastAsia" w:hAnsi="Verdana" w:cs="YIUEB V+ Gotham"/>
          <w:color w:val="77328A"/>
          <w:sz w:val="16"/>
          <w:szCs w:val="16"/>
        </w:rPr>
      </w:pPr>
      <w:r w:rsidRPr="007117EF">
        <w:rPr>
          <w:rStyle w:val="FootnoteReference"/>
          <w:rFonts w:ascii="Verdana" w:hAnsi="Verdana"/>
          <w:color w:val="77328A"/>
          <w:sz w:val="16"/>
          <w:szCs w:val="16"/>
        </w:rPr>
        <w:footnoteRef/>
      </w:r>
      <w:r w:rsidR="00F34C2C" w:rsidRPr="007117EF">
        <w:rPr>
          <w:rFonts w:ascii="Verdana" w:hAnsi="Verdana"/>
          <w:color w:val="77328A"/>
          <w:sz w:val="16"/>
          <w:szCs w:val="16"/>
        </w:rPr>
        <w:t xml:space="preserve"> </w:t>
      </w:r>
      <w:r w:rsidR="00377A80" w:rsidRPr="007117EF">
        <w:rPr>
          <w:rFonts w:ascii="Verdana" w:hAnsi="Verdana" w:cs="YIUEB V+ Gotham"/>
          <w:color w:val="77328A"/>
          <w:sz w:val="16"/>
          <w:szCs w:val="16"/>
        </w:rPr>
        <w:t xml:space="preserve"> Ibid, at para 34.</w:t>
      </w:r>
    </w:p>
  </w:footnote>
  <w:footnote w:id="341">
    <w:p w14:paraId="4C6366C9" w14:textId="1AE7ED49" w:rsidR="00377A80" w:rsidRPr="007117EF" w:rsidRDefault="00377A8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‘Press release: NI Human Rights Chief Commissioner Responds to Legacy Proposals’, 16 July 2021. </w:t>
      </w:r>
    </w:p>
  </w:footnote>
  <w:footnote w:id="342">
    <w:p w14:paraId="0AB468D2" w14:textId="0B1B408D" w:rsidR="000A25A2" w:rsidRPr="007117EF" w:rsidRDefault="000A25A2" w:rsidP="000A25A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Correspondence from Commission for Human Rights to Brandon Lewis MP, 13 September 2021.</w:t>
      </w:r>
    </w:p>
  </w:footnote>
  <w:footnote w:id="343">
    <w:p w14:paraId="07995D0A" w14:textId="611710CE" w:rsidR="000A25A2" w:rsidRPr="00476666" w:rsidRDefault="000A25A2">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OHCHR, ‘Press release: UN experts voice concern at proposed blanket impunity to address legacy of the Troubles in Northern Ireland’, 10 August 2021.</w:t>
      </w:r>
      <w:r w:rsidRPr="00476666">
        <w:rPr>
          <w:rFonts w:ascii="Verdana" w:hAnsi="Verdana"/>
          <w:color w:val="77328A"/>
          <w:sz w:val="16"/>
          <w:szCs w:val="16"/>
        </w:rPr>
        <w:t xml:space="preserve"> </w:t>
      </w:r>
    </w:p>
  </w:footnote>
  <w:footnote w:id="344">
    <w:p w14:paraId="11C4F9C2" w14:textId="5E309F7E"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Belfast (Good Friday) Agreement 1998, Chapter 6 ‘Rights, Safeguards and Equality of Opportunity’, </w:t>
      </w:r>
      <w:r w:rsidR="00C0529D" w:rsidRPr="007117EF">
        <w:rPr>
          <w:rFonts w:ascii="Verdana" w:hAnsi="Verdana"/>
          <w:color w:val="77328A"/>
          <w:sz w:val="16"/>
          <w:szCs w:val="16"/>
        </w:rPr>
        <w:t xml:space="preserve">at </w:t>
      </w:r>
      <w:r w:rsidRPr="007117EF">
        <w:rPr>
          <w:rFonts w:ascii="Verdana" w:hAnsi="Verdana"/>
          <w:color w:val="77328A"/>
          <w:sz w:val="16"/>
          <w:szCs w:val="16"/>
        </w:rPr>
        <w:t>para 3</w:t>
      </w:r>
      <w:r w:rsidR="00C0529D" w:rsidRPr="007117EF">
        <w:rPr>
          <w:rFonts w:ascii="Verdana" w:hAnsi="Verdana"/>
          <w:color w:val="77328A"/>
          <w:sz w:val="16"/>
          <w:szCs w:val="16"/>
        </w:rPr>
        <w:t>.</w:t>
      </w:r>
    </w:p>
  </w:footnote>
  <w:footnote w:id="345">
    <w:p w14:paraId="4CAE4E49" w14:textId="4F7C3B58"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St Andrews Agreement (2006), Annex B</w:t>
      </w:r>
      <w:r w:rsidR="00C0529D" w:rsidRPr="007117EF">
        <w:rPr>
          <w:rFonts w:ascii="Verdana" w:hAnsi="Verdana"/>
          <w:color w:val="77328A"/>
          <w:sz w:val="16"/>
          <w:szCs w:val="16"/>
        </w:rPr>
        <w:t>.</w:t>
      </w:r>
    </w:p>
  </w:footnote>
  <w:footnote w:id="346">
    <w:p w14:paraId="55FE12F2"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Northern Ireland (St Andrew’s Agreement) Act 2006, S.15</w:t>
      </w:r>
    </w:p>
  </w:footnote>
  <w:footnote w:id="347">
    <w:p w14:paraId="0F29B23F"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The Stormont House Agreement (2014) at para 68.</w:t>
      </w:r>
    </w:p>
  </w:footnote>
  <w:footnote w:id="348">
    <w:p w14:paraId="4DA7D6AE"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Fresh Start: Stormont Agreement and Implementation Plan (2015) p.38</w:t>
      </w:r>
    </w:p>
  </w:footnote>
  <w:footnote w:id="349">
    <w:p w14:paraId="3AE3A91A" w14:textId="43A5CA9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352879" w:rsidRPr="007117EF">
        <w:rPr>
          <w:rFonts w:ascii="Verdana" w:hAnsi="Verdana"/>
          <w:color w:val="77328A"/>
          <w:sz w:val="16"/>
          <w:szCs w:val="16"/>
        </w:rPr>
        <w:t>ACFC/OP/</w:t>
      </w:r>
      <w:proofErr w:type="gramStart"/>
      <w:r w:rsidR="00352879" w:rsidRPr="007117EF">
        <w:rPr>
          <w:rFonts w:ascii="Verdana" w:hAnsi="Verdana"/>
          <w:color w:val="77328A"/>
          <w:sz w:val="16"/>
          <w:szCs w:val="16"/>
        </w:rPr>
        <w:t>IV(</w:t>
      </w:r>
      <w:proofErr w:type="gramEnd"/>
      <w:r w:rsidR="00352879" w:rsidRPr="007117EF">
        <w:rPr>
          <w:rFonts w:ascii="Verdana" w:hAnsi="Verdana"/>
          <w:color w:val="77328A"/>
          <w:sz w:val="16"/>
          <w:szCs w:val="16"/>
        </w:rPr>
        <w:t xml:space="preserve">2016)005 ‘Advisory Committee on the Framework Convention for the Protection of National Minorities: Fourth Opinion on the United Kingdom adopted on 25 May 2016’ 27 February 2017 </w:t>
      </w:r>
      <w:r w:rsidR="00C0529D" w:rsidRPr="007117EF">
        <w:rPr>
          <w:rFonts w:ascii="Verdana" w:hAnsi="Verdana"/>
          <w:color w:val="77328A"/>
          <w:sz w:val="16"/>
          <w:szCs w:val="16"/>
        </w:rPr>
        <w:t>a</w:t>
      </w:r>
      <w:r w:rsidRPr="007117EF">
        <w:rPr>
          <w:rFonts w:ascii="Verdana" w:hAnsi="Verdana"/>
          <w:color w:val="77328A"/>
          <w:sz w:val="16"/>
          <w:szCs w:val="16"/>
        </w:rPr>
        <w:t>t para 105</w:t>
      </w:r>
      <w:r w:rsidR="00C0529D" w:rsidRPr="007117EF">
        <w:rPr>
          <w:rFonts w:ascii="Verdana" w:hAnsi="Verdana"/>
          <w:color w:val="77328A"/>
          <w:sz w:val="16"/>
          <w:szCs w:val="16"/>
        </w:rPr>
        <w:t>.</w:t>
      </w:r>
    </w:p>
  </w:footnote>
  <w:footnote w:id="350">
    <w:p w14:paraId="4ADB26C2" w14:textId="6902135A"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 Office, 2020), Annex E</w:t>
      </w:r>
      <w:r w:rsidR="002F46C5" w:rsidRPr="007117EF">
        <w:rPr>
          <w:rFonts w:ascii="Verdana" w:hAnsi="Verdana"/>
          <w:color w:val="77328A"/>
          <w:sz w:val="16"/>
          <w:szCs w:val="16"/>
        </w:rPr>
        <w:t>.</w:t>
      </w:r>
    </w:p>
  </w:footnote>
  <w:footnote w:id="351">
    <w:p w14:paraId="008FA8C3" w14:textId="77777777" w:rsidR="00AC6493" w:rsidRPr="00476666" w:rsidRDefault="00AC6493" w:rsidP="00AC649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 Office, 2020).</w:t>
      </w:r>
    </w:p>
  </w:footnote>
  <w:footnote w:id="352">
    <w:p w14:paraId="49321079"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‘Office of Identity and Cultural Expression Provisions of the Draft NI Act 1998 (Amendment No 1)’ (NIHRC, 2020); NI Human Rights Commission, ‘Irish</w:t>
      </w:r>
      <w:r w:rsidRPr="00476666">
        <w:rPr>
          <w:rFonts w:ascii="Verdana" w:hAnsi="Verdana"/>
          <w:color w:val="77328A"/>
          <w:sz w:val="16"/>
          <w:szCs w:val="16"/>
        </w:rPr>
        <w:t xml:space="preserve"> </w:t>
      </w:r>
      <w:r w:rsidRPr="007117EF">
        <w:rPr>
          <w:rFonts w:ascii="Verdana" w:hAnsi="Verdana"/>
          <w:color w:val="77328A"/>
          <w:sz w:val="16"/>
          <w:szCs w:val="16"/>
        </w:rPr>
        <w:t>Language Provisions of the NI Act</w:t>
      </w:r>
      <w:r w:rsidRPr="00476666">
        <w:rPr>
          <w:rFonts w:ascii="Verdana" w:hAnsi="Verdana"/>
          <w:color w:val="77328A"/>
          <w:sz w:val="16"/>
          <w:szCs w:val="16"/>
        </w:rPr>
        <w:t xml:space="preserve"> </w:t>
      </w:r>
      <w:r w:rsidRPr="007117EF">
        <w:rPr>
          <w:rFonts w:ascii="Verdana" w:hAnsi="Verdana"/>
          <w:color w:val="77328A"/>
          <w:sz w:val="16"/>
          <w:szCs w:val="16"/>
        </w:rPr>
        <w:t>1998 (Amendment No 2)’ (NIHRC, 2020); NI Human Rights Commission, ‘Ulster Scots/Ulster British Provisions of the NI Act 1998 (Amendment No 3)’ (NIHRC, 2020).</w:t>
      </w:r>
    </w:p>
  </w:footnote>
  <w:footnote w:id="353">
    <w:p w14:paraId="01B0168B" w14:textId="0A9B1A55" w:rsidR="002B1E06" w:rsidRPr="007117EF" w:rsidRDefault="002B1E06">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‘Submission to the Committee of Experts on the European Charter for Regional and Minority Languages on the Interim Report of the United Kingdom of Great Britain and Northern Ireland’ (NIHRC, 2021</w:t>
      </w:r>
      <w:r w:rsidR="00E5776D" w:rsidRPr="007117EF">
        <w:rPr>
          <w:rFonts w:ascii="Verdana" w:hAnsi="Verdana"/>
          <w:color w:val="77328A"/>
          <w:sz w:val="16"/>
          <w:szCs w:val="16"/>
        </w:rPr>
        <w:t>).</w:t>
      </w:r>
    </w:p>
  </w:footnote>
  <w:footnote w:id="354">
    <w:p w14:paraId="20A1F8DC"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Pr="007117EF">
        <w:rPr>
          <w:rFonts w:ascii="Verdana" w:hAnsi="Verdana"/>
          <w:i/>
          <w:color w:val="77328A"/>
          <w:sz w:val="16"/>
          <w:szCs w:val="16"/>
        </w:rPr>
        <w:t>In the Matter of an Application by Conradh Na Gaeilge</w:t>
      </w:r>
      <w:r w:rsidRPr="007117EF">
        <w:rPr>
          <w:rFonts w:ascii="Verdana" w:hAnsi="Verdana"/>
          <w:color w:val="77328A"/>
          <w:sz w:val="16"/>
          <w:szCs w:val="16"/>
        </w:rPr>
        <w:t xml:space="preserve"> (2017) NIQB 27, at para 17.</w:t>
      </w:r>
    </w:p>
  </w:footnote>
  <w:footnote w:id="355">
    <w:p w14:paraId="5D350BB5" w14:textId="2D907ACD" w:rsidR="00AC6493" w:rsidRPr="007117EF" w:rsidRDefault="00AC649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(NIO, 2020), at para 5.21.3.</w:t>
      </w:r>
    </w:p>
  </w:footnote>
  <w:footnote w:id="356">
    <w:p w14:paraId="284BBF3D" w14:textId="2309EC32" w:rsidR="00AC6493" w:rsidRPr="007117EF" w:rsidRDefault="00AC649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Claire Simpson, ‘Irish language group granted High Court leave to challenge Executive’ </w:t>
      </w:r>
      <w:r w:rsidRPr="007117EF">
        <w:rPr>
          <w:rFonts w:ascii="Verdana" w:hAnsi="Verdana"/>
          <w:i/>
          <w:iCs/>
          <w:color w:val="77328A"/>
          <w:sz w:val="16"/>
          <w:szCs w:val="16"/>
        </w:rPr>
        <w:t>The Irish News</w:t>
      </w:r>
      <w:r w:rsidRPr="007117EF">
        <w:rPr>
          <w:rFonts w:ascii="Verdana" w:hAnsi="Verdana"/>
          <w:color w:val="77328A"/>
          <w:sz w:val="16"/>
          <w:szCs w:val="16"/>
        </w:rPr>
        <w:t>, 11 June 2021</w:t>
      </w:r>
      <w:r w:rsidR="001B2D7A" w:rsidRPr="007117EF">
        <w:rPr>
          <w:rFonts w:ascii="Verdana" w:hAnsi="Verdana"/>
          <w:color w:val="77328A"/>
          <w:sz w:val="16"/>
          <w:szCs w:val="16"/>
        </w:rPr>
        <w:t>.</w:t>
      </w:r>
    </w:p>
  </w:footnote>
  <w:footnote w:id="357">
    <w:p w14:paraId="1F46D012" w14:textId="77777777" w:rsidR="00E5776D" w:rsidRPr="007117EF" w:rsidRDefault="00E5776D"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Robbie Meredith, ‘Irish language and Ulster-</w:t>
      </w:r>
      <w:proofErr w:type="gramStart"/>
      <w:r w:rsidRPr="007117EF">
        <w:rPr>
          <w:rFonts w:ascii="Verdana" w:hAnsi="Verdana"/>
          <w:color w:val="77328A"/>
          <w:sz w:val="16"/>
          <w:szCs w:val="16"/>
        </w:rPr>
        <w:t>Scots</w:t>
      </w:r>
      <w:proofErr w:type="gramEnd"/>
      <w:r w:rsidRPr="007117EF">
        <w:rPr>
          <w:rFonts w:ascii="Verdana" w:hAnsi="Verdana"/>
          <w:color w:val="77328A"/>
          <w:sz w:val="16"/>
          <w:szCs w:val="16"/>
        </w:rPr>
        <w:t xml:space="preserve"> strategies ‘complex and sensitive’ </w:t>
      </w:r>
      <w:r w:rsidRPr="007117EF">
        <w:rPr>
          <w:rFonts w:ascii="Verdana" w:hAnsi="Verdana"/>
          <w:i/>
          <w:color w:val="77328A"/>
          <w:sz w:val="16"/>
          <w:szCs w:val="16"/>
        </w:rPr>
        <w:t>BBC News NI</w:t>
      </w:r>
      <w:r w:rsidRPr="007117EF">
        <w:rPr>
          <w:rFonts w:ascii="Verdana" w:hAnsi="Verdana"/>
          <w:color w:val="77328A"/>
          <w:sz w:val="16"/>
          <w:szCs w:val="16"/>
        </w:rPr>
        <w:t>, 24 September 2021.</w:t>
      </w:r>
    </w:p>
  </w:footnote>
  <w:footnote w:id="358">
    <w:p w14:paraId="7EE59FE0"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(NIO, 2020), at para 27(b).</w:t>
      </w:r>
    </w:p>
  </w:footnote>
  <w:footnote w:id="359">
    <w:p w14:paraId="4A335ADF"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Draft Northern Ireland Act 1998 (Amendment No 2), at clause 78F.</w:t>
      </w:r>
    </w:p>
  </w:footnote>
  <w:footnote w:id="360">
    <w:p w14:paraId="2CD783D9" w14:textId="77777777" w:rsidR="00A93FF3" w:rsidRPr="00476666"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Draft Northern Ireland Act 1998 (Amendment No 2), at clauses 78G-78H.</w:t>
      </w:r>
    </w:p>
  </w:footnote>
  <w:footnote w:id="361">
    <w:p w14:paraId="62E9F093" w14:textId="50D3A414"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‘Irish Language Provisions of the Northern Ireland Act 1998 (Amendment No 2)’ (NIHRC, 2020</w:t>
      </w:r>
      <w:r w:rsidR="00E5776D" w:rsidRPr="007117EF">
        <w:rPr>
          <w:rFonts w:ascii="Verdana" w:hAnsi="Verdana"/>
          <w:color w:val="77328A"/>
          <w:sz w:val="16"/>
          <w:szCs w:val="16"/>
        </w:rPr>
        <w:t>).</w:t>
      </w:r>
    </w:p>
  </w:footnote>
  <w:footnote w:id="362">
    <w:p w14:paraId="16864C5C" w14:textId="35C5F376"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5C63CB" w:rsidRPr="007117EF">
        <w:rPr>
          <w:rFonts w:ascii="Verdana" w:hAnsi="Verdana"/>
          <w:color w:val="77328A"/>
          <w:sz w:val="16"/>
          <w:szCs w:val="16"/>
        </w:rPr>
        <w:t>,</w:t>
      </w:r>
      <w:r w:rsidRPr="007117EF">
        <w:rPr>
          <w:rFonts w:ascii="Verdana" w:hAnsi="Verdana"/>
          <w:color w:val="77328A"/>
          <w:sz w:val="16"/>
          <w:szCs w:val="16"/>
        </w:rPr>
        <w:t xml:space="preserve"> at 2.6</w:t>
      </w:r>
    </w:p>
  </w:footnote>
  <w:footnote w:id="363">
    <w:p w14:paraId="392C1A2C" w14:textId="00A41CF5"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MIN-</w:t>
      </w:r>
      <w:proofErr w:type="gramStart"/>
      <w:r w:rsidRPr="007117EF">
        <w:rPr>
          <w:rFonts w:ascii="Verdana" w:hAnsi="Verdana"/>
          <w:color w:val="77328A"/>
          <w:sz w:val="16"/>
          <w:szCs w:val="16"/>
        </w:rPr>
        <w:t>LANG(</w:t>
      </w:r>
      <w:proofErr w:type="gramEnd"/>
      <w:r w:rsidRPr="007117EF">
        <w:rPr>
          <w:rFonts w:ascii="Verdana" w:hAnsi="Verdana"/>
          <w:color w:val="77328A"/>
          <w:sz w:val="16"/>
          <w:szCs w:val="16"/>
        </w:rPr>
        <w:t>2021)3, 'Evaluation by the Committee of Experts of the Implementation of the Recommendations for Immediate Action contained in the Committee of Experts’ fifth evaluation report on the United Kingdom and Isle of Man', (ECRML, 2021</w:t>
      </w:r>
      <w:r w:rsidR="00E5776D" w:rsidRPr="007117EF">
        <w:rPr>
          <w:rFonts w:ascii="Verdana" w:hAnsi="Verdana"/>
          <w:color w:val="77328A"/>
          <w:sz w:val="16"/>
          <w:szCs w:val="16"/>
        </w:rPr>
        <w:t>).</w:t>
      </w:r>
    </w:p>
  </w:footnote>
  <w:footnote w:id="364">
    <w:p w14:paraId="6BF4DF07" w14:textId="272B9DEE"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Rory Carrol, ‘Northern Ireland: Paul Givan becomes first minister after Irish language deal’ </w:t>
      </w:r>
      <w:r w:rsidRPr="007117EF">
        <w:rPr>
          <w:rFonts w:ascii="Verdana" w:hAnsi="Verdana"/>
          <w:i/>
          <w:color w:val="77328A"/>
          <w:sz w:val="16"/>
          <w:szCs w:val="16"/>
        </w:rPr>
        <w:t>The Guardian</w:t>
      </w:r>
      <w:r w:rsidRPr="007117EF">
        <w:rPr>
          <w:rFonts w:ascii="Verdana" w:hAnsi="Verdana"/>
          <w:color w:val="77328A"/>
          <w:sz w:val="16"/>
          <w:szCs w:val="16"/>
        </w:rPr>
        <w:t>, 17 June 2021</w:t>
      </w:r>
      <w:r w:rsidR="005C63CB" w:rsidRPr="007117EF">
        <w:rPr>
          <w:rFonts w:ascii="Verdana" w:hAnsi="Verdana"/>
          <w:color w:val="77328A"/>
          <w:sz w:val="16"/>
          <w:szCs w:val="16"/>
        </w:rPr>
        <w:t>.</w:t>
      </w:r>
    </w:p>
  </w:footnote>
  <w:footnote w:id="365">
    <w:p w14:paraId="70C33192" w14:textId="77777777" w:rsidR="007C4C89" w:rsidRPr="007117EF" w:rsidRDefault="007C4C89" w:rsidP="007C4C8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UK Parliament Hansard, ‘Third Reading: Northern Ireland (Ministers, Elections, and Petitions of Concern) Bill – Brandon Lewis MP’, 26 October 2021. </w:t>
      </w:r>
    </w:p>
  </w:footnote>
  <w:footnote w:id="366">
    <w:p w14:paraId="22662DAB" w14:textId="172DD3DA" w:rsidR="00946D03" w:rsidRPr="007117EF" w:rsidRDefault="00946D0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27303F" w:rsidRPr="007117EF">
        <w:rPr>
          <w:rFonts w:ascii="Verdana" w:hAnsi="Verdana"/>
          <w:color w:val="77328A"/>
          <w:sz w:val="16"/>
          <w:szCs w:val="16"/>
        </w:rPr>
        <w:t xml:space="preserve">UK </w:t>
      </w:r>
      <w:r w:rsidR="00B2457F" w:rsidRPr="007117EF">
        <w:rPr>
          <w:rFonts w:ascii="Verdana" w:hAnsi="Verdana"/>
          <w:color w:val="77328A"/>
          <w:sz w:val="16"/>
          <w:szCs w:val="16"/>
        </w:rPr>
        <w:t>Parliament</w:t>
      </w:r>
      <w:r w:rsidR="0027303F" w:rsidRPr="007117EF">
        <w:rPr>
          <w:rFonts w:ascii="Verdana" w:hAnsi="Verdana"/>
          <w:color w:val="77328A"/>
          <w:sz w:val="16"/>
          <w:szCs w:val="16"/>
        </w:rPr>
        <w:t>, Northern Ireland Affairs Committee</w:t>
      </w:r>
      <w:r w:rsidR="002B3567" w:rsidRPr="007117EF">
        <w:rPr>
          <w:rFonts w:ascii="Verdana" w:hAnsi="Verdana"/>
          <w:color w:val="77328A"/>
          <w:sz w:val="16"/>
          <w:szCs w:val="16"/>
        </w:rPr>
        <w:t xml:space="preserve"> ‘Oral evidence: New Decade, New Approach: two years on’ (</w:t>
      </w:r>
      <w:r w:rsidR="00D26ADA" w:rsidRPr="007117EF">
        <w:rPr>
          <w:rFonts w:ascii="Verdana" w:hAnsi="Verdana"/>
          <w:color w:val="77328A"/>
          <w:sz w:val="16"/>
          <w:szCs w:val="16"/>
        </w:rPr>
        <w:t>UK Parliament, 2022).</w:t>
      </w:r>
    </w:p>
  </w:footnote>
  <w:footnote w:id="367">
    <w:p w14:paraId="47397A04" w14:textId="77777777" w:rsidR="000B2B86" w:rsidRPr="00CC7B65" w:rsidRDefault="000B2B86" w:rsidP="000B2B86">
      <w:pPr>
        <w:pStyle w:val="FootnoteText"/>
        <w:rPr>
          <w:rFonts w:ascii="Verdana" w:hAnsi="Verdana"/>
          <w:color w:val="77328A"/>
          <w:sz w:val="16"/>
          <w:szCs w:val="16"/>
        </w:rPr>
      </w:pPr>
      <w:r>
        <w:rPr>
          <w:rStyle w:val="FootnoteReference"/>
        </w:rPr>
        <w:footnoteRef/>
      </w:r>
      <w:r>
        <w:t xml:space="preserve"> </w:t>
      </w:r>
      <w:r w:rsidRPr="002617D5">
        <w:rPr>
          <w:rFonts w:ascii="Verdana" w:hAnsi="Verdana"/>
          <w:color w:val="77328A"/>
          <w:sz w:val="16"/>
          <w:szCs w:val="16"/>
        </w:rPr>
        <w:t xml:space="preserve">Email correspondence from the Northern Ireland Office to NI Human Rights Commission, </w:t>
      </w:r>
      <w:r>
        <w:rPr>
          <w:rFonts w:ascii="Verdana" w:hAnsi="Verdana"/>
          <w:color w:val="77328A"/>
          <w:sz w:val="16"/>
          <w:szCs w:val="16"/>
        </w:rPr>
        <w:t xml:space="preserve">24 </w:t>
      </w:r>
      <w:r w:rsidRPr="002617D5">
        <w:rPr>
          <w:rFonts w:ascii="Verdana" w:hAnsi="Verdana"/>
          <w:color w:val="77328A"/>
          <w:sz w:val="16"/>
          <w:szCs w:val="16"/>
        </w:rPr>
        <w:t>February 2022.</w:t>
      </w:r>
    </w:p>
  </w:footnote>
  <w:footnote w:id="368">
    <w:p w14:paraId="44FD0012" w14:textId="66D5EEC6" w:rsidR="000600A4" w:rsidRPr="007117EF" w:rsidRDefault="000600A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Mac Giolla </w:t>
      </w:r>
      <w:proofErr w:type="spellStart"/>
      <w:r w:rsidRPr="007117EF">
        <w:rPr>
          <w:rFonts w:ascii="Verdana" w:hAnsi="Verdana"/>
          <w:color w:val="77328A"/>
          <w:sz w:val="16"/>
          <w:szCs w:val="16"/>
        </w:rPr>
        <w:t>Cathain’s</w:t>
      </w:r>
      <w:proofErr w:type="spellEnd"/>
      <w:r w:rsidRPr="007117EF">
        <w:rPr>
          <w:rFonts w:ascii="Verdana" w:hAnsi="Verdana"/>
          <w:color w:val="77328A"/>
          <w:sz w:val="16"/>
          <w:szCs w:val="16"/>
        </w:rPr>
        <w:t xml:space="preserve"> Application [2010] NICA 24</w:t>
      </w:r>
      <w:r w:rsidR="000636BD" w:rsidRPr="007117EF">
        <w:rPr>
          <w:rFonts w:ascii="Verdana" w:hAnsi="Verdana"/>
          <w:color w:val="77328A"/>
          <w:sz w:val="16"/>
          <w:szCs w:val="16"/>
        </w:rPr>
        <w:t>.</w:t>
      </w:r>
    </w:p>
  </w:footnote>
  <w:footnote w:id="369">
    <w:p w14:paraId="7E46A7CC" w14:textId="67C36E09" w:rsidR="00B07F50" w:rsidRPr="007117EF" w:rsidRDefault="00B07F50" w:rsidP="00B07F5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ACFC/OP/</w:t>
      </w:r>
      <w:proofErr w:type="gramStart"/>
      <w:r w:rsidRPr="007117EF">
        <w:rPr>
          <w:rFonts w:ascii="Verdana" w:hAnsi="Verdana"/>
          <w:color w:val="77328A"/>
          <w:sz w:val="16"/>
          <w:szCs w:val="16"/>
        </w:rPr>
        <w:t>III(</w:t>
      </w:r>
      <w:proofErr w:type="gramEnd"/>
      <w:r w:rsidRPr="007117EF">
        <w:rPr>
          <w:rFonts w:ascii="Verdana" w:hAnsi="Verdana"/>
          <w:color w:val="77328A"/>
          <w:sz w:val="16"/>
          <w:szCs w:val="16"/>
        </w:rPr>
        <w:t>2011)006, ‘Advisory Committee on the Framework Convention for the Protection of National Minorities: Third Opinion on the United Kingdom’ 22 December 2011</w:t>
      </w:r>
      <w:r w:rsidR="005C63CB" w:rsidRPr="007117EF">
        <w:rPr>
          <w:rFonts w:ascii="Verdana" w:hAnsi="Verdana"/>
          <w:color w:val="77328A"/>
          <w:sz w:val="16"/>
          <w:szCs w:val="16"/>
        </w:rPr>
        <w:t>,</w:t>
      </w:r>
      <w:r w:rsidRPr="007117EF">
        <w:rPr>
          <w:rFonts w:ascii="Verdana" w:hAnsi="Verdana"/>
          <w:color w:val="77328A"/>
          <w:sz w:val="16"/>
          <w:szCs w:val="16"/>
        </w:rPr>
        <w:t xml:space="preserve"> at para 147.</w:t>
      </w:r>
    </w:p>
  </w:footnote>
  <w:footnote w:id="370">
    <w:p w14:paraId="77A03AFC" w14:textId="256070CD" w:rsidR="00B07F50" w:rsidRPr="007117EF" w:rsidRDefault="00B07F50" w:rsidP="00B07F50">
      <w:pPr>
        <w:pStyle w:val="EndnoteText"/>
        <w:rPr>
          <w:color w:val="77328A"/>
          <w:sz w:val="16"/>
          <w:szCs w:val="16"/>
        </w:rPr>
      </w:pPr>
      <w:r w:rsidRPr="007117EF">
        <w:rPr>
          <w:rStyle w:val="FootnoteReference"/>
          <w:color w:val="77328A"/>
          <w:sz w:val="16"/>
          <w:szCs w:val="16"/>
        </w:rPr>
        <w:footnoteRef/>
      </w:r>
      <w:r w:rsidRPr="007117EF">
        <w:rPr>
          <w:color w:val="77328A"/>
          <w:sz w:val="16"/>
          <w:szCs w:val="16"/>
        </w:rPr>
        <w:t xml:space="preserve"> COMEX, ‘Application of the Charter in the United Kingdom, 3rd Monitoring Cycle’ ECRML (2010) 4, para 121</w:t>
      </w:r>
      <w:r w:rsidR="005C63CB" w:rsidRPr="007117EF">
        <w:rPr>
          <w:color w:val="77328A"/>
          <w:sz w:val="16"/>
          <w:szCs w:val="16"/>
        </w:rPr>
        <w:t>.</w:t>
      </w:r>
    </w:p>
  </w:footnote>
  <w:footnote w:id="371">
    <w:p w14:paraId="5903DBBE" w14:textId="30053AB0" w:rsidR="00B07F50" w:rsidRPr="007117EF" w:rsidRDefault="00B07F50" w:rsidP="00B07F5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Correspondence from the Department of Finance to the Committee for Finance, November 2021</w:t>
      </w:r>
      <w:r w:rsidR="005C63CB" w:rsidRPr="007117EF">
        <w:rPr>
          <w:rFonts w:ascii="Verdana" w:hAnsi="Verdana"/>
          <w:color w:val="77328A"/>
          <w:sz w:val="16"/>
          <w:szCs w:val="16"/>
        </w:rPr>
        <w:t>.</w:t>
      </w:r>
    </w:p>
  </w:footnote>
  <w:footnote w:id="372">
    <w:p w14:paraId="0411EE28" w14:textId="77777777" w:rsidR="00B07F50" w:rsidRPr="00476666" w:rsidRDefault="00B07F50" w:rsidP="00B07F5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p>
  </w:footnote>
  <w:footnote w:id="373">
    <w:p w14:paraId="3EEA17BF" w14:textId="77777777" w:rsidR="00B07F50" w:rsidRPr="007117EF" w:rsidRDefault="00B07F50" w:rsidP="00B07F50">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(NIO, 2020) at 36.</w:t>
      </w:r>
    </w:p>
  </w:footnote>
  <w:footnote w:id="374">
    <w:p w14:paraId="7FD9797A" w14:textId="5056AE08"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Belfast (Good Friday) Agreement 1998, at Rights, Safeguards and Equality of Opportunity, at para 3</w:t>
      </w:r>
      <w:r w:rsidR="007D4E6A" w:rsidRPr="007117EF">
        <w:rPr>
          <w:rFonts w:ascii="Verdana" w:hAnsi="Verdana"/>
          <w:color w:val="77328A"/>
          <w:sz w:val="16"/>
          <w:szCs w:val="16"/>
        </w:rPr>
        <w:t>.</w:t>
      </w:r>
    </w:p>
  </w:footnote>
  <w:footnote w:id="375">
    <w:p w14:paraId="5516307C"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St Andrews Agreement 2006, at Annex B.</w:t>
      </w:r>
    </w:p>
  </w:footnote>
  <w:footnote w:id="376">
    <w:p w14:paraId="4F4EE5EE"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As amended by section 15, Northern Ireland (St Andrews (Agreement) Act 2006.</w:t>
      </w:r>
    </w:p>
  </w:footnote>
  <w:footnote w:id="377">
    <w:p w14:paraId="20D7AFFB"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(NIO, 2020), at para 27.</w:t>
      </w:r>
    </w:p>
  </w:footnote>
  <w:footnote w:id="378">
    <w:p w14:paraId="070C7C64"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(NIO, 2020), at Annex E, at para 5.23.</w:t>
      </w:r>
    </w:p>
  </w:footnote>
  <w:footnote w:id="379">
    <w:p w14:paraId="03CDDCFE" w14:textId="77777777" w:rsidR="002D62AC" w:rsidRPr="007117EF" w:rsidRDefault="002D62AC" w:rsidP="002D62A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MIN-</w:t>
      </w:r>
      <w:proofErr w:type="gramStart"/>
      <w:r w:rsidRPr="007117EF">
        <w:rPr>
          <w:rFonts w:ascii="Verdana" w:hAnsi="Verdana"/>
          <w:color w:val="77328A"/>
          <w:sz w:val="16"/>
          <w:szCs w:val="16"/>
        </w:rPr>
        <w:t>LANG(</w:t>
      </w:r>
      <w:proofErr w:type="gramEnd"/>
      <w:r w:rsidRPr="007117EF">
        <w:rPr>
          <w:rFonts w:ascii="Verdana" w:hAnsi="Verdana"/>
          <w:color w:val="77328A"/>
          <w:sz w:val="16"/>
          <w:szCs w:val="16"/>
        </w:rPr>
        <w:t>2021)3, 'Evaluation by the Committee of Experts of the Implementation of the Recommendations for Immediate Action contained in the Committee of Experts’ fifth evaluation report on the United Kingdom and Isle of Man', (ECRML, 2021), at para 59.</w:t>
      </w:r>
    </w:p>
  </w:footnote>
  <w:footnote w:id="380">
    <w:p w14:paraId="0FF76119"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Clauses 78O-78Q, Northern Ireland Act 1998 (Amendment No 3).</w:t>
      </w:r>
    </w:p>
  </w:footnote>
  <w:footnote w:id="381">
    <w:p w14:paraId="2054AFB6"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Clauses 78R, Northern Ireland Act 1998 (Amendment No 3).</w:t>
      </w:r>
    </w:p>
  </w:footnote>
  <w:footnote w:id="382">
    <w:p w14:paraId="6BE5925C"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NIHRC ‘Advice on the Ulster Scots/Ulster British Provisions of the Northern Ireland Act 1998 (Amendment No 3), May 2020, paragraph 2.14-6.</w:t>
      </w:r>
    </w:p>
  </w:footnote>
  <w:footnote w:id="383">
    <w:p w14:paraId="612CCAEE" w14:textId="05C3264A"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7D4E6A" w:rsidRPr="007117EF">
        <w:rPr>
          <w:rFonts w:ascii="Verdana" w:hAnsi="Verdana"/>
          <w:color w:val="77328A"/>
          <w:sz w:val="16"/>
          <w:szCs w:val="16"/>
        </w:rPr>
        <w:t>.</w:t>
      </w:r>
    </w:p>
  </w:footnote>
  <w:footnote w:id="384">
    <w:p w14:paraId="667191BF" w14:textId="33CC5E5A" w:rsidR="00A4368F" w:rsidRPr="007117EF" w:rsidRDefault="00A4368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Draft Northern Ireland Act 1998 (Amendment No 3), at clause 78Q(3)(a).</w:t>
      </w:r>
    </w:p>
  </w:footnote>
  <w:footnote w:id="385">
    <w:p w14:paraId="0801D5C4" w14:textId="518A1680" w:rsidR="00A4368F" w:rsidRPr="007117EF" w:rsidRDefault="00A4368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CCPR/C/21/Rev.1/Add.5, ‘UN Human Rights Committee General Comment No 23: The Rights of Minorities’, 8 April 1994, at para 9.</w:t>
      </w:r>
    </w:p>
  </w:footnote>
  <w:footnote w:id="386">
    <w:p w14:paraId="5EC76BAD" w14:textId="25474532" w:rsidR="00A4368F" w:rsidRPr="00476666" w:rsidRDefault="00A4368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NIHRC, ‘Ulster Scots/Ulster British Provisions of the Northern Ireland Act (Amendment No 3)’ (NIHRC, 2020), at para 4.7.</w:t>
      </w:r>
    </w:p>
  </w:footnote>
  <w:footnote w:id="387">
    <w:p w14:paraId="1555320A" w14:textId="197FB519" w:rsidR="00A4368F" w:rsidRPr="007117EF" w:rsidRDefault="00A4368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Draft Northern Ireland Act 1998 (Amendment No 3), at clause 78R.</w:t>
      </w:r>
    </w:p>
  </w:footnote>
  <w:footnote w:id="388">
    <w:p w14:paraId="1725A3D6" w14:textId="1EDDC8AE" w:rsidR="00A4368F" w:rsidRPr="00476666" w:rsidRDefault="00A4368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E/C.12/GC/21, ‘UN Committee on Economic, Social and Cultural Rights General Comment No 21: Right of Everyone to Take Part in Cultural Life’, 21 December 2009, at para 2.</w:t>
      </w:r>
    </w:p>
  </w:footnote>
  <w:footnote w:id="389">
    <w:p w14:paraId="46BEBA0D" w14:textId="77777777" w:rsidR="00A93FF3" w:rsidRPr="00476666" w:rsidRDefault="00A93FF3" w:rsidP="00E76ED1">
      <w:pPr>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Local Government (Miscellaneous Provisions) (Northern Ireland) Order 1995, Article 11 provides for street naming, street numbering and the provision of street signs. It also gives Councils the discretionary power to erect dual language street signs or secondary nameplates in a language other than English.</w:t>
      </w:r>
    </w:p>
  </w:footnote>
  <w:footnote w:id="390">
    <w:p w14:paraId="57C8480A" w14:textId="082B338B" w:rsidR="00E24858" w:rsidRPr="007117EF" w:rsidRDefault="00E24858" w:rsidP="00E2485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‘Belfast City Council gives green light to bilingual street signs’ </w:t>
      </w:r>
      <w:r w:rsidRPr="007117EF">
        <w:rPr>
          <w:rFonts w:ascii="Verdana" w:hAnsi="Verdana"/>
          <w:i/>
          <w:color w:val="77328A"/>
          <w:sz w:val="16"/>
          <w:szCs w:val="16"/>
        </w:rPr>
        <w:t>BBC News NI</w:t>
      </w:r>
      <w:r w:rsidRPr="007117EF">
        <w:rPr>
          <w:rFonts w:ascii="Verdana" w:hAnsi="Verdana"/>
          <w:color w:val="77328A"/>
          <w:sz w:val="16"/>
          <w:szCs w:val="16"/>
        </w:rPr>
        <w:t>, 8 January 2021</w:t>
      </w:r>
      <w:r w:rsidR="00C26A2E" w:rsidRPr="007117EF">
        <w:rPr>
          <w:rFonts w:ascii="Verdana" w:hAnsi="Verdana"/>
          <w:color w:val="77328A"/>
          <w:sz w:val="16"/>
          <w:szCs w:val="16"/>
        </w:rPr>
        <w:t>. See also: ‘</w:t>
      </w:r>
      <w:proofErr w:type="gramStart"/>
      <w:r w:rsidR="00C26A2E" w:rsidRPr="007117EF">
        <w:rPr>
          <w:rFonts w:ascii="Verdana" w:hAnsi="Verdana"/>
          <w:color w:val="77328A"/>
          <w:sz w:val="16"/>
          <w:szCs w:val="16"/>
        </w:rPr>
        <w:t>Bilingual street</w:t>
      </w:r>
      <w:proofErr w:type="gramEnd"/>
      <w:r w:rsidR="00C26A2E" w:rsidRPr="007117EF">
        <w:rPr>
          <w:rFonts w:ascii="Verdana" w:hAnsi="Verdana"/>
          <w:color w:val="77328A"/>
          <w:sz w:val="16"/>
          <w:szCs w:val="16"/>
        </w:rPr>
        <w:t xml:space="preserve"> signs threshold reduced to 15% of residents’ </w:t>
      </w:r>
      <w:r w:rsidR="00C26A2E" w:rsidRPr="007117EF">
        <w:rPr>
          <w:rFonts w:ascii="Verdana" w:hAnsi="Verdana"/>
          <w:i/>
          <w:color w:val="77328A"/>
          <w:sz w:val="16"/>
          <w:szCs w:val="16"/>
        </w:rPr>
        <w:t>Derry Journal</w:t>
      </w:r>
      <w:r w:rsidR="00C26A2E" w:rsidRPr="007117EF">
        <w:rPr>
          <w:rFonts w:ascii="Verdana" w:hAnsi="Verdana"/>
          <w:color w:val="77328A"/>
          <w:sz w:val="16"/>
          <w:szCs w:val="16"/>
        </w:rPr>
        <w:t>, 31 January 2021</w:t>
      </w:r>
      <w:r w:rsidR="00ED7274" w:rsidRPr="007117EF">
        <w:rPr>
          <w:rFonts w:ascii="Verdana" w:hAnsi="Verdana"/>
          <w:color w:val="77328A"/>
          <w:sz w:val="16"/>
          <w:szCs w:val="16"/>
        </w:rPr>
        <w:t>.</w:t>
      </w:r>
    </w:p>
  </w:footnote>
  <w:footnote w:id="391">
    <w:p w14:paraId="39807CD4" w14:textId="2322E7D7" w:rsidR="00E24858" w:rsidRPr="007117EF" w:rsidRDefault="00E24858" w:rsidP="00E2485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Belfast City Council, ‘Public consultation on dual language street signage policy’ at: </w:t>
      </w:r>
      <w:hyperlink r:id="rId18" w:history="1">
        <w:r w:rsidRPr="007117EF">
          <w:rPr>
            <w:rStyle w:val="Hyperlink"/>
            <w:rFonts w:ascii="Verdana" w:hAnsi="Verdana"/>
            <w:color w:val="77328A"/>
            <w:sz w:val="16"/>
            <w:szCs w:val="16"/>
          </w:rPr>
          <w:t>Dual Language Street Sign policy consultation (belfastcity.gov.uk)</w:t>
        </w:r>
      </w:hyperlink>
      <w:r w:rsidR="00ED7274" w:rsidRPr="007117EF">
        <w:rPr>
          <w:rStyle w:val="Hyperlink"/>
          <w:rFonts w:ascii="Verdana" w:hAnsi="Verdana"/>
          <w:color w:val="77328A"/>
          <w:sz w:val="16"/>
          <w:szCs w:val="16"/>
        </w:rPr>
        <w:t>.</w:t>
      </w:r>
    </w:p>
  </w:footnote>
  <w:footnote w:id="392">
    <w:p w14:paraId="114198A6" w14:textId="77777777" w:rsidR="00E24858" w:rsidRPr="00476666" w:rsidRDefault="00E24858" w:rsidP="00E2485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UN Special Rapporteur on minority issues, ‘Language Rights of Linguistic Minorities: A Practical Guide for Implementation’ (2017) at: </w:t>
      </w:r>
      <w:hyperlink r:id="rId19" w:history="1">
        <w:r w:rsidRPr="007117EF">
          <w:rPr>
            <w:rStyle w:val="Hyperlink"/>
            <w:rFonts w:ascii="Verdana" w:hAnsi="Verdana"/>
            <w:color w:val="77328A"/>
            <w:sz w:val="16"/>
            <w:szCs w:val="16"/>
          </w:rPr>
          <w:t>LanguageRightsLinguisticMinorities_EN.pdf (ohchr.org)</w:t>
        </w:r>
      </w:hyperlink>
      <w:r w:rsidRPr="00476666">
        <w:rPr>
          <w:rFonts w:ascii="Verdana" w:hAnsi="Verdana"/>
          <w:color w:val="77328A"/>
          <w:sz w:val="16"/>
          <w:szCs w:val="16"/>
        </w:rPr>
        <w:t xml:space="preserve"> </w:t>
      </w:r>
    </w:p>
  </w:footnote>
  <w:footnote w:id="393">
    <w:p w14:paraId="013F62E3" w14:textId="49F1EE60" w:rsidR="00C26A2E" w:rsidRPr="007117EF" w:rsidRDefault="00C26A2E">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Christopher Leebody, ‘Lisburn and Castlereagh council rejects bilingual street sign policy’ </w:t>
      </w:r>
      <w:r w:rsidRPr="007117EF">
        <w:rPr>
          <w:rFonts w:ascii="Verdana" w:hAnsi="Verdana"/>
          <w:i/>
          <w:color w:val="77328A"/>
          <w:sz w:val="16"/>
          <w:szCs w:val="16"/>
        </w:rPr>
        <w:t>Belfast Telegraph</w:t>
      </w:r>
      <w:r w:rsidRPr="007117EF">
        <w:rPr>
          <w:rFonts w:ascii="Verdana" w:hAnsi="Verdana"/>
          <w:color w:val="77328A"/>
          <w:sz w:val="16"/>
          <w:szCs w:val="16"/>
        </w:rPr>
        <w:t>, 24 February 2021</w:t>
      </w:r>
      <w:r w:rsidR="00ED7274" w:rsidRPr="007117EF">
        <w:rPr>
          <w:rFonts w:ascii="Verdana" w:hAnsi="Verdana"/>
          <w:color w:val="77328A"/>
          <w:sz w:val="16"/>
          <w:szCs w:val="16"/>
        </w:rPr>
        <w:t>.</w:t>
      </w:r>
    </w:p>
  </w:footnote>
  <w:footnote w:id="394">
    <w:p w14:paraId="661A4EC9" w14:textId="538B8BFC" w:rsidR="00C26A2E" w:rsidRPr="007117EF" w:rsidRDefault="00C26A2E">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Mid Ulster District Council, ‘Dual Language Street Name Plate Policy’</w:t>
      </w:r>
      <w:r w:rsidR="00ED7274" w:rsidRPr="007117EF">
        <w:rPr>
          <w:rFonts w:ascii="Verdana" w:hAnsi="Verdana"/>
          <w:color w:val="77328A"/>
          <w:sz w:val="16"/>
          <w:szCs w:val="16"/>
        </w:rPr>
        <w:t>.</w:t>
      </w:r>
    </w:p>
  </w:footnote>
  <w:footnote w:id="395">
    <w:p w14:paraId="54DE3E15" w14:textId="76A068BF" w:rsidR="00C26A2E" w:rsidRPr="007117EF" w:rsidRDefault="00C26A2E">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9A3380" w:rsidRPr="007117EF">
        <w:rPr>
          <w:rFonts w:ascii="Verdana" w:hAnsi="Verdana"/>
          <w:color w:val="77328A"/>
          <w:sz w:val="16"/>
          <w:szCs w:val="16"/>
        </w:rPr>
        <w:t>Armagh City, Banbridge and Craigavon Borough Council, ‘Street Naming and Numbering Policy’ (2015</w:t>
      </w:r>
      <w:r w:rsidR="00551FD8" w:rsidRPr="007117EF">
        <w:rPr>
          <w:rFonts w:ascii="Verdana" w:hAnsi="Verdana"/>
          <w:color w:val="77328A"/>
          <w:sz w:val="16"/>
          <w:szCs w:val="16"/>
        </w:rPr>
        <w:t>)</w:t>
      </w:r>
      <w:r w:rsidR="00ED7274" w:rsidRPr="007117EF">
        <w:rPr>
          <w:rFonts w:ascii="Verdana" w:hAnsi="Verdana"/>
          <w:color w:val="77328A"/>
          <w:sz w:val="16"/>
          <w:szCs w:val="16"/>
        </w:rPr>
        <w:t>.</w:t>
      </w:r>
    </w:p>
  </w:footnote>
  <w:footnote w:id="396">
    <w:p w14:paraId="7C5278B4" w14:textId="06A82978" w:rsidR="00C26A2E" w:rsidRPr="00476666" w:rsidRDefault="00C26A2E">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222E93" w:rsidRPr="007117EF">
        <w:rPr>
          <w:rFonts w:ascii="Verdana" w:hAnsi="Verdana"/>
          <w:color w:val="77328A"/>
          <w:sz w:val="16"/>
          <w:szCs w:val="16"/>
        </w:rPr>
        <w:t>Causeway Coast and Glens Borough Council, ‘Street Naming and Property Numbering Policy’ (2015</w:t>
      </w:r>
      <w:r w:rsidR="00551FD8" w:rsidRPr="007117EF">
        <w:rPr>
          <w:rFonts w:ascii="Verdana" w:hAnsi="Verdana"/>
          <w:color w:val="77328A"/>
          <w:sz w:val="16"/>
          <w:szCs w:val="16"/>
        </w:rPr>
        <w:t>)</w:t>
      </w:r>
      <w:r w:rsidR="00ED7274" w:rsidRPr="007117EF">
        <w:rPr>
          <w:rFonts w:ascii="Verdana" w:hAnsi="Verdana"/>
          <w:color w:val="77328A"/>
          <w:sz w:val="16"/>
          <w:szCs w:val="16"/>
        </w:rPr>
        <w:t>.</w:t>
      </w:r>
    </w:p>
  </w:footnote>
  <w:footnote w:id="397">
    <w:p w14:paraId="54ED5B70" w14:textId="4C1E1A25" w:rsidR="00222E93" w:rsidRPr="007117EF" w:rsidRDefault="00222E9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Antrim and Newtownabbey Borough Council, ‘Draft Dual Language Street Sign Policy’ (2021</w:t>
      </w:r>
      <w:r w:rsidR="00551FD8" w:rsidRPr="007117EF">
        <w:rPr>
          <w:rFonts w:ascii="Verdana" w:hAnsi="Verdana"/>
          <w:color w:val="77328A"/>
          <w:sz w:val="16"/>
          <w:szCs w:val="16"/>
        </w:rPr>
        <w:t>)</w:t>
      </w:r>
      <w:r w:rsidR="00ED7274" w:rsidRPr="007117EF">
        <w:rPr>
          <w:rFonts w:ascii="Verdana" w:hAnsi="Verdana"/>
          <w:color w:val="77328A"/>
          <w:sz w:val="16"/>
          <w:szCs w:val="16"/>
        </w:rPr>
        <w:t>.</w:t>
      </w:r>
    </w:p>
  </w:footnote>
  <w:footnote w:id="398">
    <w:p w14:paraId="0A44E3DD" w14:textId="34C780EE"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Office, New Decade New Approach, (NI Office, 2020</w:t>
      </w:r>
      <w:r w:rsidR="00551FD8" w:rsidRPr="007117EF">
        <w:rPr>
          <w:rFonts w:ascii="Verdana" w:hAnsi="Verdana"/>
          <w:color w:val="77328A"/>
          <w:sz w:val="16"/>
          <w:szCs w:val="16"/>
        </w:rPr>
        <w:t>)</w:t>
      </w:r>
      <w:r w:rsidR="00ED7274" w:rsidRPr="007117EF">
        <w:rPr>
          <w:rFonts w:ascii="Verdana" w:hAnsi="Verdana"/>
          <w:color w:val="77328A"/>
          <w:sz w:val="16"/>
          <w:szCs w:val="16"/>
        </w:rPr>
        <w:t>.</w:t>
      </w:r>
    </w:p>
  </w:footnote>
  <w:footnote w:id="399">
    <w:p w14:paraId="0FE64EC2" w14:textId="28779EFF"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of Education, ‘Independent Review of Education – Terms of Reference’ (DE, 2021)</w:t>
      </w:r>
      <w:r w:rsidR="007D4E6A" w:rsidRPr="007117EF">
        <w:rPr>
          <w:rFonts w:ascii="Verdana" w:hAnsi="Verdana"/>
          <w:color w:val="77328A"/>
          <w:sz w:val="16"/>
          <w:szCs w:val="16"/>
        </w:rPr>
        <w:t>.</w:t>
      </w:r>
    </w:p>
  </w:footnote>
  <w:footnote w:id="400">
    <w:p w14:paraId="1168282B"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of Education, ‘Independent Review of Education’ (DE, 2021) at </w:t>
      </w:r>
      <w:hyperlink r:id="rId20" w:history="1">
        <w:r w:rsidRPr="007117EF">
          <w:rPr>
            <w:rStyle w:val="Hyperlink"/>
            <w:rFonts w:ascii="Verdana" w:hAnsi="Verdana"/>
            <w:color w:val="77328A"/>
            <w:sz w:val="16"/>
            <w:szCs w:val="16"/>
          </w:rPr>
          <w:t>Independent Review of Education | Department of Education (education-ni.gov.uk)</w:t>
        </w:r>
      </w:hyperlink>
    </w:p>
  </w:footnote>
  <w:footnote w:id="401">
    <w:p w14:paraId="627705BC" w14:textId="075AC55F" w:rsidR="00DB15DF" w:rsidRPr="00E8378E" w:rsidRDefault="00DB15D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E8378E">
        <w:rPr>
          <w:rFonts w:ascii="Verdana" w:hAnsi="Verdana"/>
          <w:color w:val="77328A"/>
          <w:sz w:val="16"/>
          <w:szCs w:val="16"/>
        </w:rPr>
        <w:t xml:space="preserve"> </w:t>
      </w:r>
      <w:r w:rsidRPr="007117EF">
        <w:rPr>
          <w:rFonts w:ascii="Verdana" w:hAnsi="Verdana"/>
          <w:color w:val="77328A"/>
          <w:sz w:val="16"/>
          <w:szCs w:val="16"/>
        </w:rPr>
        <w:t>UN Committee on the Rights of the Child, Concluding Observations on the Fifth Periodic Report of the United Kingdom of Great Britain and NI, CRC/C/GBR/CO/5, UN CRC, 12 July 2016.</w:t>
      </w:r>
    </w:p>
  </w:footnote>
  <w:footnote w:id="402">
    <w:p w14:paraId="7CB24834" w14:textId="77777777" w:rsidR="00F34388" w:rsidRPr="007117EF" w:rsidRDefault="00F34388" w:rsidP="00F34388">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A/HRC/41/54/Add.2, 'Visit to the UK of Great Britain and Northern Ireland - Report of the Special Rapporteur on Contemporary Forms of Racism, Racial Discrimination, Xenophobia and Related Intolerance', 27 May 2019, at para 23.</w:t>
      </w:r>
    </w:p>
  </w:footnote>
  <w:footnote w:id="403">
    <w:p w14:paraId="05134609" w14:textId="140F321B" w:rsidR="00766CE6" w:rsidRPr="007117EF" w:rsidRDefault="00766CE6">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Directive 2000/43/EC, ‘EU Council Directive on Implementing the Principle of Equal Treatment between Persons Irrespective of Racial or Ethnic Origin’, 29 June 2000.</w:t>
      </w:r>
    </w:p>
  </w:footnote>
  <w:footnote w:id="404">
    <w:p w14:paraId="16BF786B" w14:textId="6C0CC46F"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Northern Ireland Statistics and Research Agency, 'Irish traveller &amp; Roma pupils in education: 2020-2021 Key Statistics', (DE, 2021)</w:t>
      </w:r>
      <w:r w:rsidR="00442DB1" w:rsidRPr="007117EF">
        <w:rPr>
          <w:rFonts w:ascii="Verdana" w:hAnsi="Verdana"/>
          <w:color w:val="77328A"/>
          <w:sz w:val="16"/>
          <w:szCs w:val="16"/>
        </w:rPr>
        <w:t>.</w:t>
      </w:r>
    </w:p>
  </w:footnote>
  <w:footnote w:id="405">
    <w:p w14:paraId="4A7B6E0C" w14:textId="28997815"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Northern Ireland Statistics and Research Agency, 'Irish traveller &amp; Roma pupils in education: 2020-2021 Key Statistics', (DE, 2021)</w:t>
      </w:r>
      <w:r w:rsidR="00442DB1" w:rsidRPr="007117EF">
        <w:rPr>
          <w:rFonts w:ascii="Verdana" w:hAnsi="Verdana"/>
          <w:color w:val="77328A"/>
          <w:sz w:val="16"/>
          <w:szCs w:val="16"/>
        </w:rPr>
        <w:t>.</w:t>
      </w:r>
    </w:p>
  </w:footnote>
  <w:footnote w:id="406">
    <w:p w14:paraId="7C399FA4" w14:textId="721CFDEB" w:rsidR="00A93FF3" w:rsidRPr="00E8378E"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of Education, </w:t>
      </w:r>
      <w:r w:rsidR="00ED7274" w:rsidRPr="007117EF">
        <w:rPr>
          <w:rFonts w:ascii="Verdana" w:hAnsi="Verdana"/>
          <w:color w:val="77328A"/>
          <w:sz w:val="16"/>
          <w:szCs w:val="16"/>
        </w:rPr>
        <w:t>‘</w:t>
      </w:r>
      <w:r w:rsidRPr="007117EF">
        <w:rPr>
          <w:rFonts w:ascii="Verdana" w:hAnsi="Verdana"/>
          <w:color w:val="77328A"/>
          <w:sz w:val="16"/>
          <w:szCs w:val="16"/>
        </w:rPr>
        <w:t>Newcomer pupils 2001/02 to 2019/</w:t>
      </w:r>
      <w:r w:rsidR="00551FD8" w:rsidRPr="007117EF">
        <w:rPr>
          <w:rFonts w:ascii="Verdana" w:hAnsi="Verdana"/>
          <w:color w:val="77328A"/>
          <w:sz w:val="16"/>
          <w:szCs w:val="16"/>
        </w:rPr>
        <w:t>20</w:t>
      </w:r>
      <w:r w:rsidR="00ED7274" w:rsidRPr="007117EF">
        <w:rPr>
          <w:rFonts w:ascii="Verdana" w:hAnsi="Verdana"/>
          <w:color w:val="77328A"/>
          <w:sz w:val="16"/>
          <w:szCs w:val="16"/>
        </w:rPr>
        <w:t>’</w:t>
      </w:r>
      <w:r w:rsidRPr="007117EF">
        <w:rPr>
          <w:rFonts w:ascii="Verdana" w:hAnsi="Verdana"/>
          <w:color w:val="77328A"/>
          <w:sz w:val="16"/>
          <w:szCs w:val="16"/>
        </w:rPr>
        <w:t>, 11 March 2020</w:t>
      </w:r>
      <w:r w:rsidR="00ED7274" w:rsidRPr="007117EF">
        <w:rPr>
          <w:rFonts w:ascii="Verdana" w:hAnsi="Verdana"/>
          <w:color w:val="77328A"/>
          <w:sz w:val="16"/>
          <w:szCs w:val="16"/>
        </w:rPr>
        <w:t>.</w:t>
      </w:r>
    </w:p>
  </w:footnote>
  <w:footnote w:id="407">
    <w:p w14:paraId="7F1489EC" w14:textId="12E2851E"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E1E7C" w:rsidRPr="007117EF">
        <w:rPr>
          <w:rFonts w:ascii="Verdana" w:hAnsi="Verdana" w:cs="Segoe UI"/>
          <w:color w:val="77328A"/>
          <w:sz w:val="16"/>
          <w:szCs w:val="16"/>
          <w:shd w:val="clear" w:color="auto" w:fill="FFFFFF"/>
        </w:rPr>
        <w:t xml:space="preserve">Correspondence from the Executive Office to the NI Human Rights Commission, 27 October 2021. See also: </w:t>
      </w:r>
      <w:r w:rsidRPr="007117EF">
        <w:rPr>
          <w:rFonts w:ascii="Verdana" w:hAnsi="Verdana"/>
          <w:color w:val="77328A"/>
          <w:sz w:val="16"/>
          <w:szCs w:val="16"/>
        </w:rPr>
        <w:t>Department for Communities, 'Syrian Vulnerable Persons Relocation Scheme Briefing Document' (DfC, 2020)</w:t>
      </w:r>
      <w:r w:rsidR="00442DB1" w:rsidRPr="007117EF">
        <w:rPr>
          <w:rFonts w:ascii="Verdana" w:hAnsi="Verdana"/>
          <w:color w:val="77328A"/>
          <w:sz w:val="16"/>
          <w:szCs w:val="16"/>
        </w:rPr>
        <w:t>.</w:t>
      </w:r>
    </w:p>
  </w:footnote>
  <w:footnote w:id="408">
    <w:p w14:paraId="51FC0C4F" w14:textId="77777777" w:rsidR="00A93FF3" w:rsidRPr="00E8378E"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Arlene Robertston, 'A New Life for Me: Integration Experiences of Syrian Refugee Children and their Families' (Barnardo's, 2020).</w:t>
      </w:r>
    </w:p>
  </w:footnote>
  <w:footnote w:id="409">
    <w:p w14:paraId="459BAA8A" w14:textId="3886FF8F" w:rsidR="00DB15DF" w:rsidRPr="007117EF" w:rsidRDefault="00DB15DF">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John McMullen, Jonathan Harris, Sharon Jones, Sheila McConnellogue, and Franka Winter, ‘School-based Support for Syrian Refugee Pupils in Northern Ireland’ (EA, 2021) at </w:t>
      </w:r>
      <w:r w:rsidR="00E5776D" w:rsidRPr="007117EF">
        <w:rPr>
          <w:rFonts w:ascii="Verdana" w:hAnsi="Verdana"/>
          <w:color w:val="77328A"/>
          <w:sz w:val="16"/>
          <w:szCs w:val="16"/>
        </w:rPr>
        <w:t>p</w:t>
      </w:r>
      <w:r w:rsidRPr="007117EF">
        <w:rPr>
          <w:rFonts w:ascii="Verdana" w:hAnsi="Verdana"/>
          <w:color w:val="77328A"/>
          <w:sz w:val="16"/>
          <w:szCs w:val="16"/>
        </w:rPr>
        <w:t xml:space="preserve"> 5.</w:t>
      </w:r>
    </w:p>
  </w:footnote>
  <w:footnote w:id="410">
    <w:p w14:paraId="4D7109FD" w14:textId="42446F6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of Education, ‘Public Consultation: Supporting Newcomer Pupils’ (DE, 2019</w:t>
      </w:r>
      <w:r w:rsidR="00551FD8" w:rsidRPr="007117EF">
        <w:rPr>
          <w:rFonts w:ascii="Verdana" w:hAnsi="Verdana"/>
          <w:color w:val="77328A"/>
          <w:sz w:val="16"/>
          <w:szCs w:val="16"/>
        </w:rPr>
        <w:t>)</w:t>
      </w:r>
      <w:r w:rsidR="00ED7274" w:rsidRPr="007117EF">
        <w:rPr>
          <w:rFonts w:ascii="Verdana" w:hAnsi="Verdana"/>
          <w:color w:val="77328A"/>
          <w:sz w:val="16"/>
          <w:szCs w:val="16"/>
        </w:rPr>
        <w:t>.</w:t>
      </w:r>
    </w:p>
  </w:footnote>
  <w:footnote w:id="411">
    <w:p w14:paraId="04992035" w14:textId="1D11E928"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‘Response to Department of Education consultation on Supporting Newcomer Children’ (NIHRC, 2019)</w:t>
      </w:r>
      <w:r w:rsidR="00442DB1" w:rsidRPr="007117EF">
        <w:rPr>
          <w:rFonts w:ascii="Verdana" w:hAnsi="Verdana"/>
          <w:color w:val="77328A"/>
          <w:sz w:val="16"/>
          <w:szCs w:val="16"/>
        </w:rPr>
        <w:t>.</w:t>
      </w:r>
    </w:p>
  </w:footnote>
  <w:footnote w:id="412">
    <w:p w14:paraId="017536F2"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Expert Panel on Educational Underachievement, ‘A Fair State: Final Report and Action Plan’ (DE, 2021) at v.</w:t>
      </w:r>
    </w:p>
  </w:footnote>
  <w:footnote w:id="413">
    <w:p w14:paraId="08C9A368" w14:textId="02D8D9D3"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Council of Europe, Committee of Ministers Recommendation on the Inclusion of the History of Roma and/or Travellers in School Curricula and Teaching Materials, 1 July 2020</w:t>
      </w:r>
      <w:r w:rsidR="00442DB1" w:rsidRPr="007117EF">
        <w:rPr>
          <w:rFonts w:ascii="Verdana" w:hAnsi="Verdana"/>
          <w:color w:val="77328A"/>
          <w:sz w:val="16"/>
          <w:szCs w:val="16"/>
        </w:rPr>
        <w:t>.</w:t>
      </w:r>
    </w:p>
  </w:footnote>
  <w:footnote w:id="414">
    <w:p w14:paraId="3A8E76D1" w14:textId="511D5B80"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Roundtable with civil society organisations, 23 September 2020</w:t>
      </w:r>
      <w:r w:rsidR="00442DB1" w:rsidRPr="007117EF">
        <w:rPr>
          <w:rFonts w:ascii="Verdana" w:hAnsi="Verdana"/>
          <w:color w:val="77328A"/>
          <w:sz w:val="16"/>
          <w:szCs w:val="16"/>
        </w:rPr>
        <w:t>.</w:t>
      </w:r>
    </w:p>
  </w:footnote>
  <w:footnote w:id="415">
    <w:p w14:paraId="5AB1A754" w14:textId="77777777" w:rsidR="00B54716" w:rsidRPr="00E8378E" w:rsidRDefault="00B54716" w:rsidP="00B54716">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CERD/C/GBR/CO/21-23, ‘UN CERD Committee Concluding Observations on the Twenty-first to Twenty-third Periodic Reports of UK’, 26 August 2016, at para 35(a) and 35(b).</w:t>
      </w:r>
    </w:p>
  </w:footnote>
  <w:footnote w:id="416">
    <w:p w14:paraId="2A270F96" w14:textId="206A933E" w:rsidR="00CB6944" w:rsidRPr="007117EF" w:rsidRDefault="00CB694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On 1 September 2021. </w:t>
      </w:r>
    </w:p>
  </w:footnote>
  <w:footnote w:id="417">
    <w:p w14:paraId="3AB71895" w14:textId="337BD879" w:rsidR="00A93FF3" w:rsidRPr="007117EF" w:rsidRDefault="00A93FF3" w:rsidP="00E76ED1">
      <w:pPr>
        <w:pStyle w:val="FootnoteText"/>
        <w:rPr>
          <w:rFonts w:ascii="Verdana" w:eastAsia="Times New Roman" w:hAnsi="Verdana" w:cs="Times New Roman"/>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UN Committee on the Rights of the Child, Concluding Observations on the Fifth Periodic Report of the United Kingdom of Great Britain and NI, CRC/C/GBR/CO/5, UN CRC, 12 July 2016</w:t>
      </w:r>
      <w:r w:rsidR="00442DB1" w:rsidRPr="007117EF">
        <w:rPr>
          <w:rFonts w:ascii="Verdana" w:hAnsi="Verdana"/>
          <w:color w:val="77328A"/>
          <w:sz w:val="16"/>
          <w:szCs w:val="16"/>
        </w:rPr>
        <w:t>.</w:t>
      </w:r>
    </w:p>
  </w:footnote>
  <w:footnote w:id="418">
    <w:p w14:paraId="1D36E1A0" w14:textId="28B56962"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of Education, 'Integrated Schools' (DE, 2021)</w:t>
      </w:r>
      <w:r w:rsidR="00442DB1" w:rsidRPr="007117EF">
        <w:rPr>
          <w:rFonts w:ascii="Verdana" w:hAnsi="Verdana"/>
          <w:color w:val="77328A"/>
          <w:sz w:val="16"/>
          <w:szCs w:val="16"/>
        </w:rPr>
        <w:t>.</w:t>
      </w:r>
    </w:p>
  </w:footnote>
  <w:footnote w:id="419">
    <w:p w14:paraId="5D7A7444" w14:textId="25A4145B"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Council for Integrated Education, Integrated Education </w:t>
      </w:r>
      <w:proofErr w:type="gramStart"/>
      <w:r w:rsidRPr="007117EF">
        <w:rPr>
          <w:rFonts w:ascii="Verdana" w:hAnsi="Verdana"/>
          <w:color w:val="77328A"/>
          <w:sz w:val="16"/>
          <w:szCs w:val="16"/>
        </w:rPr>
        <w:t>On</w:t>
      </w:r>
      <w:proofErr w:type="gramEnd"/>
      <w:r w:rsidRPr="007117EF">
        <w:rPr>
          <w:rFonts w:ascii="Verdana" w:hAnsi="Verdana"/>
          <w:color w:val="77328A"/>
          <w:sz w:val="16"/>
          <w:szCs w:val="16"/>
        </w:rPr>
        <w:t xml:space="preserve"> the Up: Impact Report 1 April 2019-31 March 2020, (NICIE, 2020)</w:t>
      </w:r>
      <w:r w:rsidR="00442DB1" w:rsidRPr="007117EF">
        <w:rPr>
          <w:rFonts w:ascii="Verdana" w:hAnsi="Verdana"/>
          <w:color w:val="77328A"/>
          <w:sz w:val="16"/>
          <w:szCs w:val="16"/>
        </w:rPr>
        <w:t>.</w:t>
      </w:r>
    </w:p>
  </w:footnote>
  <w:footnote w:id="420">
    <w:p w14:paraId="3DCB36EF" w14:textId="53A32912" w:rsidR="00A93FF3" w:rsidRPr="00E8378E"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NISRA and Department of Education, 'Integrated education in Primary and Post-primary schools: 2020-2021 Key Statistics', (DE, 2021)</w:t>
      </w:r>
      <w:r w:rsidR="00442DB1" w:rsidRPr="007117EF">
        <w:rPr>
          <w:rFonts w:ascii="Verdana" w:hAnsi="Verdana"/>
          <w:color w:val="77328A"/>
          <w:sz w:val="16"/>
          <w:szCs w:val="16"/>
        </w:rPr>
        <w:t>.</w:t>
      </w:r>
    </w:p>
  </w:footnote>
  <w:footnote w:id="421">
    <w:p w14:paraId="38074DAF" w14:textId="078C1CBF"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Assembly Hansard, 'Oral Question: Update on Applications for Transformation to Integrated Schools – Trevor Lunn MLA – AQO 915/17-22’, 17 February 2021</w:t>
      </w:r>
      <w:r w:rsidR="00442DB1" w:rsidRPr="007117EF">
        <w:rPr>
          <w:rFonts w:ascii="Verdana" w:hAnsi="Verdana"/>
          <w:color w:val="77328A"/>
          <w:sz w:val="16"/>
          <w:szCs w:val="16"/>
        </w:rPr>
        <w:t>.</w:t>
      </w:r>
    </w:p>
  </w:footnote>
  <w:footnote w:id="422">
    <w:p w14:paraId="0B3C0AC5" w14:textId="7578E8C5"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Assembly, 'Non-Executive Bill Proposals: Integrated Education Bill - Kellie Armstrong MLA - Bill 23/17-22' 1 June 2021</w:t>
      </w:r>
      <w:r w:rsidR="00EB6B69" w:rsidRPr="007117EF">
        <w:rPr>
          <w:rFonts w:ascii="Verdana" w:hAnsi="Verdana"/>
          <w:color w:val="77328A"/>
          <w:sz w:val="16"/>
          <w:szCs w:val="16"/>
        </w:rPr>
        <w:t xml:space="preserve">. </w:t>
      </w:r>
    </w:p>
  </w:footnote>
  <w:footnote w:id="423">
    <w:p w14:paraId="582D7481" w14:textId="522FD33F"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Human Rights Commission, ‘NIHRC Submission to the Committee for Education on the Integrated Education Bill’ October 2021</w:t>
      </w:r>
      <w:r w:rsidR="00EB6B69" w:rsidRPr="007117EF">
        <w:rPr>
          <w:rFonts w:ascii="Verdana" w:hAnsi="Verdana"/>
          <w:color w:val="77328A"/>
          <w:sz w:val="16"/>
          <w:szCs w:val="16"/>
        </w:rPr>
        <w:t>.</w:t>
      </w:r>
    </w:p>
  </w:footnote>
  <w:footnote w:id="424">
    <w:p w14:paraId="62DB6535" w14:textId="322E5ABE"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The Centre for Children’s Rights and the Commission for Victims and Survivors, ‘It Didn’t End in 1998: Examining the Impacts of Conflict Legacy Across Generations’ (QUB, 2021</w:t>
      </w:r>
      <w:r w:rsidR="00551FD8" w:rsidRPr="007117EF">
        <w:rPr>
          <w:rFonts w:ascii="Verdana" w:hAnsi="Verdana"/>
          <w:color w:val="77328A"/>
          <w:sz w:val="16"/>
          <w:szCs w:val="16"/>
        </w:rPr>
        <w:t>)</w:t>
      </w:r>
      <w:r w:rsidR="00EB6B69" w:rsidRPr="007117EF">
        <w:rPr>
          <w:rFonts w:ascii="Verdana" w:hAnsi="Verdana"/>
          <w:color w:val="77328A"/>
          <w:sz w:val="16"/>
          <w:szCs w:val="16"/>
        </w:rPr>
        <w:t>.</w:t>
      </w:r>
    </w:p>
  </w:footnote>
  <w:footnote w:id="425">
    <w:p w14:paraId="15C6951F" w14:textId="3061C251" w:rsidR="00A93FF3" w:rsidRPr="00E8378E" w:rsidRDefault="00A93FF3" w:rsidP="00E76ED1">
      <w:pPr>
        <w:pStyle w:val="FootnoteText"/>
        <w:rPr>
          <w:rFonts w:ascii="Verdana" w:eastAsia="Times New Roman" w:hAnsi="Verdana" w:cs="Times New Roman"/>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UN Committee on the Rights of the Child, Concluding Observations on the Fifth Periodic Report of the United Kingdom of Great Britain and NI, CRC/C/GBR/CO/5, UN CRC, 12 July 2016</w:t>
      </w:r>
      <w:r w:rsidR="00EB6B69" w:rsidRPr="007117EF">
        <w:rPr>
          <w:rFonts w:ascii="Verdana" w:hAnsi="Verdana"/>
          <w:color w:val="77328A"/>
          <w:sz w:val="16"/>
          <w:szCs w:val="16"/>
        </w:rPr>
        <w:t>.</w:t>
      </w:r>
    </w:p>
  </w:footnote>
  <w:footnote w:id="426">
    <w:p w14:paraId="7E538B31" w14:textId="209C4719"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UN Committee on the Rights of the Child, Concluding Observations on the Fifth Periodic Report of the United Kingdom of Great Britain and NI, CRC/C/GBR/CO/5, UN CRC, 12 July 2016</w:t>
      </w:r>
      <w:r w:rsidR="00EB6B69" w:rsidRPr="007117EF">
        <w:rPr>
          <w:rFonts w:ascii="Verdana" w:hAnsi="Verdana"/>
          <w:color w:val="77328A"/>
          <w:sz w:val="16"/>
          <w:szCs w:val="16"/>
        </w:rPr>
        <w:t>.</w:t>
      </w:r>
    </w:p>
  </w:footnote>
  <w:footnote w:id="427">
    <w:p w14:paraId="3BF28377" w14:textId="46C14138" w:rsidR="00EB6B69" w:rsidRPr="007117EF" w:rsidRDefault="00EB6B69">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Section 2, Shared Education Act (NI) 2016 defines shared education as “the education together of - (a) those of different religious belief, including reasonable numbers of both Protestant and Roman Catholic children or young persons; and (b) those who are experiencing socio-economic deprivation and those who are not, which is secured by the working together and co-operation of two or more relevant providers”. </w:t>
      </w:r>
    </w:p>
  </w:footnote>
  <w:footnote w:id="428">
    <w:p w14:paraId="09590BDF" w14:textId="22639AB5"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Department of Education, Shared Education 2nd Report to the Northern Ireland Assembly, (DoE, 2020)</w:t>
      </w:r>
      <w:r w:rsidR="00442DB1" w:rsidRPr="007117EF">
        <w:rPr>
          <w:rFonts w:ascii="Verdana" w:hAnsi="Verdana"/>
          <w:color w:val="77328A"/>
          <w:sz w:val="16"/>
          <w:szCs w:val="16"/>
        </w:rPr>
        <w:t>.</w:t>
      </w:r>
    </w:p>
  </w:footnote>
  <w:footnote w:id="429">
    <w:p w14:paraId="38292368" w14:textId="737DCBC9"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E5776D" w:rsidRPr="007117EF">
        <w:rPr>
          <w:rFonts w:ascii="Verdana" w:hAnsi="Verdana"/>
          <w:color w:val="77328A"/>
          <w:sz w:val="16"/>
          <w:szCs w:val="16"/>
        </w:rPr>
        <w:t xml:space="preserve"> Ibid.</w:t>
      </w:r>
    </w:p>
  </w:footnote>
  <w:footnote w:id="430">
    <w:p w14:paraId="1D402BDE" w14:textId="7C2B00BA"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00E5776D" w:rsidRPr="007117EF">
        <w:rPr>
          <w:rFonts w:ascii="Verdana" w:hAnsi="Verdana"/>
          <w:color w:val="77328A"/>
          <w:sz w:val="16"/>
          <w:szCs w:val="16"/>
        </w:rPr>
        <w:t xml:space="preserve"> Ibid.</w:t>
      </w:r>
    </w:p>
  </w:footnote>
  <w:footnote w:id="431">
    <w:p w14:paraId="41DFAA62" w14:textId="6126BF89"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Roundtable discussion with civil society organisations, 23 September 2020.</w:t>
      </w:r>
    </w:p>
  </w:footnote>
  <w:footnote w:id="432">
    <w:p w14:paraId="3C983710" w14:textId="58E8A770" w:rsidR="00A93FF3" w:rsidRPr="00E8378E"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NI Assembly Hansard, 'Written Question: EU Funding after Brexit - Pat Sheehan MLA - AQW13979/17-22' 15 February 2021</w:t>
      </w:r>
      <w:r w:rsidR="00442DB1" w:rsidRPr="007117EF">
        <w:rPr>
          <w:rFonts w:ascii="Verdana" w:hAnsi="Verdana"/>
          <w:color w:val="77328A"/>
          <w:sz w:val="16"/>
          <w:szCs w:val="16"/>
        </w:rPr>
        <w:t>.</w:t>
      </w:r>
    </w:p>
  </w:footnote>
  <w:footnote w:id="433">
    <w:p w14:paraId="228EB69A" w14:textId="71F6460B" w:rsidR="00CB6944" w:rsidRPr="007117EF" w:rsidRDefault="00CB6944">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Article 89, the Education (NI) Order 1998.</w:t>
      </w:r>
    </w:p>
  </w:footnote>
  <w:footnote w:id="434">
    <w:p w14:paraId="368522E6" w14:textId="11962F64"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E1E7C" w:rsidRPr="007117EF">
        <w:rPr>
          <w:rFonts w:ascii="Verdana" w:hAnsi="Verdana"/>
          <w:color w:val="77328A"/>
          <w:sz w:val="16"/>
          <w:szCs w:val="16"/>
        </w:rPr>
        <w:t>ACFC/OP/</w:t>
      </w:r>
      <w:proofErr w:type="gramStart"/>
      <w:r w:rsidR="00EE1E7C" w:rsidRPr="007117EF">
        <w:rPr>
          <w:rFonts w:ascii="Verdana" w:hAnsi="Verdana"/>
          <w:color w:val="77328A"/>
          <w:sz w:val="16"/>
          <w:szCs w:val="16"/>
        </w:rPr>
        <w:t>IV(</w:t>
      </w:r>
      <w:proofErr w:type="gramEnd"/>
      <w:r w:rsidR="00EE1E7C" w:rsidRPr="007117EF">
        <w:rPr>
          <w:rFonts w:ascii="Verdana" w:hAnsi="Verdana"/>
          <w:color w:val="77328A"/>
          <w:sz w:val="16"/>
          <w:szCs w:val="16"/>
        </w:rPr>
        <w:t>2016)005 ‘Advisory Committee on the Framework Convention for the Protection of National Minorities: Fourth Opinion on the United Kingdom adopted on 25 May 2016’ 27 February 2017 a</w:t>
      </w:r>
      <w:r w:rsidRPr="007117EF">
        <w:rPr>
          <w:rFonts w:ascii="Verdana" w:hAnsi="Verdana"/>
          <w:color w:val="77328A"/>
          <w:sz w:val="16"/>
          <w:szCs w:val="16"/>
        </w:rPr>
        <w:t>t para 128</w:t>
      </w:r>
      <w:r w:rsidR="00442DB1" w:rsidRPr="007117EF">
        <w:rPr>
          <w:rFonts w:ascii="Verdana" w:hAnsi="Verdana"/>
          <w:color w:val="77328A"/>
          <w:sz w:val="16"/>
          <w:szCs w:val="16"/>
        </w:rPr>
        <w:t>.</w:t>
      </w:r>
    </w:p>
  </w:footnote>
  <w:footnote w:id="435">
    <w:p w14:paraId="2C98B356" w14:textId="77777777" w:rsidR="00A93FF3" w:rsidRPr="00E8378E"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ECRML, ‘Fifth Report of the Committee of Experts in Respect of the United Kingdom’, (ECRML, 2018), at para 2.2.1.</w:t>
      </w:r>
    </w:p>
  </w:footnote>
  <w:footnote w:id="436">
    <w:p w14:paraId="7924C5A7" w14:textId="6148EB0F"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Ibid</w:t>
      </w:r>
      <w:r w:rsidR="00442DB1" w:rsidRPr="007117EF">
        <w:rPr>
          <w:rFonts w:ascii="Verdana" w:hAnsi="Verdana"/>
          <w:color w:val="77328A"/>
          <w:sz w:val="16"/>
          <w:szCs w:val="16"/>
        </w:rPr>
        <w:t>.</w:t>
      </w:r>
    </w:p>
  </w:footnote>
  <w:footnote w:id="437">
    <w:p w14:paraId="12BF8897" w14:textId="7777777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UK Government, ‘Information Document on the Implementation of the Recommendations for Immediate Action based on the 5th Monitoring Cycle’ (2021).</w:t>
      </w:r>
    </w:p>
  </w:footnote>
  <w:footnote w:id="438">
    <w:p w14:paraId="58E7B224" w14:textId="11EEA2AA" w:rsidR="00A93FF3" w:rsidRPr="00E8378E"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MIN-</w:t>
      </w:r>
      <w:proofErr w:type="gramStart"/>
      <w:r w:rsidRPr="007117EF">
        <w:rPr>
          <w:rFonts w:ascii="Verdana" w:hAnsi="Verdana"/>
          <w:color w:val="77328A"/>
          <w:sz w:val="16"/>
          <w:szCs w:val="16"/>
        </w:rPr>
        <w:t>LANG(</w:t>
      </w:r>
      <w:proofErr w:type="gramEnd"/>
      <w:r w:rsidRPr="007117EF">
        <w:rPr>
          <w:rFonts w:ascii="Verdana" w:hAnsi="Verdana"/>
          <w:color w:val="77328A"/>
          <w:sz w:val="16"/>
          <w:szCs w:val="16"/>
        </w:rPr>
        <w:t>2021)3, 'Evaluation by the Committee of Experts of the Implementation of the Recommendations for Immediate Action contained in the Committee of Experts’ fifth evaluation report on the United Kingdom and Isle of Man', (ECRML, 2021)</w:t>
      </w:r>
      <w:r w:rsidR="00442DB1" w:rsidRPr="007117EF">
        <w:rPr>
          <w:rFonts w:ascii="Verdana" w:hAnsi="Verdana"/>
          <w:color w:val="77328A"/>
          <w:sz w:val="16"/>
          <w:szCs w:val="16"/>
        </w:rPr>
        <w:t>.</w:t>
      </w:r>
    </w:p>
  </w:footnote>
  <w:footnote w:id="439">
    <w:p w14:paraId="5D534B33" w14:textId="50293CCE" w:rsidR="0076544C" w:rsidRPr="007117EF" w:rsidRDefault="0076544C" w:rsidP="0076544C">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ACFC/OP/</w:t>
      </w:r>
      <w:proofErr w:type="gramStart"/>
      <w:r w:rsidRPr="007117EF">
        <w:rPr>
          <w:rFonts w:ascii="Verdana" w:hAnsi="Verdana"/>
          <w:color w:val="77328A"/>
          <w:sz w:val="16"/>
          <w:szCs w:val="16"/>
        </w:rPr>
        <w:t>IV(</w:t>
      </w:r>
      <w:proofErr w:type="gramEnd"/>
      <w:r w:rsidRPr="007117EF">
        <w:rPr>
          <w:rFonts w:ascii="Verdana" w:hAnsi="Verdana"/>
          <w:color w:val="77328A"/>
          <w:sz w:val="16"/>
          <w:szCs w:val="16"/>
        </w:rPr>
        <w:t>2016)005 ‘Advisory Committee on the Framework Convention for the Protection of National Minorities: Fourth Opinion on the United Kingdom adopted on 25 May 2016’ 27 February 2017, at para 133.</w:t>
      </w:r>
    </w:p>
  </w:footnote>
  <w:footnote w:id="440">
    <w:p w14:paraId="4BA9EC24" w14:textId="060777FD"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NI</w:t>
      </w:r>
      <w:r w:rsidRPr="007117EF">
        <w:rPr>
          <w:rFonts w:ascii="Verdana" w:hAnsi="Verdana"/>
          <w:color w:val="77328A"/>
          <w:sz w:val="16"/>
          <w:szCs w:val="16"/>
        </w:rPr>
        <w:t xml:space="preserve"> Statistics and Research Agency, ‘Public Appointments: Annual Report for Northern Ireland 2018/19’ at </w:t>
      </w:r>
      <w:hyperlink r:id="rId21" w:history="1">
        <w:r w:rsidRPr="007117EF">
          <w:rPr>
            <w:rStyle w:val="Hyperlink"/>
            <w:rFonts w:ascii="Verdana" w:hAnsi="Verdana"/>
            <w:color w:val="77328A"/>
            <w:sz w:val="16"/>
            <w:szCs w:val="16"/>
          </w:rPr>
          <w:t>Public appointments reports | The Executive Office (executiveoffice-ni.gov.uk)</w:t>
        </w:r>
      </w:hyperlink>
    </w:p>
  </w:footnote>
  <w:footnote w:id="441">
    <w:p w14:paraId="50D4EB7B" w14:textId="79BB975A"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NI</w:t>
      </w:r>
      <w:r w:rsidRPr="007117EF">
        <w:rPr>
          <w:rFonts w:ascii="Verdana" w:hAnsi="Verdana"/>
          <w:color w:val="77328A"/>
          <w:sz w:val="16"/>
          <w:szCs w:val="16"/>
        </w:rPr>
        <w:t xml:space="preserve"> Statistics and Research Agency, ‘The Judiciary in Northern Ireland 2020: Equality Monitoring Report’ at </w:t>
      </w:r>
      <w:hyperlink r:id="rId22" w:history="1">
        <w:r w:rsidRPr="007117EF">
          <w:rPr>
            <w:rStyle w:val="Hyperlink"/>
            <w:rFonts w:ascii="Verdana" w:hAnsi="Verdana"/>
            <w:color w:val="77328A"/>
            <w:sz w:val="16"/>
            <w:szCs w:val="16"/>
          </w:rPr>
          <w:t>Diversity Information | Northern Ireland Judicial Appointments Commission (nijac.gov.uk)</w:t>
        </w:r>
      </w:hyperlink>
    </w:p>
  </w:footnote>
  <w:footnote w:id="442">
    <w:p w14:paraId="135AB5B0" w14:textId="4C86CF27"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NI</w:t>
      </w:r>
      <w:r w:rsidRPr="007117EF">
        <w:rPr>
          <w:rFonts w:ascii="Verdana" w:hAnsi="Verdana"/>
          <w:color w:val="77328A"/>
          <w:sz w:val="16"/>
          <w:szCs w:val="16"/>
        </w:rPr>
        <w:t xml:space="preserve"> Statistics and Research Agency, ‘Equality Statistics for the Northern Ireland Civil Service- 2021’ at </w:t>
      </w:r>
      <w:hyperlink r:id="rId23" w:history="1">
        <w:r w:rsidRPr="007117EF">
          <w:rPr>
            <w:rStyle w:val="Hyperlink"/>
            <w:rFonts w:ascii="Verdana" w:hAnsi="Verdana"/>
            <w:color w:val="77328A"/>
            <w:sz w:val="16"/>
            <w:szCs w:val="16"/>
          </w:rPr>
          <w:t>Equality Statistics for the Northern Ireland Civil Service - 2021 | Northern Ireland Statistics and Research Agency (nisra.gov.uk)</w:t>
        </w:r>
      </w:hyperlink>
    </w:p>
  </w:footnote>
  <w:footnote w:id="443">
    <w:p w14:paraId="19F8D8E9" w14:textId="178EAE76" w:rsidR="00A93FF3" w:rsidRPr="007117EF" w:rsidRDefault="00A93FF3" w:rsidP="00E76ED1">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E5776D" w:rsidRPr="007117EF">
        <w:rPr>
          <w:rFonts w:ascii="Verdana" w:hAnsi="Verdana"/>
          <w:color w:val="77328A"/>
          <w:sz w:val="16"/>
          <w:szCs w:val="16"/>
        </w:rPr>
        <w:t>NI</w:t>
      </w:r>
      <w:r w:rsidR="007A19DE" w:rsidRPr="007117EF">
        <w:rPr>
          <w:rFonts w:ascii="Verdana" w:hAnsi="Verdana"/>
          <w:color w:val="77328A"/>
          <w:sz w:val="16"/>
          <w:szCs w:val="16"/>
        </w:rPr>
        <w:t xml:space="preserve"> Statistics and Research Agency, ‘Equality Statistics for the Northern Ireland Civil Service – 2013’ at </w:t>
      </w:r>
      <w:hyperlink r:id="rId24" w:history="1">
        <w:r w:rsidR="007A19DE" w:rsidRPr="007117EF">
          <w:rPr>
            <w:rStyle w:val="Hyperlink"/>
            <w:rFonts w:ascii="Verdana" w:hAnsi="Verdana"/>
            <w:color w:val="77328A"/>
            <w:sz w:val="16"/>
            <w:szCs w:val="16"/>
          </w:rPr>
          <w:t>Equality Statistics for the Northern Ireland Civil Service - 2013 | Northern Ireland Statistics and Research Agency (nisra.gov.uk)</w:t>
        </w:r>
      </w:hyperlink>
    </w:p>
  </w:footnote>
  <w:footnote w:id="444">
    <w:p w14:paraId="254F9E16" w14:textId="65F31896" w:rsidR="009A4033" w:rsidRPr="007117EF" w:rsidRDefault="009A403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FC1FE5" w:rsidRPr="007117EF">
        <w:rPr>
          <w:rFonts w:ascii="Verdana" w:hAnsi="Verdana"/>
          <w:color w:val="77328A"/>
          <w:sz w:val="16"/>
          <w:szCs w:val="16"/>
        </w:rPr>
        <w:t>ACFC/OP/</w:t>
      </w:r>
      <w:proofErr w:type="gramStart"/>
      <w:r w:rsidR="00FC1FE5" w:rsidRPr="007117EF">
        <w:rPr>
          <w:rFonts w:ascii="Verdana" w:hAnsi="Verdana"/>
          <w:color w:val="77328A"/>
          <w:sz w:val="16"/>
          <w:szCs w:val="16"/>
        </w:rPr>
        <w:t>IV(</w:t>
      </w:r>
      <w:proofErr w:type="gramEnd"/>
      <w:r w:rsidR="00FC1FE5" w:rsidRPr="007117EF">
        <w:rPr>
          <w:rFonts w:ascii="Verdana" w:hAnsi="Verdana"/>
          <w:color w:val="77328A"/>
          <w:sz w:val="16"/>
          <w:szCs w:val="16"/>
        </w:rPr>
        <w:t>2016)005 ‘Advisory Committee on the Framework Convention for the Protection of National Minorities: Fourth Opinion on the United Kingdom adopted on 25 May 2016’ 27 February 2017, at para 1</w:t>
      </w:r>
      <w:r w:rsidR="00BB3557" w:rsidRPr="007117EF">
        <w:rPr>
          <w:rFonts w:ascii="Verdana" w:hAnsi="Verdana"/>
          <w:color w:val="77328A"/>
          <w:sz w:val="16"/>
          <w:szCs w:val="16"/>
        </w:rPr>
        <w:t>29</w:t>
      </w:r>
      <w:r w:rsidR="00FC1FE5" w:rsidRPr="007117EF">
        <w:rPr>
          <w:rFonts w:ascii="Verdana" w:hAnsi="Verdana"/>
          <w:color w:val="77328A"/>
          <w:sz w:val="16"/>
          <w:szCs w:val="16"/>
        </w:rPr>
        <w:t>.</w:t>
      </w:r>
    </w:p>
  </w:footnote>
  <w:footnote w:id="445">
    <w:p w14:paraId="0946014F" w14:textId="524A1A3E" w:rsidR="009A4033" w:rsidRPr="007117EF" w:rsidRDefault="009A4033">
      <w:pPr>
        <w:pStyle w:val="FootnoteText"/>
        <w:rPr>
          <w:rFonts w:ascii="Verdana" w:hAnsi="Verdana"/>
          <w:color w:val="77328A"/>
          <w:sz w:val="16"/>
          <w:szCs w:val="16"/>
        </w:rPr>
      </w:pPr>
      <w:r w:rsidRPr="007117EF">
        <w:rPr>
          <w:rStyle w:val="FootnoteReference"/>
          <w:rFonts w:ascii="Verdana" w:hAnsi="Verdana"/>
          <w:color w:val="77328A"/>
          <w:sz w:val="16"/>
          <w:szCs w:val="16"/>
        </w:rPr>
        <w:footnoteRef/>
      </w:r>
      <w:r w:rsidRPr="007117EF">
        <w:rPr>
          <w:rFonts w:ascii="Verdana" w:hAnsi="Verdana"/>
          <w:color w:val="77328A"/>
          <w:sz w:val="16"/>
          <w:szCs w:val="16"/>
        </w:rPr>
        <w:t xml:space="preserve"> </w:t>
      </w:r>
      <w:r w:rsidR="00531748" w:rsidRPr="007117EF">
        <w:rPr>
          <w:rFonts w:ascii="Verdana" w:hAnsi="Verdana"/>
          <w:color w:val="77328A"/>
          <w:sz w:val="16"/>
          <w:szCs w:val="16"/>
        </w:rPr>
        <w:t>Ibid at para 132.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72D0"/>
    <w:multiLevelType w:val="multilevel"/>
    <w:tmpl w:val="C62C1898"/>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3126F13"/>
    <w:multiLevelType w:val="multilevel"/>
    <w:tmpl w:val="BC0C90FE"/>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6724D52"/>
    <w:multiLevelType w:val="multilevel"/>
    <w:tmpl w:val="36C0D01C"/>
    <w:lvl w:ilvl="0">
      <w:start w:val="3"/>
      <w:numFmt w:val="decimal"/>
      <w:lvlText w:val="%1"/>
      <w:lvlJc w:val="left"/>
      <w:pPr>
        <w:ind w:left="390" w:hanging="390"/>
      </w:pPr>
      <w:rPr>
        <w:rFonts w:cstheme="minorBidi" w:hint="default"/>
        <w:b w:val="0"/>
        <w:color w:val="auto"/>
      </w:rPr>
    </w:lvl>
    <w:lvl w:ilvl="1">
      <w:start w:val="1"/>
      <w:numFmt w:val="decimal"/>
      <w:lvlText w:val="%1.%2"/>
      <w:lvlJc w:val="left"/>
      <w:pPr>
        <w:ind w:left="720" w:hanging="720"/>
      </w:pPr>
      <w:rPr>
        <w:rFonts w:cstheme="minorBidi" w:hint="default"/>
        <w:b w:val="0"/>
        <w:color w:val="auto"/>
      </w:rPr>
    </w:lvl>
    <w:lvl w:ilvl="2">
      <w:start w:val="1"/>
      <w:numFmt w:val="decimal"/>
      <w:lvlText w:val="%1.%2.%3"/>
      <w:lvlJc w:val="left"/>
      <w:pPr>
        <w:ind w:left="1080" w:hanging="1080"/>
      </w:pPr>
      <w:rPr>
        <w:rFonts w:cstheme="minorBidi" w:hint="default"/>
        <w:b w:val="0"/>
        <w:color w:val="auto"/>
      </w:rPr>
    </w:lvl>
    <w:lvl w:ilvl="3">
      <w:start w:val="1"/>
      <w:numFmt w:val="decimal"/>
      <w:lvlText w:val="%1.%2.%3.%4"/>
      <w:lvlJc w:val="left"/>
      <w:pPr>
        <w:ind w:left="1440" w:hanging="1440"/>
      </w:pPr>
      <w:rPr>
        <w:rFonts w:cstheme="minorBidi" w:hint="default"/>
        <w:b w:val="0"/>
        <w:color w:val="auto"/>
      </w:rPr>
    </w:lvl>
    <w:lvl w:ilvl="4">
      <w:start w:val="1"/>
      <w:numFmt w:val="decimal"/>
      <w:lvlText w:val="%1.%2.%3.%4.%5"/>
      <w:lvlJc w:val="left"/>
      <w:pPr>
        <w:ind w:left="1440" w:hanging="1440"/>
      </w:pPr>
      <w:rPr>
        <w:rFonts w:cstheme="minorBidi" w:hint="default"/>
        <w:b w:val="0"/>
        <w:color w:val="auto"/>
      </w:rPr>
    </w:lvl>
    <w:lvl w:ilvl="5">
      <w:start w:val="1"/>
      <w:numFmt w:val="decimal"/>
      <w:lvlText w:val="%1.%2.%3.%4.%5.%6"/>
      <w:lvlJc w:val="left"/>
      <w:pPr>
        <w:ind w:left="1800" w:hanging="1800"/>
      </w:pPr>
      <w:rPr>
        <w:rFonts w:cstheme="minorBidi" w:hint="default"/>
        <w:b w:val="0"/>
        <w:color w:val="auto"/>
      </w:rPr>
    </w:lvl>
    <w:lvl w:ilvl="6">
      <w:start w:val="1"/>
      <w:numFmt w:val="decimal"/>
      <w:lvlText w:val="%1.%2.%3.%4.%5.%6.%7"/>
      <w:lvlJc w:val="left"/>
      <w:pPr>
        <w:ind w:left="2160" w:hanging="2160"/>
      </w:pPr>
      <w:rPr>
        <w:rFonts w:cstheme="minorBidi" w:hint="default"/>
        <w:b w:val="0"/>
        <w:color w:val="auto"/>
      </w:rPr>
    </w:lvl>
    <w:lvl w:ilvl="7">
      <w:start w:val="1"/>
      <w:numFmt w:val="decimal"/>
      <w:lvlText w:val="%1.%2.%3.%4.%5.%6.%7.%8"/>
      <w:lvlJc w:val="left"/>
      <w:pPr>
        <w:ind w:left="2520" w:hanging="2520"/>
      </w:pPr>
      <w:rPr>
        <w:rFonts w:cstheme="minorBidi" w:hint="default"/>
        <w:b w:val="0"/>
        <w:color w:val="auto"/>
      </w:rPr>
    </w:lvl>
    <w:lvl w:ilvl="8">
      <w:start w:val="1"/>
      <w:numFmt w:val="decimal"/>
      <w:lvlText w:val="%1.%2.%3.%4.%5.%6.%7.%8.%9"/>
      <w:lvlJc w:val="left"/>
      <w:pPr>
        <w:ind w:left="2880" w:hanging="2880"/>
      </w:pPr>
      <w:rPr>
        <w:rFonts w:cstheme="minorBidi" w:hint="default"/>
        <w:b w:val="0"/>
        <w:color w:val="auto"/>
      </w:rPr>
    </w:lvl>
  </w:abstractNum>
  <w:abstractNum w:abstractNumId="3" w15:restartNumberingAfterBreak="0">
    <w:nsid w:val="17B93D2A"/>
    <w:multiLevelType w:val="hybridMultilevel"/>
    <w:tmpl w:val="6FC8B136"/>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4" w15:restartNumberingAfterBreak="0">
    <w:nsid w:val="1EA43CFA"/>
    <w:multiLevelType w:val="multilevel"/>
    <w:tmpl w:val="54D833EC"/>
    <w:lvl w:ilvl="0">
      <w:start w:val="4"/>
      <w:numFmt w:val="decimal"/>
      <w:lvlText w:val="%1."/>
      <w:lvlJc w:val="left"/>
      <w:pPr>
        <w:ind w:left="480" w:hanging="480"/>
      </w:pPr>
      <w:rPr>
        <w:rFonts w:cs="Times New Roman" w:hint="default"/>
        <w:color w:val="000000"/>
      </w:rPr>
    </w:lvl>
    <w:lvl w:ilvl="1">
      <w:start w:val="1"/>
      <w:numFmt w:val="decimal"/>
      <w:lvlText w:val="%1.%2."/>
      <w:lvlJc w:val="left"/>
      <w:pPr>
        <w:ind w:left="720" w:hanging="720"/>
      </w:pPr>
      <w:rPr>
        <w:rFonts w:cs="Times New Roman" w:hint="default"/>
        <w:b w:val="0"/>
        <w:bCs w:val="0"/>
        <w:color w:val="000000"/>
      </w:rPr>
    </w:lvl>
    <w:lvl w:ilvl="2">
      <w:start w:val="1"/>
      <w:numFmt w:val="decimal"/>
      <w:lvlText w:val="%1.%2.%3."/>
      <w:lvlJc w:val="left"/>
      <w:pPr>
        <w:ind w:left="1080" w:hanging="1080"/>
      </w:pPr>
      <w:rPr>
        <w:rFonts w:cs="Times New Roman" w:hint="default"/>
        <w:color w:val="000000"/>
      </w:rPr>
    </w:lvl>
    <w:lvl w:ilvl="3">
      <w:start w:val="1"/>
      <w:numFmt w:val="decimal"/>
      <w:lvlText w:val="%1.%2.%3.%4."/>
      <w:lvlJc w:val="left"/>
      <w:pPr>
        <w:ind w:left="1440" w:hanging="1440"/>
      </w:pPr>
      <w:rPr>
        <w:rFonts w:cs="Times New Roman" w:hint="default"/>
        <w:color w:val="000000"/>
      </w:rPr>
    </w:lvl>
    <w:lvl w:ilvl="4">
      <w:start w:val="1"/>
      <w:numFmt w:val="decimal"/>
      <w:lvlText w:val="%1.%2.%3.%4.%5."/>
      <w:lvlJc w:val="left"/>
      <w:pPr>
        <w:ind w:left="1440" w:hanging="1440"/>
      </w:pPr>
      <w:rPr>
        <w:rFonts w:cs="Times New Roman" w:hint="default"/>
        <w:color w:val="000000"/>
      </w:rPr>
    </w:lvl>
    <w:lvl w:ilvl="5">
      <w:start w:val="1"/>
      <w:numFmt w:val="decimal"/>
      <w:lvlText w:val="%1.%2.%3.%4.%5.%6."/>
      <w:lvlJc w:val="left"/>
      <w:pPr>
        <w:ind w:left="1800" w:hanging="1800"/>
      </w:pPr>
      <w:rPr>
        <w:rFonts w:cs="Times New Roman" w:hint="default"/>
        <w:color w:val="000000"/>
      </w:rPr>
    </w:lvl>
    <w:lvl w:ilvl="6">
      <w:start w:val="1"/>
      <w:numFmt w:val="decimal"/>
      <w:lvlText w:val="%1.%2.%3.%4.%5.%6.%7."/>
      <w:lvlJc w:val="left"/>
      <w:pPr>
        <w:ind w:left="2160" w:hanging="2160"/>
      </w:pPr>
      <w:rPr>
        <w:rFonts w:cs="Times New Roman" w:hint="default"/>
        <w:color w:val="000000"/>
      </w:rPr>
    </w:lvl>
    <w:lvl w:ilvl="7">
      <w:start w:val="1"/>
      <w:numFmt w:val="decimal"/>
      <w:lvlText w:val="%1.%2.%3.%4.%5.%6.%7.%8."/>
      <w:lvlJc w:val="left"/>
      <w:pPr>
        <w:ind w:left="2520" w:hanging="2520"/>
      </w:pPr>
      <w:rPr>
        <w:rFonts w:cs="Times New Roman" w:hint="default"/>
        <w:color w:val="000000"/>
      </w:rPr>
    </w:lvl>
    <w:lvl w:ilvl="8">
      <w:start w:val="1"/>
      <w:numFmt w:val="decimal"/>
      <w:lvlText w:val="%1.%2.%3.%4.%5.%6.%7.%8.%9."/>
      <w:lvlJc w:val="left"/>
      <w:pPr>
        <w:ind w:left="2880" w:hanging="2880"/>
      </w:pPr>
      <w:rPr>
        <w:rFonts w:cs="Times New Roman" w:hint="default"/>
        <w:color w:val="000000"/>
      </w:rPr>
    </w:lvl>
  </w:abstractNum>
  <w:abstractNum w:abstractNumId="5" w15:restartNumberingAfterBreak="0">
    <w:nsid w:val="20D0141A"/>
    <w:multiLevelType w:val="multilevel"/>
    <w:tmpl w:val="2F40246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2BFA566A"/>
    <w:multiLevelType w:val="hybridMultilevel"/>
    <w:tmpl w:val="B5CE124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0294526"/>
    <w:multiLevelType w:val="multilevel"/>
    <w:tmpl w:val="011A802A"/>
    <w:lvl w:ilvl="0">
      <w:start w:val="1"/>
      <w:numFmt w:val="decimal"/>
      <w:lvlText w:val="%1.0."/>
      <w:lvlJc w:val="left"/>
      <w:pPr>
        <w:ind w:left="720" w:hanging="720"/>
      </w:pPr>
      <w:rPr>
        <w:rFonts w:hint="default"/>
      </w:rPr>
    </w:lvl>
    <w:lvl w:ilvl="1">
      <w:start w:val="1"/>
      <w:numFmt w:val="decimal"/>
      <w:lvlText w:val="%1.%2."/>
      <w:lvlJc w:val="left"/>
      <w:pPr>
        <w:ind w:left="180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8" w15:restartNumberingAfterBreak="0">
    <w:nsid w:val="311418C1"/>
    <w:multiLevelType w:val="hybridMultilevel"/>
    <w:tmpl w:val="CB0C1CC6"/>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9" w15:restartNumberingAfterBreak="0">
    <w:nsid w:val="38346FE2"/>
    <w:multiLevelType w:val="multilevel"/>
    <w:tmpl w:val="1E48294C"/>
    <w:lvl w:ilvl="0">
      <w:start w:val="1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CAF5227"/>
    <w:multiLevelType w:val="multilevel"/>
    <w:tmpl w:val="BC0C90FE"/>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E947214"/>
    <w:multiLevelType w:val="multilevel"/>
    <w:tmpl w:val="022A5B1E"/>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1A521DB"/>
    <w:multiLevelType w:val="multilevel"/>
    <w:tmpl w:val="FC6EAC8A"/>
    <w:lvl w:ilvl="0">
      <w:start w:val="2"/>
      <w:numFmt w:val="decimal"/>
      <w:lvlText w:val="%1.0."/>
      <w:lvlJc w:val="left"/>
      <w:pPr>
        <w:ind w:left="720" w:hanging="720"/>
      </w:pPr>
      <w:rPr>
        <w:rFonts w:hint="default"/>
      </w:rPr>
    </w:lvl>
    <w:lvl w:ilvl="1">
      <w:start w:val="1"/>
      <w:numFmt w:val="decimal"/>
      <w:lvlText w:val="%1.%2."/>
      <w:lvlJc w:val="left"/>
      <w:pPr>
        <w:ind w:left="1080" w:hanging="108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13" w15:restartNumberingAfterBreak="0">
    <w:nsid w:val="4AA85C3B"/>
    <w:multiLevelType w:val="multilevel"/>
    <w:tmpl w:val="3F2E22B2"/>
    <w:lvl w:ilvl="0">
      <w:start w:val="7"/>
      <w:numFmt w:val="decimal"/>
      <w:lvlText w:val="%1."/>
      <w:lvlJc w:val="left"/>
      <w:pPr>
        <w:ind w:left="480" w:hanging="480"/>
      </w:pPr>
      <w:rPr>
        <w:rFonts w:cs="Gotham Light" w:hint="default"/>
        <w:color w:val="000000"/>
      </w:rPr>
    </w:lvl>
    <w:lvl w:ilvl="1">
      <w:start w:val="1"/>
      <w:numFmt w:val="decimal"/>
      <w:lvlText w:val="%1.%2."/>
      <w:lvlJc w:val="left"/>
      <w:pPr>
        <w:ind w:left="720" w:hanging="720"/>
      </w:pPr>
      <w:rPr>
        <w:rFonts w:cs="Gotham Light" w:hint="default"/>
        <w:color w:val="000000"/>
      </w:rPr>
    </w:lvl>
    <w:lvl w:ilvl="2">
      <w:start w:val="1"/>
      <w:numFmt w:val="decimal"/>
      <w:lvlText w:val="%1.%2.%3."/>
      <w:lvlJc w:val="left"/>
      <w:pPr>
        <w:ind w:left="1080" w:hanging="1080"/>
      </w:pPr>
      <w:rPr>
        <w:rFonts w:cs="Gotham Light" w:hint="default"/>
        <w:color w:val="000000"/>
      </w:rPr>
    </w:lvl>
    <w:lvl w:ilvl="3">
      <w:start w:val="1"/>
      <w:numFmt w:val="decimal"/>
      <w:lvlText w:val="%1.%2.%3.%4."/>
      <w:lvlJc w:val="left"/>
      <w:pPr>
        <w:ind w:left="1440" w:hanging="1440"/>
      </w:pPr>
      <w:rPr>
        <w:rFonts w:cs="Gotham Light" w:hint="default"/>
        <w:color w:val="000000"/>
      </w:rPr>
    </w:lvl>
    <w:lvl w:ilvl="4">
      <w:start w:val="1"/>
      <w:numFmt w:val="decimal"/>
      <w:lvlText w:val="%1.%2.%3.%4.%5."/>
      <w:lvlJc w:val="left"/>
      <w:pPr>
        <w:ind w:left="1440" w:hanging="1440"/>
      </w:pPr>
      <w:rPr>
        <w:rFonts w:cs="Gotham Light" w:hint="default"/>
        <w:color w:val="000000"/>
      </w:rPr>
    </w:lvl>
    <w:lvl w:ilvl="5">
      <w:start w:val="1"/>
      <w:numFmt w:val="decimal"/>
      <w:lvlText w:val="%1.%2.%3.%4.%5.%6."/>
      <w:lvlJc w:val="left"/>
      <w:pPr>
        <w:ind w:left="1800" w:hanging="1800"/>
      </w:pPr>
      <w:rPr>
        <w:rFonts w:cs="Gotham Light" w:hint="default"/>
        <w:color w:val="000000"/>
      </w:rPr>
    </w:lvl>
    <w:lvl w:ilvl="6">
      <w:start w:val="1"/>
      <w:numFmt w:val="decimal"/>
      <w:lvlText w:val="%1.%2.%3.%4.%5.%6.%7."/>
      <w:lvlJc w:val="left"/>
      <w:pPr>
        <w:ind w:left="2160" w:hanging="2160"/>
      </w:pPr>
      <w:rPr>
        <w:rFonts w:cs="Gotham Light" w:hint="default"/>
        <w:color w:val="000000"/>
      </w:rPr>
    </w:lvl>
    <w:lvl w:ilvl="7">
      <w:start w:val="1"/>
      <w:numFmt w:val="decimal"/>
      <w:lvlText w:val="%1.%2.%3.%4.%5.%6.%7.%8."/>
      <w:lvlJc w:val="left"/>
      <w:pPr>
        <w:ind w:left="2520" w:hanging="2520"/>
      </w:pPr>
      <w:rPr>
        <w:rFonts w:cs="Gotham Light" w:hint="default"/>
        <w:color w:val="000000"/>
      </w:rPr>
    </w:lvl>
    <w:lvl w:ilvl="8">
      <w:start w:val="1"/>
      <w:numFmt w:val="decimal"/>
      <w:lvlText w:val="%1.%2.%3.%4.%5.%6.%7.%8.%9."/>
      <w:lvlJc w:val="left"/>
      <w:pPr>
        <w:ind w:left="2880" w:hanging="2880"/>
      </w:pPr>
      <w:rPr>
        <w:rFonts w:cs="Gotham Light" w:hint="default"/>
        <w:color w:val="000000"/>
      </w:rPr>
    </w:lvl>
  </w:abstractNum>
  <w:abstractNum w:abstractNumId="14" w15:restartNumberingAfterBreak="0">
    <w:nsid w:val="4BD6118C"/>
    <w:multiLevelType w:val="hybridMultilevel"/>
    <w:tmpl w:val="AFDC07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E7062F8"/>
    <w:multiLevelType w:val="multilevel"/>
    <w:tmpl w:val="3EC218C8"/>
    <w:lvl w:ilvl="0">
      <w:start w:val="12"/>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6" w15:restartNumberingAfterBreak="0">
    <w:nsid w:val="52013E00"/>
    <w:multiLevelType w:val="hybridMultilevel"/>
    <w:tmpl w:val="AF7CB5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560B205A"/>
    <w:multiLevelType w:val="hybridMultilevel"/>
    <w:tmpl w:val="94B20BA2"/>
    <w:lvl w:ilvl="0" w:tplc="08090001">
      <w:start w:val="1"/>
      <w:numFmt w:val="bullet"/>
      <w:lvlText w:val=""/>
      <w:lvlJc w:val="left"/>
      <w:pPr>
        <w:ind w:left="1510" w:hanging="360"/>
      </w:pPr>
      <w:rPr>
        <w:rFonts w:ascii="Symbol" w:hAnsi="Symbol"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8" w15:restartNumberingAfterBreak="0">
    <w:nsid w:val="56387B50"/>
    <w:multiLevelType w:val="hybridMultilevel"/>
    <w:tmpl w:val="078CEC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EE54962"/>
    <w:multiLevelType w:val="multilevel"/>
    <w:tmpl w:val="841E145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1827376"/>
    <w:multiLevelType w:val="hybridMultilevel"/>
    <w:tmpl w:val="844A87C4"/>
    <w:lvl w:ilvl="0" w:tplc="08090001">
      <w:start w:val="1"/>
      <w:numFmt w:val="bullet"/>
      <w:lvlText w:val=""/>
      <w:lvlJc w:val="left"/>
      <w:pPr>
        <w:ind w:left="1507" w:hanging="360"/>
      </w:pPr>
      <w:rPr>
        <w:rFonts w:ascii="Symbol" w:hAnsi="Symbol" w:hint="default"/>
      </w:rPr>
    </w:lvl>
    <w:lvl w:ilvl="1" w:tplc="08090003" w:tentative="1">
      <w:start w:val="1"/>
      <w:numFmt w:val="bullet"/>
      <w:lvlText w:val="o"/>
      <w:lvlJc w:val="left"/>
      <w:pPr>
        <w:ind w:left="2227" w:hanging="360"/>
      </w:pPr>
      <w:rPr>
        <w:rFonts w:ascii="Courier New" w:hAnsi="Courier New" w:cs="Courier New" w:hint="default"/>
      </w:rPr>
    </w:lvl>
    <w:lvl w:ilvl="2" w:tplc="08090005" w:tentative="1">
      <w:start w:val="1"/>
      <w:numFmt w:val="bullet"/>
      <w:lvlText w:val=""/>
      <w:lvlJc w:val="left"/>
      <w:pPr>
        <w:ind w:left="2947" w:hanging="360"/>
      </w:pPr>
      <w:rPr>
        <w:rFonts w:ascii="Wingdings" w:hAnsi="Wingdings" w:hint="default"/>
      </w:rPr>
    </w:lvl>
    <w:lvl w:ilvl="3" w:tplc="08090001" w:tentative="1">
      <w:start w:val="1"/>
      <w:numFmt w:val="bullet"/>
      <w:lvlText w:val=""/>
      <w:lvlJc w:val="left"/>
      <w:pPr>
        <w:ind w:left="3667" w:hanging="360"/>
      </w:pPr>
      <w:rPr>
        <w:rFonts w:ascii="Symbol" w:hAnsi="Symbol" w:hint="default"/>
      </w:rPr>
    </w:lvl>
    <w:lvl w:ilvl="4" w:tplc="08090003" w:tentative="1">
      <w:start w:val="1"/>
      <w:numFmt w:val="bullet"/>
      <w:lvlText w:val="o"/>
      <w:lvlJc w:val="left"/>
      <w:pPr>
        <w:ind w:left="4387" w:hanging="360"/>
      </w:pPr>
      <w:rPr>
        <w:rFonts w:ascii="Courier New" w:hAnsi="Courier New" w:cs="Courier New" w:hint="default"/>
      </w:rPr>
    </w:lvl>
    <w:lvl w:ilvl="5" w:tplc="08090005" w:tentative="1">
      <w:start w:val="1"/>
      <w:numFmt w:val="bullet"/>
      <w:lvlText w:val=""/>
      <w:lvlJc w:val="left"/>
      <w:pPr>
        <w:ind w:left="5107" w:hanging="360"/>
      </w:pPr>
      <w:rPr>
        <w:rFonts w:ascii="Wingdings" w:hAnsi="Wingdings" w:hint="default"/>
      </w:rPr>
    </w:lvl>
    <w:lvl w:ilvl="6" w:tplc="08090001" w:tentative="1">
      <w:start w:val="1"/>
      <w:numFmt w:val="bullet"/>
      <w:lvlText w:val=""/>
      <w:lvlJc w:val="left"/>
      <w:pPr>
        <w:ind w:left="5827" w:hanging="360"/>
      </w:pPr>
      <w:rPr>
        <w:rFonts w:ascii="Symbol" w:hAnsi="Symbol" w:hint="default"/>
      </w:rPr>
    </w:lvl>
    <w:lvl w:ilvl="7" w:tplc="08090003" w:tentative="1">
      <w:start w:val="1"/>
      <w:numFmt w:val="bullet"/>
      <w:lvlText w:val="o"/>
      <w:lvlJc w:val="left"/>
      <w:pPr>
        <w:ind w:left="6547" w:hanging="360"/>
      </w:pPr>
      <w:rPr>
        <w:rFonts w:ascii="Courier New" w:hAnsi="Courier New" w:cs="Courier New" w:hint="default"/>
      </w:rPr>
    </w:lvl>
    <w:lvl w:ilvl="8" w:tplc="08090005" w:tentative="1">
      <w:start w:val="1"/>
      <w:numFmt w:val="bullet"/>
      <w:lvlText w:val=""/>
      <w:lvlJc w:val="left"/>
      <w:pPr>
        <w:ind w:left="7267" w:hanging="360"/>
      </w:pPr>
      <w:rPr>
        <w:rFonts w:ascii="Wingdings" w:hAnsi="Wingdings" w:hint="default"/>
      </w:rPr>
    </w:lvl>
  </w:abstractNum>
  <w:abstractNum w:abstractNumId="21" w15:restartNumberingAfterBreak="0">
    <w:nsid w:val="668B3AD7"/>
    <w:multiLevelType w:val="multilevel"/>
    <w:tmpl w:val="1E48294C"/>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6AAA389F"/>
    <w:multiLevelType w:val="multilevel"/>
    <w:tmpl w:val="D084EF4C"/>
    <w:lvl w:ilvl="0">
      <w:start w:val="3"/>
      <w:numFmt w:val="decimal"/>
      <w:lvlText w:val="%1."/>
      <w:lvlJc w:val="left"/>
      <w:pPr>
        <w:ind w:left="480" w:hanging="48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F735CED"/>
    <w:multiLevelType w:val="hybridMultilevel"/>
    <w:tmpl w:val="951E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554690"/>
    <w:multiLevelType w:val="multilevel"/>
    <w:tmpl w:val="8EF27852"/>
    <w:lvl w:ilvl="0">
      <w:start w:val="12"/>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5" w15:restartNumberingAfterBreak="0">
    <w:nsid w:val="720E5D1C"/>
    <w:multiLevelType w:val="hybridMultilevel"/>
    <w:tmpl w:val="98A0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957BB4"/>
    <w:multiLevelType w:val="hybridMultilevel"/>
    <w:tmpl w:val="50568D04"/>
    <w:lvl w:ilvl="0" w:tplc="7AACABB8">
      <w:start w:val="6"/>
      <w:numFmt w:val="bullet"/>
      <w:lvlText w:val="-"/>
      <w:lvlJc w:val="left"/>
      <w:pPr>
        <w:ind w:left="1080" w:hanging="360"/>
      </w:pPr>
      <w:rPr>
        <w:rFonts w:ascii="Verdana" w:eastAsiaTheme="minorEastAsia" w:hAnsi="Verdan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1A5EFB"/>
    <w:multiLevelType w:val="multilevel"/>
    <w:tmpl w:val="115430CE"/>
    <w:lvl w:ilvl="0">
      <w:start w:val="10"/>
      <w:numFmt w:val="decimal"/>
      <w:lvlText w:val="%1"/>
      <w:lvlJc w:val="left"/>
      <w:pPr>
        <w:ind w:left="540" w:hanging="540"/>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1080" w:hanging="108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440" w:hanging="1440"/>
      </w:pPr>
      <w:rPr>
        <w:rFonts w:hint="default"/>
        <w:color w:val="000000" w:themeColor="text1"/>
      </w:rPr>
    </w:lvl>
    <w:lvl w:ilvl="5">
      <w:start w:val="1"/>
      <w:numFmt w:val="decimal"/>
      <w:lvlText w:val="%1.%2.%3.%4.%5.%6"/>
      <w:lvlJc w:val="left"/>
      <w:pPr>
        <w:ind w:left="1800" w:hanging="1800"/>
      </w:pPr>
      <w:rPr>
        <w:rFonts w:hint="default"/>
        <w:color w:val="000000" w:themeColor="text1"/>
      </w:rPr>
    </w:lvl>
    <w:lvl w:ilvl="6">
      <w:start w:val="1"/>
      <w:numFmt w:val="decimal"/>
      <w:lvlText w:val="%1.%2.%3.%4.%5.%6.%7"/>
      <w:lvlJc w:val="left"/>
      <w:pPr>
        <w:ind w:left="2160" w:hanging="2160"/>
      </w:pPr>
      <w:rPr>
        <w:rFonts w:hint="default"/>
        <w:color w:val="000000" w:themeColor="text1"/>
      </w:rPr>
    </w:lvl>
    <w:lvl w:ilvl="7">
      <w:start w:val="1"/>
      <w:numFmt w:val="decimal"/>
      <w:lvlText w:val="%1.%2.%3.%4.%5.%6.%7.%8"/>
      <w:lvlJc w:val="left"/>
      <w:pPr>
        <w:ind w:left="2520" w:hanging="2520"/>
      </w:pPr>
      <w:rPr>
        <w:rFonts w:hint="default"/>
        <w:color w:val="000000" w:themeColor="text1"/>
      </w:rPr>
    </w:lvl>
    <w:lvl w:ilvl="8">
      <w:start w:val="1"/>
      <w:numFmt w:val="decimal"/>
      <w:lvlText w:val="%1.%2.%3.%4.%5.%6.%7.%8.%9"/>
      <w:lvlJc w:val="left"/>
      <w:pPr>
        <w:ind w:left="2520" w:hanging="2520"/>
      </w:pPr>
      <w:rPr>
        <w:rFonts w:hint="default"/>
        <w:color w:val="000000" w:themeColor="text1"/>
      </w:rPr>
    </w:lvl>
  </w:abstractNum>
  <w:abstractNum w:abstractNumId="28" w15:restartNumberingAfterBreak="0">
    <w:nsid w:val="7AF54A99"/>
    <w:multiLevelType w:val="multilevel"/>
    <w:tmpl w:val="1AAA5ABC"/>
    <w:lvl w:ilvl="0">
      <w:start w:val="4"/>
      <w:numFmt w:val="decimal"/>
      <w:lvlText w:val="%1"/>
      <w:lvlJc w:val="left"/>
      <w:pPr>
        <w:ind w:left="390" w:hanging="390"/>
      </w:pPr>
      <w:rPr>
        <w:rFonts w:cs="Times New Roman" w:hint="default"/>
        <w:color w:val="000000"/>
      </w:rPr>
    </w:lvl>
    <w:lvl w:ilvl="1">
      <w:start w:val="1"/>
      <w:numFmt w:val="decimal"/>
      <w:lvlText w:val="%1.%2"/>
      <w:lvlJc w:val="left"/>
      <w:pPr>
        <w:ind w:left="720" w:hanging="720"/>
      </w:pPr>
      <w:rPr>
        <w:rFonts w:cs="Times New Roman" w:hint="default"/>
        <w:b w:val="0"/>
        <w:bCs w:val="0"/>
        <w:color w:val="auto"/>
      </w:rPr>
    </w:lvl>
    <w:lvl w:ilvl="2">
      <w:start w:val="1"/>
      <w:numFmt w:val="decimal"/>
      <w:lvlText w:val="%1.%2.%3"/>
      <w:lvlJc w:val="left"/>
      <w:pPr>
        <w:ind w:left="1648" w:hanging="1080"/>
      </w:pPr>
      <w:rPr>
        <w:rFonts w:cs="Times New Roman" w:hint="default"/>
        <w:color w:val="000000"/>
      </w:rPr>
    </w:lvl>
    <w:lvl w:ilvl="3">
      <w:start w:val="1"/>
      <w:numFmt w:val="decimal"/>
      <w:lvlText w:val="%1.%2.%3.%4"/>
      <w:lvlJc w:val="left"/>
      <w:pPr>
        <w:ind w:left="1932" w:hanging="1080"/>
      </w:pPr>
      <w:rPr>
        <w:rFonts w:cs="Times New Roman" w:hint="default"/>
        <w:color w:val="000000"/>
      </w:rPr>
    </w:lvl>
    <w:lvl w:ilvl="4">
      <w:start w:val="1"/>
      <w:numFmt w:val="decimal"/>
      <w:lvlText w:val="%1.%2.%3.%4.%5"/>
      <w:lvlJc w:val="left"/>
      <w:pPr>
        <w:ind w:left="2576" w:hanging="1440"/>
      </w:pPr>
      <w:rPr>
        <w:rFonts w:cs="Times New Roman" w:hint="default"/>
        <w:color w:val="000000"/>
      </w:rPr>
    </w:lvl>
    <w:lvl w:ilvl="5">
      <w:start w:val="1"/>
      <w:numFmt w:val="decimal"/>
      <w:lvlText w:val="%1.%2.%3.%4.%5.%6"/>
      <w:lvlJc w:val="left"/>
      <w:pPr>
        <w:ind w:left="3220" w:hanging="1800"/>
      </w:pPr>
      <w:rPr>
        <w:rFonts w:cs="Times New Roman" w:hint="default"/>
        <w:color w:val="000000"/>
      </w:rPr>
    </w:lvl>
    <w:lvl w:ilvl="6">
      <w:start w:val="1"/>
      <w:numFmt w:val="decimal"/>
      <w:lvlText w:val="%1.%2.%3.%4.%5.%6.%7"/>
      <w:lvlJc w:val="left"/>
      <w:pPr>
        <w:ind w:left="3864" w:hanging="2160"/>
      </w:pPr>
      <w:rPr>
        <w:rFonts w:cs="Times New Roman" w:hint="default"/>
        <w:color w:val="000000"/>
      </w:rPr>
    </w:lvl>
    <w:lvl w:ilvl="7">
      <w:start w:val="1"/>
      <w:numFmt w:val="decimal"/>
      <w:lvlText w:val="%1.%2.%3.%4.%5.%6.%7.%8"/>
      <w:lvlJc w:val="left"/>
      <w:pPr>
        <w:ind w:left="4508" w:hanging="2520"/>
      </w:pPr>
      <w:rPr>
        <w:rFonts w:cs="Times New Roman" w:hint="default"/>
        <w:color w:val="000000"/>
      </w:rPr>
    </w:lvl>
    <w:lvl w:ilvl="8">
      <w:start w:val="1"/>
      <w:numFmt w:val="decimal"/>
      <w:lvlText w:val="%1.%2.%3.%4.%5.%6.%7.%8.%9"/>
      <w:lvlJc w:val="left"/>
      <w:pPr>
        <w:ind w:left="4792" w:hanging="2520"/>
      </w:pPr>
      <w:rPr>
        <w:rFonts w:cs="Times New Roman" w:hint="default"/>
        <w:color w:val="000000"/>
      </w:rPr>
    </w:lvl>
  </w:abstractNum>
  <w:num w:numId="1">
    <w:abstractNumId w:val="26"/>
  </w:num>
  <w:num w:numId="2">
    <w:abstractNumId w:val="17"/>
  </w:num>
  <w:num w:numId="3">
    <w:abstractNumId w:val="16"/>
  </w:num>
  <w:num w:numId="4">
    <w:abstractNumId w:val="14"/>
  </w:num>
  <w:num w:numId="5">
    <w:abstractNumId w:val="3"/>
  </w:num>
  <w:num w:numId="6">
    <w:abstractNumId w:val="20"/>
  </w:num>
  <w:num w:numId="7">
    <w:abstractNumId w:val="18"/>
  </w:num>
  <w:num w:numId="8">
    <w:abstractNumId w:val="25"/>
  </w:num>
  <w:num w:numId="9">
    <w:abstractNumId w:val="23"/>
  </w:num>
  <w:num w:numId="10">
    <w:abstractNumId w:val="8"/>
  </w:num>
  <w:num w:numId="11">
    <w:abstractNumId w:val="6"/>
  </w:num>
  <w:num w:numId="12">
    <w:abstractNumId w:val="7"/>
  </w:num>
  <w:num w:numId="13">
    <w:abstractNumId w:val="19"/>
  </w:num>
  <w:num w:numId="14">
    <w:abstractNumId w:val="12"/>
  </w:num>
  <w:num w:numId="15">
    <w:abstractNumId w:val="2"/>
  </w:num>
  <w:num w:numId="16">
    <w:abstractNumId w:val="22"/>
  </w:num>
  <w:num w:numId="17">
    <w:abstractNumId w:val="4"/>
  </w:num>
  <w:num w:numId="18">
    <w:abstractNumId w:val="5"/>
  </w:num>
  <w:num w:numId="19">
    <w:abstractNumId w:val="10"/>
  </w:num>
  <w:num w:numId="20">
    <w:abstractNumId w:val="13"/>
  </w:num>
  <w:num w:numId="21">
    <w:abstractNumId w:val="1"/>
  </w:num>
  <w:num w:numId="22">
    <w:abstractNumId w:val="11"/>
  </w:num>
  <w:num w:numId="23">
    <w:abstractNumId w:val="27"/>
  </w:num>
  <w:num w:numId="24">
    <w:abstractNumId w:val="9"/>
  </w:num>
  <w:num w:numId="25">
    <w:abstractNumId w:val="21"/>
  </w:num>
  <w:num w:numId="26">
    <w:abstractNumId w:val="28"/>
  </w:num>
  <w:num w:numId="27">
    <w:abstractNumId w:val="15"/>
  </w:num>
  <w:num w:numId="28">
    <w:abstractNumId w:val="24"/>
  </w:num>
  <w:num w:numId="2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358"/>
    <w:rsid w:val="000014A3"/>
    <w:rsid w:val="00002722"/>
    <w:rsid w:val="00002C28"/>
    <w:rsid w:val="000034DC"/>
    <w:rsid w:val="00005C32"/>
    <w:rsid w:val="0000600F"/>
    <w:rsid w:val="00006916"/>
    <w:rsid w:val="00006D0F"/>
    <w:rsid w:val="00007031"/>
    <w:rsid w:val="00007227"/>
    <w:rsid w:val="000075EE"/>
    <w:rsid w:val="000075FD"/>
    <w:rsid w:val="000079D5"/>
    <w:rsid w:val="000107C1"/>
    <w:rsid w:val="00010BD4"/>
    <w:rsid w:val="0001140D"/>
    <w:rsid w:val="00011536"/>
    <w:rsid w:val="00011D5D"/>
    <w:rsid w:val="00011DE6"/>
    <w:rsid w:val="000121F1"/>
    <w:rsid w:val="0001286C"/>
    <w:rsid w:val="000128F0"/>
    <w:rsid w:val="00012B69"/>
    <w:rsid w:val="000133B9"/>
    <w:rsid w:val="0001360F"/>
    <w:rsid w:val="00013E0E"/>
    <w:rsid w:val="0001459E"/>
    <w:rsid w:val="00015CD2"/>
    <w:rsid w:val="00017579"/>
    <w:rsid w:val="00017A82"/>
    <w:rsid w:val="00017D83"/>
    <w:rsid w:val="00021454"/>
    <w:rsid w:val="000229B1"/>
    <w:rsid w:val="00023F3A"/>
    <w:rsid w:val="0002481E"/>
    <w:rsid w:val="00024B70"/>
    <w:rsid w:val="00025009"/>
    <w:rsid w:val="0002519E"/>
    <w:rsid w:val="00026467"/>
    <w:rsid w:val="0002698E"/>
    <w:rsid w:val="00026A55"/>
    <w:rsid w:val="0002701E"/>
    <w:rsid w:val="00031723"/>
    <w:rsid w:val="00032020"/>
    <w:rsid w:val="0003231E"/>
    <w:rsid w:val="0003345C"/>
    <w:rsid w:val="000344FE"/>
    <w:rsid w:val="0003477E"/>
    <w:rsid w:val="00034A71"/>
    <w:rsid w:val="00034D89"/>
    <w:rsid w:val="0003521E"/>
    <w:rsid w:val="000354DE"/>
    <w:rsid w:val="0003646C"/>
    <w:rsid w:val="00037A51"/>
    <w:rsid w:val="00037FC9"/>
    <w:rsid w:val="00040056"/>
    <w:rsid w:val="00040AAD"/>
    <w:rsid w:val="00040B1C"/>
    <w:rsid w:val="000412BA"/>
    <w:rsid w:val="00041645"/>
    <w:rsid w:val="00042AB1"/>
    <w:rsid w:val="00042EAA"/>
    <w:rsid w:val="00042F58"/>
    <w:rsid w:val="00043AEA"/>
    <w:rsid w:val="00044328"/>
    <w:rsid w:val="000444E1"/>
    <w:rsid w:val="000444E8"/>
    <w:rsid w:val="00044DF0"/>
    <w:rsid w:val="00045F48"/>
    <w:rsid w:val="0004604E"/>
    <w:rsid w:val="00046705"/>
    <w:rsid w:val="00046DD0"/>
    <w:rsid w:val="000477D5"/>
    <w:rsid w:val="000479CD"/>
    <w:rsid w:val="00050042"/>
    <w:rsid w:val="000506FF"/>
    <w:rsid w:val="00050CC9"/>
    <w:rsid w:val="000524F6"/>
    <w:rsid w:val="000528F7"/>
    <w:rsid w:val="000528FE"/>
    <w:rsid w:val="00052D38"/>
    <w:rsid w:val="00053528"/>
    <w:rsid w:val="0005379E"/>
    <w:rsid w:val="00053956"/>
    <w:rsid w:val="000539BD"/>
    <w:rsid w:val="00054157"/>
    <w:rsid w:val="000545C3"/>
    <w:rsid w:val="00054EC0"/>
    <w:rsid w:val="00054EF3"/>
    <w:rsid w:val="000551EF"/>
    <w:rsid w:val="00055BD0"/>
    <w:rsid w:val="00057C43"/>
    <w:rsid w:val="000600A4"/>
    <w:rsid w:val="00060459"/>
    <w:rsid w:val="0006058D"/>
    <w:rsid w:val="00060A3D"/>
    <w:rsid w:val="0006276B"/>
    <w:rsid w:val="0006309D"/>
    <w:rsid w:val="000636A7"/>
    <w:rsid w:val="000636BD"/>
    <w:rsid w:val="00063719"/>
    <w:rsid w:val="00064D7A"/>
    <w:rsid w:val="00066106"/>
    <w:rsid w:val="00066736"/>
    <w:rsid w:val="00066870"/>
    <w:rsid w:val="00067B9F"/>
    <w:rsid w:val="00070636"/>
    <w:rsid w:val="00070A31"/>
    <w:rsid w:val="00070A8F"/>
    <w:rsid w:val="00070BDD"/>
    <w:rsid w:val="00071159"/>
    <w:rsid w:val="00071541"/>
    <w:rsid w:val="00071A3F"/>
    <w:rsid w:val="00072C3A"/>
    <w:rsid w:val="0007324E"/>
    <w:rsid w:val="000736C0"/>
    <w:rsid w:val="00073B49"/>
    <w:rsid w:val="00073D43"/>
    <w:rsid w:val="00076B7B"/>
    <w:rsid w:val="0007727A"/>
    <w:rsid w:val="0007741E"/>
    <w:rsid w:val="00077630"/>
    <w:rsid w:val="0008125E"/>
    <w:rsid w:val="00082F2B"/>
    <w:rsid w:val="00082FCC"/>
    <w:rsid w:val="0008346D"/>
    <w:rsid w:val="0008365A"/>
    <w:rsid w:val="00083E00"/>
    <w:rsid w:val="00083E51"/>
    <w:rsid w:val="00083F6B"/>
    <w:rsid w:val="00084A61"/>
    <w:rsid w:val="00084D63"/>
    <w:rsid w:val="00085E5D"/>
    <w:rsid w:val="000865B6"/>
    <w:rsid w:val="00087F3B"/>
    <w:rsid w:val="00087FBA"/>
    <w:rsid w:val="00090345"/>
    <w:rsid w:val="00090656"/>
    <w:rsid w:val="0009066B"/>
    <w:rsid w:val="00091CBD"/>
    <w:rsid w:val="000920C6"/>
    <w:rsid w:val="00093FCC"/>
    <w:rsid w:val="000946E7"/>
    <w:rsid w:val="00094F02"/>
    <w:rsid w:val="00095DD8"/>
    <w:rsid w:val="000A0458"/>
    <w:rsid w:val="000A1A17"/>
    <w:rsid w:val="000A25A2"/>
    <w:rsid w:val="000A35D1"/>
    <w:rsid w:val="000A395D"/>
    <w:rsid w:val="000A4648"/>
    <w:rsid w:val="000A4C7E"/>
    <w:rsid w:val="000A4F1B"/>
    <w:rsid w:val="000A5393"/>
    <w:rsid w:val="000A6812"/>
    <w:rsid w:val="000A7692"/>
    <w:rsid w:val="000B19D2"/>
    <w:rsid w:val="000B1A2D"/>
    <w:rsid w:val="000B1BEC"/>
    <w:rsid w:val="000B2B86"/>
    <w:rsid w:val="000B60E8"/>
    <w:rsid w:val="000B63E1"/>
    <w:rsid w:val="000B678A"/>
    <w:rsid w:val="000B6AB0"/>
    <w:rsid w:val="000B7773"/>
    <w:rsid w:val="000B7F68"/>
    <w:rsid w:val="000C2CD8"/>
    <w:rsid w:val="000C2F8B"/>
    <w:rsid w:val="000C351F"/>
    <w:rsid w:val="000C3552"/>
    <w:rsid w:val="000C4C2A"/>
    <w:rsid w:val="000C4CFB"/>
    <w:rsid w:val="000C4E0F"/>
    <w:rsid w:val="000C4EAC"/>
    <w:rsid w:val="000C4EBD"/>
    <w:rsid w:val="000C52C4"/>
    <w:rsid w:val="000C57D0"/>
    <w:rsid w:val="000C5BE4"/>
    <w:rsid w:val="000C5D8B"/>
    <w:rsid w:val="000C60BE"/>
    <w:rsid w:val="000C63EC"/>
    <w:rsid w:val="000C7396"/>
    <w:rsid w:val="000C79A6"/>
    <w:rsid w:val="000D078F"/>
    <w:rsid w:val="000D0FCA"/>
    <w:rsid w:val="000D19C7"/>
    <w:rsid w:val="000D1F6C"/>
    <w:rsid w:val="000D2714"/>
    <w:rsid w:val="000D27A3"/>
    <w:rsid w:val="000D34DC"/>
    <w:rsid w:val="000D3640"/>
    <w:rsid w:val="000D390C"/>
    <w:rsid w:val="000D476F"/>
    <w:rsid w:val="000D4D03"/>
    <w:rsid w:val="000D506D"/>
    <w:rsid w:val="000D52B7"/>
    <w:rsid w:val="000D544C"/>
    <w:rsid w:val="000D5647"/>
    <w:rsid w:val="000D6B43"/>
    <w:rsid w:val="000D7D05"/>
    <w:rsid w:val="000D7FCD"/>
    <w:rsid w:val="000E0554"/>
    <w:rsid w:val="000E0841"/>
    <w:rsid w:val="000E087F"/>
    <w:rsid w:val="000E1F61"/>
    <w:rsid w:val="000E2367"/>
    <w:rsid w:val="000E2752"/>
    <w:rsid w:val="000E3844"/>
    <w:rsid w:val="000E3A9C"/>
    <w:rsid w:val="000E45D6"/>
    <w:rsid w:val="000E6CDB"/>
    <w:rsid w:val="000E6F07"/>
    <w:rsid w:val="000E74D3"/>
    <w:rsid w:val="000E775E"/>
    <w:rsid w:val="000E7F0C"/>
    <w:rsid w:val="000F050E"/>
    <w:rsid w:val="000F0738"/>
    <w:rsid w:val="000F0757"/>
    <w:rsid w:val="000F13AA"/>
    <w:rsid w:val="000F17CC"/>
    <w:rsid w:val="000F3DF9"/>
    <w:rsid w:val="000F3EA3"/>
    <w:rsid w:val="000F4987"/>
    <w:rsid w:val="000F5EF0"/>
    <w:rsid w:val="000F643F"/>
    <w:rsid w:val="000F7496"/>
    <w:rsid w:val="000F74C6"/>
    <w:rsid w:val="000F771D"/>
    <w:rsid w:val="001007C4"/>
    <w:rsid w:val="00100A3D"/>
    <w:rsid w:val="00100BD3"/>
    <w:rsid w:val="00101446"/>
    <w:rsid w:val="0010161A"/>
    <w:rsid w:val="00101B00"/>
    <w:rsid w:val="00101D22"/>
    <w:rsid w:val="001026A5"/>
    <w:rsid w:val="0010369B"/>
    <w:rsid w:val="00104091"/>
    <w:rsid w:val="00104D23"/>
    <w:rsid w:val="00105018"/>
    <w:rsid w:val="001050E8"/>
    <w:rsid w:val="00105D69"/>
    <w:rsid w:val="001063BF"/>
    <w:rsid w:val="001064A1"/>
    <w:rsid w:val="00107582"/>
    <w:rsid w:val="001076EA"/>
    <w:rsid w:val="00107BDB"/>
    <w:rsid w:val="00111626"/>
    <w:rsid w:val="0011299B"/>
    <w:rsid w:val="001132D5"/>
    <w:rsid w:val="00113A08"/>
    <w:rsid w:val="00113A19"/>
    <w:rsid w:val="0011509D"/>
    <w:rsid w:val="001159BD"/>
    <w:rsid w:val="00117645"/>
    <w:rsid w:val="00120B07"/>
    <w:rsid w:val="00120F8C"/>
    <w:rsid w:val="00121734"/>
    <w:rsid w:val="00121C6E"/>
    <w:rsid w:val="00121D0C"/>
    <w:rsid w:val="001221D4"/>
    <w:rsid w:val="0012296A"/>
    <w:rsid w:val="0012323E"/>
    <w:rsid w:val="00123A9E"/>
    <w:rsid w:val="00123ECC"/>
    <w:rsid w:val="00124E46"/>
    <w:rsid w:val="00124FB5"/>
    <w:rsid w:val="001256AA"/>
    <w:rsid w:val="00125D79"/>
    <w:rsid w:val="00125F03"/>
    <w:rsid w:val="001266D4"/>
    <w:rsid w:val="00126C67"/>
    <w:rsid w:val="00127191"/>
    <w:rsid w:val="00127274"/>
    <w:rsid w:val="00127317"/>
    <w:rsid w:val="001300A0"/>
    <w:rsid w:val="00131609"/>
    <w:rsid w:val="00131A94"/>
    <w:rsid w:val="00132B44"/>
    <w:rsid w:val="0013337A"/>
    <w:rsid w:val="001336F8"/>
    <w:rsid w:val="00134117"/>
    <w:rsid w:val="00134EA4"/>
    <w:rsid w:val="00134FB5"/>
    <w:rsid w:val="00134FDF"/>
    <w:rsid w:val="00135051"/>
    <w:rsid w:val="00135927"/>
    <w:rsid w:val="00137143"/>
    <w:rsid w:val="00137420"/>
    <w:rsid w:val="0013764A"/>
    <w:rsid w:val="00140B15"/>
    <w:rsid w:val="001414B2"/>
    <w:rsid w:val="0014266A"/>
    <w:rsid w:val="0014282C"/>
    <w:rsid w:val="00142D17"/>
    <w:rsid w:val="001431F0"/>
    <w:rsid w:val="00143809"/>
    <w:rsid w:val="001441D5"/>
    <w:rsid w:val="00144ED8"/>
    <w:rsid w:val="00145004"/>
    <w:rsid w:val="00146181"/>
    <w:rsid w:val="00146ADA"/>
    <w:rsid w:val="00146D9B"/>
    <w:rsid w:val="00147CA0"/>
    <w:rsid w:val="001504FD"/>
    <w:rsid w:val="0015066B"/>
    <w:rsid w:val="0015190A"/>
    <w:rsid w:val="0015203D"/>
    <w:rsid w:val="00152608"/>
    <w:rsid w:val="001529BA"/>
    <w:rsid w:val="00152D0E"/>
    <w:rsid w:val="00153ACD"/>
    <w:rsid w:val="00153E9F"/>
    <w:rsid w:val="001549CC"/>
    <w:rsid w:val="00155497"/>
    <w:rsid w:val="0015597B"/>
    <w:rsid w:val="00155F93"/>
    <w:rsid w:val="001561B7"/>
    <w:rsid w:val="00156C56"/>
    <w:rsid w:val="00156EC1"/>
    <w:rsid w:val="001602E0"/>
    <w:rsid w:val="00160430"/>
    <w:rsid w:val="00160A22"/>
    <w:rsid w:val="00163065"/>
    <w:rsid w:val="00164862"/>
    <w:rsid w:val="00164D77"/>
    <w:rsid w:val="00164E3E"/>
    <w:rsid w:val="0016542D"/>
    <w:rsid w:val="00166AC8"/>
    <w:rsid w:val="00166C33"/>
    <w:rsid w:val="00170133"/>
    <w:rsid w:val="001706B0"/>
    <w:rsid w:val="001709E7"/>
    <w:rsid w:val="001725B6"/>
    <w:rsid w:val="0017276B"/>
    <w:rsid w:val="00172D00"/>
    <w:rsid w:val="00173848"/>
    <w:rsid w:val="00173942"/>
    <w:rsid w:val="00173BA9"/>
    <w:rsid w:val="0017444F"/>
    <w:rsid w:val="00175086"/>
    <w:rsid w:val="001753BE"/>
    <w:rsid w:val="0017637F"/>
    <w:rsid w:val="0017650A"/>
    <w:rsid w:val="00176563"/>
    <w:rsid w:val="00176A1B"/>
    <w:rsid w:val="001800C7"/>
    <w:rsid w:val="00181A5B"/>
    <w:rsid w:val="00181B9C"/>
    <w:rsid w:val="00181D36"/>
    <w:rsid w:val="00182B2E"/>
    <w:rsid w:val="00182BFA"/>
    <w:rsid w:val="0018358E"/>
    <w:rsid w:val="00184DFF"/>
    <w:rsid w:val="0018624B"/>
    <w:rsid w:val="001867B5"/>
    <w:rsid w:val="00186E2B"/>
    <w:rsid w:val="00187547"/>
    <w:rsid w:val="001878FB"/>
    <w:rsid w:val="001907A1"/>
    <w:rsid w:val="00190B54"/>
    <w:rsid w:val="00190D0A"/>
    <w:rsid w:val="0019146B"/>
    <w:rsid w:val="0019197B"/>
    <w:rsid w:val="00191CD5"/>
    <w:rsid w:val="001922D9"/>
    <w:rsid w:val="00192A8C"/>
    <w:rsid w:val="001945FD"/>
    <w:rsid w:val="00194E1D"/>
    <w:rsid w:val="00195510"/>
    <w:rsid w:val="0019714B"/>
    <w:rsid w:val="001973E7"/>
    <w:rsid w:val="001A0317"/>
    <w:rsid w:val="001A058D"/>
    <w:rsid w:val="001A0660"/>
    <w:rsid w:val="001A0DCD"/>
    <w:rsid w:val="001A257E"/>
    <w:rsid w:val="001A25F2"/>
    <w:rsid w:val="001A26F3"/>
    <w:rsid w:val="001A3074"/>
    <w:rsid w:val="001A3213"/>
    <w:rsid w:val="001A35CB"/>
    <w:rsid w:val="001A4348"/>
    <w:rsid w:val="001A526F"/>
    <w:rsid w:val="001A7BE0"/>
    <w:rsid w:val="001A7F4E"/>
    <w:rsid w:val="001B05AE"/>
    <w:rsid w:val="001B0BD1"/>
    <w:rsid w:val="001B205E"/>
    <w:rsid w:val="001B2691"/>
    <w:rsid w:val="001B2D7A"/>
    <w:rsid w:val="001B361D"/>
    <w:rsid w:val="001B39AA"/>
    <w:rsid w:val="001B3EE9"/>
    <w:rsid w:val="001B4693"/>
    <w:rsid w:val="001B4AD5"/>
    <w:rsid w:val="001B50FC"/>
    <w:rsid w:val="001B5215"/>
    <w:rsid w:val="001B52DB"/>
    <w:rsid w:val="001B583C"/>
    <w:rsid w:val="001B74A1"/>
    <w:rsid w:val="001C0069"/>
    <w:rsid w:val="001C06DE"/>
    <w:rsid w:val="001C097B"/>
    <w:rsid w:val="001C0F0D"/>
    <w:rsid w:val="001C187B"/>
    <w:rsid w:val="001C19BE"/>
    <w:rsid w:val="001C231D"/>
    <w:rsid w:val="001C29F1"/>
    <w:rsid w:val="001C2C0E"/>
    <w:rsid w:val="001C3CCE"/>
    <w:rsid w:val="001C4BC6"/>
    <w:rsid w:val="001C50D2"/>
    <w:rsid w:val="001C5653"/>
    <w:rsid w:val="001C5B8F"/>
    <w:rsid w:val="001C5C08"/>
    <w:rsid w:val="001D047A"/>
    <w:rsid w:val="001D0782"/>
    <w:rsid w:val="001D1505"/>
    <w:rsid w:val="001D16F2"/>
    <w:rsid w:val="001D1811"/>
    <w:rsid w:val="001D1BA5"/>
    <w:rsid w:val="001D2781"/>
    <w:rsid w:val="001D2911"/>
    <w:rsid w:val="001D2EA0"/>
    <w:rsid w:val="001D3325"/>
    <w:rsid w:val="001D3C30"/>
    <w:rsid w:val="001D5E54"/>
    <w:rsid w:val="001D6C4B"/>
    <w:rsid w:val="001D72B4"/>
    <w:rsid w:val="001D7824"/>
    <w:rsid w:val="001E04D1"/>
    <w:rsid w:val="001E0959"/>
    <w:rsid w:val="001E1092"/>
    <w:rsid w:val="001E18C3"/>
    <w:rsid w:val="001E1BC1"/>
    <w:rsid w:val="001E1F30"/>
    <w:rsid w:val="001E21BF"/>
    <w:rsid w:val="001E29A5"/>
    <w:rsid w:val="001E3CA1"/>
    <w:rsid w:val="001E3EE1"/>
    <w:rsid w:val="001E4795"/>
    <w:rsid w:val="001E4BB8"/>
    <w:rsid w:val="001E4C17"/>
    <w:rsid w:val="001E509F"/>
    <w:rsid w:val="001E50E3"/>
    <w:rsid w:val="001E56E2"/>
    <w:rsid w:val="001E6CF9"/>
    <w:rsid w:val="001E7782"/>
    <w:rsid w:val="001E79A9"/>
    <w:rsid w:val="001F03FD"/>
    <w:rsid w:val="001F0F11"/>
    <w:rsid w:val="001F1127"/>
    <w:rsid w:val="001F17A0"/>
    <w:rsid w:val="001F1ACF"/>
    <w:rsid w:val="001F1E2C"/>
    <w:rsid w:val="001F25A0"/>
    <w:rsid w:val="001F31B0"/>
    <w:rsid w:val="001F3840"/>
    <w:rsid w:val="001F3A35"/>
    <w:rsid w:val="001F43CD"/>
    <w:rsid w:val="001F449F"/>
    <w:rsid w:val="001F49BC"/>
    <w:rsid w:val="001F4C5F"/>
    <w:rsid w:val="001F5369"/>
    <w:rsid w:val="001F56DD"/>
    <w:rsid w:val="001F5A4E"/>
    <w:rsid w:val="001F5BD7"/>
    <w:rsid w:val="00200260"/>
    <w:rsid w:val="002003C1"/>
    <w:rsid w:val="00202433"/>
    <w:rsid w:val="0020259A"/>
    <w:rsid w:val="00203249"/>
    <w:rsid w:val="00203776"/>
    <w:rsid w:val="00203D06"/>
    <w:rsid w:val="00203F97"/>
    <w:rsid w:val="00204C56"/>
    <w:rsid w:val="0020538D"/>
    <w:rsid w:val="0020602A"/>
    <w:rsid w:val="00207AE3"/>
    <w:rsid w:val="00210736"/>
    <w:rsid w:val="0021082B"/>
    <w:rsid w:val="00210B7F"/>
    <w:rsid w:val="00210FD1"/>
    <w:rsid w:val="00212212"/>
    <w:rsid w:val="0021279A"/>
    <w:rsid w:val="00212D09"/>
    <w:rsid w:val="00213181"/>
    <w:rsid w:val="002134F6"/>
    <w:rsid w:val="00213B8A"/>
    <w:rsid w:val="0021449D"/>
    <w:rsid w:val="00214681"/>
    <w:rsid w:val="002146DD"/>
    <w:rsid w:val="00214E7D"/>
    <w:rsid w:val="002168BC"/>
    <w:rsid w:val="00216BB4"/>
    <w:rsid w:val="00216FD0"/>
    <w:rsid w:val="00217415"/>
    <w:rsid w:val="0021764E"/>
    <w:rsid w:val="002179FD"/>
    <w:rsid w:val="00217F2B"/>
    <w:rsid w:val="00220583"/>
    <w:rsid w:val="0022094D"/>
    <w:rsid w:val="00220AEF"/>
    <w:rsid w:val="00220EFE"/>
    <w:rsid w:val="00221728"/>
    <w:rsid w:val="00221860"/>
    <w:rsid w:val="00221C80"/>
    <w:rsid w:val="00222014"/>
    <w:rsid w:val="002227F1"/>
    <w:rsid w:val="00222E93"/>
    <w:rsid w:val="002233EE"/>
    <w:rsid w:val="0022341C"/>
    <w:rsid w:val="00223D17"/>
    <w:rsid w:val="00224140"/>
    <w:rsid w:val="00224219"/>
    <w:rsid w:val="0022677E"/>
    <w:rsid w:val="0022730C"/>
    <w:rsid w:val="00227B08"/>
    <w:rsid w:val="00227E21"/>
    <w:rsid w:val="002300E5"/>
    <w:rsid w:val="00230C60"/>
    <w:rsid w:val="00231562"/>
    <w:rsid w:val="002338C5"/>
    <w:rsid w:val="00233F1B"/>
    <w:rsid w:val="00234B39"/>
    <w:rsid w:val="002351CB"/>
    <w:rsid w:val="00235E59"/>
    <w:rsid w:val="00237CE5"/>
    <w:rsid w:val="00240B5B"/>
    <w:rsid w:val="00240F20"/>
    <w:rsid w:val="00241DC2"/>
    <w:rsid w:val="0024239C"/>
    <w:rsid w:val="002428EC"/>
    <w:rsid w:val="00243373"/>
    <w:rsid w:val="0024679B"/>
    <w:rsid w:val="00246B3B"/>
    <w:rsid w:val="00246BBF"/>
    <w:rsid w:val="00246F00"/>
    <w:rsid w:val="002473A4"/>
    <w:rsid w:val="002479E2"/>
    <w:rsid w:val="00247D75"/>
    <w:rsid w:val="00247E4B"/>
    <w:rsid w:val="0025077C"/>
    <w:rsid w:val="002509CA"/>
    <w:rsid w:val="002530BB"/>
    <w:rsid w:val="00253805"/>
    <w:rsid w:val="00254C4C"/>
    <w:rsid w:val="00254CDB"/>
    <w:rsid w:val="00254E9A"/>
    <w:rsid w:val="00255652"/>
    <w:rsid w:val="00255E1C"/>
    <w:rsid w:val="00257939"/>
    <w:rsid w:val="002600D0"/>
    <w:rsid w:val="00261283"/>
    <w:rsid w:val="00262A49"/>
    <w:rsid w:val="00264E40"/>
    <w:rsid w:val="002656B9"/>
    <w:rsid w:val="00265A1C"/>
    <w:rsid w:val="00265A7C"/>
    <w:rsid w:val="00266925"/>
    <w:rsid w:val="00266A2E"/>
    <w:rsid w:val="0026723E"/>
    <w:rsid w:val="002677B9"/>
    <w:rsid w:val="002704C5"/>
    <w:rsid w:val="00270751"/>
    <w:rsid w:val="00271A9D"/>
    <w:rsid w:val="0027279B"/>
    <w:rsid w:val="0027303F"/>
    <w:rsid w:val="002744B7"/>
    <w:rsid w:val="0027554B"/>
    <w:rsid w:val="00275E44"/>
    <w:rsid w:val="00275EBC"/>
    <w:rsid w:val="002769C3"/>
    <w:rsid w:val="00276B1C"/>
    <w:rsid w:val="00276E46"/>
    <w:rsid w:val="00276F6C"/>
    <w:rsid w:val="0027700F"/>
    <w:rsid w:val="002807E5"/>
    <w:rsid w:val="00280A0B"/>
    <w:rsid w:val="00281316"/>
    <w:rsid w:val="002816D3"/>
    <w:rsid w:val="00281FBD"/>
    <w:rsid w:val="0028239F"/>
    <w:rsid w:val="00283231"/>
    <w:rsid w:val="0028386C"/>
    <w:rsid w:val="00283D86"/>
    <w:rsid w:val="00285442"/>
    <w:rsid w:val="0028648B"/>
    <w:rsid w:val="00286501"/>
    <w:rsid w:val="002877E8"/>
    <w:rsid w:val="00287EAF"/>
    <w:rsid w:val="002906A3"/>
    <w:rsid w:val="00290985"/>
    <w:rsid w:val="00290A15"/>
    <w:rsid w:val="00291171"/>
    <w:rsid w:val="00291C8B"/>
    <w:rsid w:val="002934B7"/>
    <w:rsid w:val="002936BF"/>
    <w:rsid w:val="00293EB0"/>
    <w:rsid w:val="0029500A"/>
    <w:rsid w:val="0029513A"/>
    <w:rsid w:val="002954C5"/>
    <w:rsid w:val="00295DE9"/>
    <w:rsid w:val="00296239"/>
    <w:rsid w:val="00296284"/>
    <w:rsid w:val="00297A0E"/>
    <w:rsid w:val="002A0BFB"/>
    <w:rsid w:val="002A1511"/>
    <w:rsid w:val="002A1590"/>
    <w:rsid w:val="002A1842"/>
    <w:rsid w:val="002A26AE"/>
    <w:rsid w:val="002A3376"/>
    <w:rsid w:val="002A3681"/>
    <w:rsid w:val="002A4ACB"/>
    <w:rsid w:val="002A4BE6"/>
    <w:rsid w:val="002A6789"/>
    <w:rsid w:val="002A67F6"/>
    <w:rsid w:val="002A748A"/>
    <w:rsid w:val="002A776A"/>
    <w:rsid w:val="002A7C24"/>
    <w:rsid w:val="002B0044"/>
    <w:rsid w:val="002B05B0"/>
    <w:rsid w:val="002B0637"/>
    <w:rsid w:val="002B07B8"/>
    <w:rsid w:val="002B0922"/>
    <w:rsid w:val="002B1272"/>
    <w:rsid w:val="002B1E06"/>
    <w:rsid w:val="002B315E"/>
    <w:rsid w:val="002B32FC"/>
    <w:rsid w:val="002B3567"/>
    <w:rsid w:val="002B4228"/>
    <w:rsid w:val="002B4D2A"/>
    <w:rsid w:val="002B694E"/>
    <w:rsid w:val="002B772B"/>
    <w:rsid w:val="002B7D12"/>
    <w:rsid w:val="002C0637"/>
    <w:rsid w:val="002C11C6"/>
    <w:rsid w:val="002C14B4"/>
    <w:rsid w:val="002C19C9"/>
    <w:rsid w:val="002C4137"/>
    <w:rsid w:val="002C504D"/>
    <w:rsid w:val="002C5458"/>
    <w:rsid w:val="002C60E3"/>
    <w:rsid w:val="002C60F6"/>
    <w:rsid w:val="002C676F"/>
    <w:rsid w:val="002C68F8"/>
    <w:rsid w:val="002C76F3"/>
    <w:rsid w:val="002D0AE6"/>
    <w:rsid w:val="002D0E8A"/>
    <w:rsid w:val="002D259F"/>
    <w:rsid w:val="002D308A"/>
    <w:rsid w:val="002D32F3"/>
    <w:rsid w:val="002D33D9"/>
    <w:rsid w:val="002D417D"/>
    <w:rsid w:val="002D4FC9"/>
    <w:rsid w:val="002D5A41"/>
    <w:rsid w:val="002D5C55"/>
    <w:rsid w:val="002D62AC"/>
    <w:rsid w:val="002D636C"/>
    <w:rsid w:val="002D6C83"/>
    <w:rsid w:val="002D7C08"/>
    <w:rsid w:val="002E0AB8"/>
    <w:rsid w:val="002E16EB"/>
    <w:rsid w:val="002E1D16"/>
    <w:rsid w:val="002E3367"/>
    <w:rsid w:val="002E430D"/>
    <w:rsid w:val="002E59B6"/>
    <w:rsid w:val="002E5A1C"/>
    <w:rsid w:val="002E6C7E"/>
    <w:rsid w:val="002E72EE"/>
    <w:rsid w:val="002E77D0"/>
    <w:rsid w:val="002F07E2"/>
    <w:rsid w:val="002F08C3"/>
    <w:rsid w:val="002F3ADD"/>
    <w:rsid w:val="002F46C5"/>
    <w:rsid w:val="002F4AE6"/>
    <w:rsid w:val="002F4ED4"/>
    <w:rsid w:val="002F5181"/>
    <w:rsid w:val="002F5CE2"/>
    <w:rsid w:val="002F60DD"/>
    <w:rsid w:val="002F716B"/>
    <w:rsid w:val="002F7220"/>
    <w:rsid w:val="002F73CE"/>
    <w:rsid w:val="002F7846"/>
    <w:rsid w:val="002F7CD0"/>
    <w:rsid w:val="003017E8"/>
    <w:rsid w:val="00301DA8"/>
    <w:rsid w:val="00302E57"/>
    <w:rsid w:val="0030347A"/>
    <w:rsid w:val="003046E0"/>
    <w:rsid w:val="00305950"/>
    <w:rsid w:val="00305963"/>
    <w:rsid w:val="00305C06"/>
    <w:rsid w:val="00306201"/>
    <w:rsid w:val="00306317"/>
    <w:rsid w:val="0030745A"/>
    <w:rsid w:val="003074D7"/>
    <w:rsid w:val="00311308"/>
    <w:rsid w:val="00311B67"/>
    <w:rsid w:val="00311DEC"/>
    <w:rsid w:val="00312157"/>
    <w:rsid w:val="00312321"/>
    <w:rsid w:val="0031274E"/>
    <w:rsid w:val="00313AAF"/>
    <w:rsid w:val="00315A61"/>
    <w:rsid w:val="00316E04"/>
    <w:rsid w:val="00316F29"/>
    <w:rsid w:val="00317AD5"/>
    <w:rsid w:val="00317C15"/>
    <w:rsid w:val="0032080B"/>
    <w:rsid w:val="00320DF8"/>
    <w:rsid w:val="0032121B"/>
    <w:rsid w:val="00321CCE"/>
    <w:rsid w:val="00322282"/>
    <w:rsid w:val="00322A84"/>
    <w:rsid w:val="00323346"/>
    <w:rsid w:val="00323B97"/>
    <w:rsid w:val="003246EF"/>
    <w:rsid w:val="00324AB0"/>
    <w:rsid w:val="0032572D"/>
    <w:rsid w:val="003259C9"/>
    <w:rsid w:val="00325A39"/>
    <w:rsid w:val="00325D63"/>
    <w:rsid w:val="00325F7F"/>
    <w:rsid w:val="00326341"/>
    <w:rsid w:val="00326721"/>
    <w:rsid w:val="00326FF6"/>
    <w:rsid w:val="0032722E"/>
    <w:rsid w:val="00327891"/>
    <w:rsid w:val="00327EE9"/>
    <w:rsid w:val="0033000D"/>
    <w:rsid w:val="0033063E"/>
    <w:rsid w:val="0033092E"/>
    <w:rsid w:val="00330FC5"/>
    <w:rsid w:val="003311D2"/>
    <w:rsid w:val="00331593"/>
    <w:rsid w:val="003318CA"/>
    <w:rsid w:val="00331C61"/>
    <w:rsid w:val="00331D33"/>
    <w:rsid w:val="003327EF"/>
    <w:rsid w:val="003329BD"/>
    <w:rsid w:val="00333401"/>
    <w:rsid w:val="00333F33"/>
    <w:rsid w:val="00334BEC"/>
    <w:rsid w:val="003350F0"/>
    <w:rsid w:val="00335227"/>
    <w:rsid w:val="00335E80"/>
    <w:rsid w:val="00336BB6"/>
    <w:rsid w:val="00336E53"/>
    <w:rsid w:val="0033715C"/>
    <w:rsid w:val="003375D2"/>
    <w:rsid w:val="00337C74"/>
    <w:rsid w:val="00337D56"/>
    <w:rsid w:val="00340564"/>
    <w:rsid w:val="003407C6"/>
    <w:rsid w:val="00341BFE"/>
    <w:rsid w:val="00341FDB"/>
    <w:rsid w:val="0034245A"/>
    <w:rsid w:val="0034282B"/>
    <w:rsid w:val="003429D4"/>
    <w:rsid w:val="00343790"/>
    <w:rsid w:val="0034437A"/>
    <w:rsid w:val="00344453"/>
    <w:rsid w:val="003456F8"/>
    <w:rsid w:val="00345986"/>
    <w:rsid w:val="0034691B"/>
    <w:rsid w:val="00346DDC"/>
    <w:rsid w:val="00347190"/>
    <w:rsid w:val="003475D0"/>
    <w:rsid w:val="00347E64"/>
    <w:rsid w:val="00350BAF"/>
    <w:rsid w:val="00351643"/>
    <w:rsid w:val="00352879"/>
    <w:rsid w:val="003528B0"/>
    <w:rsid w:val="00353440"/>
    <w:rsid w:val="00353640"/>
    <w:rsid w:val="003539A1"/>
    <w:rsid w:val="00353E33"/>
    <w:rsid w:val="00354683"/>
    <w:rsid w:val="00355C2A"/>
    <w:rsid w:val="0035632C"/>
    <w:rsid w:val="0035679E"/>
    <w:rsid w:val="00356840"/>
    <w:rsid w:val="00356B8F"/>
    <w:rsid w:val="003577A4"/>
    <w:rsid w:val="00357FBA"/>
    <w:rsid w:val="0036049D"/>
    <w:rsid w:val="00361EF8"/>
    <w:rsid w:val="00363C8D"/>
    <w:rsid w:val="003645EA"/>
    <w:rsid w:val="003647BD"/>
    <w:rsid w:val="003647F5"/>
    <w:rsid w:val="00364941"/>
    <w:rsid w:val="00365210"/>
    <w:rsid w:val="003666D1"/>
    <w:rsid w:val="003667AE"/>
    <w:rsid w:val="00366ED5"/>
    <w:rsid w:val="00367683"/>
    <w:rsid w:val="00367CCA"/>
    <w:rsid w:val="00367F6B"/>
    <w:rsid w:val="00370A5C"/>
    <w:rsid w:val="00371DF1"/>
    <w:rsid w:val="003738F9"/>
    <w:rsid w:val="003740AB"/>
    <w:rsid w:val="00374786"/>
    <w:rsid w:val="00374FC3"/>
    <w:rsid w:val="00375179"/>
    <w:rsid w:val="00375D92"/>
    <w:rsid w:val="003767B5"/>
    <w:rsid w:val="00376BB5"/>
    <w:rsid w:val="0037769A"/>
    <w:rsid w:val="00377A80"/>
    <w:rsid w:val="00380098"/>
    <w:rsid w:val="00381543"/>
    <w:rsid w:val="003818C1"/>
    <w:rsid w:val="00382710"/>
    <w:rsid w:val="0038291A"/>
    <w:rsid w:val="00382C39"/>
    <w:rsid w:val="00382D02"/>
    <w:rsid w:val="00382F7F"/>
    <w:rsid w:val="00382F92"/>
    <w:rsid w:val="00382FF0"/>
    <w:rsid w:val="003830CE"/>
    <w:rsid w:val="003831C4"/>
    <w:rsid w:val="00384DF2"/>
    <w:rsid w:val="0038570E"/>
    <w:rsid w:val="003857C3"/>
    <w:rsid w:val="00385AA7"/>
    <w:rsid w:val="003867BB"/>
    <w:rsid w:val="00387825"/>
    <w:rsid w:val="00390C37"/>
    <w:rsid w:val="003913A5"/>
    <w:rsid w:val="00391B38"/>
    <w:rsid w:val="00391DFD"/>
    <w:rsid w:val="00392460"/>
    <w:rsid w:val="0039257A"/>
    <w:rsid w:val="003929A6"/>
    <w:rsid w:val="00393918"/>
    <w:rsid w:val="00393A7C"/>
    <w:rsid w:val="00393EEB"/>
    <w:rsid w:val="003944B8"/>
    <w:rsid w:val="00396172"/>
    <w:rsid w:val="00396CCE"/>
    <w:rsid w:val="00397822"/>
    <w:rsid w:val="003A00E1"/>
    <w:rsid w:val="003A07BA"/>
    <w:rsid w:val="003A1E36"/>
    <w:rsid w:val="003A234C"/>
    <w:rsid w:val="003A2933"/>
    <w:rsid w:val="003A2BB0"/>
    <w:rsid w:val="003A3A1C"/>
    <w:rsid w:val="003A4322"/>
    <w:rsid w:val="003A44FE"/>
    <w:rsid w:val="003A4D8C"/>
    <w:rsid w:val="003A4F3A"/>
    <w:rsid w:val="003A5463"/>
    <w:rsid w:val="003A5DC1"/>
    <w:rsid w:val="003A6310"/>
    <w:rsid w:val="003A6605"/>
    <w:rsid w:val="003A6AB6"/>
    <w:rsid w:val="003A7A5F"/>
    <w:rsid w:val="003B0C4B"/>
    <w:rsid w:val="003B3ABE"/>
    <w:rsid w:val="003B435C"/>
    <w:rsid w:val="003B45CC"/>
    <w:rsid w:val="003B4B2A"/>
    <w:rsid w:val="003B551C"/>
    <w:rsid w:val="003B5B2E"/>
    <w:rsid w:val="003B6369"/>
    <w:rsid w:val="003B6463"/>
    <w:rsid w:val="003B6820"/>
    <w:rsid w:val="003B766C"/>
    <w:rsid w:val="003B78AF"/>
    <w:rsid w:val="003B7D0E"/>
    <w:rsid w:val="003C054D"/>
    <w:rsid w:val="003C14AC"/>
    <w:rsid w:val="003C2B1B"/>
    <w:rsid w:val="003C316A"/>
    <w:rsid w:val="003C32E1"/>
    <w:rsid w:val="003C3CA7"/>
    <w:rsid w:val="003C590B"/>
    <w:rsid w:val="003C6E9E"/>
    <w:rsid w:val="003C7AC7"/>
    <w:rsid w:val="003D0436"/>
    <w:rsid w:val="003D09D2"/>
    <w:rsid w:val="003D0E09"/>
    <w:rsid w:val="003D0E2F"/>
    <w:rsid w:val="003D0F2B"/>
    <w:rsid w:val="003D2361"/>
    <w:rsid w:val="003D23CD"/>
    <w:rsid w:val="003D4DF2"/>
    <w:rsid w:val="003D56DA"/>
    <w:rsid w:val="003D6AC0"/>
    <w:rsid w:val="003D6C00"/>
    <w:rsid w:val="003E071E"/>
    <w:rsid w:val="003E0D9B"/>
    <w:rsid w:val="003E10B4"/>
    <w:rsid w:val="003E1D7B"/>
    <w:rsid w:val="003E27BE"/>
    <w:rsid w:val="003E3CE5"/>
    <w:rsid w:val="003E41F5"/>
    <w:rsid w:val="003E47DF"/>
    <w:rsid w:val="003E4A01"/>
    <w:rsid w:val="003E5826"/>
    <w:rsid w:val="003E5873"/>
    <w:rsid w:val="003E62B5"/>
    <w:rsid w:val="003E6BF3"/>
    <w:rsid w:val="003E6E14"/>
    <w:rsid w:val="003E7269"/>
    <w:rsid w:val="003F0833"/>
    <w:rsid w:val="003F0881"/>
    <w:rsid w:val="003F1974"/>
    <w:rsid w:val="003F1EDB"/>
    <w:rsid w:val="003F22A5"/>
    <w:rsid w:val="003F2C4F"/>
    <w:rsid w:val="003F2E3C"/>
    <w:rsid w:val="003F3D22"/>
    <w:rsid w:val="003F6212"/>
    <w:rsid w:val="003F65DB"/>
    <w:rsid w:val="003F6938"/>
    <w:rsid w:val="003F749C"/>
    <w:rsid w:val="003F751E"/>
    <w:rsid w:val="003F776F"/>
    <w:rsid w:val="00403145"/>
    <w:rsid w:val="00403ECC"/>
    <w:rsid w:val="004050FA"/>
    <w:rsid w:val="004052FD"/>
    <w:rsid w:val="004053E5"/>
    <w:rsid w:val="004056EF"/>
    <w:rsid w:val="0040650F"/>
    <w:rsid w:val="00406BAB"/>
    <w:rsid w:val="00406F5F"/>
    <w:rsid w:val="00407B30"/>
    <w:rsid w:val="004104E5"/>
    <w:rsid w:val="0041074F"/>
    <w:rsid w:val="0041094B"/>
    <w:rsid w:val="00410B32"/>
    <w:rsid w:val="004128A5"/>
    <w:rsid w:val="00412A19"/>
    <w:rsid w:val="004135A5"/>
    <w:rsid w:val="0041401E"/>
    <w:rsid w:val="00414552"/>
    <w:rsid w:val="004152EC"/>
    <w:rsid w:val="00415E36"/>
    <w:rsid w:val="00415E3C"/>
    <w:rsid w:val="0041686E"/>
    <w:rsid w:val="004171C1"/>
    <w:rsid w:val="004173B2"/>
    <w:rsid w:val="00417757"/>
    <w:rsid w:val="004177E8"/>
    <w:rsid w:val="00417872"/>
    <w:rsid w:val="00420060"/>
    <w:rsid w:val="0042035F"/>
    <w:rsid w:val="00420546"/>
    <w:rsid w:val="0042074F"/>
    <w:rsid w:val="0042081D"/>
    <w:rsid w:val="00420B4E"/>
    <w:rsid w:val="0042125B"/>
    <w:rsid w:val="004223A6"/>
    <w:rsid w:val="00422513"/>
    <w:rsid w:val="00422C18"/>
    <w:rsid w:val="004231FD"/>
    <w:rsid w:val="004239FD"/>
    <w:rsid w:val="00423D4B"/>
    <w:rsid w:val="00424ADE"/>
    <w:rsid w:val="00425DC3"/>
    <w:rsid w:val="00426ED0"/>
    <w:rsid w:val="004277B4"/>
    <w:rsid w:val="00430553"/>
    <w:rsid w:val="00430C3D"/>
    <w:rsid w:val="00431793"/>
    <w:rsid w:val="0043246F"/>
    <w:rsid w:val="00432930"/>
    <w:rsid w:val="00434810"/>
    <w:rsid w:val="00435AC7"/>
    <w:rsid w:val="004363C3"/>
    <w:rsid w:val="00436FFE"/>
    <w:rsid w:val="00437078"/>
    <w:rsid w:val="004372A6"/>
    <w:rsid w:val="00437573"/>
    <w:rsid w:val="00440104"/>
    <w:rsid w:val="004406A2"/>
    <w:rsid w:val="00440B87"/>
    <w:rsid w:val="00441E31"/>
    <w:rsid w:val="0044273D"/>
    <w:rsid w:val="00442DB1"/>
    <w:rsid w:val="0044370F"/>
    <w:rsid w:val="00443B85"/>
    <w:rsid w:val="00443D07"/>
    <w:rsid w:val="00443E48"/>
    <w:rsid w:val="004440C8"/>
    <w:rsid w:val="00444AB2"/>
    <w:rsid w:val="00444AB6"/>
    <w:rsid w:val="00444B72"/>
    <w:rsid w:val="0044666E"/>
    <w:rsid w:val="0044684E"/>
    <w:rsid w:val="00446E72"/>
    <w:rsid w:val="004473B1"/>
    <w:rsid w:val="004475C5"/>
    <w:rsid w:val="00447775"/>
    <w:rsid w:val="00450AB5"/>
    <w:rsid w:val="00450F69"/>
    <w:rsid w:val="004510AD"/>
    <w:rsid w:val="00451DB5"/>
    <w:rsid w:val="004527A3"/>
    <w:rsid w:val="004528D6"/>
    <w:rsid w:val="00452BF8"/>
    <w:rsid w:val="00453252"/>
    <w:rsid w:val="004540ED"/>
    <w:rsid w:val="00454B56"/>
    <w:rsid w:val="00455AA0"/>
    <w:rsid w:val="00455E60"/>
    <w:rsid w:val="0045744D"/>
    <w:rsid w:val="00457D7F"/>
    <w:rsid w:val="0046080A"/>
    <w:rsid w:val="00460B76"/>
    <w:rsid w:val="00460CE0"/>
    <w:rsid w:val="004612EB"/>
    <w:rsid w:val="00461F10"/>
    <w:rsid w:val="0046235B"/>
    <w:rsid w:val="0046239D"/>
    <w:rsid w:val="00463D6B"/>
    <w:rsid w:val="00463E72"/>
    <w:rsid w:val="004643A5"/>
    <w:rsid w:val="00464797"/>
    <w:rsid w:val="00464D1D"/>
    <w:rsid w:val="00464E4B"/>
    <w:rsid w:val="004656A5"/>
    <w:rsid w:val="00465FA4"/>
    <w:rsid w:val="004664DC"/>
    <w:rsid w:val="00466A2E"/>
    <w:rsid w:val="004672AC"/>
    <w:rsid w:val="00467557"/>
    <w:rsid w:val="004678AD"/>
    <w:rsid w:val="00470CEE"/>
    <w:rsid w:val="00473193"/>
    <w:rsid w:val="004737AA"/>
    <w:rsid w:val="00473C26"/>
    <w:rsid w:val="00474132"/>
    <w:rsid w:val="00474547"/>
    <w:rsid w:val="00474AAA"/>
    <w:rsid w:val="004751C1"/>
    <w:rsid w:val="00475D83"/>
    <w:rsid w:val="0047637B"/>
    <w:rsid w:val="00476666"/>
    <w:rsid w:val="004775DC"/>
    <w:rsid w:val="00477DD6"/>
    <w:rsid w:val="00480835"/>
    <w:rsid w:val="00480FDE"/>
    <w:rsid w:val="00481030"/>
    <w:rsid w:val="00481D8D"/>
    <w:rsid w:val="00481E4F"/>
    <w:rsid w:val="00482498"/>
    <w:rsid w:val="004825C3"/>
    <w:rsid w:val="00482D10"/>
    <w:rsid w:val="004838EC"/>
    <w:rsid w:val="00483E72"/>
    <w:rsid w:val="0048650E"/>
    <w:rsid w:val="00486F23"/>
    <w:rsid w:val="00487789"/>
    <w:rsid w:val="0049035F"/>
    <w:rsid w:val="00491E5E"/>
    <w:rsid w:val="00491FFD"/>
    <w:rsid w:val="004920B9"/>
    <w:rsid w:val="00492244"/>
    <w:rsid w:val="00492C24"/>
    <w:rsid w:val="004953CB"/>
    <w:rsid w:val="00495BC4"/>
    <w:rsid w:val="00495DAB"/>
    <w:rsid w:val="0049776C"/>
    <w:rsid w:val="00497D32"/>
    <w:rsid w:val="00497F9A"/>
    <w:rsid w:val="004A27DE"/>
    <w:rsid w:val="004A2A3E"/>
    <w:rsid w:val="004A2CD9"/>
    <w:rsid w:val="004A3121"/>
    <w:rsid w:val="004A322F"/>
    <w:rsid w:val="004A4B98"/>
    <w:rsid w:val="004A5DFA"/>
    <w:rsid w:val="004A635E"/>
    <w:rsid w:val="004A79EA"/>
    <w:rsid w:val="004B07DE"/>
    <w:rsid w:val="004B0951"/>
    <w:rsid w:val="004B10CD"/>
    <w:rsid w:val="004B1CD7"/>
    <w:rsid w:val="004B1D0A"/>
    <w:rsid w:val="004B1FF7"/>
    <w:rsid w:val="004B2D8A"/>
    <w:rsid w:val="004B4255"/>
    <w:rsid w:val="004B425F"/>
    <w:rsid w:val="004B4708"/>
    <w:rsid w:val="004B4983"/>
    <w:rsid w:val="004B4C1E"/>
    <w:rsid w:val="004B4E14"/>
    <w:rsid w:val="004B5BDE"/>
    <w:rsid w:val="004B6548"/>
    <w:rsid w:val="004B6886"/>
    <w:rsid w:val="004C07CA"/>
    <w:rsid w:val="004C2BD0"/>
    <w:rsid w:val="004C3F85"/>
    <w:rsid w:val="004C5096"/>
    <w:rsid w:val="004C75BC"/>
    <w:rsid w:val="004D020B"/>
    <w:rsid w:val="004D0CD0"/>
    <w:rsid w:val="004D1762"/>
    <w:rsid w:val="004D1A34"/>
    <w:rsid w:val="004D248E"/>
    <w:rsid w:val="004D285B"/>
    <w:rsid w:val="004D2B8E"/>
    <w:rsid w:val="004D3940"/>
    <w:rsid w:val="004D395B"/>
    <w:rsid w:val="004D3A70"/>
    <w:rsid w:val="004D3E8D"/>
    <w:rsid w:val="004D48B5"/>
    <w:rsid w:val="004D6018"/>
    <w:rsid w:val="004D6207"/>
    <w:rsid w:val="004D6CBE"/>
    <w:rsid w:val="004D6F1F"/>
    <w:rsid w:val="004D7427"/>
    <w:rsid w:val="004D7A1C"/>
    <w:rsid w:val="004E0027"/>
    <w:rsid w:val="004E0213"/>
    <w:rsid w:val="004E1387"/>
    <w:rsid w:val="004E20D6"/>
    <w:rsid w:val="004E2663"/>
    <w:rsid w:val="004E2BB2"/>
    <w:rsid w:val="004E2C6C"/>
    <w:rsid w:val="004E2DD8"/>
    <w:rsid w:val="004E37A5"/>
    <w:rsid w:val="004E3E41"/>
    <w:rsid w:val="004E3E49"/>
    <w:rsid w:val="004E40C0"/>
    <w:rsid w:val="004E49BA"/>
    <w:rsid w:val="004E4CD7"/>
    <w:rsid w:val="004E5E9A"/>
    <w:rsid w:val="004E6A1F"/>
    <w:rsid w:val="004E6F87"/>
    <w:rsid w:val="004F0A2A"/>
    <w:rsid w:val="004F0CFD"/>
    <w:rsid w:val="004F0EE2"/>
    <w:rsid w:val="004F1016"/>
    <w:rsid w:val="004F1612"/>
    <w:rsid w:val="004F2C31"/>
    <w:rsid w:val="004F4D53"/>
    <w:rsid w:val="004F560A"/>
    <w:rsid w:val="004F604A"/>
    <w:rsid w:val="004F6573"/>
    <w:rsid w:val="004F6758"/>
    <w:rsid w:val="004F7176"/>
    <w:rsid w:val="004F7509"/>
    <w:rsid w:val="00500892"/>
    <w:rsid w:val="005009BB"/>
    <w:rsid w:val="00500DE0"/>
    <w:rsid w:val="005011C2"/>
    <w:rsid w:val="005019EF"/>
    <w:rsid w:val="0050231B"/>
    <w:rsid w:val="00503E01"/>
    <w:rsid w:val="00504C92"/>
    <w:rsid w:val="00505795"/>
    <w:rsid w:val="00505BCE"/>
    <w:rsid w:val="00506A43"/>
    <w:rsid w:val="00507584"/>
    <w:rsid w:val="00510227"/>
    <w:rsid w:val="00511539"/>
    <w:rsid w:val="005117D6"/>
    <w:rsid w:val="0051195E"/>
    <w:rsid w:val="00511F64"/>
    <w:rsid w:val="0051297B"/>
    <w:rsid w:val="00513BF7"/>
    <w:rsid w:val="00514989"/>
    <w:rsid w:val="00514A2A"/>
    <w:rsid w:val="00514EFD"/>
    <w:rsid w:val="00516374"/>
    <w:rsid w:val="00516C90"/>
    <w:rsid w:val="00517082"/>
    <w:rsid w:val="00517472"/>
    <w:rsid w:val="0051757D"/>
    <w:rsid w:val="00517BD9"/>
    <w:rsid w:val="005203CC"/>
    <w:rsid w:val="005208C0"/>
    <w:rsid w:val="00520CEE"/>
    <w:rsid w:val="00521DCC"/>
    <w:rsid w:val="0052242E"/>
    <w:rsid w:val="00522D79"/>
    <w:rsid w:val="00522F24"/>
    <w:rsid w:val="005232AA"/>
    <w:rsid w:val="005240DC"/>
    <w:rsid w:val="00524AD5"/>
    <w:rsid w:val="00524D84"/>
    <w:rsid w:val="00524E08"/>
    <w:rsid w:val="0052581D"/>
    <w:rsid w:val="00526D12"/>
    <w:rsid w:val="00527562"/>
    <w:rsid w:val="005300B5"/>
    <w:rsid w:val="00531187"/>
    <w:rsid w:val="00531748"/>
    <w:rsid w:val="005317CA"/>
    <w:rsid w:val="00531DCA"/>
    <w:rsid w:val="005323E7"/>
    <w:rsid w:val="005324FC"/>
    <w:rsid w:val="00532D61"/>
    <w:rsid w:val="0053385C"/>
    <w:rsid w:val="00533C10"/>
    <w:rsid w:val="00534231"/>
    <w:rsid w:val="005366FC"/>
    <w:rsid w:val="0053700D"/>
    <w:rsid w:val="00537525"/>
    <w:rsid w:val="00537794"/>
    <w:rsid w:val="005403D8"/>
    <w:rsid w:val="005416C1"/>
    <w:rsid w:val="0054171C"/>
    <w:rsid w:val="00541B9D"/>
    <w:rsid w:val="0054206A"/>
    <w:rsid w:val="00542D11"/>
    <w:rsid w:val="0054317E"/>
    <w:rsid w:val="0054326A"/>
    <w:rsid w:val="00543DD9"/>
    <w:rsid w:val="00544D42"/>
    <w:rsid w:val="00547EBC"/>
    <w:rsid w:val="005503B8"/>
    <w:rsid w:val="00550E5B"/>
    <w:rsid w:val="00551FD8"/>
    <w:rsid w:val="0055214F"/>
    <w:rsid w:val="00552293"/>
    <w:rsid w:val="00552687"/>
    <w:rsid w:val="00553076"/>
    <w:rsid w:val="0055334D"/>
    <w:rsid w:val="00553D3C"/>
    <w:rsid w:val="00555064"/>
    <w:rsid w:val="0055544C"/>
    <w:rsid w:val="00555E86"/>
    <w:rsid w:val="00556B26"/>
    <w:rsid w:val="00556BB4"/>
    <w:rsid w:val="00556C16"/>
    <w:rsid w:val="00560960"/>
    <w:rsid w:val="0056257D"/>
    <w:rsid w:val="0056295E"/>
    <w:rsid w:val="00563392"/>
    <w:rsid w:val="00563E84"/>
    <w:rsid w:val="005646BF"/>
    <w:rsid w:val="00564E3B"/>
    <w:rsid w:val="005651FC"/>
    <w:rsid w:val="00566574"/>
    <w:rsid w:val="005667DC"/>
    <w:rsid w:val="00566AD9"/>
    <w:rsid w:val="00566FC8"/>
    <w:rsid w:val="0056724A"/>
    <w:rsid w:val="00567DFC"/>
    <w:rsid w:val="00567F14"/>
    <w:rsid w:val="00570843"/>
    <w:rsid w:val="00572D64"/>
    <w:rsid w:val="0057327D"/>
    <w:rsid w:val="00573763"/>
    <w:rsid w:val="00574F14"/>
    <w:rsid w:val="00575016"/>
    <w:rsid w:val="0057578A"/>
    <w:rsid w:val="00575EF1"/>
    <w:rsid w:val="0057604A"/>
    <w:rsid w:val="005761A6"/>
    <w:rsid w:val="0057727A"/>
    <w:rsid w:val="00577E9E"/>
    <w:rsid w:val="0058071E"/>
    <w:rsid w:val="005807C7"/>
    <w:rsid w:val="00580DEE"/>
    <w:rsid w:val="005813EC"/>
    <w:rsid w:val="00581D94"/>
    <w:rsid w:val="00581F42"/>
    <w:rsid w:val="005834CC"/>
    <w:rsid w:val="00583C4E"/>
    <w:rsid w:val="00583D85"/>
    <w:rsid w:val="0058407D"/>
    <w:rsid w:val="00584F65"/>
    <w:rsid w:val="00585000"/>
    <w:rsid w:val="005852DC"/>
    <w:rsid w:val="0058594B"/>
    <w:rsid w:val="00585D73"/>
    <w:rsid w:val="00585F39"/>
    <w:rsid w:val="00585F4D"/>
    <w:rsid w:val="005875B0"/>
    <w:rsid w:val="005879E3"/>
    <w:rsid w:val="00590501"/>
    <w:rsid w:val="00590732"/>
    <w:rsid w:val="005907DC"/>
    <w:rsid w:val="005907FB"/>
    <w:rsid w:val="00591626"/>
    <w:rsid w:val="00591D80"/>
    <w:rsid w:val="00593515"/>
    <w:rsid w:val="00593CCF"/>
    <w:rsid w:val="0059430D"/>
    <w:rsid w:val="0059551C"/>
    <w:rsid w:val="0059670A"/>
    <w:rsid w:val="00596FEA"/>
    <w:rsid w:val="005975BB"/>
    <w:rsid w:val="005A0211"/>
    <w:rsid w:val="005A0462"/>
    <w:rsid w:val="005A0E32"/>
    <w:rsid w:val="005A0F92"/>
    <w:rsid w:val="005A1471"/>
    <w:rsid w:val="005A1948"/>
    <w:rsid w:val="005A1BA4"/>
    <w:rsid w:val="005A1C95"/>
    <w:rsid w:val="005A3583"/>
    <w:rsid w:val="005A35B9"/>
    <w:rsid w:val="005A3834"/>
    <w:rsid w:val="005A3BC8"/>
    <w:rsid w:val="005A4CC1"/>
    <w:rsid w:val="005A629A"/>
    <w:rsid w:val="005A724D"/>
    <w:rsid w:val="005B007C"/>
    <w:rsid w:val="005B09B3"/>
    <w:rsid w:val="005B0C2A"/>
    <w:rsid w:val="005B1855"/>
    <w:rsid w:val="005B1F83"/>
    <w:rsid w:val="005B2230"/>
    <w:rsid w:val="005B2266"/>
    <w:rsid w:val="005B2B80"/>
    <w:rsid w:val="005B2E0E"/>
    <w:rsid w:val="005B3C59"/>
    <w:rsid w:val="005B3D9A"/>
    <w:rsid w:val="005B4027"/>
    <w:rsid w:val="005B4A39"/>
    <w:rsid w:val="005B4E36"/>
    <w:rsid w:val="005B53D9"/>
    <w:rsid w:val="005B5D63"/>
    <w:rsid w:val="005B642F"/>
    <w:rsid w:val="005B6ADF"/>
    <w:rsid w:val="005B6FF0"/>
    <w:rsid w:val="005B723E"/>
    <w:rsid w:val="005B7649"/>
    <w:rsid w:val="005C0A71"/>
    <w:rsid w:val="005C0AF4"/>
    <w:rsid w:val="005C0EF2"/>
    <w:rsid w:val="005C1692"/>
    <w:rsid w:val="005C1A80"/>
    <w:rsid w:val="005C2AD4"/>
    <w:rsid w:val="005C346A"/>
    <w:rsid w:val="005C3578"/>
    <w:rsid w:val="005C39B5"/>
    <w:rsid w:val="005C5022"/>
    <w:rsid w:val="005C5163"/>
    <w:rsid w:val="005C63CB"/>
    <w:rsid w:val="005C79B0"/>
    <w:rsid w:val="005C7BF3"/>
    <w:rsid w:val="005C7E52"/>
    <w:rsid w:val="005D11BC"/>
    <w:rsid w:val="005D1723"/>
    <w:rsid w:val="005D1ED9"/>
    <w:rsid w:val="005D273B"/>
    <w:rsid w:val="005D3D5A"/>
    <w:rsid w:val="005D415A"/>
    <w:rsid w:val="005D44B5"/>
    <w:rsid w:val="005D4571"/>
    <w:rsid w:val="005D45D9"/>
    <w:rsid w:val="005D5903"/>
    <w:rsid w:val="005D5D76"/>
    <w:rsid w:val="005D6655"/>
    <w:rsid w:val="005D7679"/>
    <w:rsid w:val="005D7C38"/>
    <w:rsid w:val="005E1209"/>
    <w:rsid w:val="005E1453"/>
    <w:rsid w:val="005E1811"/>
    <w:rsid w:val="005E184F"/>
    <w:rsid w:val="005E1C4A"/>
    <w:rsid w:val="005E228F"/>
    <w:rsid w:val="005E47AC"/>
    <w:rsid w:val="005E4D80"/>
    <w:rsid w:val="005E511C"/>
    <w:rsid w:val="005E529B"/>
    <w:rsid w:val="005E57D5"/>
    <w:rsid w:val="005E59F5"/>
    <w:rsid w:val="005E5FF6"/>
    <w:rsid w:val="005E60FA"/>
    <w:rsid w:val="005E617B"/>
    <w:rsid w:val="005E63D7"/>
    <w:rsid w:val="005E6C06"/>
    <w:rsid w:val="005E6F32"/>
    <w:rsid w:val="005E7666"/>
    <w:rsid w:val="005E7E4E"/>
    <w:rsid w:val="005F02E0"/>
    <w:rsid w:val="005F04CF"/>
    <w:rsid w:val="005F0AA4"/>
    <w:rsid w:val="005F1741"/>
    <w:rsid w:val="005F18BB"/>
    <w:rsid w:val="005F260F"/>
    <w:rsid w:val="005F26B4"/>
    <w:rsid w:val="005F27CD"/>
    <w:rsid w:val="005F281D"/>
    <w:rsid w:val="005F46EB"/>
    <w:rsid w:val="005F50D0"/>
    <w:rsid w:val="005F5AE3"/>
    <w:rsid w:val="005F6269"/>
    <w:rsid w:val="005F67C9"/>
    <w:rsid w:val="00600839"/>
    <w:rsid w:val="00600E61"/>
    <w:rsid w:val="00602059"/>
    <w:rsid w:val="00602847"/>
    <w:rsid w:val="006029AE"/>
    <w:rsid w:val="0060423F"/>
    <w:rsid w:val="006042FC"/>
    <w:rsid w:val="0060487B"/>
    <w:rsid w:val="0060535F"/>
    <w:rsid w:val="00606466"/>
    <w:rsid w:val="006065AB"/>
    <w:rsid w:val="0060689B"/>
    <w:rsid w:val="00606C81"/>
    <w:rsid w:val="00607609"/>
    <w:rsid w:val="006113FB"/>
    <w:rsid w:val="00611F24"/>
    <w:rsid w:val="0061485F"/>
    <w:rsid w:val="006149A4"/>
    <w:rsid w:val="006149C2"/>
    <w:rsid w:val="00614ACF"/>
    <w:rsid w:val="006175A3"/>
    <w:rsid w:val="0062002F"/>
    <w:rsid w:val="00620304"/>
    <w:rsid w:val="0062128B"/>
    <w:rsid w:val="00621B5C"/>
    <w:rsid w:val="00624DB5"/>
    <w:rsid w:val="00626325"/>
    <w:rsid w:val="0062636A"/>
    <w:rsid w:val="00626575"/>
    <w:rsid w:val="00627217"/>
    <w:rsid w:val="00627982"/>
    <w:rsid w:val="00630F6A"/>
    <w:rsid w:val="00630F7C"/>
    <w:rsid w:val="0063165B"/>
    <w:rsid w:val="0063238F"/>
    <w:rsid w:val="00633108"/>
    <w:rsid w:val="00633301"/>
    <w:rsid w:val="006333CE"/>
    <w:rsid w:val="006339A6"/>
    <w:rsid w:val="00633B8B"/>
    <w:rsid w:val="00635EC8"/>
    <w:rsid w:val="0063769D"/>
    <w:rsid w:val="00637881"/>
    <w:rsid w:val="00640158"/>
    <w:rsid w:val="0064056C"/>
    <w:rsid w:val="00640A2B"/>
    <w:rsid w:val="00640ED8"/>
    <w:rsid w:val="006413D3"/>
    <w:rsid w:val="00643478"/>
    <w:rsid w:val="00645CCE"/>
    <w:rsid w:val="00645D98"/>
    <w:rsid w:val="00646BE9"/>
    <w:rsid w:val="00646D67"/>
    <w:rsid w:val="00646F0F"/>
    <w:rsid w:val="00650954"/>
    <w:rsid w:val="00652A4D"/>
    <w:rsid w:val="006536D9"/>
    <w:rsid w:val="00653F0A"/>
    <w:rsid w:val="0065400B"/>
    <w:rsid w:val="00654266"/>
    <w:rsid w:val="006546B9"/>
    <w:rsid w:val="00654963"/>
    <w:rsid w:val="00654984"/>
    <w:rsid w:val="00655292"/>
    <w:rsid w:val="00655F90"/>
    <w:rsid w:val="00656ECD"/>
    <w:rsid w:val="00656F72"/>
    <w:rsid w:val="006571D4"/>
    <w:rsid w:val="006613A9"/>
    <w:rsid w:val="006616D0"/>
    <w:rsid w:val="006617EB"/>
    <w:rsid w:val="00662481"/>
    <w:rsid w:val="00662593"/>
    <w:rsid w:val="00662FCD"/>
    <w:rsid w:val="00664676"/>
    <w:rsid w:val="00664E7B"/>
    <w:rsid w:val="00664EBD"/>
    <w:rsid w:val="00665369"/>
    <w:rsid w:val="00666488"/>
    <w:rsid w:val="00666833"/>
    <w:rsid w:val="00666BE6"/>
    <w:rsid w:val="00666D97"/>
    <w:rsid w:val="0066719D"/>
    <w:rsid w:val="006671A9"/>
    <w:rsid w:val="006677D5"/>
    <w:rsid w:val="00667E1A"/>
    <w:rsid w:val="00670683"/>
    <w:rsid w:val="00672E7D"/>
    <w:rsid w:val="0067354C"/>
    <w:rsid w:val="0067398D"/>
    <w:rsid w:val="006742F4"/>
    <w:rsid w:val="006748A2"/>
    <w:rsid w:val="00674926"/>
    <w:rsid w:val="00675356"/>
    <w:rsid w:val="006754C9"/>
    <w:rsid w:val="006759FB"/>
    <w:rsid w:val="006760DA"/>
    <w:rsid w:val="0067616D"/>
    <w:rsid w:val="0067639D"/>
    <w:rsid w:val="006773F6"/>
    <w:rsid w:val="00677EE1"/>
    <w:rsid w:val="00680EEA"/>
    <w:rsid w:val="006810B9"/>
    <w:rsid w:val="00681610"/>
    <w:rsid w:val="00681CB3"/>
    <w:rsid w:val="00682C5C"/>
    <w:rsid w:val="00682D7A"/>
    <w:rsid w:val="00683292"/>
    <w:rsid w:val="0068340F"/>
    <w:rsid w:val="00683B2C"/>
    <w:rsid w:val="00683B3A"/>
    <w:rsid w:val="00683BD2"/>
    <w:rsid w:val="0068440E"/>
    <w:rsid w:val="006847C3"/>
    <w:rsid w:val="00685644"/>
    <w:rsid w:val="00690A16"/>
    <w:rsid w:val="00690CB8"/>
    <w:rsid w:val="00691783"/>
    <w:rsid w:val="0069374C"/>
    <w:rsid w:val="00694255"/>
    <w:rsid w:val="006947A2"/>
    <w:rsid w:val="00695B55"/>
    <w:rsid w:val="006961EA"/>
    <w:rsid w:val="00696A81"/>
    <w:rsid w:val="00696B4C"/>
    <w:rsid w:val="00696EA0"/>
    <w:rsid w:val="00697E5E"/>
    <w:rsid w:val="006A09EA"/>
    <w:rsid w:val="006A0D45"/>
    <w:rsid w:val="006A1249"/>
    <w:rsid w:val="006A1547"/>
    <w:rsid w:val="006A18E4"/>
    <w:rsid w:val="006A1EE2"/>
    <w:rsid w:val="006A267E"/>
    <w:rsid w:val="006A2981"/>
    <w:rsid w:val="006A2E87"/>
    <w:rsid w:val="006A4043"/>
    <w:rsid w:val="006A5F65"/>
    <w:rsid w:val="006A68A3"/>
    <w:rsid w:val="006A6AC8"/>
    <w:rsid w:val="006A70F1"/>
    <w:rsid w:val="006A7577"/>
    <w:rsid w:val="006A784B"/>
    <w:rsid w:val="006A7AE2"/>
    <w:rsid w:val="006A7DF9"/>
    <w:rsid w:val="006B0B4A"/>
    <w:rsid w:val="006B2800"/>
    <w:rsid w:val="006B2945"/>
    <w:rsid w:val="006B2D0B"/>
    <w:rsid w:val="006B370F"/>
    <w:rsid w:val="006B3AFC"/>
    <w:rsid w:val="006B48BE"/>
    <w:rsid w:val="006B6FC8"/>
    <w:rsid w:val="006C01C5"/>
    <w:rsid w:val="006C06DC"/>
    <w:rsid w:val="006C0E6A"/>
    <w:rsid w:val="006C1DE6"/>
    <w:rsid w:val="006C2711"/>
    <w:rsid w:val="006C2B7E"/>
    <w:rsid w:val="006C3210"/>
    <w:rsid w:val="006C3597"/>
    <w:rsid w:val="006C363D"/>
    <w:rsid w:val="006C3A28"/>
    <w:rsid w:val="006C40A4"/>
    <w:rsid w:val="006C491D"/>
    <w:rsid w:val="006C5887"/>
    <w:rsid w:val="006C59F7"/>
    <w:rsid w:val="006C6D05"/>
    <w:rsid w:val="006C7937"/>
    <w:rsid w:val="006D152C"/>
    <w:rsid w:val="006D193A"/>
    <w:rsid w:val="006D1BB0"/>
    <w:rsid w:val="006D1BFC"/>
    <w:rsid w:val="006D2CBB"/>
    <w:rsid w:val="006D2D7B"/>
    <w:rsid w:val="006D3BAE"/>
    <w:rsid w:val="006D67E5"/>
    <w:rsid w:val="006D736C"/>
    <w:rsid w:val="006E1673"/>
    <w:rsid w:val="006E1D37"/>
    <w:rsid w:val="006E2262"/>
    <w:rsid w:val="006E28C5"/>
    <w:rsid w:val="006E34C5"/>
    <w:rsid w:val="006E36C3"/>
    <w:rsid w:val="006E3810"/>
    <w:rsid w:val="006E3D6A"/>
    <w:rsid w:val="006E5C7B"/>
    <w:rsid w:val="006E5DD1"/>
    <w:rsid w:val="006E6914"/>
    <w:rsid w:val="006E69C0"/>
    <w:rsid w:val="006E79EB"/>
    <w:rsid w:val="006E7D15"/>
    <w:rsid w:val="006F00BF"/>
    <w:rsid w:val="006F0EA8"/>
    <w:rsid w:val="006F1842"/>
    <w:rsid w:val="006F2115"/>
    <w:rsid w:val="006F26A9"/>
    <w:rsid w:val="006F3347"/>
    <w:rsid w:val="006F3E87"/>
    <w:rsid w:val="006F3FE4"/>
    <w:rsid w:val="006F483D"/>
    <w:rsid w:val="006F56BD"/>
    <w:rsid w:val="006F6051"/>
    <w:rsid w:val="006F6B67"/>
    <w:rsid w:val="006F7E98"/>
    <w:rsid w:val="007012F5"/>
    <w:rsid w:val="00701B38"/>
    <w:rsid w:val="007020A1"/>
    <w:rsid w:val="00702234"/>
    <w:rsid w:val="0070232F"/>
    <w:rsid w:val="00702C88"/>
    <w:rsid w:val="007033BD"/>
    <w:rsid w:val="007048A1"/>
    <w:rsid w:val="00705833"/>
    <w:rsid w:val="00705B87"/>
    <w:rsid w:val="00705FA5"/>
    <w:rsid w:val="00706861"/>
    <w:rsid w:val="00707833"/>
    <w:rsid w:val="00707E54"/>
    <w:rsid w:val="00710101"/>
    <w:rsid w:val="007104BE"/>
    <w:rsid w:val="00710DB2"/>
    <w:rsid w:val="00711040"/>
    <w:rsid w:val="007113A5"/>
    <w:rsid w:val="007117EF"/>
    <w:rsid w:val="007119F5"/>
    <w:rsid w:val="00712C20"/>
    <w:rsid w:val="0071304C"/>
    <w:rsid w:val="00714C99"/>
    <w:rsid w:val="00714E3A"/>
    <w:rsid w:val="00715E2B"/>
    <w:rsid w:val="00715E6A"/>
    <w:rsid w:val="00715EA3"/>
    <w:rsid w:val="00717473"/>
    <w:rsid w:val="00717E26"/>
    <w:rsid w:val="00720439"/>
    <w:rsid w:val="00720C1E"/>
    <w:rsid w:val="00720E59"/>
    <w:rsid w:val="0072177E"/>
    <w:rsid w:val="00722652"/>
    <w:rsid w:val="00722AC4"/>
    <w:rsid w:val="00722D78"/>
    <w:rsid w:val="007233C2"/>
    <w:rsid w:val="0072389D"/>
    <w:rsid w:val="00723A36"/>
    <w:rsid w:val="00724717"/>
    <w:rsid w:val="00724F47"/>
    <w:rsid w:val="007250CE"/>
    <w:rsid w:val="00725317"/>
    <w:rsid w:val="007264AA"/>
    <w:rsid w:val="00726DA1"/>
    <w:rsid w:val="00727DB8"/>
    <w:rsid w:val="007303C6"/>
    <w:rsid w:val="00730C31"/>
    <w:rsid w:val="00731F16"/>
    <w:rsid w:val="00732CAE"/>
    <w:rsid w:val="00733809"/>
    <w:rsid w:val="00734CF0"/>
    <w:rsid w:val="007356FE"/>
    <w:rsid w:val="00735ECC"/>
    <w:rsid w:val="00736A4A"/>
    <w:rsid w:val="00736CDB"/>
    <w:rsid w:val="00737C79"/>
    <w:rsid w:val="00741349"/>
    <w:rsid w:val="0074302F"/>
    <w:rsid w:val="007432EC"/>
    <w:rsid w:val="0074349B"/>
    <w:rsid w:val="00743D3C"/>
    <w:rsid w:val="0074445E"/>
    <w:rsid w:val="00744D95"/>
    <w:rsid w:val="0075046F"/>
    <w:rsid w:val="00750B7B"/>
    <w:rsid w:val="00751366"/>
    <w:rsid w:val="00752EAB"/>
    <w:rsid w:val="007549F2"/>
    <w:rsid w:val="00754BEA"/>
    <w:rsid w:val="00755B6D"/>
    <w:rsid w:val="007569C1"/>
    <w:rsid w:val="00756B5A"/>
    <w:rsid w:val="00760A29"/>
    <w:rsid w:val="00760D6E"/>
    <w:rsid w:val="00761924"/>
    <w:rsid w:val="007620BD"/>
    <w:rsid w:val="00762755"/>
    <w:rsid w:val="00762AE3"/>
    <w:rsid w:val="00762FB1"/>
    <w:rsid w:val="0076379A"/>
    <w:rsid w:val="00763A65"/>
    <w:rsid w:val="007640A7"/>
    <w:rsid w:val="00764287"/>
    <w:rsid w:val="0076458D"/>
    <w:rsid w:val="007647A7"/>
    <w:rsid w:val="00764C76"/>
    <w:rsid w:val="00764DA8"/>
    <w:rsid w:val="0076544C"/>
    <w:rsid w:val="007656D2"/>
    <w:rsid w:val="00765CF0"/>
    <w:rsid w:val="00766260"/>
    <w:rsid w:val="00766298"/>
    <w:rsid w:val="00766785"/>
    <w:rsid w:val="00766CE6"/>
    <w:rsid w:val="00767937"/>
    <w:rsid w:val="00772A86"/>
    <w:rsid w:val="00773EA4"/>
    <w:rsid w:val="00774F5A"/>
    <w:rsid w:val="007757B3"/>
    <w:rsid w:val="00776375"/>
    <w:rsid w:val="007779E7"/>
    <w:rsid w:val="00780D90"/>
    <w:rsid w:val="00780DDE"/>
    <w:rsid w:val="00780E44"/>
    <w:rsid w:val="007810A2"/>
    <w:rsid w:val="00781E29"/>
    <w:rsid w:val="007824CA"/>
    <w:rsid w:val="00783608"/>
    <w:rsid w:val="00783C9F"/>
    <w:rsid w:val="00784BF2"/>
    <w:rsid w:val="00785C5E"/>
    <w:rsid w:val="007869A5"/>
    <w:rsid w:val="00786AB9"/>
    <w:rsid w:val="007870BC"/>
    <w:rsid w:val="00787B19"/>
    <w:rsid w:val="0079018B"/>
    <w:rsid w:val="00790A4F"/>
    <w:rsid w:val="00791D45"/>
    <w:rsid w:val="007941FD"/>
    <w:rsid w:val="00796CB9"/>
    <w:rsid w:val="00796E56"/>
    <w:rsid w:val="0079778E"/>
    <w:rsid w:val="00797886"/>
    <w:rsid w:val="007A0042"/>
    <w:rsid w:val="007A19DE"/>
    <w:rsid w:val="007A1C25"/>
    <w:rsid w:val="007A2A19"/>
    <w:rsid w:val="007A2AB7"/>
    <w:rsid w:val="007A2AF2"/>
    <w:rsid w:val="007A341E"/>
    <w:rsid w:val="007A3B21"/>
    <w:rsid w:val="007A413C"/>
    <w:rsid w:val="007A41F4"/>
    <w:rsid w:val="007A4D84"/>
    <w:rsid w:val="007A5D02"/>
    <w:rsid w:val="007A7624"/>
    <w:rsid w:val="007B00D7"/>
    <w:rsid w:val="007B1012"/>
    <w:rsid w:val="007B1071"/>
    <w:rsid w:val="007B1B13"/>
    <w:rsid w:val="007B1E2C"/>
    <w:rsid w:val="007B225A"/>
    <w:rsid w:val="007B2656"/>
    <w:rsid w:val="007B2679"/>
    <w:rsid w:val="007B2BDF"/>
    <w:rsid w:val="007B2D3C"/>
    <w:rsid w:val="007B3164"/>
    <w:rsid w:val="007B33EA"/>
    <w:rsid w:val="007B3655"/>
    <w:rsid w:val="007B3B4F"/>
    <w:rsid w:val="007B4097"/>
    <w:rsid w:val="007B560E"/>
    <w:rsid w:val="007B577B"/>
    <w:rsid w:val="007B6555"/>
    <w:rsid w:val="007B6F79"/>
    <w:rsid w:val="007B6FEE"/>
    <w:rsid w:val="007B780D"/>
    <w:rsid w:val="007C031B"/>
    <w:rsid w:val="007C0A3C"/>
    <w:rsid w:val="007C14C4"/>
    <w:rsid w:val="007C1C21"/>
    <w:rsid w:val="007C2EBD"/>
    <w:rsid w:val="007C3DBF"/>
    <w:rsid w:val="007C47D2"/>
    <w:rsid w:val="007C4A76"/>
    <w:rsid w:val="007C4C89"/>
    <w:rsid w:val="007C53AF"/>
    <w:rsid w:val="007C56B6"/>
    <w:rsid w:val="007C5F40"/>
    <w:rsid w:val="007C5F70"/>
    <w:rsid w:val="007C66E5"/>
    <w:rsid w:val="007C7495"/>
    <w:rsid w:val="007C78F9"/>
    <w:rsid w:val="007C7B9B"/>
    <w:rsid w:val="007D2989"/>
    <w:rsid w:val="007D356D"/>
    <w:rsid w:val="007D4BA1"/>
    <w:rsid w:val="007D4BB1"/>
    <w:rsid w:val="007D4E6A"/>
    <w:rsid w:val="007D4FAF"/>
    <w:rsid w:val="007D5295"/>
    <w:rsid w:val="007D5CCF"/>
    <w:rsid w:val="007D6B2F"/>
    <w:rsid w:val="007D6D92"/>
    <w:rsid w:val="007E02C5"/>
    <w:rsid w:val="007E071D"/>
    <w:rsid w:val="007E0E9C"/>
    <w:rsid w:val="007E1C6C"/>
    <w:rsid w:val="007E327D"/>
    <w:rsid w:val="007E379F"/>
    <w:rsid w:val="007E3AEE"/>
    <w:rsid w:val="007E3D5E"/>
    <w:rsid w:val="007E441D"/>
    <w:rsid w:val="007E502D"/>
    <w:rsid w:val="007E71B0"/>
    <w:rsid w:val="007E774B"/>
    <w:rsid w:val="007F0A00"/>
    <w:rsid w:val="007F266D"/>
    <w:rsid w:val="007F2D17"/>
    <w:rsid w:val="007F2F0C"/>
    <w:rsid w:val="007F34B9"/>
    <w:rsid w:val="007F38DD"/>
    <w:rsid w:val="007F470F"/>
    <w:rsid w:val="007F4D4A"/>
    <w:rsid w:val="007F5E3B"/>
    <w:rsid w:val="007F5FDD"/>
    <w:rsid w:val="007F623B"/>
    <w:rsid w:val="007F62F0"/>
    <w:rsid w:val="007F6505"/>
    <w:rsid w:val="007F6F7D"/>
    <w:rsid w:val="007F79E2"/>
    <w:rsid w:val="00800BE0"/>
    <w:rsid w:val="00800E9A"/>
    <w:rsid w:val="008016A5"/>
    <w:rsid w:val="008018A3"/>
    <w:rsid w:val="00801FCA"/>
    <w:rsid w:val="008026E3"/>
    <w:rsid w:val="00803525"/>
    <w:rsid w:val="00805961"/>
    <w:rsid w:val="00807B9B"/>
    <w:rsid w:val="00807E43"/>
    <w:rsid w:val="00810504"/>
    <w:rsid w:val="00810B68"/>
    <w:rsid w:val="00810F8C"/>
    <w:rsid w:val="00810FAA"/>
    <w:rsid w:val="00811D41"/>
    <w:rsid w:val="0081253E"/>
    <w:rsid w:val="0081281E"/>
    <w:rsid w:val="00812C5D"/>
    <w:rsid w:val="00812D47"/>
    <w:rsid w:val="0081349B"/>
    <w:rsid w:val="008137B9"/>
    <w:rsid w:val="00814491"/>
    <w:rsid w:val="00815645"/>
    <w:rsid w:val="008159E8"/>
    <w:rsid w:val="00816118"/>
    <w:rsid w:val="0081667F"/>
    <w:rsid w:val="00816A63"/>
    <w:rsid w:val="00816CB2"/>
    <w:rsid w:val="00816FD9"/>
    <w:rsid w:val="00817225"/>
    <w:rsid w:val="008173AF"/>
    <w:rsid w:val="00820912"/>
    <w:rsid w:val="008222EB"/>
    <w:rsid w:val="00822925"/>
    <w:rsid w:val="00822A63"/>
    <w:rsid w:val="00822BBB"/>
    <w:rsid w:val="00824FF3"/>
    <w:rsid w:val="00826908"/>
    <w:rsid w:val="00826D99"/>
    <w:rsid w:val="008319CD"/>
    <w:rsid w:val="008324B7"/>
    <w:rsid w:val="008324FE"/>
    <w:rsid w:val="00832D5D"/>
    <w:rsid w:val="00835DB5"/>
    <w:rsid w:val="00835F8C"/>
    <w:rsid w:val="00836009"/>
    <w:rsid w:val="008361D9"/>
    <w:rsid w:val="00836ADE"/>
    <w:rsid w:val="00836DCA"/>
    <w:rsid w:val="00837AEF"/>
    <w:rsid w:val="0084249C"/>
    <w:rsid w:val="00842F1E"/>
    <w:rsid w:val="00842FDB"/>
    <w:rsid w:val="0084398F"/>
    <w:rsid w:val="0084424A"/>
    <w:rsid w:val="00844EF8"/>
    <w:rsid w:val="00846130"/>
    <w:rsid w:val="00846926"/>
    <w:rsid w:val="008471E2"/>
    <w:rsid w:val="008474A8"/>
    <w:rsid w:val="00847744"/>
    <w:rsid w:val="00847D46"/>
    <w:rsid w:val="0085121E"/>
    <w:rsid w:val="00851E1D"/>
    <w:rsid w:val="008522BA"/>
    <w:rsid w:val="008524D9"/>
    <w:rsid w:val="008529C5"/>
    <w:rsid w:val="00852A89"/>
    <w:rsid w:val="00852B11"/>
    <w:rsid w:val="00854995"/>
    <w:rsid w:val="00855C58"/>
    <w:rsid w:val="00856CAD"/>
    <w:rsid w:val="00856FCC"/>
    <w:rsid w:val="0085750E"/>
    <w:rsid w:val="00857C96"/>
    <w:rsid w:val="008608F7"/>
    <w:rsid w:val="00860BE9"/>
    <w:rsid w:val="00860D74"/>
    <w:rsid w:val="00861122"/>
    <w:rsid w:val="008621E1"/>
    <w:rsid w:val="00862E4F"/>
    <w:rsid w:val="00864688"/>
    <w:rsid w:val="00864AFC"/>
    <w:rsid w:val="008654A6"/>
    <w:rsid w:val="00865D9A"/>
    <w:rsid w:val="00866261"/>
    <w:rsid w:val="00866871"/>
    <w:rsid w:val="00866A39"/>
    <w:rsid w:val="00867401"/>
    <w:rsid w:val="008700A7"/>
    <w:rsid w:val="008715B1"/>
    <w:rsid w:val="0087161B"/>
    <w:rsid w:val="00871EB1"/>
    <w:rsid w:val="00871FDF"/>
    <w:rsid w:val="00872187"/>
    <w:rsid w:val="00874A63"/>
    <w:rsid w:val="00874F30"/>
    <w:rsid w:val="008751A3"/>
    <w:rsid w:val="00875E68"/>
    <w:rsid w:val="00876358"/>
    <w:rsid w:val="0087769D"/>
    <w:rsid w:val="00877B46"/>
    <w:rsid w:val="00877CA1"/>
    <w:rsid w:val="00880D83"/>
    <w:rsid w:val="00881334"/>
    <w:rsid w:val="008816B2"/>
    <w:rsid w:val="00881C74"/>
    <w:rsid w:val="00881F59"/>
    <w:rsid w:val="008821BE"/>
    <w:rsid w:val="00882786"/>
    <w:rsid w:val="00882886"/>
    <w:rsid w:val="008828DE"/>
    <w:rsid w:val="00883041"/>
    <w:rsid w:val="00883725"/>
    <w:rsid w:val="00883E55"/>
    <w:rsid w:val="00884555"/>
    <w:rsid w:val="00884A4A"/>
    <w:rsid w:val="00886B14"/>
    <w:rsid w:val="00886DC5"/>
    <w:rsid w:val="00887125"/>
    <w:rsid w:val="0088755D"/>
    <w:rsid w:val="00887703"/>
    <w:rsid w:val="00891D65"/>
    <w:rsid w:val="00891E89"/>
    <w:rsid w:val="0089243E"/>
    <w:rsid w:val="008931D2"/>
    <w:rsid w:val="00893F45"/>
    <w:rsid w:val="00894AA8"/>
    <w:rsid w:val="00894BEF"/>
    <w:rsid w:val="00894E0E"/>
    <w:rsid w:val="00894F43"/>
    <w:rsid w:val="00895E8E"/>
    <w:rsid w:val="00896108"/>
    <w:rsid w:val="00896A4A"/>
    <w:rsid w:val="00896BB0"/>
    <w:rsid w:val="00897B0E"/>
    <w:rsid w:val="00897BFA"/>
    <w:rsid w:val="00897C45"/>
    <w:rsid w:val="00897CFD"/>
    <w:rsid w:val="008A0E45"/>
    <w:rsid w:val="008A1142"/>
    <w:rsid w:val="008A144B"/>
    <w:rsid w:val="008A15F8"/>
    <w:rsid w:val="008A17ED"/>
    <w:rsid w:val="008A213C"/>
    <w:rsid w:val="008A38BD"/>
    <w:rsid w:val="008A399B"/>
    <w:rsid w:val="008A3BA1"/>
    <w:rsid w:val="008A41EF"/>
    <w:rsid w:val="008A442E"/>
    <w:rsid w:val="008A55EE"/>
    <w:rsid w:val="008A5AFC"/>
    <w:rsid w:val="008A6367"/>
    <w:rsid w:val="008A6FB4"/>
    <w:rsid w:val="008A7B0B"/>
    <w:rsid w:val="008A7B14"/>
    <w:rsid w:val="008B040B"/>
    <w:rsid w:val="008B0928"/>
    <w:rsid w:val="008B13E2"/>
    <w:rsid w:val="008B1AB9"/>
    <w:rsid w:val="008B1ECD"/>
    <w:rsid w:val="008B29CA"/>
    <w:rsid w:val="008B2AEF"/>
    <w:rsid w:val="008B2F02"/>
    <w:rsid w:val="008B3285"/>
    <w:rsid w:val="008B3C7A"/>
    <w:rsid w:val="008B4899"/>
    <w:rsid w:val="008B4BA5"/>
    <w:rsid w:val="008B5150"/>
    <w:rsid w:val="008B5A1C"/>
    <w:rsid w:val="008B608E"/>
    <w:rsid w:val="008B677E"/>
    <w:rsid w:val="008B732F"/>
    <w:rsid w:val="008B76F4"/>
    <w:rsid w:val="008C0296"/>
    <w:rsid w:val="008C0B25"/>
    <w:rsid w:val="008C16DB"/>
    <w:rsid w:val="008C1875"/>
    <w:rsid w:val="008C2437"/>
    <w:rsid w:val="008C31C7"/>
    <w:rsid w:val="008C381F"/>
    <w:rsid w:val="008C41C0"/>
    <w:rsid w:val="008C49D2"/>
    <w:rsid w:val="008C641C"/>
    <w:rsid w:val="008C6B69"/>
    <w:rsid w:val="008C6E90"/>
    <w:rsid w:val="008D010E"/>
    <w:rsid w:val="008D080C"/>
    <w:rsid w:val="008D1E63"/>
    <w:rsid w:val="008D22FD"/>
    <w:rsid w:val="008D46CC"/>
    <w:rsid w:val="008D50B9"/>
    <w:rsid w:val="008D5962"/>
    <w:rsid w:val="008D5B71"/>
    <w:rsid w:val="008D63D3"/>
    <w:rsid w:val="008D6D10"/>
    <w:rsid w:val="008D7072"/>
    <w:rsid w:val="008D79FA"/>
    <w:rsid w:val="008D7C32"/>
    <w:rsid w:val="008E0A1E"/>
    <w:rsid w:val="008E2DF5"/>
    <w:rsid w:val="008E2F1C"/>
    <w:rsid w:val="008E2F97"/>
    <w:rsid w:val="008E5BE4"/>
    <w:rsid w:val="008E6430"/>
    <w:rsid w:val="008E787B"/>
    <w:rsid w:val="008E7C74"/>
    <w:rsid w:val="008E7D59"/>
    <w:rsid w:val="008F025A"/>
    <w:rsid w:val="008F058D"/>
    <w:rsid w:val="008F0AA1"/>
    <w:rsid w:val="008F1A01"/>
    <w:rsid w:val="008F1B00"/>
    <w:rsid w:val="008F1B99"/>
    <w:rsid w:val="008F4138"/>
    <w:rsid w:val="008F54DE"/>
    <w:rsid w:val="008F624F"/>
    <w:rsid w:val="008F7483"/>
    <w:rsid w:val="008F7527"/>
    <w:rsid w:val="009004C3"/>
    <w:rsid w:val="0090123A"/>
    <w:rsid w:val="009021D0"/>
    <w:rsid w:val="0090227F"/>
    <w:rsid w:val="009037E7"/>
    <w:rsid w:val="009038FB"/>
    <w:rsid w:val="00903C93"/>
    <w:rsid w:val="00903F2B"/>
    <w:rsid w:val="009040E9"/>
    <w:rsid w:val="009043D8"/>
    <w:rsid w:val="00904450"/>
    <w:rsid w:val="00904A33"/>
    <w:rsid w:val="00905357"/>
    <w:rsid w:val="00905EDD"/>
    <w:rsid w:val="00906833"/>
    <w:rsid w:val="009104D6"/>
    <w:rsid w:val="0091051E"/>
    <w:rsid w:val="00910A20"/>
    <w:rsid w:val="009113CB"/>
    <w:rsid w:val="00911436"/>
    <w:rsid w:val="00911CA4"/>
    <w:rsid w:val="00912596"/>
    <w:rsid w:val="00912ADF"/>
    <w:rsid w:val="00912CD6"/>
    <w:rsid w:val="00913BED"/>
    <w:rsid w:val="009155EA"/>
    <w:rsid w:val="00915669"/>
    <w:rsid w:val="00915AF4"/>
    <w:rsid w:val="00915E91"/>
    <w:rsid w:val="009171A1"/>
    <w:rsid w:val="00920124"/>
    <w:rsid w:val="0092128C"/>
    <w:rsid w:val="009218A1"/>
    <w:rsid w:val="00921A41"/>
    <w:rsid w:val="00922032"/>
    <w:rsid w:val="00922362"/>
    <w:rsid w:val="009230AD"/>
    <w:rsid w:val="00923C04"/>
    <w:rsid w:val="00924F0A"/>
    <w:rsid w:val="00925CC9"/>
    <w:rsid w:val="00926E5C"/>
    <w:rsid w:val="00930659"/>
    <w:rsid w:val="00932D74"/>
    <w:rsid w:val="009331DE"/>
    <w:rsid w:val="00933307"/>
    <w:rsid w:val="00933CEF"/>
    <w:rsid w:val="00934F9C"/>
    <w:rsid w:val="00934FD4"/>
    <w:rsid w:val="00935620"/>
    <w:rsid w:val="00936B2B"/>
    <w:rsid w:val="00937800"/>
    <w:rsid w:val="00937D55"/>
    <w:rsid w:val="00937DA0"/>
    <w:rsid w:val="00937FEC"/>
    <w:rsid w:val="00940693"/>
    <w:rsid w:val="0094112F"/>
    <w:rsid w:val="00941A2B"/>
    <w:rsid w:val="00941B3D"/>
    <w:rsid w:val="0094369C"/>
    <w:rsid w:val="0094457E"/>
    <w:rsid w:val="0094493F"/>
    <w:rsid w:val="00945028"/>
    <w:rsid w:val="00945065"/>
    <w:rsid w:val="00945963"/>
    <w:rsid w:val="00945AD4"/>
    <w:rsid w:val="00945BEC"/>
    <w:rsid w:val="00945EB3"/>
    <w:rsid w:val="009467D0"/>
    <w:rsid w:val="0094681F"/>
    <w:rsid w:val="00946991"/>
    <w:rsid w:val="00946D03"/>
    <w:rsid w:val="0094714F"/>
    <w:rsid w:val="00947BD0"/>
    <w:rsid w:val="00951266"/>
    <w:rsid w:val="00951421"/>
    <w:rsid w:val="00951423"/>
    <w:rsid w:val="00951832"/>
    <w:rsid w:val="00953BD9"/>
    <w:rsid w:val="00954759"/>
    <w:rsid w:val="00954B99"/>
    <w:rsid w:val="00954D8C"/>
    <w:rsid w:val="009568D7"/>
    <w:rsid w:val="00956CB7"/>
    <w:rsid w:val="009572D5"/>
    <w:rsid w:val="009575FB"/>
    <w:rsid w:val="00957A21"/>
    <w:rsid w:val="00960504"/>
    <w:rsid w:val="00961097"/>
    <w:rsid w:val="00962677"/>
    <w:rsid w:val="00962B2B"/>
    <w:rsid w:val="0096321E"/>
    <w:rsid w:val="00963DBB"/>
    <w:rsid w:val="00964240"/>
    <w:rsid w:val="0096459E"/>
    <w:rsid w:val="0096498F"/>
    <w:rsid w:val="00964DAF"/>
    <w:rsid w:val="00965364"/>
    <w:rsid w:val="00966423"/>
    <w:rsid w:val="00966AF6"/>
    <w:rsid w:val="00967294"/>
    <w:rsid w:val="009677DC"/>
    <w:rsid w:val="0097059E"/>
    <w:rsid w:val="009706F1"/>
    <w:rsid w:val="009707DD"/>
    <w:rsid w:val="00970F9F"/>
    <w:rsid w:val="009718FA"/>
    <w:rsid w:val="00972F37"/>
    <w:rsid w:val="00973B2E"/>
    <w:rsid w:val="00973F45"/>
    <w:rsid w:val="009743DC"/>
    <w:rsid w:val="00974788"/>
    <w:rsid w:val="009750C7"/>
    <w:rsid w:val="00976740"/>
    <w:rsid w:val="00977021"/>
    <w:rsid w:val="0097761C"/>
    <w:rsid w:val="00977E9B"/>
    <w:rsid w:val="009806FA"/>
    <w:rsid w:val="009823A8"/>
    <w:rsid w:val="00983900"/>
    <w:rsid w:val="00983EEF"/>
    <w:rsid w:val="00984077"/>
    <w:rsid w:val="009843F8"/>
    <w:rsid w:val="00985D79"/>
    <w:rsid w:val="00986446"/>
    <w:rsid w:val="00987FEC"/>
    <w:rsid w:val="00990704"/>
    <w:rsid w:val="00990B45"/>
    <w:rsid w:val="0099121B"/>
    <w:rsid w:val="00991666"/>
    <w:rsid w:val="00991F97"/>
    <w:rsid w:val="0099233B"/>
    <w:rsid w:val="00992C29"/>
    <w:rsid w:val="00992D2D"/>
    <w:rsid w:val="00993E6E"/>
    <w:rsid w:val="0099493B"/>
    <w:rsid w:val="009951C4"/>
    <w:rsid w:val="009952CD"/>
    <w:rsid w:val="009958B7"/>
    <w:rsid w:val="0099647A"/>
    <w:rsid w:val="00997A3C"/>
    <w:rsid w:val="00997A44"/>
    <w:rsid w:val="009A0696"/>
    <w:rsid w:val="009A0CBB"/>
    <w:rsid w:val="009A2B03"/>
    <w:rsid w:val="009A3380"/>
    <w:rsid w:val="009A37A2"/>
    <w:rsid w:val="009A4033"/>
    <w:rsid w:val="009A4925"/>
    <w:rsid w:val="009A4F7A"/>
    <w:rsid w:val="009A52BE"/>
    <w:rsid w:val="009A5491"/>
    <w:rsid w:val="009A5A1F"/>
    <w:rsid w:val="009A6906"/>
    <w:rsid w:val="009A6DFC"/>
    <w:rsid w:val="009A6EB1"/>
    <w:rsid w:val="009A70FC"/>
    <w:rsid w:val="009B1BA0"/>
    <w:rsid w:val="009B1E85"/>
    <w:rsid w:val="009B22C5"/>
    <w:rsid w:val="009B26A3"/>
    <w:rsid w:val="009B2E28"/>
    <w:rsid w:val="009B3A9F"/>
    <w:rsid w:val="009B3C68"/>
    <w:rsid w:val="009B3D2A"/>
    <w:rsid w:val="009B5362"/>
    <w:rsid w:val="009B6B0C"/>
    <w:rsid w:val="009B7475"/>
    <w:rsid w:val="009B75F4"/>
    <w:rsid w:val="009B7E13"/>
    <w:rsid w:val="009C1218"/>
    <w:rsid w:val="009C13BC"/>
    <w:rsid w:val="009C1C48"/>
    <w:rsid w:val="009C234E"/>
    <w:rsid w:val="009C25F3"/>
    <w:rsid w:val="009C4AFF"/>
    <w:rsid w:val="009C4FF4"/>
    <w:rsid w:val="009C5D25"/>
    <w:rsid w:val="009D0E19"/>
    <w:rsid w:val="009D1101"/>
    <w:rsid w:val="009D189A"/>
    <w:rsid w:val="009D2338"/>
    <w:rsid w:val="009D2435"/>
    <w:rsid w:val="009D2570"/>
    <w:rsid w:val="009D2B00"/>
    <w:rsid w:val="009D357D"/>
    <w:rsid w:val="009D3634"/>
    <w:rsid w:val="009D42B0"/>
    <w:rsid w:val="009D45E0"/>
    <w:rsid w:val="009D4E9C"/>
    <w:rsid w:val="009D6328"/>
    <w:rsid w:val="009D7D99"/>
    <w:rsid w:val="009D7E59"/>
    <w:rsid w:val="009E00D3"/>
    <w:rsid w:val="009E0232"/>
    <w:rsid w:val="009E19BF"/>
    <w:rsid w:val="009E3672"/>
    <w:rsid w:val="009E3B62"/>
    <w:rsid w:val="009E4BCD"/>
    <w:rsid w:val="009E578D"/>
    <w:rsid w:val="009E5A79"/>
    <w:rsid w:val="009E5AB7"/>
    <w:rsid w:val="009E60B9"/>
    <w:rsid w:val="009E662B"/>
    <w:rsid w:val="009E6A17"/>
    <w:rsid w:val="009E7480"/>
    <w:rsid w:val="009E7B60"/>
    <w:rsid w:val="009E7CF1"/>
    <w:rsid w:val="009F01B8"/>
    <w:rsid w:val="009F05FD"/>
    <w:rsid w:val="009F17B5"/>
    <w:rsid w:val="009F1814"/>
    <w:rsid w:val="009F1BCA"/>
    <w:rsid w:val="009F2E22"/>
    <w:rsid w:val="009F313B"/>
    <w:rsid w:val="009F3514"/>
    <w:rsid w:val="009F3852"/>
    <w:rsid w:val="009F3EF6"/>
    <w:rsid w:val="009F43F6"/>
    <w:rsid w:val="009F46BA"/>
    <w:rsid w:val="009F4AF6"/>
    <w:rsid w:val="009F4B56"/>
    <w:rsid w:val="009F4FE4"/>
    <w:rsid w:val="009F58EB"/>
    <w:rsid w:val="009F6146"/>
    <w:rsid w:val="009F76F9"/>
    <w:rsid w:val="00A00383"/>
    <w:rsid w:val="00A00E73"/>
    <w:rsid w:val="00A015A0"/>
    <w:rsid w:val="00A01D0E"/>
    <w:rsid w:val="00A025BF"/>
    <w:rsid w:val="00A02680"/>
    <w:rsid w:val="00A029B6"/>
    <w:rsid w:val="00A034D0"/>
    <w:rsid w:val="00A03AC3"/>
    <w:rsid w:val="00A04C30"/>
    <w:rsid w:val="00A04D37"/>
    <w:rsid w:val="00A050DD"/>
    <w:rsid w:val="00A05399"/>
    <w:rsid w:val="00A055C3"/>
    <w:rsid w:val="00A05620"/>
    <w:rsid w:val="00A05771"/>
    <w:rsid w:val="00A1097E"/>
    <w:rsid w:val="00A1148B"/>
    <w:rsid w:val="00A124E6"/>
    <w:rsid w:val="00A137D7"/>
    <w:rsid w:val="00A13B13"/>
    <w:rsid w:val="00A153E8"/>
    <w:rsid w:val="00A162DE"/>
    <w:rsid w:val="00A1676E"/>
    <w:rsid w:val="00A169D9"/>
    <w:rsid w:val="00A16ADD"/>
    <w:rsid w:val="00A16F54"/>
    <w:rsid w:val="00A16FA4"/>
    <w:rsid w:val="00A17227"/>
    <w:rsid w:val="00A178BD"/>
    <w:rsid w:val="00A2027C"/>
    <w:rsid w:val="00A203BC"/>
    <w:rsid w:val="00A205E6"/>
    <w:rsid w:val="00A2091D"/>
    <w:rsid w:val="00A21A7B"/>
    <w:rsid w:val="00A21DE8"/>
    <w:rsid w:val="00A21EC6"/>
    <w:rsid w:val="00A22722"/>
    <w:rsid w:val="00A22A1D"/>
    <w:rsid w:val="00A233A1"/>
    <w:rsid w:val="00A238A7"/>
    <w:rsid w:val="00A239F5"/>
    <w:rsid w:val="00A2447F"/>
    <w:rsid w:val="00A24A45"/>
    <w:rsid w:val="00A24B27"/>
    <w:rsid w:val="00A25186"/>
    <w:rsid w:val="00A26538"/>
    <w:rsid w:val="00A26CCC"/>
    <w:rsid w:val="00A27320"/>
    <w:rsid w:val="00A273E4"/>
    <w:rsid w:val="00A2760D"/>
    <w:rsid w:val="00A3020C"/>
    <w:rsid w:val="00A31958"/>
    <w:rsid w:val="00A31FA7"/>
    <w:rsid w:val="00A32035"/>
    <w:rsid w:val="00A3246B"/>
    <w:rsid w:val="00A33316"/>
    <w:rsid w:val="00A33337"/>
    <w:rsid w:val="00A33C4E"/>
    <w:rsid w:val="00A33C65"/>
    <w:rsid w:val="00A33C8F"/>
    <w:rsid w:val="00A33D59"/>
    <w:rsid w:val="00A3401E"/>
    <w:rsid w:val="00A34432"/>
    <w:rsid w:val="00A3461C"/>
    <w:rsid w:val="00A34912"/>
    <w:rsid w:val="00A349F7"/>
    <w:rsid w:val="00A354D3"/>
    <w:rsid w:val="00A3574C"/>
    <w:rsid w:val="00A3632E"/>
    <w:rsid w:val="00A36D97"/>
    <w:rsid w:val="00A37145"/>
    <w:rsid w:val="00A40CB4"/>
    <w:rsid w:val="00A41ABE"/>
    <w:rsid w:val="00A41EB4"/>
    <w:rsid w:val="00A4368F"/>
    <w:rsid w:val="00A43706"/>
    <w:rsid w:val="00A43724"/>
    <w:rsid w:val="00A43779"/>
    <w:rsid w:val="00A439F7"/>
    <w:rsid w:val="00A43D32"/>
    <w:rsid w:val="00A44947"/>
    <w:rsid w:val="00A44CDF"/>
    <w:rsid w:val="00A463D1"/>
    <w:rsid w:val="00A46726"/>
    <w:rsid w:val="00A46B54"/>
    <w:rsid w:val="00A46BA0"/>
    <w:rsid w:val="00A50547"/>
    <w:rsid w:val="00A514C9"/>
    <w:rsid w:val="00A515B8"/>
    <w:rsid w:val="00A517BA"/>
    <w:rsid w:val="00A51A81"/>
    <w:rsid w:val="00A52195"/>
    <w:rsid w:val="00A5395B"/>
    <w:rsid w:val="00A53D48"/>
    <w:rsid w:val="00A54DAE"/>
    <w:rsid w:val="00A54FB5"/>
    <w:rsid w:val="00A55053"/>
    <w:rsid w:val="00A55237"/>
    <w:rsid w:val="00A553AA"/>
    <w:rsid w:val="00A55D34"/>
    <w:rsid w:val="00A563A7"/>
    <w:rsid w:val="00A5680F"/>
    <w:rsid w:val="00A56918"/>
    <w:rsid w:val="00A56A0F"/>
    <w:rsid w:val="00A56E34"/>
    <w:rsid w:val="00A56EBD"/>
    <w:rsid w:val="00A57730"/>
    <w:rsid w:val="00A57959"/>
    <w:rsid w:val="00A57C69"/>
    <w:rsid w:val="00A60F81"/>
    <w:rsid w:val="00A61A16"/>
    <w:rsid w:val="00A62D1F"/>
    <w:rsid w:val="00A6334E"/>
    <w:rsid w:val="00A63A19"/>
    <w:rsid w:val="00A63B87"/>
    <w:rsid w:val="00A64862"/>
    <w:rsid w:val="00A64B88"/>
    <w:rsid w:val="00A65E0C"/>
    <w:rsid w:val="00A65E5D"/>
    <w:rsid w:val="00A65E7B"/>
    <w:rsid w:val="00A66F6D"/>
    <w:rsid w:val="00A67D33"/>
    <w:rsid w:val="00A70EB5"/>
    <w:rsid w:val="00A72086"/>
    <w:rsid w:val="00A730DF"/>
    <w:rsid w:val="00A7321B"/>
    <w:rsid w:val="00A73AEC"/>
    <w:rsid w:val="00A74000"/>
    <w:rsid w:val="00A74EEA"/>
    <w:rsid w:val="00A753D9"/>
    <w:rsid w:val="00A77A26"/>
    <w:rsid w:val="00A808E4"/>
    <w:rsid w:val="00A81A29"/>
    <w:rsid w:val="00A81A48"/>
    <w:rsid w:val="00A81F64"/>
    <w:rsid w:val="00A81FA1"/>
    <w:rsid w:val="00A8232B"/>
    <w:rsid w:val="00A8276A"/>
    <w:rsid w:val="00A8276F"/>
    <w:rsid w:val="00A82883"/>
    <w:rsid w:val="00A829D8"/>
    <w:rsid w:val="00A8308C"/>
    <w:rsid w:val="00A83B74"/>
    <w:rsid w:val="00A83D3F"/>
    <w:rsid w:val="00A84076"/>
    <w:rsid w:val="00A85853"/>
    <w:rsid w:val="00A86E84"/>
    <w:rsid w:val="00A8732B"/>
    <w:rsid w:val="00A87B29"/>
    <w:rsid w:val="00A87B5B"/>
    <w:rsid w:val="00A90BFF"/>
    <w:rsid w:val="00A90C2C"/>
    <w:rsid w:val="00A91113"/>
    <w:rsid w:val="00A92924"/>
    <w:rsid w:val="00A92B0B"/>
    <w:rsid w:val="00A92E70"/>
    <w:rsid w:val="00A93A8D"/>
    <w:rsid w:val="00A93FF3"/>
    <w:rsid w:val="00A940A2"/>
    <w:rsid w:val="00A94BF1"/>
    <w:rsid w:val="00A94CA8"/>
    <w:rsid w:val="00A95014"/>
    <w:rsid w:val="00A955F4"/>
    <w:rsid w:val="00A95EF2"/>
    <w:rsid w:val="00A95EF6"/>
    <w:rsid w:val="00A961F0"/>
    <w:rsid w:val="00A96553"/>
    <w:rsid w:val="00A96FB1"/>
    <w:rsid w:val="00A97D29"/>
    <w:rsid w:val="00A97D49"/>
    <w:rsid w:val="00AA1397"/>
    <w:rsid w:val="00AA1DD0"/>
    <w:rsid w:val="00AA29D0"/>
    <w:rsid w:val="00AA2E08"/>
    <w:rsid w:val="00AA39A7"/>
    <w:rsid w:val="00AA3BDF"/>
    <w:rsid w:val="00AA4AB1"/>
    <w:rsid w:val="00AA4B06"/>
    <w:rsid w:val="00AA4FC9"/>
    <w:rsid w:val="00AA7851"/>
    <w:rsid w:val="00AA7E9F"/>
    <w:rsid w:val="00AB28B0"/>
    <w:rsid w:val="00AB2BFE"/>
    <w:rsid w:val="00AB2D96"/>
    <w:rsid w:val="00AB2FF1"/>
    <w:rsid w:val="00AB3EF9"/>
    <w:rsid w:val="00AB450B"/>
    <w:rsid w:val="00AB59B6"/>
    <w:rsid w:val="00AB6C18"/>
    <w:rsid w:val="00AB78B3"/>
    <w:rsid w:val="00AB7A72"/>
    <w:rsid w:val="00AC0BBB"/>
    <w:rsid w:val="00AC0CE3"/>
    <w:rsid w:val="00AC0F44"/>
    <w:rsid w:val="00AC1659"/>
    <w:rsid w:val="00AC1B8B"/>
    <w:rsid w:val="00AC327F"/>
    <w:rsid w:val="00AC4BCE"/>
    <w:rsid w:val="00AC5280"/>
    <w:rsid w:val="00AC5FD9"/>
    <w:rsid w:val="00AC6493"/>
    <w:rsid w:val="00AC6F83"/>
    <w:rsid w:val="00AC780D"/>
    <w:rsid w:val="00AC7858"/>
    <w:rsid w:val="00AC796D"/>
    <w:rsid w:val="00AC7D39"/>
    <w:rsid w:val="00AD0A31"/>
    <w:rsid w:val="00AD0A6E"/>
    <w:rsid w:val="00AD0F09"/>
    <w:rsid w:val="00AD2038"/>
    <w:rsid w:val="00AD2538"/>
    <w:rsid w:val="00AD35DD"/>
    <w:rsid w:val="00AD3E2C"/>
    <w:rsid w:val="00AD446A"/>
    <w:rsid w:val="00AD4A1C"/>
    <w:rsid w:val="00AD6761"/>
    <w:rsid w:val="00AD73BD"/>
    <w:rsid w:val="00AD75C0"/>
    <w:rsid w:val="00AE0372"/>
    <w:rsid w:val="00AE0CF5"/>
    <w:rsid w:val="00AE193E"/>
    <w:rsid w:val="00AE1DCA"/>
    <w:rsid w:val="00AE29A3"/>
    <w:rsid w:val="00AE2DFA"/>
    <w:rsid w:val="00AE3F77"/>
    <w:rsid w:val="00AE4272"/>
    <w:rsid w:val="00AE4684"/>
    <w:rsid w:val="00AE4BD7"/>
    <w:rsid w:val="00AE53BD"/>
    <w:rsid w:val="00AE5726"/>
    <w:rsid w:val="00AE5B63"/>
    <w:rsid w:val="00AE72FA"/>
    <w:rsid w:val="00AE79DC"/>
    <w:rsid w:val="00AF075D"/>
    <w:rsid w:val="00AF0A45"/>
    <w:rsid w:val="00AF0C82"/>
    <w:rsid w:val="00AF10B0"/>
    <w:rsid w:val="00AF1359"/>
    <w:rsid w:val="00AF1534"/>
    <w:rsid w:val="00AF2914"/>
    <w:rsid w:val="00AF30BD"/>
    <w:rsid w:val="00AF30D8"/>
    <w:rsid w:val="00AF358E"/>
    <w:rsid w:val="00AF382C"/>
    <w:rsid w:val="00AF58C1"/>
    <w:rsid w:val="00AF68F3"/>
    <w:rsid w:val="00AF6BCC"/>
    <w:rsid w:val="00AF79B8"/>
    <w:rsid w:val="00AF7EEC"/>
    <w:rsid w:val="00B00E7C"/>
    <w:rsid w:val="00B01796"/>
    <w:rsid w:val="00B017F4"/>
    <w:rsid w:val="00B01DAA"/>
    <w:rsid w:val="00B02661"/>
    <w:rsid w:val="00B02A1A"/>
    <w:rsid w:val="00B02C2A"/>
    <w:rsid w:val="00B037D0"/>
    <w:rsid w:val="00B04197"/>
    <w:rsid w:val="00B04555"/>
    <w:rsid w:val="00B04F4A"/>
    <w:rsid w:val="00B05403"/>
    <w:rsid w:val="00B05528"/>
    <w:rsid w:val="00B065F7"/>
    <w:rsid w:val="00B06775"/>
    <w:rsid w:val="00B06CBE"/>
    <w:rsid w:val="00B072AF"/>
    <w:rsid w:val="00B07390"/>
    <w:rsid w:val="00B07610"/>
    <w:rsid w:val="00B07805"/>
    <w:rsid w:val="00B07CCF"/>
    <w:rsid w:val="00B07CE1"/>
    <w:rsid w:val="00B07F50"/>
    <w:rsid w:val="00B11D39"/>
    <w:rsid w:val="00B11EBA"/>
    <w:rsid w:val="00B11ED2"/>
    <w:rsid w:val="00B12396"/>
    <w:rsid w:val="00B12EC7"/>
    <w:rsid w:val="00B1392B"/>
    <w:rsid w:val="00B13C2B"/>
    <w:rsid w:val="00B13D8E"/>
    <w:rsid w:val="00B14276"/>
    <w:rsid w:val="00B156B3"/>
    <w:rsid w:val="00B16C0F"/>
    <w:rsid w:val="00B17488"/>
    <w:rsid w:val="00B17B7C"/>
    <w:rsid w:val="00B2042F"/>
    <w:rsid w:val="00B20677"/>
    <w:rsid w:val="00B213FC"/>
    <w:rsid w:val="00B23065"/>
    <w:rsid w:val="00B23841"/>
    <w:rsid w:val="00B2457F"/>
    <w:rsid w:val="00B25585"/>
    <w:rsid w:val="00B260AB"/>
    <w:rsid w:val="00B26382"/>
    <w:rsid w:val="00B267F7"/>
    <w:rsid w:val="00B26F57"/>
    <w:rsid w:val="00B2714E"/>
    <w:rsid w:val="00B272AE"/>
    <w:rsid w:val="00B2740B"/>
    <w:rsid w:val="00B27A33"/>
    <w:rsid w:val="00B27AF8"/>
    <w:rsid w:val="00B31624"/>
    <w:rsid w:val="00B31694"/>
    <w:rsid w:val="00B316DA"/>
    <w:rsid w:val="00B3173C"/>
    <w:rsid w:val="00B31AC5"/>
    <w:rsid w:val="00B34287"/>
    <w:rsid w:val="00B34819"/>
    <w:rsid w:val="00B360E7"/>
    <w:rsid w:val="00B3614A"/>
    <w:rsid w:val="00B36371"/>
    <w:rsid w:val="00B366E1"/>
    <w:rsid w:val="00B37B87"/>
    <w:rsid w:val="00B3E1C9"/>
    <w:rsid w:val="00B40481"/>
    <w:rsid w:val="00B40BCA"/>
    <w:rsid w:val="00B425EC"/>
    <w:rsid w:val="00B428B8"/>
    <w:rsid w:val="00B439DC"/>
    <w:rsid w:val="00B43E17"/>
    <w:rsid w:val="00B44967"/>
    <w:rsid w:val="00B44C05"/>
    <w:rsid w:val="00B44C7C"/>
    <w:rsid w:val="00B45324"/>
    <w:rsid w:val="00B456C4"/>
    <w:rsid w:val="00B45BB1"/>
    <w:rsid w:val="00B45F77"/>
    <w:rsid w:val="00B461CB"/>
    <w:rsid w:val="00B47DBB"/>
    <w:rsid w:val="00B50E93"/>
    <w:rsid w:val="00B5102D"/>
    <w:rsid w:val="00B51B6E"/>
    <w:rsid w:val="00B521E2"/>
    <w:rsid w:val="00B5250D"/>
    <w:rsid w:val="00B5297F"/>
    <w:rsid w:val="00B52988"/>
    <w:rsid w:val="00B52CFF"/>
    <w:rsid w:val="00B52F16"/>
    <w:rsid w:val="00B53C4B"/>
    <w:rsid w:val="00B54716"/>
    <w:rsid w:val="00B547AF"/>
    <w:rsid w:val="00B54C1F"/>
    <w:rsid w:val="00B54D7A"/>
    <w:rsid w:val="00B54E52"/>
    <w:rsid w:val="00B5553A"/>
    <w:rsid w:val="00B55672"/>
    <w:rsid w:val="00B557F1"/>
    <w:rsid w:val="00B55BBF"/>
    <w:rsid w:val="00B57333"/>
    <w:rsid w:val="00B57856"/>
    <w:rsid w:val="00B57DE7"/>
    <w:rsid w:val="00B60729"/>
    <w:rsid w:val="00B60EC4"/>
    <w:rsid w:val="00B6122C"/>
    <w:rsid w:val="00B6145E"/>
    <w:rsid w:val="00B62884"/>
    <w:rsid w:val="00B64D99"/>
    <w:rsid w:val="00B659CD"/>
    <w:rsid w:val="00B67720"/>
    <w:rsid w:val="00B67A77"/>
    <w:rsid w:val="00B67B57"/>
    <w:rsid w:val="00B7041F"/>
    <w:rsid w:val="00B70953"/>
    <w:rsid w:val="00B71A1C"/>
    <w:rsid w:val="00B71F6D"/>
    <w:rsid w:val="00B72AD3"/>
    <w:rsid w:val="00B72BED"/>
    <w:rsid w:val="00B732F1"/>
    <w:rsid w:val="00B73AD2"/>
    <w:rsid w:val="00B74038"/>
    <w:rsid w:val="00B74551"/>
    <w:rsid w:val="00B74BD6"/>
    <w:rsid w:val="00B74D77"/>
    <w:rsid w:val="00B74E1A"/>
    <w:rsid w:val="00B7513D"/>
    <w:rsid w:val="00B75342"/>
    <w:rsid w:val="00B75527"/>
    <w:rsid w:val="00B76B14"/>
    <w:rsid w:val="00B77E0E"/>
    <w:rsid w:val="00B77FD0"/>
    <w:rsid w:val="00B804D9"/>
    <w:rsid w:val="00B80648"/>
    <w:rsid w:val="00B80BDF"/>
    <w:rsid w:val="00B80EB6"/>
    <w:rsid w:val="00B8224E"/>
    <w:rsid w:val="00B83347"/>
    <w:rsid w:val="00B833B7"/>
    <w:rsid w:val="00B83600"/>
    <w:rsid w:val="00B83E02"/>
    <w:rsid w:val="00B85CB7"/>
    <w:rsid w:val="00B86064"/>
    <w:rsid w:val="00B92328"/>
    <w:rsid w:val="00B934C8"/>
    <w:rsid w:val="00B9383B"/>
    <w:rsid w:val="00B938CB"/>
    <w:rsid w:val="00B939C0"/>
    <w:rsid w:val="00B947A8"/>
    <w:rsid w:val="00B95E23"/>
    <w:rsid w:val="00B95F6B"/>
    <w:rsid w:val="00B96760"/>
    <w:rsid w:val="00B96D34"/>
    <w:rsid w:val="00BA042B"/>
    <w:rsid w:val="00BA09A5"/>
    <w:rsid w:val="00BA0D43"/>
    <w:rsid w:val="00BA1737"/>
    <w:rsid w:val="00BA24B7"/>
    <w:rsid w:val="00BA261C"/>
    <w:rsid w:val="00BA2DCC"/>
    <w:rsid w:val="00BA33E0"/>
    <w:rsid w:val="00BA3436"/>
    <w:rsid w:val="00BA3BE5"/>
    <w:rsid w:val="00BA4173"/>
    <w:rsid w:val="00BA41E3"/>
    <w:rsid w:val="00BA5288"/>
    <w:rsid w:val="00BA52AC"/>
    <w:rsid w:val="00BA5ADE"/>
    <w:rsid w:val="00BA6C40"/>
    <w:rsid w:val="00BA7DD9"/>
    <w:rsid w:val="00BA7DFD"/>
    <w:rsid w:val="00BA7EC4"/>
    <w:rsid w:val="00BA7F26"/>
    <w:rsid w:val="00BB06A3"/>
    <w:rsid w:val="00BB0F79"/>
    <w:rsid w:val="00BB16F3"/>
    <w:rsid w:val="00BB1770"/>
    <w:rsid w:val="00BB1F87"/>
    <w:rsid w:val="00BB2141"/>
    <w:rsid w:val="00BB3366"/>
    <w:rsid w:val="00BB3557"/>
    <w:rsid w:val="00BB4BC5"/>
    <w:rsid w:val="00BB4CA9"/>
    <w:rsid w:val="00BB4F3B"/>
    <w:rsid w:val="00BB583C"/>
    <w:rsid w:val="00BB635F"/>
    <w:rsid w:val="00BB6A4F"/>
    <w:rsid w:val="00BC08AA"/>
    <w:rsid w:val="00BC0908"/>
    <w:rsid w:val="00BC0AB2"/>
    <w:rsid w:val="00BC0DC5"/>
    <w:rsid w:val="00BC1AFF"/>
    <w:rsid w:val="00BC326F"/>
    <w:rsid w:val="00BC3370"/>
    <w:rsid w:val="00BC3433"/>
    <w:rsid w:val="00BC590B"/>
    <w:rsid w:val="00BC5A98"/>
    <w:rsid w:val="00BC68A4"/>
    <w:rsid w:val="00BC701E"/>
    <w:rsid w:val="00BC77ED"/>
    <w:rsid w:val="00BC7978"/>
    <w:rsid w:val="00BC7C03"/>
    <w:rsid w:val="00BD23AA"/>
    <w:rsid w:val="00BD25C2"/>
    <w:rsid w:val="00BD276E"/>
    <w:rsid w:val="00BD2C21"/>
    <w:rsid w:val="00BD4CFC"/>
    <w:rsid w:val="00BD527F"/>
    <w:rsid w:val="00BD5549"/>
    <w:rsid w:val="00BD71BD"/>
    <w:rsid w:val="00BD77E1"/>
    <w:rsid w:val="00BD7844"/>
    <w:rsid w:val="00BE1EBA"/>
    <w:rsid w:val="00BE2656"/>
    <w:rsid w:val="00BE3724"/>
    <w:rsid w:val="00BE4C26"/>
    <w:rsid w:val="00BE4C46"/>
    <w:rsid w:val="00BE5849"/>
    <w:rsid w:val="00BE58F2"/>
    <w:rsid w:val="00BE5BCE"/>
    <w:rsid w:val="00BE750E"/>
    <w:rsid w:val="00BE7B33"/>
    <w:rsid w:val="00BF1358"/>
    <w:rsid w:val="00BF20A5"/>
    <w:rsid w:val="00BF2B7F"/>
    <w:rsid w:val="00BF2DA7"/>
    <w:rsid w:val="00BF3161"/>
    <w:rsid w:val="00BF316E"/>
    <w:rsid w:val="00BF4833"/>
    <w:rsid w:val="00BF54E7"/>
    <w:rsid w:val="00BF5AD7"/>
    <w:rsid w:val="00BF6DF9"/>
    <w:rsid w:val="00BF7D41"/>
    <w:rsid w:val="00BF7E94"/>
    <w:rsid w:val="00C00C24"/>
    <w:rsid w:val="00C01938"/>
    <w:rsid w:val="00C026F0"/>
    <w:rsid w:val="00C033E8"/>
    <w:rsid w:val="00C03C94"/>
    <w:rsid w:val="00C04FBC"/>
    <w:rsid w:val="00C0529D"/>
    <w:rsid w:val="00C05672"/>
    <w:rsid w:val="00C059CF"/>
    <w:rsid w:val="00C05A19"/>
    <w:rsid w:val="00C05F9B"/>
    <w:rsid w:val="00C061ED"/>
    <w:rsid w:val="00C0719B"/>
    <w:rsid w:val="00C07871"/>
    <w:rsid w:val="00C1036A"/>
    <w:rsid w:val="00C1065F"/>
    <w:rsid w:val="00C1094B"/>
    <w:rsid w:val="00C110FA"/>
    <w:rsid w:val="00C119B8"/>
    <w:rsid w:val="00C11AE3"/>
    <w:rsid w:val="00C129BC"/>
    <w:rsid w:val="00C12A5A"/>
    <w:rsid w:val="00C12A5D"/>
    <w:rsid w:val="00C13586"/>
    <w:rsid w:val="00C14856"/>
    <w:rsid w:val="00C1569A"/>
    <w:rsid w:val="00C16CF7"/>
    <w:rsid w:val="00C16EFF"/>
    <w:rsid w:val="00C170EF"/>
    <w:rsid w:val="00C205F6"/>
    <w:rsid w:val="00C21F48"/>
    <w:rsid w:val="00C21FE4"/>
    <w:rsid w:val="00C220BC"/>
    <w:rsid w:val="00C221E5"/>
    <w:rsid w:val="00C22DF4"/>
    <w:rsid w:val="00C247DF"/>
    <w:rsid w:val="00C24FF1"/>
    <w:rsid w:val="00C25358"/>
    <w:rsid w:val="00C257DF"/>
    <w:rsid w:val="00C25B7C"/>
    <w:rsid w:val="00C25CC3"/>
    <w:rsid w:val="00C25E15"/>
    <w:rsid w:val="00C26A2E"/>
    <w:rsid w:val="00C2725D"/>
    <w:rsid w:val="00C276C5"/>
    <w:rsid w:val="00C27885"/>
    <w:rsid w:val="00C318BA"/>
    <w:rsid w:val="00C31A1E"/>
    <w:rsid w:val="00C31B4E"/>
    <w:rsid w:val="00C3281E"/>
    <w:rsid w:val="00C32A6A"/>
    <w:rsid w:val="00C34F0C"/>
    <w:rsid w:val="00C3539B"/>
    <w:rsid w:val="00C35AD9"/>
    <w:rsid w:val="00C35E20"/>
    <w:rsid w:val="00C365C9"/>
    <w:rsid w:val="00C36DFD"/>
    <w:rsid w:val="00C40050"/>
    <w:rsid w:val="00C40CFE"/>
    <w:rsid w:val="00C40E39"/>
    <w:rsid w:val="00C4134D"/>
    <w:rsid w:val="00C41582"/>
    <w:rsid w:val="00C41F6C"/>
    <w:rsid w:val="00C42A0A"/>
    <w:rsid w:val="00C434AE"/>
    <w:rsid w:val="00C43F19"/>
    <w:rsid w:val="00C441C0"/>
    <w:rsid w:val="00C444FB"/>
    <w:rsid w:val="00C45129"/>
    <w:rsid w:val="00C457CD"/>
    <w:rsid w:val="00C4637F"/>
    <w:rsid w:val="00C467F0"/>
    <w:rsid w:val="00C469B6"/>
    <w:rsid w:val="00C50601"/>
    <w:rsid w:val="00C51859"/>
    <w:rsid w:val="00C526DF"/>
    <w:rsid w:val="00C52737"/>
    <w:rsid w:val="00C52799"/>
    <w:rsid w:val="00C52CAE"/>
    <w:rsid w:val="00C531F9"/>
    <w:rsid w:val="00C5364C"/>
    <w:rsid w:val="00C53AA5"/>
    <w:rsid w:val="00C543CC"/>
    <w:rsid w:val="00C54480"/>
    <w:rsid w:val="00C54815"/>
    <w:rsid w:val="00C55761"/>
    <w:rsid w:val="00C57EE6"/>
    <w:rsid w:val="00C61BAC"/>
    <w:rsid w:val="00C623D2"/>
    <w:rsid w:val="00C631CA"/>
    <w:rsid w:val="00C64846"/>
    <w:rsid w:val="00C65FE1"/>
    <w:rsid w:val="00C66949"/>
    <w:rsid w:val="00C66C17"/>
    <w:rsid w:val="00C66FFC"/>
    <w:rsid w:val="00C67AA9"/>
    <w:rsid w:val="00C7026B"/>
    <w:rsid w:val="00C705BF"/>
    <w:rsid w:val="00C70B52"/>
    <w:rsid w:val="00C718C8"/>
    <w:rsid w:val="00C7327C"/>
    <w:rsid w:val="00C738F9"/>
    <w:rsid w:val="00C741DF"/>
    <w:rsid w:val="00C75439"/>
    <w:rsid w:val="00C7595E"/>
    <w:rsid w:val="00C75DE2"/>
    <w:rsid w:val="00C76682"/>
    <w:rsid w:val="00C76E49"/>
    <w:rsid w:val="00C77027"/>
    <w:rsid w:val="00C776D5"/>
    <w:rsid w:val="00C77B6C"/>
    <w:rsid w:val="00C804AE"/>
    <w:rsid w:val="00C80F94"/>
    <w:rsid w:val="00C81B4A"/>
    <w:rsid w:val="00C81C23"/>
    <w:rsid w:val="00C8225E"/>
    <w:rsid w:val="00C84AB1"/>
    <w:rsid w:val="00C858A2"/>
    <w:rsid w:val="00C859BA"/>
    <w:rsid w:val="00C85D1C"/>
    <w:rsid w:val="00C87F66"/>
    <w:rsid w:val="00C9027F"/>
    <w:rsid w:val="00C90B7D"/>
    <w:rsid w:val="00C91005"/>
    <w:rsid w:val="00C910E0"/>
    <w:rsid w:val="00C91133"/>
    <w:rsid w:val="00C916F0"/>
    <w:rsid w:val="00C91A9A"/>
    <w:rsid w:val="00C92496"/>
    <w:rsid w:val="00C93F2C"/>
    <w:rsid w:val="00C94390"/>
    <w:rsid w:val="00C9520B"/>
    <w:rsid w:val="00C95C38"/>
    <w:rsid w:val="00C95DB7"/>
    <w:rsid w:val="00C95E02"/>
    <w:rsid w:val="00C97C29"/>
    <w:rsid w:val="00C97D13"/>
    <w:rsid w:val="00C97F02"/>
    <w:rsid w:val="00CA047B"/>
    <w:rsid w:val="00CA27C8"/>
    <w:rsid w:val="00CA375E"/>
    <w:rsid w:val="00CA3F3B"/>
    <w:rsid w:val="00CA4B89"/>
    <w:rsid w:val="00CA6453"/>
    <w:rsid w:val="00CA7B9D"/>
    <w:rsid w:val="00CA7E83"/>
    <w:rsid w:val="00CA7F86"/>
    <w:rsid w:val="00CB1080"/>
    <w:rsid w:val="00CB140B"/>
    <w:rsid w:val="00CB1B95"/>
    <w:rsid w:val="00CB2991"/>
    <w:rsid w:val="00CB2BBD"/>
    <w:rsid w:val="00CB3A7D"/>
    <w:rsid w:val="00CB3AC1"/>
    <w:rsid w:val="00CB5222"/>
    <w:rsid w:val="00CB551B"/>
    <w:rsid w:val="00CB56C4"/>
    <w:rsid w:val="00CB572C"/>
    <w:rsid w:val="00CB637F"/>
    <w:rsid w:val="00CB6944"/>
    <w:rsid w:val="00CB7186"/>
    <w:rsid w:val="00CB7628"/>
    <w:rsid w:val="00CB7FD5"/>
    <w:rsid w:val="00CC20DA"/>
    <w:rsid w:val="00CC2269"/>
    <w:rsid w:val="00CC2D5A"/>
    <w:rsid w:val="00CC2DC2"/>
    <w:rsid w:val="00CC4004"/>
    <w:rsid w:val="00CC55EC"/>
    <w:rsid w:val="00CC5E5A"/>
    <w:rsid w:val="00CC729B"/>
    <w:rsid w:val="00CC7815"/>
    <w:rsid w:val="00CD05E0"/>
    <w:rsid w:val="00CD102D"/>
    <w:rsid w:val="00CD1844"/>
    <w:rsid w:val="00CD1D64"/>
    <w:rsid w:val="00CD3969"/>
    <w:rsid w:val="00CD44D1"/>
    <w:rsid w:val="00CD52C0"/>
    <w:rsid w:val="00CD68CE"/>
    <w:rsid w:val="00CD795D"/>
    <w:rsid w:val="00CD7E7C"/>
    <w:rsid w:val="00CE0A96"/>
    <w:rsid w:val="00CE0EED"/>
    <w:rsid w:val="00CE135C"/>
    <w:rsid w:val="00CE161B"/>
    <w:rsid w:val="00CE1640"/>
    <w:rsid w:val="00CE2DD3"/>
    <w:rsid w:val="00CE3039"/>
    <w:rsid w:val="00CE3068"/>
    <w:rsid w:val="00CE3830"/>
    <w:rsid w:val="00CE3EC7"/>
    <w:rsid w:val="00CE41B5"/>
    <w:rsid w:val="00CE4CDB"/>
    <w:rsid w:val="00CE50D8"/>
    <w:rsid w:val="00CE56B5"/>
    <w:rsid w:val="00CE5B8C"/>
    <w:rsid w:val="00CE7586"/>
    <w:rsid w:val="00CE7A21"/>
    <w:rsid w:val="00CE7A62"/>
    <w:rsid w:val="00CF0196"/>
    <w:rsid w:val="00CF0261"/>
    <w:rsid w:val="00CF2394"/>
    <w:rsid w:val="00CF2554"/>
    <w:rsid w:val="00CF2642"/>
    <w:rsid w:val="00CF3E75"/>
    <w:rsid w:val="00CF4F68"/>
    <w:rsid w:val="00CF5CCA"/>
    <w:rsid w:val="00CF6460"/>
    <w:rsid w:val="00CF7BEE"/>
    <w:rsid w:val="00CF7CFF"/>
    <w:rsid w:val="00D00FCF"/>
    <w:rsid w:val="00D01678"/>
    <w:rsid w:val="00D016A3"/>
    <w:rsid w:val="00D02525"/>
    <w:rsid w:val="00D02AD9"/>
    <w:rsid w:val="00D03947"/>
    <w:rsid w:val="00D03BFC"/>
    <w:rsid w:val="00D04022"/>
    <w:rsid w:val="00D045B5"/>
    <w:rsid w:val="00D04FB4"/>
    <w:rsid w:val="00D05D51"/>
    <w:rsid w:val="00D06C6E"/>
    <w:rsid w:val="00D06F17"/>
    <w:rsid w:val="00D073D0"/>
    <w:rsid w:val="00D10F37"/>
    <w:rsid w:val="00D11920"/>
    <w:rsid w:val="00D11AAD"/>
    <w:rsid w:val="00D11D62"/>
    <w:rsid w:val="00D11E86"/>
    <w:rsid w:val="00D123B1"/>
    <w:rsid w:val="00D12458"/>
    <w:rsid w:val="00D12D61"/>
    <w:rsid w:val="00D12EF8"/>
    <w:rsid w:val="00D13419"/>
    <w:rsid w:val="00D14155"/>
    <w:rsid w:val="00D146A3"/>
    <w:rsid w:val="00D14883"/>
    <w:rsid w:val="00D14897"/>
    <w:rsid w:val="00D14B05"/>
    <w:rsid w:val="00D14F11"/>
    <w:rsid w:val="00D159D9"/>
    <w:rsid w:val="00D15C3C"/>
    <w:rsid w:val="00D15DED"/>
    <w:rsid w:val="00D16532"/>
    <w:rsid w:val="00D16B10"/>
    <w:rsid w:val="00D16B43"/>
    <w:rsid w:val="00D16C49"/>
    <w:rsid w:val="00D16C78"/>
    <w:rsid w:val="00D16F8F"/>
    <w:rsid w:val="00D176E2"/>
    <w:rsid w:val="00D204CF"/>
    <w:rsid w:val="00D2060D"/>
    <w:rsid w:val="00D20D61"/>
    <w:rsid w:val="00D21300"/>
    <w:rsid w:val="00D2210D"/>
    <w:rsid w:val="00D22BC6"/>
    <w:rsid w:val="00D23D91"/>
    <w:rsid w:val="00D23FA0"/>
    <w:rsid w:val="00D247D3"/>
    <w:rsid w:val="00D252AF"/>
    <w:rsid w:val="00D258A0"/>
    <w:rsid w:val="00D25DA9"/>
    <w:rsid w:val="00D26379"/>
    <w:rsid w:val="00D26ABC"/>
    <w:rsid w:val="00D26ADA"/>
    <w:rsid w:val="00D26D23"/>
    <w:rsid w:val="00D27200"/>
    <w:rsid w:val="00D2770F"/>
    <w:rsid w:val="00D27AAB"/>
    <w:rsid w:val="00D31C13"/>
    <w:rsid w:val="00D31F06"/>
    <w:rsid w:val="00D32651"/>
    <w:rsid w:val="00D32A3A"/>
    <w:rsid w:val="00D32EF1"/>
    <w:rsid w:val="00D3379B"/>
    <w:rsid w:val="00D33C80"/>
    <w:rsid w:val="00D33C8F"/>
    <w:rsid w:val="00D33D0D"/>
    <w:rsid w:val="00D34759"/>
    <w:rsid w:val="00D35C33"/>
    <w:rsid w:val="00D35D2B"/>
    <w:rsid w:val="00D36F7A"/>
    <w:rsid w:val="00D377A6"/>
    <w:rsid w:val="00D37BBE"/>
    <w:rsid w:val="00D40576"/>
    <w:rsid w:val="00D40757"/>
    <w:rsid w:val="00D40C90"/>
    <w:rsid w:val="00D40F4B"/>
    <w:rsid w:val="00D41198"/>
    <w:rsid w:val="00D41E28"/>
    <w:rsid w:val="00D42255"/>
    <w:rsid w:val="00D4337C"/>
    <w:rsid w:val="00D43465"/>
    <w:rsid w:val="00D438B8"/>
    <w:rsid w:val="00D441C4"/>
    <w:rsid w:val="00D445A7"/>
    <w:rsid w:val="00D447B8"/>
    <w:rsid w:val="00D447E8"/>
    <w:rsid w:val="00D44EAE"/>
    <w:rsid w:val="00D44FA0"/>
    <w:rsid w:val="00D455F0"/>
    <w:rsid w:val="00D45AFA"/>
    <w:rsid w:val="00D45DA7"/>
    <w:rsid w:val="00D465D6"/>
    <w:rsid w:val="00D46E99"/>
    <w:rsid w:val="00D46FA0"/>
    <w:rsid w:val="00D470AE"/>
    <w:rsid w:val="00D47BA8"/>
    <w:rsid w:val="00D5036B"/>
    <w:rsid w:val="00D50ABD"/>
    <w:rsid w:val="00D5154B"/>
    <w:rsid w:val="00D52CF4"/>
    <w:rsid w:val="00D53813"/>
    <w:rsid w:val="00D545A1"/>
    <w:rsid w:val="00D5567A"/>
    <w:rsid w:val="00D5663C"/>
    <w:rsid w:val="00D5672A"/>
    <w:rsid w:val="00D567E8"/>
    <w:rsid w:val="00D570F3"/>
    <w:rsid w:val="00D575AD"/>
    <w:rsid w:val="00D577A0"/>
    <w:rsid w:val="00D60EE8"/>
    <w:rsid w:val="00D611B4"/>
    <w:rsid w:val="00D613F8"/>
    <w:rsid w:val="00D61B7C"/>
    <w:rsid w:val="00D62104"/>
    <w:rsid w:val="00D627CB"/>
    <w:rsid w:val="00D62C2A"/>
    <w:rsid w:val="00D62DEB"/>
    <w:rsid w:val="00D6385C"/>
    <w:rsid w:val="00D63F35"/>
    <w:rsid w:val="00D6406F"/>
    <w:rsid w:val="00D643A5"/>
    <w:rsid w:val="00D649B6"/>
    <w:rsid w:val="00D657E2"/>
    <w:rsid w:val="00D65EB8"/>
    <w:rsid w:val="00D6651A"/>
    <w:rsid w:val="00D66B8F"/>
    <w:rsid w:val="00D6704A"/>
    <w:rsid w:val="00D679FB"/>
    <w:rsid w:val="00D710DC"/>
    <w:rsid w:val="00D713D7"/>
    <w:rsid w:val="00D71A8D"/>
    <w:rsid w:val="00D724DA"/>
    <w:rsid w:val="00D73512"/>
    <w:rsid w:val="00D7352A"/>
    <w:rsid w:val="00D73E74"/>
    <w:rsid w:val="00D73F58"/>
    <w:rsid w:val="00D7483D"/>
    <w:rsid w:val="00D74BDF"/>
    <w:rsid w:val="00D74DE8"/>
    <w:rsid w:val="00D80D8E"/>
    <w:rsid w:val="00D816F7"/>
    <w:rsid w:val="00D81F34"/>
    <w:rsid w:val="00D81FDE"/>
    <w:rsid w:val="00D82DB4"/>
    <w:rsid w:val="00D83406"/>
    <w:rsid w:val="00D8385E"/>
    <w:rsid w:val="00D849DC"/>
    <w:rsid w:val="00D84EC2"/>
    <w:rsid w:val="00D87DAF"/>
    <w:rsid w:val="00D90456"/>
    <w:rsid w:val="00D90522"/>
    <w:rsid w:val="00D907D0"/>
    <w:rsid w:val="00D9238C"/>
    <w:rsid w:val="00D923AF"/>
    <w:rsid w:val="00D925E9"/>
    <w:rsid w:val="00D92CA4"/>
    <w:rsid w:val="00D93008"/>
    <w:rsid w:val="00D93215"/>
    <w:rsid w:val="00D93272"/>
    <w:rsid w:val="00D9350C"/>
    <w:rsid w:val="00D9419D"/>
    <w:rsid w:val="00D94A5D"/>
    <w:rsid w:val="00D958CB"/>
    <w:rsid w:val="00D9680A"/>
    <w:rsid w:val="00DA0E22"/>
    <w:rsid w:val="00DA0F1C"/>
    <w:rsid w:val="00DA1090"/>
    <w:rsid w:val="00DA20CA"/>
    <w:rsid w:val="00DA229B"/>
    <w:rsid w:val="00DA29D2"/>
    <w:rsid w:val="00DA2EEB"/>
    <w:rsid w:val="00DA3DA8"/>
    <w:rsid w:val="00DA4CC2"/>
    <w:rsid w:val="00DA51A3"/>
    <w:rsid w:val="00DA5CCB"/>
    <w:rsid w:val="00DA630D"/>
    <w:rsid w:val="00DA65F8"/>
    <w:rsid w:val="00DA6C2E"/>
    <w:rsid w:val="00DA6EBA"/>
    <w:rsid w:val="00DA792C"/>
    <w:rsid w:val="00DB0FB4"/>
    <w:rsid w:val="00DB15DF"/>
    <w:rsid w:val="00DB25F2"/>
    <w:rsid w:val="00DB3684"/>
    <w:rsid w:val="00DB3CFC"/>
    <w:rsid w:val="00DB4123"/>
    <w:rsid w:val="00DB442C"/>
    <w:rsid w:val="00DB61D9"/>
    <w:rsid w:val="00DB6EA3"/>
    <w:rsid w:val="00DB7038"/>
    <w:rsid w:val="00DC01A2"/>
    <w:rsid w:val="00DC0418"/>
    <w:rsid w:val="00DC0E8C"/>
    <w:rsid w:val="00DC15CB"/>
    <w:rsid w:val="00DC1DC8"/>
    <w:rsid w:val="00DC1EC0"/>
    <w:rsid w:val="00DC28BB"/>
    <w:rsid w:val="00DC339E"/>
    <w:rsid w:val="00DC5D11"/>
    <w:rsid w:val="00DC619A"/>
    <w:rsid w:val="00DC6984"/>
    <w:rsid w:val="00DC6CCD"/>
    <w:rsid w:val="00DC71A0"/>
    <w:rsid w:val="00DC785C"/>
    <w:rsid w:val="00DC7A3C"/>
    <w:rsid w:val="00DC7F41"/>
    <w:rsid w:val="00DC7F49"/>
    <w:rsid w:val="00DD0154"/>
    <w:rsid w:val="00DD05C0"/>
    <w:rsid w:val="00DD0D86"/>
    <w:rsid w:val="00DD12EC"/>
    <w:rsid w:val="00DD1317"/>
    <w:rsid w:val="00DD1415"/>
    <w:rsid w:val="00DD22AA"/>
    <w:rsid w:val="00DD2E77"/>
    <w:rsid w:val="00DD390B"/>
    <w:rsid w:val="00DD4260"/>
    <w:rsid w:val="00DD4D07"/>
    <w:rsid w:val="00DD4FAD"/>
    <w:rsid w:val="00DD53EC"/>
    <w:rsid w:val="00DD6980"/>
    <w:rsid w:val="00DD7A63"/>
    <w:rsid w:val="00DE08A2"/>
    <w:rsid w:val="00DE0A79"/>
    <w:rsid w:val="00DE1699"/>
    <w:rsid w:val="00DE1751"/>
    <w:rsid w:val="00DE38DE"/>
    <w:rsid w:val="00DE3B0D"/>
    <w:rsid w:val="00DE4474"/>
    <w:rsid w:val="00DE4717"/>
    <w:rsid w:val="00DE4AF9"/>
    <w:rsid w:val="00DE4BFB"/>
    <w:rsid w:val="00DE5BE1"/>
    <w:rsid w:val="00DE5FF8"/>
    <w:rsid w:val="00DE60C7"/>
    <w:rsid w:val="00DE6B21"/>
    <w:rsid w:val="00DE6B63"/>
    <w:rsid w:val="00DE7912"/>
    <w:rsid w:val="00DE7BBC"/>
    <w:rsid w:val="00DF11BC"/>
    <w:rsid w:val="00DF1522"/>
    <w:rsid w:val="00DF162B"/>
    <w:rsid w:val="00DF3B7D"/>
    <w:rsid w:val="00DF3B9B"/>
    <w:rsid w:val="00DF4C70"/>
    <w:rsid w:val="00DF7485"/>
    <w:rsid w:val="00DF77C5"/>
    <w:rsid w:val="00E007B2"/>
    <w:rsid w:val="00E01088"/>
    <w:rsid w:val="00E01620"/>
    <w:rsid w:val="00E01BAB"/>
    <w:rsid w:val="00E0284E"/>
    <w:rsid w:val="00E037A5"/>
    <w:rsid w:val="00E0454F"/>
    <w:rsid w:val="00E05CAA"/>
    <w:rsid w:val="00E073E8"/>
    <w:rsid w:val="00E077EB"/>
    <w:rsid w:val="00E07D3F"/>
    <w:rsid w:val="00E07E0C"/>
    <w:rsid w:val="00E10B17"/>
    <w:rsid w:val="00E10FE5"/>
    <w:rsid w:val="00E11A8D"/>
    <w:rsid w:val="00E12A29"/>
    <w:rsid w:val="00E13062"/>
    <w:rsid w:val="00E14714"/>
    <w:rsid w:val="00E14C16"/>
    <w:rsid w:val="00E14C48"/>
    <w:rsid w:val="00E15139"/>
    <w:rsid w:val="00E151A0"/>
    <w:rsid w:val="00E15566"/>
    <w:rsid w:val="00E159A6"/>
    <w:rsid w:val="00E166B1"/>
    <w:rsid w:val="00E17DA7"/>
    <w:rsid w:val="00E20503"/>
    <w:rsid w:val="00E20F1C"/>
    <w:rsid w:val="00E21896"/>
    <w:rsid w:val="00E21AA6"/>
    <w:rsid w:val="00E21BAD"/>
    <w:rsid w:val="00E2344A"/>
    <w:rsid w:val="00E241D4"/>
    <w:rsid w:val="00E24532"/>
    <w:rsid w:val="00E24858"/>
    <w:rsid w:val="00E249E8"/>
    <w:rsid w:val="00E252C7"/>
    <w:rsid w:val="00E2582D"/>
    <w:rsid w:val="00E258BE"/>
    <w:rsid w:val="00E25933"/>
    <w:rsid w:val="00E265D1"/>
    <w:rsid w:val="00E26EBA"/>
    <w:rsid w:val="00E27254"/>
    <w:rsid w:val="00E273CF"/>
    <w:rsid w:val="00E27B5C"/>
    <w:rsid w:val="00E27F51"/>
    <w:rsid w:val="00E308D6"/>
    <w:rsid w:val="00E317F6"/>
    <w:rsid w:val="00E31CA6"/>
    <w:rsid w:val="00E31DBD"/>
    <w:rsid w:val="00E324B1"/>
    <w:rsid w:val="00E32B93"/>
    <w:rsid w:val="00E3429B"/>
    <w:rsid w:val="00E34525"/>
    <w:rsid w:val="00E35432"/>
    <w:rsid w:val="00E36308"/>
    <w:rsid w:val="00E37047"/>
    <w:rsid w:val="00E373FE"/>
    <w:rsid w:val="00E4174B"/>
    <w:rsid w:val="00E41D44"/>
    <w:rsid w:val="00E41E72"/>
    <w:rsid w:val="00E42803"/>
    <w:rsid w:val="00E429DA"/>
    <w:rsid w:val="00E4318A"/>
    <w:rsid w:val="00E449B4"/>
    <w:rsid w:val="00E44B1B"/>
    <w:rsid w:val="00E44DFA"/>
    <w:rsid w:val="00E45ABC"/>
    <w:rsid w:val="00E45F79"/>
    <w:rsid w:val="00E464D8"/>
    <w:rsid w:val="00E46B62"/>
    <w:rsid w:val="00E47AB9"/>
    <w:rsid w:val="00E5001D"/>
    <w:rsid w:val="00E50351"/>
    <w:rsid w:val="00E50454"/>
    <w:rsid w:val="00E506DF"/>
    <w:rsid w:val="00E5087C"/>
    <w:rsid w:val="00E50FAA"/>
    <w:rsid w:val="00E51711"/>
    <w:rsid w:val="00E51B80"/>
    <w:rsid w:val="00E5225F"/>
    <w:rsid w:val="00E52F78"/>
    <w:rsid w:val="00E55422"/>
    <w:rsid w:val="00E556D8"/>
    <w:rsid w:val="00E55995"/>
    <w:rsid w:val="00E55A76"/>
    <w:rsid w:val="00E55C8E"/>
    <w:rsid w:val="00E560CF"/>
    <w:rsid w:val="00E569E0"/>
    <w:rsid w:val="00E573CF"/>
    <w:rsid w:val="00E57567"/>
    <w:rsid w:val="00E575E6"/>
    <w:rsid w:val="00E5776D"/>
    <w:rsid w:val="00E61F3B"/>
    <w:rsid w:val="00E622D1"/>
    <w:rsid w:val="00E62B07"/>
    <w:rsid w:val="00E637AC"/>
    <w:rsid w:val="00E63D65"/>
    <w:rsid w:val="00E64330"/>
    <w:rsid w:val="00E6439D"/>
    <w:rsid w:val="00E64C82"/>
    <w:rsid w:val="00E64F36"/>
    <w:rsid w:val="00E659C5"/>
    <w:rsid w:val="00E70C52"/>
    <w:rsid w:val="00E7188F"/>
    <w:rsid w:val="00E719F4"/>
    <w:rsid w:val="00E72161"/>
    <w:rsid w:val="00E72626"/>
    <w:rsid w:val="00E72C12"/>
    <w:rsid w:val="00E72F5E"/>
    <w:rsid w:val="00E73688"/>
    <w:rsid w:val="00E739DF"/>
    <w:rsid w:val="00E74710"/>
    <w:rsid w:val="00E749C5"/>
    <w:rsid w:val="00E74B2E"/>
    <w:rsid w:val="00E74FB9"/>
    <w:rsid w:val="00E752AB"/>
    <w:rsid w:val="00E76ED1"/>
    <w:rsid w:val="00E772BB"/>
    <w:rsid w:val="00E77486"/>
    <w:rsid w:val="00E80F4A"/>
    <w:rsid w:val="00E8110B"/>
    <w:rsid w:val="00E81898"/>
    <w:rsid w:val="00E81976"/>
    <w:rsid w:val="00E81FEC"/>
    <w:rsid w:val="00E82BE7"/>
    <w:rsid w:val="00E82F01"/>
    <w:rsid w:val="00E832F1"/>
    <w:rsid w:val="00E8378E"/>
    <w:rsid w:val="00E83EF3"/>
    <w:rsid w:val="00E842A2"/>
    <w:rsid w:val="00E84806"/>
    <w:rsid w:val="00E851A7"/>
    <w:rsid w:val="00E854A1"/>
    <w:rsid w:val="00E85870"/>
    <w:rsid w:val="00E86504"/>
    <w:rsid w:val="00E868B6"/>
    <w:rsid w:val="00E8772B"/>
    <w:rsid w:val="00E87931"/>
    <w:rsid w:val="00E87D2B"/>
    <w:rsid w:val="00E902F4"/>
    <w:rsid w:val="00E90314"/>
    <w:rsid w:val="00E9054C"/>
    <w:rsid w:val="00E90C8A"/>
    <w:rsid w:val="00E91AB2"/>
    <w:rsid w:val="00E926B7"/>
    <w:rsid w:val="00E92AF0"/>
    <w:rsid w:val="00E92B1D"/>
    <w:rsid w:val="00E92B31"/>
    <w:rsid w:val="00E93116"/>
    <w:rsid w:val="00E933F2"/>
    <w:rsid w:val="00E93879"/>
    <w:rsid w:val="00E9462F"/>
    <w:rsid w:val="00E94815"/>
    <w:rsid w:val="00E94D24"/>
    <w:rsid w:val="00E96136"/>
    <w:rsid w:val="00E96238"/>
    <w:rsid w:val="00E97ACD"/>
    <w:rsid w:val="00EA04B3"/>
    <w:rsid w:val="00EA12CE"/>
    <w:rsid w:val="00EA2EB7"/>
    <w:rsid w:val="00EA2FD1"/>
    <w:rsid w:val="00EA300F"/>
    <w:rsid w:val="00EA3A15"/>
    <w:rsid w:val="00EA45E5"/>
    <w:rsid w:val="00EA497D"/>
    <w:rsid w:val="00EA53C7"/>
    <w:rsid w:val="00EA5518"/>
    <w:rsid w:val="00EA570D"/>
    <w:rsid w:val="00EA5B16"/>
    <w:rsid w:val="00EA5F3D"/>
    <w:rsid w:val="00EA7078"/>
    <w:rsid w:val="00EB0D98"/>
    <w:rsid w:val="00EB1621"/>
    <w:rsid w:val="00EB23E7"/>
    <w:rsid w:val="00EB2BD2"/>
    <w:rsid w:val="00EB2C0B"/>
    <w:rsid w:val="00EB30DC"/>
    <w:rsid w:val="00EB3AB0"/>
    <w:rsid w:val="00EB47AF"/>
    <w:rsid w:val="00EB495D"/>
    <w:rsid w:val="00EB4E8B"/>
    <w:rsid w:val="00EB4F46"/>
    <w:rsid w:val="00EB5BEA"/>
    <w:rsid w:val="00EB6385"/>
    <w:rsid w:val="00EB6B69"/>
    <w:rsid w:val="00EB6CE5"/>
    <w:rsid w:val="00EC00CC"/>
    <w:rsid w:val="00EC00D9"/>
    <w:rsid w:val="00EC0783"/>
    <w:rsid w:val="00EC0C7E"/>
    <w:rsid w:val="00EC1404"/>
    <w:rsid w:val="00EC18D7"/>
    <w:rsid w:val="00EC1E3C"/>
    <w:rsid w:val="00EC2108"/>
    <w:rsid w:val="00EC24FF"/>
    <w:rsid w:val="00EC28D8"/>
    <w:rsid w:val="00EC2A7C"/>
    <w:rsid w:val="00EC3362"/>
    <w:rsid w:val="00EC4116"/>
    <w:rsid w:val="00EC47BE"/>
    <w:rsid w:val="00EC4B5F"/>
    <w:rsid w:val="00EC4C10"/>
    <w:rsid w:val="00EC4DD0"/>
    <w:rsid w:val="00EC533A"/>
    <w:rsid w:val="00EC5E97"/>
    <w:rsid w:val="00EC5FE4"/>
    <w:rsid w:val="00ED0C8D"/>
    <w:rsid w:val="00ED0CFA"/>
    <w:rsid w:val="00ED2326"/>
    <w:rsid w:val="00ED233C"/>
    <w:rsid w:val="00ED28AB"/>
    <w:rsid w:val="00ED2D4D"/>
    <w:rsid w:val="00ED37CA"/>
    <w:rsid w:val="00ED40BF"/>
    <w:rsid w:val="00ED4ED0"/>
    <w:rsid w:val="00ED596A"/>
    <w:rsid w:val="00ED616A"/>
    <w:rsid w:val="00ED686F"/>
    <w:rsid w:val="00ED7274"/>
    <w:rsid w:val="00ED7CA1"/>
    <w:rsid w:val="00EE0512"/>
    <w:rsid w:val="00EE0863"/>
    <w:rsid w:val="00EE0FB3"/>
    <w:rsid w:val="00EE16F8"/>
    <w:rsid w:val="00EE18DD"/>
    <w:rsid w:val="00EE1E7C"/>
    <w:rsid w:val="00EE2210"/>
    <w:rsid w:val="00EE5188"/>
    <w:rsid w:val="00EE51B7"/>
    <w:rsid w:val="00EE5FD0"/>
    <w:rsid w:val="00EE611C"/>
    <w:rsid w:val="00EE7235"/>
    <w:rsid w:val="00EE7585"/>
    <w:rsid w:val="00EE7631"/>
    <w:rsid w:val="00EE7ED6"/>
    <w:rsid w:val="00EF071D"/>
    <w:rsid w:val="00EF09BC"/>
    <w:rsid w:val="00EF0AE6"/>
    <w:rsid w:val="00EF116A"/>
    <w:rsid w:val="00EF1697"/>
    <w:rsid w:val="00EF17CF"/>
    <w:rsid w:val="00EF1B20"/>
    <w:rsid w:val="00EF2F8E"/>
    <w:rsid w:val="00EF32F8"/>
    <w:rsid w:val="00EF3563"/>
    <w:rsid w:val="00EF6689"/>
    <w:rsid w:val="00EF6BFF"/>
    <w:rsid w:val="00EF6FE6"/>
    <w:rsid w:val="00EF7A72"/>
    <w:rsid w:val="00F00D3D"/>
    <w:rsid w:val="00F01FC9"/>
    <w:rsid w:val="00F0274D"/>
    <w:rsid w:val="00F02E8C"/>
    <w:rsid w:val="00F02F0C"/>
    <w:rsid w:val="00F03EF9"/>
    <w:rsid w:val="00F0450D"/>
    <w:rsid w:val="00F04DF9"/>
    <w:rsid w:val="00F0559B"/>
    <w:rsid w:val="00F0585A"/>
    <w:rsid w:val="00F05A47"/>
    <w:rsid w:val="00F05D66"/>
    <w:rsid w:val="00F060EA"/>
    <w:rsid w:val="00F062F2"/>
    <w:rsid w:val="00F06ACF"/>
    <w:rsid w:val="00F073D4"/>
    <w:rsid w:val="00F0752C"/>
    <w:rsid w:val="00F0793B"/>
    <w:rsid w:val="00F07D78"/>
    <w:rsid w:val="00F10156"/>
    <w:rsid w:val="00F10962"/>
    <w:rsid w:val="00F10DEC"/>
    <w:rsid w:val="00F11520"/>
    <w:rsid w:val="00F11A19"/>
    <w:rsid w:val="00F120DF"/>
    <w:rsid w:val="00F12170"/>
    <w:rsid w:val="00F126EC"/>
    <w:rsid w:val="00F129CA"/>
    <w:rsid w:val="00F13D56"/>
    <w:rsid w:val="00F152B1"/>
    <w:rsid w:val="00F15BB3"/>
    <w:rsid w:val="00F15C76"/>
    <w:rsid w:val="00F16106"/>
    <w:rsid w:val="00F16439"/>
    <w:rsid w:val="00F16670"/>
    <w:rsid w:val="00F16EBE"/>
    <w:rsid w:val="00F16FC5"/>
    <w:rsid w:val="00F20414"/>
    <w:rsid w:val="00F20D42"/>
    <w:rsid w:val="00F21384"/>
    <w:rsid w:val="00F21F76"/>
    <w:rsid w:val="00F221E6"/>
    <w:rsid w:val="00F23081"/>
    <w:rsid w:val="00F233B4"/>
    <w:rsid w:val="00F23416"/>
    <w:rsid w:val="00F2464A"/>
    <w:rsid w:val="00F24AD5"/>
    <w:rsid w:val="00F25924"/>
    <w:rsid w:val="00F25AB7"/>
    <w:rsid w:val="00F25B0A"/>
    <w:rsid w:val="00F25CDB"/>
    <w:rsid w:val="00F25F0A"/>
    <w:rsid w:val="00F26D0D"/>
    <w:rsid w:val="00F26D40"/>
    <w:rsid w:val="00F26E22"/>
    <w:rsid w:val="00F30009"/>
    <w:rsid w:val="00F30490"/>
    <w:rsid w:val="00F30B35"/>
    <w:rsid w:val="00F312E7"/>
    <w:rsid w:val="00F31387"/>
    <w:rsid w:val="00F31CAB"/>
    <w:rsid w:val="00F330B6"/>
    <w:rsid w:val="00F334E7"/>
    <w:rsid w:val="00F337F7"/>
    <w:rsid w:val="00F34388"/>
    <w:rsid w:val="00F344B9"/>
    <w:rsid w:val="00F34AF4"/>
    <w:rsid w:val="00F34C2C"/>
    <w:rsid w:val="00F34D5A"/>
    <w:rsid w:val="00F3540C"/>
    <w:rsid w:val="00F356AF"/>
    <w:rsid w:val="00F36DD4"/>
    <w:rsid w:val="00F36E00"/>
    <w:rsid w:val="00F409E4"/>
    <w:rsid w:val="00F40C86"/>
    <w:rsid w:val="00F41AAA"/>
    <w:rsid w:val="00F422C7"/>
    <w:rsid w:val="00F43446"/>
    <w:rsid w:val="00F43841"/>
    <w:rsid w:val="00F43C85"/>
    <w:rsid w:val="00F43CE4"/>
    <w:rsid w:val="00F44E05"/>
    <w:rsid w:val="00F45010"/>
    <w:rsid w:val="00F45552"/>
    <w:rsid w:val="00F4598E"/>
    <w:rsid w:val="00F45BA2"/>
    <w:rsid w:val="00F46BBD"/>
    <w:rsid w:val="00F46BD9"/>
    <w:rsid w:val="00F46FB7"/>
    <w:rsid w:val="00F5330F"/>
    <w:rsid w:val="00F53A74"/>
    <w:rsid w:val="00F53FD3"/>
    <w:rsid w:val="00F54A6F"/>
    <w:rsid w:val="00F55245"/>
    <w:rsid w:val="00F5659E"/>
    <w:rsid w:val="00F56911"/>
    <w:rsid w:val="00F56C78"/>
    <w:rsid w:val="00F56EC1"/>
    <w:rsid w:val="00F57054"/>
    <w:rsid w:val="00F60191"/>
    <w:rsid w:val="00F6026E"/>
    <w:rsid w:val="00F6034A"/>
    <w:rsid w:val="00F6117D"/>
    <w:rsid w:val="00F61A3F"/>
    <w:rsid w:val="00F62849"/>
    <w:rsid w:val="00F62B7C"/>
    <w:rsid w:val="00F62ECC"/>
    <w:rsid w:val="00F6331A"/>
    <w:rsid w:val="00F635E0"/>
    <w:rsid w:val="00F648B6"/>
    <w:rsid w:val="00F65A35"/>
    <w:rsid w:val="00F65DA3"/>
    <w:rsid w:val="00F66DFA"/>
    <w:rsid w:val="00F67385"/>
    <w:rsid w:val="00F675E8"/>
    <w:rsid w:val="00F71D7C"/>
    <w:rsid w:val="00F722BC"/>
    <w:rsid w:val="00F725DC"/>
    <w:rsid w:val="00F728C2"/>
    <w:rsid w:val="00F72AAF"/>
    <w:rsid w:val="00F72C50"/>
    <w:rsid w:val="00F72E36"/>
    <w:rsid w:val="00F72F82"/>
    <w:rsid w:val="00F7349A"/>
    <w:rsid w:val="00F7363A"/>
    <w:rsid w:val="00F738C7"/>
    <w:rsid w:val="00F73F14"/>
    <w:rsid w:val="00F7439F"/>
    <w:rsid w:val="00F74418"/>
    <w:rsid w:val="00F757A5"/>
    <w:rsid w:val="00F764F1"/>
    <w:rsid w:val="00F807F9"/>
    <w:rsid w:val="00F80FB7"/>
    <w:rsid w:val="00F81D21"/>
    <w:rsid w:val="00F83CDA"/>
    <w:rsid w:val="00F8487A"/>
    <w:rsid w:val="00F848F1"/>
    <w:rsid w:val="00F856C3"/>
    <w:rsid w:val="00F85855"/>
    <w:rsid w:val="00F864F4"/>
    <w:rsid w:val="00F8695B"/>
    <w:rsid w:val="00F87786"/>
    <w:rsid w:val="00F9005B"/>
    <w:rsid w:val="00F9028F"/>
    <w:rsid w:val="00F90456"/>
    <w:rsid w:val="00F93C13"/>
    <w:rsid w:val="00F9400B"/>
    <w:rsid w:val="00F94BDC"/>
    <w:rsid w:val="00F9593C"/>
    <w:rsid w:val="00F95B5D"/>
    <w:rsid w:val="00F966A0"/>
    <w:rsid w:val="00F966DA"/>
    <w:rsid w:val="00F96A97"/>
    <w:rsid w:val="00F96DBE"/>
    <w:rsid w:val="00F9709E"/>
    <w:rsid w:val="00F97828"/>
    <w:rsid w:val="00F979D4"/>
    <w:rsid w:val="00F97EDD"/>
    <w:rsid w:val="00FA0226"/>
    <w:rsid w:val="00FA07D9"/>
    <w:rsid w:val="00FA0942"/>
    <w:rsid w:val="00FA1C2C"/>
    <w:rsid w:val="00FA208E"/>
    <w:rsid w:val="00FA247A"/>
    <w:rsid w:val="00FA2F40"/>
    <w:rsid w:val="00FA3665"/>
    <w:rsid w:val="00FA3AD8"/>
    <w:rsid w:val="00FA5F4A"/>
    <w:rsid w:val="00FA6774"/>
    <w:rsid w:val="00FB01FD"/>
    <w:rsid w:val="00FB0FC6"/>
    <w:rsid w:val="00FB1851"/>
    <w:rsid w:val="00FB2A59"/>
    <w:rsid w:val="00FB3860"/>
    <w:rsid w:val="00FB3C85"/>
    <w:rsid w:val="00FB44A2"/>
    <w:rsid w:val="00FB4C78"/>
    <w:rsid w:val="00FB51E1"/>
    <w:rsid w:val="00FB5E21"/>
    <w:rsid w:val="00FB637D"/>
    <w:rsid w:val="00FB7778"/>
    <w:rsid w:val="00FB7A48"/>
    <w:rsid w:val="00FB7F55"/>
    <w:rsid w:val="00FC0072"/>
    <w:rsid w:val="00FC05E2"/>
    <w:rsid w:val="00FC0B32"/>
    <w:rsid w:val="00FC11C1"/>
    <w:rsid w:val="00FC1EA4"/>
    <w:rsid w:val="00FC1FE5"/>
    <w:rsid w:val="00FC241F"/>
    <w:rsid w:val="00FC2BED"/>
    <w:rsid w:val="00FC30B1"/>
    <w:rsid w:val="00FC38A2"/>
    <w:rsid w:val="00FC457E"/>
    <w:rsid w:val="00FC5837"/>
    <w:rsid w:val="00FC6909"/>
    <w:rsid w:val="00FC7ADA"/>
    <w:rsid w:val="00FD157B"/>
    <w:rsid w:val="00FD213E"/>
    <w:rsid w:val="00FD2279"/>
    <w:rsid w:val="00FD2487"/>
    <w:rsid w:val="00FD2BC6"/>
    <w:rsid w:val="00FD324B"/>
    <w:rsid w:val="00FD349B"/>
    <w:rsid w:val="00FD38BD"/>
    <w:rsid w:val="00FD5772"/>
    <w:rsid w:val="00FD5785"/>
    <w:rsid w:val="00FD5FD3"/>
    <w:rsid w:val="00FE00A9"/>
    <w:rsid w:val="00FE1098"/>
    <w:rsid w:val="00FE182F"/>
    <w:rsid w:val="00FE1F49"/>
    <w:rsid w:val="00FE24F5"/>
    <w:rsid w:val="00FE2EBE"/>
    <w:rsid w:val="00FE3A1B"/>
    <w:rsid w:val="00FE51C0"/>
    <w:rsid w:val="00FE5A1A"/>
    <w:rsid w:val="00FE5DA6"/>
    <w:rsid w:val="00FE74F6"/>
    <w:rsid w:val="00FE7802"/>
    <w:rsid w:val="00FF0BDC"/>
    <w:rsid w:val="00FF0E47"/>
    <w:rsid w:val="00FF1435"/>
    <w:rsid w:val="00FF1546"/>
    <w:rsid w:val="00FF2BDF"/>
    <w:rsid w:val="00FF350F"/>
    <w:rsid w:val="00FF3933"/>
    <w:rsid w:val="00FF3CBA"/>
    <w:rsid w:val="00FF3ED6"/>
    <w:rsid w:val="00FF40B5"/>
    <w:rsid w:val="00FF4787"/>
    <w:rsid w:val="00FF5047"/>
    <w:rsid w:val="00FF626A"/>
    <w:rsid w:val="00FF662F"/>
    <w:rsid w:val="00FF69BE"/>
    <w:rsid w:val="00FF6EBA"/>
    <w:rsid w:val="00FF7CD4"/>
    <w:rsid w:val="0156C7BB"/>
    <w:rsid w:val="0172550D"/>
    <w:rsid w:val="02189C13"/>
    <w:rsid w:val="022E5786"/>
    <w:rsid w:val="025D9302"/>
    <w:rsid w:val="026B40CE"/>
    <w:rsid w:val="0305F7F0"/>
    <w:rsid w:val="043769E6"/>
    <w:rsid w:val="04942771"/>
    <w:rsid w:val="04EB47BF"/>
    <w:rsid w:val="05090748"/>
    <w:rsid w:val="053AD419"/>
    <w:rsid w:val="06055AB8"/>
    <w:rsid w:val="06C66133"/>
    <w:rsid w:val="06D31416"/>
    <w:rsid w:val="077666BF"/>
    <w:rsid w:val="078639CC"/>
    <w:rsid w:val="08C159F5"/>
    <w:rsid w:val="097514C5"/>
    <w:rsid w:val="097ED11A"/>
    <w:rsid w:val="09A6B04E"/>
    <w:rsid w:val="09F7AC84"/>
    <w:rsid w:val="0A5AFCE9"/>
    <w:rsid w:val="0A5D2A56"/>
    <w:rsid w:val="0A6E652D"/>
    <w:rsid w:val="0AE60F1F"/>
    <w:rsid w:val="0B71CDF2"/>
    <w:rsid w:val="0C122314"/>
    <w:rsid w:val="0C6CA3DB"/>
    <w:rsid w:val="0CB671DC"/>
    <w:rsid w:val="0D086D6E"/>
    <w:rsid w:val="0D8A4575"/>
    <w:rsid w:val="0DC4BF28"/>
    <w:rsid w:val="0E8DAFA8"/>
    <w:rsid w:val="0E99C8E2"/>
    <w:rsid w:val="0ED57530"/>
    <w:rsid w:val="0F2F6422"/>
    <w:rsid w:val="0F41D650"/>
    <w:rsid w:val="0F9119DB"/>
    <w:rsid w:val="10EDB4C9"/>
    <w:rsid w:val="112B1046"/>
    <w:rsid w:val="11842183"/>
    <w:rsid w:val="124861EC"/>
    <w:rsid w:val="126A4956"/>
    <w:rsid w:val="12832C36"/>
    <w:rsid w:val="1293600B"/>
    <w:rsid w:val="12D1A150"/>
    <w:rsid w:val="12F9E270"/>
    <w:rsid w:val="139EFB81"/>
    <w:rsid w:val="141D34F9"/>
    <w:rsid w:val="15A0D552"/>
    <w:rsid w:val="15E765D3"/>
    <w:rsid w:val="164BAB42"/>
    <w:rsid w:val="16786831"/>
    <w:rsid w:val="1738FE2F"/>
    <w:rsid w:val="1757F4E4"/>
    <w:rsid w:val="176D67D6"/>
    <w:rsid w:val="18531FCA"/>
    <w:rsid w:val="1946A2B3"/>
    <w:rsid w:val="196A411B"/>
    <w:rsid w:val="1A223DF7"/>
    <w:rsid w:val="1B6B3C2F"/>
    <w:rsid w:val="1C0F1E81"/>
    <w:rsid w:val="1C2846DE"/>
    <w:rsid w:val="1CD4A34D"/>
    <w:rsid w:val="1CEE433C"/>
    <w:rsid w:val="1D25F0CB"/>
    <w:rsid w:val="1DD3562C"/>
    <w:rsid w:val="1FAECEEB"/>
    <w:rsid w:val="20254C86"/>
    <w:rsid w:val="206D38CD"/>
    <w:rsid w:val="20AC72D3"/>
    <w:rsid w:val="20B6C248"/>
    <w:rsid w:val="20E9B083"/>
    <w:rsid w:val="2214DEDD"/>
    <w:rsid w:val="2246FCAC"/>
    <w:rsid w:val="229890CA"/>
    <w:rsid w:val="22DD146B"/>
    <w:rsid w:val="22DE5051"/>
    <w:rsid w:val="2357BB30"/>
    <w:rsid w:val="2376D1C2"/>
    <w:rsid w:val="23AD8F36"/>
    <w:rsid w:val="241671C0"/>
    <w:rsid w:val="2447F967"/>
    <w:rsid w:val="24976D92"/>
    <w:rsid w:val="24C46B14"/>
    <w:rsid w:val="25322F2D"/>
    <w:rsid w:val="261F68AC"/>
    <w:rsid w:val="2625506F"/>
    <w:rsid w:val="27485106"/>
    <w:rsid w:val="274B7DEC"/>
    <w:rsid w:val="27B67D6F"/>
    <w:rsid w:val="282C6BBE"/>
    <w:rsid w:val="285CC0E1"/>
    <w:rsid w:val="2913E2A6"/>
    <w:rsid w:val="2B0FD3F3"/>
    <w:rsid w:val="2B640C80"/>
    <w:rsid w:val="2C740966"/>
    <w:rsid w:val="2CFFDCE1"/>
    <w:rsid w:val="2E2C17E7"/>
    <w:rsid w:val="2F57BA3F"/>
    <w:rsid w:val="2F6C93D2"/>
    <w:rsid w:val="2F75D63B"/>
    <w:rsid w:val="2FA0FEF9"/>
    <w:rsid w:val="2FE11ACE"/>
    <w:rsid w:val="2FEA6D73"/>
    <w:rsid w:val="30078BC4"/>
    <w:rsid w:val="301183FE"/>
    <w:rsid w:val="30BCDA2B"/>
    <w:rsid w:val="316D9AD9"/>
    <w:rsid w:val="31D34E04"/>
    <w:rsid w:val="31EC7661"/>
    <w:rsid w:val="32431861"/>
    <w:rsid w:val="32668B64"/>
    <w:rsid w:val="3330E0FB"/>
    <w:rsid w:val="33617622"/>
    <w:rsid w:val="3399B5A0"/>
    <w:rsid w:val="34B25325"/>
    <w:rsid w:val="354AC5B9"/>
    <w:rsid w:val="36EB1D3B"/>
    <w:rsid w:val="382EA543"/>
    <w:rsid w:val="38EB8664"/>
    <w:rsid w:val="39352C7E"/>
    <w:rsid w:val="3953700D"/>
    <w:rsid w:val="3A8E26A9"/>
    <w:rsid w:val="3AEF0781"/>
    <w:rsid w:val="3B7A304A"/>
    <w:rsid w:val="3B9358A7"/>
    <w:rsid w:val="3C4ADCB5"/>
    <w:rsid w:val="3D6BC7EB"/>
    <w:rsid w:val="3DCDB3F6"/>
    <w:rsid w:val="3DEFFB62"/>
    <w:rsid w:val="3F9A123D"/>
    <w:rsid w:val="3FB24484"/>
    <w:rsid w:val="40111DC7"/>
    <w:rsid w:val="40E20DBD"/>
    <w:rsid w:val="413C6E63"/>
    <w:rsid w:val="4143C376"/>
    <w:rsid w:val="4174ED52"/>
    <w:rsid w:val="43B4773C"/>
    <w:rsid w:val="440A3581"/>
    <w:rsid w:val="4435D5D1"/>
    <w:rsid w:val="44AC8C0B"/>
    <w:rsid w:val="44D78A4B"/>
    <w:rsid w:val="44E95831"/>
    <w:rsid w:val="46B1612F"/>
    <w:rsid w:val="46D5D324"/>
    <w:rsid w:val="479A0F6E"/>
    <w:rsid w:val="480E9395"/>
    <w:rsid w:val="4870494E"/>
    <w:rsid w:val="48FF2E24"/>
    <w:rsid w:val="4A12A574"/>
    <w:rsid w:val="4A969F05"/>
    <w:rsid w:val="4C100555"/>
    <w:rsid w:val="4C36CEE6"/>
    <w:rsid w:val="4DFAA5D1"/>
    <w:rsid w:val="4DFD3F21"/>
    <w:rsid w:val="4E004629"/>
    <w:rsid w:val="4E2923D6"/>
    <w:rsid w:val="4EC91976"/>
    <w:rsid w:val="4ED11282"/>
    <w:rsid w:val="4F3F6738"/>
    <w:rsid w:val="4FA20C5F"/>
    <w:rsid w:val="501940D3"/>
    <w:rsid w:val="50B69CAA"/>
    <w:rsid w:val="50F8F6CC"/>
    <w:rsid w:val="516555AA"/>
    <w:rsid w:val="521FE268"/>
    <w:rsid w:val="528478EC"/>
    <w:rsid w:val="52B7AF33"/>
    <w:rsid w:val="52E21DB4"/>
    <w:rsid w:val="535804D2"/>
    <w:rsid w:val="53829189"/>
    <w:rsid w:val="538758C3"/>
    <w:rsid w:val="53F9B94C"/>
    <w:rsid w:val="5487FFD0"/>
    <w:rsid w:val="578750B0"/>
    <w:rsid w:val="57909836"/>
    <w:rsid w:val="57B58ED7"/>
    <w:rsid w:val="58036891"/>
    <w:rsid w:val="585773C4"/>
    <w:rsid w:val="596A8795"/>
    <w:rsid w:val="5B6DF2D9"/>
    <w:rsid w:val="5BABB95B"/>
    <w:rsid w:val="5C32C13E"/>
    <w:rsid w:val="5C88FFFA"/>
    <w:rsid w:val="5CF7C377"/>
    <w:rsid w:val="5D1CD4D2"/>
    <w:rsid w:val="5F885CB0"/>
    <w:rsid w:val="5FCA6FC5"/>
    <w:rsid w:val="5FF6E5D8"/>
    <w:rsid w:val="6175997A"/>
    <w:rsid w:val="61E8BE11"/>
    <w:rsid w:val="620685AE"/>
    <w:rsid w:val="62678450"/>
    <w:rsid w:val="62BFACBD"/>
    <w:rsid w:val="643423C4"/>
    <w:rsid w:val="6446C9BE"/>
    <w:rsid w:val="65797E87"/>
    <w:rsid w:val="65DE3A9F"/>
    <w:rsid w:val="65E29A1F"/>
    <w:rsid w:val="65E4C2D0"/>
    <w:rsid w:val="67684D09"/>
    <w:rsid w:val="677ADB52"/>
    <w:rsid w:val="6787EBD8"/>
    <w:rsid w:val="69D4E61D"/>
    <w:rsid w:val="69E918D2"/>
    <w:rsid w:val="6A72A920"/>
    <w:rsid w:val="6B627995"/>
    <w:rsid w:val="6BE7FFB4"/>
    <w:rsid w:val="6BEF28D0"/>
    <w:rsid w:val="6BF7D35B"/>
    <w:rsid w:val="6D3A8080"/>
    <w:rsid w:val="6DEFC036"/>
    <w:rsid w:val="6E1883B7"/>
    <w:rsid w:val="6E65C781"/>
    <w:rsid w:val="6EDF0EB9"/>
    <w:rsid w:val="6EE8EC6E"/>
    <w:rsid w:val="6F617E5E"/>
    <w:rsid w:val="6FD6C486"/>
    <w:rsid w:val="70494E11"/>
    <w:rsid w:val="7169FF2F"/>
    <w:rsid w:val="72DB711B"/>
    <w:rsid w:val="732D998B"/>
    <w:rsid w:val="737CF9DB"/>
    <w:rsid w:val="73B8087E"/>
    <w:rsid w:val="73C08318"/>
    <w:rsid w:val="73FCFF6D"/>
    <w:rsid w:val="74165DDB"/>
    <w:rsid w:val="74487B5F"/>
    <w:rsid w:val="744EA844"/>
    <w:rsid w:val="74D043F5"/>
    <w:rsid w:val="75D3AE28"/>
    <w:rsid w:val="76415277"/>
    <w:rsid w:val="7662E5F0"/>
    <w:rsid w:val="774BCF53"/>
    <w:rsid w:val="77931AD4"/>
    <w:rsid w:val="784CDBA6"/>
    <w:rsid w:val="786FBB00"/>
    <w:rsid w:val="7A584162"/>
    <w:rsid w:val="7BC044F1"/>
    <w:rsid w:val="7D351B74"/>
    <w:rsid w:val="7D61759E"/>
    <w:rsid w:val="7D813093"/>
    <w:rsid w:val="7E07990C"/>
    <w:rsid w:val="7F00DDB4"/>
    <w:rsid w:val="7F6B80A6"/>
    <w:rsid w:val="7FFCE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56C889"/>
  <w14:defaultImageDpi w14:val="300"/>
  <w15:docId w15:val="{9FC53EB5-F1C0-44DD-AB5F-EFFB481B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6ADD"/>
    <w:pPr>
      <w:keepNext/>
      <w:keepLines/>
      <w:spacing w:before="240"/>
      <w:outlineLvl w:val="0"/>
    </w:pPr>
    <w:rPr>
      <w:rFonts w:ascii="Verdana" w:eastAsiaTheme="majorEastAsia" w:hAnsi="Verdana" w:cstheme="majorBidi"/>
      <w:b/>
      <w:color w:val="77328A"/>
      <w:sz w:val="30"/>
      <w:szCs w:val="32"/>
    </w:rPr>
  </w:style>
  <w:style w:type="paragraph" w:styleId="Heading2">
    <w:name w:val="heading 2"/>
    <w:basedOn w:val="Normal"/>
    <w:next w:val="Normal"/>
    <w:link w:val="Heading2Char"/>
    <w:uiPriority w:val="9"/>
    <w:unhideWhenUsed/>
    <w:qFormat/>
    <w:rsid w:val="00A16ADD"/>
    <w:pPr>
      <w:keepNext/>
      <w:keepLines/>
      <w:spacing w:before="40"/>
      <w:outlineLvl w:val="1"/>
    </w:pPr>
    <w:rPr>
      <w:rFonts w:ascii="Verdana" w:eastAsiaTheme="majorEastAsia" w:hAnsi="Verdana" w:cstheme="majorBidi"/>
      <w:b/>
      <w:szCs w:val="26"/>
    </w:rPr>
  </w:style>
  <w:style w:type="paragraph" w:styleId="Heading3">
    <w:name w:val="heading 3"/>
    <w:basedOn w:val="Normal"/>
    <w:next w:val="Normal"/>
    <w:link w:val="Heading3Char"/>
    <w:uiPriority w:val="9"/>
    <w:unhideWhenUsed/>
    <w:qFormat/>
    <w:rsid w:val="005907DC"/>
    <w:pPr>
      <w:keepNext/>
      <w:keepLines/>
      <w:spacing w:before="40"/>
      <w:outlineLvl w:val="2"/>
    </w:pPr>
    <w:rPr>
      <w:rFonts w:ascii="Verdana" w:eastAsiaTheme="majorEastAsia" w:hAnsi="Verdana" w:cstheme="majorBidi"/>
      <w:u w:val="single"/>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Char,Footnote Quot, Char"/>
    <w:basedOn w:val="Normal"/>
    <w:link w:val="FootnoteTextChar"/>
    <w:uiPriority w:val="99"/>
    <w:unhideWhenUsed/>
    <w:qFormat/>
    <w:rsid w:val="00224140"/>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Char Char,Footnote Quo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Heading1Char">
    <w:name w:val="Heading 1 Char"/>
    <w:basedOn w:val="DefaultParagraphFont"/>
    <w:link w:val="Heading1"/>
    <w:uiPriority w:val="9"/>
    <w:rsid w:val="000F0738"/>
    <w:rPr>
      <w:rFonts w:ascii="Verdana" w:eastAsiaTheme="majorEastAsia" w:hAnsi="Verdana" w:cstheme="majorBidi"/>
      <w:b/>
      <w:color w:val="77328A"/>
      <w:sz w:val="30"/>
      <w:szCs w:val="32"/>
    </w:rPr>
  </w:style>
  <w:style w:type="paragraph" w:styleId="ListParagraph">
    <w:name w:val="List Paragraph"/>
    <w:basedOn w:val="Normal"/>
    <w:uiPriority w:val="34"/>
    <w:qFormat/>
    <w:rsid w:val="007B560E"/>
    <w:pPr>
      <w:ind w:left="720"/>
      <w:contextualSpacing/>
    </w:pPr>
  </w:style>
  <w:style w:type="character" w:styleId="CommentReference">
    <w:name w:val="annotation reference"/>
    <w:basedOn w:val="DefaultParagraphFont"/>
    <w:uiPriority w:val="99"/>
    <w:semiHidden/>
    <w:unhideWhenUsed/>
    <w:rsid w:val="00E868B6"/>
    <w:rPr>
      <w:sz w:val="16"/>
      <w:szCs w:val="16"/>
    </w:rPr>
  </w:style>
  <w:style w:type="paragraph" w:styleId="CommentText">
    <w:name w:val="annotation text"/>
    <w:basedOn w:val="Normal"/>
    <w:link w:val="CommentTextChar"/>
    <w:uiPriority w:val="99"/>
    <w:unhideWhenUsed/>
    <w:rsid w:val="00E868B6"/>
    <w:rPr>
      <w:sz w:val="20"/>
      <w:szCs w:val="20"/>
    </w:rPr>
  </w:style>
  <w:style w:type="character" w:customStyle="1" w:styleId="CommentTextChar">
    <w:name w:val="Comment Text Char"/>
    <w:basedOn w:val="DefaultParagraphFont"/>
    <w:link w:val="CommentText"/>
    <w:uiPriority w:val="99"/>
    <w:rsid w:val="00E868B6"/>
    <w:rPr>
      <w:sz w:val="20"/>
      <w:szCs w:val="20"/>
    </w:rPr>
  </w:style>
  <w:style w:type="paragraph" w:styleId="CommentSubject">
    <w:name w:val="annotation subject"/>
    <w:basedOn w:val="CommentText"/>
    <w:next w:val="CommentText"/>
    <w:link w:val="CommentSubjectChar"/>
    <w:uiPriority w:val="99"/>
    <w:semiHidden/>
    <w:unhideWhenUsed/>
    <w:rsid w:val="00E868B6"/>
    <w:rPr>
      <w:b/>
      <w:bCs/>
    </w:rPr>
  </w:style>
  <w:style w:type="character" w:customStyle="1" w:styleId="CommentSubjectChar">
    <w:name w:val="Comment Subject Char"/>
    <w:basedOn w:val="CommentTextChar"/>
    <w:link w:val="CommentSubject"/>
    <w:uiPriority w:val="99"/>
    <w:semiHidden/>
    <w:rsid w:val="00E868B6"/>
    <w:rPr>
      <w:b/>
      <w:bCs/>
      <w:sz w:val="20"/>
      <w:szCs w:val="20"/>
    </w:rPr>
  </w:style>
  <w:style w:type="character" w:customStyle="1" w:styleId="Heading2Char">
    <w:name w:val="Heading 2 Char"/>
    <w:basedOn w:val="DefaultParagraphFont"/>
    <w:link w:val="Heading2"/>
    <w:uiPriority w:val="9"/>
    <w:rsid w:val="004E3E41"/>
    <w:rPr>
      <w:rFonts w:ascii="Verdana" w:eastAsiaTheme="majorEastAsia" w:hAnsi="Verdana" w:cstheme="majorBidi"/>
      <w:b/>
      <w:szCs w:val="26"/>
    </w:rPr>
  </w:style>
  <w:style w:type="paragraph" w:customStyle="1" w:styleId="Pa21">
    <w:name w:val="Pa2_1"/>
    <w:basedOn w:val="Normal"/>
    <w:next w:val="Normal"/>
    <w:uiPriority w:val="99"/>
    <w:rsid w:val="00500892"/>
    <w:pPr>
      <w:autoSpaceDE w:val="0"/>
      <w:autoSpaceDN w:val="0"/>
      <w:adjustRightInd w:val="0"/>
      <w:spacing w:line="241" w:lineRule="atLeast"/>
    </w:pPr>
    <w:rPr>
      <w:rFonts w:ascii="YIUEB V+ Gotham" w:eastAsiaTheme="minorHAnsi" w:hAnsi="YIUEB V+ Gotham"/>
    </w:rPr>
  </w:style>
  <w:style w:type="paragraph" w:customStyle="1" w:styleId="Pa151">
    <w:name w:val="Pa15_1"/>
    <w:basedOn w:val="Default"/>
    <w:next w:val="Default"/>
    <w:uiPriority w:val="99"/>
    <w:rsid w:val="00DD4260"/>
    <w:pPr>
      <w:widowControl/>
      <w:spacing w:line="241" w:lineRule="atLeast"/>
    </w:pPr>
    <w:rPr>
      <w:rFonts w:ascii="YIUEB V+ Gotham" w:hAnsi="YIUEB V+ Gotham" w:cstheme="minorBidi"/>
      <w:color w:val="auto"/>
      <w:lang w:val="en-GB"/>
    </w:rPr>
  </w:style>
  <w:style w:type="character" w:customStyle="1" w:styleId="A91">
    <w:name w:val="A9_1"/>
    <w:uiPriority w:val="99"/>
    <w:rsid w:val="00FF350F"/>
    <w:rPr>
      <w:rFonts w:cs="YIUEB V+ Gotham"/>
      <w:color w:val="000000"/>
      <w:sz w:val="14"/>
      <w:szCs w:val="14"/>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322282"/>
    <w:pPr>
      <w:spacing w:after="160" w:line="240" w:lineRule="exact"/>
      <w:jc w:val="both"/>
    </w:pPr>
    <w:rPr>
      <w:vertAlign w:val="superscript"/>
    </w:rPr>
  </w:style>
  <w:style w:type="paragraph" w:styleId="EndnoteText">
    <w:name w:val="endnote text"/>
    <w:basedOn w:val="Normal"/>
    <w:link w:val="EndnoteTextChar"/>
    <w:uiPriority w:val="99"/>
    <w:rsid w:val="001A257E"/>
    <w:rPr>
      <w:rFonts w:ascii="Verdana" w:eastAsia="Times New Roman" w:hAnsi="Verdana" w:cs="Times New Roman"/>
      <w:color w:val="000000"/>
      <w:sz w:val="20"/>
      <w:szCs w:val="20"/>
      <w:lang w:eastAsia="en-GB"/>
    </w:rPr>
  </w:style>
  <w:style w:type="character" w:customStyle="1" w:styleId="EndnoteTextChar">
    <w:name w:val="Endnote Text Char"/>
    <w:basedOn w:val="DefaultParagraphFont"/>
    <w:link w:val="EndnoteText"/>
    <w:uiPriority w:val="99"/>
    <w:rsid w:val="001A257E"/>
    <w:rPr>
      <w:rFonts w:ascii="Verdana" w:eastAsia="Times New Roman" w:hAnsi="Verdana" w:cs="Times New Roman"/>
      <w:color w:val="000000"/>
      <w:sz w:val="20"/>
      <w:szCs w:val="20"/>
      <w:lang w:eastAsia="en-GB"/>
    </w:rPr>
  </w:style>
  <w:style w:type="character" w:styleId="EndnoteReference">
    <w:name w:val="endnote reference"/>
    <w:basedOn w:val="DefaultParagraphFont"/>
    <w:uiPriority w:val="99"/>
    <w:rsid w:val="001A257E"/>
    <w:rPr>
      <w:rFonts w:cs="Times New Roman"/>
      <w:vertAlign w:val="superscript"/>
    </w:rPr>
  </w:style>
  <w:style w:type="character" w:customStyle="1" w:styleId="A51">
    <w:name w:val="A5_1"/>
    <w:uiPriority w:val="99"/>
    <w:rsid w:val="00970F9F"/>
    <w:rPr>
      <w:rFonts w:cs="Gotham Light"/>
      <w:i/>
      <w:iCs/>
      <w:color w:val="000000"/>
    </w:rPr>
  </w:style>
  <w:style w:type="paragraph" w:customStyle="1" w:styleId="Pa231">
    <w:name w:val="Pa23_1"/>
    <w:basedOn w:val="Default"/>
    <w:next w:val="Default"/>
    <w:uiPriority w:val="99"/>
    <w:rsid w:val="00305963"/>
    <w:pPr>
      <w:widowControl/>
      <w:spacing w:line="241" w:lineRule="atLeast"/>
    </w:pPr>
    <w:rPr>
      <w:rFonts w:ascii="YIUEB V+ Gotham" w:hAnsi="YIUEB V+ Gotham" w:cstheme="minorBidi"/>
      <w:color w:val="auto"/>
      <w:lang w:val="en-GB"/>
    </w:rPr>
  </w:style>
  <w:style w:type="character" w:styleId="FollowedHyperlink">
    <w:name w:val="FollowedHyperlink"/>
    <w:basedOn w:val="DefaultParagraphFont"/>
    <w:uiPriority w:val="99"/>
    <w:semiHidden/>
    <w:unhideWhenUsed/>
    <w:rsid w:val="00AB28B0"/>
    <w:rPr>
      <w:color w:val="800080" w:themeColor="followedHyperlink"/>
      <w:u w:val="single"/>
    </w:rPr>
  </w:style>
  <w:style w:type="paragraph" w:styleId="Revision">
    <w:name w:val="Revision"/>
    <w:hidden/>
    <w:uiPriority w:val="99"/>
    <w:semiHidden/>
    <w:rsid w:val="0003345C"/>
  </w:style>
  <w:style w:type="character" w:customStyle="1" w:styleId="Heading3Char">
    <w:name w:val="Heading 3 Char"/>
    <w:basedOn w:val="DefaultParagraphFont"/>
    <w:link w:val="Heading3"/>
    <w:uiPriority w:val="9"/>
    <w:rsid w:val="00D33C80"/>
    <w:rPr>
      <w:rFonts w:ascii="Verdana" w:eastAsiaTheme="majorEastAsia" w:hAnsi="Verdana" w:cstheme="majorBidi"/>
      <w:u w:val="single"/>
    </w:rPr>
  </w:style>
  <w:style w:type="character" w:customStyle="1" w:styleId="UnresolvedMention1">
    <w:name w:val="Unresolved Mention1"/>
    <w:basedOn w:val="DefaultParagraphFont"/>
    <w:uiPriority w:val="99"/>
    <w:semiHidden/>
    <w:unhideWhenUsed/>
    <w:rsid w:val="00F65DA3"/>
    <w:rPr>
      <w:color w:val="605E5C"/>
      <w:shd w:val="clear" w:color="auto" w:fill="E1DFDD"/>
    </w:rPr>
  </w:style>
  <w:style w:type="character" w:customStyle="1" w:styleId="Mention1">
    <w:name w:val="Mention1"/>
    <w:basedOn w:val="DefaultParagraphFont"/>
    <w:uiPriority w:val="99"/>
    <w:unhideWhenUsed/>
    <w:rsid w:val="00F65DA3"/>
    <w:rPr>
      <w:color w:val="2B579A"/>
      <w:shd w:val="clear" w:color="auto" w:fill="E6E6E6"/>
    </w:rPr>
  </w:style>
  <w:style w:type="character" w:customStyle="1" w:styleId="cf01">
    <w:name w:val="cf01"/>
    <w:basedOn w:val="DefaultParagraphFont"/>
    <w:rsid w:val="00937DA0"/>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F43841"/>
    <w:rPr>
      <w:color w:val="605E5C"/>
      <w:shd w:val="clear" w:color="auto" w:fill="E1DFDD"/>
    </w:rPr>
  </w:style>
  <w:style w:type="paragraph" w:styleId="TOCHeading">
    <w:name w:val="TOC Heading"/>
    <w:basedOn w:val="Heading1"/>
    <w:next w:val="Normal"/>
    <w:uiPriority w:val="39"/>
    <w:unhideWhenUsed/>
    <w:qFormat/>
    <w:rsid w:val="0035632C"/>
    <w:pPr>
      <w:spacing w:line="259" w:lineRule="auto"/>
      <w:outlineLvl w:val="9"/>
    </w:pPr>
    <w:rPr>
      <w:b w:val="0"/>
      <w:lang w:val="en-US"/>
    </w:rPr>
  </w:style>
  <w:style w:type="paragraph" w:styleId="TOC1">
    <w:name w:val="toc 1"/>
    <w:basedOn w:val="Normal"/>
    <w:next w:val="Normal"/>
    <w:autoRedefine/>
    <w:uiPriority w:val="39"/>
    <w:unhideWhenUsed/>
    <w:rsid w:val="00B54E52"/>
    <w:pPr>
      <w:tabs>
        <w:tab w:val="left" w:pos="880"/>
        <w:tab w:val="right" w:leader="dot" w:pos="9848"/>
      </w:tabs>
      <w:spacing w:after="100"/>
    </w:pPr>
    <w:rPr>
      <w:rFonts w:ascii="Verdana" w:hAnsi="Verdana"/>
      <w:b/>
      <w:noProof/>
    </w:rPr>
  </w:style>
  <w:style w:type="paragraph" w:styleId="TOC2">
    <w:name w:val="toc 2"/>
    <w:basedOn w:val="Normal"/>
    <w:next w:val="Normal"/>
    <w:autoRedefine/>
    <w:uiPriority w:val="39"/>
    <w:unhideWhenUsed/>
    <w:rsid w:val="00607609"/>
    <w:pPr>
      <w:tabs>
        <w:tab w:val="right" w:leader="dot" w:pos="9848"/>
      </w:tabs>
      <w:spacing w:after="100"/>
      <w:ind w:left="240"/>
    </w:pPr>
  </w:style>
  <w:style w:type="paragraph" w:styleId="TOC3">
    <w:name w:val="toc 3"/>
    <w:basedOn w:val="Normal"/>
    <w:next w:val="Normal"/>
    <w:autoRedefine/>
    <w:uiPriority w:val="39"/>
    <w:unhideWhenUsed/>
    <w:rsid w:val="0035632C"/>
    <w:pPr>
      <w:spacing w:after="100"/>
      <w:ind w:left="480"/>
    </w:pPr>
  </w:style>
  <w:style w:type="character" w:customStyle="1" w:styleId="UnresolvedMention3">
    <w:name w:val="Unresolved Mention3"/>
    <w:basedOn w:val="DefaultParagraphFont"/>
    <w:uiPriority w:val="99"/>
    <w:semiHidden/>
    <w:unhideWhenUsed/>
    <w:rsid w:val="0044370F"/>
    <w:rPr>
      <w:color w:val="605E5C"/>
      <w:shd w:val="clear" w:color="auto" w:fill="E1DFDD"/>
    </w:rPr>
  </w:style>
  <w:style w:type="character" w:customStyle="1" w:styleId="UnresolvedMention4">
    <w:name w:val="Unresolved Mention4"/>
    <w:basedOn w:val="DefaultParagraphFont"/>
    <w:uiPriority w:val="99"/>
    <w:semiHidden/>
    <w:unhideWhenUsed/>
    <w:rsid w:val="00743D3C"/>
    <w:rPr>
      <w:color w:val="605E5C"/>
      <w:shd w:val="clear" w:color="auto" w:fill="E1DFDD"/>
    </w:rPr>
  </w:style>
  <w:style w:type="character" w:customStyle="1" w:styleId="Mention2">
    <w:name w:val="Mention2"/>
    <w:basedOn w:val="DefaultParagraphFont"/>
    <w:uiPriority w:val="99"/>
    <w:unhideWhenUsed/>
    <w:rsid w:val="00743D3C"/>
    <w:rPr>
      <w:color w:val="2B579A"/>
      <w:shd w:val="clear" w:color="auto" w:fill="E1DFDD"/>
    </w:rPr>
  </w:style>
  <w:style w:type="character" w:customStyle="1" w:styleId="Mention3">
    <w:name w:val="Mention3"/>
    <w:basedOn w:val="DefaultParagraphFont"/>
    <w:uiPriority w:val="99"/>
    <w:unhideWhenUsed/>
    <w:rsid w:val="00AB7A72"/>
    <w:rPr>
      <w:color w:val="2B579A"/>
      <w:shd w:val="clear" w:color="auto" w:fill="E1DFDD"/>
    </w:rPr>
  </w:style>
  <w:style w:type="character" w:styleId="UnresolvedMention">
    <w:name w:val="Unresolved Mention"/>
    <w:basedOn w:val="DefaultParagraphFont"/>
    <w:uiPriority w:val="99"/>
    <w:semiHidden/>
    <w:unhideWhenUsed/>
    <w:rsid w:val="001C29F1"/>
    <w:rPr>
      <w:color w:val="605E5C"/>
      <w:shd w:val="clear" w:color="auto" w:fill="E1DFDD"/>
    </w:rPr>
  </w:style>
  <w:style w:type="character" w:styleId="Mention">
    <w:name w:val="Mention"/>
    <w:basedOn w:val="DefaultParagraphFont"/>
    <w:uiPriority w:val="99"/>
    <w:unhideWhenUsed/>
    <w:rsid w:val="005B226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3965">
      <w:bodyDiv w:val="1"/>
      <w:marLeft w:val="0"/>
      <w:marRight w:val="0"/>
      <w:marTop w:val="0"/>
      <w:marBottom w:val="0"/>
      <w:divBdr>
        <w:top w:val="none" w:sz="0" w:space="0" w:color="auto"/>
        <w:left w:val="none" w:sz="0" w:space="0" w:color="auto"/>
        <w:bottom w:val="none" w:sz="0" w:space="0" w:color="auto"/>
        <w:right w:val="none" w:sz="0" w:space="0" w:color="auto"/>
      </w:divBdr>
    </w:div>
    <w:div w:id="195195577">
      <w:bodyDiv w:val="1"/>
      <w:marLeft w:val="0"/>
      <w:marRight w:val="0"/>
      <w:marTop w:val="0"/>
      <w:marBottom w:val="0"/>
      <w:divBdr>
        <w:top w:val="none" w:sz="0" w:space="0" w:color="auto"/>
        <w:left w:val="none" w:sz="0" w:space="0" w:color="auto"/>
        <w:bottom w:val="none" w:sz="0" w:space="0" w:color="auto"/>
        <w:right w:val="none" w:sz="0" w:space="0" w:color="auto"/>
      </w:divBdr>
    </w:div>
    <w:div w:id="660548755">
      <w:bodyDiv w:val="1"/>
      <w:marLeft w:val="0"/>
      <w:marRight w:val="0"/>
      <w:marTop w:val="0"/>
      <w:marBottom w:val="0"/>
      <w:divBdr>
        <w:top w:val="none" w:sz="0" w:space="0" w:color="auto"/>
        <w:left w:val="none" w:sz="0" w:space="0" w:color="auto"/>
        <w:bottom w:val="none" w:sz="0" w:space="0" w:color="auto"/>
        <w:right w:val="none" w:sz="0" w:space="0" w:color="auto"/>
      </w:divBdr>
    </w:div>
    <w:div w:id="701829171">
      <w:bodyDiv w:val="1"/>
      <w:marLeft w:val="0"/>
      <w:marRight w:val="0"/>
      <w:marTop w:val="0"/>
      <w:marBottom w:val="0"/>
      <w:divBdr>
        <w:top w:val="none" w:sz="0" w:space="0" w:color="auto"/>
        <w:left w:val="none" w:sz="0" w:space="0" w:color="auto"/>
        <w:bottom w:val="none" w:sz="0" w:space="0" w:color="auto"/>
        <w:right w:val="none" w:sz="0" w:space="0" w:color="auto"/>
      </w:divBdr>
    </w:div>
    <w:div w:id="768504314">
      <w:bodyDiv w:val="1"/>
      <w:marLeft w:val="0"/>
      <w:marRight w:val="0"/>
      <w:marTop w:val="0"/>
      <w:marBottom w:val="0"/>
      <w:divBdr>
        <w:top w:val="none" w:sz="0" w:space="0" w:color="auto"/>
        <w:left w:val="none" w:sz="0" w:space="0" w:color="auto"/>
        <w:bottom w:val="none" w:sz="0" w:space="0" w:color="auto"/>
        <w:right w:val="none" w:sz="0" w:space="0" w:color="auto"/>
      </w:divBdr>
    </w:div>
    <w:div w:id="1014185699">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265741">
      <w:bodyDiv w:val="1"/>
      <w:marLeft w:val="0"/>
      <w:marRight w:val="0"/>
      <w:marTop w:val="0"/>
      <w:marBottom w:val="0"/>
      <w:divBdr>
        <w:top w:val="none" w:sz="0" w:space="0" w:color="auto"/>
        <w:left w:val="none" w:sz="0" w:space="0" w:color="auto"/>
        <w:bottom w:val="none" w:sz="0" w:space="0" w:color="auto"/>
        <w:right w:val="none" w:sz="0" w:space="0" w:color="auto"/>
      </w:divBdr>
    </w:div>
    <w:div w:id="1307902779">
      <w:bodyDiv w:val="1"/>
      <w:marLeft w:val="0"/>
      <w:marRight w:val="0"/>
      <w:marTop w:val="0"/>
      <w:marBottom w:val="0"/>
      <w:divBdr>
        <w:top w:val="none" w:sz="0" w:space="0" w:color="auto"/>
        <w:left w:val="none" w:sz="0" w:space="0" w:color="auto"/>
        <w:bottom w:val="none" w:sz="0" w:space="0" w:color="auto"/>
        <w:right w:val="none" w:sz="0" w:space="0" w:color="auto"/>
      </w:divBdr>
    </w:div>
    <w:div w:id="1336421554">
      <w:bodyDiv w:val="1"/>
      <w:marLeft w:val="0"/>
      <w:marRight w:val="0"/>
      <w:marTop w:val="0"/>
      <w:marBottom w:val="0"/>
      <w:divBdr>
        <w:top w:val="none" w:sz="0" w:space="0" w:color="auto"/>
        <w:left w:val="none" w:sz="0" w:space="0" w:color="auto"/>
        <w:bottom w:val="none" w:sz="0" w:space="0" w:color="auto"/>
        <w:right w:val="none" w:sz="0" w:space="0" w:color="auto"/>
      </w:divBdr>
    </w:div>
    <w:div w:id="1408990114">
      <w:bodyDiv w:val="1"/>
      <w:marLeft w:val="0"/>
      <w:marRight w:val="0"/>
      <w:marTop w:val="0"/>
      <w:marBottom w:val="0"/>
      <w:divBdr>
        <w:top w:val="none" w:sz="0" w:space="0" w:color="auto"/>
        <w:left w:val="none" w:sz="0" w:space="0" w:color="auto"/>
        <w:bottom w:val="none" w:sz="0" w:space="0" w:color="auto"/>
        <w:right w:val="none" w:sz="0" w:space="0" w:color="auto"/>
      </w:divBdr>
    </w:div>
    <w:div w:id="1411922414">
      <w:bodyDiv w:val="1"/>
      <w:marLeft w:val="0"/>
      <w:marRight w:val="0"/>
      <w:marTop w:val="0"/>
      <w:marBottom w:val="0"/>
      <w:divBdr>
        <w:top w:val="none" w:sz="0" w:space="0" w:color="auto"/>
        <w:left w:val="none" w:sz="0" w:space="0" w:color="auto"/>
        <w:bottom w:val="none" w:sz="0" w:space="0" w:color="auto"/>
        <w:right w:val="none" w:sz="0" w:space="0" w:color="auto"/>
      </w:divBdr>
    </w:div>
    <w:div w:id="1417049714">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18614310">
      <w:bodyDiv w:val="1"/>
      <w:marLeft w:val="0"/>
      <w:marRight w:val="0"/>
      <w:marTop w:val="0"/>
      <w:marBottom w:val="0"/>
      <w:divBdr>
        <w:top w:val="none" w:sz="0" w:space="0" w:color="auto"/>
        <w:left w:val="none" w:sz="0" w:space="0" w:color="auto"/>
        <w:bottom w:val="none" w:sz="0" w:space="0" w:color="auto"/>
        <w:right w:val="none" w:sz="0" w:space="0" w:color="auto"/>
      </w:divBdr>
    </w:div>
    <w:div w:id="1622759032">
      <w:bodyDiv w:val="1"/>
      <w:marLeft w:val="0"/>
      <w:marRight w:val="0"/>
      <w:marTop w:val="0"/>
      <w:marBottom w:val="0"/>
      <w:divBdr>
        <w:top w:val="none" w:sz="0" w:space="0" w:color="auto"/>
        <w:left w:val="none" w:sz="0" w:space="0" w:color="auto"/>
        <w:bottom w:val="none" w:sz="0" w:space="0" w:color="auto"/>
        <w:right w:val="none" w:sz="0" w:space="0" w:color="auto"/>
      </w:divBdr>
    </w:div>
    <w:div w:id="1668946488">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ousingrights.org.uk/sites/default/files/Cliff_edge_NI_Coalition_response_westminster_inquiry-welfare-policy-NI.pdf" TargetMode="External"/><Relationship Id="rId13" Type="http://schemas.openxmlformats.org/officeDocument/2006/relationships/hyperlink" Target="https://nihrc.org/publication/detail/nihrc-response-to-the-public-consultation-on-a-draft-refugee-integration-strategy" TargetMode="External"/><Relationship Id="rId18" Type="http://schemas.openxmlformats.org/officeDocument/2006/relationships/hyperlink" Target="https://www.belfastcity.gov.uk/council/equality-and-diversity/dual-language-street-sign-consultation" TargetMode="External"/><Relationship Id="rId3" Type="http://schemas.openxmlformats.org/officeDocument/2006/relationships/hyperlink" Target="https://nihrc.org/publication/detail/joint-nihrc-ecni-briefing-paper-on-the-modern-slavery-and-human-trafficking-and-electronic-travel-authorisation-provisions-in-the-nationality-and-borders-bill" TargetMode="External"/><Relationship Id="rId21" Type="http://schemas.openxmlformats.org/officeDocument/2006/relationships/hyperlink" Target="https://www.executiveoffice-ni.gov.uk/topics/public-appointments-reports" TargetMode="External"/><Relationship Id="rId7" Type="http://schemas.openxmlformats.org/officeDocument/2006/relationships/hyperlink" Target="https://www.communities-ni.gov.uk/system/files/publications/communities/dfc-review-of-welfare-mitigation-schemes-2019.pdf" TargetMode="External"/><Relationship Id="rId12" Type="http://schemas.openxmlformats.org/officeDocument/2006/relationships/hyperlink" Target="https://nihrc.org/publication/detail/nihrc-response-to-public-consultation-on-the-home-offices-new-plan-for-immigration" TargetMode="External"/><Relationship Id="rId17" Type="http://schemas.openxmlformats.org/officeDocument/2006/relationships/hyperlink" Target="https://www.justice-ni.gov.uk/consultations/consultation-hate-crime-legislation-northern-ireland" TargetMode="External"/><Relationship Id="rId2" Type="http://schemas.openxmlformats.org/officeDocument/2006/relationships/hyperlink" Target="https://reliefweb.int/sites/reliefweb.int/files/resources/migrants_and_their_vulnerability.pdf" TargetMode="External"/><Relationship Id="rId16" Type="http://schemas.openxmlformats.org/officeDocument/2006/relationships/hyperlink" Target="https://www.justice-ni.gov.uk/consultations/consultation-hate-crime-legislation-northern-ireland" TargetMode="External"/><Relationship Id="rId20" Type="http://schemas.openxmlformats.org/officeDocument/2006/relationships/hyperlink" Target="https://www.education-ni.gov.uk/independent-review-education" TargetMode="External"/><Relationship Id="rId1" Type="http://schemas.openxmlformats.org/officeDocument/2006/relationships/hyperlink" Target="https://www.justice-ni.gov.uk/consultations/consultation-hate-crime-legislation-northern-ireland" TargetMode="External"/><Relationship Id="rId6" Type="http://schemas.openxmlformats.org/officeDocument/2006/relationships/hyperlink" Target="https://questions-statements.parliament.uk/written-questions/detail/2018-04-19/136699" TargetMode="External"/><Relationship Id="rId11" Type="http://schemas.openxmlformats.org/officeDocument/2006/relationships/hyperlink" Target="https://reliefweb.int/report/united-kingdom-great-britain-and-northern-ireland/support-payments-asylum-seekers-living" TargetMode="External"/><Relationship Id="rId24" Type="http://schemas.openxmlformats.org/officeDocument/2006/relationships/hyperlink" Target="https://www.nisra.gov.uk/publications/equality-statistics-northern-ireland-civil-service-2013" TargetMode="External"/><Relationship Id="rId5" Type="http://schemas.openxmlformats.org/officeDocument/2006/relationships/hyperlink" Target="https://www.derryjournal.com/news/calls-for-suspension-of-ongoing-racist-operation-gull-initiative-1115253" TargetMode="External"/><Relationship Id="rId15" Type="http://schemas.openxmlformats.org/officeDocument/2006/relationships/hyperlink" Target="https://www.executiveoffice-ni.gov.uk/articles/racial-equality" TargetMode="External"/><Relationship Id="rId23" Type="http://schemas.openxmlformats.org/officeDocument/2006/relationships/hyperlink" Target="https://www.nisra.gov.uk/publications/equality-statistics-northern-ireland-civil-service-2021" TargetMode="External"/><Relationship Id="rId10" Type="http://schemas.openxmlformats.org/officeDocument/2006/relationships/hyperlink" Target="https://nihrc.org/publication/detail/report-the-impact-of-covid-19-on-public-services-in-northern-ireland" TargetMode="External"/><Relationship Id="rId19" Type="http://schemas.openxmlformats.org/officeDocument/2006/relationships/hyperlink" Target="https://www.ohchr.org/Documents/Issues/Minorities/SR/LanguageRightsLinguisticMinorities_EN.pdf" TargetMode="External"/><Relationship Id="rId4" Type="http://schemas.openxmlformats.org/officeDocument/2006/relationships/hyperlink" Target="https://www.justice-ni.gov.uk/sites/default/files/publications/justice/doj-octf-report-june-2016.pdf" TargetMode="External"/><Relationship Id="rId9" Type="http://schemas.openxmlformats.org/officeDocument/2006/relationships/hyperlink" Target="https://nihrc.org/publication/detail/full-report-the-impact-of-public-spending-changes-in-northern-ireland" TargetMode="External"/><Relationship Id="rId14" Type="http://schemas.openxmlformats.org/officeDocument/2006/relationships/hyperlink" Target="https://ima-citizensrights.org.uk/news/home-office-asked-to-clarify-the-rights-of-eu-citizens-applying-late-to-the-eu-settlement-scheme/" TargetMode="External"/><Relationship Id="rId22" Type="http://schemas.openxmlformats.org/officeDocument/2006/relationships/hyperlink" Target="https://www.nijac.gov.uk/diversit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E06F408947634AACE940EC88DD685D" ma:contentTypeVersion="4" ma:contentTypeDescription="Create a new document." ma:contentTypeScope="" ma:versionID="6a6f7b747fba0e19799d5d04142e133e">
  <xsd:schema xmlns:xsd="http://www.w3.org/2001/XMLSchema" xmlns:xs="http://www.w3.org/2001/XMLSchema" xmlns:p="http://schemas.microsoft.com/office/2006/metadata/properties" xmlns:ns2="59ecc23f-e505-4117-ae32-452bfb4ee683" targetNamespace="http://schemas.microsoft.com/office/2006/metadata/properties" ma:root="true" ma:fieldsID="6a9c8c5853b7e25e5da4804cc03de126" ns2:_="">
    <xsd:import namespace="59ecc23f-e505-4117-ae32-452bfb4ee6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cc23f-e505-4117-ae32-452bfb4ee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62273-A48A-4AFA-97E0-44C63EA4FAEF}">
  <ds:schemaRefs>
    <ds:schemaRef ds:uri="http://schemas.microsoft.com/sharepoint/v3/contenttype/forms"/>
  </ds:schemaRefs>
</ds:datastoreItem>
</file>

<file path=customXml/itemProps2.xml><?xml version="1.0" encoding="utf-8"?>
<ds:datastoreItem xmlns:ds="http://schemas.openxmlformats.org/officeDocument/2006/customXml" ds:itemID="{0EA98011-7E55-4746-B33E-17CC000A2E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258915-E6FB-41F2-9699-86A2CBE41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cc23f-e505-4117-ae32-452bfb4ee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12DFE1-B605-4495-9073-5CCE2757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21399</Words>
  <Characters>121979</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143092</CharactersWithSpaces>
  <SharedDoc>false</SharedDoc>
  <HLinks>
    <vt:vector size="510" baseType="variant">
      <vt:variant>
        <vt:i4>1572924</vt:i4>
      </vt:variant>
      <vt:variant>
        <vt:i4>356</vt:i4>
      </vt:variant>
      <vt:variant>
        <vt:i4>0</vt:i4>
      </vt:variant>
      <vt:variant>
        <vt:i4>5</vt:i4>
      </vt:variant>
      <vt:variant>
        <vt:lpwstr/>
      </vt:variant>
      <vt:variant>
        <vt:lpwstr>_Toc97030952</vt:lpwstr>
      </vt:variant>
      <vt:variant>
        <vt:i4>1769532</vt:i4>
      </vt:variant>
      <vt:variant>
        <vt:i4>350</vt:i4>
      </vt:variant>
      <vt:variant>
        <vt:i4>0</vt:i4>
      </vt:variant>
      <vt:variant>
        <vt:i4>5</vt:i4>
      </vt:variant>
      <vt:variant>
        <vt:lpwstr/>
      </vt:variant>
      <vt:variant>
        <vt:lpwstr>_Toc97030951</vt:lpwstr>
      </vt:variant>
      <vt:variant>
        <vt:i4>1703996</vt:i4>
      </vt:variant>
      <vt:variant>
        <vt:i4>344</vt:i4>
      </vt:variant>
      <vt:variant>
        <vt:i4>0</vt:i4>
      </vt:variant>
      <vt:variant>
        <vt:i4>5</vt:i4>
      </vt:variant>
      <vt:variant>
        <vt:lpwstr/>
      </vt:variant>
      <vt:variant>
        <vt:lpwstr>_Toc97030950</vt:lpwstr>
      </vt:variant>
      <vt:variant>
        <vt:i4>1245245</vt:i4>
      </vt:variant>
      <vt:variant>
        <vt:i4>338</vt:i4>
      </vt:variant>
      <vt:variant>
        <vt:i4>0</vt:i4>
      </vt:variant>
      <vt:variant>
        <vt:i4>5</vt:i4>
      </vt:variant>
      <vt:variant>
        <vt:lpwstr/>
      </vt:variant>
      <vt:variant>
        <vt:lpwstr>_Toc97030949</vt:lpwstr>
      </vt:variant>
      <vt:variant>
        <vt:i4>1179709</vt:i4>
      </vt:variant>
      <vt:variant>
        <vt:i4>332</vt:i4>
      </vt:variant>
      <vt:variant>
        <vt:i4>0</vt:i4>
      </vt:variant>
      <vt:variant>
        <vt:i4>5</vt:i4>
      </vt:variant>
      <vt:variant>
        <vt:lpwstr/>
      </vt:variant>
      <vt:variant>
        <vt:lpwstr>_Toc97030948</vt:lpwstr>
      </vt:variant>
      <vt:variant>
        <vt:i4>1900605</vt:i4>
      </vt:variant>
      <vt:variant>
        <vt:i4>326</vt:i4>
      </vt:variant>
      <vt:variant>
        <vt:i4>0</vt:i4>
      </vt:variant>
      <vt:variant>
        <vt:i4>5</vt:i4>
      </vt:variant>
      <vt:variant>
        <vt:lpwstr/>
      </vt:variant>
      <vt:variant>
        <vt:lpwstr>_Toc97030947</vt:lpwstr>
      </vt:variant>
      <vt:variant>
        <vt:i4>1835069</vt:i4>
      </vt:variant>
      <vt:variant>
        <vt:i4>320</vt:i4>
      </vt:variant>
      <vt:variant>
        <vt:i4>0</vt:i4>
      </vt:variant>
      <vt:variant>
        <vt:i4>5</vt:i4>
      </vt:variant>
      <vt:variant>
        <vt:lpwstr/>
      </vt:variant>
      <vt:variant>
        <vt:lpwstr>_Toc97030946</vt:lpwstr>
      </vt:variant>
      <vt:variant>
        <vt:i4>2031677</vt:i4>
      </vt:variant>
      <vt:variant>
        <vt:i4>314</vt:i4>
      </vt:variant>
      <vt:variant>
        <vt:i4>0</vt:i4>
      </vt:variant>
      <vt:variant>
        <vt:i4>5</vt:i4>
      </vt:variant>
      <vt:variant>
        <vt:lpwstr/>
      </vt:variant>
      <vt:variant>
        <vt:lpwstr>_Toc97030945</vt:lpwstr>
      </vt:variant>
      <vt:variant>
        <vt:i4>1966141</vt:i4>
      </vt:variant>
      <vt:variant>
        <vt:i4>308</vt:i4>
      </vt:variant>
      <vt:variant>
        <vt:i4>0</vt:i4>
      </vt:variant>
      <vt:variant>
        <vt:i4>5</vt:i4>
      </vt:variant>
      <vt:variant>
        <vt:lpwstr/>
      </vt:variant>
      <vt:variant>
        <vt:lpwstr>_Toc97030944</vt:lpwstr>
      </vt:variant>
      <vt:variant>
        <vt:i4>1638461</vt:i4>
      </vt:variant>
      <vt:variant>
        <vt:i4>302</vt:i4>
      </vt:variant>
      <vt:variant>
        <vt:i4>0</vt:i4>
      </vt:variant>
      <vt:variant>
        <vt:i4>5</vt:i4>
      </vt:variant>
      <vt:variant>
        <vt:lpwstr/>
      </vt:variant>
      <vt:variant>
        <vt:lpwstr>_Toc97030943</vt:lpwstr>
      </vt:variant>
      <vt:variant>
        <vt:i4>1572925</vt:i4>
      </vt:variant>
      <vt:variant>
        <vt:i4>296</vt:i4>
      </vt:variant>
      <vt:variant>
        <vt:i4>0</vt:i4>
      </vt:variant>
      <vt:variant>
        <vt:i4>5</vt:i4>
      </vt:variant>
      <vt:variant>
        <vt:lpwstr/>
      </vt:variant>
      <vt:variant>
        <vt:lpwstr>_Toc97030942</vt:lpwstr>
      </vt:variant>
      <vt:variant>
        <vt:i4>1769533</vt:i4>
      </vt:variant>
      <vt:variant>
        <vt:i4>290</vt:i4>
      </vt:variant>
      <vt:variant>
        <vt:i4>0</vt:i4>
      </vt:variant>
      <vt:variant>
        <vt:i4>5</vt:i4>
      </vt:variant>
      <vt:variant>
        <vt:lpwstr/>
      </vt:variant>
      <vt:variant>
        <vt:lpwstr>_Toc97030941</vt:lpwstr>
      </vt:variant>
      <vt:variant>
        <vt:i4>1703997</vt:i4>
      </vt:variant>
      <vt:variant>
        <vt:i4>284</vt:i4>
      </vt:variant>
      <vt:variant>
        <vt:i4>0</vt:i4>
      </vt:variant>
      <vt:variant>
        <vt:i4>5</vt:i4>
      </vt:variant>
      <vt:variant>
        <vt:lpwstr/>
      </vt:variant>
      <vt:variant>
        <vt:lpwstr>_Toc97030940</vt:lpwstr>
      </vt:variant>
      <vt:variant>
        <vt:i4>1245242</vt:i4>
      </vt:variant>
      <vt:variant>
        <vt:i4>278</vt:i4>
      </vt:variant>
      <vt:variant>
        <vt:i4>0</vt:i4>
      </vt:variant>
      <vt:variant>
        <vt:i4>5</vt:i4>
      </vt:variant>
      <vt:variant>
        <vt:lpwstr/>
      </vt:variant>
      <vt:variant>
        <vt:lpwstr>_Toc97030939</vt:lpwstr>
      </vt:variant>
      <vt:variant>
        <vt:i4>1179706</vt:i4>
      </vt:variant>
      <vt:variant>
        <vt:i4>272</vt:i4>
      </vt:variant>
      <vt:variant>
        <vt:i4>0</vt:i4>
      </vt:variant>
      <vt:variant>
        <vt:i4>5</vt:i4>
      </vt:variant>
      <vt:variant>
        <vt:lpwstr/>
      </vt:variant>
      <vt:variant>
        <vt:lpwstr>_Toc97030938</vt:lpwstr>
      </vt:variant>
      <vt:variant>
        <vt:i4>1900602</vt:i4>
      </vt:variant>
      <vt:variant>
        <vt:i4>266</vt:i4>
      </vt:variant>
      <vt:variant>
        <vt:i4>0</vt:i4>
      </vt:variant>
      <vt:variant>
        <vt:i4>5</vt:i4>
      </vt:variant>
      <vt:variant>
        <vt:lpwstr/>
      </vt:variant>
      <vt:variant>
        <vt:lpwstr>_Toc97030937</vt:lpwstr>
      </vt:variant>
      <vt:variant>
        <vt:i4>1835066</vt:i4>
      </vt:variant>
      <vt:variant>
        <vt:i4>260</vt:i4>
      </vt:variant>
      <vt:variant>
        <vt:i4>0</vt:i4>
      </vt:variant>
      <vt:variant>
        <vt:i4>5</vt:i4>
      </vt:variant>
      <vt:variant>
        <vt:lpwstr/>
      </vt:variant>
      <vt:variant>
        <vt:lpwstr>_Toc97030936</vt:lpwstr>
      </vt:variant>
      <vt:variant>
        <vt:i4>2031674</vt:i4>
      </vt:variant>
      <vt:variant>
        <vt:i4>254</vt:i4>
      </vt:variant>
      <vt:variant>
        <vt:i4>0</vt:i4>
      </vt:variant>
      <vt:variant>
        <vt:i4>5</vt:i4>
      </vt:variant>
      <vt:variant>
        <vt:lpwstr/>
      </vt:variant>
      <vt:variant>
        <vt:lpwstr>_Toc97030935</vt:lpwstr>
      </vt:variant>
      <vt:variant>
        <vt:i4>1966138</vt:i4>
      </vt:variant>
      <vt:variant>
        <vt:i4>248</vt:i4>
      </vt:variant>
      <vt:variant>
        <vt:i4>0</vt:i4>
      </vt:variant>
      <vt:variant>
        <vt:i4>5</vt:i4>
      </vt:variant>
      <vt:variant>
        <vt:lpwstr/>
      </vt:variant>
      <vt:variant>
        <vt:lpwstr>_Toc97030934</vt:lpwstr>
      </vt:variant>
      <vt:variant>
        <vt:i4>1638458</vt:i4>
      </vt:variant>
      <vt:variant>
        <vt:i4>242</vt:i4>
      </vt:variant>
      <vt:variant>
        <vt:i4>0</vt:i4>
      </vt:variant>
      <vt:variant>
        <vt:i4>5</vt:i4>
      </vt:variant>
      <vt:variant>
        <vt:lpwstr/>
      </vt:variant>
      <vt:variant>
        <vt:lpwstr>_Toc97030933</vt:lpwstr>
      </vt:variant>
      <vt:variant>
        <vt:i4>1572922</vt:i4>
      </vt:variant>
      <vt:variant>
        <vt:i4>236</vt:i4>
      </vt:variant>
      <vt:variant>
        <vt:i4>0</vt:i4>
      </vt:variant>
      <vt:variant>
        <vt:i4>5</vt:i4>
      </vt:variant>
      <vt:variant>
        <vt:lpwstr/>
      </vt:variant>
      <vt:variant>
        <vt:lpwstr>_Toc97030932</vt:lpwstr>
      </vt:variant>
      <vt:variant>
        <vt:i4>1769530</vt:i4>
      </vt:variant>
      <vt:variant>
        <vt:i4>230</vt:i4>
      </vt:variant>
      <vt:variant>
        <vt:i4>0</vt:i4>
      </vt:variant>
      <vt:variant>
        <vt:i4>5</vt:i4>
      </vt:variant>
      <vt:variant>
        <vt:lpwstr/>
      </vt:variant>
      <vt:variant>
        <vt:lpwstr>_Toc97030931</vt:lpwstr>
      </vt:variant>
      <vt:variant>
        <vt:i4>1703994</vt:i4>
      </vt:variant>
      <vt:variant>
        <vt:i4>224</vt:i4>
      </vt:variant>
      <vt:variant>
        <vt:i4>0</vt:i4>
      </vt:variant>
      <vt:variant>
        <vt:i4>5</vt:i4>
      </vt:variant>
      <vt:variant>
        <vt:lpwstr/>
      </vt:variant>
      <vt:variant>
        <vt:lpwstr>_Toc97030930</vt:lpwstr>
      </vt:variant>
      <vt:variant>
        <vt:i4>1245243</vt:i4>
      </vt:variant>
      <vt:variant>
        <vt:i4>218</vt:i4>
      </vt:variant>
      <vt:variant>
        <vt:i4>0</vt:i4>
      </vt:variant>
      <vt:variant>
        <vt:i4>5</vt:i4>
      </vt:variant>
      <vt:variant>
        <vt:lpwstr/>
      </vt:variant>
      <vt:variant>
        <vt:lpwstr>_Toc97030929</vt:lpwstr>
      </vt:variant>
      <vt:variant>
        <vt:i4>1179707</vt:i4>
      </vt:variant>
      <vt:variant>
        <vt:i4>212</vt:i4>
      </vt:variant>
      <vt:variant>
        <vt:i4>0</vt:i4>
      </vt:variant>
      <vt:variant>
        <vt:i4>5</vt:i4>
      </vt:variant>
      <vt:variant>
        <vt:lpwstr/>
      </vt:variant>
      <vt:variant>
        <vt:lpwstr>_Toc97030928</vt:lpwstr>
      </vt:variant>
      <vt:variant>
        <vt:i4>1900603</vt:i4>
      </vt:variant>
      <vt:variant>
        <vt:i4>206</vt:i4>
      </vt:variant>
      <vt:variant>
        <vt:i4>0</vt:i4>
      </vt:variant>
      <vt:variant>
        <vt:i4>5</vt:i4>
      </vt:variant>
      <vt:variant>
        <vt:lpwstr/>
      </vt:variant>
      <vt:variant>
        <vt:lpwstr>_Toc97030927</vt:lpwstr>
      </vt:variant>
      <vt:variant>
        <vt:i4>1835067</vt:i4>
      </vt:variant>
      <vt:variant>
        <vt:i4>200</vt:i4>
      </vt:variant>
      <vt:variant>
        <vt:i4>0</vt:i4>
      </vt:variant>
      <vt:variant>
        <vt:i4>5</vt:i4>
      </vt:variant>
      <vt:variant>
        <vt:lpwstr/>
      </vt:variant>
      <vt:variant>
        <vt:lpwstr>_Toc97030926</vt:lpwstr>
      </vt:variant>
      <vt:variant>
        <vt:i4>2031675</vt:i4>
      </vt:variant>
      <vt:variant>
        <vt:i4>194</vt:i4>
      </vt:variant>
      <vt:variant>
        <vt:i4>0</vt:i4>
      </vt:variant>
      <vt:variant>
        <vt:i4>5</vt:i4>
      </vt:variant>
      <vt:variant>
        <vt:lpwstr/>
      </vt:variant>
      <vt:variant>
        <vt:lpwstr>_Toc97030925</vt:lpwstr>
      </vt:variant>
      <vt:variant>
        <vt:i4>1966139</vt:i4>
      </vt:variant>
      <vt:variant>
        <vt:i4>188</vt:i4>
      </vt:variant>
      <vt:variant>
        <vt:i4>0</vt:i4>
      </vt:variant>
      <vt:variant>
        <vt:i4>5</vt:i4>
      </vt:variant>
      <vt:variant>
        <vt:lpwstr/>
      </vt:variant>
      <vt:variant>
        <vt:lpwstr>_Toc97030924</vt:lpwstr>
      </vt:variant>
      <vt:variant>
        <vt:i4>1638459</vt:i4>
      </vt:variant>
      <vt:variant>
        <vt:i4>182</vt:i4>
      </vt:variant>
      <vt:variant>
        <vt:i4>0</vt:i4>
      </vt:variant>
      <vt:variant>
        <vt:i4>5</vt:i4>
      </vt:variant>
      <vt:variant>
        <vt:lpwstr/>
      </vt:variant>
      <vt:variant>
        <vt:lpwstr>_Toc97030923</vt:lpwstr>
      </vt:variant>
      <vt:variant>
        <vt:i4>1572923</vt:i4>
      </vt:variant>
      <vt:variant>
        <vt:i4>176</vt:i4>
      </vt:variant>
      <vt:variant>
        <vt:i4>0</vt:i4>
      </vt:variant>
      <vt:variant>
        <vt:i4>5</vt:i4>
      </vt:variant>
      <vt:variant>
        <vt:lpwstr/>
      </vt:variant>
      <vt:variant>
        <vt:lpwstr>_Toc97030922</vt:lpwstr>
      </vt:variant>
      <vt:variant>
        <vt:i4>1769531</vt:i4>
      </vt:variant>
      <vt:variant>
        <vt:i4>170</vt:i4>
      </vt:variant>
      <vt:variant>
        <vt:i4>0</vt:i4>
      </vt:variant>
      <vt:variant>
        <vt:i4>5</vt:i4>
      </vt:variant>
      <vt:variant>
        <vt:lpwstr/>
      </vt:variant>
      <vt:variant>
        <vt:lpwstr>_Toc97030921</vt:lpwstr>
      </vt:variant>
      <vt:variant>
        <vt:i4>1703995</vt:i4>
      </vt:variant>
      <vt:variant>
        <vt:i4>164</vt:i4>
      </vt:variant>
      <vt:variant>
        <vt:i4>0</vt:i4>
      </vt:variant>
      <vt:variant>
        <vt:i4>5</vt:i4>
      </vt:variant>
      <vt:variant>
        <vt:lpwstr/>
      </vt:variant>
      <vt:variant>
        <vt:lpwstr>_Toc97030920</vt:lpwstr>
      </vt:variant>
      <vt:variant>
        <vt:i4>1245240</vt:i4>
      </vt:variant>
      <vt:variant>
        <vt:i4>158</vt:i4>
      </vt:variant>
      <vt:variant>
        <vt:i4>0</vt:i4>
      </vt:variant>
      <vt:variant>
        <vt:i4>5</vt:i4>
      </vt:variant>
      <vt:variant>
        <vt:lpwstr/>
      </vt:variant>
      <vt:variant>
        <vt:lpwstr>_Toc97030919</vt:lpwstr>
      </vt:variant>
      <vt:variant>
        <vt:i4>1179704</vt:i4>
      </vt:variant>
      <vt:variant>
        <vt:i4>152</vt:i4>
      </vt:variant>
      <vt:variant>
        <vt:i4>0</vt:i4>
      </vt:variant>
      <vt:variant>
        <vt:i4>5</vt:i4>
      </vt:variant>
      <vt:variant>
        <vt:lpwstr/>
      </vt:variant>
      <vt:variant>
        <vt:lpwstr>_Toc97030918</vt:lpwstr>
      </vt:variant>
      <vt:variant>
        <vt:i4>1900600</vt:i4>
      </vt:variant>
      <vt:variant>
        <vt:i4>146</vt:i4>
      </vt:variant>
      <vt:variant>
        <vt:i4>0</vt:i4>
      </vt:variant>
      <vt:variant>
        <vt:i4>5</vt:i4>
      </vt:variant>
      <vt:variant>
        <vt:lpwstr/>
      </vt:variant>
      <vt:variant>
        <vt:lpwstr>_Toc97030917</vt:lpwstr>
      </vt:variant>
      <vt:variant>
        <vt:i4>1835064</vt:i4>
      </vt:variant>
      <vt:variant>
        <vt:i4>140</vt:i4>
      </vt:variant>
      <vt:variant>
        <vt:i4>0</vt:i4>
      </vt:variant>
      <vt:variant>
        <vt:i4>5</vt:i4>
      </vt:variant>
      <vt:variant>
        <vt:lpwstr/>
      </vt:variant>
      <vt:variant>
        <vt:lpwstr>_Toc97030916</vt:lpwstr>
      </vt:variant>
      <vt:variant>
        <vt:i4>2031672</vt:i4>
      </vt:variant>
      <vt:variant>
        <vt:i4>134</vt:i4>
      </vt:variant>
      <vt:variant>
        <vt:i4>0</vt:i4>
      </vt:variant>
      <vt:variant>
        <vt:i4>5</vt:i4>
      </vt:variant>
      <vt:variant>
        <vt:lpwstr/>
      </vt:variant>
      <vt:variant>
        <vt:lpwstr>_Toc97030915</vt:lpwstr>
      </vt:variant>
      <vt:variant>
        <vt:i4>1966136</vt:i4>
      </vt:variant>
      <vt:variant>
        <vt:i4>128</vt:i4>
      </vt:variant>
      <vt:variant>
        <vt:i4>0</vt:i4>
      </vt:variant>
      <vt:variant>
        <vt:i4>5</vt:i4>
      </vt:variant>
      <vt:variant>
        <vt:lpwstr/>
      </vt:variant>
      <vt:variant>
        <vt:lpwstr>_Toc97030914</vt:lpwstr>
      </vt:variant>
      <vt:variant>
        <vt:i4>1638456</vt:i4>
      </vt:variant>
      <vt:variant>
        <vt:i4>122</vt:i4>
      </vt:variant>
      <vt:variant>
        <vt:i4>0</vt:i4>
      </vt:variant>
      <vt:variant>
        <vt:i4>5</vt:i4>
      </vt:variant>
      <vt:variant>
        <vt:lpwstr/>
      </vt:variant>
      <vt:variant>
        <vt:lpwstr>_Toc97030913</vt:lpwstr>
      </vt:variant>
      <vt:variant>
        <vt:i4>1572920</vt:i4>
      </vt:variant>
      <vt:variant>
        <vt:i4>116</vt:i4>
      </vt:variant>
      <vt:variant>
        <vt:i4>0</vt:i4>
      </vt:variant>
      <vt:variant>
        <vt:i4>5</vt:i4>
      </vt:variant>
      <vt:variant>
        <vt:lpwstr/>
      </vt:variant>
      <vt:variant>
        <vt:lpwstr>_Toc97030912</vt:lpwstr>
      </vt:variant>
      <vt:variant>
        <vt:i4>1769528</vt:i4>
      </vt:variant>
      <vt:variant>
        <vt:i4>110</vt:i4>
      </vt:variant>
      <vt:variant>
        <vt:i4>0</vt:i4>
      </vt:variant>
      <vt:variant>
        <vt:i4>5</vt:i4>
      </vt:variant>
      <vt:variant>
        <vt:lpwstr/>
      </vt:variant>
      <vt:variant>
        <vt:lpwstr>_Toc97030911</vt:lpwstr>
      </vt:variant>
      <vt:variant>
        <vt:i4>1703992</vt:i4>
      </vt:variant>
      <vt:variant>
        <vt:i4>104</vt:i4>
      </vt:variant>
      <vt:variant>
        <vt:i4>0</vt:i4>
      </vt:variant>
      <vt:variant>
        <vt:i4>5</vt:i4>
      </vt:variant>
      <vt:variant>
        <vt:lpwstr/>
      </vt:variant>
      <vt:variant>
        <vt:lpwstr>_Toc97030910</vt:lpwstr>
      </vt:variant>
      <vt:variant>
        <vt:i4>1245241</vt:i4>
      </vt:variant>
      <vt:variant>
        <vt:i4>98</vt:i4>
      </vt:variant>
      <vt:variant>
        <vt:i4>0</vt:i4>
      </vt:variant>
      <vt:variant>
        <vt:i4>5</vt:i4>
      </vt:variant>
      <vt:variant>
        <vt:lpwstr/>
      </vt:variant>
      <vt:variant>
        <vt:lpwstr>_Toc97030909</vt:lpwstr>
      </vt:variant>
      <vt:variant>
        <vt:i4>1179705</vt:i4>
      </vt:variant>
      <vt:variant>
        <vt:i4>92</vt:i4>
      </vt:variant>
      <vt:variant>
        <vt:i4>0</vt:i4>
      </vt:variant>
      <vt:variant>
        <vt:i4>5</vt:i4>
      </vt:variant>
      <vt:variant>
        <vt:lpwstr/>
      </vt:variant>
      <vt:variant>
        <vt:lpwstr>_Toc97030908</vt:lpwstr>
      </vt:variant>
      <vt:variant>
        <vt:i4>1900601</vt:i4>
      </vt:variant>
      <vt:variant>
        <vt:i4>86</vt:i4>
      </vt:variant>
      <vt:variant>
        <vt:i4>0</vt:i4>
      </vt:variant>
      <vt:variant>
        <vt:i4>5</vt:i4>
      </vt:variant>
      <vt:variant>
        <vt:lpwstr/>
      </vt:variant>
      <vt:variant>
        <vt:lpwstr>_Toc97030907</vt:lpwstr>
      </vt:variant>
      <vt:variant>
        <vt:i4>1835065</vt:i4>
      </vt:variant>
      <vt:variant>
        <vt:i4>80</vt:i4>
      </vt:variant>
      <vt:variant>
        <vt:i4>0</vt:i4>
      </vt:variant>
      <vt:variant>
        <vt:i4>5</vt:i4>
      </vt:variant>
      <vt:variant>
        <vt:lpwstr/>
      </vt:variant>
      <vt:variant>
        <vt:lpwstr>_Toc97030906</vt:lpwstr>
      </vt:variant>
      <vt:variant>
        <vt:i4>2031673</vt:i4>
      </vt:variant>
      <vt:variant>
        <vt:i4>74</vt:i4>
      </vt:variant>
      <vt:variant>
        <vt:i4>0</vt:i4>
      </vt:variant>
      <vt:variant>
        <vt:i4>5</vt:i4>
      </vt:variant>
      <vt:variant>
        <vt:lpwstr/>
      </vt:variant>
      <vt:variant>
        <vt:lpwstr>_Toc97030905</vt:lpwstr>
      </vt:variant>
      <vt:variant>
        <vt:i4>1966137</vt:i4>
      </vt:variant>
      <vt:variant>
        <vt:i4>68</vt:i4>
      </vt:variant>
      <vt:variant>
        <vt:i4>0</vt:i4>
      </vt:variant>
      <vt:variant>
        <vt:i4>5</vt:i4>
      </vt:variant>
      <vt:variant>
        <vt:lpwstr/>
      </vt:variant>
      <vt:variant>
        <vt:lpwstr>_Toc97030904</vt:lpwstr>
      </vt:variant>
      <vt:variant>
        <vt:i4>1638457</vt:i4>
      </vt:variant>
      <vt:variant>
        <vt:i4>62</vt:i4>
      </vt:variant>
      <vt:variant>
        <vt:i4>0</vt:i4>
      </vt:variant>
      <vt:variant>
        <vt:i4>5</vt:i4>
      </vt:variant>
      <vt:variant>
        <vt:lpwstr/>
      </vt:variant>
      <vt:variant>
        <vt:lpwstr>_Toc97030903</vt:lpwstr>
      </vt:variant>
      <vt:variant>
        <vt:i4>1572921</vt:i4>
      </vt:variant>
      <vt:variant>
        <vt:i4>56</vt:i4>
      </vt:variant>
      <vt:variant>
        <vt:i4>0</vt:i4>
      </vt:variant>
      <vt:variant>
        <vt:i4>5</vt:i4>
      </vt:variant>
      <vt:variant>
        <vt:lpwstr/>
      </vt:variant>
      <vt:variant>
        <vt:lpwstr>_Toc97030902</vt:lpwstr>
      </vt:variant>
      <vt:variant>
        <vt:i4>1769529</vt:i4>
      </vt:variant>
      <vt:variant>
        <vt:i4>50</vt:i4>
      </vt:variant>
      <vt:variant>
        <vt:i4>0</vt:i4>
      </vt:variant>
      <vt:variant>
        <vt:i4>5</vt:i4>
      </vt:variant>
      <vt:variant>
        <vt:lpwstr/>
      </vt:variant>
      <vt:variant>
        <vt:lpwstr>_Toc97030901</vt:lpwstr>
      </vt:variant>
      <vt:variant>
        <vt:i4>1703993</vt:i4>
      </vt:variant>
      <vt:variant>
        <vt:i4>44</vt:i4>
      </vt:variant>
      <vt:variant>
        <vt:i4>0</vt:i4>
      </vt:variant>
      <vt:variant>
        <vt:i4>5</vt:i4>
      </vt:variant>
      <vt:variant>
        <vt:lpwstr/>
      </vt:variant>
      <vt:variant>
        <vt:lpwstr>_Toc97030900</vt:lpwstr>
      </vt:variant>
      <vt:variant>
        <vt:i4>1179696</vt:i4>
      </vt:variant>
      <vt:variant>
        <vt:i4>38</vt:i4>
      </vt:variant>
      <vt:variant>
        <vt:i4>0</vt:i4>
      </vt:variant>
      <vt:variant>
        <vt:i4>5</vt:i4>
      </vt:variant>
      <vt:variant>
        <vt:lpwstr/>
      </vt:variant>
      <vt:variant>
        <vt:lpwstr>_Toc97030899</vt:lpwstr>
      </vt:variant>
      <vt:variant>
        <vt:i4>1245232</vt:i4>
      </vt:variant>
      <vt:variant>
        <vt:i4>32</vt:i4>
      </vt:variant>
      <vt:variant>
        <vt:i4>0</vt:i4>
      </vt:variant>
      <vt:variant>
        <vt:i4>5</vt:i4>
      </vt:variant>
      <vt:variant>
        <vt:lpwstr/>
      </vt:variant>
      <vt:variant>
        <vt:lpwstr>_Toc97030898</vt:lpwstr>
      </vt:variant>
      <vt:variant>
        <vt:i4>1835056</vt:i4>
      </vt:variant>
      <vt:variant>
        <vt:i4>26</vt:i4>
      </vt:variant>
      <vt:variant>
        <vt:i4>0</vt:i4>
      </vt:variant>
      <vt:variant>
        <vt:i4>5</vt:i4>
      </vt:variant>
      <vt:variant>
        <vt:lpwstr/>
      </vt:variant>
      <vt:variant>
        <vt:lpwstr>_Toc97030897</vt:lpwstr>
      </vt:variant>
      <vt:variant>
        <vt:i4>1900592</vt:i4>
      </vt:variant>
      <vt:variant>
        <vt:i4>20</vt:i4>
      </vt:variant>
      <vt:variant>
        <vt:i4>0</vt:i4>
      </vt:variant>
      <vt:variant>
        <vt:i4>5</vt:i4>
      </vt:variant>
      <vt:variant>
        <vt:lpwstr/>
      </vt:variant>
      <vt:variant>
        <vt:lpwstr>_Toc97030896</vt:lpwstr>
      </vt:variant>
      <vt:variant>
        <vt:i4>1966128</vt:i4>
      </vt:variant>
      <vt:variant>
        <vt:i4>14</vt:i4>
      </vt:variant>
      <vt:variant>
        <vt:i4>0</vt:i4>
      </vt:variant>
      <vt:variant>
        <vt:i4>5</vt:i4>
      </vt:variant>
      <vt:variant>
        <vt:lpwstr/>
      </vt:variant>
      <vt:variant>
        <vt:lpwstr>_Toc97030895</vt:lpwstr>
      </vt:variant>
      <vt:variant>
        <vt:i4>2031664</vt:i4>
      </vt:variant>
      <vt:variant>
        <vt:i4>8</vt:i4>
      </vt:variant>
      <vt:variant>
        <vt:i4>0</vt:i4>
      </vt:variant>
      <vt:variant>
        <vt:i4>5</vt:i4>
      </vt:variant>
      <vt:variant>
        <vt:lpwstr/>
      </vt:variant>
      <vt:variant>
        <vt:lpwstr>_Toc97030894</vt:lpwstr>
      </vt:variant>
      <vt:variant>
        <vt:i4>1572912</vt:i4>
      </vt:variant>
      <vt:variant>
        <vt:i4>2</vt:i4>
      </vt:variant>
      <vt:variant>
        <vt:i4>0</vt:i4>
      </vt:variant>
      <vt:variant>
        <vt:i4>5</vt:i4>
      </vt:variant>
      <vt:variant>
        <vt:lpwstr/>
      </vt:variant>
      <vt:variant>
        <vt:lpwstr>_Toc97030893</vt:lpwstr>
      </vt:variant>
      <vt:variant>
        <vt:i4>4849695</vt:i4>
      </vt:variant>
      <vt:variant>
        <vt:i4>72</vt:i4>
      </vt:variant>
      <vt:variant>
        <vt:i4>0</vt:i4>
      </vt:variant>
      <vt:variant>
        <vt:i4>5</vt:i4>
      </vt:variant>
      <vt:variant>
        <vt:lpwstr>https://www.nisra.gov.uk/publications/equality-statistics-northern-ireland-civil-service-2013</vt:lpwstr>
      </vt:variant>
      <vt:variant>
        <vt:lpwstr/>
      </vt:variant>
      <vt:variant>
        <vt:i4>4784159</vt:i4>
      </vt:variant>
      <vt:variant>
        <vt:i4>69</vt:i4>
      </vt:variant>
      <vt:variant>
        <vt:i4>0</vt:i4>
      </vt:variant>
      <vt:variant>
        <vt:i4>5</vt:i4>
      </vt:variant>
      <vt:variant>
        <vt:lpwstr>https://www.nisra.gov.uk/publications/equality-statistics-northern-ireland-civil-service-2021</vt:lpwstr>
      </vt:variant>
      <vt:variant>
        <vt:lpwstr/>
      </vt:variant>
      <vt:variant>
        <vt:i4>3080253</vt:i4>
      </vt:variant>
      <vt:variant>
        <vt:i4>66</vt:i4>
      </vt:variant>
      <vt:variant>
        <vt:i4>0</vt:i4>
      </vt:variant>
      <vt:variant>
        <vt:i4>5</vt:i4>
      </vt:variant>
      <vt:variant>
        <vt:lpwstr>https://www.nijac.gov.uk/diversity-information</vt:lpwstr>
      </vt:variant>
      <vt:variant>
        <vt:lpwstr/>
      </vt:variant>
      <vt:variant>
        <vt:i4>1376325</vt:i4>
      </vt:variant>
      <vt:variant>
        <vt:i4>63</vt:i4>
      </vt:variant>
      <vt:variant>
        <vt:i4>0</vt:i4>
      </vt:variant>
      <vt:variant>
        <vt:i4>5</vt:i4>
      </vt:variant>
      <vt:variant>
        <vt:lpwstr>https://www.executiveoffice-ni.gov.uk/topics/public-appointments-reports</vt:lpwstr>
      </vt:variant>
      <vt:variant>
        <vt:lpwstr/>
      </vt:variant>
      <vt:variant>
        <vt:i4>2031630</vt:i4>
      </vt:variant>
      <vt:variant>
        <vt:i4>60</vt:i4>
      </vt:variant>
      <vt:variant>
        <vt:i4>0</vt:i4>
      </vt:variant>
      <vt:variant>
        <vt:i4>5</vt:i4>
      </vt:variant>
      <vt:variant>
        <vt:lpwstr>https://www.education-ni.gov.uk/independent-review-education</vt:lpwstr>
      </vt:variant>
      <vt:variant>
        <vt:lpwstr/>
      </vt:variant>
      <vt:variant>
        <vt:i4>786530</vt:i4>
      </vt:variant>
      <vt:variant>
        <vt:i4>57</vt:i4>
      </vt:variant>
      <vt:variant>
        <vt:i4>0</vt:i4>
      </vt:variant>
      <vt:variant>
        <vt:i4>5</vt:i4>
      </vt:variant>
      <vt:variant>
        <vt:lpwstr>https://www.ohchr.org/Documents/Issues/Minorities/SR/LanguageRightsLinguisticMinorities_EN.pdf</vt:lpwstr>
      </vt:variant>
      <vt:variant>
        <vt:lpwstr/>
      </vt:variant>
      <vt:variant>
        <vt:i4>1966145</vt:i4>
      </vt:variant>
      <vt:variant>
        <vt:i4>54</vt:i4>
      </vt:variant>
      <vt:variant>
        <vt:i4>0</vt:i4>
      </vt:variant>
      <vt:variant>
        <vt:i4>5</vt:i4>
      </vt:variant>
      <vt:variant>
        <vt:lpwstr>https://www.belfastcity.gov.uk/council/equality-and-diversity/dual-language-street-sign-consultation</vt:lpwstr>
      </vt:variant>
      <vt:variant>
        <vt:lpwstr/>
      </vt:variant>
      <vt:variant>
        <vt:i4>4587599</vt:i4>
      </vt:variant>
      <vt:variant>
        <vt:i4>51</vt:i4>
      </vt:variant>
      <vt:variant>
        <vt:i4>0</vt:i4>
      </vt:variant>
      <vt:variant>
        <vt:i4>5</vt:i4>
      </vt:variant>
      <vt:variant>
        <vt:lpwstr>https://www.justice-ni.gov.uk/consultations/consultation-hate-crime-legislation-northern-ireland</vt:lpwstr>
      </vt:variant>
      <vt:variant>
        <vt:lpwstr/>
      </vt:variant>
      <vt:variant>
        <vt:i4>4587599</vt:i4>
      </vt:variant>
      <vt:variant>
        <vt:i4>48</vt:i4>
      </vt:variant>
      <vt:variant>
        <vt:i4>0</vt:i4>
      </vt:variant>
      <vt:variant>
        <vt:i4>5</vt:i4>
      </vt:variant>
      <vt:variant>
        <vt:lpwstr>https://www.justice-ni.gov.uk/consultations/consultation-hate-crime-legislation-northern-ireland</vt:lpwstr>
      </vt:variant>
      <vt:variant>
        <vt:lpwstr/>
      </vt:variant>
      <vt:variant>
        <vt:i4>7143529</vt:i4>
      </vt:variant>
      <vt:variant>
        <vt:i4>45</vt:i4>
      </vt:variant>
      <vt:variant>
        <vt:i4>0</vt:i4>
      </vt:variant>
      <vt:variant>
        <vt:i4>5</vt:i4>
      </vt:variant>
      <vt:variant>
        <vt:lpwstr>https://www.executiveoffice-ni.gov.uk/articles/racial-equality</vt:lpwstr>
      </vt:variant>
      <vt:variant>
        <vt:lpwstr/>
      </vt:variant>
      <vt:variant>
        <vt:i4>5373963</vt:i4>
      </vt:variant>
      <vt:variant>
        <vt:i4>42</vt:i4>
      </vt:variant>
      <vt:variant>
        <vt:i4>0</vt:i4>
      </vt:variant>
      <vt:variant>
        <vt:i4>5</vt:i4>
      </vt:variant>
      <vt:variant>
        <vt:lpwstr>https://ima-citizensrights.org.uk/news/home-office-asked-to-clarify-the-rights-of-eu-citizens-applying-late-to-the-eu-settlement-scheme/</vt:lpwstr>
      </vt:variant>
      <vt:variant>
        <vt:lpwstr/>
      </vt:variant>
      <vt:variant>
        <vt:i4>327686</vt:i4>
      </vt:variant>
      <vt:variant>
        <vt:i4>39</vt:i4>
      </vt:variant>
      <vt:variant>
        <vt:i4>0</vt:i4>
      </vt:variant>
      <vt:variant>
        <vt:i4>5</vt:i4>
      </vt:variant>
      <vt:variant>
        <vt:lpwstr>https://www.communities-ni.gov.uk/news/hargey-seeks-views-current-caravan-act</vt:lpwstr>
      </vt:variant>
      <vt:variant>
        <vt:lpwstr/>
      </vt:variant>
      <vt:variant>
        <vt:i4>8126580</vt:i4>
      </vt:variant>
      <vt:variant>
        <vt:i4>36</vt:i4>
      </vt:variant>
      <vt:variant>
        <vt:i4>0</vt:i4>
      </vt:variant>
      <vt:variant>
        <vt:i4>5</vt:i4>
      </vt:variant>
      <vt:variant>
        <vt:lpwstr>https://nihrc.org/publication/detail/nihrc-response-to-the-public-consultation-on-a-draft-refugee-integration-strategy</vt:lpwstr>
      </vt:variant>
      <vt:variant>
        <vt:lpwstr/>
      </vt:variant>
      <vt:variant>
        <vt:i4>3866738</vt:i4>
      </vt:variant>
      <vt:variant>
        <vt:i4>33</vt:i4>
      </vt:variant>
      <vt:variant>
        <vt:i4>0</vt:i4>
      </vt:variant>
      <vt:variant>
        <vt:i4>5</vt:i4>
      </vt:variant>
      <vt:variant>
        <vt:lpwstr>https://nihrc.org/publication/detail/nihrc-response-to-public-consultation-on-the-home-offices-new-plan-for-immigration</vt:lpwstr>
      </vt:variant>
      <vt:variant>
        <vt:lpwstr/>
      </vt:variant>
      <vt:variant>
        <vt:i4>1704007</vt:i4>
      </vt:variant>
      <vt:variant>
        <vt:i4>30</vt:i4>
      </vt:variant>
      <vt:variant>
        <vt:i4>0</vt:i4>
      </vt:variant>
      <vt:variant>
        <vt:i4>5</vt:i4>
      </vt:variant>
      <vt:variant>
        <vt:lpwstr>https://reliefweb.int/report/united-kingdom-great-britain-and-northern-ireland/support-payments-asylum-seekers-living</vt:lpwstr>
      </vt:variant>
      <vt:variant>
        <vt:lpwstr/>
      </vt:variant>
      <vt:variant>
        <vt:i4>4325463</vt:i4>
      </vt:variant>
      <vt:variant>
        <vt:i4>27</vt:i4>
      </vt:variant>
      <vt:variant>
        <vt:i4>0</vt:i4>
      </vt:variant>
      <vt:variant>
        <vt:i4>5</vt:i4>
      </vt:variant>
      <vt:variant>
        <vt:lpwstr>https://nihrc.org/publication/detail/report-the-impact-of-covid-19-on-public-services-in-northern-ireland</vt:lpwstr>
      </vt:variant>
      <vt:variant>
        <vt:lpwstr/>
      </vt:variant>
      <vt:variant>
        <vt:i4>2818157</vt:i4>
      </vt:variant>
      <vt:variant>
        <vt:i4>24</vt:i4>
      </vt:variant>
      <vt:variant>
        <vt:i4>0</vt:i4>
      </vt:variant>
      <vt:variant>
        <vt:i4>5</vt:i4>
      </vt:variant>
      <vt:variant>
        <vt:lpwstr>https://nihrc.org/publication/detail/full-report-the-impact-of-public-spending-changes-in-northern-ireland</vt:lpwstr>
      </vt:variant>
      <vt:variant>
        <vt:lpwstr/>
      </vt:variant>
      <vt:variant>
        <vt:i4>4718677</vt:i4>
      </vt:variant>
      <vt:variant>
        <vt:i4>21</vt:i4>
      </vt:variant>
      <vt:variant>
        <vt:i4>0</vt:i4>
      </vt:variant>
      <vt:variant>
        <vt:i4>5</vt:i4>
      </vt:variant>
      <vt:variant>
        <vt:lpwstr>https://www.housingrights.org.uk/sites/default/files/Cliff_edge_NI_Coalition_response_westminster_inquiry-welfare-policy-NI.pdf</vt:lpwstr>
      </vt:variant>
      <vt:variant>
        <vt:lpwstr/>
      </vt:variant>
      <vt:variant>
        <vt:i4>4653084</vt:i4>
      </vt:variant>
      <vt:variant>
        <vt:i4>18</vt:i4>
      </vt:variant>
      <vt:variant>
        <vt:i4>0</vt:i4>
      </vt:variant>
      <vt:variant>
        <vt:i4>5</vt:i4>
      </vt:variant>
      <vt:variant>
        <vt:lpwstr>https://www.communities-ni.gov.uk/system/files/publications/communities/dfc-review-of-welfare-mitigation-schemes-2019.pdf</vt:lpwstr>
      </vt:variant>
      <vt:variant>
        <vt:lpwstr/>
      </vt:variant>
      <vt:variant>
        <vt:i4>6029402</vt:i4>
      </vt:variant>
      <vt:variant>
        <vt:i4>15</vt:i4>
      </vt:variant>
      <vt:variant>
        <vt:i4>0</vt:i4>
      </vt:variant>
      <vt:variant>
        <vt:i4>5</vt:i4>
      </vt:variant>
      <vt:variant>
        <vt:lpwstr>https://questions-statements.parliament.uk/written-questions/detail/2018-04-19/136699</vt:lpwstr>
      </vt:variant>
      <vt:variant>
        <vt:lpwstr/>
      </vt:variant>
      <vt:variant>
        <vt:i4>3407970</vt:i4>
      </vt:variant>
      <vt:variant>
        <vt:i4>12</vt:i4>
      </vt:variant>
      <vt:variant>
        <vt:i4>0</vt:i4>
      </vt:variant>
      <vt:variant>
        <vt:i4>5</vt:i4>
      </vt:variant>
      <vt:variant>
        <vt:lpwstr>https://www.derryjournal.com/news/calls-for-suspension-of-ongoing-racist-operation-gull-initiative-1115253</vt:lpwstr>
      </vt:variant>
      <vt:variant>
        <vt:lpwstr/>
      </vt:variant>
      <vt:variant>
        <vt:i4>1703949</vt:i4>
      </vt:variant>
      <vt:variant>
        <vt:i4>9</vt:i4>
      </vt:variant>
      <vt:variant>
        <vt:i4>0</vt:i4>
      </vt:variant>
      <vt:variant>
        <vt:i4>5</vt:i4>
      </vt:variant>
      <vt:variant>
        <vt:lpwstr>https://www.justice-ni.gov.uk/sites/default/files/publications/justice/doj-octf-report-june-2016.pdf</vt:lpwstr>
      </vt:variant>
      <vt:variant>
        <vt:lpwstr/>
      </vt:variant>
      <vt:variant>
        <vt:i4>7340081</vt:i4>
      </vt:variant>
      <vt:variant>
        <vt:i4>6</vt:i4>
      </vt:variant>
      <vt:variant>
        <vt:i4>0</vt:i4>
      </vt:variant>
      <vt:variant>
        <vt:i4>5</vt:i4>
      </vt:variant>
      <vt:variant>
        <vt:lpwstr>https://nihrc.org/publication/detail/joint-nihrc-ecni-briefing-paper-on-the-modern-slavery-and-human-trafficking-and-electronic-travel-authorisation-provisions-in-the-nationality-and-borders-bill</vt:lpwstr>
      </vt:variant>
      <vt:variant>
        <vt:lpwstr/>
      </vt:variant>
      <vt:variant>
        <vt:i4>3276895</vt:i4>
      </vt:variant>
      <vt:variant>
        <vt:i4>3</vt:i4>
      </vt:variant>
      <vt:variant>
        <vt:i4>0</vt:i4>
      </vt:variant>
      <vt:variant>
        <vt:i4>5</vt:i4>
      </vt:variant>
      <vt:variant>
        <vt:lpwstr>https://reliefweb.int/sites/reliefweb.int/files/resources/migrants_and_their_vulnerability.pdf</vt:lpwstr>
      </vt:variant>
      <vt:variant>
        <vt:lpwstr/>
      </vt:variant>
      <vt:variant>
        <vt:i4>4587599</vt:i4>
      </vt:variant>
      <vt:variant>
        <vt:i4>0</vt:i4>
      </vt:variant>
      <vt:variant>
        <vt:i4>0</vt:i4>
      </vt:variant>
      <vt:variant>
        <vt:i4>5</vt:i4>
      </vt:variant>
      <vt:variant>
        <vt:lpwstr>https://www.justice-ni.gov.uk/consultations/consultation-hate-crime-legislation-northern-ireland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Emily Mills</cp:lastModifiedBy>
  <cp:revision>88</cp:revision>
  <cp:lastPrinted>2022-03-02T14:46:00Z</cp:lastPrinted>
  <dcterms:created xsi:type="dcterms:W3CDTF">2022-03-01T11:06:00Z</dcterms:created>
  <dcterms:modified xsi:type="dcterms:W3CDTF">2022-03-02T14:47:00Z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0x01010088E06F408947634AACE940EC88DD685D</vt:lpwstr>
  </property>
</Properties>
</file>