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A36F" w14:textId="737594FE" w:rsidR="0067791B" w:rsidRDefault="0067791B" w:rsidP="00C217B5">
      <w:pPr>
        <w:pStyle w:val="BasicParagraph"/>
        <w:suppressAutoHyphens/>
        <w:jc w:val="center"/>
        <w:rPr>
          <w:rFonts w:ascii="Verdana" w:hAnsi="Verdana" w:cs="Arial"/>
          <w:b/>
          <w:bCs/>
          <w:color w:val="734791"/>
          <w:sz w:val="36"/>
          <w:szCs w:val="36"/>
        </w:rPr>
      </w:pPr>
    </w:p>
    <w:p w14:paraId="584ABD81" w14:textId="77777777" w:rsidR="00611963" w:rsidRPr="002F2B00" w:rsidRDefault="00611963" w:rsidP="00C217B5">
      <w:pPr>
        <w:pStyle w:val="BasicParagraph"/>
        <w:suppressAutoHyphens/>
        <w:jc w:val="center"/>
        <w:rPr>
          <w:rFonts w:ascii="Verdana" w:hAnsi="Verdana" w:cs="Arial"/>
          <w:b/>
          <w:bCs/>
          <w:color w:val="734791"/>
          <w:sz w:val="36"/>
          <w:szCs w:val="36"/>
        </w:rPr>
      </w:pPr>
      <w:r w:rsidRPr="002F2B00">
        <w:rPr>
          <w:rFonts w:ascii="Verdana" w:hAnsi="Verdana" w:cs="Arial"/>
          <w:b/>
          <w:bCs/>
          <w:noProof/>
          <w:color w:val="734791"/>
          <w:sz w:val="36"/>
          <w:szCs w:val="36"/>
          <w:lang w:eastAsia="en-GB"/>
        </w:rPr>
        <w:drawing>
          <wp:inline distT="0" distB="0" distL="0" distR="0" wp14:anchorId="15E4087B" wp14:editId="68260BBB">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654D228" w14:textId="77777777" w:rsidR="00395DFD" w:rsidRPr="002F2B00" w:rsidRDefault="00395DFD" w:rsidP="00C217B5">
      <w:pPr>
        <w:pStyle w:val="Default"/>
        <w:spacing w:line="288" w:lineRule="auto"/>
        <w:jc w:val="center"/>
        <w:rPr>
          <w:rFonts w:cs="Arial"/>
          <w:b/>
          <w:bCs/>
          <w:color w:val="77328A"/>
          <w:sz w:val="36"/>
          <w:szCs w:val="36"/>
          <w:lang w:val="en-GB"/>
        </w:rPr>
      </w:pPr>
    </w:p>
    <w:p w14:paraId="6871021C" w14:textId="0C1E7C12" w:rsidR="00200F67" w:rsidRPr="009D0FB1" w:rsidRDefault="00200F67" w:rsidP="00200F67">
      <w:pPr>
        <w:pStyle w:val="Default"/>
        <w:spacing w:line="288" w:lineRule="auto"/>
        <w:jc w:val="center"/>
        <w:rPr>
          <w:rFonts w:cs="Arial"/>
          <w:b/>
          <w:bCs/>
          <w:color w:val="77328A"/>
          <w:sz w:val="36"/>
          <w:szCs w:val="36"/>
          <w:lang w:val="en-GB"/>
        </w:rPr>
      </w:pPr>
      <w:r w:rsidRPr="009D0FB1">
        <w:rPr>
          <w:b/>
          <w:bCs/>
          <w:color w:val="77328A"/>
          <w:sz w:val="36"/>
          <w:szCs w:val="36"/>
        </w:rPr>
        <w:t xml:space="preserve">Rule 9 Submission to the </w:t>
      </w:r>
      <w:proofErr w:type="spellStart"/>
      <w:r w:rsidRPr="009D0FB1">
        <w:rPr>
          <w:b/>
          <w:bCs/>
          <w:color w:val="77328A"/>
          <w:sz w:val="36"/>
          <w:szCs w:val="36"/>
        </w:rPr>
        <w:t>CoE</w:t>
      </w:r>
      <w:proofErr w:type="spellEnd"/>
      <w:r w:rsidRPr="009D0FB1">
        <w:rPr>
          <w:b/>
          <w:bCs/>
          <w:color w:val="77328A"/>
          <w:sz w:val="36"/>
          <w:szCs w:val="36"/>
        </w:rPr>
        <w:t xml:space="preserve"> Committee of Ministers in Relation to the Supervision of the Cases Concerning the Actions of the Security Forces in NI: </w:t>
      </w:r>
      <w:r w:rsidRPr="009D0FB1">
        <w:rPr>
          <w:rFonts w:cs="Arial"/>
          <w:b/>
          <w:bCs/>
          <w:color w:val="77328A"/>
          <w:sz w:val="36"/>
          <w:szCs w:val="36"/>
          <w:lang w:val="en-GB"/>
        </w:rPr>
        <w:t xml:space="preserve">NI Troubles (Legacy and Reconciliation) </w:t>
      </w:r>
      <w:r w:rsidR="004B45C5">
        <w:rPr>
          <w:rFonts w:cs="Arial"/>
          <w:b/>
          <w:bCs/>
          <w:color w:val="77328A"/>
          <w:sz w:val="36"/>
          <w:szCs w:val="36"/>
          <w:lang w:val="en-GB"/>
        </w:rPr>
        <w:t>Act 2023</w:t>
      </w:r>
      <w:r w:rsidRPr="009D0FB1">
        <w:rPr>
          <w:rFonts w:cs="Arial"/>
          <w:b/>
          <w:bCs/>
          <w:color w:val="77328A"/>
          <w:sz w:val="36"/>
          <w:szCs w:val="36"/>
          <w:lang w:val="en-GB"/>
        </w:rPr>
        <w:t xml:space="preserve"> </w:t>
      </w:r>
    </w:p>
    <w:p w14:paraId="526AD419" w14:textId="77777777" w:rsidR="00200F67" w:rsidRPr="002F2B00" w:rsidRDefault="00200F67" w:rsidP="00200F67">
      <w:pPr>
        <w:pStyle w:val="Default"/>
        <w:spacing w:line="288" w:lineRule="auto"/>
        <w:jc w:val="center"/>
        <w:rPr>
          <w:rFonts w:cs="Arial"/>
          <w:color w:val="232120"/>
          <w:sz w:val="36"/>
          <w:szCs w:val="36"/>
        </w:rPr>
      </w:pPr>
    </w:p>
    <w:p w14:paraId="67579A72" w14:textId="77777777" w:rsidR="00200F67" w:rsidRPr="002F2B00" w:rsidRDefault="00200F67" w:rsidP="00200F67">
      <w:pPr>
        <w:pStyle w:val="Default"/>
        <w:spacing w:line="288" w:lineRule="auto"/>
        <w:jc w:val="center"/>
        <w:rPr>
          <w:rFonts w:cs="Arial"/>
          <w:color w:val="232120"/>
          <w:sz w:val="36"/>
          <w:szCs w:val="36"/>
        </w:rPr>
      </w:pPr>
    </w:p>
    <w:p w14:paraId="26CCFFAD" w14:textId="77777777" w:rsidR="00200F67" w:rsidRPr="002F2B00" w:rsidRDefault="00200F67" w:rsidP="00200F67">
      <w:pPr>
        <w:jc w:val="center"/>
        <w:rPr>
          <w:rFonts w:cs="Arial"/>
          <w:b/>
          <w:color w:val="232120"/>
          <w:sz w:val="30"/>
          <w:szCs w:val="30"/>
        </w:rPr>
      </w:pPr>
    </w:p>
    <w:p w14:paraId="217957C8" w14:textId="77777777" w:rsidR="00200F67" w:rsidRPr="002F2B00" w:rsidRDefault="00200F67" w:rsidP="00200F67">
      <w:pPr>
        <w:jc w:val="center"/>
        <w:rPr>
          <w:rFonts w:cs="Arial"/>
          <w:b/>
          <w:color w:val="232120"/>
          <w:sz w:val="30"/>
          <w:szCs w:val="30"/>
        </w:rPr>
      </w:pPr>
    </w:p>
    <w:p w14:paraId="47295585" w14:textId="7EAA3B0A" w:rsidR="00200F67" w:rsidRPr="002F2B00" w:rsidRDefault="004B45C5" w:rsidP="00200F67">
      <w:pPr>
        <w:jc w:val="center"/>
        <w:rPr>
          <w:rFonts w:cs="Arial"/>
          <w:b/>
          <w:color w:val="232120"/>
          <w:sz w:val="30"/>
          <w:szCs w:val="30"/>
        </w:rPr>
      </w:pPr>
      <w:r>
        <w:rPr>
          <w:rFonts w:cs="Arial"/>
          <w:b/>
          <w:color w:val="232120"/>
          <w:sz w:val="30"/>
          <w:szCs w:val="30"/>
        </w:rPr>
        <w:t>April 2024</w:t>
      </w:r>
    </w:p>
    <w:p w14:paraId="44A3314B" w14:textId="77777777" w:rsidR="00611963" w:rsidRPr="002F2B00" w:rsidRDefault="00611963" w:rsidP="00C217B5">
      <w:pPr>
        <w:pStyle w:val="Default"/>
        <w:spacing w:line="288" w:lineRule="auto"/>
        <w:jc w:val="center"/>
        <w:rPr>
          <w:rFonts w:cs="Arial"/>
          <w:color w:val="232120"/>
          <w:sz w:val="36"/>
          <w:szCs w:val="36"/>
        </w:rPr>
      </w:pPr>
    </w:p>
    <w:p w14:paraId="43A6E31C" w14:textId="77777777" w:rsidR="00395DFD" w:rsidRPr="002F2B00" w:rsidRDefault="00395DFD" w:rsidP="00C217B5">
      <w:pPr>
        <w:pStyle w:val="Default"/>
        <w:spacing w:line="288" w:lineRule="auto"/>
        <w:jc w:val="center"/>
        <w:rPr>
          <w:rFonts w:cs="Arial"/>
          <w:color w:val="232120"/>
          <w:sz w:val="36"/>
          <w:szCs w:val="36"/>
        </w:rPr>
      </w:pPr>
    </w:p>
    <w:p w14:paraId="55FAEE46" w14:textId="77777777" w:rsidR="0057576E" w:rsidRPr="002F2B00" w:rsidRDefault="0057576E" w:rsidP="00C217B5">
      <w:pPr>
        <w:jc w:val="center"/>
        <w:rPr>
          <w:rFonts w:cs="Arial"/>
          <w:b/>
          <w:color w:val="232120"/>
          <w:sz w:val="30"/>
          <w:szCs w:val="30"/>
        </w:rPr>
      </w:pPr>
    </w:p>
    <w:sdt>
      <w:sdtPr>
        <w:rPr>
          <w:rFonts w:ascii="Verdana" w:eastAsiaTheme="minorEastAsia" w:hAnsi="Verdana" w:cstheme="minorBidi"/>
          <w:color w:val="auto"/>
          <w:sz w:val="24"/>
          <w:szCs w:val="24"/>
          <w:lang w:val="en-GB"/>
        </w:rPr>
        <w:id w:val="-1746635202"/>
        <w:docPartObj>
          <w:docPartGallery w:val="Table of Contents"/>
          <w:docPartUnique/>
        </w:docPartObj>
      </w:sdtPr>
      <w:sdtEndPr>
        <w:rPr>
          <w:b/>
          <w:bCs/>
          <w:noProof/>
        </w:rPr>
      </w:sdtEndPr>
      <w:sdtContent>
        <w:p w14:paraId="26FD041C" w14:textId="5036D65E" w:rsidR="00DF176D" w:rsidRPr="00DF176D" w:rsidRDefault="00DF176D">
          <w:pPr>
            <w:pStyle w:val="TOCHeading"/>
            <w:rPr>
              <w:rFonts w:ascii="Verdana" w:hAnsi="Verdana"/>
              <w:b/>
              <w:bCs/>
              <w:color w:val="77328A"/>
              <w:sz w:val="40"/>
              <w:szCs w:val="40"/>
            </w:rPr>
          </w:pPr>
          <w:r w:rsidRPr="00DF176D">
            <w:rPr>
              <w:rFonts w:ascii="Verdana" w:hAnsi="Verdana"/>
              <w:b/>
              <w:bCs/>
              <w:color w:val="77328A"/>
              <w:sz w:val="40"/>
              <w:szCs w:val="40"/>
            </w:rPr>
            <w:t>Table of Contents</w:t>
          </w:r>
        </w:p>
        <w:p w14:paraId="17E2CDA8" w14:textId="77777777" w:rsidR="00DF176D" w:rsidRPr="00DF176D" w:rsidRDefault="00DF176D" w:rsidP="00DF176D">
          <w:pPr>
            <w:rPr>
              <w:lang w:val="en-US"/>
            </w:rPr>
          </w:pPr>
        </w:p>
        <w:p w14:paraId="1E5D271C" w14:textId="42C6896C" w:rsidR="00D617BB" w:rsidRDefault="00DF176D">
          <w:pPr>
            <w:pStyle w:val="TOC1"/>
            <w:rPr>
              <w:rFonts w:asciiTheme="minorHAnsi" w:eastAsiaTheme="minorEastAsia" w:hAnsiTheme="minorHAnsi"/>
              <w:b w:val="0"/>
              <w:kern w:val="2"/>
              <w:sz w:val="22"/>
              <w:lang w:eastAsia="en-GB"/>
              <w14:ligatures w14:val="standardContextual"/>
            </w:rPr>
          </w:pPr>
          <w:r>
            <w:fldChar w:fldCharType="begin"/>
          </w:r>
          <w:r>
            <w:instrText xml:space="preserve"> TOC \o "1-3" \h \z \u </w:instrText>
          </w:r>
          <w:r>
            <w:fldChar w:fldCharType="separate"/>
          </w:r>
          <w:hyperlink w:anchor="_Toc164766592" w:history="1">
            <w:r w:rsidR="00D617BB" w:rsidRPr="007F3177">
              <w:rPr>
                <w:rStyle w:val="Hyperlink"/>
              </w:rPr>
              <w:t>1.0</w:t>
            </w:r>
            <w:r w:rsidR="00D617BB">
              <w:rPr>
                <w:rFonts w:asciiTheme="minorHAnsi" w:eastAsiaTheme="minorEastAsia" w:hAnsiTheme="minorHAnsi"/>
                <w:b w:val="0"/>
                <w:kern w:val="2"/>
                <w:sz w:val="22"/>
                <w:lang w:eastAsia="en-GB"/>
                <w14:ligatures w14:val="standardContextual"/>
              </w:rPr>
              <w:tab/>
            </w:r>
            <w:r w:rsidR="00D617BB" w:rsidRPr="007F3177">
              <w:rPr>
                <w:rStyle w:val="Hyperlink"/>
              </w:rPr>
              <w:t xml:space="preserve"> Introduction</w:t>
            </w:r>
            <w:r w:rsidR="00D617BB">
              <w:rPr>
                <w:webHidden/>
              </w:rPr>
              <w:tab/>
            </w:r>
            <w:r w:rsidR="00D617BB">
              <w:rPr>
                <w:webHidden/>
              </w:rPr>
              <w:fldChar w:fldCharType="begin"/>
            </w:r>
            <w:r w:rsidR="00D617BB">
              <w:rPr>
                <w:webHidden/>
              </w:rPr>
              <w:instrText xml:space="preserve"> PAGEREF _Toc164766592 \h </w:instrText>
            </w:r>
            <w:r w:rsidR="00D617BB">
              <w:rPr>
                <w:webHidden/>
              </w:rPr>
            </w:r>
            <w:r w:rsidR="00D617BB">
              <w:rPr>
                <w:webHidden/>
              </w:rPr>
              <w:fldChar w:fldCharType="separate"/>
            </w:r>
            <w:r w:rsidR="00B8006C">
              <w:rPr>
                <w:webHidden/>
              </w:rPr>
              <w:t>3</w:t>
            </w:r>
            <w:r w:rsidR="00D617BB">
              <w:rPr>
                <w:webHidden/>
              </w:rPr>
              <w:fldChar w:fldCharType="end"/>
            </w:r>
          </w:hyperlink>
        </w:p>
        <w:p w14:paraId="76B20E8C" w14:textId="473C6E08" w:rsidR="00D617BB" w:rsidRDefault="00B8006C">
          <w:pPr>
            <w:pStyle w:val="TOC1"/>
            <w:rPr>
              <w:rFonts w:asciiTheme="minorHAnsi" w:eastAsiaTheme="minorEastAsia" w:hAnsiTheme="minorHAnsi"/>
              <w:b w:val="0"/>
              <w:kern w:val="2"/>
              <w:sz w:val="22"/>
              <w:lang w:eastAsia="en-GB"/>
              <w14:ligatures w14:val="standardContextual"/>
            </w:rPr>
          </w:pPr>
          <w:hyperlink w:anchor="_Toc164766593" w:history="1">
            <w:r w:rsidR="00D617BB" w:rsidRPr="007F3177">
              <w:rPr>
                <w:rStyle w:val="Hyperlink"/>
              </w:rPr>
              <w:t>2.0</w:t>
            </w:r>
            <w:r w:rsidR="00D617BB">
              <w:rPr>
                <w:rFonts w:asciiTheme="minorHAnsi" w:eastAsiaTheme="minorEastAsia" w:hAnsiTheme="minorHAnsi"/>
                <w:b w:val="0"/>
                <w:kern w:val="2"/>
                <w:sz w:val="22"/>
                <w:lang w:eastAsia="en-GB"/>
                <w14:ligatures w14:val="standardContextual"/>
              </w:rPr>
              <w:tab/>
            </w:r>
            <w:r w:rsidR="00D617BB" w:rsidRPr="007F3177">
              <w:rPr>
                <w:rStyle w:val="Hyperlink"/>
              </w:rPr>
              <w:t xml:space="preserve"> Investigations</w:t>
            </w:r>
            <w:r w:rsidR="00D617BB">
              <w:rPr>
                <w:webHidden/>
              </w:rPr>
              <w:tab/>
            </w:r>
            <w:r w:rsidR="00D617BB">
              <w:rPr>
                <w:webHidden/>
              </w:rPr>
              <w:fldChar w:fldCharType="begin"/>
            </w:r>
            <w:r w:rsidR="00D617BB">
              <w:rPr>
                <w:webHidden/>
              </w:rPr>
              <w:instrText xml:space="preserve"> PAGEREF _Toc164766593 \h </w:instrText>
            </w:r>
            <w:r w:rsidR="00D617BB">
              <w:rPr>
                <w:webHidden/>
              </w:rPr>
            </w:r>
            <w:r w:rsidR="00D617BB">
              <w:rPr>
                <w:webHidden/>
              </w:rPr>
              <w:fldChar w:fldCharType="separate"/>
            </w:r>
            <w:r>
              <w:rPr>
                <w:webHidden/>
              </w:rPr>
              <w:t>5</w:t>
            </w:r>
            <w:r w:rsidR="00D617BB">
              <w:rPr>
                <w:webHidden/>
              </w:rPr>
              <w:fldChar w:fldCharType="end"/>
            </w:r>
          </w:hyperlink>
        </w:p>
        <w:p w14:paraId="27E50599" w14:textId="24CAD302"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594" w:history="1">
            <w:r w:rsidR="00D617BB" w:rsidRPr="007F3177">
              <w:rPr>
                <w:rStyle w:val="Hyperlink"/>
                <w:noProof/>
              </w:rPr>
              <w:t>Purpose of an investigation</w:t>
            </w:r>
            <w:r w:rsidR="00D617BB">
              <w:rPr>
                <w:noProof/>
                <w:webHidden/>
              </w:rPr>
              <w:tab/>
            </w:r>
            <w:r w:rsidR="00D617BB">
              <w:rPr>
                <w:noProof/>
                <w:webHidden/>
              </w:rPr>
              <w:fldChar w:fldCharType="begin"/>
            </w:r>
            <w:r w:rsidR="00D617BB">
              <w:rPr>
                <w:noProof/>
                <w:webHidden/>
              </w:rPr>
              <w:instrText xml:space="preserve"> PAGEREF _Toc164766594 \h </w:instrText>
            </w:r>
            <w:r w:rsidR="00D617BB">
              <w:rPr>
                <w:noProof/>
                <w:webHidden/>
              </w:rPr>
            </w:r>
            <w:r w:rsidR="00D617BB">
              <w:rPr>
                <w:noProof/>
                <w:webHidden/>
              </w:rPr>
              <w:fldChar w:fldCharType="separate"/>
            </w:r>
            <w:r>
              <w:rPr>
                <w:noProof/>
                <w:webHidden/>
              </w:rPr>
              <w:t>6</w:t>
            </w:r>
            <w:r w:rsidR="00D617BB">
              <w:rPr>
                <w:noProof/>
                <w:webHidden/>
              </w:rPr>
              <w:fldChar w:fldCharType="end"/>
            </w:r>
          </w:hyperlink>
        </w:p>
        <w:p w14:paraId="1814986C" w14:textId="6ADFC70B"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595" w:history="1">
            <w:r w:rsidR="00D617BB" w:rsidRPr="007F3177">
              <w:rPr>
                <w:rStyle w:val="Hyperlink"/>
                <w:noProof/>
              </w:rPr>
              <w:t>Independent and impartial investigations</w:t>
            </w:r>
            <w:r w:rsidR="00D617BB">
              <w:rPr>
                <w:noProof/>
                <w:webHidden/>
              </w:rPr>
              <w:tab/>
            </w:r>
            <w:r w:rsidR="00D617BB">
              <w:rPr>
                <w:noProof/>
                <w:webHidden/>
              </w:rPr>
              <w:fldChar w:fldCharType="begin"/>
            </w:r>
            <w:r w:rsidR="00D617BB">
              <w:rPr>
                <w:noProof/>
                <w:webHidden/>
              </w:rPr>
              <w:instrText xml:space="preserve"> PAGEREF _Toc164766595 \h </w:instrText>
            </w:r>
            <w:r w:rsidR="00D617BB">
              <w:rPr>
                <w:noProof/>
                <w:webHidden/>
              </w:rPr>
            </w:r>
            <w:r w:rsidR="00D617BB">
              <w:rPr>
                <w:noProof/>
                <w:webHidden/>
              </w:rPr>
              <w:fldChar w:fldCharType="separate"/>
            </w:r>
            <w:r>
              <w:rPr>
                <w:noProof/>
                <w:webHidden/>
              </w:rPr>
              <w:t>12</w:t>
            </w:r>
            <w:r w:rsidR="00D617BB">
              <w:rPr>
                <w:noProof/>
                <w:webHidden/>
              </w:rPr>
              <w:fldChar w:fldCharType="end"/>
            </w:r>
          </w:hyperlink>
        </w:p>
        <w:p w14:paraId="692838E7" w14:textId="321F6081"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596" w:history="1">
            <w:r w:rsidR="00D617BB" w:rsidRPr="007F3177">
              <w:rPr>
                <w:rStyle w:val="Hyperlink"/>
                <w:noProof/>
              </w:rPr>
              <w:t>Thorough investigations</w:t>
            </w:r>
            <w:r w:rsidR="00D617BB">
              <w:rPr>
                <w:noProof/>
                <w:webHidden/>
              </w:rPr>
              <w:tab/>
            </w:r>
            <w:r w:rsidR="00D617BB">
              <w:rPr>
                <w:noProof/>
                <w:webHidden/>
              </w:rPr>
              <w:fldChar w:fldCharType="begin"/>
            </w:r>
            <w:r w:rsidR="00D617BB">
              <w:rPr>
                <w:noProof/>
                <w:webHidden/>
              </w:rPr>
              <w:instrText xml:space="preserve"> PAGEREF _Toc164766596 \h </w:instrText>
            </w:r>
            <w:r w:rsidR="00D617BB">
              <w:rPr>
                <w:noProof/>
                <w:webHidden/>
              </w:rPr>
            </w:r>
            <w:r w:rsidR="00D617BB">
              <w:rPr>
                <w:noProof/>
                <w:webHidden/>
              </w:rPr>
              <w:fldChar w:fldCharType="separate"/>
            </w:r>
            <w:r>
              <w:rPr>
                <w:noProof/>
                <w:webHidden/>
              </w:rPr>
              <w:t>15</w:t>
            </w:r>
            <w:r w:rsidR="00D617BB">
              <w:rPr>
                <w:noProof/>
                <w:webHidden/>
              </w:rPr>
              <w:fldChar w:fldCharType="end"/>
            </w:r>
          </w:hyperlink>
        </w:p>
        <w:p w14:paraId="471BF5AC" w14:textId="5E0165A9"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597" w:history="1">
            <w:r w:rsidR="00D617BB" w:rsidRPr="007F3177">
              <w:rPr>
                <w:rStyle w:val="Hyperlink"/>
                <w:noProof/>
              </w:rPr>
              <w:t>State’s own motion</w:t>
            </w:r>
            <w:r w:rsidR="00D617BB">
              <w:rPr>
                <w:noProof/>
                <w:webHidden/>
              </w:rPr>
              <w:tab/>
            </w:r>
            <w:r w:rsidR="00D617BB">
              <w:rPr>
                <w:noProof/>
                <w:webHidden/>
              </w:rPr>
              <w:fldChar w:fldCharType="begin"/>
            </w:r>
            <w:r w:rsidR="00D617BB">
              <w:rPr>
                <w:noProof/>
                <w:webHidden/>
              </w:rPr>
              <w:instrText xml:space="preserve"> PAGEREF _Toc164766597 \h </w:instrText>
            </w:r>
            <w:r w:rsidR="00D617BB">
              <w:rPr>
                <w:noProof/>
                <w:webHidden/>
              </w:rPr>
            </w:r>
            <w:r w:rsidR="00D617BB">
              <w:rPr>
                <w:noProof/>
                <w:webHidden/>
              </w:rPr>
              <w:fldChar w:fldCharType="separate"/>
            </w:r>
            <w:r>
              <w:rPr>
                <w:noProof/>
                <w:webHidden/>
              </w:rPr>
              <w:t>16</w:t>
            </w:r>
            <w:r w:rsidR="00D617BB">
              <w:rPr>
                <w:noProof/>
                <w:webHidden/>
              </w:rPr>
              <w:fldChar w:fldCharType="end"/>
            </w:r>
          </w:hyperlink>
        </w:p>
        <w:p w14:paraId="16AC95B6" w14:textId="568A5B9A"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598" w:history="1">
            <w:r w:rsidR="00D617BB" w:rsidRPr="007F3177">
              <w:rPr>
                <w:rStyle w:val="Hyperlink"/>
                <w:noProof/>
              </w:rPr>
              <w:t>Prompt commencement and expedition</w:t>
            </w:r>
            <w:r w:rsidR="00D617BB">
              <w:rPr>
                <w:noProof/>
                <w:webHidden/>
              </w:rPr>
              <w:tab/>
            </w:r>
            <w:r w:rsidR="00D617BB">
              <w:rPr>
                <w:noProof/>
                <w:webHidden/>
              </w:rPr>
              <w:fldChar w:fldCharType="begin"/>
            </w:r>
            <w:r w:rsidR="00D617BB">
              <w:rPr>
                <w:noProof/>
                <w:webHidden/>
              </w:rPr>
              <w:instrText xml:space="preserve"> PAGEREF _Toc164766598 \h </w:instrText>
            </w:r>
            <w:r w:rsidR="00D617BB">
              <w:rPr>
                <w:noProof/>
                <w:webHidden/>
              </w:rPr>
            </w:r>
            <w:r w:rsidR="00D617BB">
              <w:rPr>
                <w:noProof/>
                <w:webHidden/>
              </w:rPr>
              <w:fldChar w:fldCharType="separate"/>
            </w:r>
            <w:r>
              <w:rPr>
                <w:noProof/>
                <w:webHidden/>
              </w:rPr>
              <w:t>16</w:t>
            </w:r>
            <w:r w:rsidR="00D617BB">
              <w:rPr>
                <w:noProof/>
                <w:webHidden/>
              </w:rPr>
              <w:fldChar w:fldCharType="end"/>
            </w:r>
          </w:hyperlink>
        </w:p>
        <w:p w14:paraId="75F832DE" w14:textId="4C21DB11"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599" w:history="1">
            <w:r w:rsidR="00D617BB" w:rsidRPr="007F3177">
              <w:rPr>
                <w:rStyle w:val="Hyperlink"/>
                <w:noProof/>
              </w:rPr>
              <w:t>Public Scrutiny</w:t>
            </w:r>
            <w:r w:rsidR="00D617BB">
              <w:rPr>
                <w:noProof/>
                <w:webHidden/>
              </w:rPr>
              <w:tab/>
            </w:r>
            <w:r w:rsidR="00D617BB">
              <w:rPr>
                <w:noProof/>
                <w:webHidden/>
              </w:rPr>
              <w:fldChar w:fldCharType="begin"/>
            </w:r>
            <w:r w:rsidR="00D617BB">
              <w:rPr>
                <w:noProof/>
                <w:webHidden/>
              </w:rPr>
              <w:instrText xml:space="preserve"> PAGEREF _Toc164766599 \h </w:instrText>
            </w:r>
            <w:r w:rsidR="00D617BB">
              <w:rPr>
                <w:noProof/>
                <w:webHidden/>
              </w:rPr>
            </w:r>
            <w:r w:rsidR="00D617BB">
              <w:rPr>
                <w:noProof/>
                <w:webHidden/>
              </w:rPr>
              <w:fldChar w:fldCharType="separate"/>
            </w:r>
            <w:r>
              <w:rPr>
                <w:noProof/>
                <w:webHidden/>
              </w:rPr>
              <w:t>17</w:t>
            </w:r>
            <w:r w:rsidR="00D617BB">
              <w:rPr>
                <w:noProof/>
                <w:webHidden/>
              </w:rPr>
              <w:fldChar w:fldCharType="end"/>
            </w:r>
          </w:hyperlink>
        </w:p>
        <w:p w14:paraId="4DC460FD" w14:textId="6363A83E" w:rsidR="00D617BB" w:rsidRDefault="00B8006C">
          <w:pPr>
            <w:pStyle w:val="TOC1"/>
            <w:rPr>
              <w:rFonts w:asciiTheme="minorHAnsi" w:eastAsiaTheme="minorEastAsia" w:hAnsiTheme="minorHAnsi"/>
              <w:b w:val="0"/>
              <w:kern w:val="2"/>
              <w:sz w:val="22"/>
              <w:lang w:eastAsia="en-GB"/>
              <w14:ligatures w14:val="standardContextual"/>
            </w:rPr>
          </w:pPr>
          <w:hyperlink w:anchor="_Toc164766600" w:history="1">
            <w:r w:rsidR="00D617BB" w:rsidRPr="007F3177">
              <w:rPr>
                <w:rStyle w:val="Hyperlink"/>
              </w:rPr>
              <w:t>3.0</w:t>
            </w:r>
            <w:r w:rsidR="00D617BB">
              <w:rPr>
                <w:rFonts w:asciiTheme="minorHAnsi" w:eastAsiaTheme="minorEastAsia" w:hAnsiTheme="minorHAnsi"/>
                <w:b w:val="0"/>
                <w:kern w:val="2"/>
                <w:sz w:val="22"/>
                <w:lang w:eastAsia="en-GB"/>
                <w14:ligatures w14:val="standardContextual"/>
              </w:rPr>
              <w:tab/>
            </w:r>
            <w:r w:rsidR="00D617BB" w:rsidRPr="007F3177">
              <w:rPr>
                <w:rStyle w:val="Hyperlink"/>
              </w:rPr>
              <w:t xml:space="preserve"> Scope of the ICRIR</w:t>
            </w:r>
            <w:r w:rsidR="00D617BB">
              <w:rPr>
                <w:webHidden/>
              </w:rPr>
              <w:tab/>
            </w:r>
            <w:r w:rsidR="00D617BB">
              <w:rPr>
                <w:webHidden/>
              </w:rPr>
              <w:fldChar w:fldCharType="begin"/>
            </w:r>
            <w:r w:rsidR="00D617BB">
              <w:rPr>
                <w:webHidden/>
              </w:rPr>
              <w:instrText xml:space="preserve"> PAGEREF _Toc164766600 \h </w:instrText>
            </w:r>
            <w:r w:rsidR="00D617BB">
              <w:rPr>
                <w:webHidden/>
              </w:rPr>
            </w:r>
            <w:r w:rsidR="00D617BB">
              <w:rPr>
                <w:webHidden/>
              </w:rPr>
              <w:fldChar w:fldCharType="separate"/>
            </w:r>
            <w:r>
              <w:rPr>
                <w:webHidden/>
              </w:rPr>
              <w:t>20</w:t>
            </w:r>
            <w:r w:rsidR="00D617BB">
              <w:rPr>
                <w:webHidden/>
              </w:rPr>
              <w:fldChar w:fldCharType="end"/>
            </w:r>
          </w:hyperlink>
        </w:p>
        <w:p w14:paraId="01C9AAF2" w14:textId="342B8AC3"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601" w:history="1">
            <w:r w:rsidR="00D617BB" w:rsidRPr="007F3177">
              <w:rPr>
                <w:rStyle w:val="Hyperlink"/>
                <w:noProof/>
              </w:rPr>
              <w:t>Definition of offences</w:t>
            </w:r>
            <w:r w:rsidR="00D617BB">
              <w:rPr>
                <w:noProof/>
                <w:webHidden/>
              </w:rPr>
              <w:tab/>
            </w:r>
            <w:r w:rsidR="00D617BB">
              <w:rPr>
                <w:noProof/>
                <w:webHidden/>
              </w:rPr>
              <w:fldChar w:fldCharType="begin"/>
            </w:r>
            <w:r w:rsidR="00D617BB">
              <w:rPr>
                <w:noProof/>
                <w:webHidden/>
              </w:rPr>
              <w:instrText xml:space="preserve"> PAGEREF _Toc164766601 \h </w:instrText>
            </w:r>
            <w:r w:rsidR="00D617BB">
              <w:rPr>
                <w:noProof/>
                <w:webHidden/>
              </w:rPr>
            </w:r>
            <w:r w:rsidR="00D617BB">
              <w:rPr>
                <w:noProof/>
                <w:webHidden/>
              </w:rPr>
              <w:fldChar w:fldCharType="separate"/>
            </w:r>
            <w:r>
              <w:rPr>
                <w:noProof/>
                <w:webHidden/>
              </w:rPr>
              <w:t>20</w:t>
            </w:r>
            <w:r w:rsidR="00D617BB">
              <w:rPr>
                <w:noProof/>
                <w:webHidden/>
              </w:rPr>
              <w:fldChar w:fldCharType="end"/>
            </w:r>
          </w:hyperlink>
        </w:p>
        <w:p w14:paraId="30AFC202" w14:textId="487A9C67" w:rsidR="00D617BB" w:rsidRDefault="00B8006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4766602" w:history="1">
            <w:r w:rsidR="00D617BB" w:rsidRPr="007F3177">
              <w:rPr>
                <w:rStyle w:val="Hyperlink"/>
                <w:noProof/>
              </w:rPr>
              <w:t>Non-duplication</w:t>
            </w:r>
            <w:r w:rsidR="00D617BB">
              <w:rPr>
                <w:noProof/>
                <w:webHidden/>
              </w:rPr>
              <w:tab/>
            </w:r>
            <w:r w:rsidR="00D617BB">
              <w:rPr>
                <w:noProof/>
                <w:webHidden/>
              </w:rPr>
              <w:fldChar w:fldCharType="begin"/>
            </w:r>
            <w:r w:rsidR="00D617BB">
              <w:rPr>
                <w:noProof/>
                <w:webHidden/>
              </w:rPr>
              <w:instrText xml:space="preserve"> PAGEREF _Toc164766602 \h </w:instrText>
            </w:r>
            <w:r w:rsidR="00D617BB">
              <w:rPr>
                <w:noProof/>
                <w:webHidden/>
              </w:rPr>
            </w:r>
            <w:r w:rsidR="00D617BB">
              <w:rPr>
                <w:noProof/>
                <w:webHidden/>
              </w:rPr>
              <w:fldChar w:fldCharType="separate"/>
            </w:r>
            <w:r>
              <w:rPr>
                <w:noProof/>
                <w:webHidden/>
              </w:rPr>
              <w:t>21</w:t>
            </w:r>
            <w:r w:rsidR="00D617BB">
              <w:rPr>
                <w:noProof/>
                <w:webHidden/>
              </w:rPr>
              <w:fldChar w:fldCharType="end"/>
            </w:r>
          </w:hyperlink>
        </w:p>
        <w:p w14:paraId="61B29421" w14:textId="78D044AE" w:rsidR="00D617BB" w:rsidRDefault="00B8006C">
          <w:pPr>
            <w:pStyle w:val="TOC1"/>
            <w:rPr>
              <w:rFonts w:asciiTheme="minorHAnsi" w:eastAsiaTheme="minorEastAsia" w:hAnsiTheme="minorHAnsi"/>
              <w:b w:val="0"/>
              <w:kern w:val="2"/>
              <w:sz w:val="22"/>
              <w:lang w:eastAsia="en-GB"/>
              <w14:ligatures w14:val="standardContextual"/>
            </w:rPr>
          </w:pPr>
          <w:hyperlink w:anchor="_Toc164766603" w:history="1">
            <w:r w:rsidR="00D617BB" w:rsidRPr="007F3177">
              <w:rPr>
                <w:rStyle w:val="Hyperlink"/>
              </w:rPr>
              <w:t>4.0</w:t>
            </w:r>
            <w:r w:rsidR="00D617BB">
              <w:rPr>
                <w:rFonts w:asciiTheme="minorHAnsi" w:eastAsiaTheme="minorEastAsia" w:hAnsiTheme="minorHAnsi"/>
                <w:b w:val="0"/>
                <w:kern w:val="2"/>
                <w:sz w:val="22"/>
                <w:lang w:eastAsia="en-GB"/>
                <w14:ligatures w14:val="standardContextual"/>
              </w:rPr>
              <w:tab/>
            </w:r>
            <w:r w:rsidR="00D617BB" w:rsidRPr="007F3177">
              <w:rPr>
                <w:rStyle w:val="Hyperlink"/>
              </w:rPr>
              <w:t xml:space="preserve"> Conditional Immunity Scheme</w:t>
            </w:r>
            <w:r w:rsidR="00D617BB">
              <w:rPr>
                <w:webHidden/>
              </w:rPr>
              <w:tab/>
            </w:r>
            <w:r w:rsidR="00D617BB">
              <w:rPr>
                <w:webHidden/>
              </w:rPr>
              <w:fldChar w:fldCharType="begin"/>
            </w:r>
            <w:r w:rsidR="00D617BB">
              <w:rPr>
                <w:webHidden/>
              </w:rPr>
              <w:instrText xml:space="preserve"> PAGEREF _Toc164766603 \h </w:instrText>
            </w:r>
            <w:r w:rsidR="00D617BB">
              <w:rPr>
                <w:webHidden/>
              </w:rPr>
            </w:r>
            <w:r w:rsidR="00D617BB">
              <w:rPr>
                <w:webHidden/>
              </w:rPr>
              <w:fldChar w:fldCharType="separate"/>
            </w:r>
            <w:r>
              <w:rPr>
                <w:webHidden/>
              </w:rPr>
              <w:t>24</w:t>
            </w:r>
            <w:r w:rsidR="00D617BB">
              <w:rPr>
                <w:webHidden/>
              </w:rPr>
              <w:fldChar w:fldCharType="end"/>
            </w:r>
          </w:hyperlink>
        </w:p>
        <w:p w14:paraId="1AE998D2" w14:textId="1B7BA60E" w:rsidR="00D617BB" w:rsidRDefault="00B8006C">
          <w:pPr>
            <w:pStyle w:val="TOC1"/>
            <w:rPr>
              <w:rFonts w:asciiTheme="minorHAnsi" w:eastAsiaTheme="minorEastAsia" w:hAnsiTheme="minorHAnsi"/>
              <w:b w:val="0"/>
              <w:kern w:val="2"/>
              <w:sz w:val="22"/>
              <w:lang w:eastAsia="en-GB"/>
              <w14:ligatures w14:val="standardContextual"/>
            </w:rPr>
          </w:pPr>
          <w:hyperlink w:anchor="_Toc164766604" w:history="1">
            <w:r w:rsidR="00D617BB" w:rsidRPr="007F3177">
              <w:rPr>
                <w:rStyle w:val="Hyperlink"/>
              </w:rPr>
              <w:t xml:space="preserve">5.0 </w:t>
            </w:r>
            <w:r w:rsidR="00D617BB">
              <w:rPr>
                <w:rFonts w:asciiTheme="minorHAnsi" w:eastAsiaTheme="minorEastAsia" w:hAnsiTheme="minorHAnsi"/>
                <w:b w:val="0"/>
                <w:kern w:val="2"/>
                <w:sz w:val="22"/>
                <w:lang w:eastAsia="en-GB"/>
                <w14:ligatures w14:val="standardContextual"/>
              </w:rPr>
              <w:tab/>
            </w:r>
            <w:r w:rsidR="00D617BB" w:rsidRPr="007F3177">
              <w:rPr>
                <w:rStyle w:val="Hyperlink"/>
              </w:rPr>
              <w:t>Cessation of Proceedings</w:t>
            </w:r>
            <w:r w:rsidR="00D617BB">
              <w:rPr>
                <w:webHidden/>
              </w:rPr>
              <w:tab/>
            </w:r>
            <w:r w:rsidR="00D617BB">
              <w:rPr>
                <w:webHidden/>
              </w:rPr>
              <w:fldChar w:fldCharType="begin"/>
            </w:r>
            <w:r w:rsidR="00D617BB">
              <w:rPr>
                <w:webHidden/>
              </w:rPr>
              <w:instrText xml:space="preserve"> PAGEREF _Toc164766604 \h </w:instrText>
            </w:r>
            <w:r w:rsidR="00D617BB">
              <w:rPr>
                <w:webHidden/>
              </w:rPr>
            </w:r>
            <w:r w:rsidR="00D617BB">
              <w:rPr>
                <w:webHidden/>
              </w:rPr>
              <w:fldChar w:fldCharType="separate"/>
            </w:r>
            <w:r>
              <w:rPr>
                <w:webHidden/>
              </w:rPr>
              <w:t>28</w:t>
            </w:r>
            <w:r w:rsidR="00D617BB">
              <w:rPr>
                <w:webHidden/>
              </w:rPr>
              <w:fldChar w:fldCharType="end"/>
            </w:r>
          </w:hyperlink>
        </w:p>
        <w:p w14:paraId="539376F2" w14:textId="0E987A2C" w:rsidR="00DF176D" w:rsidRDefault="00DF176D">
          <w:r>
            <w:rPr>
              <w:b/>
              <w:bCs/>
              <w:noProof/>
            </w:rPr>
            <w:fldChar w:fldCharType="end"/>
          </w:r>
        </w:p>
      </w:sdtContent>
    </w:sdt>
    <w:p w14:paraId="48855CAC" w14:textId="77777777" w:rsidR="00DF176D" w:rsidRDefault="00DF176D">
      <w:pPr>
        <w:spacing w:line="240" w:lineRule="auto"/>
        <w:rPr>
          <w:rFonts w:eastAsiaTheme="majorEastAsia" w:cstheme="majorBidi"/>
          <w:b/>
          <w:color w:val="77328A"/>
          <w:sz w:val="40"/>
          <w:szCs w:val="32"/>
        </w:rPr>
      </w:pPr>
      <w:r>
        <w:br w:type="page"/>
      </w:r>
    </w:p>
    <w:p w14:paraId="060F0A7D" w14:textId="21CCCA9B" w:rsidR="0057576E" w:rsidRPr="00B87A79" w:rsidRDefault="00133000" w:rsidP="00133000">
      <w:pPr>
        <w:pStyle w:val="Heading1"/>
      </w:pPr>
      <w:bookmarkStart w:id="0" w:name="_Toc164766592"/>
      <w:r>
        <w:lastRenderedPageBreak/>
        <w:t>1.0</w:t>
      </w:r>
      <w:r>
        <w:tab/>
      </w:r>
      <w:r>
        <w:tab/>
        <w:t>Intro</w:t>
      </w:r>
      <w:r w:rsidRPr="00D4336D">
        <w:t>duction</w:t>
      </w:r>
      <w:bookmarkEnd w:id="0"/>
    </w:p>
    <w:p w14:paraId="2B187F92" w14:textId="3549904B" w:rsidR="00611963" w:rsidRDefault="006E3B5E" w:rsidP="00EE0042">
      <w:pPr>
        <w:ind w:left="720" w:hanging="720"/>
      </w:pPr>
      <w:r>
        <w:t>1.1</w:t>
      </w:r>
      <w:r>
        <w:tab/>
      </w:r>
      <w:r w:rsidRPr="00693F63">
        <w:t xml:space="preserve">The Northern Ireland Human Rights Commission (the NIHRC), pursuant to section 69(1) of the Northern Ireland Act 1998, </w:t>
      </w:r>
      <w:r w:rsidR="00A840AC">
        <w:t xml:space="preserve">is required to keep under review </w:t>
      </w:r>
      <w:r w:rsidRPr="00693F63">
        <w:t xml:space="preserve">the adequacy and effectiveness of law and practice relating to the protection of human rights in Northern Ireland (NI). The NIHRC is also </w:t>
      </w:r>
      <w:r>
        <w:t>required</w:t>
      </w:r>
      <w:r w:rsidRPr="00693F63">
        <w:t xml:space="preserve">, </w:t>
      </w:r>
      <w:r>
        <w:t>by</w:t>
      </w:r>
      <w:r w:rsidRPr="00693F63">
        <w:t xml:space="preserve">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Pr>
          <w:rStyle w:val="FootnoteReference"/>
        </w:rPr>
        <w:footnoteReference w:id="2"/>
      </w:r>
      <w:r w:rsidRPr="00693F63">
        <w:t xml:space="preserve"> </w:t>
      </w:r>
      <w:r w:rsidR="00EE0042">
        <w:t xml:space="preserve">In accordance with these statutory duties, </w:t>
      </w:r>
      <w:r w:rsidR="00EE0042" w:rsidRPr="002F2B00">
        <w:t xml:space="preserve">the following </w:t>
      </w:r>
      <w:r w:rsidR="00EE0042">
        <w:t xml:space="preserve">Rule 9 submission is made to the </w:t>
      </w:r>
      <w:proofErr w:type="spellStart"/>
      <w:r w:rsidR="00EE0042">
        <w:t>CoE</w:t>
      </w:r>
      <w:proofErr w:type="spellEnd"/>
      <w:r w:rsidR="00EE0042">
        <w:t xml:space="preserve"> Committee of Ministers on </w:t>
      </w:r>
      <w:r w:rsidR="00EE0042" w:rsidRPr="002F2B00">
        <w:t xml:space="preserve">the NI Troubles (Legacy and Reconciliation) </w:t>
      </w:r>
      <w:r w:rsidR="00EE0042">
        <w:t>Act 2023</w:t>
      </w:r>
      <w:r w:rsidR="00EE0042" w:rsidRPr="002F2B00">
        <w:t xml:space="preserve"> (the </w:t>
      </w:r>
      <w:r w:rsidR="00EE0042">
        <w:t>2023 Act</w:t>
      </w:r>
      <w:r w:rsidR="00EE0042" w:rsidRPr="002F2B00">
        <w:t>).</w:t>
      </w:r>
    </w:p>
    <w:p w14:paraId="757C3BC9" w14:textId="77777777" w:rsidR="00CD2E8C" w:rsidRDefault="00CD2E8C" w:rsidP="00EE0042">
      <w:pPr>
        <w:ind w:left="720" w:hanging="720"/>
      </w:pPr>
    </w:p>
    <w:p w14:paraId="3E3A61AD" w14:textId="008B7B4E" w:rsidR="00CC690D" w:rsidRDefault="00CD2E8C" w:rsidP="00A840AC">
      <w:pPr>
        <w:ind w:left="720" w:hanging="720"/>
      </w:pPr>
      <w:r>
        <w:t>1.2</w:t>
      </w:r>
      <w:r>
        <w:tab/>
        <w:t xml:space="preserve">In February 2024, the High Court of Justice in NI </w:t>
      </w:r>
      <w:r w:rsidR="001A6F06">
        <w:t xml:space="preserve">considered the compatibility of the 2023 Act with </w:t>
      </w:r>
      <w:r w:rsidR="00686F10">
        <w:t>the E</w:t>
      </w:r>
      <w:r w:rsidR="00A452BC">
        <w:t>uropean Convention on Human Rights (</w:t>
      </w:r>
      <w:r w:rsidR="00686F10">
        <w:t>ECHR</w:t>
      </w:r>
      <w:r w:rsidR="00A452BC">
        <w:t>)</w:t>
      </w:r>
      <w:r w:rsidR="006C3E81">
        <w:t xml:space="preserve"> and Windsor Framework Article 2</w:t>
      </w:r>
      <w:r w:rsidR="00686F10">
        <w:t xml:space="preserve">. The </w:t>
      </w:r>
      <w:r w:rsidR="00A840AC">
        <w:t xml:space="preserve">facts </w:t>
      </w:r>
      <w:r w:rsidR="00686F10">
        <w:t xml:space="preserve">of the </w:t>
      </w:r>
      <w:r w:rsidR="00A840AC">
        <w:t xml:space="preserve">joined </w:t>
      </w:r>
      <w:r w:rsidR="00686F10">
        <w:t>case</w:t>
      </w:r>
      <w:r w:rsidR="00A840AC">
        <w:t>s</w:t>
      </w:r>
      <w:r w:rsidR="00686F10">
        <w:t xml:space="preserve"> </w:t>
      </w:r>
      <w:r w:rsidR="00A840AC">
        <w:t xml:space="preserve">to which the </w:t>
      </w:r>
      <w:r w:rsidR="00C04AC9">
        <w:t>High Court</w:t>
      </w:r>
      <w:r w:rsidR="00A840AC">
        <w:t xml:space="preserve"> attached significance </w:t>
      </w:r>
      <w:r w:rsidR="00686F10">
        <w:t xml:space="preserve">are </w:t>
      </w:r>
      <w:r w:rsidR="00A840AC">
        <w:t>set out in</w:t>
      </w:r>
      <w:r w:rsidR="00686F10">
        <w:t xml:space="preserve"> the judgment</w:t>
      </w:r>
      <w:r w:rsidR="00A840AC">
        <w:t>.</w:t>
      </w:r>
      <w:r w:rsidR="00CC690D">
        <w:rPr>
          <w:rStyle w:val="FootnoteReference"/>
        </w:rPr>
        <w:footnoteReference w:id="3"/>
      </w:r>
      <w:r w:rsidR="00686F10">
        <w:t xml:space="preserve"> </w:t>
      </w:r>
      <w:r w:rsidR="00A840AC">
        <w:t>The NIHRC disagrees with the significance attached to some factors (and not others) and is also concerned at the absence of materially relevant factors, such as the investigations of the Police Ombudsman</w:t>
      </w:r>
      <w:r w:rsidR="00DF3383">
        <w:t xml:space="preserve"> for NI</w:t>
      </w:r>
      <w:r w:rsidR="00A840AC">
        <w:t xml:space="preserve">’s office, the appointment process and the independence of the </w:t>
      </w:r>
      <w:r w:rsidR="009A1FB7">
        <w:t>Independent Commission on Reconciliation and Information Recovery (</w:t>
      </w:r>
      <w:r w:rsidR="00A840AC">
        <w:t>ICRIR</w:t>
      </w:r>
      <w:r w:rsidR="009A1FB7">
        <w:t>)</w:t>
      </w:r>
      <w:r w:rsidR="00A840AC">
        <w:t>. T</w:t>
      </w:r>
      <w:r w:rsidR="00686F10">
        <w:t>he</w:t>
      </w:r>
      <w:r w:rsidR="00A840AC">
        <w:t xml:space="preserve"> NIHRC draws particular attention to the following points for consideration by the </w:t>
      </w:r>
      <w:proofErr w:type="spellStart"/>
      <w:r w:rsidR="00DF3383">
        <w:t>CoE</w:t>
      </w:r>
      <w:proofErr w:type="spellEnd"/>
      <w:r w:rsidR="00686F10" w:rsidDel="00A840AC">
        <w:t xml:space="preserve"> </w:t>
      </w:r>
      <w:r w:rsidR="009D322B">
        <w:t>Committee of Ministers</w:t>
      </w:r>
      <w:r w:rsidR="00A840AC">
        <w:t>.</w:t>
      </w:r>
    </w:p>
    <w:p w14:paraId="0CB87843" w14:textId="77777777" w:rsidR="00CC690D" w:rsidRDefault="00CC690D" w:rsidP="00EE0042">
      <w:pPr>
        <w:ind w:left="720" w:hanging="720"/>
      </w:pPr>
    </w:p>
    <w:p w14:paraId="7B47D1E4" w14:textId="01592902" w:rsidR="009945F4" w:rsidRDefault="00CC690D" w:rsidP="00FC0F59">
      <w:pPr>
        <w:ind w:left="720" w:hanging="720"/>
      </w:pPr>
      <w:r>
        <w:t>1.3</w:t>
      </w:r>
      <w:r>
        <w:tab/>
      </w:r>
      <w:r w:rsidR="00F60EBA">
        <w:t>The following is welcomed by the NIHRC. T</w:t>
      </w:r>
      <w:r w:rsidR="00E0650C">
        <w:t xml:space="preserve">he High Court </w:t>
      </w:r>
      <w:r w:rsidR="00A840AC">
        <w:t xml:space="preserve">held </w:t>
      </w:r>
      <w:r w:rsidR="007347BA">
        <w:t xml:space="preserve">that the </w:t>
      </w:r>
      <w:r w:rsidR="000B399E">
        <w:t>conditional immunity scheme</w:t>
      </w:r>
      <w:r w:rsidR="000B399E" w:rsidDel="00A840AC">
        <w:t xml:space="preserve"> </w:t>
      </w:r>
      <w:r w:rsidR="007347BA">
        <w:t>violate</w:t>
      </w:r>
      <w:r w:rsidR="0063648E">
        <w:t>s</w:t>
      </w:r>
      <w:r w:rsidR="007347BA">
        <w:t xml:space="preserve"> Articles 2 and 3 of the ECHR</w:t>
      </w:r>
      <w:r w:rsidR="0063648E">
        <w:t>.</w:t>
      </w:r>
      <w:r w:rsidR="0063648E">
        <w:rPr>
          <w:rStyle w:val="FootnoteReference"/>
        </w:rPr>
        <w:footnoteReference w:id="4"/>
      </w:r>
      <w:r w:rsidR="00013E81">
        <w:t xml:space="preserve"> </w:t>
      </w:r>
      <w:r w:rsidR="006C3E81">
        <w:t xml:space="preserve">The </w:t>
      </w:r>
      <w:r w:rsidR="008F73BF">
        <w:t xml:space="preserve">High </w:t>
      </w:r>
      <w:r w:rsidR="006C3E81">
        <w:t xml:space="preserve">Court also </w:t>
      </w:r>
      <w:r w:rsidR="00A840AC">
        <w:t xml:space="preserve">held </w:t>
      </w:r>
      <w:r w:rsidR="006C3E81">
        <w:t xml:space="preserve">that the conditional immunity scheme was incompatible with the EU Victims Directive and </w:t>
      </w:r>
      <w:r w:rsidR="006C3E81">
        <w:lastRenderedPageBreak/>
        <w:t xml:space="preserve">therefore </w:t>
      </w:r>
      <w:r w:rsidR="00A840AC">
        <w:t xml:space="preserve">in breach of </w:t>
      </w:r>
      <w:r w:rsidR="006C3E81">
        <w:t>Windsor Framework Article 2.</w:t>
      </w:r>
      <w:r w:rsidR="006C3E81">
        <w:rPr>
          <w:rStyle w:val="FootnoteReference"/>
        </w:rPr>
        <w:footnoteReference w:id="5"/>
      </w:r>
      <w:r w:rsidR="006C3E81">
        <w:t xml:space="preserve"> </w:t>
      </w:r>
      <w:r w:rsidR="00A840AC">
        <w:t xml:space="preserve">The </w:t>
      </w:r>
      <w:r w:rsidR="00B26E00">
        <w:t xml:space="preserve">High Court </w:t>
      </w:r>
      <w:r w:rsidR="00A840AC">
        <w:t xml:space="preserve">held </w:t>
      </w:r>
      <w:r w:rsidR="00D77A15">
        <w:t xml:space="preserve">that the retrospective limit </w:t>
      </w:r>
      <w:r w:rsidR="00A840AC">
        <w:t xml:space="preserve">imposed </w:t>
      </w:r>
      <w:r w:rsidR="00D77A15">
        <w:t xml:space="preserve">on civil proceedings </w:t>
      </w:r>
      <w:r w:rsidR="00A840AC">
        <w:t xml:space="preserve">already </w:t>
      </w:r>
      <w:r w:rsidR="00C1351F">
        <w:t>initiated</w:t>
      </w:r>
      <w:r w:rsidR="00A840AC">
        <w:t xml:space="preserve"> </w:t>
      </w:r>
      <w:r w:rsidR="00D77A15">
        <w:t>(i</w:t>
      </w:r>
      <w:r w:rsidR="00A840AC">
        <w:t>.</w:t>
      </w:r>
      <w:r w:rsidR="00D77A15">
        <w:t>e</w:t>
      </w:r>
      <w:r w:rsidR="00A840AC">
        <w:t>.</w:t>
      </w:r>
      <w:r w:rsidR="00D77A15">
        <w:t xml:space="preserve"> proceedings initiated before 18 November 2023) </w:t>
      </w:r>
      <w:r w:rsidR="00FC2B54">
        <w:t xml:space="preserve">was a disproportionate interference with </w:t>
      </w:r>
      <w:r w:rsidR="00C1351F">
        <w:t xml:space="preserve">ECHR </w:t>
      </w:r>
      <w:r w:rsidR="00F60EBA">
        <w:t xml:space="preserve">rights at </w:t>
      </w:r>
      <w:r w:rsidR="00FC2B54">
        <w:t>Article 6</w:t>
      </w:r>
      <w:r w:rsidR="00C1351F">
        <w:t xml:space="preserve"> and Article 1 of Protocol 1</w:t>
      </w:r>
      <w:r w:rsidR="00FC2B54">
        <w:t>.</w:t>
      </w:r>
      <w:r w:rsidR="002D0908">
        <w:rPr>
          <w:rStyle w:val="FootnoteReference"/>
        </w:rPr>
        <w:footnoteReference w:id="6"/>
      </w:r>
      <w:r w:rsidR="00FC2B54">
        <w:t xml:space="preserve"> </w:t>
      </w:r>
      <w:r w:rsidR="00376C6A">
        <w:t xml:space="preserve">Further, </w:t>
      </w:r>
      <w:r w:rsidR="009945F4">
        <w:t xml:space="preserve">the High Court </w:t>
      </w:r>
      <w:r w:rsidR="00376C6A">
        <w:t xml:space="preserve">held </w:t>
      </w:r>
      <w:r w:rsidR="006F780E">
        <w:t>that the provision</w:t>
      </w:r>
      <w:r w:rsidR="00E218E6">
        <w:t xml:space="preserve"> that</w:t>
      </w:r>
      <w:r w:rsidR="006F780E" w:rsidDel="00376C6A">
        <w:t xml:space="preserve"> </w:t>
      </w:r>
      <w:r w:rsidR="00376C6A">
        <w:t>render</w:t>
      </w:r>
      <w:r w:rsidR="00E218E6">
        <w:t>s</w:t>
      </w:r>
      <w:r w:rsidR="00376C6A">
        <w:t xml:space="preserve"> </w:t>
      </w:r>
      <w:r w:rsidR="00E218E6">
        <w:t xml:space="preserve">certain ICRIR </w:t>
      </w:r>
      <w:r w:rsidR="00376C6A">
        <w:t>evidenc</w:t>
      </w:r>
      <w:r w:rsidR="00C1351F">
        <w:t>e</w:t>
      </w:r>
      <w:r w:rsidR="00376C6A">
        <w:t xml:space="preserve"> inadmissible in </w:t>
      </w:r>
      <w:r w:rsidR="00E218E6">
        <w:t>all</w:t>
      </w:r>
      <w:r w:rsidR="00376C6A">
        <w:t xml:space="preserve"> civil proceedings </w:t>
      </w:r>
      <w:r w:rsidR="00E218E6">
        <w:t>is</w:t>
      </w:r>
      <w:r w:rsidR="00376C6A">
        <w:t xml:space="preserve"> </w:t>
      </w:r>
      <w:r w:rsidR="003E5AD3">
        <w:t>a</w:t>
      </w:r>
      <w:r w:rsidR="00F60EBA">
        <w:t>n</w:t>
      </w:r>
      <w:r w:rsidR="003E5AD3" w:rsidDel="00E218E6">
        <w:t xml:space="preserve"> </w:t>
      </w:r>
      <w:r w:rsidR="003E5AD3">
        <w:t>interference with Article 6(1) of the ECHR</w:t>
      </w:r>
      <w:r w:rsidR="00E218E6">
        <w:t>, which cannot be justified</w:t>
      </w:r>
      <w:r w:rsidR="003E5AD3" w:rsidDel="00E218E6">
        <w:t>.</w:t>
      </w:r>
      <w:r w:rsidR="00F5428D">
        <w:rPr>
          <w:rStyle w:val="FootnoteReference"/>
        </w:rPr>
        <w:footnoteReference w:id="7"/>
      </w:r>
    </w:p>
    <w:p w14:paraId="3A59E734" w14:textId="77777777" w:rsidR="009945F4" w:rsidRDefault="009945F4" w:rsidP="00EE0042">
      <w:pPr>
        <w:ind w:left="720" w:hanging="720"/>
      </w:pPr>
    </w:p>
    <w:p w14:paraId="59E5B9DF" w14:textId="06CB18C4" w:rsidR="00EF3127" w:rsidRDefault="0746FEE9" w:rsidP="00EE0042">
      <w:pPr>
        <w:ind w:left="720" w:hanging="720"/>
      </w:pPr>
      <w:r>
        <w:t>1.4</w:t>
      </w:r>
      <w:r w:rsidR="009945F4">
        <w:tab/>
      </w:r>
      <w:r w:rsidR="00F60EBA">
        <w:t xml:space="preserve">The NIHRC is disappointed however by </w:t>
      </w:r>
      <w:proofErr w:type="gramStart"/>
      <w:r w:rsidR="00F60EBA">
        <w:t>a number of</w:t>
      </w:r>
      <w:proofErr w:type="gramEnd"/>
      <w:r w:rsidR="00F60EBA">
        <w:t xml:space="preserve"> other findings. By way of example</w:t>
      </w:r>
      <w:r w:rsidR="00FC0F59">
        <w:t>,</w:t>
      </w:r>
      <w:r w:rsidR="00F60EBA">
        <w:t xml:space="preserve"> </w:t>
      </w:r>
      <w:r w:rsidR="467E9A70">
        <w:t>the High Court found that the ICRIR was sufficiently independent and had sufficient scope to conduct an effective investigation</w:t>
      </w:r>
      <w:r w:rsidR="00EF3127">
        <w:t xml:space="preserve"> to comply with the Article 2 </w:t>
      </w:r>
      <w:r w:rsidR="004B36CA">
        <w:t xml:space="preserve">of the ECHR </w:t>
      </w:r>
      <w:r w:rsidR="00EF3127">
        <w:t>procedural obligation</w:t>
      </w:r>
      <w:r w:rsidR="467E9A70">
        <w:t>.</w:t>
      </w:r>
      <w:r w:rsidR="00AC68EA">
        <w:rPr>
          <w:rStyle w:val="FootnoteReference"/>
        </w:rPr>
        <w:footnoteReference w:id="8"/>
      </w:r>
      <w:r w:rsidR="23CE114B">
        <w:t xml:space="preserve"> </w:t>
      </w:r>
      <w:r w:rsidR="00EF3127">
        <w:t>The NIHRC continues to offer its strong advice that the ICRIR is neither sufficiently independent nor effective to be able to discharge the State’s duties under Articles 2 and 3</w:t>
      </w:r>
      <w:r w:rsidR="00D436FB">
        <w:t xml:space="preserve"> of the ECHR</w:t>
      </w:r>
      <w:r w:rsidR="00EF3127">
        <w:t>.</w:t>
      </w:r>
      <w:r w:rsidR="00EF3127" w:rsidRPr="00EF3127">
        <w:rPr>
          <w:rStyle w:val="FootnoteReference"/>
        </w:rPr>
        <w:t xml:space="preserve"> </w:t>
      </w:r>
      <w:r w:rsidR="00EF3127" w:rsidRPr="002F2B00">
        <w:rPr>
          <w:rStyle w:val="FootnoteReference"/>
        </w:rPr>
        <w:footnoteReference w:id="9"/>
      </w:r>
      <w:r w:rsidR="00EF3127">
        <w:t xml:space="preserve"> Such failure is, by extension, a clear breach of the UK’s Human Rights Act 1998. The High Court did not </w:t>
      </w:r>
      <w:proofErr w:type="gramStart"/>
      <w:r w:rsidR="00EF3127">
        <w:t>give adequate consideration to</w:t>
      </w:r>
      <w:proofErr w:type="gramEnd"/>
      <w:r w:rsidR="00EF3127">
        <w:t xml:space="preserve"> the relevant submissions on independence.  </w:t>
      </w:r>
    </w:p>
    <w:p w14:paraId="0D67E480" w14:textId="77777777" w:rsidR="00EF3127" w:rsidRDefault="00EF3127" w:rsidP="00EE0042">
      <w:pPr>
        <w:ind w:left="720" w:hanging="720"/>
      </w:pPr>
    </w:p>
    <w:p w14:paraId="1F6DB4A6" w14:textId="5C8D8C00" w:rsidR="00EF3127" w:rsidRDefault="00EF3127" w:rsidP="00EE0042">
      <w:pPr>
        <w:ind w:left="720" w:hanging="720"/>
      </w:pPr>
      <w:r>
        <w:t>1.5</w:t>
      </w:r>
      <w:r>
        <w:tab/>
        <w:t xml:space="preserve">The NIHRC continues to advise in strong terms that the 2023 Act is incompatible with </w:t>
      </w:r>
      <w:r w:rsidRPr="002F2B00">
        <w:t>the Belfast (Good Friday) Agreement 1998</w:t>
      </w:r>
      <w:r>
        <w:t xml:space="preserve"> and the Northern Ireland Act 1998</w:t>
      </w:r>
      <w:r w:rsidRPr="002F2B00">
        <w:t>.</w:t>
      </w:r>
      <w:r w:rsidRPr="002F2B00">
        <w:rPr>
          <w:rStyle w:val="FootnoteReference"/>
        </w:rPr>
        <w:footnoteReference w:id="10"/>
      </w:r>
      <w:r w:rsidRPr="002F2B00">
        <w:t xml:space="preserve"> </w:t>
      </w:r>
      <w:r>
        <w:t xml:space="preserve">Moreover, the 2023 Act undermines and is incompatible with </w:t>
      </w:r>
      <w:r w:rsidRPr="002F2B00">
        <w:t>the Stormont House Agreement 2014,</w:t>
      </w:r>
      <w:r w:rsidRPr="002F2B00">
        <w:rPr>
          <w:rStyle w:val="FootnoteReference"/>
        </w:rPr>
        <w:footnoteReference w:id="11"/>
      </w:r>
      <w:r w:rsidRPr="002F2B00">
        <w:t xml:space="preserve"> the Fresh Start Agreement 2015</w:t>
      </w:r>
      <w:r w:rsidRPr="002F2B00">
        <w:rPr>
          <w:rStyle w:val="FootnoteReference"/>
        </w:rPr>
        <w:footnoteReference w:id="12"/>
      </w:r>
      <w:r w:rsidRPr="002F2B00">
        <w:t xml:space="preserve"> and the New Decade, New Approach 2020 </w:t>
      </w:r>
      <w:r>
        <w:t>A</w:t>
      </w:r>
      <w:r w:rsidRPr="002F2B00">
        <w:t>greement.</w:t>
      </w:r>
      <w:r w:rsidRPr="002F2B00">
        <w:rPr>
          <w:rStyle w:val="FootnoteReference"/>
        </w:rPr>
        <w:footnoteReference w:id="13"/>
      </w:r>
      <w:r w:rsidRPr="002F2B00">
        <w:t xml:space="preserve"> </w:t>
      </w:r>
    </w:p>
    <w:p w14:paraId="64EBFF3D" w14:textId="77777777" w:rsidR="00EF3127" w:rsidRDefault="00EF3127" w:rsidP="00EE0042">
      <w:pPr>
        <w:ind w:left="720" w:hanging="720"/>
      </w:pPr>
    </w:p>
    <w:p w14:paraId="687B1F64" w14:textId="6E014D42" w:rsidR="002D0908" w:rsidRDefault="00B27C0C" w:rsidP="00A8699B">
      <w:pPr>
        <w:ind w:left="720" w:hanging="720"/>
      </w:pPr>
      <w:r>
        <w:t>1.6</w:t>
      </w:r>
      <w:r>
        <w:tab/>
      </w:r>
      <w:r w:rsidR="23CE114B">
        <w:t xml:space="preserve">The High Court </w:t>
      </w:r>
      <w:r>
        <w:t>held, contrary to the submissions of the applicants and intervenors, that</w:t>
      </w:r>
      <w:r w:rsidR="075B4872" w:rsidDel="00B27C0C">
        <w:t xml:space="preserve"> </w:t>
      </w:r>
      <w:r w:rsidR="075B4872">
        <w:t xml:space="preserve">strict limitations imposed on civil proceedings not initiated before 18 November 2023 were </w:t>
      </w:r>
      <w:r>
        <w:t xml:space="preserve">compatible with Article 6 </w:t>
      </w:r>
      <w:r w:rsidR="00D436FB">
        <w:t xml:space="preserve">of the ECHR </w:t>
      </w:r>
      <w:r>
        <w:t xml:space="preserve">and were therefore </w:t>
      </w:r>
      <w:r w:rsidR="075B4872">
        <w:t>lawful</w:t>
      </w:r>
      <w:r w:rsidR="4F78F8CF">
        <w:t xml:space="preserve">. </w:t>
      </w:r>
      <w:r>
        <w:t>The NIHRC continues to advise that this limitation is not compatible and is</w:t>
      </w:r>
      <w:r w:rsidR="00DC0C12">
        <w:t xml:space="preserve"> </w:t>
      </w:r>
      <w:r>
        <w:t xml:space="preserve">unlawful. A further </w:t>
      </w:r>
      <w:r w:rsidR="00867017">
        <w:t xml:space="preserve">frustration </w:t>
      </w:r>
      <w:r>
        <w:t xml:space="preserve">by the High Court was its failure to apparently consider properly and subsequent </w:t>
      </w:r>
      <w:r w:rsidR="000F604A">
        <w:t xml:space="preserve">inaction </w:t>
      </w:r>
      <w:r>
        <w:t xml:space="preserve">to address at all the cessation of other </w:t>
      </w:r>
      <w:r w:rsidR="568B5743">
        <w:t xml:space="preserve">measures of accessing justice </w:t>
      </w:r>
      <w:r w:rsidR="6F19C82A">
        <w:t>regarding Troubles-related cases</w:t>
      </w:r>
      <w:r>
        <w:t xml:space="preserve">. Neither did the High Court consider or address adequately </w:t>
      </w:r>
      <w:r w:rsidR="39DF4B73">
        <w:t xml:space="preserve">the </w:t>
      </w:r>
      <w:r w:rsidR="395CD4A1">
        <w:t>five-year</w:t>
      </w:r>
      <w:r w:rsidR="39DF4B73">
        <w:t xml:space="preserve"> time limit on the ICRIR’s work.</w:t>
      </w:r>
      <w:r w:rsidR="00215A68">
        <w:rPr>
          <w:rStyle w:val="FootnoteReference"/>
        </w:rPr>
        <w:footnoteReference w:id="14"/>
      </w:r>
      <w:r w:rsidR="00DC0C12">
        <w:t xml:space="preserve"> </w:t>
      </w:r>
    </w:p>
    <w:p w14:paraId="14D76F0F" w14:textId="742AA282" w:rsidR="00111F17" w:rsidRPr="00DD394B" w:rsidRDefault="00111F17" w:rsidP="00DD394B">
      <w:pPr>
        <w:ind w:left="720" w:hanging="720"/>
      </w:pPr>
    </w:p>
    <w:p w14:paraId="000B12FF" w14:textId="6DE8AC02" w:rsidR="0036278C" w:rsidRPr="002F2B00" w:rsidRDefault="009713BC" w:rsidP="0015514E">
      <w:pPr>
        <w:pStyle w:val="Heading1"/>
        <w:spacing w:before="0"/>
      </w:pPr>
      <w:bookmarkStart w:id="2" w:name="_Toc113517943"/>
      <w:bookmarkStart w:id="3" w:name="_Toc164766593"/>
      <w:r w:rsidRPr="002F2B00">
        <w:t>2.0</w:t>
      </w:r>
      <w:r w:rsidR="00133000">
        <w:tab/>
      </w:r>
      <w:r w:rsidRPr="002F2B00">
        <w:tab/>
      </w:r>
      <w:r w:rsidR="00AE7A15" w:rsidRPr="002F2B00">
        <w:t>Investigations</w:t>
      </w:r>
      <w:bookmarkEnd w:id="2"/>
      <w:bookmarkEnd w:id="3"/>
    </w:p>
    <w:p w14:paraId="151B68CF" w14:textId="445A9F7A" w:rsidR="00941699" w:rsidRPr="002F2B00" w:rsidRDefault="00E451C0" w:rsidP="00854135">
      <w:pPr>
        <w:ind w:left="720" w:hanging="720"/>
      </w:pPr>
      <w:r w:rsidRPr="002F2B00">
        <w:t>2.</w:t>
      </w:r>
      <w:r w:rsidR="00B1273E" w:rsidRPr="002F2B00">
        <w:t>1</w:t>
      </w:r>
      <w:r w:rsidRPr="002F2B00">
        <w:tab/>
      </w:r>
      <w:r w:rsidR="00E75B9A">
        <w:t xml:space="preserve">It is clear that the same procedural obligations apply </w:t>
      </w:r>
      <w:r w:rsidR="00E75B9A">
        <w:rPr>
          <w:szCs w:val="24"/>
        </w:rPr>
        <w:t xml:space="preserve">to </w:t>
      </w:r>
      <w:r w:rsidR="00976675" w:rsidRPr="002F2B00">
        <w:rPr>
          <w:szCs w:val="24"/>
        </w:rPr>
        <w:t xml:space="preserve">the right to life and </w:t>
      </w:r>
      <w:r w:rsidR="008C2717" w:rsidRPr="002F2B00">
        <w:rPr>
          <w:szCs w:val="24"/>
        </w:rPr>
        <w:t xml:space="preserve">to </w:t>
      </w:r>
      <w:r w:rsidR="00976675" w:rsidRPr="002F2B00">
        <w:rPr>
          <w:szCs w:val="24"/>
        </w:rPr>
        <w:t>freedom from torture.</w:t>
      </w:r>
      <w:r w:rsidR="00976675" w:rsidRPr="002F2B00">
        <w:rPr>
          <w:rStyle w:val="FootnoteReference"/>
          <w:szCs w:val="24"/>
        </w:rPr>
        <w:footnoteReference w:id="15"/>
      </w:r>
      <w:r w:rsidR="00976675" w:rsidRPr="002F2B00">
        <w:rPr>
          <w:szCs w:val="24"/>
        </w:rPr>
        <w:t xml:space="preserve"> </w:t>
      </w:r>
      <w:r w:rsidR="00E75B9A">
        <w:rPr>
          <w:szCs w:val="24"/>
        </w:rPr>
        <w:t xml:space="preserve">By way of summary, that means the investigation must be effective and to be effective it must at least </w:t>
      </w:r>
      <w:r w:rsidR="00F971C1" w:rsidRPr="002F2B00">
        <w:rPr>
          <w:szCs w:val="24"/>
        </w:rPr>
        <w:t xml:space="preserve">satisfy the required purpose, </w:t>
      </w:r>
      <w:r w:rsidR="00A0104B" w:rsidRPr="002F2B00">
        <w:rPr>
          <w:szCs w:val="24"/>
        </w:rPr>
        <w:t xml:space="preserve">be independent and impartial, </w:t>
      </w:r>
      <w:r w:rsidR="004C08D9" w:rsidRPr="002F2B00">
        <w:rPr>
          <w:szCs w:val="24"/>
        </w:rPr>
        <w:t xml:space="preserve">be </w:t>
      </w:r>
      <w:r w:rsidR="00A0104B" w:rsidRPr="002F2B00">
        <w:rPr>
          <w:szCs w:val="24"/>
        </w:rPr>
        <w:t>thorough, of the State’s own motion, commence promptly</w:t>
      </w:r>
      <w:r w:rsidR="00F971C1" w:rsidRPr="002F2B00">
        <w:rPr>
          <w:szCs w:val="24"/>
        </w:rPr>
        <w:t>, progress with reasonable expedition and be subject to public scrutiny.</w:t>
      </w:r>
      <w:r w:rsidR="00F971C1" w:rsidRPr="002F2B00">
        <w:rPr>
          <w:rStyle w:val="FootnoteReference"/>
          <w:szCs w:val="24"/>
        </w:rPr>
        <w:footnoteReference w:id="16"/>
      </w:r>
      <w:r w:rsidR="00F971C1" w:rsidRPr="002F2B00">
        <w:rPr>
          <w:szCs w:val="24"/>
        </w:rPr>
        <w:t xml:space="preserve"> </w:t>
      </w:r>
      <w:r w:rsidR="00CE12AC" w:rsidRPr="002F2B00">
        <w:rPr>
          <w:szCs w:val="24"/>
        </w:rPr>
        <w:t xml:space="preserve">These are the minimum standards. </w:t>
      </w:r>
      <w:r w:rsidR="00007572" w:rsidRPr="002F2B00">
        <w:t xml:space="preserve">The Explanatory </w:t>
      </w:r>
      <w:r w:rsidR="007074B1">
        <w:t>Note</w:t>
      </w:r>
      <w:r w:rsidR="007074B1" w:rsidRPr="002F2B00">
        <w:t xml:space="preserve"> </w:t>
      </w:r>
      <w:r w:rsidR="00200E21">
        <w:t xml:space="preserve">to the 2023 Act </w:t>
      </w:r>
      <w:r w:rsidR="00E75B9A">
        <w:t>states</w:t>
      </w:r>
      <w:r w:rsidR="00E75B9A" w:rsidRPr="002F2B00">
        <w:t xml:space="preserve"> </w:t>
      </w:r>
      <w:r w:rsidR="00007572" w:rsidRPr="002F2B00">
        <w:t xml:space="preserve">that the </w:t>
      </w:r>
      <w:r w:rsidR="000A5B10" w:rsidRPr="002F2B00">
        <w:t>ICRIR</w:t>
      </w:r>
      <w:r w:rsidR="00B920FA" w:rsidRPr="002F2B00">
        <w:t xml:space="preserve"> “will conduct investigations into deaths and very serious injuries which resulted from conduct forming part of the Troubles”</w:t>
      </w:r>
      <w:r w:rsidR="00CE12AC" w:rsidRPr="002F2B00">
        <w:t>.</w:t>
      </w:r>
      <w:r w:rsidR="00A1648D" w:rsidRPr="002F2B00">
        <w:rPr>
          <w:rStyle w:val="FootnoteReference"/>
        </w:rPr>
        <w:footnoteReference w:id="17"/>
      </w:r>
      <w:r w:rsidR="00CE12AC" w:rsidRPr="002F2B00">
        <w:t xml:space="preserve"> </w:t>
      </w:r>
      <w:r w:rsidR="00757F06" w:rsidRPr="002F2B00">
        <w:t>Yet</w:t>
      </w:r>
      <w:r w:rsidR="00CE12AC" w:rsidRPr="002F2B00">
        <w:t xml:space="preserve">, </w:t>
      </w:r>
      <w:r w:rsidR="000B32B3">
        <w:t>the 2023 Act</w:t>
      </w:r>
      <w:r w:rsidR="00AA4905" w:rsidRPr="002F2B00">
        <w:t xml:space="preserve"> does not </w:t>
      </w:r>
      <w:r w:rsidR="00E75B9A">
        <w:t xml:space="preserve">refer to </w:t>
      </w:r>
      <w:r w:rsidR="00AA4905" w:rsidRPr="002F2B00">
        <w:t>‘investigation</w:t>
      </w:r>
      <w:r w:rsidR="00E75B9A">
        <w:t>s</w:t>
      </w:r>
      <w:r w:rsidR="00AA4905" w:rsidRPr="002F2B00">
        <w:t>’</w:t>
      </w:r>
      <w:r w:rsidR="001F356E">
        <w:t>,</w:t>
      </w:r>
      <w:r w:rsidR="00AA4905" w:rsidRPr="002F2B00">
        <w:t xml:space="preserve"> </w:t>
      </w:r>
      <w:r w:rsidR="00E75B9A">
        <w:t>but instead ‘</w:t>
      </w:r>
      <w:r w:rsidRPr="002F2B00">
        <w:t>review</w:t>
      </w:r>
      <w:r w:rsidR="00E75B9A">
        <w:t xml:space="preserve">s’, which will be much more limited in scope and will only be undertaken in specific </w:t>
      </w:r>
      <w:r w:rsidR="00E75B9A">
        <w:lastRenderedPageBreak/>
        <w:t>circumstances.</w:t>
      </w:r>
      <w:r w:rsidR="00CE12AC" w:rsidRPr="002F2B00">
        <w:t xml:space="preserve"> </w:t>
      </w:r>
      <w:r w:rsidR="00E75B9A">
        <w:t>I</w:t>
      </w:r>
      <w:r w:rsidR="00CE12AC" w:rsidRPr="002F2B00">
        <w:t xml:space="preserve">n some individual cases </w:t>
      </w:r>
      <w:r w:rsidR="0049694E">
        <w:t xml:space="preserve">a ‘historical record’ </w:t>
      </w:r>
      <w:r w:rsidR="00E75B9A">
        <w:t>may be produced</w:t>
      </w:r>
      <w:r w:rsidR="00CE12AC" w:rsidRPr="002F2B00">
        <w:t>.</w:t>
      </w:r>
      <w:r w:rsidR="00607ACE">
        <w:rPr>
          <w:rStyle w:val="FootnoteReference"/>
        </w:rPr>
        <w:footnoteReference w:id="18"/>
      </w:r>
      <w:r w:rsidR="00CE12AC" w:rsidRPr="002F2B00">
        <w:t xml:space="preserve"> The </w:t>
      </w:r>
      <w:r w:rsidR="00F55AAC" w:rsidRPr="002F2B00">
        <w:t>NIHRC</w:t>
      </w:r>
      <w:r w:rsidR="00CE12AC" w:rsidRPr="002F2B00">
        <w:t xml:space="preserve"> has </w:t>
      </w:r>
      <w:r w:rsidR="00AA4905" w:rsidRPr="002F2B00">
        <w:t xml:space="preserve">grave concerns that </w:t>
      </w:r>
      <w:r w:rsidR="003B0872" w:rsidRPr="002F2B00">
        <w:t>the ICRIR</w:t>
      </w:r>
      <w:r w:rsidR="00AD6C91" w:rsidRPr="002F2B00">
        <w:t xml:space="preserve"> </w:t>
      </w:r>
      <w:r w:rsidR="00651B5C">
        <w:t xml:space="preserve">is incapable of meeting </w:t>
      </w:r>
      <w:r w:rsidR="00CE12AC" w:rsidRPr="002F2B00">
        <w:t xml:space="preserve">the minimum standards </w:t>
      </w:r>
      <w:r w:rsidR="003B0872" w:rsidRPr="002F2B00">
        <w:t xml:space="preserve">for </w:t>
      </w:r>
      <w:r w:rsidR="00651B5C">
        <w:t xml:space="preserve">effective </w:t>
      </w:r>
      <w:r w:rsidR="003B0872" w:rsidRPr="002F2B00">
        <w:t>investigation</w:t>
      </w:r>
      <w:r w:rsidR="00651B5C">
        <w:t xml:space="preserve">s. </w:t>
      </w:r>
      <w:r w:rsidR="00D3053A" w:rsidRPr="002F2B00">
        <w:t>As</w:t>
      </w:r>
      <w:r w:rsidR="00D3053A" w:rsidRPr="002F2B00">
        <w:rPr>
          <w:szCs w:val="24"/>
        </w:rPr>
        <w:t xml:space="preserve"> former UN Independent Expert on Combating Impunity, Diane </w:t>
      </w:r>
      <w:proofErr w:type="spellStart"/>
      <w:r w:rsidR="00D3053A" w:rsidRPr="002F2B00">
        <w:rPr>
          <w:szCs w:val="24"/>
        </w:rPr>
        <w:t>Orentlicher</w:t>
      </w:r>
      <w:proofErr w:type="spellEnd"/>
      <w:r w:rsidR="00D3053A" w:rsidRPr="002F2B00">
        <w:rPr>
          <w:szCs w:val="24"/>
        </w:rPr>
        <w:t>, warned “impunity arises from a failure by States to meet their obligations to investigate violations”.</w:t>
      </w:r>
      <w:r w:rsidR="00D3053A" w:rsidRPr="002F2B00">
        <w:rPr>
          <w:rStyle w:val="FootnoteReference"/>
          <w:szCs w:val="24"/>
        </w:rPr>
        <w:footnoteReference w:id="19"/>
      </w:r>
      <w:r w:rsidR="00D3053A" w:rsidRPr="002F2B00">
        <w:rPr>
          <w:szCs w:val="24"/>
        </w:rPr>
        <w:t xml:space="preserve"> </w:t>
      </w:r>
      <w:r w:rsidR="00651B5C">
        <w:t xml:space="preserve">Instead of enabling compliance with the State’s procedural obligations, the 2023 Act provides impunity for human rights abuses, which cannot be justified. </w:t>
      </w:r>
    </w:p>
    <w:p w14:paraId="5D68E13C" w14:textId="77777777" w:rsidR="00941699" w:rsidRPr="002F2B00" w:rsidRDefault="00941699" w:rsidP="00854135">
      <w:pPr>
        <w:ind w:left="720" w:hanging="720"/>
      </w:pPr>
    </w:p>
    <w:p w14:paraId="20305F7D" w14:textId="6B1FA1B5" w:rsidR="00FF5233" w:rsidRPr="002F2B00" w:rsidRDefault="00941699" w:rsidP="00854135">
      <w:pPr>
        <w:ind w:left="720" w:hanging="720"/>
      </w:pPr>
      <w:r w:rsidRPr="002F2B00">
        <w:t>2.</w:t>
      </w:r>
      <w:r w:rsidR="0041277F">
        <w:t>2</w:t>
      </w:r>
      <w:r w:rsidRPr="002F2B00">
        <w:tab/>
      </w:r>
      <w:r w:rsidR="00651B5C">
        <w:t>The</w:t>
      </w:r>
      <w:r w:rsidR="00324CD4" w:rsidRPr="002F2B00">
        <w:t xml:space="preserve"> following sets out a</w:t>
      </w:r>
      <w:r w:rsidR="000C046A" w:rsidRPr="002F2B00">
        <w:t xml:space="preserve"> summary analysis</w:t>
      </w:r>
      <w:r w:rsidR="00AD2D70" w:rsidRPr="002F2B00">
        <w:t xml:space="preserve"> </w:t>
      </w:r>
      <w:r w:rsidR="00AD2D70" w:rsidRPr="002F2B00" w:rsidDel="00651B5C">
        <w:t xml:space="preserve">of </w:t>
      </w:r>
      <w:r w:rsidR="00651B5C">
        <w:t>what</w:t>
      </w:r>
      <w:r w:rsidR="000C046A" w:rsidRPr="002F2B00">
        <w:t xml:space="preserve"> </w:t>
      </w:r>
      <w:r w:rsidR="00651B5C">
        <w:t xml:space="preserve">is </w:t>
      </w:r>
      <w:r w:rsidR="000C046A" w:rsidRPr="002F2B00">
        <w:t xml:space="preserve">required for </w:t>
      </w:r>
      <w:r w:rsidR="0036628C" w:rsidRPr="002F2B00">
        <w:t>effective investigation</w:t>
      </w:r>
      <w:r w:rsidR="000C046A" w:rsidRPr="002F2B00">
        <w:t>s</w:t>
      </w:r>
      <w:r w:rsidR="00AD2A5C" w:rsidRPr="002F2B00">
        <w:t xml:space="preserve"> </w:t>
      </w:r>
      <w:r w:rsidR="00651B5C">
        <w:t xml:space="preserve">as against that which is provided by the </w:t>
      </w:r>
      <w:r w:rsidR="00AC3F6C">
        <w:t>2023 Act</w:t>
      </w:r>
      <w:r w:rsidR="000C046A" w:rsidRPr="002F2B00">
        <w:t>.</w:t>
      </w:r>
      <w:r w:rsidR="003553FB" w:rsidRPr="002F2B00">
        <w:t xml:space="preserve"> </w:t>
      </w:r>
    </w:p>
    <w:p w14:paraId="64DD2B8E" w14:textId="2E3077A7" w:rsidR="00F20651" w:rsidRPr="002F2B00" w:rsidRDefault="00F20651">
      <w:pPr>
        <w:rPr>
          <w:rFonts w:eastAsiaTheme="majorEastAsia" w:cstheme="majorBidi"/>
          <w:b/>
          <w:color w:val="77328A"/>
          <w:sz w:val="30"/>
          <w:szCs w:val="32"/>
        </w:rPr>
      </w:pPr>
    </w:p>
    <w:p w14:paraId="76120F16" w14:textId="68B9AA75" w:rsidR="00732479" w:rsidRPr="002F2B00" w:rsidRDefault="00732479" w:rsidP="00967EEF">
      <w:pPr>
        <w:pStyle w:val="Heading3"/>
      </w:pPr>
      <w:bookmarkStart w:id="4" w:name="_Toc113517944"/>
      <w:bookmarkStart w:id="5" w:name="_Toc164766594"/>
      <w:bookmarkStart w:id="6" w:name="_Toc523318870"/>
      <w:r w:rsidRPr="002F2B00">
        <w:t xml:space="preserve">Purpose of </w:t>
      </w:r>
      <w:r w:rsidR="00B857A6" w:rsidRPr="002F2B00">
        <w:t xml:space="preserve">an </w:t>
      </w:r>
      <w:r w:rsidRPr="002F2B00">
        <w:t>investigation</w:t>
      </w:r>
      <w:bookmarkEnd w:id="4"/>
      <w:bookmarkEnd w:id="5"/>
    </w:p>
    <w:p w14:paraId="0FEF442B" w14:textId="77777777" w:rsidR="00941699" w:rsidRPr="002F2B00" w:rsidRDefault="00941699" w:rsidP="00AC3F6C">
      <w:pPr>
        <w:pStyle w:val="ListParagraph"/>
        <w:numPr>
          <w:ilvl w:val="0"/>
          <w:numId w:val="1"/>
        </w:numPr>
        <w:rPr>
          <w:vanish/>
          <w:szCs w:val="24"/>
        </w:rPr>
      </w:pPr>
    </w:p>
    <w:p w14:paraId="2ED24BE4" w14:textId="77777777" w:rsidR="00941699" w:rsidRPr="002F2B00" w:rsidRDefault="00941699" w:rsidP="00AC3F6C">
      <w:pPr>
        <w:pStyle w:val="ListParagraph"/>
        <w:numPr>
          <w:ilvl w:val="0"/>
          <w:numId w:val="1"/>
        </w:numPr>
        <w:rPr>
          <w:vanish/>
          <w:szCs w:val="24"/>
        </w:rPr>
      </w:pPr>
    </w:p>
    <w:p w14:paraId="6C74A9A4" w14:textId="77777777" w:rsidR="00941699" w:rsidRPr="002F2B00" w:rsidRDefault="00941699" w:rsidP="00AC3F6C">
      <w:pPr>
        <w:pStyle w:val="ListParagraph"/>
        <w:numPr>
          <w:ilvl w:val="1"/>
          <w:numId w:val="1"/>
        </w:numPr>
        <w:rPr>
          <w:vanish/>
          <w:szCs w:val="24"/>
        </w:rPr>
      </w:pPr>
    </w:p>
    <w:p w14:paraId="66D39283" w14:textId="77777777" w:rsidR="00941699" w:rsidRPr="002F2B00" w:rsidRDefault="00941699" w:rsidP="00AC3F6C">
      <w:pPr>
        <w:pStyle w:val="ListParagraph"/>
        <w:numPr>
          <w:ilvl w:val="1"/>
          <w:numId w:val="1"/>
        </w:numPr>
        <w:rPr>
          <w:vanish/>
          <w:szCs w:val="24"/>
        </w:rPr>
      </w:pPr>
    </w:p>
    <w:p w14:paraId="25D435F8" w14:textId="77777777" w:rsidR="00941699" w:rsidRPr="002F2B00" w:rsidRDefault="00941699" w:rsidP="00AC3F6C">
      <w:pPr>
        <w:pStyle w:val="ListParagraph"/>
        <w:numPr>
          <w:ilvl w:val="1"/>
          <w:numId w:val="1"/>
        </w:numPr>
        <w:rPr>
          <w:vanish/>
          <w:szCs w:val="24"/>
        </w:rPr>
      </w:pPr>
    </w:p>
    <w:p w14:paraId="2345F3A2" w14:textId="6E03C265" w:rsidR="00DC601B" w:rsidRPr="002F2B00" w:rsidRDefault="248E0980" w:rsidP="002A62EE">
      <w:pPr>
        <w:pStyle w:val="ListParagraph"/>
        <w:numPr>
          <w:ilvl w:val="1"/>
          <w:numId w:val="13"/>
        </w:numPr>
      </w:pPr>
      <w:r>
        <w:t>T</w:t>
      </w:r>
      <w:r w:rsidR="06E584AC">
        <w:t xml:space="preserve">he Stormont House Agreement </w:t>
      </w:r>
      <w:r w:rsidR="4CFA6089">
        <w:t>2014 provides that:</w:t>
      </w:r>
    </w:p>
    <w:p w14:paraId="4DA041A0" w14:textId="77777777" w:rsidR="00DC601B" w:rsidRPr="002F2B00" w:rsidRDefault="00DC601B" w:rsidP="00DC601B">
      <w:pPr>
        <w:ind w:left="720"/>
        <w:contextualSpacing/>
      </w:pPr>
    </w:p>
    <w:p w14:paraId="004C526F" w14:textId="77777777" w:rsidR="00422D89" w:rsidRPr="002F2B00" w:rsidRDefault="00DC601B" w:rsidP="00DC601B">
      <w:pPr>
        <w:pStyle w:val="Quote"/>
      </w:pPr>
      <w:r w:rsidRPr="002F2B00">
        <w:t xml:space="preserve">the UK and Irish Governments recognise that there are outstanding investigations and allegations into Troubles-related incidents, including </w:t>
      </w:r>
      <w:proofErr w:type="gramStart"/>
      <w:r w:rsidRPr="002F2B00">
        <w:t>a number of</w:t>
      </w:r>
      <w:proofErr w:type="gramEnd"/>
      <w:r w:rsidRPr="002F2B00">
        <w:t xml:space="preserve"> cross-border incidents. They commit to co-operation with all bodies involved to enable their effective operation, recognising their distinctive functions, and to bring forward legislation where necessary.</w:t>
      </w:r>
      <w:r w:rsidRPr="002F2B00">
        <w:rPr>
          <w:vertAlign w:val="superscript"/>
        </w:rPr>
        <w:footnoteReference w:id="20"/>
      </w:r>
    </w:p>
    <w:p w14:paraId="01BED8B0" w14:textId="15B1EC28" w:rsidR="00F422AA" w:rsidRPr="002F2B00" w:rsidRDefault="00DC601B" w:rsidP="002F44B9">
      <w:pPr>
        <w:pStyle w:val="Quote"/>
      </w:pPr>
      <w:r w:rsidRPr="002F2B00">
        <w:t xml:space="preserve"> </w:t>
      </w:r>
    </w:p>
    <w:p w14:paraId="41FCA4EF" w14:textId="62590941" w:rsidR="00321106" w:rsidRPr="00236EA2" w:rsidRDefault="79E34375" w:rsidP="002A62EE">
      <w:pPr>
        <w:pStyle w:val="ListParagraph"/>
        <w:numPr>
          <w:ilvl w:val="1"/>
          <w:numId w:val="13"/>
        </w:numPr>
      </w:pPr>
      <w:r w:rsidRPr="002F2B00">
        <w:t>The UN Human Rights Committee,</w:t>
      </w:r>
      <w:r w:rsidR="00321106" w:rsidRPr="002F2B00">
        <w:rPr>
          <w:rStyle w:val="FootnoteReference"/>
        </w:rPr>
        <w:footnoteReference w:id="21"/>
      </w:r>
      <w:r w:rsidRPr="002F2B00">
        <w:t xml:space="preserve"> </w:t>
      </w:r>
      <w:r w:rsidR="08F040CA" w:rsidRPr="002F2B00">
        <w:t>UN Committee against Torture (UN CAT Committee),</w:t>
      </w:r>
      <w:r w:rsidR="002F0472" w:rsidRPr="002F2B00">
        <w:rPr>
          <w:rStyle w:val="FootnoteReference"/>
        </w:rPr>
        <w:footnoteReference w:id="22"/>
      </w:r>
      <w:r w:rsidR="08F040CA" w:rsidRPr="002F2B00">
        <w:t xml:space="preserve"> UN Special Rapporteurs</w:t>
      </w:r>
      <w:r w:rsidR="00321106" w:rsidRPr="002F2B00">
        <w:rPr>
          <w:rStyle w:val="FootnoteReference"/>
        </w:rPr>
        <w:footnoteReference w:id="23"/>
      </w:r>
      <w:r w:rsidRPr="002F2B00">
        <w:t xml:space="preserve"> </w:t>
      </w:r>
      <w:r w:rsidR="08F040CA" w:rsidRPr="002F2B00">
        <w:t>and the</w:t>
      </w:r>
      <w:r w:rsidR="4FC3E466" w:rsidRPr="002F2B00">
        <w:t xml:space="preserve"> </w:t>
      </w:r>
      <w:proofErr w:type="spellStart"/>
      <w:r w:rsidR="4FC3E466" w:rsidRPr="002F2B00">
        <w:t>CoE</w:t>
      </w:r>
      <w:proofErr w:type="spellEnd"/>
      <w:r w:rsidR="4FC3E466" w:rsidRPr="002F2B00">
        <w:t xml:space="preserve"> Commissioner for Human Rights</w:t>
      </w:r>
      <w:r w:rsidR="005B0D8D" w:rsidRPr="002F2B00">
        <w:rPr>
          <w:rStyle w:val="FootnoteReference"/>
        </w:rPr>
        <w:footnoteReference w:id="24"/>
      </w:r>
      <w:r w:rsidRPr="002F2B00">
        <w:t xml:space="preserve"> </w:t>
      </w:r>
      <w:r w:rsidR="55688D2E" w:rsidRPr="002F2B00">
        <w:t xml:space="preserve">have </w:t>
      </w:r>
      <w:r w:rsidR="4234A87F" w:rsidRPr="002F2B00">
        <w:t>stressed the need for</w:t>
      </w:r>
      <w:r w:rsidR="55688D2E" w:rsidRPr="002F2B00">
        <w:t xml:space="preserve"> </w:t>
      </w:r>
      <w:r w:rsidRPr="002F2B00">
        <w:lastRenderedPageBreak/>
        <w:t>urgent measures to advance and implement the Stormont House Agreement</w:t>
      </w:r>
      <w:r w:rsidR="4234A87F" w:rsidRPr="002F2B00">
        <w:t xml:space="preserve">, particularly in relation to </w:t>
      </w:r>
      <w:r w:rsidRPr="002F2B00">
        <w:t>investigating conflict-related violations.</w:t>
      </w:r>
      <w:r w:rsidR="2A7478CC" w:rsidRPr="002F2B00">
        <w:t xml:space="preserve"> </w:t>
      </w:r>
      <w:r w:rsidR="2A7478CC" w:rsidRPr="05FC8414">
        <w:t>The UN CAT Committee has stressed that the UK Government should “ensure that effective and independent investigations are conducted into outstanding allegations of torture, ill-treatment and conflict-related killings to establish the truth and identify, prosecute and punish perpetrators”.</w:t>
      </w:r>
      <w:r w:rsidR="008E2E39" w:rsidRPr="05FC8414">
        <w:rPr>
          <w:rStyle w:val="FootnoteReference"/>
        </w:rPr>
        <w:footnoteReference w:id="25"/>
      </w:r>
      <w:r w:rsidR="58D102D9" w:rsidRPr="05FC8414">
        <w:t xml:space="preserve"> M</w:t>
      </w:r>
      <w:r w:rsidR="03D4821D" w:rsidRPr="05FC8414">
        <w:t xml:space="preserve">ultiple </w:t>
      </w:r>
      <w:r w:rsidR="58D102D9" w:rsidRPr="05FC8414">
        <w:t xml:space="preserve">independent human rights experts have </w:t>
      </w:r>
      <w:r w:rsidR="62C54733" w:rsidRPr="05FC8414">
        <w:t>raised</w:t>
      </w:r>
      <w:r w:rsidR="58D102D9" w:rsidRPr="002F2B00">
        <w:rPr>
          <w:szCs w:val="24"/>
        </w:rPr>
        <w:t xml:space="preserve"> </w:t>
      </w:r>
      <w:r w:rsidR="00651B5C">
        <w:t>consistent and persistent</w:t>
      </w:r>
      <w:r w:rsidR="00651B5C" w:rsidRPr="05FC8414">
        <w:t xml:space="preserve"> </w:t>
      </w:r>
      <w:r w:rsidR="00651B5C">
        <w:t>issues of concern.</w:t>
      </w:r>
      <w:r w:rsidR="00DB4A20" w:rsidRPr="05FC8414">
        <w:rPr>
          <w:rStyle w:val="FootnoteReference"/>
        </w:rPr>
        <w:footnoteReference w:id="26"/>
      </w:r>
    </w:p>
    <w:p w14:paraId="088A731D" w14:textId="77777777" w:rsidR="002F44B9" w:rsidRPr="002F2B00" w:rsidRDefault="002F44B9" w:rsidP="005F7CC3"/>
    <w:p w14:paraId="500760E2" w14:textId="0C2E399E" w:rsidR="00B1273E" w:rsidRPr="002F2B00" w:rsidRDefault="68BF5046" w:rsidP="002A62EE">
      <w:pPr>
        <w:pStyle w:val="ListParagraph"/>
        <w:numPr>
          <w:ilvl w:val="1"/>
          <w:numId w:val="13"/>
        </w:numPr>
      </w:pPr>
      <w:r w:rsidRPr="002F2B00">
        <w:t xml:space="preserve">The </w:t>
      </w:r>
      <w:r w:rsidR="795AE813">
        <w:t>2023 Act establishes</w:t>
      </w:r>
      <w:r w:rsidRPr="002F2B00">
        <w:t xml:space="preserve"> a body </w:t>
      </w:r>
      <w:r w:rsidR="00651B5C">
        <w:t>(</w:t>
      </w:r>
      <w:r w:rsidRPr="002F2B00">
        <w:t>the ICRIR</w:t>
      </w:r>
      <w:r w:rsidR="00651B5C">
        <w:t>)</w:t>
      </w:r>
      <w:r w:rsidR="195D8A9C" w:rsidRPr="002F2B00">
        <w:t>, which is to</w:t>
      </w:r>
      <w:r w:rsidR="446449FC" w:rsidRPr="002F2B00">
        <w:t xml:space="preserve"> consist of a Chief Commissioner, Commissioner for investigations</w:t>
      </w:r>
      <w:r w:rsidR="7C3735D8" w:rsidRPr="002F2B00">
        <w:t xml:space="preserve"> and up to </w:t>
      </w:r>
      <w:r w:rsidR="3BF10C29">
        <w:t>five</w:t>
      </w:r>
      <w:r w:rsidR="7C3735D8" w:rsidRPr="002F2B00">
        <w:t xml:space="preserve"> other Commissioners, who will be supported by </w:t>
      </w:r>
      <w:r w:rsidR="177F7CF6" w:rsidRPr="002F2B00">
        <w:t xml:space="preserve">an undisclosed number of </w:t>
      </w:r>
      <w:r w:rsidR="042233B6" w:rsidRPr="002F2B00">
        <w:t>ICRIR officers.</w:t>
      </w:r>
      <w:r w:rsidR="00B1273E" w:rsidRPr="002F2B00">
        <w:rPr>
          <w:rStyle w:val="FootnoteReference"/>
        </w:rPr>
        <w:footnoteReference w:id="27"/>
      </w:r>
      <w:r w:rsidRPr="002F2B00">
        <w:t xml:space="preserve"> </w:t>
      </w:r>
      <w:r w:rsidR="5248E000" w:rsidRPr="002F2B00">
        <w:t xml:space="preserve">The </w:t>
      </w:r>
      <w:r w:rsidR="2754A064">
        <w:t>2023 Act</w:t>
      </w:r>
      <w:r w:rsidR="195D8A9C" w:rsidRPr="002F2B00">
        <w:t xml:space="preserve"> </w:t>
      </w:r>
      <w:r w:rsidR="6E2FF96A">
        <w:t>provides</w:t>
      </w:r>
      <w:r w:rsidR="195D8A9C" w:rsidRPr="002F2B00">
        <w:t xml:space="preserve"> that t</w:t>
      </w:r>
      <w:r w:rsidR="042233B6" w:rsidRPr="002F2B00">
        <w:t>he ICRIR</w:t>
      </w:r>
      <w:r w:rsidRPr="002F2B00">
        <w:t xml:space="preserve"> will conduct reviews, upon request, into deaths and serious injuries resulting from or connected with conduct during the Troubles.</w:t>
      </w:r>
      <w:r w:rsidR="00B1273E" w:rsidRPr="002F2B00">
        <w:rPr>
          <w:rStyle w:val="FootnoteReference"/>
        </w:rPr>
        <w:footnoteReference w:id="28"/>
      </w:r>
      <w:r w:rsidRPr="002F2B00">
        <w:t xml:space="preserve"> </w:t>
      </w:r>
      <w:r w:rsidR="195D8A9C" w:rsidRPr="002F2B00">
        <w:t>It also pro</w:t>
      </w:r>
      <w:r w:rsidR="2A28244B">
        <w:t>vides</w:t>
      </w:r>
      <w:r w:rsidR="195D8A9C" w:rsidRPr="002F2B00">
        <w:t xml:space="preserve"> that t</w:t>
      </w:r>
      <w:r w:rsidRPr="002F2B00">
        <w:t>he ICRIR will produce a historical record of all remaining deaths that occurred during the Troubles (</w:t>
      </w:r>
      <w:r w:rsidR="72844457" w:rsidRPr="002F2B00">
        <w:t>i.e.</w:t>
      </w:r>
      <w:r w:rsidRPr="002F2B00">
        <w:t xml:space="preserve"> </w:t>
      </w:r>
      <w:r w:rsidR="72F248E7" w:rsidRPr="002F2B00">
        <w:t>Troubles-related deaths that are</w:t>
      </w:r>
      <w:r w:rsidRPr="002F2B00">
        <w:t xml:space="preserve"> not subject to a review by the ICRIR).</w:t>
      </w:r>
      <w:r w:rsidR="00B1273E" w:rsidRPr="002F2B00">
        <w:rPr>
          <w:rStyle w:val="FootnoteReference"/>
        </w:rPr>
        <w:footnoteReference w:id="29"/>
      </w:r>
      <w:r w:rsidRPr="002F2B00">
        <w:t xml:space="preserve"> </w:t>
      </w:r>
    </w:p>
    <w:p w14:paraId="0FCBEF26" w14:textId="77777777" w:rsidR="00B1273E" w:rsidRPr="002F2B00" w:rsidRDefault="00B1273E" w:rsidP="00B1273E">
      <w:pPr>
        <w:pStyle w:val="ListParagraph"/>
        <w:rPr>
          <w:rFonts w:cs="Arial"/>
          <w:szCs w:val="24"/>
        </w:rPr>
      </w:pPr>
    </w:p>
    <w:p w14:paraId="5F9B8B81" w14:textId="4DC8E0B3" w:rsidR="001A0F18" w:rsidRPr="001A0F18" w:rsidRDefault="58F89ED2" w:rsidP="002A62EE">
      <w:pPr>
        <w:pStyle w:val="ListParagraph"/>
        <w:numPr>
          <w:ilvl w:val="1"/>
          <w:numId w:val="13"/>
        </w:numPr>
      </w:pPr>
      <w:r w:rsidRPr="05FC8414">
        <w:rPr>
          <w:rFonts w:cs="Arial"/>
        </w:rPr>
        <w:t>The Explan</w:t>
      </w:r>
      <w:r w:rsidR="590C3D75" w:rsidRPr="05FC8414">
        <w:rPr>
          <w:rFonts w:cs="Arial"/>
        </w:rPr>
        <w:t>a</w:t>
      </w:r>
      <w:r w:rsidRPr="05FC8414">
        <w:rPr>
          <w:rFonts w:cs="Arial"/>
        </w:rPr>
        <w:t xml:space="preserve">tory </w:t>
      </w:r>
      <w:r w:rsidR="7E6EA74C" w:rsidRPr="05FC8414">
        <w:rPr>
          <w:rFonts w:cs="Arial"/>
        </w:rPr>
        <w:t xml:space="preserve">Note </w:t>
      </w:r>
      <w:r w:rsidR="590C3D75" w:rsidRPr="05FC8414">
        <w:rPr>
          <w:rFonts w:cs="Arial"/>
        </w:rPr>
        <w:t xml:space="preserve">to the </w:t>
      </w:r>
      <w:r w:rsidR="2754A064" w:rsidRPr="05FC8414">
        <w:rPr>
          <w:rFonts w:cs="Arial"/>
        </w:rPr>
        <w:t>2023 Act</w:t>
      </w:r>
      <w:r w:rsidR="590C3D75" w:rsidRPr="05FC8414">
        <w:rPr>
          <w:rFonts w:cs="Arial"/>
        </w:rPr>
        <w:t xml:space="preserve"> </w:t>
      </w:r>
      <w:r w:rsidR="00651B5C">
        <w:rPr>
          <w:rFonts w:cs="Arial"/>
        </w:rPr>
        <w:t xml:space="preserve">draws an </w:t>
      </w:r>
      <w:r w:rsidR="001F356E">
        <w:rPr>
          <w:rFonts w:cs="Arial"/>
        </w:rPr>
        <w:t>equivalence</w:t>
      </w:r>
      <w:r w:rsidR="00651B5C">
        <w:rPr>
          <w:rFonts w:cs="Arial"/>
        </w:rPr>
        <w:t xml:space="preserve"> between </w:t>
      </w:r>
      <w:r w:rsidR="590C3D75" w:rsidRPr="05FC8414">
        <w:rPr>
          <w:rFonts w:cs="Arial"/>
        </w:rPr>
        <w:t xml:space="preserve">an ICRIR review </w:t>
      </w:r>
      <w:r w:rsidR="00651B5C">
        <w:rPr>
          <w:rFonts w:cs="Arial"/>
        </w:rPr>
        <w:t>and</w:t>
      </w:r>
      <w:r w:rsidR="00651B5C" w:rsidRPr="05FC8414">
        <w:rPr>
          <w:rFonts w:cs="Arial"/>
        </w:rPr>
        <w:t xml:space="preserve"> </w:t>
      </w:r>
      <w:r w:rsidR="590C3D75" w:rsidRPr="05FC8414">
        <w:rPr>
          <w:rFonts w:cs="Arial"/>
        </w:rPr>
        <w:t>a</w:t>
      </w:r>
      <w:r w:rsidR="00651B5C">
        <w:rPr>
          <w:rFonts w:cs="Arial"/>
        </w:rPr>
        <w:t xml:space="preserve"> traditional</w:t>
      </w:r>
      <w:r w:rsidR="590C3D75" w:rsidRPr="05FC8414">
        <w:rPr>
          <w:rFonts w:cs="Arial"/>
        </w:rPr>
        <w:t xml:space="preserve"> investigation.</w:t>
      </w:r>
      <w:r w:rsidR="00873F37" w:rsidRPr="05FC8414">
        <w:rPr>
          <w:rStyle w:val="FootnoteReference"/>
          <w:rFonts w:cs="Arial"/>
        </w:rPr>
        <w:footnoteReference w:id="30"/>
      </w:r>
      <w:r w:rsidR="71BAB968" w:rsidRPr="05FC8414">
        <w:rPr>
          <w:rFonts w:cs="Arial"/>
        </w:rPr>
        <w:t xml:space="preserve"> </w:t>
      </w:r>
      <w:r w:rsidR="73DC92C5" w:rsidRPr="05FC8414">
        <w:rPr>
          <w:rFonts w:cs="Arial"/>
        </w:rPr>
        <w:t>It is notable that t</w:t>
      </w:r>
      <w:r w:rsidR="71BAB968" w:rsidRPr="05FC8414">
        <w:rPr>
          <w:rFonts w:cs="Arial"/>
        </w:rPr>
        <w:t xml:space="preserve">he same </w:t>
      </w:r>
      <w:r w:rsidR="00651B5C">
        <w:rPr>
          <w:rFonts w:cs="Arial"/>
        </w:rPr>
        <w:t xml:space="preserve">is not said of the </w:t>
      </w:r>
      <w:r w:rsidR="71BAB968" w:rsidRPr="05FC8414">
        <w:rPr>
          <w:rFonts w:cs="Arial"/>
        </w:rPr>
        <w:t>historical record</w:t>
      </w:r>
      <w:r w:rsidR="00651B5C">
        <w:rPr>
          <w:rFonts w:cs="Arial"/>
        </w:rPr>
        <w:t xml:space="preserve"> and one can assume therefore that a distinction was intended</w:t>
      </w:r>
      <w:r w:rsidR="71BAB968" w:rsidRPr="05FC8414">
        <w:rPr>
          <w:rFonts w:cs="Arial"/>
        </w:rPr>
        <w:t>.</w:t>
      </w:r>
      <w:r w:rsidR="001717C8" w:rsidRPr="05FC8414">
        <w:rPr>
          <w:rStyle w:val="FootnoteReference"/>
          <w:rFonts w:cs="Arial"/>
        </w:rPr>
        <w:footnoteReference w:id="31"/>
      </w:r>
      <w:r w:rsidR="590C3D75" w:rsidRPr="05FC8414">
        <w:rPr>
          <w:rFonts w:cs="Arial"/>
        </w:rPr>
        <w:t xml:space="preserve"> </w:t>
      </w:r>
      <w:r w:rsidR="168DD975" w:rsidRPr="05FC8414">
        <w:rPr>
          <w:rFonts w:cs="Arial"/>
        </w:rPr>
        <w:t xml:space="preserve">The UK </w:t>
      </w:r>
      <w:r w:rsidR="168DD975" w:rsidRPr="05FC8414">
        <w:rPr>
          <w:rFonts w:cs="Arial"/>
        </w:rPr>
        <w:lastRenderedPageBreak/>
        <w:t xml:space="preserve">Government in its response to the </w:t>
      </w:r>
      <w:proofErr w:type="spellStart"/>
      <w:r w:rsidR="168DD975" w:rsidRPr="05FC8414">
        <w:rPr>
          <w:rFonts w:cs="Arial"/>
        </w:rPr>
        <w:t>CoE</w:t>
      </w:r>
      <w:proofErr w:type="spellEnd"/>
      <w:r w:rsidR="168DD975" w:rsidRPr="05FC8414">
        <w:rPr>
          <w:rFonts w:cs="Arial"/>
        </w:rPr>
        <w:t xml:space="preserve"> Committee of Ministers states that “the term ‘review’ is broad, and encompasses a full, policy-equivalent criminal investigation – which may be needed in some case</w:t>
      </w:r>
      <w:r w:rsidR="79D7DB49" w:rsidRPr="05FC8414">
        <w:rPr>
          <w:rFonts w:cs="Arial"/>
        </w:rPr>
        <w:t>s</w:t>
      </w:r>
      <w:r w:rsidR="168DD975" w:rsidRPr="05FC8414">
        <w:rPr>
          <w:rFonts w:cs="Arial"/>
        </w:rPr>
        <w:t xml:space="preserve"> to satisfy the Article 2 and 3 procedural obligation”.</w:t>
      </w:r>
      <w:r w:rsidR="00C21F5C" w:rsidRPr="05FC8414">
        <w:rPr>
          <w:rStyle w:val="FootnoteReference"/>
          <w:rFonts w:cs="Arial"/>
        </w:rPr>
        <w:footnoteReference w:id="32"/>
      </w:r>
      <w:r w:rsidR="168DD975" w:rsidRPr="05FC8414">
        <w:rPr>
          <w:rFonts w:cs="Arial"/>
        </w:rPr>
        <w:t xml:space="preserve"> </w:t>
      </w:r>
      <w:r w:rsidR="0B8BC4A5" w:rsidRPr="05FC8414">
        <w:rPr>
          <w:rFonts w:cs="Arial"/>
        </w:rPr>
        <w:t xml:space="preserve">This is not </w:t>
      </w:r>
      <w:r w:rsidR="00651B5C">
        <w:rPr>
          <w:rFonts w:cs="Arial"/>
        </w:rPr>
        <w:t xml:space="preserve">what appears </w:t>
      </w:r>
      <w:r w:rsidR="00093D7F">
        <w:rPr>
          <w:rFonts w:cs="Arial"/>
        </w:rPr>
        <w:t>in</w:t>
      </w:r>
      <w:r w:rsidR="00651B5C">
        <w:rPr>
          <w:rFonts w:cs="Arial"/>
        </w:rPr>
        <w:t xml:space="preserve"> the 2023 Act</w:t>
      </w:r>
      <w:r w:rsidR="00093D7F">
        <w:rPr>
          <w:rFonts w:cs="Arial"/>
        </w:rPr>
        <w:t>; quite the opposite</w:t>
      </w:r>
      <w:r w:rsidR="00651B5C">
        <w:rPr>
          <w:rFonts w:cs="Arial"/>
        </w:rPr>
        <w:t>. It is essential that the safeguards to ensure compliance with Article</w:t>
      </w:r>
      <w:r w:rsidR="001F356E">
        <w:rPr>
          <w:rFonts w:cs="Arial"/>
        </w:rPr>
        <w:t>s</w:t>
      </w:r>
      <w:r w:rsidR="00651B5C">
        <w:rPr>
          <w:rFonts w:cs="Arial"/>
        </w:rPr>
        <w:t xml:space="preserve"> 2 and 3 </w:t>
      </w:r>
      <w:r w:rsidR="001F356E">
        <w:rPr>
          <w:rFonts w:cs="Arial"/>
        </w:rPr>
        <w:t xml:space="preserve">of the ECHR </w:t>
      </w:r>
      <w:r w:rsidR="00651B5C">
        <w:rPr>
          <w:rFonts w:cs="Arial"/>
        </w:rPr>
        <w:t xml:space="preserve">are contained within the legislation establishing and governing the work of the ICRIR. Any other statements - of policy, </w:t>
      </w:r>
      <w:proofErr w:type="gramStart"/>
      <w:r w:rsidR="00651B5C">
        <w:rPr>
          <w:rFonts w:cs="Arial"/>
        </w:rPr>
        <w:t>intention</w:t>
      </w:r>
      <w:proofErr w:type="gramEnd"/>
      <w:r w:rsidR="00651B5C">
        <w:rPr>
          <w:rFonts w:cs="Arial"/>
        </w:rPr>
        <w:t xml:space="preserve"> or hope -</w:t>
      </w:r>
      <w:r w:rsidR="0B8BC4A5" w:rsidRPr="05FC8414">
        <w:rPr>
          <w:rFonts w:cs="Arial"/>
        </w:rPr>
        <w:t xml:space="preserve"> </w:t>
      </w:r>
      <w:r w:rsidR="00651B5C">
        <w:rPr>
          <w:rFonts w:cs="Arial"/>
        </w:rPr>
        <w:t>could be said to be self-serving</w:t>
      </w:r>
      <w:r w:rsidR="00540B57">
        <w:rPr>
          <w:rFonts w:cs="Arial"/>
        </w:rPr>
        <w:t>,</w:t>
      </w:r>
      <w:r w:rsidR="00651B5C">
        <w:rPr>
          <w:rFonts w:cs="Arial"/>
        </w:rPr>
        <w:t xml:space="preserve"> but in any event irrelevant. Such statements</w:t>
      </w:r>
      <w:r w:rsidR="00540B57">
        <w:rPr>
          <w:rFonts w:cs="Arial"/>
        </w:rPr>
        <w:t>,</w:t>
      </w:r>
      <w:r w:rsidR="00651B5C">
        <w:rPr>
          <w:rFonts w:cs="Arial"/>
        </w:rPr>
        <w:t xml:space="preserve"> eve</w:t>
      </w:r>
      <w:r w:rsidR="00540B57">
        <w:rPr>
          <w:rFonts w:cs="Arial"/>
        </w:rPr>
        <w:t>n</w:t>
      </w:r>
      <w:r w:rsidR="00651B5C">
        <w:rPr>
          <w:rFonts w:cs="Arial"/>
        </w:rPr>
        <w:t xml:space="preserve"> if contained in policy papers or guidance</w:t>
      </w:r>
      <w:r w:rsidR="00540B57">
        <w:rPr>
          <w:rFonts w:cs="Arial"/>
        </w:rPr>
        <w:t>,</w:t>
      </w:r>
      <w:r w:rsidR="00651B5C">
        <w:rPr>
          <w:rFonts w:cs="Arial"/>
        </w:rPr>
        <w:t xml:space="preserve"> do not and cannot correct the clear defects in the 2023 Act.</w:t>
      </w:r>
    </w:p>
    <w:p w14:paraId="6D43C1A1" w14:textId="77777777" w:rsidR="001A0F18" w:rsidRPr="001A0F18" w:rsidRDefault="001A0F18" w:rsidP="001A0F18">
      <w:pPr>
        <w:pStyle w:val="ListParagraph"/>
        <w:rPr>
          <w:rFonts w:cs="Arial"/>
          <w:szCs w:val="24"/>
        </w:rPr>
      </w:pPr>
    </w:p>
    <w:p w14:paraId="5A8E01BE" w14:textId="0B6CA424" w:rsidR="007626B8" w:rsidRPr="001A0F18" w:rsidRDefault="00540B57" w:rsidP="002A62EE">
      <w:pPr>
        <w:pStyle w:val="ListParagraph"/>
        <w:numPr>
          <w:ilvl w:val="1"/>
          <w:numId w:val="13"/>
        </w:numPr>
      </w:pPr>
      <w:r>
        <w:rPr>
          <w:rFonts w:cs="Arial"/>
        </w:rPr>
        <w:t>Even</w:t>
      </w:r>
      <w:r w:rsidR="00093D7F">
        <w:rPr>
          <w:rFonts w:cs="Arial"/>
        </w:rPr>
        <w:t xml:space="preserve"> if the defects could be, in some way, perfected by policy or guidance, it is clear from the </w:t>
      </w:r>
      <w:r w:rsidR="7C38221E" w:rsidRPr="05FC8414">
        <w:rPr>
          <w:rFonts w:cs="Arial"/>
        </w:rPr>
        <w:t xml:space="preserve">UK Government’s </w:t>
      </w:r>
      <w:r w:rsidR="5DB610A3" w:rsidRPr="05FC8414">
        <w:rPr>
          <w:rFonts w:cs="Arial"/>
        </w:rPr>
        <w:t xml:space="preserve">interpretation of </w:t>
      </w:r>
      <w:r w:rsidR="00093D7F">
        <w:rPr>
          <w:rFonts w:cs="Arial"/>
        </w:rPr>
        <w:t xml:space="preserve">its </w:t>
      </w:r>
      <w:r w:rsidR="5DB610A3" w:rsidRPr="05FC8414">
        <w:rPr>
          <w:rFonts w:cs="Arial"/>
        </w:rPr>
        <w:t xml:space="preserve">procedural </w:t>
      </w:r>
      <w:r w:rsidR="72C628A7" w:rsidRPr="05FC8414">
        <w:rPr>
          <w:rFonts w:cs="Arial"/>
        </w:rPr>
        <w:t>obligations</w:t>
      </w:r>
      <w:r w:rsidR="5DB610A3" w:rsidRPr="05FC8414">
        <w:rPr>
          <w:rFonts w:cs="Arial"/>
        </w:rPr>
        <w:t xml:space="preserve"> and </w:t>
      </w:r>
      <w:r w:rsidR="00093D7F">
        <w:rPr>
          <w:rFonts w:cs="Arial"/>
        </w:rPr>
        <w:t>their application</w:t>
      </w:r>
      <w:r>
        <w:rPr>
          <w:rFonts w:cs="Arial"/>
        </w:rPr>
        <w:t>,</w:t>
      </w:r>
      <w:r w:rsidR="00093D7F">
        <w:rPr>
          <w:rFonts w:cs="Arial"/>
        </w:rPr>
        <w:t xml:space="preserve"> that it does not intend to correct the defects in the </w:t>
      </w:r>
      <w:r>
        <w:rPr>
          <w:rFonts w:cs="Arial"/>
        </w:rPr>
        <w:t xml:space="preserve">2023 </w:t>
      </w:r>
      <w:r w:rsidR="00093D7F">
        <w:rPr>
          <w:rFonts w:cs="Arial"/>
        </w:rPr>
        <w:t xml:space="preserve">Act. Rather, the defects in the </w:t>
      </w:r>
      <w:r w:rsidR="00F7239F">
        <w:rPr>
          <w:rFonts w:cs="Arial"/>
        </w:rPr>
        <w:t xml:space="preserve">2023 </w:t>
      </w:r>
      <w:r w:rsidR="00093D7F">
        <w:rPr>
          <w:rFonts w:cs="Arial"/>
        </w:rPr>
        <w:t xml:space="preserve">Act about which the NIHRC is concerned are there by design. </w:t>
      </w:r>
      <w:r w:rsidR="72C628A7" w:rsidRPr="05FC8414">
        <w:rPr>
          <w:rFonts w:cs="Arial"/>
        </w:rPr>
        <w:t xml:space="preserve">For example, </w:t>
      </w:r>
      <w:r w:rsidR="53D4551B" w:rsidRPr="05FC8414">
        <w:rPr>
          <w:rFonts w:cs="Arial"/>
        </w:rPr>
        <w:t xml:space="preserve">during the passage of the 2023 Act, </w:t>
      </w:r>
      <w:r w:rsidR="168DD975" w:rsidRPr="05FC8414">
        <w:rPr>
          <w:rFonts w:cs="Arial"/>
        </w:rPr>
        <w:t>the UK Government state</w:t>
      </w:r>
      <w:r w:rsidR="53D4551B" w:rsidRPr="05FC8414">
        <w:rPr>
          <w:rFonts w:cs="Arial"/>
        </w:rPr>
        <w:t>d</w:t>
      </w:r>
      <w:r w:rsidR="168DD975" w:rsidRPr="05FC8414">
        <w:rPr>
          <w:rFonts w:cs="Arial"/>
        </w:rPr>
        <w:t xml:space="preserve"> that cases which require a simpler investigation have “no procedural obligation”.</w:t>
      </w:r>
      <w:r w:rsidR="00152389" w:rsidRPr="05FC8414">
        <w:rPr>
          <w:rStyle w:val="FootnoteReference"/>
          <w:rFonts w:cs="Arial"/>
        </w:rPr>
        <w:footnoteReference w:id="33"/>
      </w:r>
      <w:r w:rsidR="72C628A7" w:rsidRPr="05FC8414">
        <w:rPr>
          <w:rFonts w:cs="Arial"/>
        </w:rPr>
        <w:t xml:space="preserve"> </w:t>
      </w:r>
      <w:r w:rsidR="00093D7F">
        <w:rPr>
          <w:rFonts w:cs="Arial"/>
        </w:rPr>
        <w:t xml:space="preserve">That is clearly wrong. </w:t>
      </w:r>
      <w:r w:rsidR="60B28170" w:rsidRPr="05FC8414">
        <w:rPr>
          <w:rFonts w:cs="Arial"/>
        </w:rPr>
        <w:t>A</w:t>
      </w:r>
      <w:r w:rsidR="5E8CE326" w:rsidRPr="05FC8414">
        <w:rPr>
          <w:rFonts w:cs="Arial"/>
        </w:rPr>
        <w:t xml:space="preserve"> procedural obligation always applies for </w:t>
      </w:r>
      <w:r w:rsidR="75BB7FA3" w:rsidRPr="05FC8414">
        <w:rPr>
          <w:rFonts w:cs="Arial"/>
        </w:rPr>
        <w:t xml:space="preserve">cases related to Articles 2 and Article 3 of the </w:t>
      </w:r>
      <w:proofErr w:type="gramStart"/>
      <w:r w:rsidR="75BB7FA3" w:rsidRPr="05FC8414">
        <w:rPr>
          <w:rFonts w:cs="Arial"/>
        </w:rPr>
        <w:t>ECHR,</w:t>
      </w:r>
      <w:proofErr w:type="gramEnd"/>
      <w:r w:rsidR="5DBF4A29" w:rsidRPr="05FC8414">
        <w:rPr>
          <w:rFonts w:cs="Arial"/>
        </w:rPr>
        <w:t xml:space="preserve"> the </w:t>
      </w:r>
      <w:r w:rsidR="00093D7F">
        <w:rPr>
          <w:rFonts w:cs="Arial"/>
        </w:rPr>
        <w:t xml:space="preserve">relevant </w:t>
      </w:r>
      <w:r w:rsidR="5DBF4A29" w:rsidRPr="05FC8414">
        <w:rPr>
          <w:rFonts w:cs="Arial"/>
        </w:rPr>
        <w:t xml:space="preserve">question </w:t>
      </w:r>
      <w:r w:rsidR="60B28170" w:rsidRPr="05FC8414">
        <w:rPr>
          <w:rFonts w:cs="Arial"/>
        </w:rPr>
        <w:t>is</w:t>
      </w:r>
      <w:r w:rsidR="5DBF4A29" w:rsidRPr="05FC8414">
        <w:rPr>
          <w:rFonts w:cs="Arial"/>
        </w:rPr>
        <w:t xml:space="preserve"> whether </w:t>
      </w:r>
      <w:r w:rsidR="00093D7F">
        <w:rPr>
          <w:rFonts w:cs="Arial"/>
        </w:rPr>
        <w:t>the</w:t>
      </w:r>
      <w:r w:rsidR="00093D7F" w:rsidRPr="05FC8414">
        <w:rPr>
          <w:rFonts w:cs="Arial"/>
        </w:rPr>
        <w:t xml:space="preserve"> </w:t>
      </w:r>
      <w:r w:rsidR="5DBF4A29" w:rsidRPr="05FC8414">
        <w:rPr>
          <w:rFonts w:cs="Arial"/>
        </w:rPr>
        <w:t>obligation has been fulfilled.</w:t>
      </w:r>
      <w:r w:rsidR="2A732937" w:rsidRPr="05FC8414">
        <w:rPr>
          <w:rFonts w:cs="Arial"/>
        </w:rPr>
        <w:t xml:space="preserve"> </w:t>
      </w:r>
    </w:p>
    <w:p w14:paraId="0081BB68" w14:textId="77777777" w:rsidR="00332907" w:rsidRPr="00D31D07" w:rsidRDefault="00332907" w:rsidP="00D31D07">
      <w:pPr>
        <w:rPr>
          <w:rFonts w:cs="Arial"/>
          <w:szCs w:val="24"/>
        </w:rPr>
      </w:pPr>
    </w:p>
    <w:p w14:paraId="6BFC16FB" w14:textId="316DB5CF" w:rsidR="001A0F18" w:rsidRPr="007626B8" w:rsidRDefault="23FD5496" w:rsidP="002A62EE">
      <w:pPr>
        <w:pStyle w:val="ListParagraph"/>
        <w:numPr>
          <w:ilvl w:val="1"/>
          <w:numId w:val="13"/>
        </w:numPr>
      </w:pPr>
      <w:r w:rsidRPr="0AB51537">
        <w:rPr>
          <w:rFonts w:cs="Arial"/>
        </w:rPr>
        <w:t>Furthermore, the UK Government has stated that “it is right that the ICRIR has the flexibility to determine how it can best fulfil the needs of victims and survivors in terms of the provision of information in each specific case”.</w:t>
      </w:r>
      <w:r w:rsidR="009D1E7B" w:rsidRPr="05FC8414">
        <w:rPr>
          <w:rStyle w:val="FootnoteReference"/>
          <w:rFonts w:cs="Arial"/>
        </w:rPr>
        <w:footnoteReference w:id="34"/>
      </w:r>
      <w:r w:rsidRPr="0AB51537">
        <w:rPr>
          <w:rFonts w:cs="Arial"/>
        </w:rPr>
        <w:t xml:space="preserve"> </w:t>
      </w:r>
      <w:r w:rsidR="42F6FE75" w:rsidRPr="05FC8414">
        <w:rPr>
          <w:rFonts w:cs="Arial"/>
        </w:rPr>
        <w:t xml:space="preserve">In response to the </w:t>
      </w:r>
      <w:proofErr w:type="spellStart"/>
      <w:r w:rsidR="42F6FE75" w:rsidRPr="05FC8414">
        <w:rPr>
          <w:rFonts w:cs="Arial"/>
        </w:rPr>
        <w:t>CoE</w:t>
      </w:r>
      <w:proofErr w:type="spellEnd"/>
      <w:r w:rsidR="42F6FE75" w:rsidRPr="05FC8414">
        <w:rPr>
          <w:rFonts w:cs="Arial"/>
        </w:rPr>
        <w:t xml:space="preserve"> Committee of Ministers, the UK Government </w:t>
      </w:r>
      <w:r w:rsidR="5A54216A" w:rsidRPr="05FC8414">
        <w:rPr>
          <w:rFonts w:cs="Arial"/>
        </w:rPr>
        <w:t>elaborate</w:t>
      </w:r>
      <w:r w:rsidR="7DEE3F49" w:rsidRPr="05FC8414">
        <w:rPr>
          <w:rFonts w:cs="Arial"/>
        </w:rPr>
        <w:t>d that:</w:t>
      </w:r>
      <w:r w:rsidR="42F6FE75" w:rsidRPr="05FC8414">
        <w:rPr>
          <w:rFonts w:cs="Arial"/>
        </w:rPr>
        <w:t xml:space="preserve"> </w:t>
      </w:r>
    </w:p>
    <w:p w14:paraId="410A91F2" w14:textId="77777777" w:rsidR="001A0F18" w:rsidRDefault="001A0F18" w:rsidP="001A0F18">
      <w:pPr>
        <w:pStyle w:val="ListParagraph"/>
      </w:pPr>
    </w:p>
    <w:p w14:paraId="4D8DC702" w14:textId="02E682DC" w:rsidR="001A0F18" w:rsidRDefault="001A0F18" w:rsidP="00492D02">
      <w:pPr>
        <w:pStyle w:val="Quote"/>
      </w:pPr>
      <w:r w:rsidRPr="00246B9C">
        <w:rPr>
          <w:rStyle w:val="QuoteChar"/>
        </w:rPr>
        <w:t xml:space="preserve">an approach requiring a criminal investigation in all cases would remove [the ICRIR’s] flexibility, and significantly increase the likely time needed to complete reviews, further delaying the provision of information for many families. In addition, in cases where the investigative duty under Article </w:t>
      </w:r>
      <w:r w:rsidRPr="00246B9C">
        <w:rPr>
          <w:rStyle w:val="QuoteChar"/>
        </w:rPr>
        <w:lastRenderedPageBreak/>
        <w:t xml:space="preserve">2 or 3 of the </w:t>
      </w:r>
      <w:r w:rsidR="00246B9C" w:rsidRPr="00246B9C">
        <w:rPr>
          <w:rStyle w:val="QuoteChar"/>
        </w:rPr>
        <w:t>[ECHR]…</w:t>
      </w:r>
      <w:r w:rsidRPr="00246B9C">
        <w:rPr>
          <w:rStyle w:val="QuoteChar"/>
        </w:rPr>
        <w:t xml:space="preserve"> applies, a criminal investigation may not be a sufficient means of discharging that duty - for example, where there may have been failings on the part of the State which contributed to a </w:t>
      </w:r>
      <w:proofErr w:type="gramStart"/>
      <w:r w:rsidRPr="00246B9C">
        <w:rPr>
          <w:rStyle w:val="QuoteChar"/>
        </w:rPr>
        <w:t>death</w:t>
      </w:r>
      <w:proofErr w:type="gramEnd"/>
      <w:r w:rsidRPr="00246B9C">
        <w:rPr>
          <w:rStyle w:val="QuoteChar"/>
        </w:rPr>
        <w:t xml:space="preserve"> but these were not themselves criminal in nature</w:t>
      </w:r>
      <w:r>
        <w:t>.</w:t>
      </w:r>
      <w:r>
        <w:rPr>
          <w:rStyle w:val="FootnoteReference"/>
        </w:rPr>
        <w:footnoteReference w:id="35"/>
      </w:r>
      <w:r>
        <w:t xml:space="preserve"> </w:t>
      </w:r>
    </w:p>
    <w:p w14:paraId="6D5A8B7E" w14:textId="77777777" w:rsidR="001A0F18" w:rsidRDefault="001A0F18" w:rsidP="001A0F18">
      <w:pPr>
        <w:pStyle w:val="ListParagraph"/>
        <w:ind w:left="993"/>
      </w:pPr>
    </w:p>
    <w:p w14:paraId="2DCC11B4" w14:textId="4F996B30" w:rsidR="00C32303" w:rsidRPr="002F2B00" w:rsidRDefault="579A4B34" w:rsidP="002A62EE">
      <w:pPr>
        <w:pStyle w:val="ListParagraph"/>
        <w:numPr>
          <w:ilvl w:val="1"/>
          <w:numId w:val="13"/>
        </w:numPr>
      </w:pPr>
      <w:r w:rsidRPr="0AB51537">
        <w:rPr>
          <w:rFonts w:cs="Arial"/>
        </w:rPr>
        <w:t xml:space="preserve">The NIHRC advocates </w:t>
      </w:r>
      <w:r w:rsidR="00093D7F">
        <w:rPr>
          <w:rFonts w:cs="Arial"/>
        </w:rPr>
        <w:t xml:space="preserve">strongly </w:t>
      </w:r>
      <w:r w:rsidRPr="0AB51537">
        <w:rPr>
          <w:rFonts w:cs="Arial"/>
        </w:rPr>
        <w:t>that</w:t>
      </w:r>
      <w:r w:rsidR="353AA0EB" w:rsidRPr="0AB51537">
        <w:rPr>
          <w:rFonts w:cs="Arial"/>
        </w:rPr>
        <w:t xml:space="preserve"> a victim-centred approach </w:t>
      </w:r>
      <w:r w:rsidR="00093D7F">
        <w:rPr>
          <w:rFonts w:cs="Arial"/>
        </w:rPr>
        <w:t>must</w:t>
      </w:r>
      <w:r w:rsidR="00093D7F" w:rsidRPr="0AB51537">
        <w:rPr>
          <w:rFonts w:cs="Arial"/>
        </w:rPr>
        <w:t xml:space="preserve"> </w:t>
      </w:r>
      <w:r w:rsidR="353AA0EB" w:rsidRPr="0AB51537">
        <w:rPr>
          <w:rFonts w:cs="Arial"/>
        </w:rPr>
        <w:t>be taken</w:t>
      </w:r>
      <w:r w:rsidR="5245297F" w:rsidRPr="0AB51537">
        <w:rPr>
          <w:rFonts w:cs="Arial"/>
        </w:rPr>
        <w:t>. H</w:t>
      </w:r>
      <w:r w:rsidR="353AA0EB" w:rsidRPr="0AB51537">
        <w:rPr>
          <w:rFonts w:cs="Arial"/>
        </w:rPr>
        <w:t>owever</w:t>
      </w:r>
      <w:r w:rsidR="5245297F" w:rsidRPr="0AB51537">
        <w:rPr>
          <w:rFonts w:cs="Arial"/>
        </w:rPr>
        <w:t>,</w:t>
      </w:r>
      <w:r w:rsidR="353AA0EB" w:rsidRPr="0AB51537">
        <w:rPr>
          <w:rFonts w:cs="Arial"/>
        </w:rPr>
        <w:t xml:space="preserve"> </w:t>
      </w:r>
      <w:r w:rsidR="00093D7F">
        <w:rPr>
          <w:rFonts w:cs="Arial"/>
        </w:rPr>
        <w:t>and this is critical, a victim-centred approach does not absolve the State of its obligations.</w:t>
      </w:r>
      <w:r w:rsidR="5CD19B7E">
        <w:rPr>
          <w:rFonts w:cs="Arial"/>
        </w:rPr>
        <w:t xml:space="preserve"> </w:t>
      </w:r>
      <w:r w:rsidR="7C6FEE5B">
        <w:t>T</w:t>
      </w:r>
      <w:r w:rsidR="69286B09">
        <w:t>o comply with Articles 2 and 3</w:t>
      </w:r>
      <w:r w:rsidR="2C05D17F">
        <w:t xml:space="preserve"> of the ECHR</w:t>
      </w:r>
      <w:r w:rsidR="69286B09">
        <w:t xml:space="preserve">, </w:t>
      </w:r>
      <w:r w:rsidR="5CD19B7E">
        <w:t>it remains imperative that the initial investigation satisfies the minimum threshold of effectiveness</w:t>
      </w:r>
      <w:r w:rsidR="54851080">
        <w:t>.</w:t>
      </w:r>
      <w:r w:rsidR="00D31D07">
        <w:rPr>
          <w:rStyle w:val="FootnoteReference"/>
        </w:rPr>
        <w:footnoteReference w:id="36"/>
      </w:r>
      <w:r w:rsidR="00093D7F">
        <w:t xml:space="preserve"> Thereafter, the process should be victim-centred. </w:t>
      </w:r>
    </w:p>
    <w:p w14:paraId="08D000C2" w14:textId="77777777" w:rsidR="00C32303" w:rsidRPr="002F2B00" w:rsidRDefault="00C32303" w:rsidP="00C32303">
      <w:pPr>
        <w:pStyle w:val="ListParagraph"/>
        <w:rPr>
          <w:rFonts w:cs="Arial"/>
          <w:szCs w:val="24"/>
        </w:rPr>
      </w:pPr>
    </w:p>
    <w:p w14:paraId="01383419" w14:textId="67A07568" w:rsidR="0003783D" w:rsidRDefault="00093D7F" w:rsidP="002A62EE">
      <w:pPr>
        <w:pStyle w:val="ListParagraph"/>
        <w:numPr>
          <w:ilvl w:val="1"/>
          <w:numId w:val="13"/>
        </w:numPr>
        <w:rPr>
          <w:rFonts w:cs="Arial"/>
        </w:rPr>
      </w:pPr>
      <w:r>
        <w:rPr>
          <w:rFonts w:cs="Arial"/>
        </w:rPr>
        <w:t>Within the criminal justice system</w:t>
      </w:r>
      <w:r w:rsidR="002A62EE">
        <w:rPr>
          <w:rFonts w:cs="Arial"/>
        </w:rPr>
        <w:t>,</w:t>
      </w:r>
      <w:r w:rsidR="710A8DCA" w:rsidRPr="002F2B00">
        <w:rPr>
          <w:rFonts w:cs="Arial"/>
        </w:rPr>
        <w:t xml:space="preserve"> t</w:t>
      </w:r>
      <w:r w:rsidR="1DAEEC7F" w:rsidRPr="002F2B00">
        <w:rPr>
          <w:rFonts w:cs="Arial"/>
        </w:rPr>
        <w:t xml:space="preserve">he word review is </w:t>
      </w:r>
      <w:r>
        <w:rPr>
          <w:rFonts w:cs="Arial"/>
        </w:rPr>
        <w:t>well-k</w:t>
      </w:r>
      <w:r w:rsidR="00131E00">
        <w:rPr>
          <w:rFonts w:cs="Arial"/>
        </w:rPr>
        <w:t>no</w:t>
      </w:r>
      <w:r>
        <w:rPr>
          <w:rFonts w:cs="Arial"/>
        </w:rPr>
        <w:t xml:space="preserve">wn and </w:t>
      </w:r>
      <w:r w:rsidR="1DAEEC7F" w:rsidRPr="002F2B00">
        <w:rPr>
          <w:rFonts w:cs="Arial"/>
        </w:rPr>
        <w:t xml:space="preserve">commonly used to mean an evaluation of the conduct of an enquiry. </w:t>
      </w:r>
      <w:r>
        <w:rPr>
          <w:rFonts w:cs="Arial"/>
        </w:rPr>
        <w:t>Similarly, an investigation is well-known and commonly used to mean an independent, effective investigation by law enforcement capable of holding perpetrators to account.</w:t>
      </w:r>
      <w:r w:rsidR="00E40D2A">
        <w:rPr>
          <w:rStyle w:val="FootnoteReference"/>
          <w:rFonts w:cs="Arial"/>
        </w:rPr>
        <w:footnoteReference w:id="37"/>
      </w:r>
      <w:r>
        <w:rPr>
          <w:rFonts w:cs="Arial"/>
        </w:rPr>
        <w:t xml:space="preserve"> </w:t>
      </w:r>
      <w:r w:rsidR="00715C8E">
        <w:rPr>
          <w:rFonts w:cs="Arial"/>
        </w:rPr>
        <w:t xml:space="preserve">The </w:t>
      </w:r>
      <w:r>
        <w:rPr>
          <w:rFonts w:cs="Arial"/>
        </w:rPr>
        <w:t>ECHR requires a</w:t>
      </w:r>
      <w:r w:rsidR="1DAEEC7F" w:rsidRPr="002F2B00">
        <w:rPr>
          <w:rFonts w:cs="Arial"/>
        </w:rPr>
        <w:t>n investigation</w:t>
      </w:r>
      <w:r>
        <w:rPr>
          <w:rFonts w:cs="Arial"/>
        </w:rPr>
        <w:t>.</w:t>
      </w:r>
      <w:r w:rsidR="1DAEEC7F" w:rsidRPr="002F2B00">
        <w:rPr>
          <w:rFonts w:cs="Arial"/>
        </w:rPr>
        <w:t xml:space="preserve"> </w:t>
      </w:r>
      <w:r w:rsidR="62CD0E9E" w:rsidRPr="002F2B00">
        <w:rPr>
          <w:rFonts w:cs="Arial"/>
        </w:rPr>
        <w:t xml:space="preserve">It merits repetition – an </w:t>
      </w:r>
      <w:r w:rsidR="1DAEEC7F" w:rsidRPr="002F2B00">
        <w:t>investigation must be independent and impartial, thorough, be of the State’s own motion, commence promptly, be conducted with reasonable expedition, and be subject to public scrutiny.</w:t>
      </w:r>
      <w:r w:rsidR="00B1273E" w:rsidRPr="002F2B00">
        <w:rPr>
          <w:rStyle w:val="FootnoteReference"/>
          <w:rFonts w:cs="Arial"/>
        </w:rPr>
        <w:footnoteReference w:id="38"/>
      </w:r>
      <w:r w:rsidR="1DAEEC7F" w:rsidRPr="002F2B00">
        <w:rPr>
          <w:rFonts w:cs="Arial"/>
        </w:rPr>
        <w:t xml:space="preserve"> An investigation’s conclusions “must be based on thorough, objective and impartial analysis of all relevant elements” and follow “an obvious line of inquiry”.</w:t>
      </w:r>
      <w:r w:rsidR="00B1273E" w:rsidRPr="002F2B00">
        <w:rPr>
          <w:rStyle w:val="FootnoteReference"/>
          <w:rFonts w:cs="Arial"/>
        </w:rPr>
        <w:footnoteReference w:id="39"/>
      </w:r>
      <w:r w:rsidR="1DAEEC7F" w:rsidRPr="002F2B00">
        <w:rPr>
          <w:rFonts w:cs="Arial"/>
        </w:rPr>
        <w:t xml:space="preserve"> </w:t>
      </w:r>
      <w:r w:rsidR="1F85AF52">
        <w:rPr>
          <w:rFonts w:cs="Arial"/>
        </w:rPr>
        <w:t xml:space="preserve">Depending on the investigation that has gone before, if any, there may be more </w:t>
      </w:r>
      <w:r w:rsidR="38D88557">
        <w:rPr>
          <w:rFonts w:cs="Arial"/>
        </w:rPr>
        <w:t>examination</w:t>
      </w:r>
      <w:r w:rsidR="5839E142">
        <w:rPr>
          <w:rFonts w:cs="Arial"/>
        </w:rPr>
        <w:t xml:space="preserve"> and inquiry</w:t>
      </w:r>
      <w:r w:rsidR="1F85AF52">
        <w:rPr>
          <w:rFonts w:cs="Arial"/>
        </w:rPr>
        <w:t xml:space="preserve"> required for one case than another, but the end goal remains the same. </w:t>
      </w:r>
      <w:r w:rsidR="1DAEEC7F" w:rsidRPr="002F2B00">
        <w:rPr>
          <w:rFonts w:cs="Arial"/>
        </w:rPr>
        <w:t>The investigation should seek to establish what happened,</w:t>
      </w:r>
      <w:r w:rsidR="00B1273E" w:rsidRPr="002F2B00">
        <w:rPr>
          <w:rStyle w:val="FootnoteReference"/>
          <w:rFonts w:cs="Arial"/>
        </w:rPr>
        <w:footnoteReference w:id="40"/>
      </w:r>
      <w:r w:rsidR="1DAEEC7F" w:rsidRPr="002F2B00">
        <w:rPr>
          <w:rFonts w:cs="Arial"/>
        </w:rPr>
        <w:t xml:space="preserve"> identify the perpetrator and hold the perpetrator to account,</w:t>
      </w:r>
      <w:r w:rsidR="00B1273E" w:rsidRPr="002F2B00">
        <w:rPr>
          <w:rStyle w:val="FootnoteReference"/>
          <w:rFonts w:cs="Arial"/>
        </w:rPr>
        <w:footnoteReference w:id="41"/>
      </w:r>
      <w:r w:rsidR="1DAEEC7F" w:rsidRPr="002F2B00">
        <w:rPr>
          <w:rFonts w:cs="Arial"/>
        </w:rPr>
        <w:t xml:space="preserve"> with a view to preventing future violations.</w:t>
      </w:r>
      <w:r w:rsidR="00B1273E" w:rsidRPr="002F2B00">
        <w:rPr>
          <w:rStyle w:val="FootnoteReference"/>
          <w:rFonts w:cs="Arial"/>
        </w:rPr>
        <w:footnoteReference w:id="42"/>
      </w:r>
      <w:r w:rsidR="3FB8EA0A" w:rsidRPr="002F2B00">
        <w:rPr>
          <w:rFonts w:cs="Arial"/>
        </w:rPr>
        <w:t xml:space="preserve"> </w:t>
      </w:r>
    </w:p>
    <w:p w14:paraId="5D77CFD8" w14:textId="77777777" w:rsidR="007406E4" w:rsidRPr="007406E4" w:rsidRDefault="007406E4" w:rsidP="007406E4">
      <w:pPr>
        <w:pStyle w:val="ListParagraph"/>
        <w:rPr>
          <w:rFonts w:cs="Arial"/>
        </w:rPr>
      </w:pPr>
    </w:p>
    <w:p w14:paraId="1ABCF10A" w14:textId="57BEE374" w:rsidR="007406E4" w:rsidRDefault="00540B57" w:rsidP="002A62EE">
      <w:pPr>
        <w:pStyle w:val="ListParagraph"/>
        <w:numPr>
          <w:ilvl w:val="1"/>
          <w:numId w:val="13"/>
        </w:numPr>
        <w:rPr>
          <w:rFonts w:cs="Arial"/>
        </w:rPr>
      </w:pPr>
      <w:r>
        <w:rPr>
          <w:rFonts w:cs="Arial"/>
        </w:rPr>
        <w:t>I</w:t>
      </w:r>
      <w:r w:rsidR="008C7A7F">
        <w:rPr>
          <w:rFonts w:cs="Arial"/>
        </w:rPr>
        <w:t xml:space="preserve">t was a </w:t>
      </w:r>
      <w:r w:rsidR="39C96C52">
        <w:rPr>
          <w:rFonts w:cs="Arial"/>
        </w:rPr>
        <w:t>welcome</w:t>
      </w:r>
      <w:r w:rsidR="008C7A7F">
        <w:rPr>
          <w:rFonts w:cs="Arial"/>
        </w:rPr>
        <w:t xml:space="preserve"> amendment to the </w:t>
      </w:r>
      <w:r w:rsidR="39C96C52">
        <w:rPr>
          <w:rFonts w:cs="Arial"/>
        </w:rPr>
        <w:t xml:space="preserve">2023 Act </w:t>
      </w:r>
      <w:r w:rsidR="008C7A7F">
        <w:rPr>
          <w:rFonts w:cs="Arial"/>
        </w:rPr>
        <w:t xml:space="preserve">that </w:t>
      </w:r>
      <w:r w:rsidR="00A06877">
        <w:rPr>
          <w:rFonts w:cs="Arial"/>
        </w:rPr>
        <w:t xml:space="preserve">the </w:t>
      </w:r>
      <w:r w:rsidR="7E748AE4">
        <w:rPr>
          <w:rFonts w:cs="Arial"/>
        </w:rPr>
        <w:t>Commissioner for Investigations</w:t>
      </w:r>
      <w:r w:rsidR="00A06877">
        <w:rPr>
          <w:rFonts w:cs="Arial"/>
        </w:rPr>
        <w:t xml:space="preserve"> has </w:t>
      </w:r>
      <w:r w:rsidR="115C0B0E">
        <w:rPr>
          <w:rFonts w:cs="Arial"/>
        </w:rPr>
        <w:t xml:space="preserve">the powers </w:t>
      </w:r>
      <w:r w:rsidR="7E748AE4">
        <w:rPr>
          <w:rFonts w:cs="Arial"/>
        </w:rPr>
        <w:t xml:space="preserve">and privileges </w:t>
      </w:r>
      <w:r w:rsidR="115C0B0E">
        <w:rPr>
          <w:rFonts w:cs="Arial"/>
        </w:rPr>
        <w:t>of a constable</w:t>
      </w:r>
      <w:r w:rsidR="00A06877">
        <w:rPr>
          <w:rFonts w:cs="Arial"/>
        </w:rPr>
        <w:t xml:space="preserve"> and can designate others,</w:t>
      </w:r>
      <w:r w:rsidR="001804BE">
        <w:rPr>
          <w:rStyle w:val="FootnoteReference"/>
          <w:rFonts w:cs="Arial"/>
        </w:rPr>
        <w:footnoteReference w:id="43"/>
      </w:r>
      <w:r w:rsidR="7E748AE4">
        <w:rPr>
          <w:rFonts w:cs="Arial"/>
        </w:rPr>
        <w:t xml:space="preserve"> </w:t>
      </w:r>
      <w:r w:rsidR="00A06877">
        <w:rPr>
          <w:rFonts w:cs="Arial"/>
        </w:rPr>
        <w:t xml:space="preserve">but there is nothing </w:t>
      </w:r>
      <w:r w:rsidR="4B9B4124">
        <w:rPr>
          <w:rFonts w:cs="Arial"/>
        </w:rPr>
        <w:t xml:space="preserve">in the </w:t>
      </w:r>
      <w:r w:rsidR="7CC8C4B3">
        <w:rPr>
          <w:rFonts w:cs="Arial"/>
        </w:rPr>
        <w:t xml:space="preserve">2023 </w:t>
      </w:r>
      <w:r w:rsidR="4B9B4124">
        <w:rPr>
          <w:rFonts w:cs="Arial"/>
        </w:rPr>
        <w:t xml:space="preserve">Act as to </w:t>
      </w:r>
      <w:r w:rsidR="0D7D77FA">
        <w:rPr>
          <w:rFonts w:cs="Arial"/>
        </w:rPr>
        <w:t xml:space="preserve">how </w:t>
      </w:r>
      <w:r w:rsidR="00C9706E">
        <w:rPr>
          <w:rFonts w:cs="Arial"/>
        </w:rPr>
        <w:t>this will occur.</w:t>
      </w:r>
      <w:r w:rsidR="4B9B4124" w:rsidRPr="00E42640" w:rsidDel="00C9706E">
        <w:rPr>
          <w:rFonts w:cs="Arial"/>
        </w:rPr>
        <w:t xml:space="preserve"> </w:t>
      </w:r>
      <w:r w:rsidR="2E85759B">
        <w:rPr>
          <w:rFonts w:cs="Arial"/>
        </w:rPr>
        <w:t xml:space="preserve">While it is acknowledged that recent policy documents published by the ICRIR </w:t>
      </w:r>
      <w:r w:rsidR="22F0CF42">
        <w:rPr>
          <w:rFonts w:cs="Arial"/>
        </w:rPr>
        <w:t>indicate</w:t>
      </w:r>
      <w:r w:rsidR="2E85759B">
        <w:rPr>
          <w:rFonts w:cs="Arial"/>
        </w:rPr>
        <w:t xml:space="preserve"> it “is seeking ways to ensure compliance with the [ECHR]”,</w:t>
      </w:r>
      <w:r w:rsidR="001A0B3E">
        <w:rPr>
          <w:rStyle w:val="FootnoteReference"/>
          <w:rFonts w:cs="Arial"/>
        </w:rPr>
        <w:footnoteReference w:id="44"/>
      </w:r>
      <w:r w:rsidR="2E85759B">
        <w:rPr>
          <w:rFonts w:cs="Arial"/>
        </w:rPr>
        <w:t xml:space="preserve"> </w:t>
      </w:r>
      <w:r w:rsidR="4B9B4124">
        <w:rPr>
          <w:rFonts w:cs="Arial"/>
        </w:rPr>
        <w:t>the NIHRC</w:t>
      </w:r>
      <w:r w:rsidR="3B77A8D7">
        <w:rPr>
          <w:rFonts w:cs="Arial"/>
        </w:rPr>
        <w:t xml:space="preserve"> </w:t>
      </w:r>
      <w:r w:rsidR="29F7D0EE">
        <w:rPr>
          <w:rFonts w:cs="Arial"/>
        </w:rPr>
        <w:t>is</w:t>
      </w:r>
      <w:r w:rsidR="081F0A09">
        <w:rPr>
          <w:rFonts w:cs="Arial"/>
        </w:rPr>
        <w:t xml:space="preserve"> concerned by</w:t>
      </w:r>
      <w:r w:rsidR="3B77A8D7">
        <w:rPr>
          <w:rFonts w:cs="Arial"/>
        </w:rPr>
        <w:t xml:space="preserve"> the lack of</w:t>
      </w:r>
      <w:r w:rsidR="1A206E34">
        <w:rPr>
          <w:rFonts w:cs="Arial"/>
        </w:rPr>
        <w:t xml:space="preserve"> </w:t>
      </w:r>
      <w:r w:rsidR="1532FEBE">
        <w:rPr>
          <w:rFonts w:cs="Arial"/>
        </w:rPr>
        <w:t xml:space="preserve">express </w:t>
      </w:r>
      <w:r w:rsidR="3EA1F1DA">
        <w:rPr>
          <w:rFonts w:cs="Arial"/>
        </w:rPr>
        <w:t>requirement</w:t>
      </w:r>
      <w:r w:rsidR="0D7D77FA">
        <w:rPr>
          <w:rFonts w:cs="Arial"/>
        </w:rPr>
        <w:t xml:space="preserve"> that these powers </w:t>
      </w:r>
      <w:r w:rsidR="3EA1F1DA">
        <w:rPr>
          <w:rFonts w:cs="Arial"/>
        </w:rPr>
        <w:t>are</w:t>
      </w:r>
      <w:r w:rsidR="0D7D77FA">
        <w:rPr>
          <w:rFonts w:cs="Arial"/>
        </w:rPr>
        <w:t xml:space="preserve"> </w:t>
      </w:r>
      <w:r w:rsidR="1532FEBE">
        <w:rPr>
          <w:rFonts w:cs="Arial"/>
        </w:rPr>
        <w:t xml:space="preserve">designated and exercised </w:t>
      </w:r>
      <w:r w:rsidR="3EA1F1DA">
        <w:rPr>
          <w:rFonts w:cs="Arial"/>
        </w:rPr>
        <w:t>as</w:t>
      </w:r>
      <w:r w:rsidR="17CF4F0E">
        <w:rPr>
          <w:rFonts w:cs="Arial"/>
        </w:rPr>
        <w:t xml:space="preserve"> required to ensure an investigation is compliant with Articles 2 and 3 of the ECHR</w:t>
      </w:r>
      <w:r w:rsidR="3EA1F1DA">
        <w:rPr>
          <w:rFonts w:cs="Arial"/>
        </w:rPr>
        <w:t>.</w:t>
      </w:r>
      <w:r w:rsidR="36FCF52D">
        <w:rPr>
          <w:rFonts w:cs="Arial"/>
        </w:rPr>
        <w:t xml:space="preserve"> </w:t>
      </w:r>
      <w:r w:rsidR="1B0D742B">
        <w:rPr>
          <w:rFonts w:cs="Arial"/>
        </w:rPr>
        <w:t xml:space="preserve">The High Court of Justice NI noted that “the difficulty for the court is that much is left unsaid in the </w:t>
      </w:r>
      <w:r w:rsidR="3BD0A57A">
        <w:rPr>
          <w:rFonts w:cs="Arial"/>
        </w:rPr>
        <w:t xml:space="preserve">[2023] </w:t>
      </w:r>
      <w:r w:rsidR="1B0D742B">
        <w:rPr>
          <w:rFonts w:cs="Arial"/>
        </w:rPr>
        <w:t xml:space="preserve">Act”, further </w:t>
      </w:r>
      <w:r w:rsidR="0D915824">
        <w:rPr>
          <w:rFonts w:cs="Arial"/>
        </w:rPr>
        <w:t xml:space="preserve">remarking </w:t>
      </w:r>
      <w:r w:rsidR="1B0D742B">
        <w:rPr>
          <w:rFonts w:cs="Arial"/>
        </w:rPr>
        <w:t>that the Commissioner for Investigations “enjoys a very wide discretion” as to the conduct of reviews.</w:t>
      </w:r>
      <w:r w:rsidR="00F3685F">
        <w:rPr>
          <w:rStyle w:val="FootnoteReference"/>
          <w:rFonts w:cs="Arial"/>
        </w:rPr>
        <w:footnoteReference w:id="45"/>
      </w:r>
      <w:r w:rsidR="00C9706E">
        <w:rPr>
          <w:rFonts w:cs="Arial"/>
        </w:rPr>
        <w:t xml:space="preserve"> </w:t>
      </w:r>
    </w:p>
    <w:p w14:paraId="7DF29E7E" w14:textId="77777777" w:rsidR="00D84F9E" w:rsidRPr="00D84F9E" w:rsidRDefault="00D84F9E" w:rsidP="007B497B">
      <w:pPr>
        <w:pStyle w:val="ListParagraph"/>
        <w:rPr>
          <w:rFonts w:cs="Arial"/>
        </w:rPr>
      </w:pPr>
    </w:p>
    <w:p w14:paraId="5FC75AC8" w14:textId="15290F4F" w:rsidR="00D84F9E" w:rsidRDefault="1B0D742B" w:rsidP="002A62EE">
      <w:pPr>
        <w:pStyle w:val="ListParagraph"/>
        <w:numPr>
          <w:ilvl w:val="1"/>
          <w:numId w:val="13"/>
        </w:numPr>
        <w:rPr>
          <w:rFonts w:cs="Arial"/>
        </w:rPr>
      </w:pPr>
      <w:r w:rsidRPr="05FC8414">
        <w:rPr>
          <w:rFonts w:cs="Arial"/>
        </w:rPr>
        <w:t xml:space="preserve">Furthermore, </w:t>
      </w:r>
      <w:r w:rsidR="1F6686A0" w:rsidRPr="05FC8414">
        <w:rPr>
          <w:rFonts w:cs="Arial"/>
        </w:rPr>
        <w:t>t</w:t>
      </w:r>
      <w:r w:rsidR="61462247" w:rsidRPr="05FC8414">
        <w:rPr>
          <w:rFonts w:cs="Arial"/>
        </w:rPr>
        <w:t xml:space="preserve">he High Court </w:t>
      </w:r>
      <w:r w:rsidR="1F6686A0" w:rsidRPr="05FC8414">
        <w:rPr>
          <w:rFonts w:cs="Arial"/>
        </w:rPr>
        <w:t>state</w:t>
      </w:r>
      <w:r w:rsidR="099DBD9E" w:rsidRPr="05FC8414">
        <w:rPr>
          <w:rFonts w:cs="Arial"/>
        </w:rPr>
        <w:t>d</w:t>
      </w:r>
      <w:r w:rsidR="3BD0A57A" w:rsidRPr="05FC8414">
        <w:rPr>
          <w:rFonts w:cs="Arial"/>
        </w:rPr>
        <w:t xml:space="preserve"> that:</w:t>
      </w:r>
      <w:r w:rsidR="1F6686A0" w:rsidRPr="05FC8414">
        <w:rPr>
          <w:rFonts w:cs="Arial"/>
        </w:rPr>
        <w:t xml:space="preserve"> </w:t>
      </w:r>
    </w:p>
    <w:p w14:paraId="463E7181" w14:textId="77777777" w:rsidR="001E1F2C" w:rsidRDefault="001E1F2C" w:rsidP="001E1F2C">
      <w:pPr>
        <w:ind w:left="993"/>
      </w:pPr>
    </w:p>
    <w:p w14:paraId="05C2DB46" w14:textId="3EE94DD4" w:rsidR="00115912" w:rsidRDefault="00492D02" w:rsidP="005E7685">
      <w:pPr>
        <w:ind w:left="993"/>
      </w:pPr>
      <w:r>
        <w:t>f</w:t>
      </w:r>
      <w:r w:rsidR="007145CC">
        <w:t xml:space="preserve">ocusing on the question of the reviews, </w:t>
      </w:r>
      <w:r w:rsidR="001E1F2C">
        <w:t>they stand in contrast to the current inquest system where hearings are conducted in public, in the context of full legal representation of all those involved, including the next of kin, who have access to materials, who can engage expert evidence, who can call and cross-examine witnesses and who ultimately obtain a detailed narrative verdict from a coroner</w:t>
      </w:r>
      <w:r w:rsidR="006B39BB">
        <w:t>.</w:t>
      </w:r>
      <w:r w:rsidR="00115912">
        <w:rPr>
          <w:rStyle w:val="FootnoteReference"/>
        </w:rPr>
        <w:footnoteReference w:id="46"/>
      </w:r>
      <w:r w:rsidR="001F62BD">
        <w:t xml:space="preserve"> </w:t>
      </w:r>
    </w:p>
    <w:p w14:paraId="2978B495" w14:textId="77777777" w:rsidR="005E7685" w:rsidRPr="00115912" w:rsidRDefault="005E7685" w:rsidP="005E7685">
      <w:pPr>
        <w:ind w:left="993"/>
      </w:pPr>
    </w:p>
    <w:p w14:paraId="414D6B46" w14:textId="63EE9CF6" w:rsidR="002A63D7" w:rsidRDefault="27CE839C" w:rsidP="002A62EE">
      <w:pPr>
        <w:pStyle w:val="ListParagraph"/>
        <w:numPr>
          <w:ilvl w:val="1"/>
          <w:numId w:val="13"/>
        </w:numPr>
        <w:rPr>
          <w:rFonts w:cs="Arial"/>
        </w:rPr>
      </w:pPr>
      <w:r w:rsidRPr="05FC8414">
        <w:rPr>
          <w:rFonts w:cs="Arial"/>
        </w:rPr>
        <w:t>Despite ultimately finding that the 2023 Act leave</w:t>
      </w:r>
      <w:r w:rsidR="5D9C8ED4" w:rsidRPr="05FC8414">
        <w:rPr>
          <w:rFonts w:cs="Arial"/>
        </w:rPr>
        <w:t>s</w:t>
      </w:r>
      <w:r w:rsidRPr="05FC8414">
        <w:rPr>
          <w:rFonts w:cs="Arial"/>
        </w:rPr>
        <w:t xml:space="preserve"> sufficient scope for the </w:t>
      </w:r>
      <w:r w:rsidR="62EB48A6" w:rsidRPr="05FC8414">
        <w:rPr>
          <w:rFonts w:cs="Arial"/>
        </w:rPr>
        <w:t>ICRIR to conduct ECHR compliant investigations,</w:t>
      </w:r>
      <w:r w:rsidR="00C30376">
        <w:rPr>
          <w:rStyle w:val="FootnoteReference"/>
          <w:rFonts w:cs="Arial"/>
        </w:rPr>
        <w:footnoteReference w:id="47"/>
      </w:r>
      <w:r w:rsidR="62EB48A6" w:rsidRPr="05FC8414">
        <w:rPr>
          <w:rFonts w:cs="Arial"/>
        </w:rPr>
        <w:t xml:space="preserve"> </w:t>
      </w:r>
      <w:r w:rsidR="6D82555B" w:rsidRPr="05FC8414">
        <w:rPr>
          <w:rFonts w:cs="Arial"/>
        </w:rPr>
        <w:t xml:space="preserve">Justice Colton </w:t>
      </w:r>
      <w:r w:rsidR="62EB48A6" w:rsidRPr="05FC8414">
        <w:rPr>
          <w:rFonts w:cs="Arial"/>
        </w:rPr>
        <w:t>specifically note</w:t>
      </w:r>
      <w:r w:rsidR="580C9324" w:rsidRPr="05FC8414">
        <w:rPr>
          <w:rFonts w:cs="Arial"/>
        </w:rPr>
        <w:t>d that:</w:t>
      </w:r>
      <w:r w:rsidR="6D82555B" w:rsidRPr="05FC8414">
        <w:rPr>
          <w:rFonts w:cs="Arial"/>
        </w:rPr>
        <w:t xml:space="preserve"> </w:t>
      </w:r>
    </w:p>
    <w:p w14:paraId="14709BEB" w14:textId="77777777" w:rsidR="00FD2BC5" w:rsidRDefault="00FD2BC5" w:rsidP="005E7685">
      <w:pPr>
        <w:pStyle w:val="ListParagraph"/>
        <w:rPr>
          <w:rFonts w:cs="Arial"/>
        </w:rPr>
      </w:pPr>
    </w:p>
    <w:p w14:paraId="3133323D" w14:textId="2C9C5C29" w:rsidR="00C7046B" w:rsidRDefault="00116D88" w:rsidP="005E7685">
      <w:pPr>
        <w:pStyle w:val="ListParagraph"/>
        <w:ind w:left="993"/>
        <w:rPr>
          <w:rFonts w:cs="Arial"/>
        </w:rPr>
      </w:pPr>
      <w:r w:rsidRPr="00116D88">
        <w:rPr>
          <w:rFonts w:cs="Arial"/>
        </w:rPr>
        <w:t xml:space="preserve">I am also sensitive to the fact that many families have been promised inquests as a means to an </w:t>
      </w:r>
      <w:proofErr w:type="gramStart"/>
      <w:r w:rsidR="003E412B">
        <w:rPr>
          <w:rFonts w:cs="Arial"/>
        </w:rPr>
        <w:t>A</w:t>
      </w:r>
      <w:r w:rsidRPr="00116D88">
        <w:rPr>
          <w:rFonts w:cs="Arial"/>
        </w:rPr>
        <w:t>rticle</w:t>
      </w:r>
      <w:proofErr w:type="gramEnd"/>
      <w:r w:rsidRPr="00116D88">
        <w:rPr>
          <w:rFonts w:cs="Arial"/>
        </w:rPr>
        <w:t xml:space="preserve"> 2</w:t>
      </w:r>
      <w:r w:rsidR="003E412B">
        <w:rPr>
          <w:rFonts w:cs="Arial"/>
        </w:rPr>
        <w:t xml:space="preserve"> [of the ECHR]</w:t>
      </w:r>
      <w:r w:rsidRPr="00116D88">
        <w:rPr>
          <w:rFonts w:cs="Arial"/>
        </w:rPr>
        <w:t xml:space="preserve"> compliant investigation into the death of their loved ones. For </w:t>
      </w:r>
      <w:r w:rsidRPr="00116D88">
        <w:rPr>
          <w:rFonts w:cs="Arial"/>
        </w:rPr>
        <w:lastRenderedPageBreak/>
        <w:t>many that promise will be broken. Their much sought after opportunity, in the form of an inquest, will be denied.</w:t>
      </w:r>
      <w:r w:rsidRPr="00116D88">
        <w:rPr>
          <w:rFonts w:cs="Arial"/>
          <w:vertAlign w:val="superscript"/>
        </w:rPr>
        <w:footnoteReference w:id="48"/>
      </w:r>
    </w:p>
    <w:p w14:paraId="076D1C72" w14:textId="74C76DD4" w:rsidR="00C7046B" w:rsidRDefault="002868CD" w:rsidP="004D4DB2">
      <w:pPr>
        <w:rPr>
          <w:rFonts w:cs="Arial"/>
        </w:rPr>
      </w:pPr>
      <w:r>
        <w:rPr>
          <w:rFonts w:cs="Arial"/>
        </w:rPr>
        <w:tab/>
      </w:r>
    </w:p>
    <w:p w14:paraId="7A0BEE73" w14:textId="0F05FC2D" w:rsidR="0081473E" w:rsidRPr="0081473E" w:rsidRDefault="0081473E" w:rsidP="0081473E">
      <w:pPr>
        <w:pStyle w:val="ListParagraph"/>
        <w:numPr>
          <w:ilvl w:val="1"/>
          <w:numId w:val="13"/>
        </w:numPr>
        <w:rPr>
          <w:rStyle w:val="cf01"/>
          <w:rFonts w:ascii="Verdana" w:hAnsi="Verdana" w:cs="Arial"/>
          <w:sz w:val="24"/>
          <w:szCs w:val="24"/>
        </w:rPr>
      </w:pPr>
      <w:r w:rsidRPr="0081473E">
        <w:rPr>
          <w:rStyle w:val="cf01"/>
          <w:rFonts w:ascii="Verdana" w:hAnsi="Verdana"/>
          <w:sz w:val="24"/>
          <w:szCs w:val="24"/>
        </w:rPr>
        <w:t>As above, the NIHRC refutes the suggestion that policy or intention can cure defects in the legislation</w:t>
      </w:r>
      <w:r w:rsidR="009404F3">
        <w:rPr>
          <w:rStyle w:val="cf01"/>
          <w:rFonts w:ascii="Verdana" w:hAnsi="Verdana"/>
          <w:sz w:val="24"/>
          <w:szCs w:val="24"/>
        </w:rPr>
        <w:t>,</w:t>
      </w:r>
      <w:r w:rsidRPr="0081473E">
        <w:rPr>
          <w:rStyle w:val="cf01"/>
          <w:rFonts w:ascii="Verdana" w:hAnsi="Verdana"/>
          <w:sz w:val="24"/>
          <w:szCs w:val="24"/>
        </w:rPr>
        <w:t xml:space="preserve"> which make the ICRIR incapable as a matter of law of carrying out effective investigations.</w:t>
      </w:r>
    </w:p>
    <w:p w14:paraId="2CA3AB71" w14:textId="77777777" w:rsidR="0081473E" w:rsidRDefault="0081473E" w:rsidP="0081473E">
      <w:pPr>
        <w:pStyle w:val="ListParagraph"/>
        <w:rPr>
          <w:rFonts w:cs="Arial"/>
        </w:rPr>
      </w:pPr>
    </w:p>
    <w:p w14:paraId="08C66E70" w14:textId="6A23CA11" w:rsidR="00B1273E" w:rsidRPr="002F2B00" w:rsidRDefault="5F147270" w:rsidP="002A62EE">
      <w:pPr>
        <w:pStyle w:val="ListParagraph"/>
        <w:numPr>
          <w:ilvl w:val="1"/>
          <w:numId w:val="13"/>
        </w:numPr>
        <w:rPr>
          <w:rFonts w:cs="Arial"/>
        </w:rPr>
      </w:pPr>
      <w:r w:rsidRPr="05FC8414">
        <w:rPr>
          <w:rFonts w:cs="Arial"/>
        </w:rPr>
        <w:t>T</w:t>
      </w:r>
      <w:r w:rsidR="3FB8EA0A" w:rsidRPr="05FC8414">
        <w:rPr>
          <w:rFonts w:cs="Arial"/>
        </w:rPr>
        <w:t xml:space="preserve">he intergenerational </w:t>
      </w:r>
      <w:r w:rsidR="47A61A98" w:rsidRPr="05FC8414">
        <w:rPr>
          <w:rFonts w:cs="Arial"/>
        </w:rPr>
        <w:t xml:space="preserve">and transgenerational </w:t>
      </w:r>
      <w:r w:rsidR="3FB8EA0A" w:rsidRPr="05FC8414">
        <w:rPr>
          <w:rFonts w:cs="Arial"/>
        </w:rPr>
        <w:t>aspect</w:t>
      </w:r>
      <w:r w:rsidR="47A61A98" w:rsidRPr="05FC8414">
        <w:rPr>
          <w:rFonts w:cs="Arial"/>
        </w:rPr>
        <w:t>s</w:t>
      </w:r>
      <w:r w:rsidR="3FB8EA0A" w:rsidRPr="05FC8414">
        <w:rPr>
          <w:rFonts w:cs="Arial"/>
        </w:rPr>
        <w:t xml:space="preserve"> of conflict</w:t>
      </w:r>
      <w:r w:rsidR="1695BEE1" w:rsidRPr="05FC8414">
        <w:rPr>
          <w:rFonts w:cs="Arial"/>
        </w:rPr>
        <w:t>, both in terms of its effects and potential replications, is an added factor that</w:t>
      </w:r>
      <w:r w:rsidR="0A1E791E" w:rsidRPr="05FC8414">
        <w:rPr>
          <w:rFonts w:cs="Arial"/>
        </w:rPr>
        <w:t xml:space="preserve"> enhances the importance of</w:t>
      </w:r>
      <w:r w:rsidR="1695BEE1" w:rsidRPr="05FC8414">
        <w:rPr>
          <w:rFonts w:cs="Arial"/>
        </w:rPr>
        <w:t xml:space="preserve"> establishing the truth</w:t>
      </w:r>
      <w:r w:rsidR="021A4028" w:rsidRPr="05FC8414">
        <w:rPr>
          <w:rFonts w:cs="Arial"/>
        </w:rPr>
        <w:t xml:space="preserve">, ensuring </w:t>
      </w:r>
      <w:proofErr w:type="gramStart"/>
      <w:r w:rsidR="021A4028" w:rsidRPr="05FC8414">
        <w:rPr>
          <w:rFonts w:cs="Arial"/>
        </w:rPr>
        <w:t>accountability</w:t>
      </w:r>
      <w:proofErr w:type="gramEnd"/>
      <w:r w:rsidR="1695BEE1" w:rsidRPr="05FC8414">
        <w:rPr>
          <w:rFonts w:cs="Arial"/>
        </w:rPr>
        <w:t xml:space="preserve"> and preventing future violations.</w:t>
      </w:r>
      <w:r w:rsidR="3E35553F" w:rsidRPr="05FC8414">
        <w:rPr>
          <w:rFonts w:cs="Arial"/>
        </w:rPr>
        <w:t xml:space="preserve"> A study by Queen’s University Belfast has found that:</w:t>
      </w:r>
    </w:p>
    <w:p w14:paraId="14487942" w14:textId="77777777" w:rsidR="0097197E" w:rsidRPr="002F2B00" w:rsidRDefault="0097197E" w:rsidP="0097197E">
      <w:pPr>
        <w:pStyle w:val="ListParagraph"/>
      </w:pPr>
    </w:p>
    <w:p w14:paraId="5DFED544" w14:textId="317F0C48" w:rsidR="0097197E" w:rsidRPr="002F2B00" w:rsidRDefault="0097197E" w:rsidP="00F51D6C">
      <w:pPr>
        <w:pStyle w:val="Quote"/>
      </w:pPr>
      <w:r w:rsidRPr="002F2B00">
        <w:t xml:space="preserve">the effects of harm (broadly defined) and the experience of injustice carried by a particular generation can, if not addressed or resolved, be passed on to the next generation to produce a range of social and psychological pathologies, such as </w:t>
      </w:r>
      <w:r w:rsidRPr="002F2B00" w:rsidDel="00B83B96">
        <w:t>self</w:t>
      </w:r>
      <w:r w:rsidR="00B83B96" w:rsidRPr="002F2B00">
        <w:t>-harm</w:t>
      </w:r>
      <w:r w:rsidRPr="002F2B00">
        <w:t xml:space="preserve">, suicide, anti-social behaviour, </w:t>
      </w:r>
      <w:proofErr w:type="gramStart"/>
      <w:r w:rsidRPr="002F2B00">
        <w:t>anomie</w:t>
      </w:r>
      <w:proofErr w:type="gramEnd"/>
      <w:r w:rsidRPr="002F2B00">
        <w:t xml:space="preserve"> and inter-personal violence.</w:t>
      </w:r>
      <w:r w:rsidR="00F51D6C" w:rsidRPr="002F2B00">
        <w:rPr>
          <w:rStyle w:val="FootnoteReference"/>
        </w:rPr>
        <w:footnoteReference w:id="49"/>
      </w:r>
    </w:p>
    <w:p w14:paraId="7D3B25A4" w14:textId="77777777" w:rsidR="009E6B91" w:rsidRPr="002F2B00" w:rsidRDefault="009E6B91" w:rsidP="009E6B91">
      <w:pPr>
        <w:pStyle w:val="ListParagraph"/>
      </w:pPr>
    </w:p>
    <w:p w14:paraId="67435684" w14:textId="347CE891" w:rsidR="00B77C6B" w:rsidRDefault="62CD0E9E" w:rsidP="002A62EE">
      <w:pPr>
        <w:pStyle w:val="ListParagraph"/>
        <w:numPr>
          <w:ilvl w:val="1"/>
          <w:numId w:val="13"/>
        </w:numPr>
      </w:pPr>
      <w:r w:rsidRPr="002F2B00">
        <w:t xml:space="preserve">The </w:t>
      </w:r>
      <w:r w:rsidR="1DD0DEE2" w:rsidRPr="002F2B00">
        <w:t>NIHRC</w:t>
      </w:r>
      <w:r w:rsidRPr="002F2B00">
        <w:t xml:space="preserve"> </w:t>
      </w:r>
      <w:r w:rsidR="00B83B96">
        <w:t>knows</w:t>
      </w:r>
      <w:r w:rsidR="23DE95DD" w:rsidRPr="002F2B00">
        <w:t xml:space="preserve"> that truth and accountability </w:t>
      </w:r>
      <w:r w:rsidR="00B83B96">
        <w:t>are</w:t>
      </w:r>
      <w:r w:rsidR="00B83B96" w:rsidRPr="002F2B00">
        <w:t xml:space="preserve"> </w:t>
      </w:r>
      <w:r w:rsidR="00395027">
        <w:t>also</w:t>
      </w:r>
      <w:r w:rsidR="23DE95DD" w:rsidRPr="002F2B00">
        <w:t xml:space="preserve"> important for </w:t>
      </w:r>
      <w:r w:rsidR="53D09E9A" w:rsidRPr="002F2B00">
        <w:t>family members from later generations</w:t>
      </w:r>
      <w:r w:rsidR="00395027">
        <w:t>.</w:t>
      </w:r>
      <w:r w:rsidR="00A4732C" w:rsidRPr="002F2B00">
        <w:rPr>
          <w:rStyle w:val="FootnoteReference"/>
        </w:rPr>
        <w:footnoteReference w:id="50"/>
      </w:r>
      <w:r w:rsidR="4DEA78C0" w:rsidRPr="002F2B00">
        <w:t xml:space="preserve"> It has been stated </w:t>
      </w:r>
      <w:r w:rsidR="46379BC7" w:rsidRPr="002F2B00">
        <w:t xml:space="preserve">from a </w:t>
      </w:r>
      <w:proofErr w:type="gramStart"/>
      <w:r w:rsidR="708E28A7" w:rsidRPr="002F2B00">
        <w:t>victims</w:t>
      </w:r>
      <w:proofErr w:type="gramEnd"/>
      <w:r w:rsidR="708E28A7" w:rsidRPr="002F2B00">
        <w:t xml:space="preserve"> and survivors </w:t>
      </w:r>
      <w:r w:rsidR="46379BC7" w:rsidRPr="002F2B00">
        <w:t xml:space="preserve">perspective </w:t>
      </w:r>
      <w:r w:rsidR="4DEA78C0" w:rsidRPr="002F2B00">
        <w:t xml:space="preserve">that </w:t>
      </w:r>
      <w:r w:rsidR="46379BC7" w:rsidRPr="002F2B00">
        <w:t>“</w:t>
      </w:r>
      <w:r w:rsidR="708E28A7" w:rsidRPr="002F2B00">
        <w:t xml:space="preserve">legacy should be addressed appropriately and properly, and that we should </w:t>
      </w:r>
      <w:r w:rsidR="4DEA78C0" w:rsidRPr="002F2B00">
        <w:t>free our next generation from carrying the injustice of the past by having a properly resourced and fully independent process</w:t>
      </w:r>
      <w:r w:rsidR="46379BC7" w:rsidRPr="002F2B00">
        <w:t>”.</w:t>
      </w:r>
      <w:r w:rsidR="00620872" w:rsidRPr="002F2B00">
        <w:rPr>
          <w:rStyle w:val="FootnoteReference"/>
        </w:rPr>
        <w:footnoteReference w:id="51"/>
      </w:r>
    </w:p>
    <w:p w14:paraId="02A39E4D" w14:textId="77777777" w:rsidR="00AA2FC7" w:rsidRDefault="00AA2FC7" w:rsidP="00AA2FC7">
      <w:pPr>
        <w:pStyle w:val="ListParagraph"/>
      </w:pPr>
    </w:p>
    <w:p w14:paraId="59FCAE89" w14:textId="03A69AE0" w:rsidR="00AA2FC7" w:rsidRDefault="2A8D3F92" w:rsidP="002A62EE">
      <w:pPr>
        <w:pStyle w:val="ListParagraph"/>
        <w:numPr>
          <w:ilvl w:val="1"/>
          <w:numId w:val="13"/>
        </w:numPr>
      </w:pPr>
      <w:r>
        <w:t xml:space="preserve">In February 2024, the UN Human Rights Committee highlighted its concern with “the weakness of the </w:t>
      </w:r>
      <w:r w:rsidR="00F279EF">
        <w:t>’</w:t>
      </w:r>
      <w:r>
        <w:t>review</w:t>
      </w:r>
      <w:r w:rsidR="00F279EF">
        <w:t>’</w:t>
      </w:r>
      <w:r>
        <w:t xml:space="preserve"> function” of the ICRIR</w:t>
      </w:r>
      <w:r w:rsidR="75A82EC0">
        <w:t xml:space="preserve">” </w:t>
      </w:r>
      <w:r w:rsidR="00884D49">
        <w:t>because it had the potential to undermine</w:t>
      </w:r>
      <w:r w:rsidR="56EA1F96">
        <w:t xml:space="preserve"> </w:t>
      </w:r>
      <w:r>
        <w:t xml:space="preserve">the right to truth for victims, and </w:t>
      </w:r>
      <w:r w:rsidR="56EA1F96">
        <w:t>“</w:t>
      </w:r>
      <w:r>
        <w:t>the procedural barriers and obstacles to criminal investigations, civil suits, and other remedies, effectively stifling any criminal or civil proceedings connected to the troubles”.</w:t>
      </w:r>
      <w:r w:rsidR="00AA2FC7">
        <w:rPr>
          <w:rStyle w:val="FootnoteReference"/>
        </w:rPr>
        <w:footnoteReference w:id="52"/>
      </w:r>
      <w:r>
        <w:t xml:space="preserve"> The UN Human Rights Committee recommend</w:t>
      </w:r>
      <w:r w:rsidR="00884D49">
        <w:t>ed</w:t>
      </w:r>
      <w:r>
        <w:t xml:space="preserve"> that the UK Government</w:t>
      </w:r>
      <w:r w:rsidR="5F0CFAA4">
        <w:t>:</w:t>
      </w:r>
    </w:p>
    <w:p w14:paraId="4DC0B150" w14:textId="77777777" w:rsidR="00AA2FC7" w:rsidRDefault="00AA2FC7" w:rsidP="00AA2FC7">
      <w:pPr>
        <w:pStyle w:val="ListParagraph"/>
      </w:pPr>
    </w:p>
    <w:p w14:paraId="28BB3AFE" w14:textId="09DCCD75" w:rsidR="00AA2FC7" w:rsidRPr="002F2B00" w:rsidRDefault="00AA2FC7" w:rsidP="00F33F62">
      <w:pPr>
        <w:pStyle w:val="Quote"/>
      </w:pPr>
      <w:r>
        <w:t xml:space="preserve">repeal or reform the </w:t>
      </w:r>
      <w:r w:rsidR="004D3DD3">
        <w:t>NI</w:t>
      </w:r>
      <w:r>
        <w:t xml:space="preserve"> Troubles (Legacy and Reconciliation) Act 2023 and to adopt proper mechanisms with guarantees of independence, transparency, and genuine investigation power that discharge the State party’s human rights obligations and deliver truth, justice and effective remedies, including reparations to victims of the </w:t>
      </w:r>
      <w:r w:rsidR="004D3DD3">
        <w:t>NI</w:t>
      </w:r>
      <w:r>
        <w:t xml:space="preserve"> conflict.</w:t>
      </w:r>
      <w:r>
        <w:rPr>
          <w:rStyle w:val="FootnoteReference"/>
        </w:rPr>
        <w:footnoteReference w:id="53"/>
      </w:r>
    </w:p>
    <w:p w14:paraId="666ADA30" w14:textId="77777777" w:rsidR="00B77C6B" w:rsidRPr="002F2B00" w:rsidRDefault="00B77C6B" w:rsidP="00B77C6B">
      <w:pPr>
        <w:pStyle w:val="ListParagraph"/>
      </w:pPr>
    </w:p>
    <w:p w14:paraId="15D09043" w14:textId="26418926" w:rsidR="009E6B91" w:rsidRPr="002F2B00" w:rsidRDefault="66DB88AA" w:rsidP="002A62EE">
      <w:pPr>
        <w:pStyle w:val="ListParagraph"/>
        <w:numPr>
          <w:ilvl w:val="1"/>
          <w:numId w:val="13"/>
        </w:numPr>
      </w:pPr>
      <w:r>
        <w:t xml:space="preserve">The immunity aspect of the </w:t>
      </w:r>
      <w:r w:rsidR="2BD01971">
        <w:t>2023 Act</w:t>
      </w:r>
      <w:r>
        <w:t xml:space="preserve"> raises concerns regarding accountability and </w:t>
      </w:r>
      <w:r w:rsidR="00FD6023">
        <w:t xml:space="preserve">prevention of </w:t>
      </w:r>
      <w:r>
        <w:t xml:space="preserve">future violations, which is discussed </w:t>
      </w:r>
      <w:r w:rsidR="04783B27">
        <w:t xml:space="preserve">further </w:t>
      </w:r>
      <w:r w:rsidR="7D07DFDC">
        <w:t>in Section 4.0.</w:t>
      </w:r>
    </w:p>
    <w:p w14:paraId="2475F8E4" w14:textId="77777777" w:rsidR="00DE50BF" w:rsidRPr="002F2B00" w:rsidRDefault="00DE50BF" w:rsidP="00DE50BF">
      <w:pPr>
        <w:pStyle w:val="ListParagraph"/>
      </w:pPr>
    </w:p>
    <w:p w14:paraId="0F5C88EE" w14:textId="3CC4F0F5" w:rsidR="00E50822" w:rsidRPr="002F2B00" w:rsidRDefault="4AA8891E" w:rsidP="002A62EE">
      <w:pPr>
        <w:pStyle w:val="ListParagraph"/>
        <w:numPr>
          <w:ilvl w:val="1"/>
          <w:numId w:val="13"/>
        </w:numPr>
        <w:rPr>
          <w:b/>
          <w:bCs/>
        </w:rPr>
      </w:pPr>
      <w:r w:rsidRPr="05FC8414">
        <w:rPr>
          <w:b/>
          <w:bCs/>
        </w:rPr>
        <w:t>The NIHRC</w:t>
      </w:r>
      <w:r w:rsidR="2052636A" w:rsidRPr="05FC8414" w:rsidDel="00FD6023">
        <w:rPr>
          <w:b/>
          <w:bCs/>
        </w:rPr>
        <w:t xml:space="preserve"> </w:t>
      </w:r>
      <w:r w:rsidR="58834A0A" w:rsidRPr="05FC8414">
        <w:rPr>
          <w:b/>
          <w:bCs/>
        </w:rPr>
        <w:t>advise</w:t>
      </w:r>
      <w:r w:rsidR="00FD6023">
        <w:rPr>
          <w:b/>
          <w:bCs/>
        </w:rPr>
        <w:t>s</w:t>
      </w:r>
      <w:r w:rsidR="07BE4D70" w:rsidRPr="05FC8414">
        <w:rPr>
          <w:b/>
          <w:bCs/>
        </w:rPr>
        <w:t xml:space="preserve"> that the </w:t>
      </w:r>
      <w:r w:rsidR="56A60748" w:rsidRPr="05FC8414">
        <w:rPr>
          <w:b/>
          <w:bCs/>
        </w:rPr>
        <w:t>2023 Act</w:t>
      </w:r>
      <w:r w:rsidR="07BE4D70" w:rsidRPr="05FC8414">
        <w:rPr>
          <w:b/>
          <w:bCs/>
        </w:rPr>
        <w:t xml:space="preserve"> </w:t>
      </w:r>
      <w:r w:rsidR="1796723A" w:rsidRPr="05FC8414">
        <w:rPr>
          <w:b/>
          <w:bCs/>
        </w:rPr>
        <w:t>render</w:t>
      </w:r>
      <w:r w:rsidR="2A922F53" w:rsidRPr="05FC8414">
        <w:rPr>
          <w:b/>
          <w:bCs/>
        </w:rPr>
        <w:t xml:space="preserve">s </w:t>
      </w:r>
      <w:r w:rsidRPr="05FC8414">
        <w:rPr>
          <w:b/>
          <w:bCs/>
        </w:rPr>
        <w:t xml:space="preserve">the </w:t>
      </w:r>
      <w:r w:rsidR="04783B27" w:rsidRPr="05FC8414">
        <w:rPr>
          <w:b/>
          <w:bCs/>
        </w:rPr>
        <w:t xml:space="preserve">ICRIR </w:t>
      </w:r>
      <w:r w:rsidR="2A922F53" w:rsidRPr="05FC8414">
        <w:rPr>
          <w:b/>
          <w:bCs/>
        </w:rPr>
        <w:t>in</w:t>
      </w:r>
      <w:r w:rsidR="04783B27" w:rsidRPr="05FC8414">
        <w:rPr>
          <w:b/>
          <w:bCs/>
        </w:rPr>
        <w:t xml:space="preserve">capable of discharging the State’s </w:t>
      </w:r>
      <w:r w:rsidR="5E18EBC8" w:rsidRPr="05FC8414">
        <w:rPr>
          <w:b/>
          <w:bCs/>
        </w:rPr>
        <w:t xml:space="preserve">obligations to undertake </w:t>
      </w:r>
      <w:r w:rsidR="006A42DA">
        <w:rPr>
          <w:b/>
          <w:bCs/>
        </w:rPr>
        <w:t xml:space="preserve">effective </w:t>
      </w:r>
      <w:r w:rsidR="5E18EBC8" w:rsidRPr="05FC8414">
        <w:rPr>
          <w:b/>
          <w:bCs/>
        </w:rPr>
        <w:t>investigations</w:t>
      </w:r>
      <w:r w:rsidR="006A42DA">
        <w:rPr>
          <w:b/>
          <w:bCs/>
        </w:rPr>
        <w:t xml:space="preserve"> in compliance </w:t>
      </w:r>
      <w:r w:rsidR="5E18EBC8" w:rsidRPr="05FC8414">
        <w:rPr>
          <w:b/>
          <w:bCs/>
        </w:rPr>
        <w:t xml:space="preserve">with the rule of law, </w:t>
      </w:r>
      <w:r w:rsidR="00B32402">
        <w:rPr>
          <w:b/>
          <w:bCs/>
        </w:rPr>
        <w:t>including expressly Articles 2 and 3 of the ECHR.</w:t>
      </w:r>
      <w:r w:rsidR="04783B27" w:rsidRPr="05FC8414">
        <w:rPr>
          <w:b/>
          <w:bCs/>
        </w:rPr>
        <w:t xml:space="preserve"> </w:t>
      </w:r>
    </w:p>
    <w:p w14:paraId="4129772D" w14:textId="27EE70C2" w:rsidR="00CD7FF5" w:rsidRPr="002F2B00" w:rsidRDefault="00CD7FF5" w:rsidP="00CD7FF5">
      <w:pPr>
        <w:pStyle w:val="ListParagraph"/>
        <w:rPr>
          <w:b/>
          <w:bCs/>
        </w:rPr>
      </w:pPr>
    </w:p>
    <w:p w14:paraId="765F64F7" w14:textId="2B349721" w:rsidR="000A1C7F" w:rsidRPr="0023463E" w:rsidRDefault="00CD7FF5" w:rsidP="00967EEF">
      <w:pPr>
        <w:pStyle w:val="Heading3"/>
        <w:rPr>
          <w:szCs w:val="26"/>
        </w:rPr>
      </w:pPr>
      <w:bookmarkStart w:id="7" w:name="_Toc113517945"/>
      <w:bookmarkStart w:id="8" w:name="_Toc164766595"/>
      <w:r w:rsidRPr="002F2B00">
        <w:t>Independent and impartial investigations</w:t>
      </w:r>
      <w:bookmarkEnd w:id="7"/>
      <w:bookmarkEnd w:id="8"/>
    </w:p>
    <w:p w14:paraId="09F833A7" w14:textId="1977F54D" w:rsidR="00AB636C" w:rsidRPr="00AB636C" w:rsidRDefault="361E8C4D" w:rsidP="002A62EE">
      <w:pPr>
        <w:pStyle w:val="ListParagraph"/>
        <w:numPr>
          <w:ilvl w:val="1"/>
          <w:numId w:val="13"/>
        </w:numPr>
      </w:pPr>
      <w:r w:rsidRPr="002F2B00">
        <w:t>T</w:t>
      </w:r>
      <w:r w:rsidR="66DF5B02" w:rsidRPr="002F2B00">
        <w:t>he NIHRC</w:t>
      </w:r>
      <w:r w:rsidR="006534F0">
        <w:t xml:space="preserve"> advises that </w:t>
      </w:r>
      <w:r w:rsidRPr="002F2B00">
        <w:t xml:space="preserve">the </w:t>
      </w:r>
      <w:r w:rsidR="27DD90C6">
        <w:t>2023 Act</w:t>
      </w:r>
      <w:r w:rsidRPr="002F2B00">
        <w:t xml:space="preserve"> </w:t>
      </w:r>
      <w:r w:rsidR="006534F0">
        <w:t>p</w:t>
      </w:r>
      <w:r w:rsidR="0C5B1061" w:rsidRPr="002F2B00">
        <w:t>revent</w:t>
      </w:r>
      <w:r w:rsidR="006534F0">
        <w:t>s</w:t>
      </w:r>
      <w:r w:rsidR="0C5B1061" w:rsidRPr="002F2B00">
        <w:t xml:space="preserve"> </w:t>
      </w:r>
      <w:r w:rsidR="49E9B4C9" w:rsidRPr="002F2B00">
        <w:t xml:space="preserve">the ICRIR from being </w:t>
      </w:r>
      <w:r w:rsidR="006534F0">
        <w:t xml:space="preserve">sufficiently </w:t>
      </w:r>
      <w:r w:rsidR="49E9B4C9" w:rsidRPr="002F2B00">
        <w:t>independent</w:t>
      </w:r>
      <w:r w:rsidR="00D54106">
        <w:t xml:space="preserve"> in all aspects:</w:t>
      </w:r>
      <w:r w:rsidR="00D26898">
        <w:t xml:space="preserve"> hierarchically, </w:t>
      </w:r>
      <w:proofErr w:type="gramStart"/>
      <w:r w:rsidR="00D26898">
        <w:t>operationally</w:t>
      </w:r>
      <w:proofErr w:type="gramEnd"/>
      <w:r w:rsidR="00D26898">
        <w:t xml:space="preserve"> and practically</w:t>
      </w:r>
      <w:r w:rsidR="49E9B4C9" w:rsidRPr="002F2B00">
        <w:t xml:space="preserve">. By way of example, </w:t>
      </w:r>
      <w:r w:rsidR="7C4F8F51" w:rsidRPr="002F2B00">
        <w:t xml:space="preserve">the </w:t>
      </w:r>
      <w:r w:rsidR="43FEB073" w:rsidRPr="002F2B00">
        <w:t xml:space="preserve">Secretary of </w:t>
      </w:r>
      <w:proofErr w:type="gramStart"/>
      <w:r w:rsidR="43FEB073" w:rsidRPr="002F2B00">
        <w:t>Stat</w:t>
      </w:r>
      <w:r w:rsidR="4C9F11F4" w:rsidRPr="002F2B00">
        <w:t>e</w:t>
      </w:r>
      <w:r w:rsidR="00940DC6">
        <w:t>:</w:t>
      </w:r>
      <w:proofErr w:type="gramEnd"/>
      <w:r w:rsidR="4C9F11F4" w:rsidRPr="002F2B00">
        <w:t xml:space="preserve"> </w:t>
      </w:r>
      <w:r w:rsidR="00D54106">
        <w:t>appoints</w:t>
      </w:r>
      <w:r w:rsidR="43FEB073" w:rsidRPr="002F2B00" w:rsidDel="00D54106">
        <w:t xml:space="preserve"> </w:t>
      </w:r>
      <w:r w:rsidR="49C08506">
        <w:t>Commissioners,</w:t>
      </w:r>
      <w:r w:rsidR="001D7596">
        <w:rPr>
          <w:rStyle w:val="FootnoteReference"/>
        </w:rPr>
        <w:footnoteReference w:id="54"/>
      </w:r>
      <w:r w:rsidR="37B0C774">
        <w:t xml:space="preserve"> </w:t>
      </w:r>
      <w:r w:rsidR="00940DC6">
        <w:t xml:space="preserve">determines the number of </w:t>
      </w:r>
      <w:r w:rsidR="37B0C774" w:rsidDel="00940DC6">
        <w:t>Commissioners</w:t>
      </w:r>
      <w:r w:rsidR="37B0C774">
        <w:t>,</w:t>
      </w:r>
      <w:r w:rsidR="00AB636C">
        <w:rPr>
          <w:rStyle w:val="FootnoteReference"/>
        </w:rPr>
        <w:footnoteReference w:id="55"/>
      </w:r>
      <w:r w:rsidR="49C08506">
        <w:t xml:space="preserve"> </w:t>
      </w:r>
      <w:r w:rsidR="57C7E9DF">
        <w:t>issu</w:t>
      </w:r>
      <w:r w:rsidR="00940DC6">
        <w:t>es</w:t>
      </w:r>
      <w:r w:rsidR="57C7E9DF">
        <w:t xml:space="preserve"> guidance and </w:t>
      </w:r>
      <w:r w:rsidR="00940DC6">
        <w:t xml:space="preserve">mandatory </w:t>
      </w:r>
      <w:r w:rsidR="57C7E9DF">
        <w:t>regulations,</w:t>
      </w:r>
      <w:r w:rsidR="00CB632C">
        <w:rPr>
          <w:rStyle w:val="FootnoteReference"/>
        </w:rPr>
        <w:footnoteReference w:id="56"/>
      </w:r>
      <w:r w:rsidR="57C7E9DF">
        <w:t xml:space="preserve"> </w:t>
      </w:r>
      <w:r w:rsidR="43FEB073" w:rsidRPr="002F2B00">
        <w:t>propos</w:t>
      </w:r>
      <w:r w:rsidR="00940DC6">
        <w:t>es</w:t>
      </w:r>
      <w:r w:rsidR="43FEB073" w:rsidRPr="002F2B00">
        <w:t xml:space="preserve"> cases for review,</w:t>
      </w:r>
      <w:r w:rsidR="00CD7FF5" w:rsidRPr="002F2B00">
        <w:rPr>
          <w:vertAlign w:val="superscript"/>
        </w:rPr>
        <w:footnoteReference w:id="57"/>
      </w:r>
      <w:r w:rsidR="43FEB073" w:rsidRPr="002F2B00">
        <w:t xml:space="preserve"> </w:t>
      </w:r>
      <w:r w:rsidR="135BA987">
        <w:t>regulat</w:t>
      </w:r>
      <w:r w:rsidR="00940DC6">
        <w:t>es</w:t>
      </w:r>
      <w:r w:rsidR="135BA987" w:rsidDel="00940DC6">
        <w:t xml:space="preserve"> </w:t>
      </w:r>
      <w:r w:rsidR="135BA987">
        <w:t>information</w:t>
      </w:r>
      <w:r w:rsidR="00940DC6">
        <w:t xml:space="preserve"> management</w:t>
      </w:r>
      <w:r w:rsidR="436621D6">
        <w:t>,</w:t>
      </w:r>
      <w:r w:rsidR="00937B77">
        <w:rPr>
          <w:rStyle w:val="FootnoteReference"/>
        </w:rPr>
        <w:footnoteReference w:id="58"/>
      </w:r>
      <w:r w:rsidR="436621D6">
        <w:t xml:space="preserve"> </w:t>
      </w:r>
      <w:r w:rsidR="37405AF4">
        <w:t>regula</w:t>
      </w:r>
      <w:r w:rsidR="00940DC6">
        <w:t>tes</w:t>
      </w:r>
      <w:r w:rsidR="37405AF4">
        <w:t xml:space="preserve"> the handling of biometric material,</w:t>
      </w:r>
      <w:r w:rsidR="00C61765">
        <w:rPr>
          <w:rStyle w:val="FootnoteReference"/>
        </w:rPr>
        <w:footnoteReference w:id="59"/>
      </w:r>
      <w:r w:rsidR="37405AF4">
        <w:t xml:space="preserve"> </w:t>
      </w:r>
      <w:r w:rsidR="43FEB073" w:rsidRPr="002F2B00">
        <w:t>determi</w:t>
      </w:r>
      <w:r w:rsidR="00940DC6">
        <w:t>nes</w:t>
      </w:r>
      <w:r w:rsidR="43FEB073" w:rsidRPr="002F2B00">
        <w:t xml:space="preserve"> resources</w:t>
      </w:r>
      <w:r w:rsidR="00CD7FF5" w:rsidRPr="002F2B00">
        <w:rPr>
          <w:vertAlign w:val="superscript"/>
        </w:rPr>
        <w:footnoteReference w:id="60"/>
      </w:r>
      <w:r w:rsidR="43FEB073" w:rsidRPr="002F2B00">
        <w:t xml:space="preserve"> and </w:t>
      </w:r>
      <w:r w:rsidR="330F4F42">
        <w:t>review</w:t>
      </w:r>
      <w:r w:rsidR="00940DC6">
        <w:t>s</w:t>
      </w:r>
      <w:r w:rsidR="330F4F42">
        <w:t xml:space="preserve"> the performance of </w:t>
      </w:r>
      <w:r w:rsidR="43FEB073" w:rsidRPr="002F2B00">
        <w:t>the ICRIR.</w:t>
      </w:r>
      <w:r w:rsidR="006C22E4">
        <w:rPr>
          <w:rStyle w:val="FootnoteReference"/>
        </w:rPr>
        <w:footnoteReference w:id="61"/>
      </w:r>
      <w:r w:rsidR="43FEB073" w:rsidRPr="002F2B00">
        <w:t xml:space="preserve"> </w:t>
      </w:r>
    </w:p>
    <w:p w14:paraId="11E23B74" w14:textId="77777777" w:rsidR="00AB636C" w:rsidRDefault="00AB636C" w:rsidP="00AB636C">
      <w:pPr>
        <w:pStyle w:val="ListParagraph"/>
      </w:pPr>
    </w:p>
    <w:p w14:paraId="3B315AB0" w14:textId="29D39216" w:rsidR="00CD7FF5" w:rsidRPr="00D329F7" w:rsidRDefault="49E9B4C9" w:rsidP="002A62EE">
      <w:pPr>
        <w:pStyle w:val="ListParagraph"/>
        <w:numPr>
          <w:ilvl w:val="1"/>
          <w:numId w:val="13"/>
        </w:numPr>
        <w:rPr>
          <w:szCs w:val="24"/>
        </w:rPr>
      </w:pPr>
      <w:r w:rsidRPr="002F2B00">
        <w:t xml:space="preserve">Critically, </w:t>
      </w:r>
      <w:r w:rsidR="7C4F8F51" w:rsidRPr="002F2B00">
        <w:t xml:space="preserve">the </w:t>
      </w:r>
      <w:r w:rsidR="6D4319E5">
        <w:t>2023 Act provides</w:t>
      </w:r>
      <w:r w:rsidR="7C4F8F51" w:rsidRPr="002F2B00">
        <w:t xml:space="preserve"> that </w:t>
      </w:r>
      <w:r w:rsidRPr="002F2B00">
        <w:t xml:space="preserve">the </w:t>
      </w:r>
      <w:r w:rsidR="43FEB073" w:rsidRPr="002F2B00">
        <w:t>ICRIR’s work can be concluded</w:t>
      </w:r>
      <w:r w:rsidRPr="002F2B00">
        <w:t xml:space="preserve">, or shut down, </w:t>
      </w:r>
      <w:r w:rsidR="43FEB073" w:rsidRPr="002F2B00">
        <w:t xml:space="preserve">when the “Secretary of State is satisfied that </w:t>
      </w:r>
      <w:r w:rsidR="43FEB073" w:rsidRPr="05FC8414">
        <w:rPr>
          <w:i/>
          <w:iCs/>
        </w:rPr>
        <w:t>the need</w:t>
      </w:r>
      <w:r w:rsidR="43FEB073" w:rsidRPr="002F2B00">
        <w:t xml:space="preserve"> for ICRIR” to exercise its functions “has ceased”</w:t>
      </w:r>
      <w:r w:rsidRPr="002F2B00">
        <w:t>.</w:t>
      </w:r>
      <w:r w:rsidR="005112D2" w:rsidRPr="002F2B00">
        <w:rPr>
          <w:rStyle w:val="FootnoteReference"/>
        </w:rPr>
        <w:footnoteReference w:id="62"/>
      </w:r>
      <w:r w:rsidRPr="002F2B00">
        <w:t xml:space="preserve"> </w:t>
      </w:r>
      <w:r w:rsidR="006F15B8">
        <w:t xml:space="preserve">This </w:t>
      </w:r>
      <w:r w:rsidR="00F425B6">
        <w:t xml:space="preserve">is likely to </w:t>
      </w:r>
      <w:r w:rsidRPr="002F2B00">
        <w:t>mean</w:t>
      </w:r>
      <w:r w:rsidR="00F425B6">
        <w:t xml:space="preserve"> that</w:t>
      </w:r>
      <w:r w:rsidRPr="002F2B00">
        <w:t xml:space="preserve"> the Secretary of State can </w:t>
      </w:r>
      <w:r w:rsidR="00F425B6">
        <w:t>prevent</w:t>
      </w:r>
      <w:r w:rsidR="00F425B6" w:rsidRPr="002F2B00">
        <w:t xml:space="preserve"> </w:t>
      </w:r>
      <w:r w:rsidRPr="002F2B00">
        <w:t xml:space="preserve">the </w:t>
      </w:r>
      <w:r w:rsidRPr="002F2B00">
        <w:lastRenderedPageBreak/>
        <w:t>ICRIR from completing its work generally or in respect of individual cases.</w:t>
      </w:r>
      <w:r w:rsidR="43FEB073" w:rsidRPr="002F2B00">
        <w:t xml:space="preserve"> </w:t>
      </w:r>
      <w:r w:rsidR="78FF987F">
        <w:t xml:space="preserve">The High Court of Justice in NI </w:t>
      </w:r>
      <w:r w:rsidR="00183684">
        <w:t>was</w:t>
      </w:r>
      <w:r w:rsidR="78FF987F">
        <w:t xml:space="preserve"> content that </w:t>
      </w:r>
      <w:r w:rsidR="121D83BA">
        <w:t xml:space="preserve">the </w:t>
      </w:r>
      <w:r w:rsidR="0D169941">
        <w:t xml:space="preserve">requirement </w:t>
      </w:r>
      <w:r w:rsidR="00183684">
        <w:t>for</w:t>
      </w:r>
      <w:r w:rsidR="0D169941">
        <w:t xml:space="preserve"> Parliamentary approval through the Affirmative </w:t>
      </w:r>
      <w:r w:rsidR="3771B709">
        <w:t xml:space="preserve">Procedure </w:t>
      </w:r>
      <w:r w:rsidR="00183684">
        <w:t xml:space="preserve">was </w:t>
      </w:r>
      <w:r w:rsidR="78FF987F">
        <w:t>a sufficient safeguard.</w:t>
      </w:r>
      <w:r w:rsidR="00563BBD">
        <w:rPr>
          <w:rStyle w:val="FootnoteReference"/>
        </w:rPr>
        <w:footnoteReference w:id="63"/>
      </w:r>
      <w:r w:rsidR="78FF987F">
        <w:t xml:space="preserve"> </w:t>
      </w:r>
      <w:r w:rsidR="00183684">
        <w:t xml:space="preserve">The NIHRC disagrees. </w:t>
      </w:r>
      <w:r w:rsidR="1DE2F1D5">
        <w:t xml:space="preserve">The High Court </w:t>
      </w:r>
      <w:r w:rsidR="00183684">
        <w:t xml:space="preserve">also </w:t>
      </w:r>
      <w:r w:rsidR="454D94D7">
        <w:t xml:space="preserve">considered </w:t>
      </w:r>
      <w:r w:rsidR="1C20486D">
        <w:t>it</w:t>
      </w:r>
      <w:r w:rsidR="454D94D7">
        <w:t xml:space="preserve"> appropriate </w:t>
      </w:r>
      <w:r w:rsidR="1DE2F1D5">
        <w:t xml:space="preserve">that </w:t>
      </w:r>
      <w:r w:rsidR="00183684">
        <w:t xml:space="preserve">the </w:t>
      </w:r>
      <w:r w:rsidR="1DE2F1D5">
        <w:t xml:space="preserve">Secretary of State </w:t>
      </w:r>
      <w:r w:rsidR="00183684">
        <w:t xml:space="preserve">was </w:t>
      </w:r>
      <w:r w:rsidR="7D2A9751">
        <w:t>empowered to request reviews</w:t>
      </w:r>
      <w:r w:rsidR="1DE2F1D5">
        <w:t>.</w:t>
      </w:r>
      <w:r w:rsidR="007A0886">
        <w:rPr>
          <w:rStyle w:val="FootnoteReference"/>
        </w:rPr>
        <w:footnoteReference w:id="64"/>
      </w:r>
      <w:r w:rsidR="1DE2F1D5">
        <w:t xml:space="preserve"> </w:t>
      </w:r>
      <w:r w:rsidR="007B3E4B">
        <w:t xml:space="preserve">Again, the NIHRC respectfully disagrees. In any event, </w:t>
      </w:r>
      <w:r w:rsidR="78FF987F">
        <w:t xml:space="preserve">this should not be considered in isolation. </w:t>
      </w:r>
      <w:r w:rsidR="007B3E4B">
        <w:t>While the NIHRC accepts that the</w:t>
      </w:r>
      <w:r w:rsidR="00810325">
        <w:t xml:space="preserve"> Secretary of State</w:t>
      </w:r>
      <w:r w:rsidR="007B3E4B">
        <w:t xml:space="preserve"> will require </w:t>
      </w:r>
      <w:r w:rsidR="52C770FE">
        <w:t xml:space="preserve">high-level </w:t>
      </w:r>
      <w:r w:rsidR="00796C6F">
        <w:t xml:space="preserve">involvement in setting up and maintaining the </w:t>
      </w:r>
      <w:r w:rsidR="52C770FE">
        <w:t>ICRIR,</w:t>
      </w:r>
      <w:r w:rsidR="52C770FE" w:rsidRPr="002F2B00" w:rsidDel="00796C6F">
        <w:t xml:space="preserve"> </w:t>
      </w:r>
      <w:r w:rsidR="52C770FE">
        <w:t>t</w:t>
      </w:r>
      <w:r w:rsidR="43FEB073" w:rsidRPr="002F2B00">
        <w:t xml:space="preserve">he extent of the Secretary of State’s involvement in ICRIR’s operations and monitoring </w:t>
      </w:r>
      <w:r w:rsidR="2606F23D">
        <w:t>in the 2023 Act</w:t>
      </w:r>
      <w:r w:rsidR="74E7062E" w:rsidRPr="002F2B00">
        <w:t xml:space="preserve"> </w:t>
      </w:r>
      <w:r w:rsidR="00730084">
        <w:t xml:space="preserve">goes </w:t>
      </w:r>
      <w:r w:rsidR="003D5733">
        <w:t>significantly</w:t>
      </w:r>
      <w:r w:rsidR="00730084">
        <w:t xml:space="preserve"> beyond that and renders the ICRIR incapable of sufficient independence. </w:t>
      </w:r>
    </w:p>
    <w:p w14:paraId="57DCAD00" w14:textId="77777777" w:rsidR="00A530C3" w:rsidRPr="00A530C3" w:rsidRDefault="00A530C3" w:rsidP="00A530C3">
      <w:pPr>
        <w:pStyle w:val="ListParagraph"/>
        <w:rPr>
          <w:szCs w:val="24"/>
        </w:rPr>
      </w:pPr>
    </w:p>
    <w:p w14:paraId="725CF9A7" w14:textId="54081F3A" w:rsidR="00106BE8" w:rsidRDefault="11801073" w:rsidP="002A62EE">
      <w:pPr>
        <w:pStyle w:val="ListParagraph"/>
        <w:numPr>
          <w:ilvl w:val="1"/>
          <w:numId w:val="13"/>
        </w:numPr>
      </w:pPr>
      <w:r w:rsidRPr="05FC8414">
        <w:t xml:space="preserve">The </w:t>
      </w:r>
      <w:r w:rsidR="009E4BCE">
        <w:t xml:space="preserve">UK Government explains that the </w:t>
      </w:r>
      <w:r w:rsidRPr="05FC8414">
        <w:t>2023 Act</w:t>
      </w:r>
      <w:r w:rsidR="009E4BCE">
        <w:t xml:space="preserve">, by limiting </w:t>
      </w:r>
      <w:r w:rsidRPr="05FC8414">
        <w:t>Commissioners</w:t>
      </w:r>
      <w:r w:rsidR="009E4BCE">
        <w:t>’</w:t>
      </w:r>
      <w:r w:rsidRPr="05FC8414">
        <w:t xml:space="preserve"> term of appointment to five years and </w:t>
      </w:r>
      <w:r w:rsidR="009E4BCE" w:rsidRPr="05FC8414">
        <w:t>enabli</w:t>
      </w:r>
      <w:r w:rsidR="009E4BCE">
        <w:t>ng</w:t>
      </w:r>
      <w:r w:rsidR="670B1DBD" w:rsidRPr="05FC8414">
        <w:t xml:space="preserve"> </w:t>
      </w:r>
      <w:r w:rsidR="009E4BCE">
        <w:t xml:space="preserve">the appointment of </w:t>
      </w:r>
      <w:r w:rsidR="670B1DBD" w:rsidRPr="05FC8414">
        <w:t xml:space="preserve">up to </w:t>
      </w:r>
      <w:r w:rsidR="26BABFD1" w:rsidRPr="05FC8414">
        <w:t>five</w:t>
      </w:r>
      <w:r w:rsidR="009E4BCE">
        <w:t>,</w:t>
      </w:r>
      <w:r w:rsidR="002D4A12" w:rsidRPr="05FC8414">
        <w:rPr>
          <w:rStyle w:val="FootnoteReference"/>
        </w:rPr>
        <w:footnoteReference w:id="65"/>
      </w:r>
      <w:r w:rsidR="000E0B53">
        <w:t xml:space="preserve"> </w:t>
      </w:r>
      <w:r w:rsidR="003D5733">
        <w:t>a</w:t>
      </w:r>
      <w:r w:rsidR="000E0B53">
        <w:t>re intended</w:t>
      </w:r>
      <w:r w:rsidR="670B1DBD" w:rsidRPr="05FC8414" w:rsidDel="00064CE4">
        <w:t xml:space="preserve"> </w:t>
      </w:r>
      <w:r w:rsidR="670B1DBD" w:rsidRPr="05FC8414">
        <w:t>to ensure that the ICRIR has an appropriate range of skills, experience and independent scrutiny</w:t>
      </w:r>
      <w:r w:rsidR="3F34F8EE">
        <w:rPr>
          <w:szCs w:val="24"/>
        </w:rPr>
        <w:t>.</w:t>
      </w:r>
      <w:r w:rsidR="00206E2B" w:rsidRPr="05FC8414">
        <w:rPr>
          <w:rStyle w:val="FootnoteReference"/>
        </w:rPr>
        <w:footnoteReference w:id="66"/>
      </w:r>
      <w:r w:rsidR="3F34F8EE" w:rsidRPr="05FC8414">
        <w:t xml:space="preserve"> Also</w:t>
      </w:r>
      <w:r w:rsidR="02AFAECC">
        <w:rPr>
          <w:szCs w:val="24"/>
        </w:rPr>
        <w:t>,</w:t>
      </w:r>
      <w:r w:rsidR="3F34F8EE" w:rsidRPr="05FC8414">
        <w:t xml:space="preserve"> that the ICRIR maintains a form of continuity while also obtaining fresh perspective, impetus, views and specialist expertise.</w:t>
      </w:r>
      <w:r w:rsidR="00206E2B" w:rsidRPr="05FC8414">
        <w:rPr>
          <w:rStyle w:val="FootnoteReference"/>
        </w:rPr>
        <w:footnoteReference w:id="67"/>
      </w:r>
      <w:r w:rsidR="3F34F8EE" w:rsidRPr="05FC8414">
        <w:t xml:space="preserve"> </w:t>
      </w:r>
      <w:r w:rsidR="00064CE4">
        <w:t xml:space="preserve">Despite that, the 2023 Act </w:t>
      </w:r>
      <w:r w:rsidR="00A841B5">
        <w:t xml:space="preserve">expressly provides that </w:t>
      </w:r>
      <w:r w:rsidR="2BBE79F7" w:rsidRPr="05FC8414">
        <w:t xml:space="preserve">the Secretary of State </w:t>
      </w:r>
      <w:r w:rsidR="00A841B5">
        <w:t>may</w:t>
      </w:r>
      <w:r w:rsidR="2BBE79F7" w:rsidRPr="05FC8414">
        <w:t xml:space="preserve"> limit the number of Commissioners to as few as one, in addition to the Chief Commissioner and Commissioner for Investigations.</w:t>
      </w:r>
      <w:r w:rsidR="00F06921" w:rsidRPr="05FC8414">
        <w:rPr>
          <w:rStyle w:val="FootnoteReference"/>
        </w:rPr>
        <w:footnoteReference w:id="68"/>
      </w:r>
      <w:r w:rsidR="44499EA7" w:rsidRPr="05FC8414">
        <w:t xml:space="preserve"> It is also notable that the 2023 Act does not place any </w:t>
      </w:r>
      <w:r w:rsidR="00A841B5">
        <w:t>restriction</w:t>
      </w:r>
      <w:r w:rsidR="00A841B5" w:rsidRPr="05FC8414">
        <w:t xml:space="preserve"> </w:t>
      </w:r>
      <w:r w:rsidR="44499EA7" w:rsidRPr="05FC8414">
        <w:t xml:space="preserve">on </w:t>
      </w:r>
      <w:r w:rsidR="00A841B5">
        <w:t xml:space="preserve">the nature nor identity of Commissioners. </w:t>
      </w:r>
      <w:r w:rsidR="00970BF4">
        <w:t xml:space="preserve">This is </w:t>
      </w:r>
      <w:r w:rsidR="003D5733">
        <w:t>particularly</w:t>
      </w:r>
      <w:r w:rsidR="00970BF4">
        <w:t xml:space="preserve"> important given the need for independence. </w:t>
      </w:r>
      <w:r w:rsidR="5F31077C" w:rsidRPr="05FC8414">
        <w:t>This contrasts starkly with</w:t>
      </w:r>
      <w:r w:rsidR="5F31077C" w:rsidRPr="05FC8414" w:rsidDel="00730084">
        <w:t xml:space="preserve"> </w:t>
      </w:r>
      <w:r w:rsidR="00970BF4">
        <w:t>f</w:t>
      </w:r>
      <w:r w:rsidR="22DCD837" w:rsidRPr="05FC8414">
        <w:t>or example, “personnel who are serving or have previously served in the Royal Ulster Constabulary, Police Service of NI, Ministry of Defence or Security Services”</w:t>
      </w:r>
      <w:r w:rsidR="3AB7B620" w:rsidRPr="05FC8414">
        <w:t xml:space="preserve"> were prohibited from being appointed to Operation Kenova.</w:t>
      </w:r>
      <w:r w:rsidR="00BF339E" w:rsidRPr="05FC8414">
        <w:rPr>
          <w:rStyle w:val="FootnoteReference"/>
        </w:rPr>
        <w:footnoteReference w:id="69"/>
      </w:r>
      <w:r w:rsidR="56BA68B8" w:rsidRPr="05FC8414">
        <w:t xml:space="preserve"> </w:t>
      </w:r>
    </w:p>
    <w:p w14:paraId="061D9246" w14:textId="77777777" w:rsidR="00556F45" w:rsidRPr="00556F45" w:rsidRDefault="00556F45" w:rsidP="00556F45">
      <w:pPr>
        <w:pStyle w:val="ListParagraph"/>
        <w:rPr>
          <w:szCs w:val="24"/>
        </w:rPr>
      </w:pPr>
    </w:p>
    <w:p w14:paraId="47458E1F" w14:textId="3F3AC14A" w:rsidR="00D961BA" w:rsidRDefault="00970BF4" w:rsidP="002A62EE">
      <w:pPr>
        <w:pStyle w:val="ListParagraph"/>
        <w:numPr>
          <w:ilvl w:val="1"/>
          <w:numId w:val="13"/>
        </w:numPr>
      </w:pPr>
      <w:r>
        <w:t xml:space="preserve">The NIHRC suggests that </w:t>
      </w:r>
      <w:r w:rsidR="00B41509">
        <w:t xml:space="preserve">a proper requirement for independence in the appointment of Commissioners would </w:t>
      </w:r>
      <w:r w:rsidR="007B48DA">
        <w:t xml:space="preserve">at least </w:t>
      </w:r>
      <w:r w:rsidR="00B41509">
        <w:t xml:space="preserve">exclude </w:t>
      </w:r>
      <w:r w:rsidR="007B48DA">
        <w:t>any person who had served with the Royal Ulster Constabulary</w:t>
      </w:r>
      <w:r w:rsidR="00F9097D">
        <w:t xml:space="preserve">, the </w:t>
      </w:r>
      <w:r w:rsidR="00F9097D">
        <w:lastRenderedPageBreak/>
        <w:t xml:space="preserve">Security </w:t>
      </w:r>
      <w:proofErr w:type="gramStart"/>
      <w:r w:rsidR="00F9097D">
        <w:t>Services</w:t>
      </w:r>
      <w:proofErr w:type="gramEnd"/>
      <w:r w:rsidR="007B48DA">
        <w:t xml:space="preserve"> or the </w:t>
      </w:r>
      <w:r w:rsidR="00F9097D">
        <w:t>British Army</w:t>
      </w:r>
      <w:r w:rsidR="007B48DA">
        <w:t>.</w:t>
      </w:r>
      <w:r w:rsidR="00F9097D">
        <w:t xml:space="preserve"> There is such obvious conflict </w:t>
      </w:r>
      <w:r w:rsidR="001E2953">
        <w:t xml:space="preserve">that such appointments are incapable of mitigation by way of recusal or declaration. </w:t>
      </w:r>
      <w:r w:rsidR="003C61E5">
        <w:t xml:space="preserve">Even if such appointments were capable </w:t>
      </w:r>
      <w:proofErr w:type="gramStart"/>
      <w:r w:rsidR="003C61E5">
        <w:t>in particular cases</w:t>
      </w:r>
      <w:proofErr w:type="gramEnd"/>
      <w:r w:rsidR="003C61E5">
        <w:t xml:space="preserve"> of being hierarchically independent</w:t>
      </w:r>
      <w:r w:rsidR="003D5733">
        <w:t>,</w:t>
      </w:r>
      <w:r w:rsidR="003C61E5">
        <w:t xml:space="preserve"> they must also be practically independent. No person </w:t>
      </w:r>
      <w:r w:rsidR="00A56386">
        <w:t>who has served</w:t>
      </w:r>
      <w:r w:rsidR="003C61E5">
        <w:t xml:space="preserve"> with those organis</w:t>
      </w:r>
      <w:r w:rsidR="00A56386">
        <w:t xml:space="preserve">ations against which credible allegations are made can satisfy the requirement for practical independence. </w:t>
      </w:r>
      <w:r w:rsidR="00321C94">
        <w:t>To take the first example of appointment - t</w:t>
      </w:r>
      <w:r w:rsidR="4527A083" w:rsidRPr="05FC8414">
        <w:t>he Commissioner for Investigations</w:t>
      </w:r>
      <w:r w:rsidR="00321C94">
        <w:t>.</w:t>
      </w:r>
      <w:r w:rsidR="4527A083" w:rsidRPr="05FC8414">
        <w:t xml:space="preserve"> </w:t>
      </w:r>
      <w:r w:rsidR="00321C94">
        <w:t xml:space="preserve">The centrality of that appointment to the overall independence of the ICRIR should be apparent. He </w:t>
      </w:r>
      <w:r w:rsidR="4527A083" w:rsidRPr="05FC8414">
        <w:t>has significant decision</w:t>
      </w:r>
      <w:r w:rsidR="002045F9">
        <w:t>-</w:t>
      </w:r>
      <w:r w:rsidR="4527A083" w:rsidRPr="05FC8414">
        <w:t>making power within the ICRIR</w:t>
      </w:r>
      <w:r w:rsidR="00321C94">
        <w:t>.</w:t>
      </w:r>
      <w:r w:rsidR="1F65AC54" w:rsidRPr="05FC8414">
        <w:t xml:space="preserve"> </w:t>
      </w:r>
      <w:r w:rsidR="00321C94">
        <w:t>He</w:t>
      </w:r>
      <w:r w:rsidR="1F65AC54" w:rsidRPr="05FC8414" w:rsidDel="00321C94">
        <w:t xml:space="preserve"> </w:t>
      </w:r>
      <w:r w:rsidR="1F65AC54" w:rsidRPr="05FC8414">
        <w:t xml:space="preserve">has responsibility for </w:t>
      </w:r>
      <w:r w:rsidR="00A55914">
        <w:t>specifying the terms of</w:t>
      </w:r>
      <w:r w:rsidR="648722F7" w:rsidRPr="05FC8414">
        <w:t xml:space="preserve"> disclosure to the ICRIR</w:t>
      </w:r>
      <w:r w:rsidR="002045F9">
        <w:t>;</w:t>
      </w:r>
      <w:r w:rsidR="00837D2E" w:rsidRPr="05FC8414">
        <w:rPr>
          <w:rStyle w:val="FootnoteReference"/>
        </w:rPr>
        <w:footnoteReference w:id="70"/>
      </w:r>
      <w:r w:rsidR="3D4F156D" w:rsidRPr="05FC8414">
        <w:t xml:space="preserve"> </w:t>
      </w:r>
      <w:r w:rsidR="00321C94">
        <w:t xml:space="preserve">he determines </w:t>
      </w:r>
      <w:r w:rsidR="3D4F156D" w:rsidRPr="05FC8414">
        <w:t>the operational powers of the ICRIR officers (including whether they are provided with powers and privileges of a constable and whether to use these)</w:t>
      </w:r>
      <w:r w:rsidR="4780B603">
        <w:rPr>
          <w:szCs w:val="24"/>
        </w:rPr>
        <w:t>;</w:t>
      </w:r>
      <w:r w:rsidR="00DA1CFC" w:rsidRPr="05FC8414">
        <w:rPr>
          <w:rStyle w:val="FootnoteReference"/>
        </w:rPr>
        <w:footnoteReference w:id="71"/>
      </w:r>
      <w:r w:rsidR="3D4F156D">
        <w:rPr>
          <w:szCs w:val="24"/>
        </w:rPr>
        <w:t xml:space="preserve"> </w:t>
      </w:r>
      <w:r w:rsidR="00321C94">
        <w:rPr>
          <w:szCs w:val="24"/>
        </w:rPr>
        <w:t xml:space="preserve">he determines whether </w:t>
      </w:r>
      <w:r w:rsidR="3DE5A287" w:rsidRPr="05FC8414">
        <w:t xml:space="preserve">it is appropriate for </w:t>
      </w:r>
      <w:r w:rsidR="4B0959DB" w:rsidRPr="05FC8414">
        <w:t>a non-close family member to make a request for review</w:t>
      </w:r>
      <w:r w:rsidR="4780B603">
        <w:rPr>
          <w:szCs w:val="24"/>
        </w:rPr>
        <w:t>;</w:t>
      </w:r>
      <w:r w:rsidR="00DB3D6B" w:rsidRPr="05FC8414">
        <w:rPr>
          <w:rStyle w:val="FootnoteReference"/>
        </w:rPr>
        <w:footnoteReference w:id="72"/>
      </w:r>
      <w:r w:rsidR="4B0959DB">
        <w:rPr>
          <w:szCs w:val="24"/>
        </w:rPr>
        <w:t xml:space="preserve"> </w:t>
      </w:r>
      <w:r w:rsidR="00321C94">
        <w:rPr>
          <w:szCs w:val="24"/>
        </w:rPr>
        <w:t xml:space="preserve">he determines </w:t>
      </w:r>
      <w:r w:rsidR="7A3D8CA6" w:rsidRPr="05FC8414">
        <w:t>how reviews are requested</w:t>
      </w:r>
      <w:r w:rsidR="4780B603">
        <w:rPr>
          <w:szCs w:val="24"/>
        </w:rPr>
        <w:t xml:space="preserve">, </w:t>
      </w:r>
      <w:r w:rsidR="7A3D8CA6" w:rsidRPr="05FC8414">
        <w:t>whether they satisfy requirements,</w:t>
      </w:r>
      <w:r w:rsidR="4780B603" w:rsidRPr="05FC8414">
        <w:t xml:space="preserve"> and whether they are </w:t>
      </w:r>
      <w:r w:rsidR="24429678" w:rsidRPr="05FC8414">
        <w:t>dealt with</w:t>
      </w:r>
      <w:r w:rsidR="706BD9BC">
        <w:rPr>
          <w:szCs w:val="24"/>
        </w:rPr>
        <w:t>;</w:t>
      </w:r>
      <w:r w:rsidR="00CF49DF" w:rsidRPr="05FC8414">
        <w:rPr>
          <w:rStyle w:val="FootnoteReference"/>
        </w:rPr>
        <w:footnoteReference w:id="73"/>
      </w:r>
      <w:r w:rsidR="2C06C2F4">
        <w:rPr>
          <w:szCs w:val="24"/>
        </w:rPr>
        <w:t xml:space="preserve"> </w:t>
      </w:r>
      <w:r w:rsidR="44582B99" w:rsidRPr="05FC8414">
        <w:t xml:space="preserve">and </w:t>
      </w:r>
      <w:r w:rsidR="00876888">
        <w:t xml:space="preserve">he determines </w:t>
      </w:r>
      <w:r w:rsidR="2C06C2F4" w:rsidRPr="05FC8414">
        <w:t xml:space="preserve">whether reviews linked to immunity </w:t>
      </w:r>
      <w:r w:rsidR="3701FA7A" w:rsidRPr="05FC8414">
        <w:t>decisions take place</w:t>
      </w:r>
      <w:r w:rsidR="44582B99">
        <w:rPr>
          <w:szCs w:val="24"/>
        </w:rPr>
        <w:t>.</w:t>
      </w:r>
      <w:r w:rsidR="00660E52" w:rsidRPr="05FC8414">
        <w:rPr>
          <w:rStyle w:val="FootnoteReference"/>
        </w:rPr>
        <w:footnoteReference w:id="74"/>
      </w:r>
      <w:r w:rsidR="44582B99">
        <w:rPr>
          <w:szCs w:val="24"/>
        </w:rPr>
        <w:t xml:space="preserve"> </w:t>
      </w:r>
      <w:r w:rsidR="00876888">
        <w:rPr>
          <w:szCs w:val="24"/>
        </w:rPr>
        <w:t xml:space="preserve">While it may be </w:t>
      </w:r>
      <w:r w:rsidR="7EA3138F" w:rsidRPr="05FC8414">
        <w:t xml:space="preserve">required that the Commissioner for Investigations </w:t>
      </w:r>
      <w:r w:rsidR="46D41921" w:rsidRPr="05FC8414">
        <w:t>compl</w:t>
      </w:r>
      <w:r w:rsidR="00876888">
        <w:t>ies</w:t>
      </w:r>
      <w:r w:rsidR="46D41921" w:rsidRPr="05FC8414">
        <w:t xml:space="preserve"> with the Human Rights Act 1998</w:t>
      </w:r>
      <w:r w:rsidR="002045F9">
        <w:t>,</w:t>
      </w:r>
      <w:r w:rsidR="00953453" w:rsidRPr="05FC8414">
        <w:rPr>
          <w:rStyle w:val="FootnoteReference"/>
        </w:rPr>
        <w:footnoteReference w:id="75"/>
      </w:r>
      <w:r w:rsidR="46D41921" w:rsidRPr="05FC8414">
        <w:t xml:space="preserve"> </w:t>
      </w:r>
      <w:r w:rsidR="00030ABB">
        <w:t>this does not provide sufficient protection of</w:t>
      </w:r>
      <w:r w:rsidR="2305C535" w:rsidRPr="05FC8414">
        <w:t xml:space="preserve"> independence</w:t>
      </w:r>
      <w:r w:rsidR="79D7A0F5">
        <w:rPr>
          <w:szCs w:val="24"/>
        </w:rPr>
        <w:t>.</w:t>
      </w:r>
      <w:r w:rsidR="00030ABB">
        <w:rPr>
          <w:szCs w:val="24"/>
        </w:rPr>
        <w:t xml:space="preserve"> </w:t>
      </w:r>
      <w:r w:rsidR="007A1677">
        <w:rPr>
          <w:szCs w:val="24"/>
        </w:rPr>
        <w:t xml:space="preserve">This is </w:t>
      </w:r>
      <w:r w:rsidR="002045F9">
        <w:rPr>
          <w:szCs w:val="24"/>
        </w:rPr>
        <w:t>particularly</w:t>
      </w:r>
      <w:r w:rsidR="007A1677">
        <w:rPr>
          <w:szCs w:val="24"/>
        </w:rPr>
        <w:t xml:space="preserve"> so given the provisions of the 2023 Act </w:t>
      </w:r>
      <w:r w:rsidR="008C4D9B">
        <w:rPr>
          <w:szCs w:val="24"/>
        </w:rPr>
        <w:t>(primary legislation)</w:t>
      </w:r>
      <w:r w:rsidR="002045F9">
        <w:rPr>
          <w:szCs w:val="24"/>
        </w:rPr>
        <w:t>,</w:t>
      </w:r>
      <w:r w:rsidR="008C4D9B">
        <w:rPr>
          <w:szCs w:val="24"/>
        </w:rPr>
        <w:t xml:space="preserve"> </w:t>
      </w:r>
      <w:r w:rsidR="007A1677">
        <w:rPr>
          <w:szCs w:val="24"/>
        </w:rPr>
        <w:t>which clearly dictate a departure from the Human Rights Act 1998</w:t>
      </w:r>
      <w:r w:rsidR="008C4D9B">
        <w:rPr>
          <w:szCs w:val="24"/>
        </w:rPr>
        <w:t xml:space="preserve">. </w:t>
      </w:r>
    </w:p>
    <w:p w14:paraId="526A24AF" w14:textId="77777777" w:rsidR="00D961BA" w:rsidRPr="00D961BA" w:rsidRDefault="00D961BA" w:rsidP="00D961BA">
      <w:pPr>
        <w:pStyle w:val="ListParagraph"/>
        <w:rPr>
          <w:szCs w:val="24"/>
        </w:rPr>
      </w:pPr>
    </w:p>
    <w:p w14:paraId="77A167F1" w14:textId="24D76F26" w:rsidR="00556F45" w:rsidRPr="00106BE8" w:rsidRDefault="008C4D9B" w:rsidP="002A62EE">
      <w:pPr>
        <w:pStyle w:val="ListParagraph"/>
        <w:numPr>
          <w:ilvl w:val="1"/>
          <w:numId w:val="13"/>
        </w:numPr>
        <w:rPr>
          <w:szCs w:val="24"/>
        </w:rPr>
      </w:pPr>
      <w:r>
        <w:t xml:space="preserve">The NIHRC does not make any allegations or suggestion as to the actual intentions or integrity of the Commissioner for Investigations that has already been appointed. However, the NIHRC must </w:t>
      </w:r>
      <w:r w:rsidR="0035672D">
        <w:t>make comment upon the fact that he</w:t>
      </w:r>
      <w:r w:rsidR="11A9D537" w:rsidRPr="05FC8414">
        <w:t xml:space="preserve"> </w:t>
      </w:r>
      <w:r w:rsidR="0035672D">
        <w:t xml:space="preserve">served </w:t>
      </w:r>
      <w:r w:rsidR="00E71F3E">
        <w:t xml:space="preserve">with the </w:t>
      </w:r>
      <w:r w:rsidR="11A9D537" w:rsidRPr="05FC8414">
        <w:t xml:space="preserve">Royal Ulster Constabulary </w:t>
      </w:r>
      <w:r w:rsidR="00E71F3E">
        <w:t xml:space="preserve">and Police Service of </w:t>
      </w:r>
      <w:r w:rsidR="002045F9">
        <w:t>NI</w:t>
      </w:r>
      <w:r w:rsidR="00E71F3E">
        <w:t xml:space="preserve"> throughout much of the relevant period. He rose to the </w:t>
      </w:r>
      <w:r w:rsidR="009E4476">
        <w:t xml:space="preserve">rank of </w:t>
      </w:r>
      <w:r w:rsidR="7F071A36" w:rsidRPr="05FC8414">
        <w:t>Assistant Chief Constable</w:t>
      </w:r>
      <w:r w:rsidR="009E4476">
        <w:t xml:space="preserve"> (Crime) whose responsibilities included </w:t>
      </w:r>
      <w:r w:rsidR="7F071A36" w:rsidRPr="05FC8414">
        <w:t>organised crime and terrorism investigations</w:t>
      </w:r>
      <w:r w:rsidR="00950886">
        <w:t xml:space="preserve"> and for intelligence branch</w:t>
      </w:r>
      <w:r w:rsidR="7F071A36" w:rsidRPr="05FC8414">
        <w:t>.</w:t>
      </w:r>
      <w:r w:rsidR="006E15B1" w:rsidRPr="05FC8414">
        <w:rPr>
          <w:rStyle w:val="FootnoteReference"/>
        </w:rPr>
        <w:footnoteReference w:id="76"/>
      </w:r>
      <w:r w:rsidR="7F071A36">
        <w:rPr>
          <w:szCs w:val="24"/>
        </w:rPr>
        <w:t xml:space="preserve"> </w:t>
      </w:r>
      <w:r w:rsidR="00950886">
        <w:rPr>
          <w:szCs w:val="24"/>
        </w:rPr>
        <w:t>This is a co</w:t>
      </w:r>
      <w:r w:rsidR="002045F9">
        <w:rPr>
          <w:szCs w:val="24"/>
        </w:rPr>
        <w:t>n</w:t>
      </w:r>
      <w:r w:rsidR="00950886">
        <w:rPr>
          <w:szCs w:val="24"/>
        </w:rPr>
        <w:t xml:space="preserve">flict that cannot, in the NIHRC’s respectful view, </w:t>
      </w:r>
      <w:r w:rsidR="009E5CDF">
        <w:rPr>
          <w:szCs w:val="24"/>
        </w:rPr>
        <w:t xml:space="preserve">be overcome by </w:t>
      </w:r>
      <w:r w:rsidR="009E5CDF">
        <w:rPr>
          <w:szCs w:val="24"/>
        </w:rPr>
        <w:lastRenderedPageBreak/>
        <w:t xml:space="preserve">a requirement to declare an interest in a specific case. </w:t>
      </w:r>
      <w:r w:rsidR="00787AA9">
        <w:rPr>
          <w:szCs w:val="24"/>
        </w:rPr>
        <w:t>Even if it could, it is clear from the 2023 Act that</w:t>
      </w:r>
      <w:r w:rsidR="005D203F">
        <w:rPr>
          <w:szCs w:val="24"/>
        </w:rPr>
        <w:t xml:space="preserve"> a declaration of interest is not of any necessary consequence.</w:t>
      </w:r>
      <w:r w:rsidR="00706071" w:rsidRPr="05FC8414">
        <w:rPr>
          <w:rStyle w:val="FootnoteReference"/>
        </w:rPr>
        <w:footnoteReference w:id="77"/>
      </w:r>
      <w:r w:rsidR="2C508BC9" w:rsidRPr="05FC8414">
        <w:t xml:space="preserve"> </w:t>
      </w:r>
      <w:r w:rsidR="2C508BC9" w:rsidRPr="05FC8414" w:rsidDel="005D203F">
        <w:t xml:space="preserve">There is </w:t>
      </w:r>
      <w:r w:rsidR="2C508BC9" w:rsidRPr="05FC8414">
        <w:t xml:space="preserve">no requirement </w:t>
      </w:r>
      <w:r w:rsidR="0020679A">
        <w:t xml:space="preserve">for example </w:t>
      </w:r>
      <w:r w:rsidR="2C508BC9" w:rsidRPr="05FC8414">
        <w:t xml:space="preserve">for any action to be taken </w:t>
      </w:r>
      <w:r w:rsidR="780B6205" w:rsidRPr="05FC8414">
        <w:t xml:space="preserve">to address a conflict when it arises. </w:t>
      </w:r>
      <w:r w:rsidR="305FA076" w:rsidRPr="05FC8414">
        <w:t>How this could be delivered in practice is</w:t>
      </w:r>
      <w:r w:rsidR="305FA076" w:rsidRPr="05FC8414" w:rsidDel="00456DC8">
        <w:t xml:space="preserve"> </w:t>
      </w:r>
      <w:r w:rsidR="305FA076" w:rsidRPr="05FC8414">
        <w:t xml:space="preserve">difficult to contemplate. </w:t>
      </w:r>
      <w:r w:rsidR="00456DC8">
        <w:t>M</w:t>
      </w:r>
      <w:r w:rsidR="3BFDA580" w:rsidRPr="05FC8414">
        <w:t xml:space="preserve">ore </w:t>
      </w:r>
      <w:r w:rsidR="00456DC8">
        <w:t>significantly</w:t>
      </w:r>
      <w:r w:rsidR="41849FEE">
        <w:rPr>
          <w:szCs w:val="24"/>
        </w:rPr>
        <w:t xml:space="preserve">, </w:t>
      </w:r>
      <w:proofErr w:type="spellStart"/>
      <w:r w:rsidR="41849FEE" w:rsidRPr="05FC8414">
        <w:rPr>
          <w:i/>
          <w:iCs/>
        </w:rPr>
        <w:t>McKerr</w:t>
      </w:r>
      <w:proofErr w:type="spellEnd"/>
      <w:r w:rsidR="41849FEE" w:rsidRPr="05FC8414">
        <w:t xml:space="preserve"> has made it clear that </w:t>
      </w:r>
      <w:r w:rsidR="34B5F9D8" w:rsidRPr="05FC8414">
        <w:t>the persons responsible for and carrying out investigation</w:t>
      </w:r>
      <w:r w:rsidR="555C118E" w:rsidRPr="05FC8414">
        <w:t>s</w:t>
      </w:r>
      <w:r w:rsidR="34B5F9D8">
        <w:rPr>
          <w:szCs w:val="24"/>
        </w:rPr>
        <w:t xml:space="preserve"> </w:t>
      </w:r>
      <w:r w:rsidR="3CA4F9AA" w:rsidRPr="05FC8414">
        <w:t>must be “independent from those implicated in the events… means not only that there should be no hierarchical or institutional connection but also clear independence”.</w:t>
      </w:r>
      <w:r w:rsidR="005E7D01" w:rsidRPr="05FC8414">
        <w:rPr>
          <w:rStyle w:val="FootnoteReference"/>
        </w:rPr>
        <w:footnoteReference w:id="78"/>
      </w:r>
      <w:r w:rsidR="47BF80D8" w:rsidDel="00A40816">
        <w:rPr>
          <w:szCs w:val="24"/>
        </w:rPr>
        <w:t xml:space="preserve"> </w:t>
      </w:r>
      <w:r w:rsidR="60B74E50" w:rsidRPr="05FC8414">
        <w:t xml:space="preserve">In </w:t>
      </w:r>
      <w:r w:rsidR="60B74E50" w:rsidRPr="05FC8414">
        <w:rPr>
          <w:i/>
          <w:iCs/>
        </w:rPr>
        <w:t xml:space="preserve">Armani da Silva v the UK </w:t>
      </w:r>
      <w:r w:rsidR="60B74E50" w:rsidRPr="05FC8414">
        <w:t>(2016), t</w:t>
      </w:r>
      <w:r w:rsidR="5558784A" w:rsidRPr="05FC8414">
        <w:t>he</w:t>
      </w:r>
      <w:r w:rsidR="0025F454" w:rsidRPr="05FC8414">
        <w:t xml:space="preserve"> ECtHR</w:t>
      </w:r>
      <w:r w:rsidR="57C81CD3">
        <w:rPr>
          <w:szCs w:val="24"/>
        </w:rPr>
        <w:t xml:space="preserve"> </w:t>
      </w:r>
      <w:r w:rsidR="5DC4EAFD" w:rsidRPr="05FC8414">
        <w:t>elaborated</w:t>
      </w:r>
      <w:r w:rsidR="60B74E50" w:rsidRPr="05FC8414">
        <w:t xml:space="preserve"> that</w:t>
      </w:r>
      <w:r w:rsidR="5DC4EAFD">
        <w:rPr>
          <w:szCs w:val="24"/>
        </w:rPr>
        <w:t xml:space="preserve"> “</w:t>
      </w:r>
      <w:r w:rsidR="60B74E50" w:rsidRPr="05FC8414">
        <w:t>w</w:t>
      </w:r>
      <w:r w:rsidR="5DC4EAFD" w:rsidRPr="05FC8414">
        <w:t>hat</w:t>
      </w:r>
      <w:r w:rsidR="6E404E06" w:rsidRPr="05FC8414">
        <w:t xml:space="preserve"> is at stake here is nothing less than public confidence in the State’s monopoly on the use of force”.</w:t>
      </w:r>
      <w:r w:rsidR="00F730CD" w:rsidRPr="05FC8414">
        <w:rPr>
          <w:rStyle w:val="FootnoteReference"/>
        </w:rPr>
        <w:footnoteReference w:id="79"/>
      </w:r>
      <w:r w:rsidR="6E404E06">
        <w:rPr>
          <w:szCs w:val="24"/>
        </w:rPr>
        <w:t xml:space="preserve"> </w:t>
      </w:r>
      <w:r w:rsidR="696BAA63" w:rsidRPr="05FC8414">
        <w:t>T</w:t>
      </w:r>
      <w:r w:rsidR="6E404E06" w:rsidRPr="05FC8414">
        <w:t>he ECtHR</w:t>
      </w:r>
      <w:r w:rsidR="0025F454" w:rsidRPr="05FC8414">
        <w:t xml:space="preserve"> has found that </w:t>
      </w:r>
      <w:r w:rsidR="5E863C39" w:rsidRPr="05FC8414">
        <w:t xml:space="preserve">independence </w:t>
      </w:r>
      <w:r w:rsidR="60B74E50" w:rsidRPr="05FC8414">
        <w:t>i</w:t>
      </w:r>
      <w:r w:rsidR="5E863C39" w:rsidRPr="05FC8414">
        <w:t>s lacking in investigations where the investigators</w:t>
      </w:r>
      <w:r w:rsidR="492A6D1F">
        <w:rPr>
          <w:szCs w:val="24"/>
        </w:rPr>
        <w:t xml:space="preserve"> </w:t>
      </w:r>
      <w:r w:rsidR="60B74E50" w:rsidRPr="05FC8414">
        <w:t>are</w:t>
      </w:r>
      <w:r w:rsidR="492A6D1F">
        <w:rPr>
          <w:szCs w:val="24"/>
        </w:rPr>
        <w:t xml:space="preserve"> </w:t>
      </w:r>
      <w:r w:rsidR="539A6DEB" w:rsidRPr="05FC8414">
        <w:t>potential suspects</w:t>
      </w:r>
      <w:r w:rsidR="60B74E50">
        <w:rPr>
          <w:szCs w:val="24"/>
        </w:rPr>
        <w:t>,</w:t>
      </w:r>
      <w:r w:rsidR="007F46A0" w:rsidRPr="05FC8414">
        <w:rPr>
          <w:rStyle w:val="FootnoteReference"/>
        </w:rPr>
        <w:footnoteReference w:id="80"/>
      </w:r>
      <w:r w:rsidR="1C01C3E2" w:rsidRPr="05FC8414">
        <w:t xml:space="preserve"> or</w:t>
      </w:r>
      <w:r w:rsidR="539A6DEB">
        <w:rPr>
          <w:szCs w:val="24"/>
        </w:rPr>
        <w:t xml:space="preserve"> </w:t>
      </w:r>
      <w:r w:rsidR="60B74E50" w:rsidRPr="05FC8414">
        <w:t xml:space="preserve">are </w:t>
      </w:r>
      <w:r w:rsidR="492A6D1F" w:rsidRPr="05FC8414">
        <w:t>direct colleagues of the persons subject to investigation</w:t>
      </w:r>
      <w:r w:rsidR="60B74E50">
        <w:rPr>
          <w:szCs w:val="24"/>
        </w:rPr>
        <w:t>,</w:t>
      </w:r>
      <w:r w:rsidR="492A6D1F" w:rsidRPr="05FC8414">
        <w:t xml:space="preserve"> or likely to be so</w:t>
      </w:r>
      <w:r w:rsidR="1C01C3E2">
        <w:rPr>
          <w:szCs w:val="24"/>
        </w:rPr>
        <w:t>.</w:t>
      </w:r>
      <w:r w:rsidR="0026317A" w:rsidRPr="05FC8414">
        <w:rPr>
          <w:rStyle w:val="FootnoteReference"/>
        </w:rPr>
        <w:footnoteReference w:id="81"/>
      </w:r>
    </w:p>
    <w:p w14:paraId="2F5B4C50" w14:textId="77777777" w:rsidR="00CD7FF5" w:rsidRPr="002F2B00" w:rsidRDefault="00CD7FF5" w:rsidP="00CD7FF5">
      <w:pPr>
        <w:rPr>
          <w:szCs w:val="24"/>
        </w:rPr>
      </w:pPr>
    </w:p>
    <w:p w14:paraId="69355A7C" w14:textId="4A3BABE1" w:rsidR="00297EF8" w:rsidRPr="002F2B00" w:rsidRDefault="3F9EFEBF" w:rsidP="002A62EE">
      <w:pPr>
        <w:pStyle w:val="ListParagraph"/>
        <w:numPr>
          <w:ilvl w:val="1"/>
          <w:numId w:val="13"/>
        </w:numPr>
        <w:rPr>
          <w:b/>
          <w:bCs/>
        </w:rPr>
      </w:pPr>
      <w:r w:rsidRPr="05FC8414">
        <w:rPr>
          <w:b/>
          <w:bCs/>
        </w:rPr>
        <w:t>The NIHRC</w:t>
      </w:r>
      <w:r w:rsidR="5A9A9044" w:rsidRPr="05FC8414" w:rsidDel="001553C5">
        <w:rPr>
          <w:b/>
          <w:bCs/>
        </w:rPr>
        <w:t xml:space="preserve"> </w:t>
      </w:r>
      <w:r w:rsidRPr="05FC8414">
        <w:rPr>
          <w:b/>
          <w:bCs/>
        </w:rPr>
        <w:t>advise</w:t>
      </w:r>
      <w:r w:rsidR="001553C5">
        <w:rPr>
          <w:b/>
          <w:bCs/>
        </w:rPr>
        <w:t>s</w:t>
      </w:r>
      <w:r w:rsidRPr="05FC8414">
        <w:rPr>
          <w:b/>
          <w:bCs/>
        </w:rPr>
        <w:t xml:space="preserve"> that the extent of the Secretary of State’s influence and involvement across the ICRIR’s </w:t>
      </w:r>
      <w:r w:rsidR="1AF26276" w:rsidRPr="05FC8414">
        <w:rPr>
          <w:b/>
          <w:bCs/>
        </w:rPr>
        <w:t xml:space="preserve">operations </w:t>
      </w:r>
      <w:r w:rsidR="001553C5">
        <w:rPr>
          <w:b/>
          <w:bCs/>
        </w:rPr>
        <w:t xml:space="preserve">as referred to above </w:t>
      </w:r>
      <w:r w:rsidR="45A68B17" w:rsidRPr="05FC8414">
        <w:rPr>
          <w:b/>
          <w:bCs/>
        </w:rPr>
        <w:t>prevents the ICRIR from being s</w:t>
      </w:r>
      <w:r w:rsidR="49E9B4C9" w:rsidRPr="05FC8414">
        <w:rPr>
          <w:b/>
          <w:bCs/>
        </w:rPr>
        <w:t>ufficiently</w:t>
      </w:r>
      <w:r w:rsidRPr="05FC8414">
        <w:rPr>
          <w:b/>
          <w:bCs/>
        </w:rPr>
        <w:t xml:space="preserve"> independent and impartial</w:t>
      </w:r>
      <w:r w:rsidR="5C08BF15" w:rsidRPr="05FC8414">
        <w:rPr>
          <w:b/>
          <w:bCs/>
        </w:rPr>
        <w:t>,</w:t>
      </w:r>
      <w:r w:rsidR="65596686" w:rsidRPr="05FC8414">
        <w:rPr>
          <w:b/>
          <w:bCs/>
        </w:rPr>
        <w:t xml:space="preserve"> as required by </w:t>
      </w:r>
      <w:r w:rsidR="5C08BF15" w:rsidRPr="05FC8414">
        <w:rPr>
          <w:b/>
          <w:bCs/>
        </w:rPr>
        <w:t>the ECHR.</w:t>
      </w:r>
    </w:p>
    <w:bookmarkEnd w:id="6"/>
    <w:p w14:paraId="061AC330" w14:textId="77777777" w:rsidR="001F1780" w:rsidRPr="002F2B00" w:rsidRDefault="001F1780" w:rsidP="002A62EE">
      <w:pPr>
        <w:pStyle w:val="ListParagraph"/>
        <w:numPr>
          <w:ilvl w:val="0"/>
          <w:numId w:val="13"/>
        </w:numPr>
        <w:rPr>
          <w:vanish/>
          <w:szCs w:val="24"/>
        </w:rPr>
      </w:pPr>
    </w:p>
    <w:p w14:paraId="6DCEC21A" w14:textId="77777777" w:rsidR="001F1780" w:rsidRPr="002F2B00" w:rsidRDefault="001F1780" w:rsidP="002A62EE">
      <w:pPr>
        <w:pStyle w:val="ListParagraph"/>
        <w:numPr>
          <w:ilvl w:val="1"/>
          <w:numId w:val="13"/>
        </w:numPr>
        <w:rPr>
          <w:vanish/>
          <w:szCs w:val="24"/>
        </w:rPr>
      </w:pPr>
    </w:p>
    <w:p w14:paraId="0AB7ED93" w14:textId="77777777" w:rsidR="001F1780" w:rsidRPr="002F2B00" w:rsidRDefault="001F1780" w:rsidP="002A62EE">
      <w:pPr>
        <w:pStyle w:val="ListParagraph"/>
        <w:numPr>
          <w:ilvl w:val="1"/>
          <w:numId w:val="13"/>
        </w:numPr>
        <w:rPr>
          <w:vanish/>
          <w:szCs w:val="24"/>
        </w:rPr>
      </w:pPr>
    </w:p>
    <w:p w14:paraId="23CD674E" w14:textId="77777777" w:rsidR="001F1780" w:rsidRPr="002F2B00" w:rsidRDefault="001F1780" w:rsidP="002A62EE">
      <w:pPr>
        <w:pStyle w:val="ListParagraph"/>
        <w:numPr>
          <w:ilvl w:val="1"/>
          <w:numId w:val="13"/>
        </w:numPr>
        <w:rPr>
          <w:vanish/>
          <w:szCs w:val="24"/>
        </w:rPr>
      </w:pPr>
    </w:p>
    <w:p w14:paraId="378062C6" w14:textId="47A158A7" w:rsidR="00B6279D" w:rsidRPr="002F2B00" w:rsidRDefault="00B6279D" w:rsidP="006D491F">
      <w:pPr>
        <w:rPr>
          <w:bCs/>
          <w:szCs w:val="24"/>
        </w:rPr>
      </w:pPr>
    </w:p>
    <w:p w14:paraId="408303B0" w14:textId="5EE82251" w:rsidR="00922736" w:rsidRPr="0023463E" w:rsidRDefault="00B6279D" w:rsidP="00967EEF">
      <w:pPr>
        <w:pStyle w:val="Heading3"/>
        <w:rPr>
          <w:szCs w:val="26"/>
        </w:rPr>
      </w:pPr>
      <w:bookmarkStart w:id="10" w:name="_Toc523318869"/>
      <w:bookmarkStart w:id="11" w:name="_Toc113517946"/>
      <w:bookmarkStart w:id="12" w:name="_Toc164766596"/>
      <w:r w:rsidRPr="002F2B00">
        <w:t xml:space="preserve">Thorough </w:t>
      </w:r>
      <w:r w:rsidR="00944E10" w:rsidRPr="002F2B00">
        <w:t>i</w:t>
      </w:r>
      <w:r w:rsidRPr="002F2B00">
        <w:t>nvestigations</w:t>
      </w:r>
      <w:bookmarkEnd w:id="10"/>
      <w:bookmarkEnd w:id="11"/>
      <w:bookmarkEnd w:id="12"/>
    </w:p>
    <w:p w14:paraId="6047E92D" w14:textId="3BEA64C4" w:rsidR="002A62EE" w:rsidRDefault="00DC41C8" w:rsidP="00536950">
      <w:pPr>
        <w:pStyle w:val="ListParagraph"/>
        <w:numPr>
          <w:ilvl w:val="1"/>
          <w:numId w:val="14"/>
        </w:numPr>
      </w:pPr>
      <w:r>
        <w:t xml:space="preserve">The </w:t>
      </w:r>
      <w:r w:rsidR="7FADECA0">
        <w:t>2023 Act</w:t>
      </w:r>
      <w:r w:rsidR="008E46C6">
        <w:t xml:space="preserve"> provides </w:t>
      </w:r>
      <w:r w:rsidR="3D5AA769" w:rsidRPr="002F2B00">
        <w:t xml:space="preserve">that the ICRIR’s functions will be limited to </w:t>
      </w:r>
      <w:r w:rsidR="1E23EC8A" w:rsidRPr="002F2B00">
        <w:t>a</w:t>
      </w:r>
      <w:r w:rsidR="47DA8918" w:rsidRPr="002F2B00">
        <w:t xml:space="preserve"> review </w:t>
      </w:r>
      <w:r w:rsidR="00607114">
        <w:t xml:space="preserve">(which when read with the provisions of the </w:t>
      </w:r>
      <w:r w:rsidR="00AA7E52">
        <w:t xml:space="preserve">2023 </w:t>
      </w:r>
      <w:r w:rsidR="00607114">
        <w:t>Act will be a ‘light-touch’</w:t>
      </w:r>
      <w:r w:rsidR="00856511">
        <w:t>)</w:t>
      </w:r>
      <w:r w:rsidR="00105EA9">
        <w:rPr>
          <w:rStyle w:val="FootnoteReference"/>
        </w:rPr>
        <w:footnoteReference w:id="82"/>
      </w:r>
      <w:r w:rsidR="00856511">
        <w:t xml:space="preserve"> </w:t>
      </w:r>
      <w:r w:rsidR="47DA8918" w:rsidRPr="002F2B00">
        <w:t xml:space="preserve">or </w:t>
      </w:r>
      <w:r w:rsidR="5E207833" w:rsidRPr="002F2B00">
        <w:t>t</w:t>
      </w:r>
      <w:r w:rsidR="74B81D96" w:rsidRPr="002F2B00">
        <w:t xml:space="preserve">he </w:t>
      </w:r>
      <w:r w:rsidR="3D5AA769" w:rsidRPr="002F2B00">
        <w:t xml:space="preserve">establishment of a </w:t>
      </w:r>
      <w:r w:rsidR="47DA8918" w:rsidRPr="002F2B00">
        <w:t>historical record</w:t>
      </w:r>
      <w:r w:rsidR="3D5AA769" w:rsidRPr="002F2B00">
        <w:t>.</w:t>
      </w:r>
      <w:r w:rsidR="00525DC6" w:rsidRPr="002F2B00">
        <w:rPr>
          <w:vertAlign w:val="superscript"/>
        </w:rPr>
        <w:footnoteReference w:id="83"/>
      </w:r>
      <w:r w:rsidR="3D5AA769" w:rsidRPr="002F2B00">
        <w:t xml:space="preserve"> </w:t>
      </w:r>
      <w:r w:rsidR="1BF5C384">
        <w:t>The effectiveness of an investigation is largely dependent upon the</w:t>
      </w:r>
      <w:r w:rsidR="68B06C4C">
        <w:t xml:space="preserve"> Commissioner for Investigations </w:t>
      </w:r>
      <w:r w:rsidR="4115B89D">
        <w:t>exercising his discretion effectively</w:t>
      </w:r>
      <w:r w:rsidR="68B06C4C">
        <w:t>.</w:t>
      </w:r>
      <w:r w:rsidR="1D633D83">
        <w:t xml:space="preserve"> </w:t>
      </w:r>
      <w:r w:rsidR="00B3782B">
        <w:t xml:space="preserve">For </w:t>
      </w:r>
      <w:proofErr w:type="gramStart"/>
      <w:r w:rsidR="00B3782B">
        <w:t>a number of</w:t>
      </w:r>
      <w:proofErr w:type="gramEnd"/>
      <w:r w:rsidR="00B3782B">
        <w:t xml:space="preserve"> reasons including the issue of independence, </w:t>
      </w:r>
      <w:r w:rsidR="460CBC56" w:rsidRPr="002F2B00">
        <w:t>the NIHRC</w:t>
      </w:r>
      <w:r w:rsidR="00336708">
        <w:t xml:space="preserve"> doubts that a </w:t>
      </w:r>
      <w:r w:rsidR="47DA8918" w:rsidRPr="002F2B00">
        <w:t>thorough and effective investigation</w:t>
      </w:r>
      <w:r w:rsidR="00336708">
        <w:t xml:space="preserve"> is possible in any </w:t>
      </w:r>
      <w:r w:rsidR="08D769D0" w:rsidRPr="002F2B00">
        <w:t>case</w:t>
      </w:r>
      <w:r w:rsidR="47DA8918" w:rsidRPr="002F2B00" w:rsidDel="003D530D">
        <w:t>.</w:t>
      </w:r>
      <w:r w:rsidR="007E2DB5" w:rsidRPr="002F2B00">
        <w:rPr>
          <w:rStyle w:val="FootnoteReference"/>
        </w:rPr>
        <w:footnoteReference w:id="84"/>
      </w:r>
      <w:r w:rsidR="47DA8918" w:rsidRPr="002F2B00">
        <w:t xml:space="preserve"> </w:t>
      </w:r>
    </w:p>
    <w:p w14:paraId="60AA6731" w14:textId="77777777" w:rsidR="002A62EE" w:rsidRDefault="002A62EE" w:rsidP="002A62EE">
      <w:pPr>
        <w:pStyle w:val="ListParagraph"/>
      </w:pPr>
    </w:p>
    <w:p w14:paraId="5F510AD8" w14:textId="687E8936" w:rsidR="002A62EE" w:rsidRPr="002A62EE" w:rsidRDefault="3D5AA769" w:rsidP="002A62EE">
      <w:pPr>
        <w:pStyle w:val="ListParagraph"/>
        <w:numPr>
          <w:ilvl w:val="1"/>
          <w:numId w:val="14"/>
        </w:numPr>
      </w:pPr>
      <w:r w:rsidRPr="002A62EE">
        <w:rPr>
          <w:b/>
          <w:bCs/>
        </w:rPr>
        <w:lastRenderedPageBreak/>
        <w:t xml:space="preserve">The NIHRC advises </w:t>
      </w:r>
      <w:r w:rsidR="0053393D">
        <w:rPr>
          <w:b/>
          <w:bCs/>
        </w:rPr>
        <w:t xml:space="preserve">that </w:t>
      </w:r>
      <w:r w:rsidR="3BD44E46" w:rsidRPr="002A62EE">
        <w:rPr>
          <w:b/>
          <w:bCs/>
        </w:rPr>
        <w:t xml:space="preserve">a thorough investigation </w:t>
      </w:r>
      <w:r w:rsidR="3A9DBF3A" w:rsidRPr="002A62EE">
        <w:rPr>
          <w:b/>
          <w:bCs/>
        </w:rPr>
        <w:t>can</w:t>
      </w:r>
      <w:r w:rsidR="57F402F2" w:rsidRPr="002A62EE">
        <w:rPr>
          <w:b/>
          <w:bCs/>
        </w:rPr>
        <w:t xml:space="preserve">not be achieved by </w:t>
      </w:r>
      <w:r w:rsidR="50340CAE" w:rsidRPr="002A62EE">
        <w:rPr>
          <w:b/>
          <w:bCs/>
        </w:rPr>
        <w:t xml:space="preserve">a light-touch review or </w:t>
      </w:r>
      <w:r w:rsidR="1D5D87F5" w:rsidRPr="002A62EE">
        <w:rPr>
          <w:b/>
          <w:bCs/>
        </w:rPr>
        <w:t xml:space="preserve">producing a </w:t>
      </w:r>
      <w:r w:rsidR="50340CAE" w:rsidRPr="002A62EE">
        <w:rPr>
          <w:b/>
          <w:bCs/>
        </w:rPr>
        <w:t>historical record</w:t>
      </w:r>
      <w:r w:rsidR="0053393D">
        <w:rPr>
          <w:b/>
          <w:bCs/>
        </w:rPr>
        <w:t>.</w:t>
      </w:r>
    </w:p>
    <w:p w14:paraId="318A9FF7" w14:textId="77777777" w:rsidR="00AC515D" w:rsidRPr="002F2B00" w:rsidRDefault="00AC515D" w:rsidP="00AC515D">
      <w:pPr>
        <w:pStyle w:val="ListParagraph"/>
      </w:pPr>
    </w:p>
    <w:p w14:paraId="38140798" w14:textId="3894A96D" w:rsidR="005A1360" w:rsidRPr="002F2B00" w:rsidRDefault="00B6279D" w:rsidP="00967EEF">
      <w:pPr>
        <w:pStyle w:val="Heading3"/>
      </w:pPr>
      <w:bookmarkStart w:id="13" w:name="_Toc523318865"/>
      <w:bookmarkStart w:id="14" w:name="_Toc113517947"/>
      <w:bookmarkStart w:id="15" w:name="_Toc164766597"/>
      <w:r w:rsidRPr="002F2B00">
        <w:t xml:space="preserve">State’s </w:t>
      </w:r>
      <w:r w:rsidR="004810CC" w:rsidRPr="002F2B00">
        <w:t>o</w:t>
      </w:r>
      <w:r w:rsidRPr="002F2B00">
        <w:t xml:space="preserve">wn </w:t>
      </w:r>
      <w:r w:rsidR="004810CC" w:rsidRPr="002F2B00">
        <w:t>m</w:t>
      </w:r>
      <w:r w:rsidRPr="002F2B00">
        <w:t>otion</w:t>
      </w:r>
      <w:bookmarkEnd w:id="13"/>
      <w:bookmarkEnd w:id="14"/>
      <w:bookmarkEnd w:id="15"/>
    </w:p>
    <w:p w14:paraId="6EE9EDE4" w14:textId="77777777" w:rsidR="00E24C1B" w:rsidRDefault="78642635" w:rsidP="00DD394B">
      <w:pPr>
        <w:pStyle w:val="ListParagraph"/>
        <w:numPr>
          <w:ilvl w:val="1"/>
          <w:numId w:val="14"/>
        </w:numPr>
      </w:pPr>
      <w:r w:rsidRPr="002F2B00">
        <w:t xml:space="preserve">Within the </w:t>
      </w:r>
      <w:r w:rsidR="5F98631C">
        <w:t>2023 Act</w:t>
      </w:r>
      <w:r w:rsidRPr="002F2B00">
        <w:t xml:space="preserve">, </w:t>
      </w:r>
      <w:r w:rsidR="10B32F13" w:rsidRPr="002F2B00">
        <w:t xml:space="preserve">a range of State </w:t>
      </w:r>
      <w:r w:rsidR="6D8AB29C" w:rsidRPr="002F2B00">
        <w:t>a</w:t>
      </w:r>
      <w:r w:rsidR="00034B50">
        <w:t>ctors</w:t>
      </w:r>
      <w:r w:rsidR="00800D7D">
        <w:t xml:space="preserve"> </w:t>
      </w:r>
      <w:r w:rsidR="10B32F13" w:rsidRPr="002F2B00">
        <w:t xml:space="preserve">can request that the ICRIR conducts a review into a particular </w:t>
      </w:r>
      <w:r w:rsidR="4932E7BC" w:rsidRPr="002F2B00">
        <w:t>death</w:t>
      </w:r>
      <w:r w:rsidR="6906E699" w:rsidRPr="002F2B00">
        <w:t xml:space="preserve">, </w:t>
      </w:r>
      <w:r w:rsidR="569EE3E8" w:rsidRPr="002F2B00">
        <w:t>such</w:t>
      </w:r>
      <w:r w:rsidR="6906E699" w:rsidRPr="002F2B00">
        <w:t xml:space="preserve"> as</w:t>
      </w:r>
      <w:r w:rsidR="569EE3E8" w:rsidRPr="002F2B00">
        <w:t xml:space="preserve"> the Secretary of State, a coroner, the Attorney General for NI.</w:t>
      </w:r>
      <w:r w:rsidR="00F85DD9" w:rsidRPr="002F2B00">
        <w:rPr>
          <w:rStyle w:val="FootnoteReference"/>
        </w:rPr>
        <w:footnoteReference w:id="85"/>
      </w:r>
      <w:r w:rsidR="569EE3E8" w:rsidRPr="002F2B00">
        <w:t xml:space="preserve"> </w:t>
      </w:r>
      <w:r w:rsidR="006D2866">
        <w:t xml:space="preserve"> Amongst other things as outlined </w:t>
      </w:r>
      <w:r w:rsidR="3C10E808" w:rsidRPr="002F2B00" w:rsidDel="006D2866">
        <w:t>i</w:t>
      </w:r>
      <w:r w:rsidR="3C10E808" w:rsidRPr="002F2B00">
        <w:t xml:space="preserve">nvestigations </w:t>
      </w:r>
      <w:r w:rsidR="00F56B59">
        <w:t>must</w:t>
      </w:r>
      <w:r w:rsidR="00F56B59" w:rsidRPr="002F2B00">
        <w:t xml:space="preserve"> </w:t>
      </w:r>
      <w:r w:rsidR="3C10E808" w:rsidRPr="002F2B00">
        <w:t>be of the State’s own motion,</w:t>
      </w:r>
      <w:r w:rsidR="00F56B59">
        <w:t xml:space="preserve"> which means the State cannot leave it for example to the relatives of the </w:t>
      </w:r>
      <w:r w:rsidR="0016561A">
        <w:t>deceased</w:t>
      </w:r>
      <w:r w:rsidR="00F56B59">
        <w:t xml:space="preserve"> to </w:t>
      </w:r>
      <w:r w:rsidR="0016561A">
        <w:t>initiate</w:t>
      </w:r>
      <w:r w:rsidR="00F56B59">
        <w:t xml:space="preserve"> legal proceedings.</w:t>
      </w:r>
      <w:r w:rsidR="00FE497E" w:rsidRPr="002F2B00">
        <w:rPr>
          <w:rStyle w:val="FootnoteReference"/>
        </w:rPr>
        <w:footnoteReference w:id="86"/>
      </w:r>
      <w:r w:rsidR="3C10E808" w:rsidRPr="002F2B00">
        <w:t xml:space="preserve"> </w:t>
      </w:r>
      <w:r w:rsidR="00D30231">
        <w:t xml:space="preserve">That is </w:t>
      </w:r>
      <w:r w:rsidR="006810AD">
        <w:t xml:space="preserve">a requirement as per the ECHR. </w:t>
      </w:r>
      <w:r w:rsidR="00F56B59">
        <w:t xml:space="preserve">That is </w:t>
      </w:r>
      <w:r w:rsidR="00550FBE">
        <w:t xml:space="preserve">a </w:t>
      </w:r>
      <w:r w:rsidR="00F56B59">
        <w:t xml:space="preserve">different </w:t>
      </w:r>
      <w:r w:rsidR="00550FBE">
        <w:t xml:space="preserve">issue </w:t>
      </w:r>
      <w:r w:rsidR="00F56B59">
        <w:t xml:space="preserve">however to </w:t>
      </w:r>
      <w:r w:rsidR="0065042C">
        <w:t>the provision in the 2023 Act</w:t>
      </w:r>
      <w:r w:rsidR="0016561A">
        <w:t>,</w:t>
      </w:r>
      <w:r w:rsidR="0065042C">
        <w:t xml:space="preserve"> providing that </w:t>
      </w:r>
      <w:r w:rsidR="3C10E808" w:rsidRPr="002F2B00">
        <w:t xml:space="preserve">a review </w:t>
      </w:r>
      <w:r w:rsidR="0065042C">
        <w:t xml:space="preserve">in a particular case </w:t>
      </w:r>
      <w:r w:rsidR="3C10E808" w:rsidRPr="002F2B00">
        <w:t xml:space="preserve">can be requested by </w:t>
      </w:r>
      <w:proofErr w:type="gramStart"/>
      <w:r w:rsidR="0065042C">
        <w:t>a number of</w:t>
      </w:r>
      <w:proofErr w:type="gramEnd"/>
      <w:r w:rsidR="0065042C">
        <w:t xml:space="preserve"> </w:t>
      </w:r>
      <w:r w:rsidR="3C10E808" w:rsidRPr="002F2B00">
        <w:t xml:space="preserve">State </w:t>
      </w:r>
      <w:r w:rsidR="6D8AB29C" w:rsidRPr="002F2B00">
        <w:t>a</w:t>
      </w:r>
      <w:r w:rsidR="4DD59416" w:rsidRPr="002F2B00">
        <w:t>ctors</w:t>
      </w:r>
      <w:r w:rsidR="3C10E808" w:rsidRPr="002F2B00">
        <w:t xml:space="preserve">. </w:t>
      </w:r>
      <w:r w:rsidR="00550FBE">
        <w:t xml:space="preserve">Providing that State actors can request the ICRIR to carry out a review is simply part of the </w:t>
      </w:r>
      <w:r w:rsidR="00D30231">
        <w:t xml:space="preserve">domestic </w:t>
      </w:r>
      <w:r w:rsidR="00550FBE">
        <w:t xml:space="preserve">mechanism for initiating reviews. </w:t>
      </w:r>
      <w:r w:rsidR="481B9BD5">
        <w:t xml:space="preserve">The High Court of Justice in NI found that </w:t>
      </w:r>
      <w:r w:rsidR="2785DF6A">
        <w:t xml:space="preserve">the 2023 Act sufficiently enables the State to act of </w:t>
      </w:r>
      <w:r w:rsidR="2785DF6A" w:rsidDel="00D30231">
        <w:t xml:space="preserve">its </w:t>
      </w:r>
      <w:r w:rsidR="2785DF6A">
        <w:t>own accord</w:t>
      </w:r>
      <w:r w:rsidR="00C924B6">
        <w:t>.</w:t>
      </w:r>
      <w:r w:rsidR="0089611B">
        <w:rPr>
          <w:rStyle w:val="FootnoteReference"/>
        </w:rPr>
        <w:footnoteReference w:id="87"/>
      </w:r>
    </w:p>
    <w:p w14:paraId="3D567FE1" w14:textId="77777777" w:rsidR="00E24C1B" w:rsidRDefault="00E24C1B" w:rsidP="00E24C1B">
      <w:pPr>
        <w:pStyle w:val="ListParagraph"/>
      </w:pPr>
    </w:p>
    <w:p w14:paraId="47B7708E" w14:textId="0F05B109" w:rsidR="005A1360" w:rsidRPr="00E24C1B" w:rsidRDefault="006810AD" w:rsidP="00DD394B">
      <w:pPr>
        <w:pStyle w:val="ListParagraph"/>
        <w:numPr>
          <w:ilvl w:val="1"/>
          <w:numId w:val="14"/>
        </w:numPr>
        <w:rPr>
          <w:b/>
        </w:rPr>
      </w:pPr>
      <w:r w:rsidRPr="00E24C1B">
        <w:rPr>
          <w:b/>
        </w:rPr>
        <w:t xml:space="preserve">The </w:t>
      </w:r>
      <w:r w:rsidR="00E24C1B" w:rsidRPr="00E24C1B">
        <w:rPr>
          <w:b/>
          <w:bCs/>
        </w:rPr>
        <w:t>NIHRC advises that t</w:t>
      </w:r>
      <w:r w:rsidRPr="00E24C1B">
        <w:rPr>
          <w:b/>
          <w:bCs/>
        </w:rPr>
        <w:t xml:space="preserve">he </w:t>
      </w:r>
      <w:r w:rsidRPr="00E24C1B">
        <w:rPr>
          <w:b/>
        </w:rPr>
        <w:t>State is not permitted to act of its own accord (especially within a flawed framework)</w:t>
      </w:r>
      <w:r w:rsidR="0016561A" w:rsidRPr="00E24C1B">
        <w:rPr>
          <w:b/>
        </w:rPr>
        <w:t>,</w:t>
      </w:r>
      <w:r w:rsidRPr="00E24C1B">
        <w:rPr>
          <w:b/>
        </w:rPr>
        <w:t xml:space="preserve"> </w:t>
      </w:r>
      <w:r w:rsidR="00683E89" w:rsidRPr="00E24C1B">
        <w:rPr>
          <w:b/>
        </w:rPr>
        <w:t xml:space="preserve">it is required to act of its own accord. The fact that certain actors can request a review </w:t>
      </w:r>
      <w:r w:rsidR="003F078F" w:rsidRPr="00E24C1B">
        <w:rPr>
          <w:b/>
        </w:rPr>
        <w:t>is not pro</w:t>
      </w:r>
      <w:r w:rsidR="00C3371D" w:rsidRPr="00E24C1B">
        <w:rPr>
          <w:b/>
        </w:rPr>
        <w:t>blematic</w:t>
      </w:r>
      <w:r w:rsidR="00DC24C4" w:rsidRPr="00E24C1B">
        <w:rPr>
          <w:b/>
        </w:rPr>
        <w:t>,</w:t>
      </w:r>
      <w:r w:rsidR="00683E89" w:rsidRPr="00E24C1B">
        <w:rPr>
          <w:b/>
        </w:rPr>
        <w:t xml:space="preserve"> but it is not the same as a requirement on the State to conduct </w:t>
      </w:r>
      <w:r w:rsidR="00DC24C4" w:rsidRPr="00E24C1B">
        <w:rPr>
          <w:b/>
        </w:rPr>
        <w:t xml:space="preserve">investigations when required by law. </w:t>
      </w:r>
    </w:p>
    <w:p w14:paraId="6A32EB31" w14:textId="3BFDECCE" w:rsidR="00B6279D" w:rsidRPr="002F2B00" w:rsidRDefault="00B6279D" w:rsidP="00B6279D">
      <w:pPr>
        <w:rPr>
          <w:b/>
          <w:szCs w:val="24"/>
        </w:rPr>
      </w:pPr>
    </w:p>
    <w:p w14:paraId="6BEE8CC6" w14:textId="2709D033" w:rsidR="002F5A4D" w:rsidRPr="002F2B00" w:rsidRDefault="32D6F4C9" w:rsidP="00967EEF">
      <w:pPr>
        <w:pStyle w:val="Heading3"/>
      </w:pPr>
      <w:bookmarkStart w:id="16" w:name="_Toc113517948"/>
      <w:bookmarkStart w:id="17" w:name="_Toc164766598"/>
      <w:bookmarkStart w:id="18" w:name="_Toc523318867"/>
      <w:bookmarkStart w:id="19" w:name="_Toc523318866"/>
      <w:r>
        <w:t xml:space="preserve">Prompt </w:t>
      </w:r>
      <w:r w:rsidR="09A4701F">
        <w:t>c</w:t>
      </w:r>
      <w:r>
        <w:t xml:space="preserve">ommencement </w:t>
      </w:r>
      <w:r w:rsidR="09A4701F">
        <w:t xml:space="preserve">and </w:t>
      </w:r>
      <w:proofErr w:type="gramStart"/>
      <w:r w:rsidR="09A4701F">
        <w:t>expedition</w:t>
      </w:r>
      <w:bookmarkEnd w:id="16"/>
      <w:bookmarkEnd w:id="17"/>
      <w:proofErr w:type="gramEnd"/>
      <w:r w:rsidR="09A4701F">
        <w:t xml:space="preserve"> </w:t>
      </w:r>
      <w:bookmarkEnd w:id="18"/>
    </w:p>
    <w:p w14:paraId="5DBDA489" w14:textId="07968A8B" w:rsidR="004810CC" w:rsidRPr="002F2B00" w:rsidRDefault="15F1B3E8" w:rsidP="00DD394B">
      <w:pPr>
        <w:pStyle w:val="ListParagraph"/>
        <w:numPr>
          <w:ilvl w:val="1"/>
          <w:numId w:val="14"/>
        </w:numPr>
        <w:rPr>
          <w:rFonts w:cs="Arial"/>
          <w:szCs w:val="24"/>
        </w:rPr>
      </w:pPr>
      <w:r w:rsidRPr="002F2B00">
        <w:t xml:space="preserve">The undue delays </w:t>
      </w:r>
      <w:r w:rsidR="6F9A1C33" w:rsidRPr="002F2B00">
        <w:t>in commencing and progressing</w:t>
      </w:r>
      <w:r w:rsidR="14E0D131" w:rsidRPr="002F2B00">
        <w:t xml:space="preserve"> human rights compliant investigations regarding the Troubles </w:t>
      </w:r>
      <w:r w:rsidR="000E6D23">
        <w:t>already</w:t>
      </w:r>
      <w:r w:rsidR="14E0D131" w:rsidRPr="002F2B00">
        <w:t xml:space="preserve"> </w:t>
      </w:r>
      <w:r w:rsidR="6F9A1C33" w:rsidRPr="002F2B00">
        <w:t>constitute ongoing violations of Articles 2 and 3 of the ECHR.</w:t>
      </w:r>
      <w:r w:rsidR="006B6D14" w:rsidRPr="002F2B00">
        <w:rPr>
          <w:rStyle w:val="FootnoteReference"/>
        </w:rPr>
        <w:footnoteReference w:id="88"/>
      </w:r>
      <w:r w:rsidR="31256BE6" w:rsidRPr="002F2B00">
        <w:t xml:space="preserve"> The main way to address these violations </w:t>
      </w:r>
      <w:r w:rsidR="000E6D23">
        <w:t xml:space="preserve">although it is too late to cure entirely, </w:t>
      </w:r>
      <w:r w:rsidR="31256BE6" w:rsidRPr="002F2B00">
        <w:t xml:space="preserve">is to </w:t>
      </w:r>
      <w:r w:rsidR="41103415" w:rsidRPr="002F2B00">
        <w:t>commence</w:t>
      </w:r>
      <w:r w:rsidR="7D3CE77A" w:rsidRPr="002F2B00">
        <w:t xml:space="preserve"> </w:t>
      </w:r>
      <w:r w:rsidR="7D3CE77A">
        <w:t>human rights compliant</w:t>
      </w:r>
      <w:r w:rsidR="41103415" w:rsidRPr="002F2B00">
        <w:t xml:space="preserve"> investigations as soon as possible. </w:t>
      </w:r>
      <w:r w:rsidR="00A80155">
        <w:t xml:space="preserve">The 2023 Act does not </w:t>
      </w:r>
      <w:r w:rsidR="00123FFB">
        <w:t>do that.</w:t>
      </w:r>
    </w:p>
    <w:p w14:paraId="1A34FD77" w14:textId="282EE50B" w:rsidR="004810CC" w:rsidRPr="002F2B00" w:rsidRDefault="004810CC" w:rsidP="002A62EE">
      <w:pPr>
        <w:rPr>
          <w:rFonts w:cs="Arial"/>
          <w:szCs w:val="24"/>
        </w:rPr>
      </w:pPr>
    </w:p>
    <w:p w14:paraId="12DAD8B1" w14:textId="1B29F384" w:rsidR="004810CC" w:rsidRPr="002F2B00" w:rsidRDefault="44A05353" w:rsidP="00DD394B">
      <w:pPr>
        <w:pStyle w:val="ListParagraph"/>
        <w:numPr>
          <w:ilvl w:val="1"/>
          <w:numId w:val="14"/>
        </w:numPr>
        <w:rPr>
          <w:rFonts w:cs="Arial"/>
        </w:rPr>
      </w:pPr>
      <w:r w:rsidRPr="002F2B00">
        <w:t xml:space="preserve">The Explanatory Note to the </w:t>
      </w:r>
      <w:r w:rsidR="1D38397A">
        <w:t>2023 Act</w:t>
      </w:r>
      <w:r w:rsidRPr="002F2B00">
        <w:t xml:space="preserve"> state</w:t>
      </w:r>
      <w:r w:rsidR="00123FFB">
        <w:t>s</w:t>
      </w:r>
      <w:r w:rsidRPr="002F2B00">
        <w:t xml:space="preserve"> that the </w:t>
      </w:r>
      <w:r w:rsidR="1D38397A">
        <w:t>legislation</w:t>
      </w:r>
      <w:r w:rsidRPr="002F2B00">
        <w:t xml:space="preserve"> “builds on the principles and other aspects of the Stormont House Agreement.”</w:t>
      </w:r>
      <w:r w:rsidR="000C7F45" w:rsidRPr="002F2B00">
        <w:rPr>
          <w:vertAlign w:val="superscript"/>
        </w:rPr>
        <w:footnoteReference w:id="89"/>
      </w:r>
      <w:r w:rsidR="4618782A" w:rsidRPr="002F2B00">
        <w:t xml:space="preserve"> T</w:t>
      </w:r>
      <w:r w:rsidRPr="002F2B00">
        <w:t>h</w:t>
      </w:r>
      <w:r w:rsidR="4997D934" w:rsidRPr="002F2B00">
        <w:t xml:space="preserve">e </w:t>
      </w:r>
      <w:r w:rsidR="1D38397A">
        <w:t>2023 Act</w:t>
      </w:r>
      <w:r w:rsidRPr="002F2B00">
        <w:t xml:space="preserve"> bears little </w:t>
      </w:r>
      <w:r w:rsidR="00123FFB">
        <w:t xml:space="preserve">or no </w:t>
      </w:r>
      <w:r w:rsidR="000321A9">
        <w:t>resemblance</w:t>
      </w:r>
      <w:r w:rsidR="000321A9" w:rsidRPr="002F2B00">
        <w:t xml:space="preserve"> </w:t>
      </w:r>
      <w:r w:rsidRPr="002F2B00">
        <w:t>to the S</w:t>
      </w:r>
      <w:r w:rsidR="7726FC7D" w:rsidRPr="002F2B00">
        <w:t xml:space="preserve">tormont </w:t>
      </w:r>
      <w:r w:rsidRPr="002F2B00">
        <w:t>H</w:t>
      </w:r>
      <w:r w:rsidR="7726FC7D" w:rsidRPr="002F2B00">
        <w:t xml:space="preserve">ouse </w:t>
      </w:r>
      <w:r w:rsidRPr="002F2B00">
        <w:t>A</w:t>
      </w:r>
      <w:r w:rsidR="7726FC7D" w:rsidRPr="002F2B00">
        <w:t>greement</w:t>
      </w:r>
      <w:r w:rsidR="000321A9">
        <w:t>; quite the contrary</w:t>
      </w:r>
      <w:r w:rsidRPr="002F2B00">
        <w:t xml:space="preserve">. </w:t>
      </w:r>
      <w:r w:rsidR="00326333">
        <w:t>What is</w:t>
      </w:r>
      <w:r w:rsidR="000321A9">
        <w:t xml:space="preserve"> however</w:t>
      </w:r>
      <w:r w:rsidR="00326333">
        <w:t xml:space="preserve"> </w:t>
      </w:r>
      <w:r w:rsidR="000321A9">
        <w:t>c</w:t>
      </w:r>
      <w:r w:rsidR="00326333">
        <w:t xml:space="preserve">lear is that </w:t>
      </w:r>
      <w:r w:rsidR="7726FC7D" w:rsidRPr="002F2B00">
        <w:t xml:space="preserve">the consultation </w:t>
      </w:r>
      <w:r w:rsidR="001A4D65">
        <w:t xml:space="preserve">that was undertaken </w:t>
      </w:r>
      <w:r w:rsidR="00326333">
        <w:t>(</w:t>
      </w:r>
      <w:r w:rsidR="001A4D65">
        <w:t xml:space="preserve">albeit </w:t>
      </w:r>
      <w:r w:rsidR="7726FC7D" w:rsidRPr="002F2B00">
        <w:t>on a</w:t>
      </w:r>
      <w:r w:rsidRPr="002F2B00">
        <w:t xml:space="preserve"> previous </w:t>
      </w:r>
      <w:r w:rsidR="140577C6" w:rsidRPr="002F2B00">
        <w:t>legacy Bill</w:t>
      </w:r>
      <w:r w:rsidR="00326333">
        <w:t>)</w:t>
      </w:r>
      <w:r w:rsidR="001A4D65">
        <w:t>,</w:t>
      </w:r>
      <w:r w:rsidR="140577C6" w:rsidRPr="002F2B00">
        <w:t xml:space="preserve"> </w:t>
      </w:r>
      <w:r w:rsidR="1830A10F" w:rsidRPr="002F2B00">
        <w:t>which</w:t>
      </w:r>
      <w:r w:rsidRPr="002F2B00">
        <w:t xml:space="preserve"> received </w:t>
      </w:r>
      <w:r w:rsidR="140577C6" w:rsidRPr="002F2B00">
        <w:t xml:space="preserve">a response </w:t>
      </w:r>
      <w:r w:rsidRPr="002F2B00">
        <w:t xml:space="preserve">from </w:t>
      </w:r>
      <w:r w:rsidR="140577C6" w:rsidRPr="002F2B00">
        <w:t xml:space="preserve">17,000 </w:t>
      </w:r>
      <w:r w:rsidRPr="002F2B00">
        <w:t>stakeholders</w:t>
      </w:r>
      <w:r w:rsidR="001A4D65">
        <w:t xml:space="preserve"> rejected </w:t>
      </w:r>
      <w:r w:rsidR="00953783">
        <w:t xml:space="preserve">wholescale </w:t>
      </w:r>
      <w:r w:rsidR="009D0181">
        <w:t>the approach now taken in this Act.</w:t>
      </w:r>
    </w:p>
    <w:p w14:paraId="15754915" w14:textId="6B9E6280" w:rsidR="00E51BF1" w:rsidRPr="002F2B00" w:rsidRDefault="00E51BF1" w:rsidP="00E51BF1">
      <w:pPr>
        <w:pStyle w:val="ListParagraph"/>
      </w:pPr>
    </w:p>
    <w:p w14:paraId="53E5A200" w14:textId="407A69EE" w:rsidR="002F45D0" w:rsidRPr="00FC158D" w:rsidRDefault="268366EC" w:rsidP="00DD394B">
      <w:pPr>
        <w:pStyle w:val="ListParagraph"/>
        <w:numPr>
          <w:ilvl w:val="1"/>
          <w:numId w:val="14"/>
        </w:numPr>
        <w:rPr>
          <w:b/>
          <w:bCs/>
        </w:rPr>
      </w:pPr>
      <w:r w:rsidRPr="05FC8414">
        <w:rPr>
          <w:b/>
          <w:bCs/>
        </w:rPr>
        <w:t>The NIHRC advise</w:t>
      </w:r>
      <w:r w:rsidR="00953783">
        <w:rPr>
          <w:b/>
          <w:bCs/>
        </w:rPr>
        <w:t>s</w:t>
      </w:r>
      <w:r w:rsidRPr="05FC8414">
        <w:rPr>
          <w:b/>
          <w:bCs/>
        </w:rPr>
        <w:t xml:space="preserve"> that </w:t>
      </w:r>
      <w:r w:rsidR="0061D98A" w:rsidRPr="05FC8414">
        <w:rPr>
          <w:b/>
          <w:bCs/>
        </w:rPr>
        <w:t xml:space="preserve">immediate concrete steps have not been </w:t>
      </w:r>
      <w:r w:rsidR="00953783">
        <w:rPr>
          <w:b/>
          <w:bCs/>
        </w:rPr>
        <w:t xml:space="preserve">taken </w:t>
      </w:r>
      <w:r w:rsidR="0061D98A" w:rsidRPr="05FC8414">
        <w:rPr>
          <w:b/>
          <w:bCs/>
        </w:rPr>
        <w:t>to address</w:t>
      </w:r>
      <w:r w:rsidR="00953783">
        <w:rPr>
          <w:b/>
          <w:bCs/>
        </w:rPr>
        <w:t xml:space="preserve"> the reasons for historical delay.</w:t>
      </w:r>
      <w:r w:rsidR="0061D98A" w:rsidRPr="05FC8414" w:rsidDel="00953783">
        <w:rPr>
          <w:b/>
          <w:bCs/>
        </w:rPr>
        <w:t xml:space="preserve"> </w:t>
      </w:r>
      <w:r w:rsidR="00953783">
        <w:rPr>
          <w:b/>
          <w:bCs/>
        </w:rPr>
        <w:t>In any event</w:t>
      </w:r>
      <w:r w:rsidR="509B2F60" w:rsidRPr="05FC8414">
        <w:rPr>
          <w:b/>
          <w:bCs/>
        </w:rPr>
        <w:t>, t</w:t>
      </w:r>
      <w:r w:rsidR="3CD8087D" w:rsidRPr="05FC8414">
        <w:rPr>
          <w:b/>
          <w:bCs/>
        </w:rPr>
        <w:t xml:space="preserve">he speed of the process </w:t>
      </w:r>
      <w:r w:rsidR="00953783">
        <w:rPr>
          <w:b/>
          <w:bCs/>
        </w:rPr>
        <w:t xml:space="preserve">hereafter </w:t>
      </w:r>
      <w:r w:rsidR="3CD8087D" w:rsidRPr="05FC8414">
        <w:rPr>
          <w:b/>
          <w:bCs/>
        </w:rPr>
        <w:t xml:space="preserve">is </w:t>
      </w:r>
      <w:r w:rsidR="00953783">
        <w:rPr>
          <w:b/>
          <w:bCs/>
        </w:rPr>
        <w:t xml:space="preserve">irrelevant if the process itself </w:t>
      </w:r>
      <w:r w:rsidR="00E57139">
        <w:rPr>
          <w:b/>
          <w:bCs/>
        </w:rPr>
        <w:t>is not compliant with the State’s obligations.</w:t>
      </w:r>
      <w:r w:rsidR="4D520C95" w:rsidRPr="05FC8414">
        <w:rPr>
          <w:b/>
          <w:bCs/>
        </w:rPr>
        <w:t xml:space="preserve"> </w:t>
      </w:r>
    </w:p>
    <w:p w14:paraId="6C82DB92" w14:textId="77777777" w:rsidR="00FC158D" w:rsidRPr="00FC158D" w:rsidRDefault="00FC158D" w:rsidP="00FC158D">
      <w:pPr>
        <w:pStyle w:val="ListParagraph"/>
        <w:rPr>
          <w:b/>
        </w:rPr>
      </w:pPr>
    </w:p>
    <w:p w14:paraId="3DEE38D7" w14:textId="4E69371F" w:rsidR="001B2082" w:rsidRPr="002F2B00" w:rsidRDefault="00FC158D" w:rsidP="00967EEF">
      <w:pPr>
        <w:pStyle w:val="Heading3"/>
      </w:pPr>
      <w:bookmarkStart w:id="20" w:name="_Toc523318871"/>
      <w:bookmarkStart w:id="21" w:name="_Toc113517949"/>
      <w:bookmarkStart w:id="22" w:name="_Toc164766599"/>
      <w:bookmarkEnd w:id="19"/>
      <w:r>
        <w:t>P</w:t>
      </w:r>
      <w:r w:rsidR="001B2082" w:rsidRPr="002F2B00">
        <w:t>ublic Scrutiny</w:t>
      </w:r>
      <w:bookmarkEnd w:id="20"/>
      <w:bookmarkEnd w:id="21"/>
      <w:bookmarkEnd w:id="22"/>
    </w:p>
    <w:p w14:paraId="3201DBD7" w14:textId="7B450A1B" w:rsidR="005E2474" w:rsidRPr="002F2B00" w:rsidRDefault="005E2474" w:rsidP="00967EEF">
      <w:pPr>
        <w:pStyle w:val="Heading4"/>
      </w:pPr>
      <w:bookmarkStart w:id="23" w:name="_Toc113517950"/>
      <w:bookmarkStart w:id="24" w:name="_Toc523318872"/>
      <w:bookmarkStart w:id="25" w:name="_Toc113517951"/>
      <w:r w:rsidRPr="002F2B00">
        <w:t>Non-disclosure</w:t>
      </w:r>
      <w:bookmarkEnd w:id="23"/>
    </w:p>
    <w:p w14:paraId="0C5B9F26" w14:textId="77777777" w:rsidR="005E2474" w:rsidRPr="002F2B00" w:rsidRDefault="005E2474" w:rsidP="00967EEF">
      <w:pPr>
        <w:pStyle w:val="ListParagraph"/>
        <w:numPr>
          <w:ilvl w:val="1"/>
          <w:numId w:val="9"/>
        </w:numPr>
        <w:rPr>
          <w:vanish/>
        </w:rPr>
      </w:pPr>
    </w:p>
    <w:p w14:paraId="7401F77A" w14:textId="77777777" w:rsidR="008D6E05" w:rsidRDefault="00E57139" w:rsidP="00DD394B">
      <w:pPr>
        <w:pStyle w:val="ListParagraph"/>
        <w:numPr>
          <w:ilvl w:val="1"/>
          <w:numId w:val="14"/>
        </w:numPr>
      </w:pPr>
      <w:r>
        <w:t xml:space="preserve">The requirements for involvement of the next of kin and for public scrutiny are as important to compliance as the other elements. </w:t>
      </w:r>
      <w:r w:rsidR="008D6E05">
        <w:t>Both are dealt with separately below.</w:t>
      </w:r>
    </w:p>
    <w:p w14:paraId="1A39C987" w14:textId="77777777" w:rsidR="008D6E05" w:rsidRDefault="008D6E05" w:rsidP="00735375"/>
    <w:p w14:paraId="7990D4DD" w14:textId="3F1C7EE3" w:rsidR="005E2474" w:rsidRPr="002F2B00" w:rsidRDefault="0E8B3C7C" w:rsidP="00DD394B">
      <w:pPr>
        <w:pStyle w:val="ListParagraph"/>
        <w:numPr>
          <w:ilvl w:val="1"/>
          <w:numId w:val="14"/>
        </w:numPr>
      </w:pPr>
      <w:r w:rsidRPr="05FC8414">
        <w:t>A</w:t>
      </w:r>
      <w:r w:rsidR="2C3E463F" w:rsidRPr="05FC8414">
        <w:t>n investigation into a suspicious death and its results must be subject to sufficient public scrutiny,</w:t>
      </w:r>
      <w:r w:rsidR="005E2474" w:rsidRPr="05FC8414">
        <w:rPr>
          <w:rStyle w:val="FootnoteReference"/>
        </w:rPr>
        <w:footnoteReference w:id="90"/>
      </w:r>
      <w:r w:rsidR="2C3E463F" w:rsidRPr="05FC8414">
        <w:t xml:space="preserve"> the degree of which varies from case to case.</w:t>
      </w:r>
      <w:r w:rsidR="005E2474" w:rsidRPr="05FC8414">
        <w:rPr>
          <w:rStyle w:val="FootnoteReference"/>
        </w:rPr>
        <w:footnoteReference w:id="91"/>
      </w:r>
      <w:r w:rsidR="2C3E463F" w:rsidRPr="00574C2A">
        <w:rPr>
          <w:szCs w:val="24"/>
        </w:rPr>
        <w:t xml:space="preserve"> </w:t>
      </w:r>
      <w:r w:rsidR="2C3E463F" w:rsidRPr="002F2B00">
        <w:t>The purpose of this requirement is to ensure public confidence in the process.</w:t>
      </w:r>
      <w:r w:rsidR="005E2474" w:rsidRPr="002F2B00">
        <w:rPr>
          <w:vertAlign w:val="superscript"/>
        </w:rPr>
        <w:footnoteReference w:id="92"/>
      </w:r>
      <w:r w:rsidR="2C3E463F" w:rsidRPr="002F2B00">
        <w:t xml:space="preserve"> </w:t>
      </w:r>
      <w:r w:rsidR="00367E10">
        <w:t xml:space="preserve">It is beyond doubt that </w:t>
      </w:r>
      <w:r w:rsidR="2C3E463F" w:rsidRPr="002F2B00">
        <w:t>public confidence is lacking</w:t>
      </w:r>
      <w:r w:rsidR="00367E10">
        <w:t>. Not only did the UK Government fail to consult, it ignored the response to previous consultation and to the universal rejection of the 2023 Act within Northern Ireland.</w:t>
      </w:r>
      <w:r w:rsidR="005E2474" w:rsidRPr="002F2B00">
        <w:rPr>
          <w:rStyle w:val="FootnoteReference"/>
        </w:rPr>
        <w:footnoteReference w:id="93"/>
      </w:r>
      <w:r w:rsidR="2C3E463F" w:rsidRPr="002F2B00">
        <w:t xml:space="preserve"> </w:t>
      </w:r>
      <w:r w:rsidR="00FF3191">
        <w:t>I</w:t>
      </w:r>
      <w:r w:rsidR="00535B10">
        <w:t>t</w:t>
      </w:r>
      <w:r w:rsidR="00FF3191">
        <w:t xml:space="preserve"> is also clear that the advice of relevant </w:t>
      </w:r>
      <w:r w:rsidR="2C3E463F" w:rsidRPr="002F2B00">
        <w:t>expert</w:t>
      </w:r>
      <w:r w:rsidR="00FF3191">
        <w:t xml:space="preserve">s has been ignored. </w:t>
      </w:r>
      <w:r w:rsidR="00CF253D">
        <w:t>For example</w:t>
      </w:r>
      <w:r w:rsidR="2C3E463F" w:rsidRPr="002F2B00" w:rsidDel="00CF253D">
        <w:t xml:space="preserve">, </w:t>
      </w:r>
      <w:r w:rsidR="2C3E463F" w:rsidRPr="002F2B00">
        <w:t xml:space="preserve">the </w:t>
      </w:r>
      <w:proofErr w:type="spellStart"/>
      <w:r w:rsidR="2C3E463F" w:rsidRPr="002F2B00">
        <w:t>CoE</w:t>
      </w:r>
      <w:proofErr w:type="spellEnd"/>
      <w:r w:rsidR="2C3E463F" w:rsidRPr="002F2B00">
        <w:t xml:space="preserve"> Committee of Ministers “noted with regret the lack of formal public consultation on this draft legislation and firmly reiterated their previous calls on the authorities to ensure that any </w:t>
      </w:r>
      <w:r w:rsidR="2C3E463F" w:rsidRPr="002F2B00">
        <w:lastRenderedPageBreak/>
        <w:t>proposals garner public trust and confidence by engaging fully with all stakeholders”.</w:t>
      </w:r>
      <w:r w:rsidR="005E2474" w:rsidRPr="002F2B00">
        <w:rPr>
          <w:rStyle w:val="FootnoteReference"/>
        </w:rPr>
        <w:footnoteReference w:id="94"/>
      </w:r>
      <w:r w:rsidR="2C3E463F" w:rsidRPr="002F2B00">
        <w:t xml:space="preserve"> These concerns have been echoed by independent human rights experts.</w:t>
      </w:r>
      <w:r w:rsidR="005E2474" w:rsidRPr="002F2B00">
        <w:rPr>
          <w:rStyle w:val="FootnoteReference"/>
        </w:rPr>
        <w:footnoteReference w:id="95"/>
      </w:r>
      <w:r w:rsidR="2C3E463F" w:rsidRPr="002F2B00">
        <w:t xml:space="preserve"> The </w:t>
      </w:r>
      <w:proofErr w:type="spellStart"/>
      <w:r w:rsidR="2C3E463F" w:rsidRPr="002F2B00">
        <w:t>CoE</w:t>
      </w:r>
      <w:proofErr w:type="spellEnd"/>
      <w:r w:rsidR="2C3E463F" w:rsidRPr="002F2B00">
        <w:t xml:space="preserve"> Commissioner for Human Rights, Dunja Mijatović, has stated that “the lack of consultation” after “such a radical shift away from earlier approaches, and the unilateral steps by the UK Government in this respect, were repeatedly identified [by victims and survivors] as a major source of concern” and did not equate to a “victim-centred approach”.</w:t>
      </w:r>
      <w:r w:rsidR="005E2474" w:rsidRPr="002F2B00">
        <w:rPr>
          <w:rStyle w:val="FootnoteReference"/>
        </w:rPr>
        <w:footnoteReference w:id="96"/>
      </w:r>
    </w:p>
    <w:p w14:paraId="44431633" w14:textId="77777777" w:rsidR="005E2474" w:rsidRPr="002F2B00" w:rsidRDefault="005E2474" w:rsidP="00967EEF">
      <w:pPr>
        <w:pStyle w:val="ListParagraph"/>
      </w:pPr>
    </w:p>
    <w:p w14:paraId="5CB77C5D" w14:textId="085CE0DC" w:rsidR="005E2474" w:rsidRPr="002F2B00" w:rsidRDefault="2C3E463F" w:rsidP="00DD394B">
      <w:pPr>
        <w:pStyle w:val="ListParagraph"/>
        <w:numPr>
          <w:ilvl w:val="1"/>
          <w:numId w:val="14"/>
        </w:numPr>
      </w:pPr>
      <w:r w:rsidRPr="002F2B00">
        <w:t xml:space="preserve">The </w:t>
      </w:r>
      <w:r w:rsidR="2D1E210F">
        <w:t>2023 Act provides</w:t>
      </w:r>
      <w:r w:rsidRPr="002F2B00">
        <w:t xml:space="preserve"> that a draft review report must be given to an interested person (e.g. an individual mentioned in the report, the person who requested the review, or a family member) and that person will have the chance to make representations on the report.</w:t>
      </w:r>
      <w:r w:rsidR="005E2474" w:rsidRPr="002F2B00">
        <w:rPr>
          <w:rStyle w:val="FootnoteReference"/>
        </w:rPr>
        <w:footnoteReference w:id="97"/>
      </w:r>
      <w:r w:rsidRPr="002F2B00">
        <w:t xml:space="preserve"> The same does not apply to the historical record. </w:t>
      </w:r>
    </w:p>
    <w:p w14:paraId="062AF3D3" w14:textId="77777777" w:rsidR="005E2474" w:rsidRPr="002F2B00" w:rsidRDefault="005E2474" w:rsidP="00967EEF">
      <w:pPr>
        <w:pStyle w:val="ListParagraph"/>
      </w:pPr>
    </w:p>
    <w:p w14:paraId="38D898AE" w14:textId="7AD31608" w:rsidR="005E2474" w:rsidRPr="002F2B00" w:rsidRDefault="005616DA" w:rsidP="00DD394B">
      <w:pPr>
        <w:pStyle w:val="ListParagraph"/>
        <w:numPr>
          <w:ilvl w:val="1"/>
          <w:numId w:val="14"/>
        </w:numPr>
      </w:pPr>
      <w:r>
        <w:t>Importantly, t</w:t>
      </w:r>
      <w:r w:rsidR="2C3E463F" w:rsidRPr="002F2B00">
        <w:t xml:space="preserve">he </w:t>
      </w:r>
      <w:r w:rsidR="655A4B61">
        <w:t>2023 Act provides</w:t>
      </w:r>
      <w:r w:rsidR="2C3E463F" w:rsidRPr="002F2B00">
        <w:t xml:space="preserve"> that the ICRIR “may”, not ‘must’, publish the final report of any review, thus limiting the opportunity for public scrutiny.</w:t>
      </w:r>
      <w:r w:rsidR="005E2474" w:rsidRPr="002F2B00">
        <w:rPr>
          <w:vertAlign w:val="superscript"/>
        </w:rPr>
        <w:footnoteReference w:id="98"/>
      </w:r>
      <w:r w:rsidR="2C3E463F" w:rsidRPr="002F2B00">
        <w:t xml:space="preserve"> In contrast, the </w:t>
      </w:r>
      <w:r w:rsidR="1B580A1D">
        <w:t>2023 Act provides</w:t>
      </w:r>
      <w:r w:rsidR="2C3E463F" w:rsidRPr="002F2B00">
        <w:t xml:space="preserve"> that the ICRIR “must publish the historical record”.</w:t>
      </w:r>
      <w:r w:rsidR="005E2474" w:rsidRPr="002F2B00">
        <w:rPr>
          <w:rStyle w:val="FootnoteReference"/>
        </w:rPr>
        <w:footnoteReference w:id="99"/>
      </w:r>
      <w:r w:rsidR="2C3E463F" w:rsidRPr="002F2B00">
        <w:t xml:space="preserve"> </w:t>
      </w:r>
      <w:r w:rsidR="009D7697">
        <w:t xml:space="preserve">However, </w:t>
      </w:r>
      <w:r>
        <w:t xml:space="preserve">even </w:t>
      </w:r>
      <w:r w:rsidR="009D7697">
        <w:t xml:space="preserve">this provision is not absolute. </w:t>
      </w:r>
      <w:r w:rsidR="2C3E463F" w:rsidRPr="002F2B00">
        <w:t xml:space="preserve">The </w:t>
      </w:r>
      <w:r w:rsidR="7ACB0E5C">
        <w:t>2023 Act provides</w:t>
      </w:r>
      <w:r w:rsidR="2C3E463F" w:rsidRPr="002F2B00">
        <w:t xml:space="preserve"> that </w:t>
      </w:r>
      <w:r w:rsidR="00B02073">
        <w:t xml:space="preserve">disclosures </w:t>
      </w:r>
      <w:r w:rsidR="00736208">
        <w:t xml:space="preserve">or any actions by </w:t>
      </w:r>
      <w:r w:rsidR="35EFE041">
        <w:t>the</w:t>
      </w:r>
      <w:r w:rsidR="00B02073">
        <w:t xml:space="preserve"> ICRIR are </w:t>
      </w:r>
      <w:r w:rsidR="2C3E463F" w:rsidRPr="002F2B00">
        <w:t xml:space="preserve">subject to certain conditions </w:t>
      </w:r>
      <w:r w:rsidR="00524C70">
        <w:t xml:space="preserve">and can be prohibited </w:t>
      </w:r>
      <w:r w:rsidR="006610F1">
        <w:t xml:space="preserve">if the </w:t>
      </w:r>
      <w:r w:rsidR="00C0321B">
        <w:t xml:space="preserve">action or </w:t>
      </w:r>
      <w:r w:rsidR="006610F1">
        <w:t>disclosure</w:t>
      </w:r>
      <w:r w:rsidR="00524C70">
        <w:t xml:space="preserve"> </w:t>
      </w:r>
      <w:r w:rsidR="2C3E463F" w:rsidRPr="002F2B00">
        <w:t xml:space="preserve">threaten life or national security, </w:t>
      </w:r>
      <w:r w:rsidR="00CE4975">
        <w:t xml:space="preserve">or </w:t>
      </w:r>
      <w:r w:rsidR="2C3E463F" w:rsidRPr="002F2B00">
        <w:t>ha</w:t>
      </w:r>
      <w:r w:rsidR="00524C70">
        <w:t>ve</w:t>
      </w:r>
      <w:r w:rsidR="2C3E463F" w:rsidRPr="002F2B00">
        <w:t xml:space="preserve"> a prejudicial effect on criminal proceedings</w:t>
      </w:r>
      <w:r w:rsidR="0074551C">
        <w:t>.</w:t>
      </w:r>
      <w:r w:rsidR="00B4592D" w:rsidRPr="002F2B00">
        <w:rPr>
          <w:rStyle w:val="FootnoteReference"/>
        </w:rPr>
        <w:footnoteReference w:id="100"/>
      </w:r>
      <w:r w:rsidR="0074551C">
        <w:t xml:space="preserve"> </w:t>
      </w:r>
      <w:r w:rsidR="00091602">
        <w:t xml:space="preserve">In determining if a </w:t>
      </w:r>
      <w:r w:rsidR="007C5EA4">
        <w:t>disclosure</w:t>
      </w:r>
      <w:r w:rsidR="00091602">
        <w:t xml:space="preserve"> takes place,</w:t>
      </w:r>
      <w:r w:rsidR="0075639A">
        <w:t xml:space="preserve"> including in ICRIR reports,</w:t>
      </w:r>
      <w:r w:rsidR="00091602">
        <w:t xml:space="preserve"> c</w:t>
      </w:r>
      <w:r w:rsidR="0074551C">
        <w:t xml:space="preserve">onsideration should also be given to </w:t>
      </w:r>
      <w:r w:rsidR="00025EDA">
        <w:t xml:space="preserve">whether the </w:t>
      </w:r>
      <w:r w:rsidR="00A66980">
        <w:t>disclosure</w:t>
      </w:r>
      <w:r w:rsidR="2C3E463F" w:rsidRPr="002F2B00">
        <w:t xml:space="preserve"> contains sensitive evidence or protected international information, is in the public interest or is subject to data protection legislation.</w:t>
      </w:r>
      <w:r w:rsidR="005E2474" w:rsidRPr="002F2B00">
        <w:rPr>
          <w:rStyle w:val="FootnoteReference"/>
        </w:rPr>
        <w:footnoteReference w:id="101"/>
      </w:r>
      <w:r w:rsidR="2C3E463F" w:rsidRPr="002F2B00">
        <w:t xml:space="preserve"> </w:t>
      </w:r>
      <w:r w:rsidR="00EB2F55">
        <w:t>The NIHRC suggests that this is much too broad and goes way beyond what is appropriate to protect national security.</w:t>
      </w:r>
    </w:p>
    <w:p w14:paraId="6866196F" w14:textId="77777777" w:rsidR="005E2474" w:rsidRPr="002F2B00" w:rsidRDefault="005E2474" w:rsidP="00967EEF">
      <w:pPr>
        <w:pStyle w:val="ListParagraph"/>
      </w:pPr>
    </w:p>
    <w:p w14:paraId="2FEAA971" w14:textId="2FC1AFFC" w:rsidR="005E2474" w:rsidRPr="002F2B00" w:rsidRDefault="2C3E463F" w:rsidP="00DD394B">
      <w:pPr>
        <w:pStyle w:val="ListParagraph"/>
        <w:numPr>
          <w:ilvl w:val="1"/>
          <w:numId w:val="14"/>
        </w:numPr>
      </w:pPr>
      <w:r w:rsidRPr="002F2B00">
        <w:lastRenderedPageBreak/>
        <w:t xml:space="preserve">The </w:t>
      </w:r>
      <w:r w:rsidR="5A110F57">
        <w:t>2023 Act</w:t>
      </w:r>
      <w:r w:rsidRPr="002F2B00" w:rsidDel="00772DD1">
        <w:t xml:space="preserve"> </w:t>
      </w:r>
      <w:r w:rsidR="5A110F57">
        <w:t>provides</w:t>
      </w:r>
      <w:r w:rsidRPr="002F2B00">
        <w:t xml:space="preserve"> that if a report does not include </w:t>
      </w:r>
      <w:r w:rsidR="40C5AEF4" w:rsidRPr="002F2B00">
        <w:t xml:space="preserve">specific </w:t>
      </w:r>
      <w:r w:rsidRPr="002F2B00">
        <w:t>information, it must contain a statement that the Secretary of State decided to prohibit disclosure and why this was the case.</w:t>
      </w:r>
      <w:r w:rsidR="005E2474" w:rsidRPr="002F2B00">
        <w:rPr>
          <w:rStyle w:val="FootnoteReference"/>
        </w:rPr>
        <w:footnoteReference w:id="102"/>
      </w:r>
      <w:r w:rsidRPr="002F2B00">
        <w:t xml:space="preserve"> The </w:t>
      </w:r>
      <w:r w:rsidR="58EE9CBB">
        <w:t>2023 Act</w:t>
      </w:r>
      <w:r w:rsidRPr="002F2B00">
        <w:t xml:space="preserve"> further pro</w:t>
      </w:r>
      <w:r w:rsidR="58EE9CBB">
        <w:t>vides</w:t>
      </w:r>
      <w:r w:rsidRPr="002F2B00">
        <w:t xml:space="preserve"> that the Secretary of State’s decision can be appealed.</w:t>
      </w:r>
      <w:r w:rsidR="005E2474" w:rsidRPr="002F2B00">
        <w:rPr>
          <w:rStyle w:val="FootnoteReference"/>
        </w:rPr>
        <w:footnoteReference w:id="103"/>
      </w:r>
      <w:r w:rsidRPr="002F2B00">
        <w:t xml:space="preserve"> </w:t>
      </w:r>
      <w:r w:rsidR="00772DD1">
        <w:t>This</w:t>
      </w:r>
      <w:r w:rsidRPr="002F2B00" w:rsidDel="00772DD1">
        <w:t xml:space="preserve"> only </w:t>
      </w:r>
      <w:r w:rsidRPr="002F2B00">
        <w:t xml:space="preserve">applies </w:t>
      </w:r>
      <w:r w:rsidR="00772DD1">
        <w:t xml:space="preserve">however </w:t>
      </w:r>
      <w:r w:rsidRPr="002F2B00">
        <w:t xml:space="preserve">to published reports. The </w:t>
      </w:r>
      <w:r w:rsidR="4DAA1A47">
        <w:t xml:space="preserve">2023 </w:t>
      </w:r>
      <w:r w:rsidR="284E5E7C">
        <w:t>Act</w:t>
      </w:r>
      <w:r w:rsidRPr="002F2B00">
        <w:t xml:space="preserve"> does not propose </w:t>
      </w:r>
      <w:r>
        <w:t xml:space="preserve">expressly </w:t>
      </w:r>
      <w:r w:rsidRPr="002F2B00">
        <w:t>requiring that reasons be provided nor that there is a right of appeal if the final report of a review is not published.</w:t>
      </w:r>
    </w:p>
    <w:p w14:paraId="58732007" w14:textId="77777777" w:rsidR="005E2474" w:rsidRPr="002F2B00" w:rsidRDefault="005E2474" w:rsidP="00967EEF">
      <w:pPr>
        <w:pStyle w:val="ListParagraph"/>
      </w:pPr>
    </w:p>
    <w:p w14:paraId="53A08D6D" w14:textId="587F2F9C" w:rsidR="005E2474" w:rsidRPr="002F2B00" w:rsidRDefault="2C3E463F" w:rsidP="00DD394B">
      <w:pPr>
        <w:pStyle w:val="ListParagraph"/>
        <w:numPr>
          <w:ilvl w:val="1"/>
          <w:numId w:val="14"/>
        </w:numPr>
        <w:rPr>
          <w:b/>
          <w:bCs/>
        </w:rPr>
      </w:pPr>
      <w:r w:rsidRPr="05FC8414">
        <w:rPr>
          <w:b/>
          <w:bCs/>
        </w:rPr>
        <w:t xml:space="preserve">The NIHRC advises </w:t>
      </w:r>
      <w:r w:rsidRPr="05FC8414" w:rsidDel="008D6E05">
        <w:rPr>
          <w:b/>
          <w:bCs/>
        </w:rPr>
        <w:t xml:space="preserve">the </w:t>
      </w:r>
      <w:r w:rsidRPr="05FC8414">
        <w:rPr>
          <w:b/>
          <w:bCs/>
        </w:rPr>
        <w:t xml:space="preserve">ICRIR </w:t>
      </w:r>
      <w:r w:rsidR="008D6E05">
        <w:rPr>
          <w:b/>
          <w:bCs/>
        </w:rPr>
        <w:t xml:space="preserve">should </w:t>
      </w:r>
      <w:r w:rsidRPr="05FC8414">
        <w:rPr>
          <w:b/>
          <w:bCs/>
        </w:rPr>
        <w:t xml:space="preserve">publish </w:t>
      </w:r>
      <w:proofErr w:type="gramStart"/>
      <w:r w:rsidRPr="05FC8414">
        <w:rPr>
          <w:b/>
          <w:bCs/>
        </w:rPr>
        <w:t xml:space="preserve">all </w:t>
      </w:r>
      <w:r w:rsidR="008D6E05">
        <w:rPr>
          <w:b/>
          <w:bCs/>
        </w:rPr>
        <w:t>of</w:t>
      </w:r>
      <w:proofErr w:type="gramEnd"/>
      <w:r w:rsidR="008D6E05">
        <w:rPr>
          <w:b/>
          <w:bCs/>
        </w:rPr>
        <w:t xml:space="preserve"> </w:t>
      </w:r>
      <w:r w:rsidRPr="05FC8414">
        <w:rPr>
          <w:b/>
          <w:bCs/>
        </w:rPr>
        <w:t xml:space="preserve">its reports, </w:t>
      </w:r>
      <w:r w:rsidR="008D6E05">
        <w:rPr>
          <w:b/>
          <w:bCs/>
        </w:rPr>
        <w:t xml:space="preserve">subject only to very </w:t>
      </w:r>
      <w:r w:rsidRPr="05FC8414">
        <w:rPr>
          <w:b/>
          <w:bCs/>
        </w:rPr>
        <w:t xml:space="preserve">with limited </w:t>
      </w:r>
      <w:r w:rsidR="008D6E05">
        <w:rPr>
          <w:b/>
          <w:bCs/>
        </w:rPr>
        <w:t xml:space="preserve">and precise </w:t>
      </w:r>
      <w:r w:rsidRPr="05FC8414">
        <w:rPr>
          <w:b/>
          <w:bCs/>
        </w:rPr>
        <w:t xml:space="preserve">exception. </w:t>
      </w:r>
      <w:r w:rsidR="008D6E05">
        <w:rPr>
          <w:b/>
          <w:bCs/>
        </w:rPr>
        <w:t>All</w:t>
      </w:r>
      <w:r w:rsidRPr="05FC8414">
        <w:rPr>
          <w:b/>
          <w:bCs/>
        </w:rPr>
        <w:t xml:space="preserve"> exceptions</w:t>
      </w:r>
      <w:r w:rsidRPr="05FC8414" w:rsidDel="008D6E05">
        <w:rPr>
          <w:b/>
          <w:bCs/>
        </w:rPr>
        <w:t xml:space="preserve"> </w:t>
      </w:r>
      <w:r w:rsidRPr="05FC8414">
        <w:rPr>
          <w:b/>
          <w:bCs/>
        </w:rPr>
        <w:t xml:space="preserve">must be lawful and proportionate and include safeguards that ensure these are not applied arbitrarily and that the commitments aimed at enabling effective public scrutiny are not illusory. </w:t>
      </w:r>
    </w:p>
    <w:p w14:paraId="515E631E" w14:textId="77777777" w:rsidR="005E2474" w:rsidRPr="002F2B00" w:rsidRDefault="005E2474" w:rsidP="00967EEF">
      <w:pPr>
        <w:rPr>
          <w:szCs w:val="24"/>
        </w:rPr>
      </w:pPr>
    </w:p>
    <w:p w14:paraId="6E37B391" w14:textId="3A14AA2A" w:rsidR="006A649A" w:rsidRPr="002F2B00" w:rsidRDefault="00173082" w:rsidP="00A25C3B">
      <w:pPr>
        <w:pStyle w:val="Heading4"/>
      </w:pPr>
      <w:r w:rsidRPr="002F2B00">
        <w:t>Family Members</w:t>
      </w:r>
      <w:bookmarkEnd w:id="24"/>
      <w:bookmarkEnd w:id="25"/>
    </w:p>
    <w:p w14:paraId="2CEAFC9A" w14:textId="3C696FB7" w:rsidR="006A649A" w:rsidRPr="002F2B00" w:rsidRDefault="2ABE6DBD" w:rsidP="00DD394B">
      <w:pPr>
        <w:pStyle w:val="ListParagraph"/>
        <w:numPr>
          <w:ilvl w:val="1"/>
          <w:numId w:val="14"/>
        </w:numPr>
      </w:pPr>
      <w:r w:rsidRPr="002F2B00">
        <w:t xml:space="preserve">The </w:t>
      </w:r>
      <w:r w:rsidR="0EEA3A5B">
        <w:t>2023 Act’s inclusion of an</w:t>
      </w:r>
      <w:r w:rsidR="632C1994" w:rsidRPr="002F2B00">
        <w:t xml:space="preserve"> </w:t>
      </w:r>
      <w:r w:rsidR="6A1A0343" w:rsidRPr="002F2B00">
        <w:t>express provision for k</w:t>
      </w:r>
      <w:r w:rsidR="3A8B134B" w:rsidRPr="002F2B00">
        <w:t>eeping family members informed is welcomed.</w:t>
      </w:r>
      <w:r w:rsidR="003E360D" w:rsidRPr="002F2B00">
        <w:rPr>
          <w:rStyle w:val="FootnoteReference"/>
        </w:rPr>
        <w:footnoteReference w:id="104"/>
      </w:r>
      <w:r w:rsidR="3A8B134B" w:rsidRPr="002F2B00">
        <w:t xml:space="preserve"> </w:t>
      </w:r>
      <w:r w:rsidR="127BB2E0" w:rsidRPr="002F2B00">
        <w:t xml:space="preserve">Yet, the </w:t>
      </w:r>
      <w:r w:rsidR="0EEA3A5B">
        <w:t>2023 Act creates</w:t>
      </w:r>
      <w:r w:rsidR="3A8B134B" w:rsidRPr="002F2B00">
        <w:t xml:space="preserve"> a two-tiered approach</w:t>
      </w:r>
      <w:r w:rsidR="7872408F" w:rsidRPr="002F2B00">
        <w:t>. A</w:t>
      </w:r>
      <w:r w:rsidR="7482F66E" w:rsidRPr="002F2B00">
        <w:t xml:space="preserve"> </w:t>
      </w:r>
      <w:r w:rsidR="4D1E1AFA" w:rsidRPr="002F2B00">
        <w:t>‘</w:t>
      </w:r>
      <w:r w:rsidR="7482F66E" w:rsidRPr="002F2B00">
        <w:t>close family member</w:t>
      </w:r>
      <w:r w:rsidR="4D1E1AFA" w:rsidRPr="002F2B00">
        <w:t>’</w:t>
      </w:r>
      <w:r w:rsidR="7482F66E" w:rsidRPr="002F2B00">
        <w:t xml:space="preserve"> has precedence over </w:t>
      </w:r>
      <w:r w:rsidR="4D1E1AFA" w:rsidRPr="002F2B00">
        <w:t>‘</w:t>
      </w:r>
      <w:r w:rsidR="7482F66E" w:rsidRPr="002F2B00">
        <w:t>other family members</w:t>
      </w:r>
      <w:r w:rsidR="4D1E1AFA" w:rsidRPr="002F2B00">
        <w:t>’</w:t>
      </w:r>
      <w:r w:rsidR="7482F66E" w:rsidRPr="002F2B00">
        <w:t>.</w:t>
      </w:r>
      <w:r w:rsidR="00AC2BFB" w:rsidRPr="002F2B00">
        <w:rPr>
          <w:rStyle w:val="FootnoteReference"/>
        </w:rPr>
        <w:footnoteReference w:id="105"/>
      </w:r>
      <w:r w:rsidR="02811E8F" w:rsidRPr="002F2B00">
        <w:t xml:space="preserve"> </w:t>
      </w:r>
      <w:r w:rsidR="60F78F02" w:rsidRPr="002F2B00">
        <w:t>T</w:t>
      </w:r>
      <w:r w:rsidR="7872408F" w:rsidRPr="002F2B00">
        <w:t xml:space="preserve">his </w:t>
      </w:r>
      <w:r w:rsidR="7DC112D8" w:rsidRPr="002F2B00">
        <w:t xml:space="preserve">is not dissimilar </w:t>
      </w:r>
      <w:r w:rsidR="7872408F" w:rsidRPr="002F2B00">
        <w:t xml:space="preserve">to </w:t>
      </w:r>
      <w:r w:rsidR="7DC112D8" w:rsidRPr="002F2B00">
        <w:t xml:space="preserve">the </w:t>
      </w:r>
      <w:r w:rsidR="7F2E1355" w:rsidRPr="002F2B00">
        <w:t xml:space="preserve">ECtHR’s </w:t>
      </w:r>
      <w:r w:rsidR="60F78F02" w:rsidRPr="002F2B00">
        <w:t xml:space="preserve">definition of </w:t>
      </w:r>
      <w:r w:rsidR="7DC112D8" w:rsidRPr="002F2B00">
        <w:t xml:space="preserve">next of kin, </w:t>
      </w:r>
      <w:r w:rsidR="6E5D6A44" w:rsidRPr="002F2B00">
        <w:t xml:space="preserve">but </w:t>
      </w:r>
      <w:r w:rsidR="2BA4F1E0" w:rsidRPr="002F2B00">
        <w:t xml:space="preserve">the </w:t>
      </w:r>
      <w:r w:rsidR="0EEA3A5B">
        <w:t>2023 Act’s</w:t>
      </w:r>
      <w:r w:rsidR="2BA4F1E0" w:rsidRPr="002F2B00">
        <w:t xml:space="preserve"> interpretation of a close family member </w:t>
      </w:r>
      <w:r w:rsidR="7872408F" w:rsidRPr="002F2B00">
        <w:t>is</w:t>
      </w:r>
      <w:r w:rsidR="6E5D6A44" w:rsidRPr="002F2B00">
        <w:t xml:space="preserve"> narrower</w:t>
      </w:r>
      <w:r w:rsidR="3A8B134B" w:rsidRPr="002F2B00">
        <w:t>.</w:t>
      </w:r>
      <w:r w:rsidR="003E360D" w:rsidRPr="002F2B00">
        <w:rPr>
          <w:vertAlign w:val="superscript"/>
        </w:rPr>
        <w:footnoteReference w:id="106"/>
      </w:r>
      <w:r w:rsidR="3A8B134B" w:rsidRPr="002F2B00">
        <w:t xml:space="preserve"> </w:t>
      </w:r>
      <w:r w:rsidR="6E5D6A44" w:rsidRPr="002F2B00">
        <w:t xml:space="preserve">The </w:t>
      </w:r>
      <w:r w:rsidR="0EEA3A5B">
        <w:t>2023 Act</w:t>
      </w:r>
      <w:r w:rsidR="30C3925C" w:rsidRPr="002F2B00">
        <w:t xml:space="preserve"> </w:t>
      </w:r>
      <w:r w:rsidR="6E5D6A44" w:rsidRPr="002F2B00">
        <w:t>limit</w:t>
      </w:r>
      <w:r w:rsidR="008D6E05">
        <w:t>s</w:t>
      </w:r>
      <w:r w:rsidR="6E5D6A44" w:rsidRPr="002F2B00">
        <w:t xml:space="preserve"> </w:t>
      </w:r>
      <w:r w:rsidR="707504B4" w:rsidRPr="002F2B00">
        <w:t xml:space="preserve">a close family member to a </w:t>
      </w:r>
      <w:r w:rsidR="7F5AA4B9" w:rsidRPr="002F2B00">
        <w:t xml:space="preserve">victim’s </w:t>
      </w:r>
      <w:r w:rsidR="707504B4" w:rsidRPr="002F2B00">
        <w:t>spouse, civil partner, co</w:t>
      </w:r>
      <w:r w:rsidR="7F5AA4B9" w:rsidRPr="002F2B00">
        <w:t xml:space="preserve">habitee, </w:t>
      </w:r>
      <w:r w:rsidR="0857E81E" w:rsidRPr="002F2B00">
        <w:t>child, parent, brother, sister, step-child, s</w:t>
      </w:r>
      <w:r w:rsidR="1516C24D" w:rsidRPr="002F2B00">
        <w:t>tep-parent, half-brother, half-sister, step-brother or step-sister.</w:t>
      </w:r>
      <w:r w:rsidR="00AF0D0D" w:rsidRPr="002F2B00">
        <w:rPr>
          <w:rStyle w:val="FootnoteReference"/>
        </w:rPr>
        <w:footnoteReference w:id="107"/>
      </w:r>
      <w:r w:rsidR="49454858" w:rsidRPr="002F2B00">
        <w:t xml:space="preserve"> </w:t>
      </w:r>
      <w:r w:rsidR="7872408F" w:rsidRPr="002F2B00">
        <w:t>In</w:t>
      </w:r>
      <w:r w:rsidR="49454858" w:rsidRPr="002F2B00">
        <w:t xml:space="preserve"> right to life </w:t>
      </w:r>
      <w:r w:rsidR="7872408F" w:rsidRPr="002F2B00">
        <w:t>cases</w:t>
      </w:r>
      <w:r w:rsidR="49454858" w:rsidRPr="002F2B00">
        <w:t>, the ECtHR has accepted married partners,</w:t>
      </w:r>
      <w:r w:rsidR="00F437C7" w:rsidRPr="002F2B00">
        <w:rPr>
          <w:rStyle w:val="FootnoteReference"/>
        </w:rPr>
        <w:footnoteReference w:id="108"/>
      </w:r>
      <w:r w:rsidR="49454858" w:rsidRPr="002F2B00">
        <w:t xml:space="preserve"> unmarried partners,</w:t>
      </w:r>
      <w:r w:rsidR="00F437C7" w:rsidRPr="002F2B00">
        <w:rPr>
          <w:rStyle w:val="FootnoteReference"/>
        </w:rPr>
        <w:footnoteReference w:id="109"/>
      </w:r>
      <w:r w:rsidR="49454858" w:rsidRPr="002F2B00">
        <w:t xml:space="preserve"> parents,</w:t>
      </w:r>
      <w:r w:rsidR="00F437C7" w:rsidRPr="002F2B00">
        <w:rPr>
          <w:rStyle w:val="FootnoteReference"/>
        </w:rPr>
        <w:footnoteReference w:id="110"/>
      </w:r>
      <w:r w:rsidR="49454858" w:rsidRPr="002F2B00">
        <w:t xml:space="preserve"> siblings,</w:t>
      </w:r>
      <w:r w:rsidR="00F437C7" w:rsidRPr="002F2B00">
        <w:rPr>
          <w:rStyle w:val="FootnoteReference"/>
        </w:rPr>
        <w:footnoteReference w:id="111"/>
      </w:r>
      <w:r w:rsidR="49454858" w:rsidRPr="002F2B00">
        <w:t xml:space="preserve"> children,</w:t>
      </w:r>
      <w:r w:rsidR="00F437C7" w:rsidRPr="002F2B00">
        <w:rPr>
          <w:rStyle w:val="FootnoteReference"/>
        </w:rPr>
        <w:footnoteReference w:id="112"/>
      </w:r>
      <w:r w:rsidR="49454858" w:rsidRPr="002F2B00">
        <w:t xml:space="preserve"> and nephews.</w:t>
      </w:r>
      <w:r w:rsidR="00F437C7" w:rsidRPr="002F2B00">
        <w:rPr>
          <w:rStyle w:val="FootnoteReference"/>
        </w:rPr>
        <w:footnoteReference w:id="113"/>
      </w:r>
      <w:r w:rsidR="49454858" w:rsidRPr="002F2B00">
        <w:rPr>
          <w:szCs w:val="24"/>
        </w:rPr>
        <w:t xml:space="preserve"> </w:t>
      </w:r>
      <w:r w:rsidR="30C3925C" w:rsidRPr="05FC8414">
        <w:t xml:space="preserve">The ECtHR has </w:t>
      </w:r>
      <w:r w:rsidR="7872408F" w:rsidRPr="05FC8414">
        <w:t xml:space="preserve">also </w:t>
      </w:r>
      <w:r w:rsidR="5FE3078D" w:rsidRPr="002F2B00">
        <w:t>indicate</w:t>
      </w:r>
      <w:r w:rsidR="30C3925C" w:rsidRPr="002F2B00">
        <w:t>d</w:t>
      </w:r>
      <w:r w:rsidR="5FE3078D" w:rsidRPr="002F2B00">
        <w:t xml:space="preserve"> that nieces, aunts, uncles and grandparents </w:t>
      </w:r>
      <w:r w:rsidR="0D8B9EE8" w:rsidRPr="002F2B00">
        <w:t>could be categorised as a</w:t>
      </w:r>
      <w:r w:rsidR="5F4607F1" w:rsidRPr="002F2B00">
        <w:t xml:space="preserve"> close family member.</w:t>
      </w:r>
    </w:p>
    <w:p w14:paraId="320CCB60" w14:textId="77777777" w:rsidR="00941453" w:rsidRPr="002F2B00" w:rsidRDefault="00941453" w:rsidP="00941453">
      <w:pPr>
        <w:pStyle w:val="ListParagraph"/>
        <w:rPr>
          <w:szCs w:val="24"/>
        </w:rPr>
      </w:pPr>
    </w:p>
    <w:p w14:paraId="6BAEF57E" w14:textId="71E94D84" w:rsidR="00941453" w:rsidRPr="002F2B00" w:rsidRDefault="01E02F5D" w:rsidP="00DD394B">
      <w:pPr>
        <w:pStyle w:val="ListParagraph"/>
        <w:numPr>
          <w:ilvl w:val="1"/>
          <w:numId w:val="14"/>
        </w:numPr>
        <w:rPr>
          <w:szCs w:val="24"/>
        </w:rPr>
      </w:pPr>
      <w:r w:rsidRPr="05FC8414">
        <w:t xml:space="preserve">In recent years, the ECtHR has </w:t>
      </w:r>
      <w:r w:rsidR="008D6E05">
        <w:t xml:space="preserve">included </w:t>
      </w:r>
      <w:r w:rsidR="5DE20CF8" w:rsidRPr="05FC8414">
        <w:t xml:space="preserve">a person with “close personal links” and </w:t>
      </w:r>
      <w:r w:rsidR="70A93C78" w:rsidRPr="05FC8414">
        <w:t xml:space="preserve">who </w:t>
      </w:r>
      <w:r w:rsidR="5DE20CF8" w:rsidRPr="05FC8414">
        <w:t>“provides care”</w:t>
      </w:r>
      <w:r w:rsidR="00E50256" w:rsidRPr="05FC8414">
        <w:rPr>
          <w:rStyle w:val="FootnoteReference"/>
        </w:rPr>
        <w:footnoteReference w:id="114"/>
      </w:r>
      <w:r w:rsidR="5DE20CF8" w:rsidRPr="05FC8414">
        <w:t xml:space="preserve"> for a victim </w:t>
      </w:r>
      <w:r w:rsidR="70A93C78" w:rsidRPr="05FC8414">
        <w:t>that</w:t>
      </w:r>
      <w:r w:rsidR="5DE20CF8" w:rsidRPr="05FC8414">
        <w:t xml:space="preserve"> “has no capacity of discernment” to take </w:t>
      </w:r>
      <w:r w:rsidR="70A93C78" w:rsidRPr="05FC8414">
        <w:t xml:space="preserve">an </w:t>
      </w:r>
      <w:r w:rsidR="5DE20CF8" w:rsidRPr="05FC8414">
        <w:t>action.</w:t>
      </w:r>
      <w:r w:rsidR="00E50256" w:rsidRPr="05FC8414">
        <w:rPr>
          <w:rStyle w:val="FootnoteReference"/>
        </w:rPr>
        <w:footnoteReference w:id="115"/>
      </w:r>
      <w:r w:rsidR="5DE20CF8" w:rsidRPr="002F2B00">
        <w:rPr>
          <w:szCs w:val="24"/>
        </w:rPr>
        <w:t xml:space="preserve"> </w:t>
      </w:r>
    </w:p>
    <w:p w14:paraId="5330517E" w14:textId="77777777" w:rsidR="006A649A" w:rsidRPr="002F2B00" w:rsidRDefault="006A649A" w:rsidP="006A649A">
      <w:pPr>
        <w:pStyle w:val="ListParagraph"/>
        <w:rPr>
          <w:szCs w:val="24"/>
        </w:rPr>
      </w:pPr>
    </w:p>
    <w:p w14:paraId="77FCED51" w14:textId="54B0DA07" w:rsidR="00AF1C59" w:rsidRPr="002F2B00" w:rsidRDefault="297CE236" w:rsidP="00DD394B">
      <w:pPr>
        <w:pStyle w:val="ListParagraph"/>
        <w:numPr>
          <w:ilvl w:val="1"/>
          <w:numId w:val="14"/>
        </w:numPr>
        <w:rPr>
          <w:b/>
          <w:bCs/>
        </w:rPr>
      </w:pPr>
      <w:r w:rsidRPr="05FC8414">
        <w:rPr>
          <w:b/>
          <w:bCs/>
        </w:rPr>
        <w:t>The NIHRC advise</w:t>
      </w:r>
      <w:r w:rsidR="008D6E05">
        <w:rPr>
          <w:b/>
          <w:bCs/>
        </w:rPr>
        <w:t>s</w:t>
      </w:r>
      <w:r w:rsidRPr="05FC8414">
        <w:rPr>
          <w:b/>
          <w:bCs/>
        </w:rPr>
        <w:t xml:space="preserve"> that</w:t>
      </w:r>
      <w:r w:rsidR="6D723351" w:rsidRPr="05FC8414">
        <w:rPr>
          <w:b/>
          <w:bCs/>
        </w:rPr>
        <w:t xml:space="preserve"> </w:t>
      </w:r>
      <w:r w:rsidR="7872408F" w:rsidRPr="05FC8414">
        <w:rPr>
          <w:b/>
          <w:bCs/>
        </w:rPr>
        <w:t>the</w:t>
      </w:r>
      <w:r w:rsidR="6181CE82" w:rsidRPr="05FC8414">
        <w:rPr>
          <w:b/>
          <w:bCs/>
        </w:rPr>
        <w:t xml:space="preserve"> </w:t>
      </w:r>
      <w:r w:rsidR="7872408F" w:rsidRPr="05FC8414">
        <w:rPr>
          <w:b/>
          <w:bCs/>
        </w:rPr>
        <w:t xml:space="preserve">definition </w:t>
      </w:r>
      <w:r w:rsidRPr="05FC8414">
        <w:rPr>
          <w:b/>
          <w:bCs/>
        </w:rPr>
        <w:t xml:space="preserve">of </w:t>
      </w:r>
      <w:r w:rsidR="43574D57" w:rsidRPr="05FC8414">
        <w:rPr>
          <w:b/>
          <w:bCs/>
        </w:rPr>
        <w:t>‘</w:t>
      </w:r>
      <w:r w:rsidRPr="05FC8414">
        <w:rPr>
          <w:b/>
          <w:bCs/>
        </w:rPr>
        <w:t>close family member</w:t>
      </w:r>
      <w:r w:rsidR="43574D57" w:rsidRPr="05FC8414">
        <w:rPr>
          <w:b/>
          <w:bCs/>
        </w:rPr>
        <w:t>’</w:t>
      </w:r>
      <w:r w:rsidRPr="05FC8414">
        <w:rPr>
          <w:b/>
          <w:bCs/>
        </w:rPr>
        <w:t xml:space="preserve"> is too narrow</w:t>
      </w:r>
      <w:r w:rsidR="0D24D91A" w:rsidRPr="05FC8414">
        <w:rPr>
          <w:b/>
          <w:bCs/>
        </w:rPr>
        <w:t xml:space="preserve">. </w:t>
      </w:r>
      <w:r w:rsidR="008D6E05">
        <w:rPr>
          <w:b/>
          <w:bCs/>
        </w:rPr>
        <w:t>To compl</w:t>
      </w:r>
      <w:r w:rsidR="00C20430">
        <w:rPr>
          <w:b/>
          <w:bCs/>
        </w:rPr>
        <w:t>y, i</w:t>
      </w:r>
      <w:r w:rsidR="6181CE82" w:rsidRPr="05FC8414">
        <w:rPr>
          <w:b/>
          <w:bCs/>
        </w:rPr>
        <w:t>t</w:t>
      </w:r>
      <w:r w:rsidR="6D723351" w:rsidRPr="05FC8414">
        <w:rPr>
          <w:b/>
          <w:bCs/>
        </w:rPr>
        <w:t xml:space="preserve"> </w:t>
      </w:r>
      <w:r w:rsidR="7872408F" w:rsidRPr="05FC8414">
        <w:rPr>
          <w:b/>
          <w:bCs/>
        </w:rPr>
        <w:t>should</w:t>
      </w:r>
      <w:r w:rsidR="0D24D91A" w:rsidRPr="05FC8414">
        <w:rPr>
          <w:b/>
          <w:bCs/>
        </w:rPr>
        <w:t xml:space="preserve"> </w:t>
      </w:r>
      <w:r w:rsidR="00C20430">
        <w:rPr>
          <w:b/>
          <w:bCs/>
        </w:rPr>
        <w:t xml:space="preserve">at least </w:t>
      </w:r>
      <w:r w:rsidR="0D24D91A" w:rsidRPr="05FC8414">
        <w:rPr>
          <w:b/>
          <w:bCs/>
        </w:rPr>
        <w:t xml:space="preserve">extend to grandparents, aunts, uncles, </w:t>
      </w:r>
      <w:proofErr w:type="gramStart"/>
      <w:r w:rsidR="419E57AE" w:rsidRPr="05FC8414">
        <w:rPr>
          <w:b/>
          <w:bCs/>
        </w:rPr>
        <w:t>nieces</w:t>
      </w:r>
      <w:proofErr w:type="gramEnd"/>
      <w:r w:rsidR="0D24D91A" w:rsidRPr="05FC8414">
        <w:rPr>
          <w:b/>
          <w:bCs/>
        </w:rPr>
        <w:t xml:space="preserve"> or nephews</w:t>
      </w:r>
      <w:r w:rsidR="7872408F" w:rsidRPr="05FC8414">
        <w:rPr>
          <w:b/>
          <w:bCs/>
        </w:rPr>
        <w:t>.</w:t>
      </w:r>
      <w:r w:rsidR="5DE20CF8" w:rsidRPr="05FC8414">
        <w:rPr>
          <w:b/>
          <w:bCs/>
        </w:rPr>
        <w:t xml:space="preserve"> </w:t>
      </w:r>
    </w:p>
    <w:p w14:paraId="3D292BC5" w14:textId="77777777" w:rsidR="00AF1C59" w:rsidRPr="002F2B00" w:rsidRDefault="00AF1C59" w:rsidP="00AF1C59">
      <w:pPr>
        <w:pStyle w:val="ListParagraph"/>
        <w:rPr>
          <w:b/>
          <w:bCs/>
          <w:szCs w:val="24"/>
        </w:rPr>
      </w:pPr>
    </w:p>
    <w:p w14:paraId="512352E7" w14:textId="0EA6DB20" w:rsidR="006A649A" w:rsidRPr="002F2B00" w:rsidRDefault="4465C7ED" w:rsidP="00DD394B">
      <w:pPr>
        <w:pStyle w:val="ListParagraph"/>
        <w:numPr>
          <w:ilvl w:val="1"/>
          <w:numId w:val="14"/>
        </w:numPr>
        <w:rPr>
          <w:b/>
          <w:bCs/>
          <w:szCs w:val="24"/>
        </w:rPr>
      </w:pPr>
      <w:r w:rsidRPr="05FC8414">
        <w:rPr>
          <w:b/>
          <w:bCs/>
        </w:rPr>
        <w:t>The NIHRC advise</w:t>
      </w:r>
      <w:r w:rsidR="00C20430">
        <w:rPr>
          <w:b/>
          <w:bCs/>
        </w:rPr>
        <w:t>s</w:t>
      </w:r>
      <w:r w:rsidRPr="05FC8414">
        <w:rPr>
          <w:b/>
          <w:bCs/>
        </w:rPr>
        <w:t xml:space="preserve"> that </w:t>
      </w:r>
      <w:r w:rsidR="6181CE82" w:rsidRPr="05FC8414">
        <w:rPr>
          <w:b/>
          <w:bCs/>
        </w:rPr>
        <w:t xml:space="preserve">the definition of </w:t>
      </w:r>
      <w:r w:rsidR="43574D57" w:rsidRPr="05FC8414">
        <w:rPr>
          <w:b/>
          <w:bCs/>
        </w:rPr>
        <w:t xml:space="preserve">‘other family member’ </w:t>
      </w:r>
      <w:r w:rsidR="00C20430">
        <w:rPr>
          <w:b/>
          <w:bCs/>
        </w:rPr>
        <w:t xml:space="preserve">fails to permit situations in which </w:t>
      </w:r>
      <w:r w:rsidR="3B32C407" w:rsidRPr="05FC8414">
        <w:rPr>
          <w:b/>
          <w:bCs/>
        </w:rPr>
        <w:t>a non-familial person, with close personal links</w:t>
      </w:r>
      <w:r w:rsidR="4C26920C" w:rsidRPr="05FC8414">
        <w:rPr>
          <w:b/>
          <w:bCs/>
        </w:rPr>
        <w:t xml:space="preserve"> and who </w:t>
      </w:r>
      <w:r w:rsidR="3B32C407" w:rsidRPr="05FC8414">
        <w:rPr>
          <w:b/>
          <w:bCs/>
        </w:rPr>
        <w:t>provides care for a victim</w:t>
      </w:r>
      <w:r w:rsidR="006B4312">
        <w:rPr>
          <w:b/>
          <w:bCs/>
        </w:rPr>
        <w:t>,</w:t>
      </w:r>
      <w:r w:rsidR="3B32C407" w:rsidRPr="05FC8414">
        <w:rPr>
          <w:b/>
          <w:bCs/>
        </w:rPr>
        <w:t xml:space="preserve"> </w:t>
      </w:r>
      <w:r w:rsidR="006B4312">
        <w:rPr>
          <w:b/>
          <w:bCs/>
        </w:rPr>
        <w:t>can</w:t>
      </w:r>
      <w:r w:rsidR="006B4312" w:rsidRPr="05FC8414">
        <w:rPr>
          <w:b/>
          <w:bCs/>
        </w:rPr>
        <w:t xml:space="preserve"> </w:t>
      </w:r>
      <w:r w:rsidR="4C26920C" w:rsidRPr="05FC8414">
        <w:rPr>
          <w:b/>
          <w:bCs/>
        </w:rPr>
        <w:t>seek remedy on the victim’s behalf</w:t>
      </w:r>
      <w:r w:rsidR="3B32C407" w:rsidRPr="05FC8414">
        <w:rPr>
          <w:b/>
          <w:bCs/>
        </w:rPr>
        <w:t>.</w:t>
      </w:r>
    </w:p>
    <w:p w14:paraId="136AA2C5" w14:textId="4F9394DB" w:rsidR="00335115" w:rsidRPr="002F2B00" w:rsidRDefault="00335115" w:rsidP="00C217B5">
      <w:pPr>
        <w:rPr>
          <w:b/>
          <w:szCs w:val="24"/>
        </w:rPr>
      </w:pPr>
    </w:p>
    <w:p w14:paraId="76E5CA21" w14:textId="121BAF3B" w:rsidR="00B62522" w:rsidRPr="002F2B00" w:rsidRDefault="00B62522" w:rsidP="00E418C1">
      <w:pPr>
        <w:pStyle w:val="Heading1"/>
        <w:spacing w:before="0"/>
      </w:pPr>
      <w:bookmarkStart w:id="26" w:name="_Toc113517952"/>
      <w:bookmarkStart w:id="27" w:name="_Toc164766600"/>
      <w:bookmarkStart w:id="28" w:name="_Toc106290056"/>
      <w:bookmarkStart w:id="29" w:name="_Toc106290057"/>
      <w:r w:rsidRPr="002F2B00">
        <w:t>3.0</w:t>
      </w:r>
      <w:r w:rsidR="00133000">
        <w:tab/>
      </w:r>
      <w:r w:rsidRPr="002F2B00">
        <w:tab/>
        <w:t>Scope of the ICRIR</w:t>
      </w:r>
      <w:bookmarkEnd w:id="26"/>
      <w:bookmarkEnd w:id="27"/>
    </w:p>
    <w:p w14:paraId="468D5958" w14:textId="582BE3BD" w:rsidR="00153D7B" w:rsidRPr="002F2B00" w:rsidRDefault="00153D7B" w:rsidP="00967EEF">
      <w:pPr>
        <w:pStyle w:val="Heading3"/>
      </w:pPr>
      <w:bookmarkStart w:id="30" w:name="_Toc113517953"/>
      <w:bookmarkStart w:id="31" w:name="_Toc164766601"/>
      <w:r w:rsidRPr="002F2B00">
        <w:t>Definition of offences</w:t>
      </w:r>
      <w:bookmarkEnd w:id="28"/>
      <w:bookmarkEnd w:id="30"/>
      <w:bookmarkEnd w:id="31"/>
    </w:p>
    <w:p w14:paraId="6041A93A" w14:textId="7D5DDFB2" w:rsidR="00710241" w:rsidRPr="002F2B00" w:rsidRDefault="008A75D7" w:rsidP="00AC3F6C">
      <w:pPr>
        <w:pStyle w:val="ListParagraph"/>
        <w:numPr>
          <w:ilvl w:val="1"/>
          <w:numId w:val="5"/>
        </w:numPr>
        <w:rPr>
          <w:szCs w:val="24"/>
        </w:rPr>
      </w:pPr>
      <w:r w:rsidRPr="002F2B00">
        <w:t xml:space="preserve">The </w:t>
      </w:r>
      <w:r w:rsidR="00827BC0">
        <w:t>2023 Act recognises</w:t>
      </w:r>
      <w:r w:rsidR="006B26D5" w:rsidRPr="002F2B00" w:rsidDel="006B4312">
        <w:t xml:space="preserve"> </w:t>
      </w:r>
      <w:r w:rsidR="006B26D5" w:rsidRPr="002F2B00">
        <w:t>as a direct victim for the purposes of the ICRIR’s work</w:t>
      </w:r>
      <w:r w:rsidR="006E799D" w:rsidRPr="006E799D">
        <w:t xml:space="preserve"> </w:t>
      </w:r>
      <w:r w:rsidR="006E799D" w:rsidRPr="002F2B00">
        <w:t>someone who has died or someone who has suffered very specific serious physical or mental harm due to a Troubles-related offence</w:t>
      </w:r>
      <w:r w:rsidR="006B26D5" w:rsidRPr="002F2B00">
        <w:t>.</w:t>
      </w:r>
      <w:r w:rsidR="0095354E" w:rsidRPr="002F2B00">
        <w:rPr>
          <w:rStyle w:val="FootnoteReference"/>
        </w:rPr>
        <w:footnoteReference w:id="116"/>
      </w:r>
      <w:r w:rsidR="006B26D5" w:rsidRPr="002F2B00">
        <w:t xml:space="preserve"> </w:t>
      </w:r>
      <w:r w:rsidR="00DE1D86" w:rsidRPr="002F2B00">
        <w:t xml:space="preserve">The </w:t>
      </w:r>
      <w:r w:rsidR="00E14A79">
        <w:t>2023 Act provides</w:t>
      </w:r>
      <w:r w:rsidR="00DE1D86" w:rsidRPr="002F2B00">
        <w:t xml:space="preserve"> that i</w:t>
      </w:r>
      <w:r w:rsidR="006B26D5" w:rsidRPr="002F2B00">
        <w:t xml:space="preserve">t is only individuals </w:t>
      </w:r>
      <w:r w:rsidR="0095354E" w:rsidRPr="002F2B00">
        <w:t xml:space="preserve">whose cases </w:t>
      </w:r>
      <w:r w:rsidR="006B26D5" w:rsidRPr="002F2B00">
        <w:t xml:space="preserve">fall within these </w:t>
      </w:r>
      <w:r w:rsidR="00CE5DB1" w:rsidRPr="002F2B00">
        <w:t xml:space="preserve">two </w:t>
      </w:r>
      <w:r w:rsidR="006B26D5" w:rsidRPr="002F2B00">
        <w:t xml:space="preserve">categories that </w:t>
      </w:r>
      <w:r w:rsidR="0095354E" w:rsidRPr="002F2B00">
        <w:t>the ICRIR will consider for review</w:t>
      </w:r>
      <w:r w:rsidR="00703A5B" w:rsidRPr="002F2B00">
        <w:t>.</w:t>
      </w:r>
      <w:r w:rsidR="00C56FA0" w:rsidRPr="002F2B00">
        <w:t xml:space="preserve"> </w:t>
      </w:r>
      <w:r w:rsidR="00F0517B" w:rsidRPr="002F2B00">
        <w:t>The h</w:t>
      </w:r>
      <w:r w:rsidR="00710241" w:rsidRPr="002F2B00">
        <w:t xml:space="preserve">istorical record </w:t>
      </w:r>
      <w:r w:rsidR="00F0517B" w:rsidRPr="002F2B00">
        <w:t>is</w:t>
      </w:r>
      <w:r w:rsidR="00710241" w:rsidRPr="002F2B00">
        <w:t xml:space="preserve"> limited further</w:t>
      </w:r>
      <w:r w:rsidR="00DE1D86" w:rsidRPr="002F2B00">
        <w:t xml:space="preserve"> under the </w:t>
      </w:r>
      <w:r w:rsidR="00E14A79">
        <w:t>2023 Act</w:t>
      </w:r>
      <w:r w:rsidR="00FF06B7" w:rsidRPr="002F2B00">
        <w:t>.</w:t>
      </w:r>
      <w:r w:rsidR="00C11FFA" w:rsidRPr="002F2B00">
        <w:t xml:space="preserve"> </w:t>
      </w:r>
      <w:r w:rsidR="00DE1D86" w:rsidRPr="002F2B00">
        <w:t xml:space="preserve">The </w:t>
      </w:r>
      <w:r w:rsidR="00E14A79">
        <w:t>2023 Act</w:t>
      </w:r>
      <w:r w:rsidR="00E14A79" w:rsidDel="006E799D">
        <w:t xml:space="preserve"> </w:t>
      </w:r>
      <w:r w:rsidR="00E14A79">
        <w:t>provides</w:t>
      </w:r>
      <w:r w:rsidR="00DE1D86" w:rsidRPr="002F2B00">
        <w:t xml:space="preserve"> that</w:t>
      </w:r>
      <w:r w:rsidR="00CC4CBF" w:rsidRPr="002F2B00">
        <w:t xml:space="preserve"> the ICRIR is only </w:t>
      </w:r>
      <w:r w:rsidR="006E799D">
        <w:t>able</w:t>
      </w:r>
      <w:r w:rsidR="006E799D" w:rsidRPr="002F2B00">
        <w:t xml:space="preserve"> </w:t>
      </w:r>
      <w:r w:rsidR="00CC4CBF" w:rsidRPr="002F2B00">
        <w:t>to create a historical record for Troubles-related deaths</w:t>
      </w:r>
      <w:r w:rsidR="006E799D">
        <w:t>;</w:t>
      </w:r>
      <w:r w:rsidR="00CC4CBF" w:rsidRPr="002F2B00">
        <w:t xml:space="preserve"> its mandate does not include creating a historical record for serious physical or mental harm,</w:t>
      </w:r>
      <w:r w:rsidR="00CC4CBF" w:rsidRPr="002F2B00">
        <w:rPr>
          <w:rStyle w:val="FootnoteReference"/>
        </w:rPr>
        <w:footnoteReference w:id="117"/>
      </w:r>
      <w:r w:rsidR="00CC4CBF" w:rsidRPr="002F2B00">
        <w:t xml:space="preserve"> with no alternative mechanism available for such cases.</w:t>
      </w:r>
    </w:p>
    <w:p w14:paraId="4C01EA96" w14:textId="77777777" w:rsidR="00710241" w:rsidRPr="002F2B00" w:rsidRDefault="00710241" w:rsidP="00E13C4C"/>
    <w:p w14:paraId="659155EB" w14:textId="3F3D8A75" w:rsidR="00C80BE8" w:rsidRPr="002F2B00" w:rsidRDefault="00710241" w:rsidP="00C80BE8">
      <w:pPr>
        <w:ind w:left="720" w:hanging="720"/>
      </w:pPr>
      <w:r w:rsidRPr="002F2B00">
        <w:t>3.</w:t>
      </w:r>
      <w:r w:rsidR="00EF2A10" w:rsidRPr="002F2B00">
        <w:t>2</w:t>
      </w:r>
      <w:r w:rsidR="00EF2A10" w:rsidRPr="002F2B00">
        <w:tab/>
      </w:r>
      <w:r w:rsidR="00DE464C" w:rsidRPr="002F2B00">
        <w:t>A prescriptive list limited to extreme injuries and that does not accommodate rehabilitative injuries</w:t>
      </w:r>
      <w:r w:rsidR="000A2B06" w:rsidRPr="002F2B00">
        <w:t xml:space="preserve">, as </w:t>
      </w:r>
      <w:r w:rsidR="00571EF5">
        <w:t>provided for</w:t>
      </w:r>
      <w:r w:rsidR="000A2B06" w:rsidRPr="002F2B00">
        <w:t xml:space="preserve"> within the </w:t>
      </w:r>
      <w:r w:rsidR="006F59DE">
        <w:t>2023 Act</w:t>
      </w:r>
      <w:r w:rsidR="000A2B06" w:rsidRPr="002F2B00">
        <w:t>,</w:t>
      </w:r>
      <w:r w:rsidR="00DE464C" w:rsidRPr="002F2B00">
        <w:t xml:space="preserve"> is </w:t>
      </w:r>
      <w:r w:rsidR="000A2B06" w:rsidRPr="002F2B00">
        <w:t xml:space="preserve">unlikely to be </w:t>
      </w:r>
      <w:r w:rsidR="00C746FE" w:rsidRPr="002F2B00">
        <w:t>human rights</w:t>
      </w:r>
      <w:r w:rsidR="00DE464C" w:rsidRPr="002F2B00">
        <w:t xml:space="preserve"> compliant. </w:t>
      </w:r>
      <w:r w:rsidR="00402828">
        <w:t>Not least because i</w:t>
      </w:r>
      <w:r w:rsidR="00DE464C" w:rsidRPr="002F2B00">
        <w:t xml:space="preserve">t ignores the absolute nature of </w:t>
      </w:r>
      <w:r w:rsidR="00C746FE" w:rsidRPr="002F2B00">
        <w:t>the right to freedom from torture</w:t>
      </w:r>
      <w:r w:rsidR="00DE464C" w:rsidRPr="002F2B00">
        <w:t>.</w:t>
      </w:r>
      <w:r w:rsidR="00DE464C" w:rsidRPr="002F2B00">
        <w:rPr>
          <w:vertAlign w:val="superscript"/>
        </w:rPr>
        <w:footnoteReference w:id="118"/>
      </w:r>
      <w:r w:rsidR="00DE464C" w:rsidRPr="002F2B00">
        <w:t xml:space="preserve"> </w:t>
      </w:r>
      <w:r w:rsidR="00C746FE" w:rsidRPr="002F2B00">
        <w:t xml:space="preserve">ECtHR jurisprudence </w:t>
      </w:r>
      <w:r w:rsidR="00402828">
        <w:t>makes clear</w:t>
      </w:r>
      <w:r w:rsidR="00402828" w:rsidRPr="002F2B00">
        <w:t xml:space="preserve"> </w:t>
      </w:r>
      <w:r w:rsidR="00C746FE" w:rsidRPr="002F2B00">
        <w:t>that e</w:t>
      </w:r>
      <w:r w:rsidR="00DE464C" w:rsidRPr="002F2B00">
        <w:t xml:space="preserve">ach potential case should be </w:t>
      </w:r>
      <w:r w:rsidR="00DE464C" w:rsidRPr="002F2B00">
        <w:lastRenderedPageBreak/>
        <w:t>assessed on its own circumstances,</w:t>
      </w:r>
      <w:r w:rsidR="00DE464C" w:rsidRPr="002F2B00">
        <w:rPr>
          <w:vertAlign w:val="superscript"/>
        </w:rPr>
        <w:footnoteReference w:id="119"/>
      </w:r>
      <w:r w:rsidR="00DE464C" w:rsidRPr="002F2B00">
        <w:t xml:space="preserve"> not determined by a rigid list of extreme outcomes. </w:t>
      </w:r>
      <w:r w:rsidR="00CD3C13" w:rsidRPr="002F2B00">
        <w:t>It is also a notable departure from the Victims and Survivors (NI) Order 2006</w:t>
      </w:r>
      <w:r w:rsidR="00E10EDB" w:rsidRPr="002F2B00">
        <w:t xml:space="preserve">, which broadly defines a victim and survivor as </w:t>
      </w:r>
      <w:r w:rsidR="004D343D" w:rsidRPr="002F2B00">
        <w:t>“</w:t>
      </w:r>
      <w:r w:rsidR="00E10EDB" w:rsidRPr="002F2B00">
        <w:t xml:space="preserve">someone who has been </w:t>
      </w:r>
      <w:r w:rsidR="00CE6E32" w:rsidRPr="002F2B00">
        <w:t>physically or psychologically injured as a result of or in consequence of a conflict-related inciden</w:t>
      </w:r>
      <w:r w:rsidR="00B74259" w:rsidRPr="002F2B00">
        <w:t>t</w:t>
      </w:r>
      <w:r w:rsidR="004D343D" w:rsidRPr="002F2B00">
        <w:t>”</w:t>
      </w:r>
      <w:r w:rsidR="00B74259" w:rsidRPr="002F2B00">
        <w:t xml:space="preserve">, </w:t>
      </w:r>
      <w:r w:rsidR="004D343D" w:rsidRPr="002F2B00">
        <w:t>“someone who provides substantial amount of care on a regular basis for” such an indiv</w:t>
      </w:r>
      <w:r w:rsidR="00E408D2" w:rsidRPr="002F2B00">
        <w:t>i</w:t>
      </w:r>
      <w:r w:rsidR="004D343D" w:rsidRPr="002F2B00">
        <w:t>dual</w:t>
      </w:r>
      <w:r w:rsidR="00B74259" w:rsidRPr="002F2B00">
        <w:t xml:space="preserve">, or </w:t>
      </w:r>
      <w:r w:rsidR="004D343D" w:rsidRPr="002F2B00">
        <w:t>“</w:t>
      </w:r>
      <w:r w:rsidR="00B74259" w:rsidRPr="002F2B00">
        <w:t xml:space="preserve">someone who has been bereaved </w:t>
      </w:r>
      <w:r w:rsidR="004D343D" w:rsidRPr="002F2B00">
        <w:t>as a result of or in consequence of a conflict-related incident”</w:t>
      </w:r>
      <w:r w:rsidR="00CD3C13" w:rsidRPr="002F2B00">
        <w:t>.</w:t>
      </w:r>
      <w:r w:rsidR="00E408D2" w:rsidRPr="002F2B00">
        <w:rPr>
          <w:rStyle w:val="FootnoteReference"/>
        </w:rPr>
        <w:footnoteReference w:id="120"/>
      </w:r>
    </w:p>
    <w:p w14:paraId="449B1EDC" w14:textId="0DFBBAB0" w:rsidR="00E61D78" w:rsidRPr="002F2B00" w:rsidRDefault="00E61D78" w:rsidP="00C80BE8">
      <w:pPr>
        <w:ind w:left="720" w:hanging="720"/>
      </w:pPr>
    </w:p>
    <w:p w14:paraId="0D35A079" w14:textId="3F642110" w:rsidR="00E61D78" w:rsidRPr="002F2B00" w:rsidRDefault="00E61D78" w:rsidP="00C80BE8">
      <w:pPr>
        <w:ind w:left="720" w:hanging="720"/>
      </w:pPr>
      <w:r w:rsidRPr="0071496D">
        <w:rPr>
          <w:b/>
          <w:bCs/>
        </w:rPr>
        <w:t>3.</w:t>
      </w:r>
      <w:r w:rsidR="00EF2A10" w:rsidRPr="0071496D">
        <w:rPr>
          <w:b/>
          <w:bCs/>
        </w:rPr>
        <w:t>3</w:t>
      </w:r>
      <w:r w:rsidRPr="0071496D">
        <w:rPr>
          <w:b/>
          <w:bCs/>
        </w:rPr>
        <w:tab/>
      </w:r>
      <w:r w:rsidRPr="002F2B00" w:rsidDel="004F3381">
        <w:rPr>
          <w:b/>
          <w:bCs/>
        </w:rPr>
        <w:t xml:space="preserve">The NIHRC </w:t>
      </w:r>
      <w:r w:rsidR="008808FF">
        <w:rPr>
          <w:b/>
          <w:bCs/>
        </w:rPr>
        <w:t>advises</w:t>
      </w:r>
      <w:r w:rsidRPr="002F2B00" w:rsidDel="00D86463">
        <w:rPr>
          <w:b/>
          <w:bCs/>
        </w:rPr>
        <w:t xml:space="preserve"> </w:t>
      </w:r>
      <w:r w:rsidR="00680405" w:rsidRPr="002F2B00" w:rsidDel="00D86463">
        <w:rPr>
          <w:b/>
          <w:bCs/>
        </w:rPr>
        <w:t>that</w:t>
      </w:r>
      <w:r w:rsidR="00D96E1E" w:rsidRPr="002F2B00" w:rsidDel="00D86463">
        <w:rPr>
          <w:b/>
          <w:bCs/>
        </w:rPr>
        <w:t xml:space="preserve"> </w:t>
      </w:r>
      <w:r w:rsidR="008808FF">
        <w:rPr>
          <w:b/>
          <w:bCs/>
        </w:rPr>
        <w:t>there is</w:t>
      </w:r>
      <w:r w:rsidR="00413A30" w:rsidDel="00D86463">
        <w:rPr>
          <w:b/>
          <w:bCs/>
        </w:rPr>
        <w:t xml:space="preserve"> not </w:t>
      </w:r>
      <w:r w:rsidR="00413A30" w:rsidDel="004F3381">
        <w:rPr>
          <w:b/>
          <w:bCs/>
        </w:rPr>
        <w:t xml:space="preserve">sufficient </w:t>
      </w:r>
      <w:r w:rsidR="00350377" w:rsidRPr="002F2B00" w:rsidDel="004F3381">
        <w:rPr>
          <w:b/>
          <w:bCs/>
        </w:rPr>
        <w:t xml:space="preserve">flexibility </w:t>
      </w:r>
      <w:r w:rsidR="00BE0405" w:rsidRPr="002F2B00" w:rsidDel="004F3381">
        <w:rPr>
          <w:b/>
          <w:bCs/>
        </w:rPr>
        <w:t xml:space="preserve">built in to </w:t>
      </w:r>
      <w:r w:rsidR="008808FF">
        <w:rPr>
          <w:b/>
          <w:bCs/>
        </w:rPr>
        <w:t xml:space="preserve">the 2023 Act to </w:t>
      </w:r>
      <w:r w:rsidR="00BE0405" w:rsidRPr="002F2B00" w:rsidDel="004F3381">
        <w:rPr>
          <w:b/>
          <w:bCs/>
        </w:rPr>
        <w:t xml:space="preserve">ensure </w:t>
      </w:r>
      <w:r w:rsidR="00350377" w:rsidRPr="002F2B00" w:rsidDel="004F3381">
        <w:rPr>
          <w:b/>
          <w:bCs/>
        </w:rPr>
        <w:t>the</w:t>
      </w:r>
      <w:r w:rsidR="00680405" w:rsidRPr="002F2B00" w:rsidDel="004F3381">
        <w:rPr>
          <w:b/>
          <w:bCs/>
        </w:rPr>
        <w:t xml:space="preserve"> individual circumstances of each potential case and </w:t>
      </w:r>
      <w:r w:rsidR="00BE0405" w:rsidRPr="002F2B00" w:rsidDel="004F3381">
        <w:rPr>
          <w:b/>
          <w:bCs/>
        </w:rPr>
        <w:t xml:space="preserve">broader </w:t>
      </w:r>
      <w:r w:rsidR="00680405" w:rsidRPr="002F2B00" w:rsidDel="004F3381">
        <w:rPr>
          <w:b/>
          <w:bCs/>
        </w:rPr>
        <w:t xml:space="preserve">human rights commitments, including </w:t>
      </w:r>
      <w:r w:rsidR="00350377" w:rsidRPr="002F2B00" w:rsidDel="004F3381">
        <w:rPr>
          <w:b/>
          <w:bCs/>
        </w:rPr>
        <w:t>the investigative obligations attached to the right to life and freedom from torture</w:t>
      </w:r>
      <w:r w:rsidR="00351D82" w:rsidRPr="002F2B00" w:rsidDel="004F3381">
        <w:rPr>
          <w:b/>
          <w:bCs/>
        </w:rPr>
        <w:t>, can be considered</w:t>
      </w:r>
      <w:r w:rsidR="001F50BC" w:rsidRPr="002F2B00" w:rsidDel="004F3381">
        <w:rPr>
          <w:b/>
          <w:bCs/>
        </w:rPr>
        <w:t xml:space="preserve"> and </w:t>
      </w:r>
      <w:r w:rsidR="007B56E9" w:rsidRPr="002F2B00" w:rsidDel="004F3381">
        <w:rPr>
          <w:b/>
          <w:bCs/>
        </w:rPr>
        <w:t xml:space="preserve">are </w:t>
      </w:r>
      <w:r w:rsidR="001F50BC" w:rsidRPr="002F2B00" w:rsidDel="004F3381">
        <w:rPr>
          <w:b/>
          <w:bCs/>
        </w:rPr>
        <w:t xml:space="preserve">used to inform </w:t>
      </w:r>
      <w:r w:rsidR="00DD407F" w:rsidRPr="002F2B00" w:rsidDel="004F3381">
        <w:rPr>
          <w:b/>
          <w:bCs/>
        </w:rPr>
        <w:t>the determination of whether a case should be considered by the ICRIR</w:t>
      </w:r>
      <w:r w:rsidR="003A2EED" w:rsidRPr="002F2B00">
        <w:rPr>
          <w:b/>
          <w:bCs/>
        </w:rPr>
        <w:t>.</w:t>
      </w:r>
    </w:p>
    <w:p w14:paraId="08C02049" w14:textId="4DA35394" w:rsidR="000648A2" w:rsidRPr="002F2B00" w:rsidRDefault="000648A2" w:rsidP="00234DD8"/>
    <w:p w14:paraId="7223AB68" w14:textId="76679D09" w:rsidR="00153D7B" w:rsidRPr="002F2B00" w:rsidRDefault="00153D7B" w:rsidP="00967EEF">
      <w:pPr>
        <w:pStyle w:val="Heading3"/>
      </w:pPr>
      <w:bookmarkStart w:id="32" w:name="_Toc113517954"/>
      <w:bookmarkStart w:id="33" w:name="_Toc164766602"/>
      <w:r w:rsidRPr="002F2B00">
        <w:t>Non-duplication</w:t>
      </w:r>
      <w:bookmarkEnd w:id="32"/>
      <w:bookmarkEnd w:id="33"/>
    </w:p>
    <w:p w14:paraId="0A310459" w14:textId="1B2C5548" w:rsidR="00653466" w:rsidRPr="002F2B00" w:rsidRDefault="00EF2A10" w:rsidP="00EF2A10">
      <w:pPr>
        <w:ind w:left="720" w:hanging="720"/>
      </w:pPr>
      <w:r w:rsidRPr="002F2B00">
        <w:t>3.4</w:t>
      </w:r>
      <w:r w:rsidRPr="002F2B00">
        <w:tab/>
      </w:r>
      <w:r w:rsidR="00153D7B" w:rsidRPr="002F2B00">
        <w:t xml:space="preserve">The </w:t>
      </w:r>
      <w:r w:rsidR="00AC33B2" w:rsidRPr="002F2B00">
        <w:t>ECtHR has</w:t>
      </w:r>
      <w:r w:rsidR="00BC7324">
        <w:t xml:space="preserve"> previously</w:t>
      </w:r>
      <w:r w:rsidR="00AC33B2" w:rsidRPr="002F2B00">
        <w:t xml:space="preserve"> determined that the </w:t>
      </w:r>
      <w:r w:rsidR="00153D7B" w:rsidRPr="002F2B00">
        <w:t xml:space="preserve">UK </w:t>
      </w:r>
      <w:r w:rsidR="00BB04C8" w:rsidRPr="002F2B00">
        <w:t xml:space="preserve">Government </w:t>
      </w:r>
      <w:r w:rsidR="00153D7B" w:rsidRPr="002F2B00">
        <w:t xml:space="preserve">failed to implement </w:t>
      </w:r>
      <w:r w:rsidR="00BC7324">
        <w:t xml:space="preserve">a number of </w:t>
      </w:r>
      <w:r w:rsidR="00153D7B" w:rsidRPr="002F2B00">
        <w:t>ECtHR judgments stipulating measures to achieve effective investigations into ‘Troubles-related’ deaths since 2001 and this failure is itself resulting in new findings of violations against the UK.</w:t>
      </w:r>
      <w:r w:rsidR="00153D7B" w:rsidRPr="002F2B00">
        <w:rPr>
          <w:rStyle w:val="FootnoteReference"/>
          <w:szCs w:val="24"/>
        </w:rPr>
        <w:footnoteReference w:id="121"/>
      </w:r>
      <w:r w:rsidR="00153D7B" w:rsidRPr="002F2B00">
        <w:t xml:space="preserve"> The </w:t>
      </w:r>
      <w:proofErr w:type="spellStart"/>
      <w:r w:rsidR="006D78C7" w:rsidRPr="002F2B00">
        <w:t>CoE</w:t>
      </w:r>
      <w:proofErr w:type="spellEnd"/>
      <w:r w:rsidR="006D78C7" w:rsidRPr="002F2B00">
        <w:t xml:space="preserve"> </w:t>
      </w:r>
      <w:r w:rsidR="00153D7B" w:rsidRPr="002F2B00">
        <w:t>Committee of Ministers has expressed deep regret that the implementation of the judgments has not occurred.</w:t>
      </w:r>
      <w:r w:rsidR="00153D7B" w:rsidRPr="002F2B00">
        <w:rPr>
          <w:rStyle w:val="FootnoteReference"/>
          <w:szCs w:val="24"/>
        </w:rPr>
        <w:footnoteReference w:id="122"/>
      </w:r>
      <w:r w:rsidR="00153D7B" w:rsidRPr="002F2B00">
        <w:t xml:space="preserve"> </w:t>
      </w:r>
      <w:r w:rsidR="0069196E" w:rsidRPr="002F2B00">
        <w:t xml:space="preserve">It has </w:t>
      </w:r>
      <w:r w:rsidR="006E7616" w:rsidRPr="002F2B00">
        <w:t>emphasised “that it is crucial that the legislation ultimately adopted is in full compliance with the ECHR and will enable effective investigations into all outstanding cases”.</w:t>
      </w:r>
      <w:r w:rsidR="006E7616" w:rsidRPr="002F2B00">
        <w:rPr>
          <w:rStyle w:val="FootnoteReference"/>
        </w:rPr>
        <w:footnoteReference w:id="123"/>
      </w:r>
    </w:p>
    <w:p w14:paraId="7FB7653A" w14:textId="77777777" w:rsidR="00653466" w:rsidRPr="002F2B00" w:rsidRDefault="00653466" w:rsidP="00653466">
      <w:pPr>
        <w:pStyle w:val="ListParagraph"/>
      </w:pPr>
    </w:p>
    <w:p w14:paraId="41EE3F8D" w14:textId="17784AEC" w:rsidR="00653466" w:rsidRPr="002F2B00" w:rsidRDefault="00EF2A10" w:rsidP="00EF2A10">
      <w:pPr>
        <w:ind w:left="720" w:hanging="720"/>
      </w:pPr>
      <w:r w:rsidRPr="002F2B00">
        <w:t>3.5</w:t>
      </w:r>
      <w:r w:rsidRPr="002F2B00">
        <w:tab/>
      </w:r>
      <w:r w:rsidR="00D800C3">
        <w:t>There is</w:t>
      </w:r>
      <w:r w:rsidR="00AC59F6">
        <w:t xml:space="preserve"> require</w:t>
      </w:r>
      <w:r w:rsidR="00D800C3">
        <w:t>d</w:t>
      </w:r>
      <w:r w:rsidR="00AC59F6">
        <w:t xml:space="preserve"> some </w:t>
      </w:r>
      <w:r w:rsidR="00D800C3">
        <w:t xml:space="preserve">historical context setting, for completeness. </w:t>
      </w:r>
      <w:r w:rsidR="7B47C18E" w:rsidRPr="002F2B00">
        <w:t>T</w:t>
      </w:r>
      <w:r w:rsidR="66F01749" w:rsidRPr="002F2B00">
        <w:t>he Historical Enquiries Team was a unit of the Police Service NI set up in September 2005 to investigate Troubles-related deaths between January 1969 and 10 April 1998. It was found to be non-</w:t>
      </w:r>
      <w:r w:rsidR="66F01749" w:rsidRPr="002F2B00">
        <w:lastRenderedPageBreak/>
        <w:t xml:space="preserve">compliant with </w:t>
      </w:r>
      <w:r w:rsidR="7B47C18E" w:rsidRPr="002F2B00">
        <w:t xml:space="preserve">Article 2 of </w:t>
      </w:r>
      <w:r w:rsidR="66F01749" w:rsidRPr="002F2B00">
        <w:t>the ECHR</w:t>
      </w:r>
      <w:r w:rsidR="7B47C18E" w:rsidRPr="002F2B00">
        <w:rPr>
          <w:szCs w:val="24"/>
        </w:rPr>
        <w:t xml:space="preserve"> </w:t>
      </w:r>
      <w:r w:rsidR="66F01749" w:rsidRPr="002F2B00">
        <w:t>due to inconsistencies and lack of independence.</w:t>
      </w:r>
      <w:r w:rsidR="00153D7B" w:rsidRPr="002F2B00">
        <w:rPr>
          <w:rStyle w:val="FootnoteReference"/>
        </w:rPr>
        <w:footnoteReference w:id="124"/>
      </w:r>
      <w:r w:rsidR="66F01749" w:rsidRPr="002F2B00">
        <w:rPr>
          <w:szCs w:val="24"/>
        </w:rPr>
        <w:t xml:space="preserve"> </w:t>
      </w:r>
    </w:p>
    <w:p w14:paraId="6C08D7C4" w14:textId="77777777" w:rsidR="00653466" w:rsidRPr="002F2B00" w:rsidRDefault="00653466" w:rsidP="00653466">
      <w:pPr>
        <w:pStyle w:val="ListParagraph"/>
        <w:rPr>
          <w:szCs w:val="24"/>
        </w:rPr>
      </w:pPr>
    </w:p>
    <w:p w14:paraId="113DE667" w14:textId="77777777" w:rsidR="00653466" w:rsidRPr="002F2B00" w:rsidRDefault="00153D7B" w:rsidP="00AC3F6C">
      <w:pPr>
        <w:pStyle w:val="ListParagraph"/>
        <w:numPr>
          <w:ilvl w:val="1"/>
          <w:numId w:val="4"/>
        </w:numPr>
      </w:pPr>
      <w:r w:rsidRPr="002F2B00">
        <w:rPr>
          <w:szCs w:val="24"/>
        </w:rPr>
        <w:t>The H</w:t>
      </w:r>
      <w:r w:rsidR="00FF44FE" w:rsidRPr="002F2B00">
        <w:rPr>
          <w:szCs w:val="24"/>
        </w:rPr>
        <w:t xml:space="preserve">istorical </w:t>
      </w:r>
      <w:r w:rsidRPr="002F2B00">
        <w:rPr>
          <w:szCs w:val="24"/>
        </w:rPr>
        <w:t>E</w:t>
      </w:r>
      <w:r w:rsidR="00FF44FE" w:rsidRPr="002F2B00">
        <w:rPr>
          <w:szCs w:val="24"/>
        </w:rPr>
        <w:t xml:space="preserve">nquiries </w:t>
      </w:r>
      <w:r w:rsidRPr="002F2B00">
        <w:rPr>
          <w:szCs w:val="24"/>
        </w:rPr>
        <w:t>T</w:t>
      </w:r>
      <w:r w:rsidR="00FF44FE" w:rsidRPr="002F2B00">
        <w:rPr>
          <w:szCs w:val="24"/>
        </w:rPr>
        <w:t>eam</w:t>
      </w:r>
      <w:r w:rsidRPr="002F2B00">
        <w:rPr>
          <w:szCs w:val="24"/>
        </w:rPr>
        <w:t xml:space="preserve"> was replaced by the Legacy Investigative Branch, a unit within the Police Service NI headed by a Detective Chief Superintendent, tasked with investigating Troubles-related cases between 1 January 1969 and 1 March 2004. The </w:t>
      </w:r>
      <w:r w:rsidR="00F57A60" w:rsidRPr="002F2B00">
        <w:rPr>
          <w:szCs w:val="24"/>
        </w:rPr>
        <w:t>House of Commons and House of Lords</w:t>
      </w:r>
      <w:r w:rsidRPr="002F2B00">
        <w:rPr>
          <w:szCs w:val="24"/>
        </w:rPr>
        <w:t xml:space="preserve"> Joint Committee on Human Rights, has stated that “as well as having fewer resources at its disposal than its predecessor, the </w:t>
      </w:r>
      <w:r w:rsidR="00F57A60" w:rsidRPr="002F2B00">
        <w:rPr>
          <w:szCs w:val="24"/>
        </w:rPr>
        <w:t>Legacy Investigative Branch</w:t>
      </w:r>
      <w:r w:rsidRPr="002F2B00">
        <w:rPr>
          <w:szCs w:val="24"/>
        </w:rPr>
        <w:t xml:space="preserve"> cannot itself satisfy the requirements of Article 2 </w:t>
      </w:r>
      <w:r w:rsidR="00F57A60" w:rsidRPr="002F2B00">
        <w:rPr>
          <w:szCs w:val="24"/>
        </w:rPr>
        <w:t xml:space="preserve">of the </w:t>
      </w:r>
      <w:r w:rsidRPr="002F2B00">
        <w:rPr>
          <w:szCs w:val="24"/>
        </w:rPr>
        <w:t>ECHR because of its lack of independence from the police service”.</w:t>
      </w:r>
      <w:r w:rsidRPr="002F2B00">
        <w:rPr>
          <w:rStyle w:val="FootnoteReference"/>
          <w:szCs w:val="24"/>
        </w:rPr>
        <w:footnoteReference w:id="125"/>
      </w:r>
      <w:r w:rsidRPr="002F2B00">
        <w:rPr>
          <w:szCs w:val="24"/>
        </w:rPr>
        <w:t xml:space="preserve"> </w:t>
      </w:r>
    </w:p>
    <w:p w14:paraId="0EBCBC96" w14:textId="77777777" w:rsidR="00653466" w:rsidRPr="002F2B00" w:rsidRDefault="00653466" w:rsidP="00653466">
      <w:pPr>
        <w:pStyle w:val="ListParagraph"/>
        <w:rPr>
          <w:szCs w:val="24"/>
        </w:rPr>
      </w:pPr>
    </w:p>
    <w:p w14:paraId="5B99AEE8" w14:textId="7B8DFD5E" w:rsidR="00153D7B" w:rsidRPr="002F2B00" w:rsidRDefault="00153D7B" w:rsidP="00AC3F6C">
      <w:pPr>
        <w:pStyle w:val="ListParagraph"/>
        <w:numPr>
          <w:ilvl w:val="1"/>
          <w:numId w:val="4"/>
        </w:numPr>
      </w:pPr>
      <w:r w:rsidRPr="002F2B00">
        <w:rPr>
          <w:szCs w:val="24"/>
        </w:rPr>
        <w:t>The Police Ombudsman</w:t>
      </w:r>
      <w:r w:rsidR="00201E3B" w:rsidRPr="002F2B00">
        <w:rPr>
          <w:szCs w:val="24"/>
        </w:rPr>
        <w:t xml:space="preserve"> for NI</w:t>
      </w:r>
      <w:r w:rsidRPr="002F2B00">
        <w:rPr>
          <w:szCs w:val="24"/>
        </w:rPr>
        <w:t xml:space="preserve"> has established a Historical Investigations Directorate to investigate matters in which members of the Royal Ulster Constabulary “may have been responsible for deaths or serious criminality in the past, and in particular between 1968 until 10 April 1998”.</w:t>
      </w:r>
      <w:r w:rsidRPr="002F2B00">
        <w:rPr>
          <w:rStyle w:val="FootnoteReference"/>
          <w:szCs w:val="24"/>
        </w:rPr>
        <w:footnoteReference w:id="126"/>
      </w:r>
      <w:r w:rsidRPr="002F2B00">
        <w:rPr>
          <w:szCs w:val="24"/>
        </w:rPr>
        <w:t xml:space="preserve"> The Directorate includes staff from a variety of professional backgrounds, including those with an expertise of investigation, complaint handling and dealing with people affected by events during the Troubles.</w:t>
      </w:r>
      <w:r w:rsidRPr="002F2B00">
        <w:rPr>
          <w:rStyle w:val="FootnoteReference"/>
          <w:szCs w:val="24"/>
        </w:rPr>
        <w:footnoteReference w:id="127"/>
      </w:r>
      <w:r w:rsidRPr="002F2B00">
        <w:rPr>
          <w:szCs w:val="24"/>
        </w:rPr>
        <w:t xml:space="preserve"> This does not eliminate the possibility of a conflict of interest, which may bring the independence of an investigation by the Directorate into question.</w:t>
      </w:r>
    </w:p>
    <w:p w14:paraId="31D7DC70" w14:textId="77777777" w:rsidR="00153D7B" w:rsidRPr="002F2B00" w:rsidRDefault="00153D7B" w:rsidP="00153D7B">
      <w:pPr>
        <w:rPr>
          <w:b/>
          <w:szCs w:val="24"/>
        </w:rPr>
      </w:pPr>
    </w:p>
    <w:p w14:paraId="41308C94" w14:textId="0C577D25" w:rsidR="00153D7B" w:rsidRPr="002F2B00" w:rsidRDefault="66F01749" w:rsidP="00AC3F6C">
      <w:pPr>
        <w:pStyle w:val="ListParagraph"/>
        <w:numPr>
          <w:ilvl w:val="1"/>
          <w:numId w:val="4"/>
        </w:numPr>
      </w:pPr>
      <w:r w:rsidRPr="002F2B00">
        <w:t>Noting the inadequacies of previous initiatives</w:t>
      </w:r>
      <w:r w:rsidR="5FBE6262" w:rsidRPr="002F2B00">
        <w:t>,</w:t>
      </w:r>
      <w:r w:rsidRPr="002F2B00">
        <w:t xml:space="preserve"> it is important that the ICRIR is empowered to investigate all deaths which have not received an effective investigation in full compliance with </w:t>
      </w:r>
      <w:r w:rsidR="003F3A42" w:rsidRPr="002F2B00">
        <w:t xml:space="preserve">human rights standards, including Articles 2 </w:t>
      </w:r>
      <w:r w:rsidR="00FD7BEC" w:rsidRPr="002F2B00">
        <w:t xml:space="preserve">of </w:t>
      </w:r>
      <w:r w:rsidR="003F3A42" w:rsidRPr="002F2B00">
        <w:t>the ECHR</w:t>
      </w:r>
      <w:r w:rsidRPr="002F2B00">
        <w:t>.</w:t>
      </w:r>
      <w:r w:rsidR="006FEF6C" w:rsidRPr="002F2B00">
        <w:t xml:space="preserve"> </w:t>
      </w:r>
      <w:r w:rsidRPr="002F2B00">
        <w:t xml:space="preserve">This includes those deaths which have been the subject of previous initiatives. As stated by the </w:t>
      </w:r>
      <w:proofErr w:type="spellStart"/>
      <w:r w:rsidRPr="002F2B00">
        <w:t>CoE</w:t>
      </w:r>
      <w:proofErr w:type="spellEnd"/>
      <w:r w:rsidRPr="002F2B00">
        <w:t xml:space="preserve"> Committee of Ministers when it:</w:t>
      </w:r>
    </w:p>
    <w:p w14:paraId="7E8DE613" w14:textId="77777777" w:rsidR="00153D7B" w:rsidRPr="002F2B00" w:rsidRDefault="00153D7B" w:rsidP="00153D7B">
      <w:pPr>
        <w:spacing w:line="24" w:lineRule="atLeast"/>
      </w:pPr>
    </w:p>
    <w:p w14:paraId="24C05EB7" w14:textId="77777777" w:rsidR="00153D7B" w:rsidRPr="002F2B00" w:rsidRDefault="00153D7B" w:rsidP="00153D7B">
      <w:pPr>
        <w:pStyle w:val="Quote"/>
        <w:rPr>
          <w:szCs w:val="24"/>
        </w:rPr>
      </w:pPr>
      <w:r w:rsidRPr="002F2B00">
        <w:t xml:space="preserve">called upon the authorities to take all necessary measures to ensure the Historical Investigations Unit can be established and start its work without any further delay, </w:t>
      </w:r>
      <w:r w:rsidRPr="002F2B00">
        <w:lastRenderedPageBreak/>
        <w:t xml:space="preserve">particularly </w:t>
      </w:r>
      <w:proofErr w:type="gramStart"/>
      <w:r w:rsidRPr="002F2B00">
        <w:t>in light of</w:t>
      </w:r>
      <w:proofErr w:type="gramEnd"/>
      <w:r w:rsidRPr="002F2B00">
        <w:t xml:space="preserve"> the length of time that has already passed since these judgments became final and the failure of previous initiatives to achieve effective, expeditious investigations.</w:t>
      </w:r>
      <w:r w:rsidRPr="002F2B00">
        <w:rPr>
          <w:rStyle w:val="FootnoteReference"/>
          <w:szCs w:val="24"/>
        </w:rPr>
        <w:footnoteReference w:id="128"/>
      </w:r>
    </w:p>
    <w:p w14:paraId="093395A8" w14:textId="77777777" w:rsidR="00CA3160" w:rsidRPr="002F2B00" w:rsidRDefault="00CA3160" w:rsidP="00B257CA">
      <w:pPr>
        <w:rPr>
          <w:b/>
          <w:szCs w:val="24"/>
        </w:rPr>
      </w:pPr>
    </w:p>
    <w:p w14:paraId="3A54F123" w14:textId="67462409" w:rsidR="00AE4F07" w:rsidRDefault="00844B2C" w:rsidP="00AC3F6C">
      <w:pPr>
        <w:pStyle w:val="ListParagraph"/>
        <w:numPr>
          <w:ilvl w:val="1"/>
          <w:numId w:val="4"/>
        </w:numPr>
      </w:pPr>
      <w:r>
        <w:t>The 2023 Act provides that</w:t>
      </w:r>
      <w:r w:rsidR="66F01749" w:rsidRPr="002F2B00">
        <w:t xml:space="preserve"> </w:t>
      </w:r>
      <w:r w:rsidR="76C034B0" w:rsidRPr="002F2B00">
        <w:t>the ICRIR “must take into account</w:t>
      </w:r>
      <w:r w:rsidR="78C3ABE0" w:rsidRPr="002F2B00">
        <w:t>” a review or investigation that has already been carried out and “in particular, must ensure that the ICRIR does not do anything which duplicates any aspect of that review unless, in the ICRIR’s view, the duplication is necessary”.</w:t>
      </w:r>
      <w:r w:rsidR="004C55E8">
        <w:rPr>
          <w:rStyle w:val="FootnoteReference"/>
        </w:rPr>
        <w:footnoteReference w:id="129"/>
      </w:r>
      <w:r w:rsidR="78C3ABE0" w:rsidRPr="002F2B00">
        <w:t xml:space="preserve"> </w:t>
      </w:r>
      <w:r w:rsidR="008B1A54" w:rsidRPr="002F2B00">
        <w:t xml:space="preserve">The </w:t>
      </w:r>
      <w:r>
        <w:t>2023 Act</w:t>
      </w:r>
      <w:r w:rsidR="008B1A54" w:rsidRPr="002F2B00">
        <w:t xml:space="preserve"> does not propose that the ICRIR considers whether a</w:t>
      </w:r>
      <w:r w:rsidR="00E3203B" w:rsidRPr="002F2B00">
        <w:t>ll</w:t>
      </w:r>
      <w:r w:rsidR="008B1A54" w:rsidRPr="002F2B00">
        <w:t xml:space="preserve"> previous </w:t>
      </w:r>
      <w:r w:rsidR="00E3203B" w:rsidRPr="002F2B00">
        <w:t>investigations into Troubles-related offences</w:t>
      </w:r>
      <w:r w:rsidR="008B1A54" w:rsidRPr="002F2B00">
        <w:t xml:space="preserve"> w</w:t>
      </w:r>
      <w:r w:rsidR="00E3203B" w:rsidRPr="002F2B00">
        <w:t>ere</w:t>
      </w:r>
      <w:r w:rsidR="008B1A54" w:rsidRPr="002F2B00">
        <w:t xml:space="preserve"> or </w:t>
      </w:r>
      <w:r w:rsidR="00E3203B" w:rsidRPr="002F2B00">
        <w:t>were</w:t>
      </w:r>
      <w:r w:rsidR="008B1A54" w:rsidRPr="002F2B00">
        <w:t xml:space="preserve"> not human rights compliant.</w:t>
      </w:r>
      <w:r w:rsidR="66F01749" w:rsidRPr="002F2B00">
        <w:t xml:space="preserve"> </w:t>
      </w:r>
      <w:r w:rsidR="00B14CC3">
        <w:t xml:space="preserve">The High Court of Justice in NI </w:t>
      </w:r>
      <w:r w:rsidR="00AE4F07">
        <w:t>recognised:</w:t>
      </w:r>
    </w:p>
    <w:p w14:paraId="4607481E" w14:textId="77777777" w:rsidR="00AE4F07" w:rsidRDefault="00AE4F07" w:rsidP="00AE4F07">
      <w:pPr>
        <w:pStyle w:val="ListParagraph"/>
      </w:pPr>
    </w:p>
    <w:p w14:paraId="19B5C9B2" w14:textId="6CBD3ACE" w:rsidR="00AE4F07" w:rsidRDefault="00D53123" w:rsidP="00D53123">
      <w:pPr>
        <w:pStyle w:val="Quote"/>
      </w:pPr>
      <w:r>
        <w:t>t</w:t>
      </w:r>
      <w:r w:rsidR="00AE4F07">
        <w:t>he concerns in relation to the lack of effective handover processes for outstanding police complaints</w:t>
      </w:r>
      <w:r w:rsidR="0010102E">
        <w:t xml:space="preserve">. It is striking that whilst under section 38(3) [of the 2023 Act], there is an obligation on the Chief Constable of the Police Service of NI to notify the Secretary of State of any outstanding criminal investigations before 1 May 2024, no such similar obligation is made for policy complaints which will be </w:t>
      </w:r>
      <w:proofErr w:type="gramStart"/>
      <w:r w:rsidR="0010102E">
        <w:t>brought to an end</w:t>
      </w:r>
      <w:proofErr w:type="gramEnd"/>
      <w:r w:rsidR="0010102E">
        <w:t xml:space="preserve"> under section 45 [of the 2023 Act].</w:t>
      </w:r>
      <w:r w:rsidR="00154FE3">
        <w:t xml:space="preserve"> It is the court’s view that in order for the [2023] Act to be read compatibly with the… [ECHR]</w:t>
      </w:r>
      <w:r w:rsidR="006130F6">
        <w:t xml:space="preserve"> and to satisfy the State’s ‘own motion’ obligations under Articles 2 and 3 of the ECHR… the Secretary of State must inform himself of all outstanding Troubles-related police complaints and submit them to the ICRIR pursuant to its powers under sections 9 and 10 of the 2023 Act</w:t>
      </w:r>
      <w:r>
        <w:t>.</w:t>
      </w:r>
      <w:r>
        <w:rPr>
          <w:rStyle w:val="FootnoteReference"/>
        </w:rPr>
        <w:footnoteReference w:id="130"/>
      </w:r>
    </w:p>
    <w:p w14:paraId="7133B225" w14:textId="77777777" w:rsidR="00AE4F07" w:rsidRDefault="00AE4F07" w:rsidP="00AE4F07">
      <w:pPr>
        <w:pStyle w:val="ListParagraph"/>
      </w:pPr>
    </w:p>
    <w:p w14:paraId="592D37EC" w14:textId="351C0A51" w:rsidR="00153D7B" w:rsidRPr="002F2B00" w:rsidRDefault="00D53123" w:rsidP="00AC3F6C">
      <w:pPr>
        <w:pStyle w:val="ListParagraph"/>
        <w:numPr>
          <w:ilvl w:val="1"/>
          <w:numId w:val="4"/>
        </w:numPr>
      </w:pPr>
      <w:r>
        <w:t>However, this suggestion only covers one aspect</w:t>
      </w:r>
      <w:r w:rsidR="00DF4442">
        <w:t xml:space="preserve"> and is specific to police complaints.</w:t>
      </w:r>
      <w:r>
        <w:t xml:space="preserve"> </w:t>
      </w:r>
      <w:r w:rsidR="66F01749" w:rsidRPr="002F2B00">
        <w:t>The shortcomings exposed in case law from the ECtHR</w:t>
      </w:r>
      <w:r w:rsidR="00153D7B" w:rsidRPr="002F2B00">
        <w:rPr>
          <w:vertAlign w:val="superscript"/>
        </w:rPr>
        <w:footnoteReference w:id="131"/>
      </w:r>
      <w:r w:rsidR="66F01749" w:rsidRPr="002F2B00">
        <w:t xml:space="preserve"> and findings of the </w:t>
      </w:r>
      <w:proofErr w:type="spellStart"/>
      <w:r w:rsidR="66F01749" w:rsidRPr="002F2B00">
        <w:t>CoE</w:t>
      </w:r>
      <w:proofErr w:type="spellEnd"/>
      <w:r w:rsidR="66F01749" w:rsidRPr="002F2B00">
        <w:t xml:space="preserve"> Committee of Ministers</w:t>
      </w:r>
      <w:r w:rsidR="00153D7B" w:rsidRPr="002F2B00">
        <w:rPr>
          <w:vertAlign w:val="superscript"/>
        </w:rPr>
        <w:footnoteReference w:id="132"/>
      </w:r>
      <w:r w:rsidR="66F01749" w:rsidRPr="002F2B00">
        <w:t xml:space="preserve"> </w:t>
      </w:r>
      <w:r w:rsidR="0026476D" w:rsidRPr="002F2B00">
        <w:t xml:space="preserve">make </w:t>
      </w:r>
      <w:r w:rsidR="00540D5B" w:rsidRPr="002F2B00">
        <w:t xml:space="preserve">it </w:t>
      </w:r>
      <w:r w:rsidR="0026476D" w:rsidRPr="002F2B00">
        <w:t>clear that</w:t>
      </w:r>
      <w:r w:rsidR="00602606" w:rsidRPr="002F2B00">
        <w:t>, in many circumstances,</w:t>
      </w:r>
      <w:r w:rsidR="0026476D" w:rsidRPr="002F2B00">
        <w:t xml:space="preserve"> previous Troubles-related investigations </w:t>
      </w:r>
      <w:r w:rsidR="00602606" w:rsidRPr="002F2B00">
        <w:t>were not human rights compliant.</w:t>
      </w:r>
      <w:r w:rsidR="00D248FA">
        <w:t xml:space="preserve"> There are many </w:t>
      </w:r>
      <w:r w:rsidR="00D248FA">
        <w:lastRenderedPageBreak/>
        <w:t xml:space="preserve">cases that are deemed closed that require reconsideration. There are also many Troubles-related offences that have </w:t>
      </w:r>
      <w:r w:rsidR="004307A4">
        <w:t>not been subject to any form of investigation and require a</w:t>
      </w:r>
      <w:r w:rsidR="00DF4442">
        <w:t>t least a basic analysis</w:t>
      </w:r>
      <w:r w:rsidR="004307A4">
        <w:t xml:space="preserve"> to see if this can be remedied.</w:t>
      </w:r>
    </w:p>
    <w:p w14:paraId="5FD76741" w14:textId="77777777" w:rsidR="003D32DD" w:rsidRPr="002F2B00" w:rsidRDefault="003D32DD" w:rsidP="003D32DD">
      <w:pPr>
        <w:pStyle w:val="ListParagraph"/>
        <w:rPr>
          <w:szCs w:val="24"/>
        </w:rPr>
      </w:pPr>
    </w:p>
    <w:p w14:paraId="544E6DCE" w14:textId="4E76586F" w:rsidR="003D32DD" w:rsidRPr="002F2B00" w:rsidRDefault="006053E9" w:rsidP="00AC3F6C">
      <w:pPr>
        <w:pStyle w:val="ListParagraph"/>
        <w:numPr>
          <w:ilvl w:val="1"/>
          <w:numId w:val="4"/>
        </w:numPr>
        <w:rPr>
          <w:b/>
          <w:bCs/>
          <w:szCs w:val="24"/>
        </w:rPr>
      </w:pPr>
      <w:r w:rsidRPr="002F2B00">
        <w:rPr>
          <w:b/>
          <w:bCs/>
          <w:szCs w:val="24"/>
        </w:rPr>
        <w:t xml:space="preserve">The NIHRC </w:t>
      </w:r>
      <w:r w:rsidR="00413A30">
        <w:rPr>
          <w:b/>
          <w:bCs/>
          <w:szCs w:val="24"/>
        </w:rPr>
        <w:t>advise</w:t>
      </w:r>
      <w:r w:rsidR="00747CD6">
        <w:rPr>
          <w:b/>
          <w:bCs/>
          <w:szCs w:val="24"/>
        </w:rPr>
        <w:t>s</w:t>
      </w:r>
      <w:r w:rsidRPr="002F2B00">
        <w:rPr>
          <w:b/>
          <w:bCs/>
          <w:szCs w:val="24"/>
        </w:rPr>
        <w:t xml:space="preserve"> that the </w:t>
      </w:r>
      <w:r w:rsidR="00844B2C">
        <w:rPr>
          <w:b/>
          <w:bCs/>
          <w:szCs w:val="24"/>
        </w:rPr>
        <w:t>2023 Act</w:t>
      </w:r>
      <w:r w:rsidRPr="002F2B00">
        <w:rPr>
          <w:b/>
          <w:bCs/>
          <w:szCs w:val="24"/>
        </w:rPr>
        <w:t xml:space="preserve"> </w:t>
      </w:r>
      <w:r w:rsidR="00716DD7">
        <w:rPr>
          <w:b/>
          <w:bCs/>
          <w:szCs w:val="24"/>
        </w:rPr>
        <w:t xml:space="preserve">fails to provide any </w:t>
      </w:r>
      <w:r w:rsidRPr="002F2B00">
        <w:rPr>
          <w:b/>
          <w:bCs/>
          <w:szCs w:val="24"/>
        </w:rPr>
        <w:t xml:space="preserve">mechanism to assess whether previous investigations were </w:t>
      </w:r>
      <w:r w:rsidR="00316365">
        <w:rPr>
          <w:b/>
          <w:bCs/>
          <w:szCs w:val="24"/>
        </w:rPr>
        <w:t xml:space="preserve">effective as required by </w:t>
      </w:r>
      <w:r w:rsidR="00207D1A">
        <w:rPr>
          <w:b/>
          <w:bCs/>
          <w:szCs w:val="24"/>
        </w:rPr>
        <w:t xml:space="preserve">the ECHR. </w:t>
      </w:r>
      <w:r w:rsidR="00DB239A">
        <w:rPr>
          <w:b/>
          <w:bCs/>
          <w:szCs w:val="24"/>
        </w:rPr>
        <w:t>Such</w:t>
      </w:r>
      <w:r w:rsidR="00207D1A">
        <w:rPr>
          <w:b/>
          <w:bCs/>
          <w:szCs w:val="24"/>
        </w:rPr>
        <w:t xml:space="preserve"> a requirement</w:t>
      </w:r>
      <w:r w:rsidR="00DB239A">
        <w:rPr>
          <w:b/>
          <w:bCs/>
          <w:szCs w:val="24"/>
        </w:rPr>
        <w:t xml:space="preserve"> -</w:t>
      </w:r>
      <w:r w:rsidR="00207D1A">
        <w:rPr>
          <w:b/>
          <w:bCs/>
          <w:szCs w:val="24"/>
        </w:rPr>
        <w:t xml:space="preserve"> to accept previous investigations </w:t>
      </w:r>
      <w:r w:rsidR="00DB239A">
        <w:rPr>
          <w:b/>
          <w:bCs/>
          <w:szCs w:val="24"/>
        </w:rPr>
        <w:t xml:space="preserve">for fear of duplication - is contrary to the requirements of ECHR. </w:t>
      </w:r>
    </w:p>
    <w:bookmarkEnd w:id="29"/>
    <w:p w14:paraId="0C932DE8" w14:textId="540070B3" w:rsidR="00C56672" w:rsidRPr="002F2B00" w:rsidRDefault="00C56672" w:rsidP="00C217B5">
      <w:pPr>
        <w:rPr>
          <w:b/>
          <w:szCs w:val="24"/>
        </w:rPr>
      </w:pPr>
    </w:p>
    <w:p w14:paraId="68601F91" w14:textId="4B1E307E" w:rsidR="00710594" w:rsidRPr="002F2B00" w:rsidRDefault="008D26E8" w:rsidP="00E418C1">
      <w:pPr>
        <w:pStyle w:val="Heading1"/>
        <w:spacing w:before="0"/>
      </w:pPr>
      <w:bookmarkStart w:id="34" w:name="_Toc106290060"/>
      <w:bookmarkStart w:id="35" w:name="_Toc113517958"/>
      <w:bookmarkStart w:id="36" w:name="_Toc164766603"/>
      <w:r w:rsidRPr="002F2B00">
        <w:t>4</w:t>
      </w:r>
      <w:r w:rsidR="00710594" w:rsidRPr="002F2B00">
        <w:t>.0</w:t>
      </w:r>
      <w:r w:rsidR="00133000">
        <w:tab/>
      </w:r>
      <w:r w:rsidR="00710594" w:rsidRPr="002F2B00">
        <w:tab/>
        <w:t>Conditional Immunity Scheme</w:t>
      </w:r>
      <w:bookmarkEnd w:id="34"/>
      <w:bookmarkEnd w:id="35"/>
      <w:bookmarkEnd w:id="36"/>
    </w:p>
    <w:p w14:paraId="617858AE" w14:textId="0BEE3883" w:rsidR="004259D2" w:rsidRPr="002F2B00" w:rsidRDefault="00BC740C" w:rsidP="00BD4455">
      <w:pPr>
        <w:ind w:left="720" w:hanging="720"/>
      </w:pPr>
      <w:r w:rsidRPr="002F2B00">
        <w:t>4.1</w:t>
      </w:r>
      <w:r w:rsidRPr="002F2B00">
        <w:tab/>
      </w:r>
      <w:r w:rsidR="004C1177">
        <w:t xml:space="preserve">The High Court of Justice in NI has </w:t>
      </w:r>
      <w:r w:rsidR="00DB239A">
        <w:t xml:space="preserve">held that those provisions of the 2023 Act that amount to a </w:t>
      </w:r>
      <w:r w:rsidR="004C1177">
        <w:t>conditional immunity scheme violate Articles 2 and 3 of the ECHR</w:t>
      </w:r>
      <w:r w:rsidR="00DB239A">
        <w:t xml:space="preserve"> and are unlawful</w:t>
      </w:r>
      <w:r w:rsidR="004C1177">
        <w:t>.</w:t>
      </w:r>
      <w:r w:rsidR="00BD4455">
        <w:rPr>
          <w:rStyle w:val="FootnoteReference"/>
        </w:rPr>
        <w:footnoteReference w:id="133"/>
      </w:r>
    </w:p>
    <w:p w14:paraId="4557F310" w14:textId="77777777" w:rsidR="004259D2" w:rsidRPr="002F2B00" w:rsidRDefault="004259D2" w:rsidP="00F51519"/>
    <w:p w14:paraId="3F5CB2EC" w14:textId="46BF0500" w:rsidR="00647F88" w:rsidRDefault="00664074" w:rsidP="008E19FE">
      <w:pPr>
        <w:pStyle w:val="ListParagraph"/>
        <w:numPr>
          <w:ilvl w:val="1"/>
          <w:numId w:val="3"/>
        </w:numPr>
      </w:pPr>
      <w:r w:rsidRPr="002F2B00">
        <w:t>T</w:t>
      </w:r>
      <w:r w:rsidR="00005776" w:rsidRPr="002F2B00">
        <w:t xml:space="preserve">he </w:t>
      </w:r>
      <w:r w:rsidR="008E348C">
        <w:t>2023 Act</w:t>
      </w:r>
      <w:r w:rsidRPr="002F2B00" w:rsidDel="00422B90">
        <w:t xml:space="preserve"> </w:t>
      </w:r>
      <w:r w:rsidR="00422B90">
        <w:t>provides</w:t>
      </w:r>
      <w:r w:rsidR="00422B90" w:rsidRPr="002F2B00">
        <w:t xml:space="preserve"> </w:t>
      </w:r>
      <w:r w:rsidRPr="002F2B00">
        <w:t xml:space="preserve">that </w:t>
      </w:r>
      <w:r w:rsidR="00005776" w:rsidRPr="002F2B00">
        <w:t>a</w:t>
      </w:r>
      <w:r w:rsidR="00930051" w:rsidRPr="002F2B00">
        <w:t xml:space="preserve"> person who has committed a serious Troubles-related crime </w:t>
      </w:r>
      <w:r w:rsidR="00494BC5" w:rsidRPr="002F2B00">
        <w:t>“</w:t>
      </w:r>
      <w:r w:rsidR="00930051" w:rsidRPr="002F2B00">
        <w:t>must</w:t>
      </w:r>
      <w:r w:rsidR="00494BC5" w:rsidRPr="002F2B00">
        <w:t>”</w:t>
      </w:r>
      <w:r w:rsidR="00930051" w:rsidRPr="002F2B00">
        <w:t xml:space="preserve"> be granted immunity from prosecution if they satisfy three basic conditions</w:t>
      </w:r>
      <w:r w:rsidR="00E8634B" w:rsidRPr="002F2B00">
        <w:t xml:space="preserve"> – </w:t>
      </w:r>
      <w:r w:rsidR="00D84597" w:rsidRPr="002F2B00">
        <w:t xml:space="preserve">the individual requested immunity, </w:t>
      </w:r>
      <w:r w:rsidR="00E8634B" w:rsidRPr="002F2B00">
        <w:t>provide</w:t>
      </w:r>
      <w:r w:rsidR="00D84597" w:rsidRPr="002F2B00">
        <w:t>s</w:t>
      </w:r>
      <w:r w:rsidR="00E8634B" w:rsidRPr="002F2B00">
        <w:t xml:space="preserve"> a true account</w:t>
      </w:r>
      <w:r w:rsidR="00D84597" w:rsidRPr="002F2B00">
        <w:t xml:space="preserve"> and is exposed to prosecution due to </w:t>
      </w:r>
      <w:r w:rsidR="00A402CC" w:rsidRPr="002F2B00">
        <w:t>a</w:t>
      </w:r>
      <w:r w:rsidR="00D84597" w:rsidRPr="002F2B00">
        <w:t xml:space="preserve"> Troubles-related offence</w:t>
      </w:r>
      <w:r w:rsidR="00930051" w:rsidRPr="008E19FE">
        <w:rPr>
          <w:rFonts w:ascii="Arial" w:hAnsi="Arial" w:cs="Arial"/>
          <w:szCs w:val="24"/>
        </w:rPr>
        <w:t>.</w:t>
      </w:r>
      <w:r w:rsidR="00930051" w:rsidRPr="002F2B00">
        <w:rPr>
          <w:rStyle w:val="FootnoteReference"/>
          <w:rFonts w:cs="Arial"/>
          <w:szCs w:val="24"/>
        </w:rPr>
        <w:footnoteReference w:id="134"/>
      </w:r>
      <w:r w:rsidR="00930051" w:rsidRPr="008E19FE">
        <w:rPr>
          <w:rFonts w:ascii="Arial" w:hAnsi="Arial" w:cs="Arial"/>
          <w:szCs w:val="24"/>
        </w:rPr>
        <w:t xml:space="preserve"> </w:t>
      </w:r>
      <w:r w:rsidR="00930051" w:rsidRPr="002F2B00">
        <w:t>This</w:t>
      </w:r>
      <w:r w:rsidR="000D7931" w:rsidRPr="002F2B00">
        <w:t xml:space="preserve"> does not subject everyone equally to the law, </w:t>
      </w:r>
      <w:r w:rsidR="00CD01B4" w:rsidRPr="002F2B00">
        <w:t xml:space="preserve">instead appearing to </w:t>
      </w:r>
      <w:r w:rsidR="000D7931" w:rsidRPr="002F2B00">
        <w:t xml:space="preserve">arbitrarily distinguish between alleged offenders that can and cannot have immunity. This means that those who have committed grave violations of human rights, such as murder and torture, will be immune from the law if they access the </w:t>
      </w:r>
      <w:r w:rsidR="00422B90">
        <w:t>scheme</w:t>
      </w:r>
      <w:r w:rsidR="00422B90" w:rsidRPr="002F2B00">
        <w:t xml:space="preserve"> </w:t>
      </w:r>
      <w:r w:rsidR="006D3518" w:rsidRPr="002F2B00">
        <w:t xml:space="preserve">and satisfy the conditions </w:t>
      </w:r>
      <w:r w:rsidR="000D7931" w:rsidRPr="002F2B00">
        <w:t xml:space="preserve">under </w:t>
      </w:r>
      <w:r w:rsidR="00D66137" w:rsidRPr="002F2B00">
        <w:t xml:space="preserve">the </w:t>
      </w:r>
      <w:r w:rsidR="006D5ECB">
        <w:t>2023 Act</w:t>
      </w:r>
      <w:r w:rsidR="000D7931" w:rsidRPr="002F2B00">
        <w:t>.</w:t>
      </w:r>
    </w:p>
    <w:p w14:paraId="2E9E93A6" w14:textId="33874979" w:rsidR="004259D2" w:rsidRPr="002F2B00" w:rsidRDefault="004259D2" w:rsidP="00647F88"/>
    <w:p w14:paraId="50AACB8D" w14:textId="3794AC01" w:rsidR="00B76CF7" w:rsidRDefault="773349FF" w:rsidP="00AC3F6C">
      <w:pPr>
        <w:pStyle w:val="ListParagraph"/>
        <w:numPr>
          <w:ilvl w:val="1"/>
          <w:numId w:val="3"/>
        </w:numPr>
      </w:pPr>
      <w:r w:rsidRPr="002F2B00">
        <w:t xml:space="preserve">Removing the possibility of immunity for an on-going case or </w:t>
      </w:r>
      <w:r w:rsidR="542CD109" w:rsidRPr="002F2B00">
        <w:t xml:space="preserve">in respect of a </w:t>
      </w:r>
      <w:r w:rsidRPr="002F2B00">
        <w:t>previous conviction</w:t>
      </w:r>
      <w:r w:rsidR="00710594" w:rsidRPr="002F2B00">
        <w:rPr>
          <w:vertAlign w:val="superscript"/>
        </w:rPr>
        <w:footnoteReference w:id="135"/>
      </w:r>
      <w:r w:rsidRPr="002F2B00">
        <w:t xml:space="preserve"> may constitute a violation of Article 14 of the ECHR (prohibition of discrimination), which requires that there be no discrimination based on “other status”. What constitutes ‘other status’ is ever evolving.</w:t>
      </w:r>
      <w:r w:rsidR="673F3713" w:rsidRPr="002F2B00">
        <w:t xml:space="preserve"> </w:t>
      </w:r>
      <w:r w:rsidRPr="002F2B00">
        <w:t xml:space="preserve">There is the potential that it would apply in this instance. </w:t>
      </w:r>
      <w:r w:rsidR="542CD109" w:rsidRPr="002F2B00">
        <w:t>It is likely to result in a situation where those that have avoided the justice system can benefit</w:t>
      </w:r>
      <w:r w:rsidR="582FC246" w:rsidRPr="002F2B00">
        <w:t>,</w:t>
      </w:r>
      <w:r w:rsidR="542CD109" w:rsidRPr="002F2B00">
        <w:t xml:space="preserve"> but </w:t>
      </w:r>
      <w:r w:rsidR="542CD109" w:rsidRPr="002F2B00">
        <w:lastRenderedPageBreak/>
        <w:t>those who have been convicted or under active investigation cannot.</w:t>
      </w:r>
      <w:r w:rsidR="542CD109" w:rsidRPr="002F2B00">
        <w:rPr>
          <w:rStyle w:val="FootnoteReference"/>
        </w:rPr>
        <w:t xml:space="preserve"> </w:t>
      </w:r>
      <w:r w:rsidR="005E1C83" w:rsidRPr="002F2B00">
        <w:rPr>
          <w:rStyle w:val="FootnoteReference"/>
        </w:rPr>
        <w:footnoteReference w:id="136"/>
      </w:r>
      <w:r w:rsidR="00EF5F03">
        <w:t xml:space="preserve"> </w:t>
      </w:r>
      <w:r w:rsidR="00EA6AC9">
        <w:t xml:space="preserve">In </w:t>
      </w:r>
      <w:r w:rsidR="00EA6AC9">
        <w:rPr>
          <w:i/>
          <w:iCs/>
        </w:rPr>
        <w:t>Dillon</w:t>
      </w:r>
      <w:r w:rsidR="00EA6AC9">
        <w:t xml:space="preserve">, </w:t>
      </w:r>
      <w:r w:rsidR="00422B90">
        <w:t xml:space="preserve">Mister </w:t>
      </w:r>
      <w:r w:rsidR="00EA6AC9">
        <w:t>Justice Colton</w:t>
      </w:r>
      <w:r w:rsidR="00927A65">
        <w:t xml:space="preserve"> </w:t>
      </w:r>
      <w:r w:rsidR="009478F7">
        <w:t>stated that “I am satisfied that the applicants in this case satisfy the requirements of establishing ‘other status’ within the meaning of Article 14 [of the ECHR]</w:t>
      </w:r>
      <w:r w:rsidR="00536CD3">
        <w:t xml:space="preserve">”, with such status </w:t>
      </w:r>
      <w:r w:rsidR="002F0C4A">
        <w:t>being “succinctly stated as being either a victim or a relative of a victim of the Troubles</w:t>
      </w:r>
      <w:r w:rsidR="00CC230F">
        <w:t xml:space="preserve"> as defined in the [2023] Act”.</w:t>
      </w:r>
      <w:r w:rsidR="009478F7">
        <w:rPr>
          <w:rStyle w:val="FootnoteReference"/>
        </w:rPr>
        <w:footnoteReference w:id="137"/>
      </w:r>
      <w:r w:rsidR="008D4202">
        <w:t xml:space="preserve"> </w:t>
      </w:r>
      <w:r w:rsidR="00A84936">
        <w:t xml:space="preserve">Colton </w:t>
      </w:r>
      <w:r w:rsidR="00422B90">
        <w:t xml:space="preserve">J </w:t>
      </w:r>
      <w:r w:rsidR="00A84936">
        <w:t xml:space="preserve">also acknowledged that </w:t>
      </w:r>
      <w:r w:rsidR="00303FB0">
        <w:t xml:space="preserve">there was a </w:t>
      </w:r>
      <w:r w:rsidR="00781B29">
        <w:t xml:space="preserve">difference in treatment of persons in analogous, or relatively similar situations. </w:t>
      </w:r>
      <w:r w:rsidR="00481823">
        <w:t>In terms of whether this treatment was justified</w:t>
      </w:r>
      <w:r w:rsidR="00515AF0">
        <w:t xml:space="preserve"> regarding immunity</w:t>
      </w:r>
      <w:r w:rsidR="002030D9">
        <w:t>,</w:t>
      </w:r>
      <w:r w:rsidR="0066659B">
        <w:t xml:space="preserve"> there is no definitive ruling</w:t>
      </w:r>
      <w:r w:rsidR="00C70CCE">
        <w:t xml:space="preserve"> </w:t>
      </w:r>
      <w:r w:rsidR="00B76CF7">
        <w:t>with it being stated that:</w:t>
      </w:r>
    </w:p>
    <w:p w14:paraId="11160DE6" w14:textId="77777777" w:rsidR="00DF3B99" w:rsidRDefault="00DF3B99" w:rsidP="00DF3B99">
      <w:pPr>
        <w:pStyle w:val="ListParagraph"/>
      </w:pPr>
    </w:p>
    <w:p w14:paraId="7ED52FC1" w14:textId="04164306" w:rsidR="00DF3B99" w:rsidRDefault="00445704" w:rsidP="00445704">
      <w:pPr>
        <w:pStyle w:val="Quote"/>
      </w:pPr>
      <w:r>
        <w:t>t</w:t>
      </w:r>
      <w:r w:rsidR="00DF3B99">
        <w:t>he court has already determined that those provisions which relate to immunity from prosecution (sections 19 and 41 [of the 2023 Act])</w:t>
      </w:r>
      <w:r w:rsidR="00FD0602">
        <w:t xml:space="preserve">, the retrospective prohibition on existing civil proceedings, and the restriction of use of protected material in civil proceedings, </w:t>
      </w:r>
      <w:r>
        <w:t>are in breach of Articles 2 and 3 of the ECHR. That being so, it is not necessary to consider whether there has been a breach of Article 14 [of the ECHR] in relation to those provisions.</w:t>
      </w:r>
      <w:r>
        <w:rPr>
          <w:rStyle w:val="FootnoteReference"/>
        </w:rPr>
        <w:footnoteReference w:id="138"/>
      </w:r>
    </w:p>
    <w:p w14:paraId="590A661A" w14:textId="77777777" w:rsidR="00445704" w:rsidRDefault="00445704" w:rsidP="00DF3B99">
      <w:pPr>
        <w:pStyle w:val="ListParagraph"/>
      </w:pPr>
    </w:p>
    <w:p w14:paraId="0E52FA03" w14:textId="76FDB833" w:rsidR="00135141" w:rsidRDefault="00DF3B99" w:rsidP="00AC3F6C">
      <w:pPr>
        <w:pStyle w:val="ListParagraph"/>
        <w:numPr>
          <w:ilvl w:val="1"/>
          <w:numId w:val="3"/>
        </w:numPr>
      </w:pPr>
      <w:r>
        <w:t>However,</w:t>
      </w:r>
      <w:r w:rsidR="0066659B">
        <w:t xml:space="preserve"> Colton </w:t>
      </w:r>
      <w:r w:rsidR="00422B90">
        <w:t>J</w:t>
      </w:r>
      <w:r w:rsidR="00F0043E" w:rsidDel="00422B90">
        <w:t xml:space="preserve"> </w:t>
      </w:r>
      <w:r w:rsidR="0066659B">
        <w:t>commented that:</w:t>
      </w:r>
    </w:p>
    <w:p w14:paraId="34865F9A" w14:textId="77777777" w:rsidR="0066659B" w:rsidRDefault="0066659B" w:rsidP="0066659B">
      <w:pPr>
        <w:pStyle w:val="ListParagraph"/>
        <w:ind w:left="390"/>
      </w:pPr>
    </w:p>
    <w:p w14:paraId="54BA2266" w14:textId="6D421700" w:rsidR="0066659B" w:rsidRPr="002F2B00" w:rsidRDefault="0066659B" w:rsidP="00187A52">
      <w:pPr>
        <w:pStyle w:val="Quote"/>
      </w:pPr>
      <w:r>
        <w:t>I am satisfied that the dif</w:t>
      </w:r>
      <w:r w:rsidR="00515AF0">
        <w:t>ference of treatment identified by the court in this case is compliant with Article 14 [of the ECHR] taken together with substantive rights relied upon by the applicants. This, of course, does not apply to the breaches which have been identified earlier in this judgment</w:t>
      </w:r>
      <w:r w:rsidR="00D87EAF">
        <w:t>. The Article 14 consideration is confined to those provisions in respect of which a breach has not been established.</w:t>
      </w:r>
      <w:r w:rsidR="003D3DF7">
        <w:rPr>
          <w:rStyle w:val="FootnoteReference"/>
        </w:rPr>
        <w:footnoteReference w:id="139"/>
      </w:r>
    </w:p>
    <w:p w14:paraId="6C21F18D" w14:textId="77777777" w:rsidR="00135141" w:rsidRPr="002F2B00" w:rsidRDefault="00135141" w:rsidP="00F51519"/>
    <w:p w14:paraId="1936A226" w14:textId="1F00491E" w:rsidR="004259D2" w:rsidRPr="002F2B00" w:rsidRDefault="2AC441D4" w:rsidP="00AC3F6C">
      <w:pPr>
        <w:pStyle w:val="ListParagraph"/>
        <w:numPr>
          <w:ilvl w:val="1"/>
          <w:numId w:val="3"/>
        </w:numPr>
      </w:pPr>
      <w:r w:rsidRPr="002F2B00">
        <w:t>A</w:t>
      </w:r>
      <w:r w:rsidR="773349FF" w:rsidRPr="002F2B00">
        <w:t>lleged paramilitary offenders</w:t>
      </w:r>
      <w:r w:rsidRPr="002F2B00">
        <w:t xml:space="preserve"> are more likely to be affected by the </w:t>
      </w:r>
      <w:r w:rsidR="07D22AC4">
        <w:t>2023 Act</w:t>
      </w:r>
      <w:r w:rsidRPr="002F2B00">
        <w:t>’s exclusions from immunity</w:t>
      </w:r>
      <w:r w:rsidR="2DC94365" w:rsidRPr="002F2B00">
        <w:t xml:space="preserve"> </w:t>
      </w:r>
      <w:r w:rsidR="773349FF" w:rsidRPr="002F2B00">
        <w:t xml:space="preserve">than State </w:t>
      </w:r>
      <w:r w:rsidR="6D8AB29C" w:rsidRPr="002F2B00">
        <w:t>agents</w:t>
      </w:r>
      <w:r w:rsidR="2DC94365" w:rsidRPr="002F2B00">
        <w:t>,</w:t>
      </w:r>
      <w:r w:rsidR="773349FF" w:rsidRPr="002F2B00">
        <w:t xml:space="preserve"> with no existing legal basis or ECHR-compliant justifiable reason.</w:t>
      </w:r>
      <w:r w:rsidR="67582F3F" w:rsidRPr="002F2B00">
        <w:t xml:space="preserve"> </w:t>
      </w:r>
      <w:r w:rsidR="00526DFC">
        <w:t xml:space="preserve">For example, </w:t>
      </w:r>
      <w:r w:rsidR="003206F6">
        <w:t xml:space="preserve">granting of immunity is prohibited where the individual </w:t>
      </w:r>
      <w:r w:rsidR="003206F6">
        <w:lastRenderedPageBreak/>
        <w:t>seeking immunity has a conviction</w:t>
      </w:r>
      <w:r w:rsidR="00F71D70">
        <w:t xml:space="preserve"> or is subject to ongoing prosecution</w:t>
      </w:r>
      <w:r w:rsidR="00DC524B">
        <w:t>.</w:t>
      </w:r>
      <w:r w:rsidR="00445EB4">
        <w:rPr>
          <w:rStyle w:val="FootnoteReference"/>
        </w:rPr>
        <w:footnoteReference w:id="140"/>
      </w:r>
      <w:r w:rsidR="00DC524B">
        <w:t xml:space="preserve"> </w:t>
      </w:r>
      <w:r w:rsidR="00875A65">
        <w:t>There is a higher probability of an alleged paramilitary offender having an existing conviction.</w:t>
      </w:r>
      <w:r w:rsidR="00445EB4">
        <w:t xml:space="preserve"> Furthermore,</w:t>
      </w:r>
      <w:r w:rsidR="008C4AFC">
        <w:t xml:space="preserve"> </w:t>
      </w:r>
      <w:r w:rsidR="00445EB4">
        <w:t>t</w:t>
      </w:r>
      <w:r w:rsidR="4D3D5C41" w:rsidRPr="002F2B00">
        <w:t xml:space="preserve">he UK Government has indicated in its commentary on the </w:t>
      </w:r>
      <w:r w:rsidR="4DAA1A47">
        <w:t xml:space="preserve">2023 </w:t>
      </w:r>
      <w:r w:rsidR="19E9521B">
        <w:t>Act</w:t>
      </w:r>
      <w:r w:rsidR="4D3D5C41" w:rsidRPr="002F2B00">
        <w:t xml:space="preserve"> that </w:t>
      </w:r>
      <w:r w:rsidR="4E86F705" w:rsidRPr="002F2B00">
        <w:t xml:space="preserve">this legislation </w:t>
      </w:r>
      <w:r w:rsidR="5824A6FF" w:rsidRPr="002F2B00">
        <w:t xml:space="preserve">is intended to protect veterans. The </w:t>
      </w:r>
      <w:r w:rsidR="02DB0F54" w:rsidRPr="002F2B00">
        <w:t xml:space="preserve">former </w:t>
      </w:r>
      <w:r w:rsidR="5824A6FF" w:rsidRPr="002F2B00">
        <w:t>Secretary of State, Brandon Lewis MP, stated</w:t>
      </w:r>
      <w:r w:rsidR="4641E1A5" w:rsidRPr="002F2B00">
        <w:t xml:space="preserve"> that “no longer will those who served – and we have explicitly included veterans of the security services and the Royal Ulster Constabulary – be subjected to a witch hunt over their service in NI, enduring perpetual cycles of investigations and re-investigations”.</w:t>
      </w:r>
      <w:r w:rsidR="00A1576C" w:rsidRPr="002F2B00">
        <w:rPr>
          <w:rStyle w:val="FootnoteReference"/>
        </w:rPr>
        <w:footnoteReference w:id="141"/>
      </w:r>
    </w:p>
    <w:p w14:paraId="4F391B64" w14:textId="77777777" w:rsidR="00F2087A" w:rsidRPr="002F2B00" w:rsidRDefault="00F2087A" w:rsidP="00F2087A">
      <w:pPr>
        <w:pStyle w:val="ListParagraph"/>
      </w:pPr>
    </w:p>
    <w:p w14:paraId="443151DA" w14:textId="77777777" w:rsidR="003F31FC" w:rsidRDefault="34E8506C" w:rsidP="00AC3F6C">
      <w:pPr>
        <w:pStyle w:val="ListParagraph"/>
        <w:numPr>
          <w:ilvl w:val="1"/>
          <w:numId w:val="3"/>
        </w:numPr>
      </w:pPr>
      <w:r w:rsidRPr="002F2B00">
        <w:t>Victims must not be denied access to information “for no valid reason”.</w:t>
      </w:r>
      <w:r w:rsidR="00C461C7" w:rsidRPr="002F2B00">
        <w:rPr>
          <w:rStyle w:val="FootnoteReference"/>
        </w:rPr>
        <w:footnoteReference w:id="142"/>
      </w:r>
      <w:r w:rsidRPr="002F2B00">
        <w:rPr>
          <w:szCs w:val="24"/>
        </w:rPr>
        <w:t xml:space="preserve"> </w:t>
      </w:r>
      <w:r w:rsidR="699823F3" w:rsidRPr="002F2B00">
        <w:t>The next-of-kin must be informed of a decision regarding prosecution,</w:t>
      </w:r>
      <w:r w:rsidR="00317B8E" w:rsidRPr="002F2B00">
        <w:rPr>
          <w:rStyle w:val="FootnoteReference"/>
        </w:rPr>
        <w:footnoteReference w:id="143"/>
      </w:r>
      <w:r w:rsidR="699823F3" w:rsidRPr="002F2B00">
        <w:t xml:space="preserve"> </w:t>
      </w:r>
      <w:r w:rsidR="00B777AA" w:rsidRPr="002F2B00">
        <w:t>provided with reasons for that decision</w:t>
      </w:r>
      <w:r w:rsidR="00B777AA" w:rsidRPr="002F2B00">
        <w:rPr>
          <w:rStyle w:val="FootnoteReference"/>
        </w:rPr>
        <w:footnoteReference w:id="144"/>
      </w:r>
      <w:r w:rsidR="00B777AA" w:rsidRPr="002F2B00">
        <w:t xml:space="preserve"> </w:t>
      </w:r>
      <w:r w:rsidR="699823F3" w:rsidRPr="002F2B00">
        <w:t>and given the opportunity to tell the court their version of events.</w:t>
      </w:r>
      <w:r w:rsidR="00317B8E" w:rsidRPr="002F2B00">
        <w:rPr>
          <w:rStyle w:val="FootnoteReference"/>
        </w:rPr>
        <w:footnoteReference w:id="145"/>
      </w:r>
      <w:r w:rsidR="51E98DAF" w:rsidRPr="002F2B00">
        <w:rPr>
          <w:szCs w:val="24"/>
        </w:rPr>
        <w:t xml:space="preserve"> </w:t>
      </w:r>
      <w:r w:rsidR="5CCD1B20" w:rsidRPr="002F2B00">
        <w:t>Public scrutiny is necessary to ensure public confidence in the process.</w:t>
      </w:r>
      <w:r w:rsidR="001E1FD8" w:rsidRPr="002F2B00">
        <w:rPr>
          <w:vertAlign w:val="superscript"/>
        </w:rPr>
        <w:footnoteReference w:id="146"/>
      </w:r>
    </w:p>
    <w:p w14:paraId="418BD01B" w14:textId="299E2509" w:rsidR="00A15984" w:rsidRPr="002F2B00" w:rsidRDefault="00A15984" w:rsidP="008851C2"/>
    <w:p w14:paraId="12815BD4" w14:textId="77BD3B32" w:rsidR="004259D2" w:rsidRPr="002F2B00" w:rsidRDefault="00A15984" w:rsidP="00AC3F6C">
      <w:pPr>
        <w:pStyle w:val="ListParagraph"/>
        <w:numPr>
          <w:ilvl w:val="1"/>
          <w:numId w:val="3"/>
        </w:numPr>
      </w:pPr>
      <w:r w:rsidRPr="002F2B00">
        <w:t>U</w:t>
      </w:r>
      <w:r w:rsidR="1D2A4B21" w:rsidRPr="002F2B00">
        <w:t xml:space="preserve">nder </w:t>
      </w:r>
      <w:r w:rsidR="008851C2">
        <w:t>the 2023 Act</w:t>
      </w:r>
      <w:r w:rsidR="000D1D3D" w:rsidRPr="002F2B00">
        <w:t>,</w:t>
      </w:r>
      <w:r w:rsidR="1D2A4B21" w:rsidRPr="002F2B00">
        <w:t xml:space="preserve"> immunity decisions rely solely on information provided by the person requesting immunity.</w:t>
      </w:r>
      <w:r w:rsidR="00B176EA">
        <w:rPr>
          <w:rStyle w:val="FootnoteReference"/>
        </w:rPr>
        <w:footnoteReference w:id="147"/>
      </w:r>
      <w:r w:rsidR="2D06043D" w:rsidRPr="002F2B00">
        <w:rPr>
          <w:szCs w:val="24"/>
        </w:rPr>
        <w:t xml:space="preserve"> </w:t>
      </w:r>
      <w:r w:rsidR="1D2A4B21" w:rsidRPr="002F2B00">
        <w:t xml:space="preserve">The </w:t>
      </w:r>
      <w:r w:rsidR="008851C2">
        <w:t>2023 Act</w:t>
      </w:r>
      <w:r w:rsidR="1D2A4B21" w:rsidRPr="002F2B00">
        <w:t xml:space="preserve"> </w:t>
      </w:r>
      <w:r w:rsidR="006A5F3E" w:rsidRPr="002F2B00">
        <w:t>does</w:t>
      </w:r>
      <w:r w:rsidR="1D2A4B21" w:rsidRPr="002F2B00">
        <w:t xml:space="preserve"> not enable</w:t>
      </w:r>
      <w:r w:rsidR="51E98DAF" w:rsidRPr="002F2B00">
        <w:rPr>
          <w:szCs w:val="24"/>
        </w:rPr>
        <w:t xml:space="preserve"> </w:t>
      </w:r>
      <w:r w:rsidR="2B19AABB" w:rsidRPr="002F2B00">
        <w:t xml:space="preserve">victims, </w:t>
      </w:r>
      <w:r w:rsidR="51E98DAF" w:rsidRPr="002F2B00">
        <w:t xml:space="preserve">family members </w:t>
      </w:r>
      <w:r w:rsidR="2D06043D" w:rsidRPr="002F2B00">
        <w:t xml:space="preserve">or interested persons </w:t>
      </w:r>
      <w:r w:rsidR="52733C5A" w:rsidRPr="002F2B00">
        <w:t xml:space="preserve">to provide information to inform </w:t>
      </w:r>
      <w:r w:rsidR="1D2A4B21" w:rsidRPr="002F2B00">
        <w:t xml:space="preserve">the ICRIR’s </w:t>
      </w:r>
      <w:r w:rsidR="52733C5A" w:rsidRPr="002F2B00">
        <w:t xml:space="preserve">immunity decisions. </w:t>
      </w:r>
      <w:r w:rsidR="00117EBF" w:rsidRPr="002F2B00">
        <w:t xml:space="preserve">The </w:t>
      </w:r>
      <w:r w:rsidR="008851C2">
        <w:t>2023 Act</w:t>
      </w:r>
      <w:r w:rsidR="00117EBF" w:rsidRPr="002F2B00">
        <w:t xml:space="preserve"> also </w:t>
      </w:r>
      <w:r w:rsidR="00E63F13" w:rsidRPr="002F2B00">
        <w:t>does not include a</w:t>
      </w:r>
      <w:r w:rsidR="52733C5A" w:rsidRPr="002F2B00">
        <w:t xml:space="preserve"> requirement </w:t>
      </w:r>
      <w:r w:rsidR="00E63F13" w:rsidRPr="002F2B00">
        <w:t>that</w:t>
      </w:r>
      <w:r w:rsidR="2B19AABB" w:rsidRPr="002F2B00">
        <w:t xml:space="preserve"> victims or family members </w:t>
      </w:r>
      <w:r w:rsidR="00E63F13" w:rsidRPr="002F2B00">
        <w:t>are</w:t>
      </w:r>
      <w:r w:rsidR="2B19AABB" w:rsidRPr="002F2B00">
        <w:t xml:space="preserve"> </w:t>
      </w:r>
      <w:r w:rsidR="52733C5A" w:rsidRPr="002F2B00">
        <w:t xml:space="preserve">informed </w:t>
      </w:r>
      <w:r w:rsidR="007A2298" w:rsidRPr="002F2B00">
        <w:t>when</w:t>
      </w:r>
      <w:r w:rsidR="2B19AABB" w:rsidRPr="002F2B00">
        <w:t xml:space="preserve"> an individual has applied for immunity</w:t>
      </w:r>
      <w:r w:rsidR="40FCC158" w:rsidRPr="002F2B00">
        <w:t xml:space="preserve">. </w:t>
      </w:r>
      <w:r w:rsidR="00117EBF" w:rsidRPr="002F2B00">
        <w:t xml:space="preserve">It also </w:t>
      </w:r>
      <w:r w:rsidR="007A2298" w:rsidRPr="002F2B00">
        <w:t>does not currently</w:t>
      </w:r>
      <w:r w:rsidR="40FCC158" w:rsidRPr="002F2B00">
        <w:t xml:space="preserve"> require victims or family members to be informed of </w:t>
      </w:r>
      <w:r w:rsidR="2B19AABB" w:rsidRPr="002F2B00">
        <w:t>the outcome of th</w:t>
      </w:r>
      <w:r w:rsidR="2E09272F" w:rsidRPr="002F2B00">
        <w:t>e immunity request.</w:t>
      </w:r>
      <w:r w:rsidR="002B0D9F">
        <w:t xml:space="preserve"> The UK Government</w:t>
      </w:r>
      <w:r w:rsidR="5D7CF2EB">
        <w:t>,</w:t>
      </w:r>
      <w:r w:rsidR="002B0D9F">
        <w:t xml:space="preserve"> in it</w:t>
      </w:r>
      <w:r w:rsidR="00B63D86">
        <w:t>s</w:t>
      </w:r>
      <w:r w:rsidR="002B0D9F">
        <w:t xml:space="preserve"> response to the </w:t>
      </w:r>
      <w:proofErr w:type="spellStart"/>
      <w:r w:rsidR="002B0D9F">
        <w:t>CoE</w:t>
      </w:r>
      <w:proofErr w:type="spellEnd"/>
      <w:r w:rsidR="002B0D9F">
        <w:t xml:space="preserve"> </w:t>
      </w:r>
      <w:r w:rsidR="00B63D86">
        <w:t xml:space="preserve">Committee of </w:t>
      </w:r>
      <w:r w:rsidR="002B0D9F">
        <w:t>Ministers</w:t>
      </w:r>
      <w:r w:rsidR="13ED000E">
        <w:t>,</w:t>
      </w:r>
      <w:r w:rsidR="002B0D9F">
        <w:t xml:space="preserve"> </w:t>
      </w:r>
      <w:r w:rsidR="003E49F8">
        <w:t>stated that “though not explicit in the</w:t>
      </w:r>
      <w:r w:rsidR="002E58C4">
        <w:t xml:space="preserve"> [then]</w:t>
      </w:r>
      <w:r w:rsidR="003E49F8">
        <w:t xml:space="preserve"> Bill, we would expect the ICRIR to inform families if an individual has been granted immunity from prosecution in their case, and indeed to keep them informed of the process as it progresses”.</w:t>
      </w:r>
      <w:r w:rsidR="00B63D86">
        <w:rPr>
          <w:rStyle w:val="FootnoteReference"/>
        </w:rPr>
        <w:footnoteReference w:id="148"/>
      </w:r>
      <w:r w:rsidR="00B63D86">
        <w:t xml:space="preserve"> The UK Government </w:t>
      </w:r>
      <w:r w:rsidR="00B63D86">
        <w:lastRenderedPageBreak/>
        <w:t>continued “information regarding the granting of immunity should also be included in the published family reports, including the naming of individuals subject to safeguards around safety to life”.</w:t>
      </w:r>
      <w:r w:rsidR="00B63D86">
        <w:rPr>
          <w:rStyle w:val="FootnoteReference"/>
        </w:rPr>
        <w:footnoteReference w:id="149"/>
      </w:r>
    </w:p>
    <w:p w14:paraId="006F431B" w14:textId="77777777" w:rsidR="004259D2" w:rsidRPr="002F2B00" w:rsidRDefault="004259D2" w:rsidP="004259D2">
      <w:pPr>
        <w:pStyle w:val="ListParagraph"/>
      </w:pPr>
    </w:p>
    <w:p w14:paraId="52D27655" w14:textId="61D82B82" w:rsidR="004259D2" w:rsidRDefault="00441BA1" w:rsidP="00AC3F6C">
      <w:pPr>
        <w:pStyle w:val="ListParagraph"/>
        <w:numPr>
          <w:ilvl w:val="1"/>
          <w:numId w:val="3"/>
        </w:numPr>
      </w:pPr>
      <w:r w:rsidRPr="002F2B00">
        <w:t>There is no</w:t>
      </w:r>
      <w:r w:rsidRPr="002F2B00" w:rsidDel="00D962FE">
        <w:t xml:space="preserve"> </w:t>
      </w:r>
      <w:r w:rsidRPr="002F2B00">
        <w:t xml:space="preserve">requirement within the </w:t>
      </w:r>
      <w:r w:rsidR="00A10A30">
        <w:t>2023 Act</w:t>
      </w:r>
      <w:r w:rsidRPr="002F2B00">
        <w:t xml:space="preserve"> for the ICRIR to provide reasons for why it is or is not granting immunity. </w:t>
      </w:r>
      <w:r w:rsidR="00142A39">
        <w:t>The UK Government</w:t>
      </w:r>
      <w:r w:rsidR="41F5FEC8">
        <w:t>,</w:t>
      </w:r>
      <w:r w:rsidR="00142A39">
        <w:t xml:space="preserve"> in its response to the </w:t>
      </w:r>
      <w:proofErr w:type="spellStart"/>
      <w:r w:rsidR="00142A39">
        <w:t>CoE</w:t>
      </w:r>
      <w:proofErr w:type="spellEnd"/>
      <w:r w:rsidR="00142A39">
        <w:t xml:space="preserve"> Committee of Ministers</w:t>
      </w:r>
      <w:r w:rsidR="6917D09F">
        <w:t>,</w:t>
      </w:r>
      <w:r w:rsidR="00142A39">
        <w:t xml:space="preserve"> stated that it “would expect the ICRIR to include reasons for the granting of immunity in each instance”.</w:t>
      </w:r>
      <w:r w:rsidR="00142A39">
        <w:rPr>
          <w:rStyle w:val="FootnoteReference"/>
        </w:rPr>
        <w:footnoteReference w:id="150"/>
      </w:r>
      <w:r w:rsidR="00142A39">
        <w:t xml:space="preserve"> </w:t>
      </w:r>
      <w:r w:rsidRPr="002F2B00">
        <w:t>There is</w:t>
      </w:r>
      <w:r w:rsidRPr="002F2B00" w:rsidDel="00D962FE">
        <w:t xml:space="preserve"> </w:t>
      </w:r>
      <w:r w:rsidRPr="002F2B00">
        <w:t xml:space="preserve">no </w:t>
      </w:r>
      <w:r w:rsidR="008B3759" w:rsidRPr="002F2B00">
        <w:t xml:space="preserve">proposed </w:t>
      </w:r>
      <w:r w:rsidRPr="002F2B00">
        <w:t>option for an individual requesting immunity or an interested person to appeal a decision on immunity made by the ICRIR.</w:t>
      </w:r>
    </w:p>
    <w:p w14:paraId="17C8861D" w14:textId="77777777" w:rsidR="00343C36" w:rsidRDefault="00343C36" w:rsidP="00035E91">
      <w:pPr>
        <w:pStyle w:val="ListParagraph"/>
      </w:pPr>
    </w:p>
    <w:p w14:paraId="13ACC76B" w14:textId="01BA8E88" w:rsidR="0013444A" w:rsidRDefault="00BA7B3D" w:rsidP="00AC3F6C">
      <w:pPr>
        <w:pStyle w:val="ListParagraph"/>
        <w:numPr>
          <w:ilvl w:val="1"/>
          <w:numId w:val="3"/>
        </w:numPr>
      </w:pPr>
      <w:r>
        <w:t>The mandatory and irrevocable outcome of the immunity decision in preventing prosecutions</w:t>
      </w:r>
      <w:r w:rsidR="00A10A30">
        <w:t>,</w:t>
      </w:r>
      <w:r>
        <w:rPr>
          <w:rStyle w:val="FootnoteReference"/>
        </w:rPr>
        <w:footnoteReference w:id="151"/>
      </w:r>
      <w:r>
        <w:t xml:space="preserve"> leaves no avenue for a victim to request a review.</w:t>
      </w:r>
    </w:p>
    <w:p w14:paraId="05D34698" w14:textId="77777777" w:rsidR="00100DD2" w:rsidRDefault="00100DD2" w:rsidP="00027658">
      <w:pPr>
        <w:pStyle w:val="ListParagraph"/>
      </w:pPr>
    </w:p>
    <w:p w14:paraId="2D753DDE" w14:textId="01AE241E" w:rsidR="00100DD2" w:rsidRDefault="00100DD2" w:rsidP="00AC3F6C">
      <w:pPr>
        <w:pStyle w:val="ListParagraph"/>
        <w:numPr>
          <w:ilvl w:val="1"/>
          <w:numId w:val="3"/>
        </w:numPr>
      </w:pPr>
      <w:r>
        <w:t xml:space="preserve">As the High Court of Justice NI concluded in relation to the </w:t>
      </w:r>
      <w:r w:rsidR="00B43409">
        <w:t xml:space="preserve">conditional </w:t>
      </w:r>
      <w:r>
        <w:t>immunity scheme provided for in the 2023 Act</w:t>
      </w:r>
      <w:r w:rsidR="00B43409">
        <w:t>:</w:t>
      </w:r>
      <w:r>
        <w:t xml:space="preserve"> </w:t>
      </w:r>
    </w:p>
    <w:p w14:paraId="0CE65F6F" w14:textId="7DD3F7B9" w:rsidR="00100DD2" w:rsidRDefault="00100DD2" w:rsidP="00100DD2"/>
    <w:p w14:paraId="7CE7D964" w14:textId="4554E37A" w:rsidR="00100DD2" w:rsidRPr="007C0670" w:rsidRDefault="00B43409" w:rsidP="00C7327B">
      <w:pPr>
        <w:pStyle w:val="Quote"/>
      </w:pPr>
      <w:r>
        <w:t>t</w:t>
      </w:r>
      <w:r w:rsidR="00100DD2" w:rsidRPr="007C0670">
        <w:t xml:space="preserve">he victims have no role or say in these decisions. Victims may be confronted with a situation where an applicant for immunity does so at the last minute, in circumstances where a recommendation for prosecution is imminent or inevitable. I accept that the provision of information as to the circumstances in which victims of the Troubles died or were seriously injured is clearly important and valuable. It is arguable that the provision of such information could contribute to reconciliation. However, there is no evidence that the granting of immunity under the 2023 Act will in any way contribute to reconciliation in </w:t>
      </w:r>
      <w:r>
        <w:t>NI</w:t>
      </w:r>
      <w:r w:rsidR="00100DD2" w:rsidRPr="007C0670">
        <w:t>, indeed, the evidence is to the contrary.</w:t>
      </w:r>
      <w:r w:rsidR="00100DD2">
        <w:rPr>
          <w:rStyle w:val="FootnoteReference"/>
          <w:szCs w:val="24"/>
        </w:rPr>
        <w:footnoteReference w:id="152"/>
      </w:r>
      <w:r w:rsidR="00100DD2" w:rsidRPr="007C0670">
        <w:t xml:space="preserve"> </w:t>
      </w:r>
    </w:p>
    <w:p w14:paraId="16050D0D" w14:textId="77777777" w:rsidR="0013444A" w:rsidRDefault="0013444A" w:rsidP="00035E91">
      <w:pPr>
        <w:pStyle w:val="ListParagraph"/>
      </w:pPr>
    </w:p>
    <w:p w14:paraId="5F8C0B37" w14:textId="2BC13D23" w:rsidR="00E418C1" w:rsidRDefault="009D7945" w:rsidP="00E418C1">
      <w:pPr>
        <w:pStyle w:val="ListParagraph"/>
        <w:numPr>
          <w:ilvl w:val="1"/>
          <w:numId w:val="3"/>
        </w:numPr>
        <w:rPr>
          <w:b/>
          <w:bCs/>
        </w:rPr>
      </w:pPr>
      <w:r w:rsidRPr="00FD6CA1">
        <w:rPr>
          <w:b/>
          <w:bCs/>
        </w:rPr>
        <w:lastRenderedPageBreak/>
        <w:t>T</w:t>
      </w:r>
      <w:r w:rsidR="00922072" w:rsidRPr="00FD6CA1">
        <w:rPr>
          <w:b/>
          <w:bCs/>
        </w:rPr>
        <w:t xml:space="preserve">he NIHRC </w:t>
      </w:r>
      <w:r w:rsidR="00EF4808" w:rsidRPr="00FD6CA1">
        <w:rPr>
          <w:b/>
          <w:bCs/>
        </w:rPr>
        <w:t>advise</w:t>
      </w:r>
      <w:r w:rsidR="00D962FE">
        <w:rPr>
          <w:b/>
          <w:bCs/>
        </w:rPr>
        <w:t>s</w:t>
      </w:r>
      <w:r w:rsidR="00922072" w:rsidRPr="00FD6CA1">
        <w:rPr>
          <w:b/>
          <w:bCs/>
        </w:rPr>
        <w:t xml:space="preserve"> that provisions on immunity</w:t>
      </w:r>
      <w:r w:rsidR="005304C5" w:rsidRPr="00FD6CA1">
        <w:rPr>
          <w:b/>
          <w:bCs/>
        </w:rPr>
        <w:t xml:space="preserve"> and</w:t>
      </w:r>
      <w:r w:rsidR="00922072" w:rsidRPr="00FD6CA1">
        <w:rPr>
          <w:b/>
          <w:bCs/>
        </w:rPr>
        <w:t xml:space="preserve"> restrictions on criminal enforcement action </w:t>
      </w:r>
      <w:r w:rsidR="003902F5">
        <w:rPr>
          <w:b/>
          <w:bCs/>
        </w:rPr>
        <w:t>are unlawful</w:t>
      </w:r>
      <w:r w:rsidR="00922072" w:rsidRPr="00FD6CA1">
        <w:rPr>
          <w:b/>
          <w:bCs/>
        </w:rPr>
        <w:t xml:space="preserve">. </w:t>
      </w:r>
    </w:p>
    <w:p w14:paraId="24CDBB60" w14:textId="77777777" w:rsidR="00E418C1" w:rsidRPr="00E418C1" w:rsidRDefault="00E418C1" w:rsidP="00E418C1">
      <w:pPr>
        <w:rPr>
          <w:b/>
          <w:bCs/>
        </w:rPr>
      </w:pPr>
    </w:p>
    <w:p w14:paraId="21DF6C08" w14:textId="5B441C56" w:rsidR="00D14D7B" w:rsidRPr="002F2B00" w:rsidRDefault="008D26E8" w:rsidP="00E418C1">
      <w:pPr>
        <w:pStyle w:val="Heading1"/>
        <w:spacing w:before="0"/>
      </w:pPr>
      <w:bookmarkStart w:id="37" w:name="_Toc106290061"/>
      <w:bookmarkStart w:id="38" w:name="_Toc113517959"/>
      <w:bookmarkStart w:id="39" w:name="_Toc164766604"/>
      <w:r w:rsidRPr="002F2B00">
        <w:t>5</w:t>
      </w:r>
      <w:r w:rsidR="00D14D7B" w:rsidRPr="002F2B00">
        <w:t xml:space="preserve">.0 </w:t>
      </w:r>
      <w:r w:rsidR="00D14D7B" w:rsidRPr="002F2B00">
        <w:tab/>
        <w:t>Cessation of Proceedings</w:t>
      </w:r>
      <w:bookmarkEnd w:id="37"/>
      <w:bookmarkEnd w:id="38"/>
      <w:bookmarkEnd w:id="39"/>
    </w:p>
    <w:p w14:paraId="64E6ACB2" w14:textId="5949A41C" w:rsidR="00744D26" w:rsidRPr="002F2B00" w:rsidRDefault="00966AF2" w:rsidP="00A76B14">
      <w:pPr>
        <w:ind w:left="720" w:hanging="720"/>
      </w:pPr>
      <w:r w:rsidRPr="002F2B00">
        <w:t>5</w:t>
      </w:r>
      <w:r w:rsidR="00D14D7B" w:rsidRPr="002F2B00">
        <w:t>.1</w:t>
      </w:r>
      <w:r w:rsidR="00D14D7B" w:rsidRPr="002F2B00">
        <w:tab/>
      </w:r>
      <w:r w:rsidR="009A2D6D" w:rsidRPr="002F2B00">
        <w:t>The r</w:t>
      </w:r>
      <w:r w:rsidR="00A76B14" w:rsidRPr="002F2B00">
        <w:t xml:space="preserve">ight of access to courts and tribunals is </w:t>
      </w:r>
      <w:r w:rsidR="009A2D6D" w:rsidRPr="002F2B00">
        <w:t xml:space="preserve">an integral part of the </w:t>
      </w:r>
      <w:r w:rsidR="001F5DF2" w:rsidRPr="002F2B00">
        <w:t>right to a fair trial</w:t>
      </w:r>
      <w:r w:rsidR="00A76B14" w:rsidRPr="002F2B00">
        <w:t>,</w:t>
      </w:r>
      <w:r w:rsidR="00F64A57" w:rsidRPr="002F2B00">
        <w:rPr>
          <w:rStyle w:val="FootnoteReference"/>
        </w:rPr>
        <w:footnoteReference w:id="153"/>
      </w:r>
      <w:r w:rsidR="00A76B14" w:rsidRPr="002F2B00">
        <w:t xml:space="preserve"> enabling any claim relating to a person’s civil rights and obligations </w:t>
      </w:r>
      <w:r w:rsidR="002708DE">
        <w:t xml:space="preserve">to </w:t>
      </w:r>
      <w:r w:rsidR="00A76B14" w:rsidRPr="002F2B00">
        <w:t>be brought before a court or tribunal.</w:t>
      </w:r>
      <w:r w:rsidR="00A76B14" w:rsidRPr="002F2B00">
        <w:rPr>
          <w:vertAlign w:val="superscript"/>
        </w:rPr>
        <w:footnoteReference w:id="154"/>
      </w:r>
      <w:r w:rsidR="00A76B14" w:rsidRPr="002F2B00">
        <w:t xml:space="preserve"> This right is not absolute and may be subject to limitations. However, limitations “must not restrict or reduce the access left to the individual in such a way or to such an extent that very essence of the right is impaired”.</w:t>
      </w:r>
      <w:r w:rsidR="00A76B14" w:rsidRPr="002F2B00">
        <w:rPr>
          <w:vertAlign w:val="superscript"/>
        </w:rPr>
        <w:footnoteReference w:id="155"/>
      </w:r>
    </w:p>
    <w:p w14:paraId="4A6DF264" w14:textId="76F8B79F" w:rsidR="00744D26" w:rsidRPr="002F2B00" w:rsidRDefault="00744D26" w:rsidP="00A76B14">
      <w:pPr>
        <w:ind w:left="720" w:hanging="720"/>
      </w:pPr>
    </w:p>
    <w:p w14:paraId="3EA95209" w14:textId="25EC03EE" w:rsidR="00744D26" w:rsidRPr="002F2B00" w:rsidRDefault="00744D26" w:rsidP="00A76B14">
      <w:pPr>
        <w:ind w:left="720" w:hanging="720"/>
      </w:pPr>
      <w:r w:rsidRPr="002F2B00">
        <w:t>5.2</w:t>
      </w:r>
      <w:r w:rsidRPr="002F2B00">
        <w:tab/>
      </w:r>
      <w:r w:rsidR="0098699F" w:rsidRPr="002F2B00">
        <w:t>It is</w:t>
      </w:r>
      <w:r w:rsidR="0098699F" w:rsidRPr="002F2B00" w:rsidDel="002708DE">
        <w:t xml:space="preserve"> </w:t>
      </w:r>
      <w:r w:rsidR="0098699F" w:rsidRPr="002F2B00">
        <w:t xml:space="preserve">well established that </w:t>
      </w:r>
      <w:r w:rsidR="00943390" w:rsidRPr="002F2B00">
        <w:t>‘possessions’</w:t>
      </w:r>
      <w:r w:rsidR="00DF63B6" w:rsidRPr="002F2B00">
        <w:t>,</w:t>
      </w:r>
      <w:r w:rsidR="00943390" w:rsidRPr="002F2B00">
        <w:t xml:space="preserve"> as provided for within t</w:t>
      </w:r>
      <w:r w:rsidRPr="002F2B00">
        <w:t>he right to property</w:t>
      </w:r>
      <w:r w:rsidR="00DF63B6" w:rsidRPr="002F2B00">
        <w:t>,</w:t>
      </w:r>
      <w:r w:rsidR="00212970" w:rsidRPr="002F2B00">
        <w:rPr>
          <w:rStyle w:val="FootnoteReference"/>
        </w:rPr>
        <w:footnoteReference w:id="156"/>
      </w:r>
      <w:r w:rsidR="008D5307" w:rsidRPr="002F2B00">
        <w:t xml:space="preserve"> </w:t>
      </w:r>
      <w:r w:rsidR="00943390" w:rsidRPr="002F2B00">
        <w:t xml:space="preserve">can encompass legal claims </w:t>
      </w:r>
      <w:r w:rsidR="00E04400" w:rsidRPr="002F2B00">
        <w:t>provided that the individual invoking the right can establish that the claim has sufficient basis in domestic law.</w:t>
      </w:r>
      <w:r w:rsidR="00E04400" w:rsidRPr="002F2B00">
        <w:rPr>
          <w:rStyle w:val="FootnoteReference"/>
        </w:rPr>
        <w:footnoteReference w:id="157"/>
      </w:r>
      <w:r w:rsidR="00E04400" w:rsidRPr="002F2B00">
        <w:t xml:space="preserve"> </w:t>
      </w:r>
    </w:p>
    <w:p w14:paraId="2845379C" w14:textId="02731299" w:rsidR="00A76B14" w:rsidRPr="002F2B00" w:rsidRDefault="00A76B14" w:rsidP="00A76B14">
      <w:pPr>
        <w:ind w:left="720" w:hanging="720"/>
      </w:pPr>
    </w:p>
    <w:p w14:paraId="106CD26F" w14:textId="1E964782" w:rsidR="00B239F6" w:rsidRPr="002F2B00" w:rsidRDefault="00966AF2" w:rsidP="00744D26">
      <w:pPr>
        <w:ind w:left="720" w:hanging="720"/>
      </w:pPr>
      <w:r w:rsidRPr="002F2B00">
        <w:t>5</w:t>
      </w:r>
      <w:r w:rsidR="00A76B14" w:rsidRPr="002F2B00">
        <w:t>.</w:t>
      </w:r>
      <w:r w:rsidR="00EF2A10" w:rsidRPr="002F2B00">
        <w:t>3</w:t>
      </w:r>
      <w:r w:rsidR="00A76B14" w:rsidRPr="002F2B00">
        <w:tab/>
        <w:t>Article 13 of the ECHR (right to an effective remedy) has a close relationship with Articles 2 and 3 of the ECHR.</w:t>
      </w:r>
      <w:r w:rsidR="00A76B14" w:rsidRPr="002F2B00">
        <w:rPr>
          <w:vertAlign w:val="superscript"/>
        </w:rPr>
        <w:footnoteReference w:id="158"/>
      </w:r>
      <w:r w:rsidR="00A76B14" w:rsidRPr="002F2B00">
        <w:t xml:space="preserve"> </w:t>
      </w:r>
      <w:r w:rsidR="00A76B14" w:rsidRPr="002F2B00">
        <w:rPr>
          <w:szCs w:val="24"/>
        </w:rPr>
        <w:t>For a remedy to be effective it must be accessible, capable of providing redress in respect of the complaint and offer a reasonable prospect of success.</w:t>
      </w:r>
      <w:r w:rsidR="00A76B14" w:rsidRPr="002F2B00">
        <w:rPr>
          <w:rStyle w:val="FootnoteReference"/>
          <w:szCs w:val="24"/>
        </w:rPr>
        <w:footnoteReference w:id="159"/>
      </w:r>
      <w:r w:rsidR="00A76B14" w:rsidRPr="002F2B00">
        <w:rPr>
          <w:szCs w:val="24"/>
        </w:rPr>
        <w:t xml:space="preserve"> In other words, it must be available, sufficient, and effective in theory and practice, having regard to the individual circumstances of the case.</w:t>
      </w:r>
      <w:r w:rsidR="00A76B14" w:rsidRPr="002F2B00">
        <w:rPr>
          <w:rStyle w:val="FootnoteReference"/>
          <w:szCs w:val="24"/>
        </w:rPr>
        <w:footnoteReference w:id="160"/>
      </w:r>
    </w:p>
    <w:p w14:paraId="379FEA5C" w14:textId="26336978" w:rsidR="004748EB" w:rsidRPr="002F2B00" w:rsidRDefault="004748EB" w:rsidP="004748EB">
      <w:pPr>
        <w:ind w:left="720" w:hanging="720"/>
        <w:rPr>
          <w:szCs w:val="24"/>
        </w:rPr>
      </w:pPr>
    </w:p>
    <w:p w14:paraId="4DE63EA4" w14:textId="1E845F63" w:rsidR="00A355B8" w:rsidRPr="00B122D1" w:rsidRDefault="00966AF2" w:rsidP="00B122D1">
      <w:pPr>
        <w:ind w:left="720" w:hanging="720"/>
        <w:rPr>
          <w:rFonts w:cs="Times New Roman"/>
          <w:lang w:eastAsia="en-GB"/>
        </w:rPr>
      </w:pPr>
      <w:r w:rsidRPr="002F2B00">
        <w:rPr>
          <w:szCs w:val="24"/>
        </w:rPr>
        <w:t>5</w:t>
      </w:r>
      <w:r w:rsidR="004748EB" w:rsidRPr="002F2B00">
        <w:rPr>
          <w:szCs w:val="24"/>
        </w:rPr>
        <w:t>.</w:t>
      </w:r>
      <w:r w:rsidR="00EF2A10" w:rsidRPr="002F2B00">
        <w:rPr>
          <w:szCs w:val="24"/>
        </w:rPr>
        <w:t>4</w:t>
      </w:r>
      <w:r w:rsidR="004748EB" w:rsidRPr="002F2B00">
        <w:rPr>
          <w:szCs w:val="24"/>
        </w:rPr>
        <w:tab/>
        <w:t xml:space="preserve">The Belfast (Good Friday) Agreement </w:t>
      </w:r>
      <w:r w:rsidR="002708DE">
        <w:rPr>
          <w:szCs w:val="24"/>
        </w:rPr>
        <w:t xml:space="preserve">1998 </w:t>
      </w:r>
      <w:r w:rsidR="009A2D6D" w:rsidRPr="002F2B00">
        <w:rPr>
          <w:rFonts w:eastAsia="Verdana"/>
        </w:rPr>
        <w:t>required</w:t>
      </w:r>
      <w:r w:rsidR="004748EB" w:rsidRPr="002F2B00">
        <w:rPr>
          <w:rFonts w:eastAsia="Verdana"/>
        </w:rPr>
        <w:t xml:space="preserve"> the UK Government to </w:t>
      </w:r>
      <w:r w:rsidR="00C37BB0">
        <w:rPr>
          <w:rFonts w:eastAsia="Verdana"/>
        </w:rPr>
        <w:t xml:space="preserve">complete </w:t>
      </w:r>
      <w:r w:rsidR="004748EB" w:rsidRPr="002F2B00">
        <w:rPr>
          <w:rFonts w:eastAsia="Verdana"/>
        </w:rPr>
        <w:t>incorporat</w:t>
      </w:r>
      <w:r w:rsidR="00C37BB0">
        <w:rPr>
          <w:rFonts w:eastAsia="Verdana"/>
        </w:rPr>
        <w:t>ion of</w:t>
      </w:r>
      <w:r w:rsidR="004748EB" w:rsidRPr="002F2B00">
        <w:rPr>
          <w:rFonts w:eastAsia="Verdana"/>
        </w:rPr>
        <w:t xml:space="preserve"> the ECHR into NI law</w:t>
      </w:r>
      <w:r w:rsidR="00987CCD" w:rsidRPr="002F2B00">
        <w:rPr>
          <w:rFonts w:eastAsia="Verdana"/>
        </w:rPr>
        <w:t xml:space="preserve"> and to </w:t>
      </w:r>
      <w:r w:rsidR="009A2D6D" w:rsidRPr="002F2B00">
        <w:rPr>
          <w:rFonts w:eastAsia="Verdana"/>
        </w:rPr>
        <w:t xml:space="preserve">provide people with </w:t>
      </w:r>
      <w:r w:rsidR="004748EB" w:rsidRPr="002F2B00">
        <w:rPr>
          <w:rFonts w:eastAsia="Verdana"/>
        </w:rPr>
        <w:t xml:space="preserve">“direct access to the courts, and remedies for breach of the Convention, including power for the courts to overrule </w:t>
      </w:r>
      <w:r w:rsidR="004748EB" w:rsidRPr="002F2B00">
        <w:rPr>
          <w:rFonts w:eastAsia="Verdana"/>
        </w:rPr>
        <w:lastRenderedPageBreak/>
        <w:t>Assembly legislation on grounds of inconsistency”.</w:t>
      </w:r>
      <w:r w:rsidR="004748EB" w:rsidRPr="002F2B00">
        <w:rPr>
          <w:rStyle w:val="FootnoteReference"/>
          <w:rFonts w:eastAsia="Verdana"/>
        </w:rPr>
        <w:footnoteReference w:id="161"/>
      </w:r>
      <w:r w:rsidR="004748EB" w:rsidDel="00C37BB0">
        <w:rPr>
          <w:rFonts w:cs="Times New Roman"/>
          <w:lang w:eastAsia="en-GB"/>
        </w:rPr>
        <w:t xml:space="preserve"> </w:t>
      </w:r>
      <w:r w:rsidR="00C37BB0">
        <w:rPr>
          <w:rFonts w:cs="Times New Roman"/>
          <w:lang w:eastAsia="en-GB"/>
        </w:rPr>
        <w:t xml:space="preserve">This is </w:t>
      </w:r>
      <w:r w:rsidR="00FB08EA">
        <w:rPr>
          <w:rFonts w:cs="Times New Roman"/>
          <w:lang w:eastAsia="en-GB"/>
        </w:rPr>
        <w:t>undermined fundamentally by the 2023 Act.</w:t>
      </w:r>
      <w:r w:rsidR="009A2D6D" w:rsidRPr="002F2B00">
        <w:rPr>
          <w:rFonts w:cs="Times New Roman"/>
          <w:lang w:eastAsia="en-GB"/>
        </w:rPr>
        <w:t xml:space="preserve"> </w:t>
      </w:r>
      <w:r w:rsidR="00A355B8">
        <w:t xml:space="preserve"> </w:t>
      </w:r>
    </w:p>
    <w:p w14:paraId="3D007310" w14:textId="77777777" w:rsidR="00A76B14" w:rsidRPr="002F2B00" w:rsidRDefault="00A76B14" w:rsidP="005C7F9A"/>
    <w:p w14:paraId="13402C5A" w14:textId="2C30EF06" w:rsidR="00D14D7B" w:rsidRPr="002F2B00" w:rsidRDefault="00966AF2" w:rsidP="00A76B14">
      <w:pPr>
        <w:ind w:left="720" w:hanging="720"/>
      </w:pPr>
      <w:r w:rsidRPr="002F2B00">
        <w:t>5</w:t>
      </w:r>
      <w:r w:rsidR="008E19FE">
        <w:t>.5</w:t>
      </w:r>
      <w:r w:rsidR="008E19FE">
        <w:tab/>
      </w:r>
      <w:r w:rsidR="008E72B0" w:rsidRPr="002F2B00">
        <w:t xml:space="preserve">The </w:t>
      </w:r>
      <w:r w:rsidR="007353C4">
        <w:t>2023 Act</w:t>
      </w:r>
      <w:r w:rsidR="008E72B0" w:rsidRPr="002F2B00">
        <w:t xml:space="preserve"> i</w:t>
      </w:r>
      <w:r w:rsidR="00D14D7B" w:rsidRPr="002F2B00">
        <w:t>mmediately ceas</w:t>
      </w:r>
      <w:r w:rsidR="009C7B2A" w:rsidRPr="002F2B00">
        <w:t>e</w:t>
      </w:r>
      <w:r w:rsidR="007353C4">
        <w:t>s</w:t>
      </w:r>
      <w:r w:rsidR="00D14D7B" w:rsidRPr="002F2B00">
        <w:t xml:space="preserve"> criminal investigations (other than those referred by the ICRIR to the </w:t>
      </w:r>
      <w:r w:rsidR="00FB08EA">
        <w:t>Public Prosecution Service</w:t>
      </w:r>
      <w:r w:rsidR="00D14D7B" w:rsidRPr="002F2B00">
        <w:t>), police complaints,</w:t>
      </w:r>
      <w:r w:rsidR="000D2356">
        <w:t xml:space="preserve"> and </w:t>
      </w:r>
      <w:r w:rsidR="00D14D7B" w:rsidRPr="002F2B00">
        <w:t>civil proceedings</w:t>
      </w:r>
      <w:r w:rsidR="000D2356">
        <w:t xml:space="preserve"> linked to Troubles-related offences.</w:t>
      </w:r>
      <w:r w:rsidR="000D2356">
        <w:rPr>
          <w:rStyle w:val="FootnoteReference"/>
        </w:rPr>
        <w:footnoteReference w:id="162"/>
      </w:r>
      <w:r w:rsidR="000D2356">
        <w:t xml:space="preserve"> I</w:t>
      </w:r>
      <w:r w:rsidR="00D14D7B" w:rsidRPr="002F2B00">
        <w:t xml:space="preserve">nquests/inquiries </w:t>
      </w:r>
      <w:r w:rsidR="008E72B0" w:rsidRPr="002F2B00">
        <w:t>linked to Troubles-related offences</w:t>
      </w:r>
      <w:r w:rsidR="0012131E">
        <w:t xml:space="preserve"> are to cease </w:t>
      </w:r>
      <w:r w:rsidR="00337195">
        <w:t>from 1 May 2024, “unless, on that day, the only part of the inquest that remains to be carried out is the coroner or any jury making or giving the final determination, verdict or findings, or something subsequent to that”</w:t>
      </w:r>
      <w:r w:rsidR="008E72B0" w:rsidRPr="002F2B00">
        <w:t>.</w:t>
      </w:r>
      <w:r w:rsidR="00843D16" w:rsidRPr="002F2B00">
        <w:rPr>
          <w:rStyle w:val="FootnoteReference"/>
        </w:rPr>
        <w:footnoteReference w:id="163"/>
      </w:r>
      <w:r w:rsidR="008E72B0" w:rsidRPr="002F2B00">
        <w:t xml:space="preserve"> </w:t>
      </w:r>
      <w:r w:rsidR="00B405FE" w:rsidRPr="002F2B00">
        <w:t xml:space="preserve">There is a real risk that </w:t>
      </w:r>
      <w:r w:rsidR="002D06B1" w:rsidRPr="002F2B00">
        <w:t>such proposals will mean p</w:t>
      </w:r>
      <w:r w:rsidR="009A2D6D" w:rsidRPr="002F2B00">
        <w:t>etitioning t</w:t>
      </w:r>
      <w:r w:rsidR="00D14D7B" w:rsidRPr="002F2B00">
        <w:t xml:space="preserve">he ECtHR </w:t>
      </w:r>
      <w:r w:rsidR="009A2D6D" w:rsidRPr="002F2B00">
        <w:t xml:space="preserve">will become </w:t>
      </w:r>
      <w:r w:rsidR="00D14D7B" w:rsidRPr="002F2B00">
        <w:t xml:space="preserve">the only </w:t>
      </w:r>
      <w:r w:rsidR="009A2D6D" w:rsidRPr="002F2B00">
        <w:t xml:space="preserve">viable route to raising breaches. </w:t>
      </w:r>
      <w:r w:rsidR="009E6551" w:rsidRPr="002F2B00">
        <w:t>State</w:t>
      </w:r>
      <w:r w:rsidR="004C5CDC" w:rsidRPr="002F2B00">
        <w:t>s</w:t>
      </w:r>
      <w:r w:rsidR="009E6551" w:rsidRPr="002F2B00">
        <w:t xml:space="preserve"> </w:t>
      </w:r>
      <w:r w:rsidR="004C5CDC" w:rsidRPr="002F2B00">
        <w:t>“have the primary responsibility to secure the rights and freedoms” defined within the ECHR</w:t>
      </w:r>
      <w:r w:rsidR="00590D78" w:rsidRPr="002F2B00">
        <w:t>.</w:t>
      </w:r>
      <w:r w:rsidR="00F213E8" w:rsidRPr="002F2B00">
        <w:rPr>
          <w:rStyle w:val="FootnoteReference"/>
        </w:rPr>
        <w:footnoteReference w:id="164"/>
      </w:r>
      <w:r w:rsidR="00590D78" w:rsidRPr="002F2B00">
        <w:t xml:space="preserve"> </w:t>
      </w:r>
      <w:r w:rsidR="00D14D7B" w:rsidRPr="002F2B00">
        <w:t xml:space="preserve">ECtHR judgments are not enforceable, instead relying on State-initiated compliance. Considering the UK Government’s approach to existing </w:t>
      </w:r>
      <w:r w:rsidR="00504B7F" w:rsidRPr="002F2B00">
        <w:t xml:space="preserve">Troubles-related </w:t>
      </w:r>
      <w:r w:rsidR="00D14D7B" w:rsidRPr="002F2B00">
        <w:t>judgments,</w:t>
      </w:r>
      <w:r w:rsidR="002623F9" w:rsidRPr="002F2B00">
        <w:rPr>
          <w:rStyle w:val="FootnoteReference"/>
        </w:rPr>
        <w:footnoteReference w:id="165"/>
      </w:r>
      <w:r w:rsidR="00D14D7B" w:rsidRPr="002F2B00">
        <w:t xml:space="preserve"> </w:t>
      </w:r>
      <w:r w:rsidR="00016FE6" w:rsidRPr="002F2B00">
        <w:t xml:space="preserve">there is a real risk that any </w:t>
      </w:r>
      <w:r w:rsidR="00D14D7B" w:rsidRPr="002F2B00">
        <w:t xml:space="preserve">related ECtHR ruling </w:t>
      </w:r>
      <w:r w:rsidR="00016FE6" w:rsidRPr="002F2B00">
        <w:t xml:space="preserve">would be </w:t>
      </w:r>
      <w:r w:rsidR="00D14D7B" w:rsidRPr="002F2B00">
        <w:t>disregarded or only partially adhered to.</w:t>
      </w:r>
    </w:p>
    <w:p w14:paraId="6C5EE180" w14:textId="54ED8A0C" w:rsidR="000C4F4D" w:rsidRPr="002F2B00" w:rsidRDefault="000C4F4D" w:rsidP="00A76B14">
      <w:pPr>
        <w:ind w:left="720" w:hanging="720"/>
      </w:pPr>
    </w:p>
    <w:p w14:paraId="13DC1521" w14:textId="77FFA44B" w:rsidR="007854CA" w:rsidRPr="002F2B00" w:rsidRDefault="21521F8B" w:rsidP="05FC8414">
      <w:pPr>
        <w:ind w:left="720" w:hanging="720"/>
        <w:rPr>
          <w:rFonts w:cs="Arial"/>
        </w:rPr>
      </w:pPr>
      <w:r w:rsidRPr="002F2B00">
        <w:t>5.</w:t>
      </w:r>
      <w:r w:rsidR="3703373E">
        <w:t>6</w:t>
      </w:r>
      <w:r w:rsidR="006347D4" w:rsidRPr="002F2B00">
        <w:tab/>
      </w:r>
      <w:r w:rsidRPr="05FC8414">
        <w:t xml:space="preserve">The UK Government’s justification for ceasing other avenues of remedy is </w:t>
      </w:r>
      <w:r w:rsidR="3614EE61" w:rsidRPr="002F2B00">
        <w:rPr>
          <w:szCs w:val="24"/>
        </w:rPr>
        <w:t>“</w:t>
      </w:r>
      <w:r w:rsidR="3614EE61" w:rsidRPr="05FC8414">
        <w:rPr>
          <w:rFonts w:cs="Arial"/>
          <w:shd w:val="clear" w:color="auto" w:fill="FFFFFF"/>
        </w:rPr>
        <w:t>that the current system has not been delivering for victims as we think they deserve”.</w:t>
      </w:r>
      <w:r w:rsidR="0073503B" w:rsidRPr="05FC8414">
        <w:rPr>
          <w:rStyle w:val="FootnoteReference"/>
          <w:rFonts w:cs="Arial"/>
          <w:shd w:val="clear" w:color="auto" w:fill="FFFFFF"/>
        </w:rPr>
        <w:footnoteReference w:id="166"/>
      </w:r>
      <w:r w:rsidR="3BFC219A" w:rsidRPr="05FC8414">
        <w:rPr>
          <w:rFonts w:cs="Arial"/>
          <w:shd w:val="clear" w:color="auto" w:fill="FFFFFF"/>
        </w:rPr>
        <w:t xml:space="preserve"> </w:t>
      </w:r>
      <w:r w:rsidR="242B92A6" w:rsidRPr="05FC8414">
        <w:rPr>
          <w:rFonts w:cs="Arial"/>
          <w:shd w:val="clear" w:color="auto" w:fill="FFFFFF"/>
        </w:rPr>
        <w:t xml:space="preserve">The </w:t>
      </w:r>
      <w:r w:rsidR="02DB0F54" w:rsidRPr="05FC8414">
        <w:rPr>
          <w:rFonts w:cs="Arial"/>
          <w:shd w:val="clear" w:color="auto" w:fill="FFFFFF"/>
        </w:rPr>
        <w:t xml:space="preserve">former </w:t>
      </w:r>
      <w:r w:rsidR="242B92A6" w:rsidRPr="05FC8414">
        <w:rPr>
          <w:rFonts w:cs="Arial"/>
          <w:shd w:val="clear" w:color="auto" w:fill="FFFFFF"/>
        </w:rPr>
        <w:t>Secretary</w:t>
      </w:r>
      <w:r w:rsidR="37570C9E" w:rsidRPr="05FC8414">
        <w:rPr>
          <w:rFonts w:cs="Arial"/>
          <w:shd w:val="clear" w:color="auto" w:fill="FFFFFF"/>
        </w:rPr>
        <w:t xml:space="preserve"> </w:t>
      </w:r>
      <w:r w:rsidR="242B92A6" w:rsidRPr="05FC8414">
        <w:rPr>
          <w:rFonts w:cs="Arial"/>
          <w:shd w:val="clear" w:color="auto" w:fill="FFFFFF"/>
        </w:rPr>
        <w:t xml:space="preserve">of State for NI, Brandon Lewis MP, </w:t>
      </w:r>
      <w:r w:rsidR="6BF1218B" w:rsidRPr="05FC8414">
        <w:rPr>
          <w:rFonts w:cs="Arial"/>
          <w:shd w:val="clear" w:color="auto" w:fill="FFFFFF"/>
        </w:rPr>
        <w:t>wa</w:t>
      </w:r>
      <w:r w:rsidR="242B92A6" w:rsidRPr="05FC8414">
        <w:rPr>
          <w:rFonts w:cs="Arial"/>
          <w:shd w:val="clear" w:color="auto" w:fill="FFFFFF"/>
        </w:rPr>
        <w:t xml:space="preserve">s of the view that </w:t>
      </w:r>
      <w:r w:rsidR="3BFC219A" w:rsidRPr="05FC8414">
        <w:rPr>
          <w:rFonts w:cs="Arial"/>
        </w:rPr>
        <w:t>because most Troubles cases were more than 40 years old, the chances of success were “vanishingly small”.</w:t>
      </w:r>
      <w:r w:rsidR="00967539" w:rsidRPr="05FC8414">
        <w:rPr>
          <w:rStyle w:val="FootnoteReference"/>
          <w:rFonts w:cs="Arial"/>
        </w:rPr>
        <w:footnoteReference w:id="167"/>
      </w:r>
      <w:r w:rsidR="242B92A6" w:rsidRPr="05FC8414">
        <w:rPr>
          <w:rFonts w:cs="Arial"/>
        </w:rPr>
        <w:t xml:space="preserve"> </w:t>
      </w:r>
      <w:r w:rsidR="6678B70F" w:rsidRPr="05FC8414">
        <w:rPr>
          <w:rFonts w:cs="Arial"/>
        </w:rPr>
        <w:t>He</w:t>
      </w:r>
      <w:r w:rsidR="242B92A6" w:rsidRPr="05FC8414">
        <w:rPr>
          <w:rFonts w:cs="Arial"/>
        </w:rPr>
        <w:t xml:space="preserve"> </w:t>
      </w:r>
      <w:r w:rsidR="738C44A9" w:rsidRPr="05FC8414">
        <w:rPr>
          <w:rFonts w:cs="Arial"/>
        </w:rPr>
        <w:t xml:space="preserve">stated </w:t>
      </w:r>
      <w:r w:rsidR="242B92A6" w:rsidRPr="05FC8414">
        <w:rPr>
          <w:rFonts w:cs="Arial"/>
        </w:rPr>
        <w:t>that:</w:t>
      </w:r>
    </w:p>
    <w:p w14:paraId="4F0AE11D" w14:textId="77777777" w:rsidR="007854CA" w:rsidRPr="002F2B00" w:rsidRDefault="007854CA" w:rsidP="00A76B14">
      <w:pPr>
        <w:ind w:left="720" w:hanging="720"/>
        <w:rPr>
          <w:rFonts w:cs="Arial"/>
          <w:szCs w:val="24"/>
        </w:rPr>
      </w:pPr>
    </w:p>
    <w:p w14:paraId="37D5CA99" w14:textId="00D59EB3" w:rsidR="006347D4" w:rsidRPr="002F2B00" w:rsidRDefault="007854CA" w:rsidP="00FB7A52">
      <w:pPr>
        <w:pStyle w:val="Quote"/>
      </w:pPr>
      <w:r w:rsidRPr="002F2B00">
        <w:t xml:space="preserve">faith in the criminal justice model to deal with legacy cases has been undermined. The high standard of proof required to secure a successful prosecution, combined with the passage of time and difficulty in securing sufficient </w:t>
      </w:r>
      <w:r w:rsidRPr="002F2B00">
        <w:lastRenderedPageBreak/>
        <w:t>evidence, means that victims and their families very rarely, if ever, obtain the outcome they seek from that process.</w:t>
      </w:r>
      <w:r w:rsidR="00FB7A52" w:rsidRPr="002F2B00">
        <w:rPr>
          <w:rStyle w:val="FootnoteReference"/>
        </w:rPr>
        <w:footnoteReference w:id="168"/>
      </w:r>
    </w:p>
    <w:p w14:paraId="1FF22A13" w14:textId="77777777" w:rsidR="00D14D7B" w:rsidRPr="002F2B00" w:rsidRDefault="00D14D7B" w:rsidP="00D14D7B"/>
    <w:p w14:paraId="43E399E7" w14:textId="16159CC1" w:rsidR="00F80D61" w:rsidRPr="002F2B00" w:rsidRDefault="00966AF2" w:rsidP="00D14D7B">
      <w:pPr>
        <w:ind w:left="720" w:hanging="720"/>
      </w:pPr>
      <w:r w:rsidRPr="002F2B00">
        <w:t>5</w:t>
      </w:r>
      <w:r w:rsidR="00D14D7B" w:rsidRPr="002F2B00">
        <w:t>.</w:t>
      </w:r>
      <w:r w:rsidR="008E19FE">
        <w:t>7</w:t>
      </w:r>
      <w:r w:rsidR="00D14D7B" w:rsidRPr="002F2B00">
        <w:tab/>
      </w:r>
      <w:r w:rsidR="00A170CB">
        <w:t xml:space="preserve">The NIHRC does not accept the basic premises on which the Secretary of State proceeds. </w:t>
      </w:r>
      <w:r w:rsidR="00FF6D05" w:rsidRPr="002F2B00">
        <w:t>The</w:t>
      </w:r>
      <w:r w:rsidR="00364CAD" w:rsidRPr="002F2B00">
        <w:t xml:space="preserve"> UK Government’s</w:t>
      </w:r>
      <w:r w:rsidR="00FF6D05" w:rsidRPr="002F2B00" w:rsidDel="00A170CB">
        <w:t xml:space="preserve"> </w:t>
      </w:r>
      <w:r w:rsidR="00364CAD" w:rsidRPr="002F2B00">
        <w:t>ignore</w:t>
      </w:r>
      <w:r w:rsidR="00FF6D05" w:rsidRPr="002F2B00">
        <w:t>s</w:t>
      </w:r>
      <w:r w:rsidR="00CA15A9" w:rsidRPr="002F2B00">
        <w:t xml:space="preserve"> </w:t>
      </w:r>
      <w:r w:rsidR="00F97A71" w:rsidRPr="002F2B00">
        <w:t xml:space="preserve">the progress that has </w:t>
      </w:r>
      <w:r w:rsidR="00A170CB">
        <w:t xml:space="preserve">in fact </w:t>
      </w:r>
      <w:r w:rsidR="00F97A71" w:rsidRPr="002F2B00">
        <w:t>been made with the existing system</w:t>
      </w:r>
      <w:r w:rsidR="00CA15A9" w:rsidRPr="002F2B00">
        <w:t xml:space="preserve">. In the NIHRC’s view, the existing system </w:t>
      </w:r>
      <w:r w:rsidR="00F97A71" w:rsidRPr="002F2B00">
        <w:t xml:space="preserve">should be </w:t>
      </w:r>
      <w:r w:rsidR="00610753" w:rsidRPr="002F2B00">
        <w:t>developed</w:t>
      </w:r>
      <w:r w:rsidR="00F97A71" w:rsidRPr="002F2B00">
        <w:t>, not</w:t>
      </w:r>
      <w:r w:rsidR="00EB4AFC" w:rsidRPr="002F2B00">
        <w:t xml:space="preserve"> regressed. </w:t>
      </w:r>
      <w:r w:rsidR="0069177A" w:rsidRPr="002F2B00">
        <w:t>T</w:t>
      </w:r>
      <w:r w:rsidR="00A3244F" w:rsidRPr="002F2B00">
        <w:t xml:space="preserve">here have been significant steps forward for </w:t>
      </w:r>
      <w:r w:rsidR="00E37395" w:rsidRPr="002F2B00">
        <w:t>several</w:t>
      </w:r>
      <w:r w:rsidR="00A3244F" w:rsidRPr="002F2B00">
        <w:t xml:space="preserve"> families in uncovering the truth and seeking justice,</w:t>
      </w:r>
      <w:r w:rsidR="001A649A" w:rsidRPr="002F2B00">
        <w:rPr>
          <w:rStyle w:val="FootnoteReference"/>
        </w:rPr>
        <w:footnoteReference w:id="169"/>
      </w:r>
      <w:r w:rsidR="00A3244F" w:rsidRPr="002F2B00">
        <w:t xml:space="preserve"> which would not have been possible without the </w:t>
      </w:r>
      <w:r w:rsidR="00364CAD" w:rsidRPr="002F2B00">
        <w:t>existing</w:t>
      </w:r>
      <w:r w:rsidR="001A649A" w:rsidRPr="002F2B00">
        <w:t xml:space="preserve"> </w:t>
      </w:r>
      <w:r w:rsidR="00A3244F" w:rsidRPr="002F2B00">
        <w:t xml:space="preserve">systems in place. </w:t>
      </w:r>
      <w:r w:rsidR="00E37395" w:rsidRPr="002F2B00">
        <w:t xml:space="preserve">Victims and survivors have also been clear that, while they agree that the current system </w:t>
      </w:r>
      <w:r w:rsidR="00D36C97" w:rsidRPr="002F2B00">
        <w:t xml:space="preserve">is not delivering for victims as they deserve, the </w:t>
      </w:r>
      <w:r w:rsidR="00B626AD">
        <w:t>2023 Act</w:t>
      </w:r>
      <w:r w:rsidR="00D36C97" w:rsidRPr="002F2B00">
        <w:t xml:space="preserve"> </w:t>
      </w:r>
      <w:r w:rsidR="00364CAD" w:rsidRPr="002F2B00">
        <w:t>by no means</w:t>
      </w:r>
      <w:r w:rsidR="004C1970" w:rsidRPr="002F2B00">
        <w:t xml:space="preserve"> remed</w:t>
      </w:r>
      <w:r w:rsidR="005B737C">
        <w:t>ies</w:t>
      </w:r>
      <w:r w:rsidR="004C1970" w:rsidRPr="002F2B00">
        <w:t xml:space="preserve"> this</w:t>
      </w:r>
      <w:r w:rsidR="00DC5F90" w:rsidRPr="002F2B00">
        <w:t xml:space="preserve"> and </w:t>
      </w:r>
      <w:r w:rsidR="00092DBF" w:rsidRPr="002F2B00">
        <w:t xml:space="preserve">instead </w:t>
      </w:r>
      <w:r w:rsidR="0007036B">
        <w:t xml:space="preserve">is </w:t>
      </w:r>
      <w:r w:rsidR="00092DBF" w:rsidRPr="002F2B00">
        <w:t>viewed as “perpetrator focused”</w:t>
      </w:r>
      <w:r w:rsidR="009E6AFD" w:rsidRPr="002F2B00">
        <w:t>.</w:t>
      </w:r>
      <w:r w:rsidR="00092DBF" w:rsidRPr="002F2B00">
        <w:rPr>
          <w:rStyle w:val="FootnoteReference"/>
        </w:rPr>
        <w:footnoteReference w:id="170"/>
      </w:r>
      <w:r w:rsidR="009E6AFD" w:rsidRPr="002F2B00">
        <w:t xml:space="preserve"> </w:t>
      </w:r>
      <w:r w:rsidR="001A649A" w:rsidRPr="002F2B00">
        <w:t>It has been stated that</w:t>
      </w:r>
      <w:r w:rsidR="00F80D61" w:rsidRPr="002F2B00">
        <w:t>:</w:t>
      </w:r>
    </w:p>
    <w:p w14:paraId="02922D79" w14:textId="77777777" w:rsidR="00F80D61" w:rsidRPr="002F2B00" w:rsidRDefault="00F80D61" w:rsidP="00D14D7B">
      <w:pPr>
        <w:ind w:left="720" w:hanging="720"/>
      </w:pPr>
    </w:p>
    <w:p w14:paraId="75E12B68" w14:textId="2850DA9C" w:rsidR="00F80D61" w:rsidRPr="002F2B00" w:rsidRDefault="001A649A" w:rsidP="00182369">
      <w:pPr>
        <w:pStyle w:val="Quote"/>
      </w:pPr>
      <w:r w:rsidRPr="002F2B00">
        <w:t>victims ultimately want justice and, if they do not want justice, they want some form of accountability for what happened to them. There is nothing within this [</w:t>
      </w:r>
      <w:r w:rsidR="00B26380">
        <w:t>Act</w:t>
      </w:r>
      <w:r w:rsidRPr="002F2B00">
        <w:t>] that provides that for them</w:t>
      </w:r>
      <w:r w:rsidR="00F80D61" w:rsidRPr="002F2B00">
        <w:t>…</w:t>
      </w:r>
    </w:p>
    <w:p w14:paraId="0F2E9C79" w14:textId="77777777" w:rsidR="00F80D61" w:rsidRPr="002F2B00" w:rsidRDefault="00F80D61" w:rsidP="00182369">
      <w:pPr>
        <w:pStyle w:val="Quote"/>
      </w:pPr>
    </w:p>
    <w:p w14:paraId="16E76782" w14:textId="7EF7E9ED" w:rsidR="00D32ADD" w:rsidRPr="002F2B00" w:rsidRDefault="00F80D61" w:rsidP="00182369">
      <w:pPr>
        <w:pStyle w:val="Quote"/>
      </w:pPr>
      <w:r w:rsidRPr="002F2B00">
        <w:t xml:space="preserve">The majority of victims we support </w:t>
      </w:r>
      <w:r w:rsidR="00AC7DF6" w:rsidRPr="002F2B00">
        <w:t xml:space="preserve">[at the </w:t>
      </w:r>
      <w:proofErr w:type="gramStart"/>
      <w:r w:rsidR="00AC7DF6" w:rsidRPr="002F2B00">
        <w:rPr>
          <w:szCs w:val="24"/>
        </w:rPr>
        <w:t>South East</w:t>
      </w:r>
      <w:proofErr w:type="gramEnd"/>
      <w:r w:rsidR="00AC7DF6" w:rsidRPr="002F2B00">
        <w:rPr>
          <w:szCs w:val="24"/>
        </w:rPr>
        <w:t xml:space="preserve"> Fermanagh Foundation]</w:t>
      </w:r>
      <w:r w:rsidR="00AC7DF6" w:rsidRPr="002F2B00">
        <w:rPr>
          <w:color w:val="7030A0"/>
          <w:sz w:val="16"/>
          <w:szCs w:val="16"/>
        </w:rPr>
        <w:t xml:space="preserve"> </w:t>
      </w:r>
      <w:r w:rsidRPr="002F2B00">
        <w:t>know why their loved one was killed, they know the group that killed their loved one, they know where it happened and they know how it happened, but what they want to know is who is responsible…</w:t>
      </w:r>
      <w:r w:rsidR="00243A93" w:rsidRPr="002F2B00">
        <w:t xml:space="preserve"> That, to us, cannot be delivered [by </w:t>
      </w:r>
      <w:r w:rsidR="00B26380">
        <w:t>the 2023 Act</w:t>
      </w:r>
      <w:r w:rsidR="00243A93" w:rsidRPr="002F2B00">
        <w:t>].</w:t>
      </w:r>
      <w:r w:rsidR="001A649A" w:rsidRPr="002F2B00">
        <w:rPr>
          <w:rStyle w:val="FootnoteReference"/>
        </w:rPr>
        <w:footnoteReference w:id="171"/>
      </w:r>
      <w:r w:rsidR="001A649A" w:rsidRPr="002F2B00">
        <w:t xml:space="preserve"> </w:t>
      </w:r>
    </w:p>
    <w:p w14:paraId="68A0DD79" w14:textId="77777777" w:rsidR="00D32ADD" w:rsidRPr="002F2B00" w:rsidRDefault="00D32ADD" w:rsidP="00D14D7B">
      <w:pPr>
        <w:ind w:left="720" w:hanging="720"/>
      </w:pPr>
    </w:p>
    <w:p w14:paraId="2844E947" w14:textId="36944B0A" w:rsidR="00D14D7B" w:rsidRPr="002F2B00" w:rsidRDefault="00D32ADD" w:rsidP="00D14D7B">
      <w:pPr>
        <w:ind w:left="720" w:hanging="720"/>
        <w:rPr>
          <w:b/>
          <w:bCs/>
        </w:rPr>
      </w:pPr>
      <w:r w:rsidRPr="007B7410">
        <w:rPr>
          <w:b/>
          <w:bCs/>
        </w:rPr>
        <w:t>5.</w:t>
      </w:r>
      <w:r w:rsidR="008E19FE">
        <w:rPr>
          <w:b/>
          <w:bCs/>
        </w:rPr>
        <w:t>8</w:t>
      </w:r>
      <w:r w:rsidRPr="007B7410">
        <w:rPr>
          <w:b/>
          <w:bCs/>
        </w:rPr>
        <w:tab/>
      </w:r>
      <w:r w:rsidR="00197FBC" w:rsidRPr="007B7410">
        <w:rPr>
          <w:b/>
          <w:bCs/>
        </w:rPr>
        <w:t xml:space="preserve">The NIHRC </w:t>
      </w:r>
      <w:r w:rsidR="00027C89">
        <w:rPr>
          <w:b/>
          <w:bCs/>
        </w:rPr>
        <w:t>advise</w:t>
      </w:r>
      <w:r w:rsidR="00194CA6">
        <w:rPr>
          <w:b/>
          <w:bCs/>
        </w:rPr>
        <w:t>s</w:t>
      </w:r>
      <w:r w:rsidR="00197FBC" w:rsidRPr="007B7410">
        <w:rPr>
          <w:b/>
          <w:bCs/>
        </w:rPr>
        <w:t xml:space="preserve"> that the immediacy of the proposed changes to a victim’s access to justice</w:t>
      </w:r>
      <w:r w:rsidR="00FF1990" w:rsidRPr="007B7410">
        <w:rPr>
          <w:b/>
          <w:bCs/>
        </w:rPr>
        <w:t xml:space="preserve"> </w:t>
      </w:r>
      <w:r w:rsidR="00197FBC" w:rsidRPr="007B7410">
        <w:rPr>
          <w:b/>
          <w:bCs/>
        </w:rPr>
        <w:t>closes off any pursuit of justice outside of the ICRIR</w:t>
      </w:r>
      <w:r w:rsidR="00027C89">
        <w:rPr>
          <w:b/>
          <w:bCs/>
        </w:rPr>
        <w:t xml:space="preserve">, </w:t>
      </w:r>
      <w:r w:rsidR="00194CA6">
        <w:rPr>
          <w:b/>
          <w:bCs/>
        </w:rPr>
        <w:t xml:space="preserve">which is </w:t>
      </w:r>
      <w:r w:rsidR="007441A8">
        <w:rPr>
          <w:b/>
          <w:bCs/>
        </w:rPr>
        <w:t xml:space="preserve">directly </w:t>
      </w:r>
      <w:r w:rsidR="00027C89">
        <w:rPr>
          <w:b/>
          <w:bCs/>
        </w:rPr>
        <w:t xml:space="preserve">contrary to the ECHR and </w:t>
      </w:r>
      <w:r w:rsidR="007441A8">
        <w:rPr>
          <w:b/>
          <w:bCs/>
        </w:rPr>
        <w:t xml:space="preserve">the </w:t>
      </w:r>
      <w:r w:rsidR="00027C89">
        <w:rPr>
          <w:b/>
          <w:bCs/>
        </w:rPr>
        <w:t>Belfast (Good Friday) Agreement</w:t>
      </w:r>
      <w:r w:rsidR="00197FBC" w:rsidRPr="007B7410">
        <w:rPr>
          <w:b/>
          <w:bCs/>
        </w:rPr>
        <w:t>.</w:t>
      </w:r>
    </w:p>
    <w:p w14:paraId="7A76EB5B" w14:textId="77777777" w:rsidR="00773401" w:rsidRPr="002F2B00" w:rsidRDefault="00773401" w:rsidP="00D14D7B">
      <w:pPr>
        <w:ind w:left="720" w:hanging="720"/>
      </w:pPr>
    </w:p>
    <w:p w14:paraId="038B3C7C" w14:textId="6662CC98" w:rsidR="005928FB" w:rsidRDefault="005928FB">
      <w:pPr>
        <w:spacing w:line="240" w:lineRule="auto"/>
        <w:rPr>
          <w:szCs w:val="24"/>
        </w:rPr>
      </w:pPr>
      <w:r w:rsidRPr="002F2B00">
        <w:rPr>
          <w:szCs w:val="24"/>
        </w:rPr>
        <w:br w:type="page"/>
      </w:r>
    </w:p>
    <w:p w14:paraId="1A30D12E" w14:textId="77777777" w:rsidR="00BE16A6" w:rsidRDefault="00BE16A6">
      <w:pPr>
        <w:spacing w:line="240" w:lineRule="auto"/>
        <w:rPr>
          <w:szCs w:val="24"/>
        </w:rPr>
      </w:pPr>
    </w:p>
    <w:p w14:paraId="391906E9" w14:textId="77777777" w:rsidR="00BE16A6" w:rsidRDefault="00BE16A6">
      <w:pPr>
        <w:spacing w:line="240" w:lineRule="auto"/>
        <w:rPr>
          <w:szCs w:val="24"/>
        </w:rPr>
      </w:pPr>
    </w:p>
    <w:p w14:paraId="5888E908" w14:textId="77777777" w:rsidR="00BE16A6" w:rsidRDefault="00BE16A6">
      <w:pPr>
        <w:spacing w:line="240" w:lineRule="auto"/>
        <w:rPr>
          <w:szCs w:val="24"/>
        </w:rPr>
      </w:pPr>
    </w:p>
    <w:p w14:paraId="09BD48F9" w14:textId="77777777" w:rsidR="00B15B7F" w:rsidRDefault="00B15B7F">
      <w:pPr>
        <w:spacing w:line="240" w:lineRule="auto"/>
        <w:rPr>
          <w:szCs w:val="24"/>
        </w:rPr>
      </w:pPr>
    </w:p>
    <w:p w14:paraId="069E69F6" w14:textId="77777777" w:rsidR="00B15B7F" w:rsidRDefault="00B15B7F">
      <w:pPr>
        <w:spacing w:line="240" w:lineRule="auto"/>
        <w:rPr>
          <w:szCs w:val="24"/>
        </w:rPr>
      </w:pPr>
    </w:p>
    <w:p w14:paraId="749DF1E6" w14:textId="77777777" w:rsidR="00BE16A6" w:rsidRDefault="00BE16A6">
      <w:pPr>
        <w:spacing w:line="240" w:lineRule="auto"/>
        <w:rPr>
          <w:szCs w:val="24"/>
        </w:rPr>
      </w:pPr>
    </w:p>
    <w:p w14:paraId="0EBDFAA4" w14:textId="77777777" w:rsidR="00197E32" w:rsidRDefault="00197E32">
      <w:pPr>
        <w:spacing w:line="240" w:lineRule="auto"/>
        <w:rPr>
          <w:szCs w:val="24"/>
        </w:rPr>
      </w:pPr>
    </w:p>
    <w:p w14:paraId="5DE9FCB5" w14:textId="77777777" w:rsidR="00197E32" w:rsidRDefault="00197E32">
      <w:pPr>
        <w:spacing w:line="240" w:lineRule="auto"/>
        <w:rPr>
          <w:szCs w:val="24"/>
        </w:rPr>
      </w:pPr>
    </w:p>
    <w:p w14:paraId="6C6C8FD2" w14:textId="77777777" w:rsidR="00197E32" w:rsidRDefault="00197E32">
      <w:pPr>
        <w:spacing w:line="240" w:lineRule="auto"/>
        <w:rPr>
          <w:szCs w:val="24"/>
        </w:rPr>
      </w:pPr>
    </w:p>
    <w:p w14:paraId="0A82228F" w14:textId="77777777" w:rsidR="00197E32" w:rsidRDefault="00197E32">
      <w:pPr>
        <w:spacing w:line="240" w:lineRule="auto"/>
        <w:rPr>
          <w:szCs w:val="24"/>
        </w:rPr>
      </w:pPr>
    </w:p>
    <w:p w14:paraId="209590FB" w14:textId="77777777" w:rsidR="00BE16A6" w:rsidRDefault="00BE16A6">
      <w:pPr>
        <w:spacing w:line="240" w:lineRule="auto"/>
        <w:rPr>
          <w:szCs w:val="24"/>
        </w:rPr>
      </w:pPr>
    </w:p>
    <w:p w14:paraId="6639177C" w14:textId="77777777" w:rsidR="00BE16A6" w:rsidRDefault="00BE16A6">
      <w:pPr>
        <w:spacing w:line="240" w:lineRule="auto"/>
        <w:rPr>
          <w:szCs w:val="24"/>
        </w:rPr>
      </w:pPr>
    </w:p>
    <w:p w14:paraId="63F30DA4" w14:textId="77777777" w:rsidR="00BE16A6" w:rsidRDefault="00BE16A6">
      <w:pPr>
        <w:spacing w:line="240" w:lineRule="auto"/>
        <w:rPr>
          <w:szCs w:val="24"/>
        </w:rPr>
      </w:pPr>
    </w:p>
    <w:p w14:paraId="2DA66B7D" w14:textId="77777777" w:rsidR="00BE16A6" w:rsidRPr="002F2B00" w:rsidRDefault="00BE16A6" w:rsidP="00BE16A6">
      <w:pPr>
        <w:pStyle w:val="BasicParagraph"/>
        <w:suppressAutoHyphens/>
        <w:jc w:val="center"/>
        <w:rPr>
          <w:rFonts w:ascii="Verdana" w:hAnsi="Verdana" w:cs="Arial"/>
          <w:b/>
          <w:bCs/>
          <w:color w:val="77328A"/>
          <w:sz w:val="44"/>
          <w:szCs w:val="44"/>
        </w:rPr>
      </w:pPr>
      <w:r w:rsidRPr="002F2B00">
        <w:rPr>
          <w:rFonts w:ascii="Verdana" w:hAnsi="Verdana" w:cs="Arial"/>
          <w:b/>
          <w:bCs/>
          <w:color w:val="77328A"/>
          <w:sz w:val="44"/>
          <w:szCs w:val="44"/>
        </w:rPr>
        <w:t xml:space="preserve">Contact Us </w:t>
      </w:r>
    </w:p>
    <w:p w14:paraId="64765381" w14:textId="77777777" w:rsidR="00BE16A6" w:rsidRPr="002F2B00" w:rsidRDefault="00BE16A6" w:rsidP="00BE16A6">
      <w:pPr>
        <w:pStyle w:val="BasicParagraph"/>
        <w:suppressAutoHyphens/>
        <w:jc w:val="center"/>
        <w:rPr>
          <w:rFonts w:ascii="Verdana" w:hAnsi="Verdana" w:cs="Arial"/>
          <w:b/>
          <w:bCs/>
          <w:color w:val="77328A"/>
          <w:sz w:val="44"/>
          <w:szCs w:val="44"/>
        </w:rPr>
      </w:pPr>
    </w:p>
    <w:p w14:paraId="2A6E6570" w14:textId="2D32005D" w:rsidR="00BE16A6" w:rsidRPr="002F2B00" w:rsidRDefault="00BE16A6" w:rsidP="00BE16A6">
      <w:pPr>
        <w:pStyle w:val="BasicParagraph"/>
        <w:suppressAutoHyphens/>
        <w:jc w:val="center"/>
        <w:rPr>
          <w:rFonts w:ascii="Verdana" w:hAnsi="Verdana" w:cs="Arial"/>
          <w:b/>
          <w:bCs/>
          <w:color w:val="auto"/>
          <w:sz w:val="28"/>
          <w:szCs w:val="28"/>
        </w:rPr>
      </w:pPr>
      <w:r w:rsidRPr="002F2B00">
        <w:rPr>
          <w:rFonts w:ascii="Verdana" w:hAnsi="Verdana" w:cs="Arial"/>
          <w:b/>
          <w:bCs/>
          <w:color w:val="auto"/>
          <w:sz w:val="28"/>
          <w:szCs w:val="28"/>
        </w:rPr>
        <w:t xml:space="preserve">For queries please contact: </w:t>
      </w:r>
      <w:hyperlink r:id="rId12" w:history="1">
        <w:r w:rsidR="006758E6" w:rsidRPr="000124E5">
          <w:rPr>
            <w:rStyle w:val="Hyperlink"/>
            <w:rFonts w:ascii="Verdana" w:hAnsi="Verdana" w:cs="Arial"/>
            <w:b/>
            <w:bCs/>
            <w:sz w:val="28"/>
            <w:szCs w:val="28"/>
          </w:rPr>
          <w:t>Colin.Caughey@nihrc.org</w:t>
        </w:r>
      </w:hyperlink>
    </w:p>
    <w:p w14:paraId="683650E7" w14:textId="77777777" w:rsidR="00BE16A6" w:rsidRPr="002F2B00" w:rsidRDefault="00BE16A6" w:rsidP="00BE16A6">
      <w:pPr>
        <w:rPr>
          <w:rFonts w:cs="Arial"/>
          <w:b/>
          <w:color w:val="232120"/>
          <w:sz w:val="30"/>
          <w:szCs w:val="30"/>
        </w:rPr>
      </w:pPr>
    </w:p>
    <w:p w14:paraId="06CA983F" w14:textId="77777777" w:rsidR="00BE16A6" w:rsidRPr="002F2B00" w:rsidRDefault="00BE16A6" w:rsidP="00BE16A6">
      <w:pPr>
        <w:jc w:val="center"/>
        <w:rPr>
          <w:rFonts w:cs="Arial"/>
          <w:b/>
          <w:color w:val="232120"/>
          <w:sz w:val="30"/>
          <w:szCs w:val="30"/>
        </w:rPr>
      </w:pPr>
    </w:p>
    <w:p w14:paraId="253F52B3" w14:textId="77777777" w:rsidR="00BE16A6" w:rsidRPr="002F2B00" w:rsidRDefault="00B8006C" w:rsidP="00BE16A6">
      <w:pPr>
        <w:jc w:val="center"/>
        <w:rPr>
          <w:rFonts w:cs="Arial"/>
          <w:color w:val="232120"/>
          <w:sz w:val="28"/>
          <w:szCs w:val="28"/>
        </w:rPr>
      </w:pPr>
      <w:hyperlink r:id="rId13" w:history="1">
        <w:r w:rsidR="00BE16A6" w:rsidRPr="002F2B00">
          <w:rPr>
            <w:rStyle w:val="Hyperlink"/>
            <w:rFonts w:cs="Arial"/>
            <w:color w:val="232120"/>
            <w:sz w:val="28"/>
            <w:szCs w:val="28"/>
            <w:lang w:val="en-US"/>
          </w:rPr>
          <w:t>www.nihrc.org</w:t>
        </w:r>
      </w:hyperlink>
      <w:r w:rsidR="00BE16A6" w:rsidRPr="002F2B00">
        <w:rPr>
          <w:rFonts w:cs="Arial"/>
          <w:color w:val="232120"/>
          <w:sz w:val="28"/>
          <w:szCs w:val="28"/>
          <w:lang w:val="en-US"/>
        </w:rPr>
        <w:t xml:space="preserve">  |  </w:t>
      </w:r>
      <w:hyperlink r:id="rId14" w:history="1">
        <w:r w:rsidR="00BE16A6" w:rsidRPr="002F2B00">
          <w:rPr>
            <w:rStyle w:val="Hyperlink"/>
            <w:rFonts w:cs="Arial"/>
            <w:color w:val="232120"/>
            <w:sz w:val="28"/>
            <w:szCs w:val="28"/>
            <w:lang w:val="en-US"/>
          </w:rPr>
          <w:t>info@nihrc.org</w:t>
        </w:r>
      </w:hyperlink>
      <w:r w:rsidR="00BE16A6" w:rsidRPr="002F2B00">
        <w:rPr>
          <w:rFonts w:cs="Arial"/>
          <w:color w:val="232120"/>
          <w:sz w:val="28"/>
          <w:szCs w:val="28"/>
          <w:lang w:val="en-US"/>
        </w:rPr>
        <w:t xml:space="preserve">  |  +44 (0)28 9024 3987</w:t>
      </w:r>
    </w:p>
    <w:p w14:paraId="09545E25" w14:textId="77777777" w:rsidR="00BE16A6" w:rsidRPr="002F2B00" w:rsidRDefault="00BE16A6" w:rsidP="00BE16A6">
      <w:pPr>
        <w:jc w:val="center"/>
        <w:rPr>
          <w:rFonts w:cs="Arial"/>
          <w:color w:val="232120"/>
          <w:sz w:val="28"/>
          <w:szCs w:val="28"/>
        </w:rPr>
      </w:pPr>
      <w:r w:rsidRPr="002F2B00">
        <w:rPr>
          <w:rFonts w:cs="Arial"/>
          <w:color w:val="232120"/>
          <w:sz w:val="28"/>
          <w:szCs w:val="28"/>
          <w:lang w:val="en-US"/>
        </w:rPr>
        <w:t>Temple Court, 39 North Street, Belfast, BT1NA</w:t>
      </w:r>
    </w:p>
    <w:p w14:paraId="04AC5F00" w14:textId="77777777" w:rsidR="00BE16A6" w:rsidRPr="002F2B00" w:rsidRDefault="00BE16A6" w:rsidP="00BE16A6">
      <w:pPr>
        <w:jc w:val="center"/>
        <w:rPr>
          <w:rFonts w:cs="Arial"/>
          <w:b/>
          <w:color w:val="232120"/>
          <w:sz w:val="28"/>
          <w:szCs w:val="28"/>
        </w:rPr>
      </w:pPr>
    </w:p>
    <w:p w14:paraId="63C54742" w14:textId="77777777" w:rsidR="00BE16A6" w:rsidRPr="002F2B00" w:rsidRDefault="00BE16A6" w:rsidP="00BE16A6">
      <w:pPr>
        <w:jc w:val="center"/>
        <w:rPr>
          <w:rFonts w:cs="Arial"/>
          <w:color w:val="232120"/>
          <w:sz w:val="20"/>
          <w:szCs w:val="20"/>
        </w:rPr>
      </w:pPr>
    </w:p>
    <w:p w14:paraId="224B9B06" w14:textId="77777777" w:rsidR="00BE16A6" w:rsidRPr="00860A9B" w:rsidRDefault="00BE16A6" w:rsidP="00BE16A6">
      <w:pPr>
        <w:pStyle w:val="BasicParagraph"/>
        <w:suppressAutoHyphens/>
        <w:spacing w:line="240" w:lineRule="auto"/>
        <w:jc w:val="center"/>
        <w:rPr>
          <w:rFonts w:ascii="Verdana" w:hAnsi="Verdana" w:cs="Arial"/>
          <w:color w:val="232120"/>
          <w:sz w:val="28"/>
          <w:szCs w:val="28"/>
        </w:rPr>
      </w:pPr>
      <w:r w:rsidRPr="002F2B00">
        <w:rPr>
          <w:rFonts w:ascii="Verdana" w:hAnsi="Verdana" w:cs="Arial"/>
          <w:noProof/>
          <w:color w:val="232120"/>
          <w:sz w:val="28"/>
          <w:szCs w:val="28"/>
          <w:lang w:eastAsia="en-GB"/>
        </w:rPr>
        <w:drawing>
          <wp:inline distT="0" distB="0" distL="0" distR="0" wp14:anchorId="49870C2C" wp14:editId="5CEAC967">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6DDFFAE" w14:textId="77777777" w:rsidR="00BE16A6" w:rsidRPr="002F2B00" w:rsidRDefault="00BE16A6">
      <w:pPr>
        <w:spacing w:line="240" w:lineRule="auto"/>
        <w:rPr>
          <w:szCs w:val="24"/>
        </w:rPr>
      </w:pPr>
    </w:p>
    <w:sectPr w:rsidR="00BE16A6" w:rsidRPr="002F2B00" w:rsidSect="00D71741">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A41E" w14:textId="77777777" w:rsidR="00D71741" w:rsidRDefault="00D71741" w:rsidP="0097031A">
      <w:r>
        <w:separator/>
      </w:r>
    </w:p>
  </w:endnote>
  <w:endnote w:type="continuationSeparator" w:id="0">
    <w:p w14:paraId="02C622AA" w14:textId="77777777" w:rsidR="00D71741" w:rsidRDefault="00D71741" w:rsidP="0097031A">
      <w:r>
        <w:continuationSeparator/>
      </w:r>
    </w:p>
  </w:endnote>
  <w:endnote w:type="continuationNotice" w:id="1">
    <w:p w14:paraId="74D9DFA4" w14:textId="77777777" w:rsidR="00D71741" w:rsidRDefault="00D717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7328A"/>
      </w:rPr>
      <w:id w:val="1760181841"/>
      <w:docPartObj>
        <w:docPartGallery w:val="Page Numbers (Bottom of Page)"/>
        <w:docPartUnique/>
      </w:docPartObj>
    </w:sdtPr>
    <w:sdtEndPr>
      <w:rPr>
        <w:noProof/>
      </w:rPr>
    </w:sdtEndPr>
    <w:sdtContent>
      <w:p w14:paraId="575585B6" w14:textId="2A954C6A" w:rsidR="00752176" w:rsidRPr="00DA019D" w:rsidRDefault="00752176">
        <w:pPr>
          <w:pStyle w:val="Footer"/>
          <w:jc w:val="right"/>
          <w:rPr>
            <w:color w:val="77328A"/>
            <w:szCs w:val="24"/>
          </w:rPr>
        </w:pPr>
        <w:r w:rsidRPr="00DA019D">
          <w:rPr>
            <w:color w:val="77328A"/>
            <w:szCs w:val="24"/>
          </w:rPr>
          <w:fldChar w:fldCharType="begin"/>
        </w:r>
        <w:r w:rsidRPr="00DA019D">
          <w:rPr>
            <w:color w:val="77328A"/>
            <w:szCs w:val="24"/>
          </w:rPr>
          <w:instrText xml:space="preserve"> PAGE   \* MERGEFORMAT </w:instrText>
        </w:r>
        <w:r w:rsidRPr="00DA019D">
          <w:rPr>
            <w:color w:val="77328A"/>
            <w:szCs w:val="24"/>
          </w:rPr>
          <w:fldChar w:fldCharType="separate"/>
        </w:r>
        <w:r w:rsidR="00D33120">
          <w:rPr>
            <w:noProof/>
            <w:color w:val="77328A"/>
            <w:szCs w:val="24"/>
          </w:rPr>
          <w:t>22</w:t>
        </w:r>
        <w:r w:rsidRPr="00DA019D">
          <w:rPr>
            <w:noProof/>
            <w:color w:val="77328A"/>
            <w:szCs w:val="24"/>
          </w:rPr>
          <w:fldChar w:fldCharType="end"/>
        </w:r>
      </w:p>
    </w:sdtContent>
  </w:sdt>
  <w:p w14:paraId="06F7790D" w14:textId="77777777" w:rsidR="00752176" w:rsidRDefault="00752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8B6B" w14:textId="77777777" w:rsidR="00D71741" w:rsidRDefault="00D71741" w:rsidP="0097031A">
      <w:r>
        <w:separator/>
      </w:r>
    </w:p>
  </w:footnote>
  <w:footnote w:type="continuationSeparator" w:id="0">
    <w:p w14:paraId="0134C09E" w14:textId="77777777" w:rsidR="00D71741" w:rsidRDefault="00D71741" w:rsidP="0097031A">
      <w:r>
        <w:continuationSeparator/>
      </w:r>
    </w:p>
  </w:footnote>
  <w:footnote w:type="continuationNotice" w:id="1">
    <w:p w14:paraId="032333CB" w14:textId="77777777" w:rsidR="00D71741" w:rsidRDefault="00D71741">
      <w:pPr>
        <w:spacing w:line="240" w:lineRule="auto"/>
      </w:pPr>
    </w:p>
  </w:footnote>
  <w:footnote w:id="2">
    <w:p w14:paraId="47A39FF8" w14:textId="77777777" w:rsidR="006E3B5E" w:rsidRPr="00D4336D" w:rsidRDefault="006E3B5E" w:rsidP="00D4336D">
      <w:pPr>
        <w:pStyle w:val="NIHRCFootnotes"/>
      </w:pPr>
      <w:r w:rsidRPr="00D4336D">
        <w:rPr>
          <w:rStyle w:val="FootnoteReference"/>
        </w:rPr>
        <w:footnoteRef/>
      </w:r>
      <w:r w:rsidRPr="00D4336D">
        <w:t xml:space="preserve"> The Windsor Framework was formerly known as the Protocol on Ireland/Northern Ireland to the UK-EU Withdrawal Agreement and all references to the Protocol in this document have been updated to reflect this change. </w:t>
      </w:r>
      <w:r w:rsidRPr="00D4336D">
        <w:rPr>
          <w:i/>
          <w:iCs/>
        </w:rPr>
        <w:t xml:space="preserve">See </w:t>
      </w:r>
      <w:r w:rsidRPr="00D4336D">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0E597027" w14:textId="177FA01D" w:rsidR="00CC690D" w:rsidRPr="00D4336D" w:rsidRDefault="00CC690D" w:rsidP="00D4336D">
      <w:pPr>
        <w:pStyle w:val="NIHRCFootnotes"/>
      </w:pPr>
      <w:r w:rsidRPr="00D4336D">
        <w:rPr>
          <w:rStyle w:val="FootnoteReference"/>
        </w:rPr>
        <w:footnoteRef/>
      </w:r>
      <w:r w:rsidRPr="00D4336D">
        <w:t xml:space="preserve"> </w:t>
      </w:r>
      <w:r w:rsidR="00F16699" w:rsidRPr="00D4336D">
        <w:rPr>
          <w:i/>
          <w:iCs/>
        </w:rPr>
        <w:t>In the Matter of an Application by Martina Dillon and Others for Judicial Review</w:t>
      </w:r>
      <w:r w:rsidR="00F16699" w:rsidRPr="00D4336D">
        <w:t xml:space="preserve"> [2024] NIKB 11.</w:t>
      </w:r>
    </w:p>
  </w:footnote>
  <w:footnote w:id="4">
    <w:p w14:paraId="3077B0F7" w14:textId="566645CE" w:rsidR="0063648E" w:rsidRPr="00D4336D" w:rsidRDefault="0063648E" w:rsidP="00D4336D">
      <w:pPr>
        <w:pStyle w:val="NIHRCFootnotes"/>
      </w:pPr>
      <w:r w:rsidRPr="00D4336D">
        <w:rPr>
          <w:rStyle w:val="FootnoteReference"/>
        </w:rPr>
        <w:footnoteRef/>
      </w:r>
      <w:r w:rsidRPr="00D4336D">
        <w:t xml:space="preserve"> </w:t>
      </w:r>
      <w:bookmarkStart w:id="1" w:name="_Hlk164765435"/>
      <w:r w:rsidR="00366FC2" w:rsidRPr="00D4336D">
        <w:t>Ibid</w:t>
      </w:r>
      <w:bookmarkEnd w:id="1"/>
      <w:r w:rsidR="009426E1" w:rsidRPr="00D4336D">
        <w:t xml:space="preserve">, </w:t>
      </w:r>
      <w:r w:rsidR="0065691C" w:rsidRPr="00D4336D">
        <w:t>at para</w:t>
      </w:r>
      <w:r w:rsidR="009426E1" w:rsidRPr="00D4336D">
        <w:t>s</w:t>
      </w:r>
      <w:r w:rsidR="0065691C" w:rsidRPr="00D4336D">
        <w:t xml:space="preserve"> 187 and </w:t>
      </w:r>
      <w:r w:rsidR="00621859" w:rsidRPr="00D4336D">
        <w:t>710(</w:t>
      </w:r>
      <w:r w:rsidR="00621859" w:rsidRPr="00D4336D">
        <w:t>i).</w:t>
      </w:r>
    </w:p>
  </w:footnote>
  <w:footnote w:id="5">
    <w:p w14:paraId="524BCFE5" w14:textId="5733A5C6" w:rsidR="006C3E81" w:rsidRPr="00D4336D" w:rsidRDefault="006C3E81" w:rsidP="00D4336D">
      <w:pPr>
        <w:pStyle w:val="NIHRCFootnotes"/>
      </w:pPr>
      <w:r w:rsidRPr="00D4336D">
        <w:rPr>
          <w:rStyle w:val="FootnoteReference"/>
        </w:rPr>
        <w:footnoteRef/>
      </w:r>
      <w:r w:rsidRPr="00D4336D">
        <w:t xml:space="preserve"> </w:t>
      </w:r>
      <w:r w:rsidR="00F35FCF" w:rsidRPr="00D4336D">
        <w:t>Ibid</w:t>
      </w:r>
      <w:r w:rsidRPr="00D4336D">
        <w:t>, at para</w:t>
      </w:r>
      <w:r w:rsidR="00681C63" w:rsidRPr="00D4336D">
        <w:t>s</w:t>
      </w:r>
      <w:r w:rsidRPr="00D4336D">
        <w:t xml:space="preserve"> 608 and 710(ii). </w:t>
      </w:r>
    </w:p>
  </w:footnote>
  <w:footnote w:id="6">
    <w:p w14:paraId="5EF8D537" w14:textId="7F1F598F" w:rsidR="002D0908" w:rsidRPr="00D4336D" w:rsidRDefault="002D0908" w:rsidP="00D4336D">
      <w:pPr>
        <w:pStyle w:val="NIHRCFootnotes"/>
      </w:pPr>
      <w:r w:rsidRPr="00D4336D">
        <w:rPr>
          <w:rStyle w:val="FootnoteReference"/>
        </w:rPr>
        <w:footnoteRef/>
      </w:r>
      <w:r w:rsidRPr="00D4336D">
        <w:t xml:space="preserve"> </w:t>
      </w:r>
      <w:r w:rsidR="00F35FCF" w:rsidRPr="00D4336D">
        <w:t>Ibid</w:t>
      </w:r>
      <w:r w:rsidR="009426E1" w:rsidRPr="00D4336D">
        <w:t>,</w:t>
      </w:r>
      <w:r w:rsidR="009306F6" w:rsidRPr="00D4336D">
        <w:t xml:space="preserve"> at para</w:t>
      </w:r>
      <w:r w:rsidR="009426E1" w:rsidRPr="00D4336D">
        <w:t>s</w:t>
      </w:r>
      <w:r w:rsidR="009306F6" w:rsidRPr="00D4336D">
        <w:t xml:space="preserve"> </w:t>
      </w:r>
      <w:r w:rsidR="008A75C1" w:rsidRPr="00D4336D">
        <w:t>698</w:t>
      </w:r>
      <w:r w:rsidR="00DE274B" w:rsidRPr="00D4336D">
        <w:t xml:space="preserve"> and 710(iii).</w:t>
      </w:r>
    </w:p>
  </w:footnote>
  <w:footnote w:id="7">
    <w:p w14:paraId="084A420F" w14:textId="6E3A80EA" w:rsidR="00F5428D" w:rsidRPr="00D4336D" w:rsidRDefault="00F5428D" w:rsidP="00D4336D">
      <w:pPr>
        <w:pStyle w:val="NIHRCFootnotes"/>
      </w:pPr>
      <w:r w:rsidRPr="00D4336D">
        <w:rPr>
          <w:rStyle w:val="FootnoteReference"/>
        </w:rPr>
        <w:footnoteRef/>
      </w:r>
      <w:r w:rsidRPr="00D4336D">
        <w:t xml:space="preserve"> </w:t>
      </w:r>
      <w:r w:rsidR="00F35FCF" w:rsidRPr="00D4336D">
        <w:t>Ibid</w:t>
      </w:r>
      <w:r w:rsidR="009426E1" w:rsidRPr="00D4336D">
        <w:t>,</w:t>
      </w:r>
      <w:r w:rsidRPr="00D4336D">
        <w:t xml:space="preserve"> at para</w:t>
      </w:r>
      <w:r w:rsidR="009426E1" w:rsidRPr="00D4336D">
        <w:t>s</w:t>
      </w:r>
      <w:r w:rsidRPr="00D4336D">
        <w:t xml:space="preserve"> </w:t>
      </w:r>
      <w:r w:rsidR="00A64602" w:rsidRPr="00D4336D">
        <w:t>461</w:t>
      </w:r>
      <w:r w:rsidR="00A703DA" w:rsidRPr="00D4336D">
        <w:t xml:space="preserve"> and 710(v).</w:t>
      </w:r>
    </w:p>
  </w:footnote>
  <w:footnote w:id="8">
    <w:p w14:paraId="579C31FE" w14:textId="55BCCD32" w:rsidR="00AC68EA" w:rsidRPr="00D4336D" w:rsidRDefault="00AC68EA" w:rsidP="00D4336D">
      <w:pPr>
        <w:pStyle w:val="NIHRCFootnotes"/>
      </w:pPr>
      <w:r w:rsidRPr="00D4336D">
        <w:rPr>
          <w:rStyle w:val="FootnoteReference"/>
        </w:rPr>
        <w:footnoteRef/>
      </w:r>
      <w:r w:rsidRPr="00D4336D">
        <w:t xml:space="preserve"> </w:t>
      </w:r>
      <w:r w:rsidR="00F35FCF" w:rsidRPr="00D4336D">
        <w:t>Ibid</w:t>
      </w:r>
      <w:r w:rsidR="009426E1" w:rsidRPr="00D4336D">
        <w:t>,</w:t>
      </w:r>
      <w:r w:rsidR="00745457" w:rsidRPr="00D4336D">
        <w:t xml:space="preserve"> at </w:t>
      </w:r>
      <w:r w:rsidR="006101D8" w:rsidRPr="00D4336D">
        <w:t xml:space="preserve">para </w:t>
      </w:r>
      <w:r w:rsidR="009116E9" w:rsidRPr="00D4336D">
        <w:t>284.</w:t>
      </w:r>
    </w:p>
  </w:footnote>
  <w:footnote w:id="9">
    <w:p w14:paraId="64CCB977" w14:textId="77777777" w:rsidR="00EF3127" w:rsidRPr="00D4336D" w:rsidRDefault="00EF3127" w:rsidP="00D4336D">
      <w:pPr>
        <w:pStyle w:val="NIHRCFootnotes"/>
      </w:pPr>
      <w:r w:rsidRPr="00D4336D">
        <w:rPr>
          <w:rStyle w:val="FootnoteReference"/>
        </w:rPr>
        <w:footnoteRef/>
      </w:r>
      <w:r w:rsidRPr="00D4336D">
        <w:t xml:space="preserve"> It is also incompatible with provisions that provide for these rights within the UN human rights treaties that the UK has ratified and is bound by the obligations contained within as a result. For example, 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10">
    <w:p w14:paraId="456CD392" w14:textId="77777777" w:rsidR="00EF3127" w:rsidRPr="00D4336D" w:rsidRDefault="00EF3127" w:rsidP="00D4336D">
      <w:pPr>
        <w:pStyle w:val="NIHRCFootnotes"/>
      </w:pPr>
      <w:r w:rsidRPr="00D4336D">
        <w:rPr>
          <w:rStyle w:val="FootnoteReference"/>
        </w:rPr>
        <w:footnoteRef/>
      </w:r>
      <w:r w:rsidRPr="00D4336D">
        <w:t xml:space="preserve"> Belfast (Good Friday) Agreement, 10 April 1998, at 5.</w:t>
      </w:r>
    </w:p>
  </w:footnote>
  <w:footnote w:id="11">
    <w:p w14:paraId="7AFD6279" w14:textId="4951C13E" w:rsidR="00EF3127" w:rsidRPr="00D4336D" w:rsidRDefault="00EF3127" w:rsidP="00D4336D">
      <w:pPr>
        <w:spacing w:line="240" w:lineRule="auto"/>
        <w:rPr>
          <w:color w:val="77328A"/>
        </w:rPr>
      </w:pPr>
      <w:r w:rsidRPr="00D4336D">
        <w:rPr>
          <w:rStyle w:val="FootnoteReference"/>
          <w:color w:val="77328A"/>
          <w:sz w:val="16"/>
          <w:szCs w:val="16"/>
        </w:rPr>
        <w:footnoteRef/>
      </w:r>
      <w:r w:rsidRPr="00D4336D">
        <w:rPr>
          <w:color w:val="77328A"/>
          <w:sz w:val="16"/>
          <w:szCs w:val="16"/>
        </w:rPr>
        <w:t xml:space="preserve"> </w:t>
      </w:r>
      <w:r w:rsidR="009E191A" w:rsidRPr="00D4336D">
        <w:rPr>
          <w:color w:val="77328A"/>
          <w:sz w:val="16"/>
          <w:szCs w:val="16"/>
          <w:shd w:val="clear" w:color="auto" w:fill="FFFFFF"/>
        </w:rPr>
        <w:t>The </w:t>
      </w:r>
      <w:r w:rsidR="009E191A" w:rsidRPr="00D4336D">
        <w:rPr>
          <w:rStyle w:val="Strong"/>
          <w:b w:val="0"/>
          <w:color w:val="77328A"/>
          <w:sz w:val="16"/>
          <w:szCs w:val="16"/>
        </w:rPr>
        <w:t>Stormont</w:t>
      </w:r>
      <w:r w:rsidR="009E191A" w:rsidRPr="00D4336D">
        <w:rPr>
          <w:b/>
          <w:color w:val="77328A"/>
          <w:sz w:val="16"/>
          <w:szCs w:val="16"/>
          <w:shd w:val="clear" w:color="auto" w:fill="FFFFFF"/>
        </w:rPr>
        <w:t> </w:t>
      </w:r>
      <w:r w:rsidR="009E191A" w:rsidRPr="00D4336D">
        <w:rPr>
          <w:color w:val="77328A"/>
          <w:sz w:val="16"/>
          <w:szCs w:val="16"/>
          <w:shd w:val="clear" w:color="auto" w:fill="FFFFFF"/>
        </w:rPr>
        <w:t xml:space="preserve">House Agreement followed talks between the five main political parties in Northern Ireland, the UK Government, and the Irish Government. The </w:t>
      </w:r>
      <w:r w:rsidRPr="00D4336D">
        <w:rPr>
          <w:color w:val="77328A"/>
          <w:sz w:val="16"/>
          <w:szCs w:val="16"/>
        </w:rPr>
        <w:t>Agreement committed to separate mechanisms that included a Historical Investigations Unit, Independent Commission on Information Retrieval, Oral History Archive, and an Implementation and Reconciliation Group.</w:t>
      </w:r>
    </w:p>
  </w:footnote>
  <w:footnote w:id="12">
    <w:p w14:paraId="65B7C560" w14:textId="08844665" w:rsidR="00EF3127" w:rsidRPr="00D4336D" w:rsidRDefault="00EF3127" w:rsidP="00D4336D">
      <w:pPr>
        <w:pStyle w:val="NIHRCFootnotes"/>
      </w:pPr>
      <w:r w:rsidRPr="00D4336D">
        <w:rPr>
          <w:rStyle w:val="FootnoteReference"/>
        </w:rPr>
        <w:footnoteRef/>
      </w:r>
      <w:r w:rsidRPr="00D4336D">
        <w:t xml:space="preserve"> </w:t>
      </w:r>
      <w:r w:rsidR="009E191A" w:rsidRPr="00D4336D">
        <w:t xml:space="preserve">This was agreed by </w:t>
      </w:r>
      <w:r w:rsidR="009E191A" w:rsidRPr="00D4336D">
        <w:rPr>
          <w:shd w:val="clear" w:color="auto" w:fill="FFFFFF"/>
        </w:rPr>
        <w:t>the Northern Ireland Executive and the UK and Irish governments to amongst other things “secure the full implementation of the Stormont House Agreement”</w:t>
      </w:r>
      <w:r w:rsidR="009E191A" w:rsidRPr="00D4336D">
        <w:t xml:space="preserve"> </w:t>
      </w:r>
      <w:r w:rsidRPr="00D4336D">
        <w:t>‘A Fresh Start: The Stormont Agreement and Implementation Plan’, 17 November 2015, at 8.</w:t>
      </w:r>
    </w:p>
  </w:footnote>
  <w:footnote w:id="13">
    <w:p w14:paraId="6B9DED37" w14:textId="77777777" w:rsidR="00B27C0C" w:rsidRPr="00D4336D" w:rsidRDefault="00EF3127" w:rsidP="00D4336D">
      <w:pPr>
        <w:spacing w:line="240" w:lineRule="auto"/>
        <w:rPr>
          <w:color w:val="77328A"/>
          <w:sz w:val="16"/>
          <w:szCs w:val="16"/>
        </w:rPr>
      </w:pPr>
      <w:r w:rsidRPr="00D4336D">
        <w:rPr>
          <w:rStyle w:val="FootnoteReference"/>
          <w:color w:val="77328A"/>
          <w:sz w:val="16"/>
          <w:szCs w:val="16"/>
        </w:rPr>
        <w:footnoteRef/>
      </w:r>
      <w:r w:rsidRPr="00D4336D">
        <w:rPr>
          <w:color w:val="77328A"/>
          <w:sz w:val="16"/>
          <w:szCs w:val="16"/>
        </w:rPr>
        <w:t xml:space="preserve"> </w:t>
      </w:r>
      <w:r w:rsidR="00B27C0C" w:rsidRPr="00D4336D">
        <w:rPr>
          <w:color w:val="77328A"/>
          <w:sz w:val="16"/>
          <w:szCs w:val="16"/>
        </w:rPr>
        <w:t xml:space="preserve">This was an agreement between the UK and Ireland and included commitments to establish as a matter of urgency the Stormont House Agreement institutions. The UK Government agreed “As part of the Government’s wider legislative agenda, the Government will, within 100 days, publish and introduce legislation in the UK Parliament to implement the Stormont House Agreement, to address Northern Ireland legacy issues. The Government will now start an intensive process with the Northern Ireland parties, and the Irish Government as appropriate, to </w:t>
      </w:r>
      <w:r w:rsidR="00B27C0C" w:rsidRPr="00D4336D">
        <w:rPr>
          <w:color w:val="77328A"/>
          <w:sz w:val="16"/>
          <w:szCs w:val="16"/>
        </w:rPr>
        <w:t>maintain  abroad-based consensus on these issues, recognising that any such UK Parliament legislation should have the consent of the NI Assembly.” This was not complied with.</w:t>
      </w:r>
    </w:p>
    <w:p w14:paraId="561BD2CF" w14:textId="24A249C6" w:rsidR="00EF3127" w:rsidRPr="00D4336D" w:rsidRDefault="00EF3127" w:rsidP="00D4336D">
      <w:pPr>
        <w:pStyle w:val="NIHRCFootnotes"/>
      </w:pPr>
      <w:r w:rsidRPr="00D4336D">
        <w:t xml:space="preserve"> ‘New Decade, New Approach’ (NIO, 2020), at Annex, para 16.</w:t>
      </w:r>
    </w:p>
  </w:footnote>
  <w:footnote w:id="14">
    <w:p w14:paraId="4B8E7F22" w14:textId="69877C18" w:rsidR="00215A68" w:rsidRPr="00D4336D" w:rsidRDefault="00215A68" w:rsidP="00D4336D">
      <w:pPr>
        <w:pStyle w:val="NIHRCFootnotes"/>
      </w:pPr>
      <w:r w:rsidRPr="00D4336D">
        <w:rPr>
          <w:rStyle w:val="FootnoteReference"/>
        </w:rPr>
        <w:footnoteRef/>
      </w:r>
      <w:r w:rsidRPr="00D4336D">
        <w:t xml:space="preserve"> </w:t>
      </w:r>
      <w:r w:rsidR="009426E1" w:rsidRPr="00D4336D">
        <w:rPr>
          <w:i/>
          <w:iCs/>
        </w:rPr>
        <w:t>In the Matter of an Application by Martina Dillon and Others for Judicial Review</w:t>
      </w:r>
      <w:r w:rsidR="009426E1" w:rsidRPr="00D4336D">
        <w:t xml:space="preserve"> [2024] NIKB 11, </w:t>
      </w:r>
      <w:r w:rsidR="006101D8" w:rsidRPr="00D4336D">
        <w:t>at para</w:t>
      </w:r>
      <w:r w:rsidR="009426E1" w:rsidRPr="00D4336D">
        <w:t>s</w:t>
      </w:r>
      <w:r w:rsidR="006101D8" w:rsidRPr="00D4336D">
        <w:t xml:space="preserve"> </w:t>
      </w:r>
      <w:r w:rsidR="00803AD2" w:rsidRPr="00D4336D">
        <w:t>251 and 252.</w:t>
      </w:r>
    </w:p>
  </w:footnote>
  <w:footnote w:id="15">
    <w:p w14:paraId="56987319" w14:textId="543660E0" w:rsidR="00976675" w:rsidRPr="00D4336D" w:rsidRDefault="00976675" w:rsidP="00D4336D">
      <w:pPr>
        <w:pStyle w:val="NIHRCFootnotes"/>
      </w:pPr>
      <w:r w:rsidRPr="00D4336D">
        <w:rPr>
          <w:rStyle w:val="FootnoteReference"/>
        </w:rPr>
        <w:footnoteRef/>
      </w:r>
      <w:r w:rsidRPr="00D4336D">
        <w:t xml:space="preserve"> </w:t>
      </w:r>
      <w:r w:rsidR="00923EC8" w:rsidRPr="00D4336D">
        <w:rPr>
          <w:i/>
        </w:rPr>
        <w:t>Assenov and Others v Bulgaria</w:t>
      </w:r>
      <w:r w:rsidR="00923EC8" w:rsidRPr="00D4336D">
        <w:t xml:space="preserve"> (1998) ECHR 98, at para 102; </w:t>
      </w:r>
      <w:r w:rsidR="00923EC8" w:rsidRPr="00D4336D">
        <w:rPr>
          <w:i/>
        </w:rPr>
        <w:t xml:space="preserve">Mocanu and Others v Romania </w:t>
      </w:r>
      <w:r w:rsidR="00923EC8" w:rsidRPr="00D4336D">
        <w:t>(2014) ECHR 958, at paras 319-325; Articles 12 and 14, UN Convention against Torture 1984; CAT/C/GC/2, ‘UN CAT Committee General Comment No 2’, 24 January 2008, at paras 5, 17, 18 and 25; CAT/C/GC/3, ‘UN Committee against Torture General Comment No 3’, 13 December 2012, at para 5.</w:t>
      </w:r>
    </w:p>
  </w:footnote>
  <w:footnote w:id="16">
    <w:p w14:paraId="3BE2EA6B" w14:textId="5DB2BD28" w:rsidR="00F971C1" w:rsidRPr="00D4336D" w:rsidRDefault="00F971C1" w:rsidP="00D4336D">
      <w:pPr>
        <w:pStyle w:val="NIHRCFootnotes"/>
      </w:pPr>
      <w:r w:rsidRPr="00D4336D">
        <w:rPr>
          <w:rStyle w:val="FootnoteReference"/>
        </w:rPr>
        <w:footnoteRef/>
      </w:r>
      <w:r w:rsidRPr="00D4336D">
        <w:t xml:space="preserve"> </w:t>
      </w:r>
      <w:r w:rsidRPr="00D4336D">
        <w:rPr>
          <w:i/>
        </w:rPr>
        <w:t xml:space="preserve">Hugh Jordan v </w:t>
      </w:r>
      <w:r w:rsidR="009918C1" w:rsidRPr="00D4336D">
        <w:rPr>
          <w:i/>
        </w:rPr>
        <w:t>UK</w:t>
      </w:r>
      <w:r w:rsidRPr="00D4336D">
        <w:t xml:space="preserve"> (2001) ECHR 327; </w:t>
      </w:r>
      <w:r w:rsidRPr="00D4336D">
        <w:rPr>
          <w:i/>
        </w:rPr>
        <w:t xml:space="preserve">McKerr v </w:t>
      </w:r>
      <w:r w:rsidR="009918C1" w:rsidRPr="00D4336D">
        <w:rPr>
          <w:i/>
        </w:rPr>
        <w:t>UK</w:t>
      </w:r>
      <w:r w:rsidRPr="00D4336D">
        <w:t xml:space="preserve"> (2001) ECHR 329; </w:t>
      </w:r>
      <w:r w:rsidRPr="00D4336D">
        <w:rPr>
          <w:i/>
        </w:rPr>
        <w:t>Assenov and Others v Bulgaria</w:t>
      </w:r>
      <w:r w:rsidRPr="00D4336D">
        <w:t xml:space="preserve"> (1998) ECHR 98, at para 102; </w:t>
      </w:r>
      <w:r w:rsidRPr="00D4336D">
        <w:rPr>
          <w:i/>
        </w:rPr>
        <w:t xml:space="preserve">Mocanu and Others v Romania </w:t>
      </w:r>
      <w:r w:rsidRPr="00D4336D">
        <w:t>(2014) ECHR 958, at paras 319-325</w:t>
      </w:r>
      <w:r w:rsidR="00972239" w:rsidRPr="00D4336D">
        <w:t>; CCPR/C/GC/36, ‘UN Human Rights Committee General Comment No 36: Right to Life’, 30 October 2018, at para</w:t>
      </w:r>
      <w:r w:rsidR="008F67F9" w:rsidRPr="00D4336D">
        <w:t>s</w:t>
      </w:r>
      <w:r w:rsidR="00972239" w:rsidRPr="00D4336D">
        <w:t xml:space="preserve"> 27</w:t>
      </w:r>
      <w:r w:rsidR="008F67F9" w:rsidRPr="00D4336D">
        <w:t xml:space="preserve"> and 28</w:t>
      </w:r>
      <w:r w:rsidR="00984FE1" w:rsidRPr="00D4336D">
        <w:t>; CAT/C/GC/3, ‘UN Committee against Torture General Comment No 3’, 13 December 2012, at para 5</w:t>
      </w:r>
      <w:r w:rsidR="008600CF" w:rsidRPr="00D4336D">
        <w:t>; UN General Assembly, ‘Resolution 60/147: Basic Principles and Guidelines on the Right to a Remedy and Reparation for Victims of Gross Violations of International Human Rights Law and Serious Violations of International Humanitarian Law’, 16 December 2005, at para 3(b).</w:t>
      </w:r>
    </w:p>
  </w:footnote>
  <w:footnote w:id="17">
    <w:p w14:paraId="5F5FB995" w14:textId="6B1FCE5A" w:rsidR="00A1648D" w:rsidRPr="00D4336D" w:rsidRDefault="00A1648D" w:rsidP="00D4336D">
      <w:pPr>
        <w:pStyle w:val="NIHRCFootnotes"/>
      </w:pPr>
      <w:r w:rsidRPr="00D4336D">
        <w:rPr>
          <w:rStyle w:val="FootnoteReference"/>
        </w:rPr>
        <w:footnoteRef/>
      </w:r>
      <w:r w:rsidRPr="00D4336D">
        <w:t xml:space="preserve"> UK Government, ‘NI Troubles (Legacy and Reconciliation) </w:t>
      </w:r>
      <w:r w:rsidR="00912BA2" w:rsidRPr="00D4336D">
        <w:t>Act 2023</w:t>
      </w:r>
      <w:r w:rsidRPr="00D4336D">
        <w:t>: Explanatory Notes’ (UK Gov, 202</w:t>
      </w:r>
      <w:r w:rsidR="009111F3" w:rsidRPr="00D4336D">
        <w:t>3</w:t>
      </w:r>
      <w:r w:rsidRPr="00D4336D">
        <w:t>), at para 1.</w:t>
      </w:r>
    </w:p>
  </w:footnote>
  <w:footnote w:id="18">
    <w:p w14:paraId="7B9B5023" w14:textId="10D5A810" w:rsidR="00607ACE" w:rsidRPr="00D4336D" w:rsidRDefault="00607ACE" w:rsidP="00D4336D">
      <w:pPr>
        <w:pStyle w:val="NIHRCFootnotes"/>
      </w:pPr>
      <w:r w:rsidRPr="00D4336D">
        <w:rPr>
          <w:rStyle w:val="FootnoteReference"/>
        </w:rPr>
        <w:footnoteRef/>
      </w:r>
      <w:r w:rsidRPr="00D4336D">
        <w:t xml:space="preserve"> </w:t>
      </w:r>
      <w:r w:rsidR="00E150DF" w:rsidRPr="00D4336D">
        <w:t xml:space="preserve">Sections 9 and </w:t>
      </w:r>
      <w:r w:rsidR="0024384B" w:rsidRPr="00D4336D">
        <w:t>28, NI Troubles (Legacy and Reconciliation) Act 2023.</w:t>
      </w:r>
    </w:p>
  </w:footnote>
  <w:footnote w:id="19">
    <w:p w14:paraId="4D480618" w14:textId="77777777" w:rsidR="00D3053A" w:rsidRPr="00D4336D" w:rsidRDefault="00D3053A" w:rsidP="00D4336D">
      <w:pPr>
        <w:pStyle w:val="NIHRCFootnotes"/>
      </w:pPr>
      <w:r w:rsidRPr="00D4336D">
        <w:rPr>
          <w:rStyle w:val="FootnoteReference"/>
        </w:rPr>
        <w:footnoteRef/>
      </w:r>
      <w:r w:rsidRPr="00D4336D">
        <w:t xml:space="preserve"> E/CN.4/2005/102/Add.1, ‘Report of the Independent Expert to Update the Set of Principles to Combat Impunity, Diane </w:t>
      </w:r>
      <w:r w:rsidRPr="00D4336D">
        <w:t>Orentlicher’, 8 February 2005, at Principle 1.</w:t>
      </w:r>
    </w:p>
  </w:footnote>
  <w:footnote w:id="20">
    <w:p w14:paraId="62C5630D" w14:textId="2285BD7D" w:rsidR="00DC601B" w:rsidRPr="00D4336D" w:rsidRDefault="00DC601B" w:rsidP="00D4336D">
      <w:pPr>
        <w:pStyle w:val="NIHRCFootnotes"/>
      </w:pPr>
      <w:r w:rsidRPr="00D4336D">
        <w:rPr>
          <w:rStyle w:val="FootnoteReference"/>
        </w:rPr>
        <w:footnoteRef/>
      </w:r>
      <w:r w:rsidRPr="00D4336D">
        <w:t xml:space="preserve"> </w:t>
      </w:r>
      <w:r w:rsidR="00ED3B23" w:rsidRPr="00D4336D">
        <w:t>A/HRC/34/62/Add.1, ‘Report of the Special Rapporteur on the Promotion of Truth, Justice, Reparation and Guarantees of Non-recurrence, Pablo de Greiff on his Mission to the UK of Great Britain and NI’, 17 November 2016</w:t>
      </w:r>
      <w:r w:rsidRPr="00D4336D">
        <w:t>, at para 55.</w:t>
      </w:r>
    </w:p>
  </w:footnote>
  <w:footnote w:id="21">
    <w:p w14:paraId="67A5D8BA" w14:textId="77777777" w:rsidR="00321106" w:rsidRPr="00D4336D" w:rsidRDefault="00321106" w:rsidP="00D4336D">
      <w:pPr>
        <w:pStyle w:val="NIHRCFootnotes"/>
      </w:pPr>
      <w:r w:rsidRPr="00D4336D">
        <w:rPr>
          <w:rStyle w:val="FootnoteReference"/>
        </w:rPr>
        <w:footnoteRef/>
      </w:r>
      <w:r w:rsidRPr="00D4336D">
        <w:t xml:space="preserve"> CCPR/C/GBR/CO/7, ‘UN Human Rights Committee Concluding Observations on the Seventh Periodic Report of the UK of Great Britain and NI’, 17 August 2015, at para 11(b).</w:t>
      </w:r>
    </w:p>
  </w:footnote>
  <w:footnote w:id="22">
    <w:p w14:paraId="2A12C5AD" w14:textId="77777777" w:rsidR="002F0472" w:rsidRPr="00D4336D" w:rsidRDefault="002F0472" w:rsidP="00D4336D">
      <w:pPr>
        <w:pStyle w:val="NIHRCFootnotes"/>
      </w:pPr>
      <w:r w:rsidRPr="00D4336D">
        <w:rPr>
          <w:rStyle w:val="FootnoteReference"/>
        </w:rPr>
        <w:footnoteRef/>
      </w:r>
      <w:r w:rsidRPr="00D4336D">
        <w:t xml:space="preserve"> CAT/C/GBR/CO/6, ‘UN Committee against Torture Concluding Observations on the Sixth Periodic Report of the UK of Great Britain and NI’, 7 June 2019, at paras 41(a) and 41(b).</w:t>
      </w:r>
    </w:p>
  </w:footnote>
  <w:footnote w:id="23">
    <w:p w14:paraId="60784377" w14:textId="5477A817" w:rsidR="00321106" w:rsidRPr="00D4336D" w:rsidRDefault="00321106" w:rsidP="00D4336D">
      <w:pPr>
        <w:pStyle w:val="NIHRCFootnotes"/>
      </w:pPr>
      <w:r w:rsidRPr="00D4336D">
        <w:rPr>
          <w:rStyle w:val="FootnoteReference"/>
        </w:rPr>
        <w:footnoteRef/>
      </w:r>
      <w:r w:rsidRPr="00D4336D">
        <w:t xml:space="preserve"> A/HRC/34/62/Add.1, ‘Report of the Special Rapporteur on the Promotion of Truth, Justice, Reparation and Guarantees of Non-recurrence, Pablo de Greiff on his Mission to the UK of Great Britain and NI’, 17 November 2016, at para 39</w:t>
      </w:r>
      <w:r w:rsidR="00DB4A20" w:rsidRPr="00D4336D">
        <w:t xml:space="preserve">; </w:t>
      </w:r>
      <w:r w:rsidR="00803626" w:rsidRPr="00D4336D">
        <w:t>Office of the High Commissioner for Human Rights, ‘Press Release: UN experts voice concern at proposed blanket impunity to address legacy of “the Troubles” in NI, 10 August 2021.</w:t>
      </w:r>
    </w:p>
  </w:footnote>
  <w:footnote w:id="24">
    <w:p w14:paraId="7B056254" w14:textId="293EB143" w:rsidR="005B0D8D" w:rsidRPr="00D4336D" w:rsidRDefault="005B0D8D" w:rsidP="00D4336D">
      <w:pPr>
        <w:pStyle w:val="NIHRCFootnotes"/>
      </w:pPr>
      <w:r w:rsidRPr="00D4336D">
        <w:rPr>
          <w:rStyle w:val="FootnoteReference"/>
        </w:rPr>
        <w:footnoteRef/>
      </w:r>
      <w:r w:rsidRPr="00D4336D">
        <w:t xml:space="preserve"> Letter from </w:t>
      </w:r>
      <w:r w:rsidRPr="00D4336D">
        <w:t xml:space="preserve">CoE Commissioner for Human Rights, </w:t>
      </w:r>
      <w:r w:rsidR="00F21485" w:rsidRPr="00D4336D">
        <w:t>Dunja Mijatovic to Secretary of State for NI, Brandon Lewis MP, 13 September 2021.</w:t>
      </w:r>
    </w:p>
  </w:footnote>
  <w:footnote w:id="25">
    <w:p w14:paraId="2941E50F" w14:textId="190AFEBA" w:rsidR="008E2E39" w:rsidRPr="00D4336D" w:rsidRDefault="008E2E39" w:rsidP="00D4336D">
      <w:pPr>
        <w:pStyle w:val="NIHRCFootnotes"/>
      </w:pPr>
      <w:r w:rsidRPr="00D4336D">
        <w:rPr>
          <w:rStyle w:val="FootnoteReference"/>
        </w:rPr>
        <w:footnoteRef/>
      </w:r>
      <w:r w:rsidRPr="00D4336D">
        <w:t xml:space="preserve"> </w:t>
      </w:r>
      <w:r w:rsidR="00B07CE4" w:rsidRPr="00D4336D">
        <w:t xml:space="preserve">CAT/C/GBR/CO/6, ‘UN CAT Committee Concluding Observations on the Sixth Periodic Report of the UK of Great Britain and NI’, 7 June 2019, at </w:t>
      </w:r>
      <w:r w:rsidRPr="00D4336D">
        <w:t>para 41(c).</w:t>
      </w:r>
    </w:p>
  </w:footnote>
  <w:footnote w:id="26">
    <w:p w14:paraId="5162F480" w14:textId="5FC42417" w:rsidR="00DB4A20" w:rsidRPr="00D4336D" w:rsidRDefault="00DB4A20" w:rsidP="00D4336D">
      <w:pPr>
        <w:pStyle w:val="NIHRCFootnotes"/>
      </w:pPr>
      <w:r w:rsidRPr="00D4336D">
        <w:rPr>
          <w:rStyle w:val="FootnoteReference"/>
        </w:rPr>
        <w:footnoteRef/>
      </w:r>
      <w:r w:rsidRPr="00D4336D">
        <w:t xml:space="preserve"> Letter from </w:t>
      </w:r>
      <w:r w:rsidRPr="00D4336D">
        <w:t>CoE Commissioner for Human Rights, Dunja Mijatovic to Secretary of State for NI, Brandon Lewis MP, 13 September 2021</w:t>
      </w:r>
      <w:r w:rsidR="00E27C87" w:rsidRPr="00D4336D">
        <w:t>; Office of the High Commissioner for Human Rights, ‘Press Release: UN experts voice concern at proposed blanket impunity to address legacy of “the Troubles” in NI, 10 August 2021</w:t>
      </w:r>
      <w:r w:rsidR="009E3E06" w:rsidRPr="00D4336D">
        <w:t>; CoE Commissioner for Human Rights, ‘</w:t>
      </w:r>
      <w:r w:rsidR="00211282" w:rsidRPr="00D4336D">
        <w:t>Press Release: UK – Backsliding on human rights must be prevented’, 4 July 2022</w:t>
      </w:r>
      <w:r w:rsidR="00F817F4" w:rsidRPr="00D4336D">
        <w:t xml:space="preserve">; </w:t>
      </w:r>
      <w:r w:rsidR="009D2924" w:rsidRPr="00D4336D">
        <w:t xml:space="preserve">Office of the </w:t>
      </w:r>
      <w:r w:rsidR="00B60EA1" w:rsidRPr="00D4336D">
        <w:t xml:space="preserve">UN </w:t>
      </w:r>
      <w:r w:rsidR="009D2924" w:rsidRPr="00D4336D">
        <w:t xml:space="preserve">High Commissioner for Human Rights, ‘Press Release: UK </w:t>
      </w:r>
      <w:r w:rsidR="00CE4EDE" w:rsidRPr="00D4336D">
        <w:t>–</w:t>
      </w:r>
      <w:r w:rsidR="009D2924" w:rsidRPr="00D4336D">
        <w:t xml:space="preserve"> </w:t>
      </w:r>
      <w:r w:rsidR="00CE4EDE" w:rsidRPr="00D4336D">
        <w:t xml:space="preserve">Flawed NI ‘Troubles’ Bill flagrantly contravenes rights obligations, say UN experts’, 15 December 2022; </w:t>
      </w:r>
      <w:r w:rsidR="00F817F4" w:rsidRPr="00D4336D">
        <w:t xml:space="preserve">Office of the </w:t>
      </w:r>
      <w:r w:rsidR="00B60EA1" w:rsidRPr="00D4336D">
        <w:t xml:space="preserve">UN </w:t>
      </w:r>
      <w:r w:rsidR="00F817F4" w:rsidRPr="00D4336D">
        <w:t>High Commissioner for Human Rights, ‘</w:t>
      </w:r>
      <w:r w:rsidR="00294AD6" w:rsidRPr="00D4336D">
        <w:t xml:space="preserve">Press Release: </w:t>
      </w:r>
      <w:r w:rsidR="00F94871" w:rsidRPr="00D4336D">
        <w:t>UK</w:t>
      </w:r>
      <w:r w:rsidR="00F47151" w:rsidRPr="00D4336D">
        <w:t xml:space="preserve"> –</w:t>
      </w:r>
      <w:r w:rsidR="00F94871" w:rsidRPr="00D4336D">
        <w:t xml:space="preserve"> Rights of victims and survivors should be at centre of legislative </w:t>
      </w:r>
      <w:r w:rsidR="00D96834" w:rsidRPr="00D4336D">
        <w:t xml:space="preserve">efforts to address legacy of </w:t>
      </w:r>
      <w:r w:rsidR="00945CC5" w:rsidRPr="00D4336D">
        <w:t>NI</w:t>
      </w:r>
      <w:r w:rsidR="00D96834" w:rsidRPr="00D4336D">
        <w:t xml:space="preserve"> Troubles - T</w:t>
      </w:r>
      <w:r w:rsidR="00294AD6" w:rsidRPr="00D4336D">
        <w:t>ürk”</w:t>
      </w:r>
      <w:r w:rsidR="00F47151" w:rsidRPr="00D4336D">
        <w:t>, 19 January 2023</w:t>
      </w:r>
      <w:r w:rsidR="00DC6766" w:rsidRPr="00D4336D">
        <w:t xml:space="preserve">; </w:t>
      </w:r>
      <w:r w:rsidR="00362717" w:rsidRPr="00D4336D">
        <w:t>CoE Commissioner for Human Rights, ‘</w:t>
      </w:r>
      <w:r w:rsidR="00945CC5" w:rsidRPr="00D4336D">
        <w:t>Press Release: UK – adopting NI Bill will undermine justice for victims, truth seeking and reconciliation</w:t>
      </w:r>
      <w:r w:rsidR="00961563" w:rsidRPr="00D4336D">
        <w:t>’, 20 June 2023</w:t>
      </w:r>
      <w:r w:rsidR="001A2DA5" w:rsidRPr="00D4336D">
        <w:t>; Council of Europe, ‘</w:t>
      </w:r>
      <w:r w:rsidR="00877A6C" w:rsidRPr="00D4336D">
        <w:t xml:space="preserve">Press Release: </w:t>
      </w:r>
      <w:r w:rsidR="001A2DA5" w:rsidRPr="00D4336D">
        <w:t xml:space="preserve">Committee of Ministers recalls concerns about the </w:t>
      </w:r>
      <w:r w:rsidR="00B60EA1" w:rsidRPr="00D4336D">
        <w:t>NI</w:t>
      </w:r>
      <w:r w:rsidR="001A2DA5" w:rsidRPr="00D4336D">
        <w:t xml:space="preserve"> Troubles (Legacy &amp; Reconciliation) Bill</w:t>
      </w:r>
      <w:r w:rsidR="00877A6C" w:rsidRPr="00D4336D">
        <w:t>’, 25 September 2023.</w:t>
      </w:r>
    </w:p>
  </w:footnote>
  <w:footnote w:id="27">
    <w:p w14:paraId="3F87655A" w14:textId="658904EA" w:rsidR="00B1273E" w:rsidRPr="00D4336D" w:rsidRDefault="00B1273E" w:rsidP="00D4336D">
      <w:pPr>
        <w:pStyle w:val="NIHRCFootnotes"/>
      </w:pPr>
      <w:r w:rsidRPr="00D4336D">
        <w:rPr>
          <w:rStyle w:val="FootnoteReference"/>
        </w:rPr>
        <w:footnoteRef/>
      </w:r>
      <w:r w:rsidRPr="00D4336D">
        <w:t xml:space="preserve"> </w:t>
      </w:r>
      <w:r w:rsidR="00A95D26" w:rsidRPr="00D4336D">
        <w:t>As of 15 April 2024, six appointments have been made to the ICRIR. This includes the roles of Chief Commissioner, Commissioner for Investigations and four Non-Executive Commissioners. An interim Chief Executive Officer and accounting officer has also been appointed until the Board identifies a permanent office holder.</w:t>
      </w:r>
      <w:r w:rsidR="006E1128" w:rsidRPr="00D4336D">
        <w:t xml:space="preserve"> See </w:t>
      </w:r>
      <w:r w:rsidR="002D2CDD" w:rsidRPr="00D4336D">
        <w:t>NI Office, ‘</w:t>
      </w:r>
      <w:r w:rsidR="00977085" w:rsidRPr="00D4336D">
        <w:t xml:space="preserve">‘Press Release: Appointment of Commissioners to the Independent Commission for Reconciliation and Information Recovery’, 14 December 2023, and Independent Commission for Reconciliation and Information Recovery, ‘ICRIR Board – our </w:t>
      </w:r>
      <w:r w:rsidR="00977085" w:rsidRPr="00D4336D">
        <w:t>Commissioners’.</w:t>
      </w:r>
      <w:r w:rsidR="0081311F" w:rsidRPr="00D4336D">
        <w:t xml:space="preserve"> </w:t>
      </w:r>
      <w:r w:rsidR="00977085" w:rsidRPr="00D4336D">
        <w:t xml:space="preserve">Available at: </w:t>
      </w:r>
      <w:hyperlink r:id="rId1" w:history="1">
        <w:r w:rsidR="0081311F" w:rsidRPr="00D4336D">
          <w:rPr>
            <w:rStyle w:val="Hyperlink"/>
            <w:color w:val="77328A"/>
          </w:rPr>
          <w:t>https://icrir.independent-inquiry.uk/icrir-board-our-commissioners/</w:t>
        </w:r>
      </w:hyperlink>
      <w:r w:rsidR="0081311F" w:rsidRPr="00D4336D">
        <w:t xml:space="preserve">, and </w:t>
      </w:r>
      <w:r w:rsidR="002551D3" w:rsidRPr="00D4336D">
        <w:t>Section</w:t>
      </w:r>
      <w:r w:rsidRPr="00D4336D">
        <w:t xml:space="preserve"> 2</w:t>
      </w:r>
      <w:r w:rsidR="00F93966" w:rsidRPr="00D4336D">
        <w:t>(3)</w:t>
      </w:r>
      <w:r w:rsidR="002551D3" w:rsidRPr="00D4336D">
        <w:t>(c)</w:t>
      </w:r>
      <w:r w:rsidR="00931871" w:rsidRPr="00D4336D">
        <w:t xml:space="preserve"> and </w:t>
      </w:r>
      <w:r w:rsidR="004616A9" w:rsidRPr="00D4336D">
        <w:t>Paragraph</w:t>
      </w:r>
      <w:r w:rsidR="00177E56" w:rsidRPr="00D4336D">
        <w:t xml:space="preserve"> 7 of </w:t>
      </w:r>
      <w:r w:rsidR="002551D3" w:rsidRPr="00D4336D">
        <w:t>Schedule 1</w:t>
      </w:r>
      <w:r w:rsidRPr="00D4336D">
        <w:t xml:space="preserve">, NI Troubles (Legacy and Reconciliation) </w:t>
      </w:r>
      <w:r w:rsidR="00177E56" w:rsidRPr="00D4336D">
        <w:t>Act 2023</w:t>
      </w:r>
      <w:r w:rsidRPr="00D4336D">
        <w:t>.</w:t>
      </w:r>
      <w:r w:rsidR="001E74CD" w:rsidRPr="00D4336D">
        <w:t xml:space="preserve"> </w:t>
      </w:r>
    </w:p>
  </w:footnote>
  <w:footnote w:id="28">
    <w:p w14:paraId="4847FD0B" w14:textId="52522F63" w:rsidR="00B1273E" w:rsidRPr="00D4336D" w:rsidRDefault="00B1273E" w:rsidP="00D4336D">
      <w:pPr>
        <w:pStyle w:val="NIHRCFootnotes"/>
      </w:pPr>
      <w:r w:rsidRPr="00D4336D">
        <w:rPr>
          <w:rStyle w:val="FootnoteReference"/>
        </w:rPr>
        <w:footnoteRef/>
      </w:r>
      <w:r w:rsidRPr="00D4336D">
        <w:t xml:space="preserve"> </w:t>
      </w:r>
      <w:r w:rsidR="00CD3942" w:rsidRPr="00D4336D">
        <w:t>Sections</w:t>
      </w:r>
      <w:r w:rsidRPr="00D4336D">
        <w:t xml:space="preserve"> 9-1</w:t>
      </w:r>
      <w:r w:rsidR="00CD3942" w:rsidRPr="00D4336D">
        <w:t>8</w:t>
      </w:r>
      <w:r w:rsidRPr="00D4336D">
        <w:t>, NI Troubles (Legacy and Reconciliation)</w:t>
      </w:r>
      <w:r w:rsidR="00CD3942" w:rsidRPr="00D4336D">
        <w:t xml:space="preserve"> Act 2023</w:t>
      </w:r>
      <w:r w:rsidRPr="00D4336D">
        <w:t>.</w:t>
      </w:r>
    </w:p>
  </w:footnote>
  <w:footnote w:id="29">
    <w:p w14:paraId="41A7B3BF" w14:textId="61BF289B" w:rsidR="00B1273E" w:rsidRPr="00D4336D" w:rsidRDefault="00B1273E" w:rsidP="00D4336D">
      <w:pPr>
        <w:pStyle w:val="NIHRCFootnotes"/>
      </w:pPr>
      <w:r w:rsidRPr="00D4336D">
        <w:rPr>
          <w:rStyle w:val="FootnoteReference"/>
        </w:rPr>
        <w:footnoteRef/>
      </w:r>
      <w:r w:rsidRPr="00D4336D">
        <w:t xml:space="preserve"> </w:t>
      </w:r>
      <w:r w:rsidR="007C65A1" w:rsidRPr="00D4336D">
        <w:t>Sections</w:t>
      </w:r>
      <w:r w:rsidRPr="00D4336D">
        <w:t xml:space="preserve"> 2</w:t>
      </w:r>
      <w:r w:rsidR="007C65A1" w:rsidRPr="00D4336D">
        <w:t>8</w:t>
      </w:r>
      <w:r w:rsidRPr="00D4336D">
        <w:t xml:space="preserve"> and 2</w:t>
      </w:r>
      <w:r w:rsidR="007C65A1" w:rsidRPr="00D4336D">
        <w:t>9</w:t>
      </w:r>
      <w:r w:rsidRPr="00D4336D">
        <w:t xml:space="preserve">, NI Troubles (Legacy and Reconciliation) </w:t>
      </w:r>
      <w:r w:rsidR="007C65A1" w:rsidRPr="00D4336D">
        <w:t>Act 2023</w:t>
      </w:r>
      <w:r w:rsidRPr="00D4336D">
        <w:t>.</w:t>
      </w:r>
    </w:p>
  </w:footnote>
  <w:footnote w:id="30">
    <w:p w14:paraId="5D6C3BBF" w14:textId="7DDA22F5" w:rsidR="00873F37" w:rsidRPr="00D4336D" w:rsidRDefault="00873F37" w:rsidP="00D4336D">
      <w:pPr>
        <w:pStyle w:val="NIHRCFootnotes"/>
      </w:pPr>
      <w:r w:rsidRPr="00D4336D">
        <w:rPr>
          <w:rStyle w:val="FootnoteReference"/>
        </w:rPr>
        <w:footnoteRef/>
      </w:r>
      <w:r w:rsidRPr="00D4336D">
        <w:t xml:space="preserve"> </w:t>
      </w:r>
      <w:r w:rsidR="00A9721B" w:rsidRPr="00D4336D">
        <w:t xml:space="preserve">UK Government, ‘NI Troubles (Legacy and Reconciliation) </w:t>
      </w:r>
      <w:r w:rsidR="000A6663" w:rsidRPr="00D4336D">
        <w:t>Act 2023</w:t>
      </w:r>
      <w:r w:rsidR="00A9721B" w:rsidRPr="00D4336D">
        <w:t>: Explanatory Notes’ (UK Gov, 202</w:t>
      </w:r>
      <w:r w:rsidR="000A6663" w:rsidRPr="00D4336D">
        <w:t>3</w:t>
      </w:r>
      <w:r w:rsidR="00A9721B" w:rsidRPr="00D4336D">
        <w:t xml:space="preserve">), at </w:t>
      </w:r>
      <w:r w:rsidR="001717C8" w:rsidRPr="00D4336D">
        <w:t>para 1.</w:t>
      </w:r>
    </w:p>
  </w:footnote>
  <w:footnote w:id="31">
    <w:p w14:paraId="391B10A5" w14:textId="31680031" w:rsidR="001717C8" w:rsidRPr="00D4336D" w:rsidRDefault="001717C8" w:rsidP="00D4336D">
      <w:pPr>
        <w:pStyle w:val="NIHRCFootnotes"/>
      </w:pPr>
      <w:r w:rsidRPr="00D4336D">
        <w:rPr>
          <w:rStyle w:val="FootnoteReference"/>
        </w:rPr>
        <w:footnoteRef/>
      </w:r>
      <w:r w:rsidRPr="00D4336D">
        <w:t xml:space="preserve"> </w:t>
      </w:r>
      <w:r w:rsidR="005714D4" w:rsidRPr="00D4336D">
        <w:t>Ibid</w:t>
      </w:r>
      <w:r w:rsidRPr="00D4336D">
        <w:t>.</w:t>
      </w:r>
    </w:p>
  </w:footnote>
  <w:footnote w:id="32">
    <w:p w14:paraId="2F52A001" w14:textId="59563978" w:rsidR="00C21F5C" w:rsidRPr="00D4336D" w:rsidRDefault="00C21F5C" w:rsidP="00D4336D">
      <w:pPr>
        <w:pStyle w:val="NIHRCFootnotes"/>
      </w:pPr>
      <w:r w:rsidRPr="00D4336D">
        <w:rPr>
          <w:rStyle w:val="FootnoteReference"/>
        </w:rPr>
        <w:footnoteRef/>
      </w:r>
      <w:r w:rsidRPr="00D4336D">
        <w:t xml:space="preserve"> </w:t>
      </w:r>
      <w:r w:rsidR="00152389" w:rsidRPr="00D4336D">
        <w:t>DH-</w:t>
      </w:r>
      <w:r w:rsidR="00152389" w:rsidRPr="00D4336D">
        <w:t>DD(2022)831, ‘Communication from the Authorities (08/08/2022) Concerning the Case of McKerr v UK (Application No 28883/95</w:t>
      </w:r>
      <w:r w:rsidR="007F576E" w:rsidRPr="00D4336D">
        <w:t>)</w:t>
      </w:r>
      <w:r w:rsidR="00152389" w:rsidRPr="00D4336D">
        <w:t xml:space="preserve">’, 8 August 2022, at </w:t>
      </w:r>
      <w:r w:rsidR="00453DF1" w:rsidRPr="00D4336D">
        <w:t>2</w:t>
      </w:r>
      <w:r w:rsidR="00152389" w:rsidRPr="00D4336D">
        <w:t>.</w:t>
      </w:r>
    </w:p>
  </w:footnote>
  <w:footnote w:id="33">
    <w:p w14:paraId="6C8429F7" w14:textId="36AEFB7A" w:rsidR="00152389" w:rsidRPr="00D4336D" w:rsidRDefault="00152389" w:rsidP="00D4336D">
      <w:pPr>
        <w:pStyle w:val="NIHRCFootnotes"/>
      </w:pPr>
      <w:r w:rsidRPr="00D4336D">
        <w:rPr>
          <w:rStyle w:val="FootnoteReference"/>
        </w:rPr>
        <w:footnoteRef/>
      </w:r>
      <w:r w:rsidRPr="00D4336D">
        <w:t xml:space="preserve"> </w:t>
      </w:r>
      <w:r w:rsidR="00DF55E5" w:rsidRPr="00D4336D">
        <w:t>Ibid</w:t>
      </w:r>
      <w:r w:rsidRPr="00D4336D">
        <w:t>.</w:t>
      </w:r>
    </w:p>
  </w:footnote>
  <w:footnote w:id="34">
    <w:p w14:paraId="49599AF9" w14:textId="795C9556" w:rsidR="009D1E7B" w:rsidRPr="00D4336D" w:rsidRDefault="009D1E7B" w:rsidP="00D4336D">
      <w:pPr>
        <w:pStyle w:val="NIHRCFootnotes"/>
      </w:pPr>
      <w:r w:rsidRPr="00D4336D">
        <w:rPr>
          <w:rStyle w:val="FootnoteReference"/>
        </w:rPr>
        <w:footnoteRef/>
      </w:r>
      <w:r w:rsidRPr="00D4336D">
        <w:t xml:space="preserve"> </w:t>
      </w:r>
      <w:r w:rsidR="00DF55E5" w:rsidRPr="00D4336D">
        <w:t>Ibid</w:t>
      </w:r>
      <w:r w:rsidR="00D31CC1" w:rsidRPr="00D4336D">
        <w:t>.</w:t>
      </w:r>
    </w:p>
  </w:footnote>
  <w:footnote w:id="35">
    <w:p w14:paraId="6A178CE0" w14:textId="5BE7A16F" w:rsidR="001A0F18" w:rsidRPr="00D4336D" w:rsidRDefault="001A0F18" w:rsidP="00D4336D">
      <w:pPr>
        <w:pStyle w:val="NIHRCFootnotes"/>
      </w:pPr>
      <w:r w:rsidRPr="00D4336D">
        <w:rPr>
          <w:rStyle w:val="FootnoteReference"/>
        </w:rPr>
        <w:footnoteRef/>
      </w:r>
      <w:r w:rsidRPr="00D4336D">
        <w:t xml:space="preserve"> DH-</w:t>
      </w:r>
      <w:r w:rsidRPr="00D4336D">
        <w:t xml:space="preserve">DD(2023)900, ‘Communication from the Authorities (28/07/2023) Concerning the Case of </w:t>
      </w:r>
      <w:r w:rsidRPr="00D4336D">
        <w:t>McKerr v UK (Application No 28883/95</w:t>
      </w:r>
      <w:r w:rsidR="007F576E" w:rsidRPr="00D4336D">
        <w:t>)</w:t>
      </w:r>
      <w:r w:rsidRPr="00D4336D">
        <w:t>’, 31 July 2023, at 2.</w:t>
      </w:r>
    </w:p>
  </w:footnote>
  <w:footnote w:id="36">
    <w:p w14:paraId="04FD70DE" w14:textId="1A572638" w:rsidR="00D31D07" w:rsidRPr="00D4336D" w:rsidRDefault="00D31D07" w:rsidP="00D4336D">
      <w:pPr>
        <w:pStyle w:val="NIHRCFootnotes"/>
      </w:pPr>
      <w:r w:rsidRPr="00D4336D">
        <w:rPr>
          <w:rStyle w:val="FootnoteReference"/>
        </w:rPr>
        <w:footnoteRef/>
      </w:r>
      <w:r w:rsidRPr="00D4336D">
        <w:t xml:space="preserve"> Mustafa Tunç and </w:t>
      </w:r>
      <w:r w:rsidRPr="00D4336D">
        <w:t xml:space="preserve">Fecire Tunç v. Turkey </w:t>
      </w:r>
      <w:r w:rsidR="00DF49A7" w:rsidRPr="00D4336D">
        <w:t>(2013) ECHR 587, at para</w:t>
      </w:r>
      <w:r w:rsidRPr="00D4336D">
        <w:t xml:space="preserve"> 133; Nicolae Virgiliu Tănase v. Romania </w:t>
      </w:r>
      <w:r w:rsidR="00794C72" w:rsidRPr="00D4336D">
        <w:t>(2019) ECHR 491</w:t>
      </w:r>
      <w:r w:rsidRPr="00D4336D">
        <w:t xml:space="preserve">, </w:t>
      </w:r>
      <w:r w:rsidR="00E8604F" w:rsidRPr="00D4336D">
        <w:t>at paras</w:t>
      </w:r>
      <w:r w:rsidRPr="00D4336D">
        <w:t xml:space="preserve"> 160-164.</w:t>
      </w:r>
    </w:p>
  </w:footnote>
  <w:footnote w:id="37">
    <w:p w14:paraId="77B4912A" w14:textId="68656030" w:rsidR="00E40D2A" w:rsidRPr="00D4336D" w:rsidRDefault="00E40D2A" w:rsidP="00D4336D">
      <w:pPr>
        <w:pStyle w:val="FootnoteText"/>
        <w:spacing w:line="240" w:lineRule="auto"/>
        <w:rPr>
          <w:color w:val="77328A"/>
          <w:sz w:val="16"/>
          <w:szCs w:val="16"/>
        </w:rPr>
      </w:pPr>
      <w:r w:rsidRPr="00D4336D">
        <w:rPr>
          <w:rStyle w:val="FootnoteReference"/>
          <w:color w:val="77328A"/>
          <w:sz w:val="16"/>
          <w:szCs w:val="16"/>
        </w:rPr>
        <w:footnoteRef/>
      </w:r>
      <w:r w:rsidRPr="00D4336D">
        <w:rPr>
          <w:color w:val="77328A"/>
          <w:sz w:val="16"/>
          <w:szCs w:val="16"/>
        </w:rPr>
        <w:t xml:space="preserve"> </w:t>
      </w:r>
      <w:r w:rsidR="00586B51" w:rsidRPr="00D4336D">
        <w:rPr>
          <w:color w:val="77328A"/>
          <w:sz w:val="16"/>
          <w:szCs w:val="16"/>
        </w:rPr>
        <w:t xml:space="preserve">Ministry of Justice, </w:t>
      </w:r>
      <w:r w:rsidR="009468D9" w:rsidRPr="00D4336D">
        <w:rPr>
          <w:color w:val="77328A"/>
          <w:sz w:val="16"/>
          <w:szCs w:val="16"/>
        </w:rPr>
        <w:t>‘Criminal Procedure and Investigations Act 1996 (</w:t>
      </w:r>
      <w:r w:rsidR="009A7FDF" w:rsidRPr="00D4336D">
        <w:rPr>
          <w:color w:val="77328A"/>
          <w:sz w:val="16"/>
          <w:szCs w:val="16"/>
        </w:rPr>
        <w:t>S</w:t>
      </w:r>
      <w:r w:rsidR="009468D9" w:rsidRPr="00D4336D">
        <w:rPr>
          <w:color w:val="77328A"/>
          <w:sz w:val="16"/>
          <w:szCs w:val="16"/>
        </w:rPr>
        <w:t>ection 23(1)) Code of Practice’ (MoJ, 2020), at para 2.1</w:t>
      </w:r>
      <w:r w:rsidR="00D53E52" w:rsidRPr="00D4336D">
        <w:rPr>
          <w:color w:val="77328A"/>
          <w:sz w:val="16"/>
          <w:szCs w:val="16"/>
        </w:rPr>
        <w:t>. See also: College of Policing, ‘Authorised Professional Practice</w:t>
      </w:r>
      <w:r w:rsidR="000E6FE5" w:rsidRPr="00D4336D">
        <w:rPr>
          <w:color w:val="77328A"/>
          <w:sz w:val="16"/>
          <w:szCs w:val="16"/>
        </w:rPr>
        <w:t xml:space="preserve"> – Investigation’</w:t>
      </w:r>
      <w:r w:rsidR="006C39A1" w:rsidRPr="00D4336D">
        <w:rPr>
          <w:color w:val="77328A"/>
          <w:sz w:val="16"/>
          <w:szCs w:val="16"/>
        </w:rPr>
        <w:t>. Available at: https://www.college.police.uk/app/investigation.</w:t>
      </w:r>
    </w:p>
  </w:footnote>
  <w:footnote w:id="38">
    <w:p w14:paraId="59A78CE3" w14:textId="6DA1D824" w:rsidR="00B1273E" w:rsidRPr="00D4336D" w:rsidRDefault="00B1273E" w:rsidP="00D4336D">
      <w:pPr>
        <w:pStyle w:val="NIHRCFootnotes"/>
      </w:pPr>
      <w:r w:rsidRPr="00D4336D">
        <w:rPr>
          <w:rStyle w:val="FootnoteReference"/>
        </w:rPr>
        <w:footnoteRef/>
      </w:r>
      <w:r w:rsidRPr="00D4336D">
        <w:t xml:space="preserve"> </w:t>
      </w:r>
      <w:r w:rsidRPr="00D4336D">
        <w:rPr>
          <w:i/>
          <w:iCs/>
        </w:rPr>
        <w:t>Hugh Jordan v UK</w:t>
      </w:r>
      <w:r w:rsidRPr="00D4336D">
        <w:t xml:space="preserve"> (2001)</w:t>
      </w:r>
      <w:r w:rsidR="0053050D" w:rsidRPr="00D4336D">
        <w:t xml:space="preserve"> ECHR 327</w:t>
      </w:r>
      <w:r w:rsidRPr="00D4336D">
        <w:t>, at para 107.</w:t>
      </w:r>
    </w:p>
  </w:footnote>
  <w:footnote w:id="39">
    <w:p w14:paraId="0BD4CCE4" w14:textId="44DE8910" w:rsidR="00B1273E" w:rsidRPr="00D4336D" w:rsidRDefault="00B1273E" w:rsidP="00D4336D">
      <w:pPr>
        <w:pStyle w:val="NIHRCFootnotes"/>
      </w:pPr>
      <w:r w:rsidRPr="00D4336D">
        <w:rPr>
          <w:rStyle w:val="FootnoteReference"/>
        </w:rPr>
        <w:footnoteRef/>
      </w:r>
      <w:r w:rsidRPr="00D4336D">
        <w:t xml:space="preserve"> </w:t>
      </w:r>
      <w:r w:rsidRPr="00D4336D">
        <w:rPr>
          <w:i/>
          <w:iCs/>
        </w:rPr>
        <w:t>Kolevi v Bulgaria</w:t>
      </w:r>
      <w:r w:rsidRPr="00D4336D">
        <w:t xml:space="preserve"> (2009)</w:t>
      </w:r>
      <w:r w:rsidR="002F4CD2" w:rsidRPr="00D4336D">
        <w:t xml:space="preserve"> ECHR 1838</w:t>
      </w:r>
      <w:r w:rsidRPr="00D4336D">
        <w:t xml:space="preserve">, at para 201; </w:t>
      </w:r>
      <w:r w:rsidRPr="00D4336D">
        <w:rPr>
          <w:i/>
          <w:iCs/>
        </w:rPr>
        <w:t>Armani da Silva v UK</w:t>
      </w:r>
      <w:r w:rsidRPr="00D4336D">
        <w:t xml:space="preserve"> (2016)</w:t>
      </w:r>
      <w:r w:rsidR="00766D3C" w:rsidRPr="00D4336D">
        <w:t xml:space="preserve"> ECHR </w:t>
      </w:r>
      <w:r w:rsidR="00807A62" w:rsidRPr="00D4336D">
        <w:t>314</w:t>
      </w:r>
      <w:r w:rsidRPr="00D4336D">
        <w:t>, at para 234.</w:t>
      </w:r>
    </w:p>
  </w:footnote>
  <w:footnote w:id="40">
    <w:p w14:paraId="7DC4F3EE" w14:textId="6DAD72C3" w:rsidR="00B1273E" w:rsidRPr="00D4336D" w:rsidRDefault="00B1273E" w:rsidP="00D4336D">
      <w:pPr>
        <w:pStyle w:val="NIHRCFootnotes"/>
      </w:pPr>
      <w:r w:rsidRPr="00D4336D">
        <w:rPr>
          <w:rStyle w:val="FootnoteReference"/>
        </w:rPr>
        <w:footnoteRef/>
      </w:r>
      <w:r w:rsidRPr="00D4336D">
        <w:t xml:space="preserve"> UN Office of the High Commissioner for Human Rights, ‘The Minnesota Protocol on the Investigation of Potentially Unlawful Death: The Revised UN Manual on the Effective Prevention and Investigation of Extra-legal, Arbitrary and Summary Executions’ (OHCHR, 2016)</w:t>
      </w:r>
      <w:r w:rsidR="00876476" w:rsidRPr="00D4336D">
        <w:t>.</w:t>
      </w:r>
    </w:p>
  </w:footnote>
  <w:footnote w:id="41">
    <w:p w14:paraId="07CEFF01" w14:textId="77777777" w:rsidR="00B1273E" w:rsidRPr="00D4336D" w:rsidRDefault="00B1273E" w:rsidP="00D4336D">
      <w:pPr>
        <w:pStyle w:val="NIHRCFootnotes"/>
      </w:pPr>
      <w:r w:rsidRPr="00D4336D">
        <w:rPr>
          <w:rStyle w:val="FootnoteReference"/>
        </w:rPr>
        <w:footnoteRef/>
      </w:r>
      <w:r w:rsidRPr="00D4336D">
        <w:t xml:space="preserve"> </w:t>
      </w:r>
      <w:r w:rsidRPr="00D4336D">
        <w:rPr>
          <w:i/>
        </w:rPr>
        <w:t>Kaya v Turkey</w:t>
      </w:r>
      <w:r w:rsidRPr="00D4336D">
        <w:t xml:space="preserve"> (1998) ECHR 10, at para 87.</w:t>
      </w:r>
    </w:p>
  </w:footnote>
  <w:footnote w:id="42">
    <w:p w14:paraId="2B19817C" w14:textId="6DD12531" w:rsidR="00B1273E" w:rsidRPr="00D4336D" w:rsidRDefault="00B1273E" w:rsidP="00D4336D">
      <w:pPr>
        <w:pStyle w:val="NIHRCFootnotes"/>
      </w:pPr>
      <w:r w:rsidRPr="00D4336D">
        <w:rPr>
          <w:rStyle w:val="FootnoteReference"/>
        </w:rPr>
        <w:footnoteRef/>
      </w:r>
      <w:r w:rsidRPr="00D4336D">
        <w:t xml:space="preserve"> </w:t>
      </w:r>
      <w:r w:rsidRPr="00D4336D">
        <w:rPr>
          <w:i/>
          <w:iCs/>
        </w:rPr>
        <w:t>Paniagua Morales et al</w:t>
      </w:r>
      <w:r w:rsidRPr="00D4336D">
        <w:t xml:space="preserve"> (1998), </w:t>
      </w:r>
      <w:r w:rsidR="0051500C" w:rsidRPr="00D4336D">
        <w:t xml:space="preserve">Inter-American Court of Human Rights, Judgment of 8 March 1998, </w:t>
      </w:r>
      <w:r w:rsidRPr="00D4336D">
        <w:t xml:space="preserve">at para 173; </w:t>
      </w:r>
      <w:r w:rsidRPr="00D4336D">
        <w:rPr>
          <w:i/>
          <w:iCs/>
        </w:rPr>
        <w:t>Armani da Silva v UK</w:t>
      </w:r>
      <w:r w:rsidRPr="00D4336D">
        <w:t xml:space="preserve"> (2016)</w:t>
      </w:r>
      <w:r w:rsidR="00C10FE8" w:rsidRPr="00D4336D">
        <w:t xml:space="preserve"> ECHR 314</w:t>
      </w:r>
      <w:r w:rsidRPr="00D4336D">
        <w:t>, at para 230.</w:t>
      </w:r>
    </w:p>
  </w:footnote>
  <w:footnote w:id="43">
    <w:p w14:paraId="5F544FF5" w14:textId="4B7CC9C1" w:rsidR="001804BE" w:rsidRPr="00D4336D" w:rsidRDefault="001804BE" w:rsidP="00D4336D">
      <w:pPr>
        <w:pStyle w:val="NIHRCFootnotes"/>
      </w:pPr>
      <w:r w:rsidRPr="00D4336D">
        <w:rPr>
          <w:rStyle w:val="FootnoteReference"/>
        </w:rPr>
        <w:footnoteRef/>
      </w:r>
      <w:r w:rsidRPr="00D4336D">
        <w:t xml:space="preserve"> Section 6, NI Troubles (Legacy and Reconciliation) Act 2023.</w:t>
      </w:r>
    </w:p>
  </w:footnote>
  <w:footnote w:id="44">
    <w:p w14:paraId="780309E0" w14:textId="69F1404D" w:rsidR="004D3DD3" w:rsidRPr="00D4336D" w:rsidRDefault="001A0B3E" w:rsidP="00D4336D">
      <w:pPr>
        <w:pStyle w:val="NIHRCFootnotes"/>
      </w:pPr>
      <w:r w:rsidRPr="00D4336D">
        <w:rPr>
          <w:rStyle w:val="FootnoteReference"/>
        </w:rPr>
        <w:footnoteRef/>
      </w:r>
      <w:r w:rsidRPr="00D4336D">
        <w:t xml:space="preserve"> </w:t>
      </w:r>
      <w:r w:rsidRPr="00D4336D">
        <w:rPr>
          <w:i/>
          <w:iCs/>
        </w:rPr>
        <w:t>In the Matter of an Application by Martina Dillon and Others for Judicial Review</w:t>
      </w:r>
      <w:r w:rsidRPr="00D4336D">
        <w:t xml:space="preserve"> [2024] NIKB</w:t>
      </w:r>
      <w:r w:rsidR="002953F2" w:rsidRPr="00D4336D">
        <w:t xml:space="preserve"> 11</w:t>
      </w:r>
      <w:r w:rsidRPr="00D4336D">
        <w:t xml:space="preserve">, at para 369. </w:t>
      </w:r>
      <w:r w:rsidRPr="00D4336D">
        <w:rPr>
          <w:i/>
          <w:iCs/>
        </w:rPr>
        <w:t>See</w:t>
      </w:r>
      <w:r w:rsidRPr="00D4336D">
        <w:t xml:space="preserve"> </w:t>
      </w:r>
      <w:r w:rsidRPr="00D4336D">
        <w:rPr>
          <w:i/>
          <w:iCs/>
        </w:rPr>
        <w:t>also</w:t>
      </w:r>
      <w:r w:rsidRPr="00D4336D">
        <w:t xml:space="preserve"> Independent Commission for Reconciliation and Information Recovery, ‘Ideas for </w:t>
      </w:r>
      <w:r w:rsidR="004D3DD3" w:rsidRPr="00D4336D">
        <w:t>H</w:t>
      </w:r>
      <w:r w:rsidRPr="00D4336D">
        <w:t xml:space="preserve">ow the Commission </w:t>
      </w:r>
      <w:r w:rsidR="004D3DD3" w:rsidRPr="00D4336D">
        <w:t>C</w:t>
      </w:r>
      <w:r w:rsidRPr="00D4336D">
        <w:t xml:space="preserve">ould </w:t>
      </w:r>
    </w:p>
    <w:p w14:paraId="1CF8BCDA" w14:textId="64FF23A1" w:rsidR="001A0B3E" w:rsidRPr="00D4336D" w:rsidRDefault="004D3DD3" w:rsidP="00D4336D">
      <w:pPr>
        <w:pStyle w:val="NIHRCFootnotes"/>
      </w:pPr>
      <w:r w:rsidRPr="00D4336D">
        <w:t>A</w:t>
      </w:r>
      <w:r w:rsidR="001A0B3E" w:rsidRPr="00D4336D">
        <w:t xml:space="preserve">pproach its </w:t>
      </w:r>
      <w:r w:rsidRPr="00D4336D">
        <w:t>W</w:t>
      </w:r>
      <w:r w:rsidR="001A0B3E" w:rsidRPr="00D4336D">
        <w:t xml:space="preserve">ork to </w:t>
      </w:r>
      <w:r w:rsidRPr="00D4336D">
        <w:t>P</w:t>
      </w:r>
      <w:r w:rsidR="001A0B3E" w:rsidRPr="00D4336D">
        <w:t xml:space="preserve">roduce </w:t>
      </w:r>
      <w:r w:rsidRPr="00D4336D">
        <w:t>R</w:t>
      </w:r>
      <w:r w:rsidR="001A0B3E" w:rsidRPr="00D4336D">
        <w:t xml:space="preserve">eports’, (ICRIR, 2023); Independent Commission for Reconciliation and Information Recovery, ‘Possible </w:t>
      </w:r>
      <w:r w:rsidRPr="00D4336D">
        <w:t>P</w:t>
      </w:r>
      <w:r w:rsidR="001A0B3E" w:rsidRPr="00D4336D">
        <w:t xml:space="preserve">rinciples for </w:t>
      </w:r>
      <w:r w:rsidRPr="00D4336D">
        <w:t>D</w:t>
      </w:r>
      <w:r w:rsidR="001A0B3E" w:rsidRPr="00D4336D">
        <w:t xml:space="preserve">esign of ICRIR </w:t>
      </w:r>
      <w:r w:rsidRPr="00D4336D">
        <w:t>I</w:t>
      </w:r>
      <w:r w:rsidR="001A0B3E" w:rsidRPr="00D4336D">
        <w:t xml:space="preserve">nvestigations’ (ICRIR, 2023); Independent Commission for Reconciliation and Information Recovery, ‘Ideas for </w:t>
      </w:r>
      <w:r w:rsidRPr="00D4336D">
        <w:t>H</w:t>
      </w:r>
      <w:r w:rsidR="001A0B3E" w:rsidRPr="00D4336D">
        <w:t xml:space="preserve">ow ICRIR </w:t>
      </w:r>
      <w:r w:rsidRPr="00D4336D">
        <w:t>C</w:t>
      </w:r>
      <w:r w:rsidR="001A0B3E" w:rsidRPr="00D4336D">
        <w:t xml:space="preserve">ould </w:t>
      </w:r>
      <w:r w:rsidRPr="00D4336D">
        <w:t>A</w:t>
      </w:r>
      <w:r w:rsidR="001A0B3E" w:rsidRPr="00D4336D">
        <w:t xml:space="preserve">pproach </w:t>
      </w:r>
      <w:r w:rsidRPr="00D4336D">
        <w:t>I</w:t>
      </w:r>
      <w:r w:rsidR="001A0B3E" w:rsidRPr="00D4336D">
        <w:t xml:space="preserve">nvestigations </w:t>
      </w:r>
      <w:r w:rsidRPr="00D4336D">
        <w:t>L</w:t>
      </w:r>
      <w:r w:rsidR="001A0B3E" w:rsidRPr="00D4336D">
        <w:t xml:space="preserve">inked to </w:t>
      </w:r>
      <w:r w:rsidRPr="00D4336D">
        <w:t>A</w:t>
      </w:r>
      <w:r w:rsidR="001A0B3E" w:rsidRPr="00D4336D">
        <w:t xml:space="preserve">dvanced </w:t>
      </w:r>
      <w:r w:rsidRPr="00D4336D">
        <w:t>S</w:t>
      </w:r>
      <w:r w:rsidR="001A0B3E" w:rsidRPr="00D4336D">
        <w:t xml:space="preserve">tage </w:t>
      </w:r>
      <w:r w:rsidRPr="00D4336D">
        <w:t>I</w:t>
      </w:r>
      <w:r w:rsidR="001A0B3E" w:rsidRPr="00D4336D">
        <w:t>nquests’ (ICRIR, 2023).</w:t>
      </w:r>
    </w:p>
  </w:footnote>
  <w:footnote w:id="45">
    <w:p w14:paraId="268F195E" w14:textId="26420917" w:rsidR="00F3685F" w:rsidRPr="00D4336D" w:rsidRDefault="00F3685F" w:rsidP="00D4336D">
      <w:pPr>
        <w:pStyle w:val="NIHRCFootnotes"/>
      </w:pPr>
      <w:r w:rsidRPr="00D4336D">
        <w:rPr>
          <w:rStyle w:val="FootnoteReference"/>
        </w:rPr>
        <w:footnoteRef/>
      </w:r>
      <w:r w:rsidRPr="00D4336D">
        <w:t xml:space="preserve"> </w:t>
      </w:r>
      <w:r w:rsidRPr="00D4336D">
        <w:rPr>
          <w:i/>
          <w:iCs/>
        </w:rPr>
        <w:t>In the Matter of an Application by Martina Dillon and Others for Judicial Review</w:t>
      </w:r>
      <w:r w:rsidRPr="00D4336D">
        <w:t xml:space="preserve"> [2024] NIKB</w:t>
      </w:r>
      <w:r w:rsidR="002953F2" w:rsidRPr="00D4336D">
        <w:t xml:space="preserve"> 11</w:t>
      </w:r>
      <w:r w:rsidRPr="00D4336D">
        <w:t xml:space="preserve">, at para 338. </w:t>
      </w:r>
    </w:p>
  </w:footnote>
  <w:footnote w:id="46">
    <w:p w14:paraId="2F8927CA" w14:textId="5836F157" w:rsidR="00115912" w:rsidRPr="00D4336D" w:rsidRDefault="00115912" w:rsidP="00D4336D">
      <w:pPr>
        <w:pStyle w:val="NIHRCFootnotes"/>
      </w:pPr>
      <w:r w:rsidRPr="00D4336D">
        <w:rPr>
          <w:rStyle w:val="FootnoteReference"/>
        </w:rPr>
        <w:footnoteRef/>
      </w:r>
      <w:r w:rsidRPr="00D4336D">
        <w:t xml:space="preserve"> </w:t>
      </w:r>
      <w:r w:rsidR="002953F2" w:rsidRPr="00D4336D">
        <w:t>Ibid</w:t>
      </w:r>
      <w:r w:rsidR="00CF4397" w:rsidRPr="00D4336D">
        <w:t xml:space="preserve">, at para </w:t>
      </w:r>
      <w:r w:rsidR="009F0575" w:rsidRPr="00D4336D">
        <w:t>36</w:t>
      </w:r>
      <w:r w:rsidR="00555326" w:rsidRPr="00D4336D">
        <w:t>1</w:t>
      </w:r>
      <w:r w:rsidR="009F0575" w:rsidRPr="00D4336D">
        <w:t>.</w:t>
      </w:r>
    </w:p>
  </w:footnote>
  <w:footnote w:id="47">
    <w:p w14:paraId="54086FF1" w14:textId="348C8876" w:rsidR="00C30376" w:rsidRPr="00D4336D" w:rsidRDefault="00C30376" w:rsidP="00D4336D">
      <w:pPr>
        <w:pStyle w:val="FootnoteText"/>
        <w:spacing w:line="240" w:lineRule="auto"/>
        <w:rPr>
          <w:color w:val="77328A"/>
          <w:sz w:val="16"/>
          <w:szCs w:val="16"/>
        </w:rPr>
      </w:pPr>
      <w:r w:rsidRPr="00D4336D">
        <w:rPr>
          <w:rStyle w:val="FootnoteReference"/>
          <w:color w:val="77328A"/>
          <w:sz w:val="16"/>
          <w:szCs w:val="16"/>
        </w:rPr>
        <w:footnoteRef/>
      </w:r>
      <w:r w:rsidRPr="00D4336D">
        <w:rPr>
          <w:color w:val="77328A"/>
          <w:sz w:val="16"/>
          <w:szCs w:val="16"/>
        </w:rPr>
        <w:t xml:space="preserve"> </w:t>
      </w:r>
      <w:r w:rsidR="002953F2" w:rsidRPr="00D4336D">
        <w:rPr>
          <w:iCs/>
          <w:color w:val="77328A"/>
          <w:sz w:val="16"/>
          <w:szCs w:val="16"/>
        </w:rPr>
        <w:t>Ibid</w:t>
      </w:r>
      <w:r w:rsidRPr="00D4336D">
        <w:rPr>
          <w:color w:val="77328A"/>
          <w:sz w:val="16"/>
          <w:szCs w:val="16"/>
        </w:rPr>
        <w:t>, at para</w:t>
      </w:r>
      <w:r w:rsidR="00D95FBA" w:rsidRPr="00D4336D">
        <w:rPr>
          <w:color w:val="77328A"/>
          <w:sz w:val="16"/>
          <w:szCs w:val="16"/>
        </w:rPr>
        <w:t>s 367-370.</w:t>
      </w:r>
    </w:p>
  </w:footnote>
  <w:footnote w:id="48">
    <w:p w14:paraId="15746F92" w14:textId="2E4A7A7C" w:rsidR="00116D88" w:rsidRPr="00D4336D" w:rsidRDefault="00116D88" w:rsidP="00D4336D">
      <w:pPr>
        <w:pStyle w:val="NIHRCFootnotes"/>
      </w:pPr>
      <w:r w:rsidRPr="00D4336D">
        <w:rPr>
          <w:rStyle w:val="FootnoteReference"/>
        </w:rPr>
        <w:footnoteRef/>
      </w:r>
      <w:r w:rsidRPr="00D4336D">
        <w:t xml:space="preserve"> </w:t>
      </w:r>
      <w:r w:rsidR="009F0575" w:rsidRPr="00D4336D">
        <w:rPr>
          <w:i/>
          <w:iCs/>
        </w:rPr>
        <w:t>In the Matter of an Application by Martina Dillon and Others for Judicial Review</w:t>
      </w:r>
      <w:r w:rsidR="009F0575" w:rsidRPr="00D4336D">
        <w:t xml:space="preserve"> [2024] NIKB</w:t>
      </w:r>
      <w:r w:rsidR="00573A29" w:rsidRPr="00D4336D">
        <w:t xml:space="preserve"> 11</w:t>
      </w:r>
      <w:r w:rsidR="009F0575" w:rsidRPr="00D4336D">
        <w:t xml:space="preserve">, at para </w:t>
      </w:r>
      <w:r w:rsidR="008E7364" w:rsidRPr="00D4336D">
        <w:t>363</w:t>
      </w:r>
      <w:r w:rsidR="00555326" w:rsidRPr="00D4336D">
        <w:t>.</w:t>
      </w:r>
    </w:p>
  </w:footnote>
  <w:footnote w:id="49">
    <w:p w14:paraId="7EE05446" w14:textId="624AB9DB" w:rsidR="00F51D6C" w:rsidRPr="00D4336D" w:rsidRDefault="00F51D6C" w:rsidP="00D4336D">
      <w:pPr>
        <w:pStyle w:val="NIHRCFootnotes"/>
      </w:pPr>
      <w:r w:rsidRPr="00D4336D">
        <w:rPr>
          <w:rStyle w:val="FootnoteReference"/>
        </w:rPr>
        <w:footnoteRef/>
      </w:r>
      <w:r w:rsidRPr="00D4336D">
        <w:t xml:space="preserve"> S</w:t>
      </w:r>
      <w:r w:rsidR="008D0082" w:rsidRPr="00D4336D">
        <w:t>tephanie</w:t>
      </w:r>
      <w:r w:rsidRPr="00D4336D">
        <w:t xml:space="preserve"> Burns et al, ‘Intergenerational Aspects of the Conflict in NI’ (QUB, 2010), at 78.</w:t>
      </w:r>
    </w:p>
  </w:footnote>
  <w:footnote w:id="50">
    <w:p w14:paraId="1CBEB08F" w14:textId="3BD6E282" w:rsidR="00A4732C" w:rsidRPr="00D4336D" w:rsidRDefault="00A4732C" w:rsidP="00D4336D">
      <w:pPr>
        <w:pStyle w:val="NIHRCFootnotes"/>
      </w:pPr>
      <w:r w:rsidRPr="00D4336D">
        <w:rPr>
          <w:rStyle w:val="FootnoteReference"/>
        </w:rPr>
        <w:footnoteRef/>
      </w:r>
      <w:r w:rsidRPr="00D4336D">
        <w:t xml:space="preserve"> Stephen Breen, </w:t>
      </w:r>
      <w:r w:rsidR="00015C81" w:rsidRPr="00D4336D">
        <w:t xml:space="preserve">‘Tell me the truth about my granny’, </w:t>
      </w:r>
      <w:r w:rsidR="00015C81" w:rsidRPr="00D4336D">
        <w:rPr>
          <w:i/>
          <w:iCs/>
        </w:rPr>
        <w:t>Belfast Telegraph</w:t>
      </w:r>
      <w:r w:rsidR="00015C81" w:rsidRPr="00D4336D">
        <w:t xml:space="preserve">, 4 July 2008; </w:t>
      </w:r>
      <w:r w:rsidR="00B048A9" w:rsidRPr="00D4336D">
        <w:t xml:space="preserve">Enda McClafferty, </w:t>
      </w:r>
      <w:r w:rsidR="00C87184" w:rsidRPr="00D4336D">
        <w:t xml:space="preserve">‘Troubles legacy: Government warned not to “trample” on victims’, </w:t>
      </w:r>
      <w:r w:rsidR="00C87184" w:rsidRPr="00D4336D">
        <w:rPr>
          <w:i/>
          <w:iCs/>
        </w:rPr>
        <w:t>BBC News</w:t>
      </w:r>
      <w:r w:rsidR="00C87184" w:rsidRPr="00D4336D">
        <w:t xml:space="preserve">, </w:t>
      </w:r>
      <w:r w:rsidR="00B048A9" w:rsidRPr="00D4336D">
        <w:t>29 June 2022.</w:t>
      </w:r>
    </w:p>
  </w:footnote>
  <w:footnote w:id="51">
    <w:p w14:paraId="095B9CA9" w14:textId="0B7ECF49" w:rsidR="00620872" w:rsidRPr="00D4336D" w:rsidRDefault="00620872" w:rsidP="00D4336D">
      <w:pPr>
        <w:pStyle w:val="NIHRCFootnotes"/>
      </w:pPr>
      <w:r w:rsidRPr="00D4336D">
        <w:rPr>
          <w:rStyle w:val="FootnoteReference"/>
        </w:rPr>
        <w:footnoteRef/>
      </w:r>
      <w:r w:rsidRPr="00D4336D">
        <w:t xml:space="preserve"> NI Affairs Committee, ‘Oral Evidence: Addressing the Legacy of NI’s Past – The UK Government’s Proposals – Sandra Peake</w:t>
      </w:r>
      <w:r w:rsidR="005F12AD" w:rsidRPr="00D4336D">
        <w:t>, WAVE Trauma Centre</w:t>
      </w:r>
      <w:r w:rsidRPr="00D4336D">
        <w:t>’, 7 June 2022, at 4</w:t>
      </w:r>
      <w:r w:rsidR="00DE5B2A" w:rsidRPr="00D4336D">
        <w:t>22</w:t>
      </w:r>
      <w:r w:rsidRPr="00D4336D">
        <w:t>.</w:t>
      </w:r>
    </w:p>
  </w:footnote>
  <w:footnote w:id="52">
    <w:p w14:paraId="7F281B26" w14:textId="77777777" w:rsidR="00AA2FC7" w:rsidRPr="00D4336D" w:rsidRDefault="00AA2FC7" w:rsidP="00D4336D">
      <w:pPr>
        <w:pStyle w:val="NIHRCFootnotes"/>
      </w:pPr>
      <w:r w:rsidRPr="00D4336D">
        <w:rPr>
          <w:rStyle w:val="FootnoteReference"/>
        </w:rPr>
        <w:footnoteRef/>
      </w:r>
      <w:r w:rsidRPr="00D4336D">
        <w:t xml:space="preserve"> CCPR/C/GBR/CO/8, ‘UN Human Rights Committee Concluding Observations on the Eighth Periodic Report of UK of Great Britain and NI’, 28 March 2024, at para 10.</w:t>
      </w:r>
    </w:p>
  </w:footnote>
  <w:footnote w:id="53">
    <w:p w14:paraId="40A683B4" w14:textId="1BE4E208" w:rsidR="00AA2FC7" w:rsidRPr="00D4336D" w:rsidRDefault="00AA2FC7" w:rsidP="00D4336D">
      <w:pPr>
        <w:pStyle w:val="NIHRCFootnotes"/>
      </w:pPr>
      <w:r w:rsidRPr="00D4336D">
        <w:rPr>
          <w:rStyle w:val="FootnoteReference"/>
        </w:rPr>
        <w:footnoteRef/>
      </w:r>
      <w:r w:rsidRPr="00D4336D">
        <w:t xml:space="preserve"> </w:t>
      </w:r>
      <w:r w:rsidR="004D3DD3" w:rsidRPr="00D4336D">
        <w:t>CCPR/C/GBR/CO/8, ‘UN Human Rights Committee Concluding Observations on the Eighth Periodic Report of UK of Great Britain and NI’, 28 March 2024,</w:t>
      </w:r>
      <w:r w:rsidRPr="00D4336D">
        <w:t xml:space="preserve"> at para 11.</w:t>
      </w:r>
    </w:p>
  </w:footnote>
  <w:footnote w:id="54">
    <w:p w14:paraId="01AE6547" w14:textId="7ADE47D3" w:rsidR="001D7596" w:rsidRPr="00D4336D" w:rsidRDefault="001D7596" w:rsidP="00D4336D">
      <w:pPr>
        <w:pStyle w:val="NIHRCFootnotes"/>
      </w:pPr>
      <w:r w:rsidRPr="00D4336D">
        <w:rPr>
          <w:rStyle w:val="FootnoteReference"/>
        </w:rPr>
        <w:footnoteRef/>
      </w:r>
      <w:r w:rsidRPr="00D4336D">
        <w:t xml:space="preserve"> </w:t>
      </w:r>
      <w:r w:rsidR="004616A9" w:rsidRPr="00D4336D">
        <w:t>Paragraph</w:t>
      </w:r>
      <w:r w:rsidR="00C053A3" w:rsidRPr="00D4336D">
        <w:t xml:space="preserve"> 8(1)</w:t>
      </w:r>
      <w:r w:rsidR="004616A9" w:rsidRPr="00D4336D">
        <w:t xml:space="preserve"> of</w:t>
      </w:r>
      <w:r w:rsidR="00C053A3" w:rsidRPr="00D4336D">
        <w:t xml:space="preserve"> Schedule 1, NI Troubles (Legacy and Reconciliation) Act 2023.</w:t>
      </w:r>
    </w:p>
  </w:footnote>
  <w:footnote w:id="55">
    <w:p w14:paraId="607814F9" w14:textId="05BA8C88" w:rsidR="00AB636C" w:rsidRPr="00D4336D" w:rsidRDefault="00AB636C" w:rsidP="00D4336D">
      <w:pPr>
        <w:pStyle w:val="NIHRCFootnotes"/>
      </w:pPr>
      <w:r w:rsidRPr="00D4336D">
        <w:rPr>
          <w:rStyle w:val="FootnoteReference"/>
        </w:rPr>
        <w:footnoteRef/>
      </w:r>
      <w:r w:rsidRPr="00D4336D">
        <w:t xml:space="preserve"> </w:t>
      </w:r>
      <w:r w:rsidR="004616A9" w:rsidRPr="00D4336D">
        <w:t>Paragraph</w:t>
      </w:r>
      <w:r w:rsidR="005244AF" w:rsidRPr="00D4336D">
        <w:t xml:space="preserve"> 7</w:t>
      </w:r>
      <w:r w:rsidR="004616A9" w:rsidRPr="00D4336D">
        <w:t xml:space="preserve"> of</w:t>
      </w:r>
      <w:r w:rsidR="005244AF" w:rsidRPr="00D4336D">
        <w:t xml:space="preserve"> Schedule 1, NI Troubles (Legacy and Reconciliation) Act 2023.</w:t>
      </w:r>
    </w:p>
  </w:footnote>
  <w:footnote w:id="56">
    <w:p w14:paraId="48758209" w14:textId="4FE5DBEE" w:rsidR="00CB632C" w:rsidRPr="00D4336D" w:rsidRDefault="00CB632C" w:rsidP="00D4336D">
      <w:pPr>
        <w:pStyle w:val="NIHRCFootnotes"/>
      </w:pPr>
      <w:r w:rsidRPr="00D4336D">
        <w:rPr>
          <w:rStyle w:val="FootnoteReference"/>
        </w:rPr>
        <w:footnoteRef/>
      </w:r>
      <w:r w:rsidRPr="00D4336D">
        <w:t xml:space="preserve"> </w:t>
      </w:r>
      <w:r w:rsidR="00817E5D" w:rsidRPr="00D4336D">
        <w:t>Sections 33,</w:t>
      </w:r>
      <w:r w:rsidR="001C7057" w:rsidRPr="00D4336D">
        <w:t xml:space="preserve"> 34(1), 35(1), 37(1), 56(1), 58(1), </w:t>
      </w:r>
      <w:r w:rsidR="00797594" w:rsidRPr="00D4336D">
        <w:t>Paragraph 2(</w:t>
      </w:r>
      <w:r w:rsidR="00D27AD7" w:rsidRPr="00D4336D">
        <w:t xml:space="preserve">4) of </w:t>
      </w:r>
      <w:r w:rsidR="001C7057" w:rsidRPr="00D4336D">
        <w:t xml:space="preserve">Schedule 5 </w:t>
      </w:r>
      <w:r w:rsidR="00F35BA6" w:rsidRPr="00D4336D">
        <w:t xml:space="preserve">and </w:t>
      </w:r>
      <w:r w:rsidR="00D27AD7" w:rsidRPr="00D4336D">
        <w:t xml:space="preserve">Paragraph 2(6) of </w:t>
      </w:r>
      <w:r w:rsidR="00F35BA6" w:rsidRPr="00D4336D">
        <w:t>Schedule 13, NI Troubles (Legacy and Reconciliation) Act 2023.</w:t>
      </w:r>
    </w:p>
  </w:footnote>
  <w:footnote w:id="57">
    <w:p w14:paraId="5790FFCE" w14:textId="54481E5A" w:rsidR="00CD7FF5" w:rsidRPr="00D4336D" w:rsidRDefault="00CD7FF5" w:rsidP="00D4336D">
      <w:pPr>
        <w:pStyle w:val="NIHRCFootnotes"/>
      </w:pPr>
      <w:r w:rsidRPr="00D4336D">
        <w:rPr>
          <w:rStyle w:val="FootnoteReference"/>
        </w:rPr>
        <w:footnoteRef/>
      </w:r>
      <w:r w:rsidRPr="00D4336D">
        <w:t xml:space="preserve"> </w:t>
      </w:r>
      <w:r w:rsidR="005B62C5" w:rsidRPr="00D4336D">
        <w:t>Sections</w:t>
      </w:r>
      <w:r w:rsidRPr="00D4336D">
        <w:t xml:space="preserve"> 9(3) and 10(2), </w:t>
      </w:r>
      <w:bookmarkStart w:id="9" w:name="_Hlk163214066"/>
      <w:r w:rsidRPr="00D4336D">
        <w:t xml:space="preserve">NI Troubles (Legacy and Reconciliation) </w:t>
      </w:r>
      <w:r w:rsidR="005B62C5" w:rsidRPr="00D4336D">
        <w:t>Act 2023</w:t>
      </w:r>
      <w:r w:rsidRPr="00D4336D">
        <w:t>.</w:t>
      </w:r>
      <w:bookmarkEnd w:id="9"/>
    </w:p>
  </w:footnote>
  <w:footnote w:id="58">
    <w:p w14:paraId="67264A42" w14:textId="2F98423C" w:rsidR="00937B77" w:rsidRPr="00D4336D" w:rsidRDefault="00937B77" w:rsidP="00D4336D">
      <w:pPr>
        <w:pStyle w:val="NIHRCFootnotes"/>
      </w:pPr>
      <w:r w:rsidRPr="00D4336D">
        <w:rPr>
          <w:rStyle w:val="FootnoteReference"/>
        </w:rPr>
        <w:footnoteRef/>
      </w:r>
      <w:r w:rsidRPr="00D4336D">
        <w:t xml:space="preserve"> Section 34(1), NI Troubles (Legacy and Reconciliation) Act 2023.</w:t>
      </w:r>
    </w:p>
  </w:footnote>
  <w:footnote w:id="59">
    <w:p w14:paraId="69440151" w14:textId="01A74D7A" w:rsidR="00C61765" w:rsidRPr="00D4336D" w:rsidRDefault="00C61765" w:rsidP="00D4336D">
      <w:pPr>
        <w:pStyle w:val="NIHRCFootnotes"/>
      </w:pPr>
      <w:r w:rsidRPr="00D4336D">
        <w:rPr>
          <w:rStyle w:val="FootnoteReference"/>
        </w:rPr>
        <w:footnoteRef/>
      </w:r>
      <w:r w:rsidRPr="00D4336D">
        <w:t xml:space="preserve"> Section 35, NI Troubles (Legacy and Reconciliation) Act 2023.</w:t>
      </w:r>
    </w:p>
  </w:footnote>
  <w:footnote w:id="60">
    <w:p w14:paraId="70B25993" w14:textId="6C4363EA" w:rsidR="00CD7FF5" w:rsidRPr="00D4336D" w:rsidRDefault="00CD7FF5" w:rsidP="00D4336D">
      <w:pPr>
        <w:pStyle w:val="NIHRCFootnotes"/>
      </w:pPr>
      <w:r w:rsidRPr="00D4336D">
        <w:rPr>
          <w:rStyle w:val="FootnoteReference"/>
        </w:rPr>
        <w:footnoteRef/>
      </w:r>
      <w:r w:rsidRPr="00D4336D">
        <w:t xml:space="preserve"> </w:t>
      </w:r>
      <w:r w:rsidR="00AA2805" w:rsidRPr="00D4336D">
        <w:t>Section</w:t>
      </w:r>
      <w:r w:rsidRPr="00D4336D">
        <w:t xml:space="preserve"> 2(</w:t>
      </w:r>
      <w:r w:rsidR="00AA2805" w:rsidRPr="00D4336D">
        <w:t>1</w:t>
      </w:r>
      <w:r w:rsidRPr="00D4336D">
        <w:t xml:space="preserve">1), NI Troubles (Legacy and Reconciliation) </w:t>
      </w:r>
      <w:r w:rsidR="00DF0304" w:rsidRPr="00D4336D">
        <w:t>Act 2023</w:t>
      </w:r>
      <w:r w:rsidRPr="00D4336D">
        <w:t>.</w:t>
      </w:r>
    </w:p>
  </w:footnote>
  <w:footnote w:id="61">
    <w:p w14:paraId="12A8A476" w14:textId="500FFD5C" w:rsidR="006C22E4" w:rsidRPr="00D4336D" w:rsidRDefault="006C22E4" w:rsidP="00D4336D">
      <w:pPr>
        <w:pStyle w:val="NIHRCFootnotes"/>
      </w:pPr>
      <w:r w:rsidRPr="00D4336D">
        <w:rPr>
          <w:rStyle w:val="FootnoteReference"/>
        </w:rPr>
        <w:footnoteRef/>
      </w:r>
      <w:r w:rsidRPr="00D4336D">
        <w:t xml:space="preserve"> Section </w:t>
      </w:r>
      <w:r w:rsidR="00362BAF" w:rsidRPr="00D4336D">
        <w:t>36, NI Troubles (Legacy and Reconciliation) Act 2023.</w:t>
      </w:r>
    </w:p>
  </w:footnote>
  <w:footnote w:id="62">
    <w:p w14:paraId="28AFBBAA" w14:textId="77777777" w:rsidR="005112D2" w:rsidRPr="00D4336D" w:rsidRDefault="005112D2" w:rsidP="00D4336D">
      <w:pPr>
        <w:pStyle w:val="NIHRCFootnotes"/>
      </w:pPr>
      <w:r w:rsidRPr="00D4336D">
        <w:rPr>
          <w:rStyle w:val="FootnoteReference"/>
        </w:rPr>
        <w:footnoteRef/>
      </w:r>
      <w:r w:rsidRPr="00D4336D">
        <w:t xml:space="preserve"> Section 37(1), NI Troubles (Legacy and Reconciliation) Act 2023.</w:t>
      </w:r>
    </w:p>
  </w:footnote>
  <w:footnote w:id="63">
    <w:p w14:paraId="468F31A4" w14:textId="324CC5C2" w:rsidR="00563BBD" w:rsidRPr="00D4336D" w:rsidRDefault="00563BBD" w:rsidP="00D4336D">
      <w:pPr>
        <w:pStyle w:val="NIHRCFootnotes"/>
      </w:pPr>
      <w:r w:rsidRPr="00D4336D">
        <w:rPr>
          <w:rStyle w:val="FootnoteReference"/>
        </w:rPr>
        <w:footnoteRef/>
      </w:r>
      <w:r w:rsidRPr="00D4336D">
        <w:t xml:space="preserve"> </w:t>
      </w:r>
      <w:r w:rsidR="009301F5" w:rsidRPr="00D4336D">
        <w:rPr>
          <w:i/>
          <w:iCs/>
        </w:rPr>
        <w:t>In the Matter of an Application by Martina Dillon and Others for Judicial Review</w:t>
      </w:r>
      <w:r w:rsidR="009301F5" w:rsidRPr="00D4336D">
        <w:t xml:space="preserve"> [2024] NIKB 11, a</w:t>
      </w:r>
      <w:r w:rsidR="0046451D" w:rsidRPr="00D4336D">
        <w:t xml:space="preserve">t para </w:t>
      </w:r>
      <w:r w:rsidR="009301F5" w:rsidRPr="00D4336D">
        <w:t>265.</w:t>
      </w:r>
    </w:p>
  </w:footnote>
  <w:footnote w:id="64">
    <w:p w14:paraId="690CABA6" w14:textId="781B116C" w:rsidR="007A0886" w:rsidRPr="00D4336D" w:rsidRDefault="007A0886" w:rsidP="00D4336D">
      <w:pPr>
        <w:pStyle w:val="NIHRCFootnotes"/>
      </w:pPr>
      <w:r w:rsidRPr="00D4336D">
        <w:rPr>
          <w:rStyle w:val="FootnoteReference"/>
        </w:rPr>
        <w:footnoteRef/>
      </w:r>
      <w:r w:rsidRPr="00D4336D">
        <w:t xml:space="preserve"> </w:t>
      </w:r>
      <w:r w:rsidR="00573A29" w:rsidRPr="00D4336D">
        <w:t>Ibid</w:t>
      </w:r>
      <w:r w:rsidR="00AA1FDD" w:rsidRPr="00D4336D">
        <w:t>, at para 261.</w:t>
      </w:r>
    </w:p>
  </w:footnote>
  <w:footnote w:id="65">
    <w:p w14:paraId="24A3E599" w14:textId="7279310F" w:rsidR="002D4A12" w:rsidRPr="00D4336D" w:rsidRDefault="002D4A12" w:rsidP="00D4336D">
      <w:pPr>
        <w:pStyle w:val="NIHRCFootnotes"/>
      </w:pPr>
      <w:r w:rsidRPr="00D4336D">
        <w:rPr>
          <w:rStyle w:val="FootnoteReference"/>
        </w:rPr>
        <w:footnoteRef/>
      </w:r>
      <w:r w:rsidRPr="00D4336D">
        <w:t xml:space="preserve"> </w:t>
      </w:r>
      <w:r w:rsidR="00723BC5" w:rsidRPr="00D4336D">
        <w:t xml:space="preserve">Section 2(3)(c) and </w:t>
      </w:r>
      <w:r w:rsidR="004616A9" w:rsidRPr="00D4336D">
        <w:t>Paragraph</w:t>
      </w:r>
      <w:r w:rsidR="00723BC5" w:rsidRPr="00D4336D">
        <w:t xml:space="preserve"> 7 of Schedule 1, NI Troubles (Legacy and Reconciliation) Act 2023.</w:t>
      </w:r>
    </w:p>
  </w:footnote>
  <w:footnote w:id="66">
    <w:p w14:paraId="3FB186DA" w14:textId="32E22BDA" w:rsidR="00206E2B" w:rsidRPr="00D4336D" w:rsidRDefault="00206E2B" w:rsidP="00D4336D">
      <w:pPr>
        <w:pStyle w:val="NIHRCFootnotes"/>
      </w:pPr>
      <w:r w:rsidRPr="00D4336D">
        <w:rPr>
          <w:rStyle w:val="FootnoteReference"/>
        </w:rPr>
        <w:footnoteRef/>
      </w:r>
      <w:r w:rsidRPr="00D4336D">
        <w:t xml:space="preserve"> </w:t>
      </w:r>
      <w:r w:rsidR="00A63CFB" w:rsidRPr="00D4336D">
        <w:t>UK Parliament Hansard, ‘</w:t>
      </w:r>
      <w:r w:rsidR="00396E2A" w:rsidRPr="00D4336D">
        <w:t xml:space="preserve">House of Lords: </w:t>
      </w:r>
      <w:r w:rsidR="004921D5" w:rsidRPr="00D4336D">
        <w:t>NI</w:t>
      </w:r>
      <w:r w:rsidR="00396E2A" w:rsidRPr="00D4336D">
        <w:t xml:space="preserve"> Troubles (Legacy and Reconciliation) Bill </w:t>
      </w:r>
      <w:r w:rsidR="00BF0A3A" w:rsidRPr="00D4336D">
        <w:t>–</w:t>
      </w:r>
      <w:r w:rsidR="00396E2A" w:rsidRPr="00D4336D">
        <w:t xml:space="preserve"> </w:t>
      </w:r>
      <w:r w:rsidR="00477AEA" w:rsidRPr="00D4336D">
        <w:t xml:space="preserve">Lord Caine - </w:t>
      </w:r>
      <w:r w:rsidR="00BF0A3A" w:rsidRPr="00D4336D">
        <w:t>Volume 831</w:t>
      </w:r>
      <w:r w:rsidR="00142D9C" w:rsidRPr="00D4336D">
        <w:t>: debated on Wednesday 21 June 2023</w:t>
      </w:r>
      <w:r w:rsidR="00BF0A3A" w:rsidRPr="00D4336D">
        <w:t>’</w:t>
      </w:r>
      <w:r w:rsidR="00142D9C" w:rsidRPr="00D4336D">
        <w:t>, (UK Parliam</w:t>
      </w:r>
      <w:r w:rsidR="00B12219" w:rsidRPr="00D4336D">
        <w:t xml:space="preserve">ent, 2023). </w:t>
      </w:r>
    </w:p>
  </w:footnote>
  <w:footnote w:id="67">
    <w:p w14:paraId="78A97831" w14:textId="05261C76" w:rsidR="00206E2B" w:rsidRPr="00D4336D" w:rsidRDefault="00206E2B" w:rsidP="00D4336D">
      <w:pPr>
        <w:pStyle w:val="NIHRCFootnotes"/>
      </w:pPr>
      <w:r w:rsidRPr="00D4336D">
        <w:rPr>
          <w:rStyle w:val="FootnoteReference"/>
        </w:rPr>
        <w:footnoteRef/>
      </w:r>
      <w:r w:rsidRPr="00D4336D">
        <w:t xml:space="preserve"> </w:t>
      </w:r>
      <w:r w:rsidR="006E18C1" w:rsidRPr="00D4336D">
        <w:t>Ibid.</w:t>
      </w:r>
    </w:p>
  </w:footnote>
  <w:footnote w:id="68">
    <w:p w14:paraId="4053D690" w14:textId="4D746B3F" w:rsidR="00F06921" w:rsidRPr="00D4336D" w:rsidRDefault="00F06921" w:rsidP="00D4336D">
      <w:pPr>
        <w:pStyle w:val="NIHRCFootnotes"/>
      </w:pPr>
      <w:r w:rsidRPr="00D4336D">
        <w:rPr>
          <w:rStyle w:val="FootnoteReference"/>
        </w:rPr>
        <w:footnoteRef/>
      </w:r>
      <w:r w:rsidRPr="00D4336D">
        <w:t xml:space="preserve"> Section 2(3)(c) and </w:t>
      </w:r>
      <w:r w:rsidR="004616A9" w:rsidRPr="00D4336D">
        <w:t>Paragraph</w:t>
      </w:r>
      <w:r w:rsidRPr="00D4336D">
        <w:t xml:space="preserve"> 7 of Schedule 1, NI Troubles (Legacy and Reconciliation) Act 2023.</w:t>
      </w:r>
    </w:p>
  </w:footnote>
  <w:footnote w:id="69">
    <w:p w14:paraId="65A99AAE" w14:textId="636F503B" w:rsidR="00BF339E" w:rsidRPr="00D4336D" w:rsidRDefault="00BF339E" w:rsidP="00D4336D">
      <w:pPr>
        <w:pStyle w:val="NIHRCFootnotes"/>
      </w:pPr>
      <w:r w:rsidRPr="00D4336D">
        <w:rPr>
          <w:rStyle w:val="FootnoteReference"/>
        </w:rPr>
        <w:footnoteRef/>
      </w:r>
      <w:r w:rsidRPr="00D4336D">
        <w:t xml:space="preserve"> Operation Kenova, ‘ECHR: Fundamental Freedoms Compliance – Version 3’ (OK, Date Unknown), at 9.</w:t>
      </w:r>
    </w:p>
  </w:footnote>
  <w:footnote w:id="70">
    <w:p w14:paraId="6360F599" w14:textId="6D77E825" w:rsidR="00837D2E" w:rsidRPr="00D4336D" w:rsidRDefault="00837D2E" w:rsidP="00D4336D">
      <w:pPr>
        <w:pStyle w:val="NIHRCFootnotes"/>
      </w:pPr>
      <w:r w:rsidRPr="00D4336D">
        <w:rPr>
          <w:rStyle w:val="FootnoteReference"/>
        </w:rPr>
        <w:footnoteRef/>
      </w:r>
      <w:r w:rsidRPr="00D4336D">
        <w:t xml:space="preserve"> Section 5, NI Troubles (Legacy and Reconciliation) Act 2023.</w:t>
      </w:r>
    </w:p>
  </w:footnote>
  <w:footnote w:id="71">
    <w:p w14:paraId="1FA15880" w14:textId="4A8EECEF" w:rsidR="00DA1CFC" w:rsidRPr="00D4336D" w:rsidRDefault="00DA1CFC" w:rsidP="00D4336D">
      <w:pPr>
        <w:pStyle w:val="NIHRCFootnotes"/>
      </w:pPr>
      <w:r w:rsidRPr="00D4336D">
        <w:rPr>
          <w:rStyle w:val="FootnoteReference"/>
        </w:rPr>
        <w:footnoteRef/>
      </w:r>
      <w:r w:rsidRPr="00D4336D">
        <w:t xml:space="preserve"> Section 6, NI Troubles (Legacy and Reconciliation) Act 2023.</w:t>
      </w:r>
    </w:p>
  </w:footnote>
  <w:footnote w:id="72">
    <w:p w14:paraId="2AEACC8F" w14:textId="7AC8593B" w:rsidR="00DB3D6B" w:rsidRPr="00D4336D" w:rsidRDefault="00DB3D6B" w:rsidP="00D4336D">
      <w:pPr>
        <w:pStyle w:val="NIHRCFootnotes"/>
      </w:pPr>
      <w:r w:rsidRPr="00D4336D">
        <w:rPr>
          <w:rStyle w:val="FootnoteReference"/>
        </w:rPr>
        <w:footnoteRef/>
      </w:r>
      <w:r w:rsidRPr="00D4336D">
        <w:t xml:space="preserve"> Section 9(7), </w:t>
      </w:r>
      <w:r w:rsidR="00D71A1B" w:rsidRPr="00D4336D">
        <w:t xml:space="preserve">NI </w:t>
      </w:r>
      <w:r w:rsidRPr="00D4336D">
        <w:t xml:space="preserve">Troubles (Legacy and Reconciliation) Act 2023. </w:t>
      </w:r>
    </w:p>
  </w:footnote>
  <w:footnote w:id="73">
    <w:p w14:paraId="055CFA27" w14:textId="339FC3F0" w:rsidR="00CF49DF" w:rsidRPr="00D4336D" w:rsidRDefault="00CF49DF" w:rsidP="00D4336D">
      <w:pPr>
        <w:pStyle w:val="NIHRCFootnotes"/>
      </w:pPr>
      <w:r w:rsidRPr="00D4336D">
        <w:rPr>
          <w:rStyle w:val="FootnoteReference"/>
        </w:rPr>
        <w:footnoteRef/>
      </w:r>
      <w:r w:rsidRPr="00D4336D">
        <w:t xml:space="preserve"> Section</w:t>
      </w:r>
      <w:r w:rsidR="00D71A1B" w:rsidRPr="00D4336D">
        <w:t xml:space="preserve"> 11</w:t>
      </w:r>
      <w:r w:rsidR="00271ED6" w:rsidRPr="00D4336D">
        <w:t>,</w:t>
      </w:r>
      <w:r w:rsidR="00D71A1B" w:rsidRPr="00D4336D">
        <w:t xml:space="preserve"> NI Troubles (Legacy and Reconciliation) Act 2023.</w:t>
      </w:r>
    </w:p>
  </w:footnote>
  <w:footnote w:id="74">
    <w:p w14:paraId="5F2315F2" w14:textId="6D7DC25D" w:rsidR="00660E52" w:rsidRPr="00D4336D" w:rsidRDefault="00660E52" w:rsidP="00D4336D">
      <w:pPr>
        <w:pStyle w:val="NIHRCFootnotes"/>
      </w:pPr>
      <w:r w:rsidRPr="00D4336D">
        <w:rPr>
          <w:rStyle w:val="FootnoteReference"/>
        </w:rPr>
        <w:footnoteRef/>
      </w:r>
      <w:r w:rsidRPr="00D4336D">
        <w:t xml:space="preserve"> Section 12, NI Troubles (Legacy and Reconciliation) Act 2023.</w:t>
      </w:r>
    </w:p>
  </w:footnote>
  <w:footnote w:id="75">
    <w:p w14:paraId="4CAC46D2" w14:textId="585DEC2F" w:rsidR="00953453" w:rsidRPr="00D4336D" w:rsidRDefault="00953453" w:rsidP="00D4336D">
      <w:pPr>
        <w:pStyle w:val="NIHRCFootnotes"/>
      </w:pPr>
      <w:r w:rsidRPr="00D4336D">
        <w:rPr>
          <w:rStyle w:val="FootnoteReference"/>
        </w:rPr>
        <w:footnoteRef/>
      </w:r>
      <w:r w:rsidRPr="00D4336D">
        <w:t xml:space="preserve"> </w:t>
      </w:r>
      <w:r w:rsidR="0086072D" w:rsidRPr="00D4336D">
        <w:t>Section 13(1), NI Troubles (Legacy and Reconciliation) Act 2023.</w:t>
      </w:r>
    </w:p>
  </w:footnote>
  <w:footnote w:id="76">
    <w:p w14:paraId="317AB218" w14:textId="180D7426" w:rsidR="006E15B1" w:rsidRPr="00D4336D" w:rsidRDefault="006E15B1" w:rsidP="00D4336D">
      <w:pPr>
        <w:pStyle w:val="NIHRCFootnotes"/>
      </w:pPr>
      <w:r w:rsidRPr="00D4336D">
        <w:rPr>
          <w:rStyle w:val="FootnoteReference"/>
        </w:rPr>
        <w:footnoteRef/>
      </w:r>
      <w:r w:rsidRPr="00D4336D">
        <w:t xml:space="preserve"> </w:t>
      </w:r>
      <w:r w:rsidR="00FC3F1C" w:rsidRPr="00D4336D">
        <w:t>Independent Commission for Reconciliation and Information Recovery, ‘Press Release: Commissioner for Investigations identified to lead ICRIR work’, 14 September 2023.</w:t>
      </w:r>
    </w:p>
  </w:footnote>
  <w:footnote w:id="77">
    <w:p w14:paraId="40B46630" w14:textId="0AC6A07C" w:rsidR="00706071" w:rsidRPr="00D4336D" w:rsidRDefault="00706071" w:rsidP="00D4336D">
      <w:pPr>
        <w:pStyle w:val="NIHRCFootnotes"/>
      </w:pPr>
      <w:r w:rsidRPr="00D4336D">
        <w:rPr>
          <w:rStyle w:val="FootnoteReference"/>
        </w:rPr>
        <w:footnoteRef/>
      </w:r>
      <w:r w:rsidRPr="00D4336D">
        <w:t xml:space="preserve"> </w:t>
      </w:r>
      <w:r w:rsidR="004616A9" w:rsidRPr="00D4336D">
        <w:t>Paragraph</w:t>
      </w:r>
      <w:r w:rsidR="00953453" w:rsidRPr="00D4336D">
        <w:t xml:space="preserve"> 11</w:t>
      </w:r>
      <w:r w:rsidR="004616A9" w:rsidRPr="00D4336D">
        <w:t xml:space="preserve"> of</w:t>
      </w:r>
      <w:r w:rsidR="00953453" w:rsidRPr="00D4336D">
        <w:t xml:space="preserve"> </w:t>
      </w:r>
      <w:r w:rsidR="002900BA" w:rsidRPr="00D4336D">
        <w:t>Schedule 1, NI Troubles (Legacy and Reconciliation) Act 2023.</w:t>
      </w:r>
    </w:p>
  </w:footnote>
  <w:footnote w:id="78">
    <w:p w14:paraId="395169D1" w14:textId="0DE21A95" w:rsidR="005E7D01" w:rsidRPr="00D4336D" w:rsidRDefault="005E7D01" w:rsidP="00D4336D">
      <w:pPr>
        <w:pStyle w:val="NIHRCFootnotes"/>
      </w:pPr>
      <w:r w:rsidRPr="00D4336D">
        <w:rPr>
          <w:rStyle w:val="FootnoteReference"/>
        </w:rPr>
        <w:footnoteRef/>
      </w:r>
      <w:r w:rsidRPr="00D4336D">
        <w:t xml:space="preserve"> </w:t>
      </w:r>
      <w:r w:rsidR="006C006F" w:rsidRPr="00D4336D">
        <w:rPr>
          <w:i/>
        </w:rPr>
        <w:t>McKerr v UK</w:t>
      </w:r>
      <w:r w:rsidR="006C006F" w:rsidRPr="00D4336D">
        <w:t xml:space="preserve"> (2001) ECHR 329, at para </w:t>
      </w:r>
      <w:r w:rsidR="00A40816" w:rsidRPr="00D4336D">
        <w:t>112.</w:t>
      </w:r>
    </w:p>
  </w:footnote>
  <w:footnote w:id="79">
    <w:p w14:paraId="18A3361D" w14:textId="5F5B05AB" w:rsidR="00F730CD" w:rsidRPr="00D4336D" w:rsidRDefault="00F730CD" w:rsidP="00D4336D">
      <w:pPr>
        <w:pStyle w:val="NIHRCFootnotes"/>
      </w:pPr>
      <w:r w:rsidRPr="00D4336D">
        <w:rPr>
          <w:rStyle w:val="FootnoteReference"/>
        </w:rPr>
        <w:footnoteRef/>
      </w:r>
      <w:r w:rsidRPr="00D4336D">
        <w:t xml:space="preserve"> </w:t>
      </w:r>
      <w:r w:rsidR="00FD3ECC" w:rsidRPr="00D4336D">
        <w:rPr>
          <w:i/>
          <w:iCs/>
        </w:rPr>
        <w:t>Armani da Silva v UK</w:t>
      </w:r>
      <w:r w:rsidR="00FD3ECC" w:rsidRPr="00D4336D">
        <w:t xml:space="preserve"> (2016) ECHR 314, at para 232</w:t>
      </w:r>
      <w:r w:rsidR="00D537BD" w:rsidRPr="00D4336D">
        <w:t>.</w:t>
      </w:r>
    </w:p>
  </w:footnote>
  <w:footnote w:id="80">
    <w:p w14:paraId="0B949772" w14:textId="733DEA5B" w:rsidR="007F46A0" w:rsidRPr="00D4336D" w:rsidRDefault="007F46A0" w:rsidP="00D4336D">
      <w:pPr>
        <w:pStyle w:val="NIHRCFootnotes"/>
      </w:pPr>
      <w:r w:rsidRPr="00D4336D">
        <w:rPr>
          <w:rStyle w:val="FootnoteReference"/>
        </w:rPr>
        <w:footnoteRef/>
      </w:r>
      <w:r w:rsidRPr="00D4336D">
        <w:t xml:space="preserve"> </w:t>
      </w:r>
      <w:r w:rsidR="006E45D4" w:rsidRPr="00D4336D">
        <w:rPr>
          <w:i/>
          <w:iCs/>
        </w:rPr>
        <w:t>Bektaş and Özalp v Turkey</w:t>
      </w:r>
      <w:r w:rsidR="00C774B4" w:rsidRPr="00D4336D">
        <w:t xml:space="preserve"> (</w:t>
      </w:r>
      <w:r w:rsidR="006E45D4" w:rsidRPr="00D4336D">
        <w:t>2010</w:t>
      </w:r>
      <w:r w:rsidR="00C774B4" w:rsidRPr="00D4336D">
        <w:t>) ECHR 617, at para</w:t>
      </w:r>
      <w:r w:rsidR="006E45D4" w:rsidRPr="00D4336D">
        <w:t xml:space="preserve"> 66; </w:t>
      </w:r>
      <w:r w:rsidR="006E45D4" w:rsidRPr="00D4336D">
        <w:rPr>
          <w:i/>
          <w:iCs/>
        </w:rPr>
        <w:t>Orhan v. Turkey</w:t>
      </w:r>
      <w:r w:rsidR="00BB412F" w:rsidRPr="00D4336D">
        <w:t xml:space="preserve"> (200</w:t>
      </w:r>
      <w:r w:rsidR="0053365A" w:rsidRPr="00D4336D">
        <w:t>2</w:t>
      </w:r>
      <w:r w:rsidR="00BB412F" w:rsidRPr="00D4336D">
        <w:t xml:space="preserve">) ECHR </w:t>
      </w:r>
      <w:r w:rsidR="00FD649D" w:rsidRPr="00D4336D">
        <w:t>497, at para</w:t>
      </w:r>
      <w:r w:rsidR="006E45D4" w:rsidRPr="00D4336D">
        <w:t xml:space="preserve"> 342</w:t>
      </w:r>
      <w:r w:rsidR="00FD649D" w:rsidRPr="00D4336D">
        <w:t>.</w:t>
      </w:r>
    </w:p>
  </w:footnote>
  <w:footnote w:id="81">
    <w:p w14:paraId="7BAEEC5E" w14:textId="78C8B218" w:rsidR="00572A7F" w:rsidRPr="00D4336D" w:rsidRDefault="0026317A" w:rsidP="00D4336D">
      <w:pPr>
        <w:pStyle w:val="NIHRCFootnotes"/>
      </w:pPr>
      <w:r w:rsidRPr="00D4336D">
        <w:rPr>
          <w:rStyle w:val="FootnoteReference"/>
        </w:rPr>
        <w:footnoteRef/>
      </w:r>
      <w:r w:rsidRPr="00D4336D">
        <w:t xml:space="preserve"> </w:t>
      </w:r>
      <w:r w:rsidR="00572A7F" w:rsidRPr="00D4336D">
        <w:rPr>
          <w:i/>
          <w:iCs/>
        </w:rPr>
        <w:t xml:space="preserve">Ramsahai and </w:t>
      </w:r>
      <w:r w:rsidR="00572A7F" w:rsidRPr="00D4336D">
        <w:rPr>
          <w:i/>
          <w:iCs/>
        </w:rPr>
        <w:t>Others v Netherlands</w:t>
      </w:r>
      <w:r w:rsidR="00572A7F" w:rsidRPr="00D4336D">
        <w:t xml:space="preserve"> </w:t>
      </w:r>
      <w:r w:rsidR="00FD649D" w:rsidRPr="00D4336D">
        <w:t>(2007) ECHR 393, at para</w:t>
      </w:r>
      <w:r w:rsidR="00572A7F" w:rsidRPr="00D4336D">
        <w:t xml:space="preserve"> 335-341; </w:t>
      </w:r>
      <w:r w:rsidR="00572A7F" w:rsidRPr="00D4336D">
        <w:rPr>
          <w:i/>
          <w:iCs/>
        </w:rPr>
        <w:t>Emars v Latvia</w:t>
      </w:r>
      <w:r w:rsidR="00B453F4" w:rsidRPr="00D4336D">
        <w:t xml:space="preserve"> (2014) ECHR 1302, at para</w:t>
      </w:r>
      <w:r w:rsidR="00572A7F" w:rsidRPr="00D4336D">
        <w:t xml:space="preserve"> 85 and 95</w:t>
      </w:r>
      <w:r w:rsidR="00B453F4" w:rsidRPr="00D4336D">
        <w:t>.</w:t>
      </w:r>
    </w:p>
  </w:footnote>
  <w:footnote w:id="82">
    <w:p w14:paraId="2A287A16" w14:textId="18FF393C" w:rsidR="00105EA9" w:rsidRPr="00D4336D" w:rsidRDefault="00105EA9" w:rsidP="00D4336D">
      <w:pPr>
        <w:pStyle w:val="FootnoteText"/>
        <w:spacing w:line="240" w:lineRule="auto"/>
        <w:rPr>
          <w:color w:val="77328A"/>
          <w:sz w:val="16"/>
          <w:szCs w:val="16"/>
        </w:rPr>
      </w:pPr>
      <w:r w:rsidRPr="00D4336D">
        <w:rPr>
          <w:rStyle w:val="FootnoteReference"/>
          <w:color w:val="77328A"/>
          <w:sz w:val="16"/>
          <w:szCs w:val="16"/>
        </w:rPr>
        <w:footnoteRef/>
      </w:r>
      <w:r w:rsidRPr="00D4336D">
        <w:rPr>
          <w:color w:val="77328A"/>
          <w:sz w:val="16"/>
          <w:szCs w:val="16"/>
        </w:rPr>
        <w:t xml:space="preserve"> </w:t>
      </w:r>
      <w:r w:rsidR="00FA2C74" w:rsidRPr="00D4336D">
        <w:rPr>
          <w:color w:val="77328A"/>
          <w:sz w:val="16"/>
          <w:szCs w:val="16"/>
        </w:rPr>
        <w:t>NI Human Rights Commission, ‘Advice on NI Troubles (Legacy and Reconciliation) Bill’ (NIHRC, 2022), at paras 2.47 and 2.48.</w:t>
      </w:r>
    </w:p>
  </w:footnote>
  <w:footnote w:id="83">
    <w:p w14:paraId="12A9E03B" w14:textId="1BE1AD66" w:rsidR="00525DC6" w:rsidRPr="00D4336D" w:rsidRDefault="00525DC6" w:rsidP="00D4336D">
      <w:pPr>
        <w:pStyle w:val="NIHRCFootnotes"/>
      </w:pPr>
      <w:r w:rsidRPr="00D4336D">
        <w:rPr>
          <w:rStyle w:val="FootnoteReference"/>
        </w:rPr>
        <w:footnoteRef/>
      </w:r>
      <w:r w:rsidRPr="00D4336D">
        <w:t xml:space="preserve"> </w:t>
      </w:r>
      <w:r w:rsidR="00401B93" w:rsidRPr="00D4336D">
        <w:t>Sections</w:t>
      </w:r>
      <w:r w:rsidRPr="00D4336D">
        <w:t xml:space="preserve"> 9-</w:t>
      </w:r>
      <w:r w:rsidR="00401B93" w:rsidRPr="00D4336D">
        <w:t>18</w:t>
      </w:r>
      <w:r w:rsidRPr="00D4336D">
        <w:t xml:space="preserve"> and 2</w:t>
      </w:r>
      <w:r w:rsidR="00EE319E" w:rsidRPr="00D4336D">
        <w:t>8-29</w:t>
      </w:r>
      <w:r w:rsidRPr="00D4336D">
        <w:t xml:space="preserve">, NI Troubles (Legacy and Reconciliation) </w:t>
      </w:r>
      <w:r w:rsidR="00EE319E" w:rsidRPr="00D4336D">
        <w:t>Act 2023</w:t>
      </w:r>
      <w:r w:rsidRPr="00D4336D">
        <w:t>.</w:t>
      </w:r>
    </w:p>
  </w:footnote>
  <w:footnote w:id="84">
    <w:p w14:paraId="508F2CF7" w14:textId="1EA2350D" w:rsidR="007E2DB5" w:rsidRPr="00D4336D" w:rsidRDefault="007E2DB5" w:rsidP="00D4336D">
      <w:pPr>
        <w:pStyle w:val="NIHRCFootnotes"/>
      </w:pPr>
      <w:r w:rsidRPr="00D4336D">
        <w:rPr>
          <w:rStyle w:val="FootnoteReference"/>
        </w:rPr>
        <w:footnoteRef/>
      </w:r>
      <w:r w:rsidRPr="00D4336D">
        <w:t xml:space="preserve"> This is </w:t>
      </w:r>
      <w:r w:rsidR="00C71C10" w:rsidRPr="00D4336D">
        <w:t xml:space="preserve">compounded by concerns about compellability below. </w:t>
      </w:r>
    </w:p>
  </w:footnote>
  <w:footnote w:id="85">
    <w:p w14:paraId="510A32CF" w14:textId="3B563436" w:rsidR="00F85DD9" w:rsidRPr="00D4336D" w:rsidRDefault="00F85DD9" w:rsidP="00D4336D">
      <w:pPr>
        <w:pStyle w:val="NIHRCFootnotes"/>
      </w:pPr>
      <w:r w:rsidRPr="00D4336D">
        <w:rPr>
          <w:rStyle w:val="FootnoteReference"/>
        </w:rPr>
        <w:footnoteRef/>
      </w:r>
      <w:r w:rsidRPr="00D4336D">
        <w:t xml:space="preserve"> </w:t>
      </w:r>
      <w:r w:rsidR="005B3E0C" w:rsidRPr="00D4336D">
        <w:t>Section</w:t>
      </w:r>
      <w:r w:rsidRPr="00D4336D">
        <w:t xml:space="preserve"> 9, NI Troubles (Legacy and Reconciliation) </w:t>
      </w:r>
      <w:r w:rsidR="005B3E0C" w:rsidRPr="00D4336D">
        <w:t>Act 2023</w:t>
      </w:r>
      <w:r w:rsidRPr="00D4336D">
        <w:t>.</w:t>
      </w:r>
    </w:p>
  </w:footnote>
  <w:footnote w:id="86">
    <w:p w14:paraId="611B92C5" w14:textId="2405DFD2" w:rsidR="00FE497E" w:rsidRPr="00D4336D" w:rsidRDefault="00FE497E" w:rsidP="00D4336D">
      <w:pPr>
        <w:pStyle w:val="NIHRCFootnotes"/>
      </w:pPr>
      <w:r w:rsidRPr="00D4336D">
        <w:rPr>
          <w:rStyle w:val="FootnoteReference"/>
        </w:rPr>
        <w:footnoteRef/>
      </w:r>
      <w:r w:rsidRPr="00D4336D">
        <w:t xml:space="preserve"> </w:t>
      </w:r>
      <w:r w:rsidRPr="00D4336D">
        <w:rPr>
          <w:i/>
        </w:rPr>
        <w:t xml:space="preserve">McCann v </w:t>
      </w:r>
      <w:r w:rsidR="008F0ACF" w:rsidRPr="00D4336D">
        <w:rPr>
          <w:i/>
        </w:rPr>
        <w:t>UK</w:t>
      </w:r>
      <w:r w:rsidRPr="00D4336D">
        <w:t xml:space="preserve"> (1995) 21 EHRR 97, at para 173; </w:t>
      </w:r>
      <w:r w:rsidRPr="00D4336D">
        <w:rPr>
          <w:i/>
        </w:rPr>
        <w:t xml:space="preserve">McKerr v </w:t>
      </w:r>
      <w:r w:rsidR="008F0ACF" w:rsidRPr="00D4336D">
        <w:rPr>
          <w:i/>
        </w:rPr>
        <w:t>UK</w:t>
      </w:r>
      <w:r w:rsidRPr="00D4336D">
        <w:t xml:space="preserve"> (2001) ECHR 329, at para 111; </w:t>
      </w:r>
      <w:r w:rsidRPr="00D4336D">
        <w:rPr>
          <w:i/>
        </w:rPr>
        <w:t xml:space="preserve">Hugh Jordan v </w:t>
      </w:r>
      <w:r w:rsidR="008F0ACF" w:rsidRPr="00D4336D">
        <w:rPr>
          <w:i/>
        </w:rPr>
        <w:t>UK</w:t>
      </w:r>
      <w:r w:rsidRPr="00D4336D">
        <w:t xml:space="preserve"> (2001) ECHR 327, at para 105.</w:t>
      </w:r>
    </w:p>
  </w:footnote>
  <w:footnote w:id="87">
    <w:p w14:paraId="64015FE5" w14:textId="00451BAF" w:rsidR="0089611B" w:rsidRPr="00D4336D" w:rsidRDefault="0089611B" w:rsidP="00D4336D">
      <w:pPr>
        <w:pStyle w:val="NIHRCFootnotes"/>
      </w:pPr>
      <w:r w:rsidRPr="00D4336D">
        <w:rPr>
          <w:rStyle w:val="FootnoteReference"/>
        </w:rPr>
        <w:footnoteRef/>
      </w:r>
      <w:r w:rsidRPr="00D4336D">
        <w:t xml:space="preserve"> </w:t>
      </w:r>
      <w:r w:rsidR="000523BD" w:rsidRPr="00D4336D">
        <w:rPr>
          <w:i/>
          <w:iCs/>
        </w:rPr>
        <w:t>In the Matter of an Application by Martina Dillon and Others for Judicial Review</w:t>
      </w:r>
      <w:r w:rsidR="000523BD" w:rsidRPr="00D4336D">
        <w:t xml:space="preserve"> [2024] NIKB 11, at para 261.</w:t>
      </w:r>
    </w:p>
  </w:footnote>
  <w:footnote w:id="88">
    <w:p w14:paraId="53FBBE3E" w14:textId="0E01C6CB" w:rsidR="006B6D14" w:rsidRPr="00D4336D" w:rsidRDefault="006B6D14" w:rsidP="00D4336D">
      <w:pPr>
        <w:pStyle w:val="NIHRCFootnotes"/>
      </w:pPr>
      <w:r w:rsidRPr="00D4336D">
        <w:rPr>
          <w:rStyle w:val="FootnoteReference"/>
        </w:rPr>
        <w:footnoteRef/>
      </w:r>
      <w:r w:rsidRPr="00D4336D">
        <w:t xml:space="preserve"> CM/Notes/1436/H46-35, ‘</w:t>
      </w:r>
      <w:r w:rsidRPr="00D4336D">
        <w:t>CoE Committee of Ministers Decision on McKerr Group v UK (Application No 28883/95), 10 June 2022.</w:t>
      </w:r>
    </w:p>
  </w:footnote>
  <w:footnote w:id="89">
    <w:p w14:paraId="4AF36333" w14:textId="7A951671" w:rsidR="000C7F45" w:rsidRPr="00D4336D" w:rsidRDefault="000C7F45" w:rsidP="00D4336D">
      <w:pPr>
        <w:pStyle w:val="NIHRCFootnotes"/>
      </w:pPr>
      <w:r w:rsidRPr="00D4336D">
        <w:rPr>
          <w:rStyle w:val="FootnoteReference"/>
        </w:rPr>
        <w:footnoteRef/>
      </w:r>
      <w:r w:rsidRPr="00D4336D">
        <w:t xml:space="preserve"> </w:t>
      </w:r>
      <w:r w:rsidR="001D5E4A" w:rsidRPr="00D4336D">
        <w:t xml:space="preserve">UK Government, </w:t>
      </w:r>
      <w:r w:rsidR="00DD5CB8" w:rsidRPr="00D4336D">
        <w:t xml:space="preserve">‘NI Troubles (Legacy and Reconciliation) </w:t>
      </w:r>
      <w:r w:rsidR="000A6663" w:rsidRPr="00D4336D">
        <w:t>Act 2023</w:t>
      </w:r>
      <w:r w:rsidR="00DD5CB8" w:rsidRPr="00D4336D">
        <w:t xml:space="preserve">: </w:t>
      </w:r>
      <w:r w:rsidRPr="00D4336D">
        <w:t>Explanatory Notes</w:t>
      </w:r>
      <w:r w:rsidR="00DD5CB8" w:rsidRPr="00D4336D">
        <w:t>’</w:t>
      </w:r>
      <w:r w:rsidR="001D5E4A" w:rsidRPr="00D4336D">
        <w:t xml:space="preserve"> (UK Gov, 202</w:t>
      </w:r>
      <w:r w:rsidR="000A6663" w:rsidRPr="00D4336D">
        <w:t>3</w:t>
      </w:r>
      <w:r w:rsidR="001D5E4A" w:rsidRPr="00D4336D">
        <w:t>)</w:t>
      </w:r>
      <w:r w:rsidRPr="00D4336D">
        <w:t>,</w:t>
      </w:r>
      <w:r w:rsidR="001D5E4A" w:rsidRPr="00D4336D">
        <w:t xml:space="preserve"> at para</w:t>
      </w:r>
      <w:r w:rsidRPr="00D4336D">
        <w:t xml:space="preserve"> </w:t>
      </w:r>
      <w:r w:rsidR="003D2E40" w:rsidRPr="00D4336D">
        <w:t>6</w:t>
      </w:r>
      <w:r w:rsidR="001D5E4A" w:rsidRPr="00D4336D">
        <w:t>.</w:t>
      </w:r>
    </w:p>
  </w:footnote>
  <w:footnote w:id="90">
    <w:p w14:paraId="2D0D4B8B" w14:textId="77777777" w:rsidR="005E2474" w:rsidRPr="00D4336D" w:rsidRDefault="005E2474" w:rsidP="00D4336D">
      <w:pPr>
        <w:pStyle w:val="NIHRCFootnotes"/>
        <w:rPr>
          <w:i/>
        </w:rPr>
      </w:pPr>
      <w:r w:rsidRPr="00D4336D">
        <w:rPr>
          <w:rStyle w:val="FootnoteReference"/>
        </w:rPr>
        <w:footnoteRef/>
      </w:r>
      <w:r w:rsidRPr="00D4336D">
        <w:t xml:space="preserve"> </w:t>
      </w:r>
      <w:r w:rsidRPr="00D4336D">
        <w:rPr>
          <w:i/>
        </w:rPr>
        <w:t>McCann v UK</w:t>
      </w:r>
      <w:r w:rsidRPr="00D4336D">
        <w:t xml:space="preserve"> (1995) 21 EHRR 97, at para 159.</w:t>
      </w:r>
    </w:p>
  </w:footnote>
  <w:footnote w:id="91">
    <w:p w14:paraId="7217DE92" w14:textId="77777777" w:rsidR="005E2474" w:rsidRPr="00D4336D" w:rsidRDefault="005E2474" w:rsidP="00D4336D">
      <w:pPr>
        <w:pStyle w:val="NIHRCFootnotes"/>
      </w:pPr>
      <w:r w:rsidRPr="00D4336D">
        <w:rPr>
          <w:rStyle w:val="FootnoteReference"/>
        </w:rPr>
        <w:footnoteRef/>
      </w:r>
      <w:r w:rsidRPr="00D4336D">
        <w:t xml:space="preserve"> </w:t>
      </w:r>
      <w:r w:rsidRPr="00D4336D">
        <w:rPr>
          <w:i/>
        </w:rPr>
        <w:t>McKerr v UK</w:t>
      </w:r>
      <w:r w:rsidRPr="00D4336D">
        <w:t xml:space="preserve"> (2001) ECHR 329, at para 115.</w:t>
      </w:r>
    </w:p>
  </w:footnote>
  <w:footnote w:id="92">
    <w:p w14:paraId="590DFFDA" w14:textId="7B816717" w:rsidR="005E2474" w:rsidRPr="00D4336D" w:rsidRDefault="005E2474" w:rsidP="00D4336D">
      <w:pPr>
        <w:pStyle w:val="NIHRCFootnotes"/>
      </w:pPr>
      <w:r w:rsidRPr="00D4336D">
        <w:rPr>
          <w:rStyle w:val="FootnoteReference"/>
        </w:rPr>
        <w:footnoteRef/>
      </w:r>
      <w:r w:rsidRPr="00D4336D">
        <w:t xml:space="preserve"> </w:t>
      </w:r>
      <w:r w:rsidR="00631F5D" w:rsidRPr="00D4336D">
        <w:t>Ibid</w:t>
      </w:r>
      <w:r w:rsidRPr="00D4336D">
        <w:t>, at para 114.</w:t>
      </w:r>
    </w:p>
  </w:footnote>
  <w:footnote w:id="93">
    <w:p w14:paraId="091D2890" w14:textId="09CC3AD3" w:rsidR="005E2474" w:rsidRPr="00D4336D" w:rsidRDefault="005E2474" w:rsidP="00D4336D">
      <w:pPr>
        <w:pStyle w:val="NIHRCFootnotes"/>
      </w:pPr>
      <w:r w:rsidRPr="00D4336D">
        <w:rPr>
          <w:rStyle w:val="FootnoteReference"/>
        </w:rPr>
        <w:footnoteRef/>
      </w:r>
      <w:r w:rsidRPr="00D4336D">
        <w:t xml:space="preserve"> </w:t>
      </w:r>
      <w:r w:rsidR="00FF3191" w:rsidRPr="00D4336D">
        <w:t xml:space="preserve">See also </w:t>
      </w:r>
      <w:r w:rsidRPr="00D4336D">
        <w:t>CoE Commissioner for Human Rights, ‘Press Release: UK – Backsliding on human rights must be prevented’, 4 July 2022.</w:t>
      </w:r>
    </w:p>
  </w:footnote>
  <w:footnote w:id="94">
    <w:p w14:paraId="3EA9D209" w14:textId="77777777" w:rsidR="005E2474" w:rsidRPr="00D4336D" w:rsidRDefault="005E2474" w:rsidP="00D4336D">
      <w:pPr>
        <w:pStyle w:val="NIHRCFootnotes"/>
      </w:pPr>
      <w:r w:rsidRPr="00D4336D">
        <w:rPr>
          <w:rStyle w:val="FootnoteReference"/>
        </w:rPr>
        <w:footnoteRef/>
      </w:r>
      <w:r w:rsidRPr="00D4336D">
        <w:t xml:space="preserve"> CM/Notes/1436/H46-35, ‘</w:t>
      </w:r>
      <w:r w:rsidRPr="00D4336D">
        <w:t>CoE Committee of Ministers Decision on McKerr Group v UK (Application No 28883/95), 10 June 2022, at para 5.</w:t>
      </w:r>
    </w:p>
  </w:footnote>
  <w:footnote w:id="95">
    <w:p w14:paraId="13EB862E" w14:textId="77777777" w:rsidR="005E2474" w:rsidRPr="00D4336D" w:rsidRDefault="005E2474" w:rsidP="00D4336D">
      <w:pPr>
        <w:pStyle w:val="NIHRCFootnotes"/>
      </w:pPr>
      <w:r w:rsidRPr="00D4336D">
        <w:rPr>
          <w:rStyle w:val="FootnoteReference"/>
        </w:rPr>
        <w:footnoteRef/>
      </w:r>
      <w:r w:rsidRPr="00D4336D">
        <w:t xml:space="preserve"> Letter from </w:t>
      </w:r>
      <w:r w:rsidRPr="00D4336D">
        <w:t>CoE Commissioner for Human Rights, Dunja Mijatovic to Secretary of State for NI, Brandon Lewis MP, 13 September 2021; Office of the High Commissioner for Human Rights, ‘Press Release: UN experts voice concern at proposed blanket impunity to address legacy of “the Troubles” in NI, 10 August 2021.</w:t>
      </w:r>
    </w:p>
  </w:footnote>
  <w:footnote w:id="96">
    <w:p w14:paraId="4D873D32" w14:textId="77777777" w:rsidR="005E2474" w:rsidRPr="00D4336D" w:rsidRDefault="005E2474" w:rsidP="00D4336D">
      <w:pPr>
        <w:pStyle w:val="NIHRCFootnotes"/>
      </w:pPr>
      <w:r w:rsidRPr="00D4336D">
        <w:rPr>
          <w:rStyle w:val="FootnoteReference"/>
        </w:rPr>
        <w:footnoteRef/>
      </w:r>
      <w:r w:rsidRPr="00D4336D">
        <w:t xml:space="preserve"> Letter from </w:t>
      </w:r>
      <w:r w:rsidRPr="00D4336D">
        <w:t>CoE Commissioner for Human Rights, Dunja Mijatovic to Secretary of State for NI, Brandon Lewis MP, 13 September 2021.</w:t>
      </w:r>
    </w:p>
  </w:footnote>
  <w:footnote w:id="97">
    <w:p w14:paraId="584380A1" w14:textId="43CD53A9" w:rsidR="005E2474" w:rsidRPr="00D4336D" w:rsidRDefault="005E2474" w:rsidP="00D4336D">
      <w:pPr>
        <w:pStyle w:val="NIHRCFootnotes"/>
      </w:pPr>
      <w:r w:rsidRPr="00D4336D">
        <w:rPr>
          <w:rStyle w:val="FootnoteReference"/>
        </w:rPr>
        <w:footnoteRef/>
      </w:r>
      <w:r w:rsidRPr="00D4336D">
        <w:t xml:space="preserve"> </w:t>
      </w:r>
      <w:r w:rsidR="00AD206A" w:rsidRPr="00D4336D">
        <w:t>Section 16</w:t>
      </w:r>
      <w:r w:rsidRPr="00D4336D">
        <w:t xml:space="preserve">, NI Troubles (Legacy and Reconciliation) </w:t>
      </w:r>
      <w:r w:rsidR="00AD206A" w:rsidRPr="00D4336D">
        <w:t>Act 2023</w:t>
      </w:r>
      <w:r w:rsidRPr="00D4336D">
        <w:t>.</w:t>
      </w:r>
    </w:p>
  </w:footnote>
  <w:footnote w:id="98">
    <w:p w14:paraId="16718235" w14:textId="6B925183" w:rsidR="005E2474" w:rsidRPr="00D4336D" w:rsidRDefault="005E2474" w:rsidP="00D4336D">
      <w:pPr>
        <w:pStyle w:val="NIHRCFootnotes"/>
      </w:pPr>
      <w:r w:rsidRPr="00D4336D">
        <w:rPr>
          <w:rStyle w:val="FootnoteReference"/>
        </w:rPr>
        <w:footnoteRef/>
      </w:r>
      <w:r w:rsidRPr="00D4336D">
        <w:t xml:space="preserve"> </w:t>
      </w:r>
      <w:r w:rsidR="008B1FA4" w:rsidRPr="00D4336D">
        <w:t>Section</w:t>
      </w:r>
      <w:r w:rsidRPr="00D4336D">
        <w:t xml:space="preserve"> 1</w:t>
      </w:r>
      <w:r w:rsidR="008B1FA4" w:rsidRPr="00D4336D">
        <w:t>7</w:t>
      </w:r>
      <w:r w:rsidRPr="00D4336D">
        <w:t xml:space="preserve">(3), NI Troubles (Legacy and Reconciliation) </w:t>
      </w:r>
      <w:r w:rsidR="008B1FA4" w:rsidRPr="00D4336D">
        <w:t>Act 2023.</w:t>
      </w:r>
    </w:p>
  </w:footnote>
  <w:footnote w:id="99">
    <w:p w14:paraId="1B9CF79C" w14:textId="02A96750" w:rsidR="005E2474" w:rsidRPr="00D4336D" w:rsidRDefault="005E2474" w:rsidP="00D4336D">
      <w:pPr>
        <w:pStyle w:val="NIHRCFootnotes"/>
      </w:pPr>
      <w:r w:rsidRPr="00D4336D">
        <w:rPr>
          <w:rStyle w:val="FootnoteReference"/>
        </w:rPr>
        <w:footnoteRef/>
      </w:r>
      <w:r w:rsidRPr="00D4336D">
        <w:t xml:space="preserve"> </w:t>
      </w:r>
      <w:r w:rsidR="007725EE" w:rsidRPr="00D4336D">
        <w:t>Section 29(1)</w:t>
      </w:r>
      <w:r w:rsidRPr="00D4336D">
        <w:t xml:space="preserve">, NI Troubles (Legacy and Reconciliation) </w:t>
      </w:r>
      <w:r w:rsidR="007725EE" w:rsidRPr="00D4336D">
        <w:t>Act 2023</w:t>
      </w:r>
      <w:r w:rsidRPr="00D4336D">
        <w:t>.</w:t>
      </w:r>
    </w:p>
  </w:footnote>
  <w:footnote w:id="100">
    <w:p w14:paraId="6CC56D96" w14:textId="77777777" w:rsidR="00B4592D" w:rsidRPr="00D4336D" w:rsidRDefault="00B4592D" w:rsidP="00D4336D">
      <w:pPr>
        <w:pStyle w:val="NIHRCFootnotes"/>
      </w:pPr>
      <w:r w:rsidRPr="00D4336D">
        <w:rPr>
          <w:rStyle w:val="FootnoteReference"/>
        </w:rPr>
        <w:footnoteRef/>
      </w:r>
      <w:r w:rsidRPr="00D4336D">
        <w:t xml:space="preserve"> Sections 4(1), 16(7), 29(2), 29(3), 30(2) and 30(3), NI Troubles (Legacy and Reconciliation) Act 2023.</w:t>
      </w:r>
    </w:p>
  </w:footnote>
  <w:footnote w:id="101">
    <w:p w14:paraId="6FD3D2AB" w14:textId="6A386DCC" w:rsidR="005E2474" w:rsidRPr="00D4336D" w:rsidRDefault="005E2474" w:rsidP="00D4336D">
      <w:pPr>
        <w:pStyle w:val="NIHRCFootnotes"/>
      </w:pPr>
      <w:r w:rsidRPr="00D4336D">
        <w:rPr>
          <w:rStyle w:val="FootnoteReference"/>
        </w:rPr>
        <w:footnoteRef/>
      </w:r>
      <w:r w:rsidRPr="00D4336D">
        <w:t xml:space="preserve"> </w:t>
      </w:r>
      <w:r w:rsidR="00AF0DE1" w:rsidRPr="00D4336D">
        <w:t xml:space="preserve">Sections </w:t>
      </w:r>
      <w:r w:rsidRPr="00D4336D">
        <w:t xml:space="preserve">4(1), </w:t>
      </w:r>
      <w:r w:rsidR="00C14AFF" w:rsidRPr="00D4336D">
        <w:t>16(7)</w:t>
      </w:r>
      <w:r w:rsidRPr="00D4336D">
        <w:t xml:space="preserve">, </w:t>
      </w:r>
      <w:r w:rsidR="00467578" w:rsidRPr="00D4336D">
        <w:t>29</w:t>
      </w:r>
      <w:r w:rsidRPr="00D4336D">
        <w:t xml:space="preserve">(2), </w:t>
      </w:r>
      <w:r w:rsidR="00467578" w:rsidRPr="00D4336D">
        <w:t>29</w:t>
      </w:r>
      <w:r w:rsidRPr="00D4336D">
        <w:t xml:space="preserve">(3), </w:t>
      </w:r>
      <w:r w:rsidR="000D695A" w:rsidRPr="00D4336D">
        <w:t>30</w:t>
      </w:r>
      <w:r w:rsidRPr="00D4336D">
        <w:t xml:space="preserve">(2) and </w:t>
      </w:r>
      <w:r w:rsidR="004646A2" w:rsidRPr="00D4336D">
        <w:t>30</w:t>
      </w:r>
      <w:r w:rsidRPr="00D4336D">
        <w:t xml:space="preserve">(3), NI Troubles (Legacy and Reconciliation) </w:t>
      </w:r>
      <w:r w:rsidR="004646A2" w:rsidRPr="00D4336D">
        <w:t>Act 2023.</w:t>
      </w:r>
    </w:p>
  </w:footnote>
  <w:footnote w:id="102">
    <w:p w14:paraId="2C45D066" w14:textId="7F0F0889" w:rsidR="005E2474" w:rsidRPr="00D4336D" w:rsidRDefault="005E2474" w:rsidP="00D4336D">
      <w:pPr>
        <w:pStyle w:val="NIHRCFootnotes"/>
      </w:pPr>
      <w:r w:rsidRPr="00D4336D">
        <w:rPr>
          <w:rStyle w:val="FootnoteReference"/>
        </w:rPr>
        <w:footnoteRef/>
      </w:r>
      <w:r w:rsidRPr="00D4336D">
        <w:t xml:space="preserve"> </w:t>
      </w:r>
      <w:r w:rsidR="00F14F07" w:rsidRPr="00D4336D">
        <w:t>Paragraph</w:t>
      </w:r>
      <w:r w:rsidR="00220864" w:rsidRPr="00D4336D">
        <w:t xml:space="preserve"> 4</w:t>
      </w:r>
      <w:r w:rsidRPr="00D4336D">
        <w:t xml:space="preserve"> of Schedule 5, NI Troubles (Legacy and Reconciliation)</w:t>
      </w:r>
      <w:r w:rsidR="00AC26B1" w:rsidRPr="00D4336D">
        <w:t xml:space="preserve"> Act 2023</w:t>
      </w:r>
      <w:r w:rsidRPr="00D4336D">
        <w:t>.</w:t>
      </w:r>
    </w:p>
  </w:footnote>
  <w:footnote w:id="103">
    <w:p w14:paraId="0D58B0A6" w14:textId="57B57771" w:rsidR="005E2474" w:rsidRPr="00D4336D" w:rsidRDefault="005E2474" w:rsidP="00D4336D">
      <w:pPr>
        <w:pStyle w:val="NIHRCFootnotes"/>
      </w:pPr>
      <w:r w:rsidRPr="00D4336D">
        <w:rPr>
          <w:rStyle w:val="FootnoteReference"/>
        </w:rPr>
        <w:footnoteRef/>
      </w:r>
      <w:r w:rsidRPr="00D4336D">
        <w:t xml:space="preserve"> </w:t>
      </w:r>
      <w:r w:rsidR="00F14F07" w:rsidRPr="00D4336D">
        <w:t>Paragraph</w:t>
      </w:r>
      <w:r w:rsidR="007F60C9" w:rsidRPr="00D4336D">
        <w:t>s</w:t>
      </w:r>
      <w:r w:rsidR="00AC26B1" w:rsidRPr="00D4336D">
        <w:t xml:space="preserve"> 4</w:t>
      </w:r>
      <w:r w:rsidRPr="00D4336D">
        <w:t xml:space="preserve"> </w:t>
      </w:r>
      <w:r w:rsidR="007F60C9" w:rsidRPr="00D4336D">
        <w:t>9-11</w:t>
      </w:r>
      <w:r w:rsidR="004616A9" w:rsidRPr="00D4336D">
        <w:t xml:space="preserve"> o</w:t>
      </w:r>
      <w:r w:rsidRPr="00D4336D">
        <w:t xml:space="preserve">f Schedule 5, NI Troubles (Legacy and Reconciliation) </w:t>
      </w:r>
      <w:r w:rsidR="00AC26B1" w:rsidRPr="00D4336D">
        <w:t>Act 2023</w:t>
      </w:r>
      <w:r w:rsidRPr="00D4336D">
        <w:t>.</w:t>
      </w:r>
    </w:p>
  </w:footnote>
  <w:footnote w:id="104">
    <w:p w14:paraId="05221CCF" w14:textId="1994EF00" w:rsidR="003E360D" w:rsidRPr="00D4336D" w:rsidRDefault="003E360D" w:rsidP="00D4336D">
      <w:pPr>
        <w:pStyle w:val="NIHRCFootnotes"/>
      </w:pPr>
      <w:r w:rsidRPr="00D4336D">
        <w:rPr>
          <w:rStyle w:val="FootnoteReference"/>
        </w:rPr>
        <w:footnoteRef/>
      </w:r>
      <w:r w:rsidRPr="00D4336D">
        <w:t xml:space="preserve"> </w:t>
      </w:r>
      <w:r w:rsidR="007C40AB" w:rsidRPr="00D4336D">
        <w:t>Sections 17 and 18</w:t>
      </w:r>
      <w:r w:rsidRPr="00D4336D">
        <w:t xml:space="preserve">, NI Troubles (Legacy and Reconciliation) </w:t>
      </w:r>
      <w:r w:rsidR="007C40AB" w:rsidRPr="00D4336D">
        <w:t>Act 2023</w:t>
      </w:r>
      <w:r w:rsidRPr="00D4336D">
        <w:t>.</w:t>
      </w:r>
    </w:p>
  </w:footnote>
  <w:footnote w:id="105">
    <w:p w14:paraId="267E3B89" w14:textId="6FD43C26" w:rsidR="00AC2BFB" w:rsidRPr="00D4336D" w:rsidRDefault="00AC2BFB" w:rsidP="00D4336D">
      <w:pPr>
        <w:pStyle w:val="NIHRCFootnotes"/>
      </w:pPr>
      <w:r w:rsidRPr="00D4336D">
        <w:rPr>
          <w:rStyle w:val="FootnoteReference"/>
        </w:rPr>
        <w:footnoteRef/>
      </w:r>
      <w:r w:rsidRPr="00D4336D">
        <w:t xml:space="preserve"> </w:t>
      </w:r>
      <w:r w:rsidR="007C40AB" w:rsidRPr="00D4336D">
        <w:t>Section</w:t>
      </w:r>
      <w:r w:rsidR="005E33F1" w:rsidRPr="00D4336D">
        <w:t>s 9(1), 9(2) and Schedule 3, NI Troubles (Legacy and Reconciliation)</w:t>
      </w:r>
      <w:r w:rsidR="00E17133" w:rsidRPr="00D4336D">
        <w:t xml:space="preserve"> Act 2023</w:t>
      </w:r>
      <w:r w:rsidR="005E33F1" w:rsidRPr="00D4336D">
        <w:t>.</w:t>
      </w:r>
    </w:p>
  </w:footnote>
  <w:footnote w:id="106">
    <w:p w14:paraId="4FBB86A9" w14:textId="77777777" w:rsidR="003E360D" w:rsidRPr="00D4336D" w:rsidRDefault="003E360D" w:rsidP="00D4336D">
      <w:pPr>
        <w:pStyle w:val="NIHRCFootnotes"/>
      </w:pPr>
      <w:r w:rsidRPr="00D4336D">
        <w:rPr>
          <w:rStyle w:val="FootnoteReference"/>
        </w:rPr>
        <w:footnoteRef/>
      </w:r>
      <w:r w:rsidRPr="00D4336D">
        <w:t xml:space="preserve"> </w:t>
      </w:r>
      <w:r w:rsidRPr="00D4336D">
        <w:rPr>
          <w:i/>
          <w:iCs/>
        </w:rPr>
        <w:t>McKerr v UK</w:t>
      </w:r>
      <w:r w:rsidRPr="00D4336D">
        <w:t xml:space="preserve"> (2001) ECHR 329; </w:t>
      </w:r>
      <w:r w:rsidRPr="00D4336D">
        <w:rPr>
          <w:i/>
          <w:iCs/>
        </w:rPr>
        <w:t>Hugh Jordan v UK</w:t>
      </w:r>
      <w:r w:rsidRPr="00D4336D">
        <w:t xml:space="preserve"> (2001) ECHR 327; </w:t>
      </w:r>
      <w:r w:rsidRPr="00D4336D">
        <w:rPr>
          <w:i/>
          <w:iCs/>
        </w:rPr>
        <w:t>Gül v Turkey</w:t>
      </w:r>
      <w:r w:rsidRPr="00D4336D">
        <w:t xml:space="preserve">, Application No 22676/93, 14 December 2000; </w:t>
      </w:r>
      <w:r w:rsidRPr="00D4336D">
        <w:rPr>
          <w:i/>
          <w:iCs/>
        </w:rPr>
        <w:t>Ogur v Turkey</w:t>
      </w:r>
      <w:r w:rsidRPr="00D4336D">
        <w:t xml:space="preserve"> (1999) ECHR 30;</w:t>
      </w:r>
      <w:r w:rsidRPr="00D4336D">
        <w:rPr>
          <w:i/>
          <w:iCs/>
        </w:rPr>
        <w:t xml:space="preserve"> Gülec v Turkey</w:t>
      </w:r>
      <w:r w:rsidRPr="00D4336D">
        <w:t>, Application No 21593/93, 27 July 1998;</w:t>
      </w:r>
      <w:r w:rsidRPr="00D4336D">
        <w:rPr>
          <w:i/>
          <w:iCs/>
        </w:rPr>
        <w:t xml:space="preserve"> McCann v UK</w:t>
      </w:r>
      <w:r w:rsidRPr="00D4336D">
        <w:t xml:space="preserve"> (1995) 21 EHRR 97.</w:t>
      </w:r>
    </w:p>
  </w:footnote>
  <w:footnote w:id="107">
    <w:p w14:paraId="11AC2C80" w14:textId="31FDA0D2" w:rsidR="00AF0D0D" w:rsidRPr="00D4336D" w:rsidRDefault="00AF0D0D" w:rsidP="00D4336D">
      <w:pPr>
        <w:pStyle w:val="NIHRCFootnotes"/>
      </w:pPr>
      <w:r w:rsidRPr="00D4336D">
        <w:rPr>
          <w:rStyle w:val="FootnoteReference"/>
        </w:rPr>
        <w:footnoteRef/>
      </w:r>
      <w:r w:rsidRPr="00D4336D">
        <w:t xml:space="preserve"> </w:t>
      </w:r>
      <w:r w:rsidR="0031791D" w:rsidRPr="00D4336D">
        <w:t>Paragraph</w:t>
      </w:r>
      <w:r w:rsidR="0030624F" w:rsidRPr="00D4336D">
        <w:t xml:space="preserve"> 1(2) of Schedule 3, NI Troubles (Legacy and Reconciliation) </w:t>
      </w:r>
      <w:r w:rsidR="0031791D" w:rsidRPr="00D4336D">
        <w:t>Act 2023</w:t>
      </w:r>
      <w:r w:rsidR="0030624F" w:rsidRPr="00D4336D">
        <w:t>.</w:t>
      </w:r>
    </w:p>
  </w:footnote>
  <w:footnote w:id="108">
    <w:p w14:paraId="3D528D8F" w14:textId="33C11B11" w:rsidR="00F437C7" w:rsidRPr="00D4336D" w:rsidRDefault="00F437C7" w:rsidP="00D4336D">
      <w:pPr>
        <w:pStyle w:val="NIHRCFootnotes"/>
      </w:pPr>
      <w:r w:rsidRPr="00D4336D">
        <w:rPr>
          <w:rStyle w:val="FootnoteReference"/>
        </w:rPr>
        <w:footnoteRef/>
      </w:r>
      <w:r w:rsidRPr="00D4336D">
        <w:t xml:space="preserve"> </w:t>
      </w:r>
      <w:r w:rsidRPr="00D4336D">
        <w:rPr>
          <w:i/>
        </w:rPr>
        <w:t xml:space="preserve">McCann v </w:t>
      </w:r>
      <w:r w:rsidR="005A1890" w:rsidRPr="00D4336D">
        <w:rPr>
          <w:i/>
        </w:rPr>
        <w:t>UK</w:t>
      </w:r>
      <w:r w:rsidRPr="00D4336D">
        <w:t xml:space="preserve"> (1995) 21 EHRR 97; </w:t>
      </w:r>
      <w:r w:rsidRPr="00D4336D">
        <w:rPr>
          <w:i/>
        </w:rPr>
        <w:t xml:space="preserve">Salman v Turkey </w:t>
      </w:r>
      <w:r w:rsidRPr="00D4336D">
        <w:t>(2000) ECHR 357.</w:t>
      </w:r>
    </w:p>
  </w:footnote>
  <w:footnote w:id="109">
    <w:p w14:paraId="230D7B52" w14:textId="77777777" w:rsidR="00F437C7" w:rsidRPr="00D4336D" w:rsidRDefault="00F437C7" w:rsidP="00D4336D">
      <w:pPr>
        <w:pStyle w:val="NIHRCFootnotes"/>
      </w:pPr>
      <w:r w:rsidRPr="00D4336D">
        <w:rPr>
          <w:rStyle w:val="FootnoteReference"/>
        </w:rPr>
        <w:footnoteRef/>
      </w:r>
      <w:r w:rsidRPr="00D4336D">
        <w:t xml:space="preserve"> </w:t>
      </w:r>
      <w:r w:rsidRPr="00D4336D">
        <w:rPr>
          <w:i/>
        </w:rPr>
        <w:t>Velikova v Bulgaria</w:t>
      </w:r>
      <w:r w:rsidRPr="00D4336D">
        <w:t xml:space="preserve"> (2000) ECHR 198.</w:t>
      </w:r>
    </w:p>
  </w:footnote>
  <w:footnote w:id="110">
    <w:p w14:paraId="5740C07F" w14:textId="77777777" w:rsidR="00F437C7" w:rsidRPr="00D4336D" w:rsidRDefault="00F437C7" w:rsidP="00D4336D">
      <w:pPr>
        <w:pStyle w:val="NIHRCFootnotes"/>
      </w:pPr>
      <w:r w:rsidRPr="00D4336D">
        <w:rPr>
          <w:rStyle w:val="FootnoteReference"/>
        </w:rPr>
        <w:footnoteRef/>
      </w:r>
      <w:r w:rsidRPr="00D4336D">
        <w:t xml:space="preserve"> </w:t>
      </w:r>
      <w:r w:rsidRPr="00D4336D">
        <w:rPr>
          <w:i/>
        </w:rPr>
        <w:t xml:space="preserve">Ramsahai and Others v the Netherlands </w:t>
      </w:r>
      <w:r w:rsidRPr="00D4336D">
        <w:t xml:space="preserve">(2007) ECHR 393; </w:t>
      </w:r>
      <w:r w:rsidRPr="00D4336D">
        <w:rPr>
          <w:i/>
        </w:rPr>
        <w:t xml:space="preserve">Giuliani and </w:t>
      </w:r>
      <w:r w:rsidRPr="00D4336D">
        <w:rPr>
          <w:i/>
        </w:rPr>
        <w:t>Gaggio v Italy</w:t>
      </w:r>
      <w:r w:rsidRPr="00D4336D">
        <w:t xml:space="preserve"> (2011) ECHR 513.</w:t>
      </w:r>
    </w:p>
  </w:footnote>
  <w:footnote w:id="111">
    <w:p w14:paraId="6A259B74" w14:textId="77777777" w:rsidR="00F437C7" w:rsidRPr="00D4336D" w:rsidRDefault="00F437C7" w:rsidP="00D4336D">
      <w:pPr>
        <w:pStyle w:val="NIHRCFootnotes"/>
      </w:pPr>
      <w:r w:rsidRPr="00D4336D">
        <w:rPr>
          <w:rStyle w:val="FootnoteReference"/>
        </w:rPr>
        <w:footnoteRef/>
      </w:r>
      <w:r w:rsidRPr="00D4336D">
        <w:t xml:space="preserve"> </w:t>
      </w:r>
      <w:r w:rsidRPr="00D4336D">
        <w:rPr>
          <w:i/>
        </w:rPr>
        <w:t xml:space="preserve">Andronicou and </w:t>
      </w:r>
      <w:r w:rsidRPr="00D4336D">
        <w:rPr>
          <w:i/>
        </w:rPr>
        <w:t>Constntinou v Cyprus</w:t>
      </w:r>
      <w:r w:rsidRPr="00D4336D">
        <w:t>, Application No 86-1996-705-897, Judgment of 9 October 1997.</w:t>
      </w:r>
    </w:p>
  </w:footnote>
  <w:footnote w:id="112">
    <w:p w14:paraId="3FC9B0BE" w14:textId="414858E3" w:rsidR="00F437C7" w:rsidRPr="00D4336D" w:rsidRDefault="00F437C7" w:rsidP="00D4336D">
      <w:pPr>
        <w:pStyle w:val="NIHRCFootnotes"/>
      </w:pPr>
      <w:r w:rsidRPr="00D4336D">
        <w:rPr>
          <w:rStyle w:val="FootnoteReference"/>
        </w:rPr>
        <w:footnoteRef/>
      </w:r>
      <w:r w:rsidRPr="00D4336D">
        <w:t xml:space="preserve"> </w:t>
      </w:r>
      <w:r w:rsidRPr="00D4336D">
        <w:rPr>
          <w:i/>
        </w:rPr>
        <w:t xml:space="preserve">McKerr v </w:t>
      </w:r>
      <w:r w:rsidR="005A1890" w:rsidRPr="00D4336D">
        <w:rPr>
          <w:i/>
        </w:rPr>
        <w:t>UK</w:t>
      </w:r>
      <w:r w:rsidRPr="00D4336D">
        <w:t xml:space="preserve"> (2001) ECHR 329.</w:t>
      </w:r>
    </w:p>
  </w:footnote>
  <w:footnote w:id="113">
    <w:p w14:paraId="378E4FAD" w14:textId="77777777" w:rsidR="00F437C7" w:rsidRPr="00D4336D" w:rsidRDefault="00F437C7" w:rsidP="00D4336D">
      <w:pPr>
        <w:pStyle w:val="NIHRCFootnotes"/>
      </w:pPr>
      <w:r w:rsidRPr="00D4336D">
        <w:rPr>
          <w:rStyle w:val="FootnoteReference"/>
        </w:rPr>
        <w:footnoteRef/>
      </w:r>
      <w:r w:rsidRPr="00D4336D">
        <w:t xml:space="preserve"> </w:t>
      </w:r>
      <w:r w:rsidRPr="00D4336D">
        <w:rPr>
          <w:i/>
        </w:rPr>
        <w:t>Yasa v Turkey</w:t>
      </w:r>
      <w:r w:rsidRPr="00D4336D">
        <w:t xml:space="preserve"> (1998) ECHR 83.</w:t>
      </w:r>
    </w:p>
  </w:footnote>
  <w:footnote w:id="114">
    <w:p w14:paraId="48FD2BC3" w14:textId="77777777" w:rsidR="00E50256" w:rsidRPr="00D4336D" w:rsidRDefault="00E50256" w:rsidP="00D4336D">
      <w:pPr>
        <w:pStyle w:val="NIHRCFootnotes"/>
      </w:pPr>
      <w:r w:rsidRPr="00D4336D">
        <w:rPr>
          <w:rStyle w:val="FootnoteReference"/>
        </w:rPr>
        <w:footnoteRef/>
      </w:r>
      <w:r w:rsidRPr="00D4336D">
        <w:t xml:space="preserve"> </w:t>
      </w:r>
      <w:r w:rsidRPr="00D4336D">
        <w:rPr>
          <w:i/>
          <w:iCs/>
        </w:rPr>
        <w:t>Guberina v Croatia</w:t>
      </w:r>
      <w:r w:rsidRPr="00D4336D">
        <w:t xml:space="preserve"> (2016) ECHR 287, at paras 77-79.</w:t>
      </w:r>
    </w:p>
  </w:footnote>
  <w:footnote w:id="115">
    <w:p w14:paraId="3384A697" w14:textId="77777777" w:rsidR="00E50256" w:rsidRPr="00D4336D" w:rsidRDefault="00E50256" w:rsidP="00D4336D">
      <w:pPr>
        <w:pStyle w:val="NIHRCFootnotes"/>
      </w:pPr>
      <w:r w:rsidRPr="00D4336D">
        <w:rPr>
          <w:rStyle w:val="FootnoteReference"/>
        </w:rPr>
        <w:footnoteRef/>
      </w:r>
      <w:r w:rsidRPr="00D4336D">
        <w:t xml:space="preserve"> </w:t>
      </w:r>
      <w:r w:rsidRPr="00D4336D">
        <w:rPr>
          <w:i/>
          <w:iCs/>
        </w:rPr>
        <w:t xml:space="preserve">Belli and </w:t>
      </w:r>
      <w:r w:rsidRPr="00D4336D">
        <w:rPr>
          <w:i/>
          <w:iCs/>
        </w:rPr>
        <w:t>Arquier-Martinez v Switzerland</w:t>
      </w:r>
      <w:r w:rsidRPr="00D4336D">
        <w:t xml:space="preserve"> (2018) ECHR 1012, at para 97.</w:t>
      </w:r>
    </w:p>
  </w:footnote>
  <w:footnote w:id="116">
    <w:p w14:paraId="002613ED" w14:textId="32E1662C" w:rsidR="0095354E" w:rsidRPr="00D4336D" w:rsidRDefault="0095354E" w:rsidP="00D4336D">
      <w:pPr>
        <w:pStyle w:val="NIHRCFootnotes"/>
      </w:pPr>
      <w:r w:rsidRPr="00D4336D">
        <w:rPr>
          <w:rStyle w:val="FootnoteReference"/>
        </w:rPr>
        <w:footnoteRef/>
      </w:r>
      <w:r w:rsidRPr="00D4336D">
        <w:t xml:space="preserve"> </w:t>
      </w:r>
      <w:r w:rsidR="00E71C76" w:rsidRPr="00D4336D">
        <w:t>Section</w:t>
      </w:r>
      <w:r w:rsidR="00822DAA" w:rsidRPr="00D4336D">
        <w:t>s</w:t>
      </w:r>
      <w:r w:rsidRPr="00D4336D">
        <w:t xml:space="preserve"> 1(6)</w:t>
      </w:r>
      <w:r w:rsidR="00822DAA" w:rsidRPr="00D4336D">
        <w:t xml:space="preserve">, 9 and 10, NI Troubles (Legacy and Reconciliation) </w:t>
      </w:r>
      <w:r w:rsidR="00E71C76" w:rsidRPr="00D4336D">
        <w:t>Act 2023</w:t>
      </w:r>
      <w:r w:rsidR="00822DAA" w:rsidRPr="00D4336D">
        <w:t>.</w:t>
      </w:r>
    </w:p>
  </w:footnote>
  <w:footnote w:id="117">
    <w:p w14:paraId="54ED4955" w14:textId="00E6FC9C" w:rsidR="00CC4CBF" w:rsidRPr="00D4336D" w:rsidRDefault="00CC4CBF" w:rsidP="00D4336D">
      <w:pPr>
        <w:pStyle w:val="NIHRCFootnotes"/>
      </w:pPr>
      <w:r w:rsidRPr="00D4336D">
        <w:rPr>
          <w:rStyle w:val="FootnoteReference"/>
        </w:rPr>
        <w:footnoteRef/>
      </w:r>
      <w:r w:rsidRPr="00D4336D">
        <w:t xml:space="preserve"> </w:t>
      </w:r>
      <w:r w:rsidR="00E71C76" w:rsidRPr="00D4336D">
        <w:t>Sections</w:t>
      </w:r>
      <w:r w:rsidRPr="00D4336D">
        <w:t xml:space="preserve"> 2</w:t>
      </w:r>
      <w:r w:rsidR="00571EF5" w:rsidRPr="00D4336D">
        <w:t>8</w:t>
      </w:r>
      <w:r w:rsidRPr="00D4336D">
        <w:t xml:space="preserve"> and 2</w:t>
      </w:r>
      <w:r w:rsidR="00571EF5" w:rsidRPr="00D4336D">
        <w:t>9</w:t>
      </w:r>
      <w:r w:rsidRPr="00D4336D">
        <w:t xml:space="preserve">, NI Troubles (Legacy and Reconciliation) </w:t>
      </w:r>
      <w:r w:rsidR="00571EF5" w:rsidRPr="00D4336D">
        <w:t>Act 2023</w:t>
      </w:r>
      <w:r w:rsidRPr="00D4336D">
        <w:t>.</w:t>
      </w:r>
    </w:p>
  </w:footnote>
  <w:footnote w:id="118">
    <w:p w14:paraId="42B5BF7D" w14:textId="77777777" w:rsidR="00DE464C" w:rsidRPr="00D4336D" w:rsidRDefault="00DE464C" w:rsidP="00D4336D">
      <w:pPr>
        <w:pStyle w:val="NIHRCFootnotes"/>
      </w:pPr>
      <w:r w:rsidRPr="00D4336D">
        <w:rPr>
          <w:rStyle w:val="FootnoteReference"/>
        </w:rPr>
        <w:footnoteRef/>
      </w:r>
      <w:r w:rsidRPr="00D4336D">
        <w:t xml:space="preserve"> Article 15(2), ECHR.</w:t>
      </w:r>
    </w:p>
  </w:footnote>
  <w:footnote w:id="119">
    <w:p w14:paraId="51800237" w14:textId="77777777" w:rsidR="00DE464C" w:rsidRPr="00D4336D" w:rsidRDefault="00DE464C" w:rsidP="00D4336D">
      <w:pPr>
        <w:pStyle w:val="NIHRCFootnotes"/>
      </w:pPr>
      <w:r w:rsidRPr="00D4336D">
        <w:rPr>
          <w:rStyle w:val="FootnoteReference"/>
        </w:rPr>
        <w:footnoteRef/>
      </w:r>
      <w:r w:rsidRPr="00D4336D">
        <w:t xml:space="preserve"> </w:t>
      </w:r>
      <w:r w:rsidRPr="00D4336D">
        <w:rPr>
          <w:i/>
          <w:iCs/>
        </w:rPr>
        <w:t>Mursic v Croatia</w:t>
      </w:r>
      <w:r w:rsidRPr="00D4336D">
        <w:t xml:space="preserve"> (2016) ECHR 927, at para 97.</w:t>
      </w:r>
    </w:p>
  </w:footnote>
  <w:footnote w:id="120">
    <w:p w14:paraId="728394CB" w14:textId="5FC2CF9C" w:rsidR="00E408D2" w:rsidRPr="00D4336D" w:rsidRDefault="00E408D2" w:rsidP="00D4336D">
      <w:pPr>
        <w:pStyle w:val="NIHRCFootnotes"/>
      </w:pPr>
      <w:r w:rsidRPr="00D4336D">
        <w:rPr>
          <w:rStyle w:val="FootnoteReference"/>
        </w:rPr>
        <w:footnoteRef/>
      </w:r>
      <w:r w:rsidRPr="00D4336D">
        <w:t xml:space="preserve"> </w:t>
      </w:r>
      <w:r w:rsidR="00DD5192" w:rsidRPr="00D4336D">
        <w:t>Article 3, Victims and Survivors (NI) Order 2006.</w:t>
      </w:r>
    </w:p>
  </w:footnote>
  <w:footnote w:id="121">
    <w:p w14:paraId="14BDAE20" w14:textId="3D270C64" w:rsidR="00153D7B" w:rsidRPr="00D4336D" w:rsidRDefault="00153D7B" w:rsidP="00D4336D">
      <w:pPr>
        <w:pStyle w:val="NIHRCFootnotes"/>
      </w:pPr>
      <w:r w:rsidRPr="00D4336D">
        <w:rPr>
          <w:rStyle w:val="FootnoteReference"/>
        </w:rPr>
        <w:footnoteRef/>
      </w:r>
      <w:r w:rsidRPr="00D4336D">
        <w:t xml:space="preserve"> </w:t>
      </w:r>
      <w:r w:rsidRPr="00D4336D">
        <w:rPr>
          <w:i/>
        </w:rPr>
        <w:t>Hemsworth v</w:t>
      </w:r>
      <w:r w:rsidR="007F0ACD" w:rsidRPr="00D4336D">
        <w:rPr>
          <w:i/>
        </w:rPr>
        <w:t xml:space="preserve"> UK</w:t>
      </w:r>
      <w:r w:rsidRPr="00D4336D">
        <w:rPr>
          <w:i/>
        </w:rPr>
        <w:t xml:space="preserve"> </w:t>
      </w:r>
      <w:r w:rsidRPr="00D4336D">
        <w:t>(2013) ECHR 683.</w:t>
      </w:r>
    </w:p>
  </w:footnote>
  <w:footnote w:id="122">
    <w:p w14:paraId="4BCDCB94" w14:textId="625C70F5" w:rsidR="00153D7B" w:rsidRPr="00D4336D" w:rsidRDefault="00153D7B" w:rsidP="00D4336D">
      <w:pPr>
        <w:pStyle w:val="NIHRCFootnotes"/>
      </w:pPr>
      <w:r w:rsidRPr="00D4336D">
        <w:rPr>
          <w:rStyle w:val="FootnoteReference"/>
        </w:rPr>
        <w:footnoteRef/>
      </w:r>
      <w:r w:rsidRPr="00D4336D">
        <w:t xml:space="preserve"> </w:t>
      </w:r>
      <w:r w:rsidR="009F6712" w:rsidRPr="00D4336D">
        <w:t>‘</w:t>
      </w:r>
      <w:r w:rsidR="00C8000D" w:rsidRPr="00D4336D">
        <w:t xml:space="preserve">CoE </w:t>
      </w:r>
      <w:r w:rsidRPr="00D4336D">
        <w:t>Committee of Ministers</w:t>
      </w:r>
      <w:r w:rsidR="009F6712" w:rsidRPr="00D4336D">
        <w:t xml:space="preserve"> </w:t>
      </w:r>
      <w:r w:rsidRPr="00D4336D">
        <w:t xml:space="preserve">Item H46-42 McKerr </w:t>
      </w:r>
      <w:r w:rsidR="009F6712" w:rsidRPr="00D4336D">
        <w:t>G</w:t>
      </w:r>
      <w:r w:rsidRPr="00D4336D">
        <w:t>roup v</w:t>
      </w:r>
      <w:r w:rsidR="009F6712" w:rsidRPr="00D4336D">
        <w:t xml:space="preserve"> UK</w:t>
      </w:r>
      <w:r w:rsidRPr="00D4336D">
        <w:t xml:space="preserve"> (Application No. 28883/95)’, 7-8 June 2016.</w:t>
      </w:r>
    </w:p>
  </w:footnote>
  <w:footnote w:id="123">
    <w:p w14:paraId="0063FD6A" w14:textId="27A75347" w:rsidR="006E7616" w:rsidRPr="00D4336D" w:rsidRDefault="006E7616" w:rsidP="00D4336D">
      <w:pPr>
        <w:pStyle w:val="NIHRCFootnotes"/>
      </w:pPr>
      <w:r w:rsidRPr="00D4336D">
        <w:rPr>
          <w:rStyle w:val="FootnoteReference"/>
        </w:rPr>
        <w:footnoteRef/>
      </w:r>
      <w:r w:rsidRPr="00D4336D">
        <w:t xml:space="preserve"> </w:t>
      </w:r>
      <w:r w:rsidR="00FF44FE" w:rsidRPr="00D4336D">
        <w:t>CM/Notes/1436/H46-35, ‘</w:t>
      </w:r>
      <w:r w:rsidR="00FF44FE" w:rsidRPr="00D4336D">
        <w:t>CoE Committee of Ministers Decision on McKerr Group v UK (Application No 28883/95), 10 June 2022, at para 4.</w:t>
      </w:r>
    </w:p>
  </w:footnote>
  <w:footnote w:id="124">
    <w:p w14:paraId="3107D152" w14:textId="1CAE8768" w:rsidR="00153D7B" w:rsidRPr="00D4336D" w:rsidRDefault="00153D7B" w:rsidP="00D4336D">
      <w:pPr>
        <w:pStyle w:val="NIHRCFootnotes"/>
      </w:pPr>
      <w:r w:rsidRPr="00D4336D">
        <w:rPr>
          <w:rStyle w:val="FootnoteReference"/>
        </w:rPr>
        <w:footnoteRef/>
      </w:r>
      <w:r w:rsidRPr="00D4336D">
        <w:t xml:space="preserve"> Her Majesty’s Inspectorate of Constabulary, ‘Inspection of the P</w:t>
      </w:r>
      <w:r w:rsidR="002A0467" w:rsidRPr="00D4336D">
        <w:t xml:space="preserve">olice </w:t>
      </w:r>
      <w:r w:rsidRPr="00D4336D">
        <w:t>S</w:t>
      </w:r>
      <w:r w:rsidR="002A0467" w:rsidRPr="00D4336D">
        <w:t xml:space="preserve">ervice </w:t>
      </w:r>
      <w:r w:rsidRPr="00D4336D">
        <w:t>NI H</w:t>
      </w:r>
      <w:r w:rsidR="002A0467" w:rsidRPr="00D4336D">
        <w:t xml:space="preserve">istorical </w:t>
      </w:r>
      <w:r w:rsidRPr="00D4336D">
        <w:t>E</w:t>
      </w:r>
      <w:r w:rsidR="002A0467" w:rsidRPr="00D4336D">
        <w:t xml:space="preserve">nquiries </w:t>
      </w:r>
      <w:r w:rsidRPr="00D4336D">
        <w:t>T</w:t>
      </w:r>
      <w:r w:rsidR="002A0467" w:rsidRPr="00D4336D">
        <w:t>eam</w:t>
      </w:r>
      <w:r w:rsidRPr="00D4336D">
        <w:t>’ (HMIC, 2013), at 28.</w:t>
      </w:r>
    </w:p>
  </w:footnote>
  <w:footnote w:id="125">
    <w:p w14:paraId="13F6077D" w14:textId="77777777" w:rsidR="00153D7B" w:rsidRPr="00D4336D" w:rsidRDefault="00153D7B" w:rsidP="00D4336D">
      <w:pPr>
        <w:pStyle w:val="NIHRCFootnotes"/>
      </w:pPr>
      <w:r w:rsidRPr="00D4336D">
        <w:rPr>
          <w:rStyle w:val="FootnoteReference"/>
        </w:rPr>
        <w:footnoteRef/>
      </w:r>
      <w:r w:rsidRPr="00D4336D">
        <w:t xml:space="preserve"> UK Joint Committee on Human Rights, ‘HL Paper 130, HC 1088: Human Rights Judgments Seventh Report of Session 2014-15’, 11 March 2015.</w:t>
      </w:r>
    </w:p>
  </w:footnote>
  <w:footnote w:id="126">
    <w:p w14:paraId="608A11F0" w14:textId="77777777" w:rsidR="00153D7B" w:rsidRPr="00D4336D" w:rsidRDefault="00153D7B" w:rsidP="00D4336D">
      <w:pPr>
        <w:pStyle w:val="NIHRCFootnotes"/>
      </w:pPr>
      <w:r w:rsidRPr="00D4336D">
        <w:rPr>
          <w:rStyle w:val="FootnoteReference"/>
        </w:rPr>
        <w:footnoteRef/>
      </w:r>
      <w:r w:rsidRPr="00D4336D">
        <w:t xml:space="preserve"> Police Ombudsman NI, ‘Historical Investigations’. Available at: https://policeombudsman.org/About-Us/Historical-Investigations</w:t>
      </w:r>
    </w:p>
  </w:footnote>
  <w:footnote w:id="127">
    <w:p w14:paraId="2BDF01A0" w14:textId="25ED91EE" w:rsidR="00153D7B" w:rsidRPr="00D4336D" w:rsidRDefault="00153D7B" w:rsidP="00D4336D">
      <w:pPr>
        <w:pStyle w:val="NIHRCFootnotes"/>
      </w:pPr>
      <w:r w:rsidRPr="00D4336D">
        <w:rPr>
          <w:rStyle w:val="FootnoteReference"/>
        </w:rPr>
        <w:footnoteRef/>
      </w:r>
      <w:r w:rsidRPr="00D4336D">
        <w:t xml:space="preserve"> </w:t>
      </w:r>
      <w:r w:rsidR="00404342" w:rsidRPr="00D4336D">
        <w:t>Ibid.</w:t>
      </w:r>
    </w:p>
  </w:footnote>
  <w:footnote w:id="128">
    <w:p w14:paraId="254E1E02" w14:textId="3DA49CDD" w:rsidR="00153D7B" w:rsidRPr="00D4336D" w:rsidRDefault="00153D7B" w:rsidP="00D4336D">
      <w:pPr>
        <w:pStyle w:val="NIHRCFootnotes"/>
      </w:pPr>
      <w:r w:rsidRPr="00D4336D">
        <w:rPr>
          <w:rStyle w:val="FootnoteReference"/>
        </w:rPr>
        <w:footnoteRef/>
      </w:r>
      <w:r w:rsidRPr="00D4336D">
        <w:t xml:space="preserve"> </w:t>
      </w:r>
      <w:r w:rsidR="00404342" w:rsidRPr="00D4336D">
        <w:t>Ibid.</w:t>
      </w:r>
    </w:p>
  </w:footnote>
  <w:footnote w:id="129">
    <w:p w14:paraId="3E232E48" w14:textId="6D1F4175" w:rsidR="004C55E8" w:rsidRPr="00D4336D" w:rsidRDefault="004C55E8" w:rsidP="00D4336D">
      <w:pPr>
        <w:pStyle w:val="NIHRCFootnotes"/>
      </w:pPr>
      <w:r w:rsidRPr="00D4336D">
        <w:rPr>
          <w:rStyle w:val="FootnoteReference"/>
        </w:rPr>
        <w:footnoteRef/>
      </w:r>
      <w:r w:rsidRPr="00D4336D">
        <w:t xml:space="preserve"> Section 13(8), NI Troubles (Legacy and Reconciliation) Act 2023.</w:t>
      </w:r>
    </w:p>
  </w:footnote>
  <w:footnote w:id="130">
    <w:p w14:paraId="3285DED5" w14:textId="00C008AC" w:rsidR="00D53123" w:rsidRPr="00D4336D" w:rsidRDefault="00D53123" w:rsidP="00D4336D">
      <w:pPr>
        <w:pStyle w:val="NIHRCFootnotes"/>
      </w:pPr>
      <w:r w:rsidRPr="00D4336D">
        <w:rPr>
          <w:rStyle w:val="FootnoteReference"/>
        </w:rPr>
        <w:footnoteRef/>
      </w:r>
      <w:r w:rsidRPr="00D4336D">
        <w:t xml:space="preserve"> </w:t>
      </w:r>
      <w:r w:rsidR="00747CD6" w:rsidRPr="00D4336D">
        <w:rPr>
          <w:i/>
          <w:iCs/>
        </w:rPr>
        <w:t>In the Matter of an Application by Martina Dillon and Others for Judicial Review</w:t>
      </w:r>
      <w:r w:rsidR="00747CD6" w:rsidRPr="00D4336D">
        <w:t xml:space="preserve"> [2024] NIKB 11, a</w:t>
      </w:r>
      <w:r w:rsidRPr="00D4336D">
        <w:t>t para 365.</w:t>
      </w:r>
    </w:p>
  </w:footnote>
  <w:footnote w:id="131">
    <w:p w14:paraId="3A11B378" w14:textId="77777777" w:rsidR="00153D7B" w:rsidRPr="00D4336D" w:rsidRDefault="00153D7B" w:rsidP="00D4336D">
      <w:pPr>
        <w:pStyle w:val="NIHRCFootnotes"/>
      </w:pPr>
      <w:r w:rsidRPr="00D4336D">
        <w:rPr>
          <w:rStyle w:val="FootnoteReference"/>
        </w:rPr>
        <w:footnoteRef/>
      </w:r>
      <w:r w:rsidRPr="00D4336D">
        <w:t xml:space="preserve"> </w:t>
      </w:r>
      <w:r w:rsidRPr="00D4336D">
        <w:rPr>
          <w:i/>
          <w:iCs/>
        </w:rPr>
        <w:t>McKerr v UK</w:t>
      </w:r>
      <w:r w:rsidRPr="00D4336D">
        <w:t xml:space="preserve"> (2001) ECHR 329; </w:t>
      </w:r>
      <w:r w:rsidRPr="00D4336D">
        <w:rPr>
          <w:i/>
          <w:iCs/>
        </w:rPr>
        <w:t>Kelly and Others v UK</w:t>
      </w:r>
      <w:r w:rsidRPr="00D4336D">
        <w:t xml:space="preserve"> (2001) ECHR 328; </w:t>
      </w:r>
      <w:r w:rsidRPr="00D4336D">
        <w:rPr>
          <w:i/>
          <w:iCs/>
        </w:rPr>
        <w:t>Shanaghan v UK</w:t>
      </w:r>
      <w:r w:rsidRPr="00D4336D">
        <w:t xml:space="preserve"> (2001) ECHR 330.</w:t>
      </w:r>
    </w:p>
  </w:footnote>
  <w:footnote w:id="132">
    <w:p w14:paraId="541EE520" w14:textId="77777777" w:rsidR="00153D7B" w:rsidRPr="00D4336D" w:rsidRDefault="00153D7B" w:rsidP="00D4336D">
      <w:pPr>
        <w:pStyle w:val="NIHRCFootnotes"/>
      </w:pPr>
      <w:r w:rsidRPr="00D4336D">
        <w:rPr>
          <w:rStyle w:val="FootnoteReference"/>
        </w:rPr>
        <w:footnoteRef/>
      </w:r>
      <w:r w:rsidRPr="00D4336D">
        <w:t xml:space="preserve"> CM/</w:t>
      </w:r>
      <w:r w:rsidRPr="00D4336D">
        <w:t>ResDH(2020)367, ‘CoE Committee of Ministers Execution of the Judgments of the European Court of Human Rights: McKerr and Other Seven Cases Against the UK’, 3 December 2020.</w:t>
      </w:r>
    </w:p>
  </w:footnote>
  <w:footnote w:id="133">
    <w:p w14:paraId="3378D96F" w14:textId="2008278B" w:rsidR="00BD4455" w:rsidRPr="00D4336D" w:rsidRDefault="00BD4455" w:rsidP="00D4336D">
      <w:pPr>
        <w:pStyle w:val="NIHRCFootnotes"/>
      </w:pPr>
      <w:r w:rsidRPr="00D4336D">
        <w:rPr>
          <w:rStyle w:val="FootnoteReference"/>
        </w:rPr>
        <w:footnoteRef/>
      </w:r>
      <w:r w:rsidRPr="00D4336D">
        <w:t xml:space="preserve"> </w:t>
      </w:r>
      <w:r w:rsidRPr="00D4336D">
        <w:rPr>
          <w:i/>
          <w:iCs/>
        </w:rPr>
        <w:t>In the Matter of an Application by Martina Dillon and Others for Judicial Review</w:t>
      </w:r>
      <w:r w:rsidRPr="00D4336D">
        <w:t xml:space="preserve"> [2024] NIKB 11</w:t>
      </w:r>
      <w:r w:rsidR="00B31AA2" w:rsidRPr="00D4336D">
        <w:t>, at para 710.</w:t>
      </w:r>
    </w:p>
  </w:footnote>
  <w:footnote w:id="134">
    <w:p w14:paraId="71D463D7" w14:textId="066D3EAE" w:rsidR="00930051" w:rsidRPr="00D4336D" w:rsidRDefault="00930051" w:rsidP="00D4336D">
      <w:pPr>
        <w:pStyle w:val="NIHRCFootnotes"/>
      </w:pPr>
      <w:r w:rsidRPr="00D4336D">
        <w:rPr>
          <w:rStyle w:val="FootnoteReference"/>
        </w:rPr>
        <w:footnoteRef/>
      </w:r>
      <w:r w:rsidRPr="00D4336D">
        <w:t xml:space="preserve"> </w:t>
      </w:r>
      <w:r w:rsidR="009358CC" w:rsidRPr="00D4336D">
        <w:t>Section 19</w:t>
      </w:r>
      <w:r w:rsidRPr="00D4336D">
        <w:t xml:space="preserve">, NI Troubles (Legacy and Reconciliation) </w:t>
      </w:r>
      <w:r w:rsidR="00B176EA" w:rsidRPr="00D4336D">
        <w:t>Act 2023</w:t>
      </w:r>
      <w:r w:rsidRPr="00D4336D">
        <w:t>.</w:t>
      </w:r>
    </w:p>
  </w:footnote>
  <w:footnote w:id="135">
    <w:p w14:paraId="5ECB0426" w14:textId="60396376" w:rsidR="00710594" w:rsidRPr="00D4336D" w:rsidRDefault="00710594" w:rsidP="00D4336D">
      <w:pPr>
        <w:pStyle w:val="NIHRCFootnotes"/>
      </w:pPr>
      <w:r w:rsidRPr="00D4336D">
        <w:rPr>
          <w:rStyle w:val="FootnoteReference"/>
        </w:rPr>
        <w:footnoteRef/>
      </w:r>
      <w:r w:rsidRPr="00D4336D">
        <w:t xml:space="preserve"> </w:t>
      </w:r>
      <w:r w:rsidR="0031791D" w:rsidRPr="00D4336D">
        <w:t>Paragraph</w:t>
      </w:r>
      <w:r w:rsidR="00B176EA" w:rsidRPr="00D4336D">
        <w:t xml:space="preserve"> 3</w:t>
      </w:r>
      <w:r w:rsidR="0031791D" w:rsidRPr="00D4336D">
        <w:t xml:space="preserve"> of</w:t>
      </w:r>
      <w:r w:rsidR="00B176EA" w:rsidRPr="00D4336D">
        <w:t xml:space="preserve"> Schedule 5</w:t>
      </w:r>
      <w:r w:rsidRPr="00D4336D">
        <w:t xml:space="preserve">, NI Troubles (Legacy and Reconciliation) </w:t>
      </w:r>
      <w:r w:rsidR="00B176EA" w:rsidRPr="00D4336D">
        <w:t>Act 2023</w:t>
      </w:r>
      <w:r w:rsidRPr="00D4336D">
        <w:t>.</w:t>
      </w:r>
    </w:p>
  </w:footnote>
  <w:footnote w:id="136">
    <w:p w14:paraId="0D992A8C" w14:textId="720643A2" w:rsidR="005E1C83" w:rsidRPr="00D4336D" w:rsidRDefault="005E1C83" w:rsidP="00D4336D">
      <w:pPr>
        <w:pStyle w:val="NIHRCFootnotes"/>
      </w:pPr>
      <w:r w:rsidRPr="00D4336D">
        <w:rPr>
          <w:rStyle w:val="FootnoteReference"/>
        </w:rPr>
        <w:footnoteRef/>
      </w:r>
      <w:r w:rsidRPr="00D4336D">
        <w:t xml:space="preserve"> </w:t>
      </w:r>
      <w:r w:rsidR="0069740D" w:rsidRPr="00D4336D">
        <w:t>Ibid</w:t>
      </w:r>
      <w:r w:rsidRPr="00D4336D">
        <w:t>.</w:t>
      </w:r>
    </w:p>
  </w:footnote>
  <w:footnote w:id="137">
    <w:p w14:paraId="226660AA" w14:textId="2AA34E08" w:rsidR="009478F7" w:rsidRPr="00D4336D" w:rsidRDefault="009478F7" w:rsidP="00D4336D">
      <w:pPr>
        <w:pStyle w:val="NIHRCFootnotes"/>
      </w:pPr>
      <w:r w:rsidRPr="00D4336D">
        <w:rPr>
          <w:rStyle w:val="FootnoteReference"/>
        </w:rPr>
        <w:footnoteRef/>
      </w:r>
      <w:r w:rsidRPr="00D4336D">
        <w:t xml:space="preserve"> </w:t>
      </w:r>
      <w:r w:rsidR="000E228A" w:rsidRPr="00D4336D">
        <w:rPr>
          <w:i/>
          <w:iCs/>
        </w:rPr>
        <w:t>In the Matter of an Application by Martina Dillon and Others for Judicial Review</w:t>
      </w:r>
      <w:r w:rsidR="000E228A" w:rsidRPr="00D4336D">
        <w:t xml:space="preserve"> [2024] NIKB 11, a</w:t>
      </w:r>
      <w:r w:rsidRPr="00D4336D">
        <w:t>t para 481.</w:t>
      </w:r>
    </w:p>
  </w:footnote>
  <w:footnote w:id="138">
    <w:p w14:paraId="6515F06E" w14:textId="4DAD7211" w:rsidR="00445704" w:rsidRPr="00D4336D" w:rsidRDefault="00445704" w:rsidP="00D4336D">
      <w:pPr>
        <w:pStyle w:val="NIHRCFootnotes"/>
      </w:pPr>
      <w:r w:rsidRPr="00D4336D">
        <w:rPr>
          <w:rStyle w:val="FootnoteReference"/>
        </w:rPr>
        <w:footnoteRef/>
      </w:r>
      <w:r w:rsidRPr="00D4336D">
        <w:t xml:space="preserve"> </w:t>
      </w:r>
      <w:r w:rsidR="0069740D" w:rsidRPr="00D4336D">
        <w:t>Ibid</w:t>
      </w:r>
      <w:r w:rsidR="000E228A" w:rsidRPr="00D4336D">
        <w:t>, a</w:t>
      </w:r>
      <w:r w:rsidRPr="00D4336D">
        <w:t>t para 471</w:t>
      </w:r>
      <w:r w:rsidR="008A627A" w:rsidRPr="00D4336D">
        <w:t>.</w:t>
      </w:r>
    </w:p>
  </w:footnote>
  <w:footnote w:id="139">
    <w:p w14:paraId="1B794241" w14:textId="3B8C42DC" w:rsidR="003D3DF7" w:rsidRPr="00D4336D" w:rsidRDefault="003D3DF7" w:rsidP="00D4336D">
      <w:pPr>
        <w:pStyle w:val="NIHRCFootnotes"/>
      </w:pPr>
      <w:r w:rsidRPr="00D4336D">
        <w:rPr>
          <w:rStyle w:val="FootnoteReference"/>
        </w:rPr>
        <w:footnoteRef/>
      </w:r>
      <w:r w:rsidRPr="00D4336D">
        <w:t xml:space="preserve"> </w:t>
      </w:r>
      <w:r w:rsidR="0069740D" w:rsidRPr="00D4336D">
        <w:t>Ibid</w:t>
      </w:r>
      <w:r w:rsidR="000E228A" w:rsidRPr="00D4336D">
        <w:t>, a</w:t>
      </w:r>
      <w:r w:rsidR="008604E8" w:rsidRPr="00D4336D">
        <w:t>t para 516.</w:t>
      </w:r>
    </w:p>
  </w:footnote>
  <w:footnote w:id="140">
    <w:p w14:paraId="42CD60D5" w14:textId="1B0BE548" w:rsidR="00445EB4" w:rsidRPr="00D4336D" w:rsidRDefault="00445EB4" w:rsidP="00D4336D">
      <w:pPr>
        <w:pStyle w:val="NIHRCFootnotes"/>
      </w:pPr>
      <w:r w:rsidRPr="00D4336D">
        <w:rPr>
          <w:rStyle w:val="FootnoteReference"/>
        </w:rPr>
        <w:footnoteRef/>
      </w:r>
      <w:r w:rsidRPr="00D4336D">
        <w:t xml:space="preserve"> </w:t>
      </w:r>
      <w:r w:rsidR="00381A28" w:rsidRPr="00D4336D">
        <w:t>Paragraph 3, Schedule 5, NI Troubles (Legacy and Reconciliation) Act 2023.</w:t>
      </w:r>
    </w:p>
  </w:footnote>
  <w:footnote w:id="141">
    <w:p w14:paraId="61B2EB85" w14:textId="7BE7460E" w:rsidR="00A1576C" w:rsidRPr="00D4336D" w:rsidRDefault="00A1576C" w:rsidP="00D4336D">
      <w:pPr>
        <w:pStyle w:val="NIHRCFootnotes"/>
      </w:pPr>
      <w:r w:rsidRPr="00D4336D">
        <w:rPr>
          <w:rStyle w:val="FootnoteReference"/>
        </w:rPr>
        <w:footnoteRef/>
      </w:r>
      <w:r w:rsidRPr="00D4336D">
        <w:t xml:space="preserve"> </w:t>
      </w:r>
      <w:r w:rsidR="00DA3E32" w:rsidRPr="00D4336D">
        <w:t>Brandon Lewis, ‘</w:t>
      </w:r>
      <w:r w:rsidR="006D67D8" w:rsidRPr="00D4336D">
        <w:t xml:space="preserve">My NI legacy plan. No longer will our veterans be hounded about events that happened decades ago’, </w:t>
      </w:r>
      <w:r w:rsidR="006D67D8" w:rsidRPr="00D4336D">
        <w:rPr>
          <w:i/>
          <w:iCs/>
        </w:rPr>
        <w:t>Conservative Home</w:t>
      </w:r>
      <w:r w:rsidR="006D67D8" w:rsidRPr="00D4336D">
        <w:t>, 9 June 2022.</w:t>
      </w:r>
    </w:p>
  </w:footnote>
  <w:footnote w:id="142">
    <w:p w14:paraId="25AF89D9" w14:textId="77777777" w:rsidR="00C461C7" w:rsidRPr="00D4336D" w:rsidRDefault="00C461C7" w:rsidP="00D4336D">
      <w:pPr>
        <w:pStyle w:val="NIHRCFootnotes"/>
      </w:pPr>
      <w:r w:rsidRPr="00D4336D">
        <w:rPr>
          <w:rStyle w:val="FootnoteReference"/>
        </w:rPr>
        <w:footnoteRef/>
      </w:r>
      <w:r w:rsidRPr="00D4336D">
        <w:t xml:space="preserve"> </w:t>
      </w:r>
      <w:r w:rsidRPr="00D4336D">
        <w:rPr>
          <w:i/>
        </w:rPr>
        <w:t>Eremiásová and Pechová v Czech Republic</w:t>
      </w:r>
      <w:r w:rsidRPr="00D4336D">
        <w:t>, Application No 23944/04, Judgment of 16 May 2012, at para 149.</w:t>
      </w:r>
    </w:p>
  </w:footnote>
  <w:footnote w:id="143">
    <w:p w14:paraId="03BEC0B5" w14:textId="77777777" w:rsidR="00317B8E" w:rsidRPr="00D4336D" w:rsidRDefault="00317B8E" w:rsidP="00D4336D">
      <w:pPr>
        <w:pStyle w:val="NIHRCFootnotes"/>
      </w:pPr>
      <w:r w:rsidRPr="00D4336D">
        <w:rPr>
          <w:rStyle w:val="FootnoteReference"/>
        </w:rPr>
        <w:footnoteRef/>
      </w:r>
      <w:r w:rsidRPr="00D4336D">
        <w:t xml:space="preserve"> </w:t>
      </w:r>
      <w:r w:rsidRPr="00D4336D">
        <w:rPr>
          <w:i/>
        </w:rPr>
        <w:t>Gülec v Turkey</w:t>
      </w:r>
      <w:r w:rsidRPr="00D4336D">
        <w:t>, Application No 21593/93, Judgment of 27 July 1998, at para 82.</w:t>
      </w:r>
    </w:p>
  </w:footnote>
  <w:footnote w:id="144">
    <w:p w14:paraId="54EDD1C0" w14:textId="145D4FF2" w:rsidR="00B777AA" w:rsidRPr="00D4336D" w:rsidRDefault="00B777AA" w:rsidP="00D4336D">
      <w:pPr>
        <w:pStyle w:val="NIHRCFootnotes"/>
      </w:pPr>
      <w:r w:rsidRPr="00D4336D">
        <w:rPr>
          <w:rStyle w:val="FootnoteReference"/>
        </w:rPr>
        <w:footnoteRef/>
      </w:r>
      <w:r w:rsidRPr="00D4336D">
        <w:t xml:space="preserve"> </w:t>
      </w:r>
      <w:r w:rsidRPr="00D4336D">
        <w:rPr>
          <w:i/>
          <w:iCs/>
        </w:rPr>
        <w:t>Finucane v UK</w:t>
      </w:r>
      <w:r w:rsidRPr="00D4336D">
        <w:t xml:space="preserve"> </w:t>
      </w:r>
      <w:r w:rsidR="003227DF" w:rsidRPr="00D4336D">
        <w:t>(2003) ECHR 328</w:t>
      </w:r>
      <w:r w:rsidRPr="00D4336D">
        <w:t>, at paras 82 and 83.</w:t>
      </w:r>
    </w:p>
  </w:footnote>
  <w:footnote w:id="145">
    <w:p w14:paraId="47F39614" w14:textId="77777777" w:rsidR="00317B8E" w:rsidRPr="00D4336D" w:rsidRDefault="00317B8E" w:rsidP="00D4336D">
      <w:pPr>
        <w:pStyle w:val="NIHRCFootnotes"/>
      </w:pPr>
      <w:r w:rsidRPr="00D4336D">
        <w:rPr>
          <w:rStyle w:val="FootnoteReference"/>
        </w:rPr>
        <w:footnoteRef/>
      </w:r>
      <w:r w:rsidRPr="00D4336D">
        <w:t xml:space="preserve"> </w:t>
      </w:r>
      <w:r w:rsidRPr="00D4336D">
        <w:rPr>
          <w:i/>
        </w:rPr>
        <w:t>Gül v Turkey</w:t>
      </w:r>
      <w:r w:rsidRPr="00D4336D">
        <w:t>, Application No 22676/93, Judgment of 14 December 2000, at para 93.</w:t>
      </w:r>
    </w:p>
  </w:footnote>
  <w:footnote w:id="146">
    <w:p w14:paraId="4DC73C5E" w14:textId="4C217166" w:rsidR="001E1FD8" w:rsidRPr="00D4336D" w:rsidRDefault="001E1FD8" w:rsidP="00D4336D">
      <w:pPr>
        <w:pStyle w:val="NIHRCFootnotes"/>
      </w:pPr>
      <w:r w:rsidRPr="00D4336D">
        <w:rPr>
          <w:rStyle w:val="FootnoteReference"/>
        </w:rPr>
        <w:footnoteRef/>
      </w:r>
      <w:r w:rsidRPr="00D4336D">
        <w:t xml:space="preserve"> </w:t>
      </w:r>
      <w:r w:rsidRPr="00D4336D">
        <w:rPr>
          <w:i/>
          <w:iCs/>
        </w:rPr>
        <w:t>McKerr v UK</w:t>
      </w:r>
      <w:r w:rsidRPr="00D4336D">
        <w:t xml:space="preserve"> (2001) ECHR 329, at para 114</w:t>
      </w:r>
      <w:r w:rsidR="00055F80" w:rsidRPr="00D4336D">
        <w:t xml:space="preserve">; </w:t>
      </w:r>
      <w:r w:rsidR="00055F80" w:rsidRPr="00D4336D">
        <w:rPr>
          <w:i/>
          <w:iCs/>
        </w:rPr>
        <w:t>Finucane v UK</w:t>
      </w:r>
      <w:r w:rsidR="00055F80" w:rsidRPr="00D4336D">
        <w:t xml:space="preserve"> (2003) ECHR 328, at paras 82 and 83.</w:t>
      </w:r>
    </w:p>
  </w:footnote>
  <w:footnote w:id="147">
    <w:p w14:paraId="7BCD4FA8" w14:textId="24A8303C" w:rsidR="00B176EA" w:rsidRPr="00D4336D" w:rsidRDefault="00B176EA" w:rsidP="00D4336D">
      <w:pPr>
        <w:pStyle w:val="NIHRCFootnotes"/>
      </w:pPr>
      <w:r w:rsidRPr="00D4336D">
        <w:rPr>
          <w:rStyle w:val="FootnoteReference"/>
        </w:rPr>
        <w:footnoteRef/>
      </w:r>
      <w:r w:rsidRPr="00D4336D">
        <w:t xml:space="preserve"> </w:t>
      </w:r>
      <w:r w:rsidR="002302DA" w:rsidRPr="00D4336D">
        <w:t>Section 19, NI Troubles (Legacy and Reconciliation) Act 2023.</w:t>
      </w:r>
    </w:p>
  </w:footnote>
  <w:footnote w:id="148">
    <w:p w14:paraId="0873DC0E" w14:textId="60290E4B" w:rsidR="00B63D86" w:rsidRPr="00D4336D" w:rsidRDefault="00B63D86" w:rsidP="00D4336D">
      <w:pPr>
        <w:pStyle w:val="NIHRCFootnotes"/>
      </w:pPr>
      <w:r w:rsidRPr="00D4336D">
        <w:rPr>
          <w:rStyle w:val="FootnoteReference"/>
        </w:rPr>
        <w:footnoteRef/>
      </w:r>
      <w:r w:rsidRPr="00D4336D">
        <w:t xml:space="preserve"> DH-DD(2022)831, ‘Communication from the Authorities (08/08/2022) Concerning the Case of </w:t>
      </w:r>
      <w:r w:rsidRPr="00D4336D">
        <w:t>McKerr v UK (Application No 28883/95</w:t>
      </w:r>
      <w:r w:rsidR="007F576E" w:rsidRPr="00D4336D">
        <w:t>)</w:t>
      </w:r>
      <w:r w:rsidRPr="00D4336D">
        <w:t>’, 8 August 2022, at 6</w:t>
      </w:r>
      <w:r w:rsidR="00B74A9A" w:rsidRPr="00D4336D">
        <w:t>; UK Government, ‘UK Government Response to the NIHRC’s Rule 9 Submission to the CoE Committee of Ministers in Relation to the Supervision of the Cases Concerning the Actions of the Security Forces in NI: Advice on NI Troubles (Legacy and Reconciliation) Bill’ (UK Gov, 2022), at 10.</w:t>
      </w:r>
    </w:p>
  </w:footnote>
  <w:footnote w:id="149">
    <w:p w14:paraId="03A7E98F" w14:textId="22162D76" w:rsidR="00B63D86" w:rsidRPr="00D4336D" w:rsidRDefault="00B63D86" w:rsidP="00D4336D">
      <w:pPr>
        <w:pStyle w:val="NIHRCFootnotes"/>
      </w:pPr>
      <w:r w:rsidRPr="00D4336D">
        <w:rPr>
          <w:rStyle w:val="FootnoteReference"/>
        </w:rPr>
        <w:footnoteRef/>
      </w:r>
      <w:r w:rsidRPr="00D4336D">
        <w:t xml:space="preserve"> </w:t>
      </w:r>
      <w:r w:rsidR="00D428FA" w:rsidRPr="00D4336D">
        <w:t xml:space="preserve">DH-DD(2022)831, ‘Communication from the Authorities (08/08/2022) Concerning the Case of </w:t>
      </w:r>
      <w:r w:rsidR="00D428FA" w:rsidRPr="00D4336D">
        <w:t>McKerr v UK (Application No 28883/95</w:t>
      </w:r>
      <w:r w:rsidR="007F576E" w:rsidRPr="00D4336D">
        <w:t>)</w:t>
      </w:r>
      <w:r w:rsidR="00D428FA" w:rsidRPr="00D4336D">
        <w:t>’, 8 August 2022, at 6; UK Government, ‘UK Government Response to the NIHRC’s Rule 9 Submission to the CoE Committee of Ministers in Relation to the Supervision of the Cases Concerning the Actions of the Security Forces in NI: Advice on NI Troubles (Legacy and Reconciliation) Bill’ (UK Gov, 2022), at 10</w:t>
      </w:r>
      <w:r w:rsidR="00B74A9A" w:rsidRPr="00D4336D">
        <w:t>.</w:t>
      </w:r>
    </w:p>
  </w:footnote>
  <w:footnote w:id="150">
    <w:p w14:paraId="7F26F8D4" w14:textId="47DAD604" w:rsidR="00142A39" w:rsidRPr="00D4336D" w:rsidRDefault="00142A39" w:rsidP="00D4336D">
      <w:pPr>
        <w:pStyle w:val="NIHRCFootnotes"/>
      </w:pPr>
      <w:r w:rsidRPr="00D4336D">
        <w:rPr>
          <w:rStyle w:val="FootnoteReference"/>
        </w:rPr>
        <w:footnoteRef/>
      </w:r>
      <w:r w:rsidRPr="00D4336D">
        <w:t xml:space="preserve"> </w:t>
      </w:r>
      <w:r w:rsidR="00D428FA" w:rsidRPr="00D4336D">
        <w:t xml:space="preserve">DH-DD(2022)831, ‘Communication from the Authorities (08/08/2022) Concerning the Case of </w:t>
      </w:r>
      <w:r w:rsidR="00D428FA" w:rsidRPr="00D4336D">
        <w:t>McKerr v UK (Application No 28883/95</w:t>
      </w:r>
      <w:r w:rsidR="007F576E" w:rsidRPr="00D4336D">
        <w:t>)</w:t>
      </w:r>
      <w:r w:rsidR="00D428FA" w:rsidRPr="00D4336D">
        <w:t>’, 8 August 2022, at 6; UK Government, ‘UK Government Response to the NIHRC’s Rule 9 Submission to the CoE Committee of Ministers in Relation to the Supervision of the Cases Concerning the Actions of the Security Forces in NI: Advice on NI Troubles (Legacy and Reconciliation) Bill’ (UK Gov, 2022), at 10</w:t>
      </w:r>
      <w:r w:rsidR="00DF2B00" w:rsidRPr="00D4336D">
        <w:t>.</w:t>
      </w:r>
    </w:p>
  </w:footnote>
  <w:footnote w:id="151">
    <w:p w14:paraId="2269AE95" w14:textId="3558450E" w:rsidR="00BA7B3D" w:rsidRPr="00D4336D" w:rsidRDefault="00BA7B3D" w:rsidP="00D4336D">
      <w:pPr>
        <w:pStyle w:val="NIHRCFootnotes"/>
      </w:pPr>
      <w:r w:rsidRPr="00D4336D">
        <w:rPr>
          <w:rStyle w:val="FootnoteReference"/>
        </w:rPr>
        <w:footnoteRef/>
      </w:r>
      <w:r w:rsidRPr="00D4336D">
        <w:t xml:space="preserve"> </w:t>
      </w:r>
      <w:r w:rsidR="00D428FA" w:rsidRPr="00D4336D">
        <w:t>Sections 39 and 40</w:t>
      </w:r>
      <w:r w:rsidR="005F033D" w:rsidRPr="00D4336D">
        <w:t xml:space="preserve">, NI Troubles (Legacy and Reconciliation) </w:t>
      </w:r>
      <w:r w:rsidR="00D428FA" w:rsidRPr="00D4336D">
        <w:t>Act 2023</w:t>
      </w:r>
      <w:r w:rsidR="005F033D" w:rsidRPr="00D4336D">
        <w:t>.</w:t>
      </w:r>
    </w:p>
  </w:footnote>
  <w:footnote w:id="152">
    <w:p w14:paraId="402F3563" w14:textId="77777777" w:rsidR="00100DD2" w:rsidRPr="00D4336D" w:rsidRDefault="00100DD2" w:rsidP="00D4336D">
      <w:pPr>
        <w:pStyle w:val="NIHRCFootnotes"/>
      </w:pPr>
      <w:r w:rsidRPr="00D4336D">
        <w:rPr>
          <w:rStyle w:val="FootnoteReference"/>
        </w:rPr>
        <w:footnoteRef/>
      </w:r>
      <w:r w:rsidRPr="00D4336D">
        <w:t xml:space="preserve"> </w:t>
      </w:r>
      <w:r w:rsidRPr="00D4336D">
        <w:rPr>
          <w:i/>
          <w:iCs/>
        </w:rPr>
        <w:t>In the Matter of an Application by Martina Dillon and Others for Judicial Review</w:t>
      </w:r>
      <w:r w:rsidRPr="00D4336D">
        <w:t xml:space="preserve"> [2024] NIKB 11, at para 187.</w:t>
      </w:r>
    </w:p>
  </w:footnote>
  <w:footnote w:id="153">
    <w:p w14:paraId="093463C3" w14:textId="27AF2879" w:rsidR="00F64A57" w:rsidRPr="00D4336D" w:rsidRDefault="00F64A57" w:rsidP="00D4336D">
      <w:pPr>
        <w:pStyle w:val="NIHRCFootnotes"/>
      </w:pPr>
      <w:r w:rsidRPr="00D4336D">
        <w:rPr>
          <w:rStyle w:val="FootnoteReference"/>
        </w:rPr>
        <w:footnoteRef/>
      </w:r>
      <w:r w:rsidRPr="00D4336D">
        <w:t xml:space="preserve"> Article 6</w:t>
      </w:r>
      <w:r w:rsidR="00B8490E" w:rsidRPr="00D4336D">
        <w:t>(1)</w:t>
      </w:r>
      <w:r w:rsidRPr="00D4336D">
        <w:t xml:space="preserve">, European Convention on Human Rights 1950; </w:t>
      </w:r>
      <w:r w:rsidR="002342A3" w:rsidRPr="00D4336D">
        <w:t>Article 14</w:t>
      </w:r>
      <w:r w:rsidR="00B8490E" w:rsidRPr="00D4336D">
        <w:t>(1)</w:t>
      </w:r>
      <w:r w:rsidR="002342A3" w:rsidRPr="00D4336D">
        <w:t>, UN International Covenant on Civil and Political Rights 1966</w:t>
      </w:r>
      <w:r w:rsidR="0060054A" w:rsidRPr="00D4336D">
        <w:t>.</w:t>
      </w:r>
    </w:p>
  </w:footnote>
  <w:footnote w:id="154">
    <w:p w14:paraId="6B8BB9A2" w14:textId="77777777" w:rsidR="00A76B14" w:rsidRPr="00D4336D" w:rsidRDefault="00A76B14" w:rsidP="00D4336D">
      <w:pPr>
        <w:pStyle w:val="NIHRCFootnotes"/>
      </w:pPr>
      <w:r w:rsidRPr="00D4336D">
        <w:rPr>
          <w:rStyle w:val="FootnoteReference"/>
        </w:rPr>
        <w:footnoteRef/>
      </w:r>
      <w:r w:rsidRPr="00D4336D">
        <w:t xml:space="preserve"> </w:t>
      </w:r>
      <w:r w:rsidRPr="00D4336D">
        <w:rPr>
          <w:i/>
          <w:iCs/>
        </w:rPr>
        <w:t>Golder v UK</w:t>
      </w:r>
      <w:r w:rsidRPr="00D4336D">
        <w:t xml:space="preserve"> (1975) 1 EHRR 524, at para 28.</w:t>
      </w:r>
    </w:p>
  </w:footnote>
  <w:footnote w:id="155">
    <w:p w14:paraId="6A5D6E44" w14:textId="77777777" w:rsidR="00A76B14" w:rsidRPr="00D4336D" w:rsidRDefault="00A76B14" w:rsidP="00D4336D">
      <w:pPr>
        <w:pStyle w:val="NIHRCFootnotes"/>
      </w:pPr>
      <w:r w:rsidRPr="00D4336D">
        <w:rPr>
          <w:rStyle w:val="FootnoteReference"/>
        </w:rPr>
        <w:footnoteRef/>
      </w:r>
      <w:r w:rsidRPr="00D4336D">
        <w:t xml:space="preserve"> </w:t>
      </w:r>
      <w:r w:rsidRPr="00D4336D">
        <w:rPr>
          <w:i/>
          <w:iCs/>
        </w:rPr>
        <w:t>Philis v Greece</w:t>
      </w:r>
      <w:r w:rsidRPr="00D4336D">
        <w:t xml:space="preserve"> (1991) 13 EHRR 741, at para 59.</w:t>
      </w:r>
    </w:p>
  </w:footnote>
  <w:footnote w:id="156">
    <w:p w14:paraId="3177F8ED" w14:textId="77777777" w:rsidR="00212970" w:rsidRPr="00D4336D" w:rsidRDefault="00212970" w:rsidP="00D4336D">
      <w:pPr>
        <w:pStyle w:val="NIHRCFootnotes"/>
      </w:pPr>
      <w:r w:rsidRPr="00D4336D">
        <w:rPr>
          <w:rStyle w:val="FootnoteReference"/>
        </w:rPr>
        <w:footnoteRef/>
      </w:r>
      <w:r w:rsidRPr="00D4336D">
        <w:t xml:space="preserve"> Article 1, Protocol No 1 of the European Convention on Human Rights 1952</w:t>
      </w:r>
    </w:p>
  </w:footnote>
  <w:footnote w:id="157">
    <w:p w14:paraId="52350BA7" w14:textId="1B4640CD" w:rsidR="00E04400" w:rsidRPr="00D4336D" w:rsidRDefault="00E04400" w:rsidP="00D4336D">
      <w:pPr>
        <w:pStyle w:val="NIHRCFootnotes"/>
      </w:pPr>
      <w:r w:rsidRPr="00D4336D">
        <w:rPr>
          <w:rStyle w:val="FootnoteReference"/>
        </w:rPr>
        <w:footnoteRef/>
      </w:r>
      <w:r w:rsidRPr="00D4336D">
        <w:t xml:space="preserve"> </w:t>
      </w:r>
      <w:r w:rsidR="00EA5544" w:rsidRPr="00D4336D">
        <w:rPr>
          <w:i/>
          <w:iCs/>
        </w:rPr>
        <w:t>Vilho Eskelinen v Finland</w:t>
      </w:r>
      <w:r w:rsidR="00EA5544" w:rsidRPr="00D4336D">
        <w:t xml:space="preserve"> </w:t>
      </w:r>
      <w:r w:rsidR="00DF63B6" w:rsidRPr="00D4336D">
        <w:t>(2007) ECHR 314.</w:t>
      </w:r>
    </w:p>
  </w:footnote>
  <w:footnote w:id="158">
    <w:p w14:paraId="2B3E238A" w14:textId="77777777" w:rsidR="00A76B14" w:rsidRPr="00D4336D" w:rsidRDefault="00A76B14" w:rsidP="00D4336D">
      <w:pPr>
        <w:pStyle w:val="NIHRCFootnotes"/>
      </w:pPr>
      <w:r w:rsidRPr="00D4336D">
        <w:rPr>
          <w:rStyle w:val="FootnoteReference"/>
        </w:rPr>
        <w:footnoteRef/>
      </w:r>
      <w:r w:rsidRPr="00D4336D">
        <w:t xml:space="preserve"> </w:t>
      </w:r>
      <w:r w:rsidRPr="00D4336D">
        <w:rPr>
          <w:i/>
          <w:iCs/>
        </w:rPr>
        <w:t>Isayeva v Russia</w:t>
      </w:r>
      <w:r w:rsidRPr="00D4336D">
        <w:t xml:space="preserve"> (2005) ECHR 128, at para 229.</w:t>
      </w:r>
    </w:p>
  </w:footnote>
  <w:footnote w:id="159">
    <w:p w14:paraId="27C07E45" w14:textId="4B2EDFEA" w:rsidR="00A76B14" w:rsidRPr="00D4336D" w:rsidRDefault="00A76B14" w:rsidP="00D4336D">
      <w:pPr>
        <w:pStyle w:val="NIHRCFootnotes"/>
      </w:pPr>
      <w:r w:rsidRPr="00D4336D">
        <w:rPr>
          <w:rStyle w:val="FootnoteReference"/>
        </w:rPr>
        <w:footnoteRef/>
      </w:r>
      <w:r w:rsidRPr="00D4336D">
        <w:t xml:space="preserve"> </w:t>
      </w:r>
      <w:r w:rsidRPr="00D4336D">
        <w:rPr>
          <w:i/>
        </w:rPr>
        <w:t>Bityeva and Others v Russia</w:t>
      </w:r>
      <w:r w:rsidRPr="00D4336D">
        <w:t xml:space="preserve"> (2009) ECHR 672, at para 121; </w:t>
      </w:r>
      <w:r w:rsidRPr="00D4336D">
        <w:rPr>
          <w:i/>
        </w:rPr>
        <w:t>Akhmadova and Akhmadov v Russia</w:t>
      </w:r>
      <w:r w:rsidRPr="00D4336D">
        <w:t xml:space="preserve"> (2008) ECH</w:t>
      </w:r>
      <w:r w:rsidR="002E58C4" w:rsidRPr="00D4336D">
        <w:t>R</w:t>
      </w:r>
      <w:r w:rsidRPr="00D4336D">
        <w:t xml:space="preserve"> 869, at para 103.</w:t>
      </w:r>
    </w:p>
  </w:footnote>
  <w:footnote w:id="160">
    <w:p w14:paraId="1EB8E24D" w14:textId="77777777" w:rsidR="00A76B14" w:rsidRPr="00D4336D" w:rsidRDefault="00A76B14" w:rsidP="00D4336D">
      <w:pPr>
        <w:pStyle w:val="NIHRCFootnotes"/>
      </w:pPr>
      <w:r w:rsidRPr="00D4336D">
        <w:rPr>
          <w:rStyle w:val="FootnoteReference"/>
        </w:rPr>
        <w:footnoteRef/>
      </w:r>
      <w:r w:rsidRPr="00D4336D">
        <w:t xml:space="preserve"> </w:t>
      </w:r>
      <w:r w:rsidRPr="00D4336D">
        <w:rPr>
          <w:i/>
        </w:rPr>
        <w:t>El-Masri v The Former Yugoslav Republic of Macedonia</w:t>
      </w:r>
      <w:r w:rsidRPr="00D4336D">
        <w:t xml:space="preserve"> (2012), Application No 39630/09, Judgment of 13 December 2012, at para 255.</w:t>
      </w:r>
    </w:p>
  </w:footnote>
  <w:footnote w:id="161">
    <w:p w14:paraId="6433E0C2" w14:textId="77777777" w:rsidR="004748EB" w:rsidRPr="00D4336D" w:rsidRDefault="004748EB" w:rsidP="00D4336D">
      <w:pPr>
        <w:pStyle w:val="NIHRCFootnotes"/>
      </w:pPr>
      <w:r w:rsidRPr="00D4336D">
        <w:rPr>
          <w:vertAlign w:val="superscript"/>
        </w:rPr>
        <w:footnoteRef/>
      </w:r>
      <w:r w:rsidRPr="00D4336D">
        <w:rPr>
          <w:vertAlign w:val="superscript"/>
        </w:rPr>
        <w:t xml:space="preserve"> </w:t>
      </w:r>
      <w:r w:rsidRPr="00D4336D">
        <w:t>The Good Friday Agreement 1998, Rights, Safeguards and Equality of Opportunity, at para 2.</w:t>
      </w:r>
    </w:p>
  </w:footnote>
  <w:footnote w:id="162">
    <w:p w14:paraId="7514098D" w14:textId="5E7FD500" w:rsidR="000D2356" w:rsidRPr="00D4336D" w:rsidRDefault="000D2356" w:rsidP="00D4336D">
      <w:pPr>
        <w:pStyle w:val="NIHRCFootnotes"/>
      </w:pPr>
      <w:r w:rsidRPr="00D4336D">
        <w:rPr>
          <w:rStyle w:val="FootnoteReference"/>
        </w:rPr>
        <w:footnoteRef/>
      </w:r>
      <w:r w:rsidRPr="00D4336D">
        <w:t xml:space="preserve"> Sections </w:t>
      </w:r>
      <w:r w:rsidR="00FB1033" w:rsidRPr="00D4336D">
        <w:t>38-</w:t>
      </w:r>
      <w:r w:rsidR="007E30D9" w:rsidRPr="00D4336D">
        <w:t xml:space="preserve">43 and </w:t>
      </w:r>
      <w:r w:rsidR="00FB1033" w:rsidRPr="00D4336D">
        <w:t>45</w:t>
      </w:r>
      <w:r w:rsidR="001616F6" w:rsidRPr="00D4336D">
        <w:t>, NI Troubles (Legacy and Reconciliation) Act 202</w:t>
      </w:r>
      <w:r w:rsidR="007E30D9" w:rsidRPr="00D4336D">
        <w:t>3</w:t>
      </w:r>
      <w:r w:rsidR="001616F6" w:rsidRPr="00D4336D">
        <w:t>.</w:t>
      </w:r>
    </w:p>
  </w:footnote>
  <w:footnote w:id="163">
    <w:p w14:paraId="0674E6E1" w14:textId="6E316A3C" w:rsidR="00843D16" w:rsidRPr="00D4336D" w:rsidRDefault="00843D16" w:rsidP="00D4336D">
      <w:pPr>
        <w:pStyle w:val="NIHRCFootnotes"/>
      </w:pPr>
      <w:r w:rsidRPr="00D4336D">
        <w:rPr>
          <w:rStyle w:val="FootnoteReference"/>
        </w:rPr>
        <w:footnoteRef/>
      </w:r>
      <w:r w:rsidRPr="00D4336D">
        <w:t xml:space="preserve"> </w:t>
      </w:r>
      <w:r w:rsidR="00337195" w:rsidRPr="00D4336D">
        <w:t>Section 44</w:t>
      </w:r>
      <w:r w:rsidRPr="00D4336D">
        <w:t xml:space="preserve">, NI Troubles (Legacy and Reconciliation) </w:t>
      </w:r>
      <w:r w:rsidR="007E30D9" w:rsidRPr="00D4336D">
        <w:t>Act 2023</w:t>
      </w:r>
      <w:r w:rsidRPr="00D4336D">
        <w:t>.</w:t>
      </w:r>
    </w:p>
  </w:footnote>
  <w:footnote w:id="164">
    <w:p w14:paraId="43D7E78D" w14:textId="4B683C4A" w:rsidR="00F213E8" w:rsidRPr="00D4336D" w:rsidRDefault="00F213E8" w:rsidP="00D4336D">
      <w:pPr>
        <w:pStyle w:val="NIHRCFootnotes"/>
      </w:pPr>
      <w:r w:rsidRPr="00D4336D">
        <w:rPr>
          <w:rStyle w:val="FootnoteReference"/>
        </w:rPr>
        <w:footnoteRef/>
      </w:r>
      <w:r w:rsidRPr="00D4336D">
        <w:t xml:space="preserve"> Protocol No 15 of the European Convention on Human Rights, </w:t>
      </w:r>
      <w:r w:rsidR="00B7452A" w:rsidRPr="00D4336D">
        <w:t>24 June 2013.</w:t>
      </w:r>
    </w:p>
  </w:footnote>
  <w:footnote w:id="165">
    <w:p w14:paraId="14510B67" w14:textId="6450B906" w:rsidR="002623F9" w:rsidRPr="00D4336D" w:rsidRDefault="002623F9" w:rsidP="00D4336D">
      <w:pPr>
        <w:pStyle w:val="NIHRCFootnotes"/>
      </w:pPr>
      <w:r w:rsidRPr="00D4336D">
        <w:rPr>
          <w:rStyle w:val="FootnoteReference"/>
        </w:rPr>
        <w:footnoteRef/>
      </w:r>
      <w:r w:rsidRPr="00D4336D">
        <w:t xml:space="preserve"> </w:t>
      </w:r>
      <w:r w:rsidR="001676B8" w:rsidRPr="00D4336D">
        <w:t>‘</w:t>
      </w:r>
      <w:r w:rsidR="001676B8" w:rsidRPr="00D4336D">
        <w:t>CoE Committee of Ministers Item H46-42 McKerr Group v UK (Application No. 28883/95)’, 7-8 June 2016; CM/Notes/1436/H46-35, ‘CoE Committee of Ministers Decision on McKerr Group v UK (Application No 28883/95), 10 June 2022, at para 4.</w:t>
      </w:r>
    </w:p>
  </w:footnote>
  <w:footnote w:id="166">
    <w:p w14:paraId="2C49FD88" w14:textId="45AD4654" w:rsidR="0073503B" w:rsidRPr="00D4336D" w:rsidRDefault="0073503B" w:rsidP="00D4336D">
      <w:pPr>
        <w:pStyle w:val="NIHRCFootnotes"/>
      </w:pPr>
      <w:r w:rsidRPr="00D4336D">
        <w:rPr>
          <w:rStyle w:val="FootnoteReference"/>
        </w:rPr>
        <w:footnoteRef/>
      </w:r>
      <w:r w:rsidRPr="00D4336D">
        <w:t xml:space="preserve"> UK Parliament Hansard, ‘NI Troubles (Legacy and Reconciliation) Bill: House of Commons Committee Stage Debate </w:t>
      </w:r>
      <w:r w:rsidR="007D77D1" w:rsidRPr="00D4336D">
        <w:t>–</w:t>
      </w:r>
      <w:r w:rsidRPr="00D4336D">
        <w:t xml:space="preserve"> </w:t>
      </w:r>
      <w:r w:rsidR="007D77D1" w:rsidRPr="00D4336D">
        <w:t xml:space="preserve">Minister of State, NIO – Conor Burns </w:t>
      </w:r>
      <w:r w:rsidR="007D77D1" w:rsidRPr="00D4336D">
        <w:t>MP</w:t>
      </w:r>
      <w:r w:rsidRPr="00D4336D">
        <w:t>‘, 29 June 2022</w:t>
      </w:r>
      <w:r w:rsidR="007D77D1" w:rsidRPr="00D4336D">
        <w:t>, at Volume 717, Column 341.</w:t>
      </w:r>
    </w:p>
  </w:footnote>
  <w:footnote w:id="167">
    <w:p w14:paraId="4443A98C" w14:textId="77777777" w:rsidR="00967539" w:rsidRPr="00D4336D" w:rsidRDefault="00967539" w:rsidP="00D4336D">
      <w:pPr>
        <w:pStyle w:val="NIHRCFootnotes"/>
      </w:pPr>
      <w:r w:rsidRPr="00D4336D">
        <w:rPr>
          <w:rStyle w:val="FootnoteReference"/>
        </w:rPr>
        <w:footnoteRef/>
      </w:r>
      <w:r w:rsidRPr="00D4336D">
        <w:t xml:space="preserve"> NI Office, ‘NI Troubles (Legacy and Reconciliation) Bill: Second Reading Opening Speech by Secretary of State for NI, Brandon Lewis MP’, 24 May 2022.</w:t>
      </w:r>
    </w:p>
  </w:footnote>
  <w:footnote w:id="168">
    <w:p w14:paraId="1E35DD85" w14:textId="234A6B8F" w:rsidR="00FB7A52" w:rsidRPr="00D4336D" w:rsidRDefault="00FB7A52" w:rsidP="00D4336D">
      <w:pPr>
        <w:pStyle w:val="NIHRCFootnotes"/>
      </w:pPr>
      <w:r w:rsidRPr="00D4336D">
        <w:rPr>
          <w:rStyle w:val="FootnoteReference"/>
        </w:rPr>
        <w:footnoteRef/>
      </w:r>
      <w:r w:rsidRPr="00D4336D">
        <w:t xml:space="preserve"> </w:t>
      </w:r>
      <w:r w:rsidR="00DD7A0C" w:rsidRPr="00D4336D">
        <w:t>Ibid.</w:t>
      </w:r>
    </w:p>
  </w:footnote>
  <w:footnote w:id="169">
    <w:p w14:paraId="6AA67083" w14:textId="2FD92D80" w:rsidR="001A649A" w:rsidRPr="00D4336D" w:rsidRDefault="001A649A" w:rsidP="00D4336D">
      <w:pPr>
        <w:pStyle w:val="NIHRCFootnotes"/>
      </w:pPr>
      <w:r w:rsidRPr="00D4336D">
        <w:rPr>
          <w:rStyle w:val="FootnoteReference"/>
        </w:rPr>
        <w:footnoteRef/>
      </w:r>
      <w:r w:rsidRPr="00D4336D">
        <w:t xml:space="preserve"> </w:t>
      </w:r>
      <w:r w:rsidR="008960F6" w:rsidRPr="00D4336D">
        <w:t xml:space="preserve">See for example </w:t>
      </w:r>
      <w:r w:rsidR="00E644B6" w:rsidRPr="00D4336D">
        <w:rPr>
          <w:i/>
          <w:iCs/>
        </w:rPr>
        <w:t>Re Bridget Irvine</w:t>
      </w:r>
      <w:r w:rsidR="00E644B6" w:rsidRPr="00D4336D">
        <w:t xml:space="preserve"> [2022] NIQB 49; </w:t>
      </w:r>
      <w:r w:rsidR="000E13CF" w:rsidRPr="00D4336D">
        <w:t xml:space="preserve">‘Kathleen Thompson: Mother-of-six’s killing “unjustified”’, </w:t>
      </w:r>
      <w:r w:rsidR="000E13CF" w:rsidRPr="00D4336D">
        <w:rPr>
          <w:i/>
          <w:iCs/>
        </w:rPr>
        <w:t>BBC News</w:t>
      </w:r>
      <w:r w:rsidR="000E13CF" w:rsidRPr="00D4336D">
        <w:t xml:space="preserve">, </w:t>
      </w:r>
      <w:r w:rsidR="008F51B9" w:rsidRPr="00D4336D">
        <w:t xml:space="preserve">29 June 2022; </w:t>
      </w:r>
      <w:r w:rsidR="005D35FF" w:rsidRPr="00D4336D">
        <w:rPr>
          <w:i/>
          <w:iCs/>
        </w:rPr>
        <w:t>In the Matter of a Series of Deaths that Occurred in August 1971 at Ballymurphy, West Belfast</w:t>
      </w:r>
      <w:r w:rsidR="005D35FF" w:rsidRPr="00D4336D">
        <w:t xml:space="preserve"> [2021] </w:t>
      </w:r>
      <w:r w:rsidR="005D35FF" w:rsidRPr="00D4336D">
        <w:t>NICoroner 6</w:t>
      </w:r>
      <w:r w:rsidR="00B51C4C" w:rsidRPr="00D4336D">
        <w:t xml:space="preserve">; </w:t>
      </w:r>
      <w:r w:rsidR="00B51C4C" w:rsidRPr="00D4336D">
        <w:rPr>
          <w:i/>
          <w:iCs/>
        </w:rPr>
        <w:t>In the Matter of an Inquest into the Death of Patrick McElhone</w:t>
      </w:r>
      <w:r w:rsidR="00B51C4C" w:rsidRPr="00D4336D">
        <w:t xml:space="preserve"> [2021] NICoroner 1</w:t>
      </w:r>
      <w:r w:rsidR="002B316D" w:rsidRPr="00D4336D">
        <w:t>; Lord Saville, ‘Report of the Bloody Sunday Inquiry’</w:t>
      </w:r>
      <w:r w:rsidR="00F6464D" w:rsidRPr="00D4336D">
        <w:t xml:space="preserve"> (TSO, 2010).</w:t>
      </w:r>
    </w:p>
  </w:footnote>
  <w:footnote w:id="170">
    <w:p w14:paraId="2E24FA2C" w14:textId="5AEC3D17" w:rsidR="00092DBF" w:rsidRPr="00D4336D" w:rsidRDefault="00092DBF" w:rsidP="00D4336D">
      <w:pPr>
        <w:pStyle w:val="NIHRCFootnotes"/>
      </w:pPr>
      <w:r w:rsidRPr="00D4336D">
        <w:rPr>
          <w:rStyle w:val="FootnoteReference"/>
        </w:rPr>
        <w:footnoteRef/>
      </w:r>
      <w:r w:rsidRPr="00D4336D">
        <w:t xml:space="preserve"> </w:t>
      </w:r>
      <w:r w:rsidR="00E32840" w:rsidRPr="00D4336D">
        <w:t>NI Affairs Committee, ‘Oral Evidence: Addressing the Legacy of NI’s Past – The UK Government’s Proposals</w:t>
      </w:r>
      <w:r w:rsidR="00510CA6" w:rsidRPr="00D4336D">
        <w:t xml:space="preserve"> – Sandra Peake</w:t>
      </w:r>
      <w:r w:rsidR="005F12AD" w:rsidRPr="00D4336D">
        <w:t>, WAVE Trauma Centre</w:t>
      </w:r>
      <w:r w:rsidR="008D5E61" w:rsidRPr="00D4336D">
        <w:t xml:space="preserve">’, 7 June 2022, at </w:t>
      </w:r>
      <w:r w:rsidR="00510CA6" w:rsidRPr="00D4336D">
        <w:t>418.</w:t>
      </w:r>
    </w:p>
  </w:footnote>
  <w:footnote w:id="171">
    <w:p w14:paraId="67A9C9D6" w14:textId="5DFF4400" w:rsidR="001A649A" w:rsidRPr="00601C26" w:rsidRDefault="001A649A" w:rsidP="00D4336D">
      <w:pPr>
        <w:pStyle w:val="NIHRCFootnotes"/>
      </w:pPr>
      <w:r w:rsidRPr="00D4336D">
        <w:rPr>
          <w:rStyle w:val="FootnoteReference"/>
        </w:rPr>
        <w:footnoteRef/>
      </w:r>
      <w:r w:rsidRPr="00D4336D">
        <w:t xml:space="preserve"> </w:t>
      </w:r>
      <w:r w:rsidR="00D07F5D" w:rsidRPr="00D4336D">
        <w:t>Ibid</w:t>
      </w:r>
      <w:r w:rsidRPr="00D4336D">
        <w:t>, at 4</w:t>
      </w:r>
      <w:r w:rsidR="00D81909" w:rsidRPr="00D4336D">
        <w:t>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564"/>
    <w:multiLevelType w:val="multilevel"/>
    <w:tmpl w:val="7D384EA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4EB4965"/>
    <w:multiLevelType w:val="multilevel"/>
    <w:tmpl w:val="D49CEF30"/>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 w15:restartNumberingAfterBreak="0">
    <w:nsid w:val="0BBC5439"/>
    <w:multiLevelType w:val="multilevel"/>
    <w:tmpl w:val="AEC2B444"/>
    <w:lvl w:ilvl="0">
      <w:start w:val="2"/>
      <w:numFmt w:val="decimal"/>
      <w:lvlText w:val="%1"/>
      <w:lvlJc w:val="left"/>
      <w:pPr>
        <w:ind w:left="540" w:hanging="54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686384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B3F7994"/>
    <w:multiLevelType w:val="multilevel"/>
    <w:tmpl w:val="4D24BB4C"/>
    <w:lvl w:ilvl="0">
      <w:start w:val="2"/>
      <w:numFmt w:val="decimal"/>
      <w:lvlText w:val="%1"/>
      <w:lvlJc w:val="left"/>
      <w:pPr>
        <w:ind w:left="540" w:hanging="540"/>
      </w:pPr>
      <w:rPr>
        <w:rFonts w:hint="default"/>
      </w:rPr>
    </w:lvl>
    <w:lvl w:ilvl="1">
      <w:start w:val="4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FBF6A4A"/>
    <w:multiLevelType w:val="multilevel"/>
    <w:tmpl w:val="CC1E29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4862D8E"/>
    <w:multiLevelType w:val="multilevel"/>
    <w:tmpl w:val="5C7C8196"/>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8F37122"/>
    <w:multiLevelType w:val="multilevel"/>
    <w:tmpl w:val="93721706"/>
    <w:lvl w:ilvl="0">
      <w:start w:val="2"/>
      <w:numFmt w:val="decimal"/>
      <w:lvlText w:val="%1"/>
      <w:lvlJc w:val="left"/>
      <w:pPr>
        <w:ind w:left="540" w:hanging="54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09856CC"/>
    <w:multiLevelType w:val="hybridMultilevel"/>
    <w:tmpl w:val="2F60DD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38D5FC6"/>
    <w:multiLevelType w:val="multilevel"/>
    <w:tmpl w:val="013E1676"/>
    <w:lvl w:ilvl="0">
      <w:start w:val="2"/>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0" w15:restartNumberingAfterBreak="0">
    <w:nsid w:val="65A41781"/>
    <w:multiLevelType w:val="multilevel"/>
    <w:tmpl w:val="65CC9E1A"/>
    <w:lvl w:ilvl="0">
      <w:start w:val="2"/>
      <w:numFmt w:val="decimal"/>
      <w:lvlText w:val="%1"/>
      <w:lvlJc w:val="left"/>
      <w:pPr>
        <w:ind w:left="540" w:hanging="540"/>
      </w:pPr>
      <w:rPr>
        <w:rFonts w:hint="default"/>
      </w:rPr>
    </w:lvl>
    <w:lvl w:ilvl="1">
      <w:start w:val="7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79F17D1"/>
    <w:multiLevelType w:val="multilevel"/>
    <w:tmpl w:val="838AE25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70636851"/>
    <w:multiLevelType w:val="multilevel"/>
    <w:tmpl w:val="95C4FEA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B6A759D"/>
    <w:multiLevelType w:val="multilevel"/>
    <w:tmpl w:val="E83E54B0"/>
    <w:lvl w:ilvl="0">
      <w:start w:val="2"/>
      <w:numFmt w:val="decimal"/>
      <w:lvlText w:val="%1"/>
      <w:lvlJc w:val="left"/>
      <w:pPr>
        <w:ind w:left="540" w:hanging="540"/>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2138252816">
    <w:abstractNumId w:val="3"/>
  </w:num>
  <w:num w:numId="2" w16cid:durableId="1309820089">
    <w:abstractNumId w:val="8"/>
  </w:num>
  <w:num w:numId="3" w16cid:durableId="54940897">
    <w:abstractNumId w:val="6"/>
  </w:num>
  <w:num w:numId="4" w16cid:durableId="682098899">
    <w:abstractNumId w:val="12"/>
  </w:num>
  <w:num w:numId="5" w16cid:durableId="345986833">
    <w:abstractNumId w:val="5"/>
  </w:num>
  <w:num w:numId="6" w16cid:durableId="1737319527">
    <w:abstractNumId w:val="13"/>
  </w:num>
  <w:num w:numId="7" w16cid:durableId="1732461031">
    <w:abstractNumId w:val="4"/>
  </w:num>
  <w:num w:numId="8" w16cid:durableId="522787312">
    <w:abstractNumId w:val="2"/>
  </w:num>
  <w:num w:numId="9" w16cid:durableId="1670061515">
    <w:abstractNumId w:val="11"/>
  </w:num>
  <w:num w:numId="10" w16cid:durableId="1555778867">
    <w:abstractNumId w:val="10"/>
  </w:num>
  <w:num w:numId="11" w16cid:durableId="1268654160">
    <w:abstractNumId w:val="1"/>
  </w:num>
  <w:num w:numId="12" w16cid:durableId="2136749908">
    <w:abstractNumId w:val="9"/>
  </w:num>
  <w:num w:numId="13" w16cid:durableId="1492870317">
    <w:abstractNumId w:val="0"/>
  </w:num>
  <w:num w:numId="14" w16cid:durableId="24831866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5B"/>
    <w:rsid w:val="00000048"/>
    <w:rsid w:val="00000C47"/>
    <w:rsid w:val="00001505"/>
    <w:rsid w:val="000017F6"/>
    <w:rsid w:val="00001875"/>
    <w:rsid w:val="000018FD"/>
    <w:rsid w:val="00001B24"/>
    <w:rsid w:val="00001BE7"/>
    <w:rsid w:val="00003DE2"/>
    <w:rsid w:val="00005776"/>
    <w:rsid w:val="00005879"/>
    <w:rsid w:val="00006140"/>
    <w:rsid w:val="00006990"/>
    <w:rsid w:val="00006A0C"/>
    <w:rsid w:val="00006C59"/>
    <w:rsid w:val="00006F69"/>
    <w:rsid w:val="00007572"/>
    <w:rsid w:val="000077B3"/>
    <w:rsid w:val="00010650"/>
    <w:rsid w:val="00010829"/>
    <w:rsid w:val="000113D3"/>
    <w:rsid w:val="00013069"/>
    <w:rsid w:val="00013161"/>
    <w:rsid w:val="00013E81"/>
    <w:rsid w:val="00014ACD"/>
    <w:rsid w:val="00015B7D"/>
    <w:rsid w:val="00015C81"/>
    <w:rsid w:val="00016A2D"/>
    <w:rsid w:val="00016C5A"/>
    <w:rsid w:val="00016FE6"/>
    <w:rsid w:val="00017402"/>
    <w:rsid w:val="000174DC"/>
    <w:rsid w:val="00017AFF"/>
    <w:rsid w:val="00020AA6"/>
    <w:rsid w:val="00021177"/>
    <w:rsid w:val="00022368"/>
    <w:rsid w:val="00022C17"/>
    <w:rsid w:val="00022C21"/>
    <w:rsid w:val="00025CFD"/>
    <w:rsid w:val="00025EDA"/>
    <w:rsid w:val="00025F1E"/>
    <w:rsid w:val="0002604B"/>
    <w:rsid w:val="000272EA"/>
    <w:rsid w:val="00027310"/>
    <w:rsid w:val="000275FB"/>
    <w:rsid w:val="00027658"/>
    <w:rsid w:val="00027B6A"/>
    <w:rsid w:val="00027C89"/>
    <w:rsid w:val="00027E31"/>
    <w:rsid w:val="0003072E"/>
    <w:rsid w:val="0003073C"/>
    <w:rsid w:val="00030ABB"/>
    <w:rsid w:val="00031135"/>
    <w:rsid w:val="00032004"/>
    <w:rsid w:val="000321A9"/>
    <w:rsid w:val="00032610"/>
    <w:rsid w:val="00033467"/>
    <w:rsid w:val="0003380C"/>
    <w:rsid w:val="00034706"/>
    <w:rsid w:val="000348D6"/>
    <w:rsid w:val="00034B50"/>
    <w:rsid w:val="00034E94"/>
    <w:rsid w:val="0003580F"/>
    <w:rsid w:val="000359C4"/>
    <w:rsid w:val="00035E91"/>
    <w:rsid w:val="0003618B"/>
    <w:rsid w:val="0003783D"/>
    <w:rsid w:val="00037F73"/>
    <w:rsid w:val="000409CF"/>
    <w:rsid w:val="00041158"/>
    <w:rsid w:val="00041C28"/>
    <w:rsid w:val="00041FC8"/>
    <w:rsid w:val="00042E53"/>
    <w:rsid w:val="00043C9F"/>
    <w:rsid w:val="00044A5E"/>
    <w:rsid w:val="00045659"/>
    <w:rsid w:val="000456B7"/>
    <w:rsid w:val="00045D5D"/>
    <w:rsid w:val="000466C0"/>
    <w:rsid w:val="000466F2"/>
    <w:rsid w:val="00046C02"/>
    <w:rsid w:val="00046F4B"/>
    <w:rsid w:val="000512A7"/>
    <w:rsid w:val="000513B7"/>
    <w:rsid w:val="000519DD"/>
    <w:rsid w:val="000523BD"/>
    <w:rsid w:val="00052729"/>
    <w:rsid w:val="00052D79"/>
    <w:rsid w:val="00052F45"/>
    <w:rsid w:val="00053777"/>
    <w:rsid w:val="00053990"/>
    <w:rsid w:val="00053F70"/>
    <w:rsid w:val="0005442D"/>
    <w:rsid w:val="00054652"/>
    <w:rsid w:val="00054FB0"/>
    <w:rsid w:val="00054FBB"/>
    <w:rsid w:val="00055260"/>
    <w:rsid w:val="00055476"/>
    <w:rsid w:val="00055F80"/>
    <w:rsid w:val="000570D4"/>
    <w:rsid w:val="0005736F"/>
    <w:rsid w:val="000575C1"/>
    <w:rsid w:val="00060593"/>
    <w:rsid w:val="0006068C"/>
    <w:rsid w:val="000606F3"/>
    <w:rsid w:val="000606FB"/>
    <w:rsid w:val="00060973"/>
    <w:rsid w:val="00060986"/>
    <w:rsid w:val="00060EB5"/>
    <w:rsid w:val="000612E6"/>
    <w:rsid w:val="000613F6"/>
    <w:rsid w:val="00062EA3"/>
    <w:rsid w:val="00063F00"/>
    <w:rsid w:val="00063F89"/>
    <w:rsid w:val="0006454F"/>
    <w:rsid w:val="000648A2"/>
    <w:rsid w:val="00064B5A"/>
    <w:rsid w:val="00064CE4"/>
    <w:rsid w:val="00064FCA"/>
    <w:rsid w:val="00065DB6"/>
    <w:rsid w:val="00065DFD"/>
    <w:rsid w:val="00066CEB"/>
    <w:rsid w:val="00067C5F"/>
    <w:rsid w:val="00070000"/>
    <w:rsid w:val="0007036B"/>
    <w:rsid w:val="000703DD"/>
    <w:rsid w:val="0007081A"/>
    <w:rsid w:val="000716F0"/>
    <w:rsid w:val="00071F77"/>
    <w:rsid w:val="0007248F"/>
    <w:rsid w:val="00073421"/>
    <w:rsid w:val="000736F5"/>
    <w:rsid w:val="00074132"/>
    <w:rsid w:val="00074F1D"/>
    <w:rsid w:val="0007577A"/>
    <w:rsid w:val="000761F8"/>
    <w:rsid w:val="0007632A"/>
    <w:rsid w:val="00080EAF"/>
    <w:rsid w:val="00081553"/>
    <w:rsid w:val="00081AF2"/>
    <w:rsid w:val="00082038"/>
    <w:rsid w:val="00082708"/>
    <w:rsid w:val="00082835"/>
    <w:rsid w:val="00082F90"/>
    <w:rsid w:val="000845FB"/>
    <w:rsid w:val="00085235"/>
    <w:rsid w:val="0008531F"/>
    <w:rsid w:val="00086F92"/>
    <w:rsid w:val="0008763F"/>
    <w:rsid w:val="00087DF5"/>
    <w:rsid w:val="00090C91"/>
    <w:rsid w:val="00091602"/>
    <w:rsid w:val="00091DC5"/>
    <w:rsid w:val="00091FDD"/>
    <w:rsid w:val="00092DBF"/>
    <w:rsid w:val="000930FA"/>
    <w:rsid w:val="00093D7F"/>
    <w:rsid w:val="00093EF5"/>
    <w:rsid w:val="00095B73"/>
    <w:rsid w:val="00095DA6"/>
    <w:rsid w:val="000965FC"/>
    <w:rsid w:val="000971C4"/>
    <w:rsid w:val="00097809"/>
    <w:rsid w:val="00097BCA"/>
    <w:rsid w:val="00097D6C"/>
    <w:rsid w:val="000A0125"/>
    <w:rsid w:val="000A0535"/>
    <w:rsid w:val="000A0B3B"/>
    <w:rsid w:val="000A0F57"/>
    <w:rsid w:val="000A116D"/>
    <w:rsid w:val="000A1C7F"/>
    <w:rsid w:val="000A2B06"/>
    <w:rsid w:val="000A2F56"/>
    <w:rsid w:val="000A38A8"/>
    <w:rsid w:val="000A4259"/>
    <w:rsid w:val="000A5B10"/>
    <w:rsid w:val="000A6663"/>
    <w:rsid w:val="000A72D6"/>
    <w:rsid w:val="000A752B"/>
    <w:rsid w:val="000A7699"/>
    <w:rsid w:val="000A7766"/>
    <w:rsid w:val="000A7BE9"/>
    <w:rsid w:val="000B0408"/>
    <w:rsid w:val="000B1350"/>
    <w:rsid w:val="000B2C19"/>
    <w:rsid w:val="000B32B3"/>
    <w:rsid w:val="000B399E"/>
    <w:rsid w:val="000B45FD"/>
    <w:rsid w:val="000B5AD2"/>
    <w:rsid w:val="000B63BC"/>
    <w:rsid w:val="000B6825"/>
    <w:rsid w:val="000B7543"/>
    <w:rsid w:val="000B7705"/>
    <w:rsid w:val="000C0177"/>
    <w:rsid w:val="000C046A"/>
    <w:rsid w:val="000C0E9A"/>
    <w:rsid w:val="000C0F64"/>
    <w:rsid w:val="000C139D"/>
    <w:rsid w:val="000C15FC"/>
    <w:rsid w:val="000C180F"/>
    <w:rsid w:val="000C21B1"/>
    <w:rsid w:val="000C23A5"/>
    <w:rsid w:val="000C4529"/>
    <w:rsid w:val="000C45CB"/>
    <w:rsid w:val="000C4F4D"/>
    <w:rsid w:val="000C56D3"/>
    <w:rsid w:val="000C6015"/>
    <w:rsid w:val="000C60FF"/>
    <w:rsid w:val="000C68BA"/>
    <w:rsid w:val="000C758D"/>
    <w:rsid w:val="000C7EA0"/>
    <w:rsid w:val="000C7F45"/>
    <w:rsid w:val="000CE32C"/>
    <w:rsid w:val="000D146C"/>
    <w:rsid w:val="000D14AF"/>
    <w:rsid w:val="000D1536"/>
    <w:rsid w:val="000D1AEA"/>
    <w:rsid w:val="000D1AF9"/>
    <w:rsid w:val="000D1D3D"/>
    <w:rsid w:val="000D2053"/>
    <w:rsid w:val="000D2356"/>
    <w:rsid w:val="000D2ECB"/>
    <w:rsid w:val="000D3FC7"/>
    <w:rsid w:val="000D48D9"/>
    <w:rsid w:val="000D4C93"/>
    <w:rsid w:val="000D567D"/>
    <w:rsid w:val="000D6131"/>
    <w:rsid w:val="000D6145"/>
    <w:rsid w:val="000D6591"/>
    <w:rsid w:val="000D6884"/>
    <w:rsid w:val="000D695A"/>
    <w:rsid w:val="000D6AFF"/>
    <w:rsid w:val="000D74C2"/>
    <w:rsid w:val="000D7931"/>
    <w:rsid w:val="000D7AFE"/>
    <w:rsid w:val="000E0B53"/>
    <w:rsid w:val="000E13CF"/>
    <w:rsid w:val="000E1892"/>
    <w:rsid w:val="000E18FB"/>
    <w:rsid w:val="000E228A"/>
    <w:rsid w:val="000E3989"/>
    <w:rsid w:val="000E3A53"/>
    <w:rsid w:val="000E45A0"/>
    <w:rsid w:val="000E5E0E"/>
    <w:rsid w:val="000E6D23"/>
    <w:rsid w:val="000E6EB5"/>
    <w:rsid w:val="000E6FE5"/>
    <w:rsid w:val="000E719E"/>
    <w:rsid w:val="000F0899"/>
    <w:rsid w:val="000F14C2"/>
    <w:rsid w:val="000F23EE"/>
    <w:rsid w:val="000F2DAF"/>
    <w:rsid w:val="000F2E52"/>
    <w:rsid w:val="000F2F8B"/>
    <w:rsid w:val="000F34CC"/>
    <w:rsid w:val="000F48FD"/>
    <w:rsid w:val="000F4DA8"/>
    <w:rsid w:val="000F52BA"/>
    <w:rsid w:val="000F5509"/>
    <w:rsid w:val="000F56E6"/>
    <w:rsid w:val="000F604A"/>
    <w:rsid w:val="000F669F"/>
    <w:rsid w:val="000F721C"/>
    <w:rsid w:val="000F72D9"/>
    <w:rsid w:val="000F7994"/>
    <w:rsid w:val="000F79B0"/>
    <w:rsid w:val="00100DD2"/>
    <w:rsid w:val="0010102E"/>
    <w:rsid w:val="001016B1"/>
    <w:rsid w:val="00101E9E"/>
    <w:rsid w:val="00102A43"/>
    <w:rsid w:val="0010345A"/>
    <w:rsid w:val="00103F79"/>
    <w:rsid w:val="0010415F"/>
    <w:rsid w:val="0010432E"/>
    <w:rsid w:val="001044A2"/>
    <w:rsid w:val="00104C39"/>
    <w:rsid w:val="00105EA9"/>
    <w:rsid w:val="00106BE8"/>
    <w:rsid w:val="0010749B"/>
    <w:rsid w:val="00107EFA"/>
    <w:rsid w:val="00110452"/>
    <w:rsid w:val="00110A43"/>
    <w:rsid w:val="00110B99"/>
    <w:rsid w:val="00110E74"/>
    <w:rsid w:val="00111F17"/>
    <w:rsid w:val="00112437"/>
    <w:rsid w:val="0011274D"/>
    <w:rsid w:val="00114B69"/>
    <w:rsid w:val="00114C5D"/>
    <w:rsid w:val="00115912"/>
    <w:rsid w:val="00115E99"/>
    <w:rsid w:val="0011685E"/>
    <w:rsid w:val="00116B7B"/>
    <w:rsid w:val="00116D88"/>
    <w:rsid w:val="00116E85"/>
    <w:rsid w:val="00117EBF"/>
    <w:rsid w:val="0012095A"/>
    <w:rsid w:val="00120AC7"/>
    <w:rsid w:val="00120B12"/>
    <w:rsid w:val="0012131E"/>
    <w:rsid w:val="0012155B"/>
    <w:rsid w:val="0012273C"/>
    <w:rsid w:val="00123FFB"/>
    <w:rsid w:val="00124189"/>
    <w:rsid w:val="0012495A"/>
    <w:rsid w:val="00124D43"/>
    <w:rsid w:val="00125760"/>
    <w:rsid w:val="001257FD"/>
    <w:rsid w:val="001263E7"/>
    <w:rsid w:val="001266BC"/>
    <w:rsid w:val="00126C3E"/>
    <w:rsid w:val="001271F3"/>
    <w:rsid w:val="00127862"/>
    <w:rsid w:val="00130168"/>
    <w:rsid w:val="00130AB2"/>
    <w:rsid w:val="00130C6B"/>
    <w:rsid w:val="001314CC"/>
    <w:rsid w:val="00131A31"/>
    <w:rsid w:val="00131E00"/>
    <w:rsid w:val="00131FCA"/>
    <w:rsid w:val="00133000"/>
    <w:rsid w:val="00133B7B"/>
    <w:rsid w:val="00133D68"/>
    <w:rsid w:val="0013444A"/>
    <w:rsid w:val="00135141"/>
    <w:rsid w:val="001352C0"/>
    <w:rsid w:val="00137008"/>
    <w:rsid w:val="0013701D"/>
    <w:rsid w:val="0013711D"/>
    <w:rsid w:val="001375FF"/>
    <w:rsid w:val="00141577"/>
    <w:rsid w:val="00141917"/>
    <w:rsid w:val="0014194B"/>
    <w:rsid w:val="00141A65"/>
    <w:rsid w:val="00141DD6"/>
    <w:rsid w:val="00142192"/>
    <w:rsid w:val="00142742"/>
    <w:rsid w:val="001427B2"/>
    <w:rsid w:val="00142A39"/>
    <w:rsid w:val="00142D9C"/>
    <w:rsid w:val="00144507"/>
    <w:rsid w:val="00144855"/>
    <w:rsid w:val="00144A26"/>
    <w:rsid w:val="00145475"/>
    <w:rsid w:val="00145892"/>
    <w:rsid w:val="00146412"/>
    <w:rsid w:val="00146D4A"/>
    <w:rsid w:val="001500AC"/>
    <w:rsid w:val="0015010C"/>
    <w:rsid w:val="00150AC8"/>
    <w:rsid w:val="001515E3"/>
    <w:rsid w:val="00151680"/>
    <w:rsid w:val="001519B7"/>
    <w:rsid w:val="00151BA5"/>
    <w:rsid w:val="00152389"/>
    <w:rsid w:val="0015279F"/>
    <w:rsid w:val="001530B8"/>
    <w:rsid w:val="00153965"/>
    <w:rsid w:val="00153D7B"/>
    <w:rsid w:val="00154445"/>
    <w:rsid w:val="00154AA6"/>
    <w:rsid w:val="00154F16"/>
    <w:rsid w:val="00154FE3"/>
    <w:rsid w:val="0015514E"/>
    <w:rsid w:val="001553C5"/>
    <w:rsid w:val="00155F86"/>
    <w:rsid w:val="0015728C"/>
    <w:rsid w:val="00160617"/>
    <w:rsid w:val="00161655"/>
    <w:rsid w:val="001616F6"/>
    <w:rsid w:val="00161A23"/>
    <w:rsid w:val="00161B1B"/>
    <w:rsid w:val="00161B75"/>
    <w:rsid w:val="00161FCB"/>
    <w:rsid w:val="00163028"/>
    <w:rsid w:val="0016561A"/>
    <w:rsid w:val="001658C0"/>
    <w:rsid w:val="001659B9"/>
    <w:rsid w:val="00165FC6"/>
    <w:rsid w:val="001672F8"/>
    <w:rsid w:val="001673BE"/>
    <w:rsid w:val="001676B8"/>
    <w:rsid w:val="00171718"/>
    <w:rsid w:val="001717C8"/>
    <w:rsid w:val="001718E1"/>
    <w:rsid w:val="00171F7E"/>
    <w:rsid w:val="00173082"/>
    <w:rsid w:val="0017316D"/>
    <w:rsid w:val="00173560"/>
    <w:rsid w:val="00174244"/>
    <w:rsid w:val="00174B0B"/>
    <w:rsid w:val="00174E23"/>
    <w:rsid w:val="001757CF"/>
    <w:rsid w:val="001761F8"/>
    <w:rsid w:val="001774A5"/>
    <w:rsid w:val="001774EF"/>
    <w:rsid w:val="00177E56"/>
    <w:rsid w:val="0018012D"/>
    <w:rsid w:val="0018049C"/>
    <w:rsid w:val="001804BE"/>
    <w:rsid w:val="001805EF"/>
    <w:rsid w:val="0018191B"/>
    <w:rsid w:val="00182365"/>
    <w:rsid w:val="00182369"/>
    <w:rsid w:val="0018293A"/>
    <w:rsid w:val="00183684"/>
    <w:rsid w:val="00183E1D"/>
    <w:rsid w:val="0018541E"/>
    <w:rsid w:val="00185F7F"/>
    <w:rsid w:val="001863EF"/>
    <w:rsid w:val="0018740E"/>
    <w:rsid w:val="00187A52"/>
    <w:rsid w:val="00190ED2"/>
    <w:rsid w:val="001921FE"/>
    <w:rsid w:val="00192731"/>
    <w:rsid w:val="00192F42"/>
    <w:rsid w:val="001931D9"/>
    <w:rsid w:val="001947D9"/>
    <w:rsid w:val="00194CA6"/>
    <w:rsid w:val="00195C0E"/>
    <w:rsid w:val="001965A8"/>
    <w:rsid w:val="001972CC"/>
    <w:rsid w:val="00197E32"/>
    <w:rsid w:val="00197FBC"/>
    <w:rsid w:val="001A037C"/>
    <w:rsid w:val="001A0B3E"/>
    <w:rsid w:val="001A0BF3"/>
    <w:rsid w:val="001A0F18"/>
    <w:rsid w:val="001A1210"/>
    <w:rsid w:val="001A1396"/>
    <w:rsid w:val="001A1900"/>
    <w:rsid w:val="001A1CFA"/>
    <w:rsid w:val="001A2158"/>
    <w:rsid w:val="001A275D"/>
    <w:rsid w:val="001A2D63"/>
    <w:rsid w:val="001A2DA5"/>
    <w:rsid w:val="001A34CF"/>
    <w:rsid w:val="001A4D65"/>
    <w:rsid w:val="001A52AF"/>
    <w:rsid w:val="001A5F67"/>
    <w:rsid w:val="001A649A"/>
    <w:rsid w:val="001A6F06"/>
    <w:rsid w:val="001A702C"/>
    <w:rsid w:val="001A7514"/>
    <w:rsid w:val="001A7617"/>
    <w:rsid w:val="001A7C2D"/>
    <w:rsid w:val="001B05CB"/>
    <w:rsid w:val="001B2082"/>
    <w:rsid w:val="001B2649"/>
    <w:rsid w:val="001B280D"/>
    <w:rsid w:val="001B3CCA"/>
    <w:rsid w:val="001B4AD8"/>
    <w:rsid w:val="001B5464"/>
    <w:rsid w:val="001B7AEA"/>
    <w:rsid w:val="001B7D21"/>
    <w:rsid w:val="001C026F"/>
    <w:rsid w:val="001C0980"/>
    <w:rsid w:val="001C166A"/>
    <w:rsid w:val="001C1986"/>
    <w:rsid w:val="001C1DF0"/>
    <w:rsid w:val="001C2031"/>
    <w:rsid w:val="001C3052"/>
    <w:rsid w:val="001C319D"/>
    <w:rsid w:val="001C39EE"/>
    <w:rsid w:val="001C3D60"/>
    <w:rsid w:val="001C550D"/>
    <w:rsid w:val="001C574D"/>
    <w:rsid w:val="001C6BAB"/>
    <w:rsid w:val="001C6ED2"/>
    <w:rsid w:val="001C6F04"/>
    <w:rsid w:val="001C7057"/>
    <w:rsid w:val="001C7688"/>
    <w:rsid w:val="001C7D75"/>
    <w:rsid w:val="001C7E3D"/>
    <w:rsid w:val="001D128E"/>
    <w:rsid w:val="001D1F94"/>
    <w:rsid w:val="001D1FA9"/>
    <w:rsid w:val="001D4500"/>
    <w:rsid w:val="001D4832"/>
    <w:rsid w:val="001D4AB3"/>
    <w:rsid w:val="001D50A8"/>
    <w:rsid w:val="001D599E"/>
    <w:rsid w:val="001D59A0"/>
    <w:rsid w:val="001D5CA4"/>
    <w:rsid w:val="001D5E4A"/>
    <w:rsid w:val="001D60B4"/>
    <w:rsid w:val="001D635A"/>
    <w:rsid w:val="001D7596"/>
    <w:rsid w:val="001D78C6"/>
    <w:rsid w:val="001E1548"/>
    <w:rsid w:val="001E1D36"/>
    <w:rsid w:val="001E1F2C"/>
    <w:rsid w:val="001E1FD8"/>
    <w:rsid w:val="001E2884"/>
    <w:rsid w:val="001E28EF"/>
    <w:rsid w:val="001E2953"/>
    <w:rsid w:val="001E3458"/>
    <w:rsid w:val="001E4941"/>
    <w:rsid w:val="001E535C"/>
    <w:rsid w:val="001E60B6"/>
    <w:rsid w:val="001E6120"/>
    <w:rsid w:val="001E6A0F"/>
    <w:rsid w:val="001E6B62"/>
    <w:rsid w:val="001E6F8F"/>
    <w:rsid w:val="001E700A"/>
    <w:rsid w:val="001E7405"/>
    <w:rsid w:val="001E74CD"/>
    <w:rsid w:val="001E7ED4"/>
    <w:rsid w:val="001F063E"/>
    <w:rsid w:val="001F1780"/>
    <w:rsid w:val="001F23A7"/>
    <w:rsid w:val="001F2DA1"/>
    <w:rsid w:val="001F356E"/>
    <w:rsid w:val="001F3F9D"/>
    <w:rsid w:val="001F4BC7"/>
    <w:rsid w:val="001F506C"/>
    <w:rsid w:val="001F50BC"/>
    <w:rsid w:val="001F559A"/>
    <w:rsid w:val="001F5ABB"/>
    <w:rsid w:val="001F5DF2"/>
    <w:rsid w:val="001F60CF"/>
    <w:rsid w:val="001F62BD"/>
    <w:rsid w:val="001F6B98"/>
    <w:rsid w:val="001F6CB2"/>
    <w:rsid w:val="001F6D45"/>
    <w:rsid w:val="001F79EB"/>
    <w:rsid w:val="002006DD"/>
    <w:rsid w:val="00200E21"/>
    <w:rsid w:val="00200F67"/>
    <w:rsid w:val="00201399"/>
    <w:rsid w:val="002015AB"/>
    <w:rsid w:val="00201C27"/>
    <w:rsid w:val="00201E3B"/>
    <w:rsid w:val="00202071"/>
    <w:rsid w:val="00202D2C"/>
    <w:rsid w:val="002030D9"/>
    <w:rsid w:val="002041DC"/>
    <w:rsid w:val="002045F9"/>
    <w:rsid w:val="00204D41"/>
    <w:rsid w:val="002056A2"/>
    <w:rsid w:val="00205A2C"/>
    <w:rsid w:val="0020627E"/>
    <w:rsid w:val="0020679A"/>
    <w:rsid w:val="00206986"/>
    <w:rsid w:val="00206C1A"/>
    <w:rsid w:val="00206E2B"/>
    <w:rsid w:val="00207BB6"/>
    <w:rsid w:val="00207D1A"/>
    <w:rsid w:val="00210320"/>
    <w:rsid w:val="00210C12"/>
    <w:rsid w:val="00211282"/>
    <w:rsid w:val="00211399"/>
    <w:rsid w:val="0021153C"/>
    <w:rsid w:val="00211DA5"/>
    <w:rsid w:val="00211FEB"/>
    <w:rsid w:val="00212188"/>
    <w:rsid w:val="00212563"/>
    <w:rsid w:val="002125A9"/>
    <w:rsid w:val="00212970"/>
    <w:rsid w:val="00215153"/>
    <w:rsid w:val="002159C2"/>
    <w:rsid w:val="00215A68"/>
    <w:rsid w:val="00216298"/>
    <w:rsid w:val="002164CB"/>
    <w:rsid w:val="00217182"/>
    <w:rsid w:val="0021769E"/>
    <w:rsid w:val="00220864"/>
    <w:rsid w:val="0022135B"/>
    <w:rsid w:val="00221F56"/>
    <w:rsid w:val="00222842"/>
    <w:rsid w:val="00223285"/>
    <w:rsid w:val="00224EC3"/>
    <w:rsid w:val="00225949"/>
    <w:rsid w:val="00226113"/>
    <w:rsid w:val="00226512"/>
    <w:rsid w:val="002265E1"/>
    <w:rsid w:val="0022678C"/>
    <w:rsid w:val="00226A82"/>
    <w:rsid w:val="002270D7"/>
    <w:rsid w:val="00227BB2"/>
    <w:rsid w:val="002302DA"/>
    <w:rsid w:val="0023115B"/>
    <w:rsid w:val="00231722"/>
    <w:rsid w:val="00231DD9"/>
    <w:rsid w:val="00232016"/>
    <w:rsid w:val="00232AB6"/>
    <w:rsid w:val="002342A3"/>
    <w:rsid w:val="0023463E"/>
    <w:rsid w:val="00234DD8"/>
    <w:rsid w:val="0023544A"/>
    <w:rsid w:val="00235BD2"/>
    <w:rsid w:val="00236EA2"/>
    <w:rsid w:val="00240205"/>
    <w:rsid w:val="002402E2"/>
    <w:rsid w:val="00240EB0"/>
    <w:rsid w:val="002410C7"/>
    <w:rsid w:val="00242B48"/>
    <w:rsid w:val="00242F0C"/>
    <w:rsid w:val="0024384B"/>
    <w:rsid w:val="00243A93"/>
    <w:rsid w:val="00244373"/>
    <w:rsid w:val="002450C5"/>
    <w:rsid w:val="0024605B"/>
    <w:rsid w:val="00246B6E"/>
    <w:rsid w:val="00246B9C"/>
    <w:rsid w:val="00247E0A"/>
    <w:rsid w:val="002504D8"/>
    <w:rsid w:val="00250504"/>
    <w:rsid w:val="002518A9"/>
    <w:rsid w:val="00251C16"/>
    <w:rsid w:val="00252A65"/>
    <w:rsid w:val="00252F61"/>
    <w:rsid w:val="00254693"/>
    <w:rsid w:val="002546AA"/>
    <w:rsid w:val="002551D3"/>
    <w:rsid w:val="002559AA"/>
    <w:rsid w:val="00255C2E"/>
    <w:rsid w:val="0025636A"/>
    <w:rsid w:val="002564C0"/>
    <w:rsid w:val="0025696E"/>
    <w:rsid w:val="00256D40"/>
    <w:rsid w:val="00257CE8"/>
    <w:rsid w:val="0025F454"/>
    <w:rsid w:val="00260785"/>
    <w:rsid w:val="00260E23"/>
    <w:rsid w:val="002616D6"/>
    <w:rsid w:val="002619B9"/>
    <w:rsid w:val="00261B18"/>
    <w:rsid w:val="00261C08"/>
    <w:rsid w:val="002623F9"/>
    <w:rsid w:val="00262A95"/>
    <w:rsid w:val="00262E15"/>
    <w:rsid w:val="0026304F"/>
    <w:rsid w:val="0026317A"/>
    <w:rsid w:val="0026476D"/>
    <w:rsid w:val="00264D62"/>
    <w:rsid w:val="002658E2"/>
    <w:rsid w:val="00265ECA"/>
    <w:rsid w:val="0026654D"/>
    <w:rsid w:val="00266DEC"/>
    <w:rsid w:val="0026766C"/>
    <w:rsid w:val="00267C0D"/>
    <w:rsid w:val="00267F6E"/>
    <w:rsid w:val="002708DE"/>
    <w:rsid w:val="002718DF"/>
    <w:rsid w:val="00271ED6"/>
    <w:rsid w:val="002725AC"/>
    <w:rsid w:val="00272936"/>
    <w:rsid w:val="00272CB2"/>
    <w:rsid w:val="00273BAB"/>
    <w:rsid w:val="00274688"/>
    <w:rsid w:val="0027494A"/>
    <w:rsid w:val="00274B87"/>
    <w:rsid w:val="00274F17"/>
    <w:rsid w:val="00274FAD"/>
    <w:rsid w:val="00274FCC"/>
    <w:rsid w:val="0027572C"/>
    <w:rsid w:val="00276CA6"/>
    <w:rsid w:val="00277168"/>
    <w:rsid w:val="00277ED4"/>
    <w:rsid w:val="0028013B"/>
    <w:rsid w:val="002802B0"/>
    <w:rsid w:val="002802FD"/>
    <w:rsid w:val="0028333A"/>
    <w:rsid w:val="0028405D"/>
    <w:rsid w:val="0028409C"/>
    <w:rsid w:val="00284182"/>
    <w:rsid w:val="00284B66"/>
    <w:rsid w:val="00284BC9"/>
    <w:rsid w:val="002857F1"/>
    <w:rsid w:val="002858A7"/>
    <w:rsid w:val="00286095"/>
    <w:rsid w:val="00286362"/>
    <w:rsid w:val="002868CD"/>
    <w:rsid w:val="00287429"/>
    <w:rsid w:val="00287F46"/>
    <w:rsid w:val="002900BA"/>
    <w:rsid w:val="00290537"/>
    <w:rsid w:val="00290BA2"/>
    <w:rsid w:val="002917BF"/>
    <w:rsid w:val="00291A64"/>
    <w:rsid w:val="0029215B"/>
    <w:rsid w:val="002925AF"/>
    <w:rsid w:val="0029390B"/>
    <w:rsid w:val="00294AD6"/>
    <w:rsid w:val="002953F2"/>
    <w:rsid w:val="002954BA"/>
    <w:rsid w:val="00295BBE"/>
    <w:rsid w:val="00296717"/>
    <w:rsid w:val="00296C62"/>
    <w:rsid w:val="00296D6D"/>
    <w:rsid w:val="00296FB3"/>
    <w:rsid w:val="00297DAD"/>
    <w:rsid w:val="00297E61"/>
    <w:rsid w:val="00297EF8"/>
    <w:rsid w:val="002A0188"/>
    <w:rsid w:val="002A0353"/>
    <w:rsid w:val="002A0467"/>
    <w:rsid w:val="002A07D2"/>
    <w:rsid w:val="002A1119"/>
    <w:rsid w:val="002A3D06"/>
    <w:rsid w:val="002A3F13"/>
    <w:rsid w:val="002A4088"/>
    <w:rsid w:val="002A45F1"/>
    <w:rsid w:val="002A4641"/>
    <w:rsid w:val="002A5569"/>
    <w:rsid w:val="002A5990"/>
    <w:rsid w:val="002A6259"/>
    <w:rsid w:val="002A62EE"/>
    <w:rsid w:val="002A63BB"/>
    <w:rsid w:val="002A63D7"/>
    <w:rsid w:val="002A702E"/>
    <w:rsid w:val="002A73AB"/>
    <w:rsid w:val="002A766E"/>
    <w:rsid w:val="002A7CD5"/>
    <w:rsid w:val="002A7D71"/>
    <w:rsid w:val="002B0229"/>
    <w:rsid w:val="002B063E"/>
    <w:rsid w:val="002B0D9F"/>
    <w:rsid w:val="002B0E18"/>
    <w:rsid w:val="002B1C62"/>
    <w:rsid w:val="002B2221"/>
    <w:rsid w:val="002B27D3"/>
    <w:rsid w:val="002B302C"/>
    <w:rsid w:val="002B316D"/>
    <w:rsid w:val="002B3300"/>
    <w:rsid w:val="002B39E5"/>
    <w:rsid w:val="002B4827"/>
    <w:rsid w:val="002B5AA6"/>
    <w:rsid w:val="002B641B"/>
    <w:rsid w:val="002B7D2A"/>
    <w:rsid w:val="002C0A8B"/>
    <w:rsid w:val="002C0BFE"/>
    <w:rsid w:val="002C1362"/>
    <w:rsid w:val="002C3B62"/>
    <w:rsid w:val="002C79CA"/>
    <w:rsid w:val="002D06B1"/>
    <w:rsid w:val="002D0908"/>
    <w:rsid w:val="002D2057"/>
    <w:rsid w:val="002D269E"/>
    <w:rsid w:val="002D2CDD"/>
    <w:rsid w:val="002D3946"/>
    <w:rsid w:val="002D4309"/>
    <w:rsid w:val="002D4A12"/>
    <w:rsid w:val="002D4A8A"/>
    <w:rsid w:val="002D5053"/>
    <w:rsid w:val="002D5337"/>
    <w:rsid w:val="002D579A"/>
    <w:rsid w:val="002D585B"/>
    <w:rsid w:val="002D5F21"/>
    <w:rsid w:val="002D6484"/>
    <w:rsid w:val="002D6824"/>
    <w:rsid w:val="002D76F8"/>
    <w:rsid w:val="002D7D3E"/>
    <w:rsid w:val="002E05A5"/>
    <w:rsid w:val="002E1089"/>
    <w:rsid w:val="002E1A78"/>
    <w:rsid w:val="002E1F75"/>
    <w:rsid w:val="002E1F84"/>
    <w:rsid w:val="002E2681"/>
    <w:rsid w:val="002E269F"/>
    <w:rsid w:val="002E2A13"/>
    <w:rsid w:val="002E36C9"/>
    <w:rsid w:val="002E3928"/>
    <w:rsid w:val="002E3BE6"/>
    <w:rsid w:val="002E4A0C"/>
    <w:rsid w:val="002E4B0A"/>
    <w:rsid w:val="002E4DED"/>
    <w:rsid w:val="002E542C"/>
    <w:rsid w:val="002E58C4"/>
    <w:rsid w:val="002E59B8"/>
    <w:rsid w:val="002E6932"/>
    <w:rsid w:val="002E741B"/>
    <w:rsid w:val="002E7E39"/>
    <w:rsid w:val="002F0472"/>
    <w:rsid w:val="002F0485"/>
    <w:rsid w:val="002F0C4A"/>
    <w:rsid w:val="002F123A"/>
    <w:rsid w:val="002F1400"/>
    <w:rsid w:val="002F185B"/>
    <w:rsid w:val="002F2380"/>
    <w:rsid w:val="002F2B00"/>
    <w:rsid w:val="002F2C6B"/>
    <w:rsid w:val="002F3BA8"/>
    <w:rsid w:val="002F44B9"/>
    <w:rsid w:val="002F454C"/>
    <w:rsid w:val="002F45D0"/>
    <w:rsid w:val="002F4A45"/>
    <w:rsid w:val="002F4CD2"/>
    <w:rsid w:val="002F51E5"/>
    <w:rsid w:val="002F5224"/>
    <w:rsid w:val="002F58F3"/>
    <w:rsid w:val="002F5A4D"/>
    <w:rsid w:val="002F69FE"/>
    <w:rsid w:val="002F73ED"/>
    <w:rsid w:val="002F74A0"/>
    <w:rsid w:val="002F78ED"/>
    <w:rsid w:val="002F7B32"/>
    <w:rsid w:val="00300933"/>
    <w:rsid w:val="003014C0"/>
    <w:rsid w:val="00301656"/>
    <w:rsid w:val="003025EE"/>
    <w:rsid w:val="00302697"/>
    <w:rsid w:val="003027C0"/>
    <w:rsid w:val="00302994"/>
    <w:rsid w:val="003034B3"/>
    <w:rsid w:val="00303F68"/>
    <w:rsid w:val="00303FB0"/>
    <w:rsid w:val="00304571"/>
    <w:rsid w:val="0030483C"/>
    <w:rsid w:val="003050C0"/>
    <w:rsid w:val="003053BB"/>
    <w:rsid w:val="00305436"/>
    <w:rsid w:val="00305CC8"/>
    <w:rsid w:val="00306143"/>
    <w:rsid w:val="0030624F"/>
    <w:rsid w:val="00306A72"/>
    <w:rsid w:val="00307B79"/>
    <w:rsid w:val="003100BB"/>
    <w:rsid w:val="00311A57"/>
    <w:rsid w:val="003125BA"/>
    <w:rsid w:val="003125D2"/>
    <w:rsid w:val="00313D8D"/>
    <w:rsid w:val="00314650"/>
    <w:rsid w:val="00315354"/>
    <w:rsid w:val="003156BE"/>
    <w:rsid w:val="00315EC6"/>
    <w:rsid w:val="00316365"/>
    <w:rsid w:val="00316453"/>
    <w:rsid w:val="00316670"/>
    <w:rsid w:val="003166EB"/>
    <w:rsid w:val="0031791D"/>
    <w:rsid w:val="00317B8E"/>
    <w:rsid w:val="003206F6"/>
    <w:rsid w:val="0032088F"/>
    <w:rsid w:val="00320C6A"/>
    <w:rsid w:val="00321106"/>
    <w:rsid w:val="00321C94"/>
    <w:rsid w:val="00321CBC"/>
    <w:rsid w:val="00321DF0"/>
    <w:rsid w:val="00321EFB"/>
    <w:rsid w:val="00321F08"/>
    <w:rsid w:val="00322321"/>
    <w:rsid w:val="003227DF"/>
    <w:rsid w:val="00322AB5"/>
    <w:rsid w:val="00324697"/>
    <w:rsid w:val="00324CD4"/>
    <w:rsid w:val="0032530B"/>
    <w:rsid w:val="003255EA"/>
    <w:rsid w:val="003257C1"/>
    <w:rsid w:val="00325AAA"/>
    <w:rsid w:val="00326333"/>
    <w:rsid w:val="00326F8C"/>
    <w:rsid w:val="00326F9B"/>
    <w:rsid w:val="003271A6"/>
    <w:rsid w:val="003273C7"/>
    <w:rsid w:val="00330267"/>
    <w:rsid w:val="00330B65"/>
    <w:rsid w:val="00331D91"/>
    <w:rsid w:val="0033205A"/>
    <w:rsid w:val="00332907"/>
    <w:rsid w:val="003331C8"/>
    <w:rsid w:val="0033376C"/>
    <w:rsid w:val="00334DA3"/>
    <w:rsid w:val="00335115"/>
    <w:rsid w:val="0033574A"/>
    <w:rsid w:val="0033576C"/>
    <w:rsid w:val="0033576E"/>
    <w:rsid w:val="00335C92"/>
    <w:rsid w:val="0033647C"/>
    <w:rsid w:val="00336708"/>
    <w:rsid w:val="00336DDC"/>
    <w:rsid w:val="00337195"/>
    <w:rsid w:val="00337DE2"/>
    <w:rsid w:val="0034131C"/>
    <w:rsid w:val="00342DEE"/>
    <w:rsid w:val="003435BD"/>
    <w:rsid w:val="00343C36"/>
    <w:rsid w:val="003447C5"/>
    <w:rsid w:val="003448AA"/>
    <w:rsid w:val="00344F36"/>
    <w:rsid w:val="00347709"/>
    <w:rsid w:val="00347905"/>
    <w:rsid w:val="00350377"/>
    <w:rsid w:val="00350C08"/>
    <w:rsid w:val="003514F2"/>
    <w:rsid w:val="0035175F"/>
    <w:rsid w:val="00351D82"/>
    <w:rsid w:val="00351EBB"/>
    <w:rsid w:val="00352B5F"/>
    <w:rsid w:val="003535FF"/>
    <w:rsid w:val="003537DC"/>
    <w:rsid w:val="003550E0"/>
    <w:rsid w:val="003553FB"/>
    <w:rsid w:val="0035558A"/>
    <w:rsid w:val="00355B47"/>
    <w:rsid w:val="00356589"/>
    <w:rsid w:val="0035672D"/>
    <w:rsid w:val="00360E58"/>
    <w:rsid w:val="003615BE"/>
    <w:rsid w:val="003618A4"/>
    <w:rsid w:val="00362349"/>
    <w:rsid w:val="003625AA"/>
    <w:rsid w:val="00362717"/>
    <w:rsid w:val="0036278C"/>
    <w:rsid w:val="00362876"/>
    <w:rsid w:val="00362BAF"/>
    <w:rsid w:val="00363466"/>
    <w:rsid w:val="00363AE9"/>
    <w:rsid w:val="003648EC"/>
    <w:rsid w:val="00364CAD"/>
    <w:rsid w:val="00364DB0"/>
    <w:rsid w:val="00364F33"/>
    <w:rsid w:val="00365312"/>
    <w:rsid w:val="0036585C"/>
    <w:rsid w:val="0036612C"/>
    <w:rsid w:val="0036628C"/>
    <w:rsid w:val="003662B7"/>
    <w:rsid w:val="00366FC2"/>
    <w:rsid w:val="00367395"/>
    <w:rsid w:val="0036793B"/>
    <w:rsid w:val="00367E10"/>
    <w:rsid w:val="003705AB"/>
    <w:rsid w:val="003709B1"/>
    <w:rsid w:val="003710E2"/>
    <w:rsid w:val="00371709"/>
    <w:rsid w:val="00371BDB"/>
    <w:rsid w:val="00372145"/>
    <w:rsid w:val="0037337E"/>
    <w:rsid w:val="0037385D"/>
    <w:rsid w:val="00374C6D"/>
    <w:rsid w:val="00374E8C"/>
    <w:rsid w:val="003750F2"/>
    <w:rsid w:val="00375203"/>
    <w:rsid w:val="003753B2"/>
    <w:rsid w:val="003754DC"/>
    <w:rsid w:val="0037666F"/>
    <w:rsid w:val="003768AA"/>
    <w:rsid w:val="00376C6A"/>
    <w:rsid w:val="00376F24"/>
    <w:rsid w:val="00377787"/>
    <w:rsid w:val="00377F6C"/>
    <w:rsid w:val="00379199"/>
    <w:rsid w:val="003802D8"/>
    <w:rsid w:val="00381035"/>
    <w:rsid w:val="00381096"/>
    <w:rsid w:val="0038131E"/>
    <w:rsid w:val="003816BF"/>
    <w:rsid w:val="00381A28"/>
    <w:rsid w:val="00381E3C"/>
    <w:rsid w:val="00381EB0"/>
    <w:rsid w:val="003827F3"/>
    <w:rsid w:val="00382BBA"/>
    <w:rsid w:val="00382BE9"/>
    <w:rsid w:val="00383C44"/>
    <w:rsid w:val="00385522"/>
    <w:rsid w:val="00385D13"/>
    <w:rsid w:val="00385F21"/>
    <w:rsid w:val="003865B7"/>
    <w:rsid w:val="00386624"/>
    <w:rsid w:val="003866B5"/>
    <w:rsid w:val="003875EE"/>
    <w:rsid w:val="00387F67"/>
    <w:rsid w:val="003902F5"/>
    <w:rsid w:val="00390C5E"/>
    <w:rsid w:val="003921AC"/>
    <w:rsid w:val="003925E3"/>
    <w:rsid w:val="00393342"/>
    <w:rsid w:val="003937D8"/>
    <w:rsid w:val="00394149"/>
    <w:rsid w:val="00394AE7"/>
    <w:rsid w:val="00395027"/>
    <w:rsid w:val="003953AB"/>
    <w:rsid w:val="0039544C"/>
    <w:rsid w:val="00395D12"/>
    <w:rsid w:val="00395DFD"/>
    <w:rsid w:val="00396982"/>
    <w:rsid w:val="00396E2A"/>
    <w:rsid w:val="00397440"/>
    <w:rsid w:val="003A1BF9"/>
    <w:rsid w:val="003A28CB"/>
    <w:rsid w:val="003A2E93"/>
    <w:rsid w:val="003A2EED"/>
    <w:rsid w:val="003A34BA"/>
    <w:rsid w:val="003A3E01"/>
    <w:rsid w:val="003A402D"/>
    <w:rsid w:val="003A4677"/>
    <w:rsid w:val="003A4892"/>
    <w:rsid w:val="003A511C"/>
    <w:rsid w:val="003A7969"/>
    <w:rsid w:val="003A7F49"/>
    <w:rsid w:val="003A7F72"/>
    <w:rsid w:val="003B01CA"/>
    <w:rsid w:val="003B0872"/>
    <w:rsid w:val="003B18FE"/>
    <w:rsid w:val="003B22E8"/>
    <w:rsid w:val="003B2971"/>
    <w:rsid w:val="003B37ED"/>
    <w:rsid w:val="003B38BF"/>
    <w:rsid w:val="003B40CF"/>
    <w:rsid w:val="003B45C6"/>
    <w:rsid w:val="003B481B"/>
    <w:rsid w:val="003B5234"/>
    <w:rsid w:val="003B5BFE"/>
    <w:rsid w:val="003B6520"/>
    <w:rsid w:val="003B760A"/>
    <w:rsid w:val="003B7B39"/>
    <w:rsid w:val="003C0DE7"/>
    <w:rsid w:val="003C1162"/>
    <w:rsid w:val="003C12F1"/>
    <w:rsid w:val="003C19A8"/>
    <w:rsid w:val="003C1E1E"/>
    <w:rsid w:val="003C27EA"/>
    <w:rsid w:val="003C2F7B"/>
    <w:rsid w:val="003C32DE"/>
    <w:rsid w:val="003C3450"/>
    <w:rsid w:val="003C4100"/>
    <w:rsid w:val="003C4440"/>
    <w:rsid w:val="003C54B8"/>
    <w:rsid w:val="003C56A3"/>
    <w:rsid w:val="003C5731"/>
    <w:rsid w:val="003C61E5"/>
    <w:rsid w:val="003C681E"/>
    <w:rsid w:val="003CBCF0"/>
    <w:rsid w:val="003D18C4"/>
    <w:rsid w:val="003D1A46"/>
    <w:rsid w:val="003D2994"/>
    <w:rsid w:val="003D2E40"/>
    <w:rsid w:val="003D2F91"/>
    <w:rsid w:val="003D2FD6"/>
    <w:rsid w:val="003D31E0"/>
    <w:rsid w:val="003D32DD"/>
    <w:rsid w:val="003D3684"/>
    <w:rsid w:val="003D3DF7"/>
    <w:rsid w:val="003D3F29"/>
    <w:rsid w:val="003D530D"/>
    <w:rsid w:val="003D5733"/>
    <w:rsid w:val="003D68ED"/>
    <w:rsid w:val="003D729A"/>
    <w:rsid w:val="003E04D1"/>
    <w:rsid w:val="003E0802"/>
    <w:rsid w:val="003E0E17"/>
    <w:rsid w:val="003E0F64"/>
    <w:rsid w:val="003E193C"/>
    <w:rsid w:val="003E360D"/>
    <w:rsid w:val="003E3A79"/>
    <w:rsid w:val="003E3B96"/>
    <w:rsid w:val="003E40FD"/>
    <w:rsid w:val="003E412B"/>
    <w:rsid w:val="003E49F8"/>
    <w:rsid w:val="003E5AD3"/>
    <w:rsid w:val="003E5E9E"/>
    <w:rsid w:val="003E7D64"/>
    <w:rsid w:val="003F0704"/>
    <w:rsid w:val="003F078F"/>
    <w:rsid w:val="003F160D"/>
    <w:rsid w:val="003F1ADD"/>
    <w:rsid w:val="003F31FC"/>
    <w:rsid w:val="003F37BF"/>
    <w:rsid w:val="003F3A42"/>
    <w:rsid w:val="003F3A7A"/>
    <w:rsid w:val="003F4603"/>
    <w:rsid w:val="003F49AA"/>
    <w:rsid w:val="003F6465"/>
    <w:rsid w:val="003F65FD"/>
    <w:rsid w:val="003F66C6"/>
    <w:rsid w:val="003F6992"/>
    <w:rsid w:val="003F6A91"/>
    <w:rsid w:val="003F7B86"/>
    <w:rsid w:val="00401B47"/>
    <w:rsid w:val="00401B93"/>
    <w:rsid w:val="004022AA"/>
    <w:rsid w:val="00402327"/>
    <w:rsid w:val="00402828"/>
    <w:rsid w:val="004029EB"/>
    <w:rsid w:val="00402A53"/>
    <w:rsid w:val="0040385C"/>
    <w:rsid w:val="00403C5F"/>
    <w:rsid w:val="00403D23"/>
    <w:rsid w:val="004041BA"/>
    <w:rsid w:val="00404342"/>
    <w:rsid w:val="00404994"/>
    <w:rsid w:val="00404CA5"/>
    <w:rsid w:val="0040547A"/>
    <w:rsid w:val="004054B6"/>
    <w:rsid w:val="0040556B"/>
    <w:rsid w:val="0040575B"/>
    <w:rsid w:val="00405D1E"/>
    <w:rsid w:val="0040666F"/>
    <w:rsid w:val="00407A9D"/>
    <w:rsid w:val="0041092E"/>
    <w:rsid w:val="00411DCE"/>
    <w:rsid w:val="00412471"/>
    <w:rsid w:val="0041277F"/>
    <w:rsid w:val="00413160"/>
    <w:rsid w:val="004132B6"/>
    <w:rsid w:val="004134B5"/>
    <w:rsid w:val="00413A30"/>
    <w:rsid w:val="00413BC1"/>
    <w:rsid w:val="00416B09"/>
    <w:rsid w:val="00420A93"/>
    <w:rsid w:val="00420F33"/>
    <w:rsid w:val="004212DF"/>
    <w:rsid w:val="0042165D"/>
    <w:rsid w:val="00421B52"/>
    <w:rsid w:val="00422AA9"/>
    <w:rsid w:val="00422AFE"/>
    <w:rsid w:val="00422B90"/>
    <w:rsid w:val="00422D89"/>
    <w:rsid w:val="004237BE"/>
    <w:rsid w:val="004238FC"/>
    <w:rsid w:val="00423F1B"/>
    <w:rsid w:val="0042433F"/>
    <w:rsid w:val="00424761"/>
    <w:rsid w:val="00424EBC"/>
    <w:rsid w:val="00425256"/>
    <w:rsid w:val="004259D2"/>
    <w:rsid w:val="004262EF"/>
    <w:rsid w:val="0042696E"/>
    <w:rsid w:val="00426BDA"/>
    <w:rsid w:val="00430086"/>
    <w:rsid w:val="004307A4"/>
    <w:rsid w:val="00432220"/>
    <w:rsid w:val="00432F3D"/>
    <w:rsid w:val="00433CCB"/>
    <w:rsid w:val="004357DC"/>
    <w:rsid w:val="00440D79"/>
    <w:rsid w:val="00441BA1"/>
    <w:rsid w:val="0044367A"/>
    <w:rsid w:val="00443DB0"/>
    <w:rsid w:val="00444C20"/>
    <w:rsid w:val="00445704"/>
    <w:rsid w:val="00445EB4"/>
    <w:rsid w:val="00446717"/>
    <w:rsid w:val="0045160F"/>
    <w:rsid w:val="00451BEB"/>
    <w:rsid w:val="00451C5B"/>
    <w:rsid w:val="00452658"/>
    <w:rsid w:val="00452948"/>
    <w:rsid w:val="00453162"/>
    <w:rsid w:val="00453DF1"/>
    <w:rsid w:val="004552BC"/>
    <w:rsid w:val="00455495"/>
    <w:rsid w:val="00455552"/>
    <w:rsid w:val="00455A73"/>
    <w:rsid w:val="00455A78"/>
    <w:rsid w:val="0045678F"/>
    <w:rsid w:val="004568B6"/>
    <w:rsid w:val="00456DC8"/>
    <w:rsid w:val="00457282"/>
    <w:rsid w:val="0045770E"/>
    <w:rsid w:val="00457DFA"/>
    <w:rsid w:val="004611F0"/>
    <w:rsid w:val="004616A9"/>
    <w:rsid w:val="00461B91"/>
    <w:rsid w:val="00462417"/>
    <w:rsid w:val="00462E5D"/>
    <w:rsid w:val="00462F21"/>
    <w:rsid w:val="004635D8"/>
    <w:rsid w:val="00463780"/>
    <w:rsid w:val="0046404B"/>
    <w:rsid w:val="0046451D"/>
    <w:rsid w:val="004646A2"/>
    <w:rsid w:val="004646EB"/>
    <w:rsid w:val="00464761"/>
    <w:rsid w:val="0046482D"/>
    <w:rsid w:val="00464BCE"/>
    <w:rsid w:val="00464E84"/>
    <w:rsid w:val="00464EA9"/>
    <w:rsid w:val="0046566F"/>
    <w:rsid w:val="00466277"/>
    <w:rsid w:val="004668AA"/>
    <w:rsid w:val="004668B5"/>
    <w:rsid w:val="00467578"/>
    <w:rsid w:val="004676CA"/>
    <w:rsid w:val="00467E6B"/>
    <w:rsid w:val="00467F5F"/>
    <w:rsid w:val="0047035A"/>
    <w:rsid w:val="004703AA"/>
    <w:rsid w:val="004708BF"/>
    <w:rsid w:val="00471935"/>
    <w:rsid w:val="004719B3"/>
    <w:rsid w:val="00471E9B"/>
    <w:rsid w:val="00472837"/>
    <w:rsid w:val="004732E9"/>
    <w:rsid w:val="00474072"/>
    <w:rsid w:val="0047486A"/>
    <w:rsid w:val="004748C3"/>
    <w:rsid w:val="004748EB"/>
    <w:rsid w:val="00474D65"/>
    <w:rsid w:val="00475003"/>
    <w:rsid w:val="00475630"/>
    <w:rsid w:val="00476E58"/>
    <w:rsid w:val="00476FB8"/>
    <w:rsid w:val="004773EB"/>
    <w:rsid w:val="0047778A"/>
    <w:rsid w:val="00477AEA"/>
    <w:rsid w:val="00480917"/>
    <w:rsid w:val="004810CC"/>
    <w:rsid w:val="00481315"/>
    <w:rsid w:val="00481823"/>
    <w:rsid w:val="004822F7"/>
    <w:rsid w:val="004823D7"/>
    <w:rsid w:val="004824CC"/>
    <w:rsid w:val="004828BD"/>
    <w:rsid w:val="0048295D"/>
    <w:rsid w:val="00483497"/>
    <w:rsid w:val="0048394D"/>
    <w:rsid w:val="0048415A"/>
    <w:rsid w:val="00485614"/>
    <w:rsid w:val="00485A76"/>
    <w:rsid w:val="00486869"/>
    <w:rsid w:val="00486EB7"/>
    <w:rsid w:val="0048714D"/>
    <w:rsid w:val="00487318"/>
    <w:rsid w:val="0049153A"/>
    <w:rsid w:val="004921D5"/>
    <w:rsid w:val="004922CF"/>
    <w:rsid w:val="00492546"/>
    <w:rsid w:val="00492850"/>
    <w:rsid w:val="00492C64"/>
    <w:rsid w:val="00492D02"/>
    <w:rsid w:val="00493AC5"/>
    <w:rsid w:val="0049455F"/>
    <w:rsid w:val="00494912"/>
    <w:rsid w:val="00494BC5"/>
    <w:rsid w:val="00495E43"/>
    <w:rsid w:val="004966B4"/>
    <w:rsid w:val="00496768"/>
    <w:rsid w:val="0049694E"/>
    <w:rsid w:val="00497BAD"/>
    <w:rsid w:val="004A20A7"/>
    <w:rsid w:val="004A391F"/>
    <w:rsid w:val="004A39E3"/>
    <w:rsid w:val="004A3BCE"/>
    <w:rsid w:val="004A4109"/>
    <w:rsid w:val="004A44A5"/>
    <w:rsid w:val="004A4DEA"/>
    <w:rsid w:val="004A52DB"/>
    <w:rsid w:val="004A55FC"/>
    <w:rsid w:val="004A5835"/>
    <w:rsid w:val="004A6312"/>
    <w:rsid w:val="004A6A33"/>
    <w:rsid w:val="004A71B9"/>
    <w:rsid w:val="004A76DB"/>
    <w:rsid w:val="004A7FA6"/>
    <w:rsid w:val="004B0931"/>
    <w:rsid w:val="004B1A14"/>
    <w:rsid w:val="004B1B1C"/>
    <w:rsid w:val="004B2070"/>
    <w:rsid w:val="004B26B7"/>
    <w:rsid w:val="004B27B8"/>
    <w:rsid w:val="004B2B64"/>
    <w:rsid w:val="004B36CA"/>
    <w:rsid w:val="004B3F5B"/>
    <w:rsid w:val="004B430A"/>
    <w:rsid w:val="004B45C5"/>
    <w:rsid w:val="004B46BB"/>
    <w:rsid w:val="004B5B1B"/>
    <w:rsid w:val="004B6188"/>
    <w:rsid w:val="004B6C5E"/>
    <w:rsid w:val="004B6D9D"/>
    <w:rsid w:val="004C08D9"/>
    <w:rsid w:val="004C0BA4"/>
    <w:rsid w:val="004C1177"/>
    <w:rsid w:val="004C1970"/>
    <w:rsid w:val="004C27A8"/>
    <w:rsid w:val="004C29B1"/>
    <w:rsid w:val="004C2CFF"/>
    <w:rsid w:val="004C349B"/>
    <w:rsid w:val="004C38C3"/>
    <w:rsid w:val="004C3BD2"/>
    <w:rsid w:val="004C4F4F"/>
    <w:rsid w:val="004C55E8"/>
    <w:rsid w:val="004C57E1"/>
    <w:rsid w:val="004C5CDC"/>
    <w:rsid w:val="004C5EB5"/>
    <w:rsid w:val="004C7709"/>
    <w:rsid w:val="004D017B"/>
    <w:rsid w:val="004D09F1"/>
    <w:rsid w:val="004D0A93"/>
    <w:rsid w:val="004D1F00"/>
    <w:rsid w:val="004D23BE"/>
    <w:rsid w:val="004D2C7D"/>
    <w:rsid w:val="004D343D"/>
    <w:rsid w:val="004D3DD3"/>
    <w:rsid w:val="004D4604"/>
    <w:rsid w:val="004D4DB2"/>
    <w:rsid w:val="004D4F91"/>
    <w:rsid w:val="004D6B5A"/>
    <w:rsid w:val="004D6C14"/>
    <w:rsid w:val="004D7CD5"/>
    <w:rsid w:val="004E0AA3"/>
    <w:rsid w:val="004E1B40"/>
    <w:rsid w:val="004E1F5B"/>
    <w:rsid w:val="004E22D1"/>
    <w:rsid w:val="004E328F"/>
    <w:rsid w:val="004E3E70"/>
    <w:rsid w:val="004E478C"/>
    <w:rsid w:val="004E4E38"/>
    <w:rsid w:val="004E6377"/>
    <w:rsid w:val="004E7977"/>
    <w:rsid w:val="004F0A3A"/>
    <w:rsid w:val="004F1598"/>
    <w:rsid w:val="004F18F0"/>
    <w:rsid w:val="004F1FD6"/>
    <w:rsid w:val="004F2790"/>
    <w:rsid w:val="004F2F48"/>
    <w:rsid w:val="004F3266"/>
    <w:rsid w:val="004F3381"/>
    <w:rsid w:val="004F3F50"/>
    <w:rsid w:val="004F48B7"/>
    <w:rsid w:val="004F4E2D"/>
    <w:rsid w:val="004F4F0C"/>
    <w:rsid w:val="004F4FB7"/>
    <w:rsid w:val="004F5281"/>
    <w:rsid w:val="004F54E8"/>
    <w:rsid w:val="004F657D"/>
    <w:rsid w:val="004F6E9B"/>
    <w:rsid w:val="004F741E"/>
    <w:rsid w:val="005001B1"/>
    <w:rsid w:val="00500425"/>
    <w:rsid w:val="00501139"/>
    <w:rsid w:val="0050140C"/>
    <w:rsid w:val="00501724"/>
    <w:rsid w:val="00501F6F"/>
    <w:rsid w:val="0050257D"/>
    <w:rsid w:val="005026E7"/>
    <w:rsid w:val="00502D89"/>
    <w:rsid w:val="00502DF8"/>
    <w:rsid w:val="00502E03"/>
    <w:rsid w:val="00503330"/>
    <w:rsid w:val="00503A38"/>
    <w:rsid w:val="00503EC7"/>
    <w:rsid w:val="0050401F"/>
    <w:rsid w:val="005041EF"/>
    <w:rsid w:val="00504206"/>
    <w:rsid w:val="00504B7F"/>
    <w:rsid w:val="00504ECA"/>
    <w:rsid w:val="00505332"/>
    <w:rsid w:val="00505790"/>
    <w:rsid w:val="00505AE9"/>
    <w:rsid w:val="0050640C"/>
    <w:rsid w:val="0050699A"/>
    <w:rsid w:val="005076AF"/>
    <w:rsid w:val="00507AC9"/>
    <w:rsid w:val="0051092F"/>
    <w:rsid w:val="00510C93"/>
    <w:rsid w:val="00510CA6"/>
    <w:rsid w:val="00510F93"/>
    <w:rsid w:val="005112D2"/>
    <w:rsid w:val="00511890"/>
    <w:rsid w:val="00512524"/>
    <w:rsid w:val="0051275C"/>
    <w:rsid w:val="00513C55"/>
    <w:rsid w:val="0051407C"/>
    <w:rsid w:val="0051464F"/>
    <w:rsid w:val="00514D0A"/>
    <w:rsid w:val="0051500C"/>
    <w:rsid w:val="005150C4"/>
    <w:rsid w:val="005156D3"/>
    <w:rsid w:val="00515AF0"/>
    <w:rsid w:val="005163D7"/>
    <w:rsid w:val="00516E26"/>
    <w:rsid w:val="00517797"/>
    <w:rsid w:val="00517873"/>
    <w:rsid w:val="00521418"/>
    <w:rsid w:val="00523BE2"/>
    <w:rsid w:val="00523D6D"/>
    <w:rsid w:val="00524246"/>
    <w:rsid w:val="005244AF"/>
    <w:rsid w:val="00524C70"/>
    <w:rsid w:val="00524DD9"/>
    <w:rsid w:val="00524F95"/>
    <w:rsid w:val="00525650"/>
    <w:rsid w:val="0052576A"/>
    <w:rsid w:val="00525DC6"/>
    <w:rsid w:val="00526094"/>
    <w:rsid w:val="0052620C"/>
    <w:rsid w:val="00526DFC"/>
    <w:rsid w:val="00527077"/>
    <w:rsid w:val="0052764C"/>
    <w:rsid w:val="00527C0C"/>
    <w:rsid w:val="0053012B"/>
    <w:rsid w:val="005304C5"/>
    <w:rsid w:val="0053050D"/>
    <w:rsid w:val="00530975"/>
    <w:rsid w:val="005311CC"/>
    <w:rsid w:val="0053365A"/>
    <w:rsid w:val="00533692"/>
    <w:rsid w:val="0053393D"/>
    <w:rsid w:val="00533EEB"/>
    <w:rsid w:val="00533FFF"/>
    <w:rsid w:val="00534718"/>
    <w:rsid w:val="005359DF"/>
    <w:rsid w:val="00535B10"/>
    <w:rsid w:val="005366CB"/>
    <w:rsid w:val="00536718"/>
    <w:rsid w:val="00536950"/>
    <w:rsid w:val="00536CD3"/>
    <w:rsid w:val="00537504"/>
    <w:rsid w:val="00537753"/>
    <w:rsid w:val="00537948"/>
    <w:rsid w:val="00537B4F"/>
    <w:rsid w:val="00537F08"/>
    <w:rsid w:val="00540B11"/>
    <w:rsid w:val="00540B57"/>
    <w:rsid w:val="00540D5B"/>
    <w:rsid w:val="00541898"/>
    <w:rsid w:val="005418D4"/>
    <w:rsid w:val="00541ED8"/>
    <w:rsid w:val="005421D2"/>
    <w:rsid w:val="005423FD"/>
    <w:rsid w:val="005424F6"/>
    <w:rsid w:val="00543598"/>
    <w:rsid w:val="00544B09"/>
    <w:rsid w:val="00544CFE"/>
    <w:rsid w:val="0054535D"/>
    <w:rsid w:val="005464D2"/>
    <w:rsid w:val="0054758F"/>
    <w:rsid w:val="00547DFA"/>
    <w:rsid w:val="00550FBE"/>
    <w:rsid w:val="00552A38"/>
    <w:rsid w:val="00552B55"/>
    <w:rsid w:val="00553584"/>
    <w:rsid w:val="005542B8"/>
    <w:rsid w:val="00555326"/>
    <w:rsid w:val="00555AF6"/>
    <w:rsid w:val="00555D73"/>
    <w:rsid w:val="0055672C"/>
    <w:rsid w:val="00556AA7"/>
    <w:rsid w:val="00556CA9"/>
    <w:rsid w:val="00556E3B"/>
    <w:rsid w:val="00556F45"/>
    <w:rsid w:val="0055721C"/>
    <w:rsid w:val="00560669"/>
    <w:rsid w:val="00560ED4"/>
    <w:rsid w:val="005611FF"/>
    <w:rsid w:val="005616DA"/>
    <w:rsid w:val="005628CA"/>
    <w:rsid w:val="0056293B"/>
    <w:rsid w:val="0056304C"/>
    <w:rsid w:val="00563BBD"/>
    <w:rsid w:val="00565050"/>
    <w:rsid w:val="00565431"/>
    <w:rsid w:val="00565F6B"/>
    <w:rsid w:val="005665E0"/>
    <w:rsid w:val="00566987"/>
    <w:rsid w:val="00566A66"/>
    <w:rsid w:val="005702AF"/>
    <w:rsid w:val="005702BC"/>
    <w:rsid w:val="00571125"/>
    <w:rsid w:val="005714D4"/>
    <w:rsid w:val="00571EF5"/>
    <w:rsid w:val="0057288C"/>
    <w:rsid w:val="00572A7F"/>
    <w:rsid w:val="005735CA"/>
    <w:rsid w:val="00573A29"/>
    <w:rsid w:val="00573A2C"/>
    <w:rsid w:val="005747EF"/>
    <w:rsid w:val="00574C2A"/>
    <w:rsid w:val="00574C40"/>
    <w:rsid w:val="00575698"/>
    <w:rsid w:val="0057576E"/>
    <w:rsid w:val="00575A06"/>
    <w:rsid w:val="0057666C"/>
    <w:rsid w:val="00576B0E"/>
    <w:rsid w:val="00576B15"/>
    <w:rsid w:val="00580BD8"/>
    <w:rsid w:val="005817E3"/>
    <w:rsid w:val="005824A7"/>
    <w:rsid w:val="0058265B"/>
    <w:rsid w:val="005832AA"/>
    <w:rsid w:val="005834E9"/>
    <w:rsid w:val="00584F2D"/>
    <w:rsid w:val="0058596E"/>
    <w:rsid w:val="00586269"/>
    <w:rsid w:val="0058659E"/>
    <w:rsid w:val="0058669C"/>
    <w:rsid w:val="005866B1"/>
    <w:rsid w:val="00586B13"/>
    <w:rsid w:val="00586B51"/>
    <w:rsid w:val="00590D78"/>
    <w:rsid w:val="00590DBA"/>
    <w:rsid w:val="00591211"/>
    <w:rsid w:val="00591653"/>
    <w:rsid w:val="00591E4D"/>
    <w:rsid w:val="00592779"/>
    <w:rsid w:val="005928FB"/>
    <w:rsid w:val="005939EB"/>
    <w:rsid w:val="00594AF8"/>
    <w:rsid w:val="00595957"/>
    <w:rsid w:val="00595BA6"/>
    <w:rsid w:val="005A0388"/>
    <w:rsid w:val="005A0C41"/>
    <w:rsid w:val="005A0E02"/>
    <w:rsid w:val="005A0EFF"/>
    <w:rsid w:val="005A1360"/>
    <w:rsid w:val="005A1890"/>
    <w:rsid w:val="005A1A33"/>
    <w:rsid w:val="005A1A39"/>
    <w:rsid w:val="005A1D34"/>
    <w:rsid w:val="005A1DE0"/>
    <w:rsid w:val="005A277B"/>
    <w:rsid w:val="005A2BC8"/>
    <w:rsid w:val="005A3FCA"/>
    <w:rsid w:val="005A4071"/>
    <w:rsid w:val="005A4164"/>
    <w:rsid w:val="005A4524"/>
    <w:rsid w:val="005A4E4D"/>
    <w:rsid w:val="005A4F70"/>
    <w:rsid w:val="005A6113"/>
    <w:rsid w:val="005A632F"/>
    <w:rsid w:val="005A6F48"/>
    <w:rsid w:val="005A7212"/>
    <w:rsid w:val="005A755D"/>
    <w:rsid w:val="005B0456"/>
    <w:rsid w:val="005B04E6"/>
    <w:rsid w:val="005B0B98"/>
    <w:rsid w:val="005B0D8D"/>
    <w:rsid w:val="005B0DE5"/>
    <w:rsid w:val="005B11A9"/>
    <w:rsid w:val="005B1EB0"/>
    <w:rsid w:val="005B2B27"/>
    <w:rsid w:val="005B3E0C"/>
    <w:rsid w:val="005B3E7F"/>
    <w:rsid w:val="005B3F48"/>
    <w:rsid w:val="005B5EBA"/>
    <w:rsid w:val="005B6156"/>
    <w:rsid w:val="005B62C5"/>
    <w:rsid w:val="005B639E"/>
    <w:rsid w:val="005B6865"/>
    <w:rsid w:val="005B737C"/>
    <w:rsid w:val="005B7F78"/>
    <w:rsid w:val="005C1A1B"/>
    <w:rsid w:val="005C21D6"/>
    <w:rsid w:val="005C23A4"/>
    <w:rsid w:val="005C2FBB"/>
    <w:rsid w:val="005C47A8"/>
    <w:rsid w:val="005C61C4"/>
    <w:rsid w:val="005C7A43"/>
    <w:rsid w:val="005C7AF4"/>
    <w:rsid w:val="005C7F9A"/>
    <w:rsid w:val="005C7FB9"/>
    <w:rsid w:val="005D0F3A"/>
    <w:rsid w:val="005D203F"/>
    <w:rsid w:val="005D217E"/>
    <w:rsid w:val="005D26A2"/>
    <w:rsid w:val="005D270E"/>
    <w:rsid w:val="005D35FF"/>
    <w:rsid w:val="005D36F7"/>
    <w:rsid w:val="005D3AD2"/>
    <w:rsid w:val="005D3EAA"/>
    <w:rsid w:val="005D4005"/>
    <w:rsid w:val="005D462B"/>
    <w:rsid w:val="005D4E48"/>
    <w:rsid w:val="005D4FBD"/>
    <w:rsid w:val="005D52FB"/>
    <w:rsid w:val="005D59E3"/>
    <w:rsid w:val="005D63BC"/>
    <w:rsid w:val="005D7869"/>
    <w:rsid w:val="005DCC92"/>
    <w:rsid w:val="005E01F3"/>
    <w:rsid w:val="005E04D6"/>
    <w:rsid w:val="005E0AC4"/>
    <w:rsid w:val="005E1506"/>
    <w:rsid w:val="005E1584"/>
    <w:rsid w:val="005E166F"/>
    <w:rsid w:val="005E1C83"/>
    <w:rsid w:val="005E2474"/>
    <w:rsid w:val="005E2508"/>
    <w:rsid w:val="005E285A"/>
    <w:rsid w:val="005E2DBD"/>
    <w:rsid w:val="005E33F1"/>
    <w:rsid w:val="005E36B2"/>
    <w:rsid w:val="005E3F27"/>
    <w:rsid w:val="005E467F"/>
    <w:rsid w:val="005E4A02"/>
    <w:rsid w:val="005E4B07"/>
    <w:rsid w:val="005E5952"/>
    <w:rsid w:val="005E7685"/>
    <w:rsid w:val="005E7D01"/>
    <w:rsid w:val="005F033D"/>
    <w:rsid w:val="005F12AD"/>
    <w:rsid w:val="005F1907"/>
    <w:rsid w:val="005F262C"/>
    <w:rsid w:val="005F3DF3"/>
    <w:rsid w:val="005F470B"/>
    <w:rsid w:val="005F5137"/>
    <w:rsid w:val="005F670A"/>
    <w:rsid w:val="005F69DC"/>
    <w:rsid w:val="005F6D58"/>
    <w:rsid w:val="005F7683"/>
    <w:rsid w:val="005F7CC3"/>
    <w:rsid w:val="0060054A"/>
    <w:rsid w:val="00601C26"/>
    <w:rsid w:val="006024CD"/>
    <w:rsid w:val="00602606"/>
    <w:rsid w:val="00602FC3"/>
    <w:rsid w:val="00603344"/>
    <w:rsid w:val="006040B0"/>
    <w:rsid w:val="006044F2"/>
    <w:rsid w:val="00604767"/>
    <w:rsid w:val="00604A83"/>
    <w:rsid w:val="00604BAA"/>
    <w:rsid w:val="006053E9"/>
    <w:rsid w:val="00605483"/>
    <w:rsid w:val="00605916"/>
    <w:rsid w:val="00607114"/>
    <w:rsid w:val="0060777A"/>
    <w:rsid w:val="00607ACE"/>
    <w:rsid w:val="00607B95"/>
    <w:rsid w:val="006101D8"/>
    <w:rsid w:val="00610753"/>
    <w:rsid w:val="00610A4F"/>
    <w:rsid w:val="00611918"/>
    <w:rsid w:val="00611963"/>
    <w:rsid w:val="0061201B"/>
    <w:rsid w:val="00612285"/>
    <w:rsid w:val="006124A6"/>
    <w:rsid w:val="00612949"/>
    <w:rsid w:val="006130F6"/>
    <w:rsid w:val="00613979"/>
    <w:rsid w:val="00613C7C"/>
    <w:rsid w:val="00615373"/>
    <w:rsid w:val="006159AB"/>
    <w:rsid w:val="00616932"/>
    <w:rsid w:val="00616A0F"/>
    <w:rsid w:val="00616DEC"/>
    <w:rsid w:val="006172AD"/>
    <w:rsid w:val="00617C02"/>
    <w:rsid w:val="0061D98A"/>
    <w:rsid w:val="00620872"/>
    <w:rsid w:val="00620F7D"/>
    <w:rsid w:val="00621859"/>
    <w:rsid w:val="00621BB5"/>
    <w:rsid w:val="0062400D"/>
    <w:rsid w:val="00624308"/>
    <w:rsid w:val="006246A4"/>
    <w:rsid w:val="006246C1"/>
    <w:rsid w:val="006247E6"/>
    <w:rsid w:val="00624838"/>
    <w:rsid w:val="00626B83"/>
    <w:rsid w:val="00626CDF"/>
    <w:rsid w:val="00627380"/>
    <w:rsid w:val="0063092B"/>
    <w:rsid w:val="00630B2E"/>
    <w:rsid w:val="00630B8D"/>
    <w:rsid w:val="00630DA0"/>
    <w:rsid w:val="00631F5D"/>
    <w:rsid w:val="00632672"/>
    <w:rsid w:val="006347D4"/>
    <w:rsid w:val="006350F9"/>
    <w:rsid w:val="006354C4"/>
    <w:rsid w:val="0063648E"/>
    <w:rsid w:val="006366DE"/>
    <w:rsid w:val="006366EA"/>
    <w:rsid w:val="0063696A"/>
    <w:rsid w:val="006378BE"/>
    <w:rsid w:val="00637A68"/>
    <w:rsid w:val="006405E6"/>
    <w:rsid w:val="0064074B"/>
    <w:rsid w:val="00640AC7"/>
    <w:rsid w:val="00642AF3"/>
    <w:rsid w:val="00643715"/>
    <w:rsid w:val="0064392B"/>
    <w:rsid w:val="00644B7B"/>
    <w:rsid w:val="00645197"/>
    <w:rsid w:val="00645915"/>
    <w:rsid w:val="006459AA"/>
    <w:rsid w:val="006467FF"/>
    <w:rsid w:val="006473DF"/>
    <w:rsid w:val="00647F88"/>
    <w:rsid w:val="0065042C"/>
    <w:rsid w:val="0065059F"/>
    <w:rsid w:val="006513DF"/>
    <w:rsid w:val="0065150D"/>
    <w:rsid w:val="00651B5C"/>
    <w:rsid w:val="00652052"/>
    <w:rsid w:val="00652363"/>
    <w:rsid w:val="00653466"/>
    <w:rsid w:val="006534F0"/>
    <w:rsid w:val="00653658"/>
    <w:rsid w:val="006540EB"/>
    <w:rsid w:val="0065429E"/>
    <w:rsid w:val="00654C6A"/>
    <w:rsid w:val="006551D9"/>
    <w:rsid w:val="00655605"/>
    <w:rsid w:val="0065691C"/>
    <w:rsid w:val="006576D8"/>
    <w:rsid w:val="00660246"/>
    <w:rsid w:val="006602C5"/>
    <w:rsid w:val="00660E52"/>
    <w:rsid w:val="006610F1"/>
    <w:rsid w:val="00662D63"/>
    <w:rsid w:val="006632AA"/>
    <w:rsid w:val="00664074"/>
    <w:rsid w:val="00664922"/>
    <w:rsid w:val="006656D7"/>
    <w:rsid w:val="00665E25"/>
    <w:rsid w:val="00665F78"/>
    <w:rsid w:val="006661F9"/>
    <w:rsid w:val="006664C1"/>
    <w:rsid w:val="0066659B"/>
    <w:rsid w:val="00666E56"/>
    <w:rsid w:val="00667D76"/>
    <w:rsid w:val="00670074"/>
    <w:rsid w:val="006703AA"/>
    <w:rsid w:val="00670722"/>
    <w:rsid w:val="006726D6"/>
    <w:rsid w:val="006731DB"/>
    <w:rsid w:val="00673819"/>
    <w:rsid w:val="00674ABA"/>
    <w:rsid w:val="006754AD"/>
    <w:rsid w:val="00675768"/>
    <w:rsid w:val="006758E6"/>
    <w:rsid w:val="00676D2D"/>
    <w:rsid w:val="0067791B"/>
    <w:rsid w:val="00677AA6"/>
    <w:rsid w:val="00680405"/>
    <w:rsid w:val="00680B0C"/>
    <w:rsid w:val="00680CC3"/>
    <w:rsid w:val="006810AD"/>
    <w:rsid w:val="00681206"/>
    <w:rsid w:val="00681623"/>
    <w:rsid w:val="00681C63"/>
    <w:rsid w:val="00681CD6"/>
    <w:rsid w:val="00681D87"/>
    <w:rsid w:val="00683151"/>
    <w:rsid w:val="00683E89"/>
    <w:rsid w:val="00684F15"/>
    <w:rsid w:val="006853E3"/>
    <w:rsid w:val="00685896"/>
    <w:rsid w:val="00685DF9"/>
    <w:rsid w:val="00686345"/>
    <w:rsid w:val="00686EEA"/>
    <w:rsid w:val="00686F10"/>
    <w:rsid w:val="00687859"/>
    <w:rsid w:val="0069016B"/>
    <w:rsid w:val="00690370"/>
    <w:rsid w:val="00690680"/>
    <w:rsid w:val="00690BF3"/>
    <w:rsid w:val="00690CE7"/>
    <w:rsid w:val="00691002"/>
    <w:rsid w:val="006912AC"/>
    <w:rsid w:val="0069177A"/>
    <w:rsid w:val="0069196E"/>
    <w:rsid w:val="006923EB"/>
    <w:rsid w:val="00692626"/>
    <w:rsid w:val="0069288B"/>
    <w:rsid w:val="00693819"/>
    <w:rsid w:val="00695C16"/>
    <w:rsid w:val="00695FAC"/>
    <w:rsid w:val="00696558"/>
    <w:rsid w:val="0069740D"/>
    <w:rsid w:val="00697955"/>
    <w:rsid w:val="00697BC9"/>
    <w:rsid w:val="00697BCF"/>
    <w:rsid w:val="006A1880"/>
    <w:rsid w:val="006A1C4E"/>
    <w:rsid w:val="006A3126"/>
    <w:rsid w:val="006A323D"/>
    <w:rsid w:val="006A3263"/>
    <w:rsid w:val="006A33EF"/>
    <w:rsid w:val="006A34F4"/>
    <w:rsid w:val="006A3698"/>
    <w:rsid w:val="006A42DA"/>
    <w:rsid w:val="006A42F6"/>
    <w:rsid w:val="006A43C1"/>
    <w:rsid w:val="006A476B"/>
    <w:rsid w:val="006A477A"/>
    <w:rsid w:val="006A4867"/>
    <w:rsid w:val="006A4E97"/>
    <w:rsid w:val="006A53A9"/>
    <w:rsid w:val="006A5F3E"/>
    <w:rsid w:val="006A649A"/>
    <w:rsid w:val="006A6B3F"/>
    <w:rsid w:val="006A6C9E"/>
    <w:rsid w:val="006A76B3"/>
    <w:rsid w:val="006A78DB"/>
    <w:rsid w:val="006B080D"/>
    <w:rsid w:val="006B0A89"/>
    <w:rsid w:val="006B0BED"/>
    <w:rsid w:val="006B1A00"/>
    <w:rsid w:val="006B1E86"/>
    <w:rsid w:val="006B26D5"/>
    <w:rsid w:val="006B2A6A"/>
    <w:rsid w:val="006B2EB1"/>
    <w:rsid w:val="006B31D7"/>
    <w:rsid w:val="006B3508"/>
    <w:rsid w:val="006B362C"/>
    <w:rsid w:val="006B39BB"/>
    <w:rsid w:val="006B3C7A"/>
    <w:rsid w:val="006B41F0"/>
    <w:rsid w:val="006B4312"/>
    <w:rsid w:val="006B5217"/>
    <w:rsid w:val="006B533B"/>
    <w:rsid w:val="006B5815"/>
    <w:rsid w:val="006B5F3C"/>
    <w:rsid w:val="006B6D14"/>
    <w:rsid w:val="006B6FD2"/>
    <w:rsid w:val="006B7197"/>
    <w:rsid w:val="006B7A2C"/>
    <w:rsid w:val="006B7C7E"/>
    <w:rsid w:val="006C006F"/>
    <w:rsid w:val="006C02D8"/>
    <w:rsid w:val="006C0D1F"/>
    <w:rsid w:val="006C11BD"/>
    <w:rsid w:val="006C1BF2"/>
    <w:rsid w:val="006C22E4"/>
    <w:rsid w:val="006C23B1"/>
    <w:rsid w:val="006C2BF6"/>
    <w:rsid w:val="006C34CB"/>
    <w:rsid w:val="006C39A1"/>
    <w:rsid w:val="006C3E81"/>
    <w:rsid w:val="006C3EF1"/>
    <w:rsid w:val="006C3F22"/>
    <w:rsid w:val="006C4055"/>
    <w:rsid w:val="006C45C0"/>
    <w:rsid w:val="006C507F"/>
    <w:rsid w:val="006C518C"/>
    <w:rsid w:val="006C51BB"/>
    <w:rsid w:val="006C53BA"/>
    <w:rsid w:val="006C66F1"/>
    <w:rsid w:val="006C7440"/>
    <w:rsid w:val="006C7FEC"/>
    <w:rsid w:val="006D0377"/>
    <w:rsid w:val="006D1650"/>
    <w:rsid w:val="006D17AF"/>
    <w:rsid w:val="006D25CB"/>
    <w:rsid w:val="006D2866"/>
    <w:rsid w:val="006D333D"/>
    <w:rsid w:val="006D3518"/>
    <w:rsid w:val="006D3EFD"/>
    <w:rsid w:val="006D4619"/>
    <w:rsid w:val="006D491F"/>
    <w:rsid w:val="006D5ECB"/>
    <w:rsid w:val="006D67D8"/>
    <w:rsid w:val="006D6D72"/>
    <w:rsid w:val="006D78C7"/>
    <w:rsid w:val="006E0760"/>
    <w:rsid w:val="006E0E49"/>
    <w:rsid w:val="006E1128"/>
    <w:rsid w:val="006E15B1"/>
    <w:rsid w:val="006E15F0"/>
    <w:rsid w:val="006E18C1"/>
    <w:rsid w:val="006E248E"/>
    <w:rsid w:val="006E2CB6"/>
    <w:rsid w:val="006E34F5"/>
    <w:rsid w:val="006E364F"/>
    <w:rsid w:val="006E3B5E"/>
    <w:rsid w:val="006E3B67"/>
    <w:rsid w:val="006E45D4"/>
    <w:rsid w:val="006E4B88"/>
    <w:rsid w:val="006E52E0"/>
    <w:rsid w:val="006E5D84"/>
    <w:rsid w:val="006E66D7"/>
    <w:rsid w:val="006E7616"/>
    <w:rsid w:val="006E7754"/>
    <w:rsid w:val="006E799D"/>
    <w:rsid w:val="006E7EC0"/>
    <w:rsid w:val="006F15B8"/>
    <w:rsid w:val="006F16B3"/>
    <w:rsid w:val="006F1DE8"/>
    <w:rsid w:val="006F21BD"/>
    <w:rsid w:val="006F2842"/>
    <w:rsid w:val="006F337A"/>
    <w:rsid w:val="006F3416"/>
    <w:rsid w:val="006F391B"/>
    <w:rsid w:val="006F3C53"/>
    <w:rsid w:val="006F3FA9"/>
    <w:rsid w:val="006F59DE"/>
    <w:rsid w:val="006F6A72"/>
    <w:rsid w:val="006F747A"/>
    <w:rsid w:val="006F780E"/>
    <w:rsid w:val="006FEF6C"/>
    <w:rsid w:val="00700C94"/>
    <w:rsid w:val="00700FDE"/>
    <w:rsid w:val="00701354"/>
    <w:rsid w:val="00701776"/>
    <w:rsid w:val="00701C58"/>
    <w:rsid w:val="007024F8"/>
    <w:rsid w:val="00703981"/>
    <w:rsid w:val="00703A0F"/>
    <w:rsid w:val="00703A5B"/>
    <w:rsid w:val="00703BCA"/>
    <w:rsid w:val="00703F8D"/>
    <w:rsid w:val="00704C34"/>
    <w:rsid w:val="00706071"/>
    <w:rsid w:val="0070679E"/>
    <w:rsid w:val="00706899"/>
    <w:rsid w:val="00706EF7"/>
    <w:rsid w:val="00707306"/>
    <w:rsid w:val="007074B1"/>
    <w:rsid w:val="0071013E"/>
    <w:rsid w:val="00710241"/>
    <w:rsid w:val="00710594"/>
    <w:rsid w:val="0071066C"/>
    <w:rsid w:val="007106C5"/>
    <w:rsid w:val="00710DAD"/>
    <w:rsid w:val="00712022"/>
    <w:rsid w:val="00712413"/>
    <w:rsid w:val="00712471"/>
    <w:rsid w:val="007125F0"/>
    <w:rsid w:val="007128BD"/>
    <w:rsid w:val="00714287"/>
    <w:rsid w:val="007145CC"/>
    <w:rsid w:val="0071496D"/>
    <w:rsid w:val="00715C8E"/>
    <w:rsid w:val="00716DD7"/>
    <w:rsid w:val="00717308"/>
    <w:rsid w:val="00717A59"/>
    <w:rsid w:val="00720449"/>
    <w:rsid w:val="00722752"/>
    <w:rsid w:val="007233E7"/>
    <w:rsid w:val="00723BC5"/>
    <w:rsid w:val="007265B6"/>
    <w:rsid w:val="00727057"/>
    <w:rsid w:val="00730084"/>
    <w:rsid w:val="007307FC"/>
    <w:rsid w:val="00731D6F"/>
    <w:rsid w:val="0073240C"/>
    <w:rsid w:val="00732479"/>
    <w:rsid w:val="00732BC8"/>
    <w:rsid w:val="0073362C"/>
    <w:rsid w:val="00734037"/>
    <w:rsid w:val="007347BA"/>
    <w:rsid w:val="0073503B"/>
    <w:rsid w:val="007350B4"/>
    <w:rsid w:val="00735375"/>
    <w:rsid w:val="007353C4"/>
    <w:rsid w:val="00735B1D"/>
    <w:rsid w:val="00735C56"/>
    <w:rsid w:val="00735D20"/>
    <w:rsid w:val="00736208"/>
    <w:rsid w:val="0073639E"/>
    <w:rsid w:val="00736601"/>
    <w:rsid w:val="00737B8C"/>
    <w:rsid w:val="007404D1"/>
    <w:rsid w:val="007406E4"/>
    <w:rsid w:val="00740D3F"/>
    <w:rsid w:val="00740ED4"/>
    <w:rsid w:val="0074166D"/>
    <w:rsid w:val="007419FC"/>
    <w:rsid w:val="007428AB"/>
    <w:rsid w:val="00743E08"/>
    <w:rsid w:val="007441A8"/>
    <w:rsid w:val="0074421D"/>
    <w:rsid w:val="00744D26"/>
    <w:rsid w:val="00745434"/>
    <w:rsid w:val="00745457"/>
    <w:rsid w:val="0074551C"/>
    <w:rsid w:val="0074554E"/>
    <w:rsid w:val="007456FE"/>
    <w:rsid w:val="00745BB2"/>
    <w:rsid w:val="00747CD6"/>
    <w:rsid w:val="007506BD"/>
    <w:rsid w:val="00752176"/>
    <w:rsid w:val="007536EE"/>
    <w:rsid w:val="0075380A"/>
    <w:rsid w:val="007551D3"/>
    <w:rsid w:val="00755522"/>
    <w:rsid w:val="00755F60"/>
    <w:rsid w:val="0075639A"/>
    <w:rsid w:val="0075796F"/>
    <w:rsid w:val="00757F06"/>
    <w:rsid w:val="007608D6"/>
    <w:rsid w:val="00761E1B"/>
    <w:rsid w:val="007626B8"/>
    <w:rsid w:val="00762991"/>
    <w:rsid w:val="00763216"/>
    <w:rsid w:val="00763AFE"/>
    <w:rsid w:val="00763B09"/>
    <w:rsid w:val="0076438B"/>
    <w:rsid w:val="007646C9"/>
    <w:rsid w:val="00765168"/>
    <w:rsid w:val="00765951"/>
    <w:rsid w:val="00765AEC"/>
    <w:rsid w:val="00765EDC"/>
    <w:rsid w:val="00766309"/>
    <w:rsid w:val="00766D3C"/>
    <w:rsid w:val="007676BC"/>
    <w:rsid w:val="00767C7C"/>
    <w:rsid w:val="00770C0A"/>
    <w:rsid w:val="00770F5E"/>
    <w:rsid w:val="00770FA7"/>
    <w:rsid w:val="007716F7"/>
    <w:rsid w:val="00771C5B"/>
    <w:rsid w:val="00771C6A"/>
    <w:rsid w:val="00771E79"/>
    <w:rsid w:val="007725EE"/>
    <w:rsid w:val="00772654"/>
    <w:rsid w:val="00772DD1"/>
    <w:rsid w:val="00772E12"/>
    <w:rsid w:val="007730AD"/>
    <w:rsid w:val="00773272"/>
    <w:rsid w:val="00773401"/>
    <w:rsid w:val="00773A42"/>
    <w:rsid w:val="00773FE8"/>
    <w:rsid w:val="0077407C"/>
    <w:rsid w:val="007754A2"/>
    <w:rsid w:val="00775923"/>
    <w:rsid w:val="00775C63"/>
    <w:rsid w:val="007764B0"/>
    <w:rsid w:val="00777967"/>
    <w:rsid w:val="00777F07"/>
    <w:rsid w:val="007803E8"/>
    <w:rsid w:val="007807C7"/>
    <w:rsid w:val="00781B29"/>
    <w:rsid w:val="00781DFF"/>
    <w:rsid w:val="00782901"/>
    <w:rsid w:val="007834AC"/>
    <w:rsid w:val="00783BDA"/>
    <w:rsid w:val="00784FBC"/>
    <w:rsid w:val="007854CA"/>
    <w:rsid w:val="00785C4F"/>
    <w:rsid w:val="007865E9"/>
    <w:rsid w:val="00786864"/>
    <w:rsid w:val="00786EEA"/>
    <w:rsid w:val="0078722D"/>
    <w:rsid w:val="00787757"/>
    <w:rsid w:val="00787AA9"/>
    <w:rsid w:val="007911BD"/>
    <w:rsid w:val="007916EB"/>
    <w:rsid w:val="00791A22"/>
    <w:rsid w:val="007924C9"/>
    <w:rsid w:val="00792E83"/>
    <w:rsid w:val="00793584"/>
    <w:rsid w:val="007944DA"/>
    <w:rsid w:val="00794C72"/>
    <w:rsid w:val="00794D44"/>
    <w:rsid w:val="00794F1B"/>
    <w:rsid w:val="007957DC"/>
    <w:rsid w:val="00796251"/>
    <w:rsid w:val="0079671A"/>
    <w:rsid w:val="00796C6F"/>
    <w:rsid w:val="00797594"/>
    <w:rsid w:val="007A044A"/>
    <w:rsid w:val="007A0886"/>
    <w:rsid w:val="007A0981"/>
    <w:rsid w:val="007A0B40"/>
    <w:rsid w:val="007A1061"/>
    <w:rsid w:val="007A14DB"/>
    <w:rsid w:val="007A14E4"/>
    <w:rsid w:val="007A1677"/>
    <w:rsid w:val="007A1D8A"/>
    <w:rsid w:val="007A2298"/>
    <w:rsid w:val="007A2427"/>
    <w:rsid w:val="007A2B4A"/>
    <w:rsid w:val="007A5B89"/>
    <w:rsid w:val="007A5CCB"/>
    <w:rsid w:val="007A5FD7"/>
    <w:rsid w:val="007A6600"/>
    <w:rsid w:val="007A67C6"/>
    <w:rsid w:val="007A6E23"/>
    <w:rsid w:val="007A7027"/>
    <w:rsid w:val="007A7200"/>
    <w:rsid w:val="007B0961"/>
    <w:rsid w:val="007B0B1F"/>
    <w:rsid w:val="007B0E93"/>
    <w:rsid w:val="007B0F98"/>
    <w:rsid w:val="007B1012"/>
    <w:rsid w:val="007B1532"/>
    <w:rsid w:val="007B2310"/>
    <w:rsid w:val="007B3E4B"/>
    <w:rsid w:val="007B48DA"/>
    <w:rsid w:val="007B497B"/>
    <w:rsid w:val="007B4A95"/>
    <w:rsid w:val="007B56E9"/>
    <w:rsid w:val="007B6360"/>
    <w:rsid w:val="007B6439"/>
    <w:rsid w:val="007B70F2"/>
    <w:rsid w:val="007B7126"/>
    <w:rsid w:val="007B7381"/>
    <w:rsid w:val="007B7410"/>
    <w:rsid w:val="007C0D37"/>
    <w:rsid w:val="007C0D99"/>
    <w:rsid w:val="007C2297"/>
    <w:rsid w:val="007C26E0"/>
    <w:rsid w:val="007C2751"/>
    <w:rsid w:val="007C35B1"/>
    <w:rsid w:val="007C40AB"/>
    <w:rsid w:val="007C4C67"/>
    <w:rsid w:val="007C54C7"/>
    <w:rsid w:val="007C582E"/>
    <w:rsid w:val="007C5E52"/>
    <w:rsid w:val="007C5EA4"/>
    <w:rsid w:val="007C65A1"/>
    <w:rsid w:val="007C71AD"/>
    <w:rsid w:val="007C764C"/>
    <w:rsid w:val="007C79E8"/>
    <w:rsid w:val="007C7EF9"/>
    <w:rsid w:val="007D035D"/>
    <w:rsid w:val="007D2583"/>
    <w:rsid w:val="007D2CAD"/>
    <w:rsid w:val="007D2D30"/>
    <w:rsid w:val="007D32A4"/>
    <w:rsid w:val="007D3616"/>
    <w:rsid w:val="007D3B49"/>
    <w:rsid w:val="007D6096"/>
    <w:rsid w:val="007D64DD"/>
    <w:rsid w:val="007D6ACB"/>
    <w:rsid w:val="007D6BFA"/>
    <w:rsid w:val="007D7007"/>
    <w:rsid w:val="007D750B"/>
    <w:rsid w:val="007D77D1"/>
    <w:rsid w:val="007E0C72"/>
    <w:rsid w:val="007E173D"/>
    <w:rsid w:val="007E2D01"/>
    <w:rsid w:val="007E2DB5"/>
    <w:rsid w:val="007E2F89"/>
    <w:rsid w:val="007E30D9"/>
    <w:rsid w:val="007E34AB"/>
    <w:rsid w:val="007E3971"/>
    <w:rsid w:val="007E4F88"/>
    <w:rsid w:val="007E52F8"/>
    <w:rsid w:val="007E623D"/>
    <w:rsid w:val="007E654B"/>
    <w:rsid w:val="007E71FB"/>
    <w:rsid w:val="007E73AF"/>
    <w:rsid w:val="007F02FF"/>
    <w:rsid w:val="007F0AB5"/>
    <w:rsid w:val="007F0ACD"/>
    <w:rsid w:val="007F22E8"/>
    <w:rsid w:val="007F2DF1"/>
    <w:rsid w:val="007F2FD7"/>
    <w:rsid w:val="007F3005"/>
    <w:rsid w:val="007F3525"/>
    <w:rsid w:val="007F3980"/>
    <w:rsid w:val="007F4145"/>
    <w:rsid w:val="007F46A0"/>
    <w:rsid w:val="007F4F1B"/>
    <w:rsid w:val="007F5440"/>
    <w:rsid w:val="007F5500"/>
    <w:rsid w:val="007F576E"/>
    <w:rsid w:val="007F5AFA"/>
    <w:rsid w:val="007F60C9"/>
    <w:rsid w:val="007F6585"/>
    <w:rsid w:val="007F66FA"/>
    <w:rsid w:val="007F6A0A"/>
    <w:rsid w:val="007F72E0"/>
    <w:rsid w:val="0080050D"/>
    <w:rsid w:val="00800966"/>
    <w:rsid w:val="00800D7D"/>
    <w:rsid w:val="00801411"/>
    <w:rsid w:val="00801486"/>
    <w:rsid w:val="008015FD"/>
    <w:rsid w:val="00801A6A"/>
    <w:rsid w:val="00801EEF"/>
    <w:rsid w:val="00803114"/>
    <w:rsid w:val="00803626"/>
    <w:rsid w:val="00803980"/>
    <w:rsid w:val="00803AD2"/>
    <w:rsid w:val="00804160"/>
    <w:rsid w:val="008053D8"/>
    <w:rsid w:val="0080559F"/>
    <w:rsid w:val="00805E1E"/>
    <w:rsid w:val="00805F69"/>
    <w:rsid w:val="00805F78"/>
    <w:rsid w:val="0080742D"/>
    <w:rsid w:val="00807569"/>
    <w:rsid w:val="008077BB"/>
    <w:rsid w:val="008078D9"/>
    <w:rsid w:val="00807A62"/>
    <w:rsid w:val="00807AFE"/>
    <w:rsid w:val="00810325"/>
    <w:rsid w:val="00810C9E"/>
    <w:rsid w:val="008113EB"/>
    <w:rsid w:val="00811EFC"/>
    <w:rsid w:val="0081311F"/>
    <w:rsid w:val="008142D6"/>
    <w:rsid w:val="0081473E"/>
    <w:rsid w:val="00814D56"/>
    <w:rsid w:val="00814E88"/>
    <w:rsid w:val="008155CE"/>
    <w:rsid w:val="00816108"/>
    <w:rsid w:val="008163AF"/>
    <w:rsid w:val="00816502"/>
    <w:rsid w:val="008169DE"/>
    <w:rsid w:val="00816C6E"/>
    <w:rsid w:val="00816E6E"/>
    <w:rsid w:val="00817B40"/>
    <w:rsid w:val="00817DB9"/>
    <w:rsid w:val="00817E5D"/>
    <w:rsid w:val="00820BFA"/>
    <w:rsid w:val="00821439"/>
    <w:rsid w:val="00821C1E"/>
    <w:rsid w:val="00822DAA"/>
    <w:rsid w:val="00822E44"/>
    <w:rsid w:val="00824441"/>
    <w:rsid w:val="0082459D"/>
    <w:rsid w:val="00824E41"/>
    <w:rsid w:val="0082564B"/>
    <w:rsid w:val="00825E3D"/>
    <w:rsid w:val="00826E3D"/>
    <w:rsid w:val="008270A2"/>
    <w:rsid w:val="008270B6"/>
    <w:rsid w:val="0082715C"/>
    <w:rsid w:val="00827579"/>
    <w:rsid w:val="0082768F"/>
    <w:rsid w:val="00827BC0"/>
    <w:rsid w:val="00830391"/>
    <w:rsid w:val="00830E5F"/>
    <w:rsid w:val="00831624"/>
    <w:rsid w:val="00831B9D"/>
    <w:rsid w:val="00832344"/>
    <w:rsid w:val="008323D0"/>
    <w:rsid w:val="008330BC"/>
    <w:rsid w:val="008337BA"/>
    <w:rsid w:val="00834AAD"/>
    <w:rsid w:val="00834FC0"/>
    <w:rsid w:val="00836079"/>
    <w:rsid w:val="0083638A"/>
    <w:rsid w:val="008379B8"/>
    <w:rsid w:val="00837CF9"/>
    <w:rsid w:val="00837D2E"/>
    <w:rsid w:val="00837E0E"/>
    <w:rsid w:val="00837F71"/>
    <w:rsid w:val="00840254"/>
    <w:rsid w:val="00840A32"/>
    <w:rsid w:val="0084167F"/>
    <w:rsid w:val="00841DF5"/>
    <w:rsid w:val="0084222D"/>
    <w:rsid w:val="00842D01"/>
    <w:rsid w:val="00843D16"/>
    <w:rsid w:val="00844B2C"/>
    <w:rsid w:val="00846B73"/>
    <w:rsid w:val="008474EF"/>
    <w:rsid w:val="008500B0"/>
    <w:rsid w:val="0085090B"/>
    <w:rsid w:val="00850E24"/>
    <w:rsid w:val="008525C4"/>
    <w:rsid w:val="00853180"/>
    <w:rsid w:val="00854135"/>
    <w:rsid w:val="00855CB8"/>
    <w:rsid w:val="00855FB5"/>
    <w:rsid w:val="0085619C"/>
    <w:rsid w:val="00856511"/>
    <w:rsid w:val="0085652E"/>
    <w:rsid w:val="00856987"/>
    <w:rsid w:val="00856ACE"/>
    <w:rsid w:val="00857AFB"/>
    <w:rsid w:val="00857F8F"/>
    <w:rsid w:val="008600CF"/>
    <w:rsid w:val="00860134"/>
    <w:rsid w:val="0086013B"/>
    <w:rsid w:val="008604E8"/>
    <w:rsid w:val="0086072D"/>
    <w:rsid w:val="0086096B"/>
    <w:rsid w:val="008625DA"/>
    <w:rsid w:val="0086287D"/>
    <w:rsid w:val="0086318E"/>
    <w:rsid w:val="008634B5"/>
    <w:rsid w:val="00863668"/>
    <w:rsid w:val="008648A1"/>
    <w:rsid w:val="00864BFE"/>
    <w:rsid w:val="00865824"/>
    <w:rsid w:val="00866226"/>
    <w:rsid w:val="0086641C"/>
    <w:rsid w:val="00867017"/>
    <w:rsid w:val="0086778B"/>
    <w:rsid w:val="00867B4A"/>
    <w:rsid w:val="0087031D"/>
    <w:rsid w:val="00870350"/>
    <w:rsid w:val="008703DD"/>
    <w:rsid w:val="00870FFF"/>
    <w:rsid w:val="0087135C"/>
    <w:rsid w:val="00871425"/>
    <w:rsid w:val="00871F93"/>
    <w:rsid w:val="008721FC"/>
    <w:rsid w:val="00872CD0"/>
    <w:rsid w:val="00873269"/>
    <w:rsid w:val="00873719"/>
    <w:rsid w:val="00873A07"/>
    <w:rsid w:val="00873F37"/>
    <w:rsid w:val="00875A65"/>
    <w:rsid w:val="00876476"/>
    <w:rsid w:val="00876888"/>
    <w:rsid w:val="008775A4"/>
    <w:rsid w:val="00877A6C"/>
    <w:rsid w:val="00877CF2"/>
    <w:rsid w:val="008808FF"/>
    <w:rsid w:val="00880D58"/>
    <w:rsid w:val="008815C4"/>
    <w:rsid w:val="00882E29"/>
    <w:rsid w:val="00883AB5"/>
    <w:rsid w:val="008846CF"/>
    <w:rsid w:val="008849E9"/>
    <w:rsid w:val="00884D49"/>
    <w:rsid w:val="008851C2"/>
    <w:rsid w:val="00885B76"/>
    <w:rsid w:val="00885CFE"/>
    <w:rsid w:val="00885EE2"/>
    <w:rsid w:val="00886A8E"/>
    <w:rsid w:val="008874F0"/>
    <w:rsid w:val="00887BAF"/>
    <w:rsid w:val="00887CD5"/>
    <w:rsid w:val="00891273"/>
    <w:rsid w:val="00891B2F"/>
    <w:rsid w:val="008921C3"/>
    <w:rsid w:val="008921DA"/>
    <w:rsid w:val="00895040"/>
    <w:rsid w:val="00895897"/>
    <w:rsid w:val="008960F6"/>
    <w:rsid w:val="0089611B"/>
    <w:rsid w:val="00896C79"/>
    <w:rsid w:val="00897AE4"/>
    <w:rsid w:val="00897EF2"/>
    <w:rsid w:val="008A10F9"/>
    <w:rsid w:val="008A365B"/>
    <w:rsid w:val="008A373C"/>
    <w:rsid w:val="008A3EC6"/>
    <w:rsid w:val="008A4CAC"/>
    <w:rsid w:val="008A5707"/>
    <w:rsid w:val="008A627A"/>
    <w:rsid w:val="008A6961"/>
    <w:rsid w:val="008A75C1"/>
    <w:rsid w:val="008A75D7"/>
    <w:rsid w:val="008B114F"/>
    <w:rsid w:val="008B1968"/>
    <w:rsid w:val="008B1A54"/>
    <w:rsid w:val="008B1F12"/>
    <w:rsid w:val="008B1FA4"/>
    <w:rsid w:val="008B34BB"/>
    <w:rsid w:val="008B3759"/>
    <w:rsid w:val="008B4887"/>
    <w:rsid w:val="008B5256"/>
    <w:rsid w:val="008B544C"/>
    <w:rsid w:val="008B5573"/>
    <w:rsid w:val="008B61A0"/>
    <w:rsid w:val="008B62B2"/>
    <w:rsid w:val="008B64DA"/>
    <w:rsid w:val="008B691B"/>
    <w:rsid w:val="008B73A7"/>
    <w:rsid w:val="008B776C"/>
    <w:rsid w:val="008C0EFC"/>
    <w:rsid w:val="008C1F34"/>
    <w:rsid w:val="008C21DF"/>
    <w:rsid w:val="008C2717"/>
    <w:rsid w:val="008C2E52"/>
    <w:rsid w:val="008C32EB"/>
    <w:rsid w:val="008C4AFC"/>
    <w:rsid w:val="008C4D9B"/>
    <w:rsid w:val="008C4E78"/>
    <w:rsid w:val="008C5DFB"/>
    <w:rsid w:val="008C5E1E"/>
    <w:rsid w:val="008C6681"/>
    <w:rsid w:val="008C74A7"/>
    <w:rsid w:val="008C7A7F"/>
    <w:rsid w:val="008C7BED"/>
    <w:rsid w:val="008D0082"/>
    <w:rsid w:val="008D0ACB"/>
    <w:rsid w:val="008D2138"/>
    <w:rsid w:val="008D26E8"/>
    <w:rsid w:val="008D2AF6"/>
    <w:rsid w:val="008D368F"/>
    <w:rsid w:val="008D41EB"/>
    <w:rsid w:val="008D4202"/>
    <w:rsid w:val="008D4607"/>
    <w:rsid w:val="008D4DA6"/>
    <w:rsid w:val="008D5101"/>
    <w:rsid w:val="008D5222"/>
    <w:rsid w:val="008D5307"/>
    <w:rsid w:val="008D5E61"/>
    <w:rsid w:val="008D60E4"/>
    <w:rsid w:val="008D6E05"/>
    <w:rsid w:val="008D742E"/>
    <w:rsid w:val="008E0338"/>
    <w:rsid w:val="008E15DF"/>
    <w:rsid w:val="008E1960"/>
    <w:rsid w:val="008E19FE"/>
    <w:rsid w:val="008E1D05"/>
    <w:rsid w:val="008E1D9D"/>
    <w:rsid w:val="008E2E39"/>
    <w:rsid w:val="008E348C"/>
    <w:rsid w:val="008E46C6"/>
    <w:rsid w:val="008E4A18"/>
    <w:rsid w:val="008E4CE0"/>
    <w:rsid w:val="008E4EDF"/>
    <w:rsid w:val="008E58C1"/>
    <w:rsid w:val="008E5EDE"/>
    <w:rsid w:val="008E6AFE"/>
    <w:rsid w:val="008E72B0"/>
    <w:rsid w:val="008E7364"/>
    <w:rsid w:val="008E75CD"/>
    <w:rsid w:val="008E791E"/>
    <w:rsid w:val="008F037B"/>
    <w:rsid w:val="008F0ACF"/>
    <w:rsid w:val="008F16E2"/>
    <w:rsid w:val="008F1A1B"/>
    <w:rsid w:val="008F2E1F"/>
    <w:rsid w:val="008F3197"/>
    <w:rsid w:val="008F33E8"/>
    <w:rsid w:val="008F3AC2"/>
    <w:rsid w:val="008F43DE"/>
    <w:rsid w:val="008F49B8"/>
    <w:rsid w:val="008F4A0D"/>
    <w:rsid w:val="008F4EB9"/>
    <w:rsid w:val="008F5175"/>
    <w:rsid w:val="008F51B9"/>
    <w:rsid w:val="008F57C3"/>
    <w:rsid w:val="008F59BC"/>
    <w:rsid w:val="008F6591"/>
    <w:rsid w:val="008F65BA"/>
    <w:rsid w:val="008F67F9"/>
    <w:rsid w:val="008F6C8C"/>
    <w:rsid w:val="008F73BF"/>
    <w:rsid w:val="008F7E29"/>
    <w:rsid w:val="009007D5"/>
    <w:rsid w:val="00900D99"/>
    <w:rsid w:val="00901493"/>
    <w:rsid w:val="009017C7"/>
    <w:rsid w:val="0090245F"/>
    <w:rsid w:val="00902AEA"/>
    <w:rsid w:val="00902D27"/>
    <w:rsid w:val="009033A1"/>
    <w:rsid w:val="009035B7"/>
    <w:rsid w:val="009045B3"/>
    <w:rsid w:val="009048FB"/>
    <w:rsid w:val="0090530F"/>
    <w:rsid w:val="00905480"/>
    <w:rsid w:val="0090564C"/>
    <w:rsid w:val="00905759"/>
    <w:rsid w:val="00905F99"/>
    <w:rsid w:val="009068A2"/>
    <w:rsid w:val="00907BB8"/>
    <w:rsid w:val="0091035E"/>
    <w:rsid w:val="009111AB"/>
    <w:rsid w:val="009111F3"/>
    <w:rsid w:val="009116E9"/>
    <w:rsid w:val="00911ED1"/>
    <w:rsid w:val="00911F7A"/>
    <w:rsid w:val="00912286"/>
    <w:rsid w:val="00912BA2"/>
    <w:rsid w:val="00913936"/>
    <w:rsid w:val="00913F9D"/>
    <w:rsid w:val="009154F3"/>
    <w:rsid w:val="00916A99"/>
    <w:rsid w:val="00916ED2"/>
    <w:rsid w:val="00917E58"/>
    <w:rsid w:val="0092030D"/>
    <w:rsid w:val="00920BA2"/>
    <w:rsid w:val="00920F1D"/>
    <w:rsid w:val="00921368"/>
    <w:rsid w:val="00921D1F"/>
    <w:rsid w:val="00922072"/>
    <w:rsid w:val="00922736"/>
    <w:rsid w:val="00922B68"/>
    <w:rsid w:val="009233AF"/>
    <w:rsid w:val="00923EC8"/>
    <w:rsid w:val="00924306"/>
    <w:rsid w:val="00924687"/>
    <w:rsid w:val="0092609B"/>
    <w:rsid w:val="00926B50"/>
    <w:rsid w:val="00926D3D"/>
    <w:rsid w:val="009277A5"/>
    <w:rsid w:val="00927A65"/>
    <w:rsid w:val="00927E11"/>
    <w:rsid w:val="0093001C"/>
    <w:rsid w:val="00930051"/>
    <w:rsid w:val="009301F5"/>
    <w:rsid w:val="009306F6"/>
    <w:rsid w:val="00931871"/>
    <w:rsid w:val="009326C1"/>
    <w:rsid w:val="00933401"/>
    <w:rsid w:val="00933983"/>
    <w:rsid w:val="00933CFD"/>
    <w:rsid w:val="00933E81"/>
    <w:rsid w:val="0093450F"/>
    <w:rsid w:val="009351B7"/>
    <w:rsid w:val="009353EB"/>
    <w:rsid w:val="009358CC"/>
    <w:rsid w:val="00935BAB"/>
    <w:rsid w:val="00935E39"/>
    <w:rsid w:val="00936542"/>
    <w:rsid w:val="00936FF8"/>
    <w:rsid w:val="0093717A"/>
    <w:rsid w:val="009379F0"/>
    <w:rsid w:val="00937AA5"/>
    <w:rsid w:val="00937B77"/>
    <w:rsid w:val="009404F3"/>
    <w:rsid w:val="00940569"/>
    <w:rsid w:val="00940DC6"/>
    <w:rsid w:val="00940EC1"/>
    <w:rsid w:val="00941453"/>
    <w:rsid w:val="00941699"/>
    <w:rsid w:val="009418D5"/>
    <w:rsid w:val="009426E1"/>
    <w:rsid w:val="00942769"/>
    <w:rsid w:val="00943390"/>
    <w:rsid w:val="009444FF"/>
    <w:rsid w:val="00944E10"/>
    <w:rsid w:val="00945B3C"/>
    <w:rsid w:val="00945CC5"/>
    <w:rsid w:val="009468D9"/>
    <w:rsid w:val="0094704F"/>
    <w:rsid w:val="009478F7"/>
    <w:rsid w:val="00950886"/>
    <w:rsid w:val="00951333"/>
    <w:rsid w:val="009515E8"/>
    <w:rsid w:val="00951801"/>
    <w:rsid w:val="00953453"/>
    <w:rsid w:val="0095354E"/>
    <w:rsid w:val="00953783"/>
    <w:rsid w:val="009554C0"/>
    <w:rsid w:val="00957493"/>
    <w:rsid w:val="00961450"/>
    <w:rsid w:val="00961563"/>
    <w:rsid w:val="0096181B"/>
    <w:rsid w:val="00962182"/>
    <w:rsid w:val="00962305"/>
    <w:rsid w:val="00962EA4"/>
    <w:rsid w:val="009633E2"/>
    <w:rsid w:val="00964D26"/>
    <w:rsid w:val="0096607A"/>
    <w:rsid w:val="009665BB"/>
    <w:rsid w:val="00966775"/>
    <w:rsid w:val="0096692E"/>
    <w:rsid w:val="00966AF2"/>
    <w:rsid w:val="00966FC0"/>
    <w:rsid w:val="00967539"/>
    <w:rsid w:val="00967EEF"/>
    <w:rsid w:val="0097031A"/>
    <w:rsid w:val="00970487"/>
    <w:rsid w:val="009704A5"/>
    <w:rsid w:val="00970665"/>
    <w:rsid w:val="00970BF4"/>
    <w:rsid w:val="00970E95"/>
    <w:rsid w:val="009713BC"/>
    <w:rsid w:val="0097197E"/>
    <w:rsid w:val="00971F6E"/>
    <w:rsid w:val="009720B1"/>
    <w:rsid w:val="009720E8"/>
    <w:rsid w:val="00972239"/>
    <w:rsid w:val="00972945"/>
    <w:rsid w:val="00972F8B"/>
    <w:rsid w:val="0097332A"/>
    <w:rsid w:val="0097393B"/>
    <w:rsid w:val="0097400D"/>
    <w:rsid w:val="00974734"/>
    <w:rsid w:val="009750ED"/>
    <w:rsid w:val="00975EF9"/>
    <w:rsid w:val="00976675"/>
    <w:rsid w:val="00977085"/>
    <w:rsid w:val="0097789A"/>
    <w:rsid w:val="0098110E"/>
    <w:rsid w:val="00982851"/>
    <w:rsid w:val="00983201"/>
    <w:rsid w:val="00984FE1"/>
    <w:rsid w:val="00985926"/>
    <w:rsid w:val="009862B2"/>
    <w:rsid w:val="00986590"/>
    <w:rsid w:val="0098699F"/>
    <w:rsid w:val="00986E0E"/>
    <w:rsid w:val="009877FF"/>
    <w:rsid w:val="00987CCA"/>
    <w:rsid w:val="00987CCD"/>
    <w:rsid w:val="00987EAB"/>
    <w:rsid w:val="009901E1"/>
    <w:rsid w:val="00990218"/>
    <w:rsid w:val="00990BE8"/>
    <w:rsid w:val="00990E96"/>
    <w:rsid w:val="009918C1"/>
    <w:rsid w:val="00992024"/>
    <w:rsid w:val="00992279"/>
    <w:rsid w:val="009922CF"/>
    <w:rsid w:val="00992638"/>
    <w:rsid w:val="009945F4"/>
    <w:rsid w:val="00994865"/>
    <w:rsid w:val="009968FA"/>
    <w:rsid w:val="00996975"/>
    <w:rsid w:val="00996DE6"/>
    <w:rsid w:val="00996F14"/>
    <w:rsid w:val="00997E06"/>
    <w:rsid w:val="009A1BF9"/>
    <w:rsid w:val="009A1FB7"/>
    <w:rsid w:val="009A21AF"/>
    <w:rsid w:val="009A2D6D"/>
    <w:rsid w:val="009A32D5"/>
    <w:rsid w:val="009A3E00"/>
    <w:rsid w:val="009A4223"/>
    <w:rsid w:val="009A46DE"/>
    <w:rsid w:val="009A5346"/>
    <w:rsid w:val="009A63EF"/>
    <w:rsid w:val="009A78FA"/>
    <w:rsid w:val="009A7FDF"/>
    <w:rsid w:val="009B057E"/>
    <w:rsid w:val="009B0700"/>
    <w:rsid w:val="009B3822"/>
    <w:rsid w:val="009B3CCC"/>
    <w:rsid w:val="009B42E3"/>
    <w:rsid w:val="009B431F"/>
    <w:rsid w:val="009B490D"/>
    <w:rsid w:val="009B51B7"/>
    <w:rsid w:val="009B51C5"/>
    <w:rsid w:val="009B532B"/>
    <w:rsid w:val="009B5A18"/>
    <w:rsid w:val="009B7BD9"/>
    <w:rsid w:val="009B7C13"/>
    <w:rsid w:val="009B7E08"/>
    <w:rsid w:val="009C0007"/>
    <w:rsid w:val="009C00C6"/>
    <w:rsid w:val="009C1044"/>
    <w:rsid w:val="009C129D"/>
    <w:rsid w:val="009C185C"/>
    <w:rsid w:val="009C20E7"/>
    <w:rsid w:val="009C23D6"/>
    <w:rsid w:val="009C2855"/>
    <w:rsid w:val="009C2956"/>
    <w:rsid w:val="009C3A9B"/>
    <w:rsid w:val="009C3FA5"/>
    <w:rsid w:val="009C3FF5"/>
    <w:rsid w:val="009C523D"/>
    <w:rsid w:val="009C554A"/>
    <w:rsid w:val="009C5A2B"/>
    <w:rsid w:val="009C6416"/>
    <w:rsid w:val="009C7B2A"/>
    <w:rsid w:val="009C7B6A"/>
    <w:rsid w:val="009C7DA2"/>
    <w:rsid w:val="009D0181"/>
    <w:rsid w:val="009D1E7B"/>
    <w:rsid w:val="009D2924"/>
    <w:rsid w:val="009D2972"/>
    <w:rsid w:val="009D2D70"/>
    <w:rsid w:val="009D322B"/>
    <w:rsid w:val="009D5123"/>
    <w:rsid w:val="009D546E"/>
    <w:rsid w:val="009D5859"/>
    <w:rsid w:val="009D617C"/>
    <w:rsid w:val="009D6E10"/>
    <w:rsid w:val="009D7697"/>
    <w:rsid w:val="009D7739"/>
    <w:rsid w:val="009D7945"/>
    <w:rsid w:val="009D7B3A"/>
    <w:rsid w:val="009E0A23"/>
    <w:rsid w:val="009E1082"/>
    <w:rsid w:val="009E138B"/>
    <w:rsid w:val="009E13DE"/>
    <w:rsid w:val="009E191A"/>
    <w:rsid w:val="009E21BC"/>
    <w:rsid w:val="009E280E"/>
    <w:rsid w:val="009E2B2E"/>
    <w:rsid w:val="009E2D32"/>
    <w:rsid w:val="009E2D35"/>
    <w:rsid w:val="009E3E06"/>
    <w:rsid w:val="009E4153"/>
    <w:rsid w:val="009E4476"/>
    <w:rsid w:val="009E4BCE"/>
    <w:rsid w:val="009E53C3"/>
    <w:rsid w:val="009E5500"/>
    <w:rsid w:val="009E5CDF"/>
    <w:rsid w:val="009E6551"/>
    <w:rsid w:val="009E6A35"/>
    <w:rsid w:val="009E6AFD"/>
    <w:rsid w:val="009E6B91"/>
    <w:rsid w:val="009E74FD"/>
    <w:rsid w:val="009F00B7"/>
    <w:rsid w:val="009F0575"/>
    <w:rsid w:val="009F08D7"/>
    <w:rsid w:val="009F094F"/>
    <w:rsid w:val="009F2065"/>
    <w:rsid w:val="009F2DDC"/>
    <w:rsid w:val="009F2EB2"/>
    <w:rsid w:val="009F39E5"/>
    <w:rsid w:val="009F3D92"/>
    <w:rsid w:val="009F3F4D"/>
    <w:rsid w:val="009F44A2"/>
    <w:rsid w:val="009F457A"/>
    <w:rsid w:val="009F4C9A"/>
    <w:rsid w:val="009F51F4"/>
    <w:rsid w:val="009F55C9"/>
    <w:rsid w:val="009F6455"/>
    <w:rsid w:val="009F645C"/>
    <w:rsid w:val="009F6712"/>
    <w:rsid w:val="009F7827"/>
    <w:rsid w:val="009F7A0A"/>
    <w:rsid w:val="00A00589"/>
    <w:rsid w:val="00A005ED"/>
    <w:rsid w:val="00A0104B"/>
    <w:rsid w:val="00A014CC"/>
    <w:rsid w:val="00A0246C"/>
    <w:rsid w:val="00A044D7"/>
    <w:rsid w:val="00A06877"/>
    <w:rsid w:val="00A07403"/>
    <w:rsid w:val="00A074D3"/>
    <w:rsid w:val="00A077FC"/>
    <w:rsid w:val="00A07B25"/>
    <w:rsid w:val="00A10547"/>
    <w:rsid w:val="00A106C1"/>
    <w:rsid w:val="00A10A30"/>
    <w:rsid w:val="00A11C6B"/>
    <w:rsid w:val="00A12295"/>
    <w:rsid w:val="00A1252B"/>
    <w:rsid w:val="00A12943"/>
    <w:rsid w:val="00A13EE8"/>
    <w:rsid w:val="00A14E73"/>
    <w:rsid w:val="00A1576C"/>
    <w:rsid w:val="00A1597B"/>
    <w:rsid w:val="00A15984"/>
    <w:rsid w:val="00A15E66"/>
    <w:rsid w:val="00A16044"/>
    <w:rsid w:val="00A1648D"/>
    <w:rsid w:val="00A164CA"/>
    <w:rsid w:val="00A170CB"/>
    <w:rsid w:val="00A170F5"/>
    <w:rsid w:val="00A171D7"/>
    <w:rsid w:val="00A17782"/>
    <w:rsid w:val="00A17C51"/>
    <w:rsid w:val="00A17E8C"/>
    <w:rsid w:val="00A20DA3"/>
    <w:rsid w:val="00A22A24"/>
    <w:rsid w:val="00A238E4"/>
    <w:rsid w:val="00A238F3"/>
    <w:rsid w:val="00A24E9A"/>
    <w:rsid w:val="00A25067"/>
    <w:rsid w:val="00A25261"/>
    <w:rsid w:val="00A256CB"/>
    <w:rsid w:val="00A25C3B"/>
    <w:rsid w:val="00A26639"/>
    <w:rsid w:val="00A26EF7"/>
    <w:rsid w:val="00A305E2"/>
    <w:rsid w:val="00A30DE1"/>
    <w:rsid w:val="00A3205D"/>
    <w:rsid w:val="00A3244F"/>
    <w:rsid w:val="00A32874"/>
    <w:rsid w:val="00A32BF6"/>
    <w:rsid w:val="00A32DE5"/>
    <w:rsid w:val="00A3336D"/>
    <w:rsid w:val="00A338C1"/>
    <w:rsid w:val="00A33D6A"/>
    <w:rsid w:val="00A34016"/>
    <w:rsid w:val="00A3404B"/>
    <w:rsid w:val="00A355B8"/>
    <w:rsid w:val="00A36825"/>
    <w:rsid w:val="00A36EEF"/>
    <w:rsid w:val="00A3752A"/>
    <w:rsid w:val="00A376E1"/>
    <w:rsid w:val="00A378D4"/>
    <w:rsid w:val="00A402CC"/>
    <w:rsid w:val="00A40816"/>
    <w:rsid w:val="00A40EF4"/>
    <w:rsid w:val="00A40F66"/>
    <w:rsid w:val="00A4157C"/>
    <w:rsid w:val="00A41B9B"/>
    <w:rsid w:val="00A4287B"/>
    <w:rsid w:val="00A4296A"/>
    <w:rsid w:val="00A42D87"/>
    <w:rsid w:val="00A43C3E"/>
    <w:rsid w:val="00A44788"/>
    <w:rsid w:val="00A44E3C"/>
    <w:rsid w:val="00A452BC"/>
    <w:rsid w:val="00A455CE"/>
    <w:rsid w:val="00A46457"/>
    <w:rsid w:val="00A468B5"/>
    <w:rsid w:val="00A4732C"/>
    <w:rsid w:val="00A4745B"/>
    <w:rsid w:val="00A50000"/>
    <w:rsid w:val="00A50013"/>
    <w:rsid w:val="00A50192"/>
    <w:rsid w:val="00A5081A"/>
    <w:rsid w:val="00A50D32"/>
    <w:rsid w:val="00A52617"/>
    <w:rsid w:val="00A528AE"/>
    <w:rsid w:val="00A530C3"/>
    <w:rsid w:val="00A54003"/>
    <w:rsid w:val="00A543F6"/>
    <w:rsid w:val="00A54612"/>
    <w:rsid w:val="00A54C0C"/>
    <w:rsid w:val="00A54FC5"/>
    <w:rsid w:val="00A5570D"/>
    <w:rsid w:val="00A55914"/>
    <w:rsid w:val="00A56386"/>
    <w:rsid w:val="00A56464"/>
    <w:rsid w:val="00A56BEB"/>
    <w:rsid w:val="00A5767B"/>
    <w:rsid w:val="00A602C5"/>
    <w:rsid w:val="00A60910"/>
    <w:rsid w:val="00A61C60"/>
    <w:rsid w:val="00A61E91"/>
    <w:rsid w:val="00A63216"/>
    <w:rsid w:val="00A63598"/>
    <w:rsid w:val="00A63CFB"/>
    <w:rsid w:val="00A64602"/>
    <w:rsid w:val="00A65DB6"/>
    <w:rsid w:val="00A65E97"/>
    <w:rsid w:val="00A66980"/>
    <w:rsid w:val="00A701A0"/>
    <w:rsid w:val="00A703DA"/>
    <w:rsid w:val="00A7163D"/>
    <w:rsid w:val="00A71818"/>
    <w:rsid w:val="00A728ED"/>
    <w:rsid w:val="00A72A67"/>
    <w:rsid w:val="00A73640"/>
    <w:rsid w:val="00A741D9"/>
    <w:rsid w:val="00A74341"/>
    <w:rsid w:val="00A761F1"/>
    <w:rsid w:val="00A76B14"/>
    <w:rsid w:val="00A76B6C"/>
    <w:rsid w:val="00A771ED"/>
    <w:rsid w:val="00A772EE"/>
    <w:rsid w:val="00A80155"/>
    <w:rsid w:val="00A80AF2"/>
    <w:rsid w:val="00A80BC1"/>
    <w:rsid w:val="00A813D9"/>
    <w:rsid w:val="00A82520"/>
    <w:rsid w:val="00A8264A"/>
    <w:rsid w:val="00A82BF2"/>
    <w:rsid w:val="00A83D93"/>
    <w:rsid w:val="00A83F65"/>
    <w:rsid w:val="00A83F84"/>
    <w:rsid w:val="00A840AC"/>
    <w:rsid w:val="00A841B5"/>
    <w:rsid w:val="00A847C7"/>
    <w:rsid w:val="00A84936"/>
    <w:rsid w:val="00A851C5"/>
    <w:rsid w:val="00A8699B"/>
    <w:rsid w:val="00A86FD5"/>
    <w:rsid w:val="00A9071C"/>
    <w:rsid w:val="00A92541"/>
    <w:rsid w:val="00A92ACE"/>
    <w:rsid w:val="00A93074"/>
    <w:rsid w:val="00A93ACA"/>
    <w:rsid w:val="00A95A5E"/>
    <w:rsid w:val="00A95B6D"/>
    <w:rsid w:val="00A95D26"/>
    <w:rsid w:val="00A968FA"/>
    <w:rsid w:val="00A96B04"/>
    <w:rsid w:val="00A9721B"/>
    <w:rsid w:val="00A97812"/>
    <w:rsid w:val="00AA033E"/>
    <w:rsid w:val="00AA0409"/>
    <w:rsid w:val="00AA0B5A"/>
    <w:rsid w:val="00AA1B1B"/>
    <w:rsid w:val="00AA1DDA"/>
    <w:rsid w:val="00AA1FDD"/>
    <w:rsid w:val="00AA2805"/>
    <w:rsid w:val="00AA2FC7"/>
    <w:rsid w:val="00AA377F"/>
    <w:rsid w:val="00AA4905"/>
    <w:rsid w:val="00AA54E8"/>
    <w:rsid w:val="00AA5DB9"/>
    <w:rsid w:val="00AA614B"/>
    <w:rsid w:val="00AA6199"/>
    <w:rsid w:val="00AA79BB"/>
    <w:rsid w:val="00AA7E52"/>
    <w:rsid w:val="00AB1CAE"/>
    <w:rsid w:val="00AB2082"/>
    <w:rsid w:val="00AB2646"/>
    <w:rsid w:val="00AB2B0D"/>
    <w:rsid w:val="00AB322C"/>
    <w:rsid w:val="00AB3251"/>
    <w:rsid w:val="00AB372E"/>
    <w:rsid w:val="00AB45C1"/>
    <w:rsid w:val="00AB4C09"/>
    <w:rsid w:val="00AB5499"/>
    <w:rsid w:val="00AB56D6"/>
    <w:rsid w:val="00AB571A"/>
    <w:rsid w:val="00AB636C"/>
    <w:rsid w:val="00AB6F25"/>
    <w:rsid w:val="00AB73A0"/>
    <w:rsid w:val="00AC02AF"/>
    <w:rsid w:val="00AC032E"/>
    <w:rsid w:val="00AC061F"/>
    <w:rsid w:val="00AC1889"/>
    <w:rsid w:val="00AC26B1"/>
    <w:rsid w:val="00AC2ADD"/>
    <w:rsid w:val="00AC2BFB"/>
    <w:rsid w:val="00AC33B2"/>
    <w:rsid w:val="00AC3CCD"/>
    <w:rsid w:val="00AC3DA4"/>
    <w:rsid w:val="00AC3F6C"/>
    <w:rsid w:val="00AC4A4C"/>
    <w:rsid w:val="00AC4D4B"/>
    <w:rsid w:val="00AC515D"/>
    <w:rsid w:val="00AC59F6"/>
    <w:rsid w:val="00AC5B22"/>
    <w:rsid w:val="00AC5E64"/>
    <w:rsid w:val="00AC68EA"/>
    <w:rsid w:val="00AC6F31"/>
    <w:rsid w:val="00AC6F90"/>
    <w:rsid w:val="00AC76D6"/>
    <w:rsid w:val="00AC7DF6"/>
    <w:rsid w:val="00AD0790"/>
    <w:rsid w:val="00AD090A"/>
    <w:rsid w:val="00AD0AA1"/>
    <w:rsid w:val="00AD206A"/>
    <w:rsid w:val="00AD2A5C"/>
    <w:rsid w:val="00AD2D70"/>
    <w:rsid w:val="00AD4E3E"/>
    <w:rsid w:val="00AD5532"/>
    <w:rsid w:val="00AD59CA"/>
    <w:rsid w:val="00AD5F8D"/>
    <w:rsid w:val="00AD64CE"/>
    <w:rsid w:val="00AD6C91"/>
    <w:rsid w:val="00AD6FCE"/>
    <w:rsid w:val="00AE18A6"/>
    <w:rsid w:val="00AE1ED4"/>
    <w:rsid w:val="00AE20AB"/>
    <w:rsid w:val="00AE21C5"/>
    <w:rsid w:val="00AE2A38"/>
    <w:rsid w:val="00AE2B6B"/>
    <w:rsid w:val="00AE2C0F"/>
    <w:rsid w:val="00AE2CD8"/>
    <w:rsid w:val="00AE3D52"/>
    <w:rsid w:val="00AE3FF8"/>
    <w:rsid w:val="00AE443E"/>
    <w:rsid w:val="00AE4F07"/>
    <w:rsid w:val="00AE5908"/>
    <w:rsid w:val="00AE6008"/>
    <w:rsid w:val="00AE78E3"/>
    <w:rsid w:val="00AE7A15"/>
    <w:rsid w:val="00AE7B99"/>
    <w:rsid w:val="00AE7DB3"/>
    <w:rsid w:val="00AE7E36"/>
    <w:rsid w:val="00AF0CE2"/>
    <w:rsid w:val="00AF0D0D"/>
    <w:rsid w:val="00AF0DE1"/>
    <w:rsid w:val="00AF19AC"/>
    <w:rsid w:val="00AF1C59"/>
    <w:rsid w:val="00AF2870"/>
    <w:rsid w:val="00AF2ABA"/>
    <w:rsid w:val="00AF2C6D"/>
    <w:rsid w:val="00AF3B19"/>
    <w:rsid w:val="00AF3EAB"/>
    <w:rsid w:val="00AF452D"/>
    <w:rsid w:val="00AF568D"/>
    <w:rsid w:val="00AF5E2F"/>
    <w:rsid w:val="00AF5E7B"/>
    <w:rsid w:val="00AF60AA"/>
    <w:rsid w:val="00AF6591"/>
    <w:rsid w:val="00AF6697"/>
    <w:rsid w:val="00AF7C11"/>
    <w:rsid w:val="00AF7D35"/>
    <w:rsid w:val="00AF7F16"/>
    <w:rsid w:val="00B0010A"/>
    <w:rsid w:val="00B01ADB"/>
    <w:rsid w:val="00B02073"/>
    <w:rsid w:val="00B0257D"/>
    <w:rsid w:val="00B039E7"/>
    <w:rsid w:val="00B03B0F"/>
    <w:rsid w:val="00B048A9"/>
    <w:rsid w:val="00B04B48"/>
    <w:rsid w:val="00B0574A"/>
    <w:rsid w:val="00B05E77"/>
    <w:rsid w:val="00B07852"/>
    <w:rsid w:val="00B07CE4"/>
    <w:rsid w:val="00B07F86"/>
    <w:rsid w:val="00B107C1"/>
    <w:rsid w:val="00B11818"/>
    <w:rsid w:val="00B121F0"/>
    <w:rsid w:val="00B12219"/>
    <w:rsid w:val="00B12259"/>
    <w:rsid w:val="00B122D1"/>
    <w:rsid w:val="00B1273E"/>
    <w:rsid w:val="00B12E7E"/>
    <w:rsid w:val="00B14792"/>
    <w:rsid w:val="00B14CC3"/>
    <w:rsid w:val="00B14E8D"/>
    <w:rsid w:val="00B158A2"/>
    <w:rsid w:val="00B15ACD"/>
    <w:rsid w:val="00B15B7F"/>
    <w:rsid w:val="00B15BC8"/>
    <w:rsid w:val="00B17462"/>
    <w:rsid w:val="00B176EA"/>
    <w:rsid w:val="00B17E3C"/>
    <w:rsid w:val="00B21A58"/>
    <w:rsid w:val="00B2204C"/>
    <w:rsid w:val="00B22156"/>
    <w:rsid w:val="00B223BB"/>
    <w:rsid w:val="00B22990"/>
    <w:rsid w:val="00B2304A"/>
    <w:rsid w:val="00B239F6"/>
    <w:rsid w:val="00B23ACE"/>
    <w:rsid w:val="00B24040"/>
    <w:rsid w:val="00B24114"/>
    <w:rsid w:val="00B241F6"/>
    <w:rsid w:val="00B2488D"/>
    <w:rsid w:val="00B25729"/>
    <w:rsid w:val="00B257CA"/>
    <w:rsid w:val="00B26380"/>
    <w:rsid w:val="00B26E00"/>
    <w:rsid w:val="00B26E3F"/>
    <w:rsid w:val="00B2767E"/>
    <w:rsid w:val="00B27C0C"/>
    <w:rsid w:val="00B27C92"/>
    <w:rsid w:val="00B30777"/>
    <w:rsid w:val="00B309B9"/>
    <w:rsid w:val="00B31908"/>
    <w:rsid w:val="00B31926"/>
    <w:rsid w:val="00B31AA2"/>
    <w:rsid w:val="00B32402"/>
    <w:rsid w:val="00B33C6C"/>
    <w:rsid w:val="00B33CDA"/>
    <w:rsid w:val="00B33E8F"/>
    <w:rsid w:val="00B341C1"/>
    <w:rsid w:val="00B34381"/>
    <w:rsid w:val="00B345CC"/>
    <w:rsid w:val="00B352C1"/>
    <w:rsid w:val="00B35CB5"/>
    <w:rsid w:val="00B35E41"/>
    <w:rsid w:val="00B367D1"/>
    <w:rsid w:val="00B375EF"/>
    <w:rsid w:val="00B3782B"/>
    <w:rsid w:val="00B37B7B"/>
    <w:rsid w:val="00B405FE"/>
    <w:rsid w:val="00B410A6"/>
    <w:rsid w:val="00B41509"/>
    <w:rsid w:val="00B41595"/>
    <w:rsid w:val="00B41E8D"/>
    <w:rsid w:val="00B42609"/>
    <w:rsid w:val="00B4281F"/>
    <w:rsid w:val="00B42B69"/>
    <w:rsid w:val="00B432DA"/>
    <w:rsid w:val="00B43409"/>
    <w:rsid w:val="00B43F40"/>
    <w:rsid w:val="00B44B97"/>
    <w:rsid w:val="00B44D84"/>
    <w:rsid w:val="00B453F4"/>
    <w:rsid w:val="00B4592D"/>
    <w:rsid w:val="00B45B9A"/>
    <w:rsid w:val="00B462AA"/>
    <w:rsid w:val="00B46EAE"/>
    <w:rsid w:val="00B474FF"/>
    <w:rsid w:val="00B47F57"/>
    <w:rsid w:val="00B5143A"/>
    <w:rsid w:val="00B51C4C"/>
    <w:rsid w:val="00B51CFA"/>
    <w:rsid w:val="00B52B1E"/>
    <w:rsid w:val="00B54539"/>
    <w:rsid w:val="00B54FDF"/>
    <w:rsid w:val="00B55471"/>
    <w:rsid w:val="00B566E5"/>
    <w:rsid w:val="00B5713F"/>
    <w:rsid w:val="00B57A63"/>
    <w:rsid w:val="00B60B09"/>
    <w:rsid w:val="00B60EA1"/>
    <w:rsid w:val="00B61460"/>
    <w:rsid w:val="00B62522"/>
    <w:rsid w:val="00B626AD"/>
    <w:rsid w:val="00B62793"/>
    <w:rsid w:val="00B6279D"/>
    <w:rsid w:val="00B62AB2"/>
    <w:rsid w:val="00B63D86"/>
    <w:rsid w:val="00B65054"/>
    <w:rsid w:val="00B657E3"/>
    <w:rsid w:val="00B673F7"/>
    <w:rsid w:val="00B70A4A"/>
    <w:rsid w:val="00B70CC3"/>
    <w:rsid w:val="00B71CFE"/>
    <w:rsid w:val="00B72485"/>
    <w:rsid w:val="00B72507"/>
    <w:rsid w:val="00B72B89"/>
    <w:rsid w:val="00B74259"/>
    <w:rsid w:val="00B7452A"/>
    <w:rsid w:val="00B748B4"/>
    <w:rsid w:val="00B74A9A"/>
    <w:rsid w:val="00B74B41"/>
    <w:rsid w:val="00B768A6"/>
    <w:rsid w:val="00B76CF7"/>
    <w:rsid w:val="00B777AA"/>
    <w:rsid w:val="00B77976"/>
    <w:rsid w:val="00B77C6B"/>
    <w:rsid w:val="00B8006C"/>
    <w:rsid w:val="00B80EB9"/>
    <w:rsid w:val="00B82136"/>
    <w:rsid w:val="00B8238D"/>
    <w:rsid w:val="00B8312B"/>
    <w:rsid w:val="00B83B96"/>
    <w:rsid w:val="00B8490E"/>
    <w:rsid w:val="00B857A6"/>
    <w:rsid w:val="00B857B7"/>
    <w:rsid w:val="00B86990"/>
    <w:rsid w:val="00B86B55"/>
    <w:rsid w:val="00B8762C"/>
    <w:rsid w:val="00B8782B"/>
    <w:rsid w:val="00B87A79"/>
    <w:rsid w:val="00B9014D"/>
    <w:rsid w:val="00B90C02"/>
    <w:rsid w:val="00B920FA"/>
    <w:rsid w:val="00B921EC"/>
    <w:rsid w:val="00B932A7"/>
    <w:rsid w:val="00B934B6"/>
    <w:rsid w:val="00B956CD"/>
    <w:rsid w:val="00B95838"/>
    <w:rsid w:val="00B95D1A"/>
    <w:rsid w:val="00B96A8C"/>
    <w:rsid w:val="00B96BED"/>
    <w:rsid w:val="00B973E8"/>
    <w:rsid w:val="00B97716"/>
    <w:rsid w:val="00B97F74"/>
    <w:rsid w:val="00BA07CE"/>
    <w:rsid w:val="00BA1073"/>
    <w:rsid w:val="00BA4D2A"/>
    <w:rsid w:val="00BA53FA"/>
    <w:rsid w:val="00BA5738"/>
    <w:rsid w:val="00BA6A58"/>
    <w:rsid w:val="00BA72A6"/>
    <w:rsid w:val="00BA76EF"/>
    <w:rsid w:val="00BA78D0"/>
    <w:rsid w:val="00BA7B3D"/>
    <w:rsid w:val="00BA7E56"/>
    <w:rsid w:val="00BB03C9"/>
    <w:rsid w:val="00BB04C8"/>
    <w:rsid w:val="00BB1AA7"/>
    <w:rsid w:val="00BB1E11"/>
    <w:rsid w:val="00BB1F71"/>
    <w:rsid w:val="00BB21F7"/>
    <w:rsid w:val="00BB26CC"/>
    <w:rsid w:val="00BB2993"/>
    <w:rsid w:val="00BB2FA4"/>
    <w:rsid w:val="00BB391B"/>
    <w:rsid w:val="00BB412F"/>
    <w:rsid w:val="00BB49E2"/>
    <w:rsid w:val="00BB5085"/>
    <w:rsid w:val="00BB5652"/>
    <w:rsid w:val="00BB61CF"/>
    <w:rsid w:val="00BB6D62"/>
    <w:rsid w:val="00BB7153"/>
    <w:rsid w:val="00BB7C9F"/>
    <w:rsid w:val="00BC0414"/>
    <w:rsid w:val="00BC07B9"/>
    <w:rsid w:val="00BC0E9B"/>
    <w:rsid w:val="00BC10ED"/>
    <w:rsid w:val="00BC1505"/>
    <w:rsid w:val="00BC1C53"/>
    <w:rsid w:val="00BC20F2"/>
    <w:rsid w:val="00BC2758"/>
    <w:rsid w:val="00BC35E7"/>
    <w:rsid w:val="00BC40F1"/>
    <w:rsid w:val="00BC4CB1"/>
    <w:rsid w:val="00BC4E99"/>
    <w:rsid w:val="00BC50F0"/>
    <w:rsid w:val="00BC638D"/>
    <w:rsid w:val="00BC7324"/>
    <w:rsid w:val="00BC740C"/>
    <w:rsid w:val="00BC7629"/>
    <w:rsid w:val="00BC7ECC"/>
    <w:rsid w:val="00BD0DFB"/>
    <w:rsid w:val="00BD0E82"/>
    <w:rsid w:val="00BD1087"/>
    <w:rsid w:val="00BD17FB"/>
    <w:rsid w:val="00BD20C6"/>
    <w:rsid w:val="00BD30DE"/>
    <w:rsid w:val="00BD3AC5"/>
    <w:rsid w:val="00BD3DED"/>
    <w:rsid w:val="00BD4455"/>
    <w:rsid w:val="00BD4CE8"/>
    <w:rsid w:val="00BD4DB0"/>
    <w:rsid w:val="00BD4FB9"/>
    <w:rsid w:val="00BD5358"/>
    <w:rsid w:val="00BD62E0"/>
    <w:rsid w:val="00BD6643"/>
    <w:rsid w:val="00BD6AFB"/>
    <w:rsid w:val="00BD7DC9"/>
    <w:rsid w:val="00BD7E5D"/>
    <w:rsid w:val="00BE0405"/>
    <w:rsid w:val="00BE1622"/>
    <w:rsid w:val="00BE16A6"/>
    <w:rsid w:val="00BE18FC"/>
    <w:rsid w:val="00BE215A"/>
    <w:rsid w:val="00BE27E3"/>
    <w:rsid w:val="00BE308D"/>
    <w:rsid w:val="00BE3A1D"/>
    <w:rsid w:val="00BE66CB"/>
    <w:rsid w:val="00BE777F"/>
    <w:rsid w:val="00BF0021"/>
    <w:rsid w:val="00BF03D6"/>
    <w:rsid w:val="00BF0534"/>
    <w:rsid w:val="00BF0537"/>
    <w:rsid w:val="00BF0A3A"/>
    <w:rsid w:val="00BF11A3"/>
    <w:rsid w:val="00BF1228"/>
    <w:rsid w:val="00BF1E0E"/>
    <w:rsid w:val="00BF24D8"/>
    <w:rsid w:val="00BF2DA4"/>
    <w:rsid w:val="00BF2E9C"/>
    <w:rsid w:val="00BF339E"/>
    <w:rsid w:val="00BF35E0"/>
    <w:rsid w:val="00BF3F18"/>
    <w:rsid w:val="00BF4148"/>
    <w:rsid w:val="00BF5305"/>
    <w:rsid w:val="00BF562E"/>
    <w:rsid w:val="00BF78AB"/>
    <w:rsid w:val="00C00C7B"/>
    <w:rsid w:val="00C00D46"/>
    <w:rsid w:val="00C01B3D"/>
    <w:rsid w:val="00C01F0C"/>
    <w:rsid w:val="00C0321B"/>
    <w:rsid w:val="00C033C3"/>
    <w:rsid w:val="00C04AC9"/>
    <w:rsid w:val="00C04BF5"/>
    <w:rsid w:val="00C05087"/>
    <w:rsid w:val="00C053A3"/>
    <w:rsid w:val="00C054A6"/>
    <w:rsid w:val="00C054B3"/>
    <w:rsid w:val="00C06037"/>
    <w:rsid w:val="00C06DA9"/>
    <w:rsid w:val="00C0741D"/>
    <w:rsid w:val="00C07619"/>
    <w:rsid w:val="00C07829"/>
    <w:rsid w:val="00C10FE8"/>
    <w:rsid w:val="00C11A26"/>
    <w:rsid w:val="00C11FFA"/>
    <w:rsid w:val="00C122D0"/>
    <w:rsid w:val="00C125EF"/>
    <w:rsid w:val="00C1302C"/>
    <w:rsid w:val="00C1351F"/>
    <w:rsid w:val="00C14AFF"/>
    <w:rsid w:val="00C15321"/>
    <w:rsid w:val="00C15438"/>
    <w:rsid w:val="00C154A0"/>
    <w:rsid w:val="00C155D5"/>
    <w:rsid w:val="00C15B96"/>
    <w:rsid w:val="00C15C05"/>
    <w:rsid w:val="00C170C6"/>
    <w:rsid w:val="00C1719F"/>
    <w:rsid w:val="00C17292"/>
    <w:rsid w:val="00C17404"/>
    <w:rsid w:val="00C2033E"/>
    <w:rsid w:val="00C20430"/>
    <w:rsid w:val="00C20868"/>
    <w:rsid w:val="00C21575"/>
    <w:rsid w:val="00C217B5"/>
    <w:rsid w:val="00C21F5C"/>
    <w:rsid w:val="00C242EC"/>
    <w:rsid w:val="00C2546B"/>
    <w:rsid w:val="00C2731B"/>
    <w:rsid w:val="00C274D9"/>
    <w:rsid w:val="00C27C28"/>
    <w:rsid w:val="00C30376"/>
    <w:rsid w:val="00C307A1"/>
    <w:rsid w:val="00C30927"/>
    <w:rsid w:val="00C30BDB"/>
    <w:rsid w:val="00C31621"/>
    <w:rsid w:val="00C31E20"/>
    <w:rsid w:val="00C3212D"/>
    <w:rsid w:val="00C32303"/>
    <w:rsid w:val="00C32428"/>
    <w:rsid w:val="00C3285D"/>
    <w:rsid w:val="00C330BB"/>
    <w:rsid w:val="00C333B8"/>
    <w:rsid w:val="00C3371D"/>
    <w:rsid w:val="00C33B4C"/>
    <w:rsid w:val="00C34307"/>
    <w:rsid w:val="00C3534B"/>
    <w:rsid w:val="00C3558F"/>
    <w:rsid w:val="00C363D2"/>
    <w:rsid w:val="00C36B6B"/>
    <w:rsid w:val="00C36CD0"/>
    <w:rsid w:val="00C37A37"/>
    <w:rsid w:val="00C37BB0"/>
    <w:rsid w:val="00C40564"/>
    <w:rsid w:val="00C40CCC"/>
    <w:rsid w:val="00C415E2"/>
    <w:rsid w:val="00C425C7"/>
    <w:rsid w:val="00C42AA8"/>
    <w:rsid w:val="00C42E06"/>
    <w:rsid w:val="00C434F9"/>
    <w:rsid w:val="00C44088"/>
    <w:rsid w:val="00C44531"/>
    <w:rsid w:val="00C44726"/>
    <w:rsid w:val="00C44C6E"/>
    <w:rsid w:val="00C450DD"/>
    <w:rsid w:val="00C461C7"/>
    <w:rsid w:val="00C471A8"/>
    <w:rsid w:val="00C503FD"/>
    <w:rsid w:val="00C5071F"/>
    <w:rsid w:val="00C50A7D"/>
    <w:rsid w:val="00C50D5C"/>
    <w:rsid w:val="00C50DF9"/>
    <w:rsid w:val="00C50E23"/>
    <w:rsid w:val="00C50F7F"/>
    <w:rsid w:val="00C53795"/>
    <w:rsid w:val="00C53EFC"/>
    <w:rsid w:val="00C54655"/>
    <w:rsid w:val="00C55933"/>
    <w:rsid w:val="00C56672"/>
    <w:rsid w:val="00C56FA0"/>
    <w:rsid w:val="00C572EC"/>
    <w:rsid w:val="00C57472"/>
    <w:rsid w:val="00C57BB6"/>
    <w:rsid w:val="00C60211"/>
    <w:rsid w:val="00C61765"/>
    <w:rsid w:val="00C61965"/>
    <w:rsid w:val="00C61B91"/>
    <w:rsid w:val="00C61C9B"/>
    <w:rsid w:val="00C62117"/>
    <w:rsid w:val="00C623EC"/>
    <w:rsid w:val="00C6340F"/>
    <w:rsid w:val="00C64178"/>
    <w:rsid w:val="00C657C2"/>
    <w:rsid w:val="00C658A6"/>
    <w:rsid w:val="00C66705"/>
    <w:rsid w:val="00C67027"/>
    <w:rsid w:val="00C6731E"/>
    <w:rsid w:val="00C673CF"/>
    <w:rsid w:val="00C677AA"/>
    <w:rsid w:val="00C67D18"/>
    <w:rsid w:val="00C7046B"/>
    <w:rsid w:val="00C70CCE"/>
    <w:rsid w:val="00C71C10"/>
    <w:rsid w:val="00C71E1B"/>
    <w:rsid w:val="00C71EC9"/>
    <w:rsid w:val="00C7327B"/>
    <w:rsid w:val="00C732B6"/>
    <w:rsid w:val="00C73824"/>
    <w:rsid w:val="00C746FE"/>
    <w:rsid w:val="00C76B91"/>
    <w:rsid w:val="00C77002"/>
    <w:rsid w:val="00C77365"/>
    <w:rsid w:val="00C774B4"/>
    <w:rsid w:val="00C8000D"/>
    <w:rsid w:val="00C80609"/>
    <w:rsid w:val="00C80BE8"/>
    <w:rsid w:val="00C814E3"/>
    <w:rsid w:val="00C854FE"/>
    <w:rsid w:val="00C8562E"/>
    <w:rsid w:val="00C85685"/>
    <w:rsid w:val="00C87184"/>
    <w:rsid w:val="00C9005C"/>
    <w:rsid w:val="00C9088D"/>
    <w:rsid w:val="00C9118D"/>
    <w:rsid w:val="00C9144E"/>
    <w:rsid w:val="00C91822"/>
    <w:rsid w:val="00C92287"/>
    <w:rsid w:val="00C923DD"/>
    <w:rsid w:val="00C924B6"/>
    <w:rsid w:val="00C92634"/>
    <w:rsid w:val="00C93D96"/>
    <w:rsid w:val="00C94DAB"/>
    <w:rsid w:val="00C94E4C"/>
    <w:rsid w:val="00C953F8"/>
    <w:rsid w:val="00C968B7"/>
    <w:rsid w:val="00C96BF7"/>
    <w:rsid w:val="00C96D43"/>
    <w:rsid w:val="00C96DCA"/>
    <w:rsid w:val="00C9706E"/>
    <w:rsid w:val="00C970E9"/>
    <w:rsid w:val="00C9794F"/>
    <w:rsid w:val="00CA009F"/>
    <w:rsid w:val="00CA079A"/>
    <w:rsid w:val="00CA0FB3"/>
    <w:rsid w:val="00CA15A9"/>
    <w:rsid w:val="00CA213C"/>
    <w:rsid w:val="00CA2FDE"/>
    <w:rsid w:val="00CA3160"/>
    <w:rsid w:val="00CA3A83"/>
    <w:rsid w:val="00CA3C12"/>
    <w:rsid w:val="00CA3F2C"/>
    <w:rsid w:val="00CA4DA1"/>
    <w:rsid w:val="00CA5124"/>
    <w:rsid w:val="00CA5D32"/>
    <w:rsid w:val="00CA5EC3"/>
    <w:rsid w:val="00CA6AD6"/>
    <w:rsid w:val="00CB1330"/>
    <w:rsid w:val="00CB2C00"/>
    <w:rsid w:val="00CB2C84"/>
    <w:rsid w:val="00CB35CA"/>
    <w:rsid w:val="00CB3D39"/>
    <w:rsid w:val="00CB4709"/>
    <w:rsid w:val="00CB494B"/>
    <w:rsid w:val="00CB4DCB"/>
    <w:rsid w:val="00CB511F"/>
    <w:rsid w:val="00CB5D96"/>
    <w:rsid w:val="00CB5E66"/>
    <w:rsid w:val="00CB5E89"/>
    <w:rsid w:val="00CB60F3"/>
    <w:rsid w:val="00CB6113"/>
    <w:rsid w:val="00CB632C"/>
    <w:rsid w:val="00CC0647"/>
    <w:rsid w:val="00CC1991"/>
    <w:rsid w:val="00CC230F"/>
    <w:rsid w:val="00CC264C"/>
    <w:rsid w:val="00CC2B82"/>
    <w:rsid w:val="00CC4CBF"/>
    <w:rsid w:val="00CC68C9"/>
    <w:rsid w:val="00CC690D"/>
    <w:rsid w:val="00CC6BB5"/>
    <w:rsid w:val="00CC79FD"/>
    <w:rsid w:val="00CD007A"/>
    <w:rsid w:val="00CD01B4"/>
    <w:rsid w:val="00CD0606"/>
    <w:rsid w:val="00CD1726"/>
    <w:rsid w:val="00CD19AE"/>
    <w:rsid w:val="00CD27B9"/>
    <w:rsid w:val="00CD2E8C"/>
    <w:rsid w:val="00CD3942"/>
    <w:rsid w:val="00CD3C13"/>
    <w:rsid w:val="00CD3DB2"/>
    <w:rsid w:val="00CD5441"/>
    <w:rsid w:val="00CD5784"/>
    <w:rsid w:val="00CD5D73"/>
    <w:rsid w:val="00CD6180"/>
    <w:rsid w:val="00CD6214"/>
    <w:rsid w:val="00CD6FD0"/>
    <w:rsid w:val="00CD7393"/>
    <w:rsid w:val="00CD7FF5"/>
    <w:rsid w:val="00CE12AC"/>
    <w:rsid w:val="00CE2444"/>
    <w:rsid w:val="00CE2A16"/>
    <w:rsid w:val="00CE2AC3"/>
    <w:rsid w:val="00CE3297"/>
    <w:rsid w:val="00CE32F8"/>
    <w:rsid w:val="00CE381D"/>
    <w:rsid w:val="00CE3A7D"/>
    <w:rsid w:val="00CE40D9"/>
    <w:rsid w:val="00CE477E"/>
    <w:rsid w:val="00CE4975"/>
    <w:rsid w:val="00CE4BDB"/>
    <w:rsid w:val="00CE4EDE"/>
    <w:rsid w:val="00CE5778"/>
    <w:rsid w:val="00CE5A79"/>
    <w:rsid w:val="00CE5DB1"/>
    <w:rsid w:val="00CE6954"/>
    <w:rsid w:val="00CE6E32"/>
    <w:rsid w:val="00CE7132"/>
    <w:rsid w:val="00CE72ED"/>
    <w:rsid w:val="00CE7590"/>
    <w:rsid w:val="00CE77ED"/>
    <w:rsid w:val="00CF07B4"/>
    <w:rsid w:val="00CF1BF4"/>
    <w:rsid w:val="00CF235F"/>
    <w:rsid w:val="00CF253D"/>
    <w:rsid w:val="00CF36A2"/>
    <w:rsid w:val="00CF4397"/>
    <w:rsid w:val="00CF47F5"/>
    <w:rsid w:val="00CF49DF"/>
    <w:rsid w:val="00CF4A12"/>
    <w:rsid w:val="00CF4A40"/>
    <w:rsid w:val="00CF4B96"/>
    <w:rsid w:val="00CF4BDA"/>
    <w:rsid w:val="00CF4E2F"/>
    <w:rsid w:val="00CF5105"/>
    <w:rsid w:val="00CF6DE3"/>
    <w:rsid w:val="00CF768E"/>
    <w:rsid w:val="00D004A8"/>
    <w:rsid w:val="00D02858"/>
    <w:rsid w:val="00D02CD5"/>
    <w:rsid w:val="00D031B8"/>
    <w:rsid w:val="00D0331A"/>
    <w:rsid w:val="00D03551"/>
    <w:rsid w:val="00D03F49"/>
    <w:rsid w:val="00D0429D"/>
    <w:rsid w:val="00D05327"/>
    <w:rsid w:val="00D05C9E"/>
    <w:rsid w:val="00D064EE"/>
    <w:rsid w:val="00D06D64"/>
    <w:rsid w:val="00D06DCA"/>
    <w:rsid w:val="00D07F5D"/>
    <w:rsid w:val="00D10126"/>
    <w:rsid w:val="00D11898"/>
    <w:rsid w:val="00D1217B"/>
    <w:rsid w:val="00D12880"/>
    <w:rsid w:val="00D12D42"/>
    <w:rsid w:val="00D13756"/>
    <w:rsid w:val="00D14871"/>
    <w:rsid w:val="00D148EF"/>
    <w:rsid w:val="00D14D7B"/>
    <w:rsid w:val="00D14E78"/>
    <w:rsid w:val="00D14EF4"/>
    <w:rsid w:val="00D15434"/>
    <w:rsid w:val="00D15479"/>
    <w:rsid w:val="00D158FF"/>
    <w:rsid w:val="00D16C3C"/>
    <w:rsid w:val="00D17197"/>
    <w:rsid w:val="00D17F93"/>
    <w:rsid w:val="00D2023E"/>
    <w:rsid w:val="00D2108B"/>
    <w:rsid w:val="00D21261"/>
    <w:rsid w:val="00D21A45"/>
    <w:rsid w:val="00D234FE"/>
    <w:rsid w:val="00D248FA"/>
    <w:rsid w:val="00D257E1"/>
    <w:rsid w:val="00D25A41"/>
    <w:rsid w:val="00D25F83"/>
    <w:rsid w:val="00D267BA"/>
    <w:rsid w:val="00D26898"/>
    <w:rsid w:val="00D26B53"/>
    <w:rsid w:val="00D27315"/>
    <w:rsid w:val="00D27749"/>
    <w:rsid w:val="00D27762"/>
    <w:rsid w:val="00D27AD7"/>
    <w:rsid w:val="00D27AFA"/>
    <w:rsid w:val="00D30231"/>
    <w:rsid w:val="00D3053A"/>
    <w:rsid w:val="00D310A7"/>
    <w:rsid w:val="00D3123C"/>
    <w:rsid w:val="00D31412"/>
    <w:rsid w:val="00D3164F"/>
    <w:rsid w:val="00D31857"/>
    <w:rsid w:val="00D319C6"/>
    <w:rsid w:val="00D31CC1"/>
    <w:rsid w:val="00D31D07"/>
    <w:rsid w:val="00D31FB6"/>
    <w:rsid w:val="00D32395"/>
    <w:rsid w:val="00D3247B"/>
    <w:rsid w:val="00D32888"/>
    <w:rsid w:val="00D328E7"/>
    <w:rsid w:val="00D329F7"/>
    <w:rsid w:val="00D32ADD"/>
    <w:rsid w:val="00D32B61"/>
    <w:rsid w:val="00D33120"/>
    <w:rsid w:val="00D3342B"/>
    <w:rsid w:val="00D336E6"/>
    <w:rsid w:val="00D359A6"/>
    <w:rsid w:val="00D366E8"/>
    <w:rsid w:val="00D36C97"/>
    <w:rsid w:val="00D370FA"/>
    <w:rsid w:val="00D40842"/>
    <w:rsid w:val="00D40C9A"/>
    <w:rsid w:val="00D40DB4"/>
    <w:rsid w:val="00D420D5"/>
    <w:rsid w:val="00D428FA"/>
    <w:rsid w:val="00D431E8"/>
    <w:rsid w:val="00D43204"/>
    <w:rsid w:val="00D4336D"/>
    <w:rsid w:val="00D436FB"/>
    <w:rsid w:val="00D44938"/>
    <w:rsid w:val="00D44AE2"/>
    <w:rsid w:val="00D511C4"/>
    <w:rsid w:val="00D514EB"/>
    <w:rsid w:val="00D53123"/>
    <w:rsid w:val="00D537BD"/>
    <w:rsid w:val="00D53E52"/>
    <w:rsid w:val="00D53FAF"/>
    <w:rsid w:val="00D54106"/>
    <w:rsid w:val="00D543C1"/>
    <w:rsid w:val="00D54BC4"/>
    <w:rsid w:val="00D54EFD"/>
    <w:rsid w:val="00D55492"/>
    <w:rsid w:val="00D556CF"/>
    <w:rsid w:val="00D56356"/>
    <w:rsid w:val="00D569AC"/>
    <w:rsid w:val="00D56CB3"/>
    <w:rsid w:val="00D573C1"/>
    <w:rsid w:val="00D57740"/>
    <w:rsid w:val="00D577BC"/>
    <w:rsid w:val="00D60457"/>
    <w:rsid w:val="00D6047E"/>
    <w:rsid w:val="00D61435"/>
    <w:rsid w:val="00D617BB"/>
    <w:rsid w:val="00D61C41"/>
    <w:rsid w:val="00D65196"/>
    <w:rsid w:val="00D66137"/>
    <w:rsid w:val="00D6629E"/>
    <w:rsid w:val="00D6672F"/>
    <w:rsid w:val="00D667CB"/>
    <w:rsid w:val="00D705CF"/>
    <w:rsid w:val="00D71741"/>
    <w:rsid w:val="00D71A1B"/>
    <w:rsid w:val="00D72BA8"/>
    <w:rsid w:val="00D73C07"/>
    <w:rsid w:val="00D747CA"/>
    <w:rsid w:val="00D7628F"/>
    <w:rsid w:val="00D766B5"/>
    <w:rsid w:val="00D773CD"/>
    <w:rsid w:val="00D77A15"/>
    <w:rsid w:val="00D800C3"/>
    <w:rsid w:val="00D80307"/>
    <w:rsid w:val="00D8040E"/>
    <w:rsid w:val="00D813FD"/>
    <w:rsid w:val="00D815E9"/>
    <w:rsid w:val="00D81909"/>
    <w:rsid w:val="00D823F9"/>
    <w:rsid w:val="00D82B49"/>
    <w:rsid w:val="00D8303A"/>
    <w:rsid w:val="00D83112"/>
    <w:rsid w:val="00D83398"/>
    <w:rsid w:val="00D83DF0"/>
    <w:rsid w:val="00D842C1"/>
    <w:rsid w:val="00D84597"/>
    <w:rsid w:val="00D84F9E"/>
    <w:rsid w:val="00D85882"/>
    <w:rsid w:val="00D85E12"/>
    <w:rsid w:val="00D86463"/>
    <w:rsid w:val="00D8681A"/>
    <w:rsid w:val="00D87EAF"/>
    <w:rsid w:val="00D90407"/>
    <w:rsid w:val="00D9108B"/>
    <w:rsid w:val="00D910E9"/>
    <w:rsid w:val="00D943AB"/>
    <w:rsid w:val="00D944B8"/>
    <w:rsid w:val="00D95CD0"/>
    <w:rsid w:val="00D95FBA"/>
    <w:rsid w:val="00D961BA"/>
    <w:rsid w:val="00D962FE"/>
    <w:rsid w:val="00D96834"/>
    <w:rsid w:val="00D96E1E"/>
    <w:rsid w:val="00D97350"/>
    <w:rsid w:val="00DA019D"/>
    <w:rsid w:val="00DA0F1B"/>
    <w:rsid w:val="00DA1A3B"/>
    <w:rsid w:val="00DA1CFC"/>
    <w:rsid w:val="00DA1FFF"/>
    <w:rsid w:val="00DA2619"/>
    <w:rsid w:val="00DA3BF5"/>
    <w:rsid w:val="00DA3D35"/>
    <w:rsid w:val="00DA3E32"/>
    <w:rsid w:val="00DA3FAE"/>
    <w:rsid w:val="00DA4344"/>
    <w:rsid w:val="00DA458D"/>
    <w:rsid w:val="00DA5985"/>
    <w:rsid w:val="00DA6211"/>
    <w:rsid w:val="00DA62A0"/>
    <w:rsid w:val="00DA70C4"/>
    <w:rsid w:val="00DA7498"/>
    <w:rsid w:val="00DB02F6"/>
    <w:rsid w:val="00DB04B6"/>
    <w:rsid w:val="00DB077B"/>
    <w:rsid w:val="00DB239A"/>
    <w:rsid w:val="00DB3315"/>
    <w:rsid w:val="00DB3BA5"/>
    <w:rsid w:val="00DB3D6B"/>
    <w:rsid w:val="00DB45F6"/>
    <w:rsid w:val="00DB489D"/>
    <w:rsid w:val="00DB4A20"/>
    <w:rsid w:val="00DB4BB9"/>
    <w:rsid w:val="00DB4C29"/>
    <w:rsid w:val="00DB500A"/>
    <w:rsid w:val="00DB6517"/>
    <w:rsid w:val="00DB6E40"/>
    <w:rsid w:val="00DC0917"/>
    <w:rsid w:val="00DC0C12"/>
    <w:rsid w:val="00DC15B6"/>
    <w:rsid w:val="00DC1E50"/>
    <w:rsid w:val="00DC1EC7"/>
    <w:rsid w:val="00DC24C4"/>
    <w:rsid w:val="00DC2C4D"/>
    <w:rsid w:val="00DC3448"/>
    <w:rsid w:val="00DC41C8"/>
    <w:rsid w:val="00DC42EF"/>
    <w:rsid w:val="00DC524B"/>
    <w:rsid w:val="00DC5386"/>
    <w:rsid w:val="00DC5F90"/>
    <w:rsid w:val="00DC601B"/>
    <w:rsid w:val="00DC6766"/>
    <w:rsid w:val="00DC6AEE"/>
    <w:rsid w:val="00DD02EE"/>
    <w:rsid w:val="00DD0461"/>
    <w:rsid w:val="00DD05F1"/>
    <w:rsid w:val="00DD09C0"/>
    <w:rsid w:val="00DD0B5E"/>
    <w:rsid w:val="00DD11D2"/>
    <w:rsid w:val="00DD19F4"/>
    <w:rsid w:val="00DD1AE6"/>
    <w:rsid w:val="00DD2AD3"/>
    <w:rsid w:val="00DD3923"/>
    <w:rsid w:val="00DD394B"/>
    <w:rsid w:val="00DD407F"/>
    <w:rsid w:val="00DD4967"/>
    <w:rsid w:val="00DD5192"/>
    <w:rsid w:val="00DD5CB8"/>
    <w:rsid w:val="00DD7A0C"/>
    <w:rsid w:val="00DD7DC7"/>
    <w:rsid w:val="00DD7E0B"/>
    <w:rsid w:val="00DE105A"/>
    <w:rsid w:val="00DE11B3"/>
    <w:rsid w:val="00DE1584"/>
    <w:rsid w:val="00DE158A"/>
    <w:rsid w:val="00DE16F2"/>
    <w:rsid w:val="00DE19F6"/>
    <w:rsid w:val="00DE1D86"/>
    <w:rsid w:val="00DE252B"/>
    <w:rsid w:val="00DE274B"/>
    <w:rsid w:val="00DE2A54"/>
    <w:rsid w:val="00DE2B1F"/>
    <w:rsid w:val="00DE2C29"/>
    <w:rsid w:val="00DE2CDB"/>
    <w:rsid w:val="00DE3783"/>
    <w:rsid w:val="00DE464C"/>
    <w:rsid w:val="00DE50BF"/>
    <w:rsid w:val="00DE557A"/>
    <w:rsid w:val="00DE5B2A"/>
    <w:rsid w:val="00DE5BFB"/>
    <w:rsid w:val="00DE652E"/>
    <w:rsid w:val="00DE7FEB"/>
    <w:rsid w:val="00DF0304"/>
    <w:rsid w:val="00DF0DDB"/>
    <w:rsid w:val="00DF136C"/>
    <w:rsid w:val="00DF14AF"/>
    <w:rsid w:val="00DF176D"/>
    <w:rsid w:val="00DF253E"/>
    <w:rsid w:val="00DF2B00"/>
    <w:rsid w:val="00DF3011"/>
    <w:rsid w:val="00DF3383"/>
    <w:rsid w:val="00DF3B99"/>
    <w:rsid w:val="00DF4442"/>
    <w:rsid w:val="00DF49A7"/>
    <w:rsid w:val="00DF4A21"/>
    <w:rsid w:val="00DF5578"/>
    <w:rsid w:val="00DF55E5"/>
    <w:rsid w:val="00DF5D54"/>
    <w:rsid w:val="00DF63B6"/>
    <w:rsid w:val="00DF6667"/>
    <w:rsid w:val="00DF7240"/>
    <w:rsid w:val="00DF7244"/>
    <w:rsid w:val="00DF7277"/>
    <w:rsid w:val="00DF7D17"/>
    <w:rsid w:val="00E01792"/>
    <w:rsid w:val="00E0248C"/>
    <w:rsid w:val="00E026D9"/>
    <w:rsid w:val="00E027D4"/>
    <w:rsid w:val="00E02F61"/>
    <w:rsid w:val="00E04400"/>
    <w:rsid w:val="00E05E4F"/>
    <w:rsid w:val="00E0650C"/>
    <w:rsid w:val="00E06A18"/>
    <w:rsid w:val="00E06DA8"/>
    <w:rsid w:val="00E07B08"/>
    <w:rsid w:val="00E09105"/>
    <w:rsid w:val="00E10374"/>
    <w:rsid w:val="00E10EDB"/>
    <w:rsid w:val="00E1118A"/>
    <w:rsid w:val="00E125C7"/>
    <w:rsid w:val="00E127D8"/>
    <w:rsid w:val="00E12CCA"/>
    <w:rsid w:val="00E13704"/>
    <w:rsid w:val="00E13775"/>
    <w:rsid w:val="00E13891"/>
    <w:rsid w:val="00E13C4C"/>
    <w:rsid w:val="00E14A79"/>
    <w:rsid w:val="00E150DF"/>
    <w:rsid w:val="00E15FDA"/>
    <w:rsid w:val="00E1600D"/>
    <w:rsid w:val="00E17133"/>
    <w:rsid w:val="00E17AD0"/>
    <w:rsid w:val="00E17E56"/>
    <w:rsid w:val="00E17F33"/>
    <w:rsid w:val="00E20CFB"/>
    <w:rsid w:val="00E218E6"/>
    <w:rsid w:val="00E223B4"/>
    <w:rsid w:val="00E23B85"/>
    <w:rsid w:val="00E23E23"/>
    <w:rsid w:val="00E24226"/>
    <w:rsid w:val="00E24C1B"/>
    <w:rsid w:val="00E256CD"/>
    <w:rsid w:val="00E25CB3"/>
    <w:rsid w:val="00E26806"/>
    <w:rsid w:val="00E2710E"/>
    <w:rsid w:val="00E27C87"/>
    <w:rsid w:val="00E308FB"/>
    <w:rsid w:val="00E3203B"/>
    <w:rsid w:val="00E322A9"/>
    <w:rsid w:val="00E32840"/>
    <w:rsid w:val="00E32C47"/>
    <w:rsid w:val="00E3309B"/>
    <w:rsid w:val="00E33123"/>
    <w:rsid w:val="00E3330E"/>
    <w:rsid w:val="00E35EF9"/>
    <w:rsid w:val="00E37395"/>
    <w:rsid w:val="00E405F7"/>
    <w:rsid w:val="00E407FB"/>
    <w:rsid w:val="00E408D2"/>
    <w:rsid w:val="00E40CD8"/>
    <w:rsid w:val="00E40D2A"/>
    <w:rsid w:val="00E41284"/>
    <w:rsid w:val="00E4177C"/>
    <w:rsid w:val="00E418C1"/>
    <w:rsid w:val="00E41DB6"/>
    <w:rsid w:val="00E42640"/>
    <w:rsid w:val="00E44753"/>
    <w:rsid w:val="00E451C0"/>
    <w:rsid w:val="00E45D6D"/>
    <w:rsid w:val="00E4662B"/>
    <w:rsid w:val="00E46769"/>
    <w:rsid w:val="00E47010"/>
    <w:rsid w:val="00E50256"/>
    <w:rsid w:val="00E50822"/>
    <w:rsid w:val="00E50A1E"/>
    <w:rsid w:val="00E51BF1"/>
    <w:rsid w:val="00E51FD9"/>
    <w:rsid w:val="00E52A91"/>
    <w:rsid w:val="00E52F75"/>
    <w:rsid w:val="00E53472"/>
    <w:rsid w:val="00E53C9B"/>
    <w:rsid w:val="00E53F38"/>
    <w:rsid w:val="00E53FA3"/>
    <w:rsid w:val="00E5428D"/>
    <w:rsid w:val="00E54303"/>
    <w:rsid w:val="00E54C32"/>
    <w:rsid w:val="00E563EF"/>
    <w:rsid w:val="00E56A1E"/>
    <w:rsid w:val="00E56ECC"/>
    <w:rsid w:val="00E57139"/>
    <w:rsid w:val="00E57406"/>
    <w:rsid w:val="00E601A9"/>
    <w:rsid w:val="00E611AD"/>
    <w:rsid w:val="00E61535"/>
    <w:rsid w:val="00E617E5"/>
    <w:rsid w:val="00E61D78"/>
    <w:rsid w:val="00E621EB"/>
    <w:rsid w:val="00E635F2"/>
    <w:rsid w:val="00E63796"/>
    <w:rsid w:val="00E63A2E"/>
    <w:rsid w:val="00E63A45"/>
    <w:rsid w:val="00E63F13"/>
    <w:rsid w:val="00E644B6"/>
    <w:rsid w:val="00E64BEE"/>
    <w:rsid w:val="00E64DDC"/>
    <w:rsid w:val="00E64EA3"/>
    <w:rsid w:val="00E654FE"/>
    <w:rsid w:val="00E65CCE"/>
    <w:rsid w:val="00E66D08"/>
    <w:rsid w:val="00E67428"/>
    <w:rsid w:val="00E70C17"/>
    <w:rsid w:val="00E714C0"/>
    <w:rsid w:val="00E71C76"/>
    <w:rsid w:val="00E71F3E"/>
    <w:rsid w:val="00E747DA"/>
    <w:rsid w:val="00E7503D"/>
    <w:rsid w:val="00E75B9A"/>
    <w:rsid w:val="00E75FDA"/>
    <w:rsid w:val="00E760A1"/>
    <w:rsid w:val="00E77112"/>
    <w:rsid w:val="00E81250"/>
    <w:rsid w:val="00E8163B"/>
    <w:rsid w:val="00E81869"/>
    <w:rsid w:val="00E81A28"/>
    <w:rsid w:val="00E81B63"/>
    <w:rsid w:val="00E81B68"/>
    <w:rsid w:val="00E829E9"/>
    <w:rsid w:val="00E82A91"/>
    <w:rsid w:val="00E843F4"/>
    <w:rsid w:val="00E84746"/>
    <w:rsid w:val="00E84791"/>
    <w:rsid w:val="00E85CF4"/>
    <w:rsid w:val="00E8604F"/>
    <w:rsid w:val="00E8634B"/>
    <w:rsid w:val="00E86C59"/>
    <w:rsid w:val="00E87FC0"/>
    <w:rsid w:val="00E90069"/>
    <w:rsid w:val="00E9146C"/>
    <w:rsid w:val="00E92FA8"/>
    <w:rsid w:val="00E931A5"/>
    <w:rsid w:val="00E9380B"/>
    <w:rsid w:val="00E93B72"/>
    <w:rsid w:val="00E9463B"/>
    <w:rsid w:val="00E9464F"/>
    <w:rsid w:val="00E95375"/>
    <w:rsid w:val="00E957FF"/>
    <w:rsid w:val="00E95ED6"/>
    <w:rsid w:val="00E9618A"/>
    <w:rsid w:val="00E9757A"/>
    <w:rsid w:val="00EA14E5"/>
    <w:rsid w:val="00EA1586"/>
    <w:rsid w:val="00EA233F"/>
    <w:rsid w:val="00EA260E"/>
    <w:rsid w:val="00EA46CD"/>
    <w:rsid w:val="00EA4C60"/>
    <w:rsid w:val="00EA5544"/>
    <w:rsid w:val="00EA5C2B"/>
    <w:rsid w:val="00EA63EC"/>
    <w:rsid w:val="00EA6839"/>
    <w:rsid w:val="00EA6AC9"/>
    <w:rsid w:val="00EA75BE"/>
    <w:rsid w:val="00EB11E4"/>
    <w:rsid w:val="00EB1E39"/>
    <w:rsid w:val="00EB224B"/>
    <w:rsid w:val="00EB2F55"/>
    <w:rsid w:val="00EB4AFC"/>
    <w:rsid w:val="00EB53E7"/>
    <w:rsid w:val="00EB6F6D"/>
    <w:rsid w:val="00EB765E"/>
    <w:rsid w:val="00EB7B6E"/>
    <w:rsid w:val="00EB7C38"/>
    <w:rsid w:val="00EB7DBD"/>
    <w:rsid w:val="00EC09BE"/>
    <w:rsid w:val="00EC0F14"/>
    <w:rsid w:val="00EC1457"/>
    <w:rsid w:val="00EC186C"/>
    <w:rsid w:val="00EC1BE2"/>
    <w:rsid w:val="00EC1CAA"/>
    <w:rsid w:val="00EC1CB3"/>
    <w:rsid w:val="00EC24F7"/>
    <w:rsid w:val="00EC2525"/>
    <w:rsid w:val="00EC2D56"/>
    <w:rsid w:val="00EC3AEC"/>
    <w:rsid w:val="00EC3E42"/>
    <w:rsid w:val="00EC40ED"/>
    <w:rsid w:val="00EC49F4"/>
    <w:rsid w:val="00EC5367"/>
    <w:rsid w:val="00EC5FED"/>
    <w:rsid w:val="00EC6062"/>
    <w:rsid w:val="00EC6DC1"/>
    <w:rsid w:val="00EC6E7E"/>
    <w:rsid w:val="00EC7148"/>
    <w:rsid w:val="00EC7176"/>
    <w:rsid w:val="00ED0627"/>
    <w:rsid w:val="00ED142E"/>
    <w:rsid w:val="00ED1451"/>
    <w:rsid w:val="00ED1EDC"/>
    <w:rsid w:val="00ED1F3F"/>
    <w:rsid w:val="00ED23C9"/>
    <w:rsid w:val="00ED26B3"/>
    <w:rsid w:val="00ED3157"/>
    <w:rsid w:val="00ED35AA"/>
    <w:rsid w:val="00ED388B"/>
    <w:rsid w:val="00ED3B23"/>
    <w:rsid w:val="00ED3C99"/>
    <w:rsid w:val="00ED5A11"/>
    <w:rsid w:val="00ED5B76"/>
    <w:rsid w:val="00ED5ED8"/>
    <w:rsid w:val="00ED6923"/>
    <w:rsid w:val="00EE0042"/>
    <w:rsid w:val="00EE0317"/>
    <w:rsid w:val="00EE10FE"/>
    <w:rsid w:val="00EE111F"/>
    <w:rsid w:val="00EE16DF"/>
    <w:rsid w:val="00EE16E3"/>
    <w:rsid w:val="00EE1DA9"/>
    <w:rsid w:val="00EE2520"/>
    <w:rsid w:val="00EE2970"/>
    <w:rsid w:val="00EE2E84"/>
    <w:rsid w:val="00EE319E"/>
    <w:rsid w:val="00EE38BC"/>
    <w:rsid w:val="00EE3A24"/>
    <w:rsid w:val="00EE458D"/>
    <w:rsid w:val="00EE46B5"/>
    <w:rsid w:val="00EE47A1"/>
    <w:rsid w:val="00EE5229"/>
    <w:rsid w:val="00EE5B4C"/>
    <w:rsid w:val="00EE6C92"/>
    <w:rsid w:val="00EE6F10"/>
    <w:rsid w:val="00EE724D"/>
    <w:rsid w:val="00EF0628"/>
    <w:rsid w:val="00EF0B81"/>
    <w:rsid w:val="00EF14F3"/>
    <w:rsid w:val="00EF1631"/>
    <w:rsid w:val="00EF2A10"/>
    <w:rsid w:val="00EF3127"/>
    <w:rsid w:val="00EF46E1"/>
    <w:rsid w:val="00EF4808"/>
    <w:rsid w:val="00EF5727"/>
    <w:rsid w:val="00EF5F03"/>
    <w:rsid w:val="00EF6325"/>
    <w:rsid w:val="00EF6B7E"/>
    <w:rsid w:val="00EF6BD8"/>
    <w:rsid w:val="00EF727A"/>
    <w:rsid w:val="00F0043E"/>
    <w:rsid w:val="00F00845"/>
    <w:rsid w:val="00F012E1"/>
    <w:rsid w:val="00F0136D"/>
    <w:rsid w:val="00F01A7C"/>
    <w:rsid w:val="00F03AB7"/>
    <w:rsid w:val="00F03FD4"/>
    <w:rsid w:val="00F0431B"/>
    <w:rsid w:val="00F04912"/>
    <w:rsid w:val="00F04DB0"/>
    <w:rsid w:val="00F0517B"/>
    <w:rsid w:val="00F0542E"/>
    <w:rsid w:val="00F05F9B"/>
    <w:rsid w:val="00F06232"/>
    <w:rsid w:val="00F06921"/>
    <w:rsid w:val="00F069C7"/>
    <w:rsid w:val="00F07221"/>
    <w:rsid w:val="00F11C49"/>
    <w:rsid w:val="00F12388"/>
    <w:rsid w:val="00F126C1"/>
    <w:rsid w:val="00F129BD"/>
    <w:rsid w:val="00F129C3"/>
    <w:rsid w:val="00F13F9A"/>
    <w:rsid w:val="00F1436D"/>
    <w:rsid w:val="00F1445C"/>
    <w:rsid w:val="00F14F07"/>
    <w:rsid w:val="00F14FBA"/>
    <w:rsid w:val="00F15195"/>
    <w:rsid w:val="00F1522C"/>
    <w:rsid w:val="00F15262"/>
    <w:rsid w:val="00F1555E"/>
    <w:rsid w:val="00F15731"/>
    <w:rsid w:val="00F15DB7"/>
    <w:rsid w:val="00F15EF6"/>
    <w:rsid w:val="00F1617D"/>
    <w:rsid w:val="00F16699"/>
    <w:rsid w:val="00F1701A"/>
    <w:rsid w:val="00F170E0"/>
    <w:rsid w:val="00F1718B"/>
    <w:rsid w:val="00F17263"/>
    <w:rsid w:val="00F17889"/>
    <w:rsid w:val="00F201EA"/>
    <w:rsid w:val="00F20651"/>
    <w:rsid w:val="00F20710"/>
    <w:rsid w:val="00F2087A"/>
    <w:rsid w:val="00F20EE8"/>
    <w:rsid w:val="00F21005"/>
    <w:rsid w:val="00F213E8"/>
    <w:rsid w:val="00F21485"/>
    <w:rsid w:val="00F21DAA"/>
    <w:rsid w:val="00F229C3"/>
    <w:rsid w:val="00F22A0F"/>
    <w:rsid w:val="00F23093"/>
    <w:rsid w:val="00F24AF9"/>
    <w:rsid w:val="00F25B04"/>
    <w:rsid w:val="00F26A33"/>
    <w:rsid w:val="00F27270"/>
    <w:rsid w:val="00F279EF"/>
    <w:rsid w:val="00F27C60"/>
    <w:rsid w:val="00F3004C"/>
    <w:rsid w:val="00F3011C"/>
    <w:rsid w:val="00F3054A"/>
    <w:rsid w:val="00F3079C"/>
    <w:rsid w:val="00F30C83"/>
    <w:rsid w:val="00F315CA"/>
    <w:rsid w:val="00F3169C"/>
    <w:rsid w:val="00F317FC"/>
    <w:rsid w:val="00F31DBD"/>
    <w:rsid w:val="00F33C12"/>
    <w:rsid w:val="00F33F62"/>
    <w:rsid w:val="00F34BC2"/>
    <w:rsid w:val="00F34CEA"/>
    <w:rsid w:val="00F357C2"/>
    <w:rsid w:val="00F35BA6"/>
    <w:rsid w:val="00F35FCF"/>
    <w:rsid w:val="00F363E1"/>
    <w:rsid w:val="00F3685F"/>
    <w:rsid w:val="00F3779A"/>
    <w:rsid w:val="00F40313"/>
    <w:rsid w:val="00F422AA"/>
    <w:rsid w:val="00F425B6"/>
    <w:rsid w:val="00F4260D"/>
    <w:rsid w:val="00F42D47"/>
    <w:rsid w:val="00F437C7"/>
    <w:rsid w:val="00F44869"/>
    <w:rsid w:val="00F4534C"/>
    <w:rsid w:val="00F45E51"/>
    <w:rsid w:val="00F46DE9"/>
    <w:rsid w:val="00F47151"/>
    <w:rsid w:val="00F507EA"/>
    <w:rsid w:val="00F51246"/>
    <w:rsid w:val="00F51519"/>
    <w:rsid w:val="00F51D6C"/>
    <w:rsid w:val="00F5428D"/>
    <w:rsid w:val="00F5491D"/>
    <w:rsid w:val="00F55AAC"/>
    <w:rsid w:val="00F55EBB"/>
    <w:rsid w:val="00F562B3"/>
    <w:rsid w:val="00F566D8"/>
    <w:rsid w:val="00F56A1C"/>
    <w:rsid w:val="00F56B59"/>
    <w:rsid w:val="00F5720E"/>
    <w:rsid w:val="00F572B1"/>
    <w:rsid w:val="00F57A60"/>
    <w:rsid w:val="00F57FD2"/>
    <w:rsid w:val="00F60EBA"/>
    <w:rsid w:val="00F61055"/>
    <w:rsid w:val="00F6464D"/>
    <w:rsid w:val="00F64A57"/>
    <w:rsid w:val="00F653B6"/>
    <w:rsid w:val="00F658D9"/>
    <w:rsid w:val="00F6592E"/>
    <w:rsid w:val="00F65DEC"/>
    <w:rsid w:val="00F666E4"/>
    <w:rsid w:val="00F70BF0"/>
    <w:rsid w:val="00F710C3"/>
    <w:rsid w:val="00F71D70"/>
    <w:rsid w:val="00F722FF"/>
    <w:rsid w:val="00F7239F"/>
    <w:rsid w:val="00F72903"/>
    <w:rsid w:val="00F7306E"/>
    <w:rsid w:val="00F730CD"/>
    <w:rsid w:val="00F7340A"/>
    <w:rsid w:val="00F738E9"/>
    <w:rsid w:val="00F73C4E"/>
    <w:rsid w:val="00F73E8D"/>
    <w:rsid w:val="00F7541E"/>
    <w:rsid w:val="00F778C7"/>
    <w:rsid w:val="00F77DA8"/>
    <w:rsid w:val="00F807FB"/>
    <w:rsid w:val="00F80CBC"/>
    <w:rsid w:val="00F80D61"/>
    <w:rsid w:val="00F817F4"/>
    <w:rsid w:val="00F83930"/>
    <w:rsid w:val="00F840B3"/>
    <w:rsid w:val="00F8528B"/>
    <w:rsid w:val="00F85A76"/>
    <w:rsid w:val="00F85DD9"/>
    <w:rsid w:val="00F86773"/>
    <w:rsid w:val="00F86AC9"/>
    <w:rsid w:val="00F8703F"/>
    <w:rsid w:val="00F87BCD"/>
    <w:rsid w:val="00F90568"/>
    <w:rsid w:val="00F9097D"/>
    <w:rsid w:val="00F91087"/>
    <w:rsid w:val="00F913C3"/>
    <w:rsid w:val="00F92478"/>
    <w:rsid w:val="00F9262A"/>
    <w:rsid w:val="00F92847"/>
    <w:rsid w:val="00F929A9"/>
    <w:rsid w:val="00F92D37"/>
    <w:rsid w:val="00F93966"/>
    <w:rsid w:val="00F93BD5"/>
    <w:rsid w:val="00F94871"/>
    <w:rsid w:val="00F9581E"/>
    <w:rsid w:val="00F971C1"/>
    <w:rsid w:val="00F97A71"/>
    <w:rsid w:val="00FA0409"/>
    <w:rsid w:val="00FA15CF"/>
    <w:rsid w:val="00FA1803"/>
    <w:rsid w:val="00FA2C74"/>
    <w:rsid w:val="00FA2EBC"/>
    <w:rsid w:val="00FA3662"/>
    <w:rsid w:val="00FA5060"/>
    <w:rsid w:val="00FA5071"/>
    <w:rsid w:val="00FA510C"/>
    <w:rsid w:val="00FA518F"/>
    <w:rsid w:val="00FA5CAC"/>
    <w:rsid w:val="00FA6440"/>
    <w:rsid w:val="00FA697C"/>
    <w:rsid w:val="00FA6CE0"/>
    <w:rsid w:val="00FA6F5C"/>
    <w:rsid w:val="00FA729A"/>
    <w:rsid w:val="00FA7327"/>
    <w:rsid w:val="00FA7B17"/>
    <w:rsid w:val="00FA7FBF"/>
    <w:rsid w:val="00FB08EA"/>
    <w:rsid w:val="00FB0B58"/>
    <w:rsid w:val="00FB0DE0"/>
    <w:rsid w:val="00FB1033"/>
    <w:rsid w:val="00FB1598"/>
    <w:rsid w:val="00FB1BC1"/>
    <w:rsid w:val="00FB37C0"/>
    <w:rsid w:val="00FB394E"/>
    <w:rsid w:val="00FB3E1E"/>
    <w:rsid w:val="00FB45E6"/>
    <w:rsid w:val="00FB476E"/>
    <w:rsid w:val="00FB480B"/>
    <w:rsid w:val="00FB4812"/>
    <w:rsid w:val="00FB63D6"/>
    <w:rsid w:val="00FB6C34"/>
    <w:rsid w:val="00FB7A52"/>
    <w:rsid w:val="00FC0BCB"/>
    <w:rsid w:val="00FC0F59"/>
    <w:rsid w:val="00FC1419"/>
    <w:rsid w:val="00FC158D"/>
    <w:rsid w:val="00FC1E3B"/>
    <w:rsid w:val="00FC2B54"/>
    <w:rsid w:val="00FC3BA8"/>
    <w:rsid w:val="00FC3F1C"/>
    <w:rsid w:val="00FC4A90"/>
    <w:rsid w:val="00FC586E"/>
    <w:rsid w:val="00FC67DD"/>
    <w:rsid w:val="00FC72DC"/>
    <w:rsid w:val="00FC761B"/>
    <w:rsid w:val="00FD0158"/>
    <w:rsid w:val="00FD0602"/>
    <w:rsid w:val="00FD0919"/>
    <w:rsid w:val="00FD14F6"/>
    <w:rsid w:val="00FD261E"/>
    <w:rsid w:val="00FD27F1"/>
    <w:rsid w:val="00FD2A87"/>
    <w:rsid w:val="00FD2BC5"/>
    <w:rsid w:val="00FD3B29"/>
    <w:rsid w:val="00FD3ECC"/>
    <w:rsid w:val="00FD3ED9"/>
    <w:rsid w:val="00FD4087"/>
    <w:rsid w:val="00FD425A"/>
    <w:rsid w:val="00FD5019"/>
    <w:rsid w:val="00FD579A"/>
    <w:rsid w:val="00FD5A90"/>
    <w:rsid w:val="00FD5B25"/>
    <w:rsid w:val="00FD6023"/>
    <w:rsid w:val="00FD649D"/>
    <w:rsid w:val="00FD6CA1"/>
    <w:rsid w:val="00FD77C7"/>
    <w:rsid w:val="00FD7BEC"/>
    <w:rsid w:val="00FE0A4C"/>
    <w:rsid w:val="00FE0A7A"/>
    <w:rsid w:val="00FE0DF2"/>
    <w:rsid w:val="00FE1494"/>
    <w:rsid w:val="00FE2468"/>
    <w:rsid w:val="00FE2C2B"/>
    <w:rsid w:val="00FE3468"/>
    <w:rsid w:val="00FE353F"/>
    <w:rsid w:val="00FE359E"/>
    <w:rsid w:val="00FE3DA6"/>
    <w:rsid w:val="00FE497E"/>
    <w:rsid w:val="00FE5722"/>
    <w:rsid w:val="00FE6129"/>
    <w:rsid w:val="00FE6E52"/>
    <w:rsid w:val="00FF06B7"/>
    <w:rsid w:val="00FF0879"/>
    <w:rsid w:val="00FF1904"/>
    <w:rsid w:val="00FF1974"/>
    <w:rsid w:val="00FF1990"/>
    <w:rsid w:val="00FF19EA"/>
    <w:rsid w:val="00FF1E10"/>
    <w:rsid w:val="00FF260C"/>
    <w:rsid w:val="00FF3191"/>
    <w:rsid w:val="00FF44FE"/>
    <w:rsid w:val="00FF45BB"/>
    <w:rsid w:val="00FF50FD"/>
    <w:rsid w:val="00FF5233"/>
    <w:rsid w:val="00FF558C"/>
    <w:rsid w:val="00FF5C15"/>
    <w:rsid w:val="00FF6B0E"/>
    <w:rsid w:val="00FF6B21"/>
    <w:rsid w:val="00FF6D05"/>
    <w:rsid w:val="00FF7630"/>
    <w:rsid w:val="00FF7E91"/>
    <w:rsid w:val="01106E55"/>
    <w:rsid w:val="011FE65E"/>
    <w:rsid w:val="01AFA80F"/>
    <w:rsid w:val="01B67688"/>
    <w:rsid w:val="01DA61ED"/>
    <w:rsid w:val="01E02F5D"/>
    <w:rsid w:val="020C6928"/>
    <w:rsid w:val="021A4028"/>
    <w:rsid w:val="0257A455"/>
    <w:rsid w:val="025DBCFA"/>
    <w:rsid w:val="026A2966"/>
    <w:rsid w:val="02811E8F"/>
    <w:rsid w:val="028C64D3"/>
    <w:rsid w:val="02AFAECC"/>
    <w:rsid w:val="02D41C33"/>
    <w:rsid w:val="02DB0F54"/>
    <w:rsid w:val="02DC8460"/>
    <w:rsid w:val="032945DF"/>
    <w:rsid w:val="033D5ABE"/>
    <w:rsid w:val="034DC794"/>
    <w:rsid w:val="036EB215"/>
    <w:rsid w:val="0385E0CC"/>
    <w:rsid w:val="03A4E4E1"/>
    <w:rsid w:val="03CEB1B1"/>
    <w:rsid w:val="03D4821D"/>
    <w:rsid w:val="03DF371C"/>
    <w:rsid w:val="04093A14"/>
    <w:rsid w:val="04168C35"/>
    <w:rsid w:val="041A0FAF"/>
    <w:rsid w:val="041CAAC8"/>
    <w:rsid w:val="041FDE06"/>
    <w:rsid w:val="042233B6"/>
    <w:rsid w:val="044BF259"/>
    <w:rsid w:val="04783B27"/>
    <w:rsid w:val="04A989E8"/>
    <w:rsid w:val="04AE6AD2"/>
    <w:rsid w:val="04C34FF2"/>
    <w:rsid w:val="04C5B5B2"/>
    <w:rsid w:val="04D30DA4"/>
    <w:rsid w:val="04DA8456"/>
    <w:rsid w:val="04E788BF"/>
    <w:rsid w:val="04E9799F"/>
    <w:rsid w:val="04F05C0C"/>
    <w:rsid w:val="04FA024E"/>
    <w:rsid w:val="050D5D83"/>
    <w:rsid w:val="0519DCC7"/>
    <w:rsid w:val="051FE33B"/>
    <w:rsid w:val="052215DC"/>
    <w:rsid w:val="05452D48"/>
    <w:rsid w:val="056EC1C0"/>
    <w:rsid w:val="05701D74"/>
    <w:rsid w:val="0585BC67"/>
    <w:rsid w:val="05AA8987"/>
    <w:rsid w:val="05B860D0"/>
    <w:rsid w:val="05C55928"/>
    <w:rsid w:val="05CBBB16"/>
    <w:rsid w:val="05DAEFD3"/>
    <w:rsid w:val="05FC8414"/>
    <w:rsid w:val="05FF5662"/>
    <w:rsid w:val="05FF99B7"/>
    <w:rsid w:val="060D4953"/>
    <w:rsid w:val="062F3E2A"/>
    <w:rsid w:val="0671A2A0"/>
    <w:rsid w:val="06A4E79E"/>
    <w:rsid w:val="06A8181B"/>
    <w:rsid w:val="06ABEF23"/>
    <w:rsid w:val="06C550C2"/>
    <w:rsid w:val="06D8563D"/>
    <w:rsid w:val="06D9F083"/>
    <w:rsid w:val="06E584AC"/>
    <w:rsid w:val="072BC8DC"/>
    <w:rsid w:val="0746FEE9"/>
    <w:rsid w:val="075B4872"/>
    <w:rsid w:val="076D8FCB"/>
    <w:rsid w:val="07AB4125"/>
    <w:rsid w:val="07B05080"/>
    <w:rsid w:val="07BE4D70"/>
    <w:rsid w:val="07BECC2F"/>
    <w:rsid w:val="07C52577"/>
    <w:rsid w:val="07CF2F37"/>
    <w:rsid w:val="07D22AC4"/>
    <w:rsid w:val="07D90F20"/>
    <w:rsid w:val="081F0A09"/>
    <w:rsid w:val="08496EA1"/>
    <w:rsid w:val="0850EFC4"/>
    <w:rsid w:val="08519B51"/>
    <w:rsid w:val="0857E81E"/>
    <w:rsid w:val="0876490A"/>
    <w:rsid w:val="088BE129"/>
    <w:rsid w:val="08A14EC9"/>
    <w:rsid w:val="08B8EBFC"/>
    <w:rsid w:val="08C2B739"/>
    <w:rsid w:val="08C470BA"/>
    <w:rsid w:val="08CACD39"/>
    <w:rsid w:val="08D769D0"/>
    <w:rsid w:val="08DC8892"/>
    <w:rsid w:val="08F040CA"/>
    <w:rsid w:val="091C052F"/>
    <w:rsid w:val="092CE438"/>
    <w:rsid w:val="094E83E5"/>
    <w:rsid w:val="095532D1"/>
    <w:rsid w:val="0979295A"/>
    <w:rsid w:val="09843918"/>
    <w:rsid w:val="09899670"/>
    <w:rsid w:val="098CE6D9"/>
    <w:rsid w:val="099DBD9E"/>
    <w:rsid w:val="099FE916"/>
    <w:rsid w:val="09A4701F"/>
    <w:rsid w:val="09AC4B1B"/>
    <w:rsid w:val="09AFF484"/>
    <w:rsid w:val="09BFE860"/>
    <w:rsid w:val="09C352FA"/>
    <w:rsid w:val="09CC3D5A"/>
    <w:rsid w:val="09F240F9"/>
    <w:rsid w:val="0A07B9A8"/>
    <w:rsid w:val="0A184C20"/>
    <w:rsid w:val="0A1E791E"/>
    <w:rsid w:val="0A3AB3F2"/>
    <w:rsid w:val="0A5108BB"/>
    <w:rsid w:val="0A637060"/>
    <w:rsid w:val="0A6B5910"/>
    <w:rsid w:val="0A6DA9E1"/>
    <w:rsid w:val="0AA75292"/>
    <w:rsid w:val="0AAA0658"/>
    <w:rsid w:val="0AB111C3"/>
    <w:rsid w:val="0AB1F3B3"/>
    <w:rsid w:val="0AB51537"/>
    <w:rsid w:val="0AE3DA82"/>
    <w:rsid w:val="0AF4D3CC"/>
    <w:rsid w:val="0B6FA946"/>
    <w:rsid w:val="0B8BC4A5"/>
    <w:rsid w:val="0BA7A7E3"/>
    <w:rsid w:val="0BABFDB1"/>
    <w:rsid w:val="0BE8D06F"/>
    <w:rsid w:val="0BF0F51B"/>
    <w:rsid w:val="0BFC4018"/>
    <w:rsid w:val="0BFD0FBE"/>
    <w:rsid w:val="0C59C77E"/>
    <w:rsid w:val="0C5B1061"/>
    <w:rsid w:val="0C642F35"/>
    <w:rsid w:val="0C770AA0"/>
    <w:rsid w:val="0C8AB744"/>
    <w:rsid w:val="0CDEA90E"/>
    <w:rsid w:val="0D01289D"/>
    <w:rsid w:val="0D09AC34"/>
    <w:rsid w:val="0D169941"/>
    <w:rsid w:val="0D24D91A"/>
    <w:rsid w:val="0D284BB0"/>
    <w:rsid w:val="0D7A5102"/>
    <w:rsid w:val="0D7D77FA"/>
    <w:rsid w:val="0D845355"/>
    <w:rsid w:val="0D84E82B"/>
    <w:rsid w:val="0D8B9EE8"/>
    <w:rsid w:val="0D8BC848"/>
    <w:rsid w:val="0D915824"/>
    <w:rsid w:val="0D94C6C8"/>
    <w:rsid w:val="0D96410D"/>
    <w:rsid w:val="0DB00FE0"/>
    <w:rsid w:val="0DB96991"/>
    <w:rsid w:val="0DD44D9B"/>
    <w:rsid w:val="0DDA6308"/>
    <w:rsid w:val="0DDE9F67"/>
    <w:rsid w:val="0DF92F20"/>
    <w:rsid w:val="0E1AEEFC"/>
    <w:rsid w:val="0E40313B"/>
    <w:rsid w:val="0E595320"/>
    <w:rsid w:val="0E62E936"/>
    <w:rsid w:val="0E63D461"/>
    <w:rsid w:val="0E8B3C7C"/>
    <w:rsid w:val="0EB68DF3"/>
    <w:rsid w:val="0EC177E7"/>
    <w:rsid w:val="0ED346B7"/>
    <w:rsid w:val="0EEA3A5B"/>
    <w:rsid w:val="0EFF562B"/>
    <w:rsid w:val="0EFFB76B"/>
    <w:rsid w:val="0F12C98E"/>
    <w:rsid w:val="0F217B00"/>
    <w:rsid w:val="0F3EAB51"/>
    <w:rsid w:val="0F494823"/>
    <w:rsid w:val="0F571CDD"/>
    <w:rsid w:val="0F756C8B"/>
    <w:rsid w:val="0F814DBF"/>
    <w:rsid w:val="0FB12129"/>
    <w:rsid w:val="0FBCA659"/>
    <w:rsid w:val="0FE29CAD"/>
    <w:rsid w:val="0FE990D7"/>
    <w:rsid w:val="0FF00B0E"/>
    <w:rsid w:val="1014CE99"/>
    <w:rsid w:val="10400E3D"/>
    <w:rsid w:val="10569228"/>
    <w:rsid w:val="105C4C6D"/>
    <w:rsid w:val="10B32F13"/>
    <w:rsid w:val="10B5EE7D"/>
    <w:rsid w:val="10C4F7FA"/>
    <w:rsid w:val="10E4EF22"/>
    <w:rsid w:val="10F3C017"/>
    <w:rsid w:val="10F5A298"/>
    <w:rsid w:val="10FB44F6"/>
    <w:rsid w:val="1106784C"/>
    <w:rsid w:val="1137122F"/>
    <w:rsid w:val="115C0B0E"/>
    <w:rsid w:val="11751D60"/>
    <w:rsid w:val="11801073"/>
    <w:rsid w:val="118B7F45"/>
    <w:rsid w:val="11A9D537"/>
    <w:rsid w:val="11AAA142"/>
    <w:rsid w:val="11E2D699"/>
    <w:rsid w:val="11F9C5E3"/>
    <w:rsid w:val="11FFDC36"/>
    <w:rsid w:val="12123519"/>
    <w:rsid w:val="121D83BA"/>
    <w:rsid w:val="1226EBA6"/>
    <w:rsid w:val="122EEC8D"/>
    <w:rsid w:val="123C8EA1"/>
    <w:rsid w:val="123E73E9"/>
    <w:rsid w:val="1243D50F"/>
    <w:rsid w:val="124909DD"/>
    <w:rsid w:val="125283EB"/>
    <w:rsid w:val="127527B1"/>
    <w:rsid w:val="127BB2E0"/>
    <w:rsid w:val="12E872E5"/>
    <w:rsid w:val="130D060C"/>
    <w:rsid w:val="13356AB8"/>
    <w:rsid w:val="133C3D72"/>
    <w:rsid w:val="134581FB"/>
    <w:rsid w:val="13545E6F"/>
    <w:rsid w:val="135BA987"/>
    <w:rsid w:val="1386D50B"/>
    <w:rsid w:val="13A72720"/>
    <w:rsid w:val="13ACD54B"/>
    <w:rsid w:val="13C67D22"/>
    <w:rsid w:val="13ED000E"/>
    <w:rsid w:val="140577C6"/>
    <w:rsid w:val="14057C5F"/>
    <w:rsid w:val="141A094B"/>
    <w:rsid w:val="1424E14A"/>
    <w:rsid w:val="14259F31"/>
    <w:rsid w:val="14315D51"/>
    <w:rsid w:val="1453B65B"/>
    <w:rsid w:val="14634BA4"/>
    <w:rsid w:val="1463F1AA"/>
    <w:rsid w:val="147350FA"/>
    <w:rsid w:val="149C9388"/>
    <w:rsid w:val="14E0D131"/>
    <w:rsid w:val="1516C24D"/>
    <w:rsid w:val="1525B643"/>
    <w:rsid w:val="152C09E3"/>
    <w:rsid w:val="1532FEBE"/>
    <w:rsid w:val="15334F46"/>
    <w:rsid w:val="15371635"/>
    <w:rsid w:val="1559EE62"/>
    <w:rsid w:val="15623406"/>
    <w:rsid w:val="156FAB4C"/>
    <w:rsid w:val="1597ACD3"/>
    <w:rsid w:val="15D93F23"/>
    <w:rsid w:val="15EC9CA3"/>
    <w:rsid w:val="15F1B3E8"/>
    <w:rsid w:val="15FB6ADB"/>
    <w:rsid w:val="16253260"/>
    <w:rsid w:val="16314A72"/>
    <w:rsid w:val="166BFC72"/>
    <w:rsid w:val="168DD975"/>
    <w:rsid w:val="1695BEE1"/>
    <w:rsid w:val="169835C5"/>
    <w:rsid w:val="169A4DB2"/>
    <w:rsid w:val="169CE847"/>
    <w:rsid w:val="16CECCE8"/>
    <w:rsid w:val="16D367E1"/>
    <w:rsid w:val="16D47D63"/>
    <w:rsid w:val="16D66D5F"/>
    <w:rsid w:val="16D6AC42"/>
    <w:rsid w:val="16E58F5A"/>
    <w:rsid w:val="17072E17"/>
    <w:rsid w:val="170A3D1E"/>
    <w:rsid w:val="171BF45B"/>
    <w:rsid w:val="17596820"/>
    <w:rsid w:val="17746441"/>
    <w:rsid w:val="177F7CF6"/>
    <w:rsid w:val="1789A731"/>
    <w:rsid w:val="1796723A"/>
    <w:rsid w:val="17B281F8"/>
    <w:rsid w:val="17B8C5DF"/>
    <w:rsid w:val="17C08195"/>
    <w:rsid w:val="17C273CF"/>
    <w:rsid w:val="17CF4F0E"/>
    <w:rsid w:val="17DF601A"/>
    <w:rsid w:val="180F5809"/>
    <w:rsid w:val="18101F7C"/>
    <w:rsid w:val="1825A74C"/>
    <w:rsid w:val="1830A10F"/>
    <w:rsid w:val="189CC11B"/>
    <w:rsid w:val="18AEDF16"/>
    <w:rsid w:val="18D2B736"/>
    <w:rsid w:val="18F0B34E"/>
    <w:rsid w:val="193822D9"/>
    <w:rsid w:val="19457B07"/>
    <w:rsid w:val="1947A291"/>
    <w:rsid w:val="195D8A9C"/>
    <w:rsid w:val="19A337BE"/>
    <w:rsid w:val="19D94F09"/>
    <w:rsid w:val="19E9521B"/>
    <w:rsid w:val="19F9987A"/>
    <w:rsid w:val="19FA5418"/>
    <w:rsid w:val="1A18DDD9"/>
    <w:rsid w:val="1A1A5583"/>
    <w:rsid w:val="1A206E34"/>
    <w:rsid w:val="1A210F60"/>
    <w:rsid w:val="1A3B6DB6"/>
    <w:rsid w:val="1A5915CD"/>
    <w:rsid w:val="1A8D63F1"/>
    <w:rsid w:val="1AA384F0"/>
    <w:rsid w:val="1AC35BFD"/>
    <w:rsid w:val="1AC53D35"/>
    <w:rsid w:val="1AE80679"/>
    <w:rsid w:val="1AF26276"/>
    <w:rsid w:val="1B0D742B"/>
    <w:rsid w:val="1B3404F5"/>
    <w:rsid w:val="1B580A1D"/>
    <w:rsid w:val="1B991359"/>
    <w:rsid w:val="1B9B6C02"/>
    <w:rsid w:val="1BCA9072"/>
    <w:rsid w:val="1BD60127"/>
    <w:rsid w:val="1BDBAE96"/>
    <w:rsid w:val="1BF55204"/>
    <w:rsid w:val="1BF5C384"/>
    <w:rsid w:val="1BFDDA9B"/>
    <w:rsid w:val="1C01C3E2"/>
    <w:rsid w:val="1C20486D"/>
    <w:rsid w:val="1C468C48"/>
    <w:rsid w:val="1C602318"/>
    <w:rsid w:val="1C63260F"/>
    <w:rsid w:val="1CAA79C7"/>
    <w:rsid w:val="1CCDC841"/>
    <w:rsid w:val="1CD342F4"/>
    <w:rsid w:val="1CDAAB30"/>
    <w:rsid w:val="1D19F3D6"/>
    <w:rsid w:val="1D1B95B9"/>
    <w:rsid w:val="1D23AC6F"/>
    <w:rsid w:val="1D28882F"/>
    <w:rsid w:val="1D2A4B21"/>
    <w:rsid w:val="1D38397A"/>
    <w:rsid w:val="1D4C09C3"/>
    <w:rsid w:val="1D527606"/>
    <w:rsid w:val="1D5D87F5"/>
    <w:rsid w:val="1D62280D"/>
    <w:rsid w:val="1D633D83"/>
    <w:rsid w:val="1D775211"/>
    <w:rsid w:val="1D93FDC6"/>
    <w:rsid w:val="1DAA8211"/>
    <w:rsid w:val="1DACF825"/>
    <w:rsid w:val="1DAEEC7F"/>
    <w:rsid w:val="1DBFD16D"/>
    <w:rsid w:val="1DC49B23"/>
    <w:rsid w:val="1DC99F29"/>
    <w:rsid w:val="1DD0DEE2"/>
    <w:rsid w:val="1DDFB33A"/>
    <w:rsid w:val="1DE2F1D5"/>
    <w:rsid w:val="1DEB176D"/>
    <w:rsid w:val="1DEF8F2C"/>
    <w:rsid w:val="1DF24620"/>
    <w:rsid w:val="1DF31C2F"/>
    <w:rsid w:val="1DFCC20F"/>
    <w:rsid w:val="1E01F01F"/>
    <w:rsid w:val="1E151B02"/>
    <w:rsid w:val="1E23EC8A"/>
    <w:rsid w:val="1E245840"/>
    <w:rsid w:val="1E31D38B"/>
    <w:rsid w:val="1E52E7DA"/>
    <w:rsid w:val="1E6700BB"/>
    <w:rsid w:val="1E67C348"/>
    <w:rsid w:val="1E698365"/>
    <w:rsid w:val="1E8F9E01"/>
    <w:rsid w:val="1EB1432A"/>
    <w:rsid w:val="1EC49F9A"/>
    <w:rsid w:val="1ECB61D5"/>
    <w:rsid w:val="1ECD5677"/>
    <w:rsid w:val="1ED19D31"/>
    <w:rsid w:val="1ED83DF5"/>
    <w:rsid w:val="1EEE65B9"/>
    <w:rsid w:val="1EF5AE2A"/>
    <w:rsid w:val="1F3DDC6E"/>
    <w:rsid w:val="1F65AC54"/>
    <w:rsid w:val="1F6686A0"/>
    <w:rsid w:val="1F7764F4"/>
    <w:rsid w:val="1F7C8A50"/>
    <w:rsid w:val="1F85AF52"/>
    <w:rsid w:val="1F94D3D0"/>
    <w:rsid w:val="1FABC8AD"/>
    <w:rsid w:val="1FC03E59"/>
    <w:rsid w:val="1FD2F4EA"/>
    <w:rsid w:val="1FD4E057"/>
    <w:rsid w:val="1FF40201"/>
    <w:rsid w:val="20227711"/>
    <w:rsid w:val="20345EDE"/>
    <w:rsid w:val="204048CF"/>
    <w:rsid w:val="2052636A"/>
    <w:rsid w:val="20543D34"/>
    <w:rsid w:val="20651AD5"/>
    <w:rsid w:val="20F32467"/>
    <w:rsid w:val="20F6341C"/>
    <w:rsid w:val="20FA9A13"/>
    <w:rsid w:val="212DDB7C"/>
    <w:rsid w:val="2138CB9B"/>
    <w:rsid w:val="2142BED1"/>
    <w:rsid w:val="21521F8B"/>
    <w:rsid w:val="215D628F"/>
    <w:rsid w:val="21991416"/>
    <w:rsid w:val="219AC93C"/>
    <w:rsid w:val="21A7FFEB"/>
    <w:rsid w:val="21ADB570"/>
    <w:rsid w:val="21BF85BC"/>
    <w:rsid w:val="21D6FC75"/>
    <w:rsid w:val="21E833CF"/>
    <w:rsid w:val="22005D44"/>
    <w:rsid w:val="2208087A"/>
    <w:rsid w:val="2214AB1A"/>
    <w:rsid w:val="22286D9F"/>
    <w:rsid w:val="222A02A9"/>
    <w:rsid w:val="223618F6"/>
    <w:rsid w:val="225CACF7"/>
    <w:rsid w:val="22659D01"/>
    <w:rsid w:val="226D2395"/>
    <w:rsid w:val="22734703"/>
    <w:rsid w:val="2281B527"/>
    <w:rsid w:val="22967653"/>
    <w:rsid w:val="22BD732C"/>
    <w:rsid w:val="22C1CD42"/>
    <w:rsid w:val="22D1BFA4"/>
    <w:rsid w:val="22DADE13"/>
    <w:rsid w:val="22DCD837"/>
    <w:rsid w:val="22F0CF42"/>
    <w:rsid w:val="2305C535"/>
    <w:rsid w:val="2310B8F9"/>
    <w:rsid w:val="2312B9C6"/>
    <w:rsid w:val="231AEEEC"/>
    <w:rsid w:val="2375B654"/>
    <w:rsid w:val="238FC313"/>
    <w:rsid w:val="239895CA"/>
    <w:rsid w:val="239D1FD6"/>
    <w:rsid w:val="23C2C44F"/>
    <w:rsid w:val="23C6E28F"/>
    <w:rsid w:val="23C7042D"/>
    <w:rsid w:val="23CE114B"/>
    <w:rsid w:val="23DE95DD"/>
    <w:rsid w:val="23FD5496"/>
    <w:rsid w:val="2415015B"/>
    <w:rsid w:val="241C7F49"/>
    <w:rsid w:val="2423F15B"/>
    <w:rsid w:val="2427B904"/>
    <w:rsid w:val="242B92A6"/>
    <w:rsid w:val="24429678"/>
    <w:rsid w:val="245A4C2F"/>
    <w:rsid w:val="245AB09E"/>
    <w:rsid w:val="248E0980"/>
    <w:rsid w:val="249F66E9"/>
    <w:rsid w:val="24BC318F"/>
    <w:rsid w:val="24E3DC8B"/>
    <w:rsid w:val="24FE5A1B"/>
    <w:rsid w:val="2509D26A"/>
    <w:rsid w:val="25156F79"/>
    <w:rsid w:val="251E6DF9"/>
    <w:rsid w:val="25238014"/>
    <w:rsid w:val="252B5996"/>
    <w:rsid w:val="25745D00"/>
    <w:rsid w:val="257C5D84"/>
    <w:rsid w:val="25D38945"/>
    <w:rsid w:val="25E3B048"/>
    <w:rsid w:val="25F724E6"/>
    <w:rsid w:val="2602B2F1"/>
    <w:rsid w:val="26043486"/>
    <w:rsid w:val="2606F23D"/>
    <w:rsid w:val="261E6E1E"/>
    <w:rsid w:val="263F84A5"/>
    <w:rsid w:val="267F5B72"/>
    <w:rsid w:val="268366EC"/>
    <w:rsid w:val="269ABD78"/>
    <w:rsid w:val="26A6999F"/>
    <w:rsid w:val="26BABFD1"/>
    <w:rsid w:val="26BC5E9D"/>
    <w:rsid w:val="26C0CECF"/>
    <w:rsid w:val="26C97509"/>
    <w:rsid w:val="26CCB781"/>
    <w:rsid w:val="26E2B3BB"/>
    <w:rsid w:val="26F9F075"/>
    <w:rsid w:val="2706FDFB"/>
    <w:rsid w:val="272AC3B6"/>
    <w:rsid w:val="273FD649"/>
    <w:rsid w:val="27445E83"/>
    <w:rsid w:val="27450AD2"/>
    <w:rsid w:val="274B3C40"/>
    <w:rsid w:val="2754A064"/>
    <w:rsid w:val="27729BE9"/>
    <w:rsid w:val="27766807"/>
    <w:rsid w:val="27836A2C"/>
    <w:rsid w:val="2785DF6A"/>
    <w:rsid w:val="27BA1E2F"/>
    <w:rsid w:val="27C35407"/>
    <w:rsid w:val="27CE839C"/>
    <w:rsid w:val="27DD90C6"/>
    <w:rsid w:val="2847BC21"/>
    <w:rsid w:val="284E5E7C"/>
    <w:rsid w:val="287FB0E2"/>
    <w:rsid w:val="2883023C"/>
    <w:rsid w:val="288582A6"/>
    <w:rsid w:val="28953A46"/>
    <w:rsid w:val="28A15F9D"/>
    <w:rsid w:val="28AA0ECC"/>
    <w:rsid w:val="28E37231"/>
    <w:rsid w:val="290B86B2"/>
    <w:rsid w:val="290BD016"/>
    <w:rsid w:val="29303E02"/>
    <w:rsid w:val="295980B6"/>
    <w:rsid w:val="295CC078"/>
    <w:rsid w:val="2968D45B"/>
    <w:rsid w:val="297CE236"/>
    <w:rsid w:val="2983C31C"/>
    <w:rsid w:val="29959E05"/>
    <w:rsid w:val="29ADA4BD"/>
    <w:rsid w:val="29D3D5F4"/>
    <w:rsid w:val="29D5ED4C"/>
    <w:rsid w:val="29DC4764"/>
    <w:rsid w:val="29F7D0EE"/>
    <w:rsid w:val="2A28244B"/>
    <w:rsid w:val="2A4486E6"/>
    <w:rsid w:val="2A732937"/>
    <w:rsid w:val="2A7474D5"/>
    <w:rsid w:val="2A7478CC"/>
    <w:rsid w:val="2A825DAA"/>
    <w:rsid w:val="2A8D3F92"/>
    <w:rsid w:val="2A922F53"/>
    <w:rsid w:val="2A9AEDE4"/>
    <w:rsid w:val="2ABE6DBD"/>
    <w:rsid w:val="2AC441D4"/>
    <w:rsid w:val="2AE1C440"/>
    <w:rsid w:val="2AE89A8E"/>
    <w:rsid w:val="2AF14A66"/>
    <w:rsid w:val="2B154A5D"/>
    <w:rsid w:val="2B19AABB"/>
    <w:rsid w:val="2B2AF61D"/>
    <w:rsid w:val="2B5CD592"/>
    <w:rsid w:val="2B7D3041"/>
    <w:rsid w:val="2BA4F1E0"/>
    <w:rsid w:val="2BAA0596"/>
    <w:rsid w:val="2BBC990F"/>
    <w:rsid w:val="2BBE79F7"/>
    <w:rsid w:val="2BC00855"/>
    <w:rsid w:val="2BCBB9F0"/>
    <w:rsid w:val="2BD01971"/>
    <w:rsid w:val="2C05D17F"/>
    <w:rsid w:val="2C06C2F4"/>
    <w:rsid w:val="2C2A0F7B"/>
    <w:rsid w:val="2C3E463F"/>
    <w:rsid w:val="2C508BC9"/>
    <w:rsid w:val="2C7194C9"/>
    <w:rsid w:val="2C76162C"/>
    <w:rsid w:val="2C8C2556"/>
    <w:rsid w:val="2C8F7C37"/>
    <w:rsid w:val="2C9C1B8C"/>
    <w:rsid w:val="2CA5F001"/>
    <w:rsid w:val="2CDF3682"/>
    <w:rsid w:val="2CE652B9"/>
    <w:rsid w:val="2D06043D"/>
    <w:rsid w:val="2D1E210F"/>
    <w:rsid w:val="2D5C727B"/>
    <w:rsid w:val="2D70271B"/>
    <w:rsid w:val="2D7CCD90"/>
    <w:rsid w:val="2D8A518E"/>
    <w:rsid w:val="2DBF3567"/>
    <w:rsid w:val="2DC94365"/>
    <w:rsid w:val="2DD088C9"/>
    <w:rsid w:val="2DE4ECA1"/>
    <w:rsid w:val="2DE77D24"/>
    <w:rsid w:val="2E09272F"/>
    <w:rsid w:val="2E6D9A7E"/>
    <w:rsid w:val="2E85759B"/>
    <w:rsid w:val="2E9FE4D1"/>
    <w:rsid w:val="2EA9B7D0"/>
    <w:rsid w:val="2EB54848"/>
    <w:rsid w:val="2F1002FD"/>
    <w:rsid w:val="2F40D795"/>
    <w:rsid w:val="2F631201"/>
    <w:rsid w:val="2F8CE0DD"/>
    <w:rsid w:val="2F9C63B0"/>
    <w:rsid w:val="2FB95815"/>
    <w:rsid w:val="2FD34BFC"/>
    <w:rsid w:val="2FEE1F56"/>
    <w:rsid w:val="2FFD7974"/>
    <w:rsid w:val="302E0494"/>
    <w:rsid w:val="303B02D0"/>
    <w:rsid w:val="30550D61"/>
    <w:rsid w:val="305FA076"/>
    <w:rsid w:val="3074BE76"/>
    <w:rsid w:val="30C3925C"/>
    <w:rsid w:val="30C7B380"/>
    <w:rsid w:val="30D43D34"/>
    <w:rsid w:val="31256BE6"/>
    <w:rsid w:val="31309230"/>
    <w:rsid w:val="313981C5"/>
    <w:rsid w:val="31592FB9"/>
    <w:rsid w:val="316C0EA9"/>
    <w:rsid w:val="31708BC4"/>
    <w:rsid w:val="31729432"/>
    <w:rsid w:val="3217A3A0"/>
    <w:rsid w:val="32219F55"/>
    <w:rsid w:val="322FF76A"/>
    <w:rsid w:val="3234131F"/>
    <w:rsid w:val="325F68B9"/>
    <w:rsid w:val="32B224E8"/>
    <w:rsid w:val="32BB3320"/>
    <w:rsid w:val="32BEF686"/>
    <w:rsid w:val="32C20F7E"/>
    <w:rsid w:val="32D6F4C9"/>
    <w:rsid w:val="32EFDE21"/>
    <w:rsid w:val="330A88A5"/>
    <w:rsid w:val="330F4F42"/>
    <w:rsid w:val="331D2629"/>
    <w:rsid w:val="33362FA6"/>
    <w:rsid w:val="334658D5"/>
    <w:rsid w:val="3360B9E2"/>
    <w:rsid w:val="336E6836"/>
    <w:rsid w:val="3383A70E"/>
    <w:rsid w:val="33A16B6B"/>
    <w:rsid w:val="33B869CA"/>
    <w:rsid w:val="33E207F1"/>
    <w:rsid w:val="33E807A7"/>
    <w:rsid w:val="341EA980"/>
    <w:rsid w:val="343A5270"/>
    <w:rsid w:val="3451AC80"/>
    <w:rsid w:val="3463C77B"/>
    <w:rsid w:val="3472FAEE"/>
    <w:rsid w:val="34861AE7"/>
    <w:rsid w:val="348A77A7"/>
    <w:rsid w:val="34B5F9D8"/>
    <w:rsid w:val="34D73F76"/>
    <w:rsid w:val="34E38428"/>
    <w:rsid w:val="34E7BC46"/>
    <w:rsid w:val="34E8506C"/>
    <w:rsid w:val="35276244"/>
    <w:rsid w:val="353AA0EB"/>
    <w:rsid w:val="354C30D3"/>
    <w:rsid w:val="354F0647"/>
    <w:rsid w:val="356220B4"/>
    <w:rsid w:val="35B944A8"/>
    <w:rsid w:val="35BAE14F"/>
    <w:rsid w:val="35C72AAD"/>
    <w:rsid w:val="35CC1DE9"/>
    <w:rsid w:val="35DB1DEB"/>
    <w:rsid w:val="35DE4EFD"/>
    <w:rsid w:val="35EFE041"/>
    <w:rsid w:val="35F7ECE0"/>
    <w:rsid w:val="360CA4AE"/>
    <w:rsid w:val="3614EE61"/>
    <w:rsid w:val="361B6E33"/>
    <w:rsid w:val="361E8C4D"/>
    <w:rsid w:val="36381F75"/>
    <w:rsid w:val="3645F86F"/>
    <w:rsid w:val="36481DC8"/>
    <w:rsid w:val="364F7BCC"/>
    <w:rsid w:val="366AA8F4"/>
    <w:rsid w:val="366BFB18"/>
    <w:rsid w:val="3685A031"/>
    <w:rsid w:val="36B0BCC1"/>
    <w:rsid w:val="36C2F2EE"/>
    <w:rsid w:val="36C728BF"/>
    <w:rsid w:val="36D84287"/>
    <w:rsid w:val="36E155F2"/>
    <w:rsid w:val="36FCF52D"/>
    <w:rsid w:val="3701FA7A"/>
    <w:rsid w:val="3703373E"/>
    <w:rsid w:val="373D6CD7"/>
    <w:rsid w:val="37405AF4"/>
    <w:rsid w:val="374D3DDB"/>
    <w:rsid w:val="37504996"/>
    <w:rsid w:val="37570C9E"/>
    <w:rsid w:val="3771B709"/>
    <w:rsid w:val="37A751FB"/>
    <w:rsid w:val="37B0C774"/>
    <w:rsid w:val="37C2A6C8"/>
    <w:rsid w:val="37CBED3A"/>
    <w:rsid w:val="37F246C2"/>
    <w:rsid w:val="37F92A3A"/>
    <w:rsid w:val="380AA6D1"/>
    <w:rsid w:val="3810DAAB"/>
    <w:rsid w:val="38307AD5"/>
    <w:rsid w:val="38313C02"/>
    <w:rsid w:val="383F08E3"/>
    <w:rsid w:val="3854B582"/>
    <w:rsid w:val="3897FBF5"/>
    <w:rsid w:val="38A80BA7"/>
    <w:rsid w:val="38BACD5A"/>
    <w:rsid w:val="38D88557"/>
    <w:rsid w:val="38F0441E"/>
    <w:rsid w:val="38F75ACE"/>
    <w:rsid w:val="391EDCB9"/>
    <w:rsid w:val="3932B855"/>
    <w:rsid w:val="39367335"/>
    <w:rsid w:val="393F5657"/>
    <w:rsid w:val="395CD4A1"/>
    <w:rsid w:val="3978F378"/>
    <w:rsid w:val="39836572"/>
    <w:rsid w:val="39AD82DA"/>
    <w:rsid w:val="39AF07E5"/>
    <w:rsid w:val="39C09DF9"/>
    <w:rsid w:val="39C96C52"/>
    <w:rsid w:val="39DC8B66"/>
    <w:rsid w:val="39DF4B73"/>
    <w:rsid w:val="39E1BD29"/>
    <w:rsid w:val="39ED6C7F"/>
    <w:rsid w:val="39FAF571"/>
    <w:rsid w:val="3A21CD26"/>
    <w:rsid w:val="3A26C803"/>
    <w:rsid w:val="3A8B134B"/>
    <w:rsid w:val="3A98D343"/>
    <w:rsid w:val="3A9DBF3A"/>
    <w:rsid w:val="3AAF0A2F"/>
    <w:rsid w:val="3AB7B620"/>
    <w:rsid w:val="3AC25EA3"/>
    <w:rsid w:val="3AFFBE39"/>
    <w:rsid w:val="3B05AD8A"/>
    <w:rsid w:val="3B2D2971"/>
    <w:rsid w:val="3B32C407"/>
    <w:rsid w:val="3B4C2F78"/>
    <w:rsid w:val="3B5CA408"/>
    <w:rsid w:val="3B77A8D7"/>
    <w:rsid w:val="3B893269"/>
    <w:rsid w:val="3B99926F"/>
    <w:rsid w:val="3BA1E9E2"/>
    <w:rsid w:val="3BAA7057"/>
    <w:rsid w:val="3BC3936A"/>
    <w:rsid w:val="3BD0A57A"/>
    <w:rsid w:val="3BD44E46"/>
    <w:rsid w:val="3BDE84B6"/>
    <w:rsid w:val="3BF10C29"/>
    <w:rsid w:val="3BFC219A"/>
    <w:rsid w:val="3BFDA580"/>
    <w:rsid w:val="3C10E808"/>
    <w:rsid w:val="3C21A8CA"/>
    <w:rsid w:val="3C40F3D2"/>
    <w:rsid w:val="3C8ACAE4"/>
    <w:rsid w:val="3C978AF5"/>
    <w:rsid w:val="3CA4F9AA"/>
    <w:rsid w:val="3CD754D3"/>
    <w:rsid w:val="3CD8087D"/>
    <w:rsid w:val="3CEB93DA"/>
    <w:rsid w:val="3D092D45"/>
    <w:rsid w:val="3D0EDA5D"/>
    <w:rsid w:val="3D1900CE"/>
    <w:rsid w:val="3D4F156D"/>
    <w:rsid w:val="3D5AA769"/>
    <w:rsid w:val="3D7072BF"/>
    <w:rsid w:val="3D71E6A7"/>
    <w:rsid w:val="3D857FF2"/>
    <w:rsid w:val="3D8CBE87"/>
    <w:rsid w:val="3DB3E296"/>
    <w:rsid w:val="3DDBB253"/>
    <w:rsid w:val="3DE2C724"/>
    <w:rsid w:val="3DE5A287"/>
    <w:rsid w:val="3E0F13A0"/>
    <w:rsid w:val="3E1B8049"/>
    <w:rsid w:val="3E1F3920"/>
    <w:rsid w:val="3E1F4609"/>
    <w:rsid w:val="3E2C5700"/>
    <w:rsid w:val="3E35553F"/>
    <w:rsid w:val="3E355E0D"/>
    <w:rsid w:val="3E36C7D1"/>
    <w:rsid w:val="3E4467F5"/>
    <w:rsid w:val="3E45E245"/>
    <w:rsid w:val="3E56DEB7"/>
    <w:rsid w:val="3E7A57A3"/>
    <w:rsid w:val="3E937699"/>
    <w:rsid w:val="3EA1F1DA"/>
    <w:rsid w:val="3EDF9C41"/>
    <w:rsid w:val="3EF20103"/>
    <w:rsid w:val="3F291779"/>
    <w:rsid w:val="3F34F8EE"/>
    <w:rsid w:val="3F5F2A9E"/>
    <w:rsid w:val="3F9EFEBF"/>
    <w:rsid w:val="3FB8EA0A"/>
    <w:rsid w:val="3FBD420C"/>
    <w:rsid w:val="3FE39C4A"/>
    <w:rsid w:val="3FF3AC77"/>
    <w:rsid w:val="400A0B2C"/>
    <w:rsid w:val="4011EF4A"/>
    <w:rsid w:val="4028620A"/>
    <w:rsid w:val="404539CF"/>
    <w:rsid w:val="405BD628"/>
    <w:rsid w:val="40875107"/>
    <w:rsid w:val="40A1A618"/>
    <w:rsid w:val="40ACA782"/>
    <w:rsid w:val="40B0DA58"/>
    <w:rsid w:val="40C01041"/>
    <w:rsid w:val="40C5AEF4"/>
    <w:rsid w:val="40C5F923"/>
    <w:rsid w:val="40D76B77"/>
    <w:rsid w:val="40DC2ABC"/>
    <w:rsid w:val="40F4A01F"/>
    <w:rsid w:val="40FCC158"/>
    <w:rsid w:val="41103415"/>
    <w:rsid w:val="41122376"/>
    <w:rsid w:val="4115B89D"/>
    <w:rsid w:val="41212C4F"/>
    <w:rsid w:val="41345835"/>
    <w:rsid w:val="41522A5A"/>
    <w:rsid w:val="416D2181"/>
    <w:rsid w:val="416D66A6"/>
    <w:rsid w:val="4179824D"/>
    <w:rsid w:val="41849FEE"/>
    <w:rsid w:val="4184C186"/>
    <w:rsid w:val="418AD3D4"/>
    <w:rsid w:val="418BB01A"/>
    <w:rsid w:val="419E57AE"/>
    <w:rsid w:val="41BB28B9"/>
    <w:rsid w:val="41C73761"/>
    <w:rsid w:val="41CBFAB7"/>
    <w:rsid w:val="41D59ED4"/>
    <w:rsid w:val="41F5FEC8"/>
    <w:rsid w:val="41F9AA33"/>
    <w:rsid w:val="4234A87F"/>
    <w:rsid w:val="424C4ADA"/>
    <w:rsid w:val="42B40258"/>
    <w:rsid w:val="42B8E69D"/>
    <w:rsid w:val="42C746CF"/>
    <w:rsid w:val="42C7D466"/>
    <w:rsid w:val="42C8A174"/>
    <w:rsid w:val="42CB3A02"/>
    <w:rsid w:val="42F54B4B"/>
    <w:rsid w:val="42F6FE75"/>
    <w:rsid w:val="431E5090"/>
    <w:rsid w:val="432FF40F"/>
    <w:rsid w:val="4334225B"/>
    <w:rsid w:val="43366E4F"/>
    <w:rsid w:val="434C431B"/>
    <w:rsid w:val="434CA2D7"/>
    <w:rsid w:val="43557ACC"/>
    <w:rsid w:val="43574D57"/>
    <w:rsid w:val="436621D6"/>
    <w:rsid w:val="43765646"/>
    <w:rsid w:val="4396E7AC"/>
    <w:rsid w:val="43A1307D"/>
    <w:rsid w:val="43FEB073"/>
    <w:rsid w:val="44043765"/>
    <w:rsid w:val="44499EA7"/>
    <w:rsid w:val="44582B99"/>
    <w:rsid w:val="446449FC"/>
    <w:rsid w:val="4465C7ED"/>
    <w:rsid w:val="44875E65"/>
    <w:rsid w:val="44A05353"/>
    <w:rsid w:val="44CE0589"/>
    <w:rsid w:val="44DA781E"/>
    <w:rsid w:val="4523C621"/>
    <w:rsid w:val="4527A083"/>
    <w:rsid w:val="452C0024"/>
    <w:rsid w:val="452D946C"/>
    <w:rsid w:val="452FF09B"/>
    <w:rsid w:val="453B1147"/>
    <w:rsid w:val="4545D5D7"/>
    <w:rsid w:val="454D94D7"/>
    <w:rsid w:val="45571868"/>
    <w:rsid w:val="45582D86"/>
    <w:rsid w:val="45673A9E"/>
    <w:rsid w:val="458AE96E"/>
    <w:rsid w:val="458D1E96"/>
    <w:rsid w:val="45A68B17"/>
    <w:rsid w:val="45B6242D"/>
    <w:rsid w:val="45BB6F70"/>
    <w:rsid w:val="45C833CD"/>
    <w:rsid w:val="45D6B05B"/>
    <w:rsid w:val="45D6C63E"/>
    <w:rsid w:val="45F6415B"/>
    <w:rsid w:val="45FA4EF2"/>
    <w:rsid w:val="460CBC56"/>
    <w:rsid w:val="4614888E"/>
    <w:rsid w:val="4618782A"/>
    <w:rsid w:val="46379BC7"/>
    <w:rsid w:val="4641E1A5"/>
    <w:rsid w:val="4647D96C"/>
    <w:rsid w:val="4657BED0"/>
    <w:rsid w:val="465A5546"/>
    <w:rsid w:val="467E9A70"/>
    <w:rsid w:val="46B4406C"/>
    <w:rsid w:val="46CF1E1D"/>
    <w:rsid w:val="46D41921"/>
    <w:rsid w:val="46DAA76C"/>
    <w:rsid w:val="46DF04A1"/>
    <w:rsid w:val="46EE266F"/>
    <w:rsid w:val="47083DB4"/>
    <w:rsid w:val="4715CBFA"/>
    <w:rsid w:val="472DBDD7"/>
    <w:rsid w:val="4749D7CC"/>
    <w:rsid w:val="474CD3F6"/>
    <w:rsid w:val="4766F658"/>
    <w:rsid w:val="4767E88D"/>
    <w:rsid w:val="47780EA4"/>
    <w:rsid w:val="4780B603"/>
    <w:rsid w:val="47909186"/>
    <w:rsid w:val="47928A6B"/>
    <w:rsid w:val="479340C6"/>
    <w:rsid w:val="479E9CC0"/>
    <w:rsid w:val="47A56BB9"/>
    <w:rsid w:val="47A61A98"/>
    <w:rsid w:val="47A98267"/>
    <w:rsid w:val="47B7584B"/>
    <w:rsid w:val="47BF80D8"/>
    <w:rsid w:val="47DA8918"/>
    <w:rsid w:val="47E0AA33"/>
    <w:rsid w:val="47F0DB52"/>
    <w:rsid w:val="4814E056"/>
    <w:rsid w:val="481B9BD5"/>
    <w:rsid w:val="48207249"/>
    <w:rsid w:val="48505E71"/>
    <w:rsid w:val="485A5C58"/>
    <w:rsid w:val="485DE8EE"/>
    <w:rsid w:val="488A4518"/>
    <w:rsid w:val="488A798A"/>
    <w:rsid w:val="4898C779"/>
    <w:rsid w:val="489DD9B5"/>
    <w:rsid w:val="48B0EC8C"/>
    <w:rsid w:val="48F60BC6"/>
    <w:rsid w:val="48F9DF51"/>
    <w:rsid w:val="48FB4004"/>
    <w:rsid w:val="49015D33"/>
    <w:rsid w:val="491459F7"/>
    <w:rsid w:val="49218FD3"/>
    <w:rsid w:val="492A6D1F"/>
    <w:rsid w:val="492CE60F"/>
    <w:rsid w:val="4932E7BC"/>
    <w:rsid w:val="49454858"/>
    <w:rsid w:val="49597A9C"/>
    <w:rsid w:val="4997D934"/>
    <w:rsid w:val="49BEB78E"/>
    <w:rsid w:val="49C08506"/>
    <w:rsid w:val="49DDBF31"/>
    <w:rsid w:val="49E9B4C9"/>
    <w:rsid w:val="49F50BDC"/>
    <w:rsid w:val="4A33DD72"/>
    <w:rsid w:val="4A382D40"/>
    <w:rsid w:val="4A6E58FF"/>
    <w:rsid w:val="4A76119D"/>
    <w:rsid w:val="4A7BEE3F"/>
    <w:rsid w:val="4AA36774"/>
    <w:rsid w:val="4AA8891E"/>
    <w:rsid w:val="4ABAB880"/>
    <w:rsid w:val="4ABC7311"/>
    <w:rsid w:val="4AD110C4"/>
    <w:rsid w:val="4AF0638E"/>
    <w:rsid w:val="4B0959DB"/>
    <w:rsid w:val="4B0B074C"/>
    <w:rsid w:val="4B11D1F9"/>
    <w:rsid w:val="4B442CEA"/>
    <w:rsid w:val="4B584B65"/>
    <w:rsid w:val="4B7221A0"/>
    <w:rsid w:val="4B9B4124"/>
    <w:rsid w:val="4BA27E60"/>
    <w:rsid w:val="4BA27E68"/>
    <w:rsid w:val="4BB64C1E"/>
    <w:rsid w:val="4BBE9EF6"/>
    <w:rsid w:val="4BDBAED7"/>
    <w:rsid w:val="4BF04E8C"/>
    <w:rsid w:val="4BFE302C"/>
    <w:rsid w:val="4C19D782"/>
    <w:rsid w:val="4C26920C"/>
    <w:rsid w:val="4C664C9A"/>
    <w:rsid w:val="4C69C41E"/>
    <w:rsid w:val="4C73B0E7"/>
    <w:rsid w:val="4C9C720A"/>
    <w:rsid w:val="4C9F11F4"/>
    <w:rsid w:val="4CA6C717"/>
    <w:rsid w:val="4CB13109"/>
    <w:rsid w:val="4CC45A50"/>
    <w:rsid w:val="4CD24941"/>
    <w:rsid w:val="4CDC7B1A"/>
    <w:rsid w:val="4CE60396"/>
    <w:rsid w:val="4CFA6089"/>
    <w:rsid w:val="4CFC8E6B"/>
    <w:rsid w:val="4D1E1AFA"/>
    <w:rsid w:val="4D3D5C41"/>
    <w:rsid w:val="4D3D6F16"/>
    <w:rsid w:val="4D520C95"/>
    <w:rsid w:val="4D561B94"/>
    <w:rsid w:val="4D5D3BAB"/>
    <w:rsid w:val="4D75B677"/>
    <w:rsid w:val="4D781383"/>
    <w:rsid w:val="4D7A8F12"/>
    <w:rsid w:val="4D7F98C7"/>
    <w:rsid w:val="4D816B3C"/>
    <w:rsid w:val="4D81F180"/>
    <w:rsid w:val="4D857449"/>
    <w:rsid w:val="4DAA1A47"/>
    <w:rsid w:val="4DB57E47"/>
    <w:rsid w:val="4DC649A3"/>
    <w:rsid w:val="4DD59416"/>
    <w:rsid w:val="4DDBA731"/>
    <w:rsid w:val="4DEA78C0"/>
    <w:rsid w:val="4E0B52DA"/>
    <w:rsid w:val="4E10CD4F"/>
    <w:rsid w:val="4E15B799"/>
    <w:rsid w:val="4E1976EC"/>
    <w:rsid w:val="4E3A4CB7"/>
    <w:rsid w:val="4E4338C0"/>
    <w:rsid w:val="4E65C744"/>
    <w:rsid w:val="4E71110C"/>
    <w:rsid w:val="4E84287D"/>
    <w:rsid w:val="4E86F705"/>
    <w:rsid w:val="4E87A243"/>
    <w:rsid w:val="4E8966E7"/>
    <w:rsid w:val="4EB8CB29"/>
    <w:rsid w:val="4F1C3BBF"/>
    <w:rsid w:val="4F28C950"/>
    <w:rsid w:val="4F2BEBF0"/>
    <w:rsid w:val="4F55EE42"/>
    <w:rsid w:val="4F78F8CF"/>
    <w:rsid w:val="4F8B5183"/>
    <w:rsid w:val="4F98B8BC"/>
    <w:rsid w:val="4FABE806"/>
    <w:rsid w:val="4FBB1F2A"/>
    <w:rsid w:val="4FC3E466"/>
    <w:rsid w:val="4FDBD7EB"/>
    <w:rsid w:val="4FDDDEF3"/>
    <w:rsid w:val="4FDE29BE"/>
    <w:rsid w:val="4FE21916"/>
    <w:rsid w:val="4FFBF3BA"/>
    <w:rsid w:val="500893F9"/>
    <w:rsid w:val="50205AB7"/>
    <w:rsid w:val="5031324E"/>
    <w:rsid w:val="50340CAE"/>
    <w:rsid w:val="50402457"/>
    <w:rsid w:val="5044070D"/>
    <w:rsid w:val="50507A9D"/>
    <w:rsid w:val="50600DB7"/>
    <w:rsid w:val="507AF8C0"/>
    <w:rsid w:val="50870D10"/>
    <w:rsid w:val="5089769B"/>
    <w:rsid w:val="509A5E3E"/>
    <w:rsid w:val="509B2F60"/>
    <w:rsid w:val="50B36F8A"/>
    <w:rsid w:val="50CE4408"/>
    <w:rsid w:val="50D464B6"/>
    <w:rsid w:val="50E5CA30"/>
    <w:rsid w:val="50F598F8"/>
    <w:rsid w:val="510A4B93"/>
    <w:rsid w:val="511CD926"/>
    <w:rsid w:val="512065AC"/>
    <w:rsid w:val="5129F715"/>
    <w:rsid w:val="51348E5F"/>
    <w:rsid w:val="514C42A2"/>
    <w:rsid w:val="514C9F8E"/>
    <w:rsid w:val="514CEF24"/>
    <w:rsid w:val="51686DA2"/>
    <w:rsid w:val="5174BBC7"/>
    <w:rsid w:val="518247D9"/>
    <w:rsid w:val="51944CE3"/>
    <w:rsid w:val="51A10FAD"/>
    <w:rsid w:val="51D4C696"/>
    <w:rsid w:val="51E98DAF"/>
    <w:rsid w:val="51FD9519"/>
    <w:rsid w:val="522CD8BE"/>
    <w:rsid w:val="5245297F"/>
    <w:rsid w:val="5248E000"/>
    <w:rsid w:val="5250A35A"/>
    <w:rsid w:val="5269BD7F"/>
    <w:rsid w:val="52733C5A"/>
    <w:rsid w:val="52ADF4C9"/>
    <w:rsid w:val="52B1353C"/>
    <w:rsid w:val="52C770FE"/>
    <w:rsid w:val="52D499E0"/>
    <w:rsid w:val="52D62CFC"/>
    <w:rsid w:val="52E9582C"/>
    <w:rsid w:val="52EEA318"/>
    <w:rsid w:val="53336752"/>
    <w:rsid w:val="533F04F7"/>
    <w:rsid w:val="53400D99"/>
    <w:rsid w:val="534D09F4"/>
    <w:rsid w:val="5374AF48"/>
    <w:rsid w:val="539A6DEB"/>
    <w:rsid w:val="539FE076"/>
    <w:rsid w:val="53B34184"/>
    <w:rsid w:val="53C04209"/>
    <w:rsid w:val="53D09E9A"/>
    <w:rsid w:val="53D4551B"/>
    <w:rsid w:val="53FDEED3"/>
    <w:rsid w:val="540AF994"/>
    <w:rsid w:val="540DAB48"/>
    <w:rsid w:val="5411E4D1"/>
    <w:rsid w:val="541A0A8E"/>
    <w:rsid w:val="5427C092"/>
    <w:rsid w:val="542CD109"/>
    <w:rsid w:val="544E9EBF"/>
    <w:rsid w:val="546B0D57"/>
    <w:rsid w:val="54851080"/>
    <w:rsid w:val="54976AE0"/>
    <w:rsid w:val="54E3E34C"/>
    <w:rsid w:val="5501B83F"/>
    <w:rsid w:val="55077A7C"/>
    <w:rsid w:val="5509F08C"/>
    <w:rsid w:val="551C6970"/>
    <w:rsid w:val="553A1C12"/>
    <w:rsid w:val="55421BDC"/>
    <w:rsid w:val="5548528E"/>
    <w:rsid w:val="5555A65A"/>
    <w:rsid w:val="555769CB"/>
    <w:rsid w:val="5558784A"/>
    <w:rsid w:val="555C118E"/>
    <w:rsid w:val="55609108"/>
    <w:rsid w:val="55688D2E"/>
    <w:rsid w:val="55944583"/>
    <w:rsid w:val="55C5FFC0"/>
    <w:rsid w:val="55E912B1"/>
    <w:rsid w:val="5603A5C7"/>
    <w:rsid w:val="5617EE23"/>
    <w:rsid w:val="561A42DB"/>
    <w:rsid w:val="5660B432"/>
    <w:rsid w:val="568B5743"/>
    <w:rsid w:val="568D88E5"/>
    <w:rsid w:val="569EE3E8"/>
    <w:rsid w:val="56A60748"/>
    <w:rsid w:val="56AEB8A5"/>
    <w:rsid w:val="56B6541A"/>
    <w:rsid w:val="56BA68B8"/>
    <w:rsid w:val="56D5AF6F"/>
    <w:rsid w:val="56EA1F96"/>
    <w:rsid w:val="57073EC1"/>
    <w:rsid w:val="57490120"/>
    <w:rsid w:val="575456F6"/>
    <w:rsid w:val="575548F0"/>
    <w:rsid w:val="5765CD99"/>
    <w:rsid w:val="57859D56"/>
    <w:rsid w:val="579A4B34"/>
    <w:rsid w:val="57A0E172"/>
    <w:rsid w:val="57BC6AE7"/>
    <w:rsid w:val="57C24D4A"/>
    <w:rsid w:val="57C7E9DF"/>
    <w:rsid w:val="57C81CD3"/>
    <w:rsid w:val="57E6366B"/>
    <w:rsid w:val="57F402F2"/>
    <w:rsid w:val="57FACFFF"/>
    <w:rsid w:val="580C9324"/>
    <w:rsid w:val="5824A6FF"/>
    <w:rsid w:val="582A0EF9"/>
    <w:rsid w:val="582FC246"/>
    <w:rsid w:val="5839E142"/>
    <w:rsid w:val="58834A0A"/>
    <w:rsid w:val="58ABA4D7"/>
    <w:rsid w:val="58AD1B55"/>
    <w:rsid w:val="58C38F1F"/>
    <w:rsid w:val="58CF1626"/>
    <w:rsid w:val="58D102D9"/>
    <w:rsid w:val="58D55760"/>
    <w:rsid w:val="58EE9CBB"/>
    <w:rsid w:val="58F89ED2"/>
    <w:rsid w:val="59015305"/>
    <w:rsid w:val="590C3D75"/>
    <w:rsid w:val="5916AB73"/>
    <w:rsid w:val="592347D4"/>
    <w:rsid w:val="5935F922"/>
    <w:rsid w:val="593BA824"/>
    <w:rsid w:val="59482F2B"/>
    <w:rsid w:val="594BD3C4"/>
    <w:rsid w:val="594FA951"/>
    <w:rsid w:val="596D39E6"/>
    <w:rsid w:val="599AA8A1"/>
    <w:rsid w:val="599C1C01"/>
    <w:rsid w:val="59A2F310"/>
    <w:rsid w:val="59AFBE5C"/>
    <w:rsid w:val="59B9AC8E"/>
    <w:rsid w:val="59D49F41"/>
    <w:rsid w:val="59DAB47C"/>
    <w:rsid w:val="5A110F57"/>
    <w:rsid w:val="5A49812C"/>
    <w:rsid w:val="5A54216A"/>
    <w:rsid w:val="5A6EA77D"/>
    <w:rsid w:val="5A9A9044"/>
    <w:rsid w:val="5ABD261E"/>
    <w:rsid w:val="5ABF3D8C"/>
    <w:rsid w:val="5AD19A2C"/>
    <w:rsid w:val="5ADD8EA0"/>
    <w:rsid w:val="5AF7D95E"/>
    <w:rsid w:val="5AF863CF"/>
    <w:rsid w:val="5B07BB78"/>
    <w:rsid w:val="5B0C20F8"/>
    <w:rsid w:val="5B1BB556"/>
    <w:rsid w:val="5B1F83C0"/>
    <w:rsid w:val="5B1FBE4D"/>
    <w:rsid w:val="5B2FECD5"/>
    <w:rsid w:val="5B4CE5B2"/>
    <w:rsid w:val="5BACFD41"/>
    <w:rsid w:val="5BCB198F"/>
    <w:rsid w:val="5BDBC810"/>
    <w:rsid w:val="5C04E513"/>
    <w:rsid w:val="5C070000"/>
    <w:rsid w:val="5C08BF15"/>
    <w:rsid w:val="5C276C48"/>
    <w:rsid w:val="5C500B67"/>
    <w:rsid w:val="5C56370F"/>
    <w:rsid w:val="5C645A45"/>
    <w:rsid w:val="5C6E68B5"/>
    <w:rsid w:val="5C7210B1"/>
    <w:rsid w:val="5C8BD53E"/>
    <w:rsid w:val="5C982A42"/>
    <w:rsid w:val="5CA2E648"/>
    <w:rsid w:val="5CB64A51"/>
    <w:rsid w:val="5CC1BBCC"/>
    <w:rsid w:val="5CC82185"/>
    <w:rsid w:val="5CC9F395"/>
    <w:rsid w:val="5CCD1B20"/>
    <w:rsid w:val="5CD19B7E"/>
    <w:rsid w:val="5CE37A99"/>
    <w:rsid w:val="5CE7A81A"/>
    <w:rsid w:val="5CFDD650"/>
    <w:rsid w:val="5D1A8EEC"/>
    <w:rsid w:val="5D269DD9"/>
    <w:rsid w:val="5D39CEDB"/>
    <w:rsid w:val="5D530BF9"/>
    <w:rsid w:val="5D5988F3"/>
    <w:rsid w:val="5D5C9598"/>
    <w:rsid w:val="5D7C14BA"/>
    <w:rsid w:val="5D7CF2EB"/>
    <w:rsid w:val="5D8B988B"/>
    <w:rsid w:val="5D8D452A"/>
    <w:rsid w:val="5D8FE835"/>
    <w:rsid w:val="5D9807B5"/>
    <w:rsid w:val="5D9C8ED4"/>
    <w:rsid w:val="5DAE10B2"/>
    <w:rsid w:val="5DB610A3"/>
    <w:rsid w:val="5DBF4A29"/>
    <w:rsid w:val="5DC4EAFD"/>
    <w:rsid w:val="5DE20CF8"/>
    <w:rsid w:val="5E07A62C"/>
    <w:rsid w:val="5E17BDF1"/>
    <w:rsid w:val="5E18EBC8"/>
    <w:rsid w:val="5E1AD82E"/>
    <w:rsid w:val="5E207833"/>
    <w:rsid w:val="5E258613"/>
    <w:rsid w:val="5E411BE4"/>
    <w:rsid w:val="5E78986F"/>
    <w:rsid w:val="5E863C39"/>
    <w:rsid w:val="5E8CE326"/>
    <w:rsid w:val="5EA3E35E"/>
    <w:rsid w:val="5EBBD4CA"/>
    <w:rsid w:val="5ECA671E"/>
    <w:rsid w:val="5ECCDAB8"/>
    <w:rsid w:val="5EDC3D03"/>
    <w:rsid w:val="5EE03FCF"/>
    <w:rsid w:val="5EF33516"/>
    <w:rsid w:val="5F0CFAA4"/>
    <w:rsid w:val="5F147270"/>
    <w:rsid w:val="5F26110E"/>
    <w:rsid w:val="5F31077C"/>
    <w:rsid w:val="5F4607F1"/>
    <w:rsid w:val="5F67D717"/>
    <w:rsid w:val="5F77426F"/>
    <w:rsid w:val="5F907210"/>
    <w:rsid w:val="5F90E447"/>
    <w:rsid w:val="5F98631C"/>
    <w:rsid w:val="5F9A69A2"/>
    <w:rsid w:val="5FAC7A6D"/>
    <w:rsid w:val="5FB5F759"/>
    <w:rsid w:val="5FBE6262"/>
    <w:rsid w:val="5FD82F3E"/>
    <w:rsid w:val="5FDB41C3"/>
    <w:rsid w:val="5FE3078D"/>
    <w:rsid w:val="5FF68233"/>
    <w:rsid w:val="5FF8FBC0"/>
    <w:rsid w:val="603A207B"/>
    <w:rsid w:val="6047981A"/>
    <w:rsid w:val="605765C3"/>
    <w:rsid w:val="606D6E19"/>
    <w:rsid w:val="607120F8"/>
    <w:rsid w:val="60B28170"/>
    <w:rsid w:val="60B74E50"/>
    <w:rsid w:val="60C0B8D7"/>
    <w:rsid w:val="60D297EC"/>
    <w:rsid w:val="60F78F02"/>
    <w:rsid w:val="612C7445"/>
    <w:rsid w:val="61462247"/>
    <w:rsid w:val="6156D0E6"/>
    <w:rsid w:val="6166C98A"/>
    <w:rsid w:val="61800ABF"/>
    <w:rsid w:val="6181CE82"/>
    <w:rsid w:val="61859AB2"/>
    <w:rsid w:val="6189A2C1"/>
    <w:rsid w:val="618D9CBB"/>
    <w:rsid w:val="618DEA89"/>
    <w:rsid w:val="6199C65D"/>
    <w:rsid w:val="619FDE5A"/>
    <w:rsid w:val="61B670FC"/>
    <w:rsid w:val="61EF869D"/>
    <w:rsid w:val="620AFAEA"/>
    <w:rsid w:val="623D6321"/>
    <w:rsid w:val="62450E1C"/>
    <w:rsid w:val="62478AE8"/>
    <w:rsid w:val="6268CEE2"/>
    <w:rsid w:val="627E346C"/>
    <w:rsid w:val="62862598"/>
    <w:rsid w:val="62934453"/>
    <w:rsid w:val="62A44BA0"/>
    <w:rsid w:val="62A602BE"/>
    <w:rsid w:val="62A70FAF"/>
    <w:rsid w:val="62ADC9E6"/>
    <w:rsid w:val="62C54733"/>
    <w:rsid w:val="62CD0E9E"/>
    <w:rsid w:val="62D51604"/>
    <w:rsid w:val="62EB48A6"/>
    <w:rsid w:val="63036D8D"/>
    <w:rsid w:val="631A3B0C"/>
    <w:rsid w:val="632C1994"/>
    <w:rsid w:val="6336567E"/>
    <w:rsid w:val="633E0C31"/>
    <w:rsid w:val="6340A2E1"/>
    <w:rsid w:val="63415DB3"/>
    <w:rsid w:val="6377514B"/>
    <w:rsid w:val="637B40DD"/>
    <w:rsid w:val="63A521A1"/>
    <w:rsid w:val="63B5E7F8"/>
    <w:rsid w:val="63BAB43B"/>
    <w:rsid w:val="63D16176"/>
    <w:rsid w:val="640E03E1"/>
    <w:rsid w:val="644CBB4B"/>
    <w:rsid w:val="6460BD6E"/>
    <w:rsid w:val="648722F7"/>
    <w:rsid w:val="648E2BB2"/>
    <w:rsid w:val="64A29922"/>
    <w:rsid w:val="64CD6013"/>
    <w:rsid w:val="64D78EFF"/>
    <w:rsid w:val="64E52279"/>
    <w:rsid w:val="64FAE6A1"/>
    <w:rsid w:val="65030756"/>
    <w:rsid w:val="6535C168"/>
    <w:rsid w:val="65385D97"/>
    <w:rsid w:val="653E8102"/>
    <w:rsid w:val="65596686"/>
    <w:rsid w:val="655A4B61"/>
    <w:rsid w:val="65663FDB"/>
    <w:rsid w:val="656D52C5"/>
    <w:rsid w:val="65A64EDA"/>
    <w:rsid w:val="65B700CD"/>
    <w:rsid w:val="65B967D7"/>
    <w:rsid w:val="65F1F3A6"/>
    <w:rsid w:val="66003E89"/>
    <w:rsid w:val="66446F98"/>
    <w:rsid w:val="664D4D7C"/>
    <w:rsid w:val="6656A3C2"/>
    <w:rsid w:val="665A2474"/>
    <w:rsid w:val="6662AF8D"/>
    <w:rsid w:val="6663DE2A"/>
    <w:rsid w:val="6671A618"/>
    <w:rsid w:val="6678B70F"/>
    <w:rsid w:val="667B7764"/>
    <w:rsid w:val="66979CC0"/>
    <w:rsid w:val="66A2F5DA"/>
    <w:rsid w:val="66A50893"/>
    <w:rsid w:val="66CB087E"/>
    <w:rsid w:val="66DB88AA"/>
    <w:rsid w:val="66DF5B02"/>
    <w:rsid w:val="66E2AE6B"/>
    <w:rsid w:val="66E413E7"/>
    <w:rsid w:val="66F01749"/>
    <w:rsid w:val="670B1DBD"/>
    <w:rsid w:val="6723DB7D"/>
    <w:rsid w:val="672FC40C"/>
    <w:rsid w:val="673412B0"/>
    <w:rsid w:val="6735F5E0"/>
    <w:rsid w:val="673F3713"/>
    <w:rsid w:val="674B4F32"/>
    <w:rsid w:val="6753ADBF"/>
    <w:rsid w:val="67582F3F"/>
    <w:rsid w:val="677734A0"/>
    <w:rsid w:val="677E647D"/>
    <w:rsid w:val="67930F37"/>
    <w:rsid w:val="679DE8AB"/>
    <w:rsid w:val="679E57FC"/>
    <w:rsid w:val="67B1B88E"/>
    <w:rsid w:val="67B23D49"/>
    <w:rsid w:val="680EB673"/>
    <w:rsid w:val="68322418"/>
    <w:rsid w:val="68495FF9"/>
    <w:rsid w:val="68797551"/>
    <w:rsid w:val="68A5AAC2"/>
    <w:rsid w:val="68AF912D"/>
    <w:rsid w:val="68B06C4C"/>
    <w:rsid w:val="68B515F8"/>
    <w:rsid w:val="68BF5046"/>
    <w:rsid w:val="68C3E69E"/>
    <w:rsid w:val="68D5FF97"/>
    <w:rsid w:val="68F3716C"/>
    <w:rsid w:val="6906E699"/>
    <w:rsid w:val="6917D09F"/>
    <w:rsid w:val="6920057C"/>
    <w:rsid w:val="69286B09"/>
    <w:rsid w:val="694614CF"/>
    <w:rsid w:val="6959B4E9"/>
    <w:rsid w:val="696BAA63"/>
    <w:rsid w:val="69944FEC"/>
    <w:rsid w:val="699692DF"/>
    <w:rsid w:val="699823F3"/>
    <w:rsid w:val="69AE676F"/>
    <w:rsid w:val="69B85C32"/>
    <w:rsid w:val="69C7B9FF"/>
    <w:rsid w:val="69D147CC"/>
    <w:rsid w:val="69D71F5C"/>
    <w:rsid w:val="69F7506D"/>
    <w:rsid w:val="6A14788D"/>
    <w:rsid w:val="6A1A0343"/>
    <w:rsid w:val="6A25F498"/>
    <w:rsid w:val="6A2EB432"/>
    <w:rsid w:val="6A4585DB"/>
    <w:rsid w:val="6A4CAD49"/>
    <w:rsid w:val="6A50DB87"/>
    <w:rsid w:val="6A5DE338"/>
    <w:rsid w:val="6A6AF661"/>
    <w:rsid w:val="6A94BAC6"/>
    <w:rsid w:val="6A9BE6F1"/>
    <w:rsid w:val="6AAA9DA6"/>
    <w:rsid w:val="6AAAED68"/>
    <w:rsid w:val="6AAAFD06"/>
    <w:rsid w:val="6ABE455B"/>
    <w:rsid w:val="6AC5DBFA"/>
    <w:rsid w:val="6AE338A6"/>
    <w:rsid w:val="6AF0627F"/>
    <w:rsid w:val="6AF858BF"/>
    <w:rsid w:val="6B2DD8E7"/>
    <w:rsid w:val="6B3314E2"/>
    <w:rsid w:val="6B442E3B"/>
    <w:rsid w:val="6B7BDE7C"/>
    <w:rsid w:val="6B873F8A"/>
    <w:rsid w:val="6BA25580"/>
    <w:rsid w:val="6BB71949"/>
    <w:rsid w:val="6BC2E0B6"/>
    <w:rsid w:val="6BCC6937"/>
    <w:rsid w:val="6BED7861"/>
    <w:rsid w:val="6BF1218B"/>
    <w:rsid w:val="6BF932C1"/>
    <w:rsid w:val="6BFF0851"/>
    <w:rsid w:val="6C0768D2"/>
    <w:rsid w:val="6C1337B7"/>
    <w:rsid w:val="6C15E883"/>
    <w:rsid w:val="6C233AD1"/>
    <w:rsid w:val="6C28599E"/>
    <w:rsid w:val="6C42D86C"/>
    <w:rsid w:val="6C604409"/>
    <w:rsid w:val="6C711A93"/>
    <w:rsid w:val="6C9C6D93"/>
    <w:rsid w:val="6D02CA8D"/>
    <w:rsid w:val="6D217F24"/>
    <w:rsid w:val="6D4319E5"/>
    <w:rsid w:val="6D470113"/>
    <w:rsid w:val="6D4AC730"/>
    <w:rsid w:val="6D723351"/>
    <w:rsid w:val="6D7485B2"/>
    <w:rsid w:val="6D82555B"/>
    <w:rsid w:val="6D8AB29C"/>
    <w:rsid w:val="6D9868F0"/>
    <w:rsid w:val="6D996916"/>
    <w:rsid w:val="6DB0C13D"/>
    <w:rsid w:val="6E04C9B0"/>
    <w:rsid w:val="6E0F4E18"/>
    <w:rsid w:val="6E294B14"/>
    <w:rsid w:val="6E2FF96A"/>
    <w:rsid w:val="6E382E69"/>
    <w:rsid w:val="6E404E06"/>
    <w:rsid w:val="6E5D6A44"/>
    <w:rsid w:val="6E78259C"/>
    <w:rsid w:val="6E7F61B8"/>
    <w:rsid w:val="6EA3C325"/>
    <w:rsid w:val="6EAB928E"/>
    <w:rsid w:val="6EAD3440"/>
    <w:rsid w:val="6ED8B9BD"/>
    <w:rsid w:val="6EEC8920"/>
    <w:rsid w:val="6EF33E35"/>
    <w:rsid w:val="6F00EC21"/>
    <w:rsid w:val="6F058CB9"/>
    <w:rsid w:val="6F06FF2B"/>
    <w:rsid w:val="6F19C82A"/>
    <w:rsid w:val="6F1EDBD5"/>
    <w:rsid w:val="6F61E3F5"/>
    <w:rsid w:val="6F6F9F62"/>
    <w:rsid w:val="6F9023D4"/>
    <w:rsid w:val="6F9A1C33"/>
    <w:rsid w:val="6F9D6DD7"/>
    <w:rsid w:val="6FA0D5DC"/>
    <w:rsid w:val="6FE07082"/>
    <w:rsid w:val="7000EB96"/>
    <w:rsid w:val="700F9E59"/>
    <w:rsid w:val="701C5657"/>
    <w:rsid w:val="7049B712"/>
    <w:rsid w:val="706BD9BC"/>
    <w:rsid w:val="706C08DD"/>
    <w:rsid w:val="707504B4"/>
    <w:rsid w:val="70778B6C"/>
    <w:rsid w:val="708A3C71"/>
    <w:rsid w:val="708E28A7"/>
    <w:rsid w:val="70A3B0F3"/>
    <w:rsid w:val="70A93C78"/>
    <w:rsid w:val="70AEBB9D"/>
    <w:rsid w:val="70CC8A59"/>
    <w:rsid w:val="70D9E7DA"/>
    <w:rsid w:val="70DEBD13"/>
    <w:rsid w:val="70E064A4"/>
    <w:rsid w:val="70F6AC87"/>
    <w:rsid w:val="70FA8924"/>
    <w:rsid w:val="70FC1BEC"/>
    <w:rsid w:val="70FFB024"/>
    <w:rsid w:val="710A8DCA"/>
    <w:rsid w:val="710F416D"/>
    <w:rsid w:val="71106B0A"/>
    <w:rsid w:val="7140079C"/>
    <w:rsid w:val="71590F4D"/>
    <w:rsid w:val="71691A15"/>
    <w:rsid w:val="7183F9D0"/>
    <w:rsid w:val="71957A7C"/>
    <w:rsid w:val="71B647DB"/>
    <w:rsid w:val="71BAB968"/>
    <w:rsid w:val="71EBE4BD"/>
    <w:rsid w:val="71F51F0E"/>
    <w:rsid w:val="7209D687"/>
    <w:rsid w:val="723E7FAA"/>
    <w:rsid w:val="724D9834"/>
    <w:rsid w:val="7254D931"/>
    <w:rsid w:val="7257369F"/>
    <w:rsid w:val="72844457"/>
    <w:rsid w:val="72B7AE76"/>
    <w:rsid w:val="72BAD2F7"/>
    <w:rsid w:val="72C32B23"/>
    <w:rsid w:val="72C628A7"/>
    <w:rsid w:val="72D38FB5"/>
    <w:rsid w:val="72E8D5F2"/>
    <w:rsid w:val="72F248E7"/>
    <w:rsid w:val="73136F87"/>
    <w:rsid w:val="732FBFD7"/>
    <w:rsid w:val="7331A966"/>
    <w:rsid w:val="7332F827"/>
    <w:rsid w:val="734310CC"/>
    <w:rsid w:val="73431850"/>
    <w:rsid w:val="7346FEC0"/>
    <w:rsid w:val="738C44A9"/>
    <w:rsid w:val="73A7D4E0"/>
    <w:rsid w:val="73A938CD"/>
    <w:rsid w:val="73AEA487"/>
    <w:rsid w:val="73C093D0"/>
    <w:rsid w:val="73DC92C5"/>
    <w:rsid w:val="73EE2065"/>
    <w:rsid w:val="74093810"/>
    <w:rsid w:val="742C5823"/>
    <w:rsid w:val="743C3BB0"/>
    <w:rsid w:val="743DB0F3"/>
    <w:rsid w:val="74435222"/>
    <w:rsid w:val="7448E811"/>
    <w:rsid w:val="74510CA3"/>
    <w:rsid w:val="7482769A"/>
    <w:rsid w:val="7482F66E"/>
    <w:rsid w:val="7496E925"/>
    <w:rsid w:val="74B81D96"/>
    <w:rsid w:val="74E7062E"/>
    <w:rsid w:val="74FD06C8"/>
    <w:rsid w:val="75036E5F"/>
    <w:rsid w:val="7533010E"/>
    <w:rsid w:val="755AEF72"/>
    <w:rsid w:val="756E61EB"/>
    <w:rsid w:val="757FCF8C"/>
    <w:rsid w:val="75838E97"/>
    <w:rsid w:val="758DB1D2"/>
    <w:rsid w:val="75A82EC0"/>
    <w:rsid w:val="75BB7FA3"/>
    <w:rsid w:val="75BEB50C"/>
    <w:rsid w:val="75C9D530"/>
    <w:rsid w:val="75D5E615"/>
    <w:rsid w:val="7610F9CC"/>
    <w:rsid w:val="76210D4E"/>
    <w:rsid w:val="762E03F6"/>
    <w:rsid w:val="764C2ACA"/>
    <w:rsid w:val="7659A763"/>
    <w:rsid w:val="7668BA7E"/>
    <w:rsid w:val="767D9B2B"/>
    <w:rsid w:val="76C034B0"/>
    <w:rsid w:val="76D33028"/>
    <w:rsid w:val="76D63CC5"/>
    <w:rsid w:val="76DAB9CA"/>
    <w:rsid w:val="77200B9F"/>
    <w:rsid w:val="7726FC7D"/>
    <w:rsid w:val="772C1E69"/>
    <w:rsid w:val="773349FF"/>
    <w:rsid w:val="773E043F"/>
    <w:rsid w:val="7758E19B"/>
    <w:rsid w:val="77888AD4"/>
    <w:rsid w:val="77924866"/>
    <w:rsid w:val="77A2596B"/>
    <w:rsid w:val="77AB4A4E"/>
    <w:rsid w:val="77AD27BF"/>
    <w:rsid w:val="77C80AFD"/>
    <w:rsid w:val="77CCBC9E"/>
    <w:rsid w:val="77D27A42"/>
    <w:rsid w:val="77F17ECD"/>
    <w:rsid w:val="77F35ED4"/>
    <w:rsid w:val="780B6205"/>
    <w:rsid w:val="780C49EF"/>
    <w:rsid w:val="7819BFD6"/>
    <w:rsid w:val="782CEDBA"/>
    <w:rsid w:val="7838E9C5"/>
    <w:rsid w:val="7839B223"/>
    <w:rsid w:val="784479C1"/>
    <w:rsid w:val="78517882"/>
    <w:rsid w:val="78642635"/>
    <w:rsid w:val="7865B27A"/>
    <w:rsid w:val="7872408F"/>
    <w:rsid w:val="7892F3B9"/>
    <w:rsid w:val="78A35418"/>
    <w:rsid w:val="78A394E4"/>
    <w:rsid w:val="78B01539"/>
    <w:rsid w:val="78C3ABE0"/>
    <w:rsid w:val="78C6AFB9"/>
    <w:rsid w:val="78D40258"/>
    <w:rsid w:val="78F21B7E"/>
    <w:rsid w:val="78F3AEFB"/>
    <w:rsid w:val="78FA8969"/>
    <w:rsid w:val="78FF987F"/>
    <w:rsid w:val="790D2090"/>
    <w:rsid w:val="7929EFAA"/>
    <w:rsid w:val="79395D60"/>
    <w:rsid w:val="793DA465"/>
    <w:rsid w:val="7941200B"/>
    <w:rsid w:val="79514721"/>
    <w:rsid w:val="7954B329"/>
    <w:rsid w:val="795AE813"/>
    <w:rsid w:val="797AAA45"/>
    <w:rsid w:val="79C42927"/>
    <w:rsid w:val="79D7A0F5"/>
    <w:rsid w:val="79D7DB49"/>
    <w:rsid w:val="79E34375"/>
    <w:rsid w:val="79F59746"/>
    <w:rsid w:val="79F6FB30"/>
    <w:rsid w:val="7A0A3DA3"/>
    <w:rsid w:val="7A39B5ED"/>
    <w:rsid w:val="7A3B4410"/>
    <w:rsid w:val="7A3D8CA6"/>
    <w:rsid w:val="7A5407EF"/>
    <w:rsid w:val="7A5F5C0F"/>
    <w:rsid w:val="7A6ED5F5"/>
    <w:rsid w:val="7A905702"/>
    <w:rsid w:val="7AB1EDDA"/>
    <w:rsid w:val="7ACB0E5C"/>
    <w:rsid w:val="7ACEFF95"/>
    <w:rsid w:val="7AD5B9B2"/>
    <w:rsid w:val="7ADD7A2A"/>
    <w:rsid w:val="7AF1D2C4"/>
    <w:rsid w:val="7AF710EB"/>
    <w:rsid w:val="7AFB7CCB"/>
    <w:rsid w:val="7B234AA2"/>
    <w:rsid w:val="7B241704"/>
    <w:rsid w:val="7B32210F"/>
    <w:rsid w:val="7B35CAA9"/>
    <w:rsid w:val="7B47C18E"/>
    <w:rsid w:val="7B4C3607"/>
    <w:rsid w:val="7B5032B6"/>
    <w:rsid w:val="7B783207"/>
    <w:rsid w:val="7BA5BDE7"/>
    <w:rsid w:val="7BCB4CFF"/>
    <w:rsid w:val="7BD32EF5"/>
    <w:rsid w:val="7BD43307"/>
    <w:rsid w:val="7BD5C7E2"/>
    <w:rsid w:val="7BE20841"/>
    <w:rsid w:val="7BF37347"/>
    <w:rsid w:val="7C3735D8"/>
    <w:rsid w:val="7C38221E"/>
    <w:rsid w:val="7C4F8F51"/>
    <w:rsid w:val="7C64BF03"/>
    <w:rsid w:val="7C6D7F6C"/>
    <w:rsid w:val="7C6FEE5B"/>
    <w:rsid w:val="7C7D997C"/>
    <w:rsid w:val="7C893F3B"/>
    <w:rsid w:val="7C977154"/>
    <w:rsid w:val="7C9FEBC8"/>
    <w:rsid w:val="7CB1F186"/>
    <w:rsid w:val="7CC5D0AE"/>
    <w:rsid w:val="7CC8C4B3"/>
    <w:rsid w:val="7CCDDCA1"/>
    <w:rsid w:val="7D07DFDC"/>
    <w:rsid w:val="7D08927E"/>
    <w:rsid w:val="7D14A09A"/>
    <w:rsid w:val="7D16076A"/>
    <w:rsid w:val="7D253D3F"/>
    <w:rsid w:val="7D2A9751"/>
    <w:rsid w:val="7D3CE77A"/>
    <w:rsid w:val="7D4D7152"/>
    <w:rsid w:val="7D984735"/>
    <w:rsid w:val="7DA76913"/>
    <w:rsid w:val="7DC032A4"/>
    <w:rsid w:val="7DC112D8"/>
    <w:rsid w:val="7DC738C9"/>
    <w:rsid w:val="7DCAFD95"/>
    <w:rsid w:val="7DCDDFA1"/>
    <w:rsid w:val="7DD24A2A"/>
    <w:rsid w:val="7DDD4A71"/>
    <w:rsid w:val="7DDE7262"/>
    <w:rsid w:val="7DEBD910"/>
    <w:rsid w:val="7DEE3F49"/>
    <w:rsid w:val="7DF1A02F"/>
    <w:rsid w:val="7E012F36"/>
    <w:rsid w:val="7E1060F8"/>
    <w:rsid w:val="7E1413E3"/>
    <w:rsid w:val="7E254D99"/>
    <w:rsid w:val="7E34BFA0"/>
    <w:rsid w:val="7E3B67A8"/>
    <w:rsid w:val="7E460C26"/>
    <w:rsid w:val="7E6EA74C"/>
    <w:rsid w:val="7E717644"/>
    <w:rsid w:val="7E748AE4"/>
    <w:rsid w:val="7E99CA36"/>
    <w:rsid w:val="7EA3138F"/>
    <w:rsid w:val="7EAAD7B8"/>
    <w:rsid w:val="7EB08AA2"/>
    <w:rsid w:val="7EB21061"/>
    <w:rsid w:val="7EE889EB"/>
    <w:rsid w:val="7EEF877F"/>
    <w:rsid w:val="7F044AEF"/>
    <w:rsid w:val="7F067568"/>
    <w:rsid w:val="7F071A36"/>
    <w:rsid w:val="7F296582"/>
    <w:rsid w:val="7F2E1355"/>
    <w:rsid w:val="7F32D7B7"/>
    <w:rsid w:val="7F53C4D4"/>
    <w:rsid w:val="7F5AA4B9"/>
    <w:rsid w:val="7F874FA1"/>
    <w:rsid w:val="7F8AECA0"/>
    <w:rsid w:val="7FADECA0"/>
    <w:rsid w:val="7FB7B702"/>
    <w:rsid w:val="7FC449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CCEC"/>
  <w15:chartTrackingRefBased/>
  <w15:docId w15:val="{64D9B29E-DBDB-4E71-BF30-577DB974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BA8"/>
    <w:pPr>
      <w:spacing w:line="288" w:lineRule="auto"/>
    </w:pPr>
    <w:rPr>
      <w:rFonts w:ascii="Verdana" w:hAnsi="Verdana"/>
      <w:sz w:val="24"/>
    </w:rPr>
  </w:style>
  <w:style w:type="paragraph" w:styleId="Heading1">
    <w:name w:val="heading 1"/>
    <w:basedOn w:val="Normal"/>
    <w:next w:val="Normal"/>
    <w:link w:val="Heading1Char"/>
    <w:uiPriority w:val="9"/>
    <w:qFormat/>
    <w:rsid w:val="00B87A79"/>
    <w:pPr>
      <w:keepNext/>
      <w:keepLines/>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B87A79"/>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B87A79"/>
    <w:pPr>
      <w:keepNext/>
      <w:keepLines/>
      <w:spacing w:before="40" w:line="480" w:lineRule="auto"/>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B87A79"/>
    <w:pPr>
      <w:keepNext/>
      <w:keepLines/>
      <w:spacing w:before="40" w:line="48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97031A"/>
    <w:rPr>
      <w:sz w:val="20"/>
      <w:szCs w:val="20"/>
    </w:rPr>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97031A"/>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97031A"/>
    <w:rPr>
      <w:vertAlign w:val="superscript"/>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05442D"/>
    <w:pPr>
      <w:ind w:left="720"/>
      <w:contextualSpacing/>
    </w:pPr>
  </w:style>
  <w:style w:type="character" w:customStyle="1" w:styleId="Heading1Char">
    <w:name w:val="Heading 1 Char"/>
    <w:basedOn w:val="DefaultParagraphFont"/>
    <w:link w:val="Heading1"/>
    <w:uiPriority w:val="9"/>
    <w:rsid w:val="00B87A79"/>
    <w:rPr>
      <w:rFonts w:ascii="Verdana" w:eastAsiaTheme="majorEastAsia" w:hAnsi="Verdana" w:cstheme="majorBidi"/>
      <w:b/>
      <w:color w:val="77328A"/>
      <w:sz w:val="40"/>
      <w:szCs w:val="32"/>
    </w:rPr>
  </w:style>
  <w:style w:type="character" w:customStyle="1" w:styleId="Heading2Char">
    <w:name w:val="Heading 2 Char"/>
    <w:basedOn w:val="DefaultParagraphFont"/>
    <w:link w:val="Heading2"/>
    <w:uiPriority w:val="9"/>
    <w:rsid w:val="00B87A79"/>
    <w:rPr>
      <w:rFonts w:ascii="Verdana" w:eastAsiaTheme="majorEastAsia" w:hAnsi="Verdana" w:cstheme="majorBidi"/>
      <w:b/>
      <w:color w:val="77328A"/>
      <w:sz w:val="30"/>
      <w:szCs w:val="26"/>
    </w:rPr>
  </w:style>
  <w:style w:type="paragraph" w:styleId="Header">
    <w:name w:val="header"/>
    <w:basedOn w:val="Normal"/>
    <w:link w:val="HeaderChar"/>
    <w:uiPriority w:val="99"/>
    <w:unhideWhenUsed/>
    <w:rsid w:val="00DA019D"/>
    <w:pPr>
      <w:tabs>
        <w:tab w:val="center" w:pos="4513"/>
        <w:tab w:val="right" w:pos="9026"/>
      </w:tabs>
    </w:pPr>
  </w:style>
  <w:style w:type="character" w:customStyle="1" w:styleId="HeaderChar">
    <w:name w:val="Header Char"/>
    <w:basedOn w:val="DefaultParagraphFont"/>
    <w:link w:val="Header"/>
    <w:uiPriority w:val="99"/>
    <w:rsid w:val="00DA019D"/>
  </w:style>
  <w:style w:type="paragraph" w:styleId="Footer">
    <w:name w:val="footer"/>
    <w:basedOn w:val="Normal"/>
    <w:link w:val="FooterChar"/>
    <w:uiPriority w:val="99"/>
    <w:unhideWhenUsed/>
    <w:rsid w:val="00DA019D"/>
    <w:pPr>
      <w:tabs>
        <w:tab w:val="center" w:pos="4513"/>
        <w:tab w:val="right" w:pos="9026"/>
      </w:tabs>
    </w:pPr>
  </w:style>
  <w:style w:type="character" w:customStyle="1" w:styleId="FooterChar">
    <w:name w:val="Footer Char"/>
    <w:basedOn w:val="DefaultParagraphFont"/>
    <w:link w:val="Footer"/>
    <w:uiPriority w:val="99"/>
    <w:rsid w:val="00DA019D"/>
  </w:style>
  <w:style w:type="paragraph" w:styleId="Quote">
    <w:name w:val="Quote"/>
    <w:basedOn w:val="Normal"/>
    <w:next w:val="Normal"/>
    <w:link w:val="QuoteChar"/>
    <w:uiPriority w:val="29"/>
    <w:qFormat/>
    <w:rsid w:val="00492D02"/>
    <w:pPr>
      <w:ind w:left="964" w:right="720"/>
    </w:pPr>
    <w:rPr>
      <w:iCs/>
    </w:rPr>
  </w:style>
  <w:style w:type="character" w:customStyle="1" w:styleId="QuoteChar">
    <w:name w:val="Quote Char"/>
    <w:basedOn w:val="DefaultParagraphFont"/>
    <w:link w:val="Quote"/>
    <w:uiPriority w:val="29"/>
    <w:rsid w:val="00492D02"/>
    <w:rPr>
      <w:rFonts w:ascii="Verdana" w:hAnsi="Verdana"/>
      <w:iCs/>
      <w:sz w:val="24"/>
    </w:rPr>
  </w:style>
  <w:style w:type="character" w:styleId="CommentReference">
    <w:name w:val="annotation reference"/>
    <w:basedOn w:val="DefaultParagraphFont"/>
    <w:uiPriority w:val="99"/>
    <w:semiHidden/>
    <w:unhideWhenUsed/>
    <w:rsid w:val="004B27B8"/>
    <w:rPr>
      <w:sz w:val="16"/>
      <w:szCs w:val="16"/>
    </w:rPr>
  </w:style>
  <w:style w:type="paragraph" w:styleId="CommentText">
    <w:name w:val="annotation text"/>
    <w:basedOn w:val="Normal"/>
    <w:link w:val="CommentTextChar"/>
    <w:uiPriority w:val="99"/>
    <w:unhideWhenUsed/>
    <w:rsid w:val="004B27B8"/>
    <w:rPr>
      <w:sz w:val="20"/>
      <w:szCs w:val="20"/>
    </w:rPr>
  </w:style>
  <w:style w:type="character" w:customStyle="1" w:styleId="CommentTextChar">
    <w:name w:val="Comment Text Char"/>
    <w:basedOn w:val="DefaultParagraphFont"/>
    <w:link w:val="CommentText"/>
    <w:uiPriority w:val="99"/>
    <w:rsid w:val="004B27B8"/>
    <w:rPr>
      <w:sz w:val="20"/>
      <w:szCs w:val="20"/>
    </w:rPr>
  </w:style>
  <w:style w:type="paragraph" w:styleId="CommentSubject">
    <w:name w:val="annotation subject"/>
    <w:basedOn w:val="CommentText"/>
    <w:next w:val="CommentText"/>
    <w:link w:val="CommentSubjectChar"/>
    <w:uiPriority w:val="99"/>
    <w:semiHidden/>
    <w:unhideWhenUsed/>
    <w:rsid w:val="004B27B8"/>
    <w:rPr>
      <w:b/>
      <w:bCs/>
    </w:rPr>
  </w:style>
  <w:style w:type="character" w:customStyle="1" w:styleId="CommentSubjectChar">
    <w:name w:val="Comment Subject Char"/>
    <w:basedOn w:val="CommentTextChar"/>
    <w:link w:val="CommentSubject"/>
    <w:uiPriority w:val="99"/>
    <w:semiHidden/>
    <w:rsid w:val="004B27B8"/>
    <w:rPr>
      <w:b/>
      <w:bCs/>
      <w:sz w:val="20"/>
      <w:szCs w:val="20"/>
    </w:rPr>
  </w:style>
  <w:style w:type="paragraph" w:styleId="BalloonText">
    <w:name w:val="Balloon Text"/>
    <w:basedOn w:val="Normal"/>
    <w:link w:val="BalloonTextChar"/>
    <w:uiPriority w:val="99"/>
    <w:semiHidden/>
    <w:unhideWhenUsed/>
    <w:rsid w:val="004B2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B8"/>
    <w:rPr>
      <w:rFonts w:ascii="Segoe UI" w:hAnsi="Segoe UI" w:cs="Segoe UI"/>
      <w:sz w:val="18"/>
      <w:szCs w:val="18"/>
    </w:rPr>
  </w:style>
  <w:style w:type="character" w:customStyle="1" w:styleId="Heading3Char">
    <w:name w:val="Heading 3 Char"/>
    <w:basedOn w:val="DefaultParagraphFont"/>
    <w:link w:val="Heading3"/>
    <w:uiPriority w:val="9"/>
    <w:rsid w:val="00B87A79"/>
    <w:rPr>
      <w:rFonts w:ascii="Verdana" w:eastAsiaTheme="majorEastAsia" w:hAnsi="Verdana" w:cstheme="majorBidi"/>
      <w:b/>
      <w:sz w:val="30"/>
      <w:szCs w:val="24"/>
    </w:rPr>
  </w:style>
  <w:style w:type="paragraph" w:customStyle="1" w:styleId="BasicParagraph">
    <w:name w:val="[Basic Paragraph]"/>
    <w:basedOn w:val="Normal"/>
    <w:uiPriority w:val="99"/>
    <w:rsid w:val="00611963"/>
    <w:pPr>
      <w:widowControl w:val="0"/>
      <w:autoSpaceDE w:val="0"/>
      <w:autoSpaceDN w:val="0"/>
      <w:adjustRightInd w:val="0"/>
      <w:textAlignment w:val="center"/>
    </w:pPr>
    <w:rPr>
      <w:rFonts w:ascii="MinionPro-Regular" w:eastAsiaTheme="minorEastAsia" w:hAnsi="MinionPro-Regular" w:cs="MinionPro-Regular"/>
      <w:color w:val="000000"/>
      <w:szCs w:val="24"/>
    </w:rPr>
  </w:style>
  <w:style w:type="paragraph" w:customStyle="1" w:styleId="Default">
    <w:name w:val="Default"/>
    <w:rsid w:val="00611963"/>
    <w:pPr>
      <w:widowControl w:val="0"/>
      <w:autoSpaceDE w:val="0"/>
      <w:autoSpaceDN w:val="0"/>
      <w:adjustRightInd w:val="0"/>
    </w:pPr>
    <w:rPr>
      <w:rFonts w:ascii="Verdana" w:eastAsiaTheme="minorEastAsia" w:hAnsi="Verdana" w:cs="Verdana"/>
      <w:color w:val="000000"/>
      <w:sz w:val="24"/>
      <w:szCs w:val="24"/>
      <w:lang w:val="en-US"/>
    </w:rPr>
  </w:style>
  <w:style w:type="paragraph" w:styleId="TOCHeading">
    <w:name w:val="TOC Heading"/>
    <w:basedOn w:val="Heading1"/>
    <w:next w:val="Normal"/>
    <w:uiPriority w:val="39"/>
    <w:unhideWhenUsed/>
    <w:qFormat/>
    <w:rsid w:val="00395DFD"/>
    <w:pPr>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37CF9"/>
    <w:pPr>
      <w:tabs>
        <w:tab w:val="left" w:pos="660"/>
        <w:tab w:val="right" w:leader="dot" w:pos="9016"/>
      </w:tabs>
      <w:spacing w:line="360" w:lineRule="auto"/>
    </w:pPr>
    <w:rPr>
      <w:b/>
      <w:noProof/>
    </w:rPr>
  </w:style>
  <w:style w:type="paragraph" w:styleId="TOC2">
    <w:name w:val="toc 2"/>
    <w:basedOn w:val="Normal"/>
    <w:next w:val="Normal"/>
    <w:autoRedefine/>
    <w:uiPriority w:val="39"/>
    <w:unhideWhenUsed/>
    <w:rsid w:val="006467FF"/>
    <w:pPr>
      <w:tabs>
        <w:tab w:val="right" w:leader="dot" w:pos="9016"/>
      </w:tabs>
      <w:spacing w:after="100"/>
      <w:ind w:left="240"/>
    </w:pPr>
  </w:style>
  <w:style w:type="paragraph" w:styleId="TOC3">
    <w:name w:val="toc 3"/>
    <w:basedOn w:val="Normal"/>
    <w:next w:val="Normal"/>
    <w:autoRedefine/>
    <w:uiPriority w:val="39"/>
    <w:unhideWhenUsed/>
    <w:rsid w:val="00395DFD"/>
    <w:pPr>
      <w:spacing w:after="100"/>
      <w:ind w:left="480"/>
    </w:pPr>
  </w:style>
  <w:style w:type="character" w:styleId="Hyperlink">
    <w:name w:val="Hyperlink"/>
    <w:basedOn w:val="DefaultParagraphFont"/>
    <w:uiPriority w:val="99"/>
    <w:unhideWhenUsed/>
    <w:rsid w:val="00395DFD"/>
    <w:rPr>
      <w:color w:val="0563C1" w:themeColor="hyperlink"/>
      <w:u w:val="single"/>
    </w:rPr>
  </w:style>
  <w:style w:type="table" w:styleId="TableGrid">
    <w:name w:val="Table Grid"/>
    <w:basedOn w:val="TableNormal"/>
    <w:uiPriority w:val="39"/>
    <w:rsid w:val="0039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5DFD"/>
    <w:rPr>
      <w:rFonts w:ascii="Verdana" w:hAnsi="Verdana"/>
      <w:sz w:val="24"/>
    </w:rPr>
  </w:style>
  <w:style w:type="character" w:customStyle="1" w:styleId="NoSpacingChar">
    <w:name w:val="No Spacing Char"/>
    <w:basedOn w:val="DefaultParagraphFont"/>
    <w:link w:val="NoSpacing"/>
    <w:uiPriority w:val="1"/>
    <w:rsid w:val="00395DFD"/>
    <w:rPr>
      <w:rFonts w:ascii="Verdana" w:hAnsi="Verdana"/>
      <w:sz w:val="24"/>
    </w:rPr>
  </w:style>
  <w:style w:type="character" w:styleId="FollowedHyperlink">
    <w:name w:val="FollowedHyperlink"/>
    <w:basedOn w:val="DefaultParagraphFont"/>
    <w:uiPriority w:val="99"/>
    <w:semiHidden/>
    <w:unhideWhenUsed/>
    <w:rsid w:val="00B039E7"/>
    <w:rPr>
      <w:color w:val="954F72" w:themeColor="followedHyperlink"/>
      <w:u w:val="single"/>
    </w:rPr>
  </w:style>
  <w:style w:type="paragraph" w:styleId="Revision">
    <w:name w:val="Revision"/>
    <w:hidden/>
    <w:uiPriority w:val="99"/>
    <w:semiHidden/>
    <w:rsid w:val="008D4607"/>
    <w:rPr>
      <w:rFonts w:ascii="Verdana" w:hAnsi="Verdana"/>
      <w:sz w:val="24"/>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D72BA8"/>
    <w:rPr>
      <w:rFonts w:ascii="Verdana" w:hAnsi="Verdana"/>
      <w:sz w:val="24"/>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BF4148"/>
    <w:pPr>
      <w:spacing w:after="160" w:line="240" w:lineRule="exact"/>
      <w:jc w:val="both"/>
    </w:pPr>
    <w:rPr>
      <w:rFonts w:asciiTheme="minorHAnsi" w:hAnsiTheme="minorHAnsi"/>
      <w:sz w:val="22"/>
      <w:vertAlign w:val="superscript"/>
    </w:rPr>
  </w:style>
  <w:style w:type="character" w:customStyle="1" w:styleId="sb8d990e2">
    <w:name w:val="sb8d990e2"/>
    <w:basedOn w:val="DefaultParagraphFont"/>
    <w:rsid w:val="00722752"/>
  </w:style>
  <w:style w:type="character" w:customStyle="1" w:styleId="column">
    <w:name w:val="column"/>
    <w:basedOn w:val="DefaultParagraphFont"/>
    <w:rsid w:val="0010432E"/>
  </w:style>
  <w:style w:type="paragraph" w:styleId="NormalWeb">
    <w:name w:val="Normal (Web)"/>
    <w:basedOn w:val="Normal"/>
    <w:uiPriority w:val="99"/>
    <w:unhideWhenUsed/>
    <w:rsid w:val="0004115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205A2C"/>
    <w:rPr>
      <w:color w:val="605E5C"/>
      <w:shd w:val="clear" w:color="auto" w:fill="E1DFDD"/>
    </w:rPr>
  </w:style>
  <w:style w:type="paragraph" w:customStyle="1" w:styleId="NIHRCFootnotes">
    <w:name w:val="NIHRC Footnotes"/>
    <w:basedOn w:val="Normal"/>
    <w:qFormat/>
    <w:rsid w:val="00066CEB"/>
    <w:pPr>
      <w:tabs>
        <w:tab w:val="left" w:pos="284"/>
      </w:tabs>
      <w:spacing w:line="240" w:lineRule="auto"/>
      <w:jc w:val="both"/>
    </w:pPr>
    <w:rPr>
      <w:rFonts w:eastAsiaTheme="minorEastAsia" w:cs="Arial"/>
      <w:color w:val="77328A"/>
      <w:sz w:val="16"/>
      <w:szCs w:val="16"/>
    </w:rPr>
  </w:style>
  <w:style w:type="character" w:customStyle="1" w:styleId="Heading4Char">
    <w:name w:val="Heading 4 Char"/>
    <w:basedOn w:val="DefaultParagraphFont"/>
    <w:link w:val="Heading4"/>
    <w:uiPriority w:val="9"/>
    <w:rsid w:val="00B87A79"/>
    <w:rPr>
      <w:rFonts w:ascii="Verdana" w:eastAsiaTheme="majorEastAsia" w:hAnsi="Verdana" w:cstheme="majorBidi"/>
      <w:b/>
      <w:iCs/>
      <w:sz w:val="24"/>
    </w:rPr>
  </w:style>
  <w:style w:type="character" w:styleId="Strong">
    <w:name w:val="Strong"/>
    <w:basedOn w:val="DefaultParagraphFont"/>
    <w:uiPriority w:val="22"/>
    <w:qFormat/>
    <w:rsid w:val="009E191A"/>
    <w:rPr>
      <w:b/>
      <w:bCs/>
    </w:rPr>
  </w:style>
  <w:style w:type="character" w:customStyle="1" w:styleId="cf01">
    <w:name w:val="cf01"/>
    <w:basedOn w:val="DefaultParagraphFont"/>
    <w:rsid w:val="00897A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52314">
      <w:bodyDiv w:val="1"/>
      <w:marLeft w:val="0"/>
      <w:marRight w:val="0"/>
      <w:marTop w:val="0"/>
      <w:marBottom w:val="0"/>
      <w:divBdr>
        <w:top w:val="none" w:sz="0" w:space="0" w:color="auto"/>
        <w:left w:val="none" w:sz="0" w:space="0" w:color="auto"/>
        <w:bottom w:val="none" w:sz="0" w:space="0" w:color="auto"/>
        <w:right w:val="none" w:sz="0" w:space="0" w:color="auto"/>
      </w:divBdr>
    </w:div>
    <w:div w:id="1466774980">
      <w:bodyDiv w:val="1"/>
      <w:marLeft w:val="0"/>
      <w:marRight w:val="0"/>
      <w:marTop w:val="0"/>
      <w:marBottom w:val="0"/>
      <w:divBdr>
        <w:top w:val="none" w:sz="0" w:space="0" w:color="auto"/>
        <w:left w:val="none" w:sz="0" w:space="0" w:color="auto"/>
        <w:bottom w:val="none" w:sz="0" w:space="0" w:color="auto"/>
        <w:right w:val="none" w:sz="0" w:space="0" w:color="auto"/>
      </w:divBdr>
    </w:div>
    <w:div w:id="1658916585">
      <w:bodyDiv w:val="1"/>
      <w:marLeft w:val="0"/>
      <w:marRight w:val="0"/>
      <w:marTop w:val="0"/>
      <w:marBottom w:val="0"/>
      <w:divBdr>
        <w:top w:val="none" w:sz="0" w:space="0" w:color="auto"/>
        <w:left w:val="none" w:sz="0" w:space="0" w:color="auto"/>
        <w:bottom w:val="none" w:sz="0" w:space="0" w:color="auto"/>
        <w:right w:val="none" w:sz="0" w:space="0" w:color="auto"/>
      </w:divBdr>
    </w:div>
    <w:div w:id="1746995424">
      <w:bodyDiv w:val="1"/>
      <w:marLeft w:val="0"/>
      <w:marRight w:val="0"/>
      <w:marTop w:val="0"/>
      <w:marBottom w:val="0"/>
      <w:divBdr>
        <w:top w:val="none" w:sz="0" w:space="0" w:color="auto"/>
        <w:left w:val="none" w:sz="0" w:space="0" w:color="auto"/>
        <w:bottom w:val="none" w:sz="0" w:space="0" w:color="auto"/>
        <w:right w:val="none" w:sz="0" w:space="0" w:color="auto"/>
      </w:divBdr>
    </w:div>
    <w:div w:id="1752464061">
      <w:bodyDiv w:val="1"/>
      <w:marLeft w:val="0"/>
      <w:marRight w:val="0"/>
      <w:marTop w:val="0"/>
      <w:marBottom w:val="0"/>
      <w:divBdr>
        <w:top w:val="none" w:sz="0" w:space="0" w:color="auto"/>
        <w:left w:val="none" w:sz="0" w:space="0" w:color="auto"/>
        <w:bottom w:val="none" w:sz="0" w:space="0" w:color="auto"/>
        <w:right w:val="none" w:sz="0" w:space="0" w:color="auto"/>
      </w:divBdr>
    </w:div>
    <w:div w:id="1857498662">
      <w:bodyDiv w:val="1"/>
      <w:marLeft w:val="0"/>
      <w:marRight w:val="0"/>
      <w:marTop w:val="0"/>
      <w:marBottom w:val="0"/>
      <w:divBdr>
        <w:top w:val="none" w:sz="0" w:space="0" w:color="auto"/>
        <w:left w:val="none" w:sz="0" w:space="0" w:color="auto"/>
        <w:bottom w:val="none" w:sz="0" w:space="0" w:color="auto"/>
        <w:right w:val="none" w:sz="0" w:space="0" w:color="auto"/>
      </w:divBdr>
    </w:div>
    <w:div w:id="1861353789">
      <w:bodyDiv w:val="1"/>
      <w:marLeft w:val="0"/>
      <w:marRight w:val="0"/>
      <w:marTop w:val="0"/>
      <w:marBottom w:val="0"/>
      <w:divBdr>
        <w:top w:val="none" w:sz="0" w:space="0" w:color="auto"/>
        <w:left w:val="none" w:sz="0" w:space="0" w:color="auto"/>
        <w:bottom w:val="none" w:sz="0" w:space="0" w:color="auto"/>
        <w:right w:val="none" w:sz="0" w:space="0" w:color="auto"/>
      </w:divBdr>
    </w:div>
    <w:div w:id="19095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rir.independent-inquiry.uk/icrir-board-our-commiss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SharedWithUsers xmlns="806d6863-a85d-4a14-ba5d-ada9e5b222dd">
      <UserInfo>
        <DisplayName>Hannah Russell</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15BB4-886D-49DC-B843-ED320AA206C6}">
  <ds:schemaRefs>
    <ds:schemaRef ds:uri="http://purl.org/dc/terms/"/>
    <ds:schemaRef ds:uri="806d6863-a85d-4a14-ba5d-ada9e5b222d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2479bdc-b58c-44ab-9f0f-fa5baefb3da2"/>
    <ds:schemaRef ds:uri="http://www.w3.org/XML/1998/namespace"/>
    <ds:schemaRef ds:uri="http://purl.org/dc/dcmitype/"/>
  </ds:schemaRefs>
</ds:datastoreItem>
</file>

<file path=customXml/itemProps2.xml><?xml version="1.0" encoding="utf-8"?>
<ds:datastoreItem xmlns:ds="http://schemas.openxmlformats.org/officeDocument/2006/customXml" ds:itemID="{8E932EBE-91D2-4E3A-9389-548A9E39C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BBAEA-5E19-46A6-9436-B38270BBFE93}">
  <ds:schemaRefs>
    <ds:schemaRef ds:uri="http://schemas.microsoft.com/sharepoint/v3/contenttype/forms"/>
  </ds:schemaRefs>
</ds:datastoreItem>
</file>

<file path=customXml/itemProps4.xml><?xml version="1.0" encoding="utf-8"?>
<ds:datastoreItem xmlns:ds="http://schemas.openxmlformats.org/officeDocument/2006/customXml" ds:itemID="{D312D978-22D9-40DE-AD5E-A6D39E49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31</Pages>
  <Words>7390</Words>
  <Characters>42127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49419</CharactersWithSpaces>
  <SharedDoc>false</SharedDoc>
  <HLinks>
    <vt:vector size="102" baseType="variant">
      <vt:variant>
        <vt:i4>6946881</vt:i4>
      </vt:variant>
      <vt:variant>
        <vt:i4>87</vt:i4>
      </vt:variant>
      <vt:variant>
        <vt:i4>0</vt:i4>
      </vt:variant>
      <vt:variant>
        <vt:i4>5</vt:i4>
      </vt:variant>
      <vt:variant>
        <vt:lpwstr>mailto:info@nihrc.org</vt:lpwstr>
      </vt:variant>
      <vt:variant>
        <vt:lpwstr/>
      </vt:variant>
      <vt:variant>
        <vt:i4>4587543</vt:i4>
      </vt:variant>
      <vt:variant>
        <vt:i4>84</vt:i4>
      </vt:variant>
      <vt:variant>
        <vt:i4>0</vt:i4>
      </vt:variant>
      <vt:variant>
        <vt:i4>5</vt:i4>
      </vt:variant>
      <vt:variant>
        <vt:lpwstr>http://www.nihrc.org/</vt:lpwstr>
      </vt:variant>
      <vt:variant>
        <vt:lpwstr/>
      </vt:variant>
      <vt:variant>
        <vt:i4>6881286</vt:i4>
      </vt:variant>
      <vt:variant>
        <vt:i4>81</vt:i4>
      </vt:variant>
      <vt:variant>
        <vt:i4>0</vt:i4>
      </vt:variant>
      <vt:variant>
        <vt:i4>5</vt:i4>
      </vt:variant>
      <vt:variant>
        <vt:lpwstr>mailto:Colin.Caughey@nihrc.org</vt:lpwstr>
      </vt:variant>
      <vt:variant>
        <vt:lpwstr/>
      </vt:variant>
      <vt:variant>
        <vt:i4>1441855</vt:i4>
      </vt:variant>
      <vt:variant>
        <vt:i4>74</vt:i4>
      </vt:variant>
      <vt:variant>
        <vt:i4>0</vt:i4>
      </vt:variant>
      <vt:variant>
        <vt:i4>5</vt:i4>
      </vt:variant>
      <vt:variant>
        <vt:lpwstr/>
      </vt:variant>
      <vt:variant>
        <vt:lpwstr>_Toc164091362</vt:lpwstr>
      </vt:variant>
      <vt:variant>
        <vt:i4>1441855</vt:i4>
      </vt:variant>
      <vt:variant>
        <vt:i4>68</vt:i4>
      </vt:variant>
      <vt:variant>
        <vt:i4>0</vt:i4>
      </vt:variant>
      <vt:variant>
        <vt:i4>5</vt:i4>
      </vt:variant>
      <vt:variant>
        <vt:lpwstr/>
      </vt:variant>
      <vt:variant>
        <vt:lpwstr>_Toc164091361</vt:lpwstr>
      </vt:variant>
      <vt:variant>
        <vt:i4>1441855</vt:i4>
      </vt:variant>
      <vt:variant>
        <vt:i4>62</vt:i4>
      </vt:variant>
      <vt:variant>
        <vt:i4>0</vt:i4>
      </vt:variant>
      <vt:variant>
        <vt:i4>5</vt:i4>
      </vt:variant>
      <vt:variant>
        <vt:lpwstr/>
      </vt:variant>
      <vt:variant>
        <vt:lpwstr>_Toc164091360</vt:lpwstr>
      </vt:variant>
      <vt:variant>
        <vt:i4>1376319</vt:i4>
      </vt:variant>
      <vt:variant>
        <vt:i4>56</vt:i4>
      </vt:variant>
      <vt:variant>
        <vt:i4>0</vt:i4>
      </vt:variant>
      <vt:variant>
        <vt:i4>5</vt:i4>
      </vt:variant>
      <vt:variant>
        <vt:lpwstr/>
      </vt:variant>
      <vt:variant>
        <vt:lpwstr>_Toc164091359</vt:lpwstr>
      </vt:variant>
      <vt:variant>
        <vt:i4>1376319</vt:i4>
      </vt:variant>
      <vt:variant>
        <vt:i4>50</vt:i4>
      </vt:variant>
      <vt:variant>
        <vt:i4>0</vt:i4>
      </vt:variant>
      <vt:variant>
        <vt:i4>5</vt:i4>
      </vt:variant>
      <vt:variant>
        <vt:lpwstr/>
      </vt:variant>
      <vt:variant>
        <vt:lpwstr>_Toc164091358</vt:lpwstr>
      </vt:variant>
      <vt:variant>
        <vt:i4>1376319</vt:i4>
      </vt:variant>
      <vt:variant>
        <vt:i4>44</vt:i4>
      </vt:variant>
      <vt:variant>
        <vt:i4>0</vt:i4>
      </vt:variant>
      <vt:variant>
        <vt:i4>5</vt:i4>
      </vt:variant>
      <vt:variant>
        <vt:lpwstr/>
      </vt:variant>
      <vt:variant>
        <vt:lpwstr>_Toc164091357</vt:lpwstr>
      </vt:variant>
      <vt:variant>
        <vt:i4>1376319</vt:i4>
      </vt:variant>
      <vt:variant>
        <vt:i4>38</vt:i4>
      </vt:variant>
      <vt:variant>
        <vt:i4>0</vt:i4>
      </vt:variant>
      <vt:variant>
        <vt:i4>5</vt:i4>
      </vt:variant>
      <vt:variant>
        <vt:lpwstr/>
      </vt:variant>
      <vt:variant>
        <vt:lpwstr>_Toc164091356</vt:lpwstr>
      </vt:variant>
      <vt:variant>
        <vt:i4>1376319</vt:i4>
      </vt:variant>
      <vt:variant>
        <vt:i4>32</vt:i4>
      </vt:variant>
      <vt:variant>
        <vt:i4>0</vt:i4>
      </vt:variant>
      <vt:variant>
        <vt:i4>5</vt:i4>
      </vt:variant>
      <vt:variant>
        <vt:lpwstr/>
      </vt:variant>
      <vt:variant>
        <vt:lpwstr>_Toc164091355</vt:lpwstr>
      </vt:variant>
      <vt:variant>
        <vt:i4>1376319</vt:i4>
      </vt:variant>
      <vt:variant>
        <vt:i4>26</vt:i4>
      </vt:variant>
      <vt:variant>
        <vt:i4>0</vt:i4>
      </vt:variant>
      <vt:variant>
        <vt:i4>5</vt:i4>
      </vt:variant>
      <vt:variant>
        <vt:lpwstr/>
      </vt:variant>
      <vt:variant>
        <vt:lpwstr>_Toc164091354</vt:lpwstr>
      </vt:variant>
      <vt:variant>
        <vt:i4>1376319</vt:i4>
      </vt:variant>
      <vt:variant>
        <vt:i4>20</vt:i4>
      </vt:variant>
      <vt:variant>
        <vt:i4>0</vt:i4>
      </vt:variant>
      <vt:variant>
        <vt:i4>5</vt:i4>
      </vt:variant>
      <vt:variant>
        <vt:lpwstr/>
      </vt:variant>
      <vt:variant>
        <vt:lpwstr>_Toc164091353</vt:lpwstr>
      </vt:variant>
      <vt:variant>
        <vt:i4>1376319</vt:i4>
      </vt:variant>
      <vt:variant>
        <vt:i4>14</vt:i4>
      </vt:variant>
      <vt:variant>
        <vt:i4>0</vt:i4>
      </vt:variant>
      <vt:variant>
        <vt:i4>5</vt:i4>
      </vt:variant>
      <vt:variant>
        <vt:lpwstr/>
      </vt:variant>
      <vt:variant>
        <vt:lpwstr>_Toc164091352</vt:lpwstr>
      </vt:variant>
      <vt:variant>
        <vt:i4>1376319</vt:i4>
      </vt:variant>
      <vt:variant>
        <vt:i4>8</vt:i4>
      </vt:variant>
      <vt:variant>
        <vt:i4>0</vt:i4>
      </vt:variant>
      <vt:variant>
        <vt:i4>5</vt:i4>
      </vt:variant>
      <vt:variant>
        <vt:lpwstr/>
      </vt:variant>
      <vt:variant>
        <vt:lpwstr>_Toc164091351</vt:lpwstr>
      </vt:variant>
      <vt:variant>
        <vt:i4>1376319</vt:i4>
      </vt:variant>
      <vt:variant>
        <vt:i4>2</vt:i4>
      </vt:variant>
      <vt:variant>
        <vt:i4>0</vt:i4>
      </vt:variant>
      <vt:variant>
        <vt:i4>5</vt:i4>
      </vt:variant>
      <vt:variant>
        <vt:lpwstr/>
      </vt:variant>
      <vt:variant>
        <vt:lpwstr>_Toc164091350</vt:lpwstr>
      </vt:variant>
      <vt:variant>
        <vt:i4>3014706</vt:i4>
      </vt:variant>
      <vt:variant>
        <vt:i4>0</vt:i4>
      </vt:variant>
      <vt:variant>
        <vt:i4>0</vt:i4>
      </vt:variant>
      <vt:variant>
        <vt:i4>5</vt:i4>
      </vt:variant>
      <vt:variant>
        <vt:lpwstr>https://icrir.independent-inquiry.uk/icrir-board-our-commissioners/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208</cp:revision>
  <cp:lastPrinted>2024-04-23T13:38:00Z</cp:lastPrinted>
  <dcterms:created xsi:type="dcterms:W3CDTF">2024-04-15T11:06:00Z</dcterms:created>
  <dcterms:modified xsi:type="dcterms:W3CDTF">2024-04-23T13:38:00Z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17900400</vt:r8>
  </property>
  <property fmtid="{D5CDD505-2E9C-101B-9397-08002B2CF9AE}" pid="4" name="MediaServiceImageTags">
    <vt:lpwstr/>
  </property>
</Properties>
</file>