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9794A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21D0DD0" w14:textId="77777777" w:rsidR="00BD2E10" w:rsidRPr="00EA12CE" w:rsidRDefault="00BD2E10" w:rsidP="003B7D0E">
      <w:pPr>
        <w:pStyle w:val="BasicParagraph"/>
        <w:suppressAutoHyphens/>
        <w:jc w:val="center"/>
        <w:rPr>
          <w:rFonts w:ascii="Verdana" w:hAnsi="Verdana" w:cs="Arial"/>
          <w:b/>
          <w:bCs/>
          <w:color w:val="734791"/>
          <w:sz w:val="36"/>
          <w:szCs w:val="36"/>
        </w:rPr>
      </w:pPr>
    </w:p>
    <w:p w14:paraId="57C7C2F8" w14:textId="535A7C4E" w:rsidR="0096459E" w:rsidRPr="003B7D0E" w:rsidRDefault="00AD6F9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Executive Office’s Consultation on the </w:t>
      </w:r>
      <w:r w:rsidR="007E69FB">
        <w:rPr>
          <w:rFonts w:ascii="Verdana" w:hAnsi="Verdana" w:cs="Arial"/>
          <w:b/>
          <w:bCs/>
          <w:color w:val="77328A"/>
          <w:sz w:val="36"/>
          <w:szCs w:val="36"/>
        </w:rPr>
        <w:t>New Strategy for Victims and Survivors</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388A3B41" w:rsidR="008159E8" w:rsidRPr="00331C61" w:rsidRDefault="00C324B6" w:rsidP="003B7D0E">
      <w:pPr>
        <w:jc w:val="center"/>
        <w:rPr>
          <w:rFonts w:cs="Arial"/>
          <w:b/>
          <w:color w:val="232120"/>
          <w:sz w:val="30"/>
          <w:szCs w:val="30"/>
        </w:rPr>
      </w:pPr>
      <w:r>
        <w:rPr>
          <w:rFonts w:cs="Arial"/>
          <w:b/>
          <w:color w:val="232120"/>
          <w:sz w:val="30"/>
          <w:szCs w:val="30"/>
        </w:rPr>
        <w:t>April</w:t>
      </w:r>
      <w:r w:rsidR="0096056C">
        <w:rPr>
          <w:rFonts w:cs="Arial"/>
          <w:b/>
          <w:color w:val="232120"/>
          <w:sz w:val="30"/>
          <w:szCs w:val="30"/>
        </w:rPr>
        <w:t xml:space="preserve"> 202</w:t>
      </w:r>
      <w:r w:rsidR="007E69FB">
        <w:rPr>
          <w:rFonts w:cs="Arial"/>
          <w:b/>
          <w:color w:val="232120"/>
          <w:sz w:val="30"/>
          <w:szCs w:val="30"/>
        </w:rPr>
        <w:t>4</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73F7FE9" w14:textId="4761EE0D" w:rsidR="0096056C" w:rsidRPr="00D84515" w:rsidRDefault="0096056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638D7FAB" w14:textId="77777777" w:rsidR="0096056C" w:rsidRPr="00D84515" w:rsidRDefault="0096056C" w:rsidP="0096056C">
          <w:pPr>
            <w:rPr>
              <w:lang w:val="en-US"/>
            </w:rPr>
          </w:pPr>
        </w:p>
        <w:p w14:paraId="28EC5FEA" w14:textId="694E3F0C" w:rsidR="00C324B6" w:rsidRPr="00C324B6" w:rsidRDefault="0096056C" w:rsidP="00C324B6">
          <w:pPr>
            <w:pStyle w:val="TOC1"/>
            <w:rPr>
              <w:rFonts w:asciiTheme="minorHAnsi" w:hAnsiTheme="minorHAnsi"/>
              <w:kern w:val="2"/>
              <w:sz w:val="22"/>
              <w:szCs w:val="22"/>
              <w:lang w:eastAsia="en-GB"/>
              <w14:ligatures w14:val="standardContextual"/>
            </w:rPr>
          </w:pPr>
          <w:r w:rsidRPr="00D84515">
            <w:rPr>
              <w:noProof w:val="0"/>
            </w:rPr>
            <w:fldChar w:fldCharType="begin"/>
          </w:r>
          <w:r w:rsidRPr="00D84515">
            <w:instrText xml:space="preserve"> TOC \o "1-3" \h \z \u </w:instrText>
          </w:r>
          <w:r w:rsidRPr="00D84515">
            <w:rPr>
              <w:noProof w:val="0"/>
            </w:rPr>
            <w:fldChar w:fldCharType="separate"/>
          </w:r>
          <w:hyperlink w:anchor="_Toc163637897" w:history="1">
            <w:r w:rsidR="00C324B6" w:rsidRPr="00C324B6">
              <w:rPr>
                <w:rStyle w:val="Hyperlink"/>
              </w:rPr>
              <w:t>Summary of Recommendations</w:t>
            </w:r>
            <w:r w:rsidR="00C324B6" w:rsidRPr="00C324B6">
              <w:rPr>
                <w:webHidden/>
              </w:rPr>
              <w:tab/>
            </w:r>
            <w:r w:rsidR="00C324B6" w:rsidRPr="00C324B6">
              <w:rPr>
                <w:webHidden/>
              </w:rPr>
              <w:fldChar w:fldCharType="begin"/>
            </w:r>
            <w:r w:rsidR="00C324B6" w:rsidRPr="00C324B6">
              <w:rPr>
                <w:webHidden/>
              </w:rPr>
              <w:instrText xml:space="preserve"> PAGEREF _Toc163637897 \h </w:instrText>
            </w:r>
            <w:r w:rsidR="00C324B6" w:rsidRPr="00C324B6">
              <w:rPr>
                <w:webHidden/>
              </w:rPr>
            </w:r>
            <w:r w:rsidR="00C324B6" w:rsidRPr="00C324B6">
              <w:rPr>
                <w:webHidden/>
              </w:rPr>
              <w:fldChar w:fldCharType="separate"/>
            </w:r>
            <w:r w:rsidR="00A77890">
              <w:rPr>
                <w:webHidden/>
              </w:rPr>
              <w:t>3</w:t>
            </w:r>
            <w:r w:rsidR="00C324B6" w:rsidRPr="00C324B6">
              <w:rPr>
                <w:webHidden/>
              </w:rPr>
              <w:fldChar w:fldCharType="end"/>
            </w:r>
          </w:hyperlink>
        </w:p>
        <w:p w14:paraId="0F285559" w14:textId="238B5B82" w:rsidR="00C324B6" w:rsidRDefault="00000000" w:rsidP="00C324B6">
          <w:pPr>
            <w:pStyle w:val="TOC1"/>
            <w:rPr>
              <w:rFonts w:asciiTheme="minorHAnsi" w:hAnsiTheme="minorHAnsi"/>
              <w:kern w:val="2"/>
              <w:sz w:val="22"/>
              <w:szCs w:val="22"/>
              <w:lang w:eastAsia="en-GB"/>
              <w14:ligatures w14:val="standardContextual"/>
            </w:rPr>
          </w:pPr>
          <w:hyperlink w:anchor="_Toc163637898" w:history="1">
            <w:r w:rsidR="00C324B6" w:rsidRPr="001C0E9A">
              <w:rPr>
                <w:rStyle w:val="Hyperlink"/>
              </w:rPr>
              <w:t>1.0</w:t>
            </w:r>
            <w:r w:rsidR="00C324B6">
              <w:rPr>
                <w:rFonts w:asciiTheme="minorHAnsi" w:hAnsiTheme="minorHAnsi"/>
                <w:kern w:val="2"/>
                <w:sz w:val="22"/>
                <w:szCs w:val="22"/>
                <w:lang w:eastAsia="en-GB"/>
                <w14:ligatures w14:val="standardContextual"/>
              </w:rPr>
              <w:tab/>
            </w:r>
            <w:r w:rsidR="00C324B6" w:rsidRPr="001C0E9A">
              <w:rPr>
                <w:rStyle w:val="Hyperlink"/>
              </w:rPr>
              <w:t>Introduction</w:t>
            </w:r>
            <w:r w:rsidR="00C324B6">
              <w:rPr>
                <w:webHidden/>
              </w:rPr>
              <w:tab/>
            </w:r>
            <w:r w:rsidR="00C324B6">
              <w:rPr>
                <w:webHidden/>
              </w:rPr>
              <w:fldChar w:fldCharType="begin"/>
            </w:r>
            <w:r w:rsidR="00C324B6">
              <w:rPr>
                <w:webHidden/>
              </w:rPr>
              <w:instrText xml:space="preserve"> PAGEREF _Toc163637898 \h </w:instrText>
            </w:r>
            <w:r w:rsidR="00C324B6">
              <w:rPr>
                <w:webHidden/>
              </w:rPr>
            </w:r>
            <w:r w:rsidR="00C324B6">
              <w:rPr>
                <w:webHidden/>
              </w:rPr>
              <w:fldChar w:fldCharType="separate"/>
            </w:r>
            <w:r w:rsidR="00A77890">
              <w:rPr>
                <w:webHidden/>
              </w:rPr>
              <w:t>6</w:t>
            </w:r>
            <w:r w:rsidR="00C324B6">
              <w:rPr>
                <w:webHidden/>
              </w:rPr>
              <w:fldChar w:fldCharType="end"/>
            </w:r>
          </w:hyperlink>
        </w:p>
        <w:p w14:paraId="195EF9CC" w14:textId="33847CC3" w:rsidR="00C324B6" w:rsidRDefault="00000000" w:rsidP="00C324B6">
          <w:pPr>
            <w:pStyle w:val="TOC1"/>
            <w:rPr>
              <w:rFonts w:asciiTheme="minorHAnsi" w:hAnsiTheme="minorHAnsi"/>
              <w:kern w:val="2"/>
              <w:sz w:val="22"/>
              <w:szCs w:val="22"/>
              <w:lang w:eastAsia="en-GB"/>
              <w14:ligatures w14:val="standardContextual"/>
            </w:rPr>
          </w:pPr>
          <w:hyperlink w:anchor="_Toc163637899" w:history="1">
            <w:r w:rsidR="00C324B6" w:rsidRPr="001C0E9A">
              <w:rPr>
                <w:rStyle w:val="Hyperlink"/>
              </w:rPr>
              <w:t>2.0</w:t>
            </w:r>
            <w:r w:rsidR="00C324B6">
              <w:rPr>
                <w:rFonts w:asciiTheme="minorHAnsi" w:hAnsiTheme="minorHAnsi"/>
                <w:kern w:val="2"/>
                <w:sz w:val="22"/>
                <w:szCs w:val="22"/>
                <w:lang w:eastAsia="en-GB"/>
                <w14:ligatures w14:val="standardContextual"/>
              </w:rPr>
              <w:tab/>
            </w:r>
            <w:r w:rsidR="00C324B6" w:rsidRPr="001C0E9A">
              <w:rPr>
                <w:rStyle w:val="Hyperlink"/>
              </w:rPr>
              <w:t>General Comments</w:t>
            </w:r>
            <w:r w:rsidR="00C324B6">
              <w:rPr>
                <w:webHidden/>
              </w:rPr>
              <w:tab/>
            </w:r>
            <w:r w:rsidR="00C324B6">
              <w:rPr>
                <w:webHidden/>
              </w:rPr>
              <w:fldChar w:fldCharType="begin"/>
            </w:r>
            <w:r w:rsidR="00C324B6">
              <w:rPr>
                <w:webHidden/>
              </w:rPr>
              <w:instrText xml:space="preserve"> PAGEREF _Toc163637899 \h </w:instrText>
            </w:r>
            <w:r w:rsidR="00C324B6">
              <w:rPr>
                <w:webHidden/>
              </w:rPr>
            </w:r>
            <w:r w:rsidR="00C324B6">
              <w:rPr>
                <w:webHidden/>
              </w:rPr>
              <w:fldChar w:fldCharType="separate"/>
            </w:r>
            <w:r w:rsidR="00A77890">
              <w:rPr>
                <w:webHidden/>
              </w:rPr>
              <w:t>9</w:t>
            </w:r>
            <w:r w:rsidR="00C324B6">
              <w:rPr>
                <w:webHidden/>
              </w:rPr>
              <w:fldChar w:fldCharType="end"/>
            </w:r>
          </w:hyperlink>
        </w:p>
        <w:p w14:paraId="6BA1BF01" w14:textId="76D961B7" w:rsidR="00C324B6" w:rsidRDefault="00000000">
          <w:pPr>
            <w:pStyle w:val="TOC2"/>
            <w:rPr>
              <w:rFonts w:asciiTheme="minorHAnsi" w:hAnsiTheme="minorHAnsi"/>
              <w:kern w:val="2"/>
              <w:sz w:val="22"/>
              <w:szCs w:val="22"/>
              <w:lang w:eastAsia="en-GB"/>
              <w14:ligatures w14:val="standardContextual"/>
            </w:rPr>
          </w:pPr>
          <w:hyperlink w:anchor="_Toc163637900" w:history="1">
            <w:r w:rsidR="00C324B6" w:rsidRPr="001C0E9A">
              <w:rPr>
                <w:rStyle w:val="Hyperlink"/>
              </w:rPr>
              <w:t>Human rights impact assessment</w:t>
            </w:r>
            <w:r w:rsidR="00C324B6">
              <w:rPr>
                <w:webHidden/>
              </w:rPr>
              <w:tab/>
            </w:r>
            <w:r w:rsidR="00C324B6">
              <w:rPr>
                <w:webHidden/>
              </w:rPr>
              <w:fldChar w:fldCharType="begin"/>
            </w:r>
            <w:r w:rsidR="00C324B6">
              <w:rPr>
                <w:webHidden/>
              </w:rPr>
              <w:instrText xml:space="preserve"> PAGEREF _Toc163637900 \h </w:instrText>
            </w:r>
            <w:r w:rsidR="00C324B6">
              <w:rPr>
                <w:webHidden/>
              </w:rPr>
            </w:r>
            <w:r w:rsidR="00C324B6">
              <w:rPr>
                <w:webHidden/>
              </w:rPr>
              <w:fldChar w:fldCharType="separate"/>
            </w:r>
            <w:r w:rsidR="00A77890">
              <w:rPr>
                <w:webHidden/>
              </w:rPr>
              <w:t>9</w:t>
            </w:r>
            <w:r w:rsidR="00C324B6">
              <w:rPr>
                <w:webHidden/>
              </w:rPr>
              <w:fldChar w:fldCharType="end"/>
            </w:r>
          </w:hyperlink>
        </w:p>
        <w:p w14:paraId="37297689" w14:textId="57FC0C1C" w:rsidR="00C324B6" w:rsidRDefault="00000000">
          <w:pPr>
            <w:pStyle w:val="TOC2"/>
            <w:rPr>
              <w:rFonts w:asciiTheme="minorHAnsi" w:hAnsiTheme="minorHAnsi"/>
              <w:kern w:val="2"/>
              <w:sz w:val="22"/>
              <w:szCs w:val="22"/>
              <w:lang w:eastAsia="en-GB"/>
              <w14:ligatures w14:val="standardContextual"/>
            </w:rPr>
          </w:pPr>
          <w:hyperlink w:anchor="_Toc163637901" w:history="1">
            <w:r w:rsidR="00C324B6" w:rsidRPr="001C0E9A">
              <w:rPr>
                <w:rStyle w:val="Hyperlink"/>
              </w:rPr>
              <w:t>Windsor Framework Article 2</w:t>
            </w:r>
            <w:r w:rsidR="00C324B6">
              <w:rPr>
                <w:webHidden/>
              </w:rPr>
              <w:tab/>
            </w:r>
            <w:r w:rsidR="00C324B6">
              <w:rPr>
                <w:webHidden/>
              </w:rPr>
              <w:fldChar w:fldCharType="begin"/>
            </w:r>
            <w:r w:rsidR="00C324B6">
              <w:rPr>
                <w:webHidden/>
              </w:rPr>
              <w:instrText xml:space="preserve"> PAGEREF _Toc163637901 \h </w:instrText>
            </w:r>
            <w:r w:rsidR="00C324B6">
              <w:rPr>
                <w:webHidden/>
              </w:rPr>
            </w:r>
            <w:r w:rsidR="00C324B6">
              <w:rPr>
                <w:webHidden/>
              </w:rPr>
              <w:fldChar w:fldCharType="separate"/>
            </w:r>
            <w:r w:rsidR="00A77890">
              <w:rPr>
                <w:webHidden/>
              </w:rPr>
              <w:t>10</w:t>
            </w:r>
            <w:r w:rsidR="00C324B6">
              <w:rPr>
                <w:webHidden/>
              </w:rPr>
              <w:fldChar w:fldCharType="end"/>
            </w:r>
          </w:hyperlink>
        </w:p>
        <w:p w14:paraId="4CB53245" w14:textId="5E78A1A1" w:rsidR="00C324B6" w:rsidRDefault="00000000">
          <w:pPr>
            <w:pStyle w:val="TOC2"/>
            <w:rPr>
              <w:rFonts w:asciiTheme="minorHAnsi" w:hAnsiTheme="minorHAnsi"/>
              <w:kern w:val="2"/>
              <w:sz w:val="22"/>
              <w:szCs w:val="22"/>
              <w:lang w:eastAsia="en-GB"/>
              <w14:ligatures w14:val="standardContextual"/>
            </w:rPr>
          </w:pPr>
          <w:hyperlink w:anchor="_Toc163637902" w:history="1">
            <w:r w:rsidR="00C324B6" w:rsidRPr="001C0E9A">
              <w:rPr>
                <w:rStyle w:val="Hyperlink"/>
              </w:rPr>
              <w:t>Human rights based approach</w:t>
            </w:r>
            <w:r w:rsidR="00C324B6">
              <w:rPr>
                <w:webHidden/>
              </w:rPr>
              <w:tab/>
            </w:r>
            <w:r w:rsidR="00C324B6">
              <w:rPr>
                <w:webHidden/>
              </w:rPr>
              <w:fldChar w:fldCharType="begin"/>
            </w:r>
            <w:r w:rsidR="00C324B6">
              <w:rPr>
                <w:webHidden/>
              </w:rPr>
              <w:instrText xml:space="preserve"> PAGEREF _Toc163637902 \h </w:instrText>
            </w:r>
            <w:r w:rsidR="00C324B6">
              <w:rPr>
                <w:webHidden/>
              </w:rPr>
            </w:r>
            <w:r w:rsidR="00C324B6">
              <w:rPr>
                <w:webHidden/>
              </w:rPr>
              <w:fldChar w:fldCharType="separate"/>
            </w:r>
            <w:r w:rsidR="00A77890">
              <w:rPr>
                <w:webHidden/>
              </w:rPr>
              <w:t>13</w:t>
            </w:r>
            <w:r w:rsidR="00C324B6">
              <w:rPr>
                <w:webHidden/>
              </w:rPr>
              <w:fldChar w:fldCharType="end"/>
            </w:r>
          </w:hyperlink>
        </w:p>
        <w:p w14:paraId="5E566C5D" w14:textId="3B41862D" w:rsidR="00C324B6" w:rsidRDefault="00000000">
          <w:pPr>
            <w:pStyle w:val="TOC2"/>
            <w:rPr>
              <w:rFonts w:asciiTheme="minorHAnsi" w:hAnsiTheme="minorHAnsi"/>
              <w:kern w:val="2"/>
              <w:sz w:val="22"/>
              <w:szCs w:val="22"/>
              <w:lang w:eastAsia="en-GB"/>
              <w14:ligatures w14:val="standardContextual"/>
            </w:rPr>
          </w:pPr>
          <w:hyperlink w:anchor="_Toc163637903" w:history="1">
            <w:r w:rsidR="00C324B6" w:rsidRPr="001C0E9A">
              <w:rPr>
                <w:rStyle w:val="Hyperlink"/>
              </w:rPr>
              <w:t>Funding</w:t>
            </w:r>
            <w:r w:rsidR="00C324B6">
              <w:rPr>
                <w:webHidden/>
              </w:rPr>
              <w:tab/>
            </w:r>
            <w:r w:rsidR="00C324B6">
              <w:rPr>
                <w:webHidden/>
              </w:rPr>
              <w:fldChar w:fldCharType="begin"/>
            </w:r>
            <w:r w:rsidR="00C324B6">
              <w:rPr>
                <w:webHidden/>
              </w:rPr>
              <w:instrText xml:space="preserve"> PAGEREF _Toc163637903 \h </w:instrText>
            </w:r>
            <w:r w:rsidR="00C324B6">
              <w:rPr>
                <w:webHidden/>
              </w:rPr>
            </w:r>
            <w:r w:rsidR="00C324B6">
              <w:rPr>
                <w:webHidden/>
              </w:rPr>
              <w:fldChar w:fldCharType="separate"/>
            </w:r>
            <w:r w:rsidR="00A77890">
              <w:rPr>
                <w:webHidden/>
              </w:rPr>
              <w:t>16</w:t>
            </w:r>
            <w:r w:rsidR="00C324B6">
              <w:rPr>
                <w:webHidden/>
              </w:rPr>
              <w:fldChar w:fldCharType="end"/>
            </w:r>
          </w:hyperlink>
        </w:p>
        <w:p w14:paraId="348809D2" w14:textId="443790D8" w:rsidR="00C324B6" w:rsidRDefault="00000000" w:rsidP="00C324B6">
          <w:pPr>
            <w:pStyle w:val="TOC1"/>
            <w:rPr>
              <w:rFonts w:asciiTheme="minorHAnsi" w:hAnsiTheme="minorHAnsi"/>
              <w:kern w:val="2"/>
              <w:sz w:val="22"/>
              <w:szCs w:val="22"/>
              <w:lang w:eastAsia="en-GB"/>
              <w14:ligatures w14:val="standardContextual"/>
            </w:rPr>
          </w:pPr>
          <w:hyperlink w:anchor="_Toc163637904" w:history="1">
            <w:r w:rsidR="00C324B6" w:rsidRPr="001C0E9A">
              <w:rPr>
                <w:rStyle w:val="Hyperlink"/>
              </w:rPr>
              <w:t>3.0</w:t>
            </w:r>
            <w:r w:rsidR="00C324B6">
              <w:rPr>
                <w:rFonts w:asciiTheme="minorHAnsi" w:hAnsiTheme="minorHAnsi"/>
                <w:kern w:val="2"/>
                <w:sz w:val="22"/>
                <w:szCs w:val="22"/>
                <w:lang w:eastAsia="en-GB"/>
                <w14:ligatures w14:val="standardContextual"/>
              </w:rPr>
              <w:tab/>
            </w:r>
            <w:r w:rsidR="00C324B6" w:rsidRPr="001C0E9A">
              <w:rPr>
                <w:rStyle w:val="Hyperlink"/>
              </w:rPr>
              <w:t>Needs of Victims and Survivors</w:t>
            </w:r>
            <w:r w:rsidR="00C324B6">
              <w:rPr>
                <w:webHidden/>
              </w:rPr>
              <w:tab/>
            </w:r>
            <w:r w:rsidR="00C324B6">
              <w:rPr>
                <w:webHidden/>
              </w:rPr>
              <w:fldChar w:fldCharType="begin"/>
            </w:r>
            <w:r w:rsidR="00C324B6">
              <w:rPr>
                <w:webHidden/>
              </w:rPr>
              <w:instrText xml:space="preserve"> PAGEREF _Toc163637904 \h </w:instrText>
            </w:r>
            <w:r w:rsidR="00C324B6">
              <w:rPr>
                <w:webHidden/>
              </w:rPr>
            </w:r>
            <w:r w:rsidR="00C324B6">
              <w:rPr>
                <w:webHidden/>
              </w:rPr>
              <w:fldChar w:fldCharType="separate"/>
            </w:r>
            <w:r w:rsidR="00A77890">
              <w:rPr>
                <w:webHidden/>
              </w:rPr>
              <w:t>18</w:t>
            </w:r>
            <w:r w:rsidR="00C324B6">
              <w:rPr>
                <w:webHidden/>
              </w:rPr>
              <w:fldChar w:fldCharType="end"/>
            </w:r>
          </w:hyperlink>
        </w:p>
        <w:p w14:paraId="61ED958E" w14:textId="4A840CE2" w:rsidR="00C324B6" w:rsidRDefault="00000000">
          <w:pPr>
            <w:pStyle w:val="TOC2"/>
            <w:rPr>
              <w:rFonts w:asciiTheme="minorHAnsi" w:hAnsiTheme="minorHAnsi"/>
              <w:kern w:val="2"/>
              <w:sz w:val="22"/>
              <w:szCs w:val="22"/>
              <w:lang w:eastAsia="en-GB"/>
              <w14:ligatures w14:val="standardContextual"/>
            </w:rPr>
          </w:pPr>
          <w:hyperlink w:anchor="_Toc163637905" w:history="1">
            <w:r w:rsidR="00C324B6" w:rsidRPr="001C0E9A">
              <w:rPr>
                <w:rStyle w:val="Hyperlink"/>
              </w:rPr>
              <w:t>The NI Troubles (Legacy and Reconciliation) Act 2023</w:t>
            </w:r>
            <w:r w:rsidR="00C324B6">
              <w:rPr>
                <w:webHidden/>
              </w:rPr>
              <w:tab/>
            </w:r>
            <w:r w:rsidR="00C324B6">
              <w:rPr>
                <w:webHidden/>
              </w:rPr>
              <w:fldChar w:fldCharType="begin"/>
            </w:r>
            <w:r w:rsidR="00C324B6">
              <w:rPr>
                <w:webHidden/>
              </w:rPr>
              <w:instrText xml:space="preserve"> PAGEREF _Toc163637905 \h </w:instrText>
            </w:r>
            <w:r w:rsidR="00C324B6">
              <w:rPr>
                <w:webHidden/>
              </w:rPr>
            </w:r>
            <w:r w:rsidR="00C324B6">
              <w:rPr>
                <w:webHidden/>
              </w:rPr>
              <w:fldChar w:fldCharType="separate"/>
            </w:r>
            <w:r w:rsidR="00A77890">
              <w:rPr>
                <w:webHidden/>
              </w:rPr>
              <w:t>18</w:t>
            </w:r>
            <w:r w:rsidR="00C324B6">
              <w:rPr>
                <w:webHidden/>
              </w:rPr>
              <w:fldChar w:fldCharType="end"/>
            </w:r>
          </w:hyperlink>
        </w:p>
        <w:p w14:paraId="728F4160" w14:textId="6764F930" w:rsidR="00C324B6" w:rsidRDefault="00000000">
          <w:pPr>
            <w:pStyle w:val="TOC2"/>
            <w:rPr>
              <w:rFonts w:asciiTheme="minorHAnsi" w:hAnsiTheme="minorHAnsi"/>
              <w:kern w:val="2"/>
              <w:sz w:val="22"/>
              <w:szCs w:val="22"/>
              <w:lang w:eastAsia="en-GB"/>
              <w14:ligatures w14:val="standardContextual"/>
            </w:rPr>
          </w:pPr>
          <w:hyperlink w:anchor="_Toc163637906" w:history="1">
            <w:r w:rsidR="00C324B6" w:rsidRPr="001C0E9A">
              <w:rPr>
                <w:rStyle w:val="Hyperlink"/>
              </w:rPr>
              <w:t>Barriers to justice and support</w:t>
            </w:r>
            <w:r w:rsidR="00C324B6">
              <w:rPr>
                <w:webHidden/>
              </w:rPr>
              <w:tab/>
            </w:r>
            <w:r w:rsidR="00C324B6">
              <w:rPr>
                <w:webHidden/>
              </w:rPr>
              <w:fldChar w:fldCharType="begin"/>
            </w:r>
            <w:r w:rsidR="00C324B6">
              <w:rPr>
                <w:webHidden/>
              </w:rPr>
              <w:instrText xml:space="preserve"> PAGEREF _Toc163637906 \h </w:instrText>
            </w:r>
            <w:r w:rsidR="00C324B6">
              <w:rPr>
                <w:webHidden/>
              </w:rPr>
            </w:r>
            <w:r w:rsidR="00C324B6">
              <w:rPr>
                <w:webHidden/>
              </w:rPr>
              <w:fldChar w:fldCharType="separate"/>
            </w:r>
            <w:r w:rsidR="00A77890">
              <w:rPr>
                <w:webHidden/>
              </w:rPr>
              <w:t>19</w:t>
            </w:r>
            <w:r w:rsidR="00C324B6">
              <w:rPr>
                <w:webHidden/>
              </w:rPr>
              <w:fldChar w:fldCharType="end"/>
            </w:r>
          </w:hyperlink>
        </w:p>
        <w:p w14:paraId="7CCBE314" w14:textId="25445A56" w:rsidR="00C324B6" w:rsidRDefault="00000000">
          <w:pPr>
            <w:pStyle w:val="TOC2"/>
            <w:rPr>
              <w:rFonts w:asciiTheme="minorHAnsi" w:hAnsiTheme="minorHAnsi"/>
              <w:kern w:val="2"/>
              <w:sz w:val="22"/>
              <w:szCs w:val="22"/>
              <w:lang w:eastAsia="en-GB"/>
              <w14:ligatures w14:val="standardContextual"/>
            </w:rPr>
          </w:pPr>
          <w:hyperlink w:anchor="_Toc163637907" w:history="1">
            <w:r w:rsidR="00C324B6" w:rsidRPr="001C0E9A">
              <w:rPr>
                <w:rStyle w:val="Hyperlink"/>
              </w:rPr>
              <w:t>Specific protection needs</w:t>
            </w:r>
            <w:r w:rsidR="00C324B6">
              <w:rPr>
                <w:webHidden/>
              </w:rPr>
              <w:tab/>
            </w:r>
            <w:r w:rsidR="00C324B6">
              <w:rPr>
                <w:webHidden/>
              </w:rPr>
              <w:fldChar w:fldCharType="begin"/>
            </w:r>
            <w:r w:rsidR="00C324B6">
              <w:rPr>
                <w:webHidden/>
              </w:rPr>
              <w:instrText xml:space="preserve"> PAGEREF _Toc163637907 \h </w:instrText>
            </w:r>
            <w:r w:rsidR="00C324B6">
              <w:rPr>
                <w:webHidden/>
              </w:rPr>
            </w:r>
            <w:r w:rsidR="00C324B6">
              <w:rPr>
                <w:webHidden/>
              </w:rPr>
              <w:fldChar w:fldCharType="separate"/>
            </w:r>
            <w:r w:rsidR="00A77890">
              <w:rPr>
                <w:webHidden/>
              </w:rPr>
              <w:t>24</w:t>
            </w:r>
            <w:r w:rsidR="00C324B6">
              <w:rPr>
                <w:webHidden/>
              </w:rPr>
              <w:fldChar w:fldCharType="end"/>
            </w:r>
          </w:hyperlink>
        </w:p>
        <w:p w14:paraId="34D362FD" w14:textId="3461039A" w:rsidR="00C324B6" w:rsidRDefault="00000000">
          <w:pPr>
            <w:pStyle w:val="TOC2"/>
            <w:rPr>
              <w:rFonts w:asciiTheme="minorHAnsi" w:hAnsiTheme="minorHAnsi"/>
              <w:kern w:val="2"/>
              <w:sz w:val="22"/>
              <w:szCs w:val="22"/>
              <w:lang w:eastAsia="en-GB"/>
              <w14:ligatures w14:val="standardContextual"/>
            </w:rPr>
          </w:pPr>
          <w:hyperlink w:anchor="_Toc163637908" w:history="1">
            <w:r w:rsidR="00C324B6" w:rsidRPr="001C0E9A">
              <w:rPr>
                <w:rStyle w:val="Hyperlink"/>
              </w:rPr>
              <w:t>Victims’ Payments Scheme</w:t>
            </w:r>
            <w:r w:rsidR="00C324B6">
              <w:rPr>
                <w:webHidden/>
              </w:rPr>
              <w:tab/>
            </w:r>
            <w:r w:rsidR="00C324B6">
              <w:rPr>
                <w:webHidden/>
              </w:rPr>
              <w:fldChar w:fldCharType="begin"/>
            </w:r>
            <w:r w:rsidR="00C324B6">
              <w:rPr>
                <w:webHidden/>
              </w:rPr>
              <w:instrText xml:space="preserve"> PAGEREF _Toc163637908 \h </w:instrText>
            </w:r>
            <w:r w:rsidR="00C324B6">
              <w:rPr>
                <w:webHidden/>
              </w:rPr>
            </w:r>
            <w:r w:rsidR="00C324B6">
              <w:rPr>
                <w:webHidden/>
              </w:rPr>
              <w:fldChar w:fldCharType="separate"/>
            </w:r>
            <w:r w:rsidR="00A77890">
              <w:rPr>
                <w:webHidden/>
              </w:rPr>
              <w:t>29</w:t>
            </w:r>
            <w:r w:rsidR="00C324B6">
              <w:rPr>
                <w:webHidden/>
              </w:rPr>
              <w:fldChar w:fldCharType="end"/>
            </w:r>
          </w:hyperlink>
        </w:p>
        <w:p w14:paraId="2C894CF7" w14:textId="68E1DAA8" w:rsidR="00C324B6" w:rsidRDefault="00000000">
          <w:pPr>
            <w:pStyle w:val="TOC2"/>
            <w:rPr>
              <w:rFonts w:asciiTheme="minorHAnsi" w:hAnsiTheme="minorHAnsi"/>
              <w:kern w:val="2"/>
              <w:sz w:val="22"/>
              <w:szCs w:val="22"/>
              <w:lang w:eastAsia="en-GB"/>
              <w14:ligatures w14:val="standardContextual"/>
            </w:rPr>
          </w:pPr>
          <w:hyperlink w:anchor="_Toc163637909" w:history="1">
            <w:r w:rsidR="00C324B6" w:rsidRPr="001C0E9A">
              <w:rPr>
                <w:rStyle w:val="Hyperlink"/>
              </w:rPr>
              <w:t>Training of Practitioners</w:t>
            </w:r>
            <w:r w:rsidR="00C324B6">
              <w:rPr>
                <w:webHidden/>
              </w:rPr>
              <w:tab/>
            </w:r>
            <w:r w:rsidR="00C324B6">
              <w:rPr>
                <w:webHidden/>
              </w:rPr>
              <w:fldChar w:fldCharType="begin"/>
            </w:r>
            <w:r w:rsidR="00C324B6">
              <w:rPr>
                <w:webHidden/>
              </w:rPr>
              <w:instrText xml:space="preserve"> PAGEREF _Toc163637909 \h </w:instrText>
            </w:r>
            <w:r w:rsidR="00C324B6">
              <w:rPr>
                <w:webHidden/>
              </w:rPr>
            </w:r>
            <w:r w:rsidR="00C324B6">
              <w:rPr>
                <w:webHidden/>
              </w:rPr>
              <w:fldChar w:fldCharType="separate"/>
            </w:r>
            <w:r w:rsidR="00A77890">
              <w:rPr>
                <w:webHidden/>
              </w:rPr>
              <w:t>31</w:t>
            </w:r>
            <w:r w:rsidR="00C324B6">
              <w:rPr>
                <w:webHidden/>
              </w:rPr>
              <w:fldChar w:fldCharType="end"/>
            </w:r>
          </w:hyperlink>
        </w:p>
        <w:p w14:paraId="2A5A7D64" w14:textId="6FD91EA0" w:rsidR="00C324B6" w:rsidRDefault="00000000" w:rsidP="00C324B6">
          <w:pPr>
            <w:pStyle w:val="TOC1"/>
            <w:rPr>
              <w:rFonts w:asciiTheme="minorHAnsi" w:hAnsiTheme="minorHAnsi"/>
              <w:kern w:val="2"/>
              <w:sz w:val="22"/>
              <w:szCs w:val="22"/>
              <w:lang w:eastAsia="en-GB"/>
              <w14:ligatures w14:val="standardContextual"/>
            </w:rPr>
          </w:pPr>
          <w:hyperlink w:anchor="_Toc163637910" w:history="1">
            <w:r w:rsidR="00C324B6" w:rsidRPr="001C0E9A">
              <w:rPr>
                <w:rStyle w:val="Hyperlink"/>
              </w:rPr>
              <w:t>Annex 1 – Rights of Victims and Survivors</w:t>
            </w:r>
            <w:r w:rsidR="00C324B6">
              <w:rPr>
                <w:webHidden/>
              </w:rPr>
              <w:tab/>
            </w:r>
            <w:r w:rsidR="00C324B6">
              <w:rPr>
                <w:webHidden/>
              </w:rPr>
              <w:fldChar w:fldCharType="begin"/>
            </w:r>
            <w:r w:rsidR="00C324B6">
              <w:rPr>
                <w:webHidden/>
              </w:rPr>
              <w:instrText xml:space="preserve"> PAGEREF _Toc163637910 \h </w:instrText>
            </w:r>
            <w:r w:rsidR="00C324B6">
              <w:rPr>
                <w:webHidden/>
              </w:rPr>
            </w:r>
            <w:r w:rsidR="00C324B6">
              <w:rPr>
                <w:webHidden/>
              </w:rPr>
              <w:fldChar w:fldCharType="separate"/>
            </w:r>
            <w:r w:rsidR="00A77890">
              <w:rPr>
                <w:webHidden/>
              </w:rPr>
              <w:t>33</w:t>
            </w:r>
            <w:r w:rsidR="00C324B6">
              <w:rPr>
                <w:webHidden/>
              </w:rPr>
              <w:fldChar w:fldCharType="end"/>
            </w:r>
          </w:hyperlink>
        </w:p>
        <w:p w14:paraId="1A1ADE6B" w14:textId="6C89411D" w:rsidR="0096056C" w:rsidRPr="00D84515" w:rsidRDefault="0096056C">
          <w:r w:rsidRPr="00D84515">
            <w:rPr>
              <w:noProof/>
            </w:rPr>
            <w:fldChar w:fldCharType="end"/>
          </w:r>
        </w:p>
      </w:sdtContent>
    </w:sdt>
    <w:p w14:paraId="32F82717" w14:textId="77777777" w:rsidR="00EA12CE" w:rsidRPr="00D84515" w:rsidRDefault="00EA12CE" w:rsidP="00331C61">
      <w:pPr>
        <w:pStyle w:val="Default"/>
        <w:spacing w:line="288" w:lineRule="auto"/>
        <w:rPr>
          <w:rFonts w:cs="Arial"/>
          <w:b/>
          <w:color w:val="232120"/>
        </w:rPr>
      </w:pPr>
    </w:p>
    <w:p w14:paraId="75006B94" w14:textId="77777777" w:rsidR="00EA12CE" w:rsidRPr="00D84515" w:rsidRDefault="00EA12CE" w:rsidP="00331C61">
      <w:pPr>
        <w:pStyle w:val="Default"/>
        <w:spacing w:line="288" w:lineRule="auto"/>
        <w:rPr>
          <w:rFonts w:cs="Arial"/>
          <w:b/>
          <w:color w:val="232120"/>
        </w:rPr>
      </w:pPr>
    </w:p>
    <w:p w14:paraId="2C2BFEE2" w14:textId="6262D194" w:rsidR="00EA12CE" w:rsidRPr="00331C61" w:rsidRDefault="00DF3326" w:rsidP="00DF3326">
      <w:pPr>
        <w:pStyle w:val="Default"/>
        <w:tabs>
          <w:tab w:val="left" w:pos="7751"/>
        </w:tabs>
        <w:spacing w:line="288" w:lineRule="auto"/>
        <w:rPr>
          <w:rFonts w:cs="Arial"/>
          <w:b/>
          <w:color w:val="232120"/>
        </w:rPr>
      </w:pPr>
      <w:r>
        <w:rPr>
          <w:rFonts w:cs="Arial"/>
          <w:b/>
          <w:color w:val="232120"/>
        </w:rPr>
        <w:tab/>
      </w:r>
    </w:p>
    <w:p w14:paraId="2EDDF028" w14:textId="77777777" w:rsidR="00EA12CE" w:rsidRPr="00331C61" w:rsidRDefault="00EA12CE" w:rsidP="00331C61">
      <w:pPr>
        <w:pStyle w:val="Default"/>
        <w:spacing w:line="288" w:lineRule="auto"/>
        <w:rPr>
          <w:rFonts w:cs="Arial"/>
          <w:b/>
          <w:color w:val="232120"/>
        </w:rPr>
      </w:pPr>
    </w:p>
    <w:p w14:paraId="1352F006" w14:textId="77777777" w:rsidR="00EA12CE" w:rsidRPr="00331C61" w:rsidRDefault="00EA12CE" w:rsidP="00331C61">
      <w:pPr>
        <w:pStyle w:val="Default"/>
        <w:spacing w:line="288" w:lineRule="auto"/>
        <w:rPr>
          <w:rFonts w:cs="Arial"/>
          <w:b/>
          <w:color w:val="232120"/>
        </w:rPr>
      </w:pPr>
    </w:p>
    <w:p w14:paraId="6FCEC036" w14:textId="77777777" w:rsidR="00EA12CE" w:rsidRPr="00331C61" w:rsidRDefault="00EA12CE" w:rsidP="00331C61">
      <w:pPr>
        <w:pStyle w:val="Default"/>
        <w:spacing w:line="288" w:lineRule="auto"/>
        <w:rPr>
          <w:rFonts w:cs="Arial"/>
          <w:b/>
          <w:color w:val="232120"/>
        </w:rPr>
      </w:pPr>
    </w:p>
    <w:p w14:paraId="69B0D3FF" w14:textId="77777777" w:rsidR="00EA12CE" w:rsidRPr="00331C61" w:rsidRDefault="00EA12CE" w:rsidP="00331C61">
      <w:pPr>
        <w:pStyle w:val="Default"/>
        <w:spacing w:line="288" w:lineRule="auto"/>
        <w:rPr>
          <w:rFonts w:cs="Arial"/>
          <w:b/>
          <w:color w:val="232120"/>
        </w:rPr>
      </w:pPr>
    </w:p>
    <w:p w14:paraId="3FC1CB8F" w14:textId="77777777" w:rsidR="00EA12CE" w:rsidRDefault="00EA12CE" w:rsidP="00331C61">
      <w:pPr>
        <w:pStyle w:val="Default"/>
        <w:spacing w:line="288" w:lineRule="auto"/>
        <w:rPr>
          <w:rFonts w:cs="Arial"/>
          <w:b/>
          <w:color w:val="232120"/>
        </w:rPr>
      </w:pPr>
    </w:p>
    <w:p w14:paraId="7300CCA7" w14:textId="77777777" w:rsidR="00D84515" w:rsidRDefault="00D84515" w:rsidP="00331C61">
      <w:pPr>
        <w:pStyle w:val="Default"/>
        <w:spacing w:line="288" w:lineRule="auto"/>
        <w:rPr>
          <w:rFonts w:cs="Arial"/>
          <w:b/>
          <w:color w:val="232120"/>
        </w:rPr>
      </w:pPr>
    </w:p>
    <w:p w14:paraId="3371F2EF" w14:textId="77777777" w:rsidR="00D84515" w:rsidRDefault="00D84515" w:rsidP="00331C61">
      <w:pPr>
        <w:pStyle w:val="Default"/>
        <w:spacing w:line="288" w:lineRule="auto"/>
        <w:rPr>
          <w:rFonts w:cs="Arial"/>
          <w:b/>
          <w:color w:val="232120"/>
        </w:rPr>
      </w:pPr>
    </w:p>
    <w:p w14:paraId="46764356" w14:textId="77777777" w:rsidR="00D84515" w:rsidRDefault="00D84515" w:rsidP="00331C61">
      <w:pPr>
        <w:pStyle w:val="Default"/>
        <w:spacing w:line="288" w:lineRule="auto"/>
        <w:rPr>
          <w:rFonts w:cs="Arial"/>
          <w:b/>
          <w:color w:val="232120"/>
        </w:rPr>
      </w:pPr>
    </w:p>
    <w:p w14:paraId="66D183E4" w14:textId="77777777" w:rsidR="00D84515" w:rsidRDefault="00D84515" w:rsidP="00331C61">
      <w:pPr>
        <w:pStyle w:val="Default"/>
        <w:spacing w:line="288" w:lineRule="auto"/>
        <w:rPr>
          <w:rFonts w:cs="Arial"/>
          <w:b/>
          <w:color w:val="232120"/>
        </w:rPr>
      </w:pPr>
    </w:p>
    <w:p w14:paraId="1E2BBCB7" w14:textId="77777777" w:rsidR="00D84515" w:rsidRDefault="00D84515" w:rsidP="00331C61">
      <w:pPr>
        <w:pStyle w:val="Default"/>
        <w:spacing w:line="288" w:lineRule="auto"/>
        <w:rPr>
          <w:rFonts w:cs="Arial"/>
          <w:b/>
          <w:color w:val="232120"/>
        </w:rPr>
      </w:pPr>
    </w:p>
    <w:p w14:paraId="2B9B4683" w14:textId="77777777" w:rsidR="00D84515" w:rsidRDefault="00D84515" w:rsidP="00331C61">
      <w:pPr>
        <w:pStyle w:val="Default"/>
        <w:spacing w:line="288" w:lineRule="auto"/>
        <w:rPr>
          <w:rFonts w:cs="Arial"/>
          <w:b/>
          <w:color w:val="232120"/>
        </w:rPr>
      </w:pPr>
    </w:p>
    <w:p w14:paraId="61E39135" w14:textId="77777777" w:rsidR="00D84515" w:rsidRDefault="00D84515" w:rsidP="00331C61">
      <w:pPr>
        <w:pStyle w:val="Default"/>
        <w:spacing w:line="288" w:lineRule="auto"/>
        <w:rPr>
          <w:rFonts w:cs="Arial"/>
          <w:b/>
          <w:color w:val="232120"/>
        </w:rPr>
      </w:pPr>
    </w:p>
    <w:p w14:paraId="6AA3CE72" w14:textId="77777777" w:rsidR="00D84515" w:rsidRDefault="00D84515" w:rsidP="00331C61">
      <w:pPr>
        <w:pStyle w:val="Default"/>
        <w:spacing w:line="288" w:lineRule="auto"/>
        <w:rPr>
          <w:rFonts w:cs="Arial"/>
          <w:b/>
          <w:color w:val="232120"/>
        </w:rPr>
      </w:pPr>
    </w:p>
    <w:p w14:paraId="0572448B" w14:textId="77777777" w:rsidR="0096328C" w:rsidRDefault="0096328C" w:rsidP="00331C61">
      <w:pPr>
        <w:pStyle w:val="Default"/>
        <w:spacing w:line="288" w:lineRule="auto"/>
        <w:rPr>
          <w:rFonts w:cs="Arial"/>
          <w:b/>
          <w:color w:val="232120"/>
        </w:rPr>
      </w:pPr>
    </w:p>
    <w:p w14:paraId="72B78C29" w14:textId="77777777" w:rsidR="0096328C" w:rsidRDefault="0096328C" w:rsidP="00331C61">
      <w:pPr>
        <w:pStyle w:val="Default"/>
        <w:spacing w:line="288" w:lineRule="auto"/>
        <w:rPr>
          <w:rFonts w:cs="Arial"/>
          <w:b/>
          <w:color w:val="232120"/>
        </w:rPr>
      </w:pPr>
    </w:p>
    <w:p w14:paraId="211F885D" w14:textId="77777777" w:rsidR="00EA12CE" w:rsidRPr="00331C61" w:rsidRDefault="00EA12CE" w:rsidP="00331C61">
      <w:pPr>
        <w:pStyle w:val="Default"/>
        <w:spacing w:line="288" w:lineRule="auto"/>
        <w:rPr>
          <w:rFonts w:cs="Arial"/>
          <w:b/>
          <w:color w:val="232120"/>
        </w:rPr>
      </w:pPr>
    </w:p>
    <w:bookmarkStart w:id="0" w:name="_Toc163637897"/>
    <w:p w14:paraId="6D7334EE" w14:textId="5AD95EF9" w:rsidR="001E79A9" w:rsidRDefault="007765E1" w:rsidP="00D4533D">
      <w:pPr>
        <w:pStyle w:val="Heading1"/>
        <w:numPr>
          <w:ilvl w:val="0"/>
          <w:numId w:val="0"/>
        </w:numPr>
      </w:pPr>
      <w:r>
        <w:rPr>
          <w:noProof/>
        </w:rPr>
        <w:lastRenderedPageBreak/>
        <mc:AlternateContent>
          <mc:Choice Requires="wps">
            <w:drawing>
              <wp:anchor distT="0" distB="0" distL="114300" distR="114300" simplePos="0" relativeHeight="251654144" behindDoc="0" locked="0" layoutInCell="1" allowOverlap="1" wp14:anchorId="601D4F52" wp14:editId="7F18E9CB">
                <wp:simplePos x="0" y="0"/>
                <wp:positionH relativeFrom="column">
                  <wp:posOffset>-133985</wp:posOffset>
                </wp:positionH>
                <wp:positionV relativeFrom="paragraph">
                  <wp:posOffset>18416</wp:posOffset>
                </wp:positionV>
                <wp:extent cx="6631388" cy="8989060"/>
                <wp:effectExtent l="57150" t="19050" r="74295" b="97790"/>
                <wp:wrapNone/>
                <wp:docPr id="165571266" name="Rectangle 1"/>
                <wp:cNvGraphicFramePr/>
                <a:graphic xmlns:a="http://schemas.openxmlformats.org/drawingml/2006/main">
                  <a:graphicData uri="http://schemas.microsoft.com/office/word/2010/wordprocessingShape">
                    <wps:wsp>
                      <wps:cNvSpPr/>
                      <wps:spPr>
                        <a:xfrm>
                          <a:off x="0" y="0"/>
                          <a:ext cx="6631388" cy="89890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56ACA" id="Rectangle 1" o:spid="_x0000_s1026" style="position:absolute;margin-left:-10.55pt;margin-top:1.45pt;width:522.15pt;height:707.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" filled="f" strokecolor="black [3213]">
                <v:shadow on="t" color="black" opacity="22937f" origin=",.5" offset="0,.63889mm"/>
              </v:rect>
            </w:pict>
          </mc:Fallback>
        </mc:AlternateContent>
      </w:r>
      <w:r w:rsidR="00F9629B">
        <w:t xml:space="preserve">Summary of </w:t>
      </w:r>
      <w:r w:rsidR="00D4533D">
        <w:t>Recommendations</w:t>
      </w:r>
      <w:bookmarkEnd w:id="0"/>
    </w:p>
    <w:p w14:paraId="6B25092C" w14:textId="77777777" w:rsidR="009A237B" w:rsidRPr="009E3493" w:rsidRDefault="009A237B" w:rsidP="009A237B">
      <w:pPr>
        <w:ind w:left="720" w:hanging="720"/>
      </w:pPr>
      <w:r w:rsidRPr="009E3493">
        <w:t>2.4</w:t>
      </w:r>
      <w:r w:rsidRPr="009E3493">
        <w:tab/>
        <w:t xml:space="preserve">The NIHRC recommends that the Executive Office revisits the human rights impact assessment with a view to examining the full range of human rights standards identified in Annex 1 as directly relevant to the draft strategy. </w:t>
      </w:r>
    </w:p>
    <w:p w14:paraId="06DDD087" w14:textId="77777777" w:rsidR="009A237B" w:rsidRPr="009E3493" w:rsidRDefault="009A237B" w:rsidP="009A237B"/>
    <w:p w14:paraId="0695821E" w14:textId="77777777" w:rsidR="009A237B" w:rsidRPr="009E3493" w:rsidRDefault="009A237B" w:rsidP="009A237B">
      <w:pPr>
        <w:ind w:left="709" w:hanging="709"/>
      </w:pPr>
      <w:r w:rsidRPr="009E3493">
        <w:t>2.12</w:t>
      </w:r>
      <w:r w:rsidRPr="009E3493">
        <w:tab/>
        <w:t xml:space="preserve">The NIHRC recommends that the Executive Office revisit the Human Rights Impact Assessment and consider Windsor Framework Article 2. It should incorporate within its consideration the minimum standards in relevant EU law relating to victims’ rights. </w:t>
      </w:r>
    </w:p>
    <w:p w14:paraId="30AD7FC8" w14:textId="77777777" w:rsidR="009A237B" w:rsidRPr="009E3493" w:rsidRDefault="009A237B" w:rsidP="009A237B">
      <w:pPr>
        <w:rPr>
          <w:rFonts w:cs="Times New Roman"/>
        </w:rPr>
      </w:pPr>
    </w:p>
    <w:p w14:paraId="0B0BEF0E" w14:textId="77777777" w:rsidR="009A237B" w:rsidRPr="009E3493" w:rsidRDefault="009A237B" w:rsidP="009A237B">
      <w:pPr>
        <w:ind w:left="709" w:hanging="709"/>
      </w:pPr>
      <w:r w:rsidRPr="009E3493">
        <w:rPr>
          <w:rFonts w:cs="Times New Roman"/>
        </w:rPr>
        <w:t>2.13</w:t>
      </w:r>
      <w:r w:rsidRPr="009E3493">
        <w:rPr>
          <w:rFonts w:cs="Times New Roman"/>
        </w:rPr>
        <w:tab/>
        <w:t xml:space="preserve">The NIHRC recommends that the Executive Office build consideration of Windsor Framework Article 2 into the development and implementation of </w:t>
      </w:r>
      <w:proofErr w:type="gramStart"/>
      <w:r w:rsidRPr="009E3493">
        <w:rPr>
          <w:rFonts w:cs="Times New Roman"/>
        </w:rPr>
        <w:t>any and all</w:t>
      </w:r>
      <w:proofErr w:type="gramEnd"/>
      <w:r w:rsidRPr="009E3493">
        <w:rPr>
          <w:rFonts w:cs="Times New Roman"/>
        </w:rPr>
        <w:t xml:space="preserve"> policy on victims and survivors. </w:t>
      </w:r>
    </w:p>
    <w:p w14:paraId="63DEA5EE" w14:textId="77777777" w:rsidR="009A237B" w:rsidRPr="009E3493" w:rsidRDefault="009A237B" w:rsidP="009A237B">
      <w:pPr>
        <w:pStyle w:val="BasicParagraph"/>
        <w:tabs>
          <w:tab w:val="left" w:pos="993"/>
        </w:tabs>
        <w:suppressAutoHyphens/>
        <w:ind w:left="993" w:hanging="993"/>
        <w:rPr>
          <w:rFonts w:ascii="Verdana" w:hAnsi="Verdana" w:cs="Arial"/>
          <w:color w:val="232120"/>
        </w:rPr>
      </w:pPr>
    </w:p>
    <w:p w14:paraId="6F907DFD" w14:textId="77777777" w:rsidR="009A237B" w:rsidRPr="009E3493" w:rsidRDefault="009A237B" w:rsidP="009A237B">
      <w:pPr>
        <w:ind w:left="709" w:hanging="709"/>
      </w:pPr>
      <w:r w:rsidRPr="009E3493">
        <w:t xml:space="preserve">2.19 </w:t>
      </w:r>
      <w:r w:rsidRPr="009E3493">
        <w:tab/>
        <w:t xml:space="preserve">The NIHRC recommends that the Executive Office adopts a human </w:t>
      </w:r>
      <w:proofErr w:type="gramStart"/>
      <w:r w:rsidRPr="009E3493">
        <w:t>rights based</w:t>
      </w:r>
      <w:proofErr w:type="gramEnd"/>
      <w:r w:rsidRPr="009E3493">
        <w:t xml:space="preserve"> approach to the whole of the strategy and that it must include the full range of internationally accepted human rights standards, including Windsor Framework Article 2 and the relevant EU law minimum standards. This approach should incorporate corresponding State obligations relating to victims and survivors of serious human rights abuses. This should also ensure specific actions and time-bound measures are provided that demonstrate contribution towards each </w:t>
      </w:r>
      <w:proofErr w:type="gramStart"/>
      <w:r w:rsidRPr="009E3493">
        <w:t>high level</w:t>
      </w:r>
      <w:proofErr w:type="gramEnd"/>
      <w:r w:rsidRPr="009E3493">
        <w:t xml:space="preserve"> outcome.</w:t>
      </w:r>
    </w:p>
    <w:p w14:paraId="153E4DA5" w14:textId="77777777" w:rsidR="009A237B" w:rsidRPr="009E3493" w:rsidRDefault="009A237B" w:rsidP="009A237B">
      <w:pPr>
        <w:pStyle w:val="BasicParagraph"/>
        <w:tabs>
          <w:tab w:val="left" w:pos="993"/>
        </w:tabs>
        <w:suppressAutoHyphens/>
        <w:ind w:left="993" w:hanging="993"/>
        <w:rPr>
          <w:rFonts w:ascii="Verdana" w:hAnsi="Verdana" w:cs="Arial"/>
          <w:color w:val="232120"/>
        </w:rPr>
      </w:pPr>
    </w:p>
    <w:p w14:paraId="12357ACD" w14:textId="77777777" w:rsidR="009A237B" w:rsidRPr="009E3493" w:rsidRDefault="009A237B" w:rsidP="009A237B">
      <w:pPr>
        <w:ind w:left="709" w:hanging="709"/>
      </w:pPr>
      <w:r w:rsidRPr="009E3493">
        <w:t>2.25</w:t>
      </w:r>
      <w:r w:rsidRPr="009E3493">
        <w:tab/>
        <w:t xml:space="preserve">The NIHRC recommends that the Executive Office establishes a system to oversee, monitor, evaluate, and report on the provision of redress measures and services to victims under the strategy. This includes data collection that is disaggregated, regular, </w:t>
      </w:r>
      <w:proofErr w:type="gramStart"/>
      <w:r w:rsidRPr="009E3493">
        <w:t>comprehensive</w:t>
      </w:r>
      <w:proofErr w:type="gramEnd"/>
      <w:r w:rsidRPr="009E3493">
        <w:t xml:space="preserve"> and comparable. </w:t>
      </w:r>
    </w:p>
    <w:p w14:paraId="28B4C55E" w14:textId="77777777" w:rsidR="009A237B" w:rsidRPr="009E3493" w:rsidRDefault="009A237B" w:rsidP="009A237B">
      <w:pPr>
        <w:pStyle w:val="BasicParagraph"/>
        <w:tabs>
          <w:tab w:val="left" w:pos="993"/>
        </w:tabs>
        <w:suppressAutoHyphens/>
        <w:ind w:left="993" w:hanging="993"/>
        <w:rPr>
          <w:rFonts w:ascii="Verdana" w:hAnsi="Verdana" w:cs="Arial"/>
          <w:color w:val="232120"/>
        </w:rPr>
      </w:pPr>
    </w:p>
    <w:p w14:paraId="3A047826" w14:textId="77777777" w:rsidR="009A237B" w:rsidRPr="009E3493" w:rsidRDefault="009A237B" w:rsidP="009A237B">
      <w:pPr>
        <w:ind w:left="709" w:hanging="709"/>
      </w:pPr>
      <w:r w:rsidRPr="009E3493">
        <w:t>2.30</w:t>
      </w:r>
      <w:r w:rsidRPr="009E3493">
        <w:tab/>
        <w:t xml:space="preserve">The NIHRC recommends that the Executive Office secures ring-fenced, multi-year funding that extends across the lifespan of the strategy. </w:t>
      </w:r>
    </w:p>
    <w:p w14:paraId="58820AD7" w14:textId="77777777" w:rsidR="009A237B" w:rsidRPr="009E3493" w:rsidRDefault="009A237B" w:rsidP="009A237B">
      <w:pPr>
        <w:ind w:left="709" w:hanging="709"/>
      </w:pPr>
    </w:p>
    <w:p w14:paraId="0FE6CD6C" w14:textId="77777777" w:rsidR="009A237B" w:rsidRPr="009E3493" w:rsidRDefault="009A237B" w:rsidP="009A237B">
      <w:pPr>
        <w:ind w:left="709" w:hanging="709"/>
      </w:pPr>
      <w:r w:rsidRPr="009E3493">
        <w:t>3.3</w:t>
      </w:r>
      <w:r w:rsidRPr="009E3493">
        <w:tab/>
        <w:t xml:space="preserve">The NIHRC recommends that the Executive Office ensures that the fundamental concerns with the NI Troubles (Legacy and Reconciliation) Act 2023 are addressed to the greatest extent possible within the strategy, including adopting human rights based and victim-centred mitigation strategies that protect victims’ and survivors’ access to justice, </w:t>
      </w:r>
      <w:proofErr w:type="gramStart"/>
      <w:r w:rsidRPr="009E3493">
        <w:t>redress</w:t>
      </w:r>
      <w:proofErr w:type="gramEnd"/>
      <w:r w:rsidRPr="009E3493">
        <w:t xml:space="preserve"> and rehabilitation. Victims and survivors and their representative organisations should be meaningfully involved in designing, </w:t>
      </w:r>
      <w:proofErr w:type="gramStart"/>
      <w:r w:rsidRPr="009E3493">
        <w:t>implementing</w:t>
      </w:r>
      <w:proofErr w:type="gramEnd"/>
      <w:r w:rsidRPr="009E3493">
        <w:t xml:space="preserve"> and evaluating the mitigation measures taken.</w:t>
      </w:r>
    </w:p>
    <w:p w14:paraId="2463709E" w14:textId="46A7F49B" w:rsidR="009A237B" w:rsidRPr="009E3493" w:rsidRDefault="009A237B" w:rsidP="009A237B">
      <w:pPr>
        <w:ind w:left="709" w:hanging="709"/>
      </w:pPr>
      <w:r>
        <w:rPr>
          <w:noProof/>
        </w:rPr>
        <w:lastRenderedPageBreak/>
        <mc:AlternateContent>
          <mc:Choice Requires="wps">
            <w:drawing>
              <wp:anchor distT="0" distB="0" distL="114300" distR="114300" simplePos="0" relativeHeight="251658240" behindDoc="0" locked="0" layoutInCell="1" allowOverlap="1" wp14:anchorId="43B798AF" wp14:editId="3E2ABD38">
                <wp:simplePos x="0" y="0"/>
                <wp:positionH relativeFrom="column">
                  <wp:posOffset>-181610</wp:posOffset>
                </wp:positionH>
                <wp:positionV relativeFrom="paragraph">
                  <wp:posOffset>27940</wp:posOffset>
                </wp:positionV>
                <wp:extent cx="6631388" cy="8963025"/>
                <wp:effectExtent l="57150" t="19050" r="74295" b="104775"/>
                <wp:wrapNone/>
                <wp:docPr id="168725418" name="Rectangle 1"/>
                <wp:cNvGraphicFramePr/>
                <a:graphic xmlns:a="http://schemas.openxmlformats.org/drawingml/2006/main">
                  <a:graphicData uri="http://schemas.microsoft.com/office/word/2010/wordprocessingShape">
                    <wps:wsp>
                      <wps:cNvSpPr/>
                      <wps:spPr>
                        <a:xfrm>
                          <a:off x="0" y="0"/>
                          <a:ext cx="6631388" cy="89630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F44DB" id="Rectangle 1" o:spid="_x0000_s1026" style="position:absolute;margin-left:-14.3pt;margin-top:2.2pt;width:522.15pt;height:70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" filled="f" strokecolor="black [3213]">
                <v:shadow on="t" color="black" opacity="22937f" origin=",.5" offset="0,.63889mm"/>
              </v:rect>
            </w:pict>
          </mc:Fallback>
        </mc:AlternateContent>
      </w:r>
    </w:p>
    <w:p w14:paraId="15E422B6" w14:textId="0239E45B" w:rsidR="009A237B" w:rsidRPr="009E3493" w:rsidRDefault="009A237B" w:rsidP="009A237B">
      <w:pPr>
        <w:suppressAutoHyphens/>
        <w:ind w:left="709" w:hanging="709"/>
      </w:pPr>
      <w:r w:rsidRPr="009E3493">
        <w:t>3.16</w:t>
      </w:r>
      <w:r w:rsidRPr="009E3493">
        <w:tab/>
        <w:t>The NIHRC recommends that the Executive Office considers and makes explicit provision for</w:t>
      </w:r>
      <w:r w:rsidRPr="009E3493">
        <w:rPr>
          <w:rFonts w:cs="Arial"/>
        </w:rPr>
        <w:t xml:space="preserve"> the diverse needs of a broad range of victims and survivors, particularly but not limited to those from marginalised groups and/or individuals experiencing intersectional discrimination.</w:t>
      </w:r>
    </w:p>
    <w:p w14:paraId="6C145444" w14:textId="77777777" w:rsidR="009A237B" w:rsidRPr="00435A0B" w:rsidRDefault="009A237B" w:rsidP="009A237B">
      <w:pPr>
        <w:pStyle w:val="BasicParagraph"/>
        <w:tabs>
          <w:tab w:val="left" w:pos="993"/>
        </w:tabs>
        <w:suppressAutoHyphens/>
        <w:rPr>
          <w:rFonts w:ascii="Verdana" w:hAnsi="Verdana" w:cs="Arial"/>
          <w:color w:val="232120"/>
        </w:rPr>
      </w:pPr>
    </w:p>
    <w:p w14:paraId="62F19EBA" w14:textId="3119D25D" w:rsidR="009A237B" w:rsidRPr="00435A0B" w:rsidRDefault="009A237B" w:rsidP="009A237B">
      <w:pPr>
        <w:pStyle w:val="BasicParagraph"/>
        <w:tabs>
          <w:tab w:val="left" w:pos="709"/>
        </w:tabs>
        <w:suppressAutoHyphens/>
        <w:ind w:left="709" w:hanging="709"/>
        <w:rPr>
          <w:rFonts w:ascii="Verdana" w:hAnsi="Verdana" w:cs="Arial"/>
          <w:color w:val="232120"/>
        </w:rPr>
      </w:pPr>
      <w:r w:rsidRPr="00435A0B">
        <w:rPr>
          <w:rFonts w:ascii="Verdana" w:hAnsi="Verdana" w:cs="Arial"/>
          <w:color w:val="232120"/>
        </w:rPr>
        <w:t>3.26</w:t>
      </w:r>
      <w:r w:rsidRPr="00435A0B">
        <w:rPr>
          <w:rFonts w:ascii="Verdana" w:hAnsi="Verdana" w:cs="Arial"/>
          <w:color w:val="232120"/>
        </w:rPr>
        <w:tab/>
        <w:t>The NIHRC recommends that the Executive Office considers and reports on how the strategy intersects with other government strategies and what specific actions will be taken to ensure a holistic approach is taken to issues affecting victims and survivors. This should include, by way of example, the Social Inclusion Strategies; the Tackling Paramilitarism Programme; the Modern Slavery and Human Trafficking Strategy; the Domestic Abuse and Sexual Violence Strategy; and the Co-operating to Safeguard Children and Young People Strategy.</w:t>
      </w:r>
    </w:p>
    <w:p w14:paraId="6A63204E" w14:textId="38EE9B48" w:rsidR="009A237B" w:rsidRPr="00435A0B" w:rsidRDefault="009A237B" w:rsidP="009A237B">
      <w:pPr>
        <w:pStyle w:val="BasicParagraph"/>
        <w:tabs>
          <w:tab w:val="left" w:pos="709"/>
        </w:tabs>
        <w:suppressAutoHyphens/>
        <w:ind w:left="709" w:hanging="709"/>
        <w:rPr>
          <w:rFonts w:ascii="Verdana" w:hAnsi="Verdana" w:cs="Arial"/>
          <w:color w:val="232120"/>
        </w:rPr>
      </w:pPr>
    </w:p>
    <w:p w14:paraId="77DB4F43" w14:textId="374C3243" w:rsidR="009A237B" w:rsidRPr="00435A0B" w:rsidRDefault="009A237B" w:rsidP="009A237B">
      <w:pPr>
        <w:pStyle w:val="BasicParagraph"/>
        <w:tabs>
          <w:tab w:val="left" w:pos="709"/>
        </w:tabs>
        <w:suppressAutoHyphens/>
        <w:ind w:left="709" w:hanging="709"/>
        <w:rPr>
          <w:rFonts w:ascii="Verdana" w:hAnsi="Verdana" w:cs="Arial"/>
          <w:color w:val="232120"/>
        </w:rPr>
      </w:pPr>
      <w:r w:rsidRPr="00435A0B">
        <w:rPr>
          <w:rFonts w:ascii="Verdana" w:hAnsi="Verdana" w:cs="Arial"/>
          <w:color w:val="232120"/>
        </w:rPr>
        <w:t>3.27</w:t>
      </w:r>
      <w:r w:rsidRPr="00435A0B">
        <w:rPr>
          <w:rFonts w:ascii="Verdana" w:hAnsi="Verdana" w:cs="Arial"/>
          <w:color w:val="232120"/>
        </w:rPr>
        <w:tab/>
        <w:t xml:space="preserve">The NIHRC recommends that the Executive Office sets out how the strategy is raising awareness of and giving effect to the rights contained in the EU Victims’ Directive including by reducing the risk of victimisation and the specific and targeted measures being undertaken to protect victims against secondary and repeat victimisation, </w:t>
      </w:r>
      <w:proofErr w:type="gramStart"/>
      <w:r w:rsidRPr="00435A0B">
        <w:rPr>
          <w:rFonts w:ascii="Verdana" w:hAnsi="Verdana" w:cs="Arial"/>
          <w:color w:val="232120"/>
        </w:rPr>
        <w:t>intimidation</w:t>
      </w:r>
      <w:proofErr w:type="gramEnd"/>
      <w:r w:rsidRPr="00435A0B">
        <w:rPr>
          <w:rFonts w:ascii="Verdana" w:hAnsi="Verdana" w:cs="Arial"/>
          <w:color w:val="232120"/>
        </w:rPr>
        <w:t xml:space="preserve"> and retaliation.</w:t>
      </w:r>
    </w:p>
    <w:p w14:paraId="337CB201" w14:textId="626EDA8E" w:rsidR="009A237B" w:rsidRPr="00435A0B" w:rsidRDefault="009A237B" w:rsidP="009A237B">
      <w:pPr>
        <w:pStyle w:val="BasicParagraph"/>
        <w:tabs>
          <w:tab w:val="left" w:pos="709"/>
        </w:tabs>
        <w:suppressAutoHyphens/>
        <w:ind w:left="709" w:hanging="709"/>
        <w:rPr>
          <w:rFonts w:ascii="Verdana" w:hAnsi="Verdana" w:cs="Arial"/>
          <w:color w:val="232120"/>
        </w:rPr>
      </w:pPr>
    </w:p>
    <w:p w14:paraId="51C5A329" w14:textId="18A39EDE" w:rsidR="009A237B" w:rsidRPr="00435A0B" w:rsidRDefault="009A237B" w:rsidP="009A237B">
      <w:pPr>
        <w:pStyle w:val="BasicParagraph"/>
        <w:tabs>
          <w:tab w:val="left" w:pos="709"/>
        </w:tabs>
        <w:suppressAutoHyphens/>
        <w:ind w:left="709" w:hanging="709"/>
        <w:rPr>
          <w:rFonts w:ascii="Verdana" w:hAnsi="Verdana" w:cs="Arial"/>
          <w:color w:val="232120"/>
        </w:rPr>
      </w:pPr>
      <w:r w:rsidRPr="00435A0B">
        <w:rPr>
          <w:rFonts w:ascii="Verdana" w:hAnsi="Verdana" w:cs="Arial"/>
          <w:color w:val="232120"/>
        </w:rPr>
        <w:t>3.28</w:t>
      </w:r>
      <w:r w:rsidRPr="00435A0B">
        <w:rPr>
          <w:rFonts w:ascii="Verdana" w:hAnsi="Verdana" w:cs="Arial"/>
          <w:color w:val="232120"/>
        </w:rPr>
        <w:tab/>
        <w:t xml:space="preserve">The NIHRC recommends that the Executive Office includes within the strategy specific measures to ensure the best interests of the child are the primary consideration. </w:t>
      </w:r>
    </w:p>
    <w:p w14:paraId="26112AB9" w14:textId="2D4DF31B" w:rsidR="009A237B" w:rsidRPr="00435A0B" w:rsidRDefault="009A237B" w:rsidP="009A237B">
      <w:pPr>
        <w:pStyle w:val="BasicParagraph"/>
        <w:tabs>
          <w:tab w:val="left" w:pos="709"/>
        </w:tabs>
        <w:suppressAutoHyphens/>
        <w:ind w:left="709" w:hanging="709"/>
        <w:rPr>
          <w:rFonts w:ascii="Verdana" w:hAnsi="Verdana" w:cs="Arial"/>
          <w:color w:val="232120"/>
        </w:rPr>
      </w:pPr>
    </w:p>
    <w:p w14:paraId="7BA0B1FA" w14:textId="77777777" w:rsidR="009A237B" w:rsidRDefault="009A237B" w:rsidP="009A237B">
      <w:pPr>
        <w:pStyle w:val="BasicParagraph"/>
        <w:tabs>
          <w:tab w:val="left" w:pos="709"/>
        </w:tabs>
        <w:suppressAutoHyphens/>
        <w:ind w:left="709" w:hanging="709"/>
        <w:rPr>
          <w:rFonts w:ascii="Verdana" w:hAnsi="Verdana" w:cs="Arial"/>
          <w:color w:val="232120"/>
        </w:rPr>
      </w:pPr>
      <w:r w:rsidRPr="00435A0B">
        <w:rPr>
          <w:rFonts w:ascii="Verdana" w:hAnsi="Verdana" w:cs="Arial"/>
          <w:color w:val="232120"/>
        </w:rPr>
        <w:t>3.29</w:t>
      </w:r>
      <w:r w:rsidRPr="00435A0B">
        <w:rPr>
          <w:rFonts w:ascii="Verdana" w:hAnsi="Verdana" w:cs="Arial"/>
          <w:color w:val="232120"/>
        </w:rPr>
        <w:tab/>
        <w:t>The NIHRC recommends that the Executive Office includes within the strategy the measures that will be taken to avoid discrimination in delivery and to meet victims’ specific needs.</w:t>
      </w:r>
    </w:p>
    <w:p w14:paraId="5ED8BB8E" w14:textId="0321A2C3" w:rsidR="009A237B" w:rsidRDefault="009A237B" w:rsidP="009A237B">
      <w:pPr>
        <w:pStyle w:val="BasicParagraph"/>
        <w:tabs>
          <w:tab w:val="left" w:pos="709"/>
        </w:tabs>
        <w:suppressAutoHyphens/>
        <w:ind w:left="709" w:hanging="709"/>
        <w:rPr>
          <w:rFonts w:ascii="Verdana" w:hAnsi="Verdana" w:cs="Arial"/>
          <w:color w:val="232120"/>
        </w:rPr>
      </w:pPr>
    </w:p>
    <w:p w14:paraId="3BA01A9E" w14:textId="1511955C" w:rsidR="009A237B" w:rsidRPr="002114C0" w:rsidRDefault="009A237B" w:rsidP="009A237B">
      <w:pPr>
        <w:pStyle w:val="BasicParagraph"/>
        <w:tabs>
          <w:tab w:val="left" w:pos="709"/>
        </w:tabs>
        <w:suppressAutoHyphens/>
        <w:ind w:left="709" w:hanging="709"/>
        <w:rPr>
          <w:rFonts w:ascii="Verdana" w:hAnsi="Verdana" w:cs="Arial"/>
          <w:color w:val="232120"/>
        </w:rPr>
      </w:pPr>
      <w:r w:rsidRPr="002114C0">
        <w:rPr>
          <w:rFonts w:ascii="Verdana" w:hAnsi="Verdana" w:cs="Arial"/>
          <w:color w:val="232120"/>
        </w:rPr>
        <w:t>3.36</w:t>
      </w:r>
      <w:r w:rsidRPr="002114C0">
        <w:rPr>
          <w:rFonts w:ascii="Verdana" w:hAnsi="Verdana" w:cs="Arial"/>
          <w:color w:val="232120"/>
        </w:rPr>
        <w:tab/>
        <w:t>The NIHRC recommends that the Executive Office includes specific measures to address the delay in the Victims’ Payment Scheme so that it offers fair, adequate, and prompt compensation to all who are eligible.</w:t>
      </w:r>
    </w:p>
    <w:p w14:paraId="0829E5AF" w14:textId="77777777" w:rsidR="009A237B" w:rsidRPr="002114C0" w:rsidRDefault="009A237B" w:rsidP="009A237B">
      <w:pPr>
        <w:pStyle w:val="BasicParagraph"/>
        <w:tabs>
          <w:tab w:val="left" w:pos="709"/>
        </w:tabs>
        <w:suppressAutoHyphens/>
        <w:ind w:left="709" w:hanging="709"/>
        <w:rPr>
          <w:rFonts w:ascii="Verdana" w:hAnsi="Verdana" w:cs="Arial"/>
          <w:color w:val="232120"/>
        </w:rPr>
      </w:pPr>
    </w:p>
    <w:p w14:paraId="4A5D2C96" w14:textId="78022164" w:rsidR="009A237B" w:rsidRDefault="009A237B" w:rsidP="009A237B">
      <w:pPr>
        <w:pStyle w:val="BasicParagraph"/>
        <w:tabs>
          <w:tab w:val="left" w:pos="709"/>
        </w:tabs>
        <w:suppressAutoHyphens/>
        <w:ind w:left="709" w:hanging="709"/>
        <w:rPr>
          <w:rFonts w:ascii="Verdana" w:hAnsi="Verdana" w:cs="Arial"/>
          <w:color w:val="232120"/>
        </w:rPr>
      </w:pPr>
      <w:r w:rsidRPr="002114C0">
        <w:rPr>
          <w:rFonts w:ascii="Verdana" w:hAnsi="Verdana" w:cs="Arial"/>
          <w:color w:val="232120"/>
        </w:rPr>
        <w:t>3.37</w:t>
      </w:r>
      <w:r w:rsidRPr="002114C0">
        <w:rPr>
          <w:rFonts w:ascii="Verdana" w:hAnsi="Verdana" w:cs="Arial"/>
          <w:color w:val="232120"/>
        </w:rPr>
        <w:tab/>
        <w:t xml:space="preserve">The NIHRC recommends that the Executive Office includes measures targeted at addressing the risk of re-traumatisation. This should include ensuring that specialised support is available, </w:t>
      </w:r>
      <w:proofErr w:type="gramStart"/>
      <w:r w:rsidRPr="002114C0">
        <w:rPr>
          <w:rFonts w:ascii="Verdana" w:hAnsi="Verdana" w:cs="Arial"/>
          <w:color w:val="232120"/>
        </w:rPr>
        <w:t>accessible</w:t>
      </w:r>
      <w:proofErr w:type="gramEnd"/>
      <w:r w:rsidRPr="002114C0">
        <w:rPr>
          <w:rFonts w:ascii="Verdana" w:hAnsi="Verdana" w:cs="Arial"/>
          <w:color w:val="232120"/>
        </w:rPr>
        <w:t xml:space="preserve"> and securely funded throughout an applicant’s journey.</w:t>
      </w:r>
    </w:p>
    <w:p w14:paraId="7384514D" w14:textId="77777777" w:rsidR="009A237B" w:rsidRDefault="009A237B" w:rsidP="009A237B">
      <w:pPr>
        <w:pStyle w:val="BasicParagraph"/>
        <w:tabs>
          <w:tab w:val="left" w:pos="709"/>
        </w:tabs>
        <w:suppressAutoHyphens/>
        <w:ind w:left="709" w:hanging="709"/>
        <w:rPr>
          <w:rFonts w:ascii="Verdana" w:hAnsi="Verdana" w:cs="Arial"/>
          <w:color w:val="232120"/>
        </w:rPr>
      </w:pPr>
    </w:p>
    <w:p w14:paraId="362FFCDF" w14:textId="3EDC52A3" w:rsidR="009A237B" w:rsidRPr="00864EF3" w:rsidRDefault="009A237B" w:rsidP="009A237B">
      <w:pPr>
        <w:pStyle w:val="BasicParagraph"/>
        <w:tabs>
          <w:tab w:val="left" w:pos="709"/>
        </w:tabs>
        <w:suppressAutoHyphens/>
        <w:ind w:left="709" w:hanging="709"/>
        <w:rPr>
          <w:rFonts w:ascii="Verdana" w:hAnsi="Verdana" w:cs="Arial"/>
          <w:color w:val="232120"/>
        </w:rPr>
      </w:pPr>
      <w:r w:rsidRPr="00286A6C">
        <w:rPr>
          <w:rFonts w:ascii="Verdana" w:hAnsi="Verdana" w:cs="Arial"/>
          <w:color w:val="232120"/>
        </w:rPr>
        <w:t>3.40</w:t>
      </w:r>
      <w:r w:rsidRPr="00286A6C">
        <w:rPr>
          <w:rFonts w:ascii="Verdana" w:hAnsi="Verdana" w:cs="Arial"/>
          <w:color w:val="232120"/>
        </w:rPr>
        <w:tab/>
        <w:t xml:space="preserve">The NIHRC recommends that the Executive Office provides within the strategy for the appropriate training of practitioners and officials likely to </w:t>
      </w:r>
      <w:r>
        <w:rPr>
          <w:noProof/>
        </w:rPr>
        <w:lastRenderedPageBreak/>
        <mc:AlternateContent>
          <mc:Choice Requires="wps">
            <w:drawing>
              <wp:anchor distT="0" distB="0" distL="114300" distR="114300" simplePos="0" relativeHeight="251661312" behindDoc="0" locked="0" layoutInCell="1" allowOverlap="1" wp14:anchorId="76426855" wp14:editId="0DE810AC">
                <wp:simplePos x="0" y="0"/>
                <wp:positionH relativeFrom="column">
                  <wp:posOffset>-124460</wp:posOffset>
                </wp:positionH>
                <wp:positionV relativeFrom="paragraph">
                  <wp:posOffset>-105410</wp:posOffset>
                </wp:positionV>
                <wp:extent cx="6631388" cy="9124950"/>
                <wp:effectExtent l="57150" t="19050" r="74295" b="95250"/>
                <wp:wrapNone/>
                <wp:docPr id="1149500126" name="Rectangle 1"/>
                <wp:cNvGraphicFramePr/>
                <a:graphic xmlns:a="http://schemas.openxmlformats.org/drawingml/2006/main">
                  <a:graphicData uri="http://schemas.microsoft.com/office/word/2010/wordprocessingShape">
                    <wps:wsp>
                      <wps:cNvSpPr/>
                      <wps:spPr>
                        <a:xfrm>
                          <a:off x="0" y="0"/>
                          <a:ext cx="6631388" cy="91249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C531F" id="Rectangle 1" o:spid="_x0000_s1026" style="position:absolute;margin-left:-9.8pt;margin-top:-8.3pt;width:522.15pt;height:7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" filled="f" strokecolor="black [3213]">
                <v:shadow on="t" color="black" opacity="22937f" origin=",.5" offset="0,.63889mm"/>
              </v:rect>
            </w:pict>
          </mc:Fallback>
        </mc:AlternateContent>
      </w:r>
      <w:proofErr w:type="gramStart"/>
      <w:r w:rsidRPr="00286A6C">
        <w:rPr>
          <w:rFonts w:ascii="Verdana" w:hAnsi="Verdana" w:cs="Arial"/>
          <w:color w:val="232120"/>
        </w:rPr>
        <w:t>come into contact with</w:t>
      </w:r>
      <w:proofErr w:type="gramEnd"/>
      <w:r w:rsidRPr="00286A6C">
        <w:rPr>
          <w:rFonts w:ascii="Verdana" w:hAnsi="Verdana" w:cs="Arial"/>
          <w:color w:val="232120"/>
        </w:rPr>
        <w:t xml:space="preserve"> victims. This should be aligned to the minimum standards set out in the EU Victims’ Directive. At the very least it must enable officials to recognise victims and to treat victims in a respectful, professional, </w:t>
      </w:r>
      <w:proofErr w:type="gramStart"/>
      <w:r w:rsidRPr="00286A6C">
        <w:rPr>
          <w:rFonts w:ascii="Verdana" w:hAnsi="Verdana" w:cs="Arial"/>
          <w:color w:val="232120"/>
        </w:rPr>
        <w:t>impartial</w:t>
      </w:r>
      <w:proofErr w:type="gramEnd"/>
      <w:r w:rsidRPr="00286A6C">
        <w:rPr>
          <w:rFonts w:ascii="Verdana" w:hAnsi="Verdana" w:cs="Arial"/>
          <w:color w:val="232120"/>
        </w:rPr>
        <w:t xml:space="preserve"> and non-discriminatory fashion.</w:t>
      </w:r>
    </w:p>
    <w:p w14:paraId="389DE8DD" w14:textId="77777777" w:rsidR="003B0B86" w:rsidRDefault="003B0B86" w:rsidP="00D26CA2">
      <w:pPr>
        <w:pStyle w:val="ListParagraph"/>
      </w:pPr>
    </w:p>
    <w:p w14:paraId="42F536D6" w14:textId="32530E77" w:rsidR="003B0B86" w:rsidRPr="003B0B86" w:rsidRDefault="003B0B86" w:rsidP="003B0B86">
      <w:pPr>
        <w:rPr>
          <w:b/>
          <w:bCs/>
        </w:rPr>
      </w:pPr>
    </w:p>
    <w:p w14:paraId="08B465F9" w14:textId="3411B61B" w:rsidR="006F6FEF" w:rsidRPr="00424644" w:rsidRDefault="006F6FEF" w:rsidP="006F6FEF">
      <w:pPr>
        <w:pStyle w:val="ListParagraph"/>
      </w:pPr>
    </w:p>
    <w:p w14:paraId="5B67B961" w14:textId="04AD0D6E" w:rsidR="00F938E1" w:rsidRPr="00E56883" w:rsidRDefault="00F938E1" w:rsidP="00F938E1">
      <w:pPr>
        <w:pStyle w:val="ListParagraph"/>
      </w:pPr>
    </w:p>
    <w:p w14:paraId="460B17BA" w14:textId="367BA115" w:rsidR="00A80B5B" w:rsidRDefault="00A80B5B" w:rsidP="00F938E1">
      <w:pPr>
        <w:pStyle w:val="ListParagraph"/>
      </w:pPr>
    </w:p>
    <w:p w14:paraId="1163D80E" w14:textId="4ABD6E84" w:rsidR="00A80B5B" w:rsidRPr="00214A75" w:rsidRDefault="00A80B5B" w:rsidP="00A80B5B">
      <w:pPr>
        <w:pStyle w:val="ListParagraph"/>
        <w:rPr>
          <w:rStyle w:val="Strong"/>
          <w:b w:val="0"/>
          <w:bCs w:val="0"/>
        </w:rPr>
      </w:pPr>
    </w:p>
    <w:p w14:paraId="4DA23C59" w14:textId="18458A6E" w:rsidR="00A04930" w:rsidRPr="00214A75" w:rsidRDefault="00A04930" w:rsidP="00A04930">
      <w:pPr>
        <w:pStyle w:val="ListParagraph"/>
        <w:rPr>
          <w:b/>
          <w:bCs/>
        </w:rPr>
      </w:pPr>
    </w:p>
    <w:p w14:paraId="523F1605" w14:textId="0DD33B17" w:rsidR="00F9629B" w:rsidRDefault="00F9629B">
      <w:pPr>
        <w:spacing w:line="240" w:lineRule="auto"/>
      </w:pPr>
      <w:r>
        <w:br w:type="page"/>
      </w:r>
    </w:p>
    <w:p w14:paraId="303C0ECB" w14:textId="4714CF46" w:rsidR="009222D4" w:rsidRDefault="00BA533F" w:rsidP="008143AF">
      <w:pPr>
        <w:pStyle w:val="Heading1"/>
        <w:numPr>
          <w:ilvl w:val="0"/>
          <w:numId w:val="0"/>
        </w:numPr>
        <w:ind w:left="360" w:hanging="360"/>
      </w:pPr>
      <w:bookmarkStart w:id="1" w:name="_Toc163637898"/>
      <w:r>
        <w:lastRenderedPageBreak/>
        <w:t>1.0</w:t>
      </w:r>
      <w:r>
        <w:tab/>
      </w:r>
      <w:r w:rsidR="00ED40E9" w:rsidRPr="00041050">
        <w:t>Introduction</w:t>
      </w:r>
      <w:bookmarkEnd w:id="1"/>
    </w:p>
    <w:p w14:paraId="484FAE9A" w14:textId="2FAA9F0B" w:rsidR="0093383D" w:rsidRDefault="00693F63" w:rsidP="00B8500E">
      <w:pPr>
        <w:pStyle w:val="ListParagraph"/>
        <w:numPr>
          <w:ilvl w:val="1"/>
          <w:numId w:val="2"/>
        </w:numPr>
      </w:pPr>
      <w:r w:rsidRPr="00693F63">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1D23D4">
        <w:t>required</w:t>
      </w:r>
      <w:r w:rsidRPr="00693F63">
        <w:t xml:space="preserve">, </w:t>
      </w:r>
      <w:r w:rsidR="001D23D4">
        <w:t>by</w:t>
      </w:r>
      <w:r w:rsidR="001D23D4" w:rsidRPr="00693F63">
        <w:t xml:space="preserve"> </w:t>
      </w:r>
      <w:r w:rsidRPr="00693F63">
        <w:t>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5C30ED">
        <w:rPr>
          <w:rStyle w:val="FootnoteReference"/>
        </w:rPr>
        <w:footnoteReference w:id="2"/>
      </w:r>
      <w:r w:rsidRPr="00693F63">
        <w:t xml:space="preserve"> In accordance with these </w:t>
      </w:r>
      <w:r w:rsidR="001D23D4">
        <w:t>statutory duties</w:t>
      </w:r>
      <w:r w:rsidR="001D23D4" w:rsidRPr="00693F63">
        <w:t xml:space="preserve"> </w:t>
      </w:r>
      <w:r w:rsidRPr="00693F63">
        <w:t xml:space="preserve">the following advice is submitted to the </w:t>
      </w:r>
      <w:r w:rsidR="00541698">
        <w:t>Executive Office</w:t>
      </w:r>
      <w:r w:rsidRPr="00693F63">
        <w:t xml:space="preserve"> in response to </w:t>
      </w:r>
      <w:r w:rsidR="00541698">
        <w:t>its</w:t>
      </w:r>
      <w:r w:rsidRPr="00693F63">
        <w:t xml:space="preserve"> consultation on the </w:t>
      </w:r>
      <w:r w:rsidR="007B7460">
        <w:t>New Strategy for Victims and Survivors</w:t>
      </w:r>
      <w:r w:rsidRPr="00693F63">
        <w:t>.</w:t>
      </w:r>
    </w:p>
    <w:p w14:paraId="42B35CC6" w14:textId="77777777" w:rsidR="00693F63" w:rsidRPr="00693F63" w:rsidRDefault="00693F63" w:rsidP="00693F63">
      <w:pPr>
        <w:pStyle w:val="ListParagraph"/>
      </w:pPr>
    </w:p>
    <w:p w14:paraId="61222577" w14:textId="6C44985B" w:rsidR="00693F63" w:rsidRDefault="00DA159C" w:rsidP="00B8500E">
      <w:pPr>
        <w:pStyle w:val="ListParagraph"/>
        <w:numPr>
          <w:ilvl w:val="1"/>
          <w:numId w:val="2"/>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and United Nations (UN). The relevant regional and international treaties in this context include:</w:t>
      </w:r>
    </w:p>
    <w:p w14:paraId="19BF1336" w14:textId="77777777" w:rsidR="00164B5B" w:rsidRPr="00164B5B" w:rsidRDefault="00164B5B" w:rsidP="00164B5B">
      <w:pPr>
        <w:pStyle w:val="ListParagraph"/>
      </w:pPr>
    </w:p>
    <w:p w14:paraId="6323FF93" w14:textId="70BFB890" w:rsidR="009D1921" w:rsidRDefault="009D1921" w:rsidP="00B8500E">
      <w:pPr>
        <w:pStyle w:val="ListParagraph"/>
        <w:numPr>
          <w:ilvl w:val="0"/>
          <w:numId w:val="5"/>
        </w:numPr>
      </w:pPr>
      <w:r w:rsidRPr="004771AF">
        <w:t xml:space="preserve">European Convention on Human Rights </w:t>
      </w:r>
      <w:r w:rsidR="00A74292">
        <w:t xml:space="preserve">1950 </w:t>
      </w:r>
      <w:r w:rsidRPr="004771AF">
        <w:t>(ECHR);</w:t>
      </w:r>
      <w:r w:rsidRPr="004771AF">
        <w:rPr>
          <w:rStyle w:val="FootnoteReference"/>
        </w:rPr>
        <w:footnoteReference w:id="3"/>
      </w:r>
    </w:p>
    <w:p w14:paraId="37B19A48" w14:textId="77777777" w:rsidR="001E4A4A" w:rsidRPr="004771AF" w:rsidRDefault="001E4A4A" w:rsidP="00B8500E">
      <w:pPr>
        <w:pStyle w:val="ListParagraph"/>
        <w:numPr>
          <w:ilvl w:val="0"/>
          <w:numId w:val="5"/>
        </w:numPr>
      </w:pPr>
      <w:r>
        <w:t>UN Convention on the Elimination of Racial Discrimination 1965 (UN CERD);</w:t>
      </w:r>
      <w:r>
        <w:rPr>
          <w:rStyle w:val="FootnoteReference"/>
        </w:rPr>
        <w:footnoteReference w:id="4"/>
      </w:r>
    </w:p>
    <w:p w14:paraId="17361231" w14:textId="77777777" w:rsidR="001E4A4A" w:rsidRDefault="001E4A4A" w:rsidP="00B8500E">
      <w:pPr>
        <w:pStyle w:val="ListParagraph"/>
        <w:numPr>
          <w:ilvl w:val="0"/>
          <w:numId w:val="5"/>
        </w:numPr>
      </w:pPr>
      <w:r>
        <w:t>UN International Covenant on Civil and Political Rights 1966 (UN ICCPR);</w:t>
      </w:r>
      <w:r>
        <w:rPr>
          <w:rStyle w:val="FootnoteReference"/>
        </w:rPr>
        <w:footnoteReference w:id="5"/>
      </w:r>
    </w:p>
    <w:p w14:paraId="0AA9B8DF" w14:textId="77777777" w:rsidR="001D31D8" w:rsidRPr="004771AF" w:rsidRDefault="001D31D8" w:rsidP="00B8500E">
      <w:pPr>
        <w:pStyle w:val="ListParagraph"/>
        <w:numPr>
          <w:ilvl w:val="0"/>
          <w:numId w:val="5"/>
        </w:numPr>
      </w:pPr>
      <w:r w:rsidRPr="004771AF">
        <w:t xml:space="preserve">UN Convention on Elimination of Discrimination against Women </w:t>
      </w:r>
      <w:r>
        <w:t xml:space="preserve">1981 </w:t>
      </w:r>
      <w:r w:rsidRPr="004771AF">
        <w:t>(UN CEDAW);</w:t>
      </w:r>
      <w:r w:rsidRPr="004771AF">
        <w:rPr>
          <w:rStyle w:val="FootnoteReference"/>
        </w:rPr>
        <w:footnoteReference w:id="6"/>
      </w:r>
    </w:p>
    <w:p w14:paraId="2C25FD75" w14:textId="77777777" w:rsidR="001D31D8" w:rsidRPr="004771AF" w:rsidRDefault="001D31D8" w:rsidP="00B8500E">
      <w:pPr>
        <w:pStyle w:val="ListParagraph"/>
        <w:numPr>
          <w:ilvl w:val="0"/>
          <w:numId w:val="5"/>
        </w:numPr>
      </w:pPr>
      <w:r w:rsidRPr="004771AF">
        <w:t xml:space="preserve">UN Convention against Torture </w:t>
      </w:r>
      <w:r>
        <w:t xml:space="preserve">1984 </w:t>
      </w:r>
      <w:r w:rsidRPr="004771AF">
        <w:t>(UN CAT);</w:t>
      </w:r>
      <w:r w:rsidRPr="004771AF">
        <w:rPr>
          <w:rStyle w:val="FootnoteReference"/>
        </w:rPr>
        <w:footnoteReference w:id="7"/>
      </w:r>
    </w:p>
    <w:p w14:paraId="48793F0E" w14:textId="77777777" w:rsidR="001D31D8" w:rsidRDefault="001D31D8" w:rsidP="00B8500E">
      <w:pPr>
        <w:pStyle w:val="ListParagraph"/>
        <w:numPr>
          <w:ilvl w:val="0"/>
          <w:numId w:val="5"/>
        </w:numPr>
      </w:pPr>
      <w:r w:rsidRPr="004771AF">
        <w:t xml:space="preserve">UN Convention on the Rights of the Child </w:t>
      </w:r>
      <w:r>
        <w:t xml:space="preserve">1989 </w:t>
      </w:r>
      <w:r w:rsidRPr="004771AF">
        <w:t>(UN CRC);</w:t>
      </w:r>
      <w:r w:rsidRPr="004771AF">
        <w:rPr>
          <w:rStyle w:val="FootnoteReference"/>
        </w:rPr>
        <w:footnoteReference w:id="8"/>
      </w:r>
    </w:p>
    <w:p w14:paraId="68D94CE1" w14:textId="376C6548" w:rsidR="0038387A" w:rsidRPr="0038387A" w:rsidRDefault="0038387A" w:rsidP="00B8500E">
      <w:pPr>
        <w:pStyle w:val="ListParagraph"/>
        <w:numPr>
          <w:ilvl w:val="0"/>
          <w:numId w:val="5"/>
        </w:numPr>
      </w:pPr>
      <w:r w:rsidRPr="0038387A">
        <w:lastRenderedPageBreak/>
        <w:t>UN Convention on the Rights of Persons with Disabilities 2006 (UN CRPD);</w:t>
      </w:r>
      <w:r w:rsidRPr="0038387A">
        <w:rPr>
          <w:vertAlign w:val="superscript"/>
        </w:rPr>
        <w:footnoteReference w:id="9"/>
      </w:r>
      <w:r w:rsidRPr="0038387A">
        <w:t xml:space="preserve"> </w:t>
      </w:r>
    </w:p>
    <w:p w14:paraId="0E3FA41B" w14:textId="5AF19465" w:rsidR="008A2095" w:rsidRDefault="008A2095" w:rsidP="00B8500E">
      <w:pPr>
        <w:pStyle w:val="ListParagraph"/>
        <w:numPr>
          <w:ilvl w:val="0"/>
          <w:numId w:val="5"/>
        </w:numPr>
      </w:pPr>
      <w:proofErr w:type="spellStart"/>
      <w:r>
        <w:t>CoE</w:t>
      </w:r>
      <w:proofErr w:type="spellEnd"/>
      <w:r>
        <w:t xml:space="preserve"> Convention on Protection of Children against Sexual Exploitation and Sexual Abuse 2007 (</w:t>
      </w:r>
      <w:proofErr w:type="spellStart"/>
      <w:r>
        <w:t>CoE</w:t>
      </w:r>
      <w:proofErr w:type="spellEnd"/>
      <w:r>
        <w:t xml:space="preserve"> Lanzarote Convention);</w:t>
      </w:r>
      <w:r>
        <w:rPr>
          <w:rStyle w:val="FootnoteReference"/>
        </w:rPr>
        <w:footnoteReference w:id="10"/>
      </w:r>
      <w:r w:rsidR="00A93465">
        <w:t xml:space="preserve"> and</w:t>
      </w:r>
    </w:p>
    <w:p w14:paraId="02ED79C8" w14:textId="7B4873AD" w:rsidR="007D5332" w:rsidRDefault="007D5332" w:rsidP="00B8500E">
      <w:pPr>
        <w:pStyle w:val="ListParagraph"/>
        <w:numPr>
          <w:ilvl w:val="0"/>
          <w:numId w:val="5"/>
        </w:numPr>
      </w:pPr>
      <w:proofErr w:type="spellStart"/>
      <w:r>
        <w:t>CoE</w:t>
      </w:r>
      <w:proofErr w:type="spellEnd"/>
      <w:r>
        <w:t xml:space="preserve"> Convention on Preventing and Combating Violence against</w:t>
      </w:r>
      <w:r w:rsidR="00440672" w:rsidRPr="00440672">
        <w:t xml:space="preserve"> </w:t>
      </w:r>
      <w:r w:rsidR="00440672">
        <w:t>Women 2011 (</w:t>
      </w:r>
      <w:proofErr w:type="spellStart"/>
      <w:r w:rsidR="00440672">
        <w:t>CoE</w:t>
      </w:r>
      <w:proofErr w:type="spellEnd"/>
      <w:r w:rsidR="00440672">
        <w:t xml:space="preserve"> Istanbul Convention)</w:t>
      </w:r>
      <w:r w:rsidR="00CA1F28">
        <w:t>.</w:t>
      </w:r>
      <w:r w:rsidR="00440672">
        <w:rPr>
          <w:rStyle w:val="FootnoteReference"/>
        </w:rPr>
        <w:footnoteReference w:id="11"/>
      </w:r>
    </w:p>
    <w:p w14:paraId="23BCD6DC" w14:textId="77777777" w:rsidR="00917F39" w:rsidRPr="00917F39" w:rsidRDefault="00917F39" w:rsidP="00917F39">
      <w:pPr>
        <w:pStyle w:val="ListParagraph"/>
      </w:pPr>
    </w:p>
    <w:p w14:paraId="79754AA0" w14:textId="699E2A75" w:rsidR="00917F39" w:rsidRDefault="00917F39" w:rsidP="00B8500E">
      <w:pPr>
        <w:pStyle w:val="ListParagraph"/>
        <w:numPr>
          <w:ilvl w:val="1"/>
          <w:numId w:val="2"/>
        </w:numPr>
      </w:pPr>
      <w:r w:rsidRPr="00917F39">
        <w:t>In addition to these treaty standards, the following declarations and principles provide further guidance in respect of specific areas:</w:t>
      </w:r>
    </w:p>
    <w:p w14:paraId="6E90D7F3" w14:textId="77777777" w:rsidR="00556D68" w:rsidRPr="00556D68" w:rsidRDefault="00556D68" w:rsidP="00556D68">
      <w:pPr>
        <w:pStyle w:val="ListParagraph"/>
      </w:pPr>
    </w:p>
    <w:p w14:paraId="6C0DB023" w14:textId="10A3EC7F" w:rsidR="0021394A" w:rsidRPr="002F2B00" w:rsidRDefault="0021394A" w:rsidP="00B8500E">
      <w:pPr>
        <w:pStyle w:val="FootnoteText"/>
        <w:numPr>
          <w:ilvl w:val="0"/>
          <w:numId w:val="6"/>
        </w:numPr>
      </w:pPr>
      <w:r w:rsidRPr="002F2B00">
        <w:t xml:space="preserve">UN </w:t>
      </w:r>
      <w:r w:rsidR="00B64404">
        <w:t xml:space="preserve">CAT </w:t>
      </w:r>
      <w:r w:rsidRPr="002F2B00">
        <w:t>Committee General Comment No 2;</w:t>
      </w:r>
      <w:r w:rsidRPr="002F2B00">
        <w:rPr>
          <w:rStyle w:val="FootnoteReference"/>
        </w:rPr>
        <w:footnoteReference w:id="12"/>
      </w:r>
    </w:p>
    <w:p w14:paraId="6832396D" w14:textId="77777777" w:rsidR="0021394A" w:rsidRPr="002F2B00" w:rsidRDefault="0021394A" w:rsidP="00B8500E">
      <w:pPr>
        <w:pStyle w:val="FootnoteText"/>
        <w:numPr>
          <w:ilvl w:val="0"/>
          <w:numId w:val="6"/>
        </w:numPr>
      </w:pPr>
      <w:r w:rsidRPr="002F2B00">
        <w:t>UN Special Rapporteur on promotion of truth, Pablo de Greiff’s report;</w:t>
      </w:r>
      <w:r w:rsidRPr="002F2B00">
        <w:rPr>
          <w:rStyle w:val="FootnoteReference"/>
        </w:rPr>
        <w:footnoteReference w:id="13"/>
      </w:r>
    </w:p>
    <w:p w14:paraId="69D1F571" w14:textId="77777777" w:rsidR="0021394A" w:rsidRPr="002F2B00" w:rsidRDefault="0021394A" w:rsidP="00B8500E">
      <w:pPr>
        <w:pStyle w:val="FootnoteText"/>
        <w:numPr>
          <w:ilvl w:val="0"/>
          <w:numId w:val="6"/>
        </w:numPr>
      </w:pPr>
      <w:r w:rsidRPr="002F2B00">
        <w:t>UN CAT Committee General Comment No 3;</w:t>
      </w:r>
      <w:r w:rsidRPr="002F2B00">
        <w:rPr>
          <w:rStyle w:val="FootnoteReference"/>
        </w:rPr>
        <w:footnoteReference w:id="14"/>
      </w:r>
    </w:p>
    <w:p w14:paraId="49477DFE" w14:textId="77777777" w:rsidR="0021394A" w:rsidRPr="002F2B00" w:rsidRDefault="0021394A" w:rsidP="00B8500E">
      <w:pPr>
        <w:pStyle w:val="FootnoteText"/>
        <w:numPr>
          <w:ilvl w:val="0"/>
          <w:numId w:val="6"/>
        </w:numPr>
      </w:pPr>
      <w:r w:rsidRPr="002F2B00">
        <w:t>UN Human Rights Committee Concluding Observations on the UK;</w:t>
      </w:r>
      <w:r w:rsidRPr="002F2B00">
        <w:rPr>
          <w:rStyle w:val="FootnoteReference"/>
        </w:rPr>
        <w:footnoteReference w:id="15"/>
      </w:r>
    </w:p>
    <w:p w14:paraId="1C83BA3F" w14:textId="77777777" w:rsidR="0021394A" w:rsidRPr="002F2B00" w:rsidRDefault="0021394A" w:rsidP="00B8500E">
      <w:pPr>
        <w:pStyle w:val="FootnoteText"/>
        <w:numPr>
          <w:ilvl w:val="0"/>
          <w:numId w:val="6"/>
        </w:numPr>
      </w:pPr>
      <w:r w:rsidRPr="002F2B00">
        <w:t>UN Special Rapporteur on the promotion of truth, Pablo de Greiff, report on the UK;</w:t>
      </w:r>
      <w:r w:rsidRPr="002F2B00">
        <w:rPr>
          <w:rStyle w:val="FootnoteReference"/>
        </w:rPr>
        <w:footnoteReference w:id="16"/>
      </w:r>
    </w:p>
    <w:p w14:paraId="048CD024" w14:textId="77777777" w:rsidR="0021394A" w:rsidRPr="002F2B00" w:rsidRDefault="0021394A" w:rsidP="00B8500E">
      <w:pPr>
        <w:pStyle w:val="FootnoteText"/>
        <w:numPr>
          <w:ilvl w:val="0"/>
          <w:numId w:val="6"/>
        </w:numPr>
      </w:pPr>
      <w:r w:rsidRPr="002F2B00">
        <w:t>UN CEDAW Committee General Comment No 35;</w:t>
      </w:r>
      <w:r w:rsidRPr="002F2B00">
        <w:rPr>
          <w:rStyle w:val="FootnoteReference"/>
        </w:rPr>
        <w:footnoteReference w:id="17"/>
      </w:r>
    </w:p>
    <w:p w14:paraId="59F3AF48" w14:textId="77777777" w:rsidR="0021394A" w:rsidRDefault="0021394A" w:rsidP="00B8500E">
      <w:pPr>
        <w:pStyle w:val="FootnoteText"/>
        <w:numPr>
          <w:ilvl w:val="0"/>
          <w:numId w:val="6"/>
        </w:numPr>
      </w:pPr>
      <w:r w:rsidRPr="002F2B00">
        <w:t>UN CAT Committee Concluding Observations on the UK;</w:t>
      </w:r>
      <w:r w:rsidRPr="002F2B00">
        <w:rPr>
          <w:rStyle w:val="FootnoteReference"/>
        </w:rPr>
        <w:footnoteReference w:id="18"/>
      </w:r>
    </w:p>
    <w:p w14:paraId="28729D77" w14:textId="33B22082" w:rsidR="00E74151" w:rsidRDefault="00E74151" w:rsidP="00B8500E">
      <w:pPr>
        <w:pStyle w:val="FootnoteText"/>
        <w:numPr>
          <w:ilvl w:val="0"/>
          <w:numId w:val="6"/>
        </w:numPr>
      </w:pPr>
      <w:r>
        <w:t>UN Basic Principles and Guidelines on the Right to a Remedy and Reparation for Victims;</w:t>
      </w:r>
      <w:r>
        <w:rPr>
          <w:rStyle w:val="FootnoteReference"/>
        </w:rPr>
        <w:footnoteReference w:id="19"/>
      </w:r>
    </w:p>
    <w:p w14:paraId="2F6D6A8B" w14:textId="7C179512" w:rsidR="001D7306" w:rsidRDefault="001D7306" w:rsidP="00B8500E">
      <w:pPr>
        <w:pStyle w:val="FootnoteText"/>
        <w:numPr>
          <w:ilvl w:val="0"/>
          <w:numId w:val="6"/>
        </w:numPr>
      </w:pPr>
      <w:r>
        <w:t>UN Basic Principles of Justice for Victims of Crime and Abuse of Power;</w:t>
      </w:r>
      <w:r>
        <w:rPr>
          <w:rStyle w:val="FootnoteReference"/>
        </w:rPr>
        <w:footnoteReference w:id="20"/>
      </w:r>
    </w:p>
    <w:p w14:paraId="030D6EFD" w14:textId="47A7AF6D" w:rsidR="001C7F40" w:rsidRDefault="001C7F40" w:rsidP="00B8500E">
      <w:pPr>
        <w:pStyle w:val="FootnoteText"/>
        <w:numPr>
          <w:ilvl w:val="0"/>
          <w:numId w:val="6"/>
        </w:numPr>
      </w:pPr>
      <w:proofErr w:type="spellStart"/>
      <w:r w:rsidRPr="001C7F40">
        <w:lastRenderedPageBreak/>
        <w:t>CoE</w:t>
      </w:r>
      <w:proofErr w:type="spellEnd"/>
      <w:r w:rsidRPr="001C7F40">
        <w:t xml:space="preserve"> Committee of Ministers </w:t>
      </w:r>
      <w:r>
        <w:t xml:space="preserve">Recommendation </w:t>
      </w:r>
      <w:r w:rsidRPr="001C7F40">
        <w:t xml:space="preserve">to Member States on rights, </w:t>
      </w:r>
      <w:proofErr w:type="gramStart"/>
      <w:r w:rsidRPr="001C7F40">
        <w:t>services</w:t>
      </w:r>
      <w:proofErr w:type="gramEnd"/>
      <w:r w:rsidRPr="001C7F40">
        <w:t xml:space="preserve"> and support for victims of crime</w:t>
      </w:r>
      <w:r w:rsidR="001F1AB2">
        <w:t>;</w:t>
      </w:r>
      <w:r w:rsidR="00834394">
        <w:rPr>
          <w:rStyle w:val="FootnoteReference"/>
        </w:rPr>
        <w:footnoteReference w:id="21"/>
      </w:r>
    </w:p>
    <w:p w14:paraId="3CFC955F" w14:textId="31B735F3" w:rsidR="001F1AB2" w:rsidRPr="002F2B00" w:rsidRDefault="001F1AB2" w:rsidP="00B8500E">
      <w:pPr>
        <w:pStyle w:val="FootnoteText"/>
        <w:numPr>
          <w:ilvl w:val="0"/>
          <w:numId w:val="6"/>
        </w:numPr>
      </w:pPr>
      <w:r w:rsidRPr="001F1AB2">
        <w:t xml:space="preserve">UN Special Rapporteur on promotion of truth, justice, reparation and guarantees of non-recurrence, Fabián </w:t>
      </w:r>
      <w:proofErr w:type="spellStart"/>
      <w:r w:rsidRPr="001F1AB2">
        <w:t>Salvioli</w:t>
      </w:r>
      <w:proofErr w:type="spellEnd"/>
      <w:r w:rsidRPr="001F1AB2">
        <w:t>’</w:t>
      </w:r>
      <w:r>
        <w:t>.</w:t>
      </w:r>
      <w:r>
        <w:rPr>
          <w:rStyle w:val="FootnoteReference"/>
        </w:rPr>
        <w:footnoteReference w:id="22"/>
      </w:r>
    </w:p>
    <w:p w14:paraId="48E6FBCE" w14:textId="77777777" w:rsidR="00DD25CB" w:rsidRPr="00DD25CB" w:rsidRDefault="00DD25CB" w:rsidP="00F8089E"/>
    <w:p w14:paraId="36F1A518" w14:textId="1C5B4AB3" w:rsidR="0092752E" w:rsidRDefault="00DD25CB" w:rsidP="00391A46">
      <w:pPr>
        <w:pStyle w:val="ListParagraph"/>
        <w:numPr>
          <w:ilvl w:val="1"/>
          <w:numId w:val="2"/>
        </w:numPr>
      </w:pPr>
      <w:r>
        <w:t xml:space="preserve">The NIHRC further advises on the </w:t>
      </w:r>
      <w:r w:rsidR="001D23D4">
        <w:t xml:space="preserve">compatibility of this consultation with the </w:t>
      </w:r>
      <w:r>
        <w:t>UK Government’s commitment</w:t>
      </w:r>
      <w:r w:rsidR="001D23D4">
        <w:t>,</w:t>
      </w:r>
      <w:r>
        <w:t xml:space="preserve"> in Windsor Framework Article 2(1)</w:t>
      </w:r>
      <w:r w:rsidR="001D23D4">
        <w:t>,</w:t>
      </w:r>
      <w:r>
        <w:t xml:space="preserve"> to ensure there is no diminution of rights, safeguards and equality of opportunity in the relevant section of the Belfast (Good Friday) Agreement </w:t>
      </w:r>
      <w:proofErr w:type="gramStart"/>
      <w:r>
        <w:t>as a result of</w:t>
      </w:r>
      <w:proofErr w:type="gramEnd"/>
      <w:r>
        <w:t xml:space="preserve">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 Section 24 of the 1998 Act also provides that all acts of the Department should be compatible with Windsor Framework Article 2. </w:t>
      </w:r>
      <w:r w:rsidR="00A31CCE">
        <w:t xml:space="preserve">The relevant EU law </w:t>
      </w:r>
      <w:r w:rsidR="0092752E">
        <w:t>in</w:t>
      </w:r>
      <w:r w:rsidR="00F8712D">
        <w:t xml:space="preserve"> this</w:t>
      </w:r>
      <w:r w:rsidR="0092752E">
        <w:t xml:space="preserve"> context </w:t>
      </w:r>
      <w:r w:rsidR="00A31CCE">
        <w:t>is</w:t>
      </w:r>
      <w:r w:rsidR="0092752E">
        <w:t>:</w:t>
      </w:r>
    </w:p>
    <w:p w14:paraId="64E4B9E4" w14:textId="77777777" w:rsidR="00F8712D" w:rsidRDefault="00F8712D" w:rsidP="00F8712D">
      <w:pPr>
        <w:pStyle w:val="ListParagraph"/>
      </w:pPr>
    </w:p>
    <w:p w14:paraId="05C1E224" w14:textId="2EB7E0FE" w:rsidR="0092752E" w:rsidRDefault="00A31CCE" w:rsidP="0092752E">
      <w:pPr>
        <w:pStyle w:val="ListParagraph"/>
        <w:numPr>
          <w:ilvl w:val="0"/>
          <w:numId w:val="20"/>
        </w:numPr>
      </w:pPr>
      <w:r>
        <w:t>EU Victims’ Directive.</w:t>
      </w:r>
      <w:r>
        <w:rPr>
          <w:rStyle w:val="FootnoteReference"/>
        </w:rPr>
        <w:footnoteReference w:id="23"/>
      </w:r>
      <w:r>
        <w:t xml:space="preserve"> </w:t>
      </w:r>
    </w:p>
    <w:p w14:paraId="47F6305B" w14:textId="4E889A91" w:rsidR="0092752E" w:rsidRDefault="00A31CCE" w:rsidP="0092752E">
      <w:pPr>
        <w:pStyle w:val="ListParagraph"/>
        <w:numPr>
          <w:ilvl w:val="0"/>
          <w:numId w:val="20"/>
        </w:numPr>
      </w:pPr>
      <w:r>
        <w:t>EU Trafficking Directive</w:t>
      </w:r>
      <w:r w:rsidR="0092752E">
        <w:t>;</w:t>
      </w:r>
      <w:r w:rsidR="00593A7C">
        <w:rPr>
          <w:rStyle w:val="FootnoteReference"/>
        </w:rPr>
        <w:footnoteReference w:id="24"/>
      </w:r>
      <w:r>
        <w:t xml:space="preserve"> </w:t>
      </w:r>
    </w:p>
    <w:p w14:paraId="1370820C" w14:textId="5F3F4C82" w:rsidR="0092752E" w:rsidRDefault="00A31CCE" w:rsidP="0092752E">
      <w:pPr>
        <w:pStyle w:val="ListParagraph"/>
        <w:numPr>
          <w:ilvl w:val="0"/>
          <w:numId w:val="20"/>
        </w:numPr>
      </w:pPr>
      <w:r>
        <w:t>EU Child Sexual Exploitatio</w:t>
      </w:r>
      <w:r w:rsidR="00593A7C">
        <w:t>n</w:t>
      </w:r>
      <w:r w:rsidR="0092752E">
        <w:t xml:space="preserve"> Directive;</w:t>
      </w:r>
      <w:r w:rsidR="00593A7C">
        <w:rPr>
          <w:rStyle w:val="FootnoteReference"/>
        </w:rPr>
        <w:footnoteReference w:id="25"/>
      </w:r>
      <w:r>
        <w:t xml:space="preserve"> </w:t>
      </w:r>
      <w:r w:rsidR="0092752E">
        <w:t xml:space="preserve">and </w:t>
      </w:r>
    </w:p>
    <w:p w14:paraId="4A484CAC" w14:textId="1A670812" w:rsidR="0092752E" w:rsidRDefault="0092752E" w:rsidP="0092752E">
      <w:pPr>
        <w:pStyle w:val="ListParagraph"/>
        <w:numPr>
          <w:ilvl w:val="0"/>
          <w:numId w:val="20"/>
        </w:numPr>
      </w:pPr>
      <w:r>
        <w:t xml:space="preserve">EU Charter of </w:t>
      </w:r>
      <w:r w:rsidR="002E5B14">
        <w:t>Fundamental Rights</w:t>
      </w:r>
      <w:r w:rsidR="001E2AB3">
        <w:t>.</w:t>
      </w:r>
    </w:p>
    <w:p w14:paraId="4417C69F" w14:textId="77777777" w:rsidR="00391A46" w:rsidRDefault="00391A46" w:rsidP="00391A46">
      <w:pPr>
        <w:pStyle w:val="ListParagraph"/>
      </w:pPr>
    </w:p>
    <w:p w14:paraId="7EDA1D8A" w14:textId="429F636F" w:rsidR="008E2CEF" w:rsidRPr="00CD437F" w:rsidRDefault="009F2E8E" w:rsidP="00A340DB">
      <w:pPr>
        <w:pStyle w:val="ListParagraph"/>
        <w:numPr>
          <w:ilvl w:val="1"/>
          <w:numId w:val="2"/>
        </w:numPr>
        <w:spacing w:line="276" w:lineRule="auto"/>
        <w:rPr>
          <w:rStyle w:val="Strong"/>
          <w:b w:val="0"/>
          <w:bCs w:val="0"/>
        </w:rPr>
      </w:pPr>
      <w:r w:rsidRPr="00444721">
        <w:t xml:space="preserve">The NIHRC welcomes the opportunity to </w:t>
      </w:r>
      <w:r w:rsidR="00A62AB6" w:rsidRPr="00444721">
        <w:t xml:space="preserve">consider and provide advice on the proposed </w:t>
      </w:r>
      <w:r w:rsidR="00F8089E" w:rsidRPr="00444721">
        <w:t>New Strategy for Victims and Survivors</w:t>
      </w:r>
      <w:r w:rsidR="00C22D30" w:rsidRPr="00444721">
        <w:t xml:space="preserve"> of the Troubles</w:t>
      </w:r>
      <w:r w:rsidR="003916B4" w:rsidRPr="00444721">
        <w:t>.</w:t>
      </w:r>
      <w:r w:rsidR="00444721" w:rsidRPr="00444721">
        <w:t xml:space="preserve"> The NIHRC welcomes the </w:t>
      </w:r>
      <w:r w:rsidR="001D23D4">
        <w:t xml:space="preserve">approach of the </w:t>
      </w:r>
      <w:r w:rsidR="00444721" w:rsidRPr="00444721">
        <w:t>Executive Office to developing the draft strategy, which has involved collaborative</w:t>
      </w:r>
      <w:r w:rsidR="001D23D4">
        <w:t xml:space="preserve"> </w:t>
      </w:r>
      <w:r w:rsidR="00444721" w:rsidRPr="00444721">
        <w:t>design and partnership working with the Commission for Victims and Survivors and the Victims and Survivors Service.</w:t>
      </w:r>
      <w:r w:rsidR="00444721" w:rsidRPr="00444721">
        <w:rPr>
          <w:vertAlign w:val="superscript"/>
        </w:rPr>
        <w:footnoteReference w:id="26"/>
      </w:r>
      <w:r w:rsidR="00444721" w:rsidRPr="00444721">
        <w:t xml:space="preserve"> </w:t>
      </w:r>
      <w:r w:rsidR="00244509">
        <w:t xml:space="preserve">The NIHRC also welcomes the </w:t>
      </w:r>
      <w:r w:rsidR="001741C6">
        <w:t xml:space="preserve">victim-centred and trauma-informed </w:t>
      </w:r>
      <w:r w:rsidR="000646D1">
        <w:t xml:space="preserve">approach </w:t>
      </w:r>
      <w:r w:rsidR="00044F0D">
        <w:t>taken by the Executive Office</w:t>
      </w:r>
      <w:r w:rsidR="00CD437F">
        <w:t xml:space="preserve">, which </w:t>
      </w:r>
      <w:r w:rsidR="00F832F4">
        <w:t xml:space="preserve">is consistent with </w:t>
      </w:r>
      <w:r w:rsidR="001D23D4">
        <w:t xml:space="preserve">EU minimum standards and </w:t>
      </w:r>
      <w:r w:rsidR="00F832F4">
        <w:t>advice from</w:t>
      </w:r>
      <w:r w:rsidR="00CD437F">
        <w:t xml:space="preserve"> international </w:t>
      </w:r>
      <w:r w:rsidR="00CD437F">
        <w:lastRenderedPageBreak/>
        <w:t>human rights bodies</w:t>
      </w:r>
      <w:r w:rsidR="001D23D4">
        <w:t>.</w:t>
      </w:r>
      <w:r w:rsidR="00CD437F">
        <w:t xml:space="preserve"> </w:t>
      </w:r>
      <w:r w:rsidR="00844EEC">
        <w:t>However,</w:t>
      </w:r>
      <w:r w:rsidR="00F22D2B" w:rsidRPr="00F22D2B">
        <w:t xml:space="preserve"> there are some additional points that the Executive Office may wish to consider</w:t>
      </w:r>
      <w:r w:rsidR="00F22D2B">
        <w:t xml:space="preserve"> </w:t>
      </w:r>
      <w:proofErr w:type="gramStart"/>
      <w:r w:rsidR="00F22D2B">
        <w:t>in order to</w:t>
      </w:r>
      <w:proofErr w:type="gramEnd"/>
      <w:r w:rsidR="00F22D2B">
        <w:t xml:space="preserve"> ensure </w:t>
      </w:r>
      <w:r w:rsidR="006640A5">
        <w:t xml:space="preserve">full </w:t>
      </w:r>
      <w:r w:rsidR="00F22D2B">
        <w:t>compliance with</w:t>
      </w:r>
      <w:r w:rsidR="006640A5">
        <w:t xml:space="preserve"> </w:t>
      </w:r>
      <w:r w:rsidR="00F22D2B">
        <w:t>international human rights standards.</w:t>
      </w:r>
    </w:p>
    <w:p w14:paraId="26DEA202" w14:textId="77777777" w:rsidR="00424644" w:rsidRPr="00424644" w:rsidRDefault="00424644" w:rsidP="00A340DB">
      <w:pPr>
        <w:spacing w:line="276" w:lineRule="auto"/>
      </w:pPr>
    </w:p>
    <w:p w14:paraId="3EF65771" w14:textId="55ABF01F" w:rsidR="00424644" w:rsidRPr="00424644" w:rsidRDefault="002E6754" w:rsidP="009A237B">
      <w:pPr>
        <w:pStyle w:val="Heading1"/>
        <w:numPr>
          <w:ilvl w:val="0"/>
          <w:numId w:val="9"/>
        </w:numPr>
        <w:spacing w:before="0" w:line="276" w:lineRule="auto"/>
      </w:pPr>
      <w:bookmarkStart w:id="2" w:name="_Toc163637899"/>
      <w:r>
        <w:t>General Comments</w:t>
      </w:r>
      <w:bookmarkEnd w:id="2"/>
    </w:p>
    <w:p w14:paraId="4CAA4220" w14:textId="77777777" w:rsidR="00A71468" w:rsidRPr="00A71468" w:rsidRDefault="00A71468" w:rsidP="00B8500E">
      <w:pPr>
        <w:pStyle w:val="ListParagraph"/>
        <w:numPr>
          <w:ilvl w:val="0"/>
          <w:numId w:val="7"/>
        </w:numPr>
        <w:rPr>
          <w:vanish/>
        </w:rPr>
      </w:pPr>
    </w:p>
    <w:p w14:paraId="523DB832" w14:textId="77777777" w:rsidR="00E73B6A" w:rsidRDefault="00E73B6A" w:rsidP="00B004F9">
      <w:pPr>
        <w:rPr>
          <w:sz w:val="16"/>
          <w:szCs w:val="16"/>
        </w:rPr>
      </w:pPr>
    </w:p>
    <w:p w14:paraId="332CCE1A" w14:textId="77777777" w:rsidR="002A6B65" w:rsidRDefault="002A6B65" w:rsidP="002A6B65">
      <w:pPr>
        <w:pStyle w:val="Heading2"/>
      </w:pPr>
      <w:bookmarkStart w:id="3" w:name="_Toc163637900"/>
      <w:r>
        <w:t>Human rights impact assessment</w:t>
      </w:r>
      <w:bookmarkEnd w:id="3"/>
      <w:r>
        <w:t xml:space="preserve"> </w:t>
      </w:r>
    </w:p>
    <w:p w14:paraId="5A1EEDD9" w14:textId="2D95F451" w:rsidR="000711C4" w:rsidRDefault="002A6B65" w:rsidP="0070783D">
      <w:pPr>
        <w:pStyle w:val="ListParagraph"/>
        <w:numPr>
          <w:ilvl w:val="1"/>
          <w:numId w:val="9"/>
        </w:numPr>
        <w:ind w:left="709" w:hanging="709"/>
      </w:pPr>
      <w:r>
        <w:t xml:space="preserve">The NIHRC welcomes the inclusion of a human rights impact assessment and commends the Executive Office </w:t>
      </w:r>
      <w:r w:rsidR="001D23D4">
        <w:t xml:space="preserve">for its </w:t>
      </w:r>
      <w:r>
        <w:t>consideration of human rights</w:t>
      </w:r>
      <w:r w:rsidR="001D23D4">
        <w:t xml:space="preserve"> in its </w:t>
      </w:r>
      <w:r w:rsidR="0070783D">
        <w:t xml:space="preserve">draft </w:t>
      </w:r>
      <w:r>
        <w:t>strategy. It is encouraging that “the need to ensure the rights of victims and survivors are respected and protected” is acknowledged.</w:t>
      </w:r>
      <w:r>
        <w:rPr>
          <w:rStyle w:val="FootnoteReference"/>
        </w:rPr>
        <w:footnoteReference w:id="27"/>
      </w:r>
      <w:r>
        <w:t xml:space="preserve"> </w:t>
      </w:r>
      <w:r w:rsidR="001D23D4">
        <w:t>Despite that</w:t>
      </w:r>
      <w:r>
        <w:t xml:space="preserve">, the draft strategy does not set out the full range of international human rights standards that relate to victims and survivors of human rights abuses. Moreover, the human rights impact assessment does not consider key protections under the ECHR, as </w:t>
      </w:r>
      <w:r w:rsidR="001D23D4">
        <w:t xml:space="preserve">required by </w:t>
      </w:r>
      <w:r>
        <w:t>the Human Rights Act 1998, or other international treaties ratified by the UK Government.</w:t>
      </w:r>
      <w:r w:rsidR="5CF62D33">
        <w:t xml:space="preserve"> </w:t>
      </w:r>
      <w:r w:rsidR="003731DA">
        <w:t xml:space="preserve">Further, </w:t>
      </w:r>
      <w:r w:rsidR="00347918">
        <w:t xml:space="preserve">no consideration </w:t>
      </w:r>
      <w:r w:rsidR="001D23D4">
        <w:t xml:space="preserve">appears to have been </w:t>
      </w:r>
      <w:r w:rsidR="00347918">
        <w:t>given to</w:t>
      </w:r>
      <w:r w:rsidR="00382B3D">
        <w:t xml:space="preserve"> relevant EU minimum standards in accordance with</w:t>
      </w:r>
      <w:r w:rsidR="00347918">
        <w:t xml:space="preserve"> Windsor Framework Article 2</w:t>
      </w:r>
      <w:r w:rsidR="001D23D4">
        <w:t>.</w:t>
      </w:r>
      <w:r w:rsidR="003731DA">
        <w:t xml:space="preserve"> </w:t>
      </w:r>
    </w:p>
    <w:p w14:paraId="2562FEC8" w14:textId="77777777" w:rsidR="000711C4" w:rsidRDefault="000711C4" w:rsidP="000711C4">
      <w:pPr>
        <w:pStyle w:val="ListParagraph"/>
        <w:ind w:left="709"/>
      </w:pPr>
    </w:p>
    <w:p w14:paraId="6DA4CB4E" w14:textId="4BC35552" w:rsidR="000711C4" w:rsidRDefault="007032CF" w:rsidP="00B8500E">
      <w:pPr>
        <w:pStyle w:val="ListParagraph"/>
        <w:numPr>
          <w:ilvl w:val="1"/>
          <w:numId w:val="9"/>
        </w:numPr>
        <w:ind w:left="709" w:hanging="709"/>
      </w:pPr>
      <w:r>
        <w:t>P</w:t>
      </w:r>
      <w:r w:rsidR="002A6B65">
        <w:t xml:space="preserve">olicies designed to address the needs of victims and survivors should contribute to securing the </w:t>
      </w:r>
      <w:r w:rsidR="00177406">
        <w:t>S</w:t>
      </w:r>
      <w:r w:rsidR="002A6B65">
        <w:t xml:space="preserve">tate’s compliance with </w:t>
      </w:r>
      <w:r w:rsidR="00DB664E">
        <w:t xml:space="preserve">its </w:t>
      </w:r>
      <w:r w:rsidR="002A6B65">
        <w:t>binding obligations arising from treaty commitments.</w:t>
      </w:r>
      <w:r w:rsidR="002A6B65">
        <w:rPr>
          <w:rStyle w:val="FootnoteReference"/>
        </w:rPr>
        <w:footnoteReference w:id="28"/>
      </w:r>
      <w:r w:rsidR="002A6B65">
        <w:t xml:space="preserve"> </w:t>
      </w:r>
      <w:r w:rsidR="00723781">
        <w:t xml:space="preserve">The UK Government has </w:t>
      </w:r>
      <w:r w:rsidR="00DB664E">
        <w:t>ratified</w:t>
      </w:r>
      <w:r w:rsidR="00723781">
        <w:t xml:space="preserve"> several relevant UN and </w:t>
      </w:r>
      <w:proofErr w:type="spellStart"/>
      <w:r w:rsidR="00723781">
        <w:t>CoE</w:t>
      </w:r>
      <w:proofErr w:type="spellEnd"/>
      <w:r w:rsidR="00723781">
        <w:t xml:space="preserve"> treaties, by which it has agreed to be bound by the obligations contained within.</w:t>
      </w:r>
      <w:r w:rsidR="000137FB">
        <w:rPr>
          <w:rStyle w:val="FootnoteReference"/>
        </w:rPr>
        <w:footnoteReference w:id="29"/>
      </w:r>
      <w:r w:rsidR="00723781">
        <w:t xml:space="preserve"> </w:t>
      </w:r>
      <w:r w:rsidR="007E0CDF">
        <w:t xml:space="preserve">General Comments and Concluding Observations attached to these treaties </w:t>
      </w:r>
      <w:r w:rsidR="00DB664E">
        <w:t xml:space="preserve">provide </w:t>
      </w:r>
      <w:r w:rsidR="002A6B65">
        <w:t>guidance and best practice standards.</w:t>
      </w:r>
      <w:r w:rsidR="00F03C5F">
        <w:t xml:space="preserve"> </w:t>
      </w:r>
      <w:r w:rsidR="00496865">
        <w:t xml:space="preserve">These should be acknowledged and </w:t>
      </w:r>
      <w:r w:rsidR="00797DC4">
        <w:t>examined</w:t>
      </w:r>
      <w:r w:rsidR="00496865">
        <w:t xml:space="preserve"> within a human rights impact assessment. </w:t>
      </w:r>
      <w:r w:rsidR="0028165D">
        <w:t>Thus, i</w:t>
      </w:r>
      <w:r w:rsidR="00F03C5F">
        <w:t>n addition to those set out above,</w:t>
      </w:r>
      <w:r w:rsidR="002A6B65">
        <w:t xml:space="preserve"> </w:t>
      </w:r>
      <w:r w:rsidR="002A6B65" w:rsidRPr="00F90032">
        <w:t>Annex 1</w:t>
      </w:r>
      <w:r w:rsidR="002A6B65">
        <w:t xml:space="preserve"> provides </w:t>
      </w:r>
      <w:r w:rsidR="00F03C5F">
        <w:t>a summary</w:t>
      </w:r>
      <w:r w:rsidR="002A6B65">
        <w:t xml:space="preserve"> of key international standards and principles that should be </w:t>
      </w:r>
      <w:r w:rsidR="00DB664E">
        <w:t>considered</w:t>
      </w:r>
      <w:r w:rsidR="002A6B65">
        <w:t xml:space="preserve"> in relation to the </w:t>
      </w:r>
      <w:r w:rsidR="0070783D">
        <w:t>draft</w:t>
      </w:r>
      <w:r w:rsidR="002A6B65">
        <w:t xml:space="preserve"> strategy</w:t>
      </w:r>
      <w:r w:rsidR="001F01A0">
        <w:t xml:space="preserve"> and</w:t>
      </w:r>
      <w:r w:rsidR="00BE4445">
        <w:t xml:space="preserve"> accompanying</w:t>
      </w:r>
      <w:r w:rsidR="001F01A0">
        <w:t xml:space="preserve"> impact assessment</w:t>
      </w:r>
      <w:r w:rsidR="00BE4445">
        <w:t>s</w:t>
      </w:r>
      <w:r w:rsidR="001F01A0">
        <w:t>.</w:t>
      </w:r>
      <w:r w:rsidR="00F71A55">
        <w:t xml:space="preserve"> </w:t>
      </w:r>
    </w:p>
    <w:p w14:paraId="66185E3A" w14:textId="77777777" w:rsidR="000711C4" w:rsidRDefault="000711C4" w:rsidP="000711C4">
      <w:pPr>
        <w:pStyle w:val="ListParagraph"/>
      </w:pPr>
    </w:p>
    <w:p w14:paraId="5099DE14" w14:textId="7299A975" w:rsidR="002A6B65" w:rsidRDefault="00DB664E" w:rsidP="00B8500E">
      <w:pPr>
        <w:pStyle w:val="ListParagraph"/>
        <w:numPr>
          <w:ilvl w:val="1"/>
          <w:numId w:val="9"/>
        </w:numPr>
        <w:ind w:left="709" w:hanging="709"/>
      </w:pPr>
      <w:r>
        <w:t xml:space="preserve">The NIHRC notes that </w:t>
      </w:r>
      <w:r w:rsidR="002A6B65">
        <w:t xml:space="preserve">Article 2 </w:t>
      </w:r>
      <w:r w:rsidR="00725E26">
        <w:t xml:space="preserve">of the ECHR </w:t>
      </w:r>
      <w:r w:rsidR="002A6B65">
        <w:t xml:space="preserve">(right to life), Article 8 </w:t>
      </w:r>
      <w:r w:rsidR="00725E26">
        <w:t xml:space="preserve">of the ECHR </w:t>
      </w:r>
      <w:r w:rsidR="002A6B65">
        <w:t xml:space="preserve">(right to private and family life) and Article 14 </w:t>
      </w:r>
      <w:r w:rsidR="00E574ED">
        <w:t xml:space="preserve">of the ECHR </w:t>
      </w:r>
      <w:r w:rsidR="002A6B65">
        <w:t xml:space="preserve">(prohibition of discrimination) are </w:t>
      </w:r>
      <w:r>
        <w:t xml:space="preserve">determined to be </w:t>
      </w:r>
      <w:r w:rsidR="002A6B65">
        <w:t xml:space="preserve">‘not relevant’ to the </w:t>
      </w:r>
      <w:r w:rsidR="0070783D">
        <w:t>draft</w:t>
      </w:r>
      <w:r w:rsidR="002A6B65">
        <w:t xml:space="preserve"> strategy</w:t>
      </w:r>
      <w:r>
        <w:t xml:space="preserve">. That appears to be the reason for a failure to consider </w:t>
      </w:r>
      <w:r w:rsidR="002A6B65">
        <w:lastRenderedPageBreak/>
        <w:t xml:space="preserve">Article 13 </w:t>
      </w:r>
      <w:r w:rsidR="00E574ED">
        <w:t xml:space="preserve">of the ECHR </w:t>
      </w:r>
      <w:r w:rsidR="002A6B65">
        <w:t>(right to an effective remedy).</w:t>
      </w:r>
      <w:r w:rsidR="002A6B65">
        <w:rPr>
          <w:rStyle w:val="FootnoteReference"/>
        </w:rPr>
        <w:footnoteReference w:id="30"/>
      </w:r>
      <w:r w:rsidR="002A6B65">
        <w:t xml:space="preserve"> </w:t>
      </w:r>
      <w:r>
        <w:t xml:space="preserve">The NIHRC considers </w:t>
      </w:r>
      <w:r w:rsidR="003717EB">
        <w:t>these provisions</w:t>
      </w:r>
      <w:r>
        <w:t xml:space="preserve"> to be directly relevant and should have been analysed. </w:t>
      </w:r>
      <w:r w:rsidR="002A6B65">
        <w:t xml:space="preserve">Further, Article 3 </w:t>
      </w:r>
      <w:r w:rsidR="00E574ED">
        <w:t xml:space="preserve">of the ECHR </w:t>
      </w:r>
      <w:r w:rsidR="002A6B65">
        <w:t xml:space="preserve">(prohibition of torture) and Article 6 </w:t>
      </w:r>
      <w:r w:rsidR="00E574ED">
        <w:t xml:space="preserve">of the ECHR </w:t>
      </w:r>
      <w:r w:rsidR="002A6B65">
        <w:t xml:space="preserve">(right to a fair trial) appear to be acknowledged </w:t>
      </w:r>
      <w:r>
        <w:t xml:space="preserve">only </w:t>
      </w:r>
      <w:r w:rsidR="002A6B65">
        <w:t xml:space="preserve">as ‘indirectly’ relevant, </w:t>
      </w:r>
      <w:r>
        <w:t xml:space="preserve">which is not the case. </w:t>
      </w:r>
      <w:r w:rsidR="003717EB">
        <w:t>These provisions</w:t>
      </w:r>
      <w:r>
        <w:t xml:space="preserve"> are directly relevant. In any event, even indirectly relevant </w:t>
      </w:r>
      <w:r w:rsidR="00252369">
        <w:t>provisions</w:t>
      </w:r>
      <w:r>
        <w:t xml:space="preserve"> should be </w:t>
      </w:r>
      <w:proofErr w:type="gramStart"/>
      <w:r>
        <w:t>assessed</w:t>
      </w:r>
      <w:proofErr w:type="gramEnd"/>
      <w:r>
        <w:t xml:space="preserve"> and any potential impact acknowledged. That will also alert policy makers to the risks of human rights infringements that may follow from the draft.</w:t>
      </w:r>
      <w:r w:rsidR="002A6B65">
        <w:rPr>
          <w:rStyle w:val="FootnoteReference"/>
        </w:rPr>
        <w:footnoteReference w:id="31"/>
      </w:r>
      <w:r w:rsidR="002A6B65">
        <w:t xml:space="preserve"> As a result, </w:t>
      </w:r>
      <w:r>
        <w:t xml:space="preserve">there has been </w:t>
      </w:r>
      <w:r w:rsidR="002A6B65">
        <w:t xml:space="preserve">no </w:t>
      </w:r>
      <w:r>
        <w:t>consideration, at least not in sufficient detail, of</w:t>
      </w:r>
      <w:r w:rsidR="002A6B65">
        <w:t xml:space="preserve"> safeguards or specific mitigations</w:t>
      </w:r>
      <w:r>
        <w:t xml:space="preserve"> that are already in place or are required.</w:t>
      </w:r>
    </w:p>
    <w:p w14:paraId="39E97524" w14:textId="77777777" w:rsidR="002A6B65" w:rsidRDefault="002A6B65" w:rsidP="002A6B65"/>
    <w:p w14:paraId="4C3FB1AE" w14:textId="7D067666" w:rsidR="002A6B65" w:rsidRPr="00C91F8A" w:rsidRDefault="002A6B65" w:rsidP="00B8500E">
      <w:pPr>
        <w:pStyle w:val="ListParagraph"/>
        <w:numPr>
          <w:ilvl w:val="1"/>
          <w:numId w:val="9"/>
        </w:numPr>
        <w:ind w:left="709" w:hanging="709"/>
      </w:pPr>
      <w:bookmarkStart w:id="4" w:name="_Hlk163636728"/>
      <w:r w:rsidRPr="00B27A5C">
        <w:rPr>
          <w:b/>
          <w:bCs/>
        </w:rPr>
        <w:t xml:space="preserve">The NIHRC recommends that the Executive Office </w:t>
      </w:r>
      <w:r w:rsidR="009D7BB8">
        <w:rPr>
          <w:b/>
          <w:bCs/>
        </w:rPr>
        <w:t xml:space="preserve">revisits the human rights impact assessment with a view to examining </w:t>
      </w:r>
      <w:r w:rsidRPr="00B27A5C">
        <w:rPr>
          <w:b/>
          <w:bCs/>
        </w:rPr>
        <w:t>the full range of human rights standards</w:t>
      </w:r>
      <w:r>
        <w:rPr>
          <w:b/>
          <w:bCs/>
        </w:rPr>
        <w:t xml:space="preserve"> identified </w:t>
      </w:r>
      <w:r w:rsidR="00986344">
        <w:rPr>
          <w:b/>
          <w:bCs/>
        </w:rPr>
        <w:t xml:space="preserve">in Annex 1 </w:t>
      </w:r>
      <w:r>
        <w:rPr>
          <w:b/>
          <w:bCs/>
        </w:rPr>
        <w:t xml:space="preserve">as </w:t>
      </w:r>
      <w:r w:rsidRPr="00B27A5C">
        <w:rPr>
          <w:b/>
          <w:bCs/>
        </w:rPr>
        <w:t xml:space="preserve">directly relevant to the </w:t>
      </w:r>
      <w:r w:rsidR="0070783D">
        <w:rPr>
          <w:b/>
          <w:bCs/>
        </w:rPr>
        <w:t xml:space="preserve">draft </w:t>
      </w:r>
      <w:r w:rsidRPr="00B27A5C">
        <w:rPr>
          <w:b/>
          <w:bCs/>
        </w:rPr>
        <w:t>strategy</w:t>
      </w:r>
      <w:r w:rsidR="00986344">
        <w:rPr>
          <w:b/>
          <w:bCs/>
        </w:rPr>
        <w:t>.</w:t>
      </w:r>
      <w:r w:rsidRPr="00B27A5C">
        <w:rPr>
          <w:b/>
          <w:bCs/>
        </w:rPr>
        <w:t xml:space="preserve"> </w:t>
      </w:r>
    </w:p>
    <w:bookmarkEnd w:id="4"/>
    <w:p w14:paraId="226059FA" w14:textId="77777777" w:rsidR="00CB0FC6" w:rsidRDefault="00CB0FC6" w:rsidP="00C91F8A">
      <w:pPr>
        <w:pStyle w:val="ListParagraph"/>
      </w:pPr>
    </w:p>
    <w:p w14:paraId="77950A69" w14:textId="77777777" w:rsidR="00CB0FC6" w:rsidRPr="00593A7C" w:rsidRDefault="00CB0FC6" w:rsidP="00593A7C">
      <w:pPr>
        <w:pStyle w:val="Heading2"/>
      </w:pPr>
      <w:bookmarkStart w:id="5" w:name="_Toc163637901"/>
      <w:r w:rsidRPr="00593A7C">
        <w:t>Windsor Framework Article 2</w:t>
      </w:r>
      <w:bookmarkEnd w:id="5"/>
      <w:r w:rsidRPr="00593A7C">
        <w:t xml:space="preserve"> </w:t>
      </w:r>
    </w:p>
    <w:p w14:paraId="1A9CF0DF" w14:textId="77777777" w:rsidR="00CB0FC6" w:rsidRPr="00583592" w:rsidRDefault="00CB0FC6" w:rsidP="00CB0FC6">
      <w:pPr>
        <w:pStyle w:val="ListParagraph"/>
        <w:numPr>
          <w:ilvl w:val="1"/>
          <w:numId w:val="9"/>
        </w:numPr>
        <w:ind w:left="709" w:hanging="709"/>
        <w:rPr>
          <w:b/>
          <w:bCs/>
        </w:rPr>
      </w:pPr>
      <w:r w:rsidRPr="007F1403">
        <w:t xml:space="preserve">Windsor Framework Article 2 requires the UK Government to ensure that no diminution of rights, safeguards and equality of opportunities contained in the relevant part of the Belfast (Good Friday) Agreement 1998 occurs </w:t>
      </w:r>
      <w:proofErr w:type="gramStart"/>
      <w:r w:rsidRPr="007F1403">
        <w:t>as a result of</w:t>
      </w:r>
      <w:proofErr w:type="gramEnd"/>
      <w:r w:rsidRPr="007F1403">
        <w:t xml:space="preserve"> the UK’s withdrawal from the EU. This includes an obligation to “keep pace” with any changes made </w:t>
      </w:r>
      <w:r>
        <w:t>to</w:t>
      </w:r>
      <w:r w:rsidRPr="007F1403">
        <w:t xml:space="preserve"> the six Annex 1 equality directives</w:t>
      </w:r>
      <w:r>
        <w:rPr>
          <w:rStyle w:val="FootnoteReference"/>
        </w:rPr>
        <w:footnoteReference w:id="32"/>
      </w:r>
      <w:r w:rsidRPr="007F1403">
        <w:t xml:space="preserve"> which improve the minimum levels of protection available, after 1 January 2021.</w:t>
      </w:r>
      <w:r>
        <w:rPr>
          <w:rStyle w:val="FootnoteReference"/>
        </w:rPr>
        <w:footnoteReference w:id="33"/>
      </w:r>
    </w:p>
    <w:p w14:paraId="11D165CB" w14:textId="77777777" w:rsidR="00CB0FC6" w:rsidRPr="00583592" w:rsidRDefault="00CB0FC6" w:rsidP="00CB0FC6">
      <w:pPr>
        <w:rPr>
          <w:b/>
          <w:bCs/>
        </w:rPr>
      </w:pPr>
    </w:p>
    <w:p w14:paraId="293ADADD" w14:textId="77777777" w:rsidR="00CB0FC6" w:rsidRPr="00583592" w:rsidRDefault="00CB0FC6" w:rsidP="00CB0FC6">
      <w:pPr>
        <w:pStyle w:val="ListParagraph"/>
        <w:numPr>
          <w:ilvl w:val="1"/>
          <w:numId w:val="9"/>
        </w:numPr>
        <w:ind w:left="709" w:hanging="709"/>
        <w:rPr>
          <w:b/>
          <w:bCs/>
        </w:rPr>
      </w:pPr>
      <w:r w:rsidRPr="00B3662B">
        <w:lastRenderedPageBreak/>
        <w:t xml:space="preserve">For other EU obligations which underpin the rights, </w:t>
      </w:r>
      <w:proofErr w:type="gramStart"/>
      <w:r w:rsidRPr="00B3662B">
        <w:t>safeguards</w:t>
      </w:r>
      <w:proofErr w:type="gramEnd"/>
      <w:r w:rsidRPr="00B3662B">
        <w:t xml:space="preserve"> and equality of opportunity in</w:t>
      </w:r>
      <w:r>
        <w:t xml:space="preserve"> Windsor Framework</w:t>
      </w:r>
      <w:r w:rsidRPr="00B3662B">
        <w:t xml:space="preserve"> Article 2, the UK Government commitment to ensure ‘no diminution’ is measured by the relevant EU standards as they were on the 31 December 2020.</w:t>
      </w:r>
      <w:r>
        <w:rPr>
          <w:rStyle w:val="FootnoteReference"/>
        </w:rPr>
        <w:footnoteReference w:id="34"/>
      </w:r>
    </w:p>
    <w:p w14:paraId="51EB1A04" w14:textId="77777777" w:rsidR="00CB0FC6" w:rsidRDefault="00CB0FC6" w:rsidP="00CB0FC6">
      <w:pPr>
        <w:pStyle w:val="ListParagraph"/>
      </w:pPr>
    </w:p>
    <w:p w14:paraId="4351DB1A" w14:textId="4D01DE31" w:rsidR="00CB0FC6" w:rsidRPr="00F13394" w:rsidRDefault="00CB0FC6" w:rsidP="00CB0FC6">
      <w:pPr>
        <w:pStyle w:val="ListParagraph"/>
        <w:numPr>
          <w:ilvl w:val="1"/>
          <w:numId w:val="9"/>
        </w:numPr>
        <w:ind w:left="709" w:hanging="709"/>
        <w:rPr>
          <w:b/>
          <w:bCs/>
        </w:rPr>
      </w:pPr>
      <w:r>
        <w:t xml:space="preserve">The rights, </w:t>
      </w:r>
      <w:proofErr w:type="gramStart"/>
      <w:r>
        <w:t>safeguards</w:t>
      </w:r>
      <w:proofErr w:type="gramEnd"/>
      <w:r>
        <w:t xml:space="preserve"> and equality of opportunity chapter of the Belfast (Good Friday) Agreement was not a</w:t>
      </w:r>
      <w:r w:rsidR="009A5B60">
        <w:t>n exhaustive</w:t>
      </w:r>
      <w:r>
        <w:t xml:space="preserve"> statement of rights protections. </w:t>
      </w:r>
      <w:r w:rsidR="009A5B60">
        <w:t>Rather</w:t>
      </w:r>
      <w:r>
        <w:t xml:space="preserve">, the parties affirmed their “commitment to … the civil rights and religious liberties of everyone in the community” before affirming “in particular” </w:t>
      </w:r>
      <w:r w:rsidR="00B94CEE">
        <w:t>a</w:t>
      </w:r>
      <w:r>
        <w:t xml:space="preserve"> </w:t>
      </w:r>
      <w:r w:rsidR="00727550">
        <w:t xml:space="preserve">non-exhaustive </w:t>
      </w:r>
      <w:r>
        <w:t>list of rights</w:t>
      </w:r>
      <w:r w:rsidR="00B94CEE">
        <w:t xml:space="preserve"> and</w:t>
      </w:r>
      <w:r>
        <w:t xml:space="preserve"> safeguards.</w:t>
      </w:r>
      <w:r>
        <w:rPr>
          <w:rStyle w:val="FootnoteReference"/>
        </w:rPr>
        <w:footnoteReference w:id="35"/>
      </w:r>
      <w:r>
        <w:t xml:space="preserve">  </w:t>
      </w:r>
    </w:p>
    <w:p w14:paraId="364F5182" w14:textId="77777777" w:rsidR="00CB0FC6" w:rsidRPr="00C2041F" w:rsidRDefault="00CB0FC6" w:rsidP="00CB0FC6">
      <w:pPr>
        <w:pStyle w:val="ListParagraph"/>
      </w:pPr>
    </w:p>
    <w:p w14:paraId="1BF6B2A2" w14:textId="684EEB08" w:rsidR="00CB0FC6" w:rsidRDefault="00216D50" w:rsidP="00CB0FC6">
      <w:pPr>
        <w:pStyle w:val="ListParagraph"/>
        <w:numPr>
          <w:ilvl w:val="1"/>
          <w:numId w:val="9"/>
        </w:numPr>
        <w:ind w:left="709" w:hanging="709"/>
      </w:pPr>
      <w:r>
        <w:t>The</w:t>
      </w:r>
      <w:r w:rsidR="00CB0FC6" w:rsidRPr="00F13394">
        <w:t xml:space="preserve"> section of the relevant chapter of the </w:t>
      </w:r>
      <w:r w:rsidR="00CB0FC6" w:rsidRPr="00C2041F">
        <w:t>Belfast (Good Friday) Agreement</w:t>
      </w:r>
      <w:r w:rsidR="00CB0FC6" w:rsidRPr="00F13394">
        <w:t xml:space="preserve"> </w:t>
      </w:r>
      <w:r w:rsidR="003522AD">
        <w:t xml:space="preserve">headed ‘Human Rights’ </w:t>
      </w:r>
      <w:r>
        <w:t xml:space="preserve">includes </w:t>
      </w:r>
      <w:r w:rsidR="00CB0FC6" w:rsidRPr="00F13394">
        <w:t>the UK Government’s commitment to the incorporation of the ECHR with direct access to the courts and remedies for breach.</w:t>
      </w:r>
      <w:r w:rsidR="00CB0FC6">
        <w:rPr>
          <w:rStyle w:val="FootnoteReference"/>
        </w:rPr>
        <w:footnoteReference w:id="36"/>
      </w:r>
      <w:r w:rsidR="00CB0FC6" w:rsidRPr="00F13394">
        <w:t xml:space="preserve"> It includes </w:t>
      </w:r>
      <w:r w:rsidR="003522AD">
        <w:t xml:space="preserve">reference to </w:t>
      </w:r>
      <w:r w:rsidR="00CB0FC6" w:rsidRPr="00F13394">
        <w:t xml:space="preserve">victims’ rights and </w:t>
      </w:r>
      <w:r w:rsidR="00F77C27">
        <w:t xml:space="preserve">a section on </w:t>
      </w:r>
      <w:r w:rsidR="00CB0FC6" w:rsidRPr="00F13394">
        <w:t xml:space="preserve">economic, </w:t>
      </w:r>
      <w:proofErr w:type="gramStart"/>
      <w:r w:rsidR="00CB0FC6" w:rsidRPr="00F13394">
        <w:t>social</w:t>
      </w:r>
      <w:proofErr w:type="gramEnd"/>
      <w:r w:rsidR="00CB0FC6" w:rsidRPr="00F13394">
        <w:t xml:space="preserve"> and cultural </w:t>
      </w:r>
      <w:r w:rsidR="00F77C27">
        <w:t>issues</w:t>
      </w:r>
      <w:r w:rsidR="00CB0FC6" w:rsidRPr="00F13394">
        <w:t xml:space="preserve">. </w:t>
      </w:r>
      <w:r w:rsidR="00CB0FC6">
        <w:t xml:space="preserve">The High Court recently </w:t>
      </w:r>
      <w:r w:rsidR="008713D8">
        <w:t xml:space="preserve">adopted </w:t>
      </w:r>
      <w:r w:rsidR="00CB0FC6">
        <w:t>a purposive approach to interpretation of the relevant chapter of the Belfast (Good Friday) Agreement</w:t>
      </w:r>
      <w:r>
        <w:t>.</w:t>
      </w:r>
      <w:r>
        <w:rPr>
          <w:rStyle w:val="FootnoteReference"/>
        </w:rPr>
        <w:footnoteReference w:id="37"/>
      </w:r>
      <w:r w:rsidR="00CB0FC6">
        <w:t xml:space="preserve"> </w:t>
      </w:r>
      <w:r>
        <w:t xml:space="preserve">The </w:t>
      </w:r>
      <w:r w:rsidR="00252369">
        <w:t xml:space="preserve">High </w:t>
      </w:r>
      <w:r>
        <w:t xml:space="preserve">Court </w:t>
      </w:r>
      <w:r w:rsidR="008713D8">
        <w:t xml:space="preserve">held that, </w:t>
      </w:r>
      <w:r w:rsidR="00CB0FC6">
        <w:t>“</w:t>
      </w:r>
      <w:r w:rsidR="00252369">
        <w:t>a</w:t>
      </w:r>
      <w:r w:rsidR="00CB0FC6" w:rsidRPr="00940F07">
        <w:t xml:space="preserve"> narrow interpretation of </w:t>
      </w:r>
      <w:r>
        <w:t>‘</w:t>
      </w:r>
      <w:r w:rsidR="00CB0FC6" w:rsidRPr="00940F07">
        <w:t>civil rights</w:t>
      </w:r>
      <w:r>
        <w:t>’</w:t>
      </w:r>
      <w:r w:rsidR="00CB0FC6" w:rsidRPr="00940F07">
        <w:t xml:space="preserve"> undermines the forward-facing dimension of the non-diminution commitment in article 2(1)</w:t>
      </w:r>
      <w:r w:rsidR="00CB0FC6">
        <w:t>”</w:t>
      </w:r>
      <w:r w:rsidR="00CB0FC6" w:rsidRPr="00940F07">
        <w:t>.</w:t>
      </w:r>
      <w:r w:rsidR="00CB0FC6">
        <w:rPr>
          <w:rStyle w:val="FootnoteReference"/>
        </w:rPr>
        <w:footnoteReference w:id="38"/>
      </w:r>
      <w:r w:rsidR="00CB0FC6">
        <w:t xml:space="preserve"> It is the NIHRC’s </w:t>
      </w:r>
      <w:r w:rsidR="008713D8">
        <w:t xml:space="preserve">considered opinion </w:t>
      </w:r>
      <w:r w:rsidR="00CB0FC6">
        <w:t xml:space="preserve">that </w:t>
      </w:r>
      <w:r w:rsidR="00CB0FC6" w:rsidRPr="00F13394">
        <w:t xml:space="preserve">the chapter represents </w:t>
      </w:r>
      <w:r w:rsidR="008713D8">
        <w:t xml:space="preserve">a broad (i.e. </w:t>
      </w:r>
      <w:r w:rsidR="00CB0FC6" w:rsidRPr="00F13394">
        <w:t>wide-ranging</w:t>
      </w:r>
      <w:r w:rsidR="008713D8">
        <w:t>)</w:t>
      </w:r>
      <w:r w:rsidR="00CB0FC6" w:rsidRPr="00F13394">
        <w:t xml:space="preserve"> commitment to civil, political, economic, social and cultural rights and equality of opportunity.</w:t>
      </w:r>
      <w:r w:rsidR="00CB0FC6">
        <w:rPr>
          <w:rStyle w:val="FootnoteReference"/>
        </w:rPr>
        <w:footnoteReference w:id="39"/>
      </w:r>
      <w:r w:rsidR="00CB0FC6" w:rsidRPr="00C2041F">
        <w:t xml:space="preserve"> </w:t>
      </w:r>
    </w:p>
    <w:p w14:paraId="622FB27D" w14:textId="77777777" w:rsidR="00CB0FC6" w:rsidRDefault="00CB0FC6" w:rsidP="00CB0FC6">
      <w:pPr>
        <w:pStyle w:val="ListParagraph"/>
      </w:pPr>
    </w:p>
    <w:p w14:paraId="4A104790" w14:textId="37C5BB93" w:rsidR="00CB0FC6" w:rsidRDefault="00216D50" w:rsidP="003731DA">
      <w:pPr>
        <w:pStyle w:val="ListParagraph"/>
        <w:numPr>
          <w:ilvl w:val="1"/>
          <w:numId w:val="9"/>
        </w:numPr>
        <w:ind w:left="709" w:hanging="709"/>
      </w:pPr>
      <w:r>
        <w:t>The High Court also concluded</w:t>
      </w:r>
      <w:r w:rsidR="00CB0FC6">
        <w:t xml:space="preserve"> that fundamental human rights of victims are engaged </w:t>
      </w:r>
      <w:r w:rsidR="00CB0FC6" w:rsidRPr="00BD171B">
        <w:t>under the relevant part of the</w:t>
      </w:r>
      <w:r w:rsidR="00CB0FC6">
        <w:t xml:space="preserve"> Belfast (Good Friday) Agreement</w:t>
      </w:r>
      <w:r w:rsidR="002470B4">
        <w:t>.</w:t>
      </w:r>
      <w:r w:rsidR="00CB0FC6">
        <w:t xml:space="preserve"> </w:t>
      </w:r>
      <w:r w:rsidR="002470B4" w:rsidRPr="00BD171B">
        <w:t xml:space="preserve">They </w:t>
      </w:r>
      <w:r w:rsidR="002470B4">
        <w:t>“</w:t>
      </w:r>
      <w:r w:rsidR="002470B4" w:rsidRPr="00BD171B">
        <w:t xml:space="preserve">are encompassed within the notion of </w:t>
      </w:r>
      <w:r w:rsidR="002470B4">
        <w:t>‘</w:t>
      </w:r>
      <w:r w:rsidR="002470B4" w:rsidRPr="00BD171B">
        <w:t>civil rights</w:t>
      </w:r>
      <w:r w:rsidR="002470B4">
        <w:t>’</w:t>
      </w:r>
      <w:r w:rsidR="002470B4" w:rsidRPr="00BD171B" w:rsidDel="002470B4">
        <w:t xml:space="preserve"> </w:t>
      </w:r>
      <w:r w:rsidR="00CB0FC6" w:rsidRPr="00BD171B">
        <w:t xml:space="preserve">and are protected </w:t>
      </w:r>
      <w:r w:rsidR="002470B4">
        <w:t xml:space="preserve">though the </w:t>
      </w:r>
      <w:r w:rsidR="00CB0FC6" w:rsidRPr="00BD171B">
        <w:t xml:space="preserve">commitment to victims </w:t>
      </w:r>
      <w:r w:rsidR="003C0B7F">
        <w:t>at paragraph 11</w:t>
      </w:r>
      <w:r w:rsidR="002470B4">
        <w:t>” of the Agreement</w:t>
      </w:r>
      <w:r w:rsidR="00CB0FC6">
        <w:t>.</w:t>
      </w:r>
      <w:r w:rsidR="00CB0FC6">
        <w:rPr>
          <w:rStyle w:val="FootnoteReference"/>
        </w:rPr>
        <w:footnoteReference w:id="40"/>
      </w:r>
      <w:r w:rsidR="00CB0FC6">
        <w:t xml:space="preserve"> These rights include the </w:t>
      </w:r>
      <w:r w:rsidR="00CB0FC6" w:rsidRPr="00BD171B">
        <w:t xml:space="preserve">right to life, the right to be free from </w:t>
      </w:r>
      <w:r w:rsidR="00CB0FC6" w:rsidRPr="00BD171B">
        <w:lastRenderedPageBreak/>
        <w:t xml:space="preserve">torture, cruel, </w:t>
      </w:r>
      <w:proofErr w:type="gramStart"/>
      <w:r w:rsidR="00CB0FC6" w:rsidRPr="00BD171B">
        <w:t>inhuman</w:t>
      </w:r>
      <w:proofErr w:type="gramEnd"/>
      <w:r w:rsidR="00CB0FC6" w:rsidRPr="00BD171B">
        <w:t xml:space="preserve"> or degrading treatment, the right to access a court, the right to be free from discrimination and the right to dignity</w:t>
      </w:r>
      <w:r w:rsidR="00CB0FC6">
        <w:t>.</w:t>
      </w:r>
      <w:r>
        <w:rPr>
          <w:rStyle w:val="FootnoteReference"/>
        </w:rPr>
        <w:footnoteReference w:id="41"/>
      </w:r>
      <w:r w:rsidR="00CB0FC6">
        <w:t xml:space="preserve"> </w:t>
      </w:r>
    </w:p>
    <w:p w14:paraId="11FA931C" w14:textId="77777777" w:rsidR="00FD7B01" w:rsidRDefault="00FD7B01" w:rsidP="002B3326">
      <w:pPr>
        <w:pStyle w:val="ListParagraph"/>
      </w:pPr>
    </w:p>
    <w:p w14:paraId="5D1BE3AF" w14:textId="0CB14AED" w:rsidR="00FD7B01" w:rsidRDefault="00FD7B01" w:rsidP="003731DA">
      <w:pPr>
        <w:pStyle w:val="ListParagraph"/>
        <w:numPr>
          <w:ilvl w:val="1"/>
          <w:numId w:val="9"/>
        </w:numPr>
        <w:ind w:left="709" w:hanging="709"/>
      </w:pPr>
      <w:r>
        <w:t>Relevant EU law which underpins this part of the Belfast (Good Friday</w:t>
      </w:r>
      <w:r w:rsidR="003C0B7F">
        <w:t>)</w:t>
      </w:r>
      <w:r>
        <w:t xml:space="preserve"> Agreement includes EU </w:t>
      </w:r>
      <w:r w:rsidRPr="006F2BFD">
        <w:t>Victims’ Directive</w:t>
      </w:r>
      <w:r w:rsidR="003C0B7F">
        <w:t>,</w:t>
      </w:r>
      <w:r w:rsidR="00196106">
        <w:t xml:space="preserve"> which </w:t>
      </w:r>
      <w:r w:rsidR="00196106" w:rsidRPr="0073476B">
        <w:t>reinforces existing national laws</w:t>
      </w:r>
      <w:r w:rsidR="003C0B7F">
        <w:t>;</w:t>
      </w:r>
      <w:r w:rsidR="00196106" w:rsidRPr="0073476B">
        <w:t xml:space="preserve"> and EU minimum standards on victims’ rights and support and protection for victims of crime</w:t>
      </w:r>
      <w:r>
        <w:t>.</w:t>
      </w:r>
      <w:r>
        <w:rPr>
          <w:rStyle w:val="FootnoteReference"/>
        </w:rPr>
        <w:footnoteReference w:id="42"/>
      </w:r>
      <w:r>
        <w:t xml:space="preserve"> </w:t>
      </w:r>
      <w:r w:rsidRPr="00FD7B01">
        <w:t>Some provisions of the EU Trafficking Directive</w:t>
      </w:r>
      <w:r>
        <w:rPr>
          <w:rStyle w:val="FootnoteReference"/>
        </w:rPr>
        <w:footnoteReference w:id="43"/>
      </w:r>
      <w:r w:rsidRPr="00FD7B01">
        <w:t xml:space="preserve"> and the EU Child Sexual Exploitation Directive</w:t>
      </w:r>
      <w:r>
        <w:rPr>
          <w:rStyle w:val="FootnoteReference"/>
        </w:rPr>
        <w:footnoteReference w:id="44"/>
      </w:r>
      <w:r w:rsidRPr="00FD7B01">
        <w:t xml:space="preserve"> are also relevant in terms of the specific </w:t>
      </w:r>
      <w:r w:rsidR="003C0B7F">
        <w:t>measures</w:t>
      </w:r>
      <w:r>
        <w:t xml:space="preserve"> </w:t>
      </w:r>
      <w:r w:rsidRPr="00FD7B01">
        <w:t>for victims of human trafficking and child victims of sexual exploitation.</w:t>
      </w:r>
      <w:r>
        <w:t xml:space="preserve"> As confirmed by the</w:t>
      </w:r>
      <w:r w:rsidRPr="00641C2F">
        <w:t xml:space="preserve"> NI High Court, “the </w:t>
      </w:r>
      <w:r>
        <w:t xml:space="preserve">[EU] </w:t>
      </w:r>
      <w:r w:rsidRPr="00641C2F">
        <w:t xml:space="preserve">Charter of Fundamental Rights remains enforceable in Northern Ireland and falls within the ambit of Article 2(1) of the </w:t>
      </w:r>
      <w:r>
        <w:t>[Windsor Framework]</w:t>
      </w:r>
      <w:r w:rsidRPr="00641C2F">
        <w:t>”.</w:t>
      </w:r>
      <w:r w:rsidRPr="00641C2F">
        <w:rPr>
          <w:rStyle w:val="FootnoteReference"/>
        </w:rPr>
        <w:footnoteReference w:id="45"/>
      </w:r>
    </w:p>
    <w:p w14:paraId="6D964403" w14:textId="77777777" w:rsidR="00CB0FC6" w:rsidRPr="00C2041F" w:rsidRDefault="00CB0FC6" w:rsidP="00CB0FC6"/>
    <w:p w14:paraId="7E4CCF49" w14:textId="6C8E022E" w:rsidR="005E4490" w:rsidRPr="001673AC" w:rsidRDefault="00C15C29" w:rsidP="001673AC">
      <w:pPr>
        <w:pStyle w:val="ListParagraph"/>
        <w:numPr>
          <w:ilvl w:val="1"/>
          <w:numId w:val="9"/>
        </w:numPr>
        <w:ind w:left="709" w:hanging="709"/>
        <w:rPr>
          <w:b/>
          <w:bCs/>
        </w:rPr>
      </w:pPr>
      <w:r>
        <w:t xml:space="preserve">The </w:t>
      </w:r>
      <w:r w:rsidR="00DA2D64">
        <w:t xml:space="preserve">current draft strategy </w:t>
      </w:r>
      <w:r>
        <w:t xml:space="preserve">does not include </w:t>
      </w:r>
      <w:r w:rsidR="003C0B7F">
        <w:t xml:space="preserve">any apparent </w:t>
      </w:r>
      <w:r w:rsidR="002B3326">
        <w:t xml:space="preserve">consideration of </w:t>
      </w:r>
      <w:r w:rsidR="00DA2D64">
        <w:t>Windsor Fram</w:t>
      </w:r>
      <w:r w:rsidR="002A309A">
        <w:t>ework Article 2</w:t>
      </w:r>
      <w:r w:rsidR="003C0B7F">
        <w:t xml:space="preserve">. </w:t>
      </w:r>
      <w:r w:rsidR="00D2210B">
        <w:t xml:space="preserve">The Human Rights Impact Assessment accompanying the strategy </w:t>
      </w:r>
      <w:r w:rsidR="003C0B7F">
        <w:t>should</w:t>
      </w:r>
      <w:r w:rsidR="00D2210B">
        <w:t xml:space="preserve"> consider Article 2 including consideration of civil rights, </w:t>
      </w:r>
      <w:r w:rsidR="003C0B7F">
        <w:t xml:space="preserve">which at </w:t>
      </w:r>
      <w:r w:rsidR="00CB0FC6">
        <w:t>a minimum</w:t>
      </w:r>
      <w:r w:rsidR="003C0B7F">
        <w:t xml:space="preserve"> must include </w:t>
      </w:r>
      <w:r w:rsidR="00CB0FC6">
        <w:t>rights set out in the ECHR</w:t>
      </w:r>
      <w:r w:rsidR="00D2210B">
        <w:t>,</w:t>
      </w:r>
      <w:r w:rsidR="009542E5">
        <w:t xml:space="preserve"> and the </w:t>
      </w:r>
      <w:r w:rsidR="00196106">
        <w:t xml:space="preserve">minimum standards </w:t>
      </w:r>
      <w:r w:rsidR="003C0B7F">
        <w:t xml:space="preserve">contained </w:t>
      </w:r>
      <w:r w:rsidR="00196106">
        <w:t xml:space="preserve">in </w:t>
      </w:r>
      <w:r w:rsidR="009542E5">
        <w:t>relevant</w:t>
      </w:r>
      <w:r w:rsidR="00EC62C9">
        <w:t xml:space="preserve"> underpinning</w:t>
      </w:r>
      <w:r w:rsidR="009542E5">
        <w:t xml:space="preserve"> EU </w:t>
      </w:r>
      <w:r w:rsidR="00196106">
        <w:t>law</w:t>
      </w:r>
      <w:r w:rsidR="009542E5">
        <w:t>.</w:t>
      </w:r>
    </w:p>
    <w:p w14:paraId="25F431B8" w14:textId="77777777" w:rsidR="00CB0FC6" w:rsidRPr="001673AC" w:rsidRDefault="00CB0FC6" w:rsidP="001673AC">
      <w:pPr>
        <w:rPr>
          <w:b/>
          <w:bCs/>
        </w:rPr>
      </w:pPr>
    </w:p>
    <w:p w14:paraId="24241EA3" w14:textId="0EA57E3F" w:rsidR="00CB0FC6" w:rsidRDefault="00196106" w:rsidP="00CB0FC6">
      <w:pPr>
        <w:pStyle w:val="ListParagraph"/>
        <w:numPr>
          <w:ilvl w:val="1"/>
          <w:numId w:val="9"/>
        </w:numPr>
        <w:ind w:left="709" w:hanging="709"/>
        <w:rPr>
          <w:b/>
          <w:bCs/>
        </w:rPr>
      </w:pPr>
      <w:bookmarkStart w:id="6" w:name="_Hlk163636846"/>
      <w:r w:rsidRPr="7679F3B5">
        <w:rPr>
          <w:b/>
          <w:bCs/>
        </w:rPr>
        <w:t xml:space="preserve">The NIHRC recommends that the </w:t>
      </w:r>
      <w:r w:rsidR="00CB0FC6" w:rsidRPr="7679F3B5">
        <w:rPr>
          <w:b/>
          <w:bCs/>
        </w:rPr>
        <w:t xml:space="preserve">Executive Office </w:t>
      </w:r>
      <w:r w:rsidR="003C0B7F" w:rsidRPr="7679F3B5">
        <w:rPr>
          <w:b/>
          <w:bCs/>
        </w:rPr>
        <w:t xml:space="preserve">revisit the </w:t>
      </w:r>
      <w:r w:rsidR="00D2210B" w:rsidRPr="7679F3B5">
        <w:rPr>
          <w:b/>
          <w:bCs/>
        </w:rPr>
        <w:t xml:space="preserve">Human Rights Impact Assessment </w:t>
      </w:r>
      <w:r w:rsidR="003C0B7F" w:rsidRPr="7679F3B5">
        <w:rPr>
          <w:b/>
          <w:bCs/>
        </w:rPr>
        <w:t xml:space="preserve">and consider </w:t>
      </w:r>
      <w:r w:rsidR="00CB0FC6" w:rsidRPr="7679F3B5">
        <w:rPr>
          <w:b/>
          <w:bCs/>
        </w:rPr>
        <w:t>Windsor Framework Article 2</w:t>
      </w:r>
      <w:r w:rsidR="003C0B7F" w:rsidRPr="7679F3B5">
        <w:rPr>
          <w:b/>
          <w:bCs/>
        </w:rPr>
        <w:t>. It should incorporate within its consideration the</w:t>
      </w:r>
      <w:r w:rsidR="00C15C29" w:rsidRPr="7679F3B5">
        <w:rPr>
          <w:b/>
          <w:bCs/>
        </w:rPr>
        <w:t xml:space="preserve"> </w:t>
      </w:r>
      <w:r w:rsidRPr="7679F3B5">
        <w:rPr>
          <w:b/>
          <w:bCs/>
        </w:rPr>
        <w:t>minimum standards in relevant EU law relating to victims’ rights</w:t>
      </w:r>
      <w:r w:rsidR="003C0B7F" w:rsidRPr="7679F3B5">
        <w:rPr>
          <w:b/>
          <w:bCs/>
        </w:rPr>
        <w:t xml:space="preserve">. </w:t>
      </w:r>
    </w:p>
    <w:p w14:paraId="41E971D1" w14:textId="77777777" w:rsidR="008856D7" w:rsidRDefault="008856D7" w:rsidP="00C91F8A">
      <w:pPr>
        <w:pStyle w:val="ListParagraph"/>
        <w:ind w:left="709"/>
        <w:rPr>
          <w:b/>
          <w:bCs/>
        </w:rPr>
      </w:pPr>
    </w:p>
    <w:p w14:paraId="1DE13E00" w14:textId="5432C9FF" w:rsidR="008856D7" w:rsidRPr="00346A90" w:rsidRDefault="008856D7" w:rsidP="008856D7">
      <w:pPr>
        <w:pStyle w:val="ListParagraph"/>
        <w:numPr>
          <w:ilvl w:val="1"/>
          <w:numId w:val="9"/>
        </w:numPr>
        <w:ind w:left="709" w:hanging="709"/>
        <w:rPr>
          <w:b/>
          <w:bCs/>
        </w:rPr>
      </w:pPr>
      <w:r w:rsidRPr="7679F3B5">
        <w:rPr>
          <w:rFonts w:cs="Times New Roman"/>
          <w:b/>
          <w:bCs/>
        </w:rPr>
        <w:t xml:space="preserve">The NIHRC recommends that the Executive Office </w:t>
      </w:r>
      <w:r w:rsidR="003C0B7F" w:rsidRPr="7679F3B5">
        <w:rPr>
          <w:rFonts w:cs="Times New Roman"/>
          <w:b/>
          <w:bCs/>
        </w:rPr>
        <w:t xml:space="preserve">build consideration of </w:t>
      </w:r>
      <w:r w:rsidRPr="7679F3B5">
        <w:rPr>
          <w:rFonts w:cs="Times New Roman"/>
          <w:b/>
          <w:bCs/>
        </w:rPr>
        <w:t xml:space="preserve">Windsor Framework Article 2 </w:t>
      </w:r>
      <w:r w:rsidR="003C0B7F" w:rsidRPr="7679F3B5">
        <w:rPr>
          <w:rFonts w:cs="Times New Roman"/>
          <w:b/>
          <w:bCs/>
        </w:rPr>
        <w:t>into</w:t>
      </w:r>
      <w:r w:rsidRPr="7679F3B5">
        <w:rPr>
          <w:rFonts w:cs="Times New Roman"/>
          <w:b/>
          <w:bCs/>
        </w:rPr>
        <w:t xml:space="preserve"> the development and implementation of </w:t>
      </w:r>
      <w:proofErr w:type="gramStart"/>
      <w:r w:rsidR="003C0B7F" w:rsidRPr="7679F3B5">
        <w:rPr>
          <w:rFonts w:cs="Times New Roman"/>
          <w:b/>
          <w:bCs/>
        </w:rPr>
        <w:t>any and all</w:t>
      </w:r>
      <w:proofErr w:type="gramEnd"/>
      <w:r w:rsidR="003C0B7F" w:rsidRPr="7679F3B5">
        <w:rPr>
          <w:rFonts w:cs="Times New Roman"/>
          <w:b/>
          <w:bCs/>
        </w:rPr>
        <w:t xml:space="preserve"> </w:t>
      </w:r>
      <w:r w:rsidRPr="7679F3B5">
        <w:rPr>
          <w:rFonts w:cs="Times New Roman"/>
          <w:b/>
          <w:bCs/>
        </w:rPr>
        <w:t>policy on victims and survivors</w:t>
      </w:r>
      <w:r w:rsidR="003C0B7F" w:rsidRPr="7679F3B5">
        <w:rPr>
          <w:rFonts w:cs="Times New Roman"/>
          <w:b/>
          <w:bCs/>
        </w:rPr>
        <w:t>.</w:t>
      </w:r>
      <w:r w:rsidRPr="7679F3B5">
        <w:rPr>
          <w:rFonts w:cs="Times New Roman"/>
          <w:b/>
          <w:bCs/>
        </w:rPr>
        <w:t xml:space="preserve"> </w:t>
      </w:r>
    </w:p>
    <w:bookmarkEnd w:id="6"/>
    <w:p w14:paraId="4290449D" w14:textId="77777777" w:rsidR="002A6B65" w:rsidRDefault="002A6B65" w:rsidP="000711C4">
      <w:pPr>
        <w:pStyle w:val="ListParagraph"/>
        <w:ind w:left="709" w:hanging="709"/>
      </w:pPr>
    </w:p>
    <w:p w14:paraId="33A52429" w14:textId="77777777" w:rsidR="002A6B65" w:rsidRDefault="002A6B65" w:rsidP="000711C4">
      <w:pPr>
        <w:pStyle w:val="Heading2"/>
        <w:ind w:left="709" w:hanging="709"/>
      </w:pPr>
      <w:bookmarkStart w:id="7" w:name="_Toc163637902"/>
      <w:r>
        <w:lastRenderedPageBreak/>
        <w:t xml:space="preserve">Human rights based </w:t>
      </w:r>
      <w:proofErr w:type="gramStart"/>
      <w:r>
        <w:t>approach</w:t>
      </w:r>
      <w:bookmarkEnd w:id="7"/>
      <w:proofErr w:type="gramEnd"/>
    </w:p>
    <w:p w14:paraId="03C53D87" w14:textId="4F761546" w:rsidR="00A00DA0" w:rsidRDefault="00FE54A6" w:rsidP="00B8500E">
      <w:pPr>
        <w:pStyle w:val="ListParagraph"/>
        <w:numPr>
          <w:ilvl w:val="1"/>
          <w:numId w:val="9"/>
        </w:numPr>
        <w:ind w:left="709" w:hanging="709"/>
      </w:pPr>
      <w:r>
        <w:t>The draft</w:t>
      </w:r>
      <w:r w:rsidR="00241D7E">
        <w:t xml:space="preserve"> strategy includes an intention to measure </w:t>
      </w:r>
      <w:r w:rsidR="00472185">
        <w:t>whether</w:t>
      </w:r>
      <w:r w:rsidR="00F6590F">
        <w:t xml:space="preserve">, </w:t>
      </w:r>
      <w:r w:rsidR="00472185">
        <w:t xml:space="preserve">and if so </w:t>
      </w:r>
      <w:r w:rsidR="00241D7E">
        <w:t>how</w:t>
      </w:r>
      <w:r w:rsidR="00F6590F">
        <w:t>,</w:t>
      </w:r>
      <w:r w:rsidR="00241D7E">
        <w:t xml:space="preserve"> victims and survivors </w:t>
      </w:r>
      <w:r w:rsidR="00472185">
        <w:t xml:space="preserve">enhance their </w:t>
      </w:r>
      <w:r w:rsidR="00FE54B9">
        <w:t xml:space="preserve">knowledge of rights </w:t>
      </w:r>
      <w:proofErr w:type="gramStart"/>
      <w:r w:rsidR="00472185">
        <w:t>as a result of</w:t>
      </w:r>
      <w:proofErr w:type="gramEnd"/>
      <w:r w:rsidR="00472185">
        <w:t xml:space="preserve"> the support they receive.</w:t>
      </w:r>
      <w:r w:rsidR="00FE54B9">
        <w:rPr>
          <w:rStyle w:val="FootnoteReference"/>
        </w:rPr>
        <w:footnoteReference w:id="46"/>
      </w:r>
      <w:r w:rsidR="00FE54B9">
        <w:t xml:space="preserve"> </w:t>
      </w:r>
      <w:r w:rsidR="00472185">
        <w:t>Such monitoring and measurement are essential to assessment of the success or otherwise of the strategy.</w:t>
      </w:r>
      <w:r w:rsidR="002A6B65">
        <w:t xml:space="preserve"> </w:t>
      </w:r>
      <w:r w:rsidR="00472185">
        <w:t xml:space="preserve">As it stands however the draft </w:t>
      </w:r>
      <w:r w:rsidR="00993248">
        <w:t xml:space="preserve">strategy </w:t>
      </w:r>
      <w:r w:rsidR="00BD33E3">
        <w:t>does not include sufficient detail of the support that will be offered for the NIHRC to assess its likely effectiveness. It should be remembered that there are specific obligations, for example in</w:t>
      </w:r>
      <w:r w:rsidR="00D17B66">
        <w:t xml:space="preserve"> the EU Victims’ Directive</w:t>
      </w:r>
      <w:r w:rsidR="00BD33E3">
        <w:t>,</w:t>
      </w:r>
      <w:r w:rsidR="00D17B66">
        <w:t xml:space="preserve"> to raise awareness of the rights </w:t>
      </w:r>
      <w:r w:rsidR="00BD33E3">
        <w:t xml:space="preserve">contained in a </w:t>
      </w:r>
      <w:r w:rsidR="00D17B66">
        <w:t>Directive</w:t>
      </w:r>
      <w:r w:rsidR="00BD33E3">
        <w:t xml:space="preserve">. It is </w:t>
      </w:r>
      <w:r w:rsidR="00A20AA0">
        <w:t>advised</w:t>
      </w:r>
      <w:r w:rsidR="00BD33E3">
        <w:t xml:space="preserve"> therein that victims and survivors are collaborated with directly and through </w:t>
      </w:r>
      <w:r w:rsidR="00D17B66">
        <w:t>civil society organisations.</w:t>
      </w:r>
      <w:r w:rsidR="00D17B66">
        <w:rPr>
          <w:rStyle w:val="FootnoteReference"/>
        </w:rPr>
        <w:footnoteReference w:id="47"/>
      </w:r>
      <w:r w:rsidR="00D17B66">
        <w:t xml:space="preserve"> </w:t>
      </w:r>
      <w:r w:rsidR="00BD33E3">
        <w:t>This approach should be adopted throughout</w:t>
      </w:r>
      <w:r w:rsidR="00A20AA0">
        <w:t>.</w:t>
      </w:r>
    </w:p>
    <w:p w14:paraId="7A9126B0" w14:textId="14D9D4CB" w:rsidR="0089341D" w:rsidRDefault="009D22CC" w:rsidP="00A00DA0">
      <w:pPr>
        <w:pStyle w:val="ListParagraph"/>
        <w:ind w:left="709"/>
      </w:pPr>
      <w:r>
        <w:t xml:space="preserve"> </w:t>
      </w:r>
      <w:r w:rsidR="0024003D">
        <w:t xml:space="preserve"> </w:t>
      </w:r>
      <w:r w:rsidR="009A47E9">
        <w:t xml:space="preserve"> </w:t>
      </w:r>
    </w:p>
    <w:p w14:paraId="36EBF63D" w14:textId="1FBE4E8B" w:rsidR="00705819" w:rsidRDefault="000E5095" w:rsidP="007B7340">
      <w:pPr>
        <w:pStyle w:val="ListParagraph"/>
        <w:numPr>
          <w:ilvl w:val="1"/>
          <w:numId w:val="9"/>
        </w:numPr>
        <w:ind w:left="709" w:hanging="709"/>
      </w:pPr>
      <w:r>
        <w:t>The</w:t>
      </w:r>
      <w:r w:rsidR="00BD33E3">
        <w:t xml:space="preserve">re </w:t>
      </w:r>
      <w:r w:rsidR="007C52CB">
        <w:t>are</w:t>
      </w:r>
      <w:r w:rsidR="00BD33E3">
        <w:t xml:space="preserve"> </w:t>
      </w:r>
      <w:r w:rsidR="00727E46">
        <w:t>several</w:t>
      </w:r>
      <w:r>
        <w:t xml:space="preserve"> guiding principles </w:t>
      </w:r>
      <w:r w:rsidR="00BD33E3">
        <w:t>to a</w:t>
      </w:r>
      <w:r>
        <w:t xml:space="preserve"> human </w:t>
      </w:r>
      <w:proofErr w:type="gramStart"/>
      <w:r>
        <w:t>rights based</w:t>
      </w:r>
      <w:proofErr w:type="gramEnd"/>
      <w:r>
        <w:t xml:space="preserve"> approach</w:t>
      </w:r>
      <w:r w:rsidR="00BD33E3">
        <w:t>. They are</w:t>
      </w:r>
      <w:r>
        <w:t xml:space="preserve"> participation, accountability, non-discrimination, empowerment </w:t>
      </w:r>
      <w:r w:rsidR="00F6590F">
        <w:t>and</w:t>
      </w:r>
      <w:r>
        <w:t xml:space="preserve"> legality.</w:t>
      </w:r>
      <w:r w:rsidR="0094546F">
        <w:rPr>
          <w:rStyle w:val="FootnoteReference"/>
        </w:rPr>
        <w:footnoteReference w:id="48"/>
      </w:r>
      <w:r>
        <w:t xml:space="preserve"> </w:t>
      </w:r>
      <w:r w:rsidR="00BD33E3">
        <w:t xml:space="preserve">Taking </w:t>
      </w:r>
      <w:r w:rsidR="002A6B65">
        <w:t xml:space="preserve">a human </w:t>
      </w:r>
      <w:proofErr w:type="gramStart"/>
      <w:r w:rsidR="002A6B65">
        <w:t>rights based</w:t>
      </w:r>
      <w:proofErr w:type="gramEnd"/>
      <w:r w:rsidR="002A6B65">
        <w:t xml:space="preserve"> approach throughout the strategy </w:t>
      </w:r>
      <w:r w:rsidR="00BD33E3">
        <w:t xml:space="preserve">will </w:t>
      </w:r>
      <w:r w:rsidR="0089341D">
        <w:t xml:space="preserve">provide </w:t>
      </w:r>
      <w:r w:rsidR="00175317">
        <w:t xml:space="preserve">further </w:t>
      </w:r>
      <w:r w:rsidR="0089341D">
        <w:t>clarity</w:t>
      </w:r>
      <w:r w:rsidR="006E58BA">
        <w:t>,</w:t>
      </w:r>
      <w:r w:rsidR="0089341D">
        <w:t xml:space="preserve"> </w:t>
      </w:r>
      <w:r w:rsidR="00D215BD">
        <w:t xml:space="preserve">while contributing </w:t>
      </w:r>
      <w:r w:rsidR="007B7340">
        <w:t>to</w:t>
      </w:r>
      <w:r w:rsidR="002A6B65">
        <w:t xml:space="preserve"> improv</w:t>
      </w:r>
      <w:r w:rsidR="007B7340">
        <w:t>ements in</w:t>
      </w:r>
      <w:r w:rsidR="002A6B65">
        <w:t xml:space="preserve"> victims and </w:t>
      </w:r>
      <w:r w:rsidR="001D23D4">
        <w:t>survivors’</w:t>
      </w:r>
      <w:r w:rsidR="002A6B65">
        <w:t xml:space="preserve"> awareness of their rights and entitlements. For </w:t>
      </w:r>
      <w:r w:rsidR="006E58BA">
        <w:t>example</w:t>
      </w:r>
      <w:r w:rsidR="002A6B65">
        <w:t xml:space="preserve">, </w:t>
      </w:r>
      <w:r w:rsidR="00BD33E3">
        <w:t xml:space="preserve">anchoring </w:t>
      </w:r>
      <w:r w:rsidR="002A6B65">
        <w:t xml:space="preserve">each strategic objective and </w:t>
      </w:r>
      <w:proofErr w:type="gramStart"/>
      <w:r w:rsidR="002A6B65">
        <w:t>high level</w:t>
      </w:r>
      <w:proofErr w:type="gramEnd"/>
      <w:r w:rsidR="002A6B65">
        <w:t xml:space="preserve"> outcome </w:t>
      </w:r>
      <w:r w:rsidR="00BD33E3">
        <w:t xml:space="preserve">to </w:t>
      </w:r>
      <w:r w:rsidR="002A6B65">
        <w:t>human rights would better empower victims and survivors (rights-holders)</w:t>
      </w:r>
      <w:r w:rsidR="002A6B65" w:rsidRPr="001A7CE5">
        <w:t xml:space="preserve"> </w:t>
      </w:r>
      <w:r w:rsidR="002A6B65">
        <w:t xml:space="preserve">to access adequate service provision and appropriate care. The inclusion of corresponding </w:t>
      </w:r>
      <w:r w:rsidR="00BD523D">
        <w:t>S</w:t>
      </w:r>
      <w:r w:rsidR="002A6B65">
        <w:t>tate obligations</w:t>
      </w:r>
      <w:r w:rsidR="0021067F">
        <w:t xml:space="preserve"> </w:t>
      </w:r>
      <w:r w:rsidR="00C41C8D">
        <w:t>as potential indicators</w:t>
      </w:r>
      <w:r w:rsidR="002A6B65">
        <w:t xml:space="preserve"> would </w:t>
      </w:r>
      <w:r w:rsidR="00C41C8D">
        <w:t>then</w:t>
      </w:r>
      <w:r w:rsidR="002A6B65">
        <w:t xml:space="preserve"> support the Executive Office (duty-bearers) in the discharge of </w:t>
      </w:r>
      <w:r w:rsidR="002A6B65" w:rsidRPr="005B79C8">
        <w:t>their obligations</w:t>
      </w:r>
      <w:r w:rsidR="00987BEA" w:rsidRPr="00987BEA">
        <w:t xml:space="preserve"> </w:t>
      </w:r>
      <w:r w:rsidR="00987BEA">
        <w:t>while ensuring continuous improvement</w:t>
      </w:r>
      <w:r w:rsidR="00BD33E3">
        <w:t>.</w:t>
      </w:r>
      <w:r w:rsidR="002E68A9">
        <w:t xml:space="preserve"> </w:t>
      </w:r>
    </w:p>
    <w:p w14:paraId="15525ACE" w14:textId="77777777" w:rsidR="00705819" w:rsidRDefault="00705819" w:rsidP="00705819">
      <w:pPr>
        <w:pStyle w:val="ListParagraph"/>
      </w:pPr>
    </w:p>
    <w:p w14:paraId="79C35262" w14:textId="4A77DF0E" w:rsidR="00986F7C" w:rsidRPr="00D17B66" w:rsidRDefault="00BD33E3" w:rsidP="00B8500E">
      <w:pPr>
        <w:pStyle w:val="ListParagraph"/>
        <w:numPr>
          <w:ilvl w:val="1"/>
          <w:numId w:val="9"/>
        </w:numPr>
        <w:ind w:left="709" w:hanging="709"/>
      </w:pPr>
      <w:r>
        <w:t xml:space="preserve">The NIHRC welcomes the </w:t>
      </w:r>
      <w:r w:rsidR="004E23DB" w:rsidRPr="00444721">
        <w:t>Executive Office’s approach to developing the draft strategy</w:t>
      </w:r>
      <w:r w:rsidR="009916A6">
        <w:t xml:space="preserve"> </w:t>
      </w:r>
      <w:r>
        <w:t xml:space="preserve">by </w:t>
      </w:r>
      <w:r w:rsidR="004E23DB" w:rsidRPr="00444721">
        <w:t>collaborative</w:t>
      </w:r>
      <w:r>
        <w:t xml:space="preserve"> </w:t>
      </w:r>
      <w:r w:rsidR="004E23DB" w:rsidRPr="00444721">
        <w:t>design and partnership working with the Commission for Victims and Survivors and</w:t>
      </w:r>
      <w:r>
        <w:t>,</w:t>
      </w:r>
      <w:r w:rsidR="004E23DB" w:rsidRPr="00444721">
        <w:t xml:space="preserve"> the Victims and Survivors Service.</w:t>
      </w:r>
      <w:r w:rsidR="004E23DB" w:rsidRPr="00444721">
        <w:rPr>
          <w:vertAlign w:val="superscript"/>
        </w:rPr>
        <w:footnoteReference w:id="49"/>
      </w:r>
      <w:r w:rsidR="004E23DB">
        <w:t xml:space="preserve"> </w:t>
      </w:r>
      <w:r w:rsidR="00D729F7">
        <w:t>It is important to commit</w:t>
      </w:r>
      <w:r w:rsidR="00A57FF3">
        <w:t xml:space="preserve"> to ongoing monitoring and evaluation </w:t>
      </w:r>
      <w:r w:rsidR="009C0BAD">
        <w:t xml:space="preserve">with victims, </w:t>
      </w:r>
      <w:proofErr w:type="gramStart"/>
      <w:r w:rsidR="009C0BAD">
        <w:t>survivors</w:t>
      </w:r>
      <w:proofErr w:type="gramEnd"/>
      <w:r w:rsidR="009C0BAD">
        <w:t xml:space="preserve"> and representative organisations </w:t>
      </w:r>
      <w:r w:rsidR="00330085">
        <w:t>in terms of the impact and</w:t>
      </w:r>
      <w:r w:rsidR="00A57FF3">
        <w:t xml:space="preserve"> </w:t>
      </w:r>
      <w:r w:rsidR="006750F8" w:rsidRPr="006750F8">
        <w:t xml:space="preserve">effectiveness of </w:t>
      </w:r>
      <w:r w:rsidR="00E27F7D">
        <w:t xml:space="preserve">any </w:t>
      </w:r>
      <w:r w:rsidR="0070783D">
        <w:t xml:space="preserve">draft </w:t>
      </w:r>
      <w:r w:rsidR="00330085">
        <w:t xml:space="preserve">strategy. </w:t>
      </w:r>
      <w:r w:rsidR="00D17B66">
        <w:t xml:space="preserve">Such an approach is consistent with the EU Victims’ Directive which encourages </w:t>
      </w:r>
      <w:r>
        <w:t xml:space="preserve">ongoing </w:t>
      </w:r>
      <w:r w:rsidR="00D17B66" w:rsidRPr="00D17B66">
        <w:rPr>
          <w:color w:val="333333"/>
          <w:shd w:val="clear" w:color="auto" w:fill="FFFFFF"/>
        </w:rPr>
        <w:lastRenderedPageBreak/>
        <w:t>monitor</w:t>
      </w:r>
      <w:r>
        <w:rPr>
          <w:color w:val="333333"/>
          <w:shd w:val="clear" w:color="auto" w:fill="FFFFFF"/>
        </w:rPr>
        <w:t>ing</w:t>
      </w:r>
      <w:r w:rsidR="00D17B66" w:rsidRPr="00D17B66">
        <w:rPr>
          <w:color w:val="333333"/>
          <w:shd w:val="clear" w:color="auto" w:fill="FFFFFF"/>
        </w:rPr>
        <w:t xml:space="preserve"> and evaluat</w:t>
      </w:r>
      <w:r>
        <w:rPr>
          <w:color w:val="333333"/>
          <w:shd w:val="clear" w:color="auto" w:fill="FFFFFF"/>
        </w:rPr>
        <w:t xml:space="preserve">ion </w:t>
      </w:r>
      <w:r w:rsidRPr="2C0C89E5">
        <w:rPr>
          <w:color w:val="333333"/>
        </w:rPr>
        <w:t>of</w:t>
      </w:r>
      <w:r>
        <w:rPr>
          <w:color w:val="333333"/>
          <w:shd w:val="clear" w:color="auto" w:fill="FFFFFF"/>
        </w:rPr>
        <w:t xml:space="preserve"> </w:t>
      </w:r>
      <w:r w:rsidR="00D17B66" w:rsidRPr="00D17B66">
        <w:rPr>
          <w:color w:val="333333"/>
          <w:shd w:val="clear" w:color="auto" w:fill="FFFFFF"/>
        </w:rPr>
        <w:t>the impact of measures to support and protect victims of crime</w:t>
      </w:r>
      <w:r w:rsidR="00D17B66">
        <w:rPr>
          <w:color w:val="333333"/>
          <w:shd w:val="clear" w:color="auto" w:fill="FFFFFF"/>
        </w:rPr>
        <w:t>.</w:t>
      </w:r>
      <w:r w:rsidR="00D17B66">
        <w:rPr>
          <w:rStyle w:val="FootnoteReference"/>
        </w:rPr>
        <w:footnoteReference w:id="50"/>
      </w:r>
    </w:p>
    <w:p w14:paraId="553C81BF" w14:textId="77777777" w:rsidR="00986F7C" w:rsidRDefault="00986F7C" w:rsidP="00986F7C">
      <w:pPr>
        <w:pStyle w:val="ListParagraph"/>
      </w:pPr>
    </w:p>
    <w:p w14:paraId="3D2844EB" w14:textId="599AE18C" w:rsidR="004F67A1" w:rsidRDefault="000737AE" w:rsidP="004F67A1">
      <w:pPr>
        <w:pStyle w:val="ListParagraph"/>
        <w:numPr>
          <w:ilvl w:val="1"/>
          <w:numId w:val="9"/>
        </w:numPr>
        <w:ind w:left="709" w:hanging="709"/>
      </w:pPr>
      <w:r>
        <w:t xml:space="preserve">The NIHRC welcomes that </w:t>
      </w:r>
      <w:r w:rsidR="00E27677">
        <w:t>“all Departments are collectively responsible</w:t>
      </w:r>
      <w:r w:rsidR="002F5901">
        <w:t xml:space="preserve">” for </w:t>
      </w:r>
      <w:r w:rsidR="00686AB0">
        <w:t>delivery</w:t>
      </w:r>
      <w:r>
        <w:t xml:space="preserve"> of the strategy</w:t>
      </w:r>
      <w:r w:rsidR="007D449D">
        <w:t xml:space="preserve"> “in their respective departmental and policy areas”</w:t>
      </w:r>
      <w:r w:rsidR="00686AB0">
        <w:t>.</w:t>
      </w:r>
      <w:r w:rsidR="00E56E8B">
        <w:rPr>
          <w:rStyle w:val="FootnoteReference"/>
        </w:rPr>
        <w:footnoteReference w:id="51"/>
      </w:r>
      <w:r w:rsidR="003D4046">
        <w:t xml:space="preserve"> </w:t>
      </w:r>
      <w:r>
        <w:t xml:space="preserve">It might be helpful however to </w:t>
      </w:r>
      <w:r w:rsidR="00BA1648">
        <w:t xml:space="preserve">designate responsibility </w:t>
      </w:r>
      <w:r w:rsidR="003053BD">
        <w:t>for progre</w:t>
      </w:r>
      <w:r w:rsidR="00BA1648">
        <w:t xml:space="preserve">ss on </w:t>
      </w:r>
      <w:r w:rsidR="003053BD">
        <w:t>each action.</w:t>
      </w:r>
      <w:r w:rsidR="0090781A">
        <w:t xml:space="preserve"> </w:t>
      </w:r>
      <w:r w:rsidR="00143262">
        <w:t xml:space="preserve">Further, </w:t>
      </w:r>
      <w:r w:rsidR="00363755">
        <w:t xml:space="preserve">while there is a </w:t>
      </w:r>
      <w:r w:rsidR="00950807">
        <w:t xml:space="preserve">commitment to review the strategy at a mid-way point, the </w:t>
      </w:r>
      <w:r w:rsidR="004659FE">
        <w:t>draft</w:t>
      </w:r>
      <w:r w:rsidR="00363755">
        <w:t xml:space="preserve"> </w:t>
      </w:r>
      <w:r w:rsidR="00950807">
        <w:t>strategy does not define a timeframe for delivery</w:t>
      </w:r>
      <w:r w:rsidR="00F51464">
        <w:t>.</w:t>
      </w:r>
      <w:r w:rsidR="00267F45">
        <w:t xml:space="preserve"> </w:t>
      </w:r>
      <w:r w:rsidR="00F51464">
        <w:t>T</w:t>
      </w:r>
      <w:r w:rsidR="00950807">
        <w:t>herefore</w:t>
      </w:r>
      <w:r w:rsidR="00F8326B">
        <w:t>,</w:t>
      </w:r>
      <w:r w:rsidR="00950807">
        <w:t xml:space="preserve"> it is difficult to assess whether </w:t>
      </w:r>
      <w:r w:rsidR="00665C25">
        <w:t xml:space="preserve">this </w:t>
      </w:r>
      <w:r w:rsidR="00CF39C8">
        <w:t>commitment will be sufficient</w:t>
      </w:r>
      <w:r w:rsidR="00702371">
        <w:t>.</w:t>
      </w:r>
      <w:r w:rsidR="00077995">
        <w:t xml:space="preserve"> It is also not clear from the </w:t>
      </w:r>
      <w:r w:rsidR="004659FE">
        <w:t xml:space="preserve">draft </w:t>
      </w:r>
      <w:r w:rsidR="00077995">
        <w:t xml:space="preserve">strategy how </w:t>
      </w:r>
      <w:r w:rsidR="003D1B86">
        <w:t xml:space="preserve">such a </w:t>
      </w:r>
      <w:r w:rsidR="00077995">
        <w:t>review will be conducted</w:t>
      </w:r>
      <w:r w:rsidR="0001489D">
        <w:t xml:space="preserve"> or </w:t>
      </w:r>
      <w:r w:rsidR="003D1B86">
        <w:t xml:space="preserve">by whom it </w:t>
      </w:r>
      <w:r w:rsidR="00760360">
        <w:t xml:space="preserve">will </w:t>
      </w:r>
      <w:r w:rsidR="003D1B86">
        <w:t>be conducted.</w:t>
      </w:r>
    </w:p>
    <w:p w14:paraId="1DA8EE8E" w14:textId="77777777" w:rsidR="00D17B66" w:rsidRDefault="00D17B66" w:rsidP="00C15C29">
      <w:pPr>
        <w:pStyle w:val="ListParagraph"/>
      </w:pPr>
    </w:p>
    <w:p w14:paraId="7195DF6B" w14:textId="73B4EA3C" w:rsidR="00D17B66" w:rsidRDefault="0045406A" w:rsidP="004F67A1">
      <w:pPr>
        <w:pStyle w:val="ListParagraph"/>
        <w:numPr>
          <w:ilvl w:val="1"/>
          <w:numId w:val="9"/>
        </w:numPr>
        <w:ind w:left="709" w:hanging="709"/>
      </w:pPr>
      <w:r>
        <w:t>The</w:t>
      </w:r>
      <w:r w:rsidR="00D17B66">
        <w:t xml:space="preserve"> EU Victims’ Directive provides that the rights of victims </w:t>
      </w:r>
      <w:r>
        <w:t xml:space="preserve">must </w:t>
      </w:r>
      <w:r w:rsidR="00D17B66">
        <w:t>apply without discrimination</w:t>
      </w:r>
      <w:r>
        <w:t>,</w:t>
      </w:r>
      <w:r w:rsidR="00D17B66">
        <w:t xml:space="preserve"> as delineated in Article 1, including with respect to residence status.</w:t>
      </w:r>
      <w:r w:rsidR="00D17B66">
        <w:rPr>
          <w:rStyle w:val="FootnoteReference"/>
        </w:rPr>
        <w:footnoteReference w:id="52"/>
      </w:r>
      <w:r w:rsidR="00D17B66">
        <w:t xml:space="preserve"> This encompasses interactions with victim support services, restorative justice services, </w:t>
      </w:r>
      <w:r w:rsidR="00C15C29">
        <w:t>and</w:t>
      </w:r>
      <w:r w:rsidR="00D17B66">
        <w:t xml:space="preserve"> competent authorities within criminal proceedings. Recital 9 of the EU Victims’ Directive provides further clarification on the prohibition of discrimination based on an array of grounds, ranging from race and ethnicity to gender identity, sexual orientation, and residence status.</w:t>
      </w:r>
      <w:r w:rsidR="00D17B66">
        <w:rPr>
          <w:rStyle w:val="FootnoteReference"/>
        </w:rPr>
        <w:footnoteReference w:id="53"/>
      </w:r>
      <w:r w:rsidR="00D17B66">
        <w:t xml:space="preserve"> This encompasses a broad spectrum of personal characteristics and circumstances that might otherwise lead to discrimination in victim support services or legal proceedings.</w:t>
      </w:r>
    </w:p>
    <w:p w14:paraId="09AC18DA" w14:textId="77777777" w:rsidR="002A6B65" w:rsidRDefault="002A6B65" w:rsidP="001624F7">
      <w:bookmarkStart w:id="8" w:name="_Hlk163636926"/>
    </w:p>
    <w:p w14:paraId="0F8B8BBC" w14:textId="559D413A" w:rsidR="00541723" w:rsidRDefault="002A6B65" w:rsidP="00B8500E">
      <w:pPr>
        <w:pStyle w:val="ListParagraph"/>
        <w:numPr>
          <w:ilvl w:val="1"/>
          <w:numId w:val="9"/>
        </w:numPr>
        <w:ind w:left="709" w:hanging="709"/>
        <w:rPr>
          <w:b/>
          <w:bCs/>
        </w:rPr>
      </w:pPr>
      <w:r w:rsidRPr="7679F3B5">
        <w:rPr>
          <w:b/>
          <w:bCs/>
        </w:rPr>
        <w:t xml:space="preserve">The NIHRC recommends that the Executive Office </w:t>
      </w:r>
      <w:r w:rsidR="0045406A" w:rsidRPr="7679F3B5">
        <w:rPr>
          <w:b/>
          <w:bCs/>
        </w:rPr>
        <w:t xml:space="preserve">adopts </w:t>
      </w:r>
      <w:r w:rsidRPr="7679F3B5">
        <w:rPr>
          <w:b/>
          <w:bCs/>
        </w:rPr>
        <w:t xml:space="preserve">a human </w:t>
      </w:r>
      <w:proofErr w:type="gramStart"/>
      <w:r w:rsidRPr="7679F3B5">
        <w:rPr>
          <w:b/>
          <w:bCs/>
        </w:rPr>
        <w:t>rights based</w:t>
      </w:r>
      <w:proofErr w:type="gramEnd"/>
      <w:r w:rsidRPr="7679F3B5">
        <w:rPr>
          <w:b/>
          <w:bCs/>
        </w:rPr>
        <w:t xml:space="preserve"> approach </w:t>
      </w:r>
      <w:r w:rsidR="0045406A" w:rsidRPr="7679F3B5">
        <w:rPr>
          <w:b/>
          <w:bCs/>
        </w:rPr>
        <w:t xml:space="preserve">to the whole of </w:t>
      </w:r>
      <w:r w:rsidRPr="7679F3B5">
        <w:rPr>
          <w:b/>
          <w:bCs/>
        </w:rPr>
        <w:t>the strategy</w:t>
      </w:r>
      <w:r w:rsidR="0045406A" w:rsidRPr="7679F3B5">
        <w:rPr>
          <w:b/>
          <w:bCs/>
        </w:rPr>
        <w:t xml:space="preserve"> and that it must include </w:t>
      </w:r>
      <w:r w:rsidRPr="7679F3B5">
        <w:rPr>
          <w:b/>
          <w:bCs/>
        </w:rPr>
        <w:t>the full range of internationally accepted human rights standards</w:t>
      </w:r>
      <w:r w:rsidR="002D1AE6" w:rsidRPr="7679F3B5">
        <w:rPr>
          <w:b/>
          <w:bCs/>
        </w:rPr>
        <w:t xml:space="preserve">, </w:t>
      </w:r>
      <w:r w:rsidR="00180A36" w:rsidRPr="7679F3B5">
        <w:rPr>
          <w:b/>
          <w:bCs/>
        </w:rPr>
        <w:t xml:space="preserve">including </w:t>
      </w:r>
      <w:r w:rsidR="002D1AE6" w:rsidRPr="7679F3B5">
        <w:rPr>
          <w:b/>
          <w:bCs/>
        </w:rPr>
        <w:t>Windsor Framework Article 2</w:t>
      </w:r>
      <w:r w:rsidR="00180A36" w:rsidRPr="7679F3B5">
        <w:rPr>
          <w:b/>
          <w:bCs/>
        </w:rPr>
        <w:t xml:space="preserve"> and the relevant EU law minimum standards</w:t>
      </w:r>
      <w:r w:rsidR="00541723" w:rsidRPr="7679F3B5">
        <w:rPr>
          <w:b/>
          <w:bCs/>
        </w:rPr>
        <w:t>. This approach should incorporate</w:t>
      </w:r>
      <w:r w:rsidRPr="7679F3B5">
        <w:rPr>
          <w:b/>
          <w:bCs/>
        </w:rPr>
        <w:t xml:space="preserve"> corresponding </w:t>
      </w:r>
      <w:r w:rsidR="005434ED" w:rsidRPr="7679F3B5">
        <w:rPr>
          <w:b/>
          <w:bCs/>
        </w:rPr>
        <w:t>S</w:t>
      </w:r>
      <w:r w:rsidRPr="7679F3B5">
        <w:rPr>
          <w:b/>
          <w:bCs/>
        </w:rPr>
        <w:t>tate obligations relating to victims and survivors of serious human rights abuses</w:t>
      </w:r>
      <w:r w:rsidR="00053136" w:rsidRPr="7679F3B5">
        <w:rPr>
          <w:b/>
          <w:bCs/>
        </w:rPr>
        <w:t>.</w:t>
      </w:r>
      <w:r w:rsidR="00AE3A11" w:rsidRPr="7679F3B5">
        <w:rPr>
          <w:b/>
          <w:bCs/>
        </w:rPr>
        <w:t xml:space="preserve"> This </w:t>
      </w:r>
      <w:r w:rsidR="0045406A" w:rsidRPr="7679F3B5">
        <w:rPr>
          <w:b/>
          <w:bCs/>
        </w:rPr>
        <w:t xml:space="preserve">should </w:t>
      </w:r>
      <w:r w:rsidR="00AE3A11" w:rsidRPr="7679F3B5">
        <w:rPr>
          <w:b/>
          <w:bCs/>
        </w:rPr>
        <w:t xml:space="preserve">also </w:t>
      </w:r>
      <w:r w:rsidR="00A8031C" w:rsidRPr="7679F3B5">
        <w:rPr>
          <w:b/>
          <w:bCs/>
        </w:rPr>
        <w:t>ensure specific</w:t>
      </w:r>
      <w:r w:rsidR="00AE3A11" w:rsidRPr="7679F3B5">
        <w:rPr>
          <w:b/>
          <w:bCs/>
        </w:rPr>
        <w:t xml:space="preserve"> actions and time-bound measures </w:t>
      </w:r>
      <w:r w:rsidR="0045406A" w:rsidRPr="7679F3B5">
        <w:rPr>
          <w:b/>
          <w:bCs/>
        </w:rPr>
        <w:t xml:space="preserve">are provided </w:t>
      </w:r>
      <w:r w:rsidR="00AE3A11" w:rsidRPr="7679F3B5">
        <w:rPr>
          <w:b/>
          <w:bCs/>
        </w:rPr>
        <w:t xml:space="preserve">that demonstrate contribution towards each </w:t>
      </w:r>
      <w:proofErr w:type="gramStart"/>
      <w:r w:rsidR="00AE3A11" w:rsidRPr="7679F3B5">
        <w:rPr>
          <w:b/>
          <w:bCs/>
        </w:rPr>
        <w:t>high level</w:t>
      </w:r>
      <w:proofErr w:type="gramEnd"/>
      <w:r w:rsidR="00AE3A11" w:rsidRPr="7679F3B5">
        <w:rPr>
          <w:b/>
          <w:bCs/>
        </w:rPr>
        <w:t xml:space="preserve"> outcome.</w:t>
      </w:r>
    </w:p>
    <w:bookmarkEnd w:id="8"/>
    <w:p w14:paraId="54FE4A80" w14:textId="77777777" w:rsidR="00CC7077" w:rsidRDefault="00CC7077" w:rsidP="003500C6">
      <w:pPr>
        <w:rPr>
          <w:b/>
          <w:bCs/>
        </w:rPr>
      </w:pPr>
    </w:p>
    <w:p w14:paraId="62F7F817" w14:textId="4C02E62C" w:rsidR="00B6088D" w:rsidRDefault="003500C6" w:rsidP="003500C6">
      <w:pPr>
        <w:rPr>
          <w:b/>
          <w:bCs/>
        </w:rPr>
      </w:pPr>
      <w:r>
        <w:rPr>
          <w:b/>
          <w:bCs/>
        </w:rPr>
        <w:lastRenderedPageBreak/>
        <w:t xml:space="preserve">Research and data </w:t>
      </w:r>
      <w:proofErr w:type="gramStart"/>
      <w:r>
        <w:rPr>
          <w:b/>
          <w:bCs/>
        </w:rPr>
        <w:t>collection</w:t>
      </w:r>
      <w:proofErr w:type="gramEnd"/>
      <w:r>
        <w:rPr>
          <w:b/>
          <w:bCs/>
        </w:rPr>
        <w:t xml:space="preserve"> </w:t>
      </w:r>
    </w:p>
    <w:p w14:paraId="3D00044D" w14:textId="77777777" w:rsidR="00706E36" w:rsidRPr="003500C6" w:rsidRDefault="00706E36" w:rsidP="003500C6">
      <w:pPr>
        <w:rPr>
          <w:b/>
          <w:bCs/>
        </w:rPr>
      </w:pPr>
    </w:p>
    <w:p w14:paraId="4C6EE2C4" w14:textId="75D6ED07" w:rsidR="00CC7077" w:rsidRDefault="003500C6" w:rsidP="00B8500E">
      <w:pPr>
        <w:pStyle w:val="ListParagraph"/>
        <w:numPr>
          <w:ilvl w:val="1"/>
          <w:numId w:val="9"/>
        </w:numPr>
        <w:ind w:left="709" w:hanging="709"/>
      </w:pPr>
      <w:r w:rsidRPr="003500C6">
        <w:t xml:space="preserve">The draft strategy </w:t>
      </w:r>
      <w:r w:rsidR="007F0FC5">
        <w:t xml:space="preserve">contains a commitment to </w:t>
      </w:r>
      <w:r w:rsidR="00F35A10">
        <w:t>"</w:t>
      </w:r>
      <w:r w:rsidR="007F0FC5">
        <w:t>carry out research to maintain and develop our understanding of the current needs of victims and survivors and conduct, as necessary, further research into the impact of transgenerational and intergenerational trauma to ensure adequate services and support are available</w:t>
      </w:r>
      <w:r w:rsidR="00F35A10">
        <w:t>”.</w:t>
      </w:r>
      <w:r w:rsidR="00816E1A">
        <w:rPr>
          <w:rStyle w:val="FootnoteReference"/>
        </w:rPr>
        <w:footnoteReference w:id="54"/>
      </w:r>
      <w:r w:rsidR="00F35A10">
        <w:t xml:space="preserve"> </w:t>
      </w:r>
    </w:p>
    <w:p w14:paraId="52F9D752" w14:textId="77777777" w:rsidR="0007242A" w:rsidRDefault="0007242A" w:rsidP="0007242A">
      <w:pPr>
        <w:pStyle w:val="ListParagraph"/>
        <w:ind w:left="709"/>
      </w:pPr>
    </w:p>
    <w:p w14:paraId="110CCBE3" w14:textId="7C2889F8" w:rsidR="007A377F" w:rsidRDefault="00BA3D0C" w:rsidP="008323F2">
      <w:pPr>
        <w:pStyle w:val="ListParagraph"/>
        <w:numPr>
          <w:ilvl w:val="1"/>
          <w:numId w:val="9"/>
        </w:numPr>
        <w:ind w:left="709" w:hanging="709"/>
      </w:pPr>
      <w:r>
        <w:t xml:space="preserve">In 2023, the </w:t>
      </w:r>
      <w:proofErr w:type="spellStart"/>
      <w:r>
        <w:t>CoE</w:t>
      </w:r>
      <w:proofErr w:type="spellEnd"/>
      <w:r>
        <w:t xml:space="preserve"> Committee of Ministers issued a recommendation </w:t>
      </w:r>
      <w:r w:rsidR="00DD3338">
        <w:t>to</w:t>
      </w:r>
      <w:r>
        <w:t xml:space="preserve"> </w:t>
      </w:r>
      <w:r w:rsidR="008E5D1A">
        <w:t xml:space="preserve">Member States </w:t>
      </w:r>
      <w:r w:rsidR="00DD3338" w:rsidRPr="00DD3338">
        <w:t>on rights, services and support for victims of crime</w:t>
      </w:r>
      <w:r w:rsidR="00DD3338">
        <w:t>.</w:t>
      </w:r>
      <w:r w:rsidR="00816E1A">
        <w:rPr>
          <w:rStyle w:val="FootnoteReference"/>
        </w:rPr>
        <w:footnoteReference w:id="55"/>
      </w:r>
      <w:r w:rsidR="00DD3338">
        <w:t xml:space="preserve"> It </w:t>
      </w:r>
      <w:r w:rsidR="007251EF">
        <w:t>recommends that Member States should</w:t>
      </w:r>
      <w:r w:rsidR="000B7EBE">
        <w:t>, “</w:t>
      </w:r>
      <w:r w:rsidR="000B7EBE" w:rsidRPr="000B7EBE">
        <w:t>promote, support and, to the extent possible, fund or facilitate fund-raising for victimological research, including comparative research by researchers from within or outside their own territory</w:t>
      </w:r>
      <w:r w:rsidR="000B7EBE">
        <w:t>”.</w:t>
      </w:r>
      <w:r w:rsidR="00816E1A">
        <w:rPr>
          <w:rStyle w:val="FootnoteReference"/>
        </w:rPr>
        <w:footnoteReference w:id="56"/>
      </w:r>
      <w:r w:rsidR="000B7EBE">
        <w:t xml:space="preserve"> It </w:t>
      </w:r>
      <w:r w:rsidR="00774601">
        <w:t>underlines the importance of taking research into consideration in “developing evidence-based policies towards victims”</w:t>
      </w:r>
      <w:r w:rsidR="006B3C24">
        <w:t>.</w:t>
      </w:r>
      <w:r w:rsidR="00816E1A">
        <w:rPr>
          <w:rStyle w:val="FootnoteReference"/>
        </w:rPr>
        <w:footnoteReference w:id="57"/>
      </w:r>
    </w:p>
    <w:p w14:paraId="7703CBCC" w14:textId="77777777" w:rsidR="00BC324B" w:rsidRDefault="00BC324B" w:rsidP="00706E36"/>
    <w:p w14:paraId="773BD03F" w14:textId="2963F0FC" w:rsidR="00BC324B" w:rsidRDefault="00D312DC" w:rsidP="00B8500E">
      <w:pPr>
        <w:pStyle w:val="ListParagraph"/>
        <w:numPr>
          <w:ilvl w:val="1"/>
          <w:numId w:val="9"/>
        </w:numPr>
        <w:ind w:left="709" w:hanging="709"/>
      </w:pPr>
      <w:r>
        <w:t>Additionally</w:t>
      </w:r>
      <w:r w:rsidR="00333CBA">
        <w:t>, t</w:t>
      </w:r>
      <w:r w:rsidR="00512F6C">
        <w:t>he UN CAT Committe</w:t>
      </w:r>
      <w:r w:rsidR="009D39D0">
        <w:t>e advises that</w:t>
      </w:r>
      <w:r w:rsidR="00CF3258">
        <w:t xml:space="preserve"> States must </w:t>
      </w:r>
      <w:r w:rsidR="00622775">
        <w:t>“establish a system to oversee, monitor, evaluate, and report on their provision of redress measures and necessary rehabilitation services to victims of torture or ill-treatment”.</w:t>
      </w:r>
      <w:r w:rsidR="00333CBA">
        <w:rPr>
          <w:rStyle w:val="FootnoteReference"/>
        </w:rPr>
        <w:footnoteReference w:id="58"/>
      </w:r>
      <w:r w:rsidR="00622775">
        <w:t xml:space="preserve"> This requires </w:t>
      </w:r>
      <w:r w:rsidR="003C202E">
        <w:t>“data disaggregated by age, gender, nationality, and other key factors regarding redress measures</w:t>
      </w:r>
      <w:r w:rsidR="001844DE">
        <w:t xml:space="preserve">” </w:t>
      </w:r>
      <w:r w:rsidR="003C202E">
        <w:t>in order to meet</w:t>
      </w:r>
      <w:r w:rsidR="001844DE">
        <w:t xml:space="preserve"> the </w:t>
      </w:r>
      <w:r w:rsidR="003C202E">
        <w:t>obligation</w:t>
      </w:r>
      <w:r w:rsidR="001844DE">
        <w:t xml:space="preserve"> </w:t>
      </w:r>
      <w:r w:rsidR="00B04A24">
        <w:t>“</w:t>
      </w:r>
      <w:r w:rsidR="003C202E">
        <w:t xml:space="preserve">to provide continual evaluation of </w:t>
      </w:r>
      <w:r w:rsidR="00757FA5">
        <w:t>[the State</w:t>
      </w:r>
      <w:r w:rsidR="00333CBA">
        <w:t>’s</w:t>
      </w:r>
      <w:r w:rsidR="00757FA5">
        <w:t>]</w:t>
      </w:r>
      <w:r w:rsidR="003C202E">
        <w:t xml:space="preserve"> efforts to provide redress to victims</w:t>
      </w:r>
      <w:r w:rsidR="00B04A24">
        <w:t>”.</w:t>
      </w:r>
      <w:r w:rsidR="00333CBA">
        <w:rPr>
          <w:rStyle w:val="FootnoteReference"/>
        </w:rPr>
        <w:footnoteReference w:id="59"/>
      </w:r>
      <w:r w:rsidR="00B04A24">
        <w:t xml:space="preserve"> Accordingly, the UN CAT Committee specifically</w:t>
      </w:r>
      <w:r w:rsidR="00CF3258">
        <w:t xml:space="preserve"> </w:t>
      </w:r>
      <w:r w:rsidR="00393DF6">
        <w:t>recommended that the UK and NI</w:t>
      </w:r>
      <w:r w:rsidR="00580687">
        <w:t xml:space="preserve"> Governments</w:t>
      </w:r>
      <w:r w:rsidR="00335B63">
        <w:t>:</w:t>
      </w:r>
      <w:r w:rsidR="00BC324B">
        <w:t xml:space="preserve"> </w:t>
      </w:r>
    </w:p>
    <w:p w14:paraId="03D8294D" w14:textId="77777777" w:rsidR="005263CA" w:rsidRDefault="005263CA" w:rsidP="005263CA">
      <w:pPr>
        <w:pStyle w:val="ListParagraph"/>
      </w:pPr>
    </w:p>
    <w:p w14:paraId="5D72C4A0" w14:textId="30609245" w:rsidR="005263CA" w:rsidRPr="003500C6" w:rsidRDefault="005263CA" w:rsidP="005C6CF4">
      <w:pPr>
        <w:pStyle w:val="Quote"/>
      </w:pPr>
      <w:r w:rsidRPr="00BC324B">
        <w:t xml:space="preserve">compile and publish comprehensive disaggregated statistical information relevant to all complaints and reports received of torture or ill-treatment – including information on whether such complaints led to investigations and, if so, by which authority, whether the investigations resulted in the imposition of disciplinary </w:t>
      </w:r>
      <w:r w:rsidRPr="00BC324B">
        <w:lastRenderedPageBreak/>
        <w:t>measures and/or prosecutions and whether the victims obtained redress</w:t>
      </w:r>
      <w:r>
        <w:t>.</w:t>
      </w:r>
      <w:r>
        <w:rPr>
          <w:rStyle w:val="FootnoteReference"/>
        </w:rPr>
        <w:footnoteReference w:id="60"/>
      </w:r>
      <w:r>
        <w:t xml:space="preserve"> </w:t>
      </w:r>
    </w:p>
    <w:p w14:paraId="4A7314A3" w14:textId="77777777" w:rsidR="005263CA" w:rsidRDefault="005263CA" w:rsidP="00335B63">
      <w:pPr>
        <w:pStyle w:val="ListParagraph"/>
      </w:pPr>
    </w:p>
    <w:p w14:paraId="2BCA7DEC" w14:textId="431E78E3" w:rsidR="00AE59CE" w:rsidRDefault="00541723" w:rsidP="00B8500E">
      <w:pPr>
        <w:pStyle w:val="ListParagraph"/>
        <w:numPr>
          <w:ilvl w:val="1"/>
          <w:numId w:val="9"/>
        </w:numPr>
        <w:ind w:left="709" w:hanging="709"/>
      </w:pPr>
      <w:r w:rsidRPr="00541723">
        <w:t xml:space="preserve">The EU Victims Directive recognises </w:t>
      </w:r>
      <w:r w:rsidR="00D312DC">
        <w:t xml:space="preserve">that </w:t>
      </w:r>
      <w:r>
        <w:t xml:space="preserve">the collection of </w:t>
      </w:r>
      <w:r w:rsidRPr="00541723">
        <w:rPr>
          <w:color w:val="333333"/>
          <w:shd w:val="clear" w:color="auto" w:fill="FFFFFF"/>
        </w:rPr>
        <w:t xml:space="preserve">systematic </w:t>
      </w:r>
      <w:r w:rsidRPr="00F83FCF">
        <w:rPr>
          <w:color w:val="333333"/>
          <w:shd w:val="clear" w:color="auto" w:fill="FFFFFF"/>
        </w:rPr>
        <w:t>and adequate statistical data</w:t>
      </w:r>
      <w:r>
        <w:rPr>
          <w:color w:val="333333"/>
          <w:shd w:val="clear" w:color="auto" w:fill="FFFFFF"/>
        </w:rPr>
        <w:t xml:space="preserve"> </w:t>
      </w:r>
      <w:r w:rsidR="00D312DC">
        <w:rPr>
          <w:color w:val="333333"/>
          <w:shd w:val="clear" w:color="auto" w:fill="FFFFFF"/>
        </w:rPr>
        <w:t>is</w:t>
      </w:r>
      <w:r w:rsidR="00D312DC" w:rsidRPr="00F83FCF">
        <w:rPr>
          <w:color w:val="333333"/>
          <w:shd w:val="clear" w:color="auto" w:fill="FFFFFF"/>
        </w:rPr>
        <w:t xml:space="preserve"> </w:t>
      </w:r>
      <w:r w:rsidRPr="00F83FCF">
        <w:rPr>
          <w:color w:val="333333"/>
          <w:shd w:val="clear" w:color="auto" w:fill="FFFFFF"/>
        </w:rPr>
        <w:t>an essential component of effective policy</w:t>
      </w:r>
      <w:r w:rsidR="00D312DC">
        <w:rPr>
          <w:color w:val="333333"/>
          <w:shd w:val="clear" w:color="auto" w:fill="FFFFFF"/>
        </w:rPr>
        <w:t>-</w:t>
      </w:r>
      <w:r w:rsidRPr="00F83FCF">
        <w:rPr>
          <w:color w:val="333333"/>
          <w:shd w:val="clear" w:color="auto" w:fill="FFFFFF"/>
        </w:rPr>
        <w:t>making</w:t>
      </w:r>
      <w:r w:rsidR="00D312DC" w:rsidRPr="2C0C89E5">
        <w:rPr>
          <w:color w:val="333333"/>
        </w:rPr>
        <w:t>, p</w:t>
      </w:r>
      <w:r w:rsidR="00D312DC">
        <w:rPr>
          <w:color w:val="333333"/>
          <w:shd w:val="clear" w:color="auto" w:fill="FFFFFF"/>
        </w:rPr>
        <w:t>articularly</w:t>
      </w:r>
      <w:r w:rsidRPr="00F83FCF">
        <w:rPr>
          <w:color w:val="333333"/>
          <w:shd w:val="clear" w:color="auto" w:fill="FFFFFF"/>
        </w:rPr>
        <w:t xml:space="preserve"> in </w:t>
      </w:r>
      <w:r w:rsidR="00D312DC">
        <w:rPr>
          <w:color w:val="333333"/>
          <w:shd w:val="clear" w:color="auto" w:fill="FFFFFF"/>
        </w:rPr>
        <w:t>respect</w:t>
      </w:r>
      <w:r w:rsidRPr="00F83FCF">
        <w:rPr>
          <w:color w:val="333333"/>
          <w:shd w:val="clear" w:color="auto" w:fill="FFFFFF"/>
        </w:rPr>
        <w:t xml:space="preserve"> of </w:t>
      </w:r>
      <w:r>
        <w:rPr>
          <w:color w:val="333333"/>
          <w:shd w:val="clear" w:color="auto" w:fill="FFFFFF"/>
        </w:rPr>
        <w:t xml:space="preserve">victims’ </w:t>
      </w:r>
      <w:r w:rsidRPr="00F83FCF">
        <w:rPr>
          <w:color w:val="333333"/>
          <w:shd w:val="clear" w:color="auto" w:fill="FFFFFF"/>
        </w:rPr>
        <w:t>rights</w:t>
      </w:r>
      <w:r>
        <w:rPr>
          <w:color w:val="333333"/>
          <w:shd w:val="clear" w:color="auto" w:fill="FFFFFF"/>
        </w:rPr>
        <w:t>.</w:t>
      </w:r>
      <w:r w:rsidR="00AE59CE">
        <w:rPr>
          <w:rStyle w:val="FootnoteReference"/>
        </w:rPr>
        <w:footnoteReference w:id="61"/>
      </w:r>
      <w:r w:rsidR="00AE59CE">
        <w:t xml:space="preserve"> </w:t>
      </w:r>
      <w:r w:rsidRPr="00AE59CE">
        <w:rPr>
          <w:color w:val="333333"/>
          <w:shd w:val="clear" w:color="auto" w:fill="FFFFFF"/>
        </w:rPr>
        <w:t xml:space="preserve">Such data </w:t>
      </w:r>
      <w:r w:rsidR="00AE59CE" w:rsidRPr="00AE59CE">
        <w:rPr>
          <w:color w:val="333333"/>
          <w:shd w:val="clear" w:color="auto" w:fill="FFFFFF"/>
        </w:rPr>
        <w:t>should</w:t>
      </w:r>
      <w:r w:rsidRPr="00AE59CE">
        <w:rPr>
          <w:color w:val="333333"/>
          <w:shd w:val="clear" w:color="auto" w:fill="FFFFFF"/>
        </w:rPr>
        <w:t xml:space="preserve"> </w:t>
      </w:r>
      <w:r w:rsidR="00AE59CE" w:rsidRPr="00AE59CE">
        <w:rPr>
          <w:color w:val="333333"/>
          <w:shd w:val="clear" w:color="auto" w:fill="FFFFFF"/>
        </w:rPr>
        <w:t xml:space="preserve">include data recorded by law enforcement agencies, the courts, </w:t>
      </w:r>
      <w:r w:rsidR="00AE59CE" w:rsidRPr="00F83FCF">
        <w:rPr>
          <w:color w:val="333333"/>
          <w:shd w:val="clear" w:color="auto" w:fill="FFFFFF"/>
        </w:rPr>
        <w:t xml:space="preserve">administrative data compiled by healthcare and social welfare service and other organisation working with victims of </w:t>
      </w:r>
      <w:r w:rsidR="00AE59CE" w:rsidRPr="00AE59CE">
        <w:rPr>
          <w:color w:val="333333"/>
          <w:shd w:val="clear" w:color="auto" w:fill="FFFFFF"/>
        </w:rPr>
        <w:t>crimes</w:t>
      </w:r>
      <w:r w:rsidR="00AE59CE" w:rsidRPr="00F83FCF">
        <w:rPr>
          <w:color w:val="333333"/>
          <w:shd w:val="clear" w:color="auto" w:fill="FFFFFF"/>
        </w:rPr>
        <w:t>.</w:t>
      </w:r>
      <w:r w:rsidR="00AE59CE">
        <w:rPr>
          <w:rStyle w:val="FootnoteReference"/>
        </w:rPr>
        <w:footnoteReference w:id="62"/>
      </w:r>
      <w:r w:rsidR="00AE59CE">
        <w:t xml:space="preserve"> </w:t>
      </w:r>
      <w:r w:rsidR="00AE59CE" w:rsidRPr="00F83FCF">
        <w:rPr>
          <w:color w:val="333333"/>
          <w:shd w:val="clear" w:color="auto" w:fill="FFFFFF"/>
        </w:rPr>
        <w:t xml:space="preserve"> </w:t>
      </w:r>
      <w:r w:rsidR="00AE59CE">
        <w:rPr>
          <w:color w:val="333333"/>
          <w:shd w:val="clear" w:color="auto" w:fill="FFFFFF"/>
        </w:rPr>
        <w:t xml:space="preserve">The Directive further </w:t>
      </w:r>
      <w:r w:rsidRPr="00AE59CE">
        <w:t xml:space="preserve">provides </w:t>
      </w:r>
      <w:r w:rsidR="00AE59CE">
        <w:t xml:space="preserve">that </w:t>
      </w:r>
      <w:r w:rsidRPr="00AE59CE">
        <w:t xml:space="preserve">Member States </w:t>
      </w:r>
      <w:r w:rsidR="00D312DC">
        <w:t>should</w:t>
      </w:r>
      <w:r w:rsidR="00D312DC" w:rsidRPr="00AE59CE">
        <w:t xml:space="preserve"> </w:t>
      </w:r>
      <w:r w:rsidRPr="00AE59CE">
        <w:t>take appropriate action</w:t>
      </w:r>
      <w:r>
        <w:t xml:space="preserve"> through </w:t>
      </w:r>
      <w:r w:rsidRPr="00541723">
        <w:t>research and education programmes</w:t>
      </w:r>
      <w:r w:rsidR="00AE59CE">
        <w:t xml:space="preserve"> to ensure that the minimum standards</w:t>
      </w:r>
      <w:r w:rsidR="00F83FCF">
        <w:t xml:space="preserve"> in the Directive </w:t>
      </w:r>
      <w:r w:rsidR="00AE59CE">
        <w:t>are met, including w</w:t>
      </w:r>
      <w:r w:rsidRPr="00541723">
        <w:t>here appropriate in cooperation with relevant civil society organisations and other stakeholders</w:t>
      </w:r>
      <w:r>
        <w:t>.</w:t>
      </w:r>
      <w:r>
        <w:rPr>
          <w:rStyle w:val="FootnoteReference"/>
        </w:rPr>
        <w:footnoteReference w:id="63"/>
      </w:r>
      <w:r>
        <w:t xml:space="preserve"> </w:t>
      </w:r>
    </w:p>
    <w:p w14:paraId="6087DE8D" w14:textId="10F3FD28" w:rsidR="00541723" w:rsidRDefault="00541723" w:rsidP="001673AC"/>
    <w:p w14:paraId="3DB86EA4" w14:textId="4CA56FD9" w:rsidR="00A85A9E" w:rsidRDefault="00D2546C" w:rsidP="001673AC">
      <w:pPr>
        <w:pStyle w:val="ListParagraph"/>
        <w:numPr>
          <w:ilvl w:val="1"/>
          <w:numId w:val="9"/>
        </w:numPr>
        <w:ind w:left="709" w:hanging="709"/>
      </w:pPr>
      <w:r>
        <w:t>T</w:t>
      </w:r>
      <w:r w:rsidR="00C219AB">
        <w:t xml:space="preserve">he </w:t>
      </w:r>
      <w:r w:rsidR="005D0D1E">
        <w:t xml:space="preserve">Executive Office’s </w:t>
      </w:r>
      <w:r w:rsidR="00C219AB">
        <w:t>commitment to further research</w:t>
      </w:r>
      <w:r>
        <w:t xml:space="preserve"> is welcomed</w:t>
      </w:r>
      <w:r w:rsidR="008A78A9">
        <w:t>,</w:t>
      </w:r>
      <w:r w:rsidR="003F1006">
        <w:rPr>
          <w:rStyle w:val="FootnoteReference"/>
        </w:rPr>
        <w:footnoteReference w:id="64"/>
      </w:r>
      <w:r w:rsidR="008A78A9">
        <w:t xml:space="preserve"> however the</w:t>
      </w:r>
      <w:r w:rsidR="003E2FDF">
        <w:t>re is no mention of</w:t>
      </w:r>
      <w:r w:rsidR="00ED6501">
        <w:t xml:space="preserve"> </w:t>
      </w:r>
      <w:r w:rsidR="005D640E">
        <w:t xml:space="preserve">data collection </w:t>
      </w:r>
      <w:r w:rsidR="00292C58">
        <w:t>or an</w:t>
      </w:r>
      <w:r w:rsidR="00E77B10">
        <w:t xml:space="preserve">alysis in relation to the services provided under the strategy. </w:t>
      </w:r>
      <w:r w:rsidR="00D312DC">
        <w:t xml:space="preserve">That is a missed opportunity. </w:t>
      </w:r>
      <w:r>
        <w:t>It is important to collate</w:t>
      </w:r>
      <w:r w:rsidR="00573F48" w:rsidRPr="00573F48">
        <w:t xml:space="preserve"> reliable and disaggregated dat</w:t>
      </w:r>
      <w:r w:rsidR="00573F48">
        <w:t>a</w:t>
      </w:r>
      <w:r w:rsidR="00373C8B">
        <w:t xml:space="preserve"> </w:t>
      </w:r>
      <w:r w:rsidR="005D063C">
        <w:t>to</w:t>
      </w:r>
      <w:r w:rsidR="0054288B">
        <w:t xml:space="preserve"> continually improve </w:t>
      </w:r>
      <w:r w:rsidR="00BA7F30">
        <w:t xml:space="preserve">understanding </w:t>
      </w:r>
      <w:r w:rsidR="0054288B">
        <w:t xml:space="preserve">of </w:t>
      </w:r>
      <w:r w:rsidR="00BA7F30">
        <w:t>the needs of victims and survivors</w:t>
      </w:r>
      <w:r w:rsidR="0054288B">
        <w:t xml:space="preserve">, and </w:t>
      </w:r>
      <w:r w:rsidR="005D063C">
        <w:t xml:space="preserve">to establish </w:t>
      </w:r>
      <w:r w:rsidR="00B47B35">
        <w:t>whether redress measures are available and appropriate.</w:t>
      </w:r>
    </w:p>
    <w:p w14:paraId="7AFD3921" w14:textId="77777777" w:rsidR="004F7948" w:rsidRDefault="004F7948" w:rsidP="004F7948">
      <w:pPr>
        <w:pStyle w:val="ListParagraph"/>
        <w:ind w:left="709"/>
      </w:pPr>
    </w:p>
    <w:p w14:paraId="7EFEA953" w14:textId="0C666A4D" w:rsidR="00BC324B" w:rsidRPr="00BD69AB" w:rsidRDefault="005D0D1E" w:rsidP="00F2180B">
      <w:pPr>
        <w:pStyle w:val="ListParagraph"/>
        <w:numPr>
          <w:ilvl w:val="1"/>
          <w:numId w:val="9"/>
        </w:numPr>
        <w:ind w:left="709" w:hanging="709"/>
        <w:rPr>
          <w:b/>
        </w:rPr>
      </w:pPr>
      <w:bookmarkStart w:id="9" w:name="_Hlk163636951"/>
      <w:r w:rsidRPr="26096BA6">
        <w:rPr>
          <w:b/>
          <w:bCs/>
        </w:rPr>
        <w:t>The NIHRC re</w:t>
      </w:r>
      <w:r w:rsidR="004F7948" w:rsidRPr="26096BA6">
        <w:rPr>
          <w:b/>
          <w:bCs/>
        </w:rPr>
        <w:t xml:space="preserve">commends that the Executive Office </w:t>
      </w:r>
      <w:r w:rsidR="000B67A8">
        <w:rPr>
          <w:b/>
          <w:bCs/>
        </w:rPr>
        <w:t>establishes</w:t>
      </w:r>
      <w:r w:rsidR="00E90FF2">
        <w:rPr>
          <w:b/>
          <w:bCs/>
        </w:rPr>
        <w:t xml:space="preserve"> </w:t>
      </w:r>
      <w:r w:rsidR="00E90FF2" w:rsidRPr="00E90FF2">
        <w:rPr>
          <w:b/>
          <w:bCs/>
        </w:rPr>
        <w:t xml:space="preserve">a system to oversee, monitor, evaluate, and report on the provision of redress measures </w:t>
      </w:r>
      <w:r w:rsidR="00E90FF2">
        <w:rPr>
          <w:b/>
          <w:bCs/>
        </w:rPr>
        <w:t xml:space="preserve">and </w:t>
      </w:r>
      <w:r w:rsidR="00E90FF2" w:rsidRPr="00E90FF2">
        <w:rPr>
          <w:b/>
          <w:bCs/>
        </w:rPr>
        <w:t xml:space="preserve">services to victims </w:t>
      </w:r>
      <w:r w:rsidR="000B67A8">
        <w:rPr>
          <w:b/>
          <w:bCs/>
        </w:rPr>
        <w:t xml:space="preserve">under the strategy. This includes </w:t>
      </w:r>
      <w:r w:rsidR="00B94779">
        <w:rPr>
          <w:b/>
          <w:bCs/>
        </w:rPr>
        <w:t xml:space="preserve">data collection that is disaggregated, regular, </w:t>
      </w:r>
      <w:proofErr w:type="gramStart"/>
      <w:r w:rsidR="00B94779">
        <w:rPr>
          <w:b/>
          <w:bCs/>
        </w:rPr>
        <w:t>comprehensive</w:t>
      </w:r>
      <w:proofErr w:type="gramEnd"/>
      <w:r w:rsidR="00B94779">
        <w:rPr>
          <w:b/>
          <w:bCs/>
        </w:rPr>
        <w:t xml:space="preserve"> and comparable. </w:t>
      </w:r>
    </w:p>
    <w:bookmarkEnd w:id="9"/>
    <w:p w14:paraId="75FFC46E" w14:textId="77777777" w:rsidR="002A6B65" w:rsidRDefault="002A6B65" w:rsidP="000711C4">
      <w:pPr>
        <w:pStyle w:val="ListParagraph"/>
        <w:ind w:left="709" w:hanging="709"/>
      </w:pPr>
    </w:p>
    <w:p w14:paraId="49AF3B6F" w14:textId="75F24FAB" w:rsidR="00AD6F3D" w:rsidRPr="00944256" w:rsidRDefault="00944256" w:rsidP="00944256">
      <w:pPr>
        <w:pStyle w:val="Heading2"/>
      </w:pPr>
      <w:bookmarkStart w:id="10" w:name="_Toc163637903"/>
      <w:r>
        <w:t>Funding</w:t>
      </w:r>
      <w:bookmarkEnd w:id="10"/>
      <w:r>
        <w:t xml:space="preserve"> </w:t>
      </w:r>
    </w:p>
    <w:p w14:paraId="027F11E5" w14:textId="262303F0" w:rsidR="00AD6F3D" w:rsidRPr="00FA7DA8" w:rsidRDefault="00AD6F3D" w:rsidP="00944256">
      <w:pPr>
        <w:pStyle w:val="ListParagraph"/>
        <w:numPr>
          <w:ilvl w:val="1"/>
          <w:numId w:val="9"/>
        </w:numPr>
        <w:tabs>
          <w:tab w:val="left" w:pos="709"/>
        </w:tabs>
        <w:ind w:left="709" w:hanging="709"/>
      </w:pPr>
      <w:r>
        <w:t xml:space="preserve">The draft strategy </w:t>
      </w:r>
      <w:r w:rsidR="00521CCE">
        <w:t xml:space="preserve">recognises </w:t>
      </w:r>
      <w:r>
        <w:t xml:space="preserve">that the provision of funding through the PEACE IV programme (2017-2022) was instrumental in delivering many </w:t>
      </w:r>
      <w:r>
        <w:lastRenderedPageBreak/>
        <w:t>services and initiatives in relation to victims and survivors.</w:t>
      </w:r>
      <w:r w:rsidR="00600D6B">
        <w:rPr>
          <w:rStyle w:val="FootnoteReference"/>
        </w:rPr>
        <w:footnoteReference w:id="65"/>
      </w:r>
      <w:r>
        <w:t xml:space="preserve"> The strategy also </w:t>
      </w:r>
      <w:r w:rsidR="00521CCE">
        <w:t xml:space="preserve">notes </w:t>
      </w:r>
      <w:r>
        <w:t>that PEACEPLUS (2021-2027) is the successor programme to PEACE IV.</w:t>
      </w:r>
      <w:r w:rsidR="00600D6B">
        <w:rPr>
          <w:rStyle w:val="FootnoteReference"/>
        </w:rPr>
        <w:footnoteReference w:id="66"/>
      </w:r>
      <w:r>
        <w:t xml:space="preserve"> However, it does not set out </w:t>
      </w:r>
      <w:r w:rsidR="00521CCE">
        <w:t xml:space="preserve">clearly what </w:t>
      </w:r>
      <w:r>
        <w:t xml:space="preserve">funding </w:t>
      </w:r>
      <w:r w:rsidR="00521CCE">
        <w:t xml:space="preserve">will be </w:t>
      </w:r>
      <w:r>
        <w:t xml:space="preserve">available </w:t>
      </w:r>
      <w:r w:rsidR="00D304E2">
        <w:t>f</w:t>
      </w:r>
      <w:r w:rsidR="00532BA7">
        <w:t>or</w:t>
      </w:r>
      <w:r>
        <w:t xml:space="preserve"> the duration of the strategy</w:t>
      </w:r>
      <w:r w:rsidR="00D304E2">
        <w:t xml:space="preserve">. That would be critical to </w:t>
      </w:r>
      <w:r>
        <w:t xml:space="preserve">enable a realistic </w:t>
      </w:r>
      <w:r w:rsidR="00D304E2">
        <w:t xml:space="preserve">cost estimate </w:t>
      </w:r>
      <w:r>
        <w:t xml:space="preserve">of its programmes and initiatives to ensure full and effective implementation. </w:t>
      </w:r>
      <w:r>
        <w:rPr>
          <w:rFonts w:cs="Arial"/>
        </w:rPr>
        <w:t xml:space="preserve">It is disappointing that this information </w:t>
      </w:r>
      <w:proofErr w:type="gramStart"/>
      <w:r w:rsidR="00D304E2">
        <w:rPr>
          <w:rFonts w:cs="Arial"/>
        </w:rPr>
        <w:t xml:space="preserve">was </w:t>
      </w:r>
      <w:r>
        <w:rPr>
          <w:rFonts w:cs="Arial"/>
        </w:rPr>
        <w:t>not be</w:t>
      </w:r>
      <w:proofErr w:type="gramEnd"/>
      <w:r>
        <w:rPr>
          <w:rFonts w:cs="Arial"/>
        </w:rPr>
        <w:t xml:space="preserve"> provided during the public consultation process</w:t>
      </w:r>
      <w:r w:rsidR="00D304E2">
        <w:rPr>
          <w:rFonts w:cs="Arial"/>
        </w:rPr>
        <w:t>.</w:t>
      </w:r>
    </w:p>
    <w:p w14:paraId="72E142CB" w14:textId="77777777" w:rsidR="00FA7DA8" w:rsidRPr="00081BD7" w:rsidRDefault="00FA7DA8" w:rsidP="00FA7DA8">
      <w:pPr>
        <w:pStyle w:val="ListParagraph"/>
        <w:tabs>
          <w:tab w:val="left" w:pos="709"/>
        </w:tabs>
        <w:ind w:left="709"/>
      </w:pPr>
    </w:p>
    <w:p w14:paraId="6C9CFD29" w14:textId="080102CC" w:rsidR="008F18D9" w:rsidRDefault="0028027E" w:rsidP="00944256">
      <w:pPr>
        <w:pStyle w:val="ListParagraph"/>
        <w:numPr>
          <w:ilvl w:val="1"/>
          <w:numId w:val="9"/>
        </w:numPr>
        <w:tabs>
          <w:tab w:val="left" w:pos="709"/>
        </w:tabs>
        <w:ind w:left="709" w:hanging="709"/>
      </w:pPr>
      <w:r>
        <w:t xml:space="preserve">In 2023, the UN Special Rapporteur </w:t>
      </w:r>
      <w:r w:rsidR="003C37EF">
        <w:t xml:space="preserve">on the promotion of truth, justice, reparation and guarantees of non-recurrence, Fabián </w:t>
      </w:r>
      <w:proofErr w:type="spellStart"/>
      <w:r w:rsidR="003C37EF">
        <w:t>Salvioli</w:t>
      </w:r>
      <w:proofErr w:type="spellEnd"/>
      <w:r w:rsidR="003C37EF">
        <w:t xml:space="preserve">, published a report on </w:t>
      </w:r>
      <w:r w:rsidR="00D304E2">
        <w:t xml:space="preserve">the </w:t>
      </w:r>
      <w:r w:rsidR="003C37EF">
        <w:t>financing of reparation for victims of serious violations of human rights law.</w:t>
      </w:r>
      <w:r w:rsidR="00F17FB4">
        <w:rPr>
          <w:rStyle w:val="FootnoteReference"/>
        </w:rPr>
        <w:footnoteReference w:id="67"/>
      </w:r>
      <w:r w:rsidR="003C37EF">
        <w:t xml:space="preserve"> </w:t>
      </w:r>
      <w:r w:rsidR="004438D9">
        <w:t>The UN Special Rapporteur</w:t>
      </w:r>
      <w:r w:rsidR="00D304E2">
        <w:t xml:space="preserve"> </w:t>
      </w:r>
      <w:r w:rsidR="00561F08">
        <w:t>emphasise</w:t>
      </w:r>
      <w:r w:rsidR="00D304E2">
        <w:t>d</w:t>
      </w:r>
      <w:r w:rsidR="00561F08">
        <w:t xml:space="preserve"> that</w:t>
      </w:r>
      <w:r w:rsidR="00276FFC">
        <w:t>, “for reparations programmes to be strategic, transformative and more impactful in preventing the recurrence of large-scale human rights violations, reparations planning and funding should aim to address the causes and consequences of those violations”.</w:t>
      </w:r>
      <w:r w:rsidR="00F17FB4">
        <w:rPr>
          <w:rStyle w:val="FootnoteReference"/>
        </w:rPr>
        <w:footnoteReference w:id="68"/>
      </w:r>
      <w:r w:rsidR="00276FFC">
        <w:t xml:space="preserve"> </w:t>
      </w:r>
      <w:r w:rsidR="00D304E2">
        <w:t xml:space="preserve">The </w:t>
      </w:r>
      <w:r w:rsidR="00B00A7B">
        <w:t>UN Special Rapporteur recommended</w:t>
      </w:r>
      <w:r w:rsidR="00276FFC">
        <w:t xml:space="preserve"> that</w:t>
      </w:r>
      <w:r w:rsidR="001215B0">
        <w:t>:</w:t>
      </w:r>
      <w:r w:rsidR="00276FFC">
        <w:t xml:space="preserve"> </w:t>
      </w:r>
    </w:p>
    <w:p w14:paraId="1084BC6F" w14:textId="77777777" w:rsidR="00276FFC" w:rsidRDefault="00276FFC" w:rsidP="001215B0">
      <w:pPr>
        <w:pStyle w:val="ListParagraph"/>
        <w:tabs>
          <w:tab w:val="left" w:pos="709"/>
        </w:tabs>
        <w:ind w:left="709"/>
      </w:pPr>
    </w:p>
    <w:p w14:paraId="0266DDFA" w14:textId="1B27AF1A" w:rsidR="00081BD7" w:rsidRDefault="001215B0" w:rsidP="00A15A8E">
      <w:pPr>
        <w:pStyle w:val="Quote"/>
      </w:pPr>
      <w:r>
        <w:t>f</w:t>
      </w:r>
      <w:r w:rsidR="00864E8D">
        <w:t>unding for reparations should encompass long-term planning and financia</w:t>
      </w:r>
      <w:r w:rsidR="00436528">
        <w:t xml:space="preserve">l </w:t>
      </w:r>
      <w:r w:rsidR="00864E8D">
        <w:t xml:space="preserve">support across the design, </w:t>
      </w:r>
      <w:proofErr w:type="gramStart"/>
      <w:r w:rsidR="00864E8D">
        <w:t>budgeting</w:t>
      </w:r>
      <w:proofErr w:type="gramEnd"/>
      <w:r w:rsidR="00864E8D">
        <w:t xml:space="preserve"> and implementation cycle of reparations programmes to ensure that reparation programmes address the needs of victims and transform the conditions of marginalization, inequality and gender disparity that led to the violations in the first place.</w:t>
      </w:r>
      <w:r w:rsidR="00276FFC">
        <w:rPr>
          <w:rStyle w:val="FootnoteReference"/>
        </w:rPr>
        <w:footnoteReference w:id="69"/>
      </w:r>
    </w:p>
    <w:p w14:paraId="5FDE1FAF" w14:textId="77777777" w:rsidR="00AD6F3D" w:rsidRPr="00AE4A94" w:rsidRDefault="00AD6F3D" w:rsidP="00944256">
      <w:pPr>
        <w:pStyle w:val="ListParagraph"/>
        <w:ind w:left="709" w:hanging="709"/>
      </w:pPr>
    </w:p>
    <w:p w14:paraId="62086011" w14:textId="1640BA2A" w:rsidR="00C414F9" w:rsidRDefault="00D304E2" w:rsidP="00C91F8A">
      <w:pPr>
        <w:pStyle w:val="ListParagraph"/>
        <w:numPr>
          <w:ilvl w:val="1"/>
          <w:numId w:val="9"/>
        </w:numPr>
        <w:ind w:left="709" w:hanging="709"/>
      </w:pPr>
      <w:r>
        <w:t>Moreover</w:t>
      </w:r>
      <w:r w:rsidR="006A33F1" w:rsidRPr="001215B0">
        <w:t xml:space="preserve">, the </w:t>
      </w:r>
      <w:r w:rsidR="00AF13F1" w:rsidRPr="001215B0">
        <w:t>UN Human Rights Committee,</w:t>
      </w:r>
      <w:r w:rsidR="00BC173C">
        <w:rPr>
          <w:rStyle w:val="FootnoteReference"/>
        </w:rPr>
        <w:footnoteReference w:id="70"/>
      </w:r>
      <w:r w:rsidR="00AF13F1" w:rsidRPr="001215B0">
        <w:t xml:space="preserve"> the UN CAT Committee</w:t>
      </w:r>
      <w:r w:rsidR="0013047F">
        <w:t>,</w:t>
      </w:r>
      <w:r w:rsidR="00BC173C">
        <w:rPr>
          <w:rStyle w:val="FootnoteReference"/>
        </w:rPr>
        <w:footnoteReference w:id="71"/>
      </w:r>
      <w:r w:rsidR="0013047F">
        <w:t xml:space="preserve"> the UN CEDAW Committee</w:t>
      </w:r>
      <w:r w:rsidR="00BC173C">
        <w:rPr>
          <w:rStyle w:val="FootnoteReference"/>
        </w:rPr>
        <w:footnoteReference w:id="72"/>
      </w:r>
      <w:r w:rsidR="0013047F">
        <w:t xml:space="preserve"> </w:t>
      </w:r>
      <w:r w:rsidR="00AF13F1" w:rsidRPr="001215B0">
        <w:t xml:space="preserve">and the UN CRC </w:t>
      </w:r>
      <w:r w:rsidR="00436528" w:rsidRPr="001215B0">
        <w:t>Committee</w:t>
      </w:r>
      <w:r w:rsidR="005372AC">
        <w:rPr>
          <w:rStyle w:val="FootnoteReference"/>
        </w:rPr>
        <w:footnoteReference w:id="73"/>
      </w:r>
      <w:r w:rsidR="00436528" w:rsidRPr="001215B0">
        <w:t xml:space="preserve"> have </w:t>
      </w:r>
      <w:r w:rsidR="00436528">
        <w:t xml:space="preserve">each </w:t>
      </w:r>
      <w:r w:rsidR="001A2291">
        <w:t xml:space="preserve">highlighted the importance of ensuring the provision of adequate resources </w:t>
      </w:r>
      <w:r w:rsidR="001A2291">
        <w:lastRenderedPageBreak/>
        <w:t xml:space="preserve">to services </w:t>
      </w:r>
      <w:r w:rsidR="00CC4660">
        <w:t>for victims</w:t>
      </w:r>
      <w:r w:rsidR="00E33D22">
        <w:t xml:space="preserve">, including for those specifically related to redress </w:t>
      </w:r>
      <w:r w:rsidR="00616576">
        <w:t>for conflict-related violations in NI.</w:t>
      </w:r>
      <w:r w:rsidR="00616576">
        <w:rPr>
          <w:rStyle w:val="FootnoteReference"/>
        </w:rPr>
        <w:footnoteReference w:id="74"/>
      </w:r>
      <w:r w:rsidR="005508E6">
        <w:t xml:space="preserve"> </w:t>
      </w:r>
    </w:p>
    <w:p w14:paraId="39CE0E24" w14:textId="77777777" w:rsidR="00E24F71" w:rsidRDefault="00E24F71" w:rsidP="00E24F71">
      <w:pPr>
        <w:pStyle w:val="ListParagraph"/>
        <w:ind w:left="709"/>
      </w:pPr>
    </w:p>
    <w:p w14:paraId="28C1D8AF" w14:textId="25C84528" w:rsidR="00DB58CD" w:rsidRDefault="00D304E2" w:rsidP="00C91F8A">
      <w:pPr>
        <w:pStyle w:val="ListParagraph"/>
        <w:numPr>
          <w:ilvl w:val="1"/>
          <w:numId w:val="9"/>
        </w:numPr>
        <w:ind w:left="709" w:hanging="709"/>
      </w:pPr>
      <w:r>
        <w:t>In</w:t>
      </w:r>
      <w:r w:rsidR="00E9565C">
        <w:t xml:space="preserve"> accordance with the EU Victims Directive, </w:t>
      </w:r>
      <w:r>
        <w:t>M</w:t>
      </w:r>
      <w:r w:rsidR="00E9565C">
        <w:t xml:space="preserve">ember </w:t>
      </w:r>
      <w:r>
        <w:t>S</w:t>
      </w:r>
      <w:r w:rsidR="00E9565C">
        <w:t xml:space="preserve">tates should ensure that </w:t>
      </w:r>
      <w:r w:rsidR="00E9565C" w:rsidRPr="00E9565C">
        <w:t>victims</w:t>
      </w:r>
      <w:r w:rsidR="00E9565C">
        <w:t xml:space="preserve"> and their families </w:t>
      </w:r>
      <w:r w:rsidR="00E9565C" w:rsidRPr="00E9565C">
        <w:t>have access to confidential victim support services, free of charge</w:t>
      </w:r>
      <w:r w:rsidR="00E9565C">
        <w:t>.</w:t>
      </w:r>
      <w:bookmarkStart w:id="11" w:name="_Hlk161073893"/>
      <w:r w:rsidR="00E9565C">
        <w:rPr>
          <w:rStyle w:val="FootnoteReference"/>
        </w:rPr>
        <w:footnoteReference w:id="75"/>
      </w:r>
      <w:bookmarkEnd w:id="11"/>
      <w:r w:rsidR="00E9565C">
        <w:t xml:space="preserve"> States should also take measures to establish </w:t>
      </w:r>
      <w:r w:rsidR="00E9565C" w:rsidRPr="00E9565C">
        <w:t xml:space="preserve">confidential specialist support services </w:t>
      </w:r>
      <w:r w:rsidR="00E9565C">
        <w:t xml:space="preserve">for victims, </w:t>
      </w:r>
      <w:r w:rsidR="00E9565C" w:rsidRPr="00E9565C">
        <w:t>free of charge</w:t>
      </w:r>
      <w:r w:rsidR="00E9565C">
        <w:t>.</w:t>
      </w:r>
      <w:r w:rsidR="00E9565C">
        <w:rPr>
          <w:rStyle w:val="FootnoteReference"/>
        </w:rPr>
        <w:footnoteReference w:id="76"/>
      </w:r>
      <w:r w:rsidR="00E9565C">
        <w:t xml:space="preserve"> Article 9 provides that victim support </w:t>
      </w:r>
      <w:r>
        <w:t xml:space="preserve">services </w:t>
      </w:r>
      <w:r w:rsidR="00E9565C">
        <w:t xml:space="preserve">should include information, advice and support; emotional and, where available, psychological support; and </w:t>
      </w:r>
      <w:r w:rsidR="00C414F9">
        <w:t>referral</w:t>
      </w:r>
      <w:r w:rsidR="00E9565C">
        <w:t xml:space="preserve"> to </w:t>
      </w:r>
      <w:r w:rsidR="00C414F9">
        <w:t xml:space="preserve">relevant specialist support. </w:t>
      </w:r>
      <w:r w:rsidR="004B040A">
        <w:t>A</w:t>
      </w:r>
      <w:r w:rsidR="00E92CBC">
        <w:t>rticle 25 of the EU Victims Directive</w:t>
      </w:r>
      <w:r w:rsidR="00C414F9">
        <w:t xml:space="preserve"> also </w:t>
      </w:r>
      <w:r>
        <w:t xml:space="preserve">emphasises the importance of </w:t>
      </w:r>
      <w:r w:rsidR="00E92CBC">
        <w:t>funding victim support organisations</w:t>
      </w:r>
      <w:r w:rsidR="00EF6FF5">
        <w:t xml:space="preserve"> </w:t>
      </w:r>
      <w:proofErr w:type="gramStart"/>
      <w:r w:rsidR="00EF6FF5">
        <w:t xml:space="preserve">in order </w:t>
      </w:r>
      <w:r w:rsidR="007A6FB0">
        <w:t>for</w:t>
      </w:r>
      <w:proofErr w:type="gramEnd"/>
      <w:r w:rsidR="007A6FB0">
        <w:t xml:space="preserve"> them to receive </w:t>
      </w:r>
      <w:r w:rsidR="007A6FB0" w:rsidRPr="007A6FB0">
        <w:t>adequate training.</w:t>
      </w:r>
      <w:r w:rsidR="00865682">
        <w:rPr>
          <w:rStyle w:val="FootnoteReference"/>
        </w:rPr>
        <w:footnoteReference w:id="77"/>
      </w:r>
      <w:r w:rsidR="00865682">
        <w:t xml:space="preserve"> </w:t>
      </w:r>
      <w:r w:rsidR="00435D04">
        <w:t xml:space="preserve"> </w:t>
      </w:r>
    </w:p>
    <w:p w14:paraId="11E51B6F" w14:textId="77777777" w:rsidR="00436528" w:rsidRPr="001215B0" w:rsidRDefault="00436528" w:rsidP="001215B0">
      <w:pPr>
        <w:pStyle w:val="ListParagraph"/>
        <w:ind w:left="709"/>
      </w:pPr>
    </w:p>
    <w:p w14:paraId="5242235D" w14:textId="38A3A1CB" w:rsidR="001673AC" w:rsidRPr="00F6590F" w:rsidRDefault="00AD6F3D" w:rsidP="001673AC">
      <w:pPr>
        <w:pStyle w:val="ListParagraph"/>
        <w:numPr>
          <w:ilvl w:val="1"/>
          <w:numId w:val="9"/>
        </w:numPr>
        <w:ind w:left="709" w:hanging="709"/>
        <w:rPr>
          <w:b/>
          <w:bCs/>
        </w:rPr>
      </w:pPr>
      <w:bookmarkStart w:id="12" w:name="_Hlk163636976"/>
      <w:r w:rsidRPr="00872B91">
        <w:rPr>
          <w:b/>
          <w:bCs/>
        </w:rPr>
        <w:t>The NIHRC recommends that the Executive Office secures ring-fenced</w:t>
      </w:r>
      <w:r>
        <w:rPr>
          <w:b/>
          <w:bCs/>
        </w:rPr>
        <w:t xml:space="preserve">, multi-year </w:t>
      </w:r>
      <w:r w:rsidRPr="00872B91">
        <w:rPr>
          <w:b/>
          <w:bCs/>
        </w:rPr>
        <w:t>funding that extends across the</w:t>
      </w:r>
      <w:r>
        <w:rPr>
          <w:b/>
          <w:bCs/>
        </w:rPr>
        <w:t xml:space="preserve"> lifespan of the </w:t>
      </w:r>
      <w:r w:rsidRPr="00872B91">
        <w:rPr>
          <w:b/>
          <w:bCs/>
        </w:rPr>
        <w:t>strategy</w:t>
      </w:r>
      <w:r>
        <w:rPr>
          <w:b/>
          <w:bCs/>
        </w:rPr>
        <w:t>.</w:t>
      </w:r>
      <w:r w:rsidR="008D2BA1">
        <w:rPr>
          <w:b/>
          <w:bCs/>
        </w:rPr>
        <w:t xml:space="preserve"> </w:t>
      </w:r>
    </w:p>
    <w:p w14:paraId="11EC5B0F" w14:textId="12B45CE7" w:rsidR="00986EB3" w:rsidRPr="00E44B40" w:rsidRDefault="00986EB3" w:rsidP="00E44B40">
      <w:pPr>
        <w:pStyle w:val="Heading1"/>
        <w:numPr>
          <w:ilvl w:val="0"/>
          <w:numId w:val="0"/>
        </w:numPr>
        <w:spacing w:line="240" w:lineRule="auto"/>
        <w:ind w:left="360" w:hanging="360"/>
      </w:pPr>
      <w:bookmarkStart w:id="13" w:name="_Toc163637904"/>
      <w:bookmarkEnd w:id="12"/>
      <w:r w:rsidRPr="00E44B40">
        <w:t>3.0</w:t>
      </w:r>
      <w:r w:rsidRPr="00E44B40">
        <w:tab/>
      </w:r>
      <w:r w:rsidR="00D07577" w:rsidRPr="00E44B40">
        <w:t>Needs of Victims</w:t>
      </w:r>
      <w:r w:rsidR="003457E9" w:rsidRPr="00E44B40">
        <w:t xml:space="preserve"> and</w:t>
      </w:r>
      <w:r w:rsidR="00D07577" w:rsidRPr="00272CD9">
        <w:t xml:space="preserve"> Survivors</w:t>
      </w:r>
      <w:bookmarkEnd w:id="13"/>
      <w:r w:rsidR="00D07577" w:rsidRPr="00E44B40">
        <w:t xml:space="preserve"> </w:t>
      </w:r>
    </w:p>
    <w:p w14:paraId="336DFFD4" w14:textId="77777777" w:rsidR="00986EB3" w:rsidRPr="0025357E" w:rsidRDefault="00986EB3" w:rsidP="00B8500E">
      <w:pPr>
        <w:pStyle w:val="ListParagraph"/>
        <w:numPr>
          <w:ilvl w:val="0"/>
          <w:numId w:val="3"/>
        </w:numPr>
        <w:rPr>
          <w:vanish/>
        </w:rPr>
      </w:pPr>
    </w:p>
    <w:p w14:paraId="1DFC3665" w14:textId="77777777" w:rsidR="00986EB3" w:rsidRPr="0025357E" w:rsidRDefault="00986EB3" w:rsidP="00B8500E">
      <w:pPr>
        <w:pStyle w:val="ListParagraph"/>
        <w:numPr>
          <w:ilvl w:val="0"/>
          <w:numId w:val="3"/>
        </w:numPr>
        <w:rPr>
          <w:vanish/>
        </w:rPr>
      </w:pPr>
    </w:p>
    <w:p w14:paraId="6FBF7404" w14:textId="77777777" w:rsidR="00986EB3" w:rsidRPr="0025357E" w:rsidRDefault="00986EB3" w:rsidP="00B8500E">
      <w:pPr>
        <w:pStyle w:val="ListParagraph"/>
        <w:numPr>
          <w:ilvl w:val="0"/>
          <w:numId w:val="3"/>
        </w:numPr>
        <w:rPr>
          <w:vanish/>
        </w:rPr>
      </w:pPr>
    </w:p>
    <w:p w14:paraId="1ED2A78E" w14:textId="77777777" w:rsidR="00986EB3" w:rsidRPr="0025357E" w:rsidRDefault="00986EB3" w:rsidP="00B8500E">
      <w:pPr>
        <w:pStyle w:val="ListParagraph"/>
        <w:numPr>
          <w:ilvl w:val="0"/>
          <w:numId w:val="3"/>
        </w:numPr>
        <w:rPr>
          <w:vanish/>
        </w:rPr>
      </w:pPr>
    </w:p>
    <w:p w14:paraId="1272ADDB" w14:textId="77777777" w:rsidR="00986EB3" w:rsidRPr="0025357E" w:rsidRDefault="00986EB3" w:rsidP="00B8500E">
      <w:pPr>
        <w:pStyle w:val="ListParagraph"/>
        <w:numPr>
          <w:ilvl w:val="0"/>
          <w:numId w:val="3"/>
        </w:numPr>
        <w:rPr>
          <w:vanish/>
        </w:rPr>
      </w:pPr>
    </w:p>
    <w:p w14:paraId="54847809" w14:textId="77777777" w:rsidR="00986EB3" w:rsidRPr="0025357E" w:rsidRDefault="00986EB3" w:rsidP="00B8500E">
      <w:pPr>
        <w:pStyle w:val="ListParagraph"/>
        <w:numPr>
          <w:ilvl w:val="0"/>
          <w:numId w:val="3"/>
        </w:numPr>
        <w:rPr>
          <w:vanish/>
        </w:rPr>
      </w:pPr>
    </w:p>
    <w:p w14:paraId="78FDC410" w14:textId="77777777" w:rsidR="00986EB3" w:rsidRPr="0025357E" w:rsidRDefault="00986EB3" w:rsidP="00B8500E">
      <w:pPr>
        <w:pStyle w:val="ListParagraph"/>
        <w:numPr>
          <w:ilvl w:val="0"/>
          <w:numId w:val="3"/>
        </w:numPr>
        <w:rPr>
          <w:vanish/>
        </w:rPr>
      </w:pPr>
    </w:p>
    <w:p w14:paraId="5B6FBC68" w14:textId="77777777" w:rsidR="003E5133" w:rsidRDefault="003E5133" w:rsidP="00134308">
      <w:pPr>
        <w:pStyle w:val="ListParagraph"/>
        <w:ind w:left="360"/>
      </w:pPr>
    </w:p>
    <w:p w14:paraId="25A5CCE1" w14:textId="68428A12" w:rsidR="00134308" w:rsidRDefault="00134308" w:rsidP="00134308">
      <w:pPr>
        <w:pStyle w:val="Heading2"/>
        <w:ind w:left="709" w:hanging="709"/>
      </w:pPr>
      <w:bookmarkStart w:id="14" w:name="_Toc163637905"/>
      <w:r>
        <w:t>The NI Troubles (Legacy and Reconciliation) Act 2023</w:t>
      </w:r>
      <w:bookmarkEnd w:id="14"/>
    </w:p>
    <w:p w14:paraId="259FDEE6" w14:textId="2375A2B2" w:rsidR="008B6249" w:rsidRDefault="002710FE" w:rsidP="008B6249">
      <w:pPr>
        <w:pStyle w:val="ListParagraph"/>
        <w:numPr>
          <w:ilvl w:val="1"/>
          <w:numId w:val="16"/>
        </w:numPr>
        <w:ind w:left="709" w:hanging="709"/>
      </w:pPr>
      <w:r>
        <w:t>The draft strategy</w:t>
      </w:r>
      <w:r w:rsidR="00EB2836">
        <w:t xml:space="preserve"> includes a</w:t>
      </w:r>
      <w:r w:rsidR="0017653A">
        <w:t>n</w:t>
      </w:r>
      <w:r w:rsidR="00EB2836">
        <w:t xml:space="preserve"> acknowledgement</w:t>
      </w:r>
      <w:r>
        <w:t xml:space="preserve"> that the </w:t>
      </w:r>
      <w:r w:rsidR="00157F7D">
        <w:t xml:space="preserve">NI Troubles (Legacy and Reconciliation) Act 2023 </w:t>
      </w:r>
      <w:r>
        <w:t>is “having a negative impact on victims and survivors”.</w:t>
      </w:r>
      <w:r>
        <w:rPr>
          <w:rStyle w:val="FootnoteReference"/>
        </w:rPr>
        <w:footnoteReference w:id="78"/>
      </w:r>
      <w:r>
        <w:t xml:space="preserve"> </w:t>
      </w:r>
      <w:r w:rsidR="0017653A">
        <w:t xml:space="preserve">The NIHRC agrees. </w:t>
      </w:r>
      <w:r>
        <w:t>In addition, the human rights impact assessment advises that “through this strategy we aim to mitigate as much as possible through advocacy support services”.</w:t>
      </w:r>
      <w:r>
        <w:rPr>
          <w:rStyle w:val="FootnoteReference"/>
        </w:rPr>
        <w:footnoteReference w:id="79"/>
      </w:r>
      <w:r>
        <w:t xml:space="preserve"> However, it is disappointing that neither document provides further detail or analysis </w:t>
      </w:r>
      <w:r w:rsidR="0017653A">
        <w:t xml:space="preserve">of </w:t>
      </w:r>
      <w:r>
        <w:t xml:space="preserve">the specific </w:t>
      </w:r>
      <w:r w:rsidRPr="00BC214E">
        <w:t xml:space="preserve">safeguards </w:t>
      </w:r>
      <w:r>
        <w:t xml:space="preserve">or </w:t>
      </w:r>
      <w:r w:rsidRPr="00BC214E">
        <w:t>mitigation measures</w:t>
      </w:r>
      <w:r>
        <w:t xml:space="preserve"> that aim to address the </w:t>
      </w:r>
      <w:r w:rsidR="00A65BAB">
        <w:t xml:space="preserve">issues </w:t>
      </w:r>
      <w:r>
        <w:t xml:space="preserve">identified. </w:t>
      </w:r>
    </w:p>
    <w:p w14:paraId="063A24B9" w14:textId="77777777" w:rsidR="00F54B99" w:rsidRDefault="00F54B99" w:rsidP="00F54B99">
      <w:pPr>
        <w:pStyle w:val="ListParagraph"/>
        <w:ind w:left="709"/>
      </w:pPr>
    </w:p>
    <w:p w14:paraId="6E688579" w14:textId="244598F4" w:rsidR="008B6249" w:rsidRDefault="00134308" w:rsidP="008B6249">
      <w:pPr>
        <w:pStyle w:val="ListParagraph"/>
        <w:numPr>
          <w:ilvl w:val="1"/>
          <w:numId w:val="16"/>
        </w:numPr>
        <w:ind w:left="709" w:hanging="709"/>
      </w:pPr>
      <w:r>
        <w:lastRenderedPageBreak/>
        <w:t xml:space="preserve">The </w:t>
      </w:r>
      <w:r w:rsidR="00A65BAB">
        <w:t xml:space="preserve">2023 </w:t>
      </w:r>
      <w:r>
        <w:t xml:space="preserve">Act changes </w:t>
      </w:r>
      <w:r w:rsidR="0017653A">
        <w:t xml:space="preserve">significantly </w:t>
      </w:r>
      <w:r>
        <w:t xml:space="preserve">how </w:t>
      </w:r>
      <w:r w:rsidR="00A803A1">
        <w:t>Troubles-related offences</w:t>
      </w:r>
      <w:r>
        <w:t xml:space="preserve"> will be </w:t>
      </w:r>
      <w:r w:rsidR="0017653A">
        <w:t>treated</w:t>
      </w:r>
      <w:r>
        <w:t xml:space="preserve">. </w:t>
      </w:r>
      <w:r w:rsidR="0017653A">
        <w:t xml:space="preserve">This covers all aspects of the criminal, civil and coronial justice systems. For example, </w:t>
      </w:r>
      <w:r w:rsidR="0017653A">
        <w:rPr>
          <w:color w:val="000000"/>
        </w:rPr>
        <w:t>i</w:t>
      </w:r>
      <w:r w:rsidR="00F94C0F" w:rsidRPr="008B6249">
        <w:rPr>
          <w:color w:val="000000"/>
        </w:rPr>
        <w:t xml:space="preserve">t provides for the cessation of </w:t>
      </w:r>
      <w:r w:rsidR="0017653A">
        <w:rPr>
          <w:color w:val="000000"/>
        </w:rPr>
        <w:t xml:space="preserve">traditional </w:t>
      </w:r>
      <w:r w:rsidR="00F94C0F" w:rsidRPr="008B6249">
        <w:rPr>
          <w:color w:val="000000"/>
        </w:rPr>
        <w:t>criminal investigations</w:t>
      </w:r>
      <w:r w:rsidR="001566E8">
        <w:rPr>
          <w:color w:val="000000"/>
        </w:rPr>
        <w:t>,</w:t>
      </w:r>
      <w:r w:rsidR="00F94C0F" w:rsidRPr="008B6249">
        <w:rPr>
          <w:color w:val="000000"/>
        </w:rPr>
        <w:t xml:space="preserve"> civil proceedings and inquests</w:t>
      </w:r>
      <w:r w:rsidR="00262763">
        <w:rPr>
          <w:color w:val="000000"/>
        </w:rPr>
        <w:t>/</w:t>
      </w:r>
      <w:r w:rsidR="00F94C0F" w:rsidRPr="008B6249">
        <w:rPr>
          <w:color w:val="000000"/>
        </w:rPr>
        <w:t>inquiries linked to Troubles-related offences.</w:t>
      </w:r>
      <w:r w:rsidR="00EB4C08">
        <w:rPr>
          <w:rStyle w:val="FootnoteReference"/>
          <w:color w:val="000000"/>
        </w:rPr>
        <w:footnoteReference w:id="80"/>
      </w:r>
      <w:r w:rsidR="005C269C">
        <w:t xml:space="preserve"> </w:t>
      </w:r>
      <w:r w:rsidR="003A7A5A">
        <w:t>T</w:t>
      </w:r>
      <w:r w:rsidR="007D36A3">
        <w:t>he</w:t>
      </w:r>
      <w:r w:rsidR="001E4708">
        <w:t xml:space="preserve"> </w:t>
      </w:r>
      <w:r w:rsidR="007D36A3">
        <w:t xml:space="preserve">High Court </w:t>
      </w:r>
      <w:r w:rsidR="00AC717C">
        <w:t xml:space="preserve">of Justice in NI </w:t>
      </w:r>
      <w:r w:rsidR="00CC5AB1">
        <w:t xml:space="preserve">has </w:t>
      </w:r>
      <w:r w:rsidR="00262763">
        <w:t xml:space="preserve">held </w:t>
      </w:r>
      <w:r w:rsidR="00994F89">
        <w:t>that the</w:t>
      </w:r>
      <w:r w:rsidR="00CC5AB1">
        <w:t xml:space="preserve"> </w:t>
      </w:r>
      <w:r w:rsidR="00994F89">
        <w:t>c</w:t>
      </w:r>
      <w:r w:rsidR="003A7A5A">
        <w:t>onditional immunity scheme</w:t>
      </w:r>
      <w:r w:rsidR="00CC5AB1">
        <w:t xml:space="preserve"> </w:t>
      </w:r>
      <w:r w:rsidR="00994F89">
        <w:t xml:space="preserve">breaches Articles </w:t>
      </w:r>
      <w:r w:rsidR="00EA02DD">
        <w:t xml:space="preserve">2 and </w:t>
      </w:r>
      <w:r w:rsidR="00994F89">
        <w:t>3 of the ECHR</w:t>
      </w:r>
      <w:r w:rsidR="00BD10C1">
        <w:t>, noting that “</w:t>
      </w:r>
      <w:r w:rsidR="00A6592C">
        <w:t>victims have no role or say in these decisions”</w:t>
      </w:r>
      <w:r w:rsidR="00CC5AB1">
        <w:t>.</w:t>
      </w:r>
      <w:r w:rsidR="00A6592C">
        <w:rPr>
          <w:rStyle w:val="FootnoteReference"/>
        </w:rPr>
        <w:footnoteReference w:id="81"/>
      </w:r>
      <w:r w:rsidR="00CC5AB1">
        <w:t xml:space="preserve"> </w:t>
      </w:r>
      <w:r w:rsidR="00A20AA0">
        <w:t xml:space="preserve">The </w:t>
      </w:r>
      <w:r w:rsidR="00CE536F">
        <w:t xml:space="preserve">High </w:t>
      </w:r>
      <w:r w:rsidR="00AB41F4">
        <w:t xml:space="preserve">Court </w:t>
      </w:r>
      <w:r w:rsidR="00A20AA0">
        <w:t>also found that the removal of the of the possibility of prosecution was incompatible with the EU Victims Directive and therefore breaches Windsor Framework Article 2.</w:t>
      </w:r>
      <w:r w:rsidR="00A20AA0">
        <w:rPr>
          <w:rStyle w:val="FootnoteReference"/>
        </w:rPr>
        <w:footnoteReference w:id="82"/>
      </w:r>
      <w:r w:rsidR="00A20AA0">
        <w:t xml:space="preserve"> </w:t>
      </w:r>
      <w:r w:rsidR="00262763">
        <w:t xml:space="preserve">The NIHRC has previously provided comprehensive advice on the </w:t>
      </w:r>
      <w:r w:rsidR="008E7037">
        <w:t xml:space="preserve">2023 </w:t>
      </w:r>
      <w:r w:rsidR="00262763">
        <w:t>Act.</w:t>
      </w:r>
      <w:r w:rsidR="008E7037">
        <w:rPr>
          <w:rStyle w:val="FootnoteReference"/>
        </w:rPr>
        <w:footnoteReference w:id="83"/>
      </w:r>
      <w:r w:rsidR="00262763">
        <w:t xml:space="preserve"> It remains of the view as set out in that advice. </w:t>
      </w:r>
    </w:p>
    <w:p w14:paraId="15E82C96" w14:textId="3E726FD3" w:rsidR="00134308" w:rsidRDefault="00134308" w:rsidP="00134308">
      <w:bookmarkStart w:id="16" w:name="_Hlk163637000"/>
    </w:p>
    <w:p w14:paraId="21CB350F" w14:textId="01841198" w:rsidR="00944256" w:rsidRDefault="00134308" w:rsidP="00944256">
      <w:pPr>
        <w:pStyle w:val="ListParagraph"/>
        <w:numPr>
          <w:ilvl w:val="1"/>
          <w:numId w:val="16"/>
        </w:numPr>
        <w:ind w:left="709" w:hanging="709"/>
        <w:rPr>
          <w:b/>
          <w:bCs/>
        </w:rPr>
      </w:pPr>
      <w:r w:rsidRPr="004D2C9A">
        <w:rPr>
          <w:b/>
          <w:bCs/>
        </w:rPr>
        <w:t xml:space="preserve">The NIHRC recommends that </w:t>
      </w:r>
      <w:r>
        <w:rPr>
          <w:b/>
          <w:bCs/>
        </w:rPr>
        <w:t xml:space="preserve">the Executive Office </w:t>
      </w:r>
      <w:r w:rsidRPr="004600A2">
        <w:rPr>
          <w:b/>
          <w:bCs/>
        </w:rPr>
        <w:t>ensure</w:t>
      </w:r>
      <w:r>
        <w:rPr>
          <w:b/>
          <w:bCs/>
        </w:rPr>
        <w:t xml:space="preserve">s </w:t>
      </w:r>
      <w:r w:rsidRPr="004600A2">
        <w:rPr>
          <w:b/>
          <w:bCs/>
        </w:rPr>
        <w:t xml:space="preserve">that the fundamental concerns with the NI Troubles (Legacy and Reconciliation) Act 2023 are addressed to the greatest extent possible within </w:t>
      </w:r>
      <w:r>
        <w:rPr>
          <w:b/>
          <w:bCs/>
        </w:rPr>
        <w:t>the strategy</w:t>
      </w:r>
      <w:r w:rsidRPr="004600A2">
        <w:rPr>
          <w:b/>
          <w:bCs/>
        </w:rPr>
        <w:t>, including adopting</w:t>
      </w:r>
      <w:r>
        <w:rPr>
          <w:b/>
          <w:bCs/>
        </w:rPr>
        <w:t xml:space="preserve"> human rights based and</w:t>
      </w:r>
      <w:r w:rsidRPr="004600A2">
        <w:rPr>
          <w:b/>
          <w:bCs/>
        </w:rPr>
        <w:t xml:space="preserve"> victim-centred </w:t>
      </w:r>
      <w:r w:rsidRPr="00EC616A">
        <w:rPr>
          <w:b/>
          <w:bCs/>
        </w:rPr>
        <w:t>mitigation</w:t>
      </w:r>
      <w:r>
        <w:rPr>
          <w:b/>
          <w:bCs/>
        </w:rPr>
        <w:t xml:space="preserve"> strategies that protect </w:t>
      </w:r>
      <w:r w:rsidRPr="00156B6C">
        <w:rPr>
          <w:b/>
          <w:bCs/>
        </w:rPr>
        <w:t>victims</w:t>
      </w:r>
      <w:r w:rsidR="00262763">
        <w:rPr>
          <w:b/>
          <w:bCs/>
        </w:rPr>
        <w:t>’</w:t>
      </w:r>
      <w:r w:rsidRPr="00156B6C">
        <w:rPr>
          <w:b/>
          <w:bCs/>
        </w:rPr>
        <w:t xml:space="preserve"> and survivors’ access </w:t>
      </w:r>
      <w:r>
        <w:rPr>
          <w:b/>
          <w:bCs/>
        </w:rPr>
        <w:t xml:space="preserve">to </w:t>
      </w:r>
      <w:r w:rsidRPr="00156B6C">
        <w:rPr>
          <w:b/>
          <w:bCs/>
        </w:rPr>
        <w:t xml:space="preserve">justice, </w:t>
      </w:r>
      <w:proofErr w:type="gramStart"/>
      <w:r w:rsidRPr="00156B6C">
        <w:rPr>
          <w:b/>
          <w:bCs/>
        </w:rPr>
        <w:t>redress</w:t>
      </w:r>
      <w:proofErr w:type="gramEnd"/>
      <w:r w:rsidRPr="00156B6C">
        <w:rPr>
          <w:b/>
          <w:bCs/>
        </w:rPr>
        <w:t xml:space="preserve"> and rehabilitation.</w:t>
      </w:r>
      <w:r>
        <w:rPr>
          <w:b/>
          <w:bCs/>
        </w:rPr>
        <w:t xml:space="preserve"> V</w:t>
      </w:r>
      <w:r w:rsidRPr="000736A5">
        <w:rPr>
          <w:b/>
          <w:bCs/>
        </w:rPr>
        <w:t>ictims and survivors</w:t>
      </w:r>
      <w:r>
        <w:rPr>
          <w:b/>
          <w:bCs/>
        </w:rPr>
        <w:t xml:space="preserve"> and their representative organisations should be meaningfully involved in designing, </w:t>
      </w:r>
      <w:proofErr w:type="gramStart"/>
      <w:r>
        <w:rPr>
          <w:b/>
          <w:bCs/>
        </w:rPr>
        <w:t>implementing</w:t>
      </w:r>
      <w:proofErr w:type="gramEnd"/>
      <w:r>
        <w:rPr>
          <w:b/>
          <w:bCs/>
        </w:rPr>
        <w:t xml:space="preserve"> and evaluating the mitigation measures taken.</w:t>
      </w:r>
    </w:p>
    <w:bookmarkEnd w:id="16"/>
    <w:p w14:paraId="0BBF4A2F" w14:textId="77777777" w:rsidR="00944256" w:rsidRDefault="00944256" w:rsidP="00944256"/>
    <w:p w14:paraId="600D98B2" w14:textId="2B04B650" w:rsidR="00944256" w:rsidRDefault="00944256" w:rsidP="00944256">
      <w:pPr>
        <w:pStyle w:val="Heading2"/>
      </w:pPr>
      <w:bookmarkStart w:id="17" w:name="_Toc163637906"/>
      <w:r w:rsidRPr="00BD45CC">
        <w:t>Barriers</w:t>
      </w:r>
      <w:r>
        <w:t xml:space="preserve"> to</w:t>
      </w:r>
      <w:r w:rsidRPr="00BD45CC">
        <w:t xml:space="preserve"> justice and support</w:t>
      </w:r>
      <w:bookmarkEnd w:id="17"/>
    </w:p>
    <w:p w14:paraId="317B391B" w14:textId="40975C44" w:rsidR="00944256" w:rsidRPr="00944256" w:rsidRDefault="00AB1496" w:rsidP="00944256">
      <w:pPr>
        <w:pStyle w:val="ListParagraph"/>
        <w:numPr>
          <w:ilvl w:val="1"/>
          <w:numId w:val="16"/>
        </w:numPr>
        <w:ind w:left="709" w:hanging="709"/>
        <w:rPr>
          <w:b/>
          <w:bCs/>
        </w:rPr>
      </w:pPr>
      <w:r>
        <w:t>On several occasions, the draft strategy makes specific reference to providing trauma</w:t>
      </w:r>
      <w:r w:rsidR="00630E9D">
        <w:t xml:space="preserve"> </w:t>
      </w:r>
      <w:r>
        <w:t>informed and victim centred services in NI.</w:t>
      </w:r>
      <w:r>
        <w:rPr>
          <w:rStyle w:val="FootnoteReference"/>
        </w:rPr>
        <w:footnoteReference w:id="84"/>
      </w:r>
      <w:r>
        <w:t xml:space="preserve"> It also identifies “a trauma informed society that addresses the needs of victims and survivors” as a specific vision of the draft strategy.</w:t>
      </w:r>
      <w:r>
        <w:rPr>
          <w:rStyle w:val="FootnoteReference"/>
        </w:rPr>
        <w:footnoteReference w:id="85"/>
      </w:r>
      <w:r>
        <w:t xml:space="preserve"> Furthermore, “victim centred” and “trauma informed” have been identified as guiding principles and values within the draft strategy.</w:t>
      </w:r>
      <w:r>
        <w:rPr>
          <w:rStyle w:val="FootnoteReference"/>
        </w:rPr>
        <w:footnoteReference w:id="86"/>
      </w:r>
      <w:r>
        <w:t xml:space="preserve"> Underlining the </w:t>
      </w:r>
      <w:r>
        <w:lastRenderedPageBreak/>
        <w:t>importance of providing trauma</w:t>
      </w:r>
      <w:r w:rsidR="00630E9D">
        <w:t xml:space="preserve"> </w:t>
      </w:r>
      <w:r>
        <w:t>informed and victim centred services in NI is welcomed.</w:t>
      </w:r>
      <w:r w:rsidR="009120A0" w:rsidDel="00B6264B">
        <w:t xml:space="preserve"> </w:t>
      </w:r>
      <w:r w:rsidR="00B6264B">
        <w:t xml:space="preserve">Several </w:t>
      </w:r>
      <w:r w:rsidR="009120A0">
        <w:t>i</w:t>
      </w:r>
      <w:r w:rsidR="000667EC">
        <w:t xml:space="preserve">nternational human rights mechanisms </w:t>
      </w:r>
      <w:r w:rsidR="00630E9D">
        <w:t xml:space="preserve">recognise that </w:t>
      </w:r>
      <w:r w:rsidR="000667EC">
        <w:t xml:space="preserve">the </w:t>
      </w:r>
      <w:r w:rsidR="00DE347F" w:rsidRPr="0086166B">
        <w:t xml:space="preserve">needs </w:t>
      </w:r>
      <w:r w:rsidR="00630E9D">
        <w:t xml:space="preserve">and aspirations </w:t>
      </w:r>
      <w:r w:rsidR="00DE347F" w:rsidRPr="0086166B">
        <w:t>of victims, survivors and their families can differ</w:t>
      </w:r>
      <w:r w:rsidR="00252C39">
        <w:t>,</w:t>
      </w:r>
      <w:r w:rsidR="00DE347F" w:rsidRPr="0086166B">
        <w:t xml:space="preserve"> </w:t>
      </w:r>
      <w:r w:rsidR="00630E9D">
        <w:t>but that is no reason to exclude their varied involvement.</w:t>
      </w:r>
      <w:r w:rsidR="009120A0">
        <w:rPr>
          <w:rStyle w:val="FootnoteReference"/>
        </w:rPr>
        <w:footnoteReference w:id="87"/>
      </w:r>
    </w:p>
    <w:p w14:paraId="5F4A8883" w14:textId="77777777" w:rsidR="00944256" w:rsidRDefault="00944256" w:rsidP="00944256">
      <w:pPr>
        <w:pStyle w:val="ListParagraph"/>
      </w:pPr>
    </w:p>
    <w:p w14:paraId="6906865F" w14:textId="50B4BC27" w:rsidR="00E24F71" w:rsidRPr="00F6590F" w:rsidRDefault="001423A9" w:rsidP="00F6590F">
      <w:pPr>
        <w:pStyle w:val="ListParagraph"/>
        <w:numPr>
          <w:ilvl w:val="1"/>
          <w:numId w:val="16"/>
        </w:numPr>
        <w:ind w:left="709" w:hanging="709"/>
        <w:rPr>
          <w:b/>
          <w:bCs/>
        </w:rPr>
      </w:pPr>
      <w:r>
        <w:t xml:space="preserve">In 2023, the </w:t>
      </w:r>
      <w:proofErr w:type="spellStart"/>
      <w:r>
        <w:t>CoE</w:t>
      </w:r>
      <w:proofErr w:type="spellEnd"/>
      <w:r>
        <w:t xml:space="preserve"> Committee of Ministers issued a </w:t>
      </w:r>
      <w:r w:rsidR="009120A0">
        <w:t>r</w:t>
      </w:r>
      <w:r>
        <w:t>ecommendation reaffirming</w:t>
      </w:r>
      <w:r w:rsidRPr="00A63D57">
        <w:t xml:space="preserve"> that </w:t>
      </w:r>
      <w:r w:rsidRPr="00944256">
        <w:rPr>
          <w:rFonts w:cs="Arial"/>
        </w:rPr>
        <w:t xml:space="preserve">justice and support processes </w:t>
      </w:r>
      <w:r w:rsidR="002519BF" w:rsidRPr="00944256">
        <w:rPr>
          <w:rFonts w:cs="Arial"/>
        </w:rPr>
        <w:t>should be</w:t>
      </w:r>
      <w:r w:rsidRPr="00944256">
        <w:rPr>
          <w:rFonts w:cs="Arial"/>
        </w:rPr>
        <w:t xml:space="preserve"> </w:t>
      </w:r>
      <w:r w:rsidR="002519BF" w:rsidRPr="00944256">
        <w:rPr>
          <w:rFonts w:cs="Arial"/>
        </w:rPr>
        <w:t>“</w:t>
      </w:r>
      <w:r w:rsidRPr="00944256">
        <w:rPr>
          <w:rFonts w:cs="Arial"/>
        </w:rPr>
        <w:t>designed and delivered in a manner that is sensitive to victims’ needs, autonomy and agency”</w:t>
      </w:r>
      <w:r w:rsidRPr="00A63D57">
        <w:t>.</w:t>
      </w:r>
      <w:r>
        <w:rPr>
          <w:rStyle w:val="FootnoteReference"/>
        </w:rPr>
        <w:footnoteReference w:id="88"/>
      </w:r>
      <w:r w:rsidRPr="00944256">
        <w:rPr>
          <w:rFonts w:cs="Arial"/>
        </w:rPr>
        <w:t xml:space="preserve"> </w:t>
      </w:r>
      <w:r w:rsidR="00C033AE" w:rsidRPr="00944256">
        <w:rPr>
          <w:rFonts w:cs="Arial"/>
        </w:rPr>
        <w:t xml:space="preserve">Article 3 </w:t>
      </w:r>
      <w:r w:rsidR="00397C12">
        <w:rPr>
          <w:rFonts w:cs="Arial"/>
        </w:rPr>
        <w:t xml:space="preserve">of the </w:t>
      </w:r>
      <w:r w:rsidR="0090565A">
        <w:rPr>
          <w:rFonts w:cs="Arial"/>
        </w:rPr>
        <w:t>Committee of Ministers’ Recommendation</w:t>
      </w:r>
      <w:r w:rsidR="00397C12">
        <w:rPr>
          <w:rFonts w:cs="Arial"/>
        </w:rPr>
        <w:t xml:space="preserve"> </w:t>
      </w:r>
      <w:r w:rsidR="006835B3" w:rsidRPr="00944256">
        <w:rPr>
          <w:rFonts w:cs="Arial"/>
        </w:rPr>
        <w:t xml:space="preserve">requires </w:t>
      </w:r>
      <w:r w:rsidR="00397C12">
        <w:rPr>
          <w:rFonts w:cs="Arial"/>
        </w:rPr>
        <w:t>S</w:t>
      </w:r>
      <w:r w:rsidR="006835B3" w:rsidRPr="00944256">
        <w:rPr>
          <w:rFonts w:cs="Arial"/>
        </w:rPr>
        <w:t>tates to “</w:t>
      </w:r>
      <w:r w:rsidR="00147ADD" w:rsidRPr="00944256">
        <w:rPr>
          <w:rFonts w:cs="Arial"/>
        </w:rPr>
        <w:t xml:space="preserve">investigate barriers, if present, that prevent victims from contacting </w:t>
      </w:r>
      <w:r w:rsidR="005B18D3" w:rsidRPr="00944256">
        <w:rPr>
          <w:rFonts w:cs="Arial"/>
        </w:rPr>
        <w:t xml:space="preserve">[competent] </w:t>
      </w:r>
      <w:r w:rsidR="00147ADD" w:rsidRPr="00944256">
        <w:rPr>
          <w:rFonts w:cs="Arial"/>
        </w:rPr>
        <w:t>authorities or support services</w:t>
      </w:r>
      <w:r w:rsidR="005B18D3" w:rsidRPr="00944256">
        <w:rPr>
          <w:rFonts w:cs="Arial"/>
        </w:rPr>
        <w:t>…</w:t>
      </w:r>
      <w:r w:rsidR="00147ADD" w:rsidRPr="00944256">
        <w:rPr>
          <w:rFonts w:cs="Arial"/>
        </w:rPr>
        <w:t>and reduce any such barriers to the largest extent possible</w:t>
      </w:r>
      <w:r w:rsidR="005B18D3" w:rsidRPr="00944256">
        <w:rPr>
          <w:rFonts w:cs="Arial"/>
        </w:rPr>
        <w:t>”</w:t>
      </w:r>
      <w:r w:rsidR="00147ADD" w:rsidRPr="00944256">
        <w:rPr>
          <w:rFonts w:cs="Arial"/>
        </w:rPr>
        <w:t>.</w:t>
      </w:r>
      <w:r w:rsidR="0090565A">
        <w:rPr>
          <w:rStyle w:val="FootnoteReference"/>
          <w:rFonts w:cs="Arial"/>
        </w:rPr>
        <w:footnoteReference w:id="89"/>
      </w:r>
      <w:r w:rsidR="00CE619A" w:rsidRPr="00944256">
        <w:rPr>
          <w:rFonts w:cs="Arial"/>
        </w:rPr>
        <w:t xml:space="preserve"> </w:t>
      </w:r>
      <w:r w:rsidR="0090565A">
        <w:rPr>
          <w:rFonts w:cs="Arial"/>
        </w:rPr>
        <w:t>The Committee of Ministers</w:t>
      </w:r>
      <w:r w:rsidR="00630E9D">
        <w:rPr>
          <w:rFonts w:cs="Arial"/>
        </w:rPr>
        <w:t>’</w:t>
      </w:r>
      <w:r w:rsidR="0090565A">
        <w:rPr>
          <w:rFonts w:cs="Arial"/>
        </w:rPr>
        <w:t xml:space="preserve"> </w:t>
      </w:r>
      <w:r w:rsidR="00CA5213">
        <w:rPr>
          <w:rFonts w:cs="Arial"/>
        </w:rPr>
        <w:t>Recommendation</w:t>
      </w:r>
      <w:r w:rsidR="0090565A">
        <w:rPr>
          <w:rFonts w:cs="Arial"/>
        </w:rPr>
        <w:t xml:space="preserve"> also </w:t>
      </w:r>
      <w:r w:rsidR="00630E9D">
        <w:rPr>
          <w:rFonts w:cs="Arial"/>
        </w:rPr>
        <w:t xml:space="preserve">notes </w:t>
      </w:r>
      <w:r w:rsidR="00B57DC6" w:rsidRPr="00944256">
        <w:rPr>
          <w:rFonts w:cs="Arial"/>
        </w:rPr>
        <w:t>that particular</w:t>
      </w:r>
      <w:r w:rsidR="00320960" w:rsidRPr="00944256">
        <w:rPr>
          <w:rFonts w:cs="Arial"/>
        </w:rPr>
        <w:t xml:space="preserve"> attention should be given to: </w:t>
      </w:r>
    </w:p>
    <w:p w14:paraId="0BDBAF7A" w14:textId="77777777" w:rsidR="00922145" w:rsidRDefault="00922145" w:rsidP="00922145">
      <w:pPr>
        <w:pStyle w:val="ListParagraph"/>
        <w:ind w:left="0"/>
      </w:pPr>
    </w:p>
    <w:p w14:paraId="320889D2" w14:textId="07D80176" w:rsidR="009430F4" w:rsidRDefault="00922145" w:rsidP="009430F4">
      <w:pPr>
        <w:pStyle w:val="Quote"/>
        <w:numPr>
          <w:ilvl w:val="0"/>
          <w:numId w:val="17"/>
        </w:numPr>
      </w:pPr>
      <w:r>
        <w:t>the right to notify authorities and make a formal complaint (Article 7</w:t>
      </w:r>
      <w:proofErr w:type="gramStart"/>
      <w:r>
        <w:t>);</w:t>
      </w:r>
      <w:proofErr w:type="gramEnd"/>
    </w:p>
    <w:p w14:paraId="61B533C0" w14:textId="77777777" w:rsidR="009430F4" w:rsidRPr="009430F4" w:rsidRDefault="009430F4" w:rsidP="009430F4"/>
    <w:p w14:paraId="242568F4" w14:textId="77777777" w:rsidR="009430F4" w:rsidRDefault="00922145" w:rsidP="009430F4">
      <w:pPr>
        <w:pStyle w:val="Quote"/>
        <w:numPr>
          <w:ilvl w:val="0"/>
          <w:numId w:val="17"/>
        </w:numPr>
      </w:pPr>
      <w:r>
        <w:t>the right to information (Article 6) and information about the case (Article 8</w:t>
      </w:r>
      <w:proofErr w:type="gramStart"/>
      <w:r>
        <w:t>);</w:t>
      </w:r>
      <w:proofErr w:type="gramEnd"/>
    </w:p>
    <w:p w14:paraId="1289D939" w14:textId="77777777" w:rsidR="009430F4" w:rsidRPr="009430F4" w:rsidRDefault="009430F4" w:rsidP="009430F4"/>
    <w:p w14:paraId="53C54B19" w14:textId="77777777" w:rsidR="009430F4" w:rsidRDefault="00922145" w:rsidP="009430F4">
      <w:pPr>
        <w:pStyle w:val="Quote"/>
        <w:numPr>
          <w:ilvl w:val="0"/>
          <w:numId w:val="17"/>
        </w:numPr>
      </w:pPr>
      <w:r>
        <w:t>the right to be heard (Article 10</w:t>
      </w:r>
      <w:proofErr w:type="gramStart"/>
      <w:r>
        <w:t>);</w:t>
      </w:r>
      <w:proofErr w:type="gramEnd"/>
    </w:p>
    <w:p w14:paraId="51FDCC7A" w14:textId="77777777" w:rsidR="009430F4" w:rsidRPr="009430F4" w:rsidRDefault="009430F4" w:rsidP="009430F4"/>
    <w:p w14:paraId="3D15CDC4" w14:textId="77777777" w:rsidR="009430F4" w:rsidRDefault="00922145" w:rsidP="009430F4">
      <w:pPr>
        <w:pStyle w:val="Quote"/>
        <w:numPr>
          <w:ilvl w:val="0"/>
          <w:numId w:val="17"/>
        </w:numPr>
      </w:pPr>
      <w:r>
        <w:t>the right to protection (Article 15</w:t>
      </w:r>
      <w:proofErr w:type="gramStart"/>
      <w:r>
        <w:t>);</w:t>
      </w:r>
      <w:proofErr w:type="gramEnd"/>
    </w:p>
    <w:p w14:paraId="14176EC6" w14:textId="77777777" w:rsidR="009430F4" w:rsidRPr="009430F4" w:rsidRDefault="009430F4" w:rsidP="009430F4"/>
    <w:p w14:paraId="23443CC2" w14:textId="20F04863" w:rsidR="00922145" w:rsidRPr="00F953A1" w:rsidRDefault="00922145" w:rsidP="009430F4">
      <w:pPr>
        <w:pStyle w:val="Quote"/>
        <w:numPr>
          <w:ilvl w:val="0"/>
          <w:numId w:val="17"/>
        </w:numPr>
      </w:pPr>
      <w:r>
        <w:t>the rights of cross-border victims (Article 20).</w:t>
      </w:r>
      <w:r w:rsidR="00320960">
        <w:rPr>
          <w:rStyle w:val="FootnoteReference"/>
        </w:rPr>
        <w:footnoteReference w:id="90"/>
      </w:r>
    </w:p>
    <w:p w14:paraId="058622E1" w14:textId="77777777" w:rsidR="007151C2" w:rsidRDefault="007151C2" w:rsidP="007151C2"/>
    <w:p w14:paraId="53638E4A" w14:textId="38E411CB" w:rsidR="009F5EA8" w:rsidRDefault="00473F0F" w:rsidP="00944256">
      <w:pPr>
        <w:pStyle w:val="ListParagraph"/>
        <w:numPr>
          <w:ilvl w:val="1"/>
          <w:numId w:val="16"/>
        </w:numPr>
        <w:suppressAutoHyphens/>
        <w:ind w:left="709" w:hanging="709"/>
      </w:pPr>
      <w:r>
        <w:t>F</w:t>
      </w:r>
      <w:r w:rsidR="00E9039E">
        <w:t>ailure</w:t>
      </w:r>
      <w:r w:rsidR="002D0F1F">
        <w:t xml:space="preserve"> to provide the appropriate protection for victims </w:t>
      </w:r>
      <w:r w:rsidR="00630E9D">
        <w:t xml:space="preserve">may well </w:t>
      </w:r>
      <w:r w:rsidR="002D0F1F">
        <w:t>be construed as an obstacle to the right to redress.</w:t>
      </w:r>
      <w:r w:rsidR="002D0F1F">
        <w:rPr>
          <w:rStyle w:val="FootnoteReference"/>
        </w:rPr>
        <w:footnoteReference w:id="91"/>
      </w:r>
      <w:r w:rsidR="002D0F1F">
        <w:t xml:space="preserve"> Furthermore, failure to </w:t>
      </w:r>
      <w:r w:rsidR="002D0F1F">
        <w:lastRenderedPageBreak/>
        <w:t>provide the required support for victims may inhibit victims from making</w:t>
      </w:r>
      <w:r w:rsidR="002D0F1F" w:rsidRPr="00BF33E1">
        <w:t xml:space="preserve"> </w:t>
      </w:r>
      <w:r w:rsidR="002D0F1F">
        <w:t>complaints due to the fear of secondary victimisation by the process.</w:t>
      </w:r>
      <w:r w:rsidR="002D0F1F">
        <w:rPr>
          <w:rStyle w:val="FootnoteReference"/>
        </w:rPr>
        <w:footnoteReference w:id="92"/>
      </w:r>
      <w:r w:rsidR="00A15CCB">
        <w:t xml:space="preserve"> </w:t>
      </w:r>
    </w:p>
    <w:p w14:paraId="003090A9" w14:textId="77777777" w:rsidR="00090B8E" w:rsidRDefault="00090B8E" w:rsidP="00090B8E">
      <w:pPr>
        <w:pStyle w:val="ListParagraph"/>
        <w:suppressAutoHyphens/>
        <w:ind w:left="709"/>
      </w:pPr>
    </w:p>
    <w:p w14:paraId="12479ECF" w14:textId="6B94EA83" w:rsidR="00AB142A" w:rsidRDefault="004C4602" w:rsidP="00944256">
      <w:pPr>
        <w:pStyle w:val="ListParagraph"/>
        <w:numPr>
          <w:ilvl w:val="1"/>
          <w:numId w:val="16"/>
        </w:numPr>
        <w:suppressAutoHyphens/>
        <w:ind w:left="709" w:hanging="709"/>
      </w:pPr>
      <w:r>
        <w:t>The UN CAT Committee</w:t>
      </w:r>
      <w:r w:rsidR="00861D71">
        <w:t xml:space="preserve"> advises that </w:t>
      </w:r>
      <w:r w:rsidR="00AB142A">
        <w:t>“a long-term and integrated approach and ensure that specialised services for the victim of torture or ill-treatment are available, appropriate and promptly accessible”.</w:t>
      </w:r>
      <w:r w:rsidR="00AB142A">
        <w:rPr>
          <w:rStyle w:val="FootnoteReference"/>
        </w:rPr>
        <w:footnoteReference w:id="93"/>
      </w:r>
      <w:r>
        <w:t xml:space="preserve"> </w:t>
      </w:r>
      <w:r w:rsidR="00AB142A">
        <w:t>It states further</w:t>
      </w:r>
      <w:r w:rsidR="009430F4">
        <w:t xml:space="preserve"> that:</w:t>
      </w:r>
      <w:r w:rsidR="00AB142A">
        <w:t xml:space="preserve"> </w:t>
      </w:r>
    </w:p>
    <w:p w14:paraId="2B243460" w14:textId="77777777" w:rsidR="00EA7499" w:rsidRDefault="00EA7499" w:rsidP="00AB142A">
      <w:pPr>
        <w:pStyle w:val="ListParagraph"/>
        <w:suppressAutoHyphens/>
        <w:ind w:left="1440"/>
      </w:pPr>
    </w:p>
    <w:p w14:paraId="4AE7D841" w14:textId="2AED223A" w:rsidR="00A45E25" w:rsidRDefault="00EA7499" w:rsidP="009430F4">
      <w:pPr>
        <w:pStyle w:val="Quote"/>
      </w:pPr>
      <w:r>
        <w:t xml:space="preserve">these </w:t>
      </w:r>
      <w:r w:rsidR="00AB142A">
        <w:t xml:space="preserve">may include a wide range of inter-disciplinary measures, such as medical, </w:t>
      </w:r>
      <w:proofErr w:type="gramStart"/>
      <w:r w:rsidR="00AB142A">
        <w:t>physical</w:t>
      </w:r>
      <w:proofErr w:type="gramEnd"/>
      <w:r w:rsidR="00AB142A">
        <w:t xml:space="preserve"> and psychological rehabilitative services; re-integrative and social services; community and family-orientated assistance and services; vocational training, education etc. A holistic approach to rehabilitation which also takes into consideration the strength and resilience of the victim is of utmost importance… A high priority should be placed on the need to create a context of confidence and trust in which assistance can be provided.</w:t>
      </w:r>
      <w:r w:rsidR="00055946">
        <w:rPr>
          <w:rStyle w:val="FootnoteReference"/>
        </w:rPr>
        <w:footnoteReference w:id="94"/>
      </w:r>
    </w:p>
    <w:p w14:paraId="56BED4D9" w14:textId="77777777" w:rsidR="00391F0B" w:rsidRDefault="00391F0B" w:rsidP="00055946">
      <w:pPr>
        <w:suppressAutoHyphens/>
      </w:pPr>
    </w:p>
    <w:p w14:paraId="006B68A3" w14:textId="32D3D61C" w:rsidR="00055946" w:rsidRDefault="00630E9D" w:rsidP="00944256">
      <w:pPr>
        <w:pStyle w:val="ListParagraph"/>
        <w:numPr>
          <w:ilvl w:val="1"/>
          <w:numId w:val="16"/>
        </w:numPr>
        <w:suppressAutoHyphens/>
        <w:ind w:left="709" w:hanging="709"/>
      </w:pPr>
      <w:r>
        <w:t>It goes on to record that t</w:t>
      </w:r>
      <w:r w:rsidR="00F23FEB">
        <w:t xml:space="preserve">hese services should take “into account </w:t>
      </w:r>
      <w:r>
        <w:t xml:space="preserve">a </w:t>
      </w:r>
      <w:r w:rsidR="00F23FEB">
        <w:t>victim</w:t>
      </w:r>
      <w:r w:rsidR="000C0381">
        <w:t>’</w:t>
      </w:r>
      <w:r w:rsidR="00F23FEB">
        <w:t>s culture, personality, history and background” and should be “accessible to all victims without discrimination and regardless of the victim’s identity or status within a marginalised or vulnerable group”.</w:t>
      </w:r>
      <w:r w:rsidR="00F23FEB">
        <w:rPr>
          <w:rStyle w:val="FootnoteReference"/>
        </w:rPr>
        <w:footnoteReference w:id="95"/>
      </w:r>
      <w:r>
        <w:t xml:space="preserve"> The NIHRC agrees.</w:t>
      </w:r>
    </w:p>
    <w:p w14:paraId="332198BC" w14:textId="77777777" w:rsidR="00055946" w:rsidRDefault="00055946" w:rsidP="00055946">
      <w:pPr>
        <w:pStyle w:val="ListParagraph"/>
        <w:suppressAutoHyphens/>
        <w:ind w:left="709"/>
      </w:pPr>
    </w:p>
    <w:p w14:paraId="6C0E0D4F" w14:textId="04872D71" w:rsidR="00D05395" w:rsidRDefault="00D05395" w:rsidP="00944256">
      <w:pPr>
        <w:pStyle w:val="ListParagraph"/>
        <w:numPr>
          <w:ilvl w:val="1"/>
          <w:numId w:val="16"/>
        </w:numPr>
        <w:suppressAutoHyphens/>
        <w:ind w:left="709" w:hanging="709"/>
      </w:pPr>
      <w:r>
        <w:t>The UN CEDAW Committee confirmed that States should:</w:t>
      </w:r>
    </w:p>
    <w:p w14:paraId="170A36AA" w14:textId="77777777" w:rsidR="00D05395" w:rsidRDefault="00D05395" w:rsidP="00D05395">
      <w:pPr>
        <w:pStyle w:val="ListParagraph"/>
      </w:pPr>
    </w:p>
    <w:p w14:paraId="72218A5B" w14:textId="108CAB8E" w:rsidR="00D05395" w:rsidRDefault="00D05395" w:rsidP="009430F4">
      <w:pPr>
        <w:pStyle w:val="Quote"/>
      </w:pPr>
      <w:r>
        <w:t xml:space="preserve">ensure that all legal proceedings, protective and support </w:t>
      </w:r>
      <w:proofErr w:type="gramStart"/>
      <w:r>
        <w:t>measures</w:t>
      </w:r>
      <w:proofErr w:type="gramEnd"/>
      <w:r>
        <w:t xml:space="preserve"> and services concerning victims/survivors respect and strengthen their autonomy. They should be accessible to all women, </w:t>
      </w:r>
      <w:proofErr w:type="gramStart"/>
      <w:r>
        <w:t>in particular</w:t>
      </w:r>
      <w:proofErr w:type="gramEnd"/>
      <w:r>
        <w:t xml:space="preserve"> those affected by intersecting forms of discrimination, take into account any specific needs of their children and other dependants, be available throughout the State party and be </w:t>
      </w:r>
      <w:r>
        <w:lastRenderedPageBreak/>
        <w:t>provided irrespective of residency status or ability or willingness to cooperate in legal proceedings against the alleged perpetrator.</w:t>
      </w:r>
      <w:r>
        <w:rPr>
          <w:rStyle w:val="FootnoteReference"/>
        </w:rPr>
        <w:footnoteReference w:id="96"/>
      </w:r>
    </w:p>
    <w:p w14:paraId="1EB70086" w14:textId="77777777" w:rsidR="00D05395" w:rsidRDefault="00D05395" w:rsidP="00D05395">
      <w:pPr>
        <w:pStyle w:val="ListParagraph"/>
      </w:pPr>
    </w:p>
    <w:p w14:paraId="1442178C" w14:textId="6E780B7C" w:rsidR="00055946" w:rsidRDefault="0098062A" w:rsidP="00944256">
      <w:pPr>
        <w:pStyle w:val="ListParagraph"/>
        <w:numPr>
          <w:ilvl w:val="1"/>
          <w:numId w:val="16"/>
        </w:numPr>
        <w:suppressAutoHyphens/>
        <w:ind w:left="709" w:hanging="709"/>
      </w:pPr>
      <w:r>
        <w:t>Article 5(3)</w:t>
      </w:r>
      <w:r w:rsidR="000C0381">
        <w:t xml:space="preserve"> of </w:t>
      </w:r>
      <w:r w:rsidR="00CF6BF8">
        <w:t>t</w:t>
      </w:r>
      <w:r>
        <w:t xml:space="preserve">he UN CRPD clarifies that “in order to promote equality and eliminate discrimination, States Parties shall take all appropriate steps to ensure that reasonable accommodation is provided”. </w:t>
      </w:r>
      <w:r w:rsidR="00055946">
        <w:t xml:space="preserve">In addition, Article 9(1) </w:t>
      </w:r>
      <w:r w:rsidR="00CF6BF8">
        <w:t xml:space="preserve">of </w:t>
      </w:r>
      <w:r w:rsidR="00055946">
        <w:t>the UN CRPD</w:t>
      </w:r>
      <w:r w:rsidR="00CF6BF8">
        <w:t xml:space="preserve"> </w:t>
      </w:r>
      <w:r w:rsidR="00055946">
        <w:t xml:space="preserve">requires States to: </w:t>
      </w:r>
    </w:p>
    <w:p w14:paraId="468E1207" w14:textId="77777777" w:rsidR="00055946" w:rsidRDefault="00055946" w:rsidP="00055946">
      <w:pPr>
        <w:pStyle w:val="ListParagraph"/>
        <w:suppressAutoHyphens/>
        <w:ind w:left="709"/>
      </w:pPr>
    </w:p>
    <w:p w14:paraId="7B5D48EC" w14:textId="3C9BFB99" w:rsidR="00055946" w:rsidRDefault="00055946" w:rsidP="009430F4">
      <w:pPr>
        <w:pStyle w:val="Quote"/>
      </w:pPr>
      <w:r>
        <w:t xml:space="preserve">take appropriate measures to ensure to persons with disabilities access, on an equal basis to others… to information and communications, including information and communications technologies and systems, and to other facilities and services open or provided to the public, both in urban and rural areas. These measures, which shall include the identification and elimination of obstacles and barriers to accessibility, shall apply to, inter alia… information, </w:t>
      </w:r>
      <w:proofErr w:type="gramStart"/>
      <w:r>
        <w:t>communications</w:t>
      </w:r>
      <w:proofErr w:type="gramEnd"/>
      <w:r>
        <w:t xml:space="preserve"> and other services, including electronic services and emergency services.</w:t>
      </w:r>
    </w:p>
    <w:p w14:paraId="381D5FC0" w14:textId="77777777" w:rsidR="00F23FEB" w:rsidRDefault="00F23FEB" w:rsidP="00F23FEB">
      <w:pPr>
        <w:pStyle w:val="ListParagraph"/>
        <w:suppressAutoHyphens/>
        <w:ind w:left="709"/>
      </w:pPr>
    </w:p>
    <w:p w14:paraId="64EB5CC5" w14:textId="71BB82AA" w:rsidR="00391F0B" w:rsidRDefault="00391F0B" w:rsidP="00944256">
      <w:pPr>
        <w:pStyle w:val="ListParagraph"/>
        <w:numPr>
          <w:ilvl w:val="1"/>
          <w:numId w:val="16"/>
        </w:numPr>
        <w:suppressAutoHyphens/>
        <w:ind w:left="709" w:hanging="709"/>
      </w:pPr>
      <w:r>
        <w:t>T</w:t>
      </w:r>
      <w:r w:rsidR="00E4552B">
        <w:t>he</w:t>
      </w:r>
      <w:r>
        <w:t xml:space="preserve"> </w:t>
      </w:r>
      <w:r w:rsidR="002C19A1">
        <w:t>UN</w:t>
      </w:r>
      <w:r>
        <w:t xml:space="preserve"> Declaration of Basi</w:t>
      </w:r>
      <w:r w:rsidR="00806796">
        <w:t>c</w:t>
      </w:r>
      <w:r>
        <w:t xml:space="preserve"> Principles of Justice for Victims of Crime and Abuse of Power</w:t>
      </w:r>
      <w:r w:rsidR="00C63D92">
        <w:t xml:space="preserve"> states that</w:t>
      </w:r>
      <w:r w:rsidR="007E6E3A">
        <w:t xml:space="preserve"> </w:t>
      </w:r>
      <w:r>
        <w:t>“</w:t>
      </w:r>
      <w:r w:rsidR="007E6E3A">
        <w:t>victims should receive the</w:t>
      </w:r>
      <w:r w:rsidR="00A5157A">
        <w:t xml:space="preserve"> necessary material, medical, psychological and social assistance through governmental, voluntary, community-based and indigenous means”.</w:t>
      </w:r>
      <w:r w:rsidR="00A5157A">
        <w:rPr>
          <w:rStyle w:val="FootnoteReference"/>
        </w:rPr>
        <w:footnoteReference w:id="97"/>
      </w:r>
      <w:r w:rsidR="00A5157A">
        <w:t xml:space="preserve"> It also </w:t>
      </w:r>
      <w:r w:rsidR="0009501A">
        <w:t>advises that</w:t>
      </w:r>
      <w:r w:rsidR="00A5157A">
        <w:t xml:space="preserve"> “victims should be informed of the availability of health and social services and other relevant assistance and be readily afforded access to them”. This includes giving attention to “those who have special needs because of the nature of the harm inflicted”</w:t>
      </w:r>
      <w:r w:rsidR="00A5157A">
        <w:rPr>
          <w:rStyle w:val="FootnoteReference"/>
        </w:rPr>
        <w:footnoteReference w:id="98"/>
      </w:r>
      <w:r w:rsidR="00A5157A">
        <w:t xml:space="preserve"> or other reasons “such as race, colour, sex, age, language, religion, nationality, political or other opinion, cultural beliefs or practices, property, birth or family status, ethnic or social origin, and disability”</w:t>
      </w:r>
      <w:r>
        <w:t>.</w:t>
      </w:r>
      <w:r>
        <w:rPr>
          <w:rStyle w:val="FootnoteReference"/>
        </w:rPr>
        <w:footnoteReference w:id="99"/>
      </w:r>
    </w:p>
    <w:p w14:paraId="3C525BCD" w14:textId="77777777" w:rsidR="00875651" w:rsidRDefault="00875651" w:rsidP="00875651">
      <w:pPr>
        <w:pStyle w:val="ListParagraph"/>
        <w:suppressAutoHyphens/>
        <w:ind w:left="709"/>
      </w:pPr>
    </w:p>
    <w:p w14:paraId="6C851858" w14:textId="215AC377" w:rsidR="00726296" w:rsidRDefault="002C19A1" w:rsidP="00944256">
      <w:pPr>
        <w:pStyle w:val="ListParagraph"/>
        <w:numPr>
          <w:ilvl w:val="1"/>
          <w:numId w:val="16"/>
        </w:numPr>
        <w:suppressAutoHyphens/>
        <w:ind w:left="709" w:hanging="709"/>
      </w:pPr>
      <w:r>
        <w:t>Article 11(1) of the</w:t>
      </w:r>
      <w:r w:rsidR="0009501A">
        <w:t xml:space="preserve"> </w:t>
      </w:r>
      <w:proofErr w:type="spellStart"/>
      <w:r w:rsidR="0009501A">
        <w:t>CoE</w:t>
      </w:r>
      <w:proofErr w:type="spellEnd"/>
      <w:r>
        <w:t xml:space="preserve"> </w:t>
      </w:r>
      <w:r w:rsidR="00875651">
        <w:t>Lanzarote Convention</w:t>
      </w:r>
      <w:r>
        <w:t xml:space="preserve"> </w:t>
      </w:r>
      <w:r w:rsidR="00875651">
        <w:t xml:space="preserve">provides </w:t>
      </w:r>
      <w:r>
        <w:t xml:space="preserve">that </w:t>
      </w:r>
      <w:r w:rsidR="00875651">
        <w:t>“each Party shall establish effective social programmes and set up multidisciplinary structures to provide the necessary support for victims, their close relatives and for any person who is responsible for their care</w:t>
      </w:r>
      <w:r w:rsidR="00E24F71">
        <w:t>”</w:t>
      </w:r>
      <w:r w:rsidR="00875651">
        <w:t>.</w:t>
      </w:r>
    </w:p>
    <w:p w14:paraId="0128555E" w14:textId="77777777" w:rsidR="00055EBA" w:rsidRDefault="00055EBA" w:rsidP="00055EBA">
      <w:pPr>
        <w:suppressAutoHyphens/>
      </w:pPr>
    </w:p>
    <w:p w14:paraId="7F3F6BCA" w14:textId="5B5408E0" w:rsidR="00231F14" w:rsidRDefault="008B1F99" w:rsidP="00944256">
      <w:pPr>
        <w:pStyle w:val="ListParagraph"/>
        <w:numPr>
          <w:ilvl w:val="1"/>
          <w:numId w:val="16"/>
        </w:numPr>
        <w:suppressAutoHyphens/>
        <w:ind w:left="709" w:hanging="709"/>
      </w:pPr>
      <w:r>
        <w:t xml:space="preserve">The EU Victims’ Directive </w:t>
      </w:r>
      <w:r w:rsidR="0009501A">
        <w:t>requires M</w:t>
      </w:r>
      <w:r w:rsidR="00231F14">
        <w:t xml:space="preserve">ember </w:t>
      </w:r>
      <w:r w:rsidR="0009501A">
        <w:t>S</w:t>
      </w:r>
      <w:r w:rsidR="00231F14">
        <w:t xml:space="preserve">tates </w:t>
      </w:r>
      <w:r w:rsidR="0009501A">
        <w:t xml:space="preserve">to </w:t>
      </w:r>
      <w:r w:rsidR="00231F14">
        <w:t>ensure that v</w:t>
      </w:r>
      <w:r w:rsidR="00231F14" w:rsidRPr="00231F14">
        <w:t xml:space="preserve">ictims are </w:t>
      </w:r>
      <w:r w:rsidR="00231F14">
        <w:t>“</w:t>
      </w:r>
      <w:r w:rsidR="00231F14" w:rsidRPr="00231F14">
        <w:t>recognised and treated in a respectful, sensitive, tailored, professional and non-discriminatory manne</w:t>
      </w:r>
      <w:r w:rsidR="00231F14">
        <w:t>r”</w:t>
      </w:r>
      <w:r>
        <w:t>.</w:t>
      </w:r>
      <w:r>
        <w:rPr>
          <w:rStyle w:val="FootnoteReference"/>
        </w:rPr>
        <w:footnoteReference w:id="100"/>
      </w:r>
      <w:r>
        <w:t xml:space="preserve"> </w:t>
      </w:r>
      <w:r w:rsidR="0009501A">
        <w:t>Importantly, a person’s s</w:t>
      </w:r>
      <w:r w:rsidR="009D5B0B">
        <w:t>tatus</w:t>
      </w:r>
      <w:r w:rsidR="00806796">
        <w:t xml:space="preserve"> as a victim is</w:t>
      </w:r>
      <w:r w:rsidR="009D5B0B">
        <w:t xml:space="preserve"> not dependent on w</w:t>
      </w:r>
      <w:r w:rsidR="009D5B0B" w:rsidRPr="00E50B94">
        <w:t xml:space="preserve">hether an offender is identified, apprehended, </w:t>
      </w:r>
      <w:proofErr w:type="gramStart"/>
      <w:r w:rsidR="009D5B0B" w:rsidRPr="00E50B94">
        <w:t>prosecuted</w:t>
      </w:r>
      <w:proofErr w:type="gramEnd"/>
      <w:r w:rsidR="009D5B0B" w:rsidRPr="00E50B94">
        <w:t xml:space="preserve"> or convicte</w:t>
      </w:r>
      <w:r w:rsidR="009D5B0B">
        <w:t>d.</w:t>
      </w:r>
      <w:r w:rsidR="009D5B0B">
        <w:rPr>
          <w:rStyle w:val="FootnoteReference"/>
        </w:rPr>
        <w:footnoteReference w:id="101"/>
      </w:r>
      <w:r w:rsidR="009D5B0B">
        <w:t xml:space="preserve"> </w:t>
      </w:r>
      <w:r w:rsidR="00231F14">
        <w:t xml:space="preserve">The </w:t>
      </w:r>
      <w:r w:rsidR="00055EBA">
        <w:t xml:space="preserve">EU </w:t>
      </w:r>
      <w:r w:rsidR="00231F14">
        <w:t>Directive further recognises that</w:t>
      </w:r>
      <w:r w:rsidR="009D5B0B">
        <w:t>:</w:t>
      </w:r>
    </w:p>
    <w:p w14:paraId="1964C801" w14:textId="77777777" w:rsidR="00E24F71" w:rsidRDefault="00E24F71" w:rsidP="001673AC">
      <w:pPr>
        <w:pStyle w:val="ListParagraph"/>
      </w:pPr>
    </w:p>
    <w:p w14:paraId="1C454550" w14:textId="14889F0D" w:rsidR="00E50B94" w:rsidRDefault="00231F14" w:rsidP="00E50B94">
      <w:pPr>
        <w:pStyle w:val="Quote"/>
      </w:pPr>
      <w:r w:rsidRPr="00231F14">
        <w:t xml:space="preserve">In all contacts with a competent authority operating within the context of criminal proceedings, and any service </w:t>
      </w:r>
      <w:proofErr w:type="gramStart"/>
      <w:r w:rsidRPr="00231F14">
        <w:t>coming into contact with</w:t>
      </w:r>
      <w:proofErr w:type="gramEnd"/>
      <w:r w:rsidRPr="00231F14">
        <w:t xml:space="preserve"> victims, </w:t>
      </w:r>
      <w:r>
        <w:t>…</w:t>
      </w:r>
      <w:r w:rsidRPr="00231F14">
        <w:t xml:space="preserve"> the personal situation and immediate needs, age, gender, possible disability and maturity of victims of crime should be taken into account while fully respecting their physical, mental and moral integrity</w:t>
      </w:r>
      <w:r>
        <w:t>.</w:t>
      </w:r>
      <w:r>
        <w:rPr>
          <w:rStyle w:val="FootnoteReference"/>
        </w:rPr>
        <w:footnoteReference w:id="102"/>
      </w:r>
    </w:p>
    <w:p w14:paraId="460416D7" w14:textId="77777777" w:rsidR="001423A9" w:rsidRDefault="001423A9" w:rsidP="001423A9">
      <w:pPr>
        <w:suppressAutoHyphens/>
      </w:pPr>
    </w:p>
    <w:p w14:paraId="71664B93" w14:textId="6FB62B63" w:rsidR="001673AC" w:rsidRDefault="001673AC" w:rsidP="001673AC">
      <w:pPr>
        <w:pStyle w:val="ListParagraph"/>
        <w:numPr>
          <w:ilvl w:val="1"/>
          <w:numId w:val="16"/>
        </w:numPr>
        <w:suppressAutoHyphens/>
        <w:ind w:left="709" w:hanging="709"/>
      </w:pPr>
      <w:r>
        <w:t xml:space="preserve">The right </w:t>
      </w:r>
      <w:r w:rsidR="00865265">
        <w:t xml:space="preserve">of victims </w:t>
      </w:r>
      <w:r>
        <w:t xml:space="preserve">to access information and </w:t>
      </w:r>
      <w:r w:rsidR="00865265">
        <w:t xml:space="preserve">the right to </w:t>
      </w:r>
      <w:r>
        <w:t xml:space="preserve">choose </w:t>
      </w:r>
      <w:proofErr w:type="gramStart"/>
      <w:r>
        <w:t>whether or not</w:t>
      </w:r>
      <w:proofErr w:type="gramEnd"/>
      <w:r>
        <w:t xml:space="preserve"> to receive such information, and to modify </w:t>
      </w:r>
      <w:r w:rsidR="00865265">
        <w:t xml:space="preserve">any </w:t>
      </w:r>
      <w:r>
        <w:t>request, is central to the EU Victims Directive.</w:t>
      </w:r>
      <w:r>
        <w:rPr>
          <w:rStyle w:val="FootnoteReference"/>
        </w:rPr>
        <w:footnoteReference w:id="103"/>
      </w:r>
      <w:r>
        <w:t xml:space="preserve"> The </w:t>
      </w:r>
      <w:r w:rsidR="006211BF">
        <w:t xml:space="preserve">EU </w:t>
      </w:r>
      <w:r>
        <w:t xml:space="preserve">Directive </w:t>
      </w:r>
      <w:r w:rsidR="00865265">
        <w:t xml:space="preserve">focuses on the </w:t>
      </w:r>
      <w:r>
        <w:t xml:space="preserve">needs of victims and </w:t>
      </w:r>
      <w:r w:rsidR="00865265">
        <w:t xml:space="preserve">reminds </w:t>
      </w:r>
      <w:r>
        <w:t xml:space="preserve">that particular consideration should be given to </w:t>
      </w:r>
      <w:r w:rsidR="00865265">
        <w:t xml:space="preserve">the </w:t>
      </w:r>
      <w:r>
        <w:t>needs of vulnerable victims including victims of gender</w:t>
      </w:r>
      <w:r w:rsidR="4AFD233A">
        <w:t>-</w:t>
      </w:r>
      <w:r>
        <w:t>based violence and domestic violence</w:t>
      </w:r>
      <w:r w:rsidR="00865265">
        <w:t xml:space="preserve">. It also restates the importance of </w:t>
      </w:r>
      <w:r>
        <w:t>targeted trauma informed support.</w:t>
      </w:r>
      <w:r>
        <w:rPr>
          <w:rStyle w:val="FootnoteReference"/>
        </w:rPr>
        <w:footnoteReference w:id="104"/>
      </w:r>
      <w:r>
        <w:t xml:space="preserve"> </w:t>
      </w:r>
      <w:r w:rsidR="00865265">
        <w:t xml:space="preserve">It recognises the </w:t>
      </w:r>
      <w:proofErr w:type="gramStart"/>
      <w:r w:rsidR="00865265">
        <w:t>particular protection</w:t>
      </w:r>
      <w:proofErr w:type="gramEnd"/>
      <w:r w:rsidR="00865265">
        <w:t xml:space="preserve"> required by </w:t>
      </w:r>
      <w:r>
        <w:t>victims at risk of s</w:t>
      </w:r>
      <w:r w:rsidRPr="001014D0">
        <w:t xml:space="preserve">econdary and repeat </w:t>
      </w:r>
      <w:r w:rsidRPr="006942C7">
        <w:t>victimisation</w:t>
      </w:r>
      <w:r w:rsidR="00865265">
        <w:t xml:space="preserve"> and</w:t>
      </w:r>
      <w:r w:rsidRPr="006942C7">
        <w:t xml:space="preserve"> of intimidation and retaliation</w:t>
      </w:r>
      <w:r w:rsidR="00865265">
        <w:t xml:space="preserve">. It makes express reference to </w:t>
      </w:r>
      <w:r w:rsidRPr="006942C7">
        <w:rPr>
          <w:color w:val="333333"/>
          <w:shd w:val="clear" w:color="auto" w:fill="FFFFFF"/>
        </w:rPr>
        <w:t xml:space="preserve">victims </w:t>
      </w:r>
      <w:r w:rsidRPr="00E24F71">
        <w:rPr>
          <w:color w:val="333333"/>
          <w:shd w:val="clear" w:color="auto" w:fill="FFFFFF"/>
        </w:rPr>
        <w:t>of human trafficking, terrorism, organised crime, violence in close relationships, sexual violence or exploitation, gender-based violence, hate crime, and victims with disabilities and child victims</w:t>
      </w:r>
      <w:r w:rsidRPr="006942C7">
        <w:t>.</w:t>
      </w:r>
      <w:r w:rsidRPr="006942C7">
        <w:rPr>
          <w:rStyle w:val="FootnoteReference"/>
        </w:rPr>
        <w:footnoteReference w:id="105"/>
      </w:r>
    </w:p>
    <w:p w14:paraId="75BA9EE0" w14:textId="77777777" w:rsidR="001673AC" w:rsidRDefault="001673AC" w:rsidP="001673AC">
      <w:pPr>
        <w:suppressAutoHyphens/>
      </w:pPr>
    </w:p>
    <w:p w14:paraId="2CDF9845" w14:textId="043B5322" w:rsidR="00D256C0" w:rsidRDefault="005600CA" w:rsidP="00944256">
      <w:pPr>
        <w:pStyle w:val="ListParagraph"/>
        <w:numPr>
          <w:ilvl w:val="1"/>
          <w:numId w:val="16"/>
        </w:numPr>
        <w:suppressAutoHyphens/>
        <w:ind w:left="709" w:hanging="709"/>
      </w:pPr>
      <w:r w:rsidRPr="005600CA">
        <w:lastRenderedPageBreak/>
        <w:t>The</w:t>
      </w:r>
      <w:r w:rsidR="00DF5B4E">
        <w:t xml:space="preserve">refore, the </w:t>
      </w:r>
      <w:r w:rsidR="00EE48DD">
        <w:t xml:space="preserve">needs-based approach of the draft strategy and the </w:t>
      </w:r>
      <w:r w:rsidRPr="005600CA">
        <w:t>recognition</w:t>
      </w:r>
      <w:r w:rsidR="00DF5B4E">
        <w:t xml:space="preserve"> </w:t>
      </w:r>
      <w:r w:rsidRPr="005600CA">
        <w:t xml:space="preserve">that certain groups face additional barriers in accessing </w:t>
      </w:r>
      <w:r w:rsidR="00264B11">
        <w:t xml:space="preserve">services or </w:t>
      </w:r>
      <w:r w:rsidRPr="005600CA">
        <w:t>support</w:t>
      </w:r>
      <w:r w:rsidR="002C19A1">
        <w:t xml:space="preserve"> are welcomed</w:t>
      </w:r>
      <w:r w:rsidR="00514DDE">
        <w:t xml:space="preserve">. </w:t>
      </w:r>
      <w:r w:rsidR="00865265">
        <w:t xml:space="preserve">In particular, the NIHRC welcomes </w:t>
      </w:r>
      <w:r w:rsidR="00514DDE">
        <w:t>the</w:t>
      </w:r>
      <w:r w:rsidR="00D40764">
        <w:t xml:space="preserve"> </w:t>
      </w:r>
      <w:r w:rsidR="00514DDE">
        <w:t xml:space="preserve">commitments to </w:t>
      </w:r>
      <w:r w:rsidR="008D3A0B">
        <w:t>“</w:t>
      </w:r>
      <w:r w:rsidR="00402809">
        <w:t>improv</w:t>
      </w:r>
      <w:r w:rsidR="008D3A0B">
        <w:t>e</w:t>
      </w:r>
      <w:r w:rsidR="00402809">
        <w:t xml:space="preserve"> access</w:t>
      </w:r>
      <w:r w:rsidR="00402809" w:rsidRPr="00402809">
        <w:t xml:space="preserve"> </w:t>
      </w:r>
      <w:r w:rsidR="00402809">
        <w:t>to services for rural and socially isolated</w:t>
      </w:r>
      <w:r w:rsidR="008D3A0B">
        <w:t>”</w:t>
      </w:r>
      <w:r w:rsidR="004520ED">
        <w:t xml:space="preserve"> individuals and </w:t>
      </w:r>
      <w:r w:rsidR="0015524A">
        <w:t>“</w:t>
      </w:r>
      <w:r w:rsidR="004520ED">
        <w:t>to review</w:t>
      </w:r>
      <w:r w:rsidR="0015524A">
        <w:t xml:space="preserve"> </w:t>
      </w:r>
      <w:r w:rsidR="004520ED">
        <w:t xml:space="preserve">the accessibility of </w:t>
      </w:r>
      <w:r w:rsidR="005D522F">
        <w:t>services</w:t>
      </w:r>
      <w:r w:rsidR="00440500">
        <w:t>”.</w:t>
      </w:r>
      <w:r w:rsidR="00FA076C">
        <w:rPr>
          <w:rStyle w:val="FootnoteReference"/>
        </w:rPr>
        <w:footnoteReference w:id="106"/>
      </w:r>
      <w:r w:rsidR="00440500">
        <w:t xml:space="preserve"> </w:t>
      </w:r>
      <w:r w:rsidR="00865265">
        <w:t>It</w:t>
      </w:r>
      <w:r w:rsidR="002C19A1">
        <w:t xml:space="preserve"> would be </w:t>
      </w:r>
      <w:r w:rsidR="00865265">
        <w:t xml:space="preserve">helpful </w:t>
      </w:r>
      <w:r w:rsidR="002C19A1">
        <w:t>to have</w:t>
      </w:r>
      <w:r w:rsidR="00021F77">
        <w:t xml:space="preserve"> more detail</w:t>
      </w:r>
      <w:r w:rsidR="00581CC3">
        <w:t xml:space="preserve"> </w:t>
      </w:r>
      <w:r w:rsidR="00D40764">
        <w:t>and</w:t>
      </w:r>
      <w:r w:rsidR="00581CC3">
        <w:t xml:space="preserve"> </w:t>
      </w:r>
      <w:r w:rsidR="00865265">
        <w:t xml:space="preserve">clarity on which </w:t>
      </w:r>
      <w:r w:rsidR="00D40764">
        <w:t xml:space="preserve">specific </w:t>
      </w:r>
      <w:r w:rsidR="00021F77">
        <w:t>commitment</w:t>
      </w:r>
      <w:r w:rsidR="00581CC3">
        <w:t xml:space="preserve">s </w:t>
      </w:r>
      <w:r w:rsidR="00865265">
        <w:t xml:space="preserve">are to be made </w:t>
      </w:r>
      <w:r w:rsidR="00021F77">
        <w:t xml:space="preserve">to ensure the strategy is as expansive and inclusive </w:t>
      </w:r>
      <w:r w:rsidR="00C20DA4">
        <w:t>as possible</w:t>
      </w:r>
      <w:r w:rsidR="00531151">
        <w:t>.</w:t>
      </w:r>
      <w:r w:rsidR="002B562F">
        <w:t xml:space="preserve"> </w:t>
      </w:r>
      <w:r w:rsidR="00865265">
        <w:t>The</w:t>
      </w:r>
      <w:r w:rsidR="00A22597">
        <w:t xml:space="preserve"> </w:t>
      </w:r>
      <w:r w:rsidR="00BF6576">
        <w:t>draft strategy</w:t>
      </w:r>
      <w:r w:rsidR="00BF6576" w:rsidRPr="00BF6576">
        <w:t xml:space="preserve"> does not </w:t>
      </w:r>
      <w:r w:rsidR="00865265">
        <w:t xml:space="preserve">include reference to </w:t>
      </w:r>
      <w:r w:rsidR="00BF6576" w:rsidRPr="00BF6576">
        <w:t xml:space="preserve">intersectional </w:t>
      </w:r>
      <w:proofErr w:type="gramStart"/>
      <w:r w:rsidR="00BF6576" w:rsidRPr="00BF6576">
        <w:t>discrimination</w:t>
      </w:r>
      <w:r w:rsidR="00865265">
        <w:t>, but</w:t>
      </w:r>
      <w:proofErr w:type="gramEnd"/>
      <w:r w:rsidR="00865265">
        <w:t xml:space="preserve"> should consider the impact of intersectional discrimination. </w:t>
      </w:r>
      <w:r w:rsidR="00C51F86">
        <w:t xml:space="preserve">The Executive Office may wish to </w:t>
      </w:r>
      <w:proofErr w:type="gramStart"/>
      <w:r w:rsidR="00865265">
        <w:t>take into account</w:t>
      </w:r>
      <w:proofErr w:type="gramEnd"/>
      <w:r w:rsidR="00865265">
        <w:t xml:space="preserve"> </w:t>
      </w:r>
      <w:r w:rsidR="00C51F86">
        <w:t xml:space="preserve">the </w:t>
      </w:r>
      <w:r w:rsidR="00865265">
        <w:t xml:space="preserve">social inclusion strategies currently underway in </w:t>
      </w:r>
      <w:r w:rsidR="00C51F86">
        <w:t>the Department for Communities</w:t>
      </w:r>
      <w:r w:rsidR="00865265">
        <w:t>.</w:t>
      </w:r>
      <w:r w:rsidR="00C51F86">
        <w:rPr>
          <w:rStyle w:val="FootnoteReference"/>
        </w:rPr>
        <w:footnoteReference w:id="107"/>
      </w:r>
    </w:p>
    <w:p w14:paraId="5498EFDE" w14:textId="77777777" w:rsidR="00905977" w:rsidRDefault="00905977" w:rsidP="00905977">
      <w:pPr>
        <w:suppressAutoHyphens/>
      </w:pPr>
    </w:p>
    <w:p w14:paraId="7A70E146" w14:textId="333B322C" w:rsidR="002D0F1F" w:rsidRPr="00A91135" w:rsidRDefault="00A50248" w:rsidP="00944256">
      <w:pPr>
        <w:pStyle w:val="ListParagraph"/>
        <w:numPr>
          <w:ilvl w:val="1"/>
          <w:numId w:val="16"/>
        </w:numPr>
        <w:suppressAutoHyphens/>
        <w:ind w:left="709" w:hanging="709"/>
      </w:pPr>
      <w:bookmarkStart w:id="18" w:name="_Hlk163637028"/>
      <w:r w:rsidRPr="00F1280E">
        <w:rPr>
          <w:b/>
          <w:bCs/>
        </w:rPr>
        <w:t xml:space="preserve">The </w:t>
      </w:r>
      <w:r w:rsidR="00B06DFF" w:rsidRPr="00F1280E">
        <w:rPr>
          <w:b/>
          <w:bCs/>
        </w:rPr>
        <w:t xml:space="preserve">NIHRC </w:t>
      </w:r>
      <w:r w:rsidR="003C313C">
        <w:rPr>
          <w:b/>
          <w:bCs/>
        </w:rPr>
        <w:t xml:space="preserve">recommends that the Executive Office </w:t>
      </w:r>
      <w:r w:rsidR="00865265">
        <w:rPr>
          <w:b/>
          <w:bCs/>
        </w:rPr>
        <w:t xml:space="preserve">considers and </w:t>
      </w:r>
      <w:r w:rsidR="006B76C3">
        <w:rPr>
          <w:b/>
          <w:bCs/>
        </w:rPr>
        <w:t xml:space="preserve">makes explicit provision </w:t>
      </w:r>
      <w:r w:rsidR="00865265">
        <w:rPr>
          <w:b/>
          <w:bCs/>
        </w:rPr>
        <w:t>for</w:t>
      </w:r>
      <w:r w:rsidR="00531151" w:rsidRPr="00F9627E">
        <w:rPr>
          <w:rFonts w:cs="Arial"/>
          <w:b/>
          <w:bCs/>
        </w:rPr>
        <w:t xml:space="preserve"> </w:t>
      </w:r>
      <w:r w:rsidR="00865265">
        <w:rPr>
          <w:rFonts w:cs="Arial"/>
          <w:b/>
          <w:bCs/>
        </w:rPr>
        <w:t>the</w:t>
      </w:r>
      <w:r w:rsidR="00865265" w:rsidRPr="00F9627E">
        <w:rPr>
          <w:rFonts w:cs="Arial"/>
          <w:b/>
          <w:bCs/>
        </w:rPr>
        <w:t xml:space="preserve"> </w:t>
      </w:r>
      <w:r w:rsidR="00531151" w:rsidRPr="00F9627E">
        <w:rPr>
          <w:rFonts w:cs="Arial"/>
          <w:b/>
          <w:bCs/>
        </w:rPr>
        <w:t xml:space="preserve">diverse needs of </w:t>
      </w:r>
      <w:r w:rsidR="00865265">
        <w:rPr>
          <w:rFonts w:cs="Arial"/>
          <w:b/>
          <w:bCs/>
        </w:rPr>
        <w:t xml:space="preserve">a broad range of </w:t>
      </w:r>
      <w:r w:rsidR="00531151" w:rsidRPr="00F9627E">
        <w:rPr>
          <w:rFonts w:cs="Arial"/>
          <w:b/>
          <w:bCs/>
        </w:rPr>
        <w:t xml:space="preserve">victims and survivors, </w:t>
      </w:r>
      <w:r w:rsidR="00865265">
        <w:rPr>
          <w:rFonts w:cs="Arial"/>
          <w:b/>
          <w:bCs/>
        </w:rPr>
        <w:t>particularly but not limited to</w:t>
      </w:r>
      <w:r w:rsidR="00865265" w:rsidRPr="00F9627E">
        <w:rPr>
          <w:rFonts w:cs="Arial"/>
          <w:b/>
          <w:bCs/>
        </w:rPr>
        <w:t xml:space="preserve"> </w:t>
      </w:r>
      <w:r w:rsidR="00531151" w:rsidRPr="00F9627E">
        <w:rPr>
          <w:rFonts w:cs="Arial"/>
          <w:b/>
          <w:bCs/>
        </w:rPr>
        <w:t xml:space="preserve">those from marginalised groups and/or </w:t>
      </w:r>
      <w:r w:rsidR="009D2118">
        <w:rPr>
          <w:rFonts w:cs="Arial"/>
          <w:b/>
          <w:bCs/>
        </w:rPr>
        <w:t xml:space="preserve">individuals </w:t>
      </w:r>
      <w:r w:rsidR="00531151" w:rsidRPr="00F9627E">
        <w:rPr>
          <w:rFonts w:cs="Arial"/>
          <w:b/>
          <w:bCs/>
        </w:rPr>
        <w:t>experiencing intersectional discrimination.</w:t>
      </w:r>
    </w:p>
    <w:bookmarkEnd w:id="18"/>
    <w:p w14:paraId="40918844" w14:textId="77777777" w:rsidR="00002E3B" w:rsidRPr="00E02359" w:rsidRDefault="00002E3B" w:rsidP="00E02359">
      <w:pPr>
        <w:suppressAutoHyphens/>
        <w:rPr>
          <w:rFonts w:cs="Arial"/>
          <w:color w:val="3C3C3B"/>
        </w:rPr>
      </w:pPr>
    </w:p>
    <w:p w14:paraId="194A3BBC" w14:textId="41E7F6EB" w:rsidR="00F96BED" w:rsidRPr="00F96BED" w:rsidRDefault="00F234A3" w:rsidP="00FB4453">
      <w:pPr>
        <w:pStyle w:val="Heading2"/>
      </w:pPr>
      <w:bookmarkStart w:id="19" w:name="_Toc163637907"/>
      <w:r>
        <w:t>Spe</w:t>
      </w:r>
      <w:r w:rsidR="00DB05A5">
        <w:t xml:space="preserve">cific protection </w:t>
      </w:r>
      <w:proofErr w:type="gramStart"/>
      <w:r w:rsidR="00DB05A5">
        <w:t>needs</w:t>
      </w:r>
      <w:bookmarkEnd w:id="19"/>
      <w:proofErr w:type="gramEnd"/>
      <w:r w:rsidR="00DB05A5">
        <w:t xml:space="preserve"> </w:t>
      </w:r>
    </w:p>
    <w:p w14:paraId="5E2668FF" w14:textId="3DD7DBC6" w:rsidR="0067016D" w:rsidRPr="0067016D" w:rsidRDefault="00A52506" w:rsidP="00944256">
      <w:pPr>
        <w:pStyle w:val="ListParagraph"/>
        <w:numPr>
          <w:ilvl w:val="1"/>
          <w:numId w:val="16"/>
        </w:numPr>
        <w:suppressAutoHyphens/>
        <w:ind w:left="709" w:hanging="709"/>
        <w:rPr>
          <w:rFonts w:cs="Arial"/>
          <w:color w:val="3C3C3B"/>
        </w:rPr>
      </w:pPr>
      <w:r>
        <w:t>T</w:t>
      </w:r>
      <w:r w:rsidR="005448A0">
        <w:t xml:space="preserve">he </w:t>
      </w:r>
      <w:r w:rsidR="00002E3B">
        <w:t>draft strategy recognises the need to improve</w:t>
      </w:r>
      <w:r w:rsidR="00002E3B" w:rsidRPr="007B6CAD">
        <w:t xml:space="preserve"> </w:t>
      </w:r>
      <w:r w:rsidR="00002E3B">
        <w:t>understanding of “the different impact that the Troubles/conflict had on men and women, and how the different needs can be met today”.</w:t>
      </w:r>
      <w:r w:rsidR="00D92B43">
        <w:rPr>
          <w:rStyle w:val="FootnoteReference"/>
        </w:rPr>
        <w:footnoteReference w:id="108"/>
      </w:r>
      <w:r w:rsidR="00DB05A5">
        <w:t xml:space="preserve"> </w:t>
      </w:r>
      <w:r w:rsidR="00C34F96">
        <w:t>In addition</w:t>
      </w:r>
      <w:r w:rsidR="00DB05A5">
        <w:t xml:space="preserve">, the draft strategy </w:t>
      </w:r>
      <w:r w:rsidR="00DD32AE">
        <w:t xml:space="preserve">identifies </w:t>
      </w:r>
      <w:r w:rsidR="0077046D">
        <w:t xml:space="preserve">the importance of </w:t>
      </w:r>
      <w:r w:rsidR="00EB1B15">
        <w:t>acknowledging “the transgenerational trauma often experienced by children and young people”</w:t>
      </w:r>
      <w:r w:rsidR="00D25F85">
        <w:t xml:space="preserve"> and working </w:t>
      </w:r>
      <w:r w:rsidR="006A5D39">
        <w:t>“towards</w:t>
      </w:r>
      <w:r w:rsidR="00F37942">
        <w:t xml:space="preserve"> breaking the chain of intergenerational trauma”</w:t>
      </w:r>
      <w:r w:rsidR="00EB1B15">
        <w:t>.</w:t>
      </w:r>
      <w:r w:rsidR="00EB1B15">
        <w:rPr>
          <w:rStyle w:val="FootnoteReference"/>
        </w:rPr>
        <w:footnoteReference w:id="109"/>
      </w:r>
      <w:r>
        <w:t xml:space="preserve"> The</w:t>
      </w:r>
      <w:r w:rsidR="00015949">
        <w:t xml:space="preserve"> NIHRC welcomes such </w:t>
      </w:r>
      <w:r w:rsidR="00B267E1">
        <w:t xml:space="preserve">a </w:t>
      </w:r>
      <w:r w:rsidR="00D20703" w:rsidRPr="009A1064">
        <w:rPr>
          <w:rFonts w:cs="Arial"/>
        </w:rPr>
        <w:t>gender</w:t>
      </w:r>
      <w:r w:rsidR="00D20703">
        <w:rPr>
          <w:rFonts w:cs="Arial"/>
        </w:rPr>
        <w:t xml:space="preserve"> specific and child-sensitive</w:t>
      </w:r>
      <w:r w:rsidR="00D20703" w:rsidRPr="009A1064">
        <w:rPr>
          <w:rFonts w:cs="Arial"/>
        </w:rPr>
        <w:t xml:space="preserve"> approach</w:t>
      </w:r>
      <w:r w:rsidR="00B267E1">
        <w:rPr>
          <w:rFonts w:cs="Arial"/>
        </w:rPr>
        <w:t>.</w:t>
      </w:r>
      <w:r w:rsidR="008A1E9F">
        <w:rPr>
          <w:rStyle w:val="CommentReference"/>
        </w:rPr>
        <w:t xml:space="preserve"> </w:t>
      </w:r>
    </w:p>
    <w:p w14:paraId="5484A1EB" w14:textId="77777777" w:rsidR="0067016D" w:rsidRPr="0067016D" w:rsidRDefault="0067016D" w:rsidP="0067016D">
      <w:pPr>
        <w:pStyle w:val="ListParagraph"/>
        <w:suppressAutoHyphens/>
        <w:ind w:left="709"/>
        <w:rPr>
          <w:rFonts w:cs="Arial"/>
          <w:color w:val="3C3C3B"/>
        </w:rPr>
      </w:pPr>
    </w:p>
    <w:p w14:paraId="420ED5B0" w14:textId="32E7B767" w:rsidR="00657619" w:rsidRDefault="00335EC8" w:rsidP="00944256">
      <w:pPr>
        <w:pStyle w:val="ListParagraph"/>
        <w:numPr>
          <w:ilvl w:val="1"/>
          <w:numId w:val="16"/>
        </w:numPr>
        <w:suppressAutoHyphens/>
        <w:ind w:left="709" w:hanging="709"/>
      </w:pPr>
      <w:r>
        <w:t xml:space="preserve">The Commission </w:t>
      </w:r>
      <w:r w:rsidR="00D80F9F">
        <w:t xml:space="preserve">for Victims and Survivors </w:t>
      </w:r>
      <w:r w:rsidR="00B267E1">
        <w:t xml:space="preserve">emphasises how </w:t>
      </w:r>
      <w:r w:rsidR="004E64AB">
        <w:t>the continued presence of paramilitaries in NI</w:t>
      </w:r>
      <w:r w:rsidR="00FB21E6" w:rsidRPr="00FB21E6">
        <w:t xml:space="preserve"> </w:t>
      </w:r>
      <w:r w:rsidR="00A52506">
        <w:t xml:space="preserve">affects </w:t>
      </w:r>
      <w:r w:rsidR="00FB21E6">
        <w:t>the well</w:t>
      </w:r>
      <w:r w:rsidR="00B267E1">
        <w:t>-</w:t>
      </w:r>
      <w:r w:rsidR="00FB21E6">
        <w:t>being of victims and survivors</w:t>
      </w:r>
      <w:r w:rsidR="00B267E1">
        <w:t>.</w:t>
      </w:r>
      <w:r w:rsidR="00FB21E6">
        <w:rPr>
          <w:rStyle w:val="FootnoteReference"/>
        </w:rPr>
        <w:footnoteReference w:id="110"/>
      </w:r>
      <w:r w:rsidR="004E64AB">
        <w:t xml:space="preserve"> </w:t>
      </w:r>
      <w:r w:rsidR="00F44E53">
        <w:t xml:space="preserve">Independent research </w:t>
      </w:r>
      <w:r w:rsidR="00B267E1">
        <w:t xml:space="preserve">also </w:t>
      </w:r>
      <w:r w:rsidR="00F44E53">
        <w:t>indicates that p</w:t>
      </w:r>
      <w:r w:rsidR="00657619" w:rsidRPr="00657619">
        <w:t xml:space="preserve">aramilitary activity </w:t>
      </w:r>
      <w:r w:rsidR="00B267E1">
        <w:lastRenderedPageBreak/>
        <w:t xml:space="preserve">has a </w:t>
      </w:r>
      <w:r w:rsidR="00657619" w:rsidRPr="00657619">
        <w:t>particular effect on women, who live in fear of such groups.</w:t>
      </w:r>
      <w:r w:rsidR="00657619" w:rsidRPr="00657619">
        <w:rPr>
          <w:vertAlign w:val="superscript"/>
        </w:rPr>
        <w:footnoteReference w:id="111"/>
      </w:r>
      <w:r w:rsidR="00C04956">
        <w:t xml:space="preserve"> </w:t>
      </w:r>
      <w:r w:rsidR="00B267E1">
        <w:t xml:space="preserve">It is recognised that </w:t>
      </w:r>
      <w:r w:rsidR="00657619" w:rsidRPr="00657619">
        <w:t xml:space="preserve">this intimidation (which can include threats to life) </w:t>
      </w:r>
      <w:r w:rsidR="0023407A">
        <w:t>can</w:t>
      </w:r>
      <w:r w:rsidR="00657619" w:rsidRPr="00657619">
        <w:t xml:space="preserve"> prevent women from accessing funding</w:t>
      </w:r>
      <w:r w:rsidR="00B267E1">
        <w:t xml:space="preserve"> and from engaging</w:t>
      </w:r>
      <w:r w:rsidR="00657619" w:rsidRPr="00657619">
        <w:t xml:space="preserve"> with peace initiatives</w:t>
      </w:r>
      <w:r w:rsidR="00B267E1">
        <w:t>.</w:t>
      </w:r>
      <w:r w:rsidR="00657619" w:rsidRPr="00657619">
        <w:rPr>
          <w:vertAlign w:val="superscript"/>
        </w:rPr>
        <w:footnoteReference w:id="112"/>
      </w:r>
      <w:r w:rsidR="00657619" w:rsidRPr="00657619">
        <w:t xml:space="preserve"> It has a particular negative </w:t>
      </w:r>
      <w:r w:rsidR="00B267E1">
        <w:t>impact</w:t>
      </w:r>
      <w:r w:rsidR="00B267E1" w:rsidRPr="00657619">
        <w:t xml:space="preserve"> </w:t>
      </w:r>
      <w:r w:rsidR="00657619" w:rsidRPr="00657619">
        <w:t>on women experiencing violence and domestic abuse when trying to access services</w:t>
      </w:r>
      <w:r w:rsidR="00B267E1">
        <w:t>. It has a known impact on women’s ability to access</w:t>
      </w:r>
      <w:r w:rsidR="00A10254">
        <w:t xml:space="preserve"> </w:t>
      </w:r>
      <w:r w:rsidR="00C84642">
        <w:t xml:space="preserve">social </w:t>
      </w:r>
      <w:r w:rsidR="00A10254">
        <w:t>housing</w:t>
      </w:r>
      <w:r w:rsidR="00657619" w:rsidRPr="00657619">
        <w:t>.</w:t>
      </w:r>
      <w:r w:rsidR="00657619" w:rsidRPr="00657619">
        <w:rPr>
          <w:vertAlign w:val="superscript"/>
        </w:rPr>
        <w:footnoteReference w:id="113"/>
      </w:r>
      <w:r w:rsidR="00657619" w:rsidRPr="00657619">
        <w:t xml:space="preserve"> </w:t>
      </w:r>
    </w:p>
    <w:p w14:paraId="06B0CF2E" w14:textId="77777777" w:rsidR="00115AD2" w:rsidRDefault="00115AD2" w:rsidP="009A237B"/>
    <w:p w14:paraId="7ADB7009" w14:textId="3D37E813" w:rsidR="00115AD2" w:rsidRPr="00657619" w:rsidRDefault="00B267E1" w:rsidP="00944256">
      <w:pPr>
        <w:pStyle w:val="ListParagraph"/>
        <w:numPr>
          <w:ilvl w:val="1"/>
          <w:numId w:val="16"/>
        </w:numPr>
        <w:suppressAutoHyphens/>
        <w:ind w:left="709" w:hanging="709"/>
      </w:pPr>
      <w:r>
        <w:t>Research</w:t>
      </w:r>
      <w:r w:rsidR="00815B58">
        <w:t xml:space="preserve"> by the Commission for Victims and Survivors </w:t>
      </w:r>
      <w:r>
        <w:t xml:space="preserve">notes </w:t>
      </w:r>
      <w:r w:rsidR="00930014">
        <w:t xml:space="preserve">that </w:t>
      </w:r>
      <w:r w:rsidR="00BC6C40">
        <w:t>child</w:t>
      </w:r>
      <w:r w:rsidR="00B20212">
        <w:t xml:space="preserve">ren </w:t>
      </w:r>
      <w:r>
        <w:t xml:space="preserve">and young people </w:t>
      </w:r>
      <w:r w:rsidR="009B2B7C">
        <w:t>face an increased risk of intimidation and exploitation by paramilitary and/or criminal groups.</w:t>
      </w:r>
      <w:r w:rsidR="00732F98">
        <w:rPr>
          <w:rStyle w:val="FootnoteReference"/>
        </w:rPr>
        <w:footnoteReference w:id="114"/>
      </w:r>
      <w:r w:rsidR="009B2B7C">
        <w:t xml:space="preserve"> </w:t>
      </w:r>
      <w:r w:rsidR="00732F98">
        <w:t>C</w:t>
      </w:r>
      <w:r w:rsidR="00247CCD">
        <w:t>onflict</w:t>
      </w:r>
      <w:r>
        <w:t xml:space="preserve"> </w:t>
      </w:r>
      <w:r w:rsidR="00247CCD">
        <w:t xml:space="preserve">related </w:t>
      </w:r>
      <w:r w:rsidR="00BC6C40">
        <w:t>trauma –</w:t>
      </w:r>
      <w:r w:rsidR="00716DD6">
        <w:t xml:space="preserve"> </w:t>
      </w:r>
      <w:r w:rsidR="00BC6C40">
        <w:t xml:space="preserve">transgenerational </w:t>
      </w:r>
      <w:r>
        <w:t>and contemporary</w:t>
      </w:r>
      <w:r w:rsidR="00BC6C40">
        <w:t xml:space="preserve"> </w:t>
      </w:r>
      <w:r w:rsidR="00367F94">
        <w:t>–</w:t>
      </w:r>
      <w:r w:rsidR="00BC6C40">
        <w:t xml:space="preserve"> </w:t>
      </w:r>
      <w:r w:rsidR="00367F94">
        <w:t xml:space="preserve">has </w:t>
      </w:r>
      <w:r w:rsidR="00247CCD">
        <w:t xml:space="preserve">been </w:t>
      </w:r>
      <w:r w:rsidR="00367F94">
        <w:t xml:space="preserve">associated with heightened risk of anxiety disorders, </w:t>
      </w:r>
      <w:r w:rsidR="00247CCD">
        <w:t>post-traumatic stress disorder</w:t>
      </w:r>
      <w:r w:rsidR="00367F94">
        <w:t>, self-harm and suicide</w:t>
      </w:r>
      <w:r w:rsidR="00247CCD">
        <w:t>.</w:t>
      </w:r>
      <w:r w:rsidR="00247CCD">
        <w:rPr>
          <w:rStyle w:val="FootnoteReference"/>
        </w:rPr>
        <w:footnoteReference w:id="115"/>
      </w:r>
      <w:r w:rsidR="00DE6019">
        <w:t xml:space="preserve"> </w:t>
      </w:r>
      <w:r w:rsidR="00975610">
        <w:t xml:space="preserve">It </w:t>
      </w:r>
      <w:r w:rsidR="00B157C5">
        <w:t xml:space="preserve">highlights </w:t>
      </w:r>
      <w:r>
        <w:t xml:space="preserve">how </w:t>
      </w:r>
      <w:r w:rsidR="00B157C5">
        <w:t>importan</w:t>
      </w:r>
      <w:r>
        <w:t xml:space="preserve">t it is to </w:t>
      </w:r>
      <w:r w:rsidR="00697AA6">
        <w:t>provi</w:t>
      </w:r>
      <w:r w:rsidR="00B157C5">
        <w:t>d</w:t>
      </w:r>
      <w:r>
        <w:t>e</w:t>
      </w:r>
      <w:r w:rsidR="00697AA6">
        <w:t xml:space="preserve"> </w:t>
      </w:r>
      <w:r w:rsidR="00975610">
        <w:t xml:space="preserve">mental health services </w:t>
      </w:r>
      <w:r w:rsidR="00697AA6">
        <w:t xml:space="preserve">that </w:t>
      </w:r>
      <w:r w:rsidR="00975610">
        <w:t xml:space="preserve">are sensitive and responsive to </w:t>
      </w:r>
      <w:r w:rsidR="00B075E0">
        <w:t>legacy</w:t>
      </w:r>
      <w:r w:rsidR="00975610">
        <w:t xml:space="preserve"> issues</w:t>
      </w:r>
      <w:r>
        <w:t>.</w:t>
      </w:r>
      <w:r w:rsidR="00B7602C">
        <w:rPr>
          <w:rStyle w:val="FootnoteReference"/>
        </w:rPr>
        <w:footnoteReference w:id="116"/>
      </w:r>
      <w:r w:rsidR="002F38EC">
        <w:t xml:space="preserve"> </w:t>
      </w:r>
      <w:r>
        <w:t xml:space="preserve">It also </w:t>
      </w:r>
      <w:r w:rsidR="002F38EC">
        <w:t>not</w:t>
      </w:r>
      <w:r>
        <w:t>es</w:t>
      </w:r>
      <w:r w:rsidR="002F38EC">
        <w:t xml:space="preserve"> </w:t>
      </w:r>
      <w:r>
        <w:t xml:space="preserve">with concern </w:t>
      </w:r>
      <w:r w:rsidR="002F38EC">
        <w:t xml:space="preserve">the significant </w:t>
      </w:r>
      <w:r>
        <w:t xml:space="preserve">issues </w:t>
      </w:r>
      <w:r w:rsidR="002F38EC">
        <w:t>raised by</w:t>
      </w:r>
      <w:r w:rsidR="00B7602C">
        <w:t xml:space="preserve"> </w:t>
      </w:r>
      <w:r w:rsidR="002F38EC">
        <w:t>t</w:t>
      </w:r>
      <w:r w:rsidR="00B2250E">
        <w:t xml:space="preserve">he NI Commissioner for Children and Young People </w:t>
      </w:r>
      <w:r w:rsidR="00E67E78">
        <w:t>regarding the</w:t>
      </w:r>
      <w:r w:rsidR="003939F9">
        <w:t xml:space="preserve"> adequacy of </w:t>
      </w:r>
      <w:r w:rsidR="00995DA8">
        <w:t xml:space="preserve">mental </w:t>
      </w:r>
      <w:r>
        <w:t xml:space="preserve">health </w:t>
      </w:r>
      <w:r w:rsidR="003939F9">
        <w:t>services for children</w:t>
      </w:r>
      <w:r w:rsidR="008F6835">
        <w:t>.</w:t>
      </w:r>
      <w:r w:rsidR="00B7602C">
        <w:rPr>
          <w:rStyle w:val="FootnoteReference"/>
        </w:rPr>
        <w:footnoteReference w:id="117"/>
      </w:r>
      <w:r w:rsidR="00C916ED">
        <w:t xml:space="preserve"> </w:t>
      </w:r>
      <w:r w:rsidR="003308C7">
        <w:t xml:space="preserve">Evidence considered during the </w:t>
      </w:r>
      <w:r w:rsidR="00B157C5">
        <w:t>r</w:t>
      </w:r>
      <w:r w:rsidR="00181D30">
        <w:t>ecent NI Affairs Inquiry</w:t>
      </w:r>
      <w:r w:rsidR="00732F98">
        <w:t xml:space="preserve"> </w:t>
      </w:r>
      <w:r w:rsidR="003308C7">
        <w:t>reiterates</w:t>
      </w:r>
      <w:r w:rsidR="00732F98">
        <w:t xml:space="preserve"> that </w:t>
      </w:r>
      <w:r w:rsidR="00181D30" w:rsidRPr="00181D30">
        <w:t xml:space="preserve">the failure to eradicate paramilitaries </w:t>
      </w:r>
      <w:r w:rsidR="00174D5E">
        <w:t xml:space="preserve">“has </w:t>
      </w:r>
      <w:r w:rsidR="00181D30" w:rsidRPr="00181D30">
        <w:t>continue</w:t>
      </w:r>
      <w:r w:rsidR="00174D5E">
        <w:t>d</w:t>
      </w:r>
      <w:r w:rsidR="00181D30" w:rsidRPr="00181D30">
        <w:t xml:space="preserve"> to re-traumatise innocent victims</w:t>
      </w:r>
      <w:r w:rsidR="00174D5E">
        <w:t>”</w:t>
      </w:r>
      <w:r w:rsidR="004F2FD6">
        <w:t>.</w:t>
      </w:r>
      <w:r w:rsidR="004F2FD6">
        <w:rPr>
          <w:rStyle w:val="FootnoteReference"/>
        </w:rPr>
        <w:footnoteReference w:id="118"/>
      </w:r>
    </w:p>
    <w:p w14:paraId="097DFBE7" w14:textId="77777777" w:rsidR="00015EA6" w:rsidRPr="00855D6F" w:rsidRDefault="00015EA6" w:rsidP="00855D6F">
      <w:pPr>
        <w:pStyle w:val="ListParagraph"/>
        <w:suppressAutoHyphens/>
        <w:ind w:left="709"/>
        <w:rPr>
          <w:rFonts w:cs="Arial"/>
          <w:color w:val="3C3C3B"/>
        </w:rPr>
      </w:pPr>
    </w:p>
    <w:p w14:paraId="41D4A5B0" w14:textId="77777777" w:rsidR="00687EE2" w:rsidRDefault="00BD0548" w:rsidP="00687EE2">
      <w:pPr>
        <w:pStyle w:val="ListParagraph"/>
        <w:numPr>
          <w:ilvl w:val="1"/>
          <w:numId w:val="16"/>
        </w:numPr>
        <w:suppressAutoHyphens/>
        <w:ind w:left="709" w:hanging="709"/>
        <w:rPr>
          <w:color w:val="000000"/>
        </w:rPr>
      </w:pPr>
      <w:r>
        <w:t xml:space="preserve">The UN Basic Principles and Guidelines on the Right to a Remedy and Reparation for Victims provides that “appropriate measures should be </w:t>
      </w:r>
      <w:r>
        <w:lastRenderedPageBreak/>
        <w:t>taken to ensure [victims’] safety, physical and psychological well-being” and “that a victim who has suffered violence or trauma should benefit from special consideration and care to avoid his or her re-traumatisation”.</w:t>
      </w:r>
      <w:r>
        <w:rPr>
          <w:rStyle w:val="FootnoteReference"/>
        </w:rPr>
        <w:footnoteReference w:id="119"/>
      </w:r>
      <w:r>
        <w:t xml:space="preserve"> This is also supported by the UN CAT Committee,</w:t>
      </w:r>
      <w:r>
        <w:rPr>
          <w:rStyle w:val="FootnoteReference"/>
        </w:rPr>
        <w:footnoteReference w:id="120"/>
      </w:r>
      <w:r>
        <w:t xml:space="preserve"> which calls for sensitivity towards marginalised or </w:t>
      </w:r>
      <w:r w:rsidR="004B6752">
        <w:t xml:space="preserve">high risk </w:t>
      </w:r>
      <w:r>
        <w:t>groups or individuals, particularly women and children,</w:t>
      </w:r>
      <w:r>
        <w:rPr>
          <w:rStyle w:val="FootnoteReference"/>
        </w:rPr>
        <w:footnoteReference w:id="121"/>
      </w:r>
      <w:r>
        <w:t xml:space="preserve"> for the purposes of preventing “re-traumatisation and stigmatisation”.</w:t>
      </w:r>
      <w:r>
        <w:rPr>
          <w:rStyle w:val="FootnoteReference"/>
        </w:rPr>
        <w:footnoteReference w:id="122"/>
      </w:r>
      <w:r>
        <w:t xml:space="preserve"> </w:t>
      </w:r>
      <w:r w:rsidR="00AE1A2D" w:rsidRPr="00BF7C7D">
        <w:rPr>
          <w:color w:val="000000"/>
        </w:rPr>
        <w:t xml:space="preserve">The </w:t>
      </w:r>
      <w:proofErr w:type="spellStart"/>
      <w:r w:rsidR="00AE1A2D" w:rsidRPr="00BF7C7D">
        <w:rPr>
          <w:color w:val="000000"/>
        </w:rPr>
        <w:t>CoE</w:t>
      </w:r>
      <w:proofErr w:type="spellEnd"/>
      <w:r w:rsidR="00AE1A2D" w:rsidRPr="00BF7C7D">
        <w:rPr>
          <w:color w:val="000000"/>
        </w:rPr>
        <w:t xml:space="preserve"> Committee of Ministers </w:t>
      </w:r>
      <w:r w:rsidR="00BF7C7D" w:rsidRPr="00BF7C7D">
        <w:rPr>
          <w:color w:val="000000"/>
        </w:rPr>
        <w:t>specifies that</w:t>
      </w:r>
      <w:r w:rsidR="00AE1A2D" w:rsidRPr="00BF7C7D">
        <w:rPr>
          <w:color w:val="000000"/>
        </w:rPr>
        <w:t xml:space="preserve"> </w:t>
      </w:r>
      <w:r w:rsidR="00BF7C7D" w:rsidRPr="00BF7C7D">
        <w:rPr>
          <w:color w:val="000000"/>
        </w:rPr>
        <w:t>m</w:t>
      </w:r>
      <w:r w:rsidR="00D74A21" w:rsidRPr="00BF7C7D">
        <w:rPr>
          <w:color w:val="000000"/>
        </w:rPr>
        <w:t xml:space="preserve">easures </w:t>
      </w:r>
      <w:r w:rsidR="00BF7C7D" w:rsidRPr="00BF7C7D">
        <w:rPr>
          <w:color w:val="000000"/>
        </w:rPr>
        <w:t>should be</w:t>
      </w:r>
      <w:r w:rsidR="00D74A21" w:rsidRPr="00BF7C7D">
        <w:rPr>
          <w:color w:val="000000"/>
        </w:rPr>
        <w:t xml:space="preserve"> </w:t>
      </w:r>
      <w:r w:rsidR="00BF7C7D" w:rsidRPr="00BF7C7D">
        <w:rPr>
          <w:color w:val="000000"/>
        </w:rPr>
        <w:t>“</w:t>
      </w:r>
      <w:r w:rsidR="00D74A21" w:rsidRPr="00BF7C7D">
        <w:rPr>
          <w:color w:val="000000"/>
        </w:rPr>
        <w:t>available to protect, as far as possible, victims and their family members from secondary and repeat victimisation, from intimidation and retaliation and from violations of their privacy and dignity</w:t>
      </w:r>
      <w:r w:rsidR="00BF7C7D" w:rsidRPr="00BF7C7D">
        <w:rPr>
          <w:color w:val="000000"/>
        </w:rPr>
        <w:t>”.</w:t>
      </w:r>
      <w:r w:rsidR="00BF7C7D">
        <w:rPr>
          <w:rStyle w:val="FootnoteReference"/>
          <w:color w:val="000000"/>
        </w:rPr>
        <w:footnoteReference w:id="123"/>
      </w:r>
    </w:p>
    <w:p w14:paraId="15E52DED" w14:textId="77777777" w:rsidR="00687EE2" w:rsidRDefault="00687EE2" w:rsidP="00C91F8A">
      <w:pPr>
        <w:pStyle w:val="ListParagraph"/>
      </w:pPr>
    </w:p>
    <w:p w14:paraId="4E025428" w14:textId="7E73B20C" w:rsidR="007B5CEA" w:rsidRPr="00C91F8A" w:rsidRDefault="00C37D76" w:rsidP="007B5CEA">
      <w:pPr>
        <w:pStyle w:val="ListParagraph"/>
        <w:numPr>
          <w:ilvl w:val="1"/>
          <w:numId w:val="16"/>
        </w:numPr>
        <w:suppressAutoHyphens/>
        <w:ind w:left="709" w:hanging="709"/>
        <w:rPr>
          <w:color w:val="000000"/>
        </w:rPr>
      </w:pPr>
      <w:r>
        <w:t>Article 22</w:t>
      </w:r>
      <w:r w:rsidR="00E93481">
        <w:t xml:space="preserve"> </w:t>
      </w:r>
      <w:r w:rsidR="0083623C">
        <w:t>of the</w:t>
      </w:r>
      <w:r w:rsidR="00687EE2" w:rsidRPr="0073476B">
        <w:t xml:space="preserve"> </w:t>
      </w:r>
      <w:r w:rsidR="00C172BB">
        <w:t xml:space="preserve">EU </w:t>
      </w:r>
      <w:r w:rsidR="00687EE2" w:rsidRPr="0073476B">
        <w:t xml:space="preserve">Victims’ Directive </w:t>
      </w:r>
      <w:r w:rsidR="006942C7">
        <w:t xml:space="preserve">recognises </w:t>
      </w:r>
      <w:r w:rsidR="00995792">
        <w:t>that</w:t>
      </w:r>
      <w:r w:rsidR="00F519A9">
        <w:t xml:space="preserve"> individual assessment is necessary to identify victims’ needs during their involvement in criminal proceedings.</w:t>
      </w:r>
      <w:r w:rsidR="00F519A9">
        <w:rPr>
          <w:rStyle w:val="FootnoteReference"/>
        </w:rPr>
        <w:footnoteReference w:id="124"/>
      </w:r>
      <w:r w:rsidR="00F519A9">
        <w:t xml:space="preserve"> Such assessments should take into account </w:t>
      </w:r>
      <w:r w:rsidR="005300A2">
        <w:t xml:space="preserve">the personal circumstances of the victim and the </w:t>
      </w:r>
      <w:r w:rsidR="00995792" w:rsidRPr="00B46182">
        <w:rPr>
          <w:color w:val="333333"/>
          <w:shd w:val="clear" w:color="auto" w:fill="FFFFFF"/>
        </w:rPr>
        <w:t>nature or circumstances of the crime</w:t>
      </w:r>
      <w:r w:rsidR="00995792">
        <w:rPr>
          <w:color w:val="333333"/>
          <w:shd w:val="clear" w:color="auto" w:fill="FFFFFF"/>
        </w:rPr>
        <w:t xml:space="preserve"> </w:t>
      </w:r>
      <w:r w:rsidR="00995792">
        <w:t>when assessing the specific protection need</w:t>
      </w:r>
      <w:r w:rsidR="00792685">
        <w:t>ed by a</w:t>
      </w:r>
      <w:r w:rsidR="00995792">
        <w:t xml:space="preserve"> victim.</w:t>
      </w:r>
      <w:r w:rsidR="005300A2">
        <w:rPr>
          <w:rStyle w:val="FootnoteReference"/>
        </w:rPr>
        <w:footnoteReference w:id="125"/>
      </w:r>
      <w:r w:rsidR="00995792">
        <w:t xml:space="preserve"> </w:t>
      </w:r>
      <w:r w:rsidR="00792685">
        <w:t xml:space="preserve">If a </w:t>
      </w:r>
      <w:r w:rsidR="009C7812">
        <w:t xml:space="preserve">victim </w:t>
      </w:r>
      <w:r w:rsidR="00792685">
        <w:t>is</w:t>
      </w:r>
      <w:r w:rsidR="009C7812">
        <w:t xml:space="preserve"> assessed as having specific needs, </w:t>
      </w:r>
      <w:r>
        <w:t>Article 23</w:t>
      </w:r>
      <w:r w:rsidR="009C7812">
        <w:t xml:space="preserve"> provides for special measures to be made available</w:t>
      </w:r>
      <w:r w:rsidR="00792685">
        <w:t>.</w:t>
      </w:r>
      <w:r w:rsidR="009C7812">
        <w:rPr>
          <w:rStyle w:val="FootnoteReference"/>
        </w:rPr>
        <w:footnoteReference w:id="126"/>
      </w:r>
      <w:r w:rsidR="009C7812">
        <w:t xml:space="preserve"> </w:t>
      </w:r>
      <w:r w:rsidR="00995792">
        <w:t xml:space="preserve">It highlights </w:t>
      </w:r>
      <w:r w:rsidR="006942C7">
        <w:t xml:space="preserve">the specific needs of victims who are at a </w:t>
      </w:r>
      <w:r w:rsidR="00995792" w:rsidRPr="00995792">
        <w:t>high risk of secondary and repeat victimisation, of intimidation and of retaliation</w:t>
      </w:r>
      <w:r w:rsidR="002E41F9">
        <w:t>.</w:t>
      </w:r>
      <w:r w:rsidR="005300A2">
        <w:rPr>
          <w:rStyle w:val="FootnoteReference"/>
        </w:rPr>
        <w:footnoteReference w:id="127"/>
      </w:r>
      <w:r w:rsidR="00995792">
        <w:t xml:space="preserve"> </w:t>
      </w:r>
      <w:r w:rsidR="002E41F9">
        <w:t>Article 18</w:t>
      </w:r>
      <w:r w:rsidR="005300A2">
        <w:t xml:space="preserve"> </w:t>
      </w:r>
      <w:r w:rsidR="002E41F9">
        <w:t>require</w:t>
      </w:r>
      <w:r w:rsidR="005300A2">
        <w:t>s</w:t>
      </w:r>
      <w:r w:rsidR="002E41F9">
        <w:t xml:space="preserve"> </w:t>
      </w:r>
      <w:r w:rsidR="00E24F71">
        <w:t xml:space="preserve">States </w:t>
      </w:r>
      <w:r w:rsidR="002E41F9">
        <w:t>to ensure that measures are available to protect victims and their families</w:t>
      </w:r>
      <w:r w:rsidR="005300A2">
        <w:t>,</w:t>
      </w:r>
      <w:r w:rsidR="002E41F9">
        <w:t xml:space="preserve"> </w:t>
      </w:r>
      <w:r w:rsidR="002E41F9" w:rsidRPr="002E41F9">
        <w:t xml:space="preserve">including </w:t>
      </w:r>
      <w:r w:rsidR="005300A2">
        <w:t xml:space="preserve">for their </w:t>
      </w:r>
      <w:r w:rsidR="005300A2" w:rsidRPr="002E41F9">
        <w:t xml:space="preserve">dignity </w:t>
      </w:r>
      <w:r w:rsidR="005300A2">
        <w:t xml:space="preserve">and </w:t>
      </w:r>
      <w:r w:rsidR="002E41F9" w:rsidRPr="002E41F9">
        <w:t>against emotional or psychological harm</w:t>
      </w:r>
      <w:r w:rsidR="00BA5A3A">
        <w:t>. This can be particularly elevated during interview, evidence giving and cross-</w:t>
      </w:r>
      <w:r w:rsidR="00BA5A3A">
        <w:lastRenderedPageBreak/>
        <w:t xml:space="preserve">examination. Importantly, </w:t>
      </w:r>
      <w:r w:rsidR="005300A2">
        <w:t>support ser</w:t>
      </w:r>
      <w:r w:rsidR="00F519A9">
        <w:t xml:space="preserve">vices should include </w:t>
      </w:r>
      <w:r w:rsidR="00995792">
        <w:t>advice</w:t>
      </w:r>
      <w:r w:rsidR="002E41F9">
        <w:t xml:space="preserve"> on risk and prevention</w:t>
      </w:r>
      <w:r w:rsidR="00F519A9">
        <w:t xml:space="preserve"> </w:t>
      </w:r>
      <w:r w:rsidR="00EB601B">
        <w:t xml:space="preserve">and ensure </w:t>
      </w:r>
      <w:r w:rsidR="00BA5A3A">
        <w:t xml:space="preserve">provision of </w:t>
      </w:r>
      <w:r w:rsidR="002E41F9">
        <w:t>interim shelter and accommodation</w:t>
      </w:r>
      <w:r w:rsidR="00F519A9">
        <w:t>, where necessary.</w:t>
      </w:r>
      <w:r w:rsidR="00F519A9">
        <w:rPr>
          <w:rStyle w:val="FootnoteReference"/>
        </w:rPr>
        <w:footnoteReference w:id="128"/>
      </w:r>
      <w:r w:rsidR="00F519A9">
        <w:t xml:space="preserve"> </w:t>
      </w:r>
    </w:p>
    <w:p w14:paraId="22FEB153" w14:textId="054742EC" w:rsidR="007B5CEA" w:rsidRPr="001673AC" w:rsidRDefault="007B5CEA" w:rsidP="7679F3B5">
      <w:pPr>
        <w:suppressAutoHyphens/>
        <w:ind w:left="360"/>
        <w:rPr>
          <w:color w:val="000000"/>
        </w:rPr>
      </w:pPr>
    </w:p>
    <w:p w14:paraId="5497A62B" w14:textId="37826913" w:rsidR="007B5CEA" w:rsidRPr="001673AC" w:rsidRDefault="007B5CEA" w:rsidP="00042A8F">
      <w:pPr>
        <w:pStyle w:val="ListParagraph"/>
        <w:numPr>
          <w:ilvl w:val="1"/>
          <w:numId w:val="16"/>
        </w:numPr>
        <w:suppressAutoHyphens/>
        <w:ind w:left="709" w:hanging="709"/>
        <w:rPr>
          <w:color w:val="000000"/>
        </w:rPr>
      </w:pPr>
      <w:r>
        <w:t>A</w:t>
      </w:r>
      <w:r w:rsidRPr="00564A3B">
        <w:t xml:space="preserve">rticle </w:t>
      </w:r>
      <w:r>
        <w:t xml:space="preserve">22(4) and </w:t>
      </w:r>
      <w:r w:rsidRPr="00564A3B">
        <w:t>24 of the EU Victims’ Directive sets out specific provisions to safeguard the rights of child victims during criminal proceedings</w:t>
      </w:r>
      <w:r>
        <w:t xml:space="preserve"> specifically the </w:t>
      </w:r>
      <w:r w:rsidRPr="00FF4B09">
        <w:t>presumption of vulnerability to secondary and repeat victimisation, to intimidation and to retaliation and the need for individual assessment</w:t>
      </w:r>
      <w:r w:rsidR="00C04956">
        <w:t>.</w:t>
      </w:r>
      <w:r w:rsidRPr="00564A3B">
        <w:rPr>
          <w:rStyle w:val="FootnoteReference"/>
        </w:rPr>
        <w:footnoteReference w:id="129"/>
      </w:r>
      <w:r w:rsidRPr="004860A5">
        <w:t xml:space="preserve"> </w:t>
      </w:r>
      <w:r w:rsidRPr="00237F32">
        <w:t xml:space="preserve">The EU Child Sexual Exploitation Directive also </w:t>
      </w:r>
      <w:r w:rsidR="00C37D76">
        <w:t>requires that</w:t>
      </w:r>
      <w:r w:rsidRPr="00237F32">
        <w:t xml:space="preserve"> the best interests of the child </w:t>
      </w:r>
      <w:r w:rsidR="00C37D76">
        <w:t xml:space="preserve">be taken into account </w:t>
      </w:r>
      <w:r w:rsidRPr="00237F32">
        <w:t>when providing assistance, support and protection to child victims of sexual abuse and exploitation.</w:t>
      </w:r>
      <w:r w:rsidR="00E93481" w:rsidRPr="00564A3B">
        <w:rPr>
          <w:rStyle w:val="FootnoteReference"/>
        </w:rPr>
        <w:footnoteReference w:id="130"/>
      </w:r>
      <w:r w:rsidR="00E93481" w:rsidRPr="001673AC">
        <w:rPr>
          <w:color w:val="000000"/>
        </w:rPr>
        <w:t xml:space="preserve"> </w:t>
      </w:r>
    </w:p>
    <w:p w14:paraId="7DC73FA5" w14:textId="77777777" w:rsidR="00BD0548" w:rsidRPr="00BD0548" w:rsidRDefault="00BD0548" w:rsidP="00BD0548">
      <w:pPr>
        <w:suppressAutoHyphens/>
        <w:rPr>
          <w:color w:val="000000"/>
        </w:rPr>
      </w:pPr>
    </w:p>
    <w:p w14:paraId="7E3E8A4A" w14:textId="0E09CABB" w:rsidR="008F26BF" w:rsidRDefault="00FE2A06" w:rsidP="00944256">
      <w:pPr>
        <w:pStyle w:val="ListParagraph"/>
        <w:numPr>
          <w:ilvl w:val="1"/>
          <w:numId w:val="16"/>
        </w:numPr>
        <w:suppressAutoHyphens/>
        <w:ind w:left="709" w:hanging="709"/>
        <w:rPr>
          <w:rFonts w:cs="Arial"/>
        </w:rPr>
      </w:pPr>
      <w:r>
        <w:rPr>
          <w:rFonts w:cs="Arial"/>
        </w:rPr>
        <w:t>T</w:t>
      </w:r>
      <w:r w:rsidR="00E23070">
        <w:rPr>
          <w:rFonts w:cs="Arial"/>
        </w:rPr>
        <w:t xml:space="preserve">he </w:t>
      </w:r>
      <w:r w:rsidR="009E2ADF">
        <w:rPr>
          <w:rFonts w:cs="Arial"/>
        </w:rPr>
        <w:t xml:space="preserve">draft </w:t>
      </w:r>
      <w:r w:rsidR="00E23070">
        <w:rPr>
          <w:rFonts w:cs="Arial"/>
        </w:rPr>
        <w:t>strategy</w:t>
      </w:r>
      <w:r w:rsidR="004E07AD">
        <w:rPr>
          <w:rFonts w:cs="Arial"/>
        </w:rPr>
        <w:t xml:space="preserve"> commits to continue</w:t>
      </w:r>
      <w:r w:rsidR="00E23070">
        <w:rPr>
          <w:rFonts w:cs="Arial"/>
        </w:rPr>
        <w:t>d</w:t>
      </w:r>
      <w:r w:rsidR="004E07AD">
        <w:rPr>
          <w:rFonts w:cs="Arial"/>
        </w:rPr>
        <w:t xml:space="preserve"> working with deliver</w:t>
      </w:r>
      <w:r w:rsidR="00D67830">
        <w:rPr>
          <w:rFonts w:cs="Arial"/>
        </w:rPr>
        <w:t>y p</w:t>
      </w:r>
      <w:r w:rsidR="004E07AD">
        <w:rPr>
          <w:rFonts w:cs="Arial"/>
        </w:rPr>
        <w:t xml:space="preserve">artners, such as the Regional Trauma Network and </w:t>
      </w:r>
      <w:r w:rsidR="0027446D">
        <w:t>Advocacy Support Network</w:t>
      </w:r>
      <w:r w:rsidR="004E07AD">
        <w:rPr>
          <w:rFonts w:cs="Arial"/>
        </w:rPr>
        <w:t>, who provide specialised services for victims and survivors.</w:t>
      </w:r>
      <w:r w:rsidR="009E2ADF">
        <w:rPr>
          <w:rStyle w:val="FootnoteReference"/>
          <w:rFonts w:cs="Arial"/>
        </w:rPr>
        <w:footnoteReference w:id="131"/>
      </w:r>
      <w:r w:rsidR="004E07AD">
        <w:rPr>
          <w:rFonts w:cs="Arial"/>
        </w:rPr>
        <w:t xml:space="preserve"> This is welcomed. However, the </w:t>
      </w:r>
      <w:r w:rsidR="009E2ADF">
        <w:rPr>
          <w:rFonts w:cs="Arial"/>
        </w:rPr>
        <w:t xml:space="preserve">draft </w:t>
      </w:r>
      <w:r w:rsidR="004E07AD">
        <w:rPr>
          <w:rFonts w:cs="Arial"/>
        </w:rPr>
        <w:t xml:space="preserve">strategy does not set out the long-term funding arrangements </w:t>
      </w:r>
      <w:r w:rsidR="00F27E40">
        <w:rPr>
          <w:rFonts w:cs="Arial"/>
        </w:rPr>
        <w:t>required to support such services</w:t>
      </w:r>
      <w:r w:rsidR="00E86511">
        <w:rPr>
          <w:rFonts w:cs="Arial"/>
        </w:rPr>
        <w:t>.</w:t>
      </w:r>
      <w:r w:rsidR="00F27E40">
        <w:rPr>
          <w:rFonts w:cs="Arial"/>
        </w:rPr>
        <w:t xml:space="preserve"> </w:t>
      </w:r>
      <w:r w:rsidR="00132E81">
        <w:rPr>
          <w:rFonts w:cs="Arial"/>
        </w:rPr>
        <w:t>The</w:t>
      </w:r>
      <w:r w:rsidR="005A0C4D">
        <w:rPr>
          <w:rFonts w:cs="Arial"/>
        </w:rPr>
        <w:t xml:space="preserve">refore, it is </w:t>
      </w:r>
      <w:r w:rsidR="00E86511">
        <w:rPr>
          <w:rFonts w:cs="Arial"/>
        </w:rPr>
        <w:t>un</w:t>
      </w:r>
      <w:r w:rsidR="005A0C4D">
        <w:rPr>
          <w:rFonts w:cs="Arial"/>
        </w:rPr>
        <w:t xml:space="preserve">clear what </w:t>
      </w:r>
      <w:r w:rsidR="005874AE">
        <w:rPr>
          <w:rFonts w:cs="Arial"/>
        </w:rPr>
        <w:t xml:space="preserve">specific actions will be taken to ensure the complex needs of victims and survivors </w:t>
      </w:r>
      <w:r w:rsidR="009A6CF1">
        <w:rPr>
          <w:rFonts w:cs="Arial"/>
        </w:rPr>
        <w:t>will be</w:t>
      </w:r>
      <w:r w:rsidR="002E479F" w:rsidRPr="002E479F">
        <w:t xml:space="preserve"> </w:t>
      </w:r>
      <w:r w:rsidR="002E479F">
        <w:t>addressed</w:t>
      </w:r>
      <w:r w:rsidR="00E86511">
        <w:t xml:space="preserve"> fully.</w:t>
      </w:r>
      <w:r w:rsidR="002E479F">
        <w:rPr>
          <w:rStyle w:val="FootnoteReference"/>
        </w:rPr>
        <w:footnoteReference w:id="132"/>
      </w:r>
      <w:r w:rsidR="00112069">
        <w:rPr>
          <w:rFonts w:cs="Arial"/>
        </w:rPr>
        <w:t xml:space="preserve"> </w:t>
      </w:r>
      <w:r w:rsidR="00E86511">
        <w:rPr>
          <w:rFonts w:cs="Arial"/>
        </w:rPr>
        <w:t xml:space="preserve">There is insufficient </w:t>
      </w:r>
      <w:r w:rsidR="009614C7">
        <w:rPr>
          <w:rFonts w:cs="Arial"/>
        </w:rPr>
        <w:t>detail</w:t>
      </w:r>
      <w:r w:rsidR="00E86511">
        <w:rPr>
          <w:rFonts w:cs="Arial"/>
        </w:rPr>
        <w:t xml:space="preserve"> on the commitments</w:t>
      </w:r>
      <w:r w:rsidR="004A42A3">
        <w:rPr>
          <w:rFonts w:cs="Arial"/>
        </w:rPr>
        <w:t xml:space="preserve"> </w:t>
      </w:r>
      <w:r w:rsidR="009614C7">
        <w:rPr>
          <w:rFonts w:cs="Arial"/>
        </w:rPr>
        <w:t xml:space="preserve">regarding the </w:t>
      </w:r>
      <w:r w:rsidR="001215B0">
        <w:rPr>
          <w:rFonts w:cs="Arial"/>
        </w:rPr>
        <w:t>effects</w:t>
      </w:r>
      <w:r w:rsidR="004A42A3">
        <w:rPr>
          <w:rFonts w:cs="Arial"/>
        </w:rPr>
        <w:t xml:space="preserve"> of</w:t>
      </w:r>
      <w:r w:rsidR="009614C7">
        <w:rPr>
          <w:rFonts w:cs="Arial"/>
        </w:rPr>
        <w:t xml:space="preserve"> paramilitarism </w:t>
      </w:r>
      <w:r w:rsidR="00E86511">
        <w:rPr>
          <w:rFonts w:cs="Arial"/>
        </w:rPr>
        <w:t xml:space="preserve">or </w:t>
      </w:r>
      <w:r w:rsidR="009614C7">
        <w:rPr>
          <w:rFonts w:cs="Arial"/>
        </w:rPr>
        <w:t xml:space="preserve">the need </w:t>
      </w:r>
      <w:r w:rsidR="00E86511">
        <w:rPr>
          <w:rFonts w:cs="Arial"/>
        </w:rPr>
        <w:t xml:space="preserve">for </w:t>
      </w:r>
      <w:r w:rsidR="009614C7" w:rsidRPr="009A1064">
        <w:rPr>
          <w:rFonts w:cs="Arial"/>
        </w:rPr>
        <w:t>gender</w:t>
      </w:r>
      <w:r w:rsidR="009614C7">
        <w:rPr>
          <w:rFonts w:cs="Arial"/>
        </w:rPr>
        <w:t xml:space="preserve"> specific and child-sensitive </w:t>
      </w:r>
      <w:r w:rsidR="00E86511">
        <w:rPr>
          <w:rFonts w:cs="Arial"/>
        </w:rPr>
        <w:t>provision</w:t>
      </w:r>
      <w:r w:rsidR="009614C7">
        <w:rPr>
          <w:rFonts w:cs="Arial"/>
        </w:rPr>
        <w:t>.</w:t>
      </w:r>
      <w:r w:rsidR="00E86511">
        <w:rPr>
          <w:rFonts w:cs="Arial"/>
        </w:rPr>
        <w:t xml:space="preserve"> This needs to be addressed specifically.</w:t>
      </w:r>
      <w:r w:rsidR="009614C7">
        <w:rPr>
          <w:rFonts w:cs="Arial"/>
        </w:rPr>
        <w:t xml:space="preserve"> </w:t>
      </w:r>
    </w:p>
    <w:p w14:paraId="74E5C80D" w14:textId="77777777" w:rsidR="00A60F1D" w:rsidRPr="00A60F1D" w:rsidRDefault="00A60F1D" w:rsidP="00C91F8A">
      <w:pPr>
        <w:pStyle w:val="ListParagraph"/>
        <w:rPr>
          <w:rFonts w:cs="Arial"/>
        </w:rPr>
      </w:pPr>
    </w:p>
    <w:p w14:paraId="21C58115" w14:textId="39164B39" w:rsidR="001673AC" w:rsidRDefault="002E738E" w:rsidP="001673AC">
      <w:pPr>
        <w:pStyle w:val="ListParagraph"/>
        <w:numPr>
          <w:ilvl w:val="1"/>
          <w:numId w:val="16"/>
        </w:numPr>
        <w:suppressAutoHyphens/>
        <w:ind w:left="709" w:hanging="709"/>
        <w:rPr>
          <w:rFonts w:cs="Arial"/>
        </w:rPr>
      </w:pPr>
      <w:r>
        <w:rPr>
          <w:rFonts w:cs="Arial"/>
        </w:rPr>
        <w:t xml:space="preserve">Recital </w:t>
      </w:r>
      <w:r w:rsidR="00A60F1D">
        <w:rPr>
          <w:rFonts w:cs="Arial"/>
        </w:rPr>
        <w:t xml:space="preserve">37 of the EU Victims </w:t>
      </w:r>
      <w:r w:rsidR="00994885">
        <w:rPr>
          <w:rFonts w:cs="Arial"/>
        </w:rPr>
        <w:t>Directive</w:t>
      </w:r>
      <w:r w:rsidR="00A60F1D">
        <w:rPr>
          <w:rFonts w:cs="Arial"/>
        </w:rPr>
        <w:t xml:space="preserve"> </w:t>
      </w:r>
      <w:r w:rsidR="00DE48AD">
        <w:rPr>
          <w:rFonts w:cs="Arial"/>
        </w:rPr>
        <w:t>requires</w:t>
      </w:r>
      <w:r w:rsidR="00DE48AD" w:rsidDel="00DE48AD">
        <w:rPr>
          <w:rFonts w:cs="Arial"/>
        </w:rPr>
        <w:t xml:space="preserve"> </w:t>
      </w:r>
      <w:r w:rsidR="008342FE">
        <w:rPr>
          <w:rFonts w:cs="Arial"/>
        </w:rPr>
        <w:t xml:space="preserve">that </w:t>
      </w:r>
      <w:r w:rsidR="00A60F1D">
        <w:rPr>
          <w:rFonts w:cs="Arial"/>
        </w:rPr>
        <w:t xml:space="preserve">support </w:t>
      </w:r>
      <w:r w:rsidR="17DDC99A">
        <w:rPr>
          <w:rFonts w:cs="Arial"/>
        </w:rPr>
        <w:t>is provided</w:t>
      </w:r>
      <w:r w:rsidR="00DE48AD">
        <w:rPr>
          <w:rFonts w:cs="Arial"/>
        </w:rPr>
        <w:t xml:space="preserve"> </w:t>
      </w:r>
      <w:r w:rsidR="00E86511">
        <w:rPr>
          <w:rFonts w:cs="Arial"/>
        </w:rPr>
        <w:t xml:space="preserve">in different media and </w:t>
      </w:r>
      <w:r w:rsidR="00E53A9C">
        <w:rPr>
          <w:rFonts w:cs="Arial"/>
        </w:rPr>
        <w:t xml:space="preserve">with a sufficient geographical distribution to </w:t>
      </w:r>
      <w:r w:rsidR="00E86511">
        <w:rPr>
          <w:rFonts w:cs="Arial"/>
        </w:rPr>
        <w:t>better enable victims to access services.</w:t>
      </w:r>
      <w:r w:rsidR="00E605BE">
        <w:rPr>
          <w:rStyle w:val="FootnoteReference"/>
          <w:rFonts w:cs="Arial"/>
        </w:rPr>
        <w:footnoteReference w:id="133"/>
      </w:r>
      <w:r w:rsidR="00635BDF">
        <w:rPr>
          <w:rFonts w:cs="Arial"/>
        </w:rPr>
        <w:t xml:space="preserve"> </w:t>
      </w:r>
      <w:r w:rsidR="00E53A9C">
        <w:rPr>
          <w:rFonts w:cs="Arial"/>
        </w:rPr>
        <w:t xml:space="preserve"> </w:t>
      </w:r>
      <w:r w:rsidR="00C37D76">
        <w:rPr>
          <w:rFonts w:cs="Arial"/>
        </w:rPr>
        <w:t>Article 8</w:t>
      </w:r>
      <w:r w:rsidR="00FD0540">
        <w:rPr>
          <w:rFonts w:cs="Arial"/>
        </w:rPr>
        <w:t xml:space="preserve"> of the EU Directive</w:t>
      </w:r>
      <w:r w:rsidR="00C37D76">
        <w:rPr>
          <w:rFonts w:cs="Arial"/>
        </w:rPr>
        <w:t xml:space="preserve"> requires </w:t>
      </w:r>
      <w:r w:rsidR="00042A8F">
        <w:rPr>
          <w:rFonts w:cs="Arial"/>
        </w:rPr>
        <w:lastRenderedPageBreak/>
        <w:t xml:space="preserve">Member </w:t>
      </w:r>
      <w:r w:rsidR="00E86511">
        <w:rPr>
          <w:rFonts w:cs="Arial"/>
        </w:rPr>
        <w:t>S</w:t>
      </w:r>
      <w:r w:rsidR="00042A8F">
        <w:rPr>
          <w:rFonts w:cs="Arial"/>
        </w:rPr>
        <w:t xml:space="preserve">tates to </w:t>
      </w:r>
      <w:r w:rsidR="00E86511">
        <w:rPr>
          <w:rFonts w:cs="Arial"/>
        </w:rPr>
        <w:t>provide</w:t>
      </w:r>
      <w:r w:rsidR="00042A8F">
        <w:rPr>
          <w:rFonts w:cs="Arial"/>
        </w:rPr>
        <w:t xml:space="preserve"> access to support services that are</w:t>
      </w:r>
      <w:r w:rsidR="00E86511">
        <w:rPr>
          <w:rFonts w:cs="Arial"/>
        </w:rPr>
        <w:t xml:space="preserve"> specialised and </w:t>
      </w:r>
      <w:r w:rsidR="00042A8F">
        <w:rPr>
          <w:rFonts w:cs="Arial"/>
        </w:rPr>
        <w:t>free of charge</w:t>
      </w:r>
      <w:r w:rsidR="00E86511">
        <w:rPr>
          <w:rFonts w:cs="Arial"/>
        </w:rPr>
        <w:t>.</w:t>
      </w:r>
      <w:r w:rsidR="00042A8F">
        <w:rPr>
          <w:rStyle w:val="FootnoteReference"/>
          <w:rFonts w:cs="Arial"/>
        </w:rPr>
        <w:footnoteReference w:id="134"/>
      </w:r>
    </w:p>
    <w:p w14:paraId="548F1BE9" w14:textId="77777777" w:rsidR="00FB3C6F" w:rsidRPr="00FB3C6F" w:rsidRDefault="00FB3C6F" w:rsidP="00FB3C6F">
      <w:pPr>
        <w:pStyle w:val="ListParagraph"/>
        <w:rPr>
          <w:rFonts w:cs="Arial"/>
          <w:b/>
          <w:bCs/>
        </w:rPr>
      </w:pPr>
    </w:p>
    <w:p w14:paraId="790A9E23" w14:textId="28922FA0" w:rsidR="001673AC" w:rsidRPr="001673AC" w:rsidRDefault="001673AC" w:rsidP="00944256">
      <w:pPr>
        <w:pStyle w:val="ListParagraph"/>
        <w:numPr>
          <w:ilvl w:val="1"/>
          <w:numId w:val="16"/>
        </w:numPr>
        <w:suppressAutoHyphens/>
        <w:ind w:left="709" w:hanging="709"/>
        <w:rPr>
          <w:rFonts w:cs="Arial"/>
          <w:b/>
          <w:bCs/>
          <w:color w:val="3C3C3B"/>
        </w:rPr>
      </w:pPr>
      <w:r w:rsidRPr="001673AC">
        <w:rPr>
          <w:rFonts w:cs="Arial"/>
        </w:rPr>
        <w:t xml:space="preserve">The draft strategy contains commitments to seek </w:t>
      </w:r>
      <w:r>
        <w:t>“opportunities for strategic alignment and collaborative working across government” and to “raise awareness of Troubles/conflict-related trauma and the needs of victims and survivors in other service providers and across government”.</w:t>
      </w:r>
      <w:r>
        <w:rPr>
          <w:rStyle w:val="FootnoteReference"/>
        </w:rPr>
        <w:footnoteReference w:id="135"/>
      </w:r>
      <w:r>
        <w:t xml:space="preserve"> </w:t>
      </w:r>
      <w:r w:rsidRPr="001673AC">
        <w:rPr>
          <w:rFonts w:cs="Arial"/>
        </w:rPr>
        <w:t>This is welcomed, however it would be useful for the draft</w:t>
      </w:r>
      <w:r w:rsidR="6FFB8521" w:rsidRPr="001673AC">
        <w:rPr>
          <w:rFonts w:cs="Arial"/>
        </w:rPr>
        <w:t xml:space="preserve"> </w:t>
      </w:r>
      <w:r w:rsidRPr="001673AC">
        <w:rPr>
          <w:rFonts w:cs="Arial"/>
        </w:rPr>
        <w:t xml:space="preserve">strategy to provide more detail on how it intersects with other government policies or programmes, and what specific actions will be progressed to ensure the rights of victims and survivors are mainstreamed across them.  </w:t>
      </w:r>
      <w:r w:rsidRPr="00042A8F">
        <w:rPr>
          <w:rFonts w:eastAsia="Verdana" w:cs="Verdana"/>
        </w:rPr>
        <w:t xml:space="preserve">The EU Victims’ Directive recognises that the coordination of public services is essential for victims of crime to receive the proper degree of assistance, </w:t>
      </w:r>
      <w:proofErr w:type="gramStart"/>
      <w:r w:rsidRPr="00042A8F">
        <w:rPr>
          <w:rFonts w:eastAsia="Verdana" w:cs="Verdana"/>
        </w:rPr>
        <w:t>support</w:t>
      </w:r>
      <w:proofErr w:type="gramEnd"/>
      <w:r w:rsidRPr="00042A8F">
        <w:rPr>
          <w:rFonts w:eastAsia="Verdana" w:cs="Verdana"/>
        </w:rPr>
        <w:t xml:space="preserve"> and protection.</w:t>
      </w:r>
      <w:r>
        <w:rPr>
          <w:rStyle w:val="FootnoteReference"/>
          <w:rFonts w:cs="Arial"/>
        </w:rPr>
        <w:footnoteReference w:id="136"/>
      </w:r>
      <w:r w:rsidR="00B85960" w:rsidRPr="2C0C89E5">
        <w:rPr>
          <w:rFonts w:eastAsia="Verdana" w:cs="Verdana"/>
        </w:rPr>
        <w:t xml:space="preserve"> The NIHRC agrees.</w:t>
      </w:r>
    </w:p>
    <w:p w14:paraId="73B7EE33" w14:textId="77777777" w:rsidR="001673AC" w:rsidRPr="001673AC" w:rsidRDefault="001673AC" w:rsidP="001673AC">
      <w:pPr>
        <w:suppressAutoHyphens/>
        <w:rPr>
          <w:rFonts w:cs="Arial"/>
          <w:b/>
          <w:bCs/>
          <w:color w:val="3C3C3B"/>
        </w:rPr>
      </w:pPr>
      <w:bookmarkStart w:id="20" w:name="_Hlk163637053"/>
    </w:p>
    <w:p w14:paraId="6F9C8F22" w14:textId="487B9E73" w:rsidR="00FB4453" w:rsidRPr="00C91F8A" w:rsidRDefault="00FB3C6F" w:rsidP="00944256">
      <w:pPr>
        <w:pStyle w:val="ListParagraph"/>
        <w:numPr>
          <w:ilvl w:val="1"/>
          <w:numId w:val="16"/>
        </w:numPr>
        <w:suppressAutoHyphens/>
        <w:ind w:left="709" w:hanging="709"/>
        <w:rPr>
          <w:rFonts w:cs="Arial"/>
          <w:b/>
          <w:bCs/>
          <w:color w:val="3C3C3B"/>
        </w:rPr>
      </w:pPr>
      <w:r w:rsidRPr="7679F3B5">
        <w:rPr>
          <w:rFonts w:cs="Arial"/>
          <w:b/>
          <w:bCs/>
        </w:rPr>
        <w:t xml:space="preserve">The NIHRC recommends that the Executive Office </w:t>
      </w:r>
      <w:r w:rsidR="00B85960" w:rsidRPr="7679F3B5">
        <w:rPr>
          <w:rFonts w:cs="Arial"/>
          <w:b/>
          <w:bCs/>
        </w:rPr>
        <w:t xml:space="preserve">considers and reports on </w:t>
      </w:r>
      <w:r w:rsidRPr="7679F3B5">
        <w:rPr>
          <w:rFonts w:cs="Arial"/>
          <w:b/>
          <w:bCs/>
        </w:rPr>
        <w:t xml:space="preserve">how the strategy </w:t>
      </w:r>
      <w:r w:rsidR="009507D3" w:rsidRPr="7679F3B5">
        <w:rPr>
          <w:rFonts w:cs="Arial"/>
          <w:b/>
          <w:bCs/>
        </w:rPr>
        <w:t xml:space="preserve">intersects with </w:t>
      </w:r>
      <w:r w:rsidRPr="7679F3B5">
        <w:rPr>
          <w:rFonts w:cs="Arial"/>
          <w:b/>
          <w:bCs/>
        </w:rPr>
        <w:t xml:space="preserve">other government strategies </w:t>
      </w:r>
      <w:r w:rsidR="00DE25BE" w:rsidRPr="7679F3B5">
        <w:rPr>
          <w:rFonts w:cs="Arial"/>
          <w:b/>
          <w:bCs/>
        </w:rPr>
        <w:t xml:space="preserve">and what specific actions will be taken </w:t>
      </w:r>
      <w:r w:rsidR="00B85960" w:rsidRPr="7679F3B5">
        <w:rPr>
          <w:rFonts w:cs="Arial"/>
          <w:b/>
          <w:bCs/>
        </w:rPr>
        <w:t xml:space="preserve">to ensure </w:t>
      </w:r>
      <w:r w:rsidR="008C5BA4" w:rsidRPr="7679F3B5">
        <w:rPr>
          <w:rFonts w:cs="Arial"/>
          <w:b/>
          <w:bCs/>
        </w:rPr>
        <w:t xml:space="preserve">a holistic approach </w:t>
      </w:r>
      <w:r w:rsidR="00B4135C" w:rsidRPr="7679F3B5">
        <w:rPr>
          <w:rFonts w:cs="Arial"/>
          <w:b/>
          <w:bCs/>
        </w:rPr>
        <w:t xml:space="preserve">is taken </w:t>
      </w:r>
      <w:r w:rsidR="00593E01" w:rsidRPr="7679F3B5">
        <w:rPr>
          <w:rFonts w:cs="Arial"/>
          <w:b/>
          <w:bCs/>
        </w:rPr>
        <w:t>to</w:t>
      </w:r>
      <w:r w:rsidRPr="7679F3B5">
        <w:rPr>
          <w:rFonts w:cs="Arial"/>
          <w:b/>
          <w:bCs/>
        </w:rPr>
        <w:t xml:space="preserve"> issues </w:t>
      </w:r>
      <w:r w:rsidR="00E322AB" w:rsidRPr="7679F3B5">
        <w:rPr>
          <w:rFonts w:cs="Arial"/>
          <w:b/>
          <w:bCs/>
        </w:rPr>
        <w:t>affecting victims and survivors</w:t>
      </w:r>
      <w:r w:rsidR="00D03F84" w:rsidRPr="7679F3B5">
        <w:rPr>
          <w:rFonts w:cs="Arial"/>
          <w:b/>
          <w:bCs/>
        </w:rPr>
        <w:t xml:space="preserve">. </w:t>
      </w:r>
      <w:r w:rsidR="00131822" w:rsidRPr="7679F3B5">
        <w:rPr>
          <w:rFonts w:cs="Arial"/>
          <w:b/>
          <w:bCs/>
        </w:rPr>
        <w:t xml:space="preserve">This </w:t>
      </w:r>
      <w:r w:rsidR="00B4135C" w:rsidRPr="7679F3B5">
        <w:rPr>
          <w:rFonts w:cs="Arial"/>
          <w:b/>
          <w:bCs/>
        </w:rPr>
        <w:t xml:space="preserve">should </w:t>
      </w:r>
      <w:r w:rsidR="00131822" w:rsidRPr="7679F3B5">
        <w:rPr>
          <w:rFonts w:cs="Arial"/>
          <w:b/>
          <w:bCs/>
        </w:rPr>
        <w:t>include</w:t>
      </w:r>
      <w:r w:rsidR="00816FDA" w:rsidRPr="7679F3B5">
        <w:rPr>
          <w:rFonts w:cs="Arial"/>
          <w:b/>
          <w:bCs/>
        </w:rPr>
        <w:t>,</w:t>
      </w:r>
      <w:r w:rsidR="00956F4C" w:rsidRPr="7679F3B5">
        <w:rPr>
          <w:rFonts w:cs="Arial"/>
          <w:b/>
          <w:bCs/>
        </w:rPr>
        <w:t xml:space="preserve"> </w:t>
      </w:r>
      <w:r w:rsidR="00B4135C" w:rsidRPr="7679F3B5">
        <w:rPr>
          <w:rFonts w:cs="Arial"/>
          <w:b/>
          <w:bCs/>
        </w:rPr>
        <w:t>by way of example,</w:t>
      </w:r>
      <w:r w:rsidR="00131822" w:rsidRPr="7679F3B5">
        <w:rPr>
          <w:rFonts w:cs="Arial"/>
          <w:b/>
          <w:bCs/>
        </w:rPr>
        <w:t xml:space="preserve"> the </w:t>
      </w:r>
      <w:r w:rsidR="00E30948" w:rsidRPr="7679F3B5">
        <w:rPr>
          <w:rFonts w:cs="Arial"/>
          <w:b/>
          <w:bCs/>
        </w:rPr>
        <w:t>Social Inclusion Strategies</w:t>
      </w:r>
      <w:r w:rsidR="00B4135C" w:rsidRPr="7679F3B5">
        <w:rPr>
          <w:rFonts w:cs="Arial"/>
          <w:b/>
          <w:bCs/>
        </w:rPr>
        <w:t>;</w:t>
      </w:r>
      <w:r w:rsidR="00E30948" w:rsidRPr="7679F3B5">
        <w:rPr>
          <w:rFonts w:cs="Arial"/>
          <w:b/>
          <w:bCs/>
        </w:rPr>
        <w:t xml:space="preserve"> the </w:t>
      </w:r>
      <w:r w:rsidR="00131822" w:rsidRPr="7679F3B5">
        <w:rPr>
          <w:rFonts w:cs="Arial"/>
          <w:b/>
          <w:bCs/>
        </w:rPr>
        <w:t>Tackling Paramilitarism Programme</w:t>
      </w:r>
      <w:r w:rsidR="00B4135C" w:rsidRPr="7679F3B5">
        <w:rPr>
          <w:rFonts w:cs="Arial"/>
          <w:b/>
          <w:bCs/>
        </w:rPr>
        <w:t>;</w:t>
      </w:r>
      <w:r w:rsidR="00131822" w:rsidRPr="7679F3B5">
        <w:rPr>
          <w:rFonts w:cs="Arial"/>
          <w:b/>
          <w:bCs/>
        </w:rPr>
        <w:t xml:space="preserve"> the Modern Slavery and Human Trafficking Strategy</w:t>
      </w:r>
      <w:r w:rsidR="00B4135C" w:rsidRPr="7679F3B5">
        <w:rPr>
          <w:rFonts w:cs="Arial"/>
          <w:b/>
          <w:bCs/>
        </w:rPr>
        <w:t>;</w:t>
      </w:r>
      <w:r w:rsidR="003C1BAA" w:rsidRPr="7679F3B5">
        <w:rPr>
          <w:rFonts w:cs="Arial"/>
          <w:b/>
          <w:bCs/>
        </w:rPr>
        <w:t xml:space="preserve"> the Domestic Abuse and Sexual Violence Strategy</w:t>
      </w:r>
      <w:r w:rsidR="00B4135C" w:rsidRPr="7679F3B5">
        <w:rPr>
          <w:rFonts w:cs="Arial"/>
          <w:b/>
          <w:bCs/>
        </w:rPr>
        <w:t>;</w:t>
      </w:r>
      <w:r w:rsidR="00956F4C" w:rsidRPr="7679F3B5">
        <w:rPr>
          <w:rFonts w:cs="Arial"/>
          <w:b/>
          <w:bCs/>
        </w:rPr>
        <w:t xml:space="preserve"> </w:t>
      </w:r>
      <w:r w:rsidR="00F6590F" w:rsidRPr="7679F3B5">
        <w:rPr>
          <w:rFonts w:cs="Arial"/>
          <w:b/>
          <w:bCs/>
        </w:rPr>
        <w:t>and</w:t>
      </w:r>
      <w:r w:rsidR="0096609C" w:rsidRPr="7679F3B5">
        <w:rPr>
          <w:rFonts w:cs="Arial"/>
          <w:b/>
          <w:bCs/>
        </w:rPr>
        <w:t xml:space="preserve"> the </w:t>
      </w:r>
      <w:r w:rsidR="0096609C" w:rsidRPr="7679F3B5">
        <w:rPr>
          <w:b/>
          <w:bCs/>
          <w:color w:val="000000" w:themeColor="text1"/>
        </w:rPr>
        <w:t>Co-operating to Safeguard Children and Young People</w:t>
      </w:r>
      <w:r w:rsidR="00AF064A" w:rsidRPr="7679F3B5">
        <w:rPr>
          <w:b/>
          <w:bCs/>
          <w:color w:val="000000" w:themeColor="text1"/>
        </w:rPr>
        <w:t xml:space="preserve"> </w:t>
      </w:r>
      <w:r w:rsidR="00956F4C" w:rsidRPr="7679F3B5">
        <w:rPr>
          <w:b/>
          <w:bCs/>
          <w:color w:val="000000" w:themeColor="text1"/>
        </w:rPr>
        <w:t>Strategy</w:t>
      </w:r>
      <w:r w:rsidR="00AF064A" w:rsidRPr="7679F3B5">
        <w:rPr>
          <w:b/>
          <w:bCs/>
          <w:color w:val="000000" w:themeColor="text1"/>
        </w:rPr>
        <w:t>.</w:t>
      </w:r>
    </w:p>
    <w:p w14:paraId="01E29E13" w14:textId="77777777" w:rsidR="006C5C76" w:rsidRPr="00C91F8A" w:rsidRDefault="006C5C76" w:rsidP="00C91F8A">
      <w:pPr>
        <w:pStyle w:val="ListParagraph"/>
        <w:rPr>
          <w:rFonts w:cs="Arial"/>
          <w:b/>
          <w:bCs/>
          <w:color w:val="3C3C3B"/>
        </w:rPr>
      </w:pPr>
    </w:p>
    <w:p w14:paraId="53D7CD65" w14:textId="7AE03EF9" w:rsidR="008549D6" w:rsidRPr="00E24F71" w:rsidRDefault="006C5C76" w:rsidP="006C5C76">
      <w:pPr>
        <w:pStyle w:val="ListParagraph"/>
        <w:numPr>
          <w:ilvl w:val="1"/>
          <w:numId w:val="16"/>
        </w:numPr>
        <w:suppressAutoHyphens/>
        <w:ind w:left="709" w:hanging="709"/>
        <w:rPr>
          <w:rFonts w:cs="Arial"/>
          <w:b/>
          <w:bCs/>
          <w:color w:val="3C3C3B"/>
        </w:rPr>
      </w:pPr>
      <w:r w:rsidRPr="7679F3B5">
        <w:rPr>
          <w:b/>
          <w:bCs/>
        </w:rPr>
        <w:t xml:space="preserve">The NIHRC recommends </w:t>
      </w:r>
      <w:r w:rsidR="008549D6" w:rsidRPr="7679F3B5">
        <w:rPr>
          <w:b/>
          <w:bCs/>
        </w:rPr>
        <w:t xml:space="preserve">that the Executive Office sets out how </w:t>
      </w:r>
      <w:r w:rsidR="00AC02FF" w:rsidRPr="7679F3B5">
        <w:rPr>
          <w:b/>
          <w:bCs/>
        </w:rPr>
        <w:t xml:space="preserve">the strategy </w:t>
      </w:r>
      <w:r w:rsidR="008549D6" w:rsidRPr="7679F3B5">
        <w:rPr>
          <w:b/>
          <w:bCs/>
        </w:rPr>
        <w:t xml:space="preserve">is </w:t>
      </w:r>
      <w:r w:rsidR="00AC02FF" w:rsidRPr="7679F3B5">
        <w:rPr>
          <w:b/>
          <w:bCs/>
        </w:rPr>
        <w:t xml:space="preserve">raising awareness of and </w:t>
      </w:r>
      <w:r w:rsidR="008549D6" w:rsidRPr="7679F3B5">
        <w:rPr>
          <w:b/>
          <w:bCs/>
        </w:rPr>
        <w:t xml:space="preserve">giving effect to the rights contained in the EU Victims’ Directive including </w:t>
      </w:r>
      <w:r w:rsidR="00B4135C" w:rsidRPr="7679F3B5">
        <w:rPr>
          <w:b/>
          <w:bCs/>
        </w:rPr>
        <w:t xml:space="preserve">by </w:t>
      </w:r>
      <w:r w:rsidR="00945D53" w:rsidRPr="7679F3B5">
        <w:rPr>
          <w:b/>
          <w:bCs/>
        </w:rPr>
        <w:t xml:space="preserve">reducing the risk of victimisation and the </w:t>
      </w:r>
      <w:r w:rsidR="008549D6" w:rsidRPr="7679F3B5">
        <w:rPr>
          <w:b/>
          <w:bCs/>
        </w:rPr>
        <w:t>specific</w:t>
      </w:r>
      <w:r w:rsidR="00945D53" w:rsidRPr="7679F3B5">
        <w:rPr>
          <w:b/>
          <w:bCs/>
        </w:rPr>
        <w:t xml:space="preserve"> and targeted </w:t>
      </w:r>
      <w:r w:rsidR="008549D6" w:rsidRPr="7679F3B5">
        <w:rPr>
          <w:b/>
          <w:bCs/>
        </w:rPr>
        <w:t xml:space="preserve">measures being undertaken to protect victims against secondary and repeat victimisation, </w:t>
      </w:r>
      <w:proofErr w:type="gramStart"/>
      <w:r w:rsidR="008549D6" w:rsidRPr="7679F3B5">
        <w:rPr>
          <w:b/>
          <w:bCs/>
        </w:rPr>
        <w:t>intimidation</w:t>
      </w:r>
      <w:proofErr w:type="gramEnd"/>
      <w:r w:rsidR="008549D6" w:rsidRPr="7679F3B5">
        <w:rPr>
          <w:b/>
          <w:bCs/>
        </w:rPr>
        <w:t xml:space="preserve"> and retaliation</w:t>
      </w:r>
      <w:r w:rsidR="00AC02FF">
        <w:t>.</w:t>
      </w:r>
    </w:p>
    <w:p w14:paraId="18EF90A8" w14:textId="77777777" w:rsidR="008549D6" w:rsidRPr="00E24F71" w:rsidRDefault="008549D6" w:rsidP="00E24F71">
      <w:pPr>
        <w:pStyle w:val="ListParagraph"/>
        <w:rPr>
          <w:b/>
          <w:bCs/>
        </w:rPr>
      </w:pPr>
    </w:p>
    <w:p w14:paraId="5B023B07" w14:textId="6C4EA716" w:rsidR="006C5C76" w:rsidRPr="0047492B" w:rsidRDefault="00945D53" w:rsidP="006C5C76">
      <w:pPr>
        <w:pStyle w:val="ListParagraph"/>
        <w:numPr>
          <w:ilvl w:val="1"/>
          <w:numId w:val="16"/>
        </w:numPr>
        <w:suppressAutoHyphens/>
        <w:ind w:left="709" w:hanging="709"/>
        <w:rPr>
          <w:rFonts w:cs="Arial"/>
          <w:b/>
          <w:bCs/>
          <w:color w:val="3C3C3B"/>
        </w:rPr>
      </w:pPr>
      <w:r w:rsidRPr="7679F3B5">
        <w:rPr>
          <w:b/>
          <w:bCs/>
        </w:rPr>
        <w:lastRenderedPageBreak/>
        <w:t xml:space="preserve">The NIHRC recommends that the Executive Office </w:t>
      </w:r>
      <w:r w:rsidR="00B4135C" w:rsidRPr="7679F3B5">
        <w:rPr>
          <w:b/>
          <w:bCs/>
        </w:rPr>
        <w:t xml:space="preserve">includes within </w:t>
      </w:r>
      <w:r w:rsidRPr="7679F3B5">
        <w:rPr>
          <w:b/>
          <w:bCs/>
        </w:rPr>
        <w:t xml:space="preserve">the </w:t>
      </w:r>
      <w:r w:rsidR="006C5C76" w:rsidRPr="7679F3B5">
        <w:rPr>
          <w:b/>
          <w:bCs/>
        </w:rPr>
        <w:t xml:space="preserve">strategy </w:t>
      </w:r>
      <w:r w:rsidR="00B4135C" w:rsidRPr="7679F3B5">
        <w:rPr>
          <w:b/>
          <w:bCs/>
        </w:rPr>
        <w:t xml:space="preserve">specific </w:t>
      </w:r>
      <w:r w:rsidR="006C5C76" w:rsidRPr="7679F3B5">
        <w:rPr>
          <w:b/>
          <w:bCs/>
        </w:rPr>
        <w:t xml:space="preserve">measures to ensure the best interests of the child are </w:t>
      </w:r>
      <w:r w:rsidR="00B4135C" w:rsidRPr="7679F3B5">
        <w:rPr>
          <w:b/>
          <w:bCs/>
        </w:rPr>
        <w:t xml:space="preserve">the </w:t>
      </w:r>
      <w:r w:rsidR="006C5C76" w:rsidRPr="7679F3B5">
        <w:rPr>
          <w:b/>
          <w:bCs/>
        </w:rPr>
        <w:t xml:space="preserve">primary consideration. </w:t>
      </w:r>
    </w:p>
    <w:p w14:paraId="55410EFD" w14:textId="77777777" w:rsidR="006C5C76" w:rsidRPr="000A2931" w:rsidRDefault="006C5C76" w:rsidP="006C5C76">
      <w:pPr>
        <w:pStyle w:val="ListParagraph"/>
        <w:rPr>
          <w:b/>
          <w:bCs/>
        </w:rPr>
      </w:pPr>
    </w:p>
    <w:p w14:paraId="3BE8DCAC" w14:textId="7E7201E0" w:rsidR="006C5C76" w:rsidRPr="000A2931" w:rsidRDefault="006C5C76" w:rsidP="006C5C76">
      <w:pPr>
        <w:pStyle w:val="ListParagraph"/>
        <w:numPr>
          <w:ilvl w:val="1"/>
          <w:numId w:val="16"/>
        </w:numPr>
        <w:suppressAutoHyphens/>
        <w:ind w:left="709" w:hanging="709"/>
        <w:rPr>
          <w:rFonts w:cs="Arial"/>
          <w:b/>
          <w:bCs/>
          <w:color w:val="000000" w:themeColor="text1"/>
        </w:rPr>
      </w:pPr>
      <w:r w:rsidRPr="7679F3B5">
        <w:rPr>
          <w:b/>
          <w:bCs/>
        </w:rPr>
        <w:t xml:space="preserve">The NIHRC recommends that </w:t>
      </w:r>
      <w:r w:rsidR="00945D53" w:rsidRPr="7679F3B5">
        <w:rPr>
          <w:b/>
          <w:bCs/>
        </w:rPr>
        <w:t xml:space="preserve">the Executive Office </w:t>
      </w:r>
      <w:r w:rsidR="00B4135C" w:rsidRPr="7679F3B5">
        <w:rPr>
          <w:b/>
          <w:bCs/>
        </w:rPr>
        <w:t>includes within</w:t>
      </w:r>
      <w:r w:rsidR="00945D53" w:rsidRPr="7679F3B5">
        <w:rPr>
          <w:b/>
          <w:bCs/>
        </w:rPr>
        <w:t xml:space="preserve"> the strategy </w:t>
      </w:r>
      <w:r w:rsidR="00B4135C" w:rsidRPr="7679F3B5">
        <w:rPr>
          <w:b/>
          <w:bCs/>
        </w:rPr>
        <w:t xml:space="preserve">the measures that will be taken to avoid discrimination in delivery and to meet victims’ specific needs. </w:t>
      </w:r>
    </w:p>
    <w:bookmarkEnd w:id="20"/>
    <w:p w14:paraId="2273B7B1" w14:textId="77777777" w:rsidR="00D03F84" w:rsidRPr="00D03F84" w:rsidRDefault="00D03F84" w:rsidP="00D03F84">
      <w:pPr>
        <w:suppressAutoHyphens/>
        <w:rPr>
          <w:rFonts w:cs="Arial"/>
          <w:color w:val="3C3C3B"/>
        </w:rPr>
      </w:pPr>
    </w:p>
    <w:p w14:paraId="5C7B456F" w14:textId="4929EDC9" w:rsidR="00FB4453" w:rsidRPr="00FB4453" w:rsidRDefault="0052180A" w:rsidP="00FB4453">
      <w:pPr>
        <w:pStyle w:val="Heading2"/>
      </w:pPr>
      <w:bookmarkStart w:id="21" w:name="_Toc163637908"/>
      <w:r>
        <w:t>Victims</w:t>
      </w:r>
      <w:r w:rsidR="001E1779">
        <w:t>’</w:t>
      </w:r>
      <w:r>
        <w:t xml:space="preserve"> Payments</w:t>
      </w:r>
      <w:r w:rsidR="003812CE">
        <w:t xml:space="preserve"> Scheme</w:t>
      </w:r>
      <w:bookmarkEnd w:id="21"/>
    </w:p>
    <w:p w14:paraId="06CA5086" w14:textId="7D66F1E9" w:rsidR="006E24B6" w:rsidRPr="006E24B6" w:rsidRDefault="002A6356" w:rsidP="00944256">
      <w:pPr>
        <w:pStyle w:val="ListParagraph"/>
        <w:numPr>
          <w:ilvl w:val="1"/>
          <w:numId w:val="16"/>
        </w:numPr>
        <w:suppressAutoHyphens/>
        <w:ind w:left="709" w:hanging="709"/>
        <w:rPr>
          <w:rFonts w:cs="Arial"/>
          <w:color w:val="3C3C3B"/>
        </w:rPr>
      </w:pPr>
      <w:r>
        <w:t xml:space="preserve">The draft strategy </w:t>
      </w:r>
      <w:r w:rsidR="000329EF">
        <w:t xml:space="preserve">reiterates its </w:t>
      </w:r>
      <w:r>
        <w:t>commit</w:t>
      </w:r>
      <w:r w:rsidR="000329EF">
        <w:t>ment</w:t>
      </w:r>
      <w:r>
        <w:t xml:space="preserve"> </w:t>
      </w:r>
      <w:r w:rsidR="0047169A">
        <w:t xml:space="preserve">to </w:t>
      </w:r>
      <w:r w:rsidR="000329EF">
        <w:t>delivering</w:t>
      </w:r>
      <w:r w:rsidR="0047169A">
        <w:t xml:space="preserve"> the Victims Payment Scheme </w:t>
      </w:r>
      <w:r w:rsidR="000329EF">
        <w:t xml:space="preserve">in a </w:t>
      </w:r>
      <w:r w:rsidR="00F4306C">
        <w:t>victim-centre</w:t>
      </w:r>
      <w:r w:rsidR="00BD174E">
        <w:t>d</w:t>
      </w:r>
      <w:r w:rsidR="00F4306C">
        <w:t xml:space="preserve"> and trauma</w:t>
      </w:r>
      <w:r w:rsidR="00143D7D">
        <w:t xml:space="preserve"> </w:t>
      </w:r>
      <w:r w:rsidR="00F4306C">
        <w:t>informed way.</w:t>
      </w:r>
      <w:r w:rsidR="00F4306C">
        <w:rPr>
          <w:rStyle w:val="FootnoteReference"/>
        </w:rPr>
        <w:footnoteReference w:id="137"/>
      </w:r>
      <w:r w:rsidR="00F4306C">
        <w:t xml:space="preserve"> </w:t>
      </w:r>
      <w:r w:rsidR="00526097">
        <w:t>This Scheme</w:t>
      </w:r>
      <w:r w:rsidR="00697948">
        <w:t xml:space="preserve"> </w:t>
      </w:r>
      <w:r w:rsidR="00526097">
        <w:t>aims to provide “those living with permanent disablement (either physical or psychological) caused by injury through no fault of their own in a Troubles-related incident with payments primarily in acknowledgement of the harm they have suffered”.</w:t>
      </w:r>
      <w:r w:rsidR="005C35A6">
        <w:rPr>
          <w:rStyle w:val="FootnoteReference"/>
        </w:rPr>
        <w:footnoteReference w:id="138"/>
      </w:r>
      <w:r w:rsidR="00526097">
        <w:t xml:space="preserve"> </w:t>
      </w:r>
      <w:r w:rsidR="001F3FDD">
        <w:t>The</w:t>
      </w:r>
      <w:r w:rsidR="00EF16F8">
        <w:t xml:space="preserve"> Scheme has been operational since </w:t>
      </w:r>
      <w:r w:rsidR="00980E82">
        <w:t>February</w:t>
      </w:r>
      <w:r w:rsidR="00EF16F8">
        <w:t xml:space="preserve"> 2021 and is due to run until August 2026.</w:t>
      </w:r>
      <w:r w:rsidR="00EF16F8">
        <w:rPr>
          <w:rStyle w:val="FootnoteReference"/>
        </w:rPr>
        <w:footnoteReference w:id="139"/>
      </w:r>
    </w:p>
    <w:p w14:paraId="38012C45" w14:textId="77777777" w:rsidR="006E24B6" w:rsidRPr="006E24B6" w:rsidRDefault="006E24B6" w:rsidP="006E24B6">
      <w:pPr>
        <w:pStyle w:val="ListParagraph"/>
        <w:suppressAutoHyphens/>
        <w:ind w:left="709"/>
        <w:rPr>
          <w:rFonts w:cs="Arial"/>
          <w:color w:val="3C3C3B"/>
        </w:rPr>
      </w:pPr>
    </w:p>
    <w:p w14:paraId="3171DAB7" w14:textId="10869AA1" w:rsidR="00B0261E" w:rsidRDefault="00143D7D" w:rsidP="00944256">
      <w:pPr>
        <w:pStyle w:val="ListParagraph"/>
        <w:numPr>
          <w:ilvl w:val="1"/>
          <w:numId w:val="16"/>
        </w:numPr>
        <w:suppressAutoHyphens/>
        <w:ind w:left="709" w:hanging="709"/>
        <w:rPr>
          <w:color w:val="000000"/>
        </w:rPr>
      </w:pPr>
      <w:r>
        <w:rPr>
          <w:color w:val="000000"/>
        </w:rPr>
        <w:t>By</w:t>
      </w:r>
      <w:r w:rsidR="00B0261E" w:rsidRPr="00B0261E">
        <w:rPr>
          <w:color w:val="000000"/>
        </w:rPr>
        <w:t xml:space="preserve"> December 2023, a total of 6,209 applications </w:t>
      </w:r>
      <w:r>
        <w:rPr>
          <w:color w:val="000000"/>
        </w:rPr>
        <w:t>had been</w:t>
      </w:r>
      <w:r w:rsidRPr="00B0261E">
        <w:rPr>
          <w:color w:val="000000"/>
        </w:rPr>
        <w:t xml:space="preserve"> </w:t>
      </w:r>
      <w:r w:rsidR="00B0261E" w:rsidRPr="00B0261E">
        <w:rPr>
          <w:color w:val="000000"/>
        </w:rPr>
        <w:t>received by the Victims' Payments Board</w:t>
      </w:r>
      <w:r w:rsidR="00B0261E">
        <w:rPr>
          <w:color w:val="000000"/>
        </w:rPr>
        <w:t>.</w:t>
      </w:r>
      <w:r w:rsidR="005C35A6">
        <w:rPr>
          <w:rStyle w:val="FootnoteReference"/>
          <w:color w:val="000000"/>
        </w:rPr>
        <w:footnoteReference w:id="140"/>
      </w:r>
      <w:r w:rsidR="00B0261E">
        <w:rPr>
          <w:color w:val="000000"/>
        </w:rPr>
        <w:t xml:space="preserve"> </w:t>
      </w:r>
      <w:r w:rsidR="00B0261E" w:rsidRPr="00B0261E">
        <w:rPr>
          <w:color w:val="000000"/>
        </w:rPr>
        <w:t>Of th</w:t>
      </w:r>
      <w:r>
        <w:rPr>
          <w:color w:val="000000"/>
        </w:rPr>
        <w:t>o</w:t>
      </w:r>
      <w:r w:rsidR="00B0261E" w:rsidRPr="00B0261E">
        <w:rPr>
          <w:color w:val="000000"/>
        </w:rPr>
        <w:t xml:space="preserve">se, 955 </w:t>
      </w:r>
      <w:r>
        <w:rPr>
          <w:color w:val="000000"/>
        </w:rPr>
        <w:t xml:space="preserve">received </w:t>
      </w:r>
      <w:r w:rsidR="00B0261E" w:rsidRPr="00B0261E">
        <w:rPr>
          <w:color w:val="000000"/>
        </w:rPr>
        <w:t>determinations</w:t>
      </w:r>
      <w:r w:rsidR="00FC481F">
        <w:rPr>
          <w:color w:val="000000"/>
        </w:rPr>
        <w:t>,</w:t>
      </w:r>
      <w:r w:rsidR="00B0261E" w:rsidRPr="00B0261E">
        <w:rPr>
          <w:color w:val="000000"/>
        </w:rPr>
        <w:t xml:space="preserve"> 630 </w:t>
      </w:r>
      <w:r>
        <w:rPr>
          <w:color w:val="000000"/>
        </w:rPr>
        <w:t>were</w:t>
      </w:r>
      <w:r w:rsidRPr="00B0261E">
        <w:rPr>
          <w:color w:val="000000"/>
        </w:rPr>
        <w:t xml:space="preserve"> </w:t>
      </w:r>
      <w:r w:rsidR="00B0261E" w:rsidRPr="00B0261E">
        <w:rPr>
          <w:color w:val="000000"/>
        </w:rPr>
        <w:t>deemed eligible to receive a payment and 325</w:t>
      </w:r>
      <w:r w:rsidR="00A8550D">
        <w:rPr>
          <w:color w:val="000000"/>
        </w:rPr>
        <w:t xml:space="preserve"> </w:t>
      </w:r>
      <w:r>
        <w:rPr>
          <w:color w:val="000000"/>
        </w:rPr>
        <w:t xml:space="preserve">were </w:t>
      </w:r>
      <w:r w:rsidR="00A8550D">
        <w:rPr>
          <w:color w:val="000000"/>
        </w:rPr>
        <w:t>deemed</w:t>
      </w:r>
      <w:r w:rsidR="00B0261E" w:rsidRPr="00B0261E">
        <w:rPr>
          <w:color w:val="000000"/>
        </w:rPr>
        <w:t xml:space="preserve"> ineligible.</w:t>
      </w:r>
      <w:r w:rsidR="005C35A6">
        <w:rPr>
          <w:rStyle w:val="FootnoteReference"/>
          <w:color w:val="000000"/>
        </w:rPr>
        <w:footnoteReference w:id="141"/>
      </w:r>
      <w:r w:rsidR="00B0261E">
        <w:rPr>
          <w:color w:val="000000"/>
        </w:rPr>
        <w:t xml:space="preserve"> </w:t>
      </w:r>
      <w:r>
        <w:rPr>
          <w:color w:val="000000"/>
        </w:rPr>
        <w:t>By</w:t>
      </w:r>
      <w:r w:rsidR="00A8550D">
        <w:rPr>
          <w:color w:val="000000"/>
        </w:rPr>
        <w:t xml:space="preserve"> 26 February 2024,</w:t>
      </w:r>
      <w:r w:rsidR="006769F0">
        <w:rPr>
          <w:color w:val="000000"/>
        </w:rPr>
        <w:t xml:space="preserve"> over </w:t>
      </w:r>
      <w:r w:rsidR="006769F0" w:rsidRPr="006769F0">
        <w:rPr>
          <w:color w:val="000000"/>
        </w:rPr>
        <w:t>£36</w:t>
      </w:r>
      <w:r w:rsidR="00367A60">
        <w:rPr>
          <w:color w:val="000000"/>
        </w:rPr>
        <w:t xml:space="preserve"> </w:t>
      </w:r>
      <w:r w:rsidR="006769F0">
        <w:rPr>
          <w:color w:val="000000"/>
        </w:rPr>
        <w:t>m</w:t>
      </w:r>
      <w:r w:rsidR="00367A60">
        <w:rPr>
          <w:color w:val="000000"/>
        </w:rPr>
        <w:t>illion</w:t>
      </w:r>
      <w:r w:rsidR="006769F0">
        <w:rPr>
          <w:color w:val="000000"/>
        </w:rPr>
        <w:t xml:space="preserve"> ha</w:t>
      </w:r>
      <w:r>
        <w:rPr>
          <w:color w:val="000000"/>
        </w:rPr>
        <w:t>d</w:t>
      </w:r>
      <w:r w:rsidR="008B1E34">
        <w:rPr>
          <w:color w:val="000000"/>
        </w:rPr>
        <w:t xml:space="preserve"> </w:t>
      </w:r>
      <w:r w:rsidR="006769F0">
        <w:rPr>
          <w:color w:val="000000"/>
        </w:rPr>
        <w:t xml:space="preserve">been paid to </w:t>
      </w:r>
      <w:r>
        <w:rPr>
          <w:color w:val="000000"/>
        </w:rPr>
        <w:t>victims. There</w:t>
      </w:r>
      <w:r w:rsidR="008B1E34">
        <w:rPr>
          <w:color w:val="000000"/>
        </w:rPr>
        <w:t xml:space="preserve"> </w:t>
      </w:r>
      <w:r w:rsidR="00F6590F">
        <w:rPr>
          <w:color w:val="000000"/>
        </w:rPr>
        <w:t>have</w:t>
      </w:r>
      <w:r w:rsidR="00A8550D">
        <w:rPr>
          <w:color w:val="000000"/>
        </w:rPr>
        <w:t xml:space="preserve"> been </w:t>
      </w:r>
      <w:r w:rsidR="00631CF4">
        <w:rPr>
          <w:color w:val="000000"/>
        </w:rPr>
        <w:t>142 appeals lodged against a determination by the Victims’ Payments Board.</w:t>
      </w:r>
      <w:r w:rsidR="005C35A6">
        <w:rPr>
          <w:rStyle w:val="FootnoteReference"/>
          <w:color w:val="000000"/>
        </w:rPr>
        <w:footnoteReference w:id="142"/>
      </w:r>
    </w:p>
    <w:p w14:paraId="120A16A9" w14:textId="77777777" w:rsidR="00B0261E" w:rsidRPr="00181711" w:rsidRDefault="00B0261E" w:rsidP="00181711">
      <w:pPr>
        <w:suppressAutoHyphens/>
        <w:rPr>
          <w:color w:val="000000"/>
        </w:rPr>
      </w:pPr>
    </w:p>
    <w:p w14:paraId="1825959E" w14:textId="5006F309" w:rsidR="00246C9E" w:rsidRPr="007933C7" w:rsidRDefault="00C13773" w:rsidP="00944256">
      <w:pPr>
        <w:pStyle w:val="ListParagraph"/>
        <w:numPr>
          <w:ilvl w:val="1"/>
          <w:numId w:val="16"/>
        </w:numPr>
        <w:suppressAutoHyphens/>
        <w:ind w:left="709" w:hanging="709"/>
        <w:rPr>
          <w:color w:val="000000"/>
        </w:rPr>
      </w:pPr>
      <w:r w:rsidRPr="007933C7">
        <w:rPr>
          <w:color w:val="000000"/>
        </w:rPr>
        <w:t>T</w:t>
      </w:r>
      <w:r w:rsidR="00EA7377" w:rsidRPr="007933C7">
        <w:rPr>
          <w:color w:val="000000"/>
        </w:rPr>
        <w:t>h</w:t>
      </w:r>
      <w:r w:rsidRPr="007933C7">
        <w:rPr>
          <w:color w:val="000000"/>
        </w:rPr>
        <w:t>e</w:t>
      </w:r>
      <w:r w:rsidR="0069117A" w:rsidRPr="007933C7">
        <w:rPr>
          <w:color w:val="000000"/>
        </w:rPr>
        <w:t xml:space="preserve">re </w:t>
      </w:r>
      <w:r w:rsidR="00246C9E" w:rsidRPr="007933C7">
        <w:rPr>
          <w:color w:val="000000"/>
        </w:rPr>
        <w:t xml:space="preserve">has been </w:t>
      </w:r>
      <w:r w:rsidR="0069117A" w:rsidRPr="007933C7">
        <w:rPr>
          <w:color w:val="000000"/>
        </w:rPr>
        <w:t>criticism of the Victims’ Payments Board’s</w:t>
      </w:r>
      <w:r w:rsidRPr="007933C7">
        <w:rPr>
          <w:color w:val="000000"/>
        </w:rPr>
        <w:t xml:space="preserve"> decision-making process and the length of time it takes.</w:t>
      </w:r>
      <w:r>
        <w:rPr>
          <w:rStyle w:val="FootnoteReference"/>
          <w:color w:val="000000"/>
        </w:rPr>
        <w:footnoteReference w:id="143"/>
      </w:r>
      <w:r w:rsidR="00295D3C" w:rsidRPr="007933C7">
        <w:rPr>
          <w:color w:val="000000"/>
        </w:rPr>
        <w:t xml:space="preserve"> </w:t>
      </w:r>
      <w:r w:rsidR="00B83510" w:rsidRPr="007933C7">
        <w:rPr>
          <w:color w:val="000000"/>
        </w:rPr>
        <w:t>The</w:t>
      </w:r>
      <w:r w:rsidR="00534579" w:rsidRPr="007933C7">
        <w:rPr>
          <w:color w:val="000000"/>
        </w:rPr>
        <w:t xml:space="preserve"> </w:t>
      </w:r>
      <w:r w:rsidR="00850A05">
        <w:rPr>
          <w:color w:val="000000"/>
        </w:rPr>
        <w:t>P</w:t>
      </w:r>
      <w:r w:rsidR="00534579" w:rsidRPr="007933C7">
        <w:rPr>
          <w:color w:val="000000"/>
        </w:rPr>
        <w:t>resident of the</w:t>
      </w:r>
      <w:r w:rsidR="00B83510" w:rsidRPr="007933C7">
        <w:rPr>
          <w:color w:val="000000"/>
        </w:rPr>
        <w:t xml:space="preserve"> Victims’ Payments Board</w:t>
      </w:r>
      <w:r w:rsidR="00534579" w:rsidRPr="007933C7">
        <w:rPr>
          <w:color w:val="000000"/>
        </w:rPr>
        <w:t>,</w:t>
      </w:r>
      <w:r w:rsidR="00B83510" w:rsidRPr="007933C7">
        <w:rPr>
          <w:color w:val="000000"/>
        </w:rPr>
        <w:t xml:space="preserve"> Mr Justice McAlinden</w:t>
      </w:r>
      <w:r w:rsidR="00534579" w:rsidRPr="007933C7">
        <w:rPr>
          <w:color w:val="000000"/>
        </w:rPr>
        <w:t>,</w:t>
      </w:r>
      <w:r w:rsidR="00DB73EA" w:rsidRPr="007933C7">
        <w:rPr>
          <w:color w:val="000000"/>
        </w:rPr>
        <w:t xml:space="preserve"> </w:t>
      </w:r>
      <w:r w:rsidR="003876F9">
        <w:rPr>
          <w:color w:val="000000"/>
        </w:rPr>
        <w:t xml:space="preserve">has </w:t>
      </w:r>
      <w:r w:rsidR="00DB73EA" w:rsidRPr="007933C7">
        <w:rPr>
          <w:color w:val="000000"/>
        </w:rPr>
        <w:t>acknowledge</w:t>
      </w:r>
      <w:r w:rsidR="003876F9">
        <w:rPr>
          <w:color w:val="000000"/>
        </w:rPr>
        <w:t>d</w:t>
      </w:r>
      <w:r w:rsidR="00DB73EA" w:rsidRPr="007933C7">
        <w:rPr>
          <w:color w:val="000000"/>
        </w:rPr>
        <w:t xml:space="preserve"> the </w:t>
      </w:r>
      <w:r w:rsidR="00A66018" w:rsidRPr="007933C7">
        <w:rPr>
          <w:color w:val="000000"/>
        </w:rPr>
        <w:t xml:space="preserve">frustrations and </w:t>
      </w:r>
      <w:r w:rsidR="00770CAA" w:rsidRPr="007933C7">
        <w:rPr>
          <w:color w:val="000000"/>
        </w:rPr>
        <w:t>advise</w:t>
      </w:r>
      <w:r w:rsidR="003876F9">
        <w:rPr>
          <w:color w:val="000000"/>
        </w:rPr>
        <w:t>d</w:t>
      </w:r>
      <w:r w:rsidR="00770CAA" w:rsidRPr="007933C7">
        <w:rPr>
          <w:color w:val="000000"/>
        </w:rPr>
        <w:t xml:space="preserve"> </w:t>
      </w:r>
      <w:r w:rsidR="00A66018" w:rsidRPr="007933C7">
        <w:rPr>
          <w:color w:val="000000"/>
        </w:rPr>
        <w:t xml:space="preserve">that the </w:t>
      </w:r>
      <w:r w:rsidR="00524D2D" w:rsidRPr="007933C7">
        <w:rPr>
          <w:color w:val="000000"/>
        </w:rPr>
        <w:t xml:space="preserve">complexity of the Scheme </w:t>
      </w:r>
      <w:r w:rsidR="00770CAA" w:rsidRPr="007933C7">
        <w:rPr>
          <w:color w:val="000000"/>
        </w:rPr>
        <w:t xml:space="preserve">and the information </w:t>
      </w:r>
      <w:r w:rsidR="00770CAA" w:rsidRPr="007933C7">
        <w:rPr>
          <w:color w:val="000000"/>
        </w:rPr>
        <w:lastRenderedPageBreak/>
        <w:t xml:space="preserve">retrieval that is needed </w:t>
      </w:r>
      <w:r w:rsidR="00524D2D" w:rsidRPr="007933C7">
        <w:rPr>
          <w:color w:val="000000"/>
        </w:rPr>
        <w:t>is contributing to delays</w:t>
      </w:r>
      <w:r w:rsidR="00770626" w:rsidRPr="007933C7">
        <w:rPr>
          <w:color w:val="000000"/>
        </w:rPr>
        <w:t>.</w:t>
      </w:r>
      <w:r w:rsidR="00770626">
        <w:rPr>
          <w:rStyle w:val="FootnoteReference"/>
          <w:color w:val="000000"/>
        </w:rPr>
        <w:footnoteReference w:id="144"/>
      </w:r>
      <w:r w:rsidR="00770626" w:rsidRPr="007933C7">
        <w:rPr>
          <w:color w:val="000000"/>
        </w:rPr>
        <w:t xml:space="preserve"> </w:t>
      </w:r>
      <w:r w:rsidR="0086632F" w:rsidRPr="007933C7">
        <w:rPr>
          <w:color w:val="000000"/>
        </w:rPr>
        <w:t>Mr Justice McAlinden</w:t>
      </w:r>
      <w:r w:rsidR="00EE6079" w:rsidRPr="007933C7">
        <w:rPr>
          <w:color w:val="000000"/>
        </w:rPr>
        <w:t xml:space="preserve"> </w:t>
      </w:r>
      <w:r w:rsidR="00431479">
        <w:rPr>
          <w:color w:val="000000"/>
        </w:rPr>
        <w:t>recorded</w:t>
      </w:r>
      <w:r w:rsidR="003876F9">
        <w:rPr>
          <w:color w:val="000000"/>
        </w:rPr>
        <w:t xml:space="preserve"> that:</w:t>
      </w:r>
    </w:p>
    <w:p w14:paraId="07534C0F" w14:textId="77777777" w:rsidR="00074048" w:rsidRPr="00074048" w:rsidRDefault="00074048" w:rsidP="00074048">
      <w:pPr>
        <w:pStyle w:val="ListParagraph"/>
        <w:rPr>
          <w:color w:val="000000"/>
        </w:rPr>
      </w:pPr>
    </w:p>
    <w:p w14:paraId="0C828C76" w14:textId="43C77404" w:rsidR="00074048" w:rsidRPr="00074048" w:rsidRDefault="003876F9" w:rsidP="003876F9">
      <w:pPr>
        <w:pStyle w:val="Quote"/>
      </w:pPr>
      <w:r>
        <w:t>t</w:t>
      </w:r>
      <w:r w:rsidR="00074048" w:rsidRPr="00074048">
        <w:t>he time taken is evidence of the care taken by the board to ensure that every application is dealt with fairly and properly and that every piece of information that can be retrieved is retrieved and carefully scrutinised to ensure that no one falls through the net and is left without an appropriate recognition of a harm they have suffered.</w:t>
      </w:r>
      <w:r w:rsidR="00074048">
        <w:rPr>
          <w:rStyle w:val="FootnoteReference"/>
          <w:color w:val="000000"/>
        </w:rPr>
        <w:footnoteReference w:id="145"/>
      </w:r>
    </w:p>
    <w:p w14:paraId="5769EFC6" w14:textId="77777777" w:rsidR="009A1155" w:rsidRPr="00956713" w:rsidRDefault="009A1155" w:rsidP="00956713">
      <w:pPr>
        <w:suppressAutoHyphens/>
        <w:rPr>
          <w:rFonts w:cs="Arial"/>
          <w:color w:val="3C3C3B"/>
        </w:rPr>
      </w:pPr>
    </w:p>
    <w:p w14:paraId="46C18742" w14:textId="05EFE79A" w:rsidR="00C83B54" w:rsidRPr="00C91F8A" w:rsidRDefault="0078052E" w:rsidP="00944256">
      <w:pPr>
        <w:pStyle w:val="ListParagraph"/>
        <w:numPr>
          <w:ilvl w:val="1"/>
          <w:numId w:val="16"/>
        </w:numPr>
        <w:suppressAutoHyphens/>
        <w:ind w:left="709" w:hanging="709"/>
        <w:rPr>
          <w:color w:val="000000"/>
        </w:rPr>
      </w:pPr>
      <w:r>
        <w:t xml:space="preserve">The UN Basic Principles of Justice for Victims of Crime and Abuse of Power </w:t>
      </w:r>
      <w:r w:rsidR="00431479">
        <w:t xml:space="preserve">provide </w:t>
      </w:r>
      <w:r>
        <w:t>that victims should be able to obtain redress through procedures that are “</w:t>
      </w:r>
      <w:r w:rsidRPr="007664FB">
        <w:t>expeditious, fair, inexpensive and accessible</w:t>
      </w:r>
      <w:r>
        <w:t>”</w:t>
      </w:r>
      <w:r>
        <w:rPr>
          <w:rStyle w:val="FootnoteReference"/>
        </w:rPr>
        <w:footnoteReference w:id="146"/>
      </w:r>
      <w:r>
        <w:t xml:space="preserve"> and that “attention should be given to those who have special needs </w:t>
      </w:r>
      <w:r w:rsidRPr="00F97AFA">
        <w:t>because of the nature of the harm inflicted</w:t>
      </w:r>
      <w:r>
        <w:t>”.</w:t>
      </w:r>
      <w:r>
        <w:rPr>
          <w:rStyle w:val="FootnoteReference"/>
        </w:rPr>
        <w:footnoteReference w:id="147"/>
      </w:r>
      <w:r w:rsidR="00501A9A">
        <w:t xml:space="preserve"> </w:t>
      </w:r>
      <w:r w:rsidR="007933C7" w:rsidRPr="00C968FC">
        <w:rPr>
          <w:color w:val="000000"/>
        </w:rPr>
        <w:t xml:space="preserve">The Victims’ Payments Board is taking steps to prioritise applications from those who are terminally ill or those who are </w:t>
      </w:r>
      <w:r w:rsidR="00431479">
        <w:rPr>
          <w:color w:val="000000"/>
        </w:rPr>
        <w:t>more than</w:t>
      </w:r>
      <w:r w:rsidR="00431479" w:rsidRPr="00C968FC">
        <w:rPr>
          <w:color w:val="000000"/>
        </w:rPr>
        <w:t xml:space="preserve"> </w:t>
      </w:r>
      <w:r w:rsidR="007933C7" w:rsidRPr="00C968FC">
        <w:rPr>
          <w:color w:val="000000"/>
        </w:rPr>
        <w:t>80 years old.</w:t>
      </w:r>
      <w:r w:rsidR="007933C7">
        <w:rPr>
          <w:rStyle w:val="FootnoteReference"/>
          <w:color w:val="000000"/>
        </w:rPr>
        <w:footnoteReference w:id="148"/>
      </w:r>
      <w:r w:rsidR="007933C7" w:rsidRPr="00C968FC">
        <w:rPr>
          <w:color w:val="000000"/>
        </w:rPr>
        <w:t xml:space="preserve"> </w:t>
      </w:r>
      <w:r w:rsidR="007933C7">
        <w:t xml:space="preserve">However, a recent </w:t>
      </w:r>
      <w:r w:rsidR="00431479">
        <w:t xml:space="preserve">response to a </w:t>
      </w:r>
      <w:r w:rsidR="007933C7">
        <w:t xml:space="preserve">Freedom of Information </w:t>
      </w:r>
      <w:r w:rsidR="00431479">
        <w:t xml:space="preserve">Act </w:t>
      </w:r>
      <w:r w:rsidR="007933C7">
        <w:t xml:space="preserve">request revealed that over 40 people who </w:t>
      </w:r>
      <w:r w:rsidR="00431479">
        <w:t xml:space="preserve">had </w:t>
      </w:r>
      <w:r w:rsidR="007933C7">
        <w:t>applied to the Scheme died before a decision was made.</w:t>
      </w:r>
      <w:r w:rsidR="007933C7">
        <w:rPr>
          <w:rStyle w:val="FootnoteReference"/>
        </w:rPr>
        <w:footnoteReference w:id="149"/>
      </w:r>
      <w:r w:rsidR="007933C7">
        <w:t xml:space="preserve"> </w:t>
      </w:r>
    </w:p>
    <w:p w14:paraId="533773B6" w14:textId="77777777" w:rsidR="00A86483" w:rsidRPr="00C91F8A" w:rsidRDefault="00A86483" w:rsidP="00C91F8A">
      <w:pPr>
        <w:pStyle w:val="ListParagraph"/>
        <w:suppressAutoHyphens/>
        <w:ind w:left="709"/>
        <w:rPr>
          <w:color w:val="000000"/>
        </w:rPr>
      </w:pPr>
    </w:p>
    <w:p w14:paraId="74B88541" w14:textId="0E07FCD6" w:rsidR="00A86483" w:rsidRPr="00C91F8A" w:rsidRDefault="009B5611" w:rsidP="00A86483">
      <w:pPr>
        <w:pStyle w:val="ListParagraph"/>
        <w:numPr>
          <w:ilvl w:val="1"/>
          <w:numId w:val="16"/>
        </w:numPr>
        <w:suppressAutoHyphens/>
        <w:ind w:left="709" w:hanging="709"/>
        <w:rPr>
          <w:color w:val="000000"/>
        </w:rPr>
      </w:pPr>
      <w:r>
        <w:rPr>
          <w:color w:val="000000"/>
        </w:rPr>
        <w:t>Article 9</w:t>
      </w:r>
      <w:r w:rsidR="00E93481">
        <w:rPr>
          <w:color w:val="000000"/>
        </w:rPr>
        <w:t xml:space="preserve"> of the</w:t>
      </w:r>
      <w:r w:rsidRPr="0090129A">
        <w:rPr>
          <w:color w:val="000000"/>
        </w:rPr>
        <w:t xml:space="preserve"> </w:t>
      </w:r>
      <w:r w:rsidR="00A86483" w:rsidRPr="0090129A">
        <w:rPr>
          <w:color w:val="000000"/>
        </w:rPr>
        <w:t>EU Victims</w:t>
      </w:r>
      <w:r w:rsidR="00945D53">
        <w:rPr>
          <w:color w:val="000000"/>
        </w:rPr>
        <w:t>’</w:t>
      </w:r>
      <w:r w:rsidR="00A86483" w:rsidRPr="0090129A">
        <w:rPr>
          <w:color w:val="000000"/>
        </w:rPr>
        <w:t xml:space="preserve"> Directive </w:t>
      </w:r>
      <w:r w:rsidR="00431479">
        <w:rPr>
          <w:color w:val="000000"/>
        </w:rPr>
        <w:t>requires that victims should be receiving</w:t>
      </w:r>
      <w:r w:rsidR="00A86483">
        <w:rPr>
          <w:color w:val="000000"/>
        </w:rPr>
        <w:t xml:space="preserve"> “</w:t>
      </w:r>
      <w:r w:rsidR="00A86483" w:rsidRPr="00B26A5F">
        <w:rPr>
          <w:color w:val="000000"/>
        </w:rPr>
        <w:t xml:space="preserve">information, advice and support relevant to </w:t>
      </w:r>
      <w:r w:rsidR="00CD5313" w:rsidRPr="2B989D36">
        <w:rPr>
          <w:color w:val="000000" w:themeColor="text1"/>
        </w:rPr>
        <w:t xml:space="preserve">[their] </w:t>
      </w:r>
      <w:r w:rsidR="00A86483" w:rsidRPr="00B26A5F">
        <w:rPr>
          <w:color w:val="000000"/>
        </w:rPr>
        <w:t>rights</w:t>
      </w:r>
      <w:r w:rsidR="00CD5313">
        <w:rPr>
          <w:color w:val="000000"/>
        </w:rPr>
        <w:t>”</w:t>
      </w:r>
      <w:r w:rsidR="00A86483">
        <w:rPr>
          <w:color w:val="000000"/>
        </w:rPr>
        <w:t>, for instance in terms of accessing “</w:t>
      </w:r>
      <w:r w:rsidR="00A86483" w:rsidRPr="0090129A">
        <w:rPr>
          <w:color w:val="000000"/>
        </w:rPr>
        <w:t>national compensation schemes for criminal injuries</w:t>
      </w:r>
      <w:r w:rsidR="00A86483">
        <w:rPr>
          <w:color w:val="000000"/>
        </w:rPr>
        <w:t>”.</w:t>
      </w:r>
      <w:r w:rsidR="00A86483">
        <w:rPr>
          <w:rStyle w:val="FootnoteReference"/>
          <w:color w:val="000000"/>
        </w:rPr>
        <w:footnoteReference w:id="150"/>
      </w:r>
      <w:r w:rsidR="00A86483">
        <w:rPr>
          <w:color w:val="000000"/>
        </w:rPr>
        <w:t xml:space="preserve"> Further, </w:t>
      </w:r>
      <w:r w:rsidR="00945D53">
        <w:rPr>
          <w:color w:val="000000"/>
        </w:rPr>
        <w:t xml:space="preserve">Recital </w:t>
      </w:r>
      <w:r w:rsidR="00A86483">
        <w:rPr>
          <w:color w:val="000000"/>
        </w:rPr>
        <w:t xml:space="preserve">62 </w:t>
      </w:r>
      <w:r w:rsidR="00945D53">
        <w:rPr>
          <w:color w:val="000000"/>
        </w:rPr>
        <w:t xml:space="preserve">advises </w:t>
      </w:r>
      <w:r w:rsidR="00974752" w:rsidRPr="2B989D36">
        <w:rPr>
          <w:color w:val="000000" w:themeColor="text1"/>
        </w:rPr>
        <w:t>M</w:t>
      </w:r>
      <w:r w:rsidR="00945D53">
        <w:rPr>
          <w:color w:val="000000"/>
        </w:rPr>
        <w:t xml:space="preserve">ember </w:t>
      </w:r>
      <w:r w:rsidR="00974752" w:rsidRPr="2B989D36">
        <w:rPr>
          <w:color w:val="000000" w:themeColor="text1"/>
        </w:rPr>
        <w:t>S</w:t>
      </w:r>
      <w:r w:rsidR="00945D53">
        <w:rPr>
          <w:color w:val="000000"/>
        </w:rPr>
        <w:t xml:space="preserve">tates to </w:t>
      </w:r>
      <w:r w:rsidR="00A86483">
        <w:rPr>
          <w:color w:val="000000"/>
        </w:rPr>
        <w:t xml:space="preserve">consider </w:t>
      </w:r>
      <w:r w:rsidR="00945D53">
        <w:rPr>
          <w:color w:val="000000"/>
        </w:rPr>
        <w:t>“</w:t>
      </w:r>
      <w:r w:rsidR="00945D53" w:rsidRPr="00E24F71">
        <w:rPr>
          <w:color w:val="333333"/>
          <w:shd w:val="clear" w:color="auto" w:fill="FFFFFF"/>
        </w:rPr>
        <w:t>developing ‘sole points of access’</w:t>
      </w:r>
      <w:r w:rsidR="00945D53" w:rsidRPr="00E24F71">
        <w:rPr>
          <w:color w:val="000000"/>
        </w:rPr>
        <w:t> </w:t>
      </w:r>
      <w:r w:rsidR="00945D53">
        <w:rPr>
          <w:color w:val="000000"/>
        </w:rPr>
        <w:t xml:space="preserve">… that address </w:t>
      </w:r>
      <w:r w:rsidR="00A86483" w:rsidRPr="000F02A7">
        <w:rPr>
          <w:color w:val="000000"/>
        </w:rPr>
        <w:t>victims' multiple needs when involved in criminal proceedings, including the need to receive information, assistance, support, protection and compensation</w:t>
      </w:r>
      <w:r w:rsidR="00A86483">
        <w:rPr>
          <w:color w:val="000000"/>
        </w:rPr>
        <w:t>”</w:t>
      </w:r>
      <w:r w:rsidR="00945D53">
        <w:rPr>
          <w:color w:val="000000"/>
        </w:rPr>
        <w:t>.</w:t>
      </w:r>
      <w:r w:rsidR="00A86483">
        <w:rPr>
          <w:rStyle w:val="FootnoteReference"/>
          <w:color w:val="000000"/>
        </w:rPr>
        <w:footnoteReference w:id="151"/>
      </w:r>
    </w:p>
    <w:p w14:paraId="02DB5152" w14:textId="77777777" w:rsidR="00C968FC" w:rsidRPr="00C968FC" w:rsidRDefault="00C968FC" w:rsidP="00C968FC">
      <w:pPr>
        <w:pStyle w:val="ListParagraph"/>
        <w:suppressAutoHyphens/>
        <w:ind w:left="709"/>
        <w:rPr>
          <w:color w:val="000000"/>
        </w:rPr>
      </w:pPr>
    </w:p>
    <w:p w14:paraId="08F33263" w14:textId="786D61D0" w:rsidR="00C968FC" w:rsidRPr="00C968FC" w:rsidRDefault="00F90B86" w:rsidP="00944256">
      <w:pPr>
        <w:pStyle w:val="ListParagraph"/>
        <w:numPr>
          <w:ilvl w:val="1"/>
          <w:numId w:val="16"/>
        </w:numPr>
        <w:suppressAutoHyphens/>
        <w:ind w:left="709" w:hanging="709"/>
        <w:rPr>
          <w:color w:val="000000"/>
        </w:rPr>
      </w:pPr>
      <w:r>
        <w:rPr>
          <w:rFonts w:cs="Arial"/>
        </w:rPr>
        <w:lastRenderedPageBreak/>
        <w:t>A</w:t>
      </w:r>
      <w:r w:rsidR="00C968FC">
        <w:t xml:space="preserve">n </w:t>
      </w:r>
      <w:r w:rsidR="00C968FC" w:rsidRPr="00501A9A">
        <w:rPr>
          <w:rFonts w:cs="Arial"/>
        </w:rPr>
        <w:t xml:space="preserve">independent review of the Victims’ Payments Board has commenced </w:t>
      </w:r>
      <w:r w:rsidR="00CD5313">
        <w:rPr>
          <w:rFonts w:cs="Arial"/>
        </w:rPr>
        <w:t>with</w:t>
      </w:r>
      <w:r w:rsidR="00CD5313" w:rsidRPr="00501A9A">
        <w:rPr>
          <w:rFonts w:cs="Arial"/>
        </w:rPr>
        <w:t xml:space="preserve"> </w:t>
      </w:r>
      <w:r w:rsidR="00C968FC" w:rsidRPr="00501A9A">
        <w:rPr>
          <w:rFonts w:cs="Arial"/>
        </w:rPr>
        <w:t xml:space="preserve">additional measures </w:t>
      </w:r>
      <w:r w:rsidR="00CD5313">
        <w:rPr>
          <w:rFonts w:cs="Arial"/>
        </w:rPr>
        <w:t xml:space="preserve">already underway </w:t>
      </w:r>
      <w:r w:rsidR="00C968FC" w:rsidRPr="00501A9A">
        <w:rPr>
          <w:rFonts w:cs="Arial"/>
        </w:rPr>
        <w:t>to improve</w:t>
      </w:r>
      <w:r w:rsidR="00CD5313">
        <w:rPr>
          <w:rFonts w:cs="Arial"/>
        </w:rPr>
        <w:t>.</w:t>
      </w:r>
      <w:r w:rsidR="00C968FC">
        <w:rPr>
          <w:rStyle w:val="FootnoteReference"/>
          <w:rFonts w:cs="Arial"/>
        </w:rPr>
        <w:footnoteReference w:id="152"/>
      </w:r>
      <w:r w:rsidR="00C968FC">
        <w:rPr>
          <w:rFonts w:cs="Arial"/>
        </w:rPr>
        <w:t xml:space="preserve"> </w:t>
      </w:r>
      <w:r w:rsidR="00CD5313">
        <w:rPr>
          <w:rFonts w:cs="Arial"/>
        </w:rPr>
        <w:t xml:space="preserve">The NIHRC remains concerned that </w:t>
      </w:r>
      <w:r w:rsidR="00B07E10" w:rsidRPr="00C968FC">
        <w:rPr>
          <w:rFonts w:cs="Arial"/>
        </w:rPr>
        <w:t>victims and survivors</w:t>
      </w:r>
      <w:r w:rsidR="00881644" w:rsidRPr="00C968FC">
        <w:rPr>
          <w:rFonts w:cs="Arial"/>
        </w:rPr>
        <w:t xml:space="preserve"> </w:t>
      </w:r>
      <w:r w:rsidR="00C968FC">
        <w:rPr>
          <w:rFonts w:cs="Arial"/>
        </w:rPr>
        <w:t xml:space="preserve">are </w:t>
      </w:r>
      <w:r w:rsidR="000F55E6" w:rsidRPr="00C968FC">
        <w:rPr>
          <w:rFonts w:cs="Arial"/>
        </w:rPr>
        <w:t>describ</w:t>
      </w:r>
      <w:r w:rsidR="00C968FC">
        <w:rPr>
          <w:rFonts w:cs="Arial"/>
        </w:rPr>
        <w:t>ing</w:t>
      </w:r>
      <w:r w:rsidR="000F55E6" w:rsidRPr="00C968FC">
        <w:rPr>
          <w:rFonts w:cs="Arial"/>
        </w:rPr>
        <w:t xml:space="preserve"> the process as “mentally draining” and </w:t>
      </w:r>
      <w:r w:rsidR="00CD5313">
        <w:rPr>
          <w:rFonts w:cs="Arial"/>
        </w:rPr>
        <w:t xml:space="preserve">that it is </w:t>
      </w:r>
      <w:r w:rsidR="00B07E10" w:rsidRPr="00C968FC">
        <w:rPr>
          <w:rFonts w:cs="Arial"/>
        </w:rPr>
        <w:t>re</w:t>
      </w:r>
      <w:r w:rsidR="00945A25" w:rsidRPr="00C968FC">
        <w:rPr>
          <w:rFonts w:cs="Arial"/>
        </w:rPr>
        <w:t>-</w:t>
      </w:r>
      <w:r w:rsidR="00B07E10" w:rsidRPr="00C968FC">
        <w:rPr>
          <w:rFonts w:cs="Arial"/>
        </w:rPr>
        <w:t>traumatis</w:t>
      </w:r>
      <w:r w:rsidR="00CD5313">
        <w:rPr>
          <w:rFonts w:cs="Arial"/>
        </w:rPr>
        <w:t xml:space="preserve">ing them because they are having to </w:t>
      </w:r>
      <w:r w:rsidR="00B125A4" w:rsidRPr="00C968FC">
        <w:rPr>
          <w:rFonts w:cs="Arial"/>
        </w:rPr>
        <w:t>repeat</w:t>
      </w:r>
      <w:r w:rsidR="00F830F2" w:rsidRPr="00C968FC">
        <w:rPr>
          <w:rFonts w:cs="Arial"/>
        </w:rPr>
        <w:t xml:space="preserve"> their</w:t>
      </w:r>
      <w:r w:rsidR="007933C7" w:rsidRPr="00C968FC">
        <w:rPr>
          <w:rFonts w:cs="Arial"/>
        </w:rPr>
        <w:t xml:space="preserve"> </w:t>
      </w:r>
      <w:r w:rsidR="004C02C7" w:rsidRPr="00C968FC">
        <w:rPr>
          <w:rFonts w:cs="Arial"/>
        </w:rPr>
        <w:t>story multiple times</w:t>
      </w:r>
      <w:r w:rsidR="000B7FAB" w:rsidRPr="00C968FC">
        <w:rPr>
          <w:rFonts w:cs="Arial"/>
        </w:rPr>
        <w:t>.</w:t>
      </w:r>
      <w:r w:rsidR="000B7FAB">
        <w:rPr>
          <w:rStyle w:val="FootnoteReference"/>
          <w:rFonts w:cs="Arial"/>
        </w:rPr>
        <w:footnoteReference w:id="153"/>
      </w:r>
      <w:r w:rsidR="000D5EEA" w:rsidRPr="00C968FC">
        <w:rPr>
          <w:rFonts w:cs="Arial"/>
        </w:rPr>
        <w:t xml:space="preserve"> </w:t>
      </w:r>
    </w:p>
    <w:p w14:paraId="70141C75" w14:textId="77777777" w:rsidR="00956713" w:rsidRPr="0078052E" w:rsidRDefault="00956713" w:rsidP="0078052E">
      <w:pPr>
        <w:suppressAutoHyphens/>
        <w:rPr>
          <w:rFonts w:cs="Arial"/>
          <w:color w:val="3C3C3B"/>
        </w:rPr>
      </w:pPr>
    </w:p>
    <w:p w14:paraId="18092231" w14:textId="1BADC0DA" w:rsidR="00C96ACA" w:rsidRPr="008C6B02" w:rsidRDefault="009A1155" w:rsidP="00944256">
      <w:pPr>
        <w:pStyle w:val="ListParagraph"/>
        <w:numPr>
          <w:ilvl w:val="1"/>
          <w:numId w:val="16"/>
        </w:numPr>
        <w:suppressAutoHyphens/>
        <w:ind w:left="709" w:hanging="709"/>
        <w:rPr>
          <w:rFonts w:cs="Arial"/>
          <w:b/>
          <w:bCs/>
          <w:color w:val="3C3C3B"/>
        </w:rPr>
      </w:pPr>
      <w:bookmarkStart w:id="22" w:name="_Hlk163637088"/>
      <w:r w:rsidRPr="7679F3B5">
        <w:rPr>
          <w:b/>
          <w:bCs/>
        </w:rPr>
        <w:t xml:space="preserve">The NIHRC recommends that the Executive Office </w:t>
      </w:r>
      <w:r w:rsidR="004D4D60" w:rsidRPr="7679F3B5">
        <w:rPr>
          <w:b/>
          <w:bCs/>
        </w:rPr>
        <w:t xml:space="preserve">includes specific measures </w:t>
      </w:r>
      <w:r w:rsidR="009331C7" w:rsidRPr="7679F3B5">
        <w:rPr>
          <w:b/>
          <w:bCs/>
        </w:rPr>
        <w:t xml:space="preserve">to </w:t>
      </w:r>
      <w:r w:rsidR="008832B2" w:rsidRPr="7679F3B5">
        <w:rPr>
          <w:b/>
          <w:bCs/>
        </w:rPr>
        <w:t xml:space="preserve">address </w:t>
      </w:r>
      <w:r w:rsidR="0023436D" w:rsidRPr="7679F3B5">
        <w:rPr>
          <w:b/>
          <w:bCs/>
        </w:rPr>
        <w:t>the delay in</w:t>
      </w:r>
      <w:r w:rsidR="004D4D60" w:rsidRPr="7679F3B5">
        <w:rPr>
          <w:b/>
          <w:bCs/>
        </w:rPr>
        <w:t xml:space="preserve"> th</w:t>
      </w:r>
      <w:r w:rsidR="00F217BA" w:rsidRPr="7679F3B5">
        <w:rPr>
          <w:b/>
          <w:bCs/>
        </w:rPr>
        <w:t xml:space="preserve">e </w:t>
      </w:r>
      <w:r w:rsidR="004D4D60" w:rsidRPr="7679F3B5">
        <w:rPr>
          <w:b/>
          <w:bCs/>
        </w:rPr>
        <w:t>Victims</w:t>
      </w:r>
      <w:r w:rsidR="0023436D" w:rsidRPr="7679F3B5">
        <w:rPr>
          <w:b/>
          <w:bCs/>
        </w:rPr>
        <w:t>’</w:t>
      </w:r>
      <w:r w:rsidR="004D4D60" w:rsidRPr="7679F3B5">
        <w:rPr>
          <w:b/>
          <w:bCs/>
        </w:rPr>
        <w:t xml:space="preserve"> Payment Scheme </w:t>
      </w:r>
      <w:r w:rsidR="00CD5313" w:rsidRPr="7679F3B5">
        <w:rPr>
          <w:b/>
          <w:bCs/>
        </w:rPr>
        <w:t xml:space="preserve">so that it </w:t>
      </w:r>
      <w:r w:rsidR="004D4D60" w:rsidRPr="7679F3B5">
        <w:rPr>
          <w:b/>
          <w:bCs/>
        </w:rPr>
        <w:t>offers fair, adequate, and prompt compensation to all who are eligible.</w:t>
      </w:r>
    </w:p>
    <w:p w14:paraId="050C2B2C" w14:textId="77777777" w:rsidR="008C6B02" w:rsidRPr="008C6B02" w:rsidRDefault="008C6B02" w:rsidP="008C6B02">
      <w:pPr>
        <w:pStyle w:val="ListParagraph"/>
        <w:rPr>
          <w:rFonts w:cs="Arial"/>
          <w:b/>
          <w:bCs/>
          <w:color w:val="3C3C3B"/>
        </w:rPr>
      </w:pPr>
    </w:p>
    <w:p w14:paraId="7A7F05EC" w14:textId="45877C62" w:rsidR="00AC6B32" w:rsidRDefault="0022229C" w:rsidP="00AC6B32">
      <w:pPr>
        <w:pStyle w:val="ListParagraph"/>
        <w:numPr>
          <w:ilvl w:val="1"/>
          <w:numId w:val="16"/>
        </w:numPr>
        <w:suppressAutoHyphens/>
        <w:ind w:left="709" w:hanging="709"/>
        <w:rPr>
          <w:b/>
          <w:bCs/>
        </w:rPr>
      </w:pPr>
      <w:r w:rsidRPr="7679F3B5">
        <w:rPr>
          <w:b/>
          <w:bCs/>
        </w:rPr>
        <w:t xml:space="preserve">The NIHRC recommends that the Executive Office includes measures </w:t>
      </w:r>
      <w:r w:rsidR="00CD5313" w:rsidRPr="7679F3B5">
        <w:rPr>
          <w:b/>
          <w:bCs/>
        </w:rPr>
        <w:t xml:space="preserve">targeted at </w:t>
      </w:r>
      <w:r w:rsidR="00381115" w:rsidRPr="7679F3B5">
        <w:rPr>
          <w:b/>
          <w:bCs/>
        </w:rPr>
        <w:t>address</w:t>
      </w:r>
      <w:r w:rsidR="00CD5313" w:rsidRPr="7679F3B5">
        <w:rPr>
          <w:b/>
          <w:bCs/>
        </w:rPr>
        <w:t>ing</w:t>
      </w:r>
      <w:r w:rsidR="00381115" w:rsidRPr="7679F3B5">
        <w:rPr>
          <w:b/>
          <w:bCs/>
        </w:rPr>
        <w:t xml:space="preserve"> the risk of re</w:t>
      </w:r>
      <w:r w:rsidR="00C83B54" w:rsidRPr="7679F3B5">
        <w:rPr>
          <w:b/>
          <w:bCs/>
        </w:rPr>
        <w:t>-</w:t>
      </w:r>
      <w:r w:rsidR="00381115" w:rsidRPr="7679F3B5">
        <w:rPr>
          <w:b/>
          <w:bCs/>
        </w:rPr>
        <w:t>traumatisation</w:t>
      </w:r>
      <w:r w:rsidR="00CD5313" w:rsidRPr="7679F3B5">
        <w:rPr>
          <w:b/>
          <w:bCs/>
        </w:rPr>
        <w:t>.</w:t>
      </w:r>
      <w:r w:rsidR="00381115" w:rsidRPr="7679F3B5">
        <w:rPr>
          <w:b/>
          <w:bCs/>
        </w:rPr>
        <w:t xml:space="preserve"> </w:t>
      </w:r>
      <w:r w:rsidR="009F4E16" w:rsidRPr="7679F3B5">
        <w:rPr>
          <w:b/>
          <w:bCs/>
        </w:rPr>
        <w:t xml:space="preserve">This should include ensuring that specialised </w:t>
      </w:r>
      <w:r w:rsidR="00381115" w:rsidRPr="7679F3B5">
        <w:rPr>
          <w:b/>
          <w:bCs/>
        </w:rPr>
        <w:t xml:space="preserve">support </w:t>
      </w:r>
      <w:r w:rsidR="00640105" w:rsidRPr="7679F3B5">
        <w:rPr>
          <w:b/>
          <w:bCs/>
        </w:rPr>
        <w:t xml:space="preserve">is available, </w:t>
      </w:r>
      <w:proofErr w:type="gramStart"/>
      <w:r w:rsidR="009F4E16" w:rsidRPr="7679F3B5">
        <w:rPr>
          <w:b/>
          <w:bCs/>
        </w:rPr>
        <w:t>accessible</w:t>
      </w:r>
      <w:proofErr w:type="gramEnd"/>
      <w:r w:rsidR="009F4E16" w:rsidRPr="7679F3B5">
        <w:rPr>
          <w:b/>
          <w:bCs/>
        </w:rPr>
        <w:t xml:space="preserve"> and securely funded</w:t>
      </w:r>
      <w:r w:rsidR="006B48E8" w:rsidRPr="7679F3B5">
        <w:rPr>
          <w:b/>
          <w:bCs/>
        </w:rPr>
        <w:t xml:space="preserve"> throughout an applicant’s journey.</w:t>
      </w:r>
    </w:p>
    <w:bookmarkEnd w:id="22"/>
    <w:p w14:paraId="0ABD87ED" w14:textId="77777777" w:rsidR="00AC6B32" w:rsidRPr="00AC6B32" w:rsidRDefault="00AC6B32" w:rsidP="00AC6B32">
      <w:pPr>
        <w:pStyle w:val="ListParagraph"/>
        <w:rPr>
          <w:b/>
          <w:bCs/>
        </w:rPr>
      </w:pPr>
    </w:p>
    <w:p w14:paraId="27628CBA" w14:textId="10CDE7D1" w:rsidR="00AC6B32" w:rsidRPr="00AC6B32" w:rsidRDefault="00AC6B32" w:rsidP="00AC6B32">
      <w:pPr>
        <w:pStyle w:val="Heading2"/>
      </w:pPr>
      <w:bookmarkStart w:id="23" w:name="_Toc163637909"/>
      <w:r>
        <w:t>Training of Practitioners</w:t>
      </w:r>
      <w:bookmarkEnd w:id="23"/>
      <w:r>
        <w:t xml:space="preserve"> </w:t>
      </w:r>
    </w:p>
    <w:p w14:paraId="408B8F77" w14:textId="0F50BB86" w:rsidR="00AC6B32" w:rsidRPr="00AC6B32" w:rsidRDefault="00AC6B32" w:rsidP="00AC6B32">
      <w:pPr>
        <w:pStyle w:val="ListParagraph"/>
        <w:numPr>
          <w:ilvl w:val="1"/>
          <w:numId w:val="16"/>
        </w:numPr>
        <w:suppressAutoHyphens/>
        <w:ind w:left="709" w:hanging="709"/>
        <w:rPr>
          <w:b/>
          <w:bCs/>
        </w:rPr>
      </w:pPr>
      <w:r>
        <w:t xml:space="preserve">The </w:t>
      </w:r>
      <w:r w:rsidR="00A66AA7">
        <w:t>draft s</w:t>
      </w:r>
      <w:r>
        <w:t xml:space="preserve">trategy </w:t>
      </w:r>
      <w:r w:rsidRPr="00AC6B32">
        <w:rPr>
          <w:rFonts w:eastAsia="Verdana" w:cs="Verdana"/>
        </w:rPr>
        <w:t>anticipates the need for partitioners</w:t>
      </w:r>
      <w:r w:rsidR="00057A83">
        <w:rPr>
          <w:rFonts w:eastAsia="Verdana" w:cs="Verdana"/>
        </w:rPr>
        <w:t>’</w:t>
      </w:r>
      <w:r w:rsidRPr="00AC6B32">
        <w:rPr>
          <w:rFonts w:eastAsia="Verdana" w:cs="Verdana"/>
        </w:rPr>
        <w:t xml:space="preserve"> training to “help maintain service delivery, standards, and morale”.</w:t>
      </w:r>
      <w:r>
        <w:rPr>
          <w:rStyle w:val="FootnoteReference"/>
          <w:rFonts w:eastAsia="Verdana" w:cs="Verdana"/>
        </w:rPr>
        <w:footnoteReference w:id="154"/>
      </w:r>
      <w:r w:rsidRPr="00AC6B32">
        <w:rPr>
          <w:rFonts w:eastAsia="Verdana" w:cs="Verdana"/>
        </w:rPr>
        <w:t xml:space="preserve"> The </w:t>
      </w:r>
      <w:r w:rsidR="00A66AA7">
        <w:rPr>
          <w:rFonts w:eastAsia="Verdana" w:cs="Verdana"/>
        </w:rPr>
        <w:t>draft s</w:t>
      </w:r>
      <w:r w:rsidRPr="00AC6B32">
        <w:rPr>
          <w:rFonts w:eastAsia="Verdana" w:cs="Verdana"/>
        </w:rPr>
        <w:t>trategy declares that a “wide range of trauma focused training courses aimed at building the capacity of those who deliver support and services to victims and survivors has been delivered.”</w:t>
      </w:r>
      <w:r>
        <w:rPr>
          <w:rStyle w:val="FootnoteReference"/>
          <w:rFonts w:eastAsia="Verdana" w:cs="Verdana"/>
        </w:rPr>
        <w:footnoteReference w:id="155"/>
      </w:r>
      <w:r w:rsidRPr="00AC6B32">
        <w:rPr>
          <w:rFonts w:eastAsia="Verdana" w:cs="Verdana"/>
        </w:rPr>
        <w:t xml:space="preserve"> However, </w:t>
      </w:r>
      <w:r w:rsidR="00057A83">
        <w:rPr>
          <w:rFonts w:eastAsia="Verdana" w:cs="Verdana"/>
        </w:rPr>
        <w:t>there is no</w:t>
      </w:r>
      <w:r w:rsidR="00057A83" w:rsidRPr="00AC6B32">
        <w:rPr>
          <w:rFonts w:eastAsia="Verdana" w:cs="Verdana"/>
        </w:rPr>
        <w:t xml:space="preserve"> </w:t>
      </w:r>
      <w:r w:rsidRPr="00AC6B32">
        <w:rPr>
          <w:rFonts w:eastAsia="Verdana" w:cs="Verdana"/>
        </w:rPr>
        <w:t xml:space="preserve">detail about </w:t>
      </w:r>
      <w:r w:rsidR="00057A83">
        <w:rPr>
          <w:rFonts w:eastAsia="Verdana" w:cs="Verdana"/>
        </w:rPr>
        <w:t>what will be</w:t>
      </w:r>
      <w:r w:rsidRPr="00AC6B32">
        <w:rPr>
          <w:rFonts w:eastAsia="Verdana" w:cs="Verdana"/>
        </w:rPr>
        <w:t xml:space="preserve"> provided</w:t>
      </w:r>
      <w:r w:rsidR="00057A83">
        <w:rPr>
          <w:rFonts w:eastAsia="Verdana" w:cs="Verdana"/>
        </w:rPr>
        <w:t>.</w:t>
      </w:r>
      <w:r w:rsidRPr="00AC6B32">
        <w:rPr>
          <w:rFonts w:eastAsia="Verdana" w:cs="Verdana"/>
        </w:rPr>
        <w:t xml:space="preserve"> The </w:t>
      </w:r>
      <w:r w:rsidR="00A66AA7">
        <w:rPr>
          <w:rFonts w:eastAsia="Verdana" w:cs="Verdana"/>
        </w:rPr>
        <w:t>draft s</w:t>
      </w:r>
      <w:r w:rsidRPr="00AC6B32">
        <w:rPr>
          <w:rFonts w:eastAsia="Verdana" w:cs="Verdana"/>
        </w:rPr>
        <w:t>trategy promises to “invest in capacity of the sector through training and development to meet national and regional standards, research, and improved regulation”</w:t>
      </w:r>
      <w:r w:rsidR="00057A83">
        <w:rPr>
          <w:rFonts w:eastAsia="Verdana" w:cs="Verdana"/>
        </w:rPr>
        <w:t>,</w:t>
      </w:r>
      <w:r>
        <w:rPr>
          <w:rStyle w:val="FootnoteReference"/>
          <w:rFonts w:eastAsia="Verdana" w:cs="Verdana"/>
        </w:rPr>
        <w:footnoteReference w:id="156"/>
      </w:r>
      <w:r w:rsidRPr="00AC6B32">
        <w:rPr>
          <w:rFonts w:eastAsia="Verdana" w:cs="Verdana"/>
        </w:rPr>
        <w:t xml:space="preserve"> which is welcomed. </w:t>
      </w:r>
    </w:p>
    <w:p w14:paraId="7DC66930" w14:textId="77777777" w:rsidR="00AC6B32" w:rsidRPr="00AC6B32" w:rsidRDefault="00AC6B32" w:rsidP="00AC6B32">
      <w:pPr>
        <w:pStyle w:val="ListParagraph"/>
        <w:suppressAutoHyphens/>
        <w:ind w:left="709"/>
        <w:rPr>
          <w:b/>
          <w:bCs/>
        </w:rPr>
      </w:pPr>
    </w:p>
    <w:p w14:paraId="781ED978" w14:textId="7D833826" w:rsidR="00AB62D1" w:rsidRPr="00AC6B32" w:rsidRDefault="00AC6B32" w:rsidP="00AC6B32">
      <w:pPr>
        <w:pStyle w:val="ListParagraph"/>
        <w:numPr>
          <w:ilvl w:val="1"/>
          <w:numId w:val="16"/>
        </w:numPr>
        <w:suppressAutoHyphens/>
        <w:ind w:left="709" w:hanging="709"/>
        <w:rPr>
          <w:b/>
          <w:bCs/>
        </w:rPr>
      </w:pPr>
      <w:r>
        <w:t xml:space="preserve">Article 25(1) and </w:t>
      </w:r>
      <w:r w:rsidR="00BE7E68">
        <w:t xml:space="preserve">Recital </w:t>
      </w:r>
      <w:r>
        <w:t>61 of the EU Victims’ Directive</w:t>
      </w:r>
      <w:r w:rsidR="00057A83">
        <w:t xml:space="preserve"> require</w:t>
      </w:r>
      <w:r>
        <w:t>, as a minimum</w:t>
      </w:r>
      <w:r w:rsidR="00057A83">
        <w:t xml:space="preserve">, </w:t>
      </w:r>
      <w:r>
        <w:t xml:space="preserve">that all relevant officials likely to </w:t>
      </w:r>
      <w:proofErr w:type="gramStart"/>
      <w:r>
        <w:t>come into contact with</w:t>
      </w:r>
      <w:proofErr w:type="gramEnd"/>
      <w:r>
        <w:t xml:space="preserve"> a victim, such as police officers and court staff, receive both general and specialist training. Article 25(4) identifies that, subject to the nature and level of the practitioner’s contact with victim</w:t>
      </w:r>
      <w:r w:rsidR="00057A83">
        <w:t>s</w:t>
      </w:r>
      <w:r>
        <w:t>, “training shall aim to enable the practitioner to recognise victims and to treat them in a respectful, professional and non-discriminatory manner”.</w:t>
      </w:r>
    </w:p>
    <w:p w14:paraId="6E2D78D8" w14:textId="77777777" w:rsidR="00AC6B32" w:rsidRPr="00AC6B32" w:rsidRDefault="00AC6B32" w:rsidP="00AC6B32">
      <w:pPr>
        <w:pStyle w:val="ListParagraph"/>
        <w:rPr>
          <w:b/>
          <w:bCs/>
        </w:rPr>
      </w:pPr>
    </w:p>
    <w:p w14:paraId="648F5B12" w14:textId="39530677" w:rsidR="00AC6B32" w:rsidRPr="00BE7E68" w:rsidRDefault="00AC6B32" w:rsidP="000965E8">
      <w:pPr>
        <w:pStyle w:val="ListParagraph"/>
        <w:numPr>
          <w:ilvl w:val="1"/>
          <w:numId w:val="16"/>
        </w:numPr>
        <w:suppressAutoHyphens/>
        <w:ind w:left="709" w:hanging="709"/>
        <w:rPr>
          <w:b/>
          <w:bCs/>
        </w:rPr>
      </w:pPr>
      <w:bookmarkStart w:id="24" w:name="_Hlk163637098"/>
      <w:r w:rsidRPr="00BE7E68">
        <w:rPr>
          <w:b/>
          <w:bCs/>
        </w:rPr>
        <w:t xml:space="preserve">The NIHRC recommends that the </w:t>
      </w:r>
      <w:r w:rsidR="00BE7E68" w:rsidRPr="00BE7E68">
        <w:rPr>
          <w:b/>
          <w:bCs/>
        </w:rPr>
        <w:t>Executive Office provides</w:t>
      </w:r>
      <w:r w:rsidR="00057A83">
        <w:rPr>
          <w:b/>
          <w:bCs/>
        </w:rPr>
        <w:t xml:space="preserve"> within the strategy</w:t>
      </w:r>
      <w:r w:rsidR="00BE7E68" w:rsidRPr="00BE7E68">
        <w:rPr>
          <w:b/>
          <w:bCs/>
        </w:rPr>
        <w:t xml:space="preserve"> for </w:t>
      </w:r>
      <w:r w:rsidR="00057A83">
        <w:rPr>
          <w:b/>
          <w:bCs/>
        </w:rPr>
        <w:t xml:space="preserve">the appropriate </w:t>
      </w:r>
      <w:r w:rsidRPr="00BE7E68">
        <w:rPr>
          <w:b/>
          <w:bCs/>
        </w:rPr>
        <w:t xml:space="preserve">training of practitioners </w:t>
      </w:r>
      <w:r w:rsidR="00BE7E68" w:rsidRPr="00BE7E68">
        <w:rPr>
          <w:b/>
          <w:bCs/>
        </w:rPr>
        <w:t>and o</w:t>
      </w:r>
      <w:r w:rsidR="00BE7E68" w:rsidRPr="00045B96">
        <w:rPr>
          <w:b/>
          <w:bCs/>
          <w:color w:val="333333"/>
          <w:shd w:val="clear" w:color="auto" w:fill="FFFFFF"/>
        </w:rPr>
        <w:t xml:space="preserve">fficials likely to </w:t>
      </w:r>
      <w:proofErr w:type="gramStart"/>
      <w:r w:rsidR="00BE7E68" w:rsidRPr="00045B96">
        <w:rPr>
          <w:b/>
          <w:bCs/>
          <w:color w:val="333333"/>
          <w:shd w:val="clear" w:color="auto" w:fill="FFFFFF"/>
        </w:rPr>
        <w:t>come into contact with</w:t>
      </w:r>
      <w:proofErr w:type="gramEnd"/>
      <w:r w:rsidR="00BE7E68" w:rsidRPr="00045B96">
        <w:rPr>
          <w:b/>
          <w:bCs/>
          <w:color w:val="333333"/>
          <w:shd w:val="clear" w:color="auto" w:fill="FFFFFF"/>
        </w:rPr>
        <w:t xml:space="preserve"> victims</w:t>
      </w:r>
      <w:r w:rsidR="00057A83" w:rsidRPr="2C0C89E5">
        <w:rPr>
          <w:b/>
          <w:bCs/>
          <w:color w:val="333333"/>
        </w:rPr>
        <w:t xml:space="preserve">. This should </w:t>
      </w:r>
      <w:r w:rsidR="00057A83">
        <w:rPr>
          <w:b/>
          <w:bCs/>
          <w:color w:val="333333"/>
          <w:shd w:val="clear" w:color="auto" w:fill="FFFFFF"/>
        </w:rPr>
        <w:t xml:space="preserve">be </w:t>
      </w:r>
      <w:r w:rsidR="00BE7E68" w:rsidRPr="00BE7E68">
        <w:rPr>
          <w:b/>
          <w:bCs/>
        </w:rPr>
        <w:t>aligned to the minimum standards set out in the EU Victims’ Directive</w:t>
      </w:r>
      <w:r w:rsidR="00057A83">
        <w:rPr>
          <w:b/>
          <w:bCs/>
        </w:rPr>
        <w:t xml:space="preserve">. At the very least it must </w:t>
      </w:r>
      <w:r w:rsidR="00BE7E68">
        <w:rPr>
          <w:b/>
          <w:bCs/>
        </w:rPr>
        <w:t>enabl</w:t>
      </w:r>
      <w:r w:rsidR="00057A83">
        <w:rPr>
          <w:b/>
          <w:bCs/>
        </w:rPr>
        <w:t xml:space="preserve">e officials </w:t>
      </w:r>
      <w:r w:rsidR="00BE7E68">
        <w:rPr>
          <w:b/>
          <w:bCs/>
        </w:rPr>
        <w:t xml:space="preserve">to </w:t>
      </w:r>
      <w:r w:rsidR="00BE7E68" w:rsidRPr="00BE7E68">
        <w:rPr>
          <w:b/>
          <w:bCs/>
        </w:rPr>
        <w:t>recognis</w:t>
      </w:r>
      <w:r w:rsidR="00BE7E68">
        <w:rPr>
          <w:b/>
          <w:bCs/>
        </w:rPr>
        <w:t>e</w:t>
      </w:r>
      <w:r w:rsidR="00BE7E68" w:rsidRPr="00BE7E68">
        <w:rPr>
          <w:b/>
          <w:bCs/>
        </w:rPr>
        <w:t xml:space="preserve"> victims and </w:t>
      </w:r>
      <w:r w:rsidR="00BE7E68">
        <w:rPr>
          <w:b/>
          <w:bCs/>
        </w:rPr>
        <w:t>to</w:t>
      </w:r>
      <w:r w:rsidRPr="00BE7E68">
        <w:rPr>
          <w:b/>
          <w:bCs/>
        </w:rPr>
        <w:t xml:space="preserve"> treat</w:t>
      </w:r>
      <w:r w:rsidR="00BE7E68">
        <w:rPr>
          <w:b/>
          <w:bCs/>
        </w:rPr>
        <w:t xml:space="preserve"> victims</w:t>
      </w:r>
      <w:r w:rsidRPr="00BE7E68">
        <w:rPr>
          <w:b/>
          <w:bCs/>
        </w:rPr>
        <w:t xml:space="preserve"> in a respectful, professional, </w:t>
      </w:r>
      <w:proofErr w:type="gramStart"/>
      <w:r w:rsidRPr="00BE7E68">
        <w:rPr>
          <w:b/>
          <w:bCs/>
        </w:rPr>
        <w:t>impartial</w:t>
      </w:r>
      <w:proofErr w:type="gramEnd"/>
      <w:r w:rsidRPr="00BE7E68">
        <w:rPr>
          <w:b/>
          <w:bCs/>
        </w:rPr>
        <w:t xml:space="preserve"> and non-discriminatory fashion. </w:t>
      </w:r>
    </w:p>
    <w:bookmarkEnd w:id="24"/>
    <w:p w14:paraId="17CF4EDE" w14:textId="5F57E229" w:rsidR="00AB62D1" w:rsidRPr="00AC6B32" w:rsidRDefault="00AB62D1" w:rsidP="2C0C89E5"/>
    <w:p w14:paraId="23E77F86" w14:textId="77777777" w:rsidR="00AB62D1" w:rsidRDefault="00AB62D1" w:rsidP="000965E8"/>
    <w:p w14:paraId="47AFC15F" w14:textId="24630C72" w:rsidR="00F8712D" w:rsidRDefault="00F8712D">
      <w:pPr>
        <w:spacing w:line="240" w:lineRule="auto"/>
      </w:pPr>
      <w:r>
        <w:br w:type="page"/>
      </w:r>
    </w:p>
    <w:p w14:paraId="7B8B89A6" w14:textId="718B2DA3" w:rsidR="00206D2F" w:rsidRPr="00865E05" w:rsidRDefault="00206D2F" w:rsidP="00865E05">
      <w:pPr>
        <w:pStyle w:val="Heading1"/>
        <w:numPr>
          <w:ilvl w:val="0"/>
          <w:numId w:val="0"/>
        </w:numPr>
        <w:ind w:left="360" w:hanging="360"/>
      </w:pPr>
      <w:bookmarkStart w:id="25" w:name="_Toc163637910"/>
      <w:r>
        <w:lastRenderedPageBreak/>
        <w:t xml:space="preserve">Annex 1 </w:t>
      </w:r>
      <w:r w:rsidR="004522DF">
        <w:t xml:space="preserve">– </w:t>
      </w:r>
      <w:r w:rsidR="00865E05">
        <w:t>Rights of Victims and Survivors</w:t>
      </w:r>
      <w:bookmarkEnd w:id="25"/>
    </w:p>
    <w:p w14:paraId="761D3F23" w14:textId="77777777" w:rsidR="002619C5" w:rsidRDefault="00967871" w:rsidP="001A64D3">
      <w:pPr>
        <w:spacing w:line="276" w:lineRule="auto"/>
        <w:rPr>
          <w:rFonts w:cs="Arial"/>
        </w:rPr>
      </w:pPr>
      <w:r w:rsidRPr="00967871">
        <w:rPr>
          <w:rFonts w:cs="Arial"/>
        </w:rPr>
        <w:t xml:space="preserve">Victims </w:t>
      </w:r>
      <w:r w:rsidR="00993A11">
        <w:rPr>
          <w:rFonts w:cs="Arial"/>
        </w:rPr>
        <w:t xml:space="preserve">and survivors </w:t>
      </w:r>
      <w:r w:rsidRPr="00967871">
        <w:rPr>
          <w:rFonts w:cs="Arial"/>
        </w:rPr>
        <w:t>of serious human rights abuses are protected by various international instruments and standards developed by the United Nations (UN) and the Council of Europe</w:t>
      </w:r>
      <w:r>
        <w:rPr>
          <w:rFonts w:cs="Arial"/>
        </w:rPr>
        <w:t xml:space="preserve"> (</w:t>
      </w:r>
      <w:proofErr w:type="spellStart"/>
      <w:r>
        <w:rPr>
          <w:rFonts w:cs="Arial"/>
        </w:rPr>
        <w:t>CoE</w:t>
      </w:r>
      <w:proofErr w:type="spellEnd"/>
      <w:r>
        <w:rPr>
          <w:rFonts w:cs="Arial"/>
        </w:rPr>
        <w:t>)</w:t>
      </w:r>
      <w:r w:rsidRPr="00967871">
        <w:rPr>
          <w:rFonts w:cs="Arial"/>
        </w:rPr>
        <w:t xml:space="preserve">. </w:t>
      </w:r>
      <w:r w:rsidR="00CA4B24">
        <w:rPr>
          <w:rFonts w:cs="Arial"/>
        </w:rPr>
        <w:t xml:space="preserve">The below </w:t>
      </w:r>
      <w:r w:rsidR="00A3196D">
        <w:rPr>
          <w:rFonts w:cs="Arial"/>
        </w:rPr>
        <w:t xml:space="preserve">sets out </w:t>
      </w:r>
      <w:r w:rsidR="00CA4B24">
        <w:rPr>
          <w:rFonts w:cs="Arial"/>
        </w:rPr>
        <w:t xml:space="preserve">key </w:t>
      </w:r>
      <w:r w:rsidR="00010EAD">
        <w:rPr>
          <w:rFonts w:cs="Arial"/>
        </w:rPr>
        <w:t xml:space="preserve">human </w:t>
      </w:r>
      <w:r w:rsidR="00CA4B24">
        <w:rPr>
          <w:rFonts w:cs="Arial"/>
        </w:rPr>
        <w:t>rights</w:t>
      </w:r>
      <w:r w:rsidR="00F33660">
        <w:rPr>
          <w:rFonts w:cs="Arial"/>
        </w:rPr>
        <w:t xml:space="preserve"> and principles emerging</w:t>
      </w:r>
      <w:r w:rsidR="00CA4B24">
        <w:rPr>
          <w:rFonts w:cs="Arial"/>
        </w:rPr>
        <w:t xml:space="preserve"> </w:t>
      </w:r>
      <w:r w:rsidR="00F33660">
        <w:rPr>
          <w:rFonts w:cs="Arial"/>
        </w:rPr>
        <w:t xml:space="preserve">from </w:t>
      </w:r>
      <w:r w:rsidR="001F7075">
        <w:rPr>
          <w:rFonts w:cs="Arial"/>
        </w:rPr>
        <w:t>these instruments</w:t>
      </w:r>
      <w:r w:rsidR="00993A11">
        <w:rPr>
          <w:rFonts w:cs="Arial"/>
        </w:rPr>
        <w:t xml:space="preserve">. </w:t>
      </w:r>
    </w:p>
    <w:p w14:paraId="4C69C1CD" w14:textId="77777777" w:rsidR="00C908CB" w:rsidRDefault="00C908CB" w:rsidP="001A64D3">
      <w:pPr>
        <w:spacing w:line="276" w:lineRule="auto"/>
        <w:rPr>
          <w:rFonts w:cs="Arial"/>
        </w:rPr>
      </w:pPr>
    </w:p>
    <w:p w14:paraId="3B212FD7" w14:textId="74FE7531" w:rsidR="00E615B5" w:rsidRDefault="00DC7E36" w:rsidP="001A64D3">
      <w:pPr>
        <w:spacing w:line="276" w:lineRule="auto"/>
        <w:rPr>
          <w:rFonts w:cs="Arial"/>
        </w:rPr>
      </w:pPr>
      <w:r>
        <w:rPr>
          <w:rFonts w:cs="Arial"/>
        </w:rPr>
        <w:t>For more detail or a more expansive list</w:t>
      </w:r>
      <w:r w:rsidR="00C17658">
        <w:rPr>
          <w:rFonts w:cs="Arial"/>
        </w:rPr>
        <w:t xml:space="preserve">, </w:t>
      </w:r>
      <w:r w:rsidR="00EC245E">
        <w:rPr>
          <w:rFonts w:cs="Arial"/>
        </w:rPr>
        <w:t xml:space="preserve">the NIHRC </w:t>
      </w:r>
      <w:r w:rsidR="009D2B72">
        <w:rPr>
          <w:rFonts w:cs="Arial"/>
        </w:rPr>
        <w:t>encourage</w:t>
      </w:r>
      <w:r w:rsidR="007209B0">
        <w:rPr>
          <w:rFonts w:cs="Arial"/>
        </w:rPr>
        <w:t>s</w:t>
      </w:r>
      <w:r w:rsidR="009D2B72">
        <w:rPr>
          <w:rFonts w:cs="Arial"/>
        </w:rPr>
        <w:t xml:space="preserve"> the Executive Office to</w:t>
      </w:r>
      <w:r w:rsidR="00C17658">
        <w:rPr>
          <w:rFonts w:cs="Arial"/>
        </w:rPr>
        <w:t xml:space="preserve"> </w:t>
      </w:r>
      <w:r w:rsidR="00812A76">
        <w:rPr>
          <w:rFonts w:cs="Arial"/>
        </w:rPr>
        <w:t>review the</w:t>
      </w:r>
      <w:r w:rsidR="00C17658">
        <w:rPr>
          <w:rFonts w:cs="Arial"/>
        </w:rPr>
        <w:t xml:space="preserve"> </w:t>
      </w:r>
      <w:r w:rsidR="007C47F7">
        <w:rPr>
          <w:rFonts w:cs="Arial"/>
        </w:rPr>
        <w:t xml:space="preserve">full range of </w:t>
      </w:r>
      <w:r w:rsidR="007C47F7" w:rsidRPr="00DA159C">
        <w:t xml:space="preserve">regional and international treaties </w:t>
      </w:r>
      <w:r w:rsidR="007C47F7">
        <w:t xml:space="preserve">ratified by the UK, </w:t>
      </w:r>
      <w:r w:rsidR="00812A76">
        <w:t>including the</w:t>
      </w:r>
      <w:r w:rsidR="00812A76" w:rsidRPr="001A7CE5">
        <w:t xml:space="preserve"> declarations and principles </w:t>
      </w:r>
      <w:r w:rsidR="00915D37">
        <w:t xml:space="preserve">developed by </w:t>
      </w:r>
      <w:r w:rsidR="002619C5">
        <w:t>corresponding</w:t>
      </w:r>
      <w:r w:rsidR="00A820B9">
        <w:t xml:space="preserve"> </w:t>
      </w:r>
      <w:r w:rsidR="00915D37">
        <w:t>human rights bodies</w:t>
      </w:r>
      <w:r w:rsidR="00812A76" w:rsidRPr="001A7CE5">
        <w:t xml:space="preserve">, </w:t>
      </w:r>
      <w:r w:rsidR="007209B0">
        <w:rPr>
          <w:rFonts w:cs="Arial"/>
        </w:rPr>
        <w:t xml:space="preserve">as well as </w:t>
      </w:r>
      <w:r w:rsidR="00BB6639">
        <w:rPr>
          <w:rFonts w:cs="Arial"/>
        </w:rPr>
        <w:t>the NIHRC’s previous advice in this area.</w:t>
      </w:r>
      <w:r w:rsidR="00D02E84">
        <w:rPr>
          <w:rStyle w:val="FootnoteReference"/>
          <w:rFonts w:cs="Arial"/>
        </w:rPr>
        <w:footnoteReference w:id="157"/>
      </w:r>
    </w:p>
    <w:p w14:paraId="4ACDEA78" w14:textId="77777777" w:rsidR="00C908CB" w:rsidRDefault="00C908CB" w:rsidP="001A64D3">
      <w:pPr>
        <w:spacing w:line="276" w:lineRule="auto"/>
        <w:rPr>
          <w:rFonts w:cs="Arial"/>
        </w:rPr>
      </w:pPr>
    </w:p>
    <w:p w14:paraId="17E8BC60" w14:textId="75DFF5D6" w:rsidR="00C908CB" w:rsidRDefault="00C908CB" w:rsidP="00C908CB">
      <w:pPr>
        <w:spacing w:line="276" w:lineRule="auto"/>
        <w:rPr>
          <w:rFonts w:cs="Arial"/>
        </w:rPr>
      </w:pPr>
      <w:r>
        <w:rPr>
          <w:rFonts w:cs="Arial"/>
        </w:rPr>
        <w:t xml:space="preserve">In addition, the UK has committed to ensuring that there should be no diminution of certain rights and safeguards following withdrawal from the EU, including victims’ rights. Details of these minimum standards in respect of victims are included below.   </w:t>
      </w:r>
    </w:p>
    <w:p w14:paraId="5B1B6113" w14:textId="77777777" w:rsidR="00206D2F" w:rsidRDefault="00206D2F">
      <w:pPr>
        <w:spacing w:line="240" w:lineRule="auto"/>
        <w:rPr>
          <w:rFonts w:cs="Arial"/>
        </w:rPr>
      </w:pPr>
    </w:p>
    <w:p w14:paraId="30DD66C8" w14:textId="5EF48A9D" w:rsidR="00FC41CD" w:rsidRPr="00C67C81" w:rsidRDefault="00FC41CD" w:rsidP="00352860">
      <w:pPr>
        <w:spacing w:line="276" w:lineRule="auto"/>
        <w:rPr>
          <w:rFonts w:cs="Arial"/>
          <w:b/>
          <w:bCs/>
        </w:rPr>
      </w:pPr>
      <w:r>
        <w:rPr>
          <w:rFonts w:cs="Arial"/>
          <w:b/>
          <w:bCs/>
        </w:rPr>
        <w:t xml:space="preserve">The right </w:t>
      </w:r>
      <w:r w:rsidR="00352860">
        <w:rPr>
          <w:rFonts w:cs="Arial"/>
          <w:b/>
          <w:bCs/>
        </w:rPr>
        <w:t xml:space="preserve">to </w:t>
      </w:r>
      <w:r w:rsidR="00B1232B">
        <w:rPr>
          <w:rFonts w:cs="Arial"/>
          <w:b/>
          <w:bCs/>
        </w:rPr>
        <w:t xml:space="preserve">life and </w:t>
      </w:r>
      <w:r w:rsidR="007B5592">
        <w:rPr>
          <w:rFonts w:cs="Arial"/>
          <w:b/>
          <w:bCs/>
        </w:rPr>
        <w:t>freedom from torture or inhuman or degrading treatment</w:t>
      </w:r>
    </w:p>
    <w:p w14:paraId="6FBD86EF" w14:textId="77777777" w:rsidR="008D1712" w:rsidRDefault="008D1712" w:rsidP="00CB4BEE">
      <w:pPr>
        <w:spacing w:line="276" w:lineRule="auto"/>
        <w:rPr>
          <w:rFonts w:cs="Arial"/>
        </w:rPr>
      </w:pPr>
    </w:p>
    <w:p w14:paraId="2DCBF787" w14:textId="11F87B0C" w:rsidR="0026246F" w:rsidRPr="00C24CDF" w:rsidRDefault="00172091" w:rsidP="00CB4BEE">
      <w:pPr>
        <w:spacing w:line="276" w:lineRule="auto"/>
      </w:pPr>
      <w:r>
        <w:t xml:space="preserve">Articles 2 (right to life) and 3 (freedom from torture, inhuman or degrading treatment) </w:t>
      </w:r>
      <w:r w:rsidR="00A847AD">
        <w:t xml:space="preserve">of the ECHR </w:t>
      </w:r>
      <w:r>
        <w:t>require that effective investigations are conducted into potential violations of these rights, including where the alleged perpetrator is a non-State actor.</w:t>
      </w:r>
      <w:r w:rsidR="001B45F0">
        <w:rPr>
          <w:rStyle w:val="FootnoteReference"/>
        </w:rPr>
        <w:footnoteReference w:id="158"/>
      </w:r>
      <w:r>
        <w:t xml:space="preserve"> An effective investigation is one that is independent, of the State’s own motion, prompt, conducted with reasonable expedition and subject to public scrutiny.</w:t>
      </w:r>
      <w:r w:rsidR="00A671BB">
        <w:rPr>
          <w:rStyle w:val="FootnoteReference"/>
        </w:rPr>
        <w:footnoteReference w:id="159"/>
      </w:r>
      <w:r w:rsidR="00C24CDF">
        <w:t xml:space="preserve"> </w:t>
      </w:r>
      <w:r w:rsidR="00790AC8">
        <w:t xml:space="preserve">Similar </w:t>
      </w:r>
      <w:r w:rsidR="00750AC2">
        <w:t xml:space="preserve">procedural </w:t>
      </w:r>
      <w:r w:rsidR="00790AC8">
        <w:t>obligations also arise under international human rights standards</w:t>
      </w:r>
      <w:r w:rsidR="0026246F">
        <w:t>.</w:t>
      </w:r>
      <w:r w:rsidR="0026246F">
        <w:rPr>
          <w:rStyle w:val="FootnoteReference"/>
        </w:rPr>
        <w:footnoteReference w:id="160"/>
      </w:r>
      <w:r w:rsidR="00750AC2">
        <w:t xml:space="preserve"> </w:t>
      </w:r>
      <w:r w:rsidR="00B25FDC">
        <w:t xml:space="preserve">While the degree of public </w:t>
      </w:r>
      <w:r w:rsidR="003B43AB">
        <w:t>scrutiny varies from case to case,</w:t>
      </w:r>
      <w:r w:rsidR="003B43AB">
        <w:rPr>
          <w:rStyle w:val="FootnoteReference"/>
        </w:rPr>
        <w:footnoteReference w:id="161"/>
      </w:r>
      <w:r w:rsidR="003B43AB">
        <w:t xml:space="preserve"> n</w:t>
      </w:r>
      <w:r w:rsidR="0026246F">
        <w:t>on-disclosure of information by the State engages Article</w:t>
      </w:r>
      <w:r w:rsidR="000670C2">
        <w:t>s</w:t>
      </w:r>
      <w:r w:rsidR="0026246F">
        <w:t xml:space="preserve"> 10 (right to freedom of expression) and Article 8 (the right to respect for private and </w:t>
      </w:r>
      <w:r w:rsidR="0026246F">
        <w:lastRenderedPageBreak/>
        <w:t>family life)</w:t>
      </w:r>
      <w:r w:rsidR="000670C2">
        <w:t xml:space="preserve"> of the ECHR</w:t>
      </w:r>
      <w:r w:rsidR="0026246F">
        <w:t>.</w:t>
      </w:r>
      <w:r w:rsidR="00702826">
        <w:rPr>
          <w:rStyle w:val="FootnoteReference"/>
        </w:rPr>
        <w:footnoteReference w:id="162"/>
      </w:r>
      <w:r w:rsidR="003244CF">
        <w:t xml:space="preserve"> </w:t>
      </w:r>
      <w:r w:rsidR="0026246F">
        <w:t>These rights are protected by a range of other human rights treaties.</w:t>
      </w:r>
      <w:r w:rsidR="0026246F">
        <w:rPr>
          <w:rStyle w:val="FootnoteReference"/>
        </w:rPr>
        <w:footnoteReference w:id="163"/>
      </w:r>
      <w:r w:rsidR="0026246F">
        <w:t xml:space="preserve"> </w:t>
      </w:r>
    </w:p>
    <w:p w14:paraId="387D449E" w14:textId="77777777" w:rsidR="008D1712" w:rsidRDefault="008D1712" w:rsidP="00CB4BEE">
      <w:pPr>
        <w:spacing w:line="276" w:lineRule="auto"/>
        <w:rPr>
          <w:rFonts w:cs="Arial"/>
        </w:rPr>
      </w:pPr>
    </w:p>
    <w:p w14:paraId="7F458DC6" w14:textId="12D2EB35" w:rsidR="00C67C81" w:rsidRDefault="00FD699A" w:rsidP="00CB4BEE">
      <w:pPr>
        <w:spacing w:line="276" w:lineRule="auto"/>
        <w:rPr>
          <w:rFonts w:cs="Arial"/>
          <w:b/>
          <w:bCs/>
        </w:rPr>
      </w:pPr>
      <w:r>
        <w:rPr>
          <w:rFonts w:cs="Arial"/>
          <w:b/>
          <w:bCs/>
        </w:rPr>
        <w:t>Access</w:t>
      </w:r>
      <w:r w:rsidR="00C67C81">
        <w:rPr>
          <w:rFonts w:cs="Arial"/>
          <w:b/>
          <w:bCs/>
        </w:rPr>
        <w:t xml:space="preserve"> to justice </w:t>
      </w:r>
    </w:p>
    <w:p w14:paraId="347890B7" w14:textId="77777777" w:rsidR="00AE7FD8" w:rsidRDefault="00AE7FD8" w:rsidP="00CB4BEE">
      <w:pPr>
        <w:spacing w:line="276" w:lineRule="auto"/>
        <w:rPr>
          <w:rFonts w:cs="Arial"/>
          <w:b/>
          <w:bCs/>
        </w:rPr>
      </w:pPr>
    </w:p>
    <w:p w14:paraId="5729D970" w14:textId="09C4A293" w:rsidR="0007569A" w:rsidRDefault="0007569A" w:rsidP="00CB4BEE">
      <w:pPr>
        <w:spacing w:line="276" w:lineRule="auto"/>
      </w:pPr>
      <w:r>
        <w:t xml:space="preserve">Access to justice is a fundamental right </w:t>
      </w:r>
      <w:r w:rsidR="007209B0">
        <w:t xml:space="preserve">for all </w:t>
      </w:r>
      <w:r w:rsidR="009C4FE0">
        <w:t>victims and survivors</w:t>
      </w:r>
      <w:r w:rsidR="007209B0">
        <w:t xml:space="preserve">. It is </w:t>
      </w:r>
      <w:r w:rsidR="00CA6F6B">
        <w:t>a</w:t>
      </w:r>
      <w:r w:rsidR="00FD35CC">
        <w:t xml:space="preserve">n </w:t>
      </w:r>
      <w:r w:rsidR="007209B0">
        <w:t xml:space="preserve">essential </w:t>
      </w:r>
      <w:r w:rsidR="00FD35CC">
        <w:t>element of the rule of law</w:t>
      </w:r>
      <w:r w:rsidR="009C4FE0">
        <w:t>.</w:t>
      </w:r>
      <w:r w:rsidR="0038529F">
        <w:t xml:space="preserve"> It is</w:t>
      </w:r>
      <w:r w:rsidR="003E6667">
        <w:t xml:space="preserve"> a </w:t>
      </w:r>
      <w:r w:rsidR="0038529F">
        <w:t xml:space="preserve">substantive right </w:t>
      </w:r>
      <w:r w:rsidR="000515AE">
        <w:t>as well as</w:t>
      </w:r>
      <w:r w:rsidR="0038529F">
        <w:t xml:space="preserve"> a procedural guarantee</w:t>
      </w:r>
      <w:r w:rsidR="003E6667">
        <w:t xml:space="preserve">, as it </w:t>
      </w:r>
      <w:r w:rsidR="0038529F">
        <w:t xml:space="preserve">allows </w:t>
      </w:r>
      <w:r w:rsidR="003E619E">
        <w:t xml:space="preserve">individuals </w:t>
      </w:r>
      <w:r w:rsidR="000515AE">
        <w:t xml:space="preserve">to enforce </w:t>
      </w:r>
      <w:r w:rsidR="007209B0">
        <w:t xml:space="preserve">their rights </w:t>
      </w:r>
      <w:r w:rsidR="000515AE">
        <w:t>and seek redress.</w:t>
      </w:r>
      <w:r>
        <w:t xml:space="preserve"> </w:t>
      </w:r>
      <w:r w:rsidR="00322779">
        <w:t xml:space="preserve">Access to justice </w:t>
      </w:r>
      <w:r w:rsidR="00585AA8">
        <w:t xml:space="preserve">encompasses </w:t>
      </w:r>
      <w:r w:rsidR="000670C2">
        <w:t>several</w:t>
      </w:r>
      <w:r w:rsidR="00585AA8">
        <w:t xml:space="preserve"> core</w:t>
      </w:r>
      <w:r w:rsidR="00322779">
        <w:t xml:space="preserve"> rights recognised in human rights law: namely, the right to have access to an effective remedy</w:t>
      </w:r>
      <w:r w:rsidR="00EF1DFE">
        <w:rPr>
          <w:rStyle w:val="FootnoteReference"/>
        </w:rPr>
        <w:footnoteReference w:id="164"/>
      </w:r>
      <w:r w:rsidR="00322779">
        <w:t xml:space="preserve"> and the right to a fair trial.</w:t>
      </w:r>
      <w:r w:rsidR="00EF1DFE">
        <w:rPr>
          <w:rStyle w:val="FootnoteReference"/>
        </w:rPr>
        <w:footnoteReference w:id="165"/>
      </w:r>
      <w:r w:rsidR="00322779">
        <w:t xml:space="preserve"> </w:t>
      </w:r>
    </w:p>
    <w:p w14:paraId="1DF63010" w14:textId="77777777" w:rsidR="00157F37" w:rsidRDefault="00157F37" w:rsidP="00CB4BEE">
      <w:pPr>
        <w:spacing w:line="276" w:lineRule="auto"/>
        <w:rPr>
          <w:rFonts w:cs="Arial"/>
          <w:b/>
          <w:bCs/>
        </w:rPr>
      </w:pPr>
    </w:p>
    <w:p w14:paraId="66C9B45A" w14:textId="40BC069B" w:rsidR="0042171D" w:rsidRPr="00D24F61" w:rsidRDefault="0042171D" w:rsidP="0042171D">
      <w:pPr>
        <w:spacing w:line="276" w:lineRule="auto"/>
      </w:pPr>
      <w:r>
        <w:t>UN principles and guidelines</w:t>
      </w:r>
      <w:r w:rsidR="00151560">
        <w:t xml:space="preserve"> set out core elements of </w:t>
      </w:r>
      <w:r w:rsidR="00257EAC">
        <w:t>access to justice, including</w:t>
      </w:r>
      <w:r w:rsidR="00D24F61">
        <w:t xml:space="preserve"> e</w:t>
      </w:r>
      <w:r w:rsidR="00DC48AD">
        <w:t xml:space="preserve">qual </w:t>
      </w:r>
      <w:r w:rsidR="003D460E">
        <w:t>access to a dispute resolution body, the right to fair proceedings</w:t>
      </w:r>
      <w:r w:rsidR="00F064FE">
        <w:t xml:space="preserve"> and proper assistance to victims seeking access to justice</w:t>
      </w:r>
      <w:r w:rsidR="003D460E">
        <w:t xml:space="preserve">, </w:t>
      </w:r>
      <w:r w:rsidR="00CD1FC5">
        <w:t xml:space="preserve">and </w:t>
      </w:r>
      <w:r w:rsidR="003D460E">
        <w:t>the right to</w:t>
      </w:r>
      <w:r w:rsidR="00CD1FC5">
        <w:t xml:space="preserve"> </w:t>
      </w:r>
      <w:r w:rsidR="00D24F61">
        <w:t xml:space="preserve">an </w:t>
      </w:r>
      <w:r w:rsidR="00CD1FC5">
        <w:t>adequate, effective and prompt</w:t>
      </w:r>
      <w:r w:rsidR="003D460E">
        <w:t xml:space="preserve"> </w:t>
      </w:r>
      <w:r w:rsidR="00D24F61">
        <w:t>remedy for serious human rights violations.</w:t>
      </w:r>
      <w:r w:rsidR="00D24F61">
        <w:rPr>
          <w:rStyle w:val="FootnoteReference"/>
        </w:rPr>
        <w:footnoteReference w:id="166"/>
      </w:r>
      <w:r w:rsidR="00D24F61">
        <w:t xml:space="preserve"> S</w:t>
      </w:r>
      <w:r>
        <w:t>tates are</w:t>
      </w:r>
      <w:r w:rsidR="00D24F61">
        <w:t xml:space="preserve"> also</w:t>
      </w:r>
      <w:r>
        <w:t xml:space="preserve"> responsible for disseminating information to victims, their relatives and the general public on their rights and all available remedies, including “legal, medical, psychological, social, administrative and all other services to which victims may have a right of access”.</w:t>
      </w:r>
      <w:r>
        <w:rPr>
          <w:rStyle w:val="FootnoteReference"/>
        </w:rPr>
        <w:footnoteReference w:id="167"/>
      </w:r>
      <w:r>
        <w:t xml:space="preserve"> </w:t>
      </w:r>
    </w:p>
    <w:p w14:paraId="4DA48199" w14:textId="77777777" w:rsidR="00AE7FD8" w:rsidRDefault="00AE7FD8" w:rsidP="00CB4BEE">
      <w:pPr>
        <w:spacing w:line="276" w:lineRule="auto"/>
        <w:rPr>
          <w:rFonts w:cs="Arial"/>
          <w:b/>
          <w:bCs/>
        </w:rPr>
      </w:pPr>
    </w:p>
    <w:p w14:paraId="4C9FDFF0" w14:textId="65ECDEE5" w:rsidR="00C67C81" w:rsidRDefault="0021418C" w:rsidP="00CB4BEE">
      <w:pPr>
        <w:spacing w:line="276" w:lineRule="auto"/>
        <w:rPr>
          <w:rFonts w:cs="Arial"/>
          <w:b/>
          <w:bCs/>
        </w:rPr>
      </w:pPr>
      <w:r>
        <w:rPr>
          <w:rFonts w:cs="Arial"/>
          <w:b/>
          <w:bCs/>
        </w:rPr>
        <w:t xml:space="preserve">The right to a fair </w:t>
      </w:r>
      <w:r w:rsidR="005608ED">
        <w:rPr>
          <w:rFonts w:cs="Arial"/>
          <w:b/>
          <w:bCs/>
        </w:rPr>
        <w:t>and public hearing</w:t>
      </w:r>
    </w:p>
    <w:p w14:paraId="585912F0" w14:textId="77777777" w:rsidR="00501417" w:rsidRDefault="00501417" w:rsidP="00CB4BEE">
      <w:pPr>
        <w:spacing w:line="276" w:lineRule="auto"/>
        <w:rPr>
          <w:rFonts w:cs="Arial"/>
          <w:b/>
          <w:bCs/>
        </w:rPr>
      </w:pPr>
    </w:p>
    <w:p w14:paraId="6A00FC44" w14:textId="0E09AA1E" w:rsidR="00120387" w:rsidRPr="00A07FDA" w:rsidRDefault="007A69D9" w:rsidP="00CB4BEE">
      <w:pPr>
        <w:spacing w:line="276" w:lineRule="auto"/>
      </w:pPr>
      <w:r>
        <w:t>Article 6 of the</w:t>
      </w:r>
      <w:r w:rsidR="00501417">
        <w:t xml:space="preserve"> ECHR</w:t>
      </w:r>
      <w:r>
        <w:t xml:space="preserve"> </w:t>
      </w:r>
      <w:r w:rsidR="00A07FDA">
        <w:t xml:space="preserve">and </w:t>
      </w:r>
      <w:r>
        <w:t xml:space="preserve">Article 14 of </w:t>
      </w:r>
      <w:r w:rsidR="00254685">
        <w:t>the ICCPR</w:t>
      </w:r>
      <w:r w:rsidR="0074067F">
        <w:t xml:space="preserve"> </w:t>
      </w:r>
      <w:r w:rsidR="00501417">
        <w:t xml:space="preserve">provide for the right to a fair </w:t>
      </w:r>
      <w:r w:rsidR="005B5956">
        <w:t>hearing</w:t>
      </w:r>
      <w:r w:rsidR="00501417">
        <w:t>. This right appl</w:t>
      </w:r>
      <w:r w:rsidR="005B5956">
        <w:t>ies to both</w:t>
      </w:r>
      <w:r w:rsidR="00501417">
        <w:t xml:space="preserve"> criminal and civil matters.</w:t>
      </w:r>
      <w:r w:rsidR="00730EB7">
        <w:rPr>
          <w:rStyle w:val="FootnoteReference"/>
        </w:rPr>
        <w:footnoteReference w:id="168"/>
      </w:r>
      <w:r w:rsidR="00501417">
        <w:t xml:space="preserve"> Article 6(1) </w:t>
      </w:r>
      <w:r>
        <w:t xml:space="preserve">of the ECHR </w:t>
      </w:r>
      <w:r w:rsidR="00501417">
        <w:t xml:space="preserve">provides that in “determination of civil rights and obligations… everyone is entitled to a fair and public hearing within a reasonable time by an independent and impartial tribunal”. The ECtHR has made clear that Article 6 </w:t>
      </w:r>
      <w:r w:rsidR="008A4CA1">
        <w:t xml:space="preserve">of the ECHR </w:t>
      </w:r>
      <w:r w:rsidR="00501417">
        <w:t>is applicable in cases relating to compensation for ill-treatment.</w:t>
      </w:r>
      <w:r w:rsidR="003033E3">
        <w:rPr>
          <w:rStyle w:val="FootnoteReference"/>
        </w:rPr>
        <w:footnoteReference w:id="169"/>
      </w:r>
      <w:r w:rsidR="00501417">
        <w:t xml:space="preserve"> The ECtHR has confirmed that an authority not classified as one of the courts of a </w:t>
      </w:r>
      <w:r w:rsidR="00501417">
        <w:lastRenderedPageBreak/>
        <w:t xml:space="preserve">State may nonetheless, for the purposes of </w:t>
      </w:r>
      <w:r w:rsidR="008A4CA1">
        <w:t xml:space="preserve">Article 6(1) of the </w:t>
      </w:r>
      <w:r w:rsidR="00501417">
        <w:t>ECHR</w:t>
      </w:r>
      <w:r w:rsidR="005B5956">
        <w:t>,</w:t>
      </w:r>
      <w:r w:rsidR="008A4CA1">
        <w:t xml:space="preserve"> </w:t>
      </w:r>
      <w:r w:rsidR="00501417">
        <w:t xml:space="preserve">come within the </w:t>
      </w:r>
      <w:r w:rsidR="005B5956">
        <w:t xml:space="preserve">definition </w:t>
      </w:r>
      <w:r w:rsidR="00501417">
        <w:t>of ‘tribunal’ in the substantive sense of the term.</w:t>
      </w:r>
      <w:r w:rsidR="003033E3">
        <w:rPr>
          <w:rStyle w:val="FootnoteReference"/>
        </w:rPr>
        <w:footnoteReference w:id="170"/>
      </w:r>
      <w:r w:rsidR="007976D4" w:rsidRPr="007976D4">
        <w:t xml:space="preserve"> </w:t>
      </w:r>
      <w:r w:rsidR="007976D4">
        <w:t xml:space="preserve">Bodies that have been recognised by the ECtHR as having the status of a tribunal within the meaning of </w:t>
      </w:r>
      <w:r w:rsidR="008A4CA1">
        <w:t xml:space="preserve">Article 6(1) of the </w:t>
      </w:r>
      <w:r w:rsidR="007976D4">
        <w:t>ECHR</w:t>
      </w:r>
      <w:r w:rsidR="6D4083B0">
        <w:t xml:space="preserve"> </w:t>
      </w:r>
      <w:r w:rsidR="007976D4">
        <w:t>include a criminal damage compensation board.</w:t>
      </w:r>
      <w:r w:rsidR="00331B05">
        <w:rPr>
          <w:rStyle w:val="FootnoteReference"/>
        </w:rPr>
        <w:footnoteReference w:id="171"/>
      </w:r>
      <w:r w:rsidR="00A07FDA">
        <w:t xml:space="preserve"> </w:t>
      </w:r>
    </w:p>
    <w:p w14:paraId="4389B3BA" w14:textId="77777777" w:rsidR="006557AF" w:rsidRDefault="006557AF" w:rsidP="00CB4BEE">
      <w:pPr>
        <w:spacing w:line="276" w:lineRule="auto"/>
        <w:rPr>
          <w:rFonts w:cs="Arial"/>
          <w:b/>
          <w:bCs/>
        </w:rPr>
      </w:pPr>
    </w:p>
    <w:p w14:paraId="485808FC" w14:textId="271DFA3C" w:rsidR="00D83AF5" w:rsidRPr="00C67C81" w:rsidRDefault="00D83AF5" w:rsidP="00CB4BEE">
      <w:pPr>
        <w:spacing w:line="276" w:lineRule="auto"/>
        <w:rPr>
          <w:rFonts w:cs="Arial"/>
          <w:b/>
          <w:bCs/>
        </w:rPr>
      </w:pPr>
      <w:r w:rsidRPr="00C67C81">
        <w:rPr>
          <w:rFonts w:cs="Arial"/>
          <w:b/>
          <w:bCs/>
        </w:rPr>
        <w:t xml:space="preserve">The right to </w:t>
      </w:r>
      <w:r w:rsidR="001A3A9A">
        <w:rPr>
          <w:rFonts w:cs="Arial"/>
          <w:b/>
          <w:bCs/>
        </w:rPr>
        <w:t xml:space="preserve">an effective </w:t>
      </w:r>
      <w:r w:rsidRPr="00C67C81">
        <w:rPr>
          <w:rFonts w:cs="Arial"/>
          <w:b/>
          <w:bCs/>
        </w:rPr>
        <w:t>remedy</w:t>
      </w:r>
    </w:p>
    <w:p w14:paraId="7FB03581" w14:textId="77777777" w:rsidR="00D83AF5" w:rsidRDefault="00D83AF5" w:rsidP="00CB4BEE">
      <w:pPr>
        <w:spacing w:line="276" w:lineRule="auto"/>
        <w:rPr>
          <w:rFonts w:cs="Arial"/>
        </w:rPr>
      </w:pPr>
    </w:p>
    <w:p w14:paraId="6D290F05" w14:textId="50845D5A" w:rsidR="000C2EF3" w:rsidRDefault="008A4CA1" w:rsidP="00525FDE">
      <w:pPr>
        <w:spacing w:line="276" w:lineRule="auto"/>
      </w:pPr>
      <w:r>
        <w:t>Article 13 of the</w:t>
      </w:r>
      <w:r w:rsidR="00422310">
        <w:t xml:space="preserve"> ECHR</w:t>
      </w:r>
      <w:r>
        <w:t xml:space="preserve"> </w:t>
      </w:r>
      <w:r w:rsidR="00422310">
        <w:t xml:space="preserve">provides the right to an effective remedy. The ECtHR </w:t>
      </w:r>
      <w:r w:rsidR="0026060D">
        <w:t xml:space="preserve">has found </w:t>
      </w:r>
      <w:r w:rsidR="00422310">
        <w:t>that for a remedy to be effective it must be accessible, capable of providing redress in respect of the complaint and offer a reasonable prospect of success.</w:t>
      </w:r>
      <w:r w:rsidR="00422310">
        <w:rPr>
          <w:rStyle w:val="FootnoteReference"/>
        </w:rPr>
        <w:footnoteReference w:id="172"/>
      </w:r>
      <w:r w:rsidR="008F025E">
        <w:t xml:space="preserve"> </w:t>
      </w:r>
      <w:r w:rsidR="00525FDE">
        <w:rPr>
          <w:rFonts w:eastAsia="Verdana"/>
        </w:rPr>
        <w:t xml:space="preserve">The </w:t>
      </w:r>
      <w:r w:rsidR="00175FA7">
        <w:rPr>
          <w:rFonts w:eastAsia="Verdana"/>
        </w:rPr>
        <w:t>UN</w:t>
      </w:r>
      <w:r w:rsidR="00525FDE">
        <w:rPr>
          <w:rFonts w:eastAsia="Verdana"/>
        </w:rPr>
        <w:t xml:space="preserve"> principles and guidelines on the right to a remedy identify </w:t>
      </w:r>
      <w:r>
        <w:rPr>
          <w:rFonts w:eastAsia="Verdana"/>
        </w:rPr>
        <w:t>several</w:t>
      </w:r>
      <w:r w:rsidR="00525FDE">
        <w:rPr>
          <w:rFonts w:eastAsia="Verdana"/>
        </w:rPr>
        <w:t xml:space="preserve"> different remedies</w:t>
      </w:r>
      <w:r w:rsidR="001F08C5">
        <w:rPr>
          <w:rFonts w:eastAsia="Verdana"/>
        </w:rPr>
        <w:t xml:space="preserve">: </w:t>
      </w:r>
    </w:p>
    <w:p w14:paraId="2AD45281" w14:textId="77777777" w:rsidR="000C2EF3" w:rsidRDefault="000C2EF3" w:rsidP="00525FDE">
      <w:pPr>
        <w:spacing w:line="276" w:lineRule="auto"/>
      </w:pPr>
    </w:p>
    <w:p w14:paraId="47DD31C0" w14:textId="77F72386" w:rsidR="000C2EF3" w:rsidRDefault="00525FDE" w:rsidP="00B8500E">
      <w:pPr>
        <w:pStyle w:val="ListParagraph"/>
        <w:numPr>
          <w:ilvl w:val="0"/>
          <w:numId w:val="8"/>
        </w:numPr>
        <w:spacing w:line="276" w:lineRule="auto"/>
      </w:pPr>
      <w:r w:rsidRPr="000473C0">
        <w:rPr>
          <w:rFonts w:eastAsia="Verdana"/>
          <w:b/>
          <w:bCs/>
        </w:rPr>
        <w:t>Restitution</w:t>
      </w:r>
      <w:r w:rsidRPr="000A1F22">
        <w:rPr>
          <w:rFonts w:eastAsia="Verdana"/>
        </w:rPr>
        <w:t xml:space="preserve"> is </w:t>
      </w:r>
      <w:r w:rsidR="0026060D">
        <w:rPr>
          <w:rFonts w:eastAsia="Verdana"/>
        </w:rPr>
        <w:t>the restoration of</w:t>
      </w:r>
      <w:r w:rsidR="0026060D" w:rsidRPr="000A1F22">
        <w:rPr>
          <w:rFonts w:eastAsia="Verdana"/>
        </w:rPr>
        <w:t xml:space="preserve"> </w:t>
      </w:r>
      <w:r w:rsidRPr="000A1F22">
        <w:rPr>
          <w:rFonts w:eastAsia="Verdana"/>
        </w:rPr>
        <w:t xml:space="preserve">the victim or survivor to the situation before </w:t>
      </w:r>
      <w:r w:rsidR="0026060D">
        <w:rPr>
          <w:rFonts w:eastAsia="Verdana"/>
        </w:rPr>
        <w:t>the</w:t>
      </w:r>
      <w:r w:rsidR="0026060D" w:rsidRPr="000A1F22">
        <w:rPr>
          <w:rFonts w:eastAsia="Verdana"/>
        </w:rPr>
        <w:t xml:space="preserve"> </w:t>
      </w:r>
      <w:r w:rsidRPr="000A1F22">
        <w:rPr>
          <w:rFonts w:eastAsia="Verdana"/>
        </w:rPr>
        <w:t>violation occurred.</w:t>
      </w:r>
      <w:r w:rsidR="00A22E1F">
        <w:rPr>
          <w:rStyle w:val="FootnoteReference"/>
          <w:rFonts w:eastAsia="Verdana"/>
        </w:rPr>
        <w:footnoteReference w:id="173"/>
      </w:r>
      <w:r w:rsidR="0026060D">
        <w:rPr>
          <w:rFonts w:eastAsia="Verdana"/>
        </w:rPr>
        <w:t xml:space="preserve"> That is not always possible.</w:t>
      </w:r>
      <w:r>
        <w:t xml:space="preserve"> </w:t>
      </w:r>
    </w:p>
    <w:p w14:paraId="44213211" w14:textId="77777777" w:rsidR="001F08C5" w:rsidRDefault="001F08C5" w:rsidP="001F08C5">
      <w:pPr>
        <w:pStyle w:val="ListParagraph"/>
        <w:spacing w:line="276" w:lineRule="auto"/>
      </w:pPr>
    </w:p>
    <w:p w14:paraId="132E4B4C" w14:textId="398CD42F" w:rsidR="0095460B" w:rsidRPr="001F08C5" w:rsidRDefault="0095460B" w:rsidP="00B8500E">
      <w:pPr>
        <w:pStyle w:val="ListParagraph"/>
        <w:numPr>
          <w:ilvl w:val="0"/>
          <w:numId w:val="8"/>
        </w:numPr>
        <w:spacing w:line="276" w:lineRule="auto"/>
      </w:pPr>
      <w:r w:rsidRPr="000473C0">
        <w:rPr>
          <w:rFonts w:eastAsia="Verdana"/>
          <w:b/>
          <w:bCs/>
        </w:rPr>
        <w:t>Compensation</w:t>
      </w:r>
      <w:r>
        <w:rPr>
          <w:rFonts w:eastAsia="Verdana"/>
        </w:rPr>
        <w:t xml:space="preserve"> is </w:t>
      </w:r>
      <w:r w:rsidR="0026060D">
        <w:rPr>
          <w:rFonts w:eastAsia="Verdana"/>
        </w:rPr>
        <w:t xml:space="preserve">the </w:t>
      </w:r>
      <w:r>
        <w:rPr>
          <w:rFonts w:eastAsia="Verdana"/>
        </w:rPr>
        <w:t>provi</w:t>
      </w:r>
      <w:r w:rsidR="0026060D">
        <w:rPr>
          <w:rFonts w:eastAsia="Verdana"/>
        </w:rPr>
        <w:t xml:space="preserve">sion of </w:t>
      </w:r>
      <w:r>
        <w:rPr>
          <w:rFonts w:eastAsia="Verdana"/>
        </w:rPr>
        <w:t xml:space="preserve">economic </w:t>
      </w:r>
      <w:r w:rsidR="0026060D">
        <w:rPr>
          <w:rFonts w:eastAsia="Verdana"/>
        </w:rPr>
        <w:t xml:space="preserve">redress </w:t>
      </w:r>
      <w:r>
        <w:rPr>
          <w:rFonts w:eastAsia="Verdana"/>
        </w:rPr>
        <w:t>“as appropriate and proportional to the gravity of the violation and the circumstances of each case”.</w:t>
      </w:r>
      <w:r w:rsidR="0026060D">
        <w:rPr>
          <w:rStyle w:val="FootnoteReference"/>
          <w:rFonts w:eastAsia="Verdana"/>
        </w:rPr>
        <w:footnoteReference w:id="174"/>
      </w:r>
    </w:p>
    <w:p w14:paraId="20881B3A" w14:textId="77777777" w:rsidR="001F08C5" w:rsidRDefault="001F08C5" w:rsidP="001F08C5">
      <w:pPr>
        <w:spacing w:line="276" w:lineRule="auto"/>
      </w:pPr>
    </w:p>
    <w:p w14:paraId="6E5E9DEA" w14:textId="779A083A" w:rsidR="000C2EF3" w:rsidRDefault="00525FDE" w:rsidP="00B8500E">
      <w:pPr>
        <w:pStyle w:val="ListParagraph"/>
        <w:numPr>
          <w:ilvl w:val="0"/>
          <w:numId w:val="8"/>
        </w:numPr>
        <w:spacing w:line="276" w:lineRule="auto"/>
      </w:pPr>
      <w:r w:rsidRPr="000473C0">
        <w:rPr>
          <w:rFonts w:eastAsia="Verdana"/>
          <w:b/>
          <w:bCs/>
        </w:rPr>
        <w:t>Rehabilitation</w:t>
      </w:r>
      <w:r w:rsidRPr="000A1F22">
        <w:rPr>
          <w:rFonts w:eastAsia="Verdana"/>
        </w:rPr>
        <w:t xml:space="preserve"> </w:t>
      </w:r>
      <w:r w:rsidR="0026060D">
        <w:rPr>
          <w:rFonts w:eastAsia="Verdana"/>
        </w:rPr>
        <w:t xml:space="preserve">is the provision of services which </w:t>
      </w:r>
      <w:r w:rsidRPr="000A1F22">
        <w:rPr>
          <w:rFonts w:eastAsia="Verdana"/>
        </w:rPr>
        <w:t xml:space="preserve">can include medical and psychological care, legal </w:t>
      </w:r>
      <w:proofErr w:type="gramStart"/>
      <w:r w:rsidRPr="000A1F22">
        <w:rPr>
          <w:rFonts w:eastAsia="Verdana"/>
        </w:rPr>
        <w:t>services</w:t>
      </w:r>
      <w:proofErr w:type="gramEnd"/>
      <w:r w:rsidRPr="000A1F22">
        <w:rPr>
          <w:rFonts w:eastAsia="Verdana"/>
        </w:rPr>
        <w:t xml:space="preserve"> and social services.</w:t>
      </w:r>
      <w:r w:rsidR="00B50125">
        <w:rPr>
          <w:rStyle w:val="FootnoteReference"/>
          <w:rFonts w:eastAsia="Verdana"/>
        </w:rPr>
        <w:footnoteReference w:id="175"/>
      </w:r>
      <w:r>
        <w:t xml:space="preserve"> </w:t>
      </w:r>
    </w:p>
    <w:p w14:paraId="3EA53837" w14:textId="77777777" w:rsidR="001F08C5" w:rsidRDefault="001F08C5" w:rsidP="001F08C5">
      <w:pPr>
        <w:spacing w:line="276" w:lineRule="auto"/>
      </w:pPr>
    </w:p>
    <w:p w14:paraId="61DE5F2A" w14:textId="1281046F" w:rsidR="00525FDE" w:rsidRDefault="00525FDE" w:rsidP="00B8500E">
      <w:pPr>
        <w:pStyle w:val="ListParagraph"/>
        <w:numPr>
          <w:ilvl w:val="0"/>
          <w:numId w:val="8"/>
        </w:numPr>
        <w:spacing w:line="276" w:lineRule="auto"/>
        <w:rPr>
          <w:rFonts w:eastAsia="Verdana"/>
        </w:rPr>
      </w:pPr>
      <w:r w:rsidRPr="000473C0">
        <w:rPr>
          <w:rFonts w:eastAsia="Verdana"/>
          <w:b/>
          <w:bCs/>
        </w:rPr>
        <w:t>Satisfaction</w:t>
      </w:r>
      <w:r w:rsidRPr="000A1F22">
        <w:rPr>
          <w:rFonts w:eastAsia="Verdana"/>
        </w:rPr>
        <w:t xml:space="preserve"> </w:t>
      </w:r>
      <w:r w:rsidR="0026060D">
        <w:rPr>
          <w:rFonts w:eastAsia="Verdana"/>
        </w:rPr>
        <w:t xml:space="preserve">is the provision of </w:t>
      </w:r>
      <w:r w:rsidRPr="000A1F22">
        <w:rPr>
          <w:rFonts w:eastAsia="Verdana"/>
        </w:rPr>
        <w:t>measures “aimed at the cessation of continuing violations”, “verification of the facts and full and public disclosure of the truth”, “judicial and administrative sanctions against persons liable for the violations”, public apology, or commemoration.</w:t>
      </w:r>
      <w:r w:rsidR="00B50125">
        <w:rPr>
          <w:rStyle w:val="FootnoteReference"/>
          <w:rFonts w:eastAsia="Verdana"/>
        </w:rPr>
        <w:footnoteReference w:id="176"/>
      </w:r>
    </w:p>
    <w:p w14:paraId="36597D9B" w14:textId="77777777" w:rsidR="001F08C5" w:rsidRPr="001F08C5" w:rsidRDefault="001F08C5" w:rsidP="001F08C5">
      <w:pPr>
        <w:spacing w:line="276" w:lineRule="auto"/>
        <w:rPr>
          <w:rFonts w:eastAsia="Verdana"/>
        </w:rPr>
      </w:pPr>
    </w:p>
    <w:p w14:paraId="091B7B63" w14:textId="0A11CFE2" w:rsidR="007151C2" w:rsidRPr="00525FDE" w:rsidRDefault="000C2EF3" w:rsidP="005B21DE">
      <w:pPr>
        <w:pStyle w:val="ListParagraph"/>
        <w:numPr>
          <w:ilvl w:val="0"/>
          <w:numId w:val="8"/>
        </w:numPr>
        <w:spacing w:line="276" w:lineRule="auto"/>
      </w:pPr>
      <w:r w:rsidRPr="000473C0">
        <w:rPr>
          <w:rFonts w:eastAsia="Verdana"/>
          <w:b/>
          <w:bCs/>
        </w:rPr>
        <w:t>Non-repetition</w:t>
      </w:r>
      <w:r w:rsidRPr="000A1F22">
        <w:rPr>
          <w:rFonts w:eastAsia="Verdana"/>
        </w:rPr>
        <w:t xml:space="preserve"> </w:t>
      </w:r>
      <w:r w:rsidR="0026060D">
        <w:rPr>
          <w:rFonts w:eastAsia="Verdana"/>
        </w:rPr>
        <w:t xml:space="preserve">is the remedy that ensures for example </w:t>
      </w:r>
      <w:r w:rsidRPr="000A1F22">
        <w:rPr>
          <w:rFonts w:eastAsia="Verdana"/>
        </w:rPr>
        <w:t xml:space="preserve">“that all civilian and military proceedings abide by international standards of due process, </w:t>
      </w:r>
      <w:r w:rsidRPr="000A1F22">
        <w:rPr>
          <w:rFonts w:eastAsia="Verdana"/>
        </w:rPr>
        <w:lastRenderedPageBreak/>
        <w:t>fairness and impartiality”, “strengthening the independence of the judiciary”, providing human rights education to law enforcement officials and security forces, and “promoting the observance of codes of conduct and ethical norms... by public servants”.</w:t>
      </w:r>
      <w:r w:rsidR="00B50125">
        <w:rPr>
          <w:rStyle w:val="FootnoteReference"/>
          <w:rFonts w:eastAsia="Verdana"/>
        </w:rPr>
        <w:footnoteReference w:id="177"/>
      </w:r>
    </w:p>
    <w:p w14:paraId="1E19E6FD" w14:textId="77777777" w:rsidR="00525FDE" w:rsidRDefault="00525FDE" w:rsidP="00CB4BEE">
      <w:pPr>
        <w:spacing w:line="276" w:lineRule="auto"/>
      </w:pPr>
    </w:p>
    <w:p w14:paraId="2AC78B87" w14:textId="0430D67A" w:rsidR="00B448D0" w:rsidRDefault="00B448D0" w:rsidP="00B448D0">
      <w:pPr>
        <w:spacing w:line="276" w:lineRule="auto"/>
        <w:rPr>
          <w:rFonts w:cs="Arial"/>
          <w:b/>
          <w:bCs/>
        </w:rPr>
      </w:pPr>
      <w:r>
        <w:rPr>
          <w:rFonts w:cs="Arial"/>
          <w:b/>
          <w:bCs/>
        </w:rPr>
        <w:t xml:space="preserve">The right to truth </w:t>
      </w:r>
      <w:r w:rsidR="003F4D23">
        <w:rPr>
          <w:rFonts w:cs="Arial"/>
          <w:b/>
          <w:bCs/>
        </w:rPr>
        <w:t>and accountability</w:t>
      </w:r>
    </w:p>
    <w:p w14:paraId="44408160" w14:textId="77777777" w:rsidR="00B448D0" w:rsidRDefault="00B448D0" w:rsidP="00B448D0">
      <w:pPr>
        <w:spacing w:line="276" w:lineRule="auto"/>
        <w:rPr>
          <w:rFonts w:cs="Arial"/>
          <w:b/>
          <w:bCs/>
        </w:rPr>
      </w:pPr>
    </w:p>
    <w:p w14:paraId="79B0251A" w14:textId="627950AB" w:rsidR="00B448D0" w:rsidRDefault="00B448D0" w:rsidP="00B448D0">
      <w:pPr>
        <w:spacing w:line="276" w:lineRule="auto"/>
      </w:pPr>
      <w:r>
        <w:t xml:space="preserve">The ECtHR recognises </w:t>
      </w:r>
      <w:r w:rsidR="0026060D">
        <w:t>the right of a victim or survivor</w:t>
      </w:r>
      <w:r w:rsidR="00F6590F">
        <w:t xml:space="preserve">, </w:t>
      </w:r>
      <w:r w:rsidR="0026060D">
        <w:t>or relative of either</w:t>
      </w:r>
      <w:r w:rsidR="00F6590F">
        <w:t>,</w:t>
      </w:r>
      <w:r w:rsidR="0026060D">
        <w:t xml:space="preserve"> to </w:t>
      </w:r>
      <w:r>
        <w:t>the truth</w:t>
      </w:r>
      <w:r w:rsidR="0026060D">
        <w:t xml:space="preserve">. This is of particular importance to them but also to the rule of law </w:t>
      </w:r>
      <w:r>
        <w:t>in cases of gross human rights violations</w:t>
      </w:r>
      <w:r w:rsidR="0026060D">
        <w:t>.</w:t>
      </w:r>
      <w:r>
        <w:rPr>
          <w:rStyle w:val="FootnoteReference"/>
        </w:rPr>
        <w:footnoteReference w:id="178"/>
      </w:r>
      <w:r>
        <w:t xml:space="preserve"> The ECtHR </w:t>
      </w:r>
      <w:r w:rsidR="005E10E8">
        <w:t xml:space="preserve">has held </w:t>
      </w:r>
      <w:r>
        <w:t>that this extends “not only for the applicant and his family, but also for other victims of similar crimes and the general public”.</w:t>
      </w:r>
      <w:r>
        <w:rPr>
          <w:rStyle w:val="FootnoteReference"/>
        </w:rPr>
        <w:footnoteReference w:id="179"/>
      </w:r>
      <w:r>
        <w:t xml:space="preserve"> </w:t>
      </w:r>
      <w:r w:rsidR="009524CA">
        <w:t>In connection with the collective dimension of the right to truth, t</w:t>
      </w:r>
      <w:r w:rsidR="009524CA" w:rsidRPr="00A3286C">
        <w:t>he ECtHR has</w:t>
      </w:r>
      <w:r w:rsidR="009524CA">
        <w:t xml:space="preserve"> </w:t>
      </w:r>
      <w:r w:rsidR="009524CA" w:rsidRPr="00A3286C">
        <w:t>recognised that “it is an integral part of freedom of expression</w:t>
      </w:r>
      <w:r w:rsidR="00322915">
        <w:t xml:space="preserve"> [Article 10</w:t>
      </w:r>
      <w:r w:rsidR="00275A34">
        <w:t xml:space="preserve"> of the </w:t>
      </w:r>
      <w:r w:rsidR="00322915">
        <w:t>ECHR]</w:t>
      </w:r>
      <w:r w:rsidR="009524CA" w:rsidRPr="00A3286C">
        <w:t xml:space="preserve"> to seek historical truth”</w:t>
      </w:r>
      <w:r w:rsidR="009524CA">
        <w:rPr>
          <w:rStyle w:val="FootnoteReference"/>
        </w:rPr>
        <w:footnoteReference w:id="180"/>
      </w:r>
      <w:r w:rsidR="009524CA" w:rsidRPr="00A3286C">
        <w:t xml:space="preserve"> and has highlighted the “efforts that every country must make to debate its own history openly and dispassionately”.</w:t>
      </w:r>
      <w:r w:rsidR="009524CA">
        <w:rPr>
          <w:rStyle w:val="FootnoteReference"/>
        </w:rPr>
        <w:footnoteReference w:id="181"/>
      </w:r>
    </w:p>
    <w:p w14:paraId="758C3F7E" w14:textId="77777777" w:rsidR="00B448D0" w:rsidRDefault="00B448D0" w:rsidP="00B448D0">
      <w:pPr>
        <w:spacing w:line="276" w:lineRule="auto"/>
      </w:pPr>
    </w:p>
    <w:p w14:paraId="206CB817" w14:textId="2BBB92B3" w:rsidR="00B448D0" w:rsidRDefault="00B448D0" w:rsidP="00B448D0">
      <w:pPr>
        <w:spacing w:line="276" w:lineRule="auto"/>
      </w:pPr>
      <w:r>
        <w:t xml:space="preserve">The UN Office of the High Commissioner for Human Rights </w:t>
      </w:r>
      <w:r w:rsidR="005E10E8">
        <w:t xml:space="preserve">has stated </w:t>
      </w:r>
      <w:r>
        <w:t xml:space="preserve">that: </w:t>
      </w:r>
    </w:p>
    <w:p w14:paraId="05DF12D1" w14:textId="77777777" w:rsidR="00B448D0" w:rsidRDefault="00B448D0" w:rsidP="00B448D0">
      <w:pPr>
        <w:spacing w:line="276" w:lineRule="auto"/>
      </w:pPr>
    </w:p>
    <w:p w14:paraId="43FB10E6" w14:textId="77777777" w:rsidR="00554C66" w:rsidRDefault="00B448D0" w:rsidP="00AA64EF">
      <w:pPr>
        <w:pStyle w:val="Quote"/>
        <w:rPr>
          <w:rFonts w:cs="Arial"/>
          <w:b/>
          <w:bCs/>
        </w:rPr>
      </w:pPr>
      <w:r>
        <w:t>the right to the truth about gross violations and serious violations of human rights law is an inalienable and autonomous right, linked to the duty and obligation of the State to protect and guarantee human rights, to conduct effective investigations and to guarantee effective remedy and reparations. This right is closely linked with other rights and has both an individual and a societal dimension and should be considered as a non-</w:t>
      </w:r>
      <w:proofErr w:type="spellStart"/>
      <w:r>
        <w:t>derogable</w:t>
      </w:r>
      <w:proofErr w:type="spellEnd"/>
      <w:r>
        <w:t xml:space="preserve"> right and not be subject to limitations.</w:t>
      </w:r>
      <w:r w:rsidR="007102CE">
        <w:rPr>
          <w:rStyle w:val="FootnoteReference"/>
        </w:rPr>
        <w:footnoteReference w:id="182"/>
      </w:r>
    </w:p>
    <w:p w14:paraId="00251C9E" w14:textId="77777777" w:rsidR="00B448D0" w:rsidRDefault="00B448D0" w:rsidP="00CB4BEE">
      <w:pPr>
        <w:spacing w:line="276" w:lineRule="auto"/>
        <w:rPr>
          <w:b/>
          <w:bCs/>
        </w:rPr>
      </w:pPr>
    </w:p>
    <w:p w14:paraId="6239A589" w14:textId="6BAD4499" w:rsidR="008B082F" w:rsidRDefault="008B082F" w:rsidP="00CB4BEE">
      <w:pPr>
        <w:spacing w:line="276" w:lineRule="auto"/>
        <w:rPr>
          <w:b/>
          <w:bCs/>
        </w:rPr>
      </w:pPr>
      <w:r w:rsidRPr="008B082F">
        <w:rPr>
          <w:b/>
          <w:bCs/>
        </w:rPr>
        <w:t>The right to respect</w:t>
      </w:r>
      <w:r w:rsidR="00E361B7">
        <w:rPr>
          <w:b/>
          <w:bCs/>
        </w:rPr>
        <w:t xml:space="preserve"> for</w:t>
      </w:r>
      <w:r w:rsidRPr="008B082F">
        <w:rPr>
          <w:b/>
          <w:bCs/>
        </w:rPr>
        <w:t xml:space="preserve"> private </w:t>
      </w:r>
      <w:proofErr w:type="gramStart"/>
      <w:r w:rsidRPr="008B082F">
        <w:rPr>
          <w:b/>
          <w:bCs/>
        </w:rPr>
        <w:t>life</w:t>
      </w:r>
      <w:proofErr w:type="gramEnd"/>
      <w:r w:rsidRPr="008B082F">
        <w:rPr>
          <w:b/>
          <w:bCs/>
        </w:rPr>
        <w:t xml:space="preserve"> </w:t>
      </w:r>
    </w:p>
    <w:p w14:paraId="733668ED" w14:textId="77777777" w:rsidR="008B082F" w:rsidRDefault="008B082F" w:rsidP="00CB4BEE">
      <w:pPr>
        <w:spacing w:line="276" w:lineRule="auto"/>
        <w:rPr>
          <w:b/>
          <w:bCs/>
        </w:rPr>
      </w:pPr>
    </w:p>
    <w:p w14:paraId="641E4257" w14:textId="199933E9" w:rsidR="008B082F" w:rsidRDefault="00275A34" w:rsidP="00CB4BEE">
      <w:pPr>
        <w:spacing w:line="276" w:lineRule="auto"/>
      </w:pPr>
      <w:r>
        <w:lastRenderedPageBreak/>
        <w:t xml:space="preserve">Article 8 of the </w:t>
      </w:r>
      <w:r w:rsidR="000B494C">
        <w:t xml:space="preserve">ECHR (right to respect </w:t>
      </w:r>
      <w:r w:rsidR="00991B8A">
        <w:t xml:space="preserve">for </w:t>
      </w:r>
      <w:r w:rsidR="000B494C">
        <w:t xml:space="preserve">private </w:t>
      </w:r>
      <w:r w:rsidR="00AA64EF">
        <w:t xml:space="preserve">and family </w:t>
      </w:r>
      <w:r w:rsidR="000B494C">
        <w:t xml:space="preserve">life) </w:t>
      </w:r>
      <w:r w:rsidR="00991B8A">
        <w:t xml:space="preserve">includes </w:t>
      </w:r>
      <w:r w:rsidR="000B494C">
        <w:t>a person’s physical and psychological integrity on the basis that “a person’s body concerns the most intimate aspect of private life”.</w:t>
      </w:r>
      <w:r w:rsidR="004835BA">
        <w:rPr>
          <w:rStyle w:val="FootnoteReference"/>
        </w:rPr>
        <w:footnoteReference w:id="183"/>
      </w:r>
      <w:r w:rsidR="000B494C">
        <w:t xml:space="preserve"> Also in the context of the Article 8 </w:t>
      </w:r>
      <w:r>
        <w:t xml:space="preserve">of the ECHR </w:t>
      </w:r>
      <w:r w:rsidR="000B494C">
        <w:t>right to identity and personal development, and the right to establish and develop relationships with other human beings and the outside world, “preservation of mental stability is… an indispensable precondition to effective enjoyment of the right to respect for private life”.</w:t>
      </w:r>
      <w:r w:rsidR="0060220A">
        <w:rPr>
          <w:rStyle w:val="FootnoteReference"/>
        </w:rPr>
        <w:footnoteReference w:id="184"/>
      </w:r>
      <w:r w:rsidR="000B494C">
        <w:t xml:space="preserve"> An interference with this right can only justified when it is “proportionate to the legitimate aim pursued”.</w:t>
      </w:r>
      <w:r w:rsidR="000B494C">
        <w:rPr>
          <w:rStyle w:val="FootnoteReference"/>
        </w:rPr>
        <w:footnoteReference w:id="185"/>
      </w:r>
      <w:r w:rsidR="000B494C">
        <w:t xml:space="preserve"> </w:t>
      </w:r>
      <w:r w:rsidR="00642383">
        <w:t xml:space="preserve">The ECtHR has </w:t>
      </w:r>
      <w:r w:rsidR="00991B8A">
        <w:t xml:space="preserve">found </w:t>
      </w:r>
      <w:r w:rsidR="00642383">
        <w:t xml:space="preserve">that </w:t>
      </w:r>
      <w:r w:rsidR="00642383" w:rsidRPr="00C82CB3">
        <w:t xml:space="preserve">a failure to investigate </w:t>
      </w:r>
      <w:r w:rsidR="00A42645">
        <w:t>a serious violation of human rights</w:t>
      </w:r>
      <w:r w:rsidR="00642383" w:rsidRPr="00C82CB3">
        <w:t xml:space="preserve"> may violate a State’s positive obligations under Article</w:t>
      </w:r>
      <w:r w:rsidR="00991B8A">
        <w:t>s</w:t>
      </w:r>
      <w:r w:rsidR="00642383" w:rsidRPr="00C82CB3">
        <w:t xml:space="preserve"> 3 </w:t>
      </w:r>
      <w:r w:rsidR="00991B8A">
        <w:t xml:space="preserve">and 8 </w:t>
      </w:r>
      <w:r>
        <w:t>of the ECHR</w:t>
      </w:r>
      <w:r w:rsidR="00642383" w:rsidRPr="00C82CB3">
        <w:t>.</w:t>
      </w:r>
      <w:r w:rsidR="00642383" w:rsidRPr="00C82CB3">
        <w:rPr>
          <w:vertAlign w:val="superscript"/>
        </w:rPr>
        <w:footnoteReference w:id="186"/>
      </w:r>
      <w:r w:rsidR="00642383" w:rsidRPr="00C82CB3">
        <w:t xml:space="preserve"> </w:t>
      </w:r>
      <w:r w:rsidR="000B494C">
        <w:t xml:space="preserve">This right is also provided for </w:t>
      </w:r>
      <w:r w:rsidR="00991B8A">
        <w:t xml:space="preserve">by </w:t>
      </w:r>
      <w:r>
        <w:t xml:space="preserve">Article 17 of the </w:t>
      </w:r>
      <w:r w:rsidR="000B494C">
        <w:t xml:space="preserve">ICCPR; </w:t>
      </w:r>
      <w:r>
        <w:t xml:space="preserve">Article 16 of the </w:t>
      </w:r>
      <w:r w:rsidR="000B494C">
        <w:t xml:space="preserve">UN CRC; </w:t>
      </w:r>
      <w:r>
        <w:t xml:space="preserve">Article 22 of the </w:t>
      </w:r>
      <w:r w:rsidR="000B494C">
        <w:t xml:space="preserve">UN CRPD; and </w:t>
      </w:r>
      <w:r w:rsidR="00991B8A">
        <w:t xml:space="preserve">the </w:t>
      </w:r>
      <w:r w:rsidR="000B494C">
        <w:t xml:space="preserve">Charter of Fundamental </w:t>
      </w:r>
      <w:r w:rsidR="00253B71">
        <w:t xml:space="preserve">Rights </w:t>
      </w:r>
      <w:r w:rsidR="000B494C">
        <w:t>of the EU.</w:t>
      </w:r>
    </w:p>
    <w:p w14:paraId="6B219531" w14:textId="77777777" w:rsidR="00DE6391" w:rsidRDefault="00DE6391" w:rsidP="00CB4BEE">
      <w:pPr>
        <w:spacing w:line="276" w:lineRule="auto"/>
      </w:pPr>
    </w:p>
    <w:p w14:paraId="09FCABD2" w14:textId="06A868DE" w:rsidR="00DE6391" w:rsidRDefault="00590834" w:rsidP="00CB4BEE">
      <w:pPr>
        <w:spacing w:line="276" w:lineRule="auto"/>
        <w:rPr>
          <w:b/>
          <w:bCs/>
        </w:rPr>
      </w:pPr>
      <w:r w:rsidRPr="00590834">
        <w:rPr>
          <w:b/>
          <w:bCs/>
        </w:rPr>
        <w:t>The right to non-discrimination</w:t>
      </w:r>
    </w:p>
    <w:p w14:paraId="50AC69B3" w14:textId="77777777" w:rsidR="00590834" w:rsidRDefault="00590834" w:rsidP="00CB4BEE">
      <w:pPr>
        <w:spacing w:line="276" w:lineRule="auto"/>
        <w:rPr>
          <w:b/>
          <w:bCs/>
        </w:rPr>
      </w:pPr>
    </w:p>
    <w:p w14:paraId="7A9D71E5" w14:textId="379B31AE" w:rsidR="004F33AB" w:rsidRDefault="00275A34" w:rsidP="00504BCE">
      <w:pPr>
        <w:spacing w:line="276" w:lineRule="auto"/>
        <w:rPr>
          <w:rFonts w:cs="Arial"/>
        </w:rPr>
      </w:pPr>
      <w:r>
        <w:rPr>
          <w:rFonts w:cs="Arial"/>
        </w:rPr>
        <w:t xml:space="preserve">Article 14 of the </w:t>
      </w:r>
      <w:r w:rsidR="00850242">
        <w:rPr>
          <w:rFonts w:cs="Arial"/>
        </w:rPr>
        <w:t>ECHR</w:t>
      </w:r>
      <w:r>
        <w:rPr>
          <w:rFonts w:cs="Arial"/>
        </w:rPr>
        <w:t xml:space="preserve"> </w:t>
      </w:r>
      <w:r w:rsidR="00284BE9">
        <w:rPr>
          <w:rFonts w:cs="Arial"/>
        </w:rPr>
        <w:t>prohibit</w:t>
      </w:r>
      <w:r w:rsidR="00253B71">
        <w:rPr>
          <w:rFonts w:cs="Arial"/>
        </w:rPr>
        <w:t>s</w:t>
      </w:r>
      <w:r w:rsidR="00284BE9">
        <w:rPr>
          <w:rFonts w:cs="Arial"/>
        </w:rPr>
        <w:t xml:space="preserve"> discrimination</w:t>
      </w:r>
      <w:r w:rsidR="00253B71">
        <w:rPr>
          <w:rFonts w:cs="Arial"/>
        </w:rPr>
        <w:t xml:space="preserve">. Such a right </w:t>
      </w:r>
      <w:r w:rsidR="00284BE9">
        <w:rPr>
          <w:rFonts w:cs="Arial"/>
        </w:rPr>
        <w:t xml:space="preserve">is </w:t>
      </w:r>
      <w:r w:rsidR="003A1EEA">
        <w:rPr>
          <w:rFonts w:cs="Arial"/>
        </w:rPr>
        <w:t xml:space="preserve">expressly recognised </w:t>
      </w:r>
      <w:r w:rsidR="00284BE9">
        <w:rPr>
          <w:rFonts w:cs="Arial"/>
        </w:rPr>
        <w:t xml:space="preserve">in all core </w:t>
      </w:r>
      <w:proofErr w:type="spellStart"/>
      <w:r w:rsidR="00253B71">
        <w:rPr>
          <w:rFonts w:cs="Arial"/>
        </w:rPr>
        <w:t>CoE</w:t>
      </w:r>
      <w:proofErr w:type="spellEnd"/>
      <w:r w:rsidR="00253B71">
        <w:rPr>
          <w:rFonts w:cs="Arial"/>
        </w:rPr>
        <w:t xml:space="preserve"> and </w:t>
      </w:r>
      <w:r w:rsidR="00284BE9">
        <w:rPr>
          <w:rFonts w:cs="Arial"/>
        </w:rPr>
        <w:t>UN treaties</w:t>
      </w:r>
      <w:r w:rsidR="003A1EEA">
        <w:rPr>
          <w:rFonts w:cs="Arial"/>
        </w:rPr>
        <w:t xml:space="preserve"> as a non-</w:t>
      </w:r>
      <w:proofErr w:type="spellStart"/>
      <w:r w:rsidR="003A1EEA">
        <w:rPr>
          <w:rFonts w:cs="Arial"/>
        </w:rPr>
        <w:t>derogable</w:t>
      </w:r>
      <w:proofErr w:type="spellEnd"/>
      <w:r w:rsidR="003A1EEA">
        <w:rPr>
          <w:rFonts w:cs="Arial"/>
        </w:rPr>
        <w:t xml:space="preserve"> right</w:t>
      </w:r>
      <w:r w:rsidR="00284BE9">
        <w:rPr>
          <w:rFonts w:cs="Arial"/>
        </w:rPr>
        <w:t>. Non</w:t>
      </w:r>
      <w:r w:rsidR="00D52489" w:rsidRPr="00D52489">
        <w:rPr>
          <w:rFonts w:cs="Arial"/>
        </w:rPr>
        <w:t>-discrimination is central to ensuring that all individuals, including victims and survivors</w:t>
      </w:r>
      <w:r w:rsidR="00D52489">
        <w:rPr>
          <w:rFonts w:cs="Arial"/>
        </w:rPr>
        <w:t>,</w:t>
      </w:r>
      <w:r w:rsidR="00D52489" w:rsidRPr="00D52489">
        <w:rPr>
          <w:rFonts w:cs="Arial"/>
        </w:rPr>
        <w:t xml:space="preserve"> are treated with dignity, respect, and equality under the law.</w:t>
      </w:r>
      <w:r w:rsidR="003F0806">
        <w:rPr>
          <w:rFonts w:cs="Arial"/>
        </w:rPr>
        <w:t xml:space="preserve"> </w:t>
      </w:r>
      <w:r w:rsidR="00DE3522" w:rsidRPr="00DE3522">
        <w:rPr>
          <w:rFonts w:cs="Arial"/>
        </w:rPr>
        <w:t>Victims and survivors should have equal access to justice mechanisms</w:t>
      </w:r>
      <w:r w:rsidR="00FA5FC0">
        <w:rPr>
          <w:rFonts w:cs="Arial"/>
        </w:rPr>
        <w:t xml:space="preserve"> and support services</w:t>
      </w:r>
      <w:r w:rsidR="00DE3522" w:rsidRPr="00DE3522">
        <w:rPr>
          <w:rFonts w:cs="Arial"/>
        </w:rPr>
        <w:t xml:space="preserve">, regardless of their </w:t>
      </w:r>
      <w:r w:rsidR="00AB0F42" w:rsidRPr="00AB0F42">
        <w:rPr>
          <w:rFonts w:cs="Arial"/>
        </w:rPr>
        <w:t>race, ethnicity, religion, gender, sexual orientation, disability, or any other status</w:t>
      </w:r>
      <w:r w:rsidR="00DE3522" w:rsidRPr="00DE3522">
        <w:rPr>
          <w:rFonts w:cs="Arial"/>
        </w:rPr>
        <w:t xml:space="preserve">. </w:t>
      </w:r>
      <w:r w:rsidR="00AB0F42">
        <w:rPr>
          <w:rFonts w:cs="Arial"/>
        </w:rPr>
        <w:t xml:space="preserve">Therefore, </w:t>
      </w:r>
      <w:r w:rsidR="00926306">
        <w:rPr>
          <w:rFonts w:cs="Arial"/>
        </w:rPr>
        <w:t>S</w:t>
      </w:r>
      <w:r w:rsidR="00DE3522" w:rsidRPr="00DE3522">
        <w:rPr>
          <w:rFonts w:cs="Arial"/>
        </w:rPr>
        <w:t xml:space="preserve">tates must </w:t>
      </w:r>
      <w:r w:rsidR="001B48C0">
        <w:rPr>
          <w:rFonts w:cs="Arial"/>
        </w:rPr>
        <w:t xml:space="preserve">take appropriate measures to ensure that any </w:t>
      </w:r>
      <w:r w:rsidR="00DE3522" w:rsidRPr="00DE3522">
        <w:rPr>
          <w:rFonts w:cs="Arial"/>
        </w:rPr>
        <w:t>barriers to access, such as language or disability, are addressed.</w:t>
      </w:r>
      <w:r w:rsidR="00AB0F42">
        <w:rPr>
          <w:rFonts w:cs="Arial"/>
        </w:rPr>
        <w:t xml:space="preserve"> </w:t>
      </w:r>
      <w:r w:rsidR="004B13D5">
        <w:rPr>
          <w:rFonts w:cs="Arial"/>
        </w:rPr>
        <w:t xml:space="preserve">This includes ensuring that support services are accessible, </w:t>
      </w:r>
      <w:r w:rsidR="00252FA1" w:rsidRPr="00252FA1">
        <w:rPr>
          <w:rFonts w:cs="Arial"/>
        </w:rPr>
        <w:t xml:space="preserve">culturally sensitive, and tailored to the diverse needs of victims and survivors, </w:t>
      </w:r>
      <w:r w:rsidR="00FC3DB4">
        <w:rPr>
          <w:rFonts w:cs="Arial"/>
        </w:rPr>
        <w:t xml:space="preserve">such as those </w:t>
      </w:r>
      <w:r w:rsidR="00252FA1" w:rsidRPr="00252FA1">
        <w:rPr>
          <w:rFonts w:cs="Arial"/>
        </w:rPr>
        <w:t>from marginali</w:t>
      </w:r>
      <w:r w:rsidR="00252FA1">
        <w:rPr>
          <w:rFonts w:cs="Arial"/>
        </w:rPr>
        <w:t>s</w:t>
      </w:r>
      <w:r w:rsidR="00252FA1" w:rsidRPr="00252FA1">
        <w:rPr>
          <w:rFonts w:cs="Arial"/>
        </w:rPr>
        <w:t>ed groups</w:t>
      </w:r>
      <w:r w:rsidR="00130DA8">
        <w:rPr>
          <w:rFonts w:cs="Arial"/>
        </w:rPr>
        <w:t xml:space="preserve"> </w:t>
      </w:r>
      <w:r w:rsidR="003D33E1">
        <w:rPr>
          <w:rFonts w:cs="Arial"/>
        </w:rPr>
        <w:t>and/</w:t>
      </w:r>
      <w:r w:rsidR="00130DA8">
        <w:rPr>
          <w:rFonts w:cs="Arial"/>
        </w:rPr>
        <w:t>or experiencing intersectional discrimination</w:t>
      </w:r>
      <w:r w:rsidR="00252FA1" w:rsidRPr="00252FA1">
        <w:rPr>
          <w:rFonts w:cs="Arial"/>
        </w:rPr>
        <w:t>.</w:t>
      </w:r>
      <w:r w:rsidR="00252FA1">
        <w:rPr>
          <w:rFonts w:cs="Arial"/>
        </w:rPr>
        <w:t xml:space="preserve"> </w:t>
      </w:r>
    </w:p>
    <w:p w14:paraId="4DFF803D" w14:textId="77777777" w:rsidR="009B5611" w:rsidRDefault="009B5611" w:rsidP="00504BCE">
      <w:pPr>
        <w:spacing w:line="276" w:lineRule="auto"/>
        <w:rPr>
          <w:rFonts w:cs="Arial"/>
        </w:rPr>
      </w:pPr>
    </w:p>
    <w:p w14:paraId="397AE13A" w14:textId="014B66F6" w:rsidR="00C908CB" w:rsidRDefault="00C908CB" w:rsidP="008C6AC6">
      <w:pPr>
        <w:rPr>
          <w:b/>
          <w:bCs/>
        </w:rPr>
      </w:pPr>
      <w:r w:rsidRPr="008C6AC6">
        <w:rPr>
          <w:b/>
          <w:bCs/>
        </w:rPr>
        <w:t xml:space="preserve">EU Victims’ Directive </w:t>
      </w:r>
    </w:p>
    <w:p w14:paraId="6F81C70C" w14:textId="77777777" w:rsidR="00253B71" w:rsidRPr="008C6AC6" w:rsidRDefault="00253B71" w:rsidP="008C6AC6">
      <w:pPr>
        <w:rPr>
          <w:b/>
          <w:bCs/>
        </w:rPr>
      </w:pPr>
    </w:p>
    <w:p w14:paraId="7FB31189" w14:textId="6EF1043B" w:rsidR="008C6AC6" w:rsidRDefault="00C908CB" w:rsidP="008C6AC6">
      <w:r>
        <w:t xml:space="preserve">The EU Victims’ Directive lays down minimum standards </w:t>
      </w:r>
      <w:r w:rsidRPr="0073476B">
        <w:t>on victims’ rights and support and protection for victims of crime.</w:t>
      </w:r>
      <w:r>
        <w:rPr>
          <w:rStyle w:val="FootnoteReference"/>
        </w:rPr>
        <w:footnoteReference w:id="187"/>
      </w:r>
      <w:r>
        <w:t xml:space="preserve"> </w:t>
      </w:r>
      <w:r w:rsidR="008C6AC6">
        <w:t xml:space="preserve">The Directive sets out a number of rights including the right to be understood and to interpretation (Articles 3 and 7); the right to information (Articles 4 and 6); the right to access victim support </w:t>
      </w:r>
      <w:r w:rsidR="008C6AC6">
        <w:lastRenderedPageBreak/>
        <w:t>services free of charge and what details about what those services should provide (Articles 8 and 9); the right to be heard (Article 10); and the rights of victims with specific protection needs to recognition and protection (Article</w:t>
      </w:r>
      <w:r w:rsidR="00253B71">
        <w:t>s</w:t>
      </w:r>
      <w:r w:rsidR="008C6AC6">
        <w:t xml:space="preserve"> 18-24).</w:t>
      </w:r>
    </w:p>
    <w:p w14:paraId="199A9ABB" w14:textId="77777777" w:rsidR="008C6AC6" w:rsidRDefault="008C6AC6" w:rsidP="008C6AC6"/>
    <w:p w14:paraId="4E42C95A" w14:textId="77777777" w:rsidR="008C6AC6" w:rsidRPr="008C6AC6" w:rsidRDefault="008C6AC6" w:rsidP="008C6AC6">
      <w:pPr>
        <w:rPr>
          <w:b/>
          <w:bCs/>
        </w:rPr>
      </w:pPr>
      <w:r w:rsidRPr="008C6AC6">
        <w:rPr>
          <w:b/>
          <w:bCs/>
        </w:rPr>
        <w:t>E</w:t>
      </w:r>
      <w:r w:rsidR="00C908CB" w:rsidRPr="008C6AC6">
        <w:rPr>
          <w:b/>
          <w:bCs/>
        </w:rPr>
        <w:t>U Trafficking Directive</w:t>
      </w:r>
    </w:p>
    <w:p w14:paraId="7B05818F" w14:textId="77777777" w:rsidR="008C6AC6" w:rsidRDefault="008C6AC6" w:rsidP="008C6AC6"/>
    <w:p w14:paraId="3A1F3E05" w14:textId="10888FD2" w:rsidR="00C908CB" w:rsidRPr="008C6AC6" w:rsidRDefault="008C6AC6" w:rsidP="008C6AC6">
      <w:r w:rsidRPr="008C6AC6">
        <w:t>The EU Trafficking Directive e</w:t>
      </w:r>
      <w:r w:rsidRPr="008C6AC6">
        <w:rPr>
          <w:color w:val="333333"/>
          <w:shd w:val="clear" w:color="auto" w:fill="FFFFFF"/>
        </w:rPr>
        <w:t xml:space="preserve">stablishes minimum rules concerning the definition of criminal offences and sanctions </w:t>
      </w:r>
      <w:proofErr w:type="gramStart"/>
      <w:r w:rsidRPr="008C6AC6">
        <w:rPr>
          <w:color w:val="333333"/>
          <w:shd w:val="clear" w:color="auto" w:fill="FFFFFF"/>
        </w:rPr>
        <w:t>in the area of</w:t>
      </w:r>
      <w:proofErr w:type="gramEnd"/>
      <w:r w:rsidRPr="008C6AC6">
        <w:rPr>
          <w:color w:val="333333"/>
          <w:shd w:val="clear" w:color="auto" w:fill="FFFFFF"/>
        </w:rPr>
        <w:t xml:space="preserve"> trafficking in human beings.</w:t>
      </w:r>
      <w:r w:rsidR="00C908CB" w:rsidRPr="008C6AC6">
        <w:rPr>
          <w:rStyle w:val="FootnoteReference"/>
        </w:rPr>
        <w:footnoteReference w:id="188"/>
      </w:r>
      <w:r w:rsidR="00C908CB" w:rsidRPr="008C6AC6">
        <w:t xml:space="preserve"> </w:t>
      </w:r>
      <w:r>
        <w:t>The Directive sets out a number of rights and protections, including for the protection of v</w:t>
      </w:r>
      <w:r w:rsidRPr="008C6AC6">
        <w:t>ictims of trafficking in human beings in criminal investigation and proceedings</w:t>
      </w:r>
      <w:r w:rsidR="000965E8">
        <w:t>, including child victims</w:t>
      </w:r>
      <w:r>
        <w:t xml:space="preserve"> (</w:t>
      </w:r>
      <w:r w:rsidR="000965E8">
        <w:t>Article</w:t>
      </w:r>
      <w:r w:rsidR="00253B71">
        <w:t>s</w:t>
      </w:r>
      <w:r>
        <w:t xml:space="preserve"> 12</w:t>
      </w:r>
      <w:r w:rsidR="000965E8">
        <w:t xml:space="preserve"> and 15</w:t>
      </w:r>
      <w:r>
        <w:t>)</w:t>
      </w:r>
      <w:r w:rsidR="000965E8">
        <w:t xml:space="preserve"> and assistance and support for victims of trafficking, including child victims (Articles 13, 14 and 16).  The Directive contains several provisions which are aimed at criminalisation of trafficking offences, non-</w:t>
      </w:r>
      <w:proofErr w:type="gramStart"/>
      <w:r w:rsidR="000965E8">
        <w:t>prosecution</w:t>
      </w:r>
      <w:proofErr w:type="gramEnd"/>
      <w:r w:rsidR="000965E8">
        <w:t xml:space="preserve"> and non-application of penalties to victims</w:t>
      </w:r>
      <w:r w:rsidR="000965E8" w:rsidRPr="000965E8">
        <w:t xml:space="preserve"> </w:t>
      </w:r>
      <w:r w:rsidR="000965E8">
        <w:t>(Articles 2-7), investigation and prosecution of offences</w:t>
      </w:r>
      <w:r w:rsidR="000965E8">
        <w:rPr>
          <w:rStyle w:val="FootnoteReference"/>
        </w:rPr>
        <w:t xml:space="preserve"> </w:t>
      </w:r>
      <w:r w:rsidR="000965E8">
        <w:t xml:space="preserve">(Articles 9 and 10). </w:t>
      </w:r>
    </w:p>
    <w:p w14:paraId="379B7F3D" w14:textId="77777777" w:rsidR="008C6AC6" w:rsidRDefault="008C6AC6" w:rsidP="008C6AC6"/>
    <w:p w14:paraId="308F0432" w14:textId="127CAD63" w:rsidR="00D83AF5" w:rsidRDefault="00C908CB" w:rsidP="000965E8">
      <w:pPr>
        <w:rPr>
          <w:b/>
          <w:bCs/>
        </w:rPr>
      </w:pPr>
      <w:r w:rsidRPr="000965E8">
        <w:rPr>
          <w:b/>
          <w:bCs/>
        </w:rPr>
        <w:t>EU Child Sexual Exploitation</w:t>
      </w:r>
      <w:r w:rsidR="00624DA6">
        <w:rPr>
          <w:b/>
          <w:bCs/>
        </w:rPr>
        <w:t xml:space="preserve"> Directive</w:t>
      </w:r>
    </w:p>
    <w:p w14:paraId="17C47FFC" w14:textId="77777777" w:rsidR="00253B71" w:rsidRPr="000965E8" w:rsidRDefault="00253B71" w:rsidP="000965E8">
      <w:pPr>
        <w:rPr>
          <w:rFonts w:cs="Arial"/>
          <w:b/>
          <w:bCs/>
        </w:rPr>
      </w:pPr>
    </w:p>
    <w:p w14:paraId="26FEA836" w14:textId="12EF674F" w:rsidR="00D83AF5" w:rsidRPr="00206D2F" w:rsidRDefault="000965E8" w:rsidP="000965E8">
      <w:pPr>
        <w:rPr>
          <w:rFonts w:cs="Arial"/>
        </w:rPr>
      </w:pPr>
      <w:r w:rsidRPr="000965E8">
        <w:t xml:space="preserve">The EU Child Sexual Exploitation Directive </w:t>
      </w:r>
      <w:r w:rsidRPr="000965E8">
        <w:rPr>
          <w:color w:val="333333"/>
          <w:shd w:val="clear" w:color="auto" w:fill="FFFFFF"/>
        </w:rPr>
        <w:t xml:space="preserve">establishes minimum rules concerning the definition of criminal offences and sanctions </w:t>
      </w:r>
      <w:proofErr w:type="gramStart"/>
      <w:r w:rsidRPr="000965E8">
        <w:rPr>
          <w:color w:val="333333"/>
          <w:shd w:val="clear" w:color="auto" w:fill="FFFFFF"/>
        </w:rPr>
        <w:t>in the area of</w:t>
      </w:r>
      <w:proofErr w:type="gramEnd"/>
      <w:r w:rsidRPr="000965E8">
        <w:rPr>
          <w:color w:val="333333"/>
          <w:shd w:val="clear" w:color="auto" w:fill="FFFFFF"/>
        </w:rPr>
        <w:t xml:space="preserve"> sexual abuse and sexual exploitation of children.</w:t>
      </w:r>
      <w:r w:rsidRPr="000965E8">
        <w:rPr>
          <w:rStyle w:val="FootnoteReference"/>
        </w:rPr>
        <w:footnoteReference w:id="189"/>
      </w:r>
      <w:r w:rsidRPr="000965E8">
        <w:rPr>
          <w:color w:val="333333"/>
          <w:shd w:val="clear" w:color="auto" w:fill="FFFFFF"/>
        </w:rPr>
        <w:t xml:space="preserve">  </w:t>
      </w:r>
      <w:r>
        <w:t>The Directive sets out a number of protections for child victims of sexual abuse and sexual</w:t>
      </w:r>
      <w:r w:rsidRPr="003B7207">
        <w:t xml:space="preserve"> </w:t>
      </w:r>
      <w:r>
        <w:t>exploitation (Articles 18-20), as well as placing positive obligations on States to prevent and investigate such crimes (Article</w:t>
      </w:r>
      <w:r w:rsidR="00253B71">
        <w:t>s</w:t>
      </w:r>
      <w:r>
        <w:t xml:space="preserve"> 1-17). </w:t>
      </w:r>
    </w:p>
    <w:p w14:paraId="44ACF84D" w14:textId="77777777" w:rsidR="00206D2F" w:rsidRDefault="00206D2F">
      <w:pPr>
        <w:spacing w:line="240" w:lineRule="auto"/>
        <w:rPr>
          <w:rFonts w:cs="Arial"/>
          <w:b/>
          <w:bCs/>
          <w:color w:val="77328A"/>
          <w:sz w:val="36"/>
          <w:szCs w:val="36"/>
        </w:rPr>
      </w:pPr>
    </w:p>
    <w:p w14:paraId="3A587873" w14:textId="77777777" w:rsidR="00206D2F" w:rsidRDefault="00206D2F">
      <w:pPr>
        <w:spacing w:line="240" w:lineRule="auto"/>
        <w:rPr>
          <w:rFonts w:cs="Arial"/>
          <w:b/>
          <w:bCs/>
          <w:color w:val="77328A"/>
          <w:sz w:val="36"/>
          <w:szCs w:val="36"/>
        </w:rPr>
      </w:pPr>
    </w:p>
    <w:p w14:paraId="62B5CF36" w14:textId="77777777" w:rsidR="00206D2F" w:rsidRDefault="00206D2F">
      <w:pPr>
        <w:spacing w:line="240" w:lineRule="auto"/>
        <w:rPr>
          <w:rFonts w:cs="Arial"/>
          <w:b/>
          <w:bCs/>
          <w:color w:val="77328A"/>
          <w:sz w:val="36"/>
          <w:szCs w:val="36"/>
        </w:rPr>
      </w:pPr>
    </w:p>
    <w:p w14:paraId="067AB68A" w14:textId="77777777" w:rsidR="005C30ED" w:rsidRDefault="005C30ED" w:rsidP="00E361B7">
      <w:pPr>
        <w:pStyle w:val="BasicParagraph"/>
        <w:suppressAutoHyphens/>
        <w:rPr>
          <w:rFonts w:ascii="Verdana" w:hAnsi="Verdana" w:cs="Arial"/>
          <w:b/>
          <w:bCs/>
          <w:color w:val="77328A"/>
          <w:sz w:val="36"/>
          <w:szCs w:val="36"/>
        </w:rPr>
      </w:pPr>
    </w:p>
    <w:p w14:paraId="3B54E1B8" w14:textId="77777777" w:rsidR="00D36277" w:rsidRDefault="00D36277" w:rsidP="00E361B7">
      <w:pPr>
        <w:pStyle w:val="BasicParagraph"/>
        <w:suppressAutoHyphens/>
        <w:rPr>
          <w:rFonts w:ascii="Verdana" w:hAnsi="Verdana" w:cs="Arial"/>
          <w:b/>
          <w:bCs/>
          <w:color w:val="77328A"/>
          <w:sz w:val="36"/>
          <w:szCs w:val="36"/>
        </w:rPr>
      </w:pPr>
    </w:p>
    <w:p w14:paraId="1DB8D167" w14:textId="3A28B72D" w:rsidR="00045B96" w:rsidRDefault="00045B96">
      <w:pPr>
        <w:spacing w:line="240" w:lineRule="auto"/>
        <w:rPr>
          <w:rFonts w:cs="Arial"/>
          <w:b/>
          <w:bCs/>
          <w:color w:val="77328A"/>
          <w:sz w:val="36"/>
          <w:szCs w:val="36"/>
        </w:rPr>
      </w:pPr>
      <w:r>
        <w:rPr>
          <w:rFonts w:cs="Arial"/>
          <w:b/>
          <w:bCs/>
          <w:color w:val="77328A"/>
          <w:sz w:val="36"/>
          <w:szCs w:val="36"/>
        </w:rPr>
        <w:br w:type="page"/>
      </w:r>
    </w:p>
    <w:p w14:paraId="0FBA8053" w14:textId="77777777" w:rsidR="000965E8" w:rsidRDefault="000965E8" w:rsidP="00F6590F">
      <w:pPr>
        <w:pStyle w:val="BasicParagraph"/>
        <w:suppressAutoHyphens/>
        <w:rPr>
          <w:rFonts w:ascii="Verdana" w:hAnsi="Verdana" w:cs="Arial"/>
          <w:b/>
          <w:bCs/>
          <w:color w:val="77328A"/>
          <w:sz w:val="36"/>
          <w:szCs w:val="36"/>
        </w:rPr>
      </w:pPr>
    </w:p>
    <w:p w14:paraId="31C91DED" w14:textId="77777777" w:rsidR="00F6590F" w:rsidRDefault="00F6590F" w:rsidP="00F6590F">
      <w:pPr>
        <w:pStyle w:val="BasicParagraph"/>
        <w:suppressAutoHyphens/>
        <w:rPr>
          <w:rFonts w:ascii="Verdana" w:hAnsi="Verdana" w:cs="Arial"/>
          <w:b/>
          <w:bCs/>
          <w:color w:val="77328A"/>
          <w:sz w:val="36"/>
          <w:szCs w:val="36"/>
        </w:rPr>
      </w:pPr>
    </w:p>
    <w:p w14:paraId="5A3B20E4" w14:textId="77777777" w:rsidR="00F6590F" w:rsidRDefault="00F6590F" w:rsidP="00F6590F">
      <w:pPr>
        <w:pStyle w:val="BasicParagraph"/>
        <w:suppressAutoHyphens/>
        <w:rPr>
          <w:rFonts w:ascii="Verdana" w:hAnsi="Verdana" w:cs="Arial"/>
          <w:b/>
          <w:bCs/>
          <w:color w:val="77328A"/>
          <w:sz w:val="36"/>
          <w:szCs w:val="36"/>
        </w:rPr>
      </w:pPr>
    </w:p>
    <w:p w14:paraId="596FADE2" w14:textId="77777777" w:rsidR="00F6590F" w:rsidRDefault="00F6590F" w:rsidP="00F6590F">
      <w:pPr>
        <w:pStyle w:val="BasicParagraph"/>
        <w:suppressAutoHyphens/>
        <w:rPr>
          <w:rFonts w:ascii="Verdana" w:hAnsi="Verdana" w:cs="Arial"/>
          <w:b/>
          <w:bCs/>
          <w:color w:val="77328A"/>
          <w:sz w:val="36"/>
          <w:szCs w:val="36"/>
        </w:rPr>
      </w:pPr>
    </w:p>
    <w:p w14:paraId="2BB4FCF4" w14:textId="77777777" w:rsidR="00F6590F" w:rsidRDefault="00F6590F" w:rsidP="00F6590F">
      <w:pPr>
        <w:pStyle w:val="BasicParagraph"/>
        <w:suppressAutoHyphens/>
        <w:rPr>
          <w:rFonts w:ascii="Verdana" w:hAnsi="Verdana" w:cs="Arial"/>
          <w:b/>
          <w:bCs/>
          <w:color w:val="77328A"/>
          <w:sz w:val="36"/>
          <w:szCs w:val="36"/>
        </w:rPr>
      </w:pPr>
    </w:p>
    <w:p w14:paraId="42345E0A" w14:textId="77777777" w:rsidR="00F6590F" w:rsidRDefault="00F6590F" w:rsidP="00F6590F">
      <w:pPr>
        <w:pStyle w:val="BasicParagraph"/>
        <w:suppressAutoHyphens/>
        <w:rPr>
          <w:rFonts w:ascii="Verdana" w:hAnsi="Verdana" w:cs="Arial"/>
          <w:b/>
          <w:bCs/>
          <w:color w:val="77328A"/>
          <w:sz w:val="36"/>
          <w:szCs w:val="36"/>
        </w:rPr>
      </w:pPr>
    </w:p>
    <w:p w14:paraId="33930AA9" w14:textId="77777777" w:rsidR="000965E8" w:rsidRDefault="000965E8" w:rsidP="00331C61">
      <w:pPr>
        <w:pStyle w:val="BasicParagraph"/>
        <w:suppressAutoHyphens/>
        <w:jc w:val="center"/>
        <w:rPr>
          <w:rFonts w:ascii="Verdana" w:hAnsi="Verdana" w:cs="Arial"/>
          <w:b/>
          <w:bCs/>
          <w:color w:val="77328A"/>
          <w:sz w:val="36"/>
          <w:szCs w:val="36"/>
        </w:rPr>
      </w:pPr>
    </w:p>
    <w:p w14:paraId="00ECAD87" w14:textId="54ED6D9D" w:rsidR="00705833"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w:t>
      </w:r>
      <w:proofErr w:type="gramStart"/>
      <w:r w:rsidR="0096459E">
        <w:rPr>
          <w:rFonts w:ascii="Verdana" w:hAnsi="Verdana" w:cs="Arial"/>
          <w:b/>
          <w:bCs/>
          <w:color w:val="77328A"/>
          <w:sz w:val="36"/>
          <w:szCs w:val="36"/>
        </w:rPr>
        <w:t>us</w:t>
      </w:r>
      <w:proofErr w:type="gramEnd"/>
      <w:r w:rsidR="0096459E">
        <w:rPr>
          <w:rFonts w:ascii="Verdana" w:hAnsi="Verdana" w:cs="Arial"/>
          <w:b/>
          <w:bCs/>
          <w:color w:val="77328A"/>
          <w:sz w:val="36"/>
          <w:szCs w:val="36"/>
        </w:rPr>
        <w:t xml:space="preserve">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12C9D04A" w14:textId="77777777" w:rsidR="00331C61" w:rsidRPr="00331C61" w:rsidRDefault="00331C61" w:rsidP="00331C61">
      <w:pPr>
        <w:pStyle w:val="BasicParagraph"/>
        <w:suppressAutoHyphens/>
        <w:jc w:val="center"/>
        <w:rPr>
          <w:rFonts w:ascii="Verdana" w:hAnsi="Verdana" w:cs="Arial"/>
          <w:b/>
          <w:color w:val="77328A"/>
          <w:sz w:val="36"/>
          <w:szCs w:val="36"/>
        </w:rPr>
      </w:pPr>
    </w:p>
    <w:p w14:paraId="59379608" w14:textId="111DDF39" w:rsidR="00AE6245" w:rsidRDefault="00ED6C60" w:rsidP="00D52BCD">
      <w:pPr>
        <w:jc w:val="center"/>
        <w:rPr>
          <w:rStyle w:val="Hyperlink"/>
          <w:rFonts w:cs="Arial"/>
          <w:b/>
          <w:sz w:val="30"/>
          <w:szCs w:val="30"/>
        </w:rPr>
      </w:pPr>
      <w:r>
        <w:rPr>
          <w:rFonts w:cs="Arial"/>
          <w:b/>
          <w:color w:val="232120"/>
          <w:sz w:val="30"/>
          <w:szCs w:val="30"/>
        </w:rPr>
        <w:t xml:space="preserve">Any queries: </w:t>
      </w:r>
      <w:hyperlink r:id="rId12" w:history="1">
        <w:r w:rsidRPr="008536C6">
          <w:rPr>
            <w:rStyle w:val="Hyperlink"/>
            <w:rFonts w:cs="Arial"/>
            <w:b/>
            <w:sz w:val="30"/>
            <w:szCs w:val="30"/>
          </w:rPr>
          <w:t>Colin.Caughey@nihrc.org</w:t>
        </w:r>
      </w:hyperlink>
      <w:r w:rsidR="00B86500">
        <w:rPr>
          <w:rStyle w:val="Hyperlink"/>
          <w:rFonts w:cs="Arial"/>
          <w:b/>
          <w:sz w:val="30"/>
          <w:szCs w:val="30"/>
        </w:rPr>
        <w:t xml:space="preserve"> </w:t>
      </w:r>
    </w:p>
    <w:p w14:paraId="050DDAF5" w14:textId="5E3C45C0" w:rsidR="00D27A8D" w:rsidRDefault="00D52BCD" w:rsidP="003B7D0E">
      <w:pPr>
        <w:jc w:val="center"/>
        <w:rPr>
          <w:rStyle w:val="Hyperlink"/>
          <w:rFonts w:cs="Arial"/>
          <w:b/>
          <w:sz w:val="30"/>
          <w:szCs w:val="30"/>
        </w:rPr>
      </w:pPr>
      <w:r w:rsidRPr="00D52BCD">
        <w:rPr>
          <w:rStyle w:val="Hyperlink"/>
          <w:rFonts w:cs="Arial"/>
          <w:b/>
          <w:color w:val="auto"/>
          <w:sz w:val="30"/>
          <w:szCs w:val="30"/>
          <w:u w:val="none"/>
        </w:rPr>
        <w:t xml:space="preserve">and </w:t>
      </w:r>
      <w:hyperlink r:id="rId13" w:history="1">
        <w:r w:rsidRPr="009860AA">
          <w:rPr>
            <w:rStyle w:val="Hyperlink"/>
            <w:rFonts w:cs="Arial"/>
            <w:b/>
            <w:sz w:val="30"/>
            <w:szCs w:val="30"/>
          </w:rPr>
          <w:t>Eilis.Haughey@nihrc.org</w:t>
        </w:r>
      </w:hyperlink>
      <w:r>
        <w:rPr>
          <w:rStyle w:val="Hyperlink"/>
          <w:rFonts w:cs="Arial"/>
          <w:b/>
          <w:sz w:val="30"/>
          <w:szCs w:val="30"/>
        </w:rPr>
        <w:t xml:space="preserve"> </w:t>
      </w:r>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000000" w:rsidP="00331C61">
      <w:pPr>
        <w:jc w:val="center"/>
        <w:rPr>
          <w:rFonts w:cs="Arial"/>
          <w:color w:val="232120"/>
          <w:sz w:val="28"/>
          <w:szCs w:val="28"/>
        </w:rPr>
      </w:pPr>
      <w:hyperlink r:id="rId14"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5"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15C27">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CEDD" w14:textId="77777777" w:rsidR="00B15C27" w:rsidRDefault="00B15C27" w:rsidP="00962B2B">
      <w:r>
        <w:separator/>
      </w:r>
    </w:p>
  </w:endnote>
  <w:endnote w:type="continuationSeparator" w:id="0">
    <w:p w14:paraId="22042CD5" w14:textId="77777777" w:rsidR="00B15C27" w:rsidRDefault="00B15C27" w:rsidP="00962B2B">
      <w:r>
        <w:continuationSeparator/>
      </w:r>
    </w:p>
  </w:endnote>
  <w:endnote w:type="continuationNotice" w:id="1">
    <w:p w14:paraId="3B25EC5D" w14:textId="77777777" w:rsidR="00B15C27" w:rsidRDefault="00B15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5D15" w14:textId="77777777"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86CB" w14:textId="77777777"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2125" w14:textId="77777777" w:rsidR="00B15C27" w:rsidRDefault="00B15C27" w:rsidP="00B96D34">
      <w:r>
        <w:continuationSeparator/>
      </w:r>
    </w:p>
    <w:p w14:paraId="0D1D771D" w14:textId="77777777" w:rsidR="00B15C27" w:rsidRPr="00B96D34" w:rsidRDefault="00B15C27" w:rsidP="00B96D34">
      <w:pPr>
        <w:pStyle w:val="Footer"/>
      </w:pPr>
    </w:p>
  </w:footnote>
  <w:footnote w:type="continuationSeparator" w:id="0">
    <w:p w14:paraId="4FA7BCE1" w14:textId="77777777" w:rsidR="00B15C27" w:rsidRDefault="00B15C27" w:rsidP="00962B2B">
      <w:r>
        <w:continuationSeparator/>
      </w:r>
    </w:p>
  </w:footnote>
  <w:footnote w:type="continuationNotice" w:id="1">
    <w:p w14:paraId="0AD2B444" w14:textId="77777777" w:rsidR="00B15C27" w:rsidRDefault="00B15C27"/>
  </w:footnote>
  <w:footnote w:id="2">
    <w:p w14:paraId="43A76CFF" w14:textId="5384BDDB" w:rsidR="005C30ED" w:rsidRPr="00E93481" w:rsidRDefault="005C30ED" w:rsidP="00A22E1F">
      <w:pPr>
        <w:pStyle w:val="NIHRCFootnotes"/>
      </w:pPr>
      <w:r w:rsidRPr="00E93481">
        <w:rPr>
          <w:rStyle w:val="FootnoteReference"/>
        </w:rPr>
        <w:footnoteRef/>
      </w:r>
      <w:r w:rsidRPr="00E93481">
        <w:t xml:space="preserve"> The Windsor Framework was formerly known as the Protocol on Ireland/Northern Ireland to the UK-EU Withdrawal Agreement and all references to the Protocol in this document have been updated to reflect this change. </w:t>
      </w:r>
      <w:r w:rsidR="00513FA0">
        <w:rPr>
          <w:i/>
          <w:iCs/>
        </w:rPr>
        <w:t xml:space="preserve">See </w:t>
      </w:r>
      <w:r w:rsidRPr="00E93481">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E105A73" w14:textId="61A352CD" w:rsidR="009D1921" w:rsidRPr="00E93481" w:rsidRDefault="009D1921" w:rsidP="00A22E1F">
      <w:pPr>
        <w:pStyle w:val="NIHRCFootnotes"/>
      </w:pPr>
      <w:r w:rsidRPr="00E93481">
        <w:rPr>
          <w:rStyle w:val="FootnoteReference"/>
        </w:rPr>
        <w:footnoteRef/>
      </w:r>
      <w:r w:rsidRPr="00E93481">
        <w:t xml:space="preserve"> </w:t>
      </w:r>
      <w:r w:rsidR="0079001F" w:rsidRPr="00E93481">
        <w:t>Ratified by the UK 1951.</w:t>
      </w:r>
    </w:p>
  </w:footnote>
  <w:footnote w:id="4">
    <w:p w14:paraId="33789745" w14:textId="77777777" w:rsidR="001E4A4A" w:rsidRPr="00E93481" w:rsidRDefault="001E4A4A" w:rsidP="00A22E1F">
      <w:pPr>
        <w:pStyle w:val="NIHRCFootnotes"/>
      </w:pPr>
      <w:r w:rsidRPr="00E93481">
        <w:rPr>
          <w:rStyle w:val="FootnoteReference"/>
        </w:rPr>
        <w:footnoteRef/>
      </w:r>
      <w:r w:rsidRPr="00E93481">
        <w:t xml:space="preserve"> Ratified by the UK 1969.</w:t>
      </w:r>
    </w:p>
  </w:footnote>
  <w:footnote w:id="5">
    <w:p w14:paraId="10648D1D" w14:textId="77777777" w:rsidR="001E4A4A" w:rsidRPr="00E93481" w:rsidRDefault="001E4A4A" w:rsidP="00A22E1F">
      <w:pPr>
        <w:pStyle w:val="NIHRCFootnotes"/>
      </w:pPr>
      <w:r w:rsidRPr="00E93481">
        <w:rPr>
          <w:rStyle w:val="FootnoteReference"/>
        </w:rPr>
        <w:footnoteRef/>
      </w:r>
      <w:r w:rsidRPr="00E93481">
        <w:t xml:space="preserve"> Ratified by the UK 1976.</w:t>
      </w:r>
    </w:p>
  </w:footnote>
  <w:footnote w:id="6">
    <w:p w14:paraId="6E74D5D9" w14:textId="77777777" w:rsidR="001D31D8" w:rsidRPr="00E93481" w:rsidRDefault="001D31D8" w:rsidP="00A22E1F">
      <w:pPr>
        <w:pStyle w:val="NIHRCFootnotes"/>
      </w:pPr>
      <w:r w:rsidRPr="00E93481">
        <w:rPr>
          <w:rStyle w:val="FootnoteReference"/>
        </w:rPr>
        <w:footnoteRef/>
      </w:r>
      <w:r w:rsidRPr="00E93481">
        <w:t xml:space="preserve"> Ratified by the UK 1986.</w:t>
      </w:r>
    </w:p>
  </w:footnote>
  <w:footnote w:id="7">
    <w:p w14:paraId="133CD6E7" w14:textId="77777777" w:rsidR="001D31D8" w:rsidRPr="00E93481" w:rsidRDefault="001D31D8" w:rsidP="00A22E1F">
      <w:pPr>
        <w:pStyle w:val="NIHRCFootnotes"/>
      </w:pPr>
      <w:r w:rsidRPr="00E93481">
        <w:rPr>
          <w:rStyle w:val="FootnoteReference"/>
        </w:rPr>
        <w:footnoteRef/>
      </w:r>
      <w:r w:rsidRPr="00E93481">
        <w:t xml:space="preserve"> Ratified by the UK 1988.</w:t>
      </w:r>
    </w:p>
  </w:footnote>
  <w:footnote w:id="8">
    <w:p w14:paraId="200D1324" w14:textId="77777777" w:rsidR="001D31D8" w:rsidRPr="00E93481" w:rsidRDefault="001D31D8" w:rsidP="00A22E1F">
      <w:pPr>
        <w:pStyle w:val="NIHRCFootnotes"/>
      </w:pPr>
      <w:r w:rsidRPr="00E93481">
        <w:rPr>
          <w:rStyle w:val="FootnoteReference"/>
        </w:rPr>
        <w:footnoteRef/>
      </w:r>
      <w:r w:rsidRPr="00E93481">
        <w:t xml:space="preserve"> Ratified by the UK 1989.</w:t>
      </w:r>
    </w:p>
  </w:footnote>
  <w:footnote w:id="9">
    <w:p w14:paraId="73673272" w14:textId="77777777" w:rsidR="0038387A" w:rsidRPr="00E93481" w:rsidRDefault="0038387A" w:rsidP="00A22E1F">
      <w:pPr>
        <w:pStyle w:val="NIHRCFootnotes"/>
      </w:pPr>
      <w:r w:rsidRPr="00E93481">
        <w:rPr>
          <w:rStyle w:val="FootnoteReference"/>
        </w:rPr>
        <w:footnoteRef/>
      </w:r>
      <w:r w:rsidRPr="00E93481">
        <w:t xml:space="preserve"> Ratified by the UK 2009.</w:t>
      </w:r>
    </w:p>
  </w:footnote>
  <w:footnote w:id="10">
    <w:p w14:paraId="60598F4B" w14:textId="432D9992" w:rsidR="008A2095" w:rsidRPr="00E93481" w:rsidRDefault="008A2095" w:rsidP="00A22E1F">
      <w:pPr>
        <w:pStyle w:val="NIHRCFootnotes"/>
      </w:pPr>
      <w:r w:rsidRPr="00E93481">
        <w:rPr>
          <w:rStyle w:val="FootnoteReference"/>
        </w:rPr>
        <w:footnoteRef/>
      </w:r>
      <w:r w:rsidRPr="00E93481">
        <w:t xml:space="preserve"> </w:t>
      </w:r>
      <w:r w:rsidR="007D5332" w:rsidRPr="00E93481">
        <w:t xml:space="preserve">Ratified by the UK in </w:t>
      </w:r>
      <w:r w:rsidR="00BC04A1" w:rsidRPr="00E93481">
        <w:t>2018</w:t>
      </w:r>
      <w:r w:rsidR="007D5332" w:rsidRPr="00E93481">
        <w:t>.</w:t>
      </w:r>
    </w:p>
  </w:footnote>
  <w:footnote w:id="11">
    <w:p w14:paraId="52E1002F" w14:textId="486A60CD" w:rsidR="00440672" w:rsidRPr="00E93481" w:rsidRDefault="00440672" w:rsidP="00A22E1F">
      <w:pPr>
        <w:pStyle w:val="NIHRCFootnotes"/>
      </w:pPr>
      <w:r w:rsidRPr="00E93481">
        <w:rPr>
          <w:rStyle w:val="FootnoteReference"/>
        </w:rPr>
        <w:footnoteRef/>
      </w:r>
      <w:r w:rsidRPr="00E93481">
        <w:t xml:space="preserve"> Ratified by the UK in 2022.</w:t>
      </w:r>
    </w:p>
  </w:footnote>
  <w:footnote w:id="12">
    <w:p w14:paraId="298CB7AA" w14:textId="4F24B91B" w:rsidR="0021394A" w:rsidRPr="00E93481" w:rsidRDefault="0021394A" w:rsidP="00A22E1F">
      <w:pPr>
        <w:pStyle w:val="NIHRCFootnotes"/>
      </w:pPr>
      <w:r w:rsidRPr="00E93481">
        <w:rPr>
          <w:rStyle w:val="FootnoteReference"/>
        </w:rPr>
        <w:footnoteRef/>
      </w:r>
      <w:r w:rsidRPr="00E93481">
        <w:t xml:space="preserve"> CAT/C/GC/2, ‘UN CAT Committee General Comment No 2</w:t>
      </w:r>
      <w:r w:rsidR="00D46DB0" w:rsidRPr="00E93481">
        <w:t>: Implementation of Article 2 of the UN CAT by State Parties</w:t>
      </w:r>
      <w:r w:rsidRPr="00E93481">
        <w:t>’, 24 January 2008.</w:t>
      </w:r>
    </w:p>
  </w:footnote>
  <w:footnote w:id="13">
    <w:p w14:paraId="2FC585A0" w14:textId="77777777" w:rsidR="0021394A" w:rsidRPr="00E93481" w:rsidRDefault="0021394A" w:rsidP="00A22E1F">
      <w:pPr>
        <w:pStyle w:val="NIHRCFootnotes"/>
      </w:pPr>
      <w:r w:rsidRPr="00E93481">
        <w:rPr>
          <w:rStyle w:val="FootnoteReference"/>
        </w:rPr>
        <w:footnoteRef/>
      </w:r>
      <w:r w:rsidRPr="00E93481">
        <w:t xml:space="preserve"> A/HRC/21/46, ‘Report of the Special Rapporteur on the Promotion of Truth, Justice, Reparation and Guarantees of Non-recurrence, Pablo de Greiff’, 9 August 2012.</w:t>
      </w:r>
    </w:p>
  </w:footnote>
  <w:footnote w:id="14">
    <w:p w14:paraId="47A404E5" w14:textId="2357265E" w:rsidR="0021394A" w:rsidRPr="00E93481" w:rsidRDefault="0021394A" w:rsidP="00A22E1F">
      <w:pPr>
        <w:pStyle w:val="NIHRCFootnotes"/>
      </w:pPr>
      <w:r w:rsidRPr="00E93481">
        <w:rPr>
          <w:rStyle w:val="FootnoteReference"/>
        </w:rPr>
        <w:footnoteRef/>
      </w:r>
      <w:r w:rsidRPr="00E93481">
        <w:t xml:space="preserve"> CAT/C/GC/3, ‘UN Committee against Torture General Comment No 3</w:t>
      </w:r>
      <w:r w:rsidR="003F30B1" w:rsidRPr="00E93481">
        <w:t>: Implementation of Article 14 of the UN CAT by State Parties</w:t>
      </w:r>
      <w:r w:rsidRPr="00E93481">
        <w:t>’, 13 December 2012.</w:t>
      </w:r>
    </w:p>
  </w:footnote>
  <w:footnote w:id="15">
    <w:p w14:paraId="0141D5B8" w14:textId="4A4699BF" w:rsidR="0021394A" w:rsidRPr="00E93481" w:rsidRDefault="0021394A" w:rsidP="00A22E1F">
      <w:pPr>
        <w:pStyle w:val="NIHRCFootnotes"/>
      </w:pPr>
      <w:r w:rsidRPr="00E93481">
        <w:rPr>
          <w:rStyle w:val="FootnoteReference"/>
        </w:rPr>
        <w:footnoteRef/>
      </w:r>
      <w:r w:rsidRPr="00E93481">
        <w:t xml:space="preserve"> CCPR/C/GBR/CO/7, ‘UN Human Rights Committee Concluding Observations on the Seventh Periodic Report of the UK of Great Britain and NI’, 17 August 2015</w:t>
      </w:r>
      <w:r w:rsidR="00757351" w:rsidRPr="00E93481">
        <w:t>.</w:t>
      </w:r>
    </w:p>
  </w:footnote>
  <w:footnote w:id="16">
    <w:p w14:paraId="7672F73C" w14:textId="77777777" w:rsidR="0021394A" w:rsidRPr="00E93481" w:rsidRDefault="0021394A" w:rsidP="00A22E1F">
      <w:pPr>
        <w:pStyle w:val="NIHRCFootnotes"/>
      </w:pPr>
      <w:r w:rsidRPr="00E93481">
        <w:rPr>
          <w:rStyle w:val="FootnoteReference"/>
        </w:rPr>
        <w:footnoteRef/>
      </w:r>
      <w:r w:rsidRPr="00E93481">
        <w:t xml:space="preserve"> A/HRC/34/62/Add.1, ‘Report of the UN Special Rapporteur on the Promotion of Truth, Justice, Reparation and Guarantees of Non-recurrence, Pablo de Greiff on his Mission to the UK of Great Britain and NI’, 17 November 2016.</w:t>
      </w:r>
    </w:p>
  </w:footnote>
  <w:footnote w:id="17">
    <w:p w14:paraId="3383A658" w14:textId="77777777" w:rsidR="0021394A" w:rsidRPr="00E93481" w:rsidRDefault="0021394A" w:rsidP="00A22E1F">
      <w:pPr>
        <w:pStyle w:val="NIHRCFootnotes"/>
      </w:pPr>
      <w:r w:rsidRPr="00E93481">
        <w:rPr>
          <w:rStyle w:val="FootnoteReference"/>
        </w:rPr>
        <w:footnoteRef/>
      </w:r>
      <w:r w:rsidRPr="00E93481">
        <w:t xml:space="preserve"> CEDAW/C/GC/35, ‘UN CEDAW Committee General Comment No 35: Gender Based Violence Against Women Updating General Comment No 19’, 14 July 2017.</w:t>
      </w:r>
    </w:p>
  </w:footnote>
  <w:footnote w:id="18">
    <w:p w14:paraId="4C5E8ED7" w14:textId="77777777" w:rsidR="0021394A" w:rsidRPr="00E93481" w:rsidRDefault="0021394A" w:rsidP="00A22E1F">
      <w:pPr>
        <w:pStyle w:val="NIHRCFootnotes"/>
      </w:pPr>
      <w:r w:rsidRPr="00E93481">
        <w:rPr>
          <w:rStyle w:val="FootnoteReference"/>
        </w:rPr>
        <w:footnoteRef/>
      </w:r>
      <w:r w:rsidRPr="00E93481">
        <w:t xml:space="preserve"> CAT/C/GBR/CO/6, ‘UN Committee against Torture Concluding Observations on the Sixth Periodic Report of the UK of Great Britain and NI’, 7 June 2019.</w:t>
      </w:r>
    </w:p>
  </w:footnote>
  <w:footnote w:id="19">
    <w:p w14:paraId="5395DD76" w14:textId="22F60BE8" w:rsidR="00E74151" w:rsidRPr="00E93481" w:rsidRDefault="00E74151" w:rsidP="00A22E1F">
      <w:pPr>
        <w:pStyle w:val="NIHRCFootnotes"/>
      </w:pPr>
      <w:r w:rsidRPr="00E93481">
        <w:rPr>
          <w:rStyle w:val="FootnoteReference"/>
        </w:rPr>
        <w:footnoteRef/>
      </w:r>
      <w:r w:rsidRPr="00E93481">
        <w:t xml:space="preserve"> </w:t>
      </w:r>
      <w:r w:rsidR="001D7306" w:rsidRPr="00E93481">
        <w:t>UN Basic Principles and Guidelines on the Right to a Remedy and Reparation for Victims of Gross Violations of International Human Rights Law and Serious Violations of International Humanitarian Law, 16 December 2005</w:t>
      </w:r>
      <w:r w:rsidR="002314B5" w:rsidRPr="00E93481">
        <w:t>.</w:t>
      </w:r>
    </w:p>
  </w:footnote>
  <w:footnote w:id="20">
    <w:p w14:paraId="6126DB72" w14:textId="26E525C5" w:rsidR="001D7306" w:rsidRPr="00E93481" w:rsidRDefault="001D7306" w:rsidP="00A22E1F">
      <w:pPr>
        <w:pStyle w:val="NIHRCFootnotes"/>
      </w:pPr>
      <w:r w:rsidRPr="00E93481">
        <w:rPr>
          <w:rStyle w:val="FootnoteReference"/>
        </w:rPr>
        <w:footnoteRef/>
      </w:r>
      <w:r w:rsidRPr="00E93481">
        <w:t xml:space="preserve"> A/RES/40/34, ‘United Nations Declaration of Basic Principles of Justice for Victims of Crime and Abuse of Power’, 29 November 1985.</w:t>
      </w:r>
    </w:p>
  </w:footnote>
  <w:footnote w:id="21">
    <w:p w14:paraId="2DBEEAA6" w14:textId="0DDCED7D" w:rsidR="00834394" w:rsidRPr="00E93481" w:rsidRDefault="00834394" w:rsidP="00A22E1F">
      <w:pPr>
        <w:pStyle w:val="NIHRCFootnotes"/>
      </w:pPr>
      <w:r w:rsidRPr="00E93481">
        <w:rPr>
          <w:rStyle w:val="FootnoteReference"/>
        </w:rPr>
        <w:footnoteRef/>
      </w:r>
      <w:r w:rsidRPr="00E93481">
        <w:t xml:space="preserve"> </w:t>
      </w:r>
      <w:r w:rsidRPr="00E93481">
        <w:rPr>
          <w:rFonts w:cs="Open Sans"/>
          <w:shd w:val="clear" w:color="auto" w:fill="FFFFFF"/>
        </w:rPr>
        <w:t>CM/</w:t>
      </w:r>
      <w:proofErr w:type="gramStart"/>
      <w:r w:rsidRPr="00E93481">
        <w:rPr>
          <w:rFonts w:cs="Open Sans"/>
          <w:shd w:val="clear" w:color="auto" w:fill="FFFFFF"/>
        </w:rPr>
        <w:t>Rec(</w:t>
      </w:r>
      <w:proofErr w:type="gramEnd"/>
      <w:r w:rsidRPr="00E93481">
        <w:rPr>
          <w:rFonts w:cs="Open Sans"/>
          <w:shd w:val="clear" w:color="auto" w:fill="FFFFFF"/>
        </w:rPr>
        <w:t>2023)2, ‘</w:t>
      </w:r>
      <w:proofErr w:type="spellStart"/>
      <w:r w:rsidRPr="00E93481">
        <w:rPr>
          <w:rFonts w:cs="Open Sans"/>
          <w:shd w:val="clear" w:color="auto" w:fill="FFFFFF"/>
        </w:rPr>
        <w:t>CoE</w:t>
      </w:r>
      <w:proofErr w:type="spellEnd"/>
      <w:r w:rsidRPr="00E93481">
        <w:rPr>
          <w:rFonts w:cs="Open Sans"/>
          <w:shd w:val="clear" w:color="auto" w:fill="FFFFFF"/>
        </w:rPr>
        <w:t xml:space="preserve"> Committee of Ministers to Member States on </w:t>
      </w:r>
      <w:r w:rsidR="00D527AD" w:rsidRPr="00E93481">
        <w:rPr>
          <w:rFonts w:cs="Open Sans"/>
          <w:shd w:val="clear" w:color="auto" w:fill="FFFFFF"/>
        </w:rPr>
        <w:t>R</w:t>
      </w:r>
      <w:r w:rsidRPr="00E93481">
        <w:rPr>
          <w:rFonts w:cs="Open Sans"/>
          <w:shd w:val="clear" w:color="auto" w:fill="FFFFFF"/>
        </w:rPr>
        <w:t xml:space="preserve">ights, </w:t>
      </w:r>
      <w:r w:rsidR="00D527AD" w:rsidRPr="00E93481">
        <w:rPr>
          <w:rFonts w:cs="Open Sans"/>
          <w:shd w:val="clear" w:color="auto" w:fill="FFFFFF"/>
        </w:rPr>
        <w:t>S</w:t>
      </w:r>
      <w:r w:rsidRPr="00E93481">
        <w:rPr>
          <w:rFonts w:cs="Open Sans"/>
          <w:shd w:val="clear" w:color="auto" w:fill="FFFFFF"/>
        </w:rPr>
        <w:t xml:space="preserve">ervices and </w:t>
      </w:r>
      <w:r w:rsidR="00D527AD" w:rsidRPr="00E93481">
        <w:rPr>
          <w:rFonts w:cs="Open Sans"/>
          <w:shd w:val="clear" w:color="auto" w:fill="FFFFFF"/>
        </w:rPr>
        <w:t>S</w:t>
      </w:r>
      <w:r w:rsidRPr="00E93481">
        <w:rPr>
          <w:rFonts w:cs="Open Sans"/>
          <w:shd w:val="clear" w:color="auto" w:fill="FFFFFF"/>
        </w:rPr>
        <w:t xml:space="preserve">upport for </w:t>
      </w:r>
      <w:r w:rsidR="00D527AD" w:rsidRPr="00E93481">
        <w:rPr>
          <w:rFonts w:cs="Open Sans"/>
          <w:shd w:val="clear" w:color="auto" w:fill="FFFFFF"/>
        </w:rPr>
        <w:t>V</w:t>
      </w:r>
      <w:r w:rsidRPr="00E93481">
        <w:rPr>
          <w:rFonts w:cs="Open Sans"/>
          <w:shd w:val="clear" w:color="auto" w:fill="FFFFFF"/>
        </w:rPr>
        <w:t xml:space="preserve">ictims of </w:t>
      </w:r>
      <w:r w:rsidR="00D527AD" w:rsidRPr="00E93481">
        <w:rPr>
          <w:rFonts w:cs="Open Sans"/>
          <w:shd w:val="clear" w:color="auto" w:fill="FFFFFF"/>
        </w:rPr>
        <w:t>C</w:t>
      </w:r>
      <w:r w:rsidRPr="00E93481">
        <w:rPr>
          <w:rFonts w:cs="Open Sans"/>
          <w:shd w:val="clear" w:color="auto" w:fill="FFFFFF"/>
        </w:rPr>
        <w:t>rime’, 15 March 2023, at Article 3(3).</w:t>
      </w:r>
    </w:p>
  </w:footnote>
  <w:footnote w:id="22">
    <w:p w14:paraId="5C9D88B6" w14:textId="62F45451" w:rsidR="001F1AB2" w:rsidRPr="00E93481" w:rsidRDefault="001F1AB2" w:rsidP="00A22E1F">
      <w:pPr>
        <w:pStyle w:val="NIHRCFootnotes"/>
      </w:pPr>
      <w:r w:rsidRPr="00E93481">
        <w:rPr>
          <w:rStyle w:val="FootnoteReference"/>
        </w:rPr>
        <w:footnoteRef/>
      </w:r>
      <w:r w:rsidRPr="00E93481">
        <w:t xml:space="preserve"> </w:t>
      </w:r>
      <w:r w:rsidR="00FA7DA8" w:rsidRPr="00E93481">
        <w:t xml:space="preserve">A/78/181, ‘Report of the UN Special Rapporteur on the </w:t>
      </w:r>
      <w:r w:rsidR="001215B0" w:rsidRPr="00E93481">
        <w:t>P</w:t>
      </w:r>
      <w:r w:rsidR="00FA7DA8" w:rsidRPr="00E93481">
        <w:t xml:space="preserve">romotion of </w:t>
      </w:r>
      <w:r w:rsidR="001215B0" w:rsidRPr="00E93481">
        <w:t>T</w:t>
      </w:r>
      <w:r w:rsidR="00FA7DA8" w:rsidRPr="00E93481">
        <w:t xml:space="preserve">ruth, </w:t>
      </w:r>
      <w:r w:rsidR="001215B0" w:rsidRPr="00E93481">
        <w:t>J</w:t>
      </w:r>
      <w:r w:rsidR="00FA7DA8" w:rsidRPr="00E93481">
        <w:t xml:space="preserve">ustice, </w:t>
      </w:r>
      <w:r w:rsidR="001215B0" w:rsidRPr="00E93481">
        <w:t>R</w:t>
      </w:r>
      <w:r w:rsidR="00FA7DA8" w:rsidRPr="00E93481">
        <w:t xml:space="preserve">eparation and </w:t>
      </w:r>
      <w:r w:rsidR="001215B0" w:rsidRPr="00E93481">
        <w:t>G</w:t>
      </w:r>
      <w:r w:rsidR="00FA7DA8" w:rsidRPr="00E93481">
        <w:t xml:space="preserve">uarantees of </w:t>
      </w:r>
      <w:r w:rsidR="001215B0" w:rsidRPr="00E93481">
        <w:t>N</w:t>
      </w:r>
      <w:r w:rsidR="00FA7DA8" w:rsidRPr="00E93481">
        <w:t xml:space="preserve">on-recurrence, Fabián </w:t>
      </w:r>
      <w:proofErr w:type="spellStart"/>
      <w:r w:rsidR="00FA7DA8" w:rsidRPr="00E93481">
        <w:t>Salvioli</w:t>
      </w:r>
      <w:proofErr w:type="spellEnd"/>
      <w:r w:rsidR="00FA7DA8" w:rsidRPr="00E93481">
        <w:t>’, 14 July 2023.</w:t>
      </w:r>
    </w:p>
  </w:footnote>
  <w:footnote w:id="23">
    <w:p w14:paraId="748F2ED7" w14:textId="77777777" w:rsidR="00A31CCE" w:rsidRPr="00E93481" w:rsidRDefault="00A31CCE" w:rsidP="00A22E1F">
      <w:pPr>
        <w:pStyle w:val="NIHRCFootnotes"/>
      </w:pPr>
      <w:r w:rsidRPr="00E93481">
        <w:rPr>
          <w:rStyle w:val="FootnoteReference"/>
        </w:rPr>
        <w:footnoteRef/>
      </w:r>
      <w:r w:rsidRPr="00E93481">
        <w:t xml:space="preserve"> Directive 2012/29/EU, ‘Directive of the European Parliament and of the Council Establishing Minimum Standards on the Rights, Support and Protection of Victims of Crime’, 25 October 2012.</w:t>
      </w:r>
    </w:p>
  </w:footnote>
  <w:footnote w:id="24">
    <w:p w14:paraId="11B923C0" w14:textId="7566A25D" w:rsidR="00593A7C" w:rsidRPr="00E93481" w:rsidRDefault="00593A7C" w:rsidP="00A22E1F">
      <w:pPr>
        <w:pStyle w:val="NIHRCFootnotes"/>
      </w:pPr>
      <w:r w:rsidRPr="00E93481">
        <w:rPr>
          <w:rStyle w:val="FootnoteReference"/>
        </w:rPr>
        <w:footnoteRef/>
      </w:r>
      <w:r w:rsidRPr="00E93481">
        <w:t xml:space="preserve"> </w:t>
      </w:r>
      <w:r w:rsidR="00F84646" w:rsidRPr="00E93481">
        <w:t xml:space="preserve">Directive 2011/36/EU, ‘EU Council Directive on </w:t>
      </w:r>
      <w:r w:rsidR="00FF5C32">
        <w:t>P</w:t>
      </w:r>
      <w:r w:rsidR="00F84646" w:rsidRPr="00E93481">
        <w:t xml:space="preserve">reventing and </w:t>
      </w:r>
      <w:r w:rsidR="00FF5C32">
        <w:t>Co</w:t>
      </w:r>
      <w:r w:rsidR="00F84646" w:rsidRPr="00E93481">
        <w:t xml:space="preserve">mbating </w:t>
      </w:r>
      <w:r w:rsidR="00FF5C32">
        <w:t>T</w:t>
      </w:r>
      <w:r w:rsidR="00F84646" w:rsidRPr="00E93481">
        <w:t xml:space="preserve">rafficking in </w:t>
      </w:r>
      <w:r w:rsidR="00FF5C32">
        <w:t>H</w:t>
      </w:r>
      <w:r w:rsidR="00F84646" w:rsidRPr="00E93481">
        <w:t xml:space="preserve">uman </w:t>
      </w:r>
      <w:r w:rsidR="00FF5C32">
        <w:t>B</w:t>
      </w:r>
      <w:r w:rsidR="00F84646" w:rsidRPr="00E93481">
        <w:t xml:space="preserve">eings and </w:t>
      </w:r>
      <w:r w:rsidR="00FF5C32">
        <w:t>P</w:t>
      </w:r>
      <w:r w:rsidR="00F84646" w:rsidRPr="00E93481">
        <w:t xml:space="preserve">rotecting </w:t>
      </w:r>
      <w:r w:rsidR="00FF5C32">
        <w:t>I</w:t>
      </w:r>
      <w:r w:rsidR="00F84646" w:rsidRPr="00E93481">
        <w:t xml:space="preserve">ts </w:t>
      </w:r>
      <w:r w:rsidR="00FF5C32">
        <w:t>V</w:t>
      </w:r>
      <w:r w:rsidR="00F84646" w:rsidRPr="00E93481">
        <w:t>ictims’, 5 April 2011.</w:t>
      </w:r>
    </w:p>
  </w:footnote>
  <w:footnote w:id="25">
    <w:p w14:paraId="2DDC951B" w14:textId="7C62B962" w:rsidR="00593A7C" w:rsidRPr="00E93481" w:rsidRDefault="00593A7C" w:rsidP="00A22E1F">
      <w:pPr>
        <w:pStyle w:val="NIHRCFootnotes"/>
      </w:pPr>
      <w:r w:rsidRPr="00E93481">
        <w:rPr>
          <w:rStyle w:val="FootnoteReference"/>
        </w:rPr>
        <w:footnoteRef/>
      </w:r>
      <w:r w:rsidRPr="00E93481">
        <w:t xml:space="preserve"> </w:t>
      </w:r>
      <w:r w:rsidR="00FF2DE7" w:rsidRPr="00E93481">
        <w:t xml:space="preserve">Directive 2011/92/EU, ‘Directive of the European Parliament and of the Council on </w:t>
      </w:r>
      <w:r w:rsidR="00FF5C32">
        <w:t>C</w:t>
      </w:r>
      <w:r w:rsidR="00FF2DE7" w:rsidRPr="00E93481">
        <w:t xml:space="preserve">ombatting the </w:t>
      </w:r>
      <w:r w:rsidR="00FF5C32">
        <w:t>S</w:t>
      </w:r>
      <w:r w:rsidR="00FF2DE7" w:rsidRPr="00E93481">
        <w:t xml:space="preserve">exual </w:t>
      </w:r>
      <w:r w:rsidR="00FF5C32">
        <w:t>A</w:t>
      </w:r>
      <w:r w:rsidR="00FF2DE7" w:rsidRPr="00E93481">
        <w:t xml:space="preserve">buse and </w:t>
      </w:r>
      <w:r w:rsidR="00FF5C32">
        <w:t>S</w:t>
      </w:r>
      <w:r w:rsidR="00FF2DE7" w:rsidRPr="00E93481">
        <w:t xml:space="preserve">exual </w:t>
      </w:r>
      <w:r w:rsidR="00FF5C32">
        <w:t>E</w:t>
      </w:r>
      <w:r w:rsidR="00FF2DE7" w:rsidRPr="00E93481">
        <w:t xml:space="preserve">xploitation of </w:t>
      </w:r>
      <w:r w:rsidR="00FF5C32">
        <w:t>C</w:t>
      </w:r>
      <w:r w:rsidR="00FF2DE7" w:rsidRPr="00E93481">
        <w:t xml:space="preserve">hildren and </w:t>
      </w:r>
      <w:r w:rsidR="00FF5C32">
        <w:t>C</w:t>
      </w:r>
      <w:r w:rsidR="00FF2DE7" w:rsidRPr="00E93481">
        <w:t xml:space="preserve">hild </w:t>
      </w:r>
      <w:r w:rsidR="00FF5C32">
        <w:t>P</w:t>
      </w:r>
      <w:r w:rsidR="00FF2DE7" w:rsidRPr="00E93481">
        <w:t xml:space="preserve">ornography, and </w:t>
      </w:r>
      <w:r w:rsidR="00FF5C32">
        <w:t>R</w:t>
      </w:r>
      <w:r w:rsidR="00FF2DE7" w:rsidRPr="00E93481">
        <w:t>eplacing Council Framework Decision 2004/68/JHA, 13 December 2011.</w:t>
      </w:r>
    </w:p>
  </w:footnote>
  <w:footnote w:id="26">
    <w:p w14:paraId="5ADD3B33" w14:textId="77777777" w:rsidR="00444721" w:rsidRPr="00E93481" w:rsidRDefault="00444721"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26. </w:t>
      </w:r>
    </w:p>
  </w:footnote>
  <w:footnote w:id="27">
    <w:p w14:paraId="44D131A1" w14:textId="78294E15" w:rsidR="002A6B65" w:rsidRPr="00E93481" w:rsidRDefault="002A6B65" w:rsidP="00A22E1F">
      <w:pPr>
        <w:pStyle w:val="NIHRCFootnotes"/>
      </w:pPr>
      <w:r w:rsidRPr="00E93481">
        <w:rPr>
          <w:rStyle w:val="FootnoteReference"/>
        </w:rPr>
        <w:footnoteRef/>
      </w:r>
      <w:r w:rsidRPr="00E93481">
        <w:t xml:space="preserve"> </w:t>
      </w:r>
      <w:r w:rsidR="009A237B">
        <w:t>Ibid</w:t>
      </w:r>
      <w:r w:rsidRPr="00E93481">
        <w:t xml:space="preserve">, at 9.  </w:t>
      </w:r>
    </w:p>
  </w:footnote>
  <w:footnote w:id="28">
    <w:p w14:paraId="2869D018" w14:textId="77777777" w:rsidR="002A6B65" w:rsidRPr="00E93481" w:rsidRDefault="002A6B65" w:rsidP="00A22E1F">
      <w:pPr>
        <w:pStyle w:val="NIHRCFootnotes"/>
      </w:pPr>
      <w:r w:rsidRPr="00E93481">
        <w:rPr>
          <w:rStyle w:val="FootnoteReference"/>
        </w:rPr>
        <w:footnoteRef/>
      </w:r>
      <w:r w:rsidRPr="00E93481">
        <w:t xml:space="preserve"> NI Human Rights Commission, ‘Submission to Consultation on Supporting Victims and Survivors’ (NIHRC, 2019).</w:t>
      </w:r>
    </w:p>
  </w:footnote>
  <w:footnote w:id="29">
    <w:p w14:paraId="2110786A" w14:textId="59BFB535" w:rsidR="000137FB" w:rsidRPr="00E93481" w:rsidRDefault="000137FB" w:rsidP="00A22E1F">
      <w:pPr>
        <w:pStyle w:val="NIHRCFootnotes"/>
      </w:pPr>
      <w:r w:rsidRPr="00E93481">
        <w:rPr>
          <w:rStyle w:val="FootnoteReference"/>
        </w:rPr>
        <w:footnoteRef/>
      </w:r>
      <w:r w:rsidRPr="00E93481">
        <w:t xml:space="preserve"> </w:t>
      </w:r>
      <w:r w:rsidR="00E01C6E" w:rsidRPr="00E93481">
        <w:t xml:space="preserve">Article 14, </w:t>
      </w:r>
      <w:r w:rsidR="000540B6" w:rsidRPr="00E93481">
        <w:t>Vienna Convention on the Law of Treaties 1969.</w:t>
      </w:r>
    </w:p>
  </w:footnote>
  <w:footnote w:id="30">
    <w:p w14:paraId="7E61040E" w14:textId="77777777" w:rsidR="002A6B65" w:rsidRPr="00E93481" w:rsidRDefault="002A6B65" w:rsidP="00A22E1F">
      <w:pPr>
        <w:pStyle w:val="NIHRCFootnotes"/>
      </w:pPr>
      <w:r w:rsidRPr="00E93481">
        <w:rPr>
          <w:rStyle w:val="FootnoteReference"/>
        </w:rPr>
        <w:footnoteRef/>
      </w:r>
      <w:r w:rsidRPr="00E93481">
        <w:t xml:space="preserve"> The Executive Office, ‘Human Rights Act Impact Assessment - Strategy for Victims and Survivors of the Troubles/Conflict’ (TEO, 2023).</w:t>
      </w:r>
    </w:p>
  </w:footnote>
  <w:footnote w:id="31">
    <w:p w14:paraId="6AE57708" w14:textId="04AF0DFA" w:rsidR="002A6B65" w:rsidRPr="00E93481" w:rsidRDefault="002A6B65" w:rsidP="00A22E1F">
      <w:pPr>
        <w:pStyle w:val="NIHRCFootnotes"/>
      </w:pPr>
      <w:r w:rsidRPr="00E93481">
        <w:rPr>
          <w:rStyle w:val="FootnoteReference"/>
        </w:rPr>
        <w:footnoteRef/>
      </w:r>
      <w:r w:rsidRPr="00E93481">
        <w:t xml:space="preserve"> </w:t>
      </w:r>
      <w:r w:rsidR="009A237B">
        <w:t>Ibid</w:t>
      </w:r>
      <w:r w:rsidRPr="00E93481">
        <w:t>, at 2.</w:t>
      </w:r>
    </w:p>
  </w:footnote>
  <w:footnote w:id="32">
    <w:p w14:paraId="7BFB05DB" w14:textId="77777777" w:rsidR="00CB0FC6" w:rsidRPr="00E93481" w:rsidRDefault="00CB0FC6" w:rsidP="00A22E1F">
      <w:pPr>
        <w:pStyle w:val="NIHRCFootnotes"/>
      </w:pPr>
      <w:r w:rsidRPr="00E93481">
        <w:rPr>
          <w:rStyle w:val="FootnoteReference"/>
        </w:rPr>
        <w:footnoteRef/>
      </w:r>
      <w:r w:rsidRPr="00E93481">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33">
    <w:p w14:paraId="681CABFA" w14:textId="77777777" w:rsidR="00CB0FC6" w:rsidRPr="00E93481" w:rsidRDefault="00CB0FC6" w:rsidP="00A22E1F">
      <w:pPr>
        <w:pStyle w:val="NIHRCFootnotes"/>
      </w:pPr>
      <w:r w:rsidRPr="00E93481">
        <w:rPr>
          <w:rStyle w:val="FootnoteReference"/>
        </w:rPr>
        <w:footnoteRef/>
      </w:r>
      <w:r w:rsidRPr="00E93481">
        <w:t xml:space="preserve"> Article 13, Windsor Framework </w:t>
      </w:r>
      <w:r w:rsidRPr="00E93481">
        <w:rPr>
          <w:rFonts w:cs="Calibri"/>
        </w:rPr>
        <w:t>to the UK-EU Withdrawal Agreement</w:t>
      </w:r>
      <w:r w:rsidRPr="00E93481">
        <w:t>.</w:t>
      </w:r>
    </w:p>
  </w:footnote>
  <w:footnote w:id="34">
    <w:p w14:paraId="2EFE74C1" w14:textId="5001681C" w:rsidR="00CB0FC6" w:rsidRPr="00E93481" w:rsidRDefault="00CB0FC6" w:rsidP="00A22E1F">
      <w:pPr>
        <w:pStyle w:val="NIHRCFootnotes"/>
      </w:pPr>
      <w:r w:rsidRPr="00E93481">
        <w:rPr>
          <w:rStyle w:val="FootnoteReference"/>
        </w:rPr>
        <w:footnoteRef/>
      </w:r>
      <w:r w:rsidRPr="00E93481">
        <w:t xml:space="preserve"> UK Government, ‘UK Government </w:t>
      </w:r>
      <w:r w:rsidR="001B42E5">
        <w:t>C</w:t>
      </w:r>
      <w:r w:rsidRPr="00E93481">
        <w:t xml:space="preserve">ommitment to </w:t>
      </w:r>
      <w:r w:rsidR="001B42E5">
        <w:t>N</w:t>
      </w:r>
      <w:r w:rsidRPr="00E93481">
        <w:t xml:space="preserve">o-diminution of </w:t>
      </w:r>
      <w:r w:rsidR="001B42E5">
        <w:t>R</w:t>
      </w:r>
      <w:r w:rsidRPr="00E93481">
        <w:t xml:space="preserve">ights, </w:t>
      </w:r>
      <w:r w:rsidR="001B42E5">
        <w:t>S</w:t>
      </w:r>
      <w:r w:rsidRPr="00E93481">
        <w:t xml:space="preserve">afeguards and </w:t>
      </w:r>
      <w:r w:rsidR="001B42E5">
        <w:t>E</w:t>
      </w:r>
      <w:r w:rsidRPr="00E93481">
        <w:t xml:space="preserve">quality of </w:t>
      </w:r>
      <w:r w:rsidR="001B42E5">
        <w:t>O</w:t>
      </w:r>
      <w:r w:rsidRPr="00E93481">
        <w:t>pportunity in Northern Ireland’ (NIO, 2020), at para 13.</w:t>
      </w:r>
    </w:p>
  </w:footnote>
  <w:footnote w:id="35">
    <w:p w14:paraId="72D1EF45" w14:textId="00CE9404" w:rsidR="00CB0FC6" w:rsidRPr="00E93481" w:rsidRDefault="00CB0FC6" w:rsidP="00A22E1F">
      <w:pPr>
        <w:pStyle w:val="NIHRCFootnotes"/>
      </w:pPr>
      <w:r w:rsidRPr="00E93481">
        <w:rPr>
          <w:rStyle w:val="FootnoteReference"/>
        </w:rPr>
        <w:footnoteRef/>
      </w:r>
      <w:r w:rsidRPr="00E93481">
        <w:t xml:space="preserve"> Belfast (Good Friday) Agreement, 10 April 1998, Part 6 on Rights, Safeguards and Equality of Opportunity.</w:t>
      </w:r>
      <w:r w:rsidR="00727550" w:rsidRPr="00E93481">
        <w:t xml:space="preserve"> See also UK Government, ‘UK Government commitment to no-diminution of rights, safeguards and equality of opportunity in Northern Ireland’, (NIO, 2020); </w:t>
      </w:r>
      <w:r w:rsidR="00727550" w:rsidRPr="00E93481">
        <w:rPr>
          <w:i/>
          <w:iCs/>
        </w:rPr>
        <w:t>In the matter of an application by Martina Dillon and others for Judicial Review</w:t>
      </w:r>
      <w:r w:rsidR="00727550" w:rsidRPr="00E93481">
        <w:t xml:space="preserve"> [2024] NIKB 11, at para 540</w:t>
      </w:r>
      <w:r w:rsidR="00727550" w:rsidRPr="00E93481">
        <w:rPr>
          <w:rStyle w:val="Hyperlink"/>
          <w:color w:val="77328A"/>
        </w:rPr>
        <w:t>.</w:t>
      </w:r>
    </w:p>
  </w:footnote>
  <w:footnote w:id="36">
    <w:p w14:paraId="5CF1BFC3" w14:textId="212C21D0" w:rsidR="00CB0FC6" w:rsidRPr="00E93481" w:rsidRDefault="00CB0FC6" w:rsidP="00A22E1F">
      <w:pPr>
        <w:pStyle w:val="NIHRCFootnotes"/>
      </w:pPr>
      <w:r w:rsidRPr="00E93481">
        <w:rPr>
          <w:rStyle w:val="FootnoteReference"/>
        </w:rPr>
        <w:footnoteRef/>
      </w:r>
      <w:r w:rsidRPr="00E93481">
        <w:t xml:space="preserve"> </w:t>
      </w:r>
      <w:r w:rsidR="00921EF1" w:rsidRPr="00E93481">
        <w:t xml:space="preserve">Belfast (Good Friday) Agreement, 10 April 1998, Part 6 on Rights, Safeguards and Equality of Opportunity. </w:t>
      </w:r>
    </w:p>
  </w:footnote>
  <w:footnote w:id="37">
    <w:p w14:paraId="42A16963" w14:textId="114FEE3E" w:rsidR="00216D50" w:rsidRPr="00E93481" w:rsidRDefault="00216D50" w:rsidP="00A22E1F">
      <w:pPr>
        <w:pStyle w:val="NIHRCFootnotes"/>
      </w:pPr>
      <w:r w:rsidRPr="00E93481">
        <w:rPr>
          <w:rStyle w:val="FootnoteReference"/>
        </w:rPr>
        <w:footnoteRef/>
      </w:r>
      <w:r w:rsidRPr="00E93481">
        <w:t xml:space="preserve"> </w:t>
      </w:r>
      <w:r w:rsidRPr="00E93481">
        <w:rPr>
          <w:i/>
          <w:iCs/>
        </w:rPr>
        <w:t xml:space="preserve">In the </w:t>
      </w:r>
      <w:r w:rsidR="001B42E5">
        <w:rPr>
          <w:i/>
          <w:iCs/>
        </w:rPr>
        <w:t>M</w:t>
      </w:r>
      <w:r w:rsidRPr="00E93481">
        <w:rPr>
          <w:i/>
          <w:iCs/>
        </w:rPr>
        <w:t xml:space="preserve">atter of an </w:t>
      </w:r>
      <w:r w:rsidR="001B42E5">
        <w:rPr>
          <w:i/>
          <w:iCs/>
        </w:rPr>
        <w:t>A</w:t>
      </w:r>
      <w:r w:rsidRPr="00E93481">
        <w:rPr>
          <w:i/>
          <w:iCs/>
        </w:rPr>
        <w:t xml:space="preserve">pplication by Martina Dillon and </w:t>
      </w:r>
      <w:r w:rsidR="001B42E5">
        <w:rPr>
          <w:i/>
          <w:iCs/>
        </w:rPr>
        <w:t>O</w:t>
      </w:r>
      <w:r w:rsidRPr="00E93481">
        <w:rPr>
          <w:i/>
          <w:iCs/>
        </w:rPr>
        <w:t>thers for Judicial Review</w:t>
      </w:r>
      <w:r w:rsidRPr="00E93481">
        <w:t xml:space="preserve"> [2024] NIKB 11, at para 547</w:t>
      </w:r>
      <w:r w:rsidRPr="00E93481">
        <w:rPr>
          <w:rStyle w:val="Hyperlink"/>
          <w:color w:val="77328A"/>
        </w:rPr>
        <w:t xml:space="preserve">. </w:t>
      </w:r>
    </w:p>
  </w:footnote>
  <w:footnote w:id="38">
    <w:p w14:paraId="41568BB5" w14:textId="37578074" w:rsidR="00CB0FC6" w:rsidRPr="00E93481" w:rsidRDefault="00CB0FC6" w:rsidP="00A22E1F">
      <w:pPr>
        <w:pStyle w:val="NIHRCFootnotes"/>
      </w:pPr>
      <w:r w:rsidRPr="00E93481">
        <w:rPr>
          <w:rStyle w:val="FootnoteReference"/>
        </w:rPr>
        <w:footnoteRef/>
      </w:r>
      <w:r w:rsidRPr="00E93481">
        <w:t xml:space="preserve"> </w:t>
      </w:r>
      <w:r w:rsidR="009A237B" w:rsidRPr="009A237B">
        <w:t>Ibid</w:t>
      </w:r>
      <w:r w:rsidR="00A3577F" w:rsidRPr="009A237B">
        <w:t>,</w:t>
      </w:r>
      <w:r w:rsidR="00A3577F" w:rsidRPr="00E93481">
        <w:t xml:space="preserve"> </w:t>
      </w:r>
      <w:r w:rsidRPr="00E93481">
        <w:t>at para 554</w:t>
      </w:r>
      <w:r w:rsidR="00A3577F" w:rsidRPr="00E93481">
        <w:t xml:space="preserve">. </w:t>
      </w:r>
    </w:p>
  </w:footnote>
  <w:footnote w:id="39">
    <w:p w14:paraId="303A7FDD" w14:textId="73601471" w:rsidR="00CB0FC6" w:rsidRPr="00E93481" w:rsidRDefault="00CB0FC6" w:rsidP="00A22E1F">
      <w:pPr>
        <w:pStyle w:val="NIHRCFootnotes"/>
      </w:pPr>
      <w:r w:rsidRPr="00E93481">
        <w:rPr>
          <w:rStyle w:val="FootnoteReference"/>
        </w:rPr>
        <w:footnoteRef/>
      </w:r>
      <w:r w:rsidRPr="00E93481">
        <w:t xml:space="preserve"> NI Human Rights Commission and Equality Commission for NI, ‘Working Paper: The Scope of Article 2(1) of the Ireland/ Northern Ireland Protocol’, (NIHRC and ECNI, 2022).</w:t>
      </w:r>
    </w:p>
  </w:footnote>
  <w:footnote w:id="40">
    <w:p w14:paraId="4F480458" w14:textId="24C34D4D" w:rsidR="00CB0FC6" w:rsidRPr="00E93481" w:rsidRDefault="00CB0FC6" w:rsidP="00A22E1F">
      <w:pPr>
        <w:pStyle w:val="NIHRCFootnotes"/>
      </w:pPr>
      <w:r w:rsidRPr="00E93481">
        <w:rPr>
          <w:rStyle w:val="FootnoteReference"/>
        </w:rPr>
        <w:footnoteRef/>
      </w:r>
      <w:r w:rsidRPr="00E93481">
        <w:t xml:space="preserve"> </w:t>
      </w:r>
      <w:r w:rsidR="00216D50" w:rsidRPr="00E93481">
        <w:rPr>
          <w:i/>
          <w:iCs/>
        </w:rPr>
        <w:t xml:space="preserve">In the </w:t>
      </w:r>
      <w:r w:rsidR="005A62DA">
        <w:rPr>
          <w:i/>
          <w:iCs/>
        </w:rPr>
        <w:t>M</w:t>
      </w:r>
      <w:r w:rsidR="00216D50" w:rsidRPr="00E93481">
        <w:rPr>
          <w:i/>
          <w:iCs/>
        </w:rPr>
        <w:t xml:space="preserve">atter of an </w:t>
      </w:r>
      <w:r w:rsidR="005A62DA">
        <w:rPr>
          <w:i/>
          <w:iCs/>
        </w:rPr>
        <w:t>A</w:t>
      </w:r>
      <w:r w:rsidR="00216D50" w:rsidRPr="00E93481">
        <w:rPr>
          <w:i/>
          <w:iCs/>
        </w:rPr>
        <w:t xml:space="preserve">pplication by Martina Dillon and </w:t>
      </w:r>
      <w:r w:rsidR="005A62DA">
        <w:rPr>
          <w:i/>
          <w:iCs/>
        </w:rPr>
        <w:t>O</w:t>
      </w:r>
      <w:r w:rsidR="00216D50" w:rsidRPr="00E93481">
        <w:rPr>
          <w:i/>
          <w:iCs/>
        </w:rPr>
        <w:t xml:space="preserve">thers for Judicial Review </w:t>
      </w:r>
      <w:r w:rsidR="00216D50" w:rsidRPr="00E93481">
        <w:t>[2024] NIKB 11</w:t>
      </w:r>
      <w:r w:rsidRPr="00E93481">
        <w:t>, at para 561</w:t>
      </w:r>
      <w:r w:rsidR="00216D50" w:rsidRPr="00E93481">
        <w:t>.</w:t>
      </w:r>
    </w:p>
  </w:footnote>
  <w:footnote w:id="41">
    <w:p w14:paraId="4DB15F23" w14:textId="7F76DF89" w:rsidR="00216D50" w:rsidRPr="00E93481" w:rsidRDefault="00216D50" w:rsidP="00A22E1F">
      <w:pPr>
        <w:pStyle w:val="NIHRCFootnotes"/>
      </w:pPr>
      <w:r w:rsidRPr="00E93481">
        <w:rPr>
          <w:rStyle w:val="FootnoteReference"/>
        </w:rPr>
        <w:footnoteRef/>
      </w:r>
      <w:r w:rsidRPr="00E93481">
        <w:t xml:space="preserve"> </w:t>
      </w:r>
      <w:r w:rsidR="009A237B" w:rsidRPr="009A237B">
        <w:t>Ibid</w:t>
      </w:r>
      <w:r w:rsidR="005A62DA" w:rsidRPr="009A237B">
        <w:t>,</w:t>
      </w:r>
      <w:r w:rsidR="005A62DA" w:rsidRPr="00E93481">
        <w:t xml:space="preserve"> at para 561</w:t>
      </w:r>
      <w:r w:rsidR="005A62DA">
        <w:t>.</w:t>
      </w:r>
    </w:p>
  </w:footnote>
  <w:footnote w:id="42">
    <w:p w14:paraId="539BC9F0" w14:textId="32B0D83B" w:rsidR="00FD7B01" w:rsidRPr="00E93481" w:rsidRDefault="00FD7B01" w:rsidP="00A22E1F">
      <w:pPr>
        <w:pStyle w:val="NIHRCFootnotes"/>
      </w:pPr>
      <w:r w:rsidRPr="00E93481">
        <w:rPr>
          <w:rStyle w:val="FootnoteReference"/>
        </w:rPr>
        <w:footnoteRef/>
      </w:r>
      <w:r w:rsidRPr="00E93481">
        <w:t xml:space="preserve"> Directive 2012/29/EU, ‘Directive of the European Parliament and of the Council </w:t>
      </w:r>
      <w:r w:rsidR="007B30C7">
        <w:t>E</w:t>
      </w:r>
      <w:r w:rsidRPr="00E93481">
        <w:t xml:space="preserve">stablishing </w:t>
      </w:r>
      <w:r w:rsidR="007B30C7">
        <w:t>M</w:t>
      </w:r>
      <w:r w:rsidRPr="00E93481">
        <w:t xml:space="preserve">inimum </w:t>
      </w:r>
      <w:r w:rsidR="007B30C7">
        <w:t>S</w:t>
      </w:r>
      <w:r w:rsidRPr="00E93481">
        <w:t xml:space="preserve">tandards on the </w:t>
      </w:r>
      <w:r w:rsidR="007B30C7">
        <w:t>Ri</w:t>
      </w:r>
      <w:r w:rsidRPr="00E93481">
        <w:t xml:space="preserve">ghts, </w:t>
      </w:r>
      <w:r w:rsidR="007B30C7">
        <w:t>S</w:t>
      </w:r>
      <w:r w:rsidRPr="00E93481">
        <w:t xml:space="preserve">upport and </w:t>
      </w:r>
      <w:r w:rsidR="007B30C7">
        <w:t>P</w:t>
      </w:r>
      <w:r w:rsidRPr="00E93481">
        <w:t xml:space="preserve">rotection of </w:t>
      </w:r>
      <w:r w:rsidR="007B30C7">
        <w:t>V</w:t>
      </w:r>
      <w:r w:rsidRPr="00E93481">
        <w:t xml:space="preserve">ictims of </w:t>
      </w:r>
      <w:r w:rsidR="007B30C7">
        <w:t>C</w:t>
      </w:r>
      <w:r w:rsidRPr="00E93481">
        <w:t>rime’, 25 October 2012.</w:t>
      </w:r>
    </w:p>
  </w:footnote>
  <w:footnote w:id="43">
    <w:p w14:paraId="2DF871F8" w14:textId="4D7D58CA" w:rsidR="00FD7B01" w:rsidRPr="00E93481" w:rsidRDefault="00FD7B01" w:rsidP="00A22E1F">
      <w:pPr>
        <w:pStyle w:val="NIHRCFootnotes"/>
      </w:pPr>
      <w:r w:rsidRPr="00E93481">
        <w:rPr>
          <w:rStyle w:val="FootnoteReference"/>
        </w:rPr>
        <w:footnoteRef/>
      </w:r>
      <w:r w:rsidRPr="00E93481">
        <w:t xml:space="preserve"> Directive 2011/36/EU, ‘EU Council Directive on </w:t>
      </w:r>
      <w:r w:rsidR="007B30C7">
        <w:t>P</w:t>
      </w:r>
      <w:r w:rsidRPr="00E93481">
        <w:t xml:space="preserve">reventing and </w:t>
      </w:r>
      <w:r w:rsidR="007B30C7">
        <w:t>C</w:t>
      </w:r>
      <w:r w:rsidRPr="00E93481">
        <w:t xml:space="preserve">ombating </w:t>
      </w:r>
      <w:r w:rsidR="007B30C7">
        <w:t>T</w:t>
      </w:r>
      <w:r w:rsidRPr="00E93481">
        <w:t xml:space="preserve">rafficking in </w:t>
      </w:r>
      <w:r w:rsidR="007B30C7">
        <w:t>H</w:t>
      </w:r>
      <w:r w:rsidRPr="00E93481">
        <w:t xml:space="preserve">uman </w:t>
      </w:r>
      <w:r w:rsidR="007B30C7">
        <w:t>B</w:t>
      </w:r>
      <w:r w:rsidRPr="00E93481">
        <w:t xml:space="preserve">eings and </w:t>
      </w:r>
      <w:r w:rsidR="007B30C7">
        <w:t>P</w:t>
      </w:r>
      <w:r w:rsidRPr="00E93481">
        <w:t xml:space="preserve">rotecting </w:t>
      </w:r>
      <w:r w:rsidR="007B30C7">
        <w:t>I</w:t>
      </w:r>
      <w:r w:rsidRPr="00E93481">
        <w:t xml:space="preserve">ts </w:t>
      </w:r>
      <w:r w:rsidR="007B30C7">
        <w:t>V</w:t>
      </w:r>
      <w:r w:rsidRPr="00E93481">
        <w:t>ictims’, 5 April 2011.</w:t>
      </w:r>
    </w:p>
  </w:footnote>
  <w:footnote w:id="44">
    <w:p w14:paraId="106D167C" w14:textId="71D6F333" w:rsidR="00FD7B01" w:rsidRPr="00E93481" w:rsidRDefault="00FD7B01" w:rsidP="00A22E1F">
      <w:pPr>
        <w:pStyle w:val="NIHRCFootnotes"/>
      </w:pPr>
      <w:r w:rsidRPr="00E93481">
        <w:rPr>
          <w:rStyle w:val="FootnoteReference"/>
        </w:rPr>
        <w:footnoteRef/>
      </w:r>
      <w:r w:rsidRPr="00E93481">
        <w:t xml:space="preserve"> Directive 2011/92/EU, ‘Directive of the European Parliament and of the Council on </w:t>
      </w:r>
      <w:r w:rsidR="007B30C7">
        <w:t>C</w:t>
      </w:r>
      <w:r w:rsidRPr="00E93481">
        <w:t xml:space="preserve">ombatting the </w:t>
      </w:r>
      <w:r w:rsidR="007B30C7">
        <w:t>S</w:t>
      </w:r>
      <w:r w:rsidRPr="00E93481">
        <w:t xml:space="preserve">exual </w:t>
      </w:r>
      <w:r w:rsidR="007B30C7">
        <w:t>A</w:t>
      </w:r>
      <w:r w:rsidRPr="00E93481">
        <w:t xml:space="preserve">buse and </w:t>
      </w:r>
      <w:r w:rsidR="007B30C7">
        <w:t>S</w:t>
      </w:r>
      <w:r w:rsidRPr="00E93481">
        <w:t xml:space="preserve">exual </w:t>
      </w:r>
      <w:r w:rsidR="007B30C7">
        <w:t>E</w:t>
      </w:r>
      <w:r w:rsidRPr="00E93481">
        <w:t xml:space="preserve">xploitation of </w:t>
      </w:r>
      <w:r w:rsidR="007B30C7">
        <w:t>C</w:t>
      </w:r>
      <w:r w:rsidRPr="00E93481">
        <w:t xml:space="preserve">hildren and </w:t>
      </w:r>
      <w:r w:rsidR="007B30C7">
        <w:t>C</w:t>
      </w:r>
      <w:r w:rsidRPr="00E93481">
        <w:t xml:space="preserve">hild </w:t>
      </w:r>
      <w:r w:rsidR="007B30C7">
        <w:t>P</w:t>
      </w:r>
      <w:r w:rsidRPr="00E93481">
        <w:t xml:space="preserve">ornography, and </w:t>
      </w:r>
      <w:r w:rsidR="007B30C7">
        <w:t>R</w:t>
      </w:r>
      <w:r w:rsidRPr="00E93481">
        <w:t>eplacing Council Framework Decision 2004/68/JHA, 13 December 2011.</w:t>
      </w:r>
    </w:p>
  </w:footnote>
  <w:footnote w:id="45">
    <w:p w14:paraId="2E1B64E6" w14:textId="79520231" w:rsidR="00FD7B01" w:rsidRPr="00E93481" w:rsidRDefault="00FD7B01" w:rsidP="00A22E1F">
      <w:pPr>
        <w:pStyle w:val="NIHRCFootnotes"/>
      </w:pPr>
      <w:r w:rsidRPr="00E93481">
        <w:rPr>
          <w:rStyle w:val="FootnoteReference"/>
        </w:rPr>
        <w:footnoteRef/>
      </w:r>
      <w:r w:rsidRPr="00E93481">
        <w:t xml:space="preserve"> </w:t>
      </w:r>
      <w:r w:rsidRPr="00E93481">
        <w:rPr>
          <w:i/>
          <w:iCs/>
        </w:rPr>
        <w:t xml:space="preserve">In the </w:t>
      </w:r>
      <w:r w:rsidR="005A62DA">
        <w:rPr>
          <w:i/>
          <w:iCs/>
        </w:rPr>
        <w:t>M</w:t>
      </w:r>
      <w:r w:rsidRPr="00E93481">
        <w:rPr>
          <w:i/>
          <w:iCs/>
        </w:rPr>
        <w:t xml:space="preserve">atter of an </w:t>
      </w:r>
      <w:r w:rsidR="005A62DA">
        <w:rPr>
          <w:i/>
          <w:iCs/>
        </w:rPr>
        <w:t>A</w:t>
      </w:r>
      <w:r w:rsidRPr="00E93481">
        <w:rPr>
          <w:i/>
          <w:iCs/>
        </w:rPr>
        <w:t xml:space="preserve">pplication by Aman </w:t>
      </w:r>
      <w:proofErr w:type="spellStart"/>
      <w:r w:rsidRPr="00E93481">
        <w:rPr>
          <w:i/>
          <w:iCs/>
        </w:rPr>
        <w:t>Angesom</w:t>
      </w:r>
      <w:proofErr w:type="spellEnd"/>
      <w:r w:rsidRPr="00E93481">
        <w:rPr>
          <w:i/>
          <w:iCs/>
        </w:rPr>
        <w:t xml:space="preserve"> for Judicial Review </w:t>
      </w:r>
      <w:r w:rsidRPr="00E93481">
        <w:t>[2023] NIKB 102</w:t>
      </w:r>
      <w:r w:rsidR="005A62DA">
        <w:t>,</w:t>
      </w:r>
      <w:r w:rsidRPr="00E93481">
        <w:t xml:space="preserve"> at para 94. </w:t>
      </w:r>
    </w:p>
  </w:footnote>
  <w:footnote w:id="46">
    <w:p w14:paraId="4738AF08" w14:textId="732DE1CA" w:rsidR="00FE54B9" w:rsidRPr="00E93481" w:rsidRDefault="00FE54B9" w:rsidP="00A22E1F">
      <w:pPr>
        <w:pStyle w:val="NIHRCFootnotes"/>
      </w:pPr>
      <w:r w:rsidRPr="00E93481">
        <w:rPr>
          <w:rStyle w:val="FootnoteReference"/>
        </w:rPr>
        <w:footnoteRef/>
      </w:r>
      <w:r w:rsidRPr="00E93481">
        <w:t xml:space="preserve"> The Executive Office, ‘Human Rights Act Impact Assessment - Strategy for Victims and Survivors of the Troubles/Conflict’ (TEO, 2023), at</w:t>
      </w:r>
      <w:r w:rsidR="00A560AD" w:rsidRPr="00E93481">
        <w:t xml:space="preserve"> 17.</w:t>
      </w:r>
    </w:p>
  </w:footnote>
  <w:footnote w:id="47">
    <w:p w14:paraId="3CB39BD2" w14:textId="2ABC5D44" w:rsidR="00D17B66" w:rsidRPr="00E93481" w:rsidRDefault="00D17B66" w:rsidP="00A22E1F">
      <w:pPr>
        <w:pStyle w:val="NIHRCFootnotes"/>
      </w:pPr>
      <w:r w:rsidRPr="00E93481">
        <w:rPr>
          <w:rStyle w:val="FootnoteReference"/>
        </w:rPr>
        <w:footnoteRef/>
      </w:r>
      <w:r w:rsidRPr="00E93481">
        <w:t xml:space="preserve"> Article 26 and Recital 62, Directive 2012/29/EU, ‘Directive of the European Parliament and of the Council </w:t>
      </w:r>
      <w:r w:rsidR="007B30C7">
        <w:t>E</w:t>
      </w:r>
      <w:r w:rsidRPr="00E93481">
        <w:t xml:space="preserve">stablishing </w:t>
      </w:r>
      <w:r w:rsidR="007B30C7">
        <w:t>M</w:t>
      </w:r>
      <w:r w:rsidRPr="00E93481">
        <w:t xml:space="preserve">inimum </w:t>
      </w:r>
      <w:r w:rsidR="007B30C7">
        <w:t>S</w:t>
      </w:r>
      <w:r w:rsidRPr="00E93481">
        <w:t xml:space="preserve">tandards on the </w:t>
      </w:r>
      <w:r w:rsidR="007B30C7">
        <w:t>R</w:t>
      </w:r>
      <w:r w:rsidRPr="00E93481">
        <w:t xml:space="preserve">ights, </w:t>
      </w:r>
      <w:r w:rsidR="007B30C7">
        <w:t>S</w:t>
      </w:r>
      <w:r w:rsidRPr="00E93481">
        <w:t xml:space="preserve">upport and </w:t>
      </w:r>
      <w:r w:rsidR="007B30C7">
        <w:t>P</w:t>
      </w:r>
      <w:r w:rsidRPr="00E93481">
        <w:t xml:space="preserve">rotection of </w:t>
      </w:r>
      <w:r w:rsidR="007B30C7">
        <w:t>V</w:t>
      </w:r>
      <w:r w:rsidRPr="00E93481">
        <w:t xml:space="preserve">ictims of </w:t>
      </w:r>
      <w:r w:rsidR="007B30C7">
        <w:t>C</w:t>
      </w:r>
      <w:r w:rsidRPr="00E93481">
        <w:t>rime’, 25 October 2012.</w:t>
      </w:r>
    </w:p>
  </w:footnote>
  <w:footnote w:id="48">
    <w:p w14:paraId="05D6E620" w14:textId="6ACCED06" w:rsidR="0094546F" w:rsidRPr="00E93481" w:rsidRDefault="0094546F" w:rsidP="00A22E1F">
      <w:pPr>
        <w:pStyle w:val="NIHRCFootnotes"/>
      </w:pPr>
      <w:r w:rsidRPr="00E93481">
        <w:rPr>
          <w:rStyle w:val="FootnoteReference"/>
        </w:rPr>
        <w:footnoteRef/>
      </w:r>
      <w:r w:rsidRPr="00E93481">
        <w:t xml:space="preserve"> </w:t>
      </w:r>
      <w:r w:rsidR="00835BF1" w:rsidRPr="00E93481">
        <w:t xml:space="preserve">European Network of National Human Rights Institutions, ‘Human Rights-Based Approach’. Available: </w:t>
      </w:r>
      <w:hyperlink r:id="rId1" w:history="1">
        <w:r w:rsidR="00EE75FA" w:rsidRPr="00E93481">
          <w:rPr>
            <w:rStyle w:val="Hyperlink"/>
            <w:color w:val="77328A"/>
          </w:rPr>
          <w:t>Human Rights-Based Approach - ENNHRI</w:t>
        </w:r>
      </w:hyperlink>
      <w:r w:rsidR="00EE75FA" w:rsidRPr="00E93481">
        <w:t>.</w:t>
      </w:r>
    </w:p>
  </w:footnote>
  <w:footnote w:id="49">
    <w:p w14:paraId="099C8B59" w14:textId="77777777" w:rsidR="004E23DB" w:rsidRPr="00E93481" w:rsidRDefault="004E23DB"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26. </w:t>
      </w:r>
    </w:p>
  </w:footnote>
  <w:footnote w:id="50">
    <w:p w14:paraId="770488FA" w14:textId="0607F494" w:rsidR="00D17B66" w:rsidRPr="00E93481" w:rsidRDefault="00D17B66" w:rsidP="00A22E1F">
      <w:pPr>
        <w:pStyle w:val="NIHRCFootnotes"/>
      </w:pPr>
      <w:r w:rsidRPr="00E93481">
        <w:rPr>
          <w:rStyle w:val="FootnoteReference"/>
        </w:rPr>
        <w:footnoteRef/>
      </w:r>
      <w:r w:rsidRPr="00E93481">
        <w:t xml:space="preserve"> Article 26 and Recital 62, Directive 2012/29/EU, ‘Directive of the European Parliament and of the Council </w:t>
      </w:r>
      <w:r w:rsidR="007B30C7">
        <w:t>E</w:t>
      </w:r>
      <w:r w:rsidRPr="00E93481">
        <w:t xml:space="preserve">stablishing </w:t>
      </w:r>
      <w:r w:rsidR="007B30C7">
        <w:t>M</w:t>
      </w:r>
      <w:r w:rsidRPr="00E93481">
        <w:t xml:space="preserve">inimum </w:t>
      </w:r>
      <w:r w:rsidR="007B30C7">
        <w:t>S</w:t>
      </w:r>
      <w:r w:rsidRPr="00E93481">
        <w:t xml:space="preserve">tandards on the </w:t>
      </w:r>
      <w:r w:rsidR="007B30C7">
        <w:t>R</w:t>
      </w:r>
      <w:r w:rsidRPr="00E93481">
        <w:t xml:space="preserve">ights, </w:t>
      </w:r>
      <w:r w:rsidR="007B30C7">
        <w:t>S</w:t>
      </w:r>
      <w:r w:rsidRPr="00E93481">
        <w:t xml:space="preserve">upport and </w:t>
      </w:r>
      <w:r w:rsidR="007B30C7">
        <w:t>P</w:t>
      </w:r>
      <w:r w:rsidRPr="00E93481">
        <w:t xml:space="preserve">rotection of </w:t>
      </w:r>
      <w:r w:rsidR="007B30C7">
        <w:t>V</w:t>
      </w:r>
      <w:r w:rsidRPr="00E93481">
        <w:t xml:space="preserve">ictims of </w:t>
      </w:r>
      <w:r w:rsidR="007B30C7">
        <w:t>C</w:t>
      </w:r>
      <w:r w:rsidRPr="00E93481">
        <w:t>rime’, 25 October 2012.</w:t>
      </w:r>
    </w:p>
  </w:footnote>
  <w:footnote w:id="51">
    <w:p w14:paraId="2773A03C" w14:textId="202DDDBC" w:rsidR="00E56E8B" w:rsidRPr="00E93481" w:rsidRDefault="00E56E8B"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2</w:t>
      </w:r>
      <w:r w:rsidR="005E3942" w:rsidRPr="00E93481">
        <w:t>8.</w:t>
      </w:r>
    </w:p>
  </w:footnote>
  <w:footnote w:id="52">
    <w:p w14:paraId="4E32C613" w14:textId="77777777" w:rsidR="00D17B66" w:rsidRPr="00E93481" w:rsidRDefault="00D17B66" w:rsidP="00A22E1F">
      <w:pPr>
        <w:pStyle w:val="NIHRCFootnotes"/>
      </w:pPr>
      <w:r w:rsidRPr="00E93481">
        <w:rPr>
          <w:rStyle w:val="FootnoteReference"/>
        </w:rPr>
        <w:footnoteRef/>
      </w:r>
      <w:r w:rsidRPr="00E93481">
        <w:t xml:space="preserve"> Article 1, Directive 2012/29/EU, ‘Directive of the European Parliament and of the Council establishing minimum standards on the rights, support and protection of victims of crime’, 25 October 2012.</w:t>
      </w:r>
    </w:p>
  </w:footnote>
  <w:footnote w:id="53">
    <w:p w14:paraId="4C3943A3" w14:textId="77777777" w:rsidR="00D17B66" w:rsidRPr="00E93481" w:rsidRDefault="00D17B66" w:rsidP="00A22E1F">
      <w:pPr>
        <w:pStyle w:val="NIHRCFootnotes"/>
      </w:pPr>
      <w:r w:rsidRPr="00E93481">
        <w:rPr>
          <w:rStyle w:val="FootnoteReference"/>
        </w:rPr>
        <w:footnoteRef/>
      </w:r>
      <w:r w:rsidRPr="00E93481">
        <w:t xml:space="preserve"> Recital 9, Directive 2012/29/EU, ‘Directive of the European Parliament and of the Council establishing minimum standards on the rights, support and protection of victims of crime’, 25 October 2012.</w:t>
      </w:r>
    </w:p>
  </w:footnote>
  <w:footnote w:id="54">
    <w:p w14:paraId="51502EBC" w14:textId="10E3D50C" w:rsidR="00816E1A" w:rsidRPr="00E93481" w:rsidRDefault="00816E1A" w:rsidP="00A22E1F">
      <w:pPr>
        <w:pStyle w:val="NIHRCFootnotes"/>
      </w:pPr>
      <w:r w:rsidRPr="00E93481">
        <w:rPr>
          <w:rStyle w:val="FootnoteReference"/>
        </w:rPr>
        <w:footnoteRef/>
      </w:r>
      <w:r w:rsidRPr="00E93481">
        <w:t xml:space="preserve"> </w:t>
      </w:r>
      <w:r w:rsidR="0007242A" w:rsidRPr="00E93481">
        <w:t>The Executive Office, ‘Public Consultation: Strategy for Victims and Survivors of the Troubles/Conflict’ (TEO, 2023), at 24.</w:t>
      </w:r>
    </w:p>
  </w:footnote>
  <w:footnote w:id="55">
    <w:p w14:paraId="2FEB8E47" w14:textId="18878D94" w:rsidR="00816E1A" w:rsidRPr="00E93481" w:rsidRDefault="00816E1A" w:rsidP="00A22E1F">
      <w:pPr>
        <w:pStyle w:val="NIHRCFootnotes"/>
      </w:pPr>
      <w:r w:rsidRPr="00E93481">
        <w:rPr>
          <w:rStyle w:val="FootnoteReference"/>
        </w:rPr>
        <w:footnoteRef/>
      </w:r>
      <w:r w:rsidRPr="00E93481">
        <w:t xml:space="preserve"> </w:t>
      </w:r>
      <w:r w:rsidRPr="00E93481">
        <w:rPr>
          <w:rFonts w:cs="Open Sans"/>
          <w:shd w:val="clear" w:color="auto" w:fill="FFFFFF"/>
        </w:rPr>
        <w:t>CM/</w:t>
      </w:r>
      <w:proofErr w:type="gramStart"/>
      <w:r w:rsidRPr="00E93481">
        <w:rPr>
          <w:rFonts w:cs="Open Sans"/>
          <w:shd w:val="clear" w:color="auto" w:fill="FFFFFF"/>
        </w:rPr>
        <w:t>Rec(</w:t>
      </w:r>
      <w:proofErr w:type="gramEnd"/>
      <w:r w:rsidRPr="00E93481">
        <w:rPr>
          <w:rFonts w:cs="Open Sans"/>
          <w:shd w:val="clear" w:color="auto" w:fill="FFFFFF"/>
        </w:rPr>
        <w:t>2023)2, ‘</w:t>
      </w:r>
      <w:proofErr w:type="spellStart"/>
      <w:r w:rsidRPr="00E93481">
        <w:rPr>
          <w:rFonts w:cs="Open Sans"/>
          <w:shd w:val="clear" w:color="auto" w:fill="FFFFFF"/>
        </w:rPr>
        <w:t>CoE</w:t>
      </w:r>
      <w:proofErr w:type="spellEnd"/>
      <w:r w:rsidRPr="00E93481">
        <w:rPr>
          <w:rFonts w:cs="Open Sans"/>
          <w:shd w:val="clear" w:color="auto" w:fill="FFFFFF"/>
        </w:rPr>
        <w:t xml:space="preserve"> Committee of Ministers to Member States on Rights, Services and Support for Victims of Crime’, 15 March 2023</w:t>
      </w:r>
      <w:r w:rsidR="000D25FA" w:rsidRPr="00E93481">
        <w:rPr>
          <w:rFonts w:cs="Open Sans"/>
          <w:shd w:val="clear" w:color="auto" w:fill="FFFFFF"/>
        </w:rPr>
        <w:t>.</w:t>
      </w:r>
    </w:p>
  </w:footnote>
  <w:footnote w:id="56">
    <w:p w14:paraId="5EC99920" w14:textId="76063B34" w:rsidR="00816E1A" w:rsidRPr="00E93481" w:rsidRDefault="00816E1A" w:rsidP="00A22E1F">
      <w:pPr>
        <w:pStyle w:val="NIHRCFootnotes"/>
      </w:pPr>
      <w:r w:rsidRPr="00E93481">
        <w:rPr>
          <w:rStyle w:val="FootnoteReference"/>
        </w:rPr>
        <w:footnoteRef/>
      </w:r>
      <w:r w:rsidRPr="00E93481">
        <w:t xml:space="preserve"> </w:t>
      </w:r>
      <w:r w:rsidR="009A237B">
        <w:rPr>
          <w:rFonts w:cs="Open Sans"/>
          <w:shd w:val="clear" w:color="auto" w:fill="FFFFFF"/>
        </w:rPr>
        <w:t>Ibid</w:t>
      </w:r>
      <w:r w:rsidRPr="00E93481">
        <w:rPr>
          <w:rFonts w:cs="Open Sans"/>
          <w:shd w:val="clear" w:color="auto" w:fill="FFFFFF"/>
        </w:rPr>
        <w:t>, at Article</w:t>
      </w:r>
      <w:r w:rsidR="000D25FA" w:rsidRPr="00E93481">
        <w:rPr>
          <w:rFonts w:cs="Open Sans"/>
          <w:shd w:val="clear" w:color="auto" w:fill="FFFFFF"/>
        </w:rPr>
        <w:t xml:space="preserve"> 25</w:t>
      </w:r>
      <w:r w:rsidR="00272CD9" w:rsidRPr="00E93481">
        <w:rPr>
          <w:rFonts w:cs="Open Sans"/>
          <w:shd w:val="clear" w:color="auto" w:fill="FFFFFF"/>
        </w:rPr>
        <w:t>(1)</w:t>
      </w:r>
      <w:r w:rsidR="000D25FA" w:rsidRPr="00E93481">
        <w:rPr>
          <w:rFonts w:cs="Open Sans"/>
          <w:shd w:val="clear" w:color="auto" w:fill="FFFFFF"/>
        </w:rPr>
        <w:t>.</w:t>
      </w:r>
    </w:p>
  </w:footnote>
  <w:footnote w:id="57">
    <w:p w14:paraId="7CA4E855" w14:textId="1AA64711" w:rsidR="00816E1A" w:rsidRPr="00E93481" w:rsidRDefault="00816E1A" w:rsidP="00A22E1F">
      <w:pPr>
        <w:pStyle w:val="NIHRCFootnotes"/>
      </w:pPr>
      <w:r w:rsidRPr="00E93481">
        <w:rPr>
          <w:rStyle w:val="FootnoteReference"/>
        </w:rPr>
        <w:footnoteRef/>
      </w:r>
      <w:r w:rsidRPr="00E93481">
        <w:t xml:space="preserve"> </w:t>
      </w:r>
      <w:r w:rsidR="009A237B">
        <w:rPr>
          <w:rFonts w:cs="Open Sans"/>
          <w:shd w:val="clear" w:color="auto" w:fill="FFFFFF"/>
        </w:rPr>
        <w:t>Ibid</w:t>
      </w:r>
      <w:r w:rsidRPr="00E93481">
        <w:rPr>
          <w:rFonts w:cs="Open Sans"/>
          <w:shd w:val="clear" w:color="auto" w:fill="FFFFFF"/>
        </w:rPr>
        <w:t xml:space="preserve">, at </w:t>
      </w:r>
      <w:r w:rsidR="000D25FA" w:rsidRPr="00E93481">
        <w:rPr>
          <w:rFonts w:cs="Open Sans"/>
          <w:shd w:val="clear" w:color="auto" w:fill="FFFFFF"/>
        </w:rPr>
        <w:t>Article 25(</w:t>
      </w:r>
      <w:r w:rsidR="006E4303" w:rsidRPr="00E93481">
        <w:rPr>
          <w:rFonts w:cs="Open Sans"/>
          <w:shd w:val="clear" w:color="auto" w:fill="FFFFFF"/>
        </w:rPr>
        <w:t>3</w:t>
      </w:r>
      <w:r w:rsidR="000D25FA" w:rsidRPr="00E93481">
        <w:rPr>
          <w:rFonts w:cs="Open Sans"/>
          <w:shd w:val="clear" w:color="auto" w:fill="FFFFFF"/>
        </w:rPr>
        <w:t>).</w:t>
      </w:r>
    </w:p>
  </w:footnote>
  <w:footnote w:id="58">
    <w:p w14:paraId="6B65E50E" w14:textId="3F5A4145" w:rsidR="00333CBA" w:rsidRPr="00E93481" w:rsidRDefault="00333CBA" w:rsidP="00A22E1F">
      <w:pPr>
        <w:pStyle w:val="NIHRCFootnotes"/>
      </w:pPr>
      <w:r w:rsidRPr="00E93481">
        <w:rPr>
          <w:rStyle w:val="FootnoteReference"/>
        </w:rPr>
        <w:footnoteRef/>
      </w:r>
      <w:r w:rsidRPr="00E93481">
        <w:t xml:space="preserve"> </w:t>
      </w:r>
      <w:r w:rsidR="00D63B86" w:rsidRPr="00E93481">
        <w:t>CAT/C/GC/3, ‘UN Committee against Torture General Comment No 3: Implementation of Article 14 of the UN CAT by State Parties’, 13 December 2012, at para 45,</w:t>
      </w:r>
    </w:p>
  </w:footnote>
  <w:footnote w:id="59">
    <w:p w14:paraId="5BD29B89" w14:textId="092E2E5B" w:rsidR="00333CBA" w:rsidRPr="00E93481" w:rsidRDefault="00333CBA" w:rsidP="00A22E1F">
      <w:pPr>
        <w:pStyle w:val="NIHRCFootnotes"/>
      </w:pPr>
      <w:r w:rsidRPr="00E93481">
        <w:rPr>
          <w:rStyle w:val="FootnoteReference"/>
        </w:rPr>
        <w:footnoteRef/>
      </w:r>
      <w:r w:rsidRPr="00E93481">
        <w:t xml:space="preserve"> </w:t>
      </w:r>
      <w:r w:rsidR="009A237B">
        <w:t>Ibid</w:t>
      </w:r>
      <w:r w:rsidR="00D63B86" w:rsidRPr="00E93481">
        <w:t xml:space="preserve">, at para </w:t>
      </w:r>
      <w:r w:rsidR="009E6531" w:rsidRPr="00E93481">
        <w:t>45; CAT/C/GC/2, ‘UN CAT Committee General Comment No 2: Implementation of Article 2 of the UN CAT by State Parties’, 24 January 2008.</w:t>
      </w:r>
    </w:p>
  </w:footnote>
  <w:footnote w:id="60">
    <w:p w14:paraId="16EE16BA" w14:textId="77777777" w:rsidR="005263CA" w:rsidRPr="00E93481" w:rsidRDefault="005263CA" w:rsidP="00A22E1F">
      <w:pPr>
        <w:pStyle w:val="NIHRCFootnotes"/>
      </w:pPr>
      <w:r w:rsidRPr="00E93481">
        <w:rPr>
          <w:rStyle w:val="FootnoteReference"/>
        </w:rPr>
        <w:footnoteRef/>
      </w:r>
      <w:r w:rsidRPr="00E93481">
        <w:t xml:space="preserve"> CAT/C/GBR/CO/6, ‘UN Committee against Torture Concluding Observations on the Sixth Periodic Report of the UK of Great Britain and NI’, 7 June 2019, at para 15.</w:t>
      </w:r>
    </w:p>
  </w:footnote>
  <w:footnote w:id="61">
    <w:p w14:paraId="043ED91C" w14:textId="1639B288" w:rsidR="00AE59CE" w:rsidRPr="00E93481" w:rsidRDefault="00AE59CE" w:rsidP="00A22E1F">
      <w:pPr>
        <w:pStyle w:val="NIHRCFootnotes"/>
      </w:pPr>
      <w:r w:rsidRPr="00E93481">
        <w:rPr>
          <w:rStyle w:val="FootnoteReference"/>
        </w:rPr>
        <w:footnoteRef/>
      </w:r>
      <w:r w:rsidRPr="00E93481">
        <w:t xml:space="preserve"> Recital 62, Directive 2012/29/EU, ‘Directive of the European Parliament and of the Council Establishing Minimum Standards on the Rights, Support and Protection of Victims of Crime’, 25 October 2012.</w:t>
      </w:r>
    </w:p>
  </w:footnote>
  <w:footnote w:id="62">
    <w:p w14:paraId="48C44F42" w14:textId="1C368108" w:rsidR="00AE59CE" w:rsidRPr="00E93481" w:rsidRDefault="00AE59CE" w:rsidP="00A22E1F">
      <w:pPr>
        <w:pStyle w:val="NIHRCFootnotes"/>
      </w:pPr>
      <w:r w:rsidRPr="00E93481">
        <w:rPr>
          <w:rStyle w:val="FootnoteReference"/>
        </w:rPr>
        <w:footnoteRef/>
      </w:r>
      <w:r w:rsidRPr="00E93481">
        <w:t xml:space="preserve"> Recital 64, Directive 2012/29/EU, ‘Directive of the European Parliament and of the Council Establishing Minimum Standards on the Rights, Support and Protection of Victims of Crime’, 25 October 2012.</w:t>
      </w:r>
    </w:p>
  </w:footnote>
  <w:footnote w:id="63">
    <w:p w14:paraId="19606669" w14:textId="63242F11" w:rsidR="00541723" w:rsidRPr="00E93481" w:rsidRDefault="00541723" w:rsidP="00A22E1F">
      <w:pPr>
        <w:pStyle w:val="NIHRCFootnotes"/>
      </w:pPr>
      <w:r w:rsidRPr="00E93481">
        <w:rPr>
          <w:rStyle w:val="FootnoteReference"/>
        </w:rPr>
        <w:footnoteRef/>
      </w:r>
      <w:r w:rsidRPr="00E93481">
        <w:t xml:space="preserve"> Article 26, Directive 2012/29/EU, ‘Directive of the European Parliament and of the Council Establishing Minimum Standards on the Rights, Support and Protection of Victims of Crime’, 25 October 2012.</w:t>
      </w:r>
    </w:p>
  </w:footnote>
  <w:footnote w:id="64">
    <w:p w14:paraId="6F844287" w14:textId="3B5F0238" w:rsidR="003F1006" w:rsidRPr="00E93481" w:rsidRDefault="003F1006" w:rsidP="00A22E1F">
      <w:pPr>
        <w:pStyle w:val="NIHRCFootnotes"/>
      </w:pPr>
      <w:r w:rsidRPr="00E93481">
        <w:rPr>
          <w:rStyle w:val="FootnoteReference"/>
        </w:rPr>
        <w:footnoteRef/>
      </w:r>
      <w:r w:rsidRPr="00E93481">
        <w:t xml:space="preserve"> </w:t>
      </w:r>
      <w:r w:rsidR="00ED6501" w:rsidRPr="00E93481">
        <w:t>The Executive Office, ‘Public Consultation: Strategy for Victims and Survivors of the Troubles/Conflict’ (TEO, 2023), at 24.</w:t>
      </w:r>
    </w:p>
  </w:footnote>
  <w:footnote w:id="65">
    <w:p w14:paraId="5929FD85" w14:textId="206239D9" w:rsidR="00600D6B" w:rsidRPr="00E93481" w:rsidRDefault="00600D6B" w:rsidP="00A22E1F">
      <w:pPr>
        <w:pStyle w:val="NIHRCFootnotes"/>
      </w:pPr>
      <w:r w:rsidRPr="00E93481">
        <w:rPr>
          <w:rStyle w:val="FootnoteReference"/>
        </w:rPr>
        <w:footnoteRef/>
      </w:r>
      <w:r w:rsidRPr="00E93481">
        <w:t xml:space="preserve"> </w:t>
      </w:r>
      <w:r w:rsidR="009A237B">
        <w:t>Ibid,</w:t>
      </w:r>
      <w:r w:rsidR="008D0FF2" w:rsidRPr="00E93481">
        <w:t xml:space="preserve"> at </w:t>
      </w:r>
      <w:r w:rsidR="00DC5772" w:rsidRPr="00E93481">
        <w:t xml:space="preserve">10 and </w:t>
      </w:r>
      <w:r w:rsidR="008F3138" w:rsidRPr="00E93481">
        <w:t>19</w:t>
      </w:r>
      <w:r w:rsidR="008D0FF2" w:rsidRPr="00E93481">
        <w:t>.</w:t>
      </w:r>
    </w:p>
  </w:footnote>
  <w:footnote w:id="66">
    <w:p w14:paraId="701C4FC8" w14:textId="040BC9C4" w:rsidR="00600D6B" w:rsidRPr="00E93481" w:rsidRDefault="00600D6B" w:rsidP="00A22E1F">
      <w:pPr>
        <w:pStyle w:val="NIHRCFootnotes"/>
      </w:pPr>
      <w:r w:rsidRPr="00E93481">
        <w:rPr>
          <w:rStyle w:val="FootnoteReference"/>
        </w:rPr>
        <w:footnoteRef/>
      </w:r>
      <w:r w:rsidRPr="00E93481">
        <w:t xml:space="preserve"> </w:t>
      </w:r>
      <w:r w:rsidR="009A237B">
        <w:t>Ibid,</w:t>
      </w:r>
      <w:r w:rsidR="008D0FF2" w:rsidRPr="00E93481">
        <w:t xml:space="preserve"> at </w:t>
      </w:r>
      <w:r w:rsidR="00FF2A43" w:rsidRPr="00E93481">
        <w:t>4.</w:t>
      </w:r>
    </w:p>
  </w:footnote>
  <w:footnote w:id="67">
    <w:p w14:paraId="701B1B28" w14:textId="51A351EA" w:rsidR="00F17FB4" w:rsidRPr="00E93481" w:rsidRDefault="00F17FB4" w:rsidP="00A22E1F">
      <w:pPr>
        <w:pStyle w:val="NIHRCFootnotes"/>
      </w:pPr>
      <w:r w:rsidRPr="00E93481">
        <w:rPr>
          <w:rStyle w:val="FootnoteReference"/>
        </w:rPr>
        <w:footnoteRef/>
      </w:r>
      <w:r w:rsidRPr="00E93481">
        <w:t xml:space="preserve"> </w:t>
      </w:r>
      <w:r w:rsidR="00690916" w:rsidRPr="00E93481">
        <w:t xml:space="preserve">A/78/181, ‘Report of the UN Special Rapporteur </w:t>
      </w:r>
      <w:r w:rsidR="00F56CEE" w:rsidRPr="00E93481">
        <w:t xml:space="preserve">on the </w:t>
      </w:r>
      <w:r w:rsidR="001215B0" w:rsidRPr="00E93481">
        <w:t>P</w:t>
      </w:r>
      <w:r w:rsidR="00F56CEE" w:rsidRPr="00E93481">
        <w:t xml:space="preserve">romotion of </w:t>
      </w:r>
      <w:r w:rsidR="001215B0" w:rsidRPr="00E93481">
        <w:t>T</w:t>
      </w:r>
      <w:r w:rsidR="00F56CEE" w:rsidRPr="00E93481">
        <w:t xml:space="preserve">ruth, </w:t>
      </w:r>
      <w:r w:rsidR="001215B0" w:rsidRPr="00E93481">
        <w:t>J</w:t>
      </w:r>
      <w:r w:rsidR="00F56CEE" w:rsidRPr="00E93481">
        <w:t xml:space="preserve">ustice, </w:t>
      </w:r>
      <w:r w:rsidR="001215B0" w:rsidRPr="00E93481">
        <w:t>R</w:t>
      </w:r>
      <w:r w:rsidR="00F56CEE" w:rsidRPr="00E93481">
        <w:t xml:space="preserve">eparation and </w:t>
      </w:r>
      <w:r w:rsidR="001215B0" w:rsidRPr="00E93481">
        <w:t>G</w:t>
      </w:r>
      <w:r w:rsidR="00F56CEE" w:rsidRPr="00E93481">
        <w:t xml:space="preserve">uarantees of </w:t>
      </w:r>
      <w:r w:rsidR="001215B0" w:rsidRPr="00E93481">
        <w:t>N</w:t>
      </w:r>
      <w:r w:rsidR="00F56CEE" w:rsidRPr="00E93481">
        <w:t xml:space="preserve">on-recurrence, Fabián </w:t>
      </w:r>
      <w:proofErr w:type="spellStart"/>
      <w:r w:rsidR="00F56CEE" w:rsidRPr="00E93481">
        <w:t>Salvioli</w:t>
      </w:r>
      <w:proofErr w:type="spellEnd"/>
      <w:r w:rsidR="00F56CEE" w:rsidRPr="00E93481">
        <w:t>’, 14 July 2023.</w:t>
      </w:r>
    </w:p>
  </w:footnote>
  <w:footnote w:id="68">
    <w:p w14:paraId="75F31C92" w14:textId="66988C56" w:rsidR="00F17FB4" w:rsidRPr="00E93481" w:rsidRDefault="00F17FB4" w:rsidP="00A22E1F">
      <w:pPr>
        <w:pStyle w:val="NIHRCFootnotes"/>
      </w:pPr>
      <w:r w:rsidRPr="00E93481">
        <w:rPr>
          <w:rStyle w:val="FootnoteReference"/>
        </w:rPr>
        <w:footnoteRef/>
      </w:r>
      <w:r w:rsidRPr="00E93481">
        <w:t xml:space="preserve"> </w:t>
      </w:r>
      <w:r w:rsidR="009A237B">
        <w:t>Ibid</w:t>
      </w:r>
      <w:r w:rsidR="00B71E07" w:rsidRPr="00E93481">
        <w:t>, at para 92.</w:t>
      </w:r>
    </w:p>
  </w:footnote>
  <w:footnote w:id="69">
    <w:p w14:paraId="567140E1" w14:textId="780B6194" w:rsidR="00276FFC" w:rsidRPr="00E93481" w:rsidRDefault="00276FFC" w:rsidP="00A22E1F">
      <w:pPr>
        <w:pStyle w:val="NIHRCFootnotes"/>
      </w:pPr>
      <w:r w:rsidRPr="00E93481">
        <w:rPr>
          <w:rStyle w:val="FootnoteReference"/>
        </w:rPr>
        <w:footnoteRef/>
      </w:r>
      <w:r w:rsidRPr="00E93481">
        <w:t xml:space="preserve"> </w:t>
      </w:r>
      <w:r w:rsidR="009A237B">
        <w:t>Ibid,</w:t>
      </w:r>
      <w:r w:rsidR="00B71E07" w:rsidRPr="00E93481">
        <w:t xml:space="preserve"> at para 93.</w:t>
      </w:r>
    </w:p>
  </w:footnote>
  <w:footnote w:id="70">
    <w:p w14:paraId="1716FA3D" w14:textId="1EA8F75E" w:rsidR="00BC173C" w:rsidRPr="00E93481" w:rsidRDefault="00BC173C" w:rsidP="00A22E1F">
      <w:pPr>
        <w:pStyle w:val="NIHRCFootnotes"/>
      </w:pPr>
      <w:r w:rsidRPr="00E93481">
        <w:rPr>
          <w:rStyle w:val="FootnoteReference"/>
        </w:rPr>
        <w:footnoteRef/>
      </w:r>
      <w:r w:rsidRPr="00E93481">
        <w:t xml:space="preserve"> </w:t>
      </w:r>
      <w:r w:rsidR="00F51222" w:rsidRPr="00E93481">
        <w:t>CCPR/C/GBR/CO/7, ‘</w:t>
      </w:r>
      <w:r w:rsidR="00C72796" w:rsidRPr="00E93481">
        <w:t>UN Human Rights Committee Concluding Observations on the Seventh Periodic Report of the UK of Great Britain and NI’, 17 August 2015.</w:t>
      </w:r>
    </w:p>
  </w:footnote>
  <w:footnote w:id="71">
    <w:p w14:paraId="7E34A91C" w14:textId="04CE4E99" w:rsidR="00BC173C" w:rsidRPr="00E93481" w:rsidRDefault="00BC173C" w:rsidP="00A22E1F">
      <w:pPr>
        <w:pStyle w:val="NIHRCFootnotes"/>
      </w:pPr>
      <w:r w:rsidRPr="00E93481">
        <w:rPr>
          <w:rStyle w:val="FootnoteReference"/>
        </w:rPr>
        <w:footnoteRef/>
      </w:r>
      <w:r w:rsidRPr="00E93481">
        <w:t xml:space="preserve"> </w:t>
      </w:r>
      <w:r w:rsidR="0015627C" w:rsidRPr="00E93481">
        <w:t>CAT/C/GC/3, ‘UN Committee against Torture General Comment No 3: Implementation of Article 14 of the UN CAT by State Parties’, 13 December 2012, at para</w:t>
      </w:r>
      <w:r w:rsidR="004D03DF" w:rsidRPr="00E93481">
        <w:t xml:space="preserve"> 12 and 30.</w:t>
      </w:r>
    </w:p>
  </w:footnote>
  <w:footnote w:id="72">
    <w:p w14:paraId="1C494A5C" w14:textId="61FA660B" w:rsidR="00BC173C" w:rsidRPr="00E93481" w:rsidRDefault="00BC173C" w:rsidP="00A22E1F">
      <w:pPr>
        <w:pStyle w:val="NIHRCFootnotes"/>
      </w:pPr>
      <w:r w:rsidRPr="00E93481">
        <w:rPr>
          <w:rStyle w:val="FootnoteReference"/>
        </w:rPr>
        <w:footnoteRef/>
      </w:r>
      <w:r w:rsidRPr="00E93481">
        <w:t xml:space="preserve"> CEDAW/C/GC/35, ‘UN CEDAW Committee General Recommendation No 35 on Gender-based Violence Against Women, updating General Recommendation No 19’, 26 July 2017, at para 34(f).</w:t>
      </w:r>
    </w:p>
  </w:footnote>
  <w:footnote w:id="73">
    <w:p w14:paraId="74A5262E" w14:textId="468DAD3F" w:rsidR="005372AC" w:rsidRPr="00E93481" w:rsidRDefault="005372AC" w:rsidP="00A22E1F">
      <w:pPr>
        <w:pStyle w:val="NIHRCFootnotes"/>
      </w:pPr>
      <w:r w:rsidRPr="00E93481">
        <w:rPr>
          <w:rStyle w:val="FootnoteReference"/>
        </w:rPr>
        <w:footnoteRef/>
      </w:r>
      <w:r w:rsidRPr="00E93481">
        <w:t xml:space="preserve"> </w:t>
      </w:r>
      <w:r w:rsidR="00285DD0" w:rsidRPr="00E93481">
        <w:t xml:space="preserve">CRC/C/GBR/CO/6-7, </w:t>
      </w:r>
      <w:r w:rsidR="000270BB" w:rsidRPr="00E93481">
        <w:t>‘</w:t>
      </w:r>
      <w:r w:rsidR="00945291" w:rsidRPr="00E93481">
        <w:t>UN CRC Committee Concluding Observations on the Combined Sixth and Seventh Periodic Reports of the UK of Great Britain and NI’, 22 June 2023</w:t>
      </w:r>
      <w:r w:rsidR="006E1E4A" w:rsidRPr="00E93481">
        <w:t>,</w:t>
      </w:r>
      <w:r w:rsidR="0067671D" w:rsidRPr="00E93481">
        <w:t xml:space="preserve"> at para 33.</w:t>
      </w:r>
    </w:p>
  </w:footnote>
  <w:footnote w:id="74">
    <w:p w14:paraId="0816C728" w14:textId="41D9C5D1" w:rsidR="00616576" w:rsidRPr="00E93481" w:rsidRDefault="00616576" w:rsidP="00A22E1F">
      <w:pPr>
        <w:pStyle w:val="NIHRCFootnotes"/>
      </w:pPr>
      <w:r w:rsidRPr="00E93481">
        <w:rPr>
          <w:rStyle w:val="FootnoteReference"/>
        </w:rPr>
        <w:footnoteRef/>
      </w:r>
      <w:r w:rsidRPr="00E93481">
        <w:t xml:space="preserve"> </w:t>
      </w:r>
      <w:r w:rsidR="00C72796" w:rsidRPr="00E93481">
        <w:t>CCPR/C/GBR/CO/7, ‘UN Human Rights Committee Concluding Observations on the Seventh Periodic Report of the UK of Great Britain and NI’, 17 August 2015.</w:t>
      </w:r>
    </w:p>
  </w:footnote>
  <w:footnote w:id="75">
    <w:p w14:paraId="19554814" w14:textId="19F6DBBD" w:rsidR="00E9565C" w:rsidRPr="00E93481" w:rsidRDefault="00E9565C" w:rsidP="00A22E1F">
      <w:pPr>
        <w:pStyle w:val="NIHRCFootnotes"/>
      </w:pPr>
      <w:r w:rsidRPr="00E93481">
        <w:rPr>
          <w:rStyle w:val="FootnoteReference"/>
        </w:rPr>
        <w:footnoteRef/>
      </w:r>
      <w:r w:rsidRPr="00E93481">
        <w:t xml:space="preserve"> Article 8(1), Directive 2012/29/EU, ‘Directive of the European Parliament and of the Council Establishing Minimum Standards on the Rights, Support and Protection of Victims of Crime’, 25 October 2012.</w:t>
      </w:r>
    </w:p>
  </w:footnote>
  <w:footnote w:id="76">
    <w:p w14:paraId="1898B0AF" w14:textId="2FEAFD83" w:rsidR="00E9565C" w:rsidRPr="00E93481" w:rsidRDefault="00E9565C" w:rsidP="00A22E1F">
      <w:pPr>
        <w:pStyle w:val="NIHRCFootnotes"/>
      </w:pPr>
      <w:r w:rsidRPr="00E93481">
        <w:rPr>
          <w:rStyle w:val="FootnoteReference"/>
        </w:rPr>
        <w:footnoteRef/>
      </w:r>
      <w:r w:rsidRPr="00E93481">
        <w:t xml:space="preserve"> Article 8(3), Directive 2012/29/EU, ‘Directive of the European Parliament and of the Council Establishing Minimum Standards on the Rights, Support and Protection of Victims of Crime’, 25 October 2012.</w:t>
      </w:r>
    </w:p>
  </w:footnote>
  <w:footnote w:id="77">
    <w:p w14:paraId="7C6E8438" w14:textId="77777777" w:rsidR="00865682" w:rsidRPr="00E93481" w:rsidRDefault="00865682" w:rsidP="00A22E1F">
      <w:pPr>
        <w:pStyle w:val="NIHRCFootnotes"/>
      </w:pPr>
      <w:r w:rsidRPr="00E93481">
        <w:rPr>
          <w:rStyle w:val="FootnoteReference"/>
        </w:rPr>
        <w:footnoteRef/>
      </w:r>
      <w:r w:rsidRPr="00E93481">
        <w:t xml:space="preserve"> Article 25, Directive 2012/29/EU, ‘Directive of the European Parliament and of the Council Establishing Minimum Standards on the Rights, Support and Protection of Victims of Crime’, 25 October 2012.</w:t>
      </w:r>
    </w:p>
  </w:footnote>
  <w:footnote w:id="78">
    <w:p w14:paraId="79E561C0" w14:textId="77777777" w:rsidR="002710FE" w:rsidRPr="00E93481" w:rsidRDefault="002710FE"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16.</w:t>
      </w:r>
    </w:p>
  </w:footnote>
  <w:footnote w:id="79">
    <w:p w14:paraId="6FE40E57" w14:textId="77777777" w:rsidR="002710FE" w:rsidRPr="00E93481" w:rsidRDefault="002710FE" w:rsidP="00A22E1F">
      <w:pPr>
        <w:pStyle w:val="NIHRCFootnotes"/>
      </w:pPr>
      <w:r w:rsidRPr="00E93481">
        <w:rPr>
          <w:rStyle w:val="FootnoteReference"/>
        </w:rPr>
        <w:footnoteRef/>
      </w:r>
      <w:r w:rsidRPr="00E93481">
        <w:t xml:space="preserve"> The Executive Office, ‘Human Rights Act Impact Assessment - Strategy for Victims and Survivors of the Troubles/Conflict’ (TEO, 2023), at 2.</w:t>
      </w:r>
    </w:p>
  </w:footnote>
  <w:footnote w:id="80">
    <w:p w14:paraId="22518A50" w14:textId="7E98226D" w:rsidR="00EB4C08" w:rsidRPr="00E93481" w:rsidRDefault="00EB4C08" w:rsidP="00A22E1F">
      <w:pPr>
        <w:pStyle w:val="NIHRCFootnotes"/>
      </w:pPr>
      <w:r w:rsidRPr="00E93481">
        <w:rPr>
          <w:rStyle w:val="FootnoteReference"/>
        </w:rPr>
        <w:footnoteRef/>
      </w:r>
      <w:r w:rsidRPr="00E93481">
        <w:t xml:space="preserve"> </w:t>
      </w:r>
      <w:r w:rsidR="001215B0" w:rsidRPr="00E93481">
        <w:t>Section 38,</w:t>
      </w:r>
      <w:r w:rsidR="00951507" w:rsidRPr="00E93481">
        <w:t xml:space="preserve"> NI Troubles (Legacy and Reconciliation) Act 2023, </w:t>
      </w:r>
      <w:r w:rsidR="00A162EE" w:rsidRPr="00E93481">
        <w:t>Section 38</w:t>
      </w:r>
      <w:r w:rsidR="00951507" w:rsidRPr="00E93481">
        <w:t xml:space="preserve">. </w:t>
      </w:r>
    </w:p>
  </w:footnote>
  <w:footnote w:id="81">
    <w:p w14:paraId="7549E30D" w14:textId="04E03499" w:rsidR="00A6592C" w:rsidRPr="00E93481" w:rsidRDefault="00A6592C" w:rsidP="00A22E1F">
      <w:pPr>
        <w:pStyle w:val="NIHRCFootnotes"/>
      </w:pPr>
      <w:r w:rsidRPr="00E93481">
        <w:rPr>
          <w:rStyle w:val="FootnoteReference"/>
        </w:rPr>
        <w:footnoteRef/>
      </w:r>
      <w:r w:rsidRPr="00E93481">
        <w:t xml:space="preserve"> </w:t>
      </w:r>
      <w:r w:rsidR="00A53FD1" w:rsidRPr="00E93481">
        <w:rPr>
          <w:i/>
          <w:iCs/>
        </w:rPr>
        <w:t xml:space="preserve">In the matter of an application by Martina Dillon and others for Judicial Review </w:t>
      </w:r>
      <w:r w:rsidR="00EF0547" w:rsidRPr="00E93481">
        <w:t>[2024] NIKB 11, at para 18</w:t>
      </w:r>
      <w:r w:rsidR="002D3BC1" w:rsidRPr="00E93481">
        <w:t>7.</w:t>
      </w:r>
    </w:p>
  </w:footnote>
  <w:footnote w:id="82">
    <w:p w14:paraId="1C361992" w14:textId="4B8F8BD2" w:rsidR="00A20AA0" w:rsidRPr="00E93481" w:rsidRDefault="00A20AA0" w:rsidP="00A20AA0">
      <w:pPr>
        <w:pStyle w:val="NIHRCFootnotes"/>
      </w:pPr>
      <w:r w:rsidRPr="00E93481">
        <w:rPr>
          <w:rStyle w:val="FootnoteReference"/>
        </w:rPr>
        <w:footnoteRef/>
      </w:r>
      <w:r w:rsidRPr="00E93481">
        <w:t xml:space="preserve"> </w:t>
      </w:r>
      <w:r w:rsidR="009A237B" w:rsidRPr="009A237B">
        <w:t>Ibid</w:t>
      </w:r>
      <w:r w:rsidRPr="009A237B">
        <w:t>,</w:t>
      </w:r>
      <w:r w:rsidRPr="00E93481">
        <w:t xml:space="preserve"> at para 608</w:t>
      </w:r>
      <w:r>
        <w:t xml:space="preserve"> and </w:t>
      </w:r>
      <w:r w:rsidR="00840065">
        <w:t>710(ii)</w:t>
      </w:r>
      <w:r w:rsidRPr="00E93481">
        <w:t xml:space="preserve">. </w:t>
      </w:r>
    </w:p>
  </w:footnote>
  <w:footnote w:id="83">
    <w:p w14:paraId="59F7FF7B" w14:textId="31A55879" w:rsidR="008E7037" w:rsidRDefault="008E7037" w:rsidP="00A22E1F">
      <w:pPr>
        <w:pStyle w:val="NIHRCFootnotes"/>
      </w:pPr>
      <w:r>
        <w:rPr>
          <w:rStyle w:val="FootnoteReference"/>
        </w:rPr>
        <w:footnoteRef/>
      </w:r>
      <w:r>
        <w:t xml:space="preserve"> NI Human Rights Commission, ‘Advice on NI Troubles (Legacy and Reconciliation) Bill’ (NIHRC, 2022); </w:t>
      </w:r>
      <w:bookmarkStart w:id="15" w:name="_Hlk135911883"/>
      <w:r w:rsidR="00840065" w:rsidRPr="00B4471E">
        <w:rPr>
          <w:rFonts w:cstheme="minorHAnsi"/>
        </w:rPr>
        <w:t>Letter from NI Human Rights Commission to Lord Jay, Chair of the European Affairs Sub-Committee on the Protocol on Ireland/Northern Ireland, 30 January 2023</w:t>
      </w:r>
      <w:bookmarkEnd w:id="15"/>
      <w:r w:rsidR="00840065">
        <w:rPr>
          <w:rFonts w:cstheme="minorHAnsi"/>
        </w:rPr>
        <w:t xml:space="preserve">; </w:t>
      </w:r>
      <w:r>
        <w:t>NI Human Rights Commission, ‘Supplementary Briefing: UK Government’s Proposed Amendments to NI Troubles (Legacy and Reconciliation) Bill’ (NIHRC, 2023).</w:t>
      </w:r>
    </w:p>
  </w:footnote>
  <w:footnote w:id="84">
    <w:p w14:paraId="40DB106D" w14:textId="74D4D328" w:rsidR="00AB1496" w:rsidRPr="00E93481" w:rsidRDefault="00AB1496" w:rsidP="00A22E1F">
      <w:pPr>
        <w:pStyle w:val="NIHRCFootnotes"/>
      </w:pPr>
      <w:r w:rsidRPr="00E93481">
        <w:rPr>
          <w:rStyle w:val="FootnoteReference"/>
        </w:rPr>
        <w:footnoteRef/>
      </w:r>
      <w:r w:rsidRPr="00E93481">
        <w:t xml:space="preserve"> </w:t>
      </w:r>
      <w:r w:rsidR="00BD46FB" w:rsidRPr="00E93481">
        <w:t>The Executive Office, ‘Public Consultation: Strategy for Victims and Survivors of the Troubles/Conflict’ (TEO, 2023), at 12 and 14.</w:t>
      </w:r>
    </w:p>
  </w:footnote>
  <w:footnote w:id="85">
    <w:p w14:paraId="2F11EEC4" w14:textId="77777777" w:rsidR="00AB1496" w:rsidRPr="00E93481" w:rsidRDefault="00AB1496" w:rsidP="00A22E1F">
      <w:pPr>
        <w:pStyle w:val="NIHRCFootnotes"/>
      </w:pPr>
      <w:r w:rsidRPr="00E93481">
        <w:rPr>
          <w:rStyle w:val="FootnoteReference"/>
        </w:rPr>
        <w:footnoteRef/>
      </w:r>
      <w:r w:rsidRPr="00E93481">
        <w:t xml:space="preserve"> The Executive Office, ‘Human Rights Act Impact Assessment - Strategy for Victims and Survivors of the Troubles/Conflict’ (TEO, 2023), at 14.</w:t>
      </w:r>
    </w:p>
  </w:footnote>
  <w:footnote w:id="86">
    <w:p w14:paraId="5E01AA2C" w14:textId="0D2ECFEB" w:rsidR="00AB1496" w:rsidRPr="00E93481" w:rsidRDefault="00AB1496" w:rsidP="00A22E1F">
      <w:pPr>
        <w:pStyle w:val="NIHRCFootnotes"/>
      </w:pPr>
      <w:r w:rsidRPr="00E93481">
        <w:rPr>
          <w:rStyle w:val="FootnoteReference"/>
        </w:rPr>
        <w:footnoteRef/>
      </w:r>
      <w:r w:rsidRPr="00E93481">
        <w:t xml:space="preserve"> </w:t>
      </w:r>
      <w:r w:rsidR="009A237B">
        <w:t>Ibid.</w:t>
      </w:r>
    </w:p>
  </w:footnote>
  <w:footnote w:id="87">
    <w:p w14:paraId="34116954" w14:textId="06900DD3" w:rsidR="009120A0" w:rsidRPr="00E93481" w:rsidRDefault="009120A0" w:rsidP="00A22E1F">
      <w:pPr>
        <w:pStyle w:val="NIHRCFootnotes"/>
      </w:pPr>
      <w:r w:rsidRPr="00E93481">
        <w:rPr>
          <w:rStyle w:val="FootnoteReference"/>
        </w:rPr>
        <w:footnoteRef/>
      </w:r>
      <w:r w:rsidRPr="00E93481">
        <w:t xml:space="preserve"> </w:t>
      </w:r>
      <w:r w:rsidR="00816DAE" w:rsidRPr="00E93481">
        <w:rPr>
          <w:rFonts w:cs="Open Sans"/>
          <w:shd w:val="clear" w:color="auto" w:fill="FFFFFF"/>
        </w:rPr>
        <w:t>CM/Rec(2023)2, ‘</w:t>
      </w:r>
      <w:proofErr w:type="spellStart"/>
      <w:r w:rsidR="00816DAE" w:rsidRPr="00E93481">
        <w:rPr>
          <w:rFonts w:cs="Open Sans"/>
          <w:shd w:val="clear" w:color="auto" w:fill="FFFFFF"/>
        </w:rPr>
        <w:t>CoE</w:t>
      </w:r>
      <w:proofErr w:type="spellEnd"/>
      <w:r w:rsidR="00816DAE" w:rsidRPr="00E93481">
        <w:rPr>
          <w:rFonts w:cs="Open Sans"/>
          <w:shd w:val="clear" w:color="auto" w:fill="FFFFFF"/>
        </w:rPr>
        <w:t xml:space="preserve"> Committee of Ministers to Member States on Rights, Services and Support for Victims of Crime’, 15 March 2023; </w:t>
      </w:r>
      <w:r w:rsidR="00221370" w:rsidRPr="00E93481">
        <w:t xml:space="preserve">CAT/C/GC/3, ‘UN CAT Committee General Comment No 3: Implementation of Article 14 by States Parties’, 13 December 2012, at para </w:t>
      </w:r>
      <w:r w:rsidR="00E91A9F" w:rsidRPr="00E93481">
        <w:t>13</w:t>
      </w:r>
      <w:r w:rsidR="00221370" w:rsidRPr="00E93481">
        <w:t xml:space="preserve">; E/CN.4/1997/47, ‘Report of the UN Special Rapporteur on Violence Against Women, Its Causes and Consequences, Ms Radhika Coomaraswamy’, 12 February 1997, at para 22; </w:t>
      </w:r>
      <w:r w:rsidR="001D44DD" w:rsidRPr="00E93481">
        <w:t>CEDAW/C/GC/35, ‘UN CEDAW Committee General Recommendation No 35: Gender-based Violence Against Women, Updating General Recommendation No 19’, 26 July 2017, at para 31(b)</w:t>
      </w:r>
      <w:r w:rsidR="003853C1" w:rsidRPr="00E93481">
        <w:t xml:space="preserve">; A/RES/40/34, ‘United Nations Declaration of Basic Principles of Justice for Victims of Crime and Abuse of Power’, 29 November 1985, at Principle 14; </w:t>
      </w:r>
      <w:proofErr w:type="spellStart"/>
      <w:r w:rsidR="00D15E8E" w:rsidRPr="00E93481">
        <w:t>CoE</w:t>
      </w:r>
      <w:proofErr w:type="spellEnd"/>
      <w:r w:rsidR="00D15E8E" w:rsidRPr="00E93481">
        <w:t xml:space="preserve"> Convention on Protection of Children against Sexual Exploitation and Sexual Abuse 2007 (</w:t>
      </w:r>
      <w:proofErr w:type="spellStart"/>
      <w:r w:rsidR="00D15E8E" w:rsidRPr="00E93481">
        <w:t>CoE</w:t>
      </w:r>
      <w:proofErr w:type="spellEnd"/>
      <w:r w:rsidR="00D15E8E" w:rsidRPr="00E93481">
        <w:t xml:space="preserve"> Lanzarote Convention)</w:t>
      </w:r>
      <w:r w:rsidR="00686AE5" w:rsidRPr="00E93481">
        <w:t>, at Article 11(1).</w:t>
      </w:r>
    </w:p>
  </w:footnote>
  <w:footnote w:id="88">
    <w:p w14:paraId="13A8BE4D" w14:textId="02BB752B" w:rsidR="001423A9" w:rsidRPr="00E93481" w:rsidRDefault="001423A9" w:rsidP="00A22E1F">
      <w:pPr>
        <w:pStyle w:val="NIHRCFootnotes"/>
      </w:pPr>
      <w:r w:rsidRPr="00E93481">
        <w:rPr>
          <w:rStyle w:val="FootnoteReference"/>
        </w:rPr>
        <w:footnoteRef/>
      </w:r>
      <w:r w:rsidRPr="00E93481">
        <w:t xml:space="preserve"> </w:t>
      </w:r>
      <w:r w:rsidRPr="00E93481">
        <w:rPr>
          <w:rFonts w:cs="Open Sans"/>
          <w:shd w:val="clear" w:color="auto" w:fill="FFFFFF"/>
        </w:rPr>
        <w:t>CM/</w:t>
      </w:r>
      <w:proofErr w:type="gramStart"/>
      <w:r w:rsidRPr="00E93481">
        <w:rPr>
          <w:rFonts w:cs="Open Sans"/>
          <w:shd w:val="clear" w:color="auto" w:fill="FFFFFF"/>
        </w:rPr>
        <w:t>Rec(</w:t>
      </w:r>
      <w:proofErr w:type="gramEnd"/>
      <w:r w:rsidRPr="00E93481">
        <w:rPr>
          <w:rFonts w:cs="Open Sans"/>
          <w:shd w:val="clear" w:color="auto" w:fill="FFFFFF"/>
        </w:rPr>
        <w:t>2023)2, ‘</w:t>
      </w:r>
      <w:proofErr w:type="spellStart"/>
      <w:r w:rsidRPr="00E93481">
        <w:rPr>
          <w:rFonts w:cs="Open Sans"/>
          <w:shd w:val="clear" w:color="auto" w:fill="FFFFFF"/>
        </w:rPr>
        <w:t>CoE</w:t>
      </w:r>
      <w:proofErr w:type="spellEnd"/>
      <w:r w:rsidRPr="00E93481">
        <w:rPr>
          <w:rFonts w:cs="Open Sans"/>
          <w:shd w:val="clear" w:color="auto" w:fill="FFFFFF"/>
        </w:rPr>
        <w:t xml:space="preserve"> Committee of Ministers to Member States on </w:t>
      </w:r>
      <w:r w:rsidR="00C86807" w:rsidRPr="00E93481">
        <w:rPr>
          <w:rFonts w:cs="Open Sans"/>
          <w:shd w:val="clear" w:color="auto" w:fill="FFFFFF"/>
        </w:rPr>
        <w:t>R</w:t>
      </w:r>
      <w:r w:rsidRPr="00E93481">
        <w:rPr>
          <w:rFonts w:cs="Open Sans"/>
          <w:shd w:val="clear" w:color="auto" w:fill="FFFFFF"/>
        </w:rPr>
        <w:t xml:space="preserve">ights, </w:t>
      </w:r>
      <w:r w:rsidR="00C86807" w:rsidRPr="00E93481">
        <w:rPr>
          <w:rFonts w:cs="Open Sans"/>
          <w:shd w:val="clear" w:color="auto" w:fill="FFFFFF"/>
        </w:rPr>
        <w:t>S</w:t>
      </w:r>
      <w:r w:rsidRPr="00E93481">
        <w:rPr>
          <w:rFonts w:cs="Open Sans"/>
          <w:shd w:val="clear" w:color="auto" w:fill="FFFFFF"/>
        </w:rPr>
        <w:t xml:space="preserve">ervices and </w:t>
      </w:r>
      <w:r w:rsidR="00C86807" w:rsidRPr="00E93481">
        <w:rPr>
          <w:rFonts w:cs="Open Sans"/>
          <w:shd w:val="clear" w:color="auto" w:fill="FFFFFF"/>
        </w:rPr>
        <w:t>S</w:t>
      </w:r>
      <w:r w:rsidRPr="00E93481">
        <w:rPr>
          <w:rFonts w:cs="Open Sans"/>
          <w:shd w:val="clear" w:color="auto" w:fill="FFFFFF"/>
        </w:rPr>
        <w:t xml:space="preserve">upport for </w:t>
      </w:r>
      <w:r w:rsidR="00C86807" w:rsidRPr="00E93481">
        <w:rPr>
          <w:rFonts w:cs="Open Sans"/>
          <w:shd w:val="clear" w:color="auto" w:fill="FFFFFF"/>
        </w:rPr>
        <w:t>V</w:t>
      </w:r>
      <w:r w:rsidRPr="00E93481">
        <w:rPr>
          <w:rFonts w:cs="Open Sans"/>
          <w:shd w:val="clear" w:color="auto" w:fill="FFFFFF"/>
        </w:rPr>
        <w:t xml:space="preserve">ictims of </w:t>
      </w:r>
      <w:r w:rsidR="00C86807" w:rsidRPr="00E93481">
        <w:rPr>
          <w:rFonts w:cs="Open Sans"/>
          <w:shd w:val="clear" w:color="auto" w:fill="FFFFFF"/>
        </w:rPr>
        <w:t>C</w:t>
      </w:r>
      <w:r w:rsidRPr="00E93481">
        <w:rPr>
          <w:rFonts w:cs="Open Sans"/>
          <w:shd w:val="clear" w:color="auto" w:fill="FFFFFF"/>
        </w:rPr>
        <w:t>rime’, 15 March 2023.</w:t>
      </w:r>
    </w:p>
  </w:footnote>
  <w:footnote w:id="89">
    <w:p w14:paraId="60B815C1" w14:textId="61BA41AD" w:rsidR="0090565A" w:rsidRPr="00E93481" w:rsidRDefault="0090565A" w:rsidP="00A22E1F">
      <w:pPr>
        <w:pStyle w:val="NIHRCFootnotes"/>
      </w:pPr>
      <w:r w:rsidRPr="00E93481">
        <w:rPr>
          <w:rStyle w:val="FootnoteReference"/>
        </w:rPr>
        <w:footnoteRef/>
      </w:r>
      <w:r w:rsidRPr="00E93481">
        <w:t xml:space="preserve"> </w:t>
      </w:r>
      <w:r w:rsidR="009A237B">
        <w:rPr>
          <w:rFonts w:cs="Open Sans"/>
          <w:shd w:val="clear" w:color="auto" w:fill="FFFFFF"/>
        </w:rPr>
        <w:t>Ibid</w:t>
      </w:r>
      <w:r w:rsidR="002B2B52" w:rsidRPr="00E93481">
        <w:rPr>
          <w:rFonts w:cs="Open Sans"/>
          <w:shd w:val="clear" w:color="auto" w:fill="FFFFFF"/>
        </w:rPr>
        <w:t>, at Article 3.</w:t>
      </w:r>
    </w:p>
  </w:footnote>
  <w:footnote w:id="90">
    <w:p w14:paraId="0A2C6A1E" w14:textId="0FCCDB66" w:rsidR="00320960" w:rsidRPr="00E93481" w:rsidRDefault="00320960" w:rsidP="00A22E1F">
      <w:pPr>
        <w:pStyle w:val="NIHRCFootnotes"/>
      </w:pPr>
      <w:r w:rsidRPr="00E93481">
        <w:rPr>
          <w:rStyle w:val="FootnoteReference"/>
        </w:rPr>
        <w:footnoteRef/>
      </w:r>
      <w:r w:rsidRPr="00E93481">
        <w:t xml:space="preserve"> </w:t>
      </w:r>
      <w:r w:rsidR="009A237B">
        <w:rPr>
          <w:rFonts w:cs="Open Sans"/>
          <w:shd w:val="clear" w:color="auto" w:fill="FFFFFF"/>
        </w:rPr>
        <w:t>Ibid</w:t>
      </w:r>
      <w:r w:rsidR="005E5354" w:rsidRPr="00E93481">
        <w:rPr>
          <w:rFonts w:cs="Open Sans"/>
          <w:shd w:val="clear" w:color="auto" w:fill="FFFFFF"/>
        </w:rPr>
        <w:t>, at Article 3</w:t>
      </w:r>
      <w:r w:rsidR="00D35FEE" w:rsidRPr="00E93481">
        <w:rPr>
          <w:rFonts w:cs="Open Sans"/>
          <w:shd w:val="clear" w:color="auto" w:fill="FFFFFF"/>
        </w:rPr>
        <w:t>(3).</w:t>
      </w:r>
    </w:p>
  </w:footnote>
  <w:footnote w:id="91">
    <w:p w14:paraId="257AE116" w14:textId="77777777" w:rsidR="002D0F1F" w:rsidRPr="00E93481" w:rsidRDefault="002D0F1F" w:rsidP="00A22E1F">
      <w:pPr>
        <w:pStyle w:val="NIHRCFootnotes"/>
      </w:pPr>
      <w:r w:rsidRPr="00E93481">
        <w:rPr>
          <w:rStyle w:val="FootnoteReference"/>
        </w:rPr>
        <w:footnoteRef/>
      </w:r>
      <w:r w:rsidRPr="00E93481">
        <w:t xml:space="preserve"> CAT/C/GC/3, ‘UN CAT Committee General Comment No 3: Implementation of Article 14 by States Parties’, 13 December 2012, at para 38.</w:t>
      </w:r>
    </w:p>
  </w:footnote>
  <w:footnote w:id="92">
    <w:p w14:paraId="7619BFD6" w14:textId="77777777" w:rsidR="002D0F1F" w:rsidRPr="00E93481" w:rsidRDefault="002D0F1F" w:rsidP="00A22E1F">
      <w:pPr>
        <w:pStyle w:val="NIHRCFootnotes"/>
      </w:pPr>
      <w:r w:rsidRPr="00E93481">
        <w:rPr>
          <w:rStyle w:val="FootnoteReference"/>
        </w:rPr>
        <w:footnoteRef/>
      </w:r>
      <w:r w:rsidRPr="00E93481">
        <w:t xml:space="preserve"> E/CN.4/1997/47, ‘Report of the UN Special Rapporteur on Violence Against Women, Its Causes and Consequences, Ms Radhika Coomaraswamy’, 12 February 1997, at para 22.</w:t>
      </w:r>
    </w:p>
  </w:footnote>
  <w:footnote w:id="93">
    <w:p w14:paraId="3F7135F4" w14:textId="7558891D" w:rsidR="00AB142A" w:rsidRPr="00E93481" w:rsidRDefault="00AB142A" w:rsidP="00A22E1F">
      <w:pPr>
        <w:pStyle w:val="NIHRCFootnotes"/>
      </w:pPr>
      <w:r w:rsidRPr="00E93481">
        <w:rPr>
          <w:rStyle w:val="FootnoteReference"/>
        </w:rPr>
        <w:footnoteRef/>
      </w:r>
      <w:r w:rsidRPr="00E93481">
        <w:t xml:space="preserve"> </w:t>
      </w:r>
      <w:r w:rsidR="00055946" w:rsidRPr="00E93481">
        <w:t>CAT/C/GC/3, ‘UN CAT Committee General Comment No 3: Implementation of Article 14 by States Parties’, 19 November 2012, at para 13.</w:t>
      </w:r>
    </w:p>
  </w:footnote>
  <w:footnote w:id="94">
    <w:p w14:paraId="6646D68F" w14:textId="0F462E4C" w:rsidR="00055946" w:rsidRPr="00E93481" w:rsidRDefault="00055946" w:rsidP="00A22E1F">
      <w:pPr>
        <w:pStyle w:val="NIHRCFootnotes"/>
      </w:pPr>
      <w:r w:rsidRPr="00E93481">
        <w:rPr>
          <w:rStyle w:val="FootnoteReference"/>
        </w:rPr>
        <w:footnoteRef/>
      </w:r>
      <w:r w:rsidRPr="00E93481">
        <w:t xml:space="preserve"> </w:t>
      </w:r>
      <w:r w:rsidR="009A237B">
        <w:t>Ibid</w:t>
      </w:r>
      <w:r w:rsidRPr="00E93481">
        <w:t>, at para 13.</w:t>
      </w:r>
    </w:p>
  </w:footnote>
  <w:footnote w:id="95">
    <w:p w14:paraId="43236E27" w14:textId="6809A79D" w:rsidR="00F23FEB" w:rsidRPr="00E93481" w:rsidRDefault="00F23FEB" w:rsidP="00A22E1F">
      <w:pPr>
        <w:pStyle w:val="NIHRCFootnotes"/>
      </w:pPr>
      <w:r w:rsidRPr="00E93481">
        <w:rPr>
          <w:rStyle w:val="FootnoteReference"/>
        </w:rPr>
        <w:footnoteRef/>
      </w:r>
      <w:r w:rsidRPr="00E93481">
        <w:t xml:space="preserve"> </w:t>
      </w:r>
      <w:r w:rsidR="009A237B">
        <w:t>Ibid</w:t>
      </w:r>
      <w:r w:rsidR="00055946" w:rsidRPr="00E93481">
        <w:t>, at para 15.</w:t>
      </w:r>
    </w:p>
  </w:footnote>
  <w:footnote w:id="96">
    <w:p w14:paraId="7F9E1975" w14:textId="2D7E5D56" w:rsidR="00D05395" w:rsidRPr="00E93481" w:rsidRDefault="00D05395" w:rsidP="00A22E1F">
      <w:pPr>
        <w:pStyle w:val="NIHRCFootnotes"/>
      </w:pPr>
      <w:r w:rsidRPr="00E93481">
        <w:rPr>
          <w:rStyle w:val="FootnoteReference"/>
        </w:rPr>
        <w:footnoteRef/>
      </w:r>
      <w:r w:rsidRPr="00E93481">
        <w:t xml:space="preserve"> </w:t>
      </w:r>
      <w:r w:rsidR="00C07AAF" w:rsidRPr="00E93481">
        <w:t>CEDAW/C/GC/35, ‘UN CEDAW Committee General Recommendation No 35: Gender-based Violence Against Women, Updating General Recommendation No 19’, 26 July 2017, at para 31(b).</w:t>
      </w:r>
    </w:p>
  </w:footnote>
  <w:footnote w:id="97">
    <w:p w14:paraId="65A14B46" w14:textId="3075EF20" w:rsidR="00A5157A" w:rsidRPr="00E93481" w:rsidRDefault="00A5157A" w:rsidP="00A22E1F">
      <w:pPr>
        <w:pStyle w:val="NIHRCFootnotes"/>
      </w:pPr>
      <w:r w:rsidRPr="00E93481">
        <w:rPr>
          <w:rStyle w:val="FootnoteReference"/>
        </w:rPr>
        <w:footnoteRef/>
      </w:r>
      <w:r w:rsidRPr="00E93481">
        <w:t xml:space="preserve"> A/RES/40/34, ‘United Nations Declaration of Basic Principles of Justice for Victims of Crime and Abuse of Power’, 29 November 1985, at Principle 14.</w:t>
      </w:r>
    </w:p>
  </w:footnote>
  <w:footnote w:id="98">
    <w:p w14:paraId="1E47106D" w14:textId="773AD449" w:rsidR="00A5157A" w:rsidRPr="00E93481" w:rsidRDefault="00A5157A" w:rsidP="00A22E1F">
      <w:pPr>
        <w:pStyle w:val="NIHRCFootnotes"/>
      </w:pPr>
      <w:r w:rsidRPr="00E93481">
        <w:rPr>
          <w:rStyle w:val="FootnoteReference"/>
        </w:rPr>
        <w:footnoteRef/>
      </w:r>
      <w:r w:rsidRPr="00E93481">
        <w:t xml:space="preserve"> </w:t>
      </w:r>
      <w:r w:rsidR="009A237B">
        <w:t>Ibid</w:t>
      </w:r>
      <w:r w:rsidRPr="00E93481">
        <w:t>, at Principle 17.</w:t>
      </w:r>
    </w:p>
  </w:footnote>
  <w:footnote w:id="99">
    <w:p w14:paraId="51B6C2BD" w14:textId="58CF6D6B" w:rsidR="00391F0B" w:rsidRPr="00E93481" w:rsidRDefault="00391F0B" w:rsidP="00A22E1F">
      <w:pPr>
        <w:pStyle w:val="NIHRCFootnotes"/>
      </w:pPr>
      <w:r w:rsidRPr="00E93481">
        <w:rPr>
          <w:rStyle w:val="FootnoteReference"/>
        </w:rPr>
        <w:footnoteRef/>
      </w:r>
      <w:r w:rsidRPr="00E93481">
        <w:t xml:space="preserve"> </w:t>
      </w:r>
      <w:r w:rsidR="009A237B">
        <w:t>Ibid.</w:t>
      </w:r>
    </w:p>
  </w:footnote>
  <w:footnote w:id="100">
    <w:p w14:paraId="63D9FE08" w14:textId="6EC014B8" w:rsidR="008B1F99" w:rsidRPr="00E93481" w:rsidRDefault="008B1F99" w:rsidP="00A22E1F">
      <w:pPr>
        <w:pStyle w:val="NIHRCFootnotes"/>
      </w:pPr>
      <w:r w:rsidRPr="00E93481">
        <w:rPr>
          <w:rStyle w:val="FootnoteReference"/>
        </w:rPr>
        <w:footnoteRef/>
      </w:r>
      <w:r w:rsidRPr="00E93481">
        <w:t xml:space="preserve"> Article 1, Directive 2012/29/EU, ‘Directive of the European Parliament and of the Council </w:t>
      </w:r>
      <w:r w:rsidR="0041495E">
        <w:t>E</w:t>
      </w:r>
      <w:r w:rsidRPr="00E93481">
        <w:t xml:space="preserve">stablishing </w:t>
      </w:r>
      <w:r w:rsidR="0041495E">
        <w:t>M</w:t>
      </w:r>
      <w:r w:rsidRPr="00E93481">
        <w:t xml:space="preserve">inimum </w:t>
      </w:r>
      <w:r w:rsidR="0041495E">
        <w:t>S</w:t>
      </w:r>
      <w:r w:rsidRPr="00E93481">
        <w:t xml:space="preserve">tandards on the </w:t>
      </w:r>
      <w:r w:rsidR="0041495E">
        <w:t>R</w:t>
      </w:r>
      <w:r w:rsidRPr="00E93481">
        <w:t xml:space="preserve">ights, </w:t>
      </w:r>
      <w:r w:rsidR="0041495E">
        <w:t>S</w:t>
      </w:r>
      <w:r w:rsidRPr="00E93481">
        <w:t xml:space="preserve">upport and </w:t>
      </w:r>
      <w:r w:rsidR="0041495E">
        <w:t>P</w:t>
      </w:r>
      <w:r w:rsidRPr="00E93481">
        <w:t xml:space="preserve">rotection of </w:t>
      </w:r>
      <w:r w:rsidR="0041495E">
        <w:t>V</w:t>
      </w:r>
      <w:r w:rsidRPr="00E93481">
        <w:t xml:space="preserve">ictims of </w:t>
      </w:r>
      <w:r w:rsidR="0041495E">
        <w:t>C</w:t>
      </w:r>
      <w:r w:rsidRPr="00E93481">
        <w:t>rime’, 25 October 2012.</w:t>
      </w:r>
    </w:p>
  </w:footnote>
  <w:footnote w:id="101">
    <w:p w14:paraId="19303316" w14:textId="76AED258" w:rsidR="009D5B0B" w:rsidRPr="00E93481" w:rsidRDefault="009D5B0B" w:rsidP="00A22E1F">
      <w:pPr>
        <w:pStyle w:val="NIHRCFootnotes"/>
      </w:pPr>
      <w:r w:rsidRPr="00E93481">
        <w:rPr>
          <w:rStyle w:val="FootnoteReference"/>
        </w:rPr>
        <w:footnoteRef/>
      </w:r>
      <w:r w:rsidRPr="00E93481">
        <w:t xml:space="preserve"> Recital 19, </w:t>
      </w:r>
      <w:r w:rsidR="0041495E" w:rsidRPr="00E93481">
        <w:t xml:space="preserve">Directive 2012/29/EU, ‘Directive of the European Parliament and of the Council </w:t>
      </w:r>
      <w:r w:rsidR="0041495E">
        <w:t>E</w:t>
      </w:r>
      <w:r w:rsidR="0041495E" w:rsidRPr="00E93481">
        <w:t xml:space="preserve">stablishing </w:t>
      </w:r>
      <w:r w:rsidR="0041495E">
        <w:t>M</w:t>
      </w:r>
      <w:r w:rsidR="0041495E" w:rsidRPr="00E93481">
        <w:t xml:space="preserve">inimum </w:t>
      </w:r>
      <w:r w:rsidR="0041495E">
        <w:t>S</w:t>
      </w:r>
      <w:r w:rsidR="0041495E" w:rsidRPr="00E93481">
        <w:t xml:space="preserve">tandards on the </w:t>
      </w:r>
      <w:r w:rsidR="0041495E">
        <w:t>R</w:t>
      </w:r>
      <w:r w:rsidR="0041495E" w:rsidRPr="00E93481">
        <w:t xml:space="preserve">ights, </w:t>
      </w:r>
      <w:r w:rsidR="0041495E">
        <w:t>S</w:t>
      </w:r>
      <w:r w:rsidR="0041495E" w:rsidRPr="00E93481">
        <w:t xml:space="preserve">upport and </w:t>
      </w:r>
      <w:r w:rsidR="0041495E">
        <w:t>P</w:t>
      </w:r>
      <w:r w:rsidR="0041495E" w:rsidRPr="00E93481">
        <w:t xml:space="preserve">rotection of </w:t>
      </w:r>
      <w:r w:rsidR="0041495E">
        <w:t>V</w:t>
      </w:r>
      <w:r w:rsidR="0041495E" w:rsidRPr="00E93481">
        <w:t xml:space="preserve">ictims of </w:t>
      </w:r>
      <w:r w:rsidR="0041495E">
        <w:t>C</w:t>
      </w:r>
      <w:r w:rsidR="0041495E" w:rsidRPr="00E93481">
        <w:t>rime’, 25 October 2012</w:t>
      </w:r>
      <w:r w:rsidRPr="00E93481">
        <w:t>.</w:t>
      </w:r>
    </w:p>
  </w:footnote>
  <w:footnote w:id="102">
    <w:p w14:paraId="45BC10A6" w14:textId="3739D2F3" w:rsidR="00231F14" w:rsidRPr="00E93481" w:rsidRDefault="00231F14" w:rsidP="00A22E1F">
      <w:pPr>
        <w:pStyle w:val="NIHRCFootnotes"/>
      </w:pPr>
      <w:r w:rsidRPr="00E93481">
        <w:rPr>
          <w:rStyle w:val="FootnoteReference"/>
        </w:rPr>
        <w:footnoteRef/>
      </w:r>
      <w:r w:rsidRPr="00E93481">
        <w:t xml:space="preserve"> Recital 9, </w:t>
      </w:r>
      <w:r w:rsidR="0041495E" w:rsidRPr="00E93481">
        <w:t xml:space="preserve">Directive 2012/29/EU, ‘Directive of the European Parliament and of the Council </w:t>
      </w:r>
      <w:r w:rsidR="0041495E">
        <w:t>E</w:t>
      </w:r>
      <w:r w:rsidR="0041495E" w:rsidRPr="00E93481">
        <w:t xml:space="preserve">stablishing </w:t>
      </w:r>
      <w:r w:rsidR="0041495E">
        <w:t>M</w:t>
      </w:r>
      <w:r w:rsidR="0041495E" w:rsidRPr="00E93481">
        <w:t xml:space="preserve">inimum </w:t>
      </w:r>
      <w:r w:rsidR="0041495E">
        <w:t>S</w:t>
      </w:r>
      <w:r w:rsidR="0041495E" w:rsidRPr="00E93481">
        <w:t xml:space="preserve">tandards on the </w:t>
      </w:r>
      <w:r w:rsidR="0041495E">
        <w:t>R</w:t>
      </w:r>
      <w:r w:rsidR="0041495E" w:rsidRPr="00E93481">
        <w:t xml:space="preserve">ights, </w:t>
      </w:r>
      <w:r w:rsidR="0041495E">
        <w:t>S</w:t>
      </w:r>
      <w:r w:rsidR="0041495E" w:rsidRPr="00E93481">
        <w:t xml:space="preserve">upport and </w:t>
      </w:r>
      <w:r w:rsidR="0041495E">
        <w:t>P</w:t>
      </w:r>
      <w:r w:rsidR="0041495E" w:rsidRPr="00E93481">
        <w:t xml:space="preserve">rotection of </w:t>
      </w:r>
      <w:r w:rsidR="0041495E">
        <w:t>V</w:t>
      </w:r>
      <w:r w:rsidR="0041495E" w:rsidRPr="00E93481">
        <w:t xml:space="preserve">ictims of </w:t>
      </w:r>
      <w:r w:rsidR="0041495E">
        <w:t>C</w:t>
      </w:r>
      <w:r w:rsidR="0041495E" w:rsidRPr="00E93481">
        <w:t>rime’, 25 October 2012</w:t>
      </w:r>
      <w:r w:rsidRPr="00E93481">
        <w:t>.</w:t>
      </w:r>
    </w:p>
  </w:footnote>
  <w:footnote w:id="103">
    <w:p w14:paraId="7494FBD6" w14:textId="77777777" w:rsidR="001673AC" w:rsidRPr="00E93481" w:rsidRDefault="001673AC" w:rsidP="00A22E1F">
      <w:pPr>
        <w:pStyle w:val="NIHRCFootnotes"/>
      </w:pPr>
      <w:r w:rsidRPr="00E93481">
        <w:rPr>
          <w:rStyle w:val="FootnoteReference"/>
        </w:rPr>
        <w:footnoteRef/>
      </w:r>
      <w:r w:rsidRPr="00E93481">
        <w:t xml:space="preserve"> Article 6, Directive 2012/29/EU, ‘Directive of the European Parliament and of the Council establishing minimum standards on the rights, support and protection of victims of crime’, 25 October 2012.</w:t>
      </w:r>
    </w:p>
  </w:footnote>
  <w:footnote w:id="104">
    <w:p w14:paraId="128E26DF" w14:textId="77777777" w:rsidR="001673AC" w:rsidRPr="00E93481" w:rsidRDefault="001673AC" w:rsidP="00A22E1F">
      <w:pPr>
        <w:pStyle w:val="NIHRCFootnotes"/>
      </w:pPr>
      <w:r w:rsidRPr="00E93481">
        <w:rPr>
          <w:rStyle w:val="FootnoteReference"/>
        </w:rPr>
        <w:footnoteRef/>
      </w:r>
      <w:r w:rsidRPr="00E93481">
        <w:t xml:space="preserve"> Article 8 and 9, Recitals 16, 17 and 38, Directive 2012/29/EU, ‘Directive of the European Parliament and of the Council establishing minimum standards on the rights, support and protection of victims of crime’, 25 October 2012.</w:t>
      </w:r>
    </w:p>
  </w:footnote>
  <w:footnote w:id="105">
    <w:p w14:paraId="727602AA" w14:textId="75EB340F" w:rsidR="001673AC" w:rsidRPr="00E93481" w:rsidRDefault="001673AC" w:rsidP="00A22E1F">
      <w:pPr>
        <w:pStyle w:val="NIHRCFootnotes"/>
      </w:pPr>
      <w:r w:rsidRPr="00E93481">
        <w:rPr>
          <w:rStyle w:val="FootnoteReference"/>
        </w:rPr>
        <w:footnoteRef/>
      </w:r>
      <w:r w:rsidRPr="00E93481">
        <w:t xml:space="preserve"> See Articles 18-24, Recitals 57 and 7, 14-16, 34-36, Directive 2012/29/EU, ‘Directive of the European Parliament and of the Council establishing minimum standards on the rights, support and protection of victims of crime’, 25 October 2012. See also Directive 2011/36/EU, ‘EU Council Directive on preventing and combating trafficking in human beings and protecting its victims’, 5 April 2011; Directive 2011/92/EU, ‘Directive of the European Parliament and of the Council on combatting the sexual abuse and sexual exploitation of children and child pornography, and replacing Council Framework Decision 2004/68/JHA, 13 December 2011.</w:t>
      </w:r>
    </w:p>
  </w:footnote>
  <w:footnote w:id="106">
    <w:p w14:paraId="058D7ED6" w14:textId="5DD2C5C2" w:rsidR="00FA076C" w:rsidRPr="00E93481" w:rsidRDefault="00FA076C"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20.</w:t>
      </w:r>
    </w:p>
  </w:footnote>
  <w:footnote w:id="107">
    <w:p w14:paraId="0F7B7321" w14:textId="77777777" w:rsidR="00C51F86" w:rsidRPr="00E93481" w:rsidRDefault="00C51F86" w:rsidP="00A22E1F">
      <w:pPr>
        <w:pStyle w:val="NIHRCFootnotes"/>
      </w:pPr>
      <w:r w:rsidRPr="00E93481">
        <w:rPr>
          <w:rStyle w:val="FootnoteReference"/>
        </w:rPr>
        <w:footnoteRef/>
      </w:r>
      <w:r w:rsidRPr="00E93481">
        <w:t xml:space="preserve"> Department for Communities, ‘Social Inclusion Strategies’. Available at: </w:t>
      </w:r>
      <w:hyperlink r:id="rId2" w:history="1">
        <w:r w:rsidRPr="00E93481">
          <w:rPr>
            <w:rStyle w:val="Hyperlink"/>
            <w:color w:val="77328A"/>
          </w:rPr>
          <w:t>Social Inclusion Strategies | Department for Communities (communities-ni.gov.uk)</w:t>
        </w:r>
      </w:hyperlink>
    </w:p>
  </w:footnote>
  <w:footnote w:id="108">
    <w:p w14:paraId="77A3D756" w14:textId="5243D92B" w:rsidR="00D92B43" w:rsidRPr="00E93481" w:rsidRDefault="00D92B43" w:rsidP="00A22E1F">
      <w:pPr>
        <w:pStyle w:val="NIHRCFootnotes"/>
      </w:pPr>
      <w:r w:rsidRPr="00E93481">
        <w:rPr>
          <w:rStyle w:val="FootnoteReference"/>
        </w:rPr>
        <w:footnoteRef/>
      </w:r>
      <w:r w:rsidRPr="00E93481">
        <w:t xml:space="preserve"> </w:t>
      </w:r>
      <w:r w:rsidR="001C020B" w:rsidRPr="00E93481">
        <w:t>The Executive Office, ‘Public Consultation: Strategy for Victims and Survivors of the Troubles/Conflict’ (TEO, 2023), at 20.</w:t>
      </w:r>
    </w:p>
  </w:footnote>
  <w:footnote w:id="109">
    <w:p w14:paraId="16A93417" w14:textId="56647B19" w:rsidR="00EB1B15" w:rsidRPr="00E93481" w:rsidRDefault="00EB1B15" w:rsidP="00A22E1F">
      <w:pPr>
        <w:pStyle w:val="NIHRCFootnotes"/>
      </w:pPr>
      <w:r w:rsidRPr="00E93481">
        <w:rPr>
          <w:rStyle w:val="FootnoteReference"/>
        </w:rPr>
        <w:footnoteRef/>
      </w:r>
      <w:r w:rsidRPr="00E93481">
        <w:t xml:space="preserve"> </w:t>
      </w:r>
      <w:r w:rsidR="009A237B">
        <w:t>Ibid,</w:t>
      </w:r>
      <w:r w:rsidR="00C34F96" w:rsidRPr="00E93481">
        <w:t xml:space="preserve"> at 22.</w:t>
      </w:r>
    </w:p>
  </w:footnote>
  <w:footnote w:id="110">
    <w:p w14:paraId="7C640650" w14:textId="125A3D32" w:rsidR="00FB21E6" w:rsidRPr="00E93481" w:rsidRDefault="00FB21E6" w:rsidP="00A22E1F">
      <w:pPr>
        <w:pStyle w:val="NIHRCFootnotes"/>
      </w:pPr>
      <w:r w:rsidRPr="00E93481">
        <w:rPr>
          <w:rStyle w:val="FootnoteReference"/>
        </w:rPr>
        <w:footnoteRef/>
      </w:r>
      <w:r w:rsidRPr="00E93481">
        <w:t xml:space="preserve"> Commission for Victims and S</w:t>
      </w:r>
      <w:r w:rsidR="00493A36" w:rsidRPr="00E93481">
        <w:t xml:space="preserve">urvivors, ‘Paramilitarism: Recommendations for </w:t>
      </w:r>
      <w:r w:rsidR="00FB0D9C" w:rsidRPr="00E93481">
        <w:t>A</w:t>
      </w:r>
      <w:r w:rsidR="00493A36" w:rsidRPr="00E93481">
        <w:t>ction’ (CVS, 2023), at 3.</w:t>
      </w:r>
    </w:p>
  </w:footnote>
  <w:footnote w:id="111">
    <w:p w14:paraId="0692D84C" w14:textId="40A982FE" w:rsidR="00657619" w:rsidRPr="00E93481" w:rsidRDefault="00657619" w:rsidP="00A22E1F">
      <w:pPr>
        <w:pStyle w:val="NIHRCFootnotes"/>
      </w:pPr>
      <w:r w:rsidRPr="00E93481">
        <w:rPr>
          <w:rStyle w:val="FootnoteReference"/>
          <w:rFonts w:eastAsiaTheme="majorEastAsia"/>
        </w:rPr>
        <w:footnoteRef/>
      </w:r>
      <w:r w:rsidRPr="00E93481">
        <w:t xml:space="preserve"> Jessical Leigh Doyle and Monica McWilliams, ‘Intimate Partner Violence in Conflict and Post-Conflict Settings’ (Ulster University, 2018), at 57</w:t>
      </w:r>
      <w:r w:rsidR="00F44E53" w:rsidRPr="00E93481">
        <w:t>.</w:t>
      </w:r>
    </w:p>
  </w:footnote>
  <w:footnote w:id="112">
    <w:p w14:paraId="4A808C16" w14:textId="6302FE3D" w:rsidR="00657619" w:rsidRPr="00E93481" w:rsidRDefault="00657619" w:rsidP="00A22E1F">
      <w:pPr>
        <w:pStyle w:val="NIHRCFootnotes"/>
      </w:pPr>
      <w:r w:rsidRPr="00E93481">
        <w:rPr>
          <w:rStyle w:val="FootnoteReference"/>
        </w:rPr>
        <w:footnoteRef/>
      </w:r>
      <w:r w:rsidRPr="00E93481">
        <w:t xml:space="preserve"> </w:t>
      </w:r>
      <w:r w:rsidRPr="00E93481">
        <w:rPr>
          <w:i/>
          <w:iCs/>
        </w:rPr>
        <w:t xml:space="preserve">See </w:t>
      </w:r>
      <w:r w:rsidRPr="00E93481">
        <w:t xml:space="preserve">House of Commons NI Affairs Committee, ‘The Effect of Paramilitary Activity and Organised Crime on Society in NI’ (NIAC, 2024), at paras 33-36; Caroline Walsh, ‘Consortium for the Regional Support for Women in Disadvantaged and Rural Areas: Policy Prioritisation for Disadvantaged Women – Women’s Perspectives’ (Women’s Support Network, 2017), at 34; Claire Pierson and Katy Radford, ‘Peacebuilding and the Women’s Sector in NI: An Overview of Reports and Programmes (Institute for Conflict Research, 2016), at 31; Margaret Ward, ‘Excluded and silenced: Women </w:t>
      </w:r>
      <w:r w:rsidR="00FB0D9C" w:rsidRPr="00E93481">
        <w:t>in NI</w:t>
      </w:r>
      <w:r w:rsidRPr="00E93481">
        <w:t xml:space="preserve"> after the peace process’, </w:t>
      </w:r>
      <w:r w:rsidRPr="00E93481">
        <w:rPr>
          <w:i/>
          <w:iCs/>
        </w:rPr>
        <w:t>Open Democracy</w:t>
      </w:r>
      <w:r w:rsidRPr="00E93481">
        <w:t xml:space="preserve">, 12 June 2013; Roundtable discussions with NI women’s policy groups and NI women’s community groups, October 2017, November 2017, February 2018 and March 2018; National Crime Agency, ‘Press Release: Paramilitary Crime Taskforce launched in NI’, 27 September 2017; Emma Vardy, ‘Adverts bid to end paramilitary-style attacks in NI’, </w:t>
      </w:r>
      <w:r w:rsidRPr="00E93481">
        <w:rPr>
          <w:i/>
          <w:iCs/>
        </w:rPr>
        <w:t>BBC News</w:t>
      </w:r>
      <w:r w:rsidRPr="00E93481">
        <w:t xml:space="preserve">, 18 October 2018; Department of Justice, ‘Executive Programme for Tackling Paramilitary Activity and Organised Crime’. Available at: </w:t>
      </w:r>
      <w:hyperlink r:id="rId3" w:history="1">
        <w:r w:rsidRPr="00E93481">
          <w:rPr>
            <w:rStyle w:val="Hyperlink"/>
            <w:color w:val="77328A"/>
          </w:rPr>
          <w:t>https://www.justice-ni.gov.uk/articles/executive-programme-tackling-paramilitary-activity-and-organised-crime</w:t>
        </w:r>
      </w:hyperlink>
      <w:r w:rsidRPr="00E93481">
        <w:rPr>
          <w:rStyle w:val="Hyperlink"/>
          <w:color w:val="77328A"/>
        </w:rPr>
        <w:t xml:space="preserve">; </w:t>
      </w:r>
      <w:r w:rsidRPr="00E93481">
        <w:t xml:space="preserve">Jessical Leigh Doyle and Monica McWilliams, ‘Intimate Partner Violence in Conflict and Post-Conflict Settings’ (Ulster University, 2018), at 57.  </w:t>
      </w:r>
    </w:p>
  </w:footnote>
  <w:footnote w:id="113">
    <w:p w14:paraId="408B15D6" w14:textId="2FE619D3" w:rsidR="00657619" w:rsidRPr="00E93481" w:rsidRDefault="00657619" w:rsidP="00A22E1F">
      <w:pPr>
        <w:pStyle w:val="NIHRCFootnotes"/>
      </w:pPr>
      <w:r w:rsidRPr="00E93481">
        <w:rPr>
          <w:rStyle w:val="FootnoteReference"/>
        </w:rPr>
        <w:footnoteRef/>
      </w:r>
      <w:r w:rsidRPr="00E93481">
        <w:t xml:space="preserve"> </w:t>
      </w:r>
      <w:r w:rsidR="00C84642" w:rsidRPr="00E93481">
        <w:t>W</w:t>
      </w:r>
      <w:r w:rsidRPr="00E93481">
        <w:t>omen’s Aid Federation NI, ‘Hear Her Voice’ (WAFNI, 2023), at 19 and 45.</w:t>
      </w:r>
    </w:p>
  </w:footnote>
  <w:footnote w:id="114">
    <w:p w14:paraId="37FA3F20" w14:textId="157F55C6" w:rsidR="00732F98" w:rsidRPr="00E93481" w:rsidRDefault="00732F98" w:rsidP="00A22E1F">
      <w:pPr>
        <w:pStyle w:val="NIHRCFootnotes"/>
      </w:pPr>
      <w:r w:rsidRPr="00E93481">
        <w:rPr>
          <w:rStyle w:val="FootnoteReference"/>
        </w:rPr>
        <w:footnoteRef/>
      </w:r>
      <w:r w:rsidRPr="00E93481">
        <w:t xml:space="preserve"> </w:t>
      </w:r>
      <w:r w:rsidR="00995DA8" w:rsidRPr="00E93481">
        <w:t xml:space="preserve">Commission for Victims and Survivors, ‘It Didn’t End in 1998: Examining </w:t>
      </w:r>
      <w:r w:rsidR="00710C12" w:rsidRPr="00E93481">
        <w:t>t</w:t>
      </w:r>
      <w:r w:rsidR="00995DA8" w:rsidRPr="00E93481">
        <w:t xml:space="preserve">he Impacts </w:t>
      </w:r>
      <w:proofErr w:type="gramStart"/>
      <w:r w:rsidR="00995DA8" w:rsidRPr="00E93481">
        <w:t>Of</w:t>
      </w:r>
      <w:proofErr w:type="gramEnd"/>
      <w:r w:rsidR="00995DA8" w:rsidRPr="00E93481">
        <w:t xml:space="preserve"> Conflict Legacy Across Generations’ (CVS, 2021), at 23.</w:t>
      </w:r>
    </w:p>
  </w:footnote>
  <w:footnote w:id="115">
    <w:p w14:paraId="45D1224D" w14:textId="2261CD3E" w:rsidR="00247CCD" w:rsidRPr="00E93481" w:rsidRDefault="00247CCD" w:rsidP="00A22E1F">
      <w:pPr>
        <w:pStyle w:val="NIHRCFootnotes"/>
      </w:pPr>
      <w:r w:rsidRPr="00E93481">
        <w:rPr>
          <w:rStyle w:val="FootnoteReference"/>
        </w:rPr>
        <w:footnoteRef/>
      </w:r>
      <w:r w:rsidRPr="00E93481">
        <w:t xml:space="preserve"> </w:t>
      </w:r>
      <w:r w:rsidR="00C324B6">
        <w:t>Ibid,</w:t>
      </w:r>
      <w:r w:rsidR="00871F8E" w:rsidRPr="00E93481">
        <w:t xml:space="preserve"> at 17-18.</w:t>
      </w:r>
    </w:p>
  </w:footnote>
  <w:footnote w:id="116">
    <w:p w14:paraId="35A80030" w14:textId="05F0EE41" w:rsidR="00B7602C" w:rsidRPr="00E93481" w:rsidRDefault="00B7602C" w:rsidP="00A22E1F">
      <w:pPr>
        <w:pStyle w:val="NIHRCFootnotes"/>
      </w:pPr>
      <w:r w:rsidRPr="00E93481">
        <w:rPr>
          <w:rStyle w:val="FootnoteReference"/>
        </w:rPr>
        <w:footnoteRef/>
      </w:r>
      <w:r w:rsidRPr="00E93481">
        <w:t xml:space="preserve"> </w:t>
      </w:r>
      <w:r w:rsidR="00C324B6">
        <w:t>Ibid.</w:t>
      </w:r>
    </w:p>
  </w:footnote>
  <w:footnote w:id="117">
    <w:p w14:paraId="065DC159" w14:textId="57EE481D" w:rsidR="00B7602C" w:rsidRPr="00E93481" w:rsidRDefault="00B7602C" w:rsidP="00A22E1F">
      <w:pPr>
        <w:pStyle w:val="NIHRCFootnotes"/>
      </w:pPr>
      <w:r w:rsidRPr="00E93481">
        <w:rPr>
          <w:rStyle w:val="FootnoteReference"/>
        </w:rPr>
        <w:footnoteRef/>
      </w:r>
      <w:r w:rsidRPr="00E93481">
        <w:t xml:space="preserve"> </w:t>
      </w:r>
      <w:r w:rsidR="00F8158C" w:rsidRPr="00E93481">
        <w:t xml:space="preserve">NI Commissioner for Children and Young People, ‘Still Waiting: A Rights Based Review of Mental Health Services and Support for Children and Young People’ (NICCY, 2018); </w:t>
      </w:r>
      <w:r w:rsidR="000F2BE9" w:rsidRPr="00E93481">
        <w:t>NI Commissioner for Children and Young People, ‘Still Waiting: Monitoring Report’ (NICCY, 2020).</w:t>
      </w:r>
    </w:p>
  </w:footnote>
  <w:footnote w:id="118">
    <w:p w14:paraId="4F5D0CA6" w14:textId="0EC9E406" w:rsidR="004F2FD6" w:rsidRPr="00E93481" w:rsidRDefault="004F2FD6" w:rsidP="00A22E1F">
      <w:pPr>
        <w:pStyle w:val="NIHRCFootnotes"/>
      </w:pPr>
      <w:r w:rsidRPr="00E93481">
        <w:rPr>
          <w:rStyle w:val="FootnoteReference"/>
        </w:rPr>
        <w:footnoteRef/>
      </w:r>
      <w:r w:rsidRPr="00E93481">
        <w:t xml:space="preserve"> </w:t>
      </w:r>
      <w:r w:rsidR="00142592" w:rsidRPr="00E93481">
        <w:t>UK House of Commons, ‘NI Affairs Committee</w:t>
      </w:r>
      <w:r w:rsidR="00FB5D60" w:rsidRPr="00E93481">
        <w:t xml:space="preserve">: The </w:t>
      </w:r>
      <w:r w:rsidR="00710C12" w:rsidRPr="00E93481">
        <w:t>E</w:t>
      </w:r>
      <w:r w:rsidR="00FB5D60" w:rsidRPr="00E93481">
        <w:t xml:space="preserve">ffect of </w:t>
      </w:r>
      <w:r w:rsidR="00710C12" w:rsidRPr="00E93481">
        <w:t>P</w:t>
      </w:r>
      <w:r w:rsidR="00FB5D60" w:rsidRPr="00E93481">
        <w:t xml:space="preserve">aramilitary </w:t>
      </w:r>
      <w:r w:rsidR="00710C12" w:rsidRPr="00E93481">
        <w:t>A</w:t>
      </w:r>
      <w:r w:rsidR="00FB5D60" w:rsidRPr="00E93481">
        <w:t xml:space="preserve">ctivity and </w:t>
      </w:r>
      <w:r w:rsidR="00710C12" w:rsidRPr="00E93481">
        <w:t>O</w:t>
      </w:r>
      <w:r w:rsidR="00FB5D60" w:rsidRPr="00E93481">
        <w:t xml:space="preserve">rganised </w:t>
      </w:r>
      <w:r w:rsidR="00710C12" w:rsidRPr="00E93481">
        <w:t>C</w:t>
      </w:r>
      <w:r w:rsidR="00FB5D60" w:rsidRPr="00E93481">
        <w:t xml:space="preserve">rime on </w:t>
      </w:r>
      <w:r w:rsidR="00710C12" w:rsidRPr="00E93481">
        <w:t>S</w:t>
      </w:r>
      <w:r w:rsidR="00FB5D60" w:rsidRPr="00E93481">
        <w:t xml:space="preserve">ociety in </w:t>
      </w:r>
      <w:r w:rsidR="00710C12" w:rsidRPr="00E93481">
        <w:t>NI</w:t>
      </w:r>
      <w:r w:rsidR="00FB5D60" w:rsidRPr="00E93481">
        <w:t xml:space="preserve"> - Second Report of Session 2023–</w:t>
      </w:r>
      <w:r w:rsidR="00710C12" w:rsidRPr="00E93481">
        <w:t>20</w:t>
      </w:r>
      <w:r w:rsidR="00FB5D60" w:rsidRPr="00E93481">
        <w:t>24’</w:t>
      </w:r>
      <w:r w:rsidR="00C324B6">
        <w:t xml:space="preserve"> </w:t>
      </w:r>
      <w:r w:rsidR="00FB5D60" w:rsidRPr="00E93481">
        <w:t>(</w:t>
      </w:r>
      <w:proofErr w:type="spellStart"/>
      <w:r w:rsidR="00FB5D60" w:rsidRPr="00E93481">
        <w:t>HoC</w:t>
      </w:r>
      <w:proofErr w:type="spellEnd"/>
      <w:r w:rsidR="00FB5D60" w:rsidRPr="00E93481">
        <w:t>, 2024)</w:t>
      </w:r>
      <w:r w:rsidR="00174D5E" w:rsidRPr="00E93481">
        <w:t xml:space="preserve">, at </w:t>
      </w:r>
      <w:r w:rsidR="00D937D6" w:rsidRPr="00E93481">
        <w:t>20.</w:t>
      </w:r>
    </w:p>
  </w:footnote>
  <w:footnote w:id="119">
    <w:p w14:paraId="6D19DCCD" w14:textId="77777777" w:rsidR="00BD0548" w:rsidRPr="00E93481" w:rsidRDefault="00BD0548" w:rsidP="00A22E1F">
      <w:pPr>
        <w:pStyle w:val="NIHRCFootnotes"/>
      </w:pPr>
      <w:r w:rsidRPr="00E93481">
        <w:rPr>
          <w:rStyle w:val="FootnoteReference"/>
        </w:rPr>
        <w:footnoteRef/>
      </w:r>
      <w:r w:rsidRPr="00E93481">
        <w:t xml:space="preserve"> UN Basic Principles and Guidelines on the Right to a Remedy and Reparation for Victims of Gross Violations of International Human Rights Law and Serious Violations of International Humanitarian Law, 16 December 2005, at Principle 10.</w:t>
      </w:r>
    </w:p>
  </w:footnote>
  <w:footnote w:id="120">
    <w:p w14:paraId="143895EB" w14:textId="77777777" w:rsidR="00BD0548" w:rsidRPr="00E93481" w:rsidRDefault="00BD0548" w:rsidP="00A22E1F">
      <w:pPr>
        <w:pStyle w:val="NIHRCFootnotes"/>
      </w:pPr>
      <w:r w:rsidRPr="00E93481">
        <w:rPr>
          <w:rStyle w:val="FootnoteReference"/>
        </w:rPr>
        <w:footnoteRef/>
      </w:r>
      <w:r w:rsidRPr="00E93481">
        <w:t xml:space="preserve"> CAT/C/GC/3, ‘UN CAT Committee General Comment No 3: Implementation of Article 14 by States Parties’, 13 December 2012, at para 21.</w:t>
      </w:r>
    </w:p>
  </w:footnote>
  <w:footnote w:id="121">
    <w:p w14:paraId="59DC0C25" w14:textId="30A607F7" w:rsidR="00BD0548" w:rsidRPr="00E93481" w:rsidRDefault="00BD0548" w:rsidP="00A22E1F">
      <w:pPr>
        <w:pStyle w:val="NIHRCFootnotes"/>
      </w:pPr>
      <w:r w:rsidRPr="00E93481">
        <w:rPr>
          <w:rStyle w:val="FootnoteReference"/>
        </w:rPr>
        <w:footnoteRef/>
      </w:r>
      <w:r w:rsidRPr="00E93481">
        <w:t xml:space="preserve"> Article 3(1)</w:t>
      </w:r>
      <w:r w:rsidR="00710C12" w:rsidRPr="00E93481">
        <w:t xml:space="preserve"> of the UN CRC</w:t>
      </w:r>
      <w:r w:rsidRPr="00E93481">
        <w:t xml:space="preserve"> requires that “the best interests of the child shall be a primary consideration”. Furthermore, Article 12(1)</w:t>
      </w:r>
      <w:r w:rsidR="00710C12" w:rsidRPr="00E93481">
        <w:t xml:space="preserve"> of the UN CRC</w:t>
      </w:r>
      <w:r w:rsidRPr="00E93481">
        <w:t xml:space="preserve"> requires that “States Parties shall assure to the child who is capable of forming his or her own views the right to express those views freely in all matters affecting the child, the views of the child being given due weight in accordance with the age and maturity of the child”.</w:t>
      </w:r>
    </w:p>
  </w:footnote>
  <w:footnote w:id="122">
    <w:p w14:paraId="69CAD4FC" w14:textId="77777777" w:rsidR="00BD0548" w:rsidRPr="00E93481" w:rsidRDefault="00BD0548" w:rsidP="00A22E1F">
      <w:pPr>
        <w:pStyle w:val="NIHRCFootnotes"/>
      </w:pPr>
      <w:r w:rsidRPr="00E93481">
        <w:rPr>
          <w:rStyle w:val="FootnoteReference"/>
        </w:rPr>
        <w:footnoteRef/>
      </w:r>
      <w:r w:rsidRPr="00E93481">
        <w:t xml:space="preserve"> CAT/C/GC/3, ‘UN CAT Committee General Comment No 3: Implementation of Article 14 by States Parties’, 13 December 2012, at para 33, 34 and 36.</w:t>
      </w:r>
    </w:p>
  </w:footnote>
  <w:footnote w:id="123">
    <w:p w14:paraId="6FAB4443" w14:textId="7FD60508" w:rsidR="00BF7C7D" w:rsidRPr="00E93481" w:rsidRDefault="00BF7C7D" w:rsidP="00A22E1F">
      <w:pPr>
        <w:pStyle w:val="NIHRCFootnotes"/>
      </w:pPr>
      <w:r w:rsidRPr="00E93481">
        <w:rPr>
          <w:rStyle w:val="FootnoteReference"/>
        </w:rPr>
        <w:footnoteRef/>
      </w:r>
      <w:r w:rsidRPr="00E93481">
        <w:t xml:space="preserve"> </w:t>
      </w:r>
      <w:r w:rsidRPr="00E93481">
        <w:rPr>
          <w:rFonts w:cs="Open Sans"/>
          <w:shd w:val="clear" w:color="auto" w:fill="FFFFFF"/>
        </w:rPr>
        <w:t>CM/</w:t>
      </w:r>
      <w:proofErr w:type="gramStart"/>
      <w:r w:rsidRPr="00E93481">
        <w:rPr>
          <w:rFonts w:cs="Open Sans"/>
          <w:shd w:val="clear" w:color="auto" w:fill="FFFFFF"/>
        </w:rPr>
        <w:t>Rec(</w:t>
      </w:r>
      <w:proofErr w:type="gramEnd"/>
      <w:r w:rsidRPr="00E93481">
        <w:rPr>
          <w:rFonts w:cs="Open Sans"/>
          <w:shd w:val="clear" w:color="auto" w:fill="FFFFFF"/>
        </w:rPr>
        <w:t>2023)2, ‘</w:t>
      </w:r>
      <w:proofErr w:type="spellStart"/>
      <w:r w:rsidRPr="00E93481">
        <w:rPr>
          <w:rFonts w:cs="Open Sans"/>
          <w:shd w:val="clear" w:color="auto" w:fill="FFFFFF"/>
        </w:rPr>
        <w:t>CoE</w:t>
      </w:r>
      <w:proofErr w:type="spellEnd"/>
      <w:r w:rsidRPr="00E93481">
        <w:rPr>
          <w:rFonts w:cs="Open Sans"/>
          <w:shd w:val="clear" w:color="auto" w:fill="FFFFFF"/>
        </w:rPr>
        <w:t xml:space="preserve"> Committee of Ministers to Member States on </w:t>
      </w:r>
      <w:r w:rsidR="005C3EC1" w:rsidRPr="00E93481">
        <w:rPr>
          <w:rFonts w:cs="Open Sans"/>
          <w:shd w:val="clear" w:color="auto" w:fill="FFFFFF"/>
        </w:rPr>
        <w:t>R</w:t>
      </w:r>
      <w:r w:rsidRPr="00E93481">
        <w:rPr>
          <w:rFonts w:cs="Open Sans"/>
          <w:shd w:val="clear" w:color="auto" w:fill="FFFFFF"/>
        </w:rPr>
        <w:t xml:space="preserve">ights, </w:t>
      </w:r>
      <w:r w:rsidR="005C3EC1" w:rsidRPr="00E93481">
        <w:rPr>
          <w:rFonts w:cs="Open Sans"/>
          <w:shd w:val="clear" w:color="auto" w:fill="FFFFFF"/>
        </w:rPr>
        <w:t>S</w:t>
      </w:r>
      <w:r w:rsidRPr="00E93481">
        <w:rPr>
          <w:rFonts w:cs="Open Sans"/>
          <w:shd w:val="clear" w:color="auto" w:fill="FFFFFF"/>
        </w:rPr>
        <w:t xml:space="preserve">ervices and </w:t>
      </w:r>
      <w:r w:rsidR="005C3EC1" w:rsidRPr="00E93481">
        <w:rPr>
          <w:rFonts w:cs="Open Sans"/>
          <w:shd w:val="clear" w:color="auto" w:fill="FFFFFF"/>
        </w:rPr>
        <w:t>S</w:t>
      </w:r>
      <w:r w:rsidRPr="00E93481">
        <w:rPr>
          <w:rFonts w:cs="Open Sans"/>
          <w:shd w:val="clear" w:color="auto" w:fill="FFFFFF"/>
        </w:rPr>
        <w:t xml:space="preserve">upport for </w:t>
      </w:r>
      <w:r w:rsidR="005C3EC1" w:rsidRPr="00E93481">
        <w:rPr>
          <w:rFonts w:cs="Open Sans"/>
          <w:shd w:val="clear" w:color="auto" w:fill="FFFFFF"/>
        </w:rPr>
        <w:t>V</w:t>
      </w:r>
      <w:r w:rsidRPr="00E93481">
        <w:rPr>
          <w:rFonts w:cs="Open Sans"/>
          <w:shd w:val="clear" w:color="auto" w:fill="FFFFFF"/>
        </w:rPr>
        <w:t xml:space="preserve">ictims of </w:t>
      </w:r>
      <w:r w:rsidR="005C3EC1" w:rsidRPr="00E93481">
        <w:rPr>
          <w:rFonts w:cs="Open Sans"/>
          <w:shd w:val="clear" w:color="auto" w:fill="FFFFFF"/>
        </w:rPr>
        <w:t>C</w:t>
      </w:r>
      <w:r w:rsidRPr="00E93481">
        <w:rPr>
          <w:rFonts w:cs="Open Sans"/>
          <w:shd w:val="clear" w:color="auto" w:fill="FFFFFF"/>
        </w:rPr>
        <w:t xml:space="preserve">rime’, 15 March 2023, at </w:t>
      </w:r>
      <w:r w:rsidRPr="00E93481">
        <w:t>Article 15.</w:t>
      </w:r>
    </w:p>
  </w:footnote>
  <w:footnote w:id="124">
    <w:p w14:paraId="7ADCD50E" w14:textId="77777777" w:rsidR="00F519A9" w:rsidRPr="00E93481" w:rsidRDefault="00F519A9" w:rsidP="00A22E1F">
      <w:pPr>
        <w:pStyle w:val="NIHRCFootnotes"/>
      </w:pPr>
      <w:r w:rsidRPr="00E93481">
        <w:rPr>
          <w:rStyle w:val="FootnoteReference"/>
        </w:rPr>
        <w:footnoteRef/>
      </w:r>
      <w:r w:rsidRPr="00E93481">
        <w:t xml:space="preserve"> Article 22, Directive 2012/29/EU, ‘Directive of the European Parliament and of the Council Establishing Minimum Standards on the Rights, Support and Protection of Victims of Crime’, 25 October 2012.</w:t>
      </w:r>
    </w:p>
  </w:footnote>
  <w:footnote w:id="125">
    <w:p w14:paraId="38E1FAAA" w14:textId="77777777" w:rsidR="005300A2" w:rsidRPr="00E93481" w:rsidRDefault="005300A2" w:rsidP="00A22E1F">
      <w:pPr>
        <w:pStyle w:val="NIHRCFootnotes"/>
        <w:rPr>
          <w:vertAlign w:val="superscript"/>
        </w:rPr>
      </w:pPr>
      <w:r w:rsidRPr="00E93481">
        <w:rPr>
          <w:rStyle w:val="FootnoteReference"/>
        </w:rPr>
        <w:footnoteRef/>
      </w:r>
      <w:r w:rsidRPr="00E93481">
        <w:t xml:space="preserve"> Article 22, Directive 2012/29/EU, ‘Directive of the European Parliament and of the Council Establishing Minimum Standards on the Rights, Support and Protection of Victims of Crime’, 25 October 2012.</w:t>
      </w:r>
    </w:p>
  </w:footnote>
  <w:footnote w:id="126">
    <w:p w14:paraId="5DDA5BE8" w14:textId="0325CCF1" w:rsidR="009C7812" w:rsidRPr="00E93481" w:rsidRDefault="009C7812" w:rsidP="00A22E1F">
      <w:pPr>
        <w:pStyle w:val="NIHRCFootnotes"/>
      </w:pPr>
      <w:r w:rsidRPr="00E93481">
        <w:rPr>
          <w:vertAlign w:val="superscript"/>
        </w:rPr>
        <w:footnoteRef/>
      </w:r>
      <w:r w:rsidRPr="00E93481">
        <w:t xml:space="preserve"> Article 23, Directive 2012/29/EU, ‘Directive of the European Parliament and of the Council Establishing Minimum Standards on the Rights, Support and Protection of Victims of Crime’, 25 October 2012.</w:t>
      </w:r>
    </w:p>
  </w:footnote>
  <w:footnote w:id="127">
    <w:p w14:paraId="71304450" w14:textId="4FE21505" w:rsidR="005300A2" w:rsidRPr="00E93481" w:rsidRDefault="005300A2" w:rsidP="00A22E1F">
      <w:pPr>
        <w:pStyle w:val="NIHRCFootnotes"/>
      </w:pPr>
      <w:r w:rsidRPr="00E93481">
        <w:rPr>
          <w:rStyle w:val="FootnoteReference"/>
        </w:rPr>
        <w:footnoteRef/>
      </w:r>
      <w:r w:rsidRPr="00E93481">
        <w:t xml:space="preserve"> Recital 57, Directive 2012/29/EU, ‘Directive of the European Parliament and of the Council Establishing Minimum Standards on the Rights, Support and Protection of Victims of Crime’, 25 October 2012.</w:t>
      </w:r>
    </w:p>
  </w:footnote>
  <w:footnote w:id="128">
    <w:p w14:paraId="76A9A672" w14:textId="56E63CF2" w:rsidR="00F519A9" w:rsidRPr="00E93481" w:rsidRDefault="00F519A9" w:rsidP="00A22E1F">
      <w:pPr>
        <w:pStyle w:val="NIHRCFootnotes"/>
      </w:pPr>
      <w:r w:rsidRPr="00E93481">
        <w:rPr>
          <w:rStyle w:val="FootnoteReference"/>
        </w:rPr>
        <w:footnoteRef/>
      </w:r>
      <w:r w:rsidRPr="00E93481">
        <w:t xml:space="preserve"> Article 9, Directive 2012/29/EU, ‘Directive of the European Parliament and of the Council Establishing Minimum Standards on the Rights, Support and Protection of Victims of Crime’, 25 October 2012.</w:t>
      </w:r>
    </w:p>
  </w:footnote>
  <w:footnote w:id="129">
    <w:p w14:paraId="3728DC4F" w14:textId="77777777" w:rsidR="007B5CEA" w:rsidRPr="00E93481" w:rsidRDefault="007B5CEA" w:rsidP="00A22E1F">
      <w:pPr>
        <w:pStyle w:val="NIHRCFootnotes"/>
      </w:pPr>
      <w:r w:rsidRPr="00E93481">
        <w:rPr>
          <w:rStyle w:val="FootnoteReference"/>
        </w:rPr>
        <w:footnoteRef/>
      </w:r>
      <w:r w:rsidRPr="00E93481">
        <w:t xml:space="preserve"> Article 24, Directive 2012/29/EU, ‘Directive of the European Parliament and of the Council Establishing Minimum Standards on the Rights, Support and Protection of Victims of Crime’, 25 October 2012.</w:t>
      </w:r>
    </w:p>
  </w:footnote>
  <w:footnote w:id="130">
    <w:p w14:paraId="6D73412E" w14:textId="7513BEF5" w:rsidR="00E93481" w:rsidRPr="00E93481" w:rsidRDefault="00E93481" w:rsidP="00A22E1F">
      <w:pPr>
        <w:pStyle w:val="NIHRCFootnotes"/>
      </w:pPr>
      <w:r w:rsidRPr="00E93481">
        <w:rPr>
          <w:rStyle w:val="FootnoteReference"/>
        </w:rPr>
        <w:footnoteRef/>
      </w:r>
      <w:r w:rsidRPr="00E93481">
        <w:t xml:space="preserve"> </w:t>
      </w:r>
      <w:r w:rsidRPr="00002BD0">
        <w:t>Article 18, Directive 2011/92/EU, ‘Directive of the European Parliament and of the Council on combatting the sexual abuse and sexual exploitation of children and child pornography, and replacing Council Framework Decision 2004/68/JHA, 13 December 2011</w:t>
      </w:r>
      <w:r w:rsidRPr="00E93481">
        <w:t>.</w:t>
      </w:r>
    </w:p>
  </w:footnote>
  <w:footnote w:id="131">
    <w:p w14:paraId="3FB6D645" w14:textId="7B5CC4E7" w:rsidR="009E2ADF" w:rsidRPr="00E93481" w:rsidRDefault="009E2ADF" w:rsidP="00A22E1F">
      <w:pPr>
        <w:pStyle w:val="NIHRCFootnotes"/>
      </w:pPr>
      <w:r w:rsidRPr="00E93481">
        <w:rPr>
          <w:rStyle w:val="FootnoteReference"/>
        </w:rPr>
        <w:footnoteRef/>
      </w:r>
      <w:r w:rsidRPr="00E93481">
        <w:t xml:space="preserve"> </w:t>
      </w:r>
      <w:r w:rsidR="00564095" w:rsidRPr="00E93481">
        <w:t xml:space="preserve">The Executive Office, ‘Public Consultation: Strategy for Victims and Survivors of the Troubles/Conflict’ (TEO, 2023), at </w:t>
      </w:r>
      <w:r w:rsidR="003A5768" w:rsidRPr="00E93481">
        <w:t xml:space="preserve">17 and </w:t>
      </w:r>
      <w:r w:rsidR="00564095" w:rsidRPr="00E93481">
        <w:t>20</w:t>
      </w:r>
      <w:r w:rsidR="003A5768" w:rsidRPr="00E93481">
        <w:t>.</w:t>
      </w:r>
    </w:p>
  </w:footnote>
  <w:footnote w:id="132">
    <w:p w14:paraId="266AB9E8" w14:textId="4E8F57D0" w:rsidR="002E479F" w:rsidRPr="00E93481" w:rsidRDefault="002E479F" w:rsidP="00A22E1F">
      <w:pPr>
        <w:pStyle w:val="NIHRCFootnotes"/>
      </w:pPr>
      <w:r w:rsidRPr="00E93481">
        <w:rPr>
          <w:rStyle w:val="FootnoteReference"/>
        </w:rPr>
        <w:footnoteRef/>
      </w:r>
      <w:r w:rsidRPr="00E93481">
        <w:t xml:space="preserve"> </w:t>
      </w:r>
      <w:r w:rsidRPr="00E93481">
        <w:rPr>
          <w:rFonts w:cs="Open Sans"/>
          <w:shd w:val="clear" w:color="auto" w:fill="FFFFFF"/>
        </w:rPr>
        <w:t>CM/</w:t>
      </w:r>
      <w:proofErr w:type="gramStart"/>
      <w:r w:rsidRPr="00E93481">
        <w:rPr>
          <w:rFonts w:cs="Open Sans"/>
          <w:shd w:val="clear" w:color="auto" w:fill="FFFFFF"/>
        </w:rPr>
        <w:t>Rec(</w:t>
      </w:r>
      <w:proofErr w:type="gramEnd"/>
      <w:r w:rsidRPr="00E93481">
        <w:rPr>
          <w:rFonts w:cs="Open Sans"/>
          <w:shd w:val="clear" w:color="auto" w:fill="FFFFFF"/>
        </w:rPr>
        <w:t>2023)2, ‘</w:t>
      </w:r>
      <w:proofErr w:type="spellStart"/>
      <w:r w:rsidRPr="00E93481">
        <w:rPr>
          <w:rFonts w:cs="Open Sans"/>
          <w:shd w:val="clear" w:color="auto" w:fill="FFFFFF"/>
        </w:rPr>
        <w:t>CoE</w:t>
      </w:r>
      <w:proofErr w:type="spellEnd"/>
      <w:r w:rsidRPr="00E93481">
        <w:rPr>
          <w:rFonts w:cs="Open Sans"/>
          <w:shd w:val="clear" w:color="auto" w:fill="FFFFFF"/>
        </w:rPr>
        <w:t xml:space="preserve"> Committee of Ministers to Member States on </w:t>
      </w:r>
      <w:r w:rsidR="008B1E24">
        <w:rPr>
          <w:rFonts w:cs="Open Sans"/>
          <w:shd w:val="clear" w:color="auto" w:fill="FFFFFF"/>
        </w:rPr>
        <w:t>R</w:t>
      </w:r>
      <w:r w:rsidRPr="00E93481">
        <w:rPr>
          <w:rFonts w:cs="Open Sans"/>
          <w:shd w:val="clear" w:color="auto" w:fill="FFFFFF"/>
        </w:rPr>
        <w:t xml:space="preserve">ights, </w:t>
      </w:r>
      <w:r w:rsidR="008B1E24">
        <w:rPr>
          <w:rFonts w:cs="Open Sans"/>
          <w:shd w:val="clear" w:color="auto" w:fill="FFFFFF"/>
        </w:rPr>
        <w:t>S</w:t>
      </w:r>
      <w:r w:rsidRPr="00E93481">
        <w:rPr>
          <w:rFonts w:cs="Open Sans"/>
          <w:shd w:val="clear" w:color="auto" w:fill="FFFFFF"/>
        </w:rPr>
        <w:t xml:space="preserve">ervices and </w:t>
      </w:r>
      <w:r w:rsidR="008B1E24">
        <w:rPr>
          <w:rFonts w:cs="Open Sans"/>
          <w:shd w:val="clear" w:color="auto" w:fill="FFFFFF"/>
        </w:rPr>
        <w:t>S</w:t>
      </w:r>
      <w:r w:rsidRPr="00E93481">
        <w:rPr>
          <w:rFonts w:cs="Open Sans"/>
          <w:shd w:val="clear" w:color="auto" w:fill="FFFFFF"/>
        </w:rPr>
        <w:t xml:space="preserve">upport for </w:t>
      </w:r>
      <w:r w:rsidR="008B1E24">
        <w:rPr>
          <w:rFonts w:cs="Open Sans"/>
          <w:shd w:val="clear" w:color="auto" w:fill="FFFFFF"/>
        </w:rPr>
        <w:t>V</w:t>
      </w:r>
      <w:r w:rsidRPr="00E93481">
        <w:rPr>
          <w:rFonts w:cs="Open Sans"/>
          <w:shd w:val="clear" w:color="auto" w:fill="FFFFFF"/>
        </w:rPr>
        <w:t xml:space="preserve">ictims of </w:t>
      </w:r>
      <w:r w:rsidR="008B1E24">
        <w:rPr>
          <w:rFonts w:cs="Open Sans"/>
          <w:shd w:val="clear" w:color="auto" w:fill="FFFFFF"/>
        </w:rPr>
        <w:t>C</w:t>
      </w:r>
      <w:r w:rsidRPr="00E93481">
        <w:rPr>
          <w:rFonts w:cs="Open Sans"/>
          <w:shd w:val="clear" w:color="auto" w:fill="FFFFFF"/>
        </w:rPr>
        <w:t>rime’, 15 March 2023.</w:t>
      </w:r>
    </w:p>
  </w:footnote>
  <w:footnote w:id="133">
    <w:p w14:paraId="0E857D02" w14:textId="71F773EE" w:rsidR="00E605BE" w:rsidRPr="00E93481" w:rsidRDefault="00E605BE" w:rsidP="00A22E1F">
      <w:pPr>
        <w:pStyle w:val="NIHRCFootnotes"/>
      </w:pPr>
      <w:r w:rsidRPr="00E93481">
        <w:rPr>
          <w:rStyle w:val="FootnoteReference"/>
        </w:rPr>
        <w:footnoteRef/>
      </w:r>
      <w:r w:rsidRPr="00E93481">
        <w:t xml:space="preserve"> </w:t>
      </w:r>
      <w:r w:rsidR="00994885" w:rsidRPr="00E93481">
        <w:t>Recital 37, Directive 2012/29/EU, ‘Directive of the European Parliament and of the Council Establishing Minimum Standards on the Rights, Support and Protection of Victims of Crime’, 25 October 2012.</w:t>
      </w:r>
    </w:p>
  </w:footnote>
  <w:footnote w:id="134">
    <w:p w14:paraId="41EB9D28" w14:textId="6958AF5A" w:rsidR="00042A8F" w:rsidRPr="00E93481" w:rsidRDefault="00042A8F" w:rsidP="00A22E1F">
      <w:pPr>
        <w:pStyle w:val="NIHRCFootnotes"/>
      </w:pPr>
      <w:r w:rsidRPr="00E93481">
        <w:rPr>
          <w:rStyle w:val="FootnoteReference"/>
        </w:rPr>
        <w:footnoteRef/>
      </w:r>
      <w:r w:rsidRPr="00E93481">
        <w:t xml:space="preserve"> Article 8, Directive 2012/29/EU, ‘Directive of the European Parliament and of the Council Establishing Minimum Standards on the Rights, Support and Protection of Victims of Crime’, 25 October 2012.</w:t>
      </w:r>
    </w:p>
  </w:footnote>
  <w:footnote w:id="135">
    <w:p w14:paraId="7E542C00" w14:textId="77777777" w:rsidR="001673AC" w:rsidRPr="00E93481" w:rsidRDefault="001673AC" w:rsidP="00A22E1F">
      <w:pPr>
        <w:pStyle w:val="NIHRCFootnotes"/>
      </w:pPr>
      <w:r w:rsidRPr="00E93481">
        <w:rPr>
          <w:rStyle w:val="FootnoteReference"/>
        </w:rPr>
        <w:footnoteRef/>
      </w:r>
      <w:r w:rsidRPr="00E93481">
        <w:t xml:space="preserve"> The Executive Office, ‘Public Consultation: Strategy for Victims and Survivors of the Troubles/Conflict’ (TEO, 2023), at 20 and 24.</w:t>
      </w:r>
    </w:p>
  </w:footnote>
  <w:footnote w:id="136">
    <w:p w14:paraId="7E28ED83" w14:textId="77777777" w:rsidR="001673AC" w:rsidRPr="00E93481" w:rsidRDefault="001673AC" w:rsidP="00A22E1F">
      <w:pPr>
        <w:pStyle w:val="NIHRCFootnotes"/>
      </w:pPr>
      <w:r w:rsidRPr="00E93481">
        <w:rPr>
          <w:rStyle w:val="FootnoteReference"/>
        </w:rPr>
        <w:footnoteRef/>
      </w:r>
      <w:r w:rsidRPr="00E93481">
        <w:t xml:space="preserve"> Recital 62, Directive 2012/29/EU, ‘Directive of the European Parliament and of the Council Establishing Minimum Standards on the Rights, Support and Protection of Victims of Crime’, 25 October 2012.</w:t>
      </w:r>
    </w:p>
  </w:footnote>
  <w:footnote w:id="137">
    <w:p w14:paraId="3795237E" w14:textId="548907C7" w:rsidR="00F4306C" w:rsidRPr="00E93481" w:rsidRDefault="00F4306C" w:rsidP="00A22E1F">
      <w:pPr>
        <w:pStyle w:val="NIHRCFootnotes"/>
      </w:pPr>
      <w:r w:rsidRPr="00E93481">
        <w:rPr>
          <w:rStyle w:val="FootnoteReference"/>
        </w:rPr>
        <w:footnoteRef/>
      </w:r>
      <w:r w:rsidRPr="00E93481">
        <w:t xml:space="preserve"> </w:t>
      </w:r>
      <w:r w:rsidR="005C35A6" w:rsidRPr="00E93481">
        <w:t>The Executive Office, ‘Public Consultation: Strategy for Victims and Survivors of the Troubles/Conflict’ (TEO, 2023), at</w:t>
      </w:r>
      <w:r w:rsidRPr="00E93481">
        <w:t xml:space="preserve"> 17.</w:t>
      </w:r>
    </w:p>
  </w:footnote>
  <w:footnote w:id="138">
    <w:p w14:paraId="7FAFEBD6" w14:textId="5007A615" w:rsidR="005C35A6" w:rsidRPr="00E93481" w:rsidRDefault="005C35A6" w:rsidP="00A22E1F">
      <w:pPr>
        <w:pStyle w:val="NIHRCFootnotes"/>
      </w:pPr>
      <w:r w:rsidRPr="00E93481">
        <w:rPr>
          <w:rStyle w:val="FootnoteReference"/>
        </w:rPr>
        <w:footnoteRef/>
      </w:r>
      <w:r w:rsidRPr="00E93481">
        <w:t xml:space="preserve"> Victims’ Payments Board, 'Procedural Guidance' (VPB, 2021), at para 4.</w:t>
      </w:r>
    </w:p>
  </w:footnote>
  <w:footnote w:id="139">
    <w:p w14:paraId="66058A8F" w14:textId="0FBEF1FF" w:rsidR="00EF16F8" w:rsidRPr="00E93481" w:rsidRDefault="00EF16F8" w:rsidP="00A22E1F">
      <w:pPr>
        <w:pStyle w:val="NIHRCFootnotes"/>
      </w:pPr>
      <w:r w:rsidRPr="00E93481">
        <w:rPr>
          <w:rStyle w:val="FootnoteReference"/>
        </w:rPr>
        <w:footnoteRef/>
      </w:r>
      <w:r w:rsidRPr="00E93481">
        <w:t xml:space="preserve"> </w:t>
      </w:r>
      <w:r w:rsidR="00C324B6">
        <w:t>Ibid.</w:t>
      </w:r>
    </w:p>
  </w:footnote>
  <w:footnote w:id="140">
    <w:p w14:paraId="4DD8160B" w14:textId="5A94FFB6" w:rsidR="005C35A6" w:rsidRPr="00E93481" w:rsidRDefault="005C35A6" w:rsidP="00A22E1F">
      <w:pPr>
        <w:pStyle w:val="NIHRCFootnotes"/>
      </w:pPr>
      <w:r w:rsidRPr="00E93481">
        <w:rPr>
          <w:rStyle w:val="FootnoteReference"/>
        </w:rPr>
        <w:footnoteRef/>
      </w:r>
      <w:r w:rsidRPr="00E93481">
        <w:t xml:space="preserve"> Brendan Hughes, ‘Troubles pension: More than 40 applicants die before decisions made’, </w:t>
      </w:r>
      <w:r w:rsidRPr="00E93481">
        <w:rPr>
          <w:i/>
          <w:iCs/>
        </w:rPr>
        <w:t>BBC News</w:t>
      </w:r>
      <w:r w:rsidRPr="00E93481">
        <w:t>, 4 January 2024.</w:t>
      </w:r>
    </w:p>
  </w:footnote>
  <w:footnote w:id="141">
    <w:p w14:paraId="5FABE159" w14:textId="49318D61" w:rsidR="005C35A6" w:rsidRPr="00E93481" w:rsidRDefault="005C35A6" w:rsidP="00A22E1F">
      <w:pPr>
        <w:pStyle w:val="NIHRCFootnotes"/>
      </w:pPr>
      <w:r w:rsidRPr="00E93481">
        <w:rPr>
          <w:rStyle w:val="FootnoteReference"/>
        </w:rPr>
        <w:footnoteRef/>
      </w:r>
      <w:r w:rsidRPr="00E93481">
        <w:t xml:space="preserve"> </w:t>
      </w:r>
      <w:r w:rsidR="00C324B6">
        <w:t>Ibid</w:t>
      </w:r>
      <w:r w:rsidRPr="00E93481">
        <w:t>.</w:t>
      </w:r>
    </w:p>
  </w:footnote>
  <w:footnote w:id="142">
    <w:p w14:paraId="4081900D" w14:textId="5681DB60" w:rsidR="005C35A6" w:rsidRPr="00E93481" w:rsidRDefault="005C35A6" w:rsidP="00A22E1F">
      <w:pPr>
        <w:pStyle w:val="NIHRCFootnotes"/>
      </w:pPr>
      <w:r w:rsidRPr="00E93481">
        <w:rPr>
          <w:rStyle w:val="FootnoteReference"/>
        </w:rPr>
        <w:footnoteRef/>
      </w:r>
      <w:r w:rsidRPr="00E93481">
        <w:t xml:space="preserve"> Victims’ Payments Board, ‘Statistics’. Available at: </w:t>
      </w:r>
      <w:hyperlink r:id="rId4" w:history="1">
        <w:r w:rsidRPr="00E93481">
          <w:rPr>
            <w:rStyle w:val="Hyperlink"/>
            <w:color w:val="77328A"/>
          </w:rPr>
          <w:t>Statistics | Victims' Payments Board (victimspaymentsboard.org.uk)</w:t>
        </w:r>
      </w:hyperlink>
    </w:p>
  </w:footnote>
  <w:footnote w:id="143">
    <w:p w14:paraId="6B9C1D22" w14:textId="3DF510B5" w:rsidR="00C13773" w:rsidRPr="00E93481" w:rsidRDefault="00C13773" w:rsidP="00A22E1F">
      <w:pPr>
        <w:pStyle w:val="NIHRCFootnotes"/>
      </w:pPr>
      <w:r w:rsidRPr="00E93481">
        <w:rPr>
          <w:rStyle w:val="FootnoteReference"/>
        </w:rPr>
        <w:footnoteRef/>
      </w:r>
      <w:r w:rsidRPr="00E93481">
        <w:t xml:space="preserve"> </w:t>
      </w:r>
      <w:r w:rsidR="00783156" w:rsidRPr="00E93481">
        <w:t xml:space="preserve">Jayne McCormack, ‘Troubles </w:t>
      </w:r>
      <w:r w:rsidR="001D23D4" w:rsidRPr="00E93481">
        <w:t>victims’</w:t>
      </w:r>
      <w:r w:rsidR="00783156" w:rsidRPr="00E93481">
        <w:t xml:space="preserve"> pensions: One third of applicants denied access to scheme’, </w:t>
      </w:r>
      <w:r w:rsidR="00783156" w:rsidRPr="00E93481">
        <w:rPr>
          <w:i/>
          <w:iCs/>
        </w:rPr>
        <w:t>BBC News</w:t>
      </w:r>
      <w:r w:rsidR="00783156" w:rsidRPr="00E93481">
        <w:t>, 28 September 2023</w:t>
      </w:r>
      <w:r w:rsidR="00290A06" w:rsidRPr="00E93481">
        <w:t xml:space="preserve">; Brendan Hughes, ‘Troubles pension: More than 40 applicants die before decisions made’, </w:t>
      </w:r>
      <w:r w:rsidR="00290A06" w:rsidRPr="00E93481">
        <w:rPr>
          <w:i/>
          <w:iCs/>
        </w:rPr>
        <w:t>BBC News</w:t>
      </w:r>
      <w:r w:rsidR="00290A06" w:rsidRPr="00E93481">
        <w:t xml:space="preserve">, 4 January 2024; </w:t>
      </w:r>
      <w:r w:rsidR="00AC4C49" w:rsidRPr="00E93481">
        <w:t xml:space="preserve">Claudia Savage, ‘Could take decade to process applications to Troubles victims’ scheme, MPs hear’, </w:t>
      </w:r>
      <w:r w:rsidR="00AC4C49" w:rsidRPr="00E93481">
        <w:rPr>
          <w:i/>
          <w:iCs/>
        </w:rPr>
        <w:t>Irish News</w:t>
      </w:r>
      <w:r w:rsidR="00AC4C49" w:rsidRPr="00E93481">
        <w:t>, 4 December 2023.</w:t>
      </w:r>
    </w:p>
  </w:footnote>
  <w:footnote w:id="144">
    <w:p w14:paraId="75C23FD5" w14:textId="686D87D6" w:rsidR="00770626" w:rsidRPr="00E93481" w:rsidRDefault="00770626" w:rsidP="00A22E1F">
      <w:pPr>
        <w:pStyle w:val="NIHRCFootnotes"/>
      </w:pPr>
      <w:r w:rsidRPr="00E93481">
        <w:rPr>
          <w:rStyle w:val="FootnoteReference"/>
        </w:rPr>
        <w:footnoteRef/>
      </w:r>
      <w:r w:rsidRPr="00E93481">
        <w:t xml:space="preserve"> UK Parliament Hansard, ‘NI Affairs Committee - Oral </w:t>
      </w:r>
      <w:r w:rsidR="005C3EC1" w:rsidRPr="00E93481">
        <w:t>E</w:t>
      </w:r>
      <w:r w:rsidRPr="00E93481">
        <w:t>vidence: Victims’ Payments Board, HC 308: The Hon Mr Justice McAl</w:t>
      </w:r>
      <w:r w:rsidR="001D23D4">
        <w:t>in</w:t>
      </w:r>
      <w:r w:rsidRPr="00E93481">
        <w:t>den’, 4 December 2023.</w:t>
      </w:r>
    </w:p>
  </w:footnote>
  <w:footnote w:id="145">
    <w:p w14:paraId="28998B75" w14:textId="52EF9DE7" w:rsidR="00074048" w:rsidRPr="00E93481" w:rsidRDefault="00074048" w:rsidP="00A22E1F">
      <w:pPr>
        <w:pStyle w:val="NIHRCFootnotes"/>
      </w:pPr>
      <w:r w:rsidRPr="00E93481">
        <w:rPr>
          <w:rStyle w:val="FootnoteReference"/>
        </w:rPr>
        <w:footnoteRef/>
      </w:r>
      <w:r w:rsidRPr="00E93481">
        <w:t xml:space="preserve"> </w:t>
      </w:r>
      <w:r w:rsidR="00C324B6">
        <w:t>Ibid</w:t>
      </w:r>
      <w:r w:rsidR="00DA21C7" w:rsidRPr="00E93481">
        <w:t>.</w:t>
      </w:r>
    </w:p>
  </w:footnote>
  <w:footnote w:id="146">
    <w:p w14:paraId="1AF8FBE8" w14:textId="77777777" w:rsidR="0078052E" w:rsidRPr="00E93481" w:rsidRDefault="0078052E" w:rsidP="00A22E1F">
      <w:pPr>
        <w:pStyle w:val="NIHRCFootnotes"/>
      </w:pPr>
      <w:r w:rsidRPr="00E93481">
        <w:rPr>
          <w:rStyle w:val="FootnoteReference"/>
        </w:rPr>
        <w:footnoteRef/>
      </w:r>
      <w:r w:rsidRPr="00E93481">
        <w:t xml:space="preserve"> UN Declaration of Basic Principles of Justice for Victims of Crime and Abuse of Power, 29 November 1985, at Principle 4.</w:t>
      </w:r>
    </w:p>
  </w:footnote>
  <w:footnote w:id="147">
    <w:p w14:paraId="5CE4B956" w14:textId="77777777" w:rsidR="0078052E" w:rsidRPr="00E93481" w:rsidRDefault="0078052E" w:rsidP="00A22E1F">
      <w:pPr>
        <w:pStyle w:val="NIHRCFootnotes"/>
      </w:pPr>
      <w:r w:rsidRPr="00E93481">
        <w:rPr>
          <w:rStyle w:val="FootnoteReference"/>
        </w:rPr>
        <w:footnoteRef/>
      </w:r>
      <w:r w:rsidRPr="00E93481">
        <w:t xml:space="preserve"> A/RES/40/34, ‘United Nations Declaration of Basic Principles of Justice for Victims of Crime and Abuse of Power’, 29 November 1985, at Principle 17.</w:t>
      </w:r>
    </w:p>
  </w:footnote>
  <w:footnote w:id="148">
    <w:p w14:paraId="6AB23682" w14:textId="77777777" w:rsidR="007933C7" w:rsidRPr="00E93481" w:rsidRDefault="007933C7" w:rsidP="00A22E1F">
      <w:pPr>
        <w:pStyle w:val="NIHRCFootnotes"/>
      </w:pPr>
      <w:r w:rsidRPr="00E93481">
        <w:rPr>
          <w:rStyle w:val="FootnoteReference"/>
        </w:rPr>
        <w:footnoteRef/>
      </w:r>
      <w:r w:rsidRPr="00E93481">
        <w:t xml:space="preserve"> Victims’ Payments Board, ‘Statistics’. Available at: </w:t>
      </w:r>
      <w:hyperlink r:id="rId5" w:history="1">
        <w:r w:rsidRPr="00E93481">
          <w:rPr>
            <w:rStyle w:val="Hyperlink"/>
            <w:color w:val="77328A"/>
          </w:rPr>
          <w:t>Statistics | Victims' Payments Board (victimspaymentsboard.org.uk)</w:t>
        </w:r>
      </w:hyperlink>
    </w:p>
  </w:footnote>
  <w:footnote w:id="149">
    <w:p w14:paraId="51E1FDE4" w14:textId="28E96A2E" w:rsidR="007933C7" w:rsidRPr="00E93481" w:rsidRDefault="007933C7" w:rsidP="00A22E1F">
      <w:pPr>
        <w:pStyle w:val="NIHRCFootnotes"/>
      </w:pPr>
      <w:r w:rsidRPr="00E93481">
        <w:rPr>
          <w:rStyle w:val="FootnoteReference"/>
        </w:rPr>
        <w:footnoteRef/>
      </w:r>
      <w:r w:rsidRPr="00E93481">
        <w:t xml:space="preserve"> Brendan Hughes, ‘Troubles pension: More than 40 applicants die before decisions made’, </w:t>
      </w:r>
      <w:r w:rsidRPr="00E93481">
        <w:rPr>
          <w:i/>
          <w:iCs/>
        </w:rPr>
        <w:t>BBC News</w:t>
      </w:r>
      <w:r w:rsidRPr="00E93481">
        <w:t>, 4 January 2024.</w:t>
      </w:r>
    </w:p>
  </w:footnote>
  <w:footnote w:id="150">
    <w:p w14:paraId="520EF85D" w14:textId="27C872BB" w:rsidR="00A86483" w:rsidRPr="00E93481" w:rsidRDefault="00A86483" w:rsidP="00A22E1F">
      <w:pPr>
        <w:pStyle w:val="NIHRCFootnotes"/>
      </w:pPr>
      <w:r w:rsidRPr="00E93481">
        <w:rPr>
          <w:rStyle w:val="FootnoteReference"/>
        </w:rPr>
        <w:footnoteRef/>
      </w:r>
      <w:r w:rsidRPr="00E93481">
        <w:t xml:space="preserve"> </w:t>
      </w:r>
      <w:r w:rsidR="00984D3C" w:rsidRPr="00E93481">
        <w:t xml:space="preserve">Article 9(1), </w:t>
      </w:r>
      <w:r w:rsidR="00F65DD9" w:rsidRPr="00E93481">
        <w:t>Directive 2012/29/EU, ‘Directive of the European Parliament and of the Council Establishing Minimum Standards on the Rights, Support and Protection of Victims of Crime’, 25 October 2012.</w:t>
      </w:r>
    </w:p>
  </w:footnote>
  <w:footnote w:id="151">
    <w:p w14:paraId="235ADB1C" w14:textId="5B8598A0" w:rsidR="00A86483" w:rsidRPr="00E93481" w:rsidRDefault="00A86483" w:rsidP="00A22E1F">
      <w:pPr>
        <w:pStyle w:val="NIHRCFootnotes"/>
      </w:pPr>
      <w:r w:rsidRPr="00E93481">
        <w:rPr>
          <w:rStyle w:val="FootnoteReference"/>
        </w:rPr>
        <w:footnoteRef/>
      </w:r>
      <w:r w:rsidRPr="00E93481">
        <w:t xml:space="preserve"> </w:t>
      </w:r>
      <w:r w:rsidR="00984D3C" w:rsidRPr="00E93481">
        <w:t xml:space="preserve">Recital 62, </w:t>
      </w:r>
      <w:r w:rsidR="00F65DD9" w:rsidRPr="00E93481">
        <w:t>Directive 2012/29/EU, ‘Directive of the European Parliament and of the Council Establishing Minimum Standards on the Rights, Support and Protection of Victims of Crime’, 25 October 2012.</w:t>
      </w:r>
    </w:p>
  </w:footnote>
  <w:footnote w:id="152">
    <w:p w14:paraId="450D0407" w14:textId="2C0F4F2D" w:rsidR="00C968FC" w:rsidRPr="00E93481" w:rsidRDefault="00C968FC" w:rsidP="00A22E1F">
      <w:pPr>
        <w:pStyle w:val="NIHRCFootnotes"/>
      </w:pPr>
      <w:r w:rsidRPr="00E93481">
        <w:rPr>
          <w:rStyle w:val="FootnoteReference"/>
        </w:rPr>
        <w:footnoteRef/>
      </w:r>
      <w:r w:rsidRPr="00E93481">
        <w:t xml:space="preserve"> UK Parliament Hansard, ‘NI Affairs Committee - Oral </w:t>
      </w:r>
      <w:r w:rsidR="005C3EC1" w:rsidRPr="00E93481">
        <w:t>E</w:t>
      </w:r>
      <w:r w:rsidRPr="00E93481">
        <w:t>vidence: Victims’ Payments Board, HC 308: The Hon Mr Justice McAli</w:t>
      </w:r>
      <w:r w:rsidR="001D23D4">
        <w:t>n</w:t>
      </w:r>
      <w:r w:rsidRPr="00E93481">
        <w:t>den’, 4 December 2023.</w:t>
      </w:r>
    </w:p>
  </w:footnote>
  <w:footnote w:id="153">
    <w:p w14:paraId="45E2C82B" w14:textId="740CE636" w:rsidR="000B7FAB" w:rsidRPr="00E93481" w:rsidRDefault="000B7FAB" w:rsidP="00A22E1F">
      <w:pPr>
        <w:pStyle w:val="NIHRCFootnotes"/>
      </w:pPr>
      <w:r w:rsidRPr="00E93481">
        <w:rPr>
          <w:rStyle w:val="FootnoteReference"/>
        </w:rPr>
        <w:footnoteRef/>
      </w:r>
      <w:r w:rsidRPr="00E93481">
        <w:t xml:space="preserve"> </w:t>
      </w:r>
      <w:r w:rsidR="000D5EEA" w:rsidRPr="00E93481">
        <w:t xml:space="preserve">Brendan Hughes, ‘Troubles pension: More than 40 applicants die before decisions made’, </w:t>
      </w:r>
      <w:r w:rsidR="000D5EEA" w:rsidRPr="00E93481">
        <w:rPr>
          <w:i/>
          <w:iCs/>
        </w:rPr>
        <w:t>BBC News</w:t>
      </w:r>
      <w:r w:rsidR="000D5EEA" w:rsidRPr="00E93481">
        <w:t>, 4 January 2024.</w:t>
      </w:r>
    </w:p>
  </w:footnote>
  <w:footnote w:id="154">
    <w:p w14:paraId="6780FECD" w14:textId="466C1E29" w:rsidR="00AC6B32" w:rsidRPr="00E93481" w:rsidRDefault="00AC6B32" w:rsidP="00A22E1F">
      <w:pPr>
        <w:pStyle w:val="NIHRCFootnotes"/>
      </w:pPr>
      <w:r w:rsidRPr="00E93481">
        <w:rPr>
          <w:rStyle w:val="FootnoteReference"/>
        </w:rPr>
        <w:footnoteRef/>
      </w:r>
      <w:r w:rsidRPr="00E93481">
        <w:t xml:space="preserve"> The Executive Office, ‘Strategy for Victims and Survivors of the Troubles/Conflict’ (TEO, 2024)</w:t>
      </w:r>
      <w:r w:rsidR="00AD5009">
        <w:t xml:space="preserve">, </w:t>
      </w:r>
      <w:r w:rsidRPr="00E93481">
        <w:t>at 19.</w:t>
      </w:r>
    </w:p>
  </w:footnote>
  <w:footnote w:id="155">
    <w:p w14:paraId="5ABBDA8F" w14:textId="288E9504" w:rsidR="00AC6B32" w:rsidRPr="00E93481" w:rsidRDefault="00AC6B32" w:rsidP="00A22E1F">
      <w:pPr>
        <w:pStyle w:val="NIHRCFootnotes"/>
      </w:pPr>
      <w:r w:rsidRPr="00E93481">
        <w:rPr>
          <w:rStyle w:val="FootnoteReference"/>
        </w:rPr>
        <w:footnoteRef/>
      </w:r>
      <w:r w:rsidRPr="00E93481">
        <w:t xml:space="preserve"> </w:t>
      </w:r>
      <w:r w:rsidR="00C324B6">
        <w:rPr>
          <w:rFonts w:eastAsia="Verdana" w:cs="Verdana"/>
        </w:rPr>
        <w:t>Ibid,</w:t>
      </w:r>
      <w:r w:rsidRPr="00E93481">
        <w:rPr>
          <w:rFonts w:eastAsia="Verdana" w:cs="Verdana"/>
        </w:rPr>
        <w:t xml:space="preserve"> at 21.</w:t>
      </w:r>
    </w:p>
  </w:footnote>
  <w:footnote w:id="156">
    <w:p w14:paraId="73BC82DA" w14:textId="0F3A5D1A" w:rsidR="00AC6B32" w:rsidRPr="00E93481" w:rsidRDefault="00AC6B32" w:rsidP="00A22E1F">
      <w:pPr>
        <w:pStyle w:val="NIHRCFootnotes"/>
      </w:pPr>
      <w:r w:rsidRPr="00E93481">
        <w:rPr>
          <w:rStyle w:val="FootnoteReference"/>
        </w:rPr>
        <w:footnoteRef/>
      </w:r>
      <w:r w:rsidRPr="00E93481">
        <w:t xml:space="preserve"> </w:t>
      </w:r>
      <w:r w:rsidR="00C324B6">
        <w:rPr>
          <w:rFonts w:eastAsia="Verdana" w:cs="Verdana"/>
        </w:rPr>
        <w:t>Ibid.</w:t>
      </w:r>
      <w:r w:rsidRPr="00E93481">
        <w:rPr>
          <w:rFonts w:eastAsia="Verdana" w:cs="Verdana"/>
        </w:rPr>
        <w:t xml:space="preserve"> </w:t>
      </w:r>
    </w:p>
    <w:p w14:paraId="21F4DC69" w14:textId="77777777" w:rsidR="00AC6B32" w:rsidRPr="00E93481" w:rsidRDefault="00AC6B32" w:rsidP="00A22E1F">
      <w:pPr>
        <w:pStyle w:val="NIHRCFootnotes"/>
      </w:pPr>
    </w:p>
  </w:footnote>
  <w:footnote w:id="157">
    <w:p w14:paraId="1FE0D14A" w14:textId="08717CA3" w:rsidR="00D02E84" w:rsidRPr="00E93481" w:rsidRDefault="00D02E84" w:rsidP="00A22E1F">
      <w:pPr>
        <w:pStyle w:val="NIHRCFootnotes"/>
      </w:pPr>
      <w:r w:rsidRPr="00E93481">
        <w:rPr>
          <w:rStyle w:val="FootnoteReference"/>
        </w:rPr>
        <w:footnoteRef/>
      </w:r>
      <w:r w:rsidRPr="00E93481">
        <w:t xml:space="preserve"> </w:t>
      </w:r>
      <w:r w:rsidR="008F1F75" w:rsidRPr="00E93481">
        <w:t xml:space="preserve">For example, </w:t>
      </w:r>
      <w:r w:rsidR="00B60E73" w:rsidRPr="00E93481">
        <w:t>NI Human Rights Commission, ‘</w:t>
      </w:r>
      <w:r w:rsidR="00E51767" w:rsidRPr="00E93481">
        <w:t xml:space="preserve">Advice on NI Troubles (Legacy and Reconciliation) Bill’ (NIHRC, 2022); </w:t>
      </w:r>
      <w:r w:rsidR="00B60E73" w:rsidRPr="00E93481">
        <w:t xml:space="preserve">NI Human Rights Commission, ‘Submission to the NI Affairs Committee Inquiry into Addressing the Legacy of Northern Ireland’s Past: UK Government's New Proposals’ (NIHRC, 2020); </w:t>
      </w:r>
      <w:r w:rsidR="003F4D23" w:rsidRPr="00E93481">
        <w:t xml:space="preserve">NI Human Rights Commission, </w:t>
      </w:r>
      <w:r w:rsidR="0028170A" w:rsidRPr="00E93481">
        <w:t>‘Submission to Consultation on Supporting Victims and Survivors</w:t>
      </w:r>
      <w:r w:rsidR="0000483F" w:rsidRPr="00E93481">
        <w:t>’ (NIHRC, 2019)</w:t>
      </w:r>
      <w:r w:rsidR="00FD6AAE" w:rsidRPr="00E93481">
        <w:t>; NI Human Rights Commission, ‘Advice of the Northern Ireland Human Rights Commission to the Northern Ireland Office in respect of the NI (Executive Formation etc.) Act 2019: Victims Payments’</w:t>
      </w:r>
      <w:r w:rsidR="00F64337" w:rsidRPr="00E93481">
        <w:t xml:space="preserve"> (NIHRC, 2019).</w:t>
      </w:r>
    </w:p>
  </w:footnote>
  <w:footnote w:id="158">
    <w:p w14:paraId="62057869" w14:textId="764612EE" w:rsidR="001B45F0" w:rsidRPr="00E93481" w:rsidRDefault="001B45F0" w:rsidP="00A22E1F">
      <w:pPr>
        <w:pStyle w:val="NIHRCFootnotes"/>
      </w:pPr>
      <w:r w:rsidRPr="00E93481">
        <w:rPr>
          <w:rStyle w:val="FootnoteReference"/>
        </w:rPr>
        <w:footnoteRef/>
      </w:r>
      <w:r w:rsidRPr="00E93481">
        <w:t xml:space="preserve"> </w:t>
      </w:r>
      <w:r w:rsidR="00A671BB" w:rsidRPr="00E93481">
        <w:rPr>
          <w:i/>
          <w:iCs/>
        </w:rPr>
        <w:t xml:space="preserve">Ergi v Turkey </w:t>
      </w:r>
      <w:r w:rsidR="00A671BB" w:rsidRPr="00E93481">
        <w:t xml:space="preserve">(1998), ECHR 59, at para 82; </w:t>
      </w:r>
      <w:r w:rsidR="00A671BB" w:rsidRPr="00E93481">
        <w:rPr>
          <w:i/>
          <w:iCs/>
        </w:rPr>
        <w:t>ROD v Croatia</w:t>
      </w:r>
      <w:r w:rsidR="00A671BB" w:rsidRPr="00E93481">
        <w:t xml:space="preserve"> (2008) ECHR 1048, at Section 1; </w:t>
      </w:r>
      <w:r w:rsidR="00A671BB" w:rsidRPr="00E93481">
        <w:rPr>
          <w:i/>
          <w:iCs/>
        </w:rPr>
        <w:t>Anguelova v Bulgaria</w:t>
      </w:r>
      <w:r w:rsidR="00A671BB" w:rsidRPr="00E93481">
        <w:t xml:space="preserve"> (2002) ECHR 489, at para 137; </w:t>
      </w:r>
      <w:proofErr w:type="spellStart"/>
      <w:r w:rsidR="00A671BB" w:rsidRPr="00E93481">
        <w:rPr>
          <w:i/>
          <w:iCs/>
        </w:rPr>
        <w:t>Jasinskis</w:t>
      </w:r>
      <w:proofErr w:type="spellEnd"/>
      <w:r w:rsidR="00A671BB" w:rsidRPr="00E93481">
        <w:rPr>
          <w:i/>
          <w:iCs/>
        </w:rPr>
        <w:t xml:space="preserve"> v Latvia</w:t>
      </w:r>
      <w:r w:rsidR="00A671BB" w:rsidRPr="00E93481">
        <w:t xml:space="preserve"> (2010) ECHR 1, at para 72; </w:t>
      </w:r>
      <w:proofErr w:type="spellStart"/>
      <w:r w:rsidR="00A671BB" w:rsidRPr="00E93481">
        <w:rPr>
          <w:i/>
          <w:iCs/>
        </w:rPr>
        <w:t>Assenov</w:t>
      </w:r>
      <w:proofErr w:type="spellEnd"/>
      <w:r w:rsidR="00A671BB" w:rsidRPr="00E93481">
        <w:rPr>
          <w:i/>
          <w:iCs/>
        </w:rPr>
        <w:t xml:space="preserve"> and Others v Bulgaria</w:t>
      </w:r>
      <w:r w:rsidR="00A671BB" w:rsidRPr="00E93481">
        <w:t xml:space="preserve"> (1998) ECHR 98, at para 102.</w:t>
      </w:r>
    </w:p>
  </w:footnote>
  <w:footnote w:id="159">
    <w:p w14:paraId="77826ED4" w14:textId="669E7509" w:rsidR="00A671BB" w:rsidRPr="00E93481" w:rsidRDefault="00A671BB" w:rsidP="00A22E1F">
      <w:pPr>
        <w:pStyle w:val="NIHRCFootnotes"/>
      </w:pPr>
      <w:r w:rsidRPr="00E93481">
        <w:rPr>
          <w:rStyle w:val="FootnoteReference"/>
        </w:rPr>
        <w:footnoteRef/>
      </w:r>
      <w:r w:rsidRPr="00E93481">
        <w:t xml:space="preserve"> </w:t>
      </w:r>
      <w:r w:rsidRPr="00E93481">
        <w:rPr>
          <w:i/>
          <w:iCs/>
        </w:rPr>
        <w:t>Mocanu and Others v Romania</w:t>
      </w:r>
      <w:r w:rsidRPr="00E93481">
        <w:t xml:space="preserve"> (2014) ECHR 958, at paras 319-325.</w:t>
      </w:r>
    </w:p>
  </w:footnote>
  <w:footnote w:id="160">
    <w:p w14:paraId="06E145D3" w14:textId="499B2FB3" w:rsidR="0026246F" w:rsidRPr="00E93481" w:rsidRDefault="0026246F" w:rsidP="00A22E1F">
      <w:pPr>
        <w:pStyle w:val="NIHRCFootnotes"/>
      </w:pPr>
      <w:r w:rsidRPr="00E93481">
        <w:rPr>
          <w:rStyle w:val="FootnoteReference"/>
        </w:rPr>
        <w:footnoteRef/>
      </w:r>
      <w:r w:rsidRPr="00E93481">
        <w:t xml:space="preserve">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161">
    <w:p w14:paraId="6B2BB12D" w14:textId="3EACFA7E" w:rsidR="003B43AB" w:rsidRPr="00E93481" w:rsidRDefault="003B43AB" w:rsidP="00A22E1F">
      <w:pPr>
        <w:pStyle w:val="NIHRCFootnotes"/>
      </w:pPr>
      <w:r w:rsidRPr="00E93481">
        <w:rPr>
          <w:rStyle w:val="FootnoteReference"/>
        </w:rPr>
        <w:footnoteRef/>
      </w:r>
      <w:r w:rsidRPr="00E93481">
        <w:t xml:space="preserve"> </w:t>
      </w:r>
      <w:proofErr w:type="spellStart"/>
      <w:r w:rsidRPr="00E93481">
        <w:rPr>
          <w:i/>
          <w:iCs/>
        </w:rPr>
        <w:t>McKerr</w:t>
      </w:r>
      <w:proofErr w:type="spellEnd"/>
      <w:r w:rsidRPr="00E93481">
        <w:rPr>
          <w:i/>
          <w:iCs/>
        </w:rPr>
        <w:t xml:space="preserve"> v UK</w:t>
      </w:r>
      <w:r w:rsidRPr="00E93481">
        <w:t xml:space="preserve"> (2001) ECHR 329, at para 115.</w:t>
      </w:r>
    </w:p>
  </w:footnote>
  <w:footnote w:id="162">
    <w:p w14:paraId="336F5086" w14:textId="7BDE1048" w:rsidR="00702826" w:rsidRPr="00E93481" w:rsidRDefault="00702826" w:rsidP="00A22E1F">
      <w:pPr>
        <w:pStyle w:val="NIHRCFootnotes"/>
      </w:pPr>
      <w:r w:rsidRPr="00E93481">
        <w:rPr>
          <w:rStyle w:val="FootnoteReference"/>
        </w:rPr>
        <w:footnoteRef/>
      </w:r>
      <w:r w:rsidRPr="00E93481">
        <w:t xml:space="preserve"> </w:t>
      </w:r>
      <w:r w:rsidR="00345EDE" w:rsidRPr="00E93481">
        <w:rPr>
          <w:i/>
          <w:iCs/>
        </w:rPr>
        <w:t>Leander v Sweden</w:t>
      </w:r>
      <w:r w:rsidR="00345EDE" w:rsidRPr="00E93481">
        <w:t xml:space="preserve"> (1987) ECHR 4, at para 51.</w:t>
      </w:r>
    </w:p>
  </w:footnote>
  <w:footnote w:id="163">
    <w:p w14:paraId="7FBC3A24" w14:textId="3719B358" w:rsidR="0026246F" w:rsidRPr="00E93481" w:rsidRDefault="0026246F" w:rsidP="00A22E1F">
      <w:pPr>
        <w:pStyle w:val="NIHRCFootnotes"/>
      </w:pPr>
      <w:r w:rsidRPr="00E93481">
        <w:rPr>
          <w:rStyle w:val="FootnoteReference"/>
        </w:rPr>
        <w:footnoteRef/>
      </w:r>
      <w:r w:rsidRPr="00E93481">
        <w:t xml:space="preserve"> Articles 17 and 19, UN International Covenant on Civil and Political Rights 1966; Article 5(d)(viii), UN Convention on the Elimination of All Forms of Racial Discrimination 1965; Articles 12, 13 and 16(1), UN Convention on the Rights of the Child 1989; Articles 21 and 22, UN Convention on the Rights of Persons with Disabilities 2006.</w:t>
      </w:r>
    </w:p>
  </w:footnote>
  <w:footnote w:id="164">
    <w:p w14:paraId="34A791C8" w14:textId="702B748B" w:rsidR="00EF1DFE" w:rsidRPr="00E93481" w:rsidRDefault="00EF1DFE" w:rsidP="00A22E1F">
      <w:pPr>
        <w:pStyle w:val="NIHRCFootnotes"/>
      </w:pPr>
      <w:r w:rsidRPr="00E93481">
        <w:rPr>
          <w:rStyle w:val="FootnoteReference"/>
        </w:rPr>
        <w:footnoteRef/>
      </w:r>
      <w:r w:rsidRPr="00E93481">
        <w:t xml:space="preserve"> </w:t>
      </w:r>
      <w:r w:rsidR="00DC516D" w:rsidRPr="00E93481">
        <w:t xml:space="preserve">Article 13, European Convention on Human Rights; Article </w:t>
      </w:r>
      <w:r w:rsidR="00C9708A" w:rsidRPr="00E93481">
        <w:t xml:space="preserve">2(3), UN International Covenant on Civil and Political Rights. </w:t>
      </w:r>
    </w:p>
  </w:footnote>
  <w:footnote w:id="165">
    <w:p w14:paraId="31CD0938" w14:textId="3813540C" w:rsidR="00EF1DFE" w:rsidRPr="00E93481" w:rsidRDefault="00EF1DFE" w:rsidP="00A22E1F">
      <w:pPr>
        <w:pStyle w:val="NIHRCFootnotes"/>
      </w:pPr>
      <w:r w:rsidRPr="00E93481">
        <w:rPr>
          <w:rStyle w:val="FootnoteReference"/>
        </w:rPr>
        <w:footnoteRef/>
      </w:r>
      <w:r w:rsidRPr="00E93481">
        <w:t xml:space="preserve"> </w:t>
      </w:r>
      <w:r w:rsidR="00935DB2" w:rsidRPr="00E93481">
        <w:t xml:space="preserve">Article </w:t>
      </w:r>
      <w:r w:rsidR="00BE24C2" w:rsidRPr="00E93481">
        <w:t>6, European Convention on Human Rights; Article 14, UN International Covenant on Civil and Political Rights.</w:t>
      </w:r>
    </w:p>
  </w:footnote>
  <w:footnote w:id="166">
    <w:p w14:paraId="0DA70E37" w14:textId="12FA9F5B" w:rsidR="00D24F61" w:rsidRPr="00E93481" w:rsidRDefault="00D24F61" w:rsidP="00A22E1F">
      <w:pPr>
        <w:pStyle w:val="NIHRCFootnotes"/>
      </w:pPr>
      <w:r w:rsidRPr="00E93481">
        <w:rPr>
          <w:rStyle w:val="FootnoteReference"/>
        </w:rPr>
        <w:footnoteRef/>
      </w:r>
      <w:r w:rsidRPr="00E93481">
        <w:t xml:space="preserve"> </w:t>
      </w:r>
      <w:r w:rsidRPr="00E93481">
        <w:rPr>
          <w:rFonts w:eastAsia="Verdana"/>
        </w:rPr>
        <w:t>UN Basic Principles and Guidelines on the Right to a Remedy and Reparation for Victims of Gross Violations of International Human Rights Law and Serious Violations of International Humanitarian Law 2005, at para</w:t>
      </w:r>
      <w:r w:rsidRPr="00E93481">
        <w:t xml:space="preserve"> 12.</w:t>
      </w:r>
    </w:p>
  </w:footnote>
  <w:footnote w:id="167">
    <w:p w14:paraId="6318D1C3" w14:textId="750F393C" w:rsidR="0042171D" w:rsidRPr="00E93481" w:rsidRDefault="0042171D" w:rsidP="00A22E1F">
      <w:pPr>
        <w:pStyle w:val="NIHRCFootnotes"/>
      </w:pPr>
      <w:r w:rsidRPr="00E93481">
        <w:rPr>
          <w:rStyle w:val="FootnoteReference"/>
        </w:rPr>
        <w:footnoteRef/>
      </w:r>
      <w:r w:rsidRPr="00E93481">
        <w:t xml:space="preserve"> </w:t>
      </w:r>
      <w:r w:rsidR="000473C0" w:rsidRPr="00E93481">
        <w:rPr>
          <w:rFonts w:eastAsia="Verdana"/>
        </w:rPr>
        <w:t>UN Basic Principles and Guidelines on the Right to a Remedy and Reparation for Victims of Gross Violations of International Human Rights Law and Serious Violations of International Humanitarian Law 2005</w:t>
      </w:r>
      <w:r w:rsidRPr="00E93481">
        <w:rPr>
          <w:rFonts w:eastAsia="Verdana"/>
        </w:rPr>
        <w:t>, at para</w:t>
      </w:r>
      <w:r w:rsidR="00D24F61" w:rsidRPr="00E93481">
        <w:rPr>
          <w:rFonts w:eastAsia="Verdana"/>
        </w:rPr>
        <w:t>s 12 and</w:t>
      </w:r>
      <w:r w:rsidRPr="00E93481">
        <w:t xml:space="preserve"> 24.</w:t>
      </w:r>
    </w:p>
  </w:footnote>
  <w:footnote w:id="168">
    <w:p w14:paraId="24C194B6" w14:textId="3A48A883" w:rsidR="00730EB7" w:rsidRPr="00E93481" w:rsidRDefault="00730EB7" w:rsidP="00A22E1F">
      <w:pPr>
        <w:pStyle w:val="NIHRCFootnotes"/>
      </w:pPr>
      <w:r w:rsidRPr="00E93481">
        <w:rPr>
          <w:rStyle w:val="FootnoteReference"/>
        </w:rPr>
        <w:footnoteRef/>
      </w:r>
      <w:r w:rsidRPr="00E93481">
        <w:t xml:space="preserve"> </w:t>
      </w:r>
      <w:proofErr w:type="spellStart"/>
      <w:r w:rsidR="003033E3" w:rsidRPr="00E93481">
        <w:rPr>
          <w:i/>
          <w:iCs/>
        </w:rPr>
        <w:t>Ferazzini</w:t>
      </w:r>
      <w:proofErr w:type="spellEnd"/>
      <w:r w:rsidR="003033E3" w:rsidRPr="00E93481">
        <w:rPr>
          <w:i/>
          <w:iCs/>
        </w:rPr>
        <w:t xml:space="preserve"> v Italy</w:t>
      </w:r>
      <w:r w:rsidR="003033E3" w:rsidRPr="00E93481">
        <w:t xml:space="preserve"> (2001) ECHR 464, at para 30; </w:t>
      </w:r>
      <w:r w:rsidR="003033E3" w:rsidRPr="00E93481">
        <w:rPr>
          <w:i/>
          <w:iCs/>
        </w:rPr>
        <w:t>Ramos Nunes De Carvalho e Sá v Portugal</w:t>
      </w:r>
      <w:r w:rsidR="003033E3" w:rsidRPr="00E93481">
        <w:t xml:space="preserve"> (2016) ECHR 555, at para 121.</w:t>
      </w:r>
    </w:p>
  </w:footnote>
  <w:footnote w:id="169">
    <w:p w14:paraId="72B3FC93" w14:textId="0C1C0893" w:rsidR="003033E3" w:rsidRPr="00E93481" w:rsidRDefault="003033E3" w:rsidP="00A22E1F">
      <w:pPr>
        <w:pStyle w:val="NIHRCFootnotes"/>
      </w:pPr>
      <w:r w:rsidRPr="00E93481">
        <w:rPr>
          <w:rStyle w:val="FootnoteReference"/>
        </w:rPr>
        <w:footnoteRef/>
      </w:r>
      <w:r w:rsidRPr="00E93481">
        <w:t xml:space="preserve"> </w:t>
      </w:r>
      <w:proofErr w:type="spellStart"/>
      <w:r w:rsidRPr="00E93481">
        <w:rPr>
          <w:i/>
          <w:iCs/>
        </w:rPr>
        <w:t>Wos</w:t>
      </w:r>
      <w:proofErr w:type="spellEnd"/>
      <w:r w:rsidRPr="00E93481">
        <w:rPr>
          <w:i/>
          <w:iCs/>
        </w:rPr>
        <w:t xml:space="preserve"> v Poland</w:t>
      </w:r>
      <w:r w:rsidRPr="00E93481">
        <w:t xml:space="preserve"> (2006) ECHR 608, at para 76.</w:t>
      </w:r>
    </w:p>
  </w:footnote>
  <w:footnote w:id="170">
    <w:p w14:paraId="49750D5E" w14:textId="3FF9905A" w:rsidR="003033E3" w:rsidRPr="00E93481" w:rsidRDefault="003033E3" w:rsidP="00A22E1F">
      <w:pPr>
        <w:pStyle w:val="NIHRCFootnotes"/>
      </w:pPr>
      <w:r w:rsidRPr="00E93481">
        <w:rPr>
          <w:rStyle w:val="FootnoteReference"/>
        </w:rPr>
        <w:footnoteRef/>
      </w:r>
      <w:r w:rsidRPr="00E93481">
        <w:t xml:space="preserve"> </w:t>
      </w:r>
      <w:r w:rsidR="00A42A19" w:rsidRPr="00E93481">
        <w:rPr>
          <w:i/>
          <w:iCs/>
        </w:rPr>
        <w:t>Sramek v Austria</w:t>
      </w:r>
      <w:r w:rsidR="00A42A19" w:rsidRPr="00E93481">
        <w:t xml:space="preserve"> (1984) ECHR 12, at para 36.</w:t>
      </w:r>
    </w:p>
  </w:footnote>
  <w:footnote w:id="171">
    <w:p w14:paraId="57EE0024" w14:textId="3779BB2F" w:rsidR="00331B05" w:rsidRPr="00E93481" w:rsidRDefault="00331B05" w:rsidP="00A22E1F">
      <w:pPr>
        <w:pStyle w:val="NIHRCFootnotes"/>
      </w:pPr>
      <w:r w:rsidRPr="00E93481">
        <w:rPr>
          <w:rStyle w:val="FootnoteReference"/>
        </w:rPr>
        <w:footnoteRef/>
      </w:r>
      <w:r w:rsidRPr="00E93481">
        <w:t xml:space="preserve"> </w:t>
      </w:r>
      <w:r w:rsidRPr="00E93481">
        <w:rPr>
          <w:i/>
          <w:iCs/>
        </w:rPr>
        <w:t>Rolf Gustafson v Sweden</w:t>
      </w:r>
      <w:r w:rsidRPr="00E93481">
        <w:t xml:space="preserve"> (1997) ECHR 41.</w:t>
      </w:r>
    </w:p>
  </w:footnote>
  <w:footnote w:id="172">
    <w:p w14:paraId="03A865CE" w14:textId="7371CCD0" w:rsidR="00422310" w:rsidRPr="00E93481" w:rsidRDefault="00422310" w:rsidP="00A22E1F">
      <w:pPr>
        <w:pStyle w:val="NIHRCFootnotes"/>
      </w:pPr>
      <w:r w:rsidRPr="00E93481">
        <w:rPr>
          <w:rStyle w:val="FootnoteReference"/>
        </w:rPr>
        <w:footnoteRef/>
      </w:r>
      <w:r w:rsidRPr="00E93481">
        <w:t xml:space="preserve"> </w:t>
      </w:r>
      <w:proofErr w:type="spellStart"/>
      <w:r w:rsidR="00A73E72" w:rsidRPr="00E93481">
        <w:rPr>
          <w:i/>
          <w:iCs/>
        </w:rPr>
        <w:t>Bitiyeva</w:t>
      </w:r>
      <w:proofErr w:type="spellEnd"/>
      <w:r w:rsidR="00A73E72" w:rsidRPr="00E93481">
        <w:rPr>
          <w:i/>
          <w:iCs/>
        </w:rPr>
        <w:t xml:space="preserve"> and Others v Russia</w:t>
      </w:r>
      <w:r w:rsidR="00A73E72" w:rsidRPr="00E93481">
        <w:t xml:space="preserve"> (2009) ECHR 672, at para 121; </w:t>
      </w:r>
      <w:r w:rsidR="00A73E72" w:rsidRPr="00E93481">
        <w:rPr>
          <w:i/>
          <w:iCs/>
        </w:rPr>
        <w:t>Akhmadova and Akhmadov v Russia</w:t>
      </w:r>
      <w:r w:rsidR="00A73E72" w:rsidRPr="00E93481">
        <w:t xml:space="preserve"> (2008) ECHR 869, at para 103.</w:t>
      </w:r>
    </w:p>
  </w:footnote>
  <w:footnote w:id="173">
    <w:p w14:paraId="3E45ABB2" w14:textId="7CC4768C" w:rsidR="00A22E1F" w:rsidRDefault="00A22E1F" w:rsidP="00A22E1F">
      <w:pPr>
        <w:pStyle w:val="NIHRCFootnotes"/>
      </w:pPr>
      <w:r>
        <w:rPr>
          <w:rStyle w:val="FootnoteReference"/>
        </w:rPr>
        <w:footnoteRef/>
      </w:r>
      <w:r>
        <w:t xml:space="preserve"> </w:t>
      </w:r>
      <w:r w:rsidRPr="00E93481">
        <w:rPr>
          <w:rFonts w:eastAsia="Verdana"/>
        </w:rPr>
        <w:t>UN Basic Principles and Guidelines on the Right to a Remedy and Reparation for Victims of Gross Violations of International Human Rights Law and Serious Violations of International Humanitarian Law 2005, at para 19.</w:t>
      </w:r>
    </w:p>
  </w:footnote>
  <w:footnote w:id="174">
    <w:p w14:paraId="3F6F90E7" w14:textId="5CCF0BFC" w:rsidR="0026060D" w:rsidRPr="00E93481" w:rsidRDefault="0026060D" w:rsidP="00A22E1F">
      <w:pPr>
        <w:pStyle w:val="NIHRCFootnotes"/>
        <w:rPr>
          <w:rFonts w:eastAsia="Verdana"/>
          <w:vertAlign w:val="superscript"/>
        </w:rPr>
      </w:pPr>
      <w:r w:rsidRPr="00E93481">
        <w:rPr>
          <w:rStyle w:val="FootnoteReference"/>
        </w:rPr>
        <w:footnoteRef/>
      </w:r>
      <w:r w:rsidRPr="00E93481">
        <w:t xml:space="preserve"> </w:t>
      </w:r>
      <w:r w:rsidRPr="00E93481">
        <w:rPr>
          <w:rFonts w:eastAsia="Verdana"/>
        </w:rPr>
        <w:t>UN Basic Principles and Guidelines on the Right to a Remedy and Reparation for Victims of Gross Violations of International Human Rights Law and Serious Violations of International Humanitarian Law 2005, at para</w:t>
      </w:r>
      <w:r w:rsidR="00AA64EF">
        <w:rPr>
          <w:rFonts w:eastAsia="Verdana"/>
        </w:rPr>
        <w:t>s</w:t>
      </w:r>
      <w:r w:rsidRPr="00E93481">
        <w:rPr>
          <w:rFonts w:eastAsia="Verdana"/>
        </w:rPr>
        <w:t xml:space="preserve"> 19</w:t>
      </w:r>
      <w:r w:rsidR="00AA64EF">
        <w:rPr>
          <w:rFonts w:eastAsia="Verdana"/>
        </w:rPr>
        <w:t xml:space="preserve"> and 20</w:t>
      </w:r>
      <w:r w:rsidRPr="00E93481">
        <w:rPr>
          <w:rFonts w:eastAsia="Verdana"/>
        </w:rPr>
        <w:t>.</w:t>
      </w:r>
    </w:p>
  </w:footnote>
  <w:footnote w:id="175">
    <w:p w14:paraId="14A3FEFF" w14:textId="5550596F" w:rsidR="00B50125" w:rsidRPr="00E93481" w:rsidRDefault="00B50125" w:rsidP="00A22E1F">
      <w:pPr>
        <w:pStyle w:val="NIHRCFootnotes"/>
        <w:rPr>
          <w:rFonts w:eastAsia="Verdana"/>
          <w:vertAlign w:val="superscript"/>
        </w:rPr>
      </w:pPr>
      <w:r w:rsidRPr="00E93481">
        <w:rPr>
          <w:rStyle w:val="FootnoteReference"/>
        </w:rPr>
        <w:footnoteRef/>
      </w:r>
      <w:r w:rsidRPr="00E93481">
        <w:t xml:space="preserve"> </w:t>
      </w:r>
      <w:r w:rsidR="000473C0" w:rsidRPr="00E93481">
        <w:rPr>
          <w:rFonts w:eastAsia="Verdana"/>
        </w:rPr>
        <w:t>UN Basic Principles and Guidelines on the Right to a Remedy and Reparation for Victims of Gross Violations of International Human Rights Law and Serious Violations of International Humanitarian Law 2005</w:t>
      </w:r>
      <w:r w:rsidR="0017261A" w:rsidRPr="00E93481">
        <w:rPr>
          <w:rFonts w:eastAsia="Verdana"/>
        </w:rPr>
        <w:t>, at para 2</w:t>
      </w:r>
      <w:r w:rsidR="0095460B" w:rsidRPr="00E93481">
        <w:rPr>
          <w:rFonts w:eastAsia="Verdana"/>
        </w:rPr>
        <w:t>1</w:t>
      </w:r>
      <w:r w:rsidR="0017261A" w:rsidRPr="00E93481">
        <w:rPr>
          <w:rFonts w:eastAsia="Verdana"/>
        </w:rPr>
        <w:t>.</w:t>
      </w:r>
    </w:p>
  </w:footnote>
  <w:footnote w:id="176">
    <w:p w14:paraId="7843F2F2" w14:textId="09F503B6" w:rsidR="00B50125" w:rsidRPr="00E93481" w:rsidRDefault="00B50125" w:rsidP="00A22E1F">
      <w:pPr>
        <w:pStyle w:val="NIHRCFootnotes"/>
      </w:pPr>
      <w:r w:rsidRPr="00E93481">
        <w:rPr>
          <w:rStyle w:val="FootnoteReference"/>
        </w:rPr>
        <w:footnoteRef/>
      </w:r>
      <w:r w:rsidRPr="00E93481">
        <w:t xml:space="preserve"> </w:t>
      </w:r>
      <w:r w:rsidR="000473C0" w:rsidRPr="00E93481">
        <w:rPr>
          <w:rFonts w:eastAsia="Verdana"/>
        </w:rPr>
        <w:t>UN Basic Principles and Guidelines on the Right to a Remedy and Reparation for Victims of Gross Violations of International Human Rights Law and Serious Violations of International Humanitarian Law 2005</w:t>
      </w:r>
      <w:r w:rsidR="0017261A" w:rsidRPr="00E93481">
        <w:t>, at para 2</w:t>
      </w:r>
      <w:r w:rsidR="001960A4" w:rsidRPr="00E93481">
        <w:t>2</w:t>
      </w:r>
      <w:r w:rsidR="0017261A" w:rsidRPr="00E93481">
        <w:t>.</w:t>
      </w:r>
    </w:p>
  </w:footnote>
  <w:footnote w:id="177">
    <w:p w14:paraId="52376F23" w14:textId="07F28D23" w:rsidR="00B50125" w:rsidRPr="00E93481" w:rsidRDefault="00B50125" w:rsidP="00A22E1F">
      <w:pPr>
        <w:pStyle w:val="NIHRCFootnotes"/>
        <w:rPr>
          <w:rFonts w:eastAsia="Verdana"/>
          <w:vertAlign w:val="superscript"/>
        </w:rPr>
      </w:pPr>
      <w:r w:rsidRPr="00E93481">
        <w:rPr>
          <w:rStyle w:val="FootnoteReference"/>
        </w:rPr>
        <w:footnoteRef/>
      </w:r>
      <w:r w:rsidRPr="00E93481">
        <w:t xml:space="preserve"> </w:t>
      </w:r>
      <w:r w:rsidR="000473C0" w:rsidRPr="00E93481">
        <w:rPr>
          <w:rFonts w:eastAsia="Verdana"/>
        </w:rPr>
        <w:t>UN Basic Principles and Guidelines on the Right to a Remedy and Reparation for Victims of Gross Violations of International Human Rights Law and Serious Violations of International Humanitarian Law 2005</w:t>
      </w:r>
      <w:r w:rsidR="00996F08" w:rsidRPr="00E93481">
        <w:rPr>
          <w:rFonts w:eastAsia="Verdana"/>
        </w:rPr>
        <w:t>, at para 23.</w:t>
      </w:r>
    </w:p>
  </w:footnote>
  <w:footnote w:id="178">
    <w:p w14:paraId="55556A95" w14:textId="63EF9E12" w:rsidR="00B448D0" w:rsidRPr="00E93481" w:rsidRDefault="00B448D0" w:rsidP="00A22E1F">
      <w:pPr>
        <w:pStyle w:val="NIHRCFootnotes"/>
      </w:pPr>
      <w:r w:rsidRPr="00E93481">
        <w:rPr>
          <w:rStyle w:val="FootnoteReference"/>
        </w:rPr>
        <w:footnoteRef/>
      </w:r>
      <w:r w:rsidRPr="00E93481">
        <w:t xml:space="preserve"> </w:t>
      </w:r>
      <w:r w:rsidR="0026060D">
        <w:t>Which includes</w:t>
      </w:r>
      <w:r w:rsidR="00AA64EF">
        <w:t>,</w:t>
      </w:r>
      <w:r w:rsidR="0026060D">
        <w:t xml:space="preserve"> </w:t>
      </w:r>
      <w:r w:rsidR="00AA64EF">
        <w:t>for example, Article 2 of the ECHR (right to life)</w:t>
      </w:r>
      <w:r w:rsidR="0026060D">
        <w:t xml:space="preserve">. </w:t>
      </w:r>
      <w:r w:rsidR="00AA64EF">
        <w:rPr>
          <w:i/>
          <w:iCs/>
        </w:rPr>
        <w:t xml:space="preserve">See </w:t>
      </w:r>
      <w:r w:rsidR="00F02182" w:rsidRPr="00E93481">
        <w:rPr>
          <w:i/>
          <w:iCs/>
        </w:rPr>
        <w:t>El-Masri v The Former Yugoslav Republic of Macedonia</w:t>
      </w:r>
      <w:r w:rsidR="00F02182" w:rsidRPr="00E93481">
        <w:t xml:space="preserve"> (2012) ECHR 2067, at para 191</w:t>
      </w:r>
      <w:r w:rsidRPr="00E93481">
        <w:t xml:space="preserve">; </w:t>
      </w:r>
      <w:r w:rsidRPr="00E93481">
        <w:rPr>
          <w:i/>
          <w:iCs/>
        </w:rPr>
        <w:t>Janowiec and Others v Russia</w:t>
      </w:r>
      <w:r w:rsidRPr="00E93481">
        <w:t xml:space="preserve"> (2013) ECHR 1003, at para 9 of the Joint Partly Dissenting Opinion of Judges </w:t>
      </w:r>
      <w:proofErr w:type="spellStart"/>
      <w:r w:rsidRPr="00E93481">
        <w:t>Ziemele</w:t>
      </w:r>
      <w:proofErr w:type="spellEnd"/>
      <w:r w:rsidRPr="00E93481">
        <w:t xml:space="preserve">, De Gaetano, </w:t>
      </w:r>
      <w:proofErr w:type="spellStart"/>
      <w:r w:rsidRPr="00E93481">
        <w:t>Laffranque</w:t>
      </w:r>
      <w:proofErr w:type="spellEnd"/>
      <w:r w:rsidRPr="00E93481">
        <w:t xml:space="preserve"> and Keller; </w:t>
      </w:r>
      <w:r w:rsidRPr="00E93481">
        <w:rPr>
          <w:i/>
          <w:iCs/>
        </w:rPr>
        <w:t>Varnava and Others v Turkey</w:t>
      </w:r>
      <w:r w:rsidRPr="00E93481">
        <w:t xml:space="preserve"> (2009) ECHR 1313, at paras 200-202.</w:t>
      </w:r>
    </w:p>
  </w:footnote>
  <w:footnote w:id="179">
    <w:p w14:paraId="48E6AD6C" w14:textId="47C85E06" w:rsidR="00B448D0" w:rsidRPr="00E93481" w:rsidRDefault="00B448D0" w:rsidP="00A22E1F">
      <w:pPr>
        <w:pStyle w:val="NIHRCFootnotes"/>
      </w:pPr>
      <w:r w:rsidRPr="00E93481">
        <w:rPr>
          <w:rStyle w:val="FootnoteReference"/>
        </w:rPr>
        <w:footnoteRef/>
      </w:r>
      <w:r w:rsidRPr="00E93481">
        <w:t xml:space="preserve"> </w:t>
      </w:r>
      <w:r w:rsidRPr="00E93481">
        <w:rPr>
          <w:i/>
          <w:iCs/>
        </w:rPr>
        <w:t>El-Masri v The Former Yugoslav Republic of Macedonia</w:t>
      </w:r>
      <w:r w:rsidRPr="00E93481">
        <w:t xml:space="preserve"> (2012</w:t>
      </w:r>
      <w:r w:rsidR="00F02182" w:rsidRPr="00E93481">
        <w:t>) ECHR 2067</w:t>
      </w:r>
      <w:r w:rsidRPr="00E93481">
        <w:t>, at para 191.</w:t>
      </w:r>
    </w:p>
  </w:footnote>
  <w:footnote w:id="180">
    <w:p w14:paraId="124A0D7D" w14:textId="4F596CC6" w:rsidR="009524CA" w:rsidRPr="00E93481" w:rsidRDefault="009524CA" w:rsidP="00A22E1F">
      <w:pPr>
        <w:pStyle w:val="NIHRCFootnotes"/>
        <w:rPr>
          <w:rFonts w:eastAsia="Verdana"/>
          <w:vertAlign w:val="superscript"/>
        </w:rPr>
      </w:pPr>
      <w:r w:rsidRPr="00E93481">
        <w:rPr>
          <w:rStyle w:val="FootnoteReference"/>
        </w:rPr>
        <w:footnoteRef/>
      </w:r>
      <w:r w:rsidRPr="00E93481">
        <w:t xml:space="preserve"> </w:t>
      </w:r>
      <w:proofErr w:type="spellStart"/>
      <w:r w:rsidRPr="00E93481">
        <w:rPr>
          <w:rFonts w:eastAsia="Verdana"/>
          <w:i/>
        </w:rPr>
        <w:t>Chauvy</w:t>
      </w:r>
      <w:proofErr w:type="spellEnd"/>
      <w:r w:rsidRPr="00E93481">
        <w:rPr>
          <w:rFonts w:eastAsia="Verdana"/>
          <w:i/>
        </w:rPr>
        <w:t xml:space="preserve"> and Others v France </w:t>
      </w:r>
      <w:r w:rsidRPr="00E93481">
        <w:rPr>
          <w:rFonts w:eastAsia="Verdana"/>
        </w:rPr>
        <w:t>(2004) ECHR 295, at para 69;</w:t>
      </w:r>
      <w:r w:rsidRPr="00E93481">
        <w:rPr>
          <w:rFonts w:eastAsia="Verdana"/>
          <w:i/>
        </w:rPr>
        <w:t xml:space="preserve"> Fatullayev v Azerbaijan </w:t>
      </w:r>
      <w:r w:rsidRPr="00E93481">
        <w:rPr>
          <w:rFonts w:eastAsia="Verdana"/>
        </w:rPr>
        <w:t>(2010) ECHR 623, at para 87;</w:t>
      </w:r>
      <w:r w:rsidRPr="00E93481">
        <w:rPr>
          <w:rFonts w:eastAsia="Verdana"/>
          <w:i/>
        </w:rPr>
        <w:t xml:space="preserve"> Dzhugashvili v Russia </w:t>
      </w:r>
      <w:r w:rsidRPr="00E93481">
        <w:rPr>
          <w:rFonts w:eastAsia="Verdana"/>
        </w:rPr>
        <w:t>(2014) ECHR 1448, at para 33.</w:t>
      </w:r>
    </w:p>
  </w:footnote>
  <w:footnote w:id="181">
    <w:p w14:paraId="3DF42603" w14:textId="249AD5D4" w:rsidR="009524CA" w:rsidRPr="00E93481" w:rsidRDefault="009524CA" w:rsidP="00A22E1F">
      <w:pPr>
        <w:pStyle w:val="NIHRCFootnotes"/>
      </w:pPr>
      <w:r w:rsidRPr="00E93481">
        <w:rPr>
          <w:rStyle w:val="FootnoteReference"/>
        </w:rPr>
        <w:footnoteRef/>
      </w:r>
      <w:r w:rsidRPr="00E93481">
        <w:t xml:space="preserve"> </w:t>
      </w:r>
      <w:r w:rsidRPr="00E93481">
        <w:rPr>
          <w:rFonts w:eastAsia="Verdana"/>
          <w:i/>
        </w:rPr>
        <w:t xml:space="preserve">Monnat </w:t>
      </w:r>
      <w:r w:rsidR="00AA64EF">
        <w:rPr>
          <w:rFonts w:eastAsia="Verdana"/>
          <w:i/>
        </w:rPr>
        <w:t>v</w:t>
      </w:r>
      <w:r w:rsidRPr="00E93481">
        <w:rPr>
          <w:rFonts w:eastAsia="Verdana"/>
          <w:i/>
        </w:rPr>
        <w:t xml:space="preserve"> Switzerland </w:t>
      </w:r>
      <w:r w:rsidRPr="00E93481">
        <w:rPr>
          <w:rFonts w:eastAsia="Verdana"/>
        </w:rPr>
        <w:t>(2006) ECHR 1206, at para 64;</w:t>
      </w:r>
      <w:r w:rsidRPr="00E93481">
        <w:rPr>
          <w:rFonts w:eastAsia="Verdana"/>
          <w:i/>
        </w:rPr>
        <w:t xml:space="preserve"> </w:t>
      </w:r>
      <w:proofErr w:type="spellStart"/>
      <w:r w:rsidRPr="00E93481">
        <w:rPr>
          <w:rFonts w:eastAsia="Verdana"/>
          <w:i/>
        </w:rPr>
        <w:t>Chauvy</w:t>
      </w:r>
      <w:proofErr w:type="spellEnd"/>
      <w:r w:rsidRPr="00E93481">
        <w:rPr>
          <w:rFonts w:eastAsia="Verdana"/>
          <w:i/>
        </w:rPr>
        <w:t xml:space="preserve"> and Others v France </w:t>
      </w:r>
      <w:r w:rsidRPr="00E93481">
        <w:rPr>
          <w:rFonts w:eastAsia="Verdana"/>
        </w:rPr>
        <w:t>(2004) ECHR 295, at para 69;</w:t>
      </w:r>
      <w:r w:rsidRPr="00E93481">
        <w:rPr>
          <w:rFonts w:eastAsia="Verdana"/>
          <w:i/>
        </w:rPr>
        <w:t xml:space="preserve"> Dzhugashvili v Russia </w:t>
      </w:r>
      <w:r w:rsidRPr="00E93481">
        <w:rPr>
          <w:rFonts w:eastAsia="Verdana"/>
        </w:rPr>
        <w:t>(2014) ECHR 1448, at para 33.</w:t>
      </w:r>
    </w:p>
  </w:footnote>
  <w:footnote w:id="182">
    <w:p w14:paraId="5E85C69C" w14:textId="7AB7618B" w:rsidR="007102CE" w:rsidRPr="00E93481" w:rsidRDefault="007102CE" w:rsidP="00A22E1F">
      <w:pPr>
        <w:pStyle w:val="NIHRCFootnotes"/>
      </w:pPr>
      <w:r w:rsidRPr="00E93481">
        <w:rPr>
          <w:rStyle w:val="FootnoteReference"/>
        </w:rPr>
        <w:footnoteRef/>
      </w:r>
      <w:r w:rsidRPr="00E93481">
        <w:t xml:space="preserve"> </w:t>
      </w:r>
      <w:r w:rsidR="00DE41C1" w:rsidRPr="00E93481">
        <w:t>E/CN.4/2006/91, ‘Study on the Right to the Truth: Report of the Office of the United Nations High Commissioner for Human Rights’, 8 February 2006, at Summary.</w:t>
      </w:r>
    </w:p>
  </w:footnote>
  <w:footnote w:id="183">
    <w:p w14:paraId="452E30FB" w14:textId="0B6F5F0E" w:rsidR="004835BA" w:rsidRPr="00E93481" w:rsidRDefault="004835BA" w:rsidP="00A22E1F">
      <w:pPr>
        <w:pStyle w:val="NIHRCFootnotes"/>
      </w:pPr>
      <w:r w:rsidRPr="00E93481">
        <w:rPr>
          <w:rStyle w:val="FootnoteReference"/>
        </w:rPr>
        <w:footnoteRef/>
      </w:r>
      <w:r w:rsidRPr="00E93481">
        <w:t xml:space="preserve"> </w:t>
      </w:r>
      <w:r w:rsidRPr="00E93481">
        <w:rPr>
          <w:i/>
          <w:iCs/>
        </w:rPr>
        <w:t>YF v Turkey</w:t>
      </w:r>
      <w:r w:rsidRPr="00E93481">
        <w:t xml:space="preserve"> (2003) ECHR 391, at para 33.</w:t>
      </w:r>
    </w:p>
  </w:footnote>
  <w:footnote w:id="184">
    <w:p w14:paraId="415341DA" w14:textId="45DE4974" w:rsidR="0060220A" w:rsidRPr="00E93481" w:rsidRDefault="0060220A" w:rsidP="00A22E1F">
      <w:pPr>
        <w:pStyle w:val="NIHRCFootnotes"/>
      </w:pPr>
      <w:r w:rsidRPr="00E93481">
        <w:rPr>
          <w:rStyle w:val="FootnoteReference"/>
        </w:rPr>
        <w:footnoteRef/>
      </w:r>
      <w:r w:rsidRPr="00E93481">
        <w:t xml:space="preserve"> </w:t>
      </w:r>
      <w:r w:rsidRPr="00E93481">
        <w:rPr>
          <w:i/>
          <w:iCs/>
        </w:rPr>
        <w:t xml:space="preserve">Bensaid v </w:t>
      </w:r>
      <w:r w:rsidR="00275A34" w:rsidRPr="00E93481">
        <w:rPr>
          <w:i/>
          <w:iCs/>
        </w:rPr>
        <w:t>UK</w:t>
      </w:r>
      <w:r w:rsidRPr="00E93481">
        <w:t xml:space="preserve"> (2001) ECHR 82, at para 47.</w:t>
      </w:r>
    </w:p>
  </w:footnote>
  <w:footnote w:id="185">
    <w:p w14:paraId="563F1B99" w14:textId="0328C7DF" w:rsidR="000B494C" w:rsidRPr="00E93481" w:rsidRDefault="000B494C" w:rsidP="00A22E1F">
      <w:pPr>
        <w:pStyle w:val="NIHRCFootnotes"/>
      </w:pPr>
      <w:r w:rsidRPr="00E93481">
        <w:rPr>
          <w:rStyle w:val="FootnoteReference"/>
        </w:rPr>
        <w:footnoteRef/>
      </w:r>
      <w:r w:rsidRPr="00E93481">
        <w:t xml:space="preserve"> </w:t>
      </w:r>
      <w:r w:rsidR="0060220A" w:rsidRPr="00E93481">
        <w:rPr>
          <w:i/>
          <w:iCs/>
        </w:rPr>
        <w:t>Dudgeon v U</w:t>
      </w:r>
      <w:r w:rsidR="00275A34" w:rsidRPr="00E93481">
        <w:rPr>
          <w:i/>
          <w:iCs/>
        </w:rPr>
        <w:t xml:space="preserve">K </w:t>
      </w:r>
      <w:r w:rsidR="0060220A" w:rsidRPr="00E93481">
        <w:t>(1981) ECHR 5, at para 53.</w:t>
      </w:r>
    </w:p>
  </w:footnote>
  <w:footnote w:id="186">
    <w:p w14:paraId="0E368300" w14:textId="163B36F3" w:rsidR="00642383" w:rsidRPr="00E93481" w:rsidRDefault="00642383" w:rsidP="00A22E1F">
      <w:pPr>
        <w:pStyle w:val="NIHRCFootnotes"/>
      </w:pPr>
      <w:r w:rsidRPr="00E93481">
        <w:rPr>
          <w:rStyle w:val="FootnoteReference"/>
        </w:rPr>
        <w:footnoteRef/>
      </w:r>
      <w:r w:rsidRPr="00E93481">
        <w:t xml:space="preserve"> </w:t>
      </w:r>
      <w:r w:rsidRPr="00E93481">
        <w:rPr>
          <w:i/>
          <w:iCs/>
        </w:rPr>
        <w:t>EG v Republic of Moldova</w:t>
      </w:r>
      <w:r w:rsidRPr="00E93481">
        <w:t xml:space="preserve"> </w:t>
      </w:r>
      <w:r w:rsidR="00C35536" w:rsidRPr="00E93481">
        <w:t>(2021) ECHR</w:t>
      </w:r>
      <w:r w:rsidR="00A600A8" w:rsidRPr="00E93481">
        <w:t xml:space="preserve"> 296</w:t>
      </w:r>
      <w:r w:rsidRPr="00E93481">
        <w:t>.</w:t>
      </w:r>
    </w:p>
  </w:footnote>
  <w:footnote w:id="187">
    <w:p w14:paraId="77894338" w14:textId="0AF02479" w:rsidR="00C908CB" w:rsidRPr="00E93481" w:rsidRDefault="00C908CB" w:rsidP="00A22E1F">
      <w:pPr>
        <w:pStyle w:val="NIHRCFootnotes"/>
      </w:pPr>
      <w:r w:rsidRPr="00E93481">
        <w:rPr>
          <w:rStyle w:val="FootnoteReference"/>
        </w:rPr>
        <w:footnoteRef/>
      </w:r>
      <w:r w:rsidRPr="00E93481">
        <w:t xml:space="preserve"> Directive 2012/29/EU, ‘Directive of the European Parliament and of the Council </w:t>
      </w:r>
      <w:r w:rsidR="000473C0">
        <w:t>E</w:t>
      </w:r>
      <w:r w:rsidRPr="00E93481">
        <w:t xml:space="preserve">stablishing </w:t>
      </w:r>
      <w:r w:rsidR="000473C0">
        <w:t>M</w:t>
      </w:r>
      <w:r w:rsidRPr="00E93481">
        <w:t xml:space="preserve">inimum </w:t>
      </w:r>
      <w:r w:rsidR="000473C0">
        <w:t>S</w:t>
      </w:r>
      <w:r w:rsidRPr="00E93481">
        <w:t xml:space="preserve">tandards on the </w:t>
      </w:r>
      <w:r w:rsidR="000473C0">
        <w:t>R</w:t>
      </w:r>
      <w:r w:rsidRPr="00E93481">
        <w:t xml:space="preserve">ights, </w:t>
      </w:r>
      <w:r w:rsidR="000473C0">
        <w:t>S</w:t>
      </w:r>
      <w:r w:rsidRPr="00E93481">
        <w:t xml:space="preserve">upport and </w:t>
      </w:r>
      <w:r w:rsidR="000473C0">
        <w:t>P</w:t>
      </w:r>
      <w:r w:rsidRPr="00E93481">
        <w:t xml:space="preserve">rotection of </w:t>
      </w:r>
      <w:r w:rsidR="000473C0">
        <w:t>V</w:t>
      </w:r>
      <w:r w:rsidRPr="00E93481">
        <w:t xml:space="preserve">ictims of </w:t>
      </w:r>
      <w:r w:rsidR="000473C0">
        <w:t>C</w:t>
      </w:r>
      <w:r w:rsidRPr="00E93481">
        <w:t>rime’, 25 October 2012.</w:t>
      </w:r>
    </w:p>
  </w:footnote>
  <w:footnote w:id="188">
    <w:p w14:paraId="66A95062" w14:textId="7DDC825D" w:rsidR="00C908CB" w:rsidRPr="00E93481" w:rsidRDefault="00C908CB" w:rsidP="00A22E1F">
      <w:pPr>
        <w:pStyle w:val="NIHRCFootnotes"/>
      </w:pPr>
      <w:r w:rsidRPr="00E93481">
        <w:rPr>
          <w:rStyle w:val="FootnoteReference"/>
        </w:rPr>
        <w:footnoteRef/>
      </w:r>
      <w:r w:rsidRPr="00E93481">
        <w:t xml:space="preserve"> Directive 2011/36/EU, ‘EU Council Directive on</w:t>
      </w:r>
      <w:r w:rsidR="000473C0">
        <w:t xml:space="preserve"> P</w:t>
      </w:r>
      <w:r w:rsidRPr="00E93481">
        <w:t xml:space="preserve">reventing and </w:t>
      </w:r>
      <w:r w:rsidR="000473C0">
        <w:t>C</w:t>
      </w:r>
      <w:r w:rsidRPr="00E93481">
        <w:t xml:space="preserve">ombating </w:t>
      </w:r>
      <w:r w:rsidR="000473C0">
        <w:t>T</w:t>
      </w:r>
      <w:r w:rsidRPr="00E93481">
        <w:t xml:space="preserve">rafficking in </w:t>
      </w:r>
      <w:r w:rsidR="000473C0">
        <w:t>H</w:t>
      </w:r>
      <w:r w:rsidRPr="00E93481">
        <w:t xml:space="preserve">uman </w:t>
      </w:r>
      <w:r w:rsidR="000473C0">
        <w:t>B</w:t>
      </w:r>
      <w:r w:rsidRPr="00E93481">
        <w:t xml:space="preserve">eings and </w:t>
      </w:r>
      <w:r w:rsidR="000473C0">
        <w:t>P</w:t>
      </w:r>
      <w:r w:rsidRPr="00E93481">
        <w:t xml:space="preserve">rotecting </w:t>
      </w:r>
      <w:r w:rsidR="000473C0">
        <w:t>I</w:t>
      </w:r>
      <w:r w:rsidRPr="00E93481">
        <w:t xml:space="preserve">ts </w:t>
      </w:r>
      <w:r w:rsidR="000473C0">
        <w:t>Vi</w:t>
      </w:r>
      <w:r w:rsidRPr="00E93481">
        <w:t>ctims’, 5 April 2011.</w:t>
      </w:r>
    </w:p>
  </w:footnote>
  <w:footnote w:id="189">
    <w:p w14:paraId="2577653E" w14:textId="520ADBD4" w:rsidR="000965E8" w:rsidRPr="00E93481" w:rsidRDefault="000965E8" w:rsidP="00A22E1F">
      <w:pPr>
        <w:pStyle w:val="NIHRCFootnotes"/>
      </w:pPr>
      <w:r w:rsidRPr="00E93481">
        <w:rPr>
          <w:rStyle w:val="FootnoteReference"/>
        </w:rPr>
        <w:footnoteRef/>
      </w:r>
      <w:r w:rsidRPr="00E93481">
        <w:t xml:space="preserve"> Directive 2011/92/EU, ‘Directive of the European Parliament and of the Council on </w:t>
      </w:r>
      <w:r w:rsidR="000473C0">
        <w:t>C</w:t>
      </w:r>
      <w:r w:rsidRPr="00E93481">
        <w:t xml:space="preserve">ombatting the </w:t>
      </w:r>
      <w:r w:rsidR="000473C0">
        <w:t>S</w:t>
      </w:r>
      <w:r w:rsidRPr="00E93481">
        <w:t xml:space="preserve">exual </w:t>
      </w:r>
      <w:r w:rsidR="000473C0">
        <w:t>A</w:t>
      </w:r>
      <w:r w:rsidRPr="00E93481">
        <w:t xml:space="preserve">buse and </w:t>
      </w:r>
      <w:r w:rsidR="000473C0">
        <w:t>S</w:t>
      </w:r>
      <w:r w:rsidRPr="00E93481">
        <w:t xml:space="preserve">exual </w:t>
      </w:r>
      <w:r w:rsidR="000473C0">
        <w:t>E</w:t>
      </w:r>
      <w:r w:rsidRPr="00E93481">
        <w:t xml:space="preserve">xploitation of </w:t>
      </w:r>
      <w:r w:rsidR="000473C0">
        <w:t>C</w:t>
      </w:r>
      <w:r w:rsidRPr="00E93481">
        <w:t xml:space="preserve">hildren and </w:t>
      </w:r>
      <w:r w:rsidR="000473C0">
        <w:t>C</w:t>
      </w:r>
      <w:r w:rsidRPr="00E93481">
        <w:t xml:space="preserve">hild </w:t>
      </w:r>
      <w:r w:rsidR="000473C0">
        <w:t>P</w:t>
      </w:r>
      <w:r w:rsidRPr="00E93481">
        <w:t xml:space="preserve">ornography, and </w:t>
      </w:r>
      <w:r w:rsidR="000473C0">
        <w:t>R</w:t>
      </w:r>
      <w:r w:rsidRPr="00E93481">
        <w:t>eplacing Council Framework Decision 2004/68/JHA, 13 December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F60"/>
    <w:multiLevelType w:val="hybridMultilevel"/>
    <w:tmpl w:val="00DE81E4"/>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 w15:restartNumberingAfterBreak="0">
    <w:nsid w:val="06F62CFC"/>
    <w:multiLevelType w:val="hybridMultilevel"/>
    <w:tmpl w:val="F0A4502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D0105C9"/>
    <w:multiLevelType w:val="multilevel"/>
    <w:tmpl w:val="F7484476"/>
    <w:lvl w:ilvl="0">
      <w:start w:val="7"/>
      <w:numFmt w:val="decimal"/>
      <w:lvlText w:val="%1.0"/>
      <w:lvlJc w:val="left"/>
      <w:pPr>
        <w:ind w:left="709" w:hanging="720"/>
      </w:pPr>
      <w:rPr>
        <w:rFonts w:hint="default"/>
      </w:rPr>
    </w:lvl>
    <w:lvl w:ilvl="1">
      <w:start w:val="1"/>
      <w:numFmt w:val="decimal"/>
      <w:lvlText w:val="%1.%2"/>
      <w:lvlJc w:val="left"/>
      <w:pPr>
        <w:ind w:left="1429" w:hanging="720"/>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3" w15:restartNumberingAfterBreak="0">
    <w:nsid w:val="0EAE522E"/>
    <w:multiLevelType w:val="hybridMultilevel"/>
    <w:tmpl w:val="30604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A6861"/>
    <w:multiLevelType w:val="hybridMultilevel"/>
    <w:tmpl w:val="52FC00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2951912"/>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0A30E9F"/>
    <w:multiLevelType w:val="multilevel"/>
    <w:tmpl w:val="2BA48D3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34E74452"/>
    <w:multiLevelType w:val="hybridMultilevel"/>
    <w:tmpl w:val="721E74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E78EB"/>
    <w:multiLevelType w:val="multilevel"/>
    <w:tmpl w:val="64C43A0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445D65C1"/>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4A044FE6"/>
    <w:multiLevelType w:val="multilevel"/>
    <w:tmpl w:val="BC767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40028C"/>
    <w:multiLevelType w:val="hybridMultilevel"/>
    <w:tmpl w:val="3E4677A0"/>
    <w:lvl w:ilvl="0" w:tplc="4AA028A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55682F1C"/>
    <w:multiLevelType w:val="multilevel"/>
    <w:tmpl w:val="4378A3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5B440AAF"/>
    <w:multiLevelType w:val="hybridMultilevel"/>
    <w:tmpl w:val="3968AC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8B0E35"/>
    <w:multiLevelType w:val="hybridMultilevel"/>
    <w:tmpl w:val="5DBE9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6D4103C"/>
    <w:multiLevelType w:val="hybridMultilevel"/>
    <w:tmpl w:val="06BE17B2"/>
    <w:lvl w:ilvl="0" w:tplc="C040119C">
      <w:start w:val="1"/>
      <w:numFmt w:val="decimal"/>
      <w:pStyle w:val="Heading1"/>
      <w:lvlText w:val="%1.0"/>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73AC5571"/>
    <w:multiLevelType w:val="multilevel"/>
    <w:tmpl w:val="399EC558"/>
    <w:lvl w:ilvl="0">
      <w:start w:val="3"/>
      <w:numFmt w:val="decimal"/>
      <w:lvlText w:val="%1"/>
      <w:lvlJc w:val="left"/>
      <w:pPr>
        <w:ind w:left="390" w:hanging="390"/>
      </w:pPr>
      <w:rPr>
        <w:rFonts w:cstheme="minorBidi" w:hint="default"/>
        <w:color w:val="auto"/>
      </w:rPr>
    </w:lvl>
    <w:lvl w:ilvl="1">
      <w:start w:val="1"/>
      <w:numFmt w:val="decimal"/>
      <w:lvlText w:val="%1.%2"/>
      <w:lvlJc w:val="left"/>
      <w:pPr>
        <w:ind w:left="1440" w:hanging="720"/>
      </w:pPr>
      <w:rPr>
        <w:rFonts w:cstheme="minorBidi" w:hint="default"/>
        <w:color w:val="auto"/>
      </w:rPr>
    </w:lvl>
    <w:lvl w:ilvl="2">
      <w:start w:val="1"/>
      <w:numFmt w:val="decimal"/>
      <w:lvlText w:val="%1.%2.%3"/>
      <w:lvlJc w:val="left"/>
      <w:pPr>
        <w:ind w:left="2520" w:hanging="1080"/>
      </w:pPr>
      <w:rPr>
        <w:rFonts w:cstheme="minorBidi" w:hint="default"/>
        <w:color w:val="auto"/>
      </w:rPr>
    </w:lvl>
    <w:lvl w:ilvl="3">
      <w:start w:val="1"/>
      <w:numFmt w:val="decimal"/>
      <w:lvlText w:val="%1.%2.%3.%4"/>
      <w:lvlJc w:val="left"/>
      <w:pPr>
        <w:ind w:left="3240" w:hanging="1080"/>
      </w:pPr>
      <w:rPr>
        <w:rFonts w:cstheme="minorBidi" w:hint="default"/>
        <w:color w:val="auto"/>
      </w:rPr>
    </w:lvl>
    <w:lvl w:ilvl="4">
      <w:start w:val="1"/>
      <w:numFmt w:val="decimal"/>
      <w:lvlText w:val="%1.%2.%3.%4.%5"/>
      <w:lvlJc w:val="left"/>
      <w:pPr>
        <w:ind w:left="4320" w:hanging="1440"/>
      </w:pPr>
      <w:rPr>
        <w:rFonts w:cstheme="minorBidi" w:hint="default"/>
        <w:color w:val="auto"/>
      </w:rPr>
    </w:lvl>
    <w:lvl w:ilvl="5">
      <w:start w:val="1"/>
      <w:numFmt w:val="decimal"/>
      <w:lvlText w:val="%1.%2.%3.%4.%5.%6"/>
      <w:lvlJc w:val="left"/>
      <w:pPr>
        <w:ind w:left="5400" w:hanging="1800"/>
      </w:pPr>
      <w:rPr>
        <w:rFonts w:cstheme="minorBidi" w:hint="default"/>
        <w:color w:val="auto"/>
      </w:rPr>
    </w:lvl>
    <w:lvl w:ilvl="6">
      <w:start w:val="1"/>
      <w:numFmt w:val="decimal"/>
      <w:lvlText w:val="%1.%2.%3.%4.%5.%6.%7"/>
      <w:lvlJc w:val="left"/>
      <w:pPr>
        <w:ind w:left="6480" w:hanging="2160"/>
      </w:pPr>
      <w:rPr>
        <w:rFonts w:cstheme="minorBidi" w:hint="default"/>
        <w:color w:val="auto"/>
      </w:rPr>
    </w:lvl>
    <w:lvl w:ilvl="7">
      <w:start w:val="1"/>
      <w:numFmt w:val="decimal"/>
      <w:lvlText w:val="%1.%2.%3.%4.%5.%6.%7.%8"/>
      <w:lvlJc w:val="left"/>
      <w:pPr>
        <w:ind w:left="7560" w:hanging="2520"/>
      </w:pPr>
      <w:rPr>
        <w:rFonts w:cstheme="minorBidi" w:hint="default"/>
        <w:color w:val="auto"/>
      </w:rPr>
    </w:lvl>
    <w:lvl w:ilvl="8">
      <w:start w:val="1"/>
      <w:numFmt w:val="decimal"/>
      <w:lvlText w:val="%1.%2.%3.%4.%5.%6.%7.%8.%9"/>
      <w:lvlJc w:val="left"/>
      <w:pPr>
        <w:ind w:left="8280" w:hanging="2520"/>
      </w:pPr>
      <w:rPr>
        <w:rFonts w:cstheme="minorBidi" w:hint="default"/>
        <w:color w:val="auto"/>
      </w:rPr>
    </w:lvl>
  </w:abstractNum>
  <w:abstractNum w:abstractNumId="17" w15:restartNumberingAfterBreak="0">
    <w:nsid w:val="74B34AE4"/>
    <w:multiLevelType w:val="multilevel"/>
    <w:tmpl w:val="820441B4"/>
    <w:lvl w:ilvl="0">
      <w:start w:val="5"/>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18"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F650B52"/>
    <w:multiLevelType w:val="hybridMultilevel"/>
    <w:tmpl w:val="0C6A9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0188275">
    <w:abstractNumId w:val="15"/>
  </w:num>
  <w:num w:numId="2" w16cid:durableId="1535538907">
    <w:abstractNumId w:val="18"/>
  </w:num>
  <w:num w:numId="3" w16cid:durableId="1528448893">
    <w:abstractNumId w:val="10"/>
  </w:num>
  <w:num w:numId="4" w16cid:durableId="353001958">
    <w:abstractNumId w:val="3"/>
  </w:num>
  <w:num w:numId="5" w16cid:durableId="779763428">
    <w:abstractNumId w:val="19"/>
  </w:num>
  <w:num w:numId="6" w16cid:durableId="978657598">
    <w:abstractNumId w:val="14"/>
  </w:num>
  <w:num w:numId="7" w16cid:durableId="1385174041">
    <w:abstractNumId w:val="8"/>
  </w:num>
  <w:num w:numId="8" w16cid:durableId="795099151">
    <w:abstractNumId w:val="7"/>
  </w:num>
  <w:num w:numId="9" w16cid:durableId="1242641900">
    <w:abstractNumId w:val="12"/>
  </w:num>
  <w:num w:numId="10" w16cid:durableId="609554421">
    <w:abstractNumId w:val="16"/>
  </w:num>
  <w:num w:numId="11" w16cid:durableId="869686272">
    <w:abstractNumId w:val="6"/>
  </w:num>
  <w:num w:numId="12" w16cid:durableId="1627588044">
    <w:abstractNumId w:val="1"/>
  </w:num>
  <w:num w:numId="13" w16cid:durableId="1871645303">
    <w:abstractNumId w:val="2"/>
  </w:num>
  <w:num w:numId="14" w16cid:durableId="225533879">
    <w:abstractNumId w:val="17"/>
  </w:num>
  <w:num w:numId="15" w16cid:durableId="1856922032">
    <w:abstractNumId w:val="13"/>
  </w:num>
  <w:num w:numId="16" w16cid:durableId="258367434">
    <w:abstractNumId w:val="5"/>
  </w:num>
  <w:num w:numId="17" w16cid:durableId="50464515">
    <w:abstractNumId w:val="11"/>
  </w:num>
  <w:num w:numId="18" w16cid:durableId="327829455">
    <w:abstractNumId w:val="4"/>
  </w:num>
  <w:num w:numId="19" w16cid:durableId="2008165001">
    <w:abstractNumId w:val="9"/>
  </w:num>
  <w:num w:numId="20" w16cid:durableId="5888507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49E"/>
    <w:rsid w:val="00001B96"/>
    <w:rsid w:val="00001CAD"/>
    <w:rsid w:val="00002BD0"/>
    <w:rsid w:val="00002E3B"/>
    <w:rsid w:val="00003730"/>
    <w:rsid w:val="0000483F"/>
    <w:rsid w:val="00005DF9"/>
    <w:rsid w:val="000074CC"/>
    <w:rsid w:val="0000799D"/>
    <w:rsid w:val="00007A86"/>
    <w:rsid w:val="00010D0A"/>
    <w:rsid w:val="00010EAD"/>
    <w:rsid w:val="000137FB"/>
    <w:rsid w:val="00014688"/>
    <w:rsid w:val="0001489D"/>
    <w:rsid w:val="00014AB3"/>
    <w:rsid w:val="00014B28"/>
    <w:rsid w:val="00015949"/>
    <w:rsid w:val="00015A88"/>
    <w:rsid w:val="00015EA6"/>
    <w:rsid w:val="000175F2"/>
    <w:rsid w:val="000178CC"/>
    <w:rsid w:val="00020D3F"/>
    <w:rsid w:val="00021499"/>
    <w:rsid w:val="00021E8E"/>
    <w:rsid w:val="00021F77"/>
    <w:rsid w:val="00023298"/>
    <w:rsid w:val="000235ED"/>
    <w:rsid w:val="00023B19"/>
    <w:rsid w:val="000240EF"/>
    <w:rsid w:val="000250B2"/>
    <w:rsid w:val="00025FAC"/>
    <w:rsid w:val="0002698B"/>
    <w:rsid w:val="000270BB"/>
    <w:rsid w:val="00027BF2"/>
    <w:rsid w:val="000310B7"/>
    <w:rsid w:val="000321A0"/>
    <w:rsid w:val="000329EF"/>
    <w:rsid w:val="00032B61"/>
    <w:rsid w:val="00032B65"/>
    <w:rsid w:val="00032C95"/>
    <w:rsid w:val="00032FB8"/>
    <w:rsid w:val="00033751"/>
    <w:rsid w:val="000338BB"/>
    <w:rsid w:val="00033DFD"/>
    <w:rsid w:val="000341A8"/>
    <w:rsid w:val="000349C6"/>
    <w:rsid w:val="00034AAC"/>
    <w:rsid w:val="00035488"/>
    <w:rsid w:val="000354DE"/>
    <w:rsid w:val="00035C3F"/>
    <w:rsid w:val="000360AD"/>
    <w:rsid w:val="00036269"/>
    <w:rsid w:val="00037428"/>
    <w:rsid w:val="0003763D"/>
    <w:rsid w:val="00037A5F"/>
    <w:rsid w:val="00037B77"/>
    <w:rsid w:val="00037C9D"/>
    <w:rsid w:val="00037F7D"/>
    <w:rsid w:val="0004022B"/>
    <w:rsid w:val="000405B1"/>
    <w:rsid w:val="00040633"/>
    <w:rsid w:val="00040AF0"/>
    <w:rsid w:val="00040DE1"/>
    <w:rsid w:val="00041050"/>
    <w:rsid w:val="00042A8F"/>
    <w:rsid w:val="0004337A"/>
    <w:rsid w:val="00043B45"/>
    <w:rsid w:val="00044F0D"/>
    <w:rsid w:val="00045428"/>
    <w:rsid w:val="00045B96"/>
    <w:rsid w:val="00046558"/>
    <w:rsid w:val="00046705"/>
    <w:rsid w:val="000473C0"/>
    <w:rsid w:val="00050EA5"/>
    <w:rsid w:val="000515AE"/>
    <w:rsid w:val="00051CA9"/>
    <w:rsid w:val="00051E52"/>
    <w:rsid w:val="000520F8"/>
    <w:rsid w:val="0005242E"/>
    <w:rsid w:val="00053136"/>
    <w:rsid w:val="0005341F"/>
    <w:rsid w:val="0005379E"/>
    <w:rsid w:val="00053BB8"/>
    <w:rsid w:val="000540B6"/>
    <w:rsid w:val="00054A25"/>
    <w:rsid w:val="00054A8B"/>
    <w:rsid w:val="000552A5"/>
    <w:rsid w:val="00055946"/>
    <w:rsid w:val="00055993"/>
    <w:rsid w:val="00055EBA"/>
    <w:rsid w:val="00055F14"/>
    <w:rsid w:val="00055F57"/>
    <w:rsid w:val="00057A83"/>
    <w:rsid w:val="000602D4"/>
    <w:rsid w:val="000604F5"/>
    <w:rsid w:val="00061493"/>
    <w:rsid w:val="000619B8"/>
    <w:rsid w:val="00062006"/>
    <w:rsid w:val="0006237C"/>
    <w:rsid w:val="000645FE"/>
    <w:rsid w:val="000646D1"/>
    <w:rsid w:val="00064730"/>
    <w:rsid w:val="00064BD8"/>
    <w:rsid w:val="00065589"/>
    <w:rsid w:val="000657A4"/>
    <w:rsid w:val="00065811"/>
    <w:rsid w:val="00065894"/>
    <w:rsid w:val="00066116"/>
    <w:rsid w:val="000667EC"/>
    <w:rsid w:val="00066BDC"/>
    <w:rsid w:val="00066F38"/>
    <w:rsid w:val="000670C2"/>
    <w:rsid w:val="00070705"/>
    <w:rsid w:val="00070ED1"/>
    <w:rsid w:val="000711C4"/>
    <w:rsid w:val="000711F1"/>
    <w:rsid w:val="000713DE"/>
    <w:rsid w:val="00071935"/>
    <w:rsid w:val="00071B3C"/>
    <w:rsid w:val="00071B76"/>
    <w:rsid w:val="0007242A"/>
    <w:rsid w:val="000736A5"/>
    <w:rsid w:val="000737AE"/>
    <w:rsid w:val="00073FB7"/>
    <w:rsid w:val="00074048"/>
    <w:rsid w:val="0007444C"/>
    <w:rsid w:val="0007458A"/>
    <w:rsid w:val="0007468A"/>
    <w:rsid w:val="00074B79"/>
    <w:rsid w:val="00074F36"/>
    <w:rsid w:val="000750F7"/>
    <w:rsid w:val="000751D1"/>
    <w:rsid w:val="0007569A"/>
    <w:rsid w:val="00075D0A"/>
    <w:rsid w:val="00075FAE"/>
    <w:rsid w:val="000760EB"/>
    <w:rsid w:val="00076471"/>
    <w:rsid w:val="00076A15"/>
    <w:rsid w:val="00076A9A"/>
    <w:rsid w:val="000770C0"/>
    <w:rsid w:val="00077995"/>
    <w:rsid w:val="0008048E"/>
    <w:rsid w:val="000807C1"/>
    <w:rsid w:val="00081402"/>
    <w:rsid w:val="00081BD7"/>
    <w:rsid w:val="00082AF8"/>
    <w:rsid w:val="00084259"/>
    <w:rsid w:val="0008433B"/>
    <w:rsid w:val="0008598E"/>
    <w:rsid w:val="00086336"/>
    <w:rsid w:val="00086A75"/>
    <w:rsid w:val="0008769D"/>
    <w:rsid w:val="00087E1B"/>
    <w:rsid w:val="0009007C"/>
    <w:rsid w:val="000900CF"/>
    <w:rsid w:val="00090800"/>
    <w:rsid w:val="00090B8E"/>
    <w:rsid w:val="00090C6F"/>
    <w:rsid w:val="00090FBE"/>
    <w:rsid w:val="00091A85"/>
    <w:rsid w:val="00091D4E"/>
    <w:rsid w:val="000921DD"/>
    <w:rsid w:val="000923F5"/>
    <w:rsid w:val="00092863"/>
    <w:rsid w:val="00093FD8"/>
    <w:rsid w:val="0009498D"/>
    <w:rsid w:val="0009501A"/>
    <w:rsid w:val="000965E8"/>
    <w:rsid w:val="000968A7"/>
    <w:rsid w:val="000A0AAD"/>
    <w:rsid w:val="000A0C98"/>
    <w:rsid w:val="000A0D45"/>
    <w:rsid w:val="000A0E5C"/>
    <w:rsid w:val="000A135A"/>
    <w:rsid w:val="000A181E"/>
    <w:rsid w:val="000A197E"/>
    <w:rsid w:val="000A1EC0"/>
    <w:rsid w:val="000A1F22"/>
    <w:rsid w:val="000A2536"/>
    <w:rsid w:val="000A288F"/>
    <w:rsid w:val="000A3147"/>
    <w:rsid w:val="000A33C0"/>
    <w:rsid w:val="000A3822"/>
    <w:rsid w:val="000A3BC1"/>
    <w:rsid w:val="000A48B7"/>
    <w:rsid w:val="000A49C9"/>
    <w:rsid w:val="000A52C6"/>
    <w:rsid w:val="000A543F"/>
    <w:rsid w:val="000A5810"/>
    <w:rsid w:val="000A6721"/>
    <w:rsid w:val="000A68FC"/>
    <w:rsid w:val="000A7589"/>
    <w:rsid w:val="000A7C68"/>
    <w:rsid w:val="000A7CAC"/>
    <w:rsid w:val="000B0518"/>
    <w:rsid w:val="000B0B38"/>
    <w:rsid w:val="000B1D3A"/>
    <w:rsid w:val="000B1D85"/>
    <w:rsid w:val="000B2BA7"/>
    <w:rsid w:val="000B33B6"/>
    <w:rsid w:val="000B37B8"/>
    <w:rsid w:val="000B38EA"/>
    <w:rsid w:val="000B494C"/>
    <w:rsid w:val="000B6263"/>
    <w:rsid w:val="000B65A7"/>
    <w:rsid w:val="000B67A8"/>
    <w:rsid w:val="000B68BE"/>
    <w:rsid w:val="000B68E8"/>
    <w:rsid w:val="000B7225"/>
    <w:rsid w:val="000B7E0F"/>
    <w:rsid w:val="000B7EBE"/>
    <w:rsid w:val="000B7FAB"/>
    <w:rsid w:val="000C0381"/>
    <w:rsid w:val="000C0566"/>
    <w:rsid w:val="000C08A2"/>
    <w:rsid w:val="000C0FCB"/>
    <w:rsid w:val="000C1158"/>
    <w:rsid w:val="000C2EF3"/>
    <w:rsid w:val="000C3810"/>
    <w:rsid w:val="000C3F63"/>
    <w:rsid w:val="000C49CE"/>
    <w:rsid w:val="000C58E3"/>
    <w:rsid w:val="000C6276"/>
    <w:rsid w:val="000C783D"/>
    <w:rsid w:val="000C7BD6"/>
    <w:rsid w:val="000C7E5D"/>
    <w:rsid w:val="000D02F8"/>
    <w:rsid w:val="000D03A7"/>
    <w:rsid w:val="000D03FA"/>
    <w:rsid w:val="000D07AA"/>
    <w:rsid w:val="000D1465"/>
    <w:rsid w:val="000D25BD"/>
    <w:rsid w:val="000D25FA"/>
    <w:rsid w:val="000D2918"/>
    <w:rsid w:val="000D4274"/>
    <w:rsid w:val="000D4FD0"/>
    <w:rsid w:val="000D53DA"/>
    <w:rsid w:val="000D5932"/>
    <w:rsid w:val="000D5EEA"/>
    <w:rsid w:val="000D60BD"/>
    <w:rsid w:val="000D60FE"/>
    <w:rsid w:val="000D6684"/>
    <w:rsid w:val="000D78D5"/>
    <w:rsid w:val="000D7C95"/>
    <w:rsid w:val="000E0B7C"/>
    <w:rsid w:val="000E0D82"/>
    <w:rsid w:val="000E0F5C"/>
    <w:rsid w:val="000E107E"/>
    <w:rsid w:val="000E109E"/>
    <w:rsid w:val="000E1494"/>
    <w:rsid w:val="000E1F61"/>
    <w:rsid w:val="000E25DD"/>
    <w:rsid w:val="000E3350"/>
    <w:rsid w:val="000E4003"/>
    <w:rsid w:val="000E434B"/>
    <w:rsid w:val="000E43EE"/>
    <w:rsid w:val="000E5095"/>
    <w:rsid w:val="000E5D68"/>
    <w:rsid w:val="000E5E51"/>
    <w:rsid w:val="000E77C7"/>
    <w:rsid w:val="000E7AAA"/>
    <w:rsid w:val="000E7DB1"/>
    <w:rsid w:val="000E7F0C"/>
    <w:rsid w:val="000F043E"/>
    <w:rsid w:val="000F05CE"/>
    <w:rsid w:val="000F096A"/>
    <w:rsid w:val="000F0CAC"/>
    <w:rsid w:val="000F16C2"/>
    <w:rsid w:val="000F2334"/>
    <w:rsid w:val="000F2BE9"/>
    <w:rsid w:val="000F2DC0"/>
    <w:rsid w:val="000F55E6"/>
    <w:rsid w:val="000F5742"/>
    <w:rsid w:val="000F5C56"/>
    <w:rsid w:val="000F5D53"/>
    <w:rsid w:val="000F64BF"/>
    <w:rsid w:val="000F6822"/>
    <w:rsid w:val="000F6E31"/>
    <w:rsid w:val="001001D0"/>
    <w:rsid w:val="00100B6D"/>
    <w:rsid w:val="0010128B"/>
    <w:rsid w:val="001014D0"/>
    <w:rsid w:val="00101A11"/>
    <w:rsid w:val="00101EB3"/>
    <w:rsid w:val="00102183"/>
    <w:rsid w:val="00102665"/>
    <w:rsid w:val="00103B7E"/>
    <w:rsid w:val="00103DF6"/>
    <w:rsid w:val="001045E7"/>
    <w:rsid w:val="00104CC0"/>
    <w:rsid w:val="00105CAB"/>
    <w:rsid w:val="00105E0D"/>
    <w:rsid w:val="00106353"/>
    <w:rsid w:val="00106AB8"/>
    <w:rsid w:val="00107154"/>
    <w:rsid w:val="0010734F"/>
    <w:rsid w:val="00107545"/>
    <w:rsid w:val="00107D41"/>
    <w:rsid w:val="00107F1C"/>
    <w:rsid w:val="0011067E"/>
    <w:rsid w:val="00110877"/>
    <w:rsid w:val="00110FDA"/>
    <w:rsid w:val="00111762"/>
    <w:rsid w:val="00112069"/>
    <w:rsid w:val="001124B2"/>
    <w:rsid w:val="00112CDB"/>
    <w:rsid w:val="00113495"/>
    <w:rsid w:val="001135E2"/>
    <w:rsid w:val="001135F5"/>
    <w:rsid w:val="00114266"/>
    <w:rsid w:val="0011561B"/>
    <w:rsid w:val="00115AD2"/>
    <w:rsid w:val="0011639E"/>
    <w:rsid w:val="00116432"/>
    <w:rsid w:val="00116492"/>
    <w:rsid w:val="0011697A"/>
    <w:rsid w:val="00116AB3"/>
    <w:rsid w:val="0011723C"/>
    <w:rsid w:val="001176A2"/>
    <w:rsid w:val="00117DF4"/>
    <w:rsid w:val="0012021A"/>
    <w:rsid w:val="00120387"/>
    <w:rsid w:val="00120452"/>
    <w:rsid w:val="00120EB1"/>
    <w:rsid w:val="0012103F"/>
    <w:rsid w:val="001213A8"/>
    <w:rsid w:val="001215B0"/>
    <w:rsid w:val="001235AE"/>
    <w:rsid w:val="00123929"/>
    <w:rsid w:val="00123FAE"/>
    <w:rsid w:val="00124248"/>
    <w:rsid w:val="00124531"/>
    <w:rsid w:val="00126474"/>
    <w:rsid w:val="001265AA"/>
    <w:rsid w:val="001265DC"/>
    <w:rsid w:val="00126CD3"/>
    <w:rsid w:val="0013047F"/>
    <w:rsid w:val="00130ABE"/>
    <w:rsid w:val="00130DA8"/>
    <w:rsid w:val="00131822"/>
    <w:rsid w:val="0013182A"/>
    <w:rsid w:val="00131948"/>
    <w:rsid w:val="00131ABF"/>
    <w:rsid w:val="00131B9C"/>
    <w:rsid w:val="001329A3"/>
    <w:rsid w:val="00132E81"/>
    <w:rsid w:val="00133979"/>
    <w:rsid w:val="001341FC"/>
    <w:rsid w:val="00134308"/>
    <w:rsid w:val="00134507"/>
    <w:rsid w:val="00134C18"/>
    <w:rsid w:val="001372E5"/>
    <w:rsid w:val="0013732D"/>
    <w:rsid w:val="00140480"/>
    <w:rsid w:val="00140A0A"/>
    <w:rsid w:val="0014137A"/>
    <w:rsid w:val="001415EE"/>
    <w:rsid w:val="00141660"/>
    <w:rsid w:val="0014220A"/>
    <w:rsid w:val="001423A9"/>
    <w:rsid w:val="00142592"/>
    <w:rsid w:val="00143262"/>
    <w:rsid w:val="00143D7D"/>
    <w:rsid w:val="00144890"/>
    <w:rsid w:val="0014501C"/>
    <w:rsid w:val="00145FDA"/>
    <w:rsid w:val="00147ADD"/>
    <w:rsid w:val="00150A20"/>
    <w:rsid w:val="00150AE0"/>
    <w:rsid w:val="00150C43"/>
    <w:rsid w:val="00150C50"/>
    <w:rsid w:val="00151560"/>
    <w:rsid w:val="00151E3F"/>
    <w:rsid w:val="00151FA0"/>
    <w:rsid w:val="00153078"/>
    <w:rsid w:val="00153BEA"/>
    <w:rsid w:val="001546E5"/>
    <w:rsid w:val="0015524A"/>
    <w:rsid w:val="0015574A"/>
    <w:rsid w:val="00155B7D"/>
    <w:rsid w:val="00155F37"/>
    <w:rsid w:val="0015627C"/>
    <w:rsid w:val="001566E8"/>
    <w:rsid w:val="00156B6C"/>
    <w:rsid w:val="001572CA"/>
    <w:rsid w:val="001575BF"/>
    <w:rsid w:val="00157F37"/>
    <w:rsid w:val="00157F7D"/>
    <w:rsid w:val="001624F7"/>
    <w:rsid w:val="00163337"/>
    <w:rsid w:val="00164605"/>
    <w:rsid w:val="001647D2"/>
    <w:rsid w:val="00164B5B"/>
    <w:rsid w:val="00164C60"/>
    <w:rsid w:val="00164EA3"/>
    <w:rsid w:val="001673AC"/>
    <w:rsid w:val="00167666"/>
    <w:rsid w:val="00167FD4"/>
    <w:rsid w:val="00170006"/>
    <w:rsid w:val="0017044F"/>
    <w:rsid w:val="00170494"/>
    <w:rsid w:val="001706AC"/>
    <w:rsid w:val="0017077B"/>
    <w:rsid w:val="001710BD"/>
    <w:rsid w:val="00171B4B"/>
    <w:rsid w:val="00171DC8"/>
    <w:rsid w:val="00172091"/>
    <w:rsid w:val="0017261A"/>
    <w:rsid w:val="00173465"/>
    <w:rsid w:val="001741C6"/>
    <w:rsid w:val="00174884"/>
    <w:rsid w:val="00174B1F"/>
    <w:rsid w:val="00174D5E"/>
    <w:rsid w:val="00174FB2"/>
    <w:rsid w:val="0017511C"/>
    <w:rsid w:val="00175317"/>
    <w:rsid w:val="00175661"/>
    <w:rsid w:val="00175FA7"/>
    <w:rsid w:val="0017653A"/>
    <w:rsid w:val="00176E58"/>
    <w:rsid w:val="001773C3"/>
    <w:rsid w:val="00177406"/>
    <w:rsid w:val="00177458"/>
    <w:rsid w:val="00177AF3"/>
    <w:rsid w:val="00180A36"/>
    <w:rsid w:val="00181711"/>
    <w:rsid w:val="00181D30"/>
    <w:rsid w:val="00181E6F"/>
    <w:rsid w:val="00182102"/>
    <w:rsid w:val="00182459"/>
    <w:rsid w:val="001825D7"/>
    <w:rsid w:val="00182855"/>
    <w:rsid w:val="00182CAD"/>
    <w:rsid w:val="001835EF"/>
    <w:rsid w:val="00183F1C"/>
    <w:rsid w:val="001844DE"/>
    <w:rsid w:val="0018487F"/>
    <w:rsid w:val="00184DCD"/>
    <w:rsid w:val="00185202"/>
    <w:rsid w:val="00185F66"/>
    <w:rsid w:val="00186F72"/>
    <w:rsid w:val="001874EB"/>
    <w:rsid w:val="00187D33"/>
    <w:rsid w:val="00190533"/>
    <w:rsid w:val="00191766"/>
    <w:rsid w:val="00191806"/>
    <w:rsid w:val="00191EF6"/>
    <w:rsid w:val="0019213F"/>
    <w:rsid w:val="001924AB"/>
    <w:rsid w:val="001926A7"/>
    <w:rsid w:val="001932A9"/>
    <w:rsid w:val="00193D76"/>
    <w:rsid w:val="00194020"/>
    <w:rsid w:val="00195911"/>
    <w:rsid w:val="001960A4"/>
    <w:rsid w:val="00196106"/>
    <w:rsid w:val="0019614F"/>
    <w:rsid w:val="001969F6"/>
    <w:rsid w:val="00196CF0"/>
    <w:rsid w:val="00197562"/>
    <w:rsid w:val="001A086B"/>
    <w:rsid w:val="001A0A0F"/>
    <w:rsid w:val="001A15A2"/>
    <w:rsid w:val="001A1961"/>
    <w:rsid w:val="001A2291"/>
    <w:rsid w:val="001A22DE"/>
    <w:rsid w:val="001A25B8"/>
    <w:rsid w:val="001A2793"/>
    <w:rsid w:val="001A2D32"/>
    <w:rsid w:val="001A31A3"/>
    <w:rsid w:val="001A3540"/>
    <w:rsid w:val="001A3A9A"/>
    <w:rsid w:val="001A3BEB"/>
    <w:rsid w:val="001A4281"/>
    <w:rsid w:val="001A5213"/>
    <w:rsid w:val="001A5EB6"/>
    <w:rsid w:val="001A60F5"/>
    <w:rsid w:val="001A64D3"/>
    <w:rsid w:val="001A7095"/>
    <w:rsid w:val="001A7191"/>
    <w:rsid w:val="001B01B7"/>
    <w:rsid w:val="001B0B8A"/>
    <w:rsid w:val="001B1252"/>
    <w:rsid w:val="001B1F5A"/>
    <w:rsid w:val="001B2247"/>
    <w:rsid w:val="001B3412"/>
    <w:rsid w:val="001B3442"/>
    <w:rsid w:val="001B42E5"/>
    <w:rsid w:val="001B45F0"/>
    <w:rsid w:val="001B476D"/>
    <w:rsid w:val="001B48C0"/>
    <w:rsid w:val="001B4F5C"/>
    <w:rsid w:val="001B5362"/>
    <w:rsid w:val="001B6C45"/>
    <w:rsid w:val="001B7147"/>
    <w:rsid w:val="001B77C8"/>
    <w:rsid w:val="001B7AE6"/>
    <w:rsid w:val="001B7CED"/>
    <w:rsid w:val="001C009B"/>
    <w:rsid w:val="001C020B"/>
    <w:rsid w:val="001C0E20"/>
    <w:rsid w:val="001C276E"/>
    <w:rsid w:val="001C5246"/>
    <w:rsid w:val="001C553C"/>
    <w:rsid w:val="001C5C4B"/>
    <w:rsid w:val="001C69D5"/>
    <w:rsid w:val="001C6AD2"/>
    <w:rsid w:val="001C6BC7"/>
    <w:rsid w:val="001C7034"/>
    <w:rsid w:val="001C7F40"/>
    <w:rsid w:val="001D0160"/>
    <w:rsid w:val="001D0CDA"/>
    <w:rsid w:val="001D120F"/>
    <w:rsid w:val="001D23D4"/>
    <w:rsid w:val="001D31D8"/>
    <w:rsid w:val="001D3262"/>
    <w:rsid w:val="001D335C"/>
    <w:rsid w:val="001D3806"/>
    <w:rsid w:val="001D3F9D"/>
    <w:rsid w:val="001D4427"/>
    <w:rsid w:val="001D44DD"/>
    <w:rsid w:val="001D53CB"/>
    <w:rsid w:val="001D5A5E"/>
    <w:rsid w:val="001D68DB"/>
    <w:rsid w:val="001D7306"/>
    <w:rsid w:val="001D750C"/>
    <w:rsid w:val="001E05D9"/>
    <w:rsid w:val="001E1779"/>
    <w:rsid w:val="001E1AE2"/>
    <w:rsid w:val="001E2AB3"/>
    <w:rsid w:val="001E3DDF"/>
    <w:rsid w:val="001E4708"/>
    <w:rsid w:val="001E494F"/>
    <w:rsid w:val="001E4A4A"/>
    <w:rsid w:val="001E5124"/>
    <w:rsid w:val="001E5358"/>
    <w:rsid w:val="001E632A"/>
    <w:rsid w:val="001E67C0"/>
    <w:rsid w:val="001E6ABC"/>
    <w:rsid w:val="001E6BE8"/>
    <w:rsid w:val="001E7870"/>
    <w:rsid w:val="001E79A9"/>
    <w:rsid w:val="001F01A0"/>
    <w:rsid w:val="001F08C5"/>
    <w:rsid w:val="001F1AB2"/>
    <w:rsid w:val="001F264A"/>
    <w:rsid w:val="001F3CC5"/>
    <w:rsid w:val="001F3FDD"/>
    <w:rsid w:val="001F5725"/>
    <w:rsid w:val="001F5D58"/>
    <w:rsid w:val="001F607C"/>
    <w:rsid w:val="001F6A9D"/>
    <w:rsid w:val="001F7075"/>
    <w:rsid w:val="001F74BB"/>
    <w:rsid w:val="001F7A2C"/>
    <w:rsid w:val="002002BB"/>
    <w:rsid w:val="00200E11"/>
    <w:rsid w:val="00200E2B"/>
    <w:rsid w:val="002013B1"/>
    <w:rsid w:val="002017DC"/>
    <w:rsid w:val="00201936"/>
    <w:rsid w:val="00202927"/>
    <w:rsid w:val="002040B5"/>
    <w:rsid w:val="002041CC"/>
    <w:rsid w:val="002046DB"/>
    <w:rsid w:val="00204785"/>
    <w:rsid w:val="002054EF"/>
    <w:rsid w:val="00205824"/>
    <w:rsid w:val="00206D2F"/>
    <w:rsid w:val="00206E36"/>
    <w:rsid w:val="00207279"/>
    <w:rsid w:val="0021067F"/>
    <w:rsid w:val="00210B57"/>
    <w:rsid w:val="00210BEF"/>
    <w:rsid w:val="002112F5"/>
    <w:rsid w:val="00212A35"/>
    <w:rsid w:val="00213387"/>
    <w:rsid w:val="002133FA"/>
    <w:rsid w:val="0021359E"/>
    <w:rsid w:val="0021394A"/>
    <w:rsid w:val="00213B8A"/>
    <w:rsid w:val="0021418C"/>
    <w:rsid w:val="002146E9"/>
    <w:rsid w:val="00214A75"/>
    <w:rsid w:val="00215066"/>
    <w:rsid w:val="00216178"/>
    <w:rsid w:val="00216D50"/>
    <w:rsid w:val="00217824"/>
    <w:rsid w:val="0022035B"/>
    <w:rsid w:val="00220766"/>
    <w:rsid w:val="0022107C"/>
    <w:rsid w:val="00221097"/>
    <w:rsid w:val="00221370"/>
    <w:rsid w:val="00221603"/>
    <w:rsid w:val="0022175E"/>
    <w:rsid w:val="002221E6"/>
    <w:rsid w:val="0022229C"/>
    <w:rsid w:val="00222A8E"/>
    <w:rsid w:val="00224140"/>
    <w:rsid w:val="0022457B"/>
    <w:rsid w:val="00224E1C"/>
    <w:rsid w:val="00225300"/>
    <w:rsid w:val="002263BE"/>
    <w:rsid w:val="00226727"/>
    <w:rsid w:val="002278D9"/>
    <w:rsid w:val="00227966"/>
    <w:rsid w:val="0023024B"/>
    <w:rsid w:val="00230BD3"/>
    <w:rsid w:val="002314B5"/>
    <w:rsid w:val="00231F14"/>
    <w:rsid w:val="00233487"/>
    <w:rsid w:val="0023353C"/>
    <w:rsid w:val="00233F55"/>
    <w:rsid w:val="0023407A"/>
    <w:rsid w:val="00234272"/>
    <w:rsid w:val="0023436D"/>
    <w:rsid w:val="002348DE"/>
    <w:rsid w:val="002351CB"/>
    <w:rsid w:val="0023645F"/>
    <w:rsid w:val="00237929"/>
    <w:rsid w:val="00237F32"/>
    <w:rsid w:val="00240000"/>
    <w:rsid w:val="0024003D"/>
    <w:rsid w:val="00240790"/>
    <w:rsid w:val="002408D9"/>
    <w:rsid w:val="00241C08"/>
    <w:rsid w:val="00241D7E"/>
    <w:rsid w:val="002421E7"/>
    <w:rsid w:val="002428D8"/>
    <w:rsid w:val="002428EC"/>
    <w:rsid w:val="00242F5A"/>
    <w:rsid w:val="0024357E"/>
    <w:rsid w:val="00244509"/>
    <w:rsid w:val="00244897"/>
    <w:rsid w:val="002448D8"/>
    <w:rsid w:val="00245151"/>
    <w:rsid w:val="00246C9E"/>
    <w:rsid w:val="002470B4"/>
    <w:rsid w:val="00247CCD"/>
    <w:rsid w:val="00247EEB"/>
    <w:rsid w:val="00247FD8"/>
    <w:rsid w:val="002519BF"/>
    <w:rsid w:val="00251D42"/>
    <w:rsid w:val="00251ED6"/>
    <w:rsid w:val="002520C0"/>
    <w:rsid w:val="00252172"/>
    <w:rsid w:val="002521C8"/>
    <w:rsid w:val="00252369"/>
    <w:rsid w:val="002527EA"/>
    <w:rsid w:val="00252B33"/>
    <w:rsid w:val="00252C39"/>
    <w:rsid w:val="00252FA1"/>
    <w:rsid w:val="0025357E"/>
    <w:rsid w:val="0025397B"/>
    <w:rsid w:val="00253991"/>
    <w:rsid w:val="00253B71"/>
    <w:rsid w:val="00254685"/>
    <w:rsid w:val="00256405"/>
    <w:rsid w:val="002565B2"/>
    <w:rsid w:val="00257EAC"/>
    <w:rsid w:val="0026060D"/>
    <w:rsid w:val="002611C9"/>
    <w:rsid w:val="002619C5"/>
    <w:rsid w:val="00261A9A"/>
    <w:rsid w:val="00261FD5"/>
    <w:rsid w:val="0026246F"/>
    <w:rsid w:val="00262763"/>
    <w:rsid w:val="00262A8E"/>
    <w:rsid w:val="00263A7D"/>
    <w:rsid w:val="00264B11"/>
    <w:rsid w:val="002656D5"/>
    <w:rsid w:val="00265FC4"/>
    <w:rsid w:val="00267C94"/>
    <w:rsid w:val="00267F45"/>
    <w:rsid w:val="00270255"/>
    <w:rsid w:val="002708ED"/>
    <w:rsid w:val="002709CD"/>
    <w:rsid w:val="002710FE"/>
    <w:rsid w:val="00272ADE"/>
    <w:rsid w:val="00272CD9"/>
    <w:rsid w:val="00273281"/>
    <w:rsid w:val="0027362C"/>
    <w:rsid w:val="00273864"/>
    <w:rsid w:val="002740E9"/>
    <w:rsid w:val="0027446D"/>
    <w:rsid w:val="00275A34"/>
    <w:rsid w:val="00275ADE"/>
    <w:rsid w:val="00275D0B"/>
    <w:rsid w:val="00276CF8"/>
    <w:rsid w:val="00276FFC"/>
    <w:rsid w:val="0027706E"/>
    <w:rsid w:val="002775EB"/>
    <w:rsid w:val="00277F25"/>
    <w:rsid w:val="0028011A"/>
    <w:rsid w:val="0028027E"/>
    <w:rsid w:val="002810D5"/>
    <w:rsid w:val="0028165D"/>
    <w:rsid w:val="0028170A"/>
    <w:rsid w:val="00282AAE"/>
    <w:rsid w:val="00283272"/>
    <w:rsid w:val="00284BE9"/>
    <w:rsid w:val="002857B7"/>
    <w:rsid w:val="002858F9"/>
    <w:rsid w:val="00285CF1"/>
    <w:rsid w:val="00285DD0"/>
    <w:rsid w:val="00286660"/>
    <w:rsid w:val="00287302"/>
    <w:rsid w:val="00287C85"/>
    <w:rsid w:val="0029028E"/>
    <w:rsid w:val="00290868"/>
    <w:rsid w:val="00290A06"/>
    <w:rsid w:val="00290C96"/>
    <w:rsid w:val="00290F20"/>
    <w:rsid w:val="002920B3"/>
    <w:rsid w:val="00292C58"/>
    <w:rsid w:val="00293090"/>
    <w:rsid w:val="00293524"/>
    <w:rsid w:val="00294187"/>
    <w:rsid w:val="002949B5"/>
    <w:rsid w:val="00294DAD"/>
    <w:rsid w:val="00295CC2"/>
    <w:rsid w:val="00295D3C"/>
    <w:rsid w:val="002960EA"/>
    <w:rsid w:val="00296356"/>
    <w:rsid w:val="002A03F5"/>
    <w:rsid w:val="002A0828"/>
    <w:rsid w:val="002A0D6C"/>
    <w:rsid w:val="002A0E26"/>
    <w:rsid w:val="002A1E06"/>
    <w:rsid w:val="002A2E6B"/>
    <w:rsid w:val="002A2FEF"/>
    <w:rsid w:val="002A309A"/>
    <w:rsid w:val="002A31B0"/>
    <w:rsid w:val="002A31FB"/>
    <w:rsid w:val="002A36CC"/>
    <w:rsid w:val="002A3AA9"/>
    <w:rsid w:val="002A3E43"/>
    <w:rsid w:val="002A4C49"/>
    <w:rsid w:val="002A4CCB"/>
    <w:rsid w:val="002A561B"/>
    <w:rsid w:val="002A5C5C"/>
    <w:rsid w:val="002A6079"/>
    <w:rsid w:val="002A6356"/>
    <w:rsid w:val="002A6AE6"/>
    <w:rsid w:val="002A6B65"/>
    <w:rsid w:val="002A6CC3"/>
    <w:rsid w:val="002A76C0"/>
    <w:rsid w:val="002B08C9"/>
    <w:rsid w:val="002B0B80"/>
    <w:rsid w:val="002B0BB7"/>
    <w:rsid w:val="002B0C06"/>
    <w:rsid w:val="002B0CB3"/>
    <w:rsid w:val="002B1272"/>
    <w:rsid w:val="002B2988"/>
    <w:rsid w:val="002B2B52"/>
    <w:rsid w:val="002B2B80"/>
    <w:rsid w:val="002B2C53"/>
    <w:rsid w:val="002B3326"/>
    <w:rsid w:val="002B3B3F"/>
    <w:rsid w:val="002B3D0D"/>
    <w:rsid w:val="002B424C"/>
    <w:rsid w:val="002B4F0B"/>
    <w:rsid w:val="002B528C"/>
    <w:rsid w:val="002B562F"/>
    <w:rsid w:val="002B5BE6"/>
    <w:rsid w:val="002C1680"/>
    <w:rsid w:val="002C19A1"/>
    <w:rsid w:val="002C294D"/>
    <w:rsid w:val="002C5A43"/>
    <w:rsid w:val="002C5F15"/>
    <w:rsid w:val="002C5F42"/>
    <w:rsid w:val="002C6FFB"/>
    <w:rsid w:val="002C7FE2"/>
    <w:rsid w:val="002D0F1F"/>
    <w:rsid w:val="002D1262"/>
    <w:rsid w:val="002D1AE6"/>
    <w:rsid w:val="002D1AF9"/>
    <w:rsid w:val="002D2319"/>
    <w:rsid w:val="002D394E"/>
    <w:rsid w:val="002D3BC1"/>
    <w:rsid w:val="002D3F12"/>
    <w:rsid w:val="002D4525"/>
    <w:rsid w:val="002D549E"/>
    <w:rsid w:val="002D6539"/>
    <w:rsid w:val="002D7197"/>
    <w:rsid w:val="002D73D9"/>
    <w:rsid w:val="002D73E5"/>
    <w:rsid w:val="002E0303"/>
    <w:rsid w:val="002E08B5"/>
    <w:rsid w:val="002E0A1E"/>
    <w:rsid w:val="002E139B"/>
    <w:rsid w:val="002E147F"/>
    <w:rsid w:val="002E2BEF"/>
    <w:rsid w:val="002E2E15"/>
    <w:rsid w:val="002E2F32"/>
    <w:rsid w:val="002E392E"/>
    <w:rsid w:val="002E3D45"/>
    <w:rsid w:val="002E3E80"/>
    <w:rsid w:val="002E41F9"/>
    <w:rsid w:val="002E479F"/>
    <w:rsid w:val="002E4D11"/>
    <w:rsid w:val="002E502D"/>
    <w:rsid w:val="002E5B14"/>
    <w:rsid w:val="002E5E3A"/>
    <w:rsid w:val="002E6754"/>
    <w:rsid w:val="002E68A9"/>
    <w:rsid w:val="002E738E"/>
    <w:rsid w:val="002E7F48"/>
    <w:rsid w:val="002F1244"/>
    <w:rsid w:val="002F38EC"/>
    <w:rsid w:val="002F45FD"/>
    <w:rsid w:val="002F4AFB"/>
    <w:rsid w:val="002F4B10"/>
    <w:rsid w:val="002F50A0"/>
    <w:rsid w:val="002F52E3"/>
    <w:rsid w:val="002F53EF"/>
    <w:rsid w:val="002F57C5"/>
    <w:rsid w:val="002F5901"/>
    <w:rsid w:val="002F5DFB"/>
    <w:rsid w:val="002F6E6C"/>
    <w:rsid w:val="002F7593"/>
    <w:rsid w:val="002F785E"/>
    <w:rsid w:val="002F7995"/>
    <w:rsid w:val="003000EE"/>
    <w:rsid w:val="00300A28"/>
    <w:rsid w:val="00301184"/>
    <w:rsid w:val="003019E9"/>
    <w:rsid w:val="00301C7B"/>
    <w:rsid w:val="00302559"/>
    <w:rsid w:val="00303244"/>
    <w:rsid w:val="003033E3"/>
    <w:rsid w:val="0030384F"/>
    <w:rsid w:val="00303943"/>
    <w:rsid w:val="00304273"/>
    <w:rsid w:val="003050E6"/>
    <w:rsid w:val="003053BD"/>
    <w:rsid w:val="00305CA1"/>
    <w:rsid w:val="00306011"/>
    <w:rsid w:val="00306317"/>
    <w:rsid w:val="00306AAC"/>
    <w:rsid w:val="0030758B"/>
    <w:rsid w:val="00307B63"/>
    <w:rsid w:val="00310528"/>
    <w:rsid w:val="0031096E"/>
    <w:rsid w:val="00311804"/>
    <w:rsid w:val="00311B69"/>
    <w:rsid w:val="00311B8E"/>
    <w:rsid w:val="00312F28"/>
    <w:rsid w:val="0031327A"/>
    <w:rsid w:val="003133F6"/>
    <w:rsid w:val="00313B9F"/>
    <w:rsid w:val="00313F08"/>
    <w:rsid w:val="00314A38"/>
    <w:rsid w:val="00315AF8"/>
    <w:rsid w:val="0031648D"/>
    <w:rsid w:val="00317289"/>
    <w:rsid w:val="00320960"/>
    <w:rsid w:val="0032141E"/>
    <w:rsid w:val="00321F6E"/>
    <w:rsid w:val="0032224B"/>
    <w:rsid w:val="00322779"/>
    <w:rsid w:val="00322915"/>
    <w:rsid w:val="00323662"/>
    <w:rsid w:val="003244CF"/>
    <w:rsid w:val="00324C14"/>
    <w:rsid w:val="00324FE2"/>
    <w:rsid w:val="00325A92"/>
    <w:rsid w:val="00326C8F"/>
    <w:rsid w:val="00327191"/>
    <w:rsid w:val="00327545"/>
    <w:rsid w:val="00327DD4"/>
    <w:rsid w:val="00330085"/>
    <w:rsid w:val="003308C7"/>
    <w:rsid w:val="0033094C"/>
    <w:rsid w:val="003313EF"/>
    <w:rsid w:val="0033176F"/>
    <w:rsid w:val="0033178E"/>
    <w:rsid w:val="00331B05"/>
    <w:rsid w:val="00331C61"/>
    <w:rsid w:val="00332132"/>
    <w:rsid w:val="003333B9"/>
    <w:rsid w:val="00333CBA"/>
    <w:rsid w:val="00333E91"/>
    <w:rsid w:val="0033407A"/>
    <w:rsid w:val="003349C1"/>
    <w:rsid w:val="00334F27"/>
    <w:rsid w:val="00335939"/>
    <w:rsid w:val="0033596D"/>
    <w:rsid w:val="00335A20"/>
    <w:rsid w:val="00335B51"/>
    <w:rsid w:val="00335B63"/>
    <w:rsid w:val="00335EC8"/>
    <w:rsid w:val="0033640D"/>
    <w:rsid w:val="003375B4"/>
    <w:rsid w:val="0033766C"/>
    <w:rsid w:val="0033784F"/>
    <w:rsid w:val="00337923"/>
    <w:rsid w:val="00337D3C"/>
    <w:rsid w:val="00337D91"/>
    <w:rsid w:val="00337F08"/>
    <w:rsid w:val="00340383"/>
    <w:rsid w:val="00341211"/>
    <w:rsid w:val="00341BFE"/>
    <w:rsid w:val="00343026"/>
    <w:rsid w:val="00343A2E"/>
    <w:rsid w:val="00344841"/>
    <w:rsid w:val="00344C2F"/>
    <w:rsid w:val="003457D0"/>
    <w:rsid w:val="003457E9"/>
    <w:rsid w:val="00345EDE"/>
    <w:rsid w:val="00346E99"/>
    <w:rsid w:val="003471DC"/>
    <w:rsid w:val="00347918"/>
    <w:rsid w:val="00347A42"/>
    <w:rsid w:val="00350048"/>
    <w:rsid w:val="003500C6"/>
    <w:rsid w:val="0035148E"/>
    <w:rsid w:val="00351DF0"/>
    <w:rsid w:val="00352252"/>
    <w:rsid w:val="003522AD"/>
    <w:rsid w:val="00352717"/>
    <w:rsid w:val="00352860"/>
    <w:rsid w:val="00353BD9"/>
    <w:rsid w:val="00354811"/>
    <w:rsid w:val="003550A1"/>
    <w:rsid w:val="0035522B"/>
    <w:rsid w:val="003553C9"/>
    <w:rsid w:val="00355761"/>
    <w:rsid w:val="0035672B"/>
    <w:rsid w:val="003569CD"/>
    <w:rsid w:val="00356A62"/>
    <w:rsid w:val="0035759A"/>
    <w:rsid w:val="00360EF9"/>
    <w:rsid w:val="003612F6"/>
    <w:rsid w:val="00361B3A"/>
    <w:rsid w:val="00361C7F"/>
    <w:rsid w:val="00361C8F"/>
    <w:rsid w:val="00362218"/>
    <w:rsid w:val="00362FCD"/>
    <w:rsid w:val="003631FC"/>
    <w:rsid w:val="00363755"/>
    <w:rsid w:val="00363BB5"/>
    <w:rsid w:val="00363C72"/>
    <w:rsid w:val="00363EFE"/>
    <w:rsid w:val="0036540A"/>
    <w:rsid w:val="003677E5"/>
    <w:rsid w:val="00367A60"/>
    <w:rsid w:val="00367CCA"/>
    <w:rsid w:val="00367F94"/>
    <w:rsid w:val="0037065C"/>
    <w:rsid w:val="0037069D"/>
    <w:rsid w:val="00370D77"/>
    <w:rsid w:val="00370D97"/>
    <w:rsid w:val="003713D1"/>
    <w:rsid w:val="0037148F"/>
    <w:rsid w:val="003717EB"/>
    <w:rsid w:val="003718F8"/>
    <w:rsid w:val="00372180"/>
    <w:rsid w:val="003723B0"/>
    <w:rsid w:val="0037245C"/>
    <w:rsid w:val="00372A0A"/>
    <w:rsid w:val="00372B9E"/>
    <w:rsid w:val="003731DA"/>
    <w:rsid w:val="00373567"/>
    <w:rsid w:val="00373C8B"/>
    <w:rsid w:val="00373DA9"/>
    <w:rsid w:val="00374A89"/>
    <w:rsid w:val="00374AAB"/>
    <w:rsid w:val="003754F3"/>
    <w:rsid w:val="00375516"/>
    <w:rsid w:val="0037638A"/>
    <w:rsid w:val="00377B48"/>
    <w:rsid w:val="003802EE"/>
    <w:rsid w:val="00380D16"/>
    <w:rsid w:val="00381115"/>
    <w:rsid w:val="003812CE"/>
    <w:rsid w:val="00381DA0"/>
    <w:rsid w:val="00382760"/>
    <w:rsid w:val="00382B3D"/>
    <w:rsid w:val="0038387A"/>
    <w:rsid w:val="00383D99"/>
    <w:rsid w:val="00384421"/>
    <w:rsid w:val="003846DE"/>
    <w:rsid w:val="00384E56"/>
    <w:rsid w:val="0038529F"/>
    <w:rsid w:val="003853C1"/>
    <w:rsid w:val="00385411"/>
    <w:rsid w:val="00385C05"/>
    <w:rsid w:val="00385F73"/>
    <w:rsid w:val="00386443"/>
    <w:rsid w:val="00386E8E"/>
    <w:rsid w:val="0038769C"/>
    <w:rsid w:val="003876F9"/>
    <w:rsid w:val="00390BCC"/>
    <w:rsid w:val="00390ED7"/>
    <w:rsid w:val="00391131"/>
    <w:rsid w:val="003916B4"/>
    <w:rsid w:val="00391A46"/>
    <w:rsid w:val="00391F0B"/>
    <w:rsid w:val="003921AF"/>
    <w:rsid w:val="003923E2"/>
    <w:rsid w:val="003929C3"/>
    <w:rsid w:val="00392D9A"/>
    <w:rsid w:val="003939F9"/>
    <w:rsid w:val="00393DF6"/>
    <w:rsid w:val="003945E3"/>
    <w:rsid w:val="003947D5"/>
    <w:rsid w:val="00394B15"/>
    <w:rsid w:val="00394D68"/>
    <w:rsid w:val="00395746"/>
    <w:rsid w:val="00395867"/>
    <w:rsid w:val="00397C12"/>
    <w:rsid w:val="003A09F1"/>
    <w:rsid w:val="003A1BF9"/>
    <w:rsid w:val="003A1EEA"/>
    <w:rsid w:val="003A3A1F"/>
    <w:rsid w:val="003A3C10"/>
    <w:rsid w:val="003A3C82"/>
    <w:rsid w:val="003A4F5E"/>
    <w:rsid w:val="003A5768"/>
    <w:rsid w:val="003A5BB3"/>
    <w:rsid w:val="003A5D39"/>
    <w:rsid w:val="003A7A5A"/>
    <w:rsid w:val="003B0B86"/>
    <w:rsid w:val="003B14C4"/>
    <w:rsid w:val="003B3757"/>
    <w:rsid w:val="003B43AB"/>
    <w:rsid w:val="003B44C6"/>
    <w:rsid w:val="003B5742"/>
    <w:rsid w:val="003B677B"/>
    <w:rsid w:val="003B7207"/>
    <w:rsid w:val="003B79F6"/>
    <w:rsid w:val="003B7D0E"/>
    <w:rsid w:val="003C0B7F"/>
    <w:rsid w:val="003C1BAA"/>
    <w:rsid w:val="003C202E"/>
    <w:rsid w:val="003C313C"/>
    <w:rsid w:val="003C37EF"/>
    <w:rsid w:val="003C3A8F"/>
    <w:rsid w:val="003C3BCC"/>
    <w:rsid w:val="003C59CC"/>
    <w:rsid w:val="003C5A8D"/>
    <w:rsid w:val="003C5A9B"/>
    <w:rsid w:val="003C5FAB"/>
    <w:rsid w:val="003C6391"/>
    <w:rsid w:val="003C6AF4"/>
    <w:rsid w:val="003C6B26"/>
    <w:rsid w:val="003C74F1"/>
    <w:rsid w:val="003D09D2"/>
    <w:rsid w:val="003D0F53"/>
    <w:rsid w:val="003D1B86"/>
    <w:rsid w:val="003D1DAB"/>
    <w:rsid w:val="003D244F"/>
    <w:rsid w:val="003D2675"/>
    <w:rsid w:val="003D315A"/>
    <w:rsid w:val="003D33E1"/>
    <w:rsid w:val="003D3796"/>
    <w:rsid w:val="003D4046"/>
    <w:rsid w:val="003D453E"/>
    <w:rsid w:val="003D460E"/>
    <w:rsid w:val="003D4E15"/>
    <w:rsid w:val="003D5C03"/>
    <w:rsid w:val="003D5D3D"/>
    <w:rsid w:val="003D6D4F"/>
    <w:rsid w:val="003D7311"/>
    <w:rsid w:val="003E151C"/>
    <w:rsid w:val="003E1E5F"/>
    <w:rsid w:val="003E232F"/>
    <w:rsid w:val="003E2FDF"/>
    <w:rsid w:val="003E3575"/>
    <w:rsid w:val="003E3F16"/>
    <w:rsid w:val="003E43E4"/>
    <w:rsid w:val="003E46C9"/>
    <w:rsid w:val="003E4BD6"/>
    <w:rsid w:val="003E4C65"/>
    <w:rsid w:val="003E4F6E"/>
    <w:rsid w:val="003E5133"/>
    <w:rsid w:val="003E54DD"/>
    <w:rsid w:val="003E619E"/>
    <w:rsid w:val="003E642F"/>
    <w:rsid w:val="003E6667"/>
    <w:rsid w:val="003F0806"/>
    <w:rsid w:val="003F09B1"/>
    <w:rsid w:val="003F1006"/>
    <w:rsid w:val="003F2BB4"/>
    <w:rsid w:val="003F30B1"/>
    <w:rsid w:val="003F358F"/>
    <w:rsid w:val="003F3802"/>
    <w:rsid w:val="003F3DB5"/>
    <w:rsid w:val="003F4D23"/>
    <w:rsid w:val="003F530B"/>
    <w:rsid w:val="003F5D1A"/>
    <w:rsid w:val="003F67C4"/>
    <w:rsid w:val="003F6EFB"/>
    <w:rsid w:val="003F74B6"/>
    <w:rsid w:val="003F7C65"/>
    <w:rsid w:val="00400263"/>
    <w:rsid w:val="004008AB"/>
    <w:rsid w:val="004017A2"/>
    <w:rsid w:val="00402467"/>
    <w:rsid w:val="004026BB"/>
    <w:rsid w:val="00402746"/>
    <w:rsid w:val="00402809"/>
    <w:rsid w:val="00403E28"/>
    <w:rsid w:val="00406306"/>
    <w:rsid w:val="004066B4"/>
    <w:rsid w:val="00406BD9"/>
    <w:rsid w:val="00406F03"/>
    <w:rsid w:val="00407B38"/>
    <w:rsid w:val="00410CEE"/>
    <w:rsid w:val="00411B0D"/>
    <w:rsid w:val="00411D98"/>
    <w:rsid w:val="00411DB1"/>
    <w:rsid w:val="004132B0"/>
    <w:rsid w:val="0041495E"/>
    <w:rsid w:val="0041746E"/>
    <w:rsid w:val="00420170"/>
    <w:rsid w:val="00421417"/>
    <w:rsid w:val="0042156A"/>
    <w:rsid w:val="0042171D"/>
    <w:rsid w:val="00422220"/>
    <w:rsid w:val="0042227E"/>
    <w:rsid w:val="00422310"/>
    <w:rsid w:val="00422FFB"/>
    <w:rsid w:val="00424644"/>
    <w:rsid w:val="0042493B"/>
    <w:rsid w:val="00424ADD"/>
    <w:rsid w:val="004263D0"/>
    <w:rsid w:val="004279AA"/>
    <w:rsid w:val="00427BCA"/>
    <w:rsid w:val="00430DE5"/>
    <w:rsid w:val="0043119C"/>
    <w:rsid w:val="00431479"/>
    <w:rsid w:val="00431F62"/>
    <w:rsid w:val="00432765"/>
    <w:rsid w:val="00432B22"/>
    <w:rsid w:val="00432B64"/>
    <w:rsid w:val="00432BED"/>
    <w:rsid w:val="00432E4E"/>
    <w:rsid w:val="00432F8D"/>
    <w:rsid w:val="00433798"/>
    <w:rsid w:val="00433822"/>
    <w:rsid w:val="00433861"/>
    <w:rsid w:val="00433D71"/>
    <w:rsid w:val="00433DAB"/>
    <w:rsid w:val="004342FB"/>
    <w:rsid w:val="0043433E"/>
    <w:rsid w:val="00434C86"/>
    <w:rsid w:val="0043519D"/>
    <w:rsid w:val="00435D04"/>
    <w:rsid w:val="00435F48"/>
    <w:rsid w:val="0043633B"/>
    <w:rsid w:val="00436528"/>
    <w:rsid w:val="0043662C"/>
    <w:rsid w:val="0043667B"/>
    <w:rsid w:val="00440500"/>
    <w:rsid w:val="00440672"/>
    <w:rsid w:val="00440696"/>
    <w:rsid w:val="00440C4D"/>
    <w:rsid w:val="00441439"/>
    <w:rsid w:val="00441BC9"/>
    <w:rsid w:val="00441EBF"/>
    <w:rsid w:val="00443474"/>
    <w:rsid w:val="004438D9"/>
    <w:rsid w:val="00443D33"/>
    <w:rsid w:val="004446B5"/>
    <w:rsid w:val="00444721"/>
    <w:rsid w:val="00444C87"/>
    <w:rsid w:val="004450DA"/>
    <w:rsid w:val="00445C2D"/>
    <w:rsid w:val="00446154"/>
    <w:rsid w:val="004464F6"/>
    <w:rsid w:val="00446585"/>
    <w:rsid w:val="0044737C"/>
    <w:rsid w:val="00450639"/>
    <w:rsid w:val="004509CD"/>
    <w:rsid w:val="00451DC3"/>
    <w:rsid w:val="004520ED"/>
    <w:rsid w:val="004521E0"/>
    <w:rsid w:val="0045224D"/>
    <w:rsid w:val="004522DF"/>
    <w:rsid w:val="004527C3"/>
    <w:rsid w:val="00453585"/>
    <w:rsid w:val="00453719"/>
    <w:rsid w:val="0045406A"/>
    <w:rsid w:val="0045446D"/>
    <w:rsid w:val="004547FC"/>
    <w:rsid w:val="0045518E"/>
    <w:rsid w:val="00456F30"/>
    <w:rsid w:val="00457379"/>
    <w:rsid w:val="004600A2"/>
    <w:rsid w:val="00460F78"/>
    <w:rsid w:val="004612F8"/>
    <w:rsid w:val="0046171D"/>
    <w:rsid w:val="004627B6"/>
    <w:rsid w:val="004627EC"/>
    <w:rsid w:val="00463D6B"/>
    <w:rsid w:val="00464D4F"/>
    <w:rsid w:val="004659FE"/>
    <w:rsid w:val="00465C36"/>
    <w:rsid w:val="00466A2E"/>
    <w:rsid w:val="0046714B"/>
    <w:rsid w:val="004672AC"/>
    <w:rsid w:val="004672CE"/>
    <w:rsid w:val="00467D3B"/>
    <w:rsid w:val="00467E09"/>
    <w:rsid w:val="0047169A"/>
    <w:rsid w:val="00472185"/>
    <w:rsid w:val="0047290F"/>
    <w:rsid w:val="00472D37"/>
    <w:rsid w:val="00473837"/>
    <w:rsid w:val="00473F0F"/>
    <w:rsid w:val="00474CC3"/>
    <w:rsid w:val="00475A68"/>
    <w:rsid w:val="00476ED9"/>
    <w:rsid w:val="00476F59"/>
    <w:rsid w:val="004771AF"/>
    <w:rsid w:val="004779F7"/>
    <w:rsid w:val="00477F03"/>
    <w:rsid w:val="004801FC"/>
    <w:rsid w:val="004819D3"/>
    <w:rsid w:val="00482056"/>
    <w:rsid w:val="00482234"/>
    <w:rsid w:val="00482E2F"/>
    <w:rsid w:val="0048304C"/>
    <w:rsid w:val="004835BA"/>
    <w:rsid w:val="00483643"/>
    <w:rsid w:val="004836AA"/>
    <w:rsid w:val="00483F9F"/>
    <w:rsid w:val="0048549A"/>
    <w:rsid w:val="004856DA"/>
    <w:rsid w:val="00486474"/>
    <w:rsid w:val="004864CD"/>
    <w:rsid w:val="004867E2"/>
    <w:rsid w:val="00486E2A"/>
    <w:rsid w:val="004871C0"/>
    <w:rsid w:val="00487B01"/>
    <w:rsid w:val="00487F51"/>
    <w:rsid w:val="00487F98"/>
    <w:rsid w:val="004904DC"/>
    <w:rsid w:val="004908A0"/>
    <w:rsid w:val="00490AF7"/>
    <w:rsid w:val="00490B7F"/>
    <w:rsid w:val="004916DE"/>
    <w:rsid w:val="00492353"/>
    <w:rsid w:val="00492E20"/>
    <w:rsid w:val="004934C2"/>
    <w:rsid w:val="00493539"/>
    <w:rsid w:val="0049375E"/>
    <w:rsid w:val="00493A36"/>
    <w:rsid w:val="00493EF2"/>
    <w:rsid w:val="00494CDF"/>
    <w:rsid w:val="004954ED"/>
    <w:rsid w:val="00495D04"/>
    <w:rsid w:val="004960B3"/>
    <w:rsid w:val="00496865"/>
    <w:rsid w:val="00496F78"/>
    <w:rsid w:val="004975D7"/>
    <w:rsid w:val="0049771A"/>
    <w:rsid w:val="004A1F06"/>
    <w:rsid w:val="004A209D"/>
    <w:rsid w:val="004A3F45"/>
    <w:rsid w:val="004A417B"/>
    <w:rsid w:val="004A42A3"/>
    <w:rsid w:val="004A494A"/>
    <w:rsid w:val="004A4DE8"/>
    <w:rsid w:val="004A5046"/>
    <w:rsid w:val="004A5823"/>
    <w:rsid w:val="004A6227"/>
    <w:rsid w:val="004A65AA"/>
    <w:rsid w:val="004A73B1"/>
    <w:rsid w:val="004B040A"/>
    <w:rsid w:val="004B13D5"/>
    <w:rsid w:val="004B1AD8"/>
    <w:rsid w:val="004B220C"/>
    <w:rsid w:val="004B2280"/>
    <w:rsid w:val="004B2744"/>
    <w:rsid w:val="004B28A8"/>
    <w:rsid w:val="004B3676"/>
    <w:rsid w:val="004B377F"/>
    <w:rsid w:val="004B463F"/>
    <w:rsid w:val="004B4AA5"/>
    <w:rsid w:val="004B50AD"/>
    <w:rsid w:val="004B525C"/>
    <w:rsid w:val="004B560B"/>
    <w:rsid w:val="004B6752"/>
    <w:rsid w:val="004C02C7"/>
    <w:rsid w:val="004C0370"/>
    <w:rsid w:val="004C076C"/>
    <w:rsid w:val="004C1ABB"/>
    <w:rsid w:val="004C203C"/>
    <w:rsid w:val="004C294B"/>
    <w:rsid w:val="004C2AE3"/>
    <w:rsid w:val="004C2D9D"/>
    <w:rsid w:val="004C344C"/>
    <w:rsid w:val="004C3E67"/>
    <w:rsid w:val="004C4602"/>
    <w:rsid w:val="004C5968"/>
    <w:rsid w:val="004C5BAE"/>
    <w:rsid w:val="004C60EE"/>
    <w:rsid w:val="004C6145"/>
    <w:rsid w:val="004C619F"/>
    <w:rsid w:val="004C6C27"/>
    <w:rsid w:val="004C6F14"/>
    <w:rsid w:val="004C75C9"/>
    <w:rsid w:val="004C79F1"/>
    <w:rsid w:val="004C7AC8"/>
    <w:rsid w:val="004D03DF"/>
    <w:rsid w:val="004D08DF"/>
    <w:rsid w:val="004D0B9B"/>
    <w:rsid w:val="004D0CE5"/>
    <w:rsid w:val="004D1E52"/>
    <w:rsid w:val="004D2C9A"/>
    <w:rsid w:val="004D3675"/>
    <w:rsid w:val="004D3D8C"/>
    <w:rsid w:val="004D4D60"/>
    <w:rsid w:val="004D552C"/>
    <w:rsid w:val="004D57D3"/>
    <w:rsid w:val="004D6431"/>
    <w:rsid w:val="004D65BC"/>
    <w:rsid w:val="004D6A49"/>
    <w:rsid w:val="004D6AD0"/>
    <w:rsid w:val="004D72A7"/>
    <w:rsid w:val="004D7D63"/>
    <w:rsid w:val="004E07AD"/>
    <w:rsid w:val="004E0829"/>
    <w:rsid w:val="004E09FB"/>
    <w:rsid w:val="004E0AB6"/>
    <w:rsid w:val="004E16F4"/>
    <w:rsid w:val="004E23DB"/>
    <w:rsid w:val="004E2A91"/>
    <w:rsid w:val="004E2DED"/>
    <w:rsid w:val="004E2EE3"/>
    <w:rsid w:val="004E4386"/>
    <w:rsid w:val="004E452E"/>
    <w:rsid w:val="004E4690"/>
    <w:rsid w:val="004E518B"/>
    <w:rsid w:val="004E5343"/>
    <w:rsid w:val="004E5FBD"/>
    <w:rsid w:val="004E64AB"/>
    <w:rsid w:val="004E6DFD"/>
    <w:rsid w:val="004E6E8F"/>
    <w:rsid w:val="004E7277"/>
    <w:rsid w:val="004F0649"/>
    <w:rsid w:val="004F0734"/>
    <w:rsid w:val="004F0BEC"/>
    <w:rsid w:val="004F1406"/>
    <w:rsid w:val="004F1E05"/>
    <w:rsid w:val="004F2A3F"/>
    <w:rsid w:val="004F2CC0"/>
    <w:rsid w:val="004F2CEA"/>
    <w:rsid w:val="004F2FD6"/>
    <w:rsid w:val="004F3329"/>
    <w:rsid w:val="004F33AB"/>
    <w:rsid w:val="004F3914"/>
    <w:rsid w:val="004F3B78"/>
    <w:rsid w:val="004F4254"/>
    <w:rsid w:val="004F5E8E"/>
    <w:rsid w:val="004F6612"/>
    <w:rsid w:val="004F67A1"/>
    <w:rsid w:val="004F68F5"/>
    <w:rsid w:val="004F6E52"/>
    <w:rsid w:val="004F7948"/>
    <w:rsid w:val="005013E2"/>
    <w:rsid w:val="00501417"/>
    <w:rsid w:val="005019E0"/>
    <w:rsid w:val="00501A9A"/>
    <w:rsid w:val="00501BDA"/>
    <w:rsid w:val="00501DB4"/>
    <w:rsid w:val="00501F62"/>
    <w:rsid w:val="00502289"/>
    <w:rsid w:val="005032E5"/>
    <w:rsid w:val="00504BCE"/>
    <w:rsid w:val="00506208"/>
    <w:rsid w:val="00506D06"/>
    <w:rsid w:val="0050714E"/>
    <w:rsid w:val="00507D9E"/>
    <w:rsid w:val="005116C4"/>
    <w:rsid w:val="00512F6C"/>
    <w:rsid w:val="005134EF"/>
    <w:rsid w:val="00513CD5"/>
    <w:rsid w:val="00513E0D"/>
    <w:rsid w:val="00513FA0"/>
    <w:rsid w:val="005144EE"/>
    <w:rsid w:val="00514701"/>
    <w:rsid w:val="00514DDE"/>
    <w:rsid w:val="00515BBA"/>
    <w:rsid w:val="00516F2B"/>
    <w:rsid w:val="005177FB"/>
    <w:rsid w:val="0051792F"/>
    <w:rsid w:val="0052180A"/>
    <w:rsid w:val="00521B17"/>
    <w:rsid w:val="00521CCE"/>
    <w:rsid w:val="00522159"/>
    <w:rsid w:val="00522362"/>
    <w:rsid w:val="00522500"/>
    <w:rsid w:val="00522837"/>
    <w:rsid w:val="00522A17"/>
    <w:rsid w:val="00522B43"/>
    <w:rsid w:val="00522EF3"/>
    <w:rsid w:val="0052370A"/>
    <w:rsid w:val="00523804"/>
    <w:rsid w:val="00524D2D"/>
    <w:rsid w:val="00524D69"/>
    <w:rsid w:val="00525134"/>
    <w:rsid w:val="0052558D"/>
    <w:rsid w:val="005255F3"/>
    <w:rsid w:val="00525C21"/>
    <w:rsid w:val="00525CAD"/>
    <w:rsid w:val="00525FDE"/>
    <w:rsid w:val="00526097"/>
    <w:rsid w:val="005263C1"/>
    <w:rsid w:val="005263CA"/>
    <w:rsid w:val="005271C2"/>
    <w:rsid w:val="005274CD"/>
    <w:rsid w:val="005274E5"/>
    <w:rsid w:val="005300A2"/>
    <w:rsid w:val="00531013"/>
    <w:rsid w:val="00531057"/>
    <w:rsid w:val="00531151"/>
    <w:rsid w:val="005314FC"/>
    <w:rsid w:val="005315EE"/>
    <w:rsid w:val="00531703"/>
    <w:rsid w:val="005317E8"/>
    <w:rsid w:val="00531870"/>
    <w:rsid w:val="00531D73"/>
    <w:rsid w:val="00532B2F"/>
    <w:rsid w:val="00532BA7"/>
    <w:rsid w:val="0053309E"/>
    <w:rsid w:val="00533974"/>
    <w:rsid w:val="00533977"/>
    <w:rsid w:val="00534370"/>
    <w:rsid w:val="00534579"/>
    <w:rsid w:val="005350CA"/>
    <w:rsid w:val="00535DC0"/>
    <w:rsid w:val="00536023"/>
    <w:rsid w:val="00536D47"/>
    <w:rsid w:val="005372AC"/>
    <w:rsid w:val="0054027E"/>
    <w:rsid w:val="00540CC7"/>
    <w:rsid w:val="00541653"/>
    <w:rsid w:val="00541698"/>
    <w:rsid w:val="00541723"/>
    <w:rsid w:val="00541AAA"/>
    <w:rsid w:val="005427B9"/>
    <w:rsid w:val="0054284F"/>
    <w:rsid w:val="0054288B"/>
    <w:rsid w:val="005429BF"/>
    <w:rsid w:val="005434ED"/>
    <w:rsid w:val="0054386C"/>
    <w:rsid w:val="005448A0"/>
    <w:rsid w:val="005448C0"/>
    <w:rsid w:val="00545977"/>
    <w:rsid w:val="0054666D"/>
    <w:rsid w:val="005475EE"/>
    <w:rsid w:val="005501EA"/>
    <w:rsid w:val="00550720"/>
    <w:rsid w:val="005508CA"/>
    <w:rsid w:val="005508E6"/>
    <w:rsid w:val="00550920"/>
    <w:rsid w:val="00552293"/>
    <w:rsid w:val="00552478"/>
    <w:rsid w:val="00552FA0"/>
    <w:rsid w:val="005531B1"/>
    <w:rsid w:val="0055336E"/>
    <w:rsid w:val="00553818"/>
    <w:rsid w:val="00554867"/>
    <w:rsid w:val="00554C66"/>
    <w:rsid w:val="00556063"/>
    <w:rsid w:val="0055657F"/>
    <w:rsid w:val="00556D68"/>
    <w:rsid w:val="00557428"/>
    <w:rsid w:val="00557517"/>
    <w:rsid w:val="005577D1"/>
    <w:rsid w:val="005600CA"/>
    <w:rsid w:val="0056078F"/>
    <w:rsid w:val="005608ED"/>
    <w:rsid w:val="00560D5A"/>
    <w:rsid w:val="00561F08"/>
    <w:rsid w:val="00562C1E"/>
    <w:rsid w:val="0056372D"/>
    <w:rsid w:val="00563CE6"/>
    <w:rsid w:val="00564095"/>
    <w:rsid w:val="0056510B"/>
    <w:rsid w:val="005651FC"/>
    <w:rsid w:val="00565AE5"/>
    <w:rsid w:val="005661C8"/>
    <w:rsid w:val="00566574"/>
    <w:rsid w:val="005677DC"/>
    <w:rsid w:val="005706F6"/>
    <w:rsid w:val="00570EB8"/>
    <w:rsid w:val="00571009"/>
    <w:rsid w:val="00571FAF"/>
    <w:rsid w:val="00573F48"/>
    <w:rsid w:val="00574139"/>
    <w:rsid w:val="00574247"/>
    <w:rsid w:val="005745EC"/>
    <w:rsid w:val="005753F0"/>
    <w:rsid w:val="00575D4D"/>
    <w:rsid w:val="00575DE3"/>
    <w:rsid w:val="00577466"/>
    <w:rsid w:val="00577779"/>
    <w:rsid w:val="00580687"/>
    <w:rsid w:val="005811C2"/>
    <w:rsid w:val="00581BBC"/>
    <w:rsid w:val="00581CC3"/>
    <w:rsid w:val="0058221E"/>
    <w:rsid w:val="005822D9"/>
    <w:rsid w:val="00582851"/>
    <w:rsid w:val="00582B64"/>
    <w:rsid w:val="005836DF"/>
    <w:rsid w:val="005837BC"/>
    <w:rsid w:val="00583FBC"/>
    <w:rsid w:val="00584E75"/>
    <w:rsid w:val="00585285"/>
    <w:rsid w:val="00585853"/>
    <w:rsid w:val="00585882"/>
    <w:rsid w:val="005858BC"/>
    <w:rsid w:val="00585AA8"/>
    <w:rsid w:val="00585DD7"/>
    <w:rsid w:val="00586475"/>
    <w:rsid w:val="00586B1F"/>
    <w:rsid w:val="00587455"/>
    <w:rsid w:val="005874AE"/>
    <w:rsid w:val="00590087"/>
    <w:rsid w:val="00590573"/>
    <w:rsid w:val="00590834"/>
    <w:rsid w:val="00590D80"/>
    <w:rsid w:val="005915D0"/>
    <w:rsid w:val="00591743"/>
    <w:rsid w:val="00591849"/>
    <w:rsid w:val="00592934"/>
    <w:rsid w:val="00592AAF"/>
    <w:rsid w:val="0059354B"/>
    <w:rsid w:val="00593A10"/>
    <w:rsid w:val="00593A7C"/>
    <w:rsid w:val="00593E01"/>
    <w:rsid w:val="00593FBD"/>
    <w:rsid w:val="00594516"/>
    <w:rsid w:val="00595BE2"/>
    <w:rsid w:val="00595D9D"/>
    <w:rsid w:val="00597D1C"/>
    <w:rsid w:val="00597F40"/>
    <w:rsid w:val="005A015A"/>
    <w:rsid w:val="005A02F9"/>
    <w:rsid w:val="005A0C4D"/>
    <w:rsid w:val="005A13AF"/>
    <w:rsid w:val="005A1D92"/>
    <w:rsid w:val="005A2B71"/>
    <w:rsid w:val="005A361D"/>
    <w:rsid w:val="005A3865"/>
    <w:rsid w:val="005A3DC4"/>
    <w:rsid w:val="005A55AD"/>
    <w:rsid w:val="005A5BF2"/>
    <w:rsid w:val="005A62DA"/>
    <w:rsid w:val="005A69AF"/>
    <w:rsid w:val="005A6CBD"/>
    <w:rsid w:val="005A76BB"/>
    <w:rsid w:val="005A7943"/>
    <w:rsid w:val="005A7F51"/>
    <w:rsid w:val="005B0356"/>
    <w:rsid w:val="005B18D3"/>
    <w:rsid w:val="005B1F06"/>
    <w:rsid w:val="005B21DE"/>
    <w:rsid w:val="005B278F"/>
    <w:rsid w:val="005B2D63"/>
    <w:rsid w:val="005B40C2"/>
    <w:rsid w:val="005B425F"/>
    <w:rsid w:val="005B432B"/>
    <w:rsid w:val="005B56F1"/>
    <w:rsid w:val="005B5956"/>
    <w:rsid w:val="005B5D3F"/>
    <w:rsid w:val="005B5D98"/>
    <w:rsid w:val="005B5EC7"/>
    <w:rsid w:val="005B5EE1"/>
    <w:rsid w:val="005B6400"/>
    <w:rsid w:val="005B6468"/>
    <w:rsid w:val="005B651B"/>
    <w:rsid w:val="005B6DE3"/>
    <w:rsid w:val="005B6E59"/>
    <w:rsid w:val="005B723E"/>
    <w:rsid w:val="005C0223"/>
    <w:rsid w:val="005C1038"/>
    <w:rsid w:val="005C1726"/>
    <w:rsid w:val="005C23DF"/>
    <w:rsid w:val="005C269C"/>
    <w:rsid w:val="005C30ED"/>
    <w:rsid w:val="005C35A6"/>
    <w:rsid w:val="005C3EC1"/>
    <w:rsid w:val="005C4A95"/>
    <w:rsid w:val="005C5650"/>
    <w:rsid w:val="005C5775"/>
    <w:rsid w:val="005C5C3E"/>
    <w:rsid w:val="005C65CC"/>
    <w:rsid w:val="005C6CF4"/>
    <w:rsid w:val="005C6E2B"/>
    <w:rsid w:val="005C72B6"/>
    <w:rsid w:val="005C7610"/>
    <w:rsid w:val="005C7700"/>
    <w:rsid w:val="005D018C"/>
    <w:rsid w:val="005D03CC"/>
    <w:rsid w:val="005D063C"/>
    <w:rsid w:val="005D0892"/>
    <w:rsid w:val="005D0895"/>
    <w:rsid w:val="005D0D1E"/>
    <w:rsid w:val="005D0D78"/>
    <w:rsid w:val="005D2E75"/>
    <w:rsid w:val="005D3003"/>
    <w:rsid w:val="005D3698"/>
    <w:rsid w:val="005D487E"/>
    <w:rsid w:val="005D4903"/>
    <w:rsid w:val="005D522F"/>
    <w:rsid w:val="005D59FC"/>
    <w:rsid w:val="005D61B6"/>
    <w:rsid w:val="005D640E"/>
    <w:rsid w:val="005D6A6F"/>
    <w:rsid w:val="005D6AF1"/>
    <w:rsid w:val="005D7DC6"/>
    <w:rsid w:val="005E0748"/>
    <w:rsid w:val="005E0CEC"/>
    <w:rsid w:val="005E10E8"/>
    <w:rsid w:val="005E1D3C"/>
    <w:rsid w:val="005E26C2"/>
    <w:rsid w:val="005E3196"/>
    <w:rsid w:val="005E3668"/>
    <w:rsid w:val="005E3942"/>
    <w:rsid w:val="005E4490"/>
    <w:rsid w:val="005E454A"/>
    <w:rsid w:val="005E49C2"/>
    <w:rsid w:val="005E50BC"/>
    <w:rsid w:val="005E5354"/>
    <w:rsid w:val="005E5E3F"/>
    <w:rsid w:val="005E64B8"/>
    <w:rsid w:val="005E78CE"/>
    <w:rsid w:val="005F0890"/>
    <w:rsid w:val="005F1379"/>
    <w:rsid w:val="005F1BF6"/>
    <w:rsid w:val="005F1DC4"/>
    <w:rsid w:val="005F237E"/>
    <w:rsid w:val="005F2669"/>
    <w:rsid w:val="005F267C"/>
    <w:rsid w:val="005F31C1"/>
    <w:rsid w:val="005F559A"/>
    <w:rsid w:val="005F699C"/>
    <w:rsid w:val="005F7374"/>
    <w:rsid w:val="00600D6B"/>
    <w:rsid w:val="0060186C"/>
    <w:rsid w:val="0060220A"/>
    <w:rsid w:val="006032F6"/>
    <w:rsid w:val="00603D0B"/>
    <w:rsid w:val="0060558B"/>
    <w:rsid w:val="00605A43"/>
    <w:rsid w:val="00606970"/>
    <w:rsid w:val="00606BD2"/>
    <w:rsid w:val="00606D2F"/>
    <w:rsid w:val="00607587"/>
    <w:rsid w:val="00607A32"/>
    <w:rsid w:val="00610894"/>
    <w:rsid w:val="00610FDE"/>
    <w:rsid w:val="0061137D"/>
    <w:rsid w:val="006118E9"/>
    <w:rsid w:val="00612AF6"/>
    <w:rsid w:val="00612E1E"/>
    <w:rsid w:val="00613E2D"/>
    <w:rsid w:val="0061428D"/>
    <w:rsid w:val="0061451F"/>
    <w:rsid w:val="00614B1D"/>
    <w:rsid w:val="00615598"/>
    <w:rsid w:val="00615D17"/>
    <w:rsid w:val="00616576"/>
    <w:rsid w:val="006167AB"/>
    <w:rsid w:val="00617765"/>
    <w:rsid w:val="006211BF"/>
    <w:rsid w:val="00621307"/>
    <w:rsid w:val="00622775"/>
    <w:rsid w:val="006235B4"/>
    <w:rsid w:val="00624DA6"/>
    <w:rsid w:val="00624DE7"/>
    <w:rsid w:val="006250FC"/>
    <w:rsid w:val="006253F2"/>
    <w:rsid w:val="0062541D"/>
    <w:rsid w:val="0062556B"/>
    <w:rsid w:val="00626330"/>
    <w:rsid w:val="00630BA4"/>
    <w:rsid w:val="00630E9D"/>
    <w:rsid w:val="00630FCE"/>
    <w:rsid w:val="006318C5"/>
    <w:rsid w:val="00631924"/>
    <w:rsid w:val="00631CF4"/>
    <w:rsid w:val="006330CA"/>
    <w:rsid w:val="00633A7A"/>
    <w:rsid w:val="00634240"/>
    <w:rsid w:val="006349A1"/>
    <w:rsid w:val="00635644"/>
    <w:rsid w:val="006357E1"/>
    <w:rsid w:val="00635BDF"/>
    <w:rsid w:val="00636505"/>
    <w:rsid w:val="00640105"/>
    <w:rsid w:val="00640225"/>
    <w:rsid w:val="006406A4"/>
    <w:rsid w:val="006412D5"/>
    <w:rsid w:val="00641628"/>
    <w:rsid w:val="00642029"/>
    <w:rsid w:val="00642383"/>
    <w:rsid w:val="00642694"/>
    <w:rsid w:val="0064282A"/>
    <w:rsid w:val="006431F5"/>
    <w:rsid w:val="00644FAD"/>
    <w:rsid w:val="00645374"/>
    <w:rsid w:val="006458C5"/>
    <w:rsid w:val="00645B5D"/>
    <w:rsid w:val="00646683"/>
    <w:rsid w:val="006469E3"/>
    <w:rsid w:val="006470D1"/>
    <w:rsid w:val="006500C1"/>
    <w:rsid w:val="00650387"/>
    <w:rsid w:val="00650614"/>
    <w:rsid w:val="00651B95"/>
    <w:rsid w:val="00651EC2"/>
    <w:rsid w:val="00652C65"/>
    <w:rsid w:val="00653CB4"/>
    <w:rsid w:val="006557AF"/>
    <w:rsid w:val="00656E4E"/>
    <w:rsid w:val="00656ECD"/>
    <w:rsid w:val="00657619"/>
    <w:rsid w:val="00657890"/>
    <w:rsid w:val="00657CD9"/>
    <w:rsid w:val="00660AEB"/>
    <w:rsid w:val="00660EA3"/>
    <w:rsid w:val="006621E5"/>
    <w:rsid w:val="006628C1"/>
    <w:rsid w:val="00662C95"/>
    <w:rsid w:val="00662E3B"/>
    <w:rsid w:val="006630CC"/>
    <w:rsid w:val="006640A5"/>
    <w:rsid w:val="00665B3E"/>
    <w:rsid w:val="00665C25"/>
    <w:rsid w:val="00665EF2"/>
    <w:rsid w:val="00666A7C"/>
    <w:rsid w:val="0066707D"/>
    <w:rsid w:val="00667863"/>
    <w:rsid w:val="00667ECF"/>
    <w:rsid w:val="0067016D"/>
    <w:rsid w:val="00670588"/>
    <w:rsid w:val="006714C4"/>
    <w:rsid w:val="00671814"/>
    <w:rsid w:val="00671F83"/>
    <w:rsid w:val="00672365"/>
    <w:rsid w:val="00672475"/>
    <w:rsid w:val="00673015"/>
    <w:rsid w:val="00674226"/>
    <w:rsid w:val="00674358"/>
    <w:rsid w:val="00674752"/>
    <w:rsid w:val="006750F8"/>
    <w:rsid w:val="0067584D"/>
    <w:rsid w:val="00676363"/>
    <w:rsid w:val="0067671D"/>
    <w:rsid w:val="0067699F"/>
    <w:rsid w:val="006769F0"/>
    <w:rsid w:val="0067728E"/>
    <w:rsid w:val="0067791A"/>
    <w:rsid w:val="00680651"/>
    <w:rsid w:val="00680EED"/>
    <w:rsid w:val="00682FB9"/>
    <w:rsid w:val="00683150"/>
    <w:rsid w:val="006835B3"/>
    <w:rsid w:val="006854E7"/>
    <w:rsid w:val="006855F6"/>
    <w:rsid w:val="00685913"/>
    <w:rsid w:val="00686756"/>
    <w:rsid w:val="00686AB0"/>
    <w:rsid w:val="00686AE5"/>
    <w:rsid w:val="00686FBA"/>
    <w:rsid w:val="00687EE2"/>
    <w:rsid w:val="006905EC"/>
    <w:rsid w:val="00690764"/>
    <w:rsid w:val="00690916"/>
    <w:rsid w:val="00690BD3"/>
    <w:rsid w:val="00690E79"/>
    <w:rsid w:val="0069117A"/>
    <w:rsid w:val="006915C6"/>
    <w:rsid w:val="006915CD"/>
    <w:rsid w:val="00692809"/>
    <w:rsid w:val="00693142"/>
    <w:rsid w:val="00693697"/>
    <w:rsid w:val="00693AE6"/>
    <w:rsid w:val="00693F63"/>
    <w:rsid w:val="006942C7"/>
    <w:rsid w:val="006947A6"/>
    <w:rsid w:val="006956FB"/>
    <w:rsid w:val="00697948"/>
    <w:rsid w:val="00697AA6"/>
    <w:rsid w:val="00697E6D"/>
    <w:rsid w:val="00697EC7"/>
    <w:rsid w:val="006A0BF9"/>
    <w:rsid w:val="006A334B"/>
    <w:rsid w:val="006A338F"/>
    <w:rsid w:val="006A33F1"/>
    <w:rsid w:val="006A39EB"/>
    <w:rsid w:val="006A3C5C"/>
    <w:rsid w:val="006A3D02"/>
    <w:rsid w:val="006A4201"/>
    <w:rsid w:val="006A47DE"/>
    <w:rsid w:val="006A5917"/>
    <w:rsid w:val="006A5A73"/>
    <w:rsid w:val="006A5D2B"/>
    <w:rsid w:val="006A5D39"/>
    <w:rsid w:val="006A69EF"/>
    <w:rsid w:val="006A7053"/>
    <w:rsid w:val="006A70B1"/>
    <w:rsid w:val="006B0051"/>
    <w:rsid w:val="006B0FE5"/>
    <w:rsid w:val="006B1466"/>
    <w:rsid w:val="006B3C0C"/>
    <w:rsid w:val="006B3C24"/>
    <w:rsid w:val="006B3D3B"/>
    <w:rsid w:val="006B48E8"/>
    <w:rsid w:val="006B6C8B"/>
    <w:rsid w:val="006B72F7"/>
    <w:rsid w:val="006B74CB"/>
    <w:rsid w:val="006B74E5"/>
    <w:rsid w:val="006B76C3"/>
    <w:rsid w:val="006C05BA"/>
    <w:rsid w:val="006C0A8B"/>
    <w:rsid w:val="006C0C31"/>
    <w:rsid w:val="006C1398"/>
    <w:rsid w:val="006C1A8A"/>
    <w:rsid w:val="006C1B55"/>
    <w:rsid w:val="006C1F2A"/>
    <w:rsid w:val="006C5845"/>
    <w:rsid w:val="006C5C76"/>
    <w:rsid w:val="006C701F"/>
    <w:rsid w:val="006D0473"/>
    <w:rsid w:val="006D0C3A"/>
    <w:rsid w:val="006D215B"/>
    <w:rsid w:val="006D236B"/>
    <w:rsid w:val="006D240D"/>
    <w:rsid w:val="006D39FC"/>
    <w:rsid w:val="006D46DD"/>
    <w:rsid w:val="006D480E"/>
    <w:rsid w:val="006D6E19"/>
    <w:rsid w:val="006D7EB4"/>
    <w:rsid w:val="006E05A0"/>
    <w:rsid w:val="006E1DBD"/>
    <w:rsid w:val="006E1E4A"/>
    <w:rsid w:val="006E2010"/>
    <w:rsid w:val="006E20AF"/>
    <w:rsid w:val="006E24B6"/>
    <w:rsid w:val="006E4303"/>
    <w:rsid w:val="006E4F55"/>
    <w:rsid w:val="006E547A"/>
    <w:rsid w:val="006E58BA"/>
    <w:rsid w:val="006E5FDD"/>
    <w:rsid w:val="006E61F7"/>
    <w:rsid w:val="006E62D3"/>
    <w:rsid w:val="006E6440"/>
    <w:rsid w:val="006E66D5"/>
    <w:rsid w:val="006E69EB"/>
    <w:rsid w:val="006E6B0E"/>
    <w:rsid w:val="006E7F73"/>
    <w:rsid w:val="006F0C5C"/>
    <w:rsid w:val="006F2BFD"/>
    <w:rsid w:val="006F47BF"/>
    <w:rsid w:val="006F4D28"/>
    <w:rsid w:val="006F6039"/>
    <w:rsid w:val="006F6110"/>
    <w:rsid w:val="006F668A"/>
    <w:rsid w:val="006F6FEF"/>
    <w:rsid w:val="0070054E"/>
    <w:rsid w:val="00700EF6"/>
    <w:rsid w:val="00702165"/>
    <w:rsid w:val="00702371"/>
    <w:rsid w:val="00702826"/>
    <w:rsid w:val="00702B5C"/>
    <w:rsid w:val="00702BB5"/>
    <w:rsid w:val="00702FAA"/>
    <w:rsid w:val="007030BB"/>
    <w:rsid w:val="007032CF"/>
    <w:rsid w:val="007035EE"/>
    <w:rsid w:val="00703758"/>
    <w:rsid w:val="00703785"/>
    <w:rsid w:val="00704104"/>
    <w:rsid w:val="0070438F"/>
    <w:rsid w:val="007050ED"/>
    <w:rsid w:val="00705819"/>
    <w:rsid w:val="00705833"/>
    <w:rsid w:val="00706E36"/>
    <w:rsid w:val="0070783D"/>
    <w:rsid w:val="007102CE"/>
    <w:rsid w:val="00710C12"/>
    <w:rsid w:val="00711B22"/>
    <w:rsid w:val="0071345A"/>
    <w:rsid w:val="00713A94"/>
    <w:rsid w:val="00713FE9"/>
    <w:rsid w:val="00714901"/>
    <w:rsid w:val="007151C2"/>
    <w:rsid w:val="00715462"/>
    <w:rsid w:val="007158F7"/>
    <w:rsid w:val="00715B3E"/>
    <w:rsid w:val="007161B9"/>
    <w:rsid w:val="00716505"/>
    <w:rsid w:val="00716972"/>
    <w:rsid w:val="00716DD6"/>
    <w:rsid w:val="00717EBA"/>
    <w:rsid w:val="007207D9"/>
    <w:rsid w:val="00720969"/>
    <w:rsid w:val="007209B0"/>
    <w:rsid w:val="00721C90"/>
    <w:rsid w:val="00722C75"/>
    <w:rsid w:val="0072355A"/>
    <w:rsid w:val="0072357E"/>
    <w:rsid w:val="0072369D"/>
    <w:rsid w:val="00723781"/>
    <w:rsid w:val="0072422D"/>
    <w:rsid w:val="00724A45"/>
    <w:rsid w:val="00724BB6"/>
    <w:rsid w:val="007251EF"/>
    <w:rsid w:val="00725E26"/>
    <w:rsid w:val="00726296"/>
    <w:rsid w:val="00726298"/>
    <w:rsid w:val="0072700D"/>
    <w:rsid w:val="00727196"/>
    <w:rsid w:val="00727550"/>
    <w:rsid w:val="00727E46"/>
    <w:rsid w:val="00730EB7"/>
    <w:rsid w:val="00731B53"/>
    <w:rsid w:val="00732484"/>
    <w:rsid w:val="00732D4F"/>
    <w:rsid w:val="00732EEA"/>
    <w:rsid w:val="00732F98"/>
    <w:rsid w:val="007330BF"/>
    <w:rsid w:val="00734586"/>
    <w:rsid w:val="0073476B"/>
    <w:rsid w:val="007350C3"/>
    <w:rsid w:val="007350F4"/>
    <w:rsid w:val="007353A1"/>
    <w:rsid w:val="007368BB"/>
    <w:rsid w:val="00736E21"/>
    <w:rsid w:val="00736F4C"/>
    <w:rsid w:val="00737739"/>
    <w:rsid w:val="00737FD6"/>
    <w:rsid w:val="0074067F"/>
    <w:rsid w:val="0074209F"/>
    <w:rsid w:val="007421D9"/>
    <w:rsid w:val="00742CD2"/>
    <w:rsid w:val="007438DE"/>
    <w:rsid w:val="00743EAD"/>
    <w:rsid w:val="0074432A"/>
    <w:rsid w:val="00744EE6"/>
    <w:rsid w:val="00745531"/>
    <w:rsid w:val="007455B5"/>
    <w:rsid w:val="00745C03"/>
    <w:rsid w:val="00747148"/>
    <w:rsid w:val="007476E4"/>
    <w:rsid w:val="00747845"/>
    <w:rsid w:val="00747C36"/>
    <w:rsid w:val="00747F5C"/>
    <w:rsid w:val="00750AC2"/>
    <w:rsid w:val="007519B8"/>
    <w:rsid w:val="0075283A"/>
    <w:rsid w:val="00752853"/>
    <w:rsid w:val="00754340"/>
    <w:rsid w:val="007546C1"/>
    <w:rsid w:val="00754BCF"/>
    <w:rsid w:val="0075527B"/>
    <w:rsid w:val="007552C5"/>
    <w:rsid w:val="007558FF"/>
    <w:rsid w:val="00755A25"/>
    <w:rsid w:val="00755FE3"/>
    <w:rsid w:val="0075609E"/>
    <w:rsid w:val="007569C1"/>
    <w:rsid w:val="00757351"/>
    <w:rsid w:val="00757959"/>
    <w:rsid w:val="00757B09"/>
    <w:rsid w:val="00757F07"/>
    <w:rsid w:val="00757FA5"/>
    <w:rsid w:val="00760244"/>
    <w:rsid w:val="00760360"/>
    <w:rsid w:val="00762A62"/>
    <w:rsid w:val="00763394"/>
    <w:rsid w:val="007637FC"/>
    <w:rsid w:val="0076409D"/>
    <w:rsid w:val="00764146"/>
    <w:rsid w:val="0076470A"/>
    <w:rsid w:val="007651E1"/>
    <w:rsid w:val="00765886"/>
    <w:rsid w:val="007664FB"/>
    <w:rsid w:val="00766DA5"/>
    <w:rsid w:val="007672A7"/>
    <w:rsid w:val="0077046D"/>
    <w:rsid w:val="00770565"/>
    <w:rsid w:val="00770626"/>
    <w:rsid w:val="00770B49"/>
    <w:rsid w:val="00770CAA"/>
    <w:rsid w:val="00770E87"/>
    <w:rsid w:val="00771A19"/>
    <w:rsid w:val="00771A35"/>
    <w:rsid w:val="00772A18"/>
    <w:rsid w:val="007734D9"/>
    <w:rsid w:val="00774601"/>
    <w:rsid w:val="00774DDC"/>
    <w:rsid w:val="007750C2"/>
    <w:rsid w:val="00775279"/>
    <w:rsid w:val="007765DF"/>
    <w:rsid w:val="007765E1"/>
    <w:rsid w:val="00776C85"/>
    <w:rsid w:val="007771B9"/>
    <w:rsid w:val="00777250"/>
    <w:rsid w:val="00777A41"/>
    <w:rsid w:val="00777BFE"/>
    <w:rsid w:val="0078052E"/>
    <w:rsid w:val="00780908"/>
    <w:rsid w:val="00780FAD"/>
    <w:rsid w:val="00781682"/>
    <w:rsid w:val="0078218B"/>
    <w:rsid w:val="0078241A"/>
    <w:rsid w:val="00783156"/>
    <w:rsid w:val="0078323F"/>
    <w:rsid w:val="0078344A"/>
    <w:rsid w:val="007839C0"/>
    <w:rsid w:val="00783BAD"/>
    <w:rsid w:val="00786443"/>
    <w:rsid w:val="00787601"/>
    <w:rsid w:val="0078767E"/>
    <w:rsid w:val="007878DD"/>
    <w:rsid w:val="00787C99"/>
    <w:rsid w:val="00787EB3"/>
    <w:rsid w:val="0079001F"/>
    <w:rsid w:val="00790AC8"/>
    <w:rsid w:val="007915B3"/>
    <w:rsid w:val="0079187C"/>
    <w:rsid w:val="00791E3B"/>
    <w:rsid w:val="0079228E"/>
    <w:rsid w:val="00792685"/>
    <w:rsid w:val="00792909"/>
    <w:rsid w:val="007933C7"/>
    <w:rsid w:val="00793BBC"/>
    <w:rsid w:val="007942E3"/>
    <w:rsid w:val="007943A1"/>
    <w:rsid w:val="00794C53"/>
    <w:rsid w:val="00794DCA"/>
    <w:rsid w:val="00795207"/>
    <w:rsid w:val="007953F0"/>
    <w:rsid w:val="00795F76"/>
    <w:rsid w:val="00796204"/>
    <w:rsid w:val="007962DA"/>
    <w:rsid w:val="00796A72"/>
    <w:rsid w:val="00796C3A"/>
    <w:rsid w:val="007976D4"/>
    <w:rsid w:val="00797DC4"/>
    <w:rsid w:val="007A05FC"/>
    <w:rsid w:val="007A1015"/>
    <w:rsid w:val="007A1082"/>
    <w:rsid w:val="007A27A6"/>
    <w:rsid w:val="007A287E"/>
    <w:rsid w:val="007A364B"/>
    <w:rsid w:val="007A377F"/>
    <w:rsid w:val="007A4507"/>
    <w:rsid w:val="007A48B5"/>
    <w:rsid w:val="007A530D"/>
    <w:rsid w:val="007A5ECF"/>
    <w:rsid w:val="007A5F5D"/>
    <w:rsid w:val="007A5FD1"/>
    <w:rsid w:val="007A6606"/>
    <w:rsid w:val="007A67B1"/>
    <w:rsid w:val="007A69D9"/>
    <w:rsid w:val="007A6DCB"/>
    <w:rsid w:val="007A6FB0"/>
    <w:rsid w:val="007A7042"/>
    <w:rsid w:val="007A79D3"/>
    <w:rsid w:val="007A7F41"/>
    <w:rsid w:val="007B1033"/>
    <w:rsid w:val="007B1591"/>
    <w:rsid w:val="007B1D61"/>
    <w:rsid w:val="007B30C7"/>
    <w:rsid w:val="007B511E"/>
    <w:rsid w:val="007B5592"/>
    <w:rsid w:val="007B5625"/>
    <w:rsid w:val="007B5CEA"/>
    <w:rsid w:val="007B604E"/>
    <w:rsid w:val="007B6CAD"/>
    <w:rsid w:val="007B720B"/>
    <w:rsid w:val="007B7340"/>
    <w:rsid w:val="007B737F"/>
    <w:rsid w:val="007B73C0"/>
    <w:rsid w:val="007B7460"/>
    <w:rsid w:val="007B75EB"/>
    <w:rsid w:val="007B78A4"/>
    <w:rsid w:val="007C03DB"/>
    <w:rsid w:val="007C06BC"/>
    <w:rsid w:val="007C073E"/>
    <w:rsid w:val="007C232C"/>
    <w:rsid w:val="007C2A5A"/>
    <w:rsid w:val="007C36B5"/>
    <w:rsid w:val="007C3B69"/>
    <w:rsid w:val="007C3FD0"/>
    <w:rsid w:val="007C4558"/>
    <w:rsid w:val="007C47F7"/>
    <w:rsid w:val="007C52CB"/>
    <w:rsid w:val="007C5FDA"/>
    <w:rsid w:val="007C743C"/>
    <w:rsid w:val="007C77D5"/>
    <w:rsid w:val="007C7D4A"/>
    <w:rsid w:val="007D0B4A"/>
    <w:rsid w:val="007D1279"/>
    <w:rsid w:val="007D2455"/>
    <w:rsid w:val="007D2A16"/>
    <w:rsid w:val="007D360F"/>
    <w:rsid w:val="007D36A3"/>
    <w:rsid w:val="007D449D"/>
    <w:rsid w:val="007D4599"/>
    <w:rsid w:val="007D498E"/>
    <w:rsid w:val="007D4EFF"/>
    <w:rsid w:val="007D5332"/>
    <w:rsid w:val="007D5C47"/>
    <w:rsid w:val="007E0CDF"/>
    <w:rsid w:val="007E0D00"/>
    <w:rsid w:val="007E2A5E"/>
    <w:rsid w:val="007E3642"/>
    <w:rsid w:val="007E36D9"/>
    <w:rsid w:val="007E3D96"/>
    <w:rsid w:val="007E5C3A"/>
    <w:rsid w:val="007E69FB"/>
    <w:rsid w:val="007E6C01"/>
    <w:rsid w:val="007E6E3A"/>
    <w:rsid w:val="007E713A"/>
    <w:rsid w:val="007E7ABE"/>
    <w:rsid w:val="007E7EF7"/>
    <w:rsid w:val="007F05A5"/>
    <w:rsid w:val="007F0FC5"/>
    <w:rsid w:val="007F1403"/>
    <w:rsid w:val="007F1874"/>
    <w:rsid w:val="007F266D"/>
    <w:rsid w:val="007F2C5F"/>
    <w:rsid w:val="007F2E14"/>
    <w:rsid w:val="007F4850"/>
    <w:rsid w:val="007F5299"/>
    <w:rsid w:val="007F54E3"/>
    <w:rsid w:val="007F581B"/>
    <w:rsid w:val="007F5AEC"/>
    <w:rsid w:val="007F60A4"/>
    <w:rsid w:val="007F72C1"/>
    <w:rsid w:val="007F7961"/>
    <w:rsid w:val="0080099F"/>
    <w:rsid w:val="00801600"/>
    <w:rsid w:val="008018A2"/>
    <w:rsid w:val="00801BC1"/>
    <w:rsid w:val="00801C59"/>
    <w:rsid w:val="00801D36"/>
    <w:rsid w:val="00802251"/>
    <w:rsid w:val="00803A70"/>
    <w:rsid w:val="008041A3"/>
    <w:rsid w:val="00804F78"/>
    <w:rsid w:val="00805084"/>
    <w:rsid w:val="008053FC"/>
    <w:rsid w:val="00805CF5"/>
    <w:rsid w:val="00805F7A"/>
    <w:rsid w:val="00806796"/>
    <w:rsid w:val="00807F20"/>
    <w:rsid w:val="0081116C"/>
    <w:rsid w:val="008115DC"/>
    <w:rsid w:val="00811D8B"/>
    <w:rsid w:val="00811D99"/>
    <w:rsid w:val="008120E5"/>
    <w:rsid w:val="00812911"/>
    <w:rsid w:val="00812A76"/>
    <w:rsid w:val="00812C76"/>
    <w:rsid w:val="00812D47"/>
    <w:rsid w:val="00814276"/>
    <w:rsid w:val="008143AF"/>
    <w:rsid w:val="00814B0F"/>
    <w:rsid w:val="00814E31"/>
    <w:rsid w:val="00815169"/>
    <w:rsid w:val="008159E8"/>
    <w:rsid w:val="00815B58"/>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250"/>
    <w:rsid w:val="00817DF1"/>
    <w:rsid w:val="008206A0"/>
    <w:rsid w:val="00820F28"/>
    <w:rsid w:val="008214D0"/>
    <w:rsid w:val="00822114"/>
    <w:rsid w:val="0082251F"/>
    <w:rsid w:val="008226C4"/>
    <w:rsid w:val="00823125"/>
    <w:rsid w:val="00824159"/>
    <w:rsid w:val="00825016"/>
    <w:rsid w:val="0082502D"/>
    <w:rsid w:val="00825879"/>
    <w:rsid w:val="0082709F"/>
    <w:rsid w:val="00830427"/>
    <w:rsid w:val="0083050E"/>
    <w:rsid w:val="0083107F"/>
    <w:rsid w:val="008319D3"/>
    <w:rsid w:val="00832093"/>
    <w:rsid w:val="008323F2"/>
    <w:rsid w:val="00833132"/>
    <w:rsid w:val="00833BEA"/>
    <w:rsid w:val="008342FE"/>
    <w:rsid w:val="00834394"/>
    <w:rsid w:val="00834DD4"/>
    <w:rsid w:val="00835BF1"/>
    <w:rsid w:val="008361DD"/>
    <w:rsid w:val="0083623C"/>
    <w:rsid w:val="00836EBD"/>
    <w:rsid w:val="00840065"/>
    <w:rsid w:val="00840997"/>
    <w:rsid w:val="00840D47"/>
    <w:rsid w:val="00841323"/>
    <w:rsid w:val="00841324"/>
    <w:rsid w:val="00841687"/>
    <w:rsid w:val="008428CA"/>
    <w:rsid w:val="00842A83"/>
    <w:rsid w:val="008445F6"/>
    <w:rsid w:val="008446C7"/>
    <w:rsid w:val="00844EEC"/>
    <w:rsid w:val="00845FA9"/>
    <w:rsid w:val="008473D1"/>
    <w:rsid w:val="0085015C"/>
    <w:rsid w:val="00850242"/>
    <w:rsid w:val="00850A05"/>
    <w:rsid w:val="008518A9"/>
    <w:rsid w:val="00851BAB"/>
    <w:rsid w:val="0085276F"/>
    <w:rsid w:val="0085395A"/>
    <w:rsid w:val="00853C2B"/>
    <w:rsid w:val="00854087"/>
    <w:rsid w:val="00854262"/>
    <w:rsid w:val="008549D6"/>
    <w:rsid w:val="008551A6"/>
    <w:rsid w:val="00855902"/>
    <w:rsid w:val="00855D6F"/>
    <w:rsid w:val="0085699A"/>
    <w:rsid w:val="00857C08"/>
    <w:rsid w:val="00857DD6"/>
    <w:rsid w:val="00860583"/>
    <w:rsid w:val="00860605"/>
    <w:rsid w:val="00860F82"/>
    <w:rsid w:val="008614CC"/>
    <w:rsid w:val="0086166B"/>
    <w:rsid w:val="008618ED"/>
    <w:rsid w:val="00861D71"/>
    <w:rsid w:val="00862113"/>
    <w:rsid w:val="00863C8D"/>
    <w:rsid w:val="00864214"/>
    <w:rsid w:val="00864480"/>
    <w:rsid w:val="00864E8D"/>
    <w:rsid w:val="00865265"/>
    <w:rsid w:val="008653FF"/>
    <w:rsid w:val="00865682"/>
    <w:rsid w:val="0086592B"/>
    <w:rsid w:val="0086592F"/>
    <w:rsid w:val="00865E05"/>
    <w:rsid w:val="0086632F"/>
    <w:rsid w:val="0086654F"/>
    <w:rsid w:val="00866D3F"/>
    <w:rsid w:val="008713D8"/>
    <w:rsid w:val="0087161B"/>
    <w:rsid w:val="00871753"/>
    <w:rsid w:val="00871F8E"/>
    <w:rsid w:val="00872187"/>
    <w:rsid w:val="008725B4"/>
    <w:rsid w:val="00872B91"/>
    <w:rsid w:val="00872E08"/>
    <w:rsid w:val="0087343E"/>
    <w:rsid w:val="0087448E"/>
    <w:rsid w:val="00875651"/>
    <w:rsid w:val="00875699"/>
    <w:rsid w:val="00875E68"/>
    <w:rsid w:val="00876872"/>
    <w:rsid w:val="00877098"/>
    <w:rsid w:val="0088016A"/>
    <w:rsid w:val="00880864"/>
    <w:rsid w:val="00881644"/>
    <w:rsid w:val="008832B2"/>
    <w:rsid w:val="00883A63"/>
    <w:rsid w:val="00883ADC"/>
    <w:rsid w:val="008841A3"/>
    <w:rsid w:val="00884653"/>
    <w:rsid w:val="00884894"/>
    <w:rsid w:val="008852B1"/>
    <w:rsid w:val="0088533D"/>
    <w:rsid w:val="008856D7"/>
    <w:rsid w:val="008865EC"/>
    <w:rsid w:val="008870D0"/>
    <w:rsid w:val="00887640"/>
    <w:rsid w:val="00891138"/>
    <w:rsid w:val="00891347"/>
    <w:rsid w:val="00891601"/>
    <w:rsid w:val="008933F6"/>
    <w:rsid w:val="0089341D"/>
    <w:rsid w:val="00894904"/>
    <w:rsid w:val="00895088"/>
    <w:rsid w:val="0089623E"/>
    <w:rsid w:val="008967A4"/>
    <w:rsid w:val="00896E95"/>
    <w:rsid w:val="008970F9"/>
    <w:rsid w:val="00897BDC"/>
    <w:rsid w:val="008A0785"/>
    <w:rsid w:val="008A13C4"/>
    <w:rsid w:val="008A1E9F"/>
    <w:rsid w:val="008A1EBF"/>
    <w:rsid w:val="008A2095"/>
    <w:rsid w:val="008A294B"/>
    <w:rsid w:val="008A2F52"/>
    <w:rsid w:val="008A3F4C"/>
    <w:rsid w:val="008A475F"/>
    <w:rsid w:val="008A4C43"/>
    <w:rsid w:val="008A4CA1"/>
    <w:rsid w:val="008A59B9"/>
    <w:rsid w:val="008A6F0E"/>
    <w:rsid w:val="008A78A9"/>
    <w:rsid w:val="008B041B"/>
    <w:rsid w:val="008B082F"/>
    <w:rsid w:val="008B0EB9"/>
    <w:rsid w:val="008B1E24"/>
    <w:rsid w:val="008B1E34"/>
    <w:rsid w:val="008B1F3F"/>
    <w:rsid w:val="008B1F99"/>
    <w:rsid w:val="008B21ED"/>
    <w:rsid w:val="008B22BD"/>
    <w:rsid w:val="008B238F"/>
    <w:rsid w:val="008B2A98"/>
    <w:rsid w:val="008B33E3"/>
    <w:rsid w:val="008B4BF8"/>
    <w:rsid w:val="008B6249"/>
    <w:rsid w:val="008B711D"/>
    <w:rsid w:val="008B7145"/>
    <w:rsid w:val="008B77EE"/>
    <w:rsid w:val="008B7B03"/>
    <w:rsid w:val="008B7D3D"/>
    <w:rsid w:val="008B7EDC"/>
    <w:rsid w:val="008C0F38"/>
    <w:rsid w:val="008C1E05"/>
    <w:rsid w:val="008C2303"/>
    <w:rsid w:val="008C2C7D"/>
    <w:rsid w:val="008C3102"/>
    <w:rsid w:val="008C3681"/>
    <w:rsid w:val="008C40C6"/>
    <w:rsid w:val="008C42A3"/>
    <w:rsid w:val="008C5BA4"/>
    <w:rsid w:val="008C6AC6"/>
    <w:rsid w:val="008C6B02"/>
    <w:rsid w:val="008C78D4"/>
    <w:rsid w:val="008C7A49"/>
    <w:rsid w:val="008C7C88"/>
    <w:rsid w:val="008C7F9E"/>
    <w:rsid w:val="008D0A77"/>
    <w:rsid w:val="008D0D75"/>
    <w:rsid w:val="008D0FF2"/>
    <w:rsid w:val="008D11FD"/>
    <w:rsid w:val="008D1712"/>
    <w:rsid w:val="008D2563"/>
    <w:rsid w:val="008D27B7"/>
    <w:rsid w:val="008D291F"/>
    <w:rsid w:val="008D2BA1"/>
    <w:rsid w:val="008D3A0B"/>
    <w:rsid w:val="008D3C88"/>
    <w:rsid w:val="008D464F"/>
    <w:rsid w:val="008D4B72"/>
    <w:rsid w:val="008D4DE7"/>
    <w:rsid w:val="008D53BB"/>
    <w:rsid w:val="008D5549"/>
    <w:rsid w:val="008D586A"/>
    <w:rsid w:val="008D58C7"/>
    <w:rsid w:val="008D70EA"/>
    <w:rsid w:val="008D7662"/>
    <w:rsid w:val="008D7BBF"/>
    <w:rsid w:val="008D7C32"/>
    <w:rsid w:val="008E092C"/>
    <w:rsid w:val="008E13E4"/>
    <w:rsid w:val="008E1518"/>
    <w:rsid w:val="008E160F"/>
    <w:rsid w:val="008E1D41"/>
    <w:rsid w:val="008E2CEF"/>
    <w:rsid w:val="008E2FE0"/>
    <w:rsid w:val="008E322B"/>
    <w:rsid w:val="008E3F69"/>
    <w:rsid w:val="008E4873"/>
    <w:rsid w:val="008E5377"/>
    <w:rsid w:val="008E5D1A"/>
    <w:rsid w:val="008E604A"/>
    <w:rsid w:val="008E61E2"/>
    <w:rsid w:val="008E6497"/>
    <w:rsid w:val="008E6B99"/>
    <w:rsid w:val="008E7037"/>
    <w:rsid w:val="008E708C"/>
    <w:rsid w:val="008E7BC4"/>
    <w:rsid w:val="008F01A9"/>
    <w:rsid w:val="008F025E"/>
    <w:rsid w:val="008F037B"/>
    <w:rsid w:val="008F082B"/>
    <w:rsid w:val="008F170F"/>
    <w:rsid w:val="008F18D9"/>
    <w:rsid w:val="008F1F75"/>
    <w:rsid w:val="008F1FE2"/>
    <w:rsid w:val="008F26BF"/>
    <w:rsid w:val="008F2A8C"/>
    <w:rsid w:val="008F2B30"/>
    <w:rsid w:val="008F3138"/>
    <w:rsid w:val="008F4354"/>
    <w:rsid w:val="008F554C"/>
    <w:rsid w:val="008F5653"/>
    <w:rsid w:val="008F63C4"/>
    <w:rsid w:val="008F6620"/>
    <w:rsid w:val="008F6835"/>
    <w:rsid w:val="0090049D"/>
    <w:rsid w:val="009009E9"/>
    <w:rsid w:val="00900B76"/>
    <w:rsid w:val="009010DE"/>
    <w:rsid w:val="00901F4F"/>
    <w:rsid w:val="009024B4"/>
    <w:rsid w:val="009029D9"/>
    <w:rsid w:val="009030C2"/>
    <w:rsid w:val="00903559"/>
    <w:rsid w:val="009039A3"/>
    <w:rsid w:val="009039B4"/>
    <w:rsid w:val="00903CB0"/>
    <w:rsid w:val="00903D18"/>
    <w:rsid w:val="009043FC"/>
    <w:rsid w:val="00904D02"/>
    <w:rsid w:val="00905519"/>
    <w:rsid w:val="0090565A"/>
    <w:rsid w:val="00905977"/>
    <w:rsid w:val="00906653"/>
    <w:rsid w:val="009072E5"/>
    <w:rsid w:val="009076BA"/>
    <w:rsid w:val="00907800"/>
    <w:rsid w:val="0090781A"/>
    <w:rsid w:val="00907CBB"/>
    <w:rsid w:val="0091019B"/>
    <w:rsid w:val="00910290"/>
    <w:rsid w:val="00910487"/>
    <w:rsid w:val="0091067E"/>
    <w:rsid w:val="0091081F"/>
    <w:rsid w:val="00910A9F"/>
    <w:rsid w:val="00910C01"/>
    <w:rsid w:val="0091191E"/>
    <w:rsid w:val="00911976"/>
    <w:rsid w:val="00911ABF"/>
    <w:rsid w:val="009120A0"/>
    <w:rsid w:val="00912B04"/>
    <w:rsid w:val="0091304A"/>
    <w:rsid w:val="00913DB7"/>
    <w:rsid w:val="009142DD"/>
    <w:rsid w:val="0091530A"/>
    <w:rsid w:val="00915331"/>
    <w:rsid w:val="00915D37"/>
    <w:rsid w:val="00915E7F"/>
    <w:rsid w:val="0091686E"/>
    <w:rsid w:val="00916EC2"/>
    <w:rsid w:val="00917F39"/>
    <w:rsid w:val="00920CCE"/>
    <w:rsid w:val="00921505"/>
    <w:rsid w:val="00921994"/>
    <w:rsid w:val="00921EF1"/>
    <w:rsid w:val="00922096"/>
    <w:rsid w:val="00922145"/>
    <w:rsid w:val="009222D4"/>
    <w:rsid w:val="009223A1"/>
    <w:rsid w:val="009223E0"/>
    <w:rsid w:val="00922926"/>
    <w:rsid w:val="0092433E"/>
    <w:rsid w:val="009245BD"/>
    <w:rsid w:val="0092462C"/>
    <w:rsid w:val="009246CF"/>
    <w:rsid w:val="0092516C"/>
    <w:rsid w:val="009252E3"/>
    <w:rsid w:val="0092551E"/>
    <w:rsid w:val="0092558A"/>
    <w:rsid w:val="00926306"/>
    <w:rsid w:val="0092752E"/>
    <w:rsid w:val="00927880"/>
    <w:rsid w:val="00927D87"/>
    <w:rsid w:val="00930014"/>
    <w:rsid w:val="0093118B"/>
    <w:rsid w:val="00932A2A"/>
    <w:rsid w:val="009331C7"/>
    <w:rsid w:val="0093340B"/>
    <w:rsid w:val="0093383D"/>
    <w:rsid w:val="00934E0B"/>
    <w:rsid w:val="00935010"/>
    <w:rsid w:val="00935DB2"/>
    <w:rsid w:val="009369B6"/>
    <w:rsid w:val="00937831"/>
    <w:rsid w:val="00937B0C"/>
    <w:rsid w:val="00937D00"/>
    <w:rsid w:val="0094010E"/>
    <w:rsid w:val="00940927"/>
    <w:rsid w:val="0094205E"/>
    <w:rsid w:val="00942235"/>
    <w:rsid w:val="009430F4"/>
    <w:rsid w:val="00943F5A"/>
    <w:rsid w:val="00944256"/>
    <w:rsid w:val="00945291"/>
    <w:rsid w:val="0094546F"/>
    <w:rsid w:val="00945A25"/>
    <w:rsid w:val="00945D53"/>
    <w:rsid w:val="00945F25"/>
    <w:rsid w:val="0094601A"/>
    <w:rsid w:val="00946437"/>
    <w:rsid w:val="009507D3"/>
    <w:rsid w:val="00950807"/>
    <w:rsid w:val="00951507"/>
    <w:rsid w:val="00951B04"/>
    <w:rsid w:val="009524CA"/>
    <w:rsid w:val="009527B3"/>
    <w:rsid w:val="009527CA"/>
    <w:rsid w:val="00952A20"/>
    <w:rsid w:val="00952C68"/>
    <w:rsid w:val="009533D6"/>
    <w:rsid w:val="00953AFB"/>
    <w:rsid w:val="00953E91"/>
    <w:rsid w:val="009542E5"/>
    <w:rsid w:val="009545BD"/>
    <w:rsid w:val="0095460B"/>
    <w:rsid w:val="00954685"/>
    <w:rsid w:val="00954D25"/>
    <w:rsid w:val="009552A5"/>
    <w:rsid w:val="00956713"/>
    <w:rsid w:val="00956D22"/>
    <w:rsid w:val="00956D95"/>
    <w:rsid w:val="00956F4C"/>
    <w:rsid w:val="00960288"/>
    <w:rsid w:val="0096056C"/>
    <w:rsid w:val="009614C7"/>
    <w:rsid w:val="00961A7F"/>
    <w:rsid w:val="00962246"/>
    <w:rsid w:val="00962B2B"/>
    <w:rsid w:val="0096328C"/>
    <w:rsid w:val="00963842"/>
    <w:rsid w:val="00963961"/>
    <w:rsid w:val="0096459E"/>
    <w:rsid w:val="00964EAA"/>
    <w:rsid w:val="009656C4"/>
    <w:rsid w:val="009659FE"/>
    <w:rsid w:val="00965D71"/>
    <w:rsid w:val="0096609C"/>
    <w:rsid w:val="0096669F"/>
    <w:rsid w:val="009666E4"/>
    <w:rsid w:val="009676FC"/>
    <w:rsid w:val="00967871"/>
    <w:rsid w:val="00967A9E"/>
    <w:rsid w:val="00967C08"/>
    <w:rsid w:val="00967E1A"/>
    <w:rsid w:val="00967FAF"/>
    <w:rsid w:val="00970824"/>
    <w:rsid w:val="00970A24"/>
    <w:rsid w:val="00972448"/>
    <w:rsid w:val="00972500"/>
    <w:rsid w:val="00972BB7"/>
    <w:rsid w:val="00972FBB"/>
    <w:rsid w:val="0097365F"/>
    <w:rsid w:val="00974752"/>
    <w:rsid w:val="00975610"/>
    <w:rsid w:val="00975648"/>
    <w:rsid w:val="00975B6D"/>
    <w:rsid w:val="009763D5"/>
    <w:rsid w:val="00976B81"/>
    <w:rsid w:val="00977DA4"/>
    <w:rsid w:val="00977DE1"/>
    <w:rsid w:val="009803BA"/>
    <w:rsid w:val="0098058B"/>
    <w:rsid w:val="0098062A"/>
    <w:rsid w:val="00980E82"/>
    <w:rsid w:val="0098167D"/>
    <w:rsid w:val="009817EA"/>
    <w:rsid w:val="009819A7"/>
    <w:rsid w:val="00982157"/>
    <w:rsid w:val="009823C7"/>
    <w:rsid w:val="00983514"/>
    <w:rsid w:val="00983A3D"/>
    <w:rsid w:val="00984D3C"/>
    <w:rsid w:val="00986344"/>
    <w:rsid w:val="00986B47"/>
    <w:rsid w:val="00986EB3"/>
    <w:rsid w:val="00986F7C"/>
    <w:rsid w:val="0098787B"/>
    <w:rsid w:val="00987A36"/>
    <w:rsid w:val="00987BCD"/>
    <w:rsid w:val="00987BEA"/>
    <w:rsid w:val="00990D2A"/>
    <w:rsid w:val="00991455"/>
    <w:rsid w:val="009916A6"/>
    <w:rsid w:val="00991A47"/>
    <w:rsid w:val="00991B8A"/>
    <w:rsid w:val="00991F97"/>
    <w:rsid w:val="009924DC"/>
    <w:rsid w:val="00992876"/>
    <w:rsid w:val="00992D52"/>
    <w:rsid w:val="00993248"/>
    <w:rsid w:val="00993736"/>
    <w:rsid w:val="00993A11"/>
    <w:rsid w:val="0099485B"/>
    <w:rsid w:val="00994885"/>
    <w:rsid w:val="009948B3"/>
    <w:rsid w:val="00994980"/>
    <w:rsid w:val="00994F89"/>
    <w:rsid w:val="00995010"/>
    <w:rsid w:val="00995792"/>
    <w:rsid w:val="009959F9"/>
    <w:rsid w:val="00995DA8"/>
    <w:rsid w:val="009963D3"/>
    <w:rsid w:val="00996F08"/>
    <w:rsid w:val="00997336"/>
    <w:rsid w:val="00997851"/>
    <w:rsid w:val="00997CDD"/>
    <w:rsid w:val="00997E1F"/>
    <w:rsid w:val="009A1064"/>
    <w:rsid w:val="009A1155"/>
    <w:rsid w:val="009A12B8"/>
    <w:rsid w:val="009A1C9D"/>
    <w:rsid w:val="009A237B"/>
    <w:rsid w:val="009A47E9"/>
    <w:rsid w:val="009A4F30"/>
    <w:rsid w:val="009A53D2"/>
    <w:rsid w:val="009A5555"/>
    <w:rsid w:val="009A57AE"/>
    <w:rsid w:val="009A5A09"/>
    <w:rsid w:val="009A5B60"/>
    <w:rsid w:val="009A6C8C"/>
    <w:rsid w:val="009A6CF1"/>
    <w:rsid w:val="009A6F9E"/>
    <w:rsid w:val="009B07B1"/>
    <w:rsid w:val="009B14BE"/>
    <w:rsid w:val="009B1DD1"/>
    <w:rsid w:val="009B2987"/>
    <w:rsid w:val="009B2B7C"/>
    <w:rsid w:val="009B3391"/>
    <w:rsid w:val="009B36C8"/>
    <w:rsid w:val="009B4FFD"/>
    <w:rsid w:val="009B5444"/>
    <w:rsid w:val="009B5611"/>
    <w:rsid w:val="009B58B5"/>
    <w:rsid w:val="009B6780"/>
    <w:rsid w:val="009B6B4F"/>
    <w:rsid w:val="009C0BAD"/>
    <w:rsid w:val="009C0F2E"/>
    <w:rsid w:val="009C0FDD"/>
    <w:rsid w:val="009C125C"/>
    <w:rsid w:val="009C2F7A"/>
    <w:rsid w:val="009C34EA"/>
    <w:rsid w:val="009C4329"/>
    <w:rsid w:val="009C43DF"/>
    <w:rsid w:val="009C4FE0"/>
    <w:rsid w:val="009C56D9"/>
    <w:rsid w:val="009C7812"/>
    <w:rsid w:val="009C7C1B"/>
    <w:rsid w:val="009C7C20"/>
    <w:rsid w:val="009C7DCC"/>
    <w:rsid w:val="009D105B"/>
    <w:rsid w:val="009D1921"/>
    <w:rsid w:val="009D2118"/>
    <w:rsid w:val="009D22CC"/>
    <w:rsid w:val="009D2505"/>
    <w:rsid w:val="009D2672"/>
    <w:rsid w:val="009D29E0"/>
    <w:rsid w:val="009D2A0B"/>
    <w:rsid w:val="009D2B72"/>
    <w:rsid w:val="009D2F7F"/>
    <w:rsid w:val="009D39D0"/>
    <w:rsid w:val="009D42AC"/>
    <w:rsid w:val="009D43EB"/>
    <w:rsid w:val="009D4EB9"/>
    <w:rsid w:val="009D52ED"/>
    <w:rsid w:val="009D5A4F"/>
    <w:rsid w:val="009D5B0B"/>
    <w:rsid w:val="009D70A7"/>
    <w:rsid w:val="009D76E8"/>
    <w:rsid w:val="009D7BB8"/>
    <w:rsid w:val="009D7FD9"/>
    <w:rsid w:val="009E040D"/>
    <w:rsid w:val="009E0596"/>
    <w:rsid w:val="009E0910"/>
    <w:rsid w:val="009E13F3"/>
    <w:rsid w:val="009E2ADF"/>
    <w:rsid w:val="009E2DA2"/>
    <w:rsid w:val="009E3B6B"/>
    <w:rsid w:val="009E3F2F"/>
    <w:rsid w:val="009E4CF2"/>
    <w:rsid w:val="009E5655"/>
    <w:rsid w:val="009E6216"/>
    <w:rsid w:val="009E6531"/>
    <w:rsid w:val="009E65CD"/>
    <w:rsid w:val="009E7659"/>
    <w:rsid w:val="009E7C18"/>
    <w:rsid w:val="009E7F5E"/>
    <w:rsid w:val="009F00ED"/>
    <w:rsid w:val="009F08FF"/>
    <w:rsid w:val="009F0D6B"/>
    <w:rsid w:val="009F0E94"/>
    <w:rsid w:val="009F0EFF"/>
    <w:rsid w:val="009F1851"/>
    <w:rsid w:val="009F218A"/>
    <w:rsid w:val="009F2E8E"/>
    <w:rsid w:val="009F383B"/>
    <w:rsid w:val="009F42AE"/>
    <w:rsid w:val="009F4CD5"/>
    <w:rsid w:val="009F4E16"/>
    <w:rsid w:val="009F509D"/>
    <w:rsid w:val="009F539A"/>
    <w:rsid w:val="009F5447"/>
    <w:rsid w:val="009F5A42"/>
    <w:rsid w:val="009F5ABA"/>
    <w:rsid w:val="009F5D58"/>
    <w:rsid w:val="009F5EA8"/>
    <w:rsid w:val="009F6B62"/>
    <w:rsid w:val="009F6F75"/>
    <w:rsid w:val="009F751F"/>
    <w:rsid w:val="009F78D2"/>
    <w:rsid w:val="00A00197"/>
    <w:rsid w:val="00A00288"/>
    <w:rsid w:val="00A00DA0"/>
    <w:rsid w:val="00A00FB6"/>
    <w:rsid w:val="00A0118E"/>
    <w:rsid w:val="00A04930"/>
    <w:rsid w:val="00A04DCF"/>
    <w:rsid w:val="00A05010"/>
    <w:rsid w:val="00A05A62"/>
    <w:rsid w:val="00A05E7D"/>
    <w:rsid w:val="00A0652D"/>
    <w:rsid w:val="00A07070"/>
    <w:rsid w:val="00A07B6D"/>
    <w:rsid w:val="00A07CE5"/>
    <w:rsid w:val="00A07D9C"/>
    <w:rsid w:val="00A07FDA"/>
    <w:rsid w:val="00A10254"/>
    <w:rsid w:val="00A113C8"/>
    <w:rsid w:val="00A11892"/>
    <w:rsid w:val="00A123DC"/>
    <w:rsid w:val="00A124C9"/>
    <w:rsid w:val="00A124F1"/>
    <w:rsid w:val="00A1278F"/>
    <w:rsid w:val="00A12EB2"/>
    <w:rsid w:val="00A14B16"/>
    <w:rsid w:val="00A152A3"/>
    <w:rsid w:val="00A152F1"/>
    <w:rsid w:val="00A15415"/>
    <w:rsid w:val="00A15957"/>
    <w:rsid w:val="00A15A8E"/>
    <w:rsid w:val="00A15CCB"/>
    <w:rsid w:val="00A15D50"/>
    <w:rsid w:val="00A162EE"/>
    <w:rsid w:val="00A1707E"/>
    <w:rsid w:val="00A17925"/>
    <w:rsid w:val="00A17B32"/>
    <w:rsid w:val="00A20AA0"/>
    <w:rsid w:val="00A20BE9"/>
    <w:rsid w:val="00A21491"/>
    <w:rsid w:val="00A21ADF"/>
    <w:rsid w:val="00A21E7A"/>
    <w:rsid w:val="00A22145"/>
    <w:rsid w:val="00A22263"/>
    <w:rsid w:val="00A22597"/>
    <w:rsid w:val="00A22852"/>
    <w:rsid w:val="00A22E1F"/>
    <w:rsid w:val="00A23487"/>
    <w:rsid w:val="00A24051"/>
    <w:rsid w:val="00A24238"/>
    <w:rsid w:val="00A24692"/>
    <w:rsid w:val="00A24AB3"/>
    <w:rsid w:val="00A253DE"/>
    <w:rsid w:val="00A2557B"/>
    <w:rsid w:val="00A25FA8"/>
    <w:rsid w:val="00A261DF"/>
    <w:rsid w:val="00A262EE"/>
    <w:rsid w:val="00A269FA"/>
    <w:rsid w:val="00A27591"/>
    <w:rsid w:val="00A2797E"/>
    <w:rsid w:val="00A30CFC"/>
    <w:rsid w:val="00A30D2D"/>
    <w:rsid w:val="00A31692"/>
    <w:rsid w:val="00A3196D"/>
    <w:rsid w:val="00A31CCE"/>
    <w:rsid w:val="00A3286C"/>
    <w:rsid w:val="00A33337"/>
    <w:rsid w:val="00A33828"/>
    <w:rsid w:val="00A33CD1"/>
    <w:rsid w:val="00A33CE6"/>
    <w:rsid w:val="00A340DB"/>
    <w:rsid w:val="00A346BE"/>
    <w:rsid w:val="00A349F7"/>
    <w:rsid w:val="00A34AAC"/>
    <w:rsid w:val="00A34CAE"/>
    <w:rsid w:val="00A3577F"/>
    <w:rsid w:val="00A359D8"/>
    <w:rsid w:val="00A35A79"/>
    <w:rsid w:val="00A35BCE"/>
    <w:rsid w:val="00A37230"/>
    <w:rsid w:val="00A3752B"/>
    <w:rsid w:val="00A37632"/>
    <w:rsid w:val="00A40792"/>
    <w:rsid w:val="00A408F4"/>
    <w:rsid w:val="00A418C9"/>
    <w:rsid w:val="00A41A18"/>
    <w:rsid w:val="00A42645"/>
    <w:rsid w:val="00A42717"/>
    <w:rsid w:val="00A42947"/>
    <w:rsid w:val="00A42A19"/>
    <w:rsid w:val="00A4341A"/>
    <w:rsid w:val="00A4345A"/>
    <w:rsid w:val="00A43EEA"/>
    <w:rsid w:val="00A44605"/>
    <w:rsid w:val="00A44AEA"/>
    <w:rsid w:val="00A453F4"/>
    <w:rsid w:val="00A458A8"/>
    <w:rsid w:val="00A45E25"/>
    <w:rsid w:val="00A4617F"/>
    <w:rsid w:val="00A461C6"/>
    <w:rsid w:val="00A462F2"/>
    <w:rsid w:val="00A466F0"/>
    <w:rsid w:val="00A479E3"/>
    <w:rsid w:val="00A47E91"/>
    <w:rsid w:val="00A5003C"/>
    <w:rsid w:val="00A50248"/>
    <w:rsid w:val="00A50550"/>
    <w:rsid w:val="00A50E13"/>
    <w:rsid w:val="00A50F2D"/>
    <w:rsid w:val="00A510D5"/>
    <w:rsid w:val="00A5157A"/>
    <w:rsid w:val="00A52506"/>
    <w:rsid w:val="00A52663"/>
    <w:rsid w:val="00A53D1A"/>
    <w:rsid w:val="00A53FD1"/>
    <w:rsid w:val="00A549F7"/>
    <w:rsid w:val="00A54BEB"/>
    <w:rsid w:val="00A55661"/>
    <w:rsid w:val="00A55E26"/>
    <w:rsid w:val="00A560AD"/>
    <w:rsid w:val="00A56109"/>
    <w:rsid w:val="00A561AF"/>
    <w:rsid w:val="00A578CE"/>
    <w:rsid w:val="00A57FF3"/>
    <w:rsid w:val="00A600A8"/>
    <w:rsid w:val="00A60832"/>
    <w:rsid w:val="00A60F1D"/>
    <w:rsid w:val="00A613C1"/>
    <w:rsid w:val="00A61EC3"/>
    <w:rsid w:val="00A6245E"/>
    <w:rsid w:val="00A6283D"/>
    <w:rsid w:val="00A62AB6"/>
    <w:rsid w:val="00A63916"/>
    <w:rsid w:val="00A63D57"/>
    <w:rsid w:val="00A647E8"/>
    <w:rsid w:val="00A64BB8"/>
    <w:rsid w:val="00A6592C"/>
    <w:rsid w:val="00A65BAB"/>
    <w:rsid w:val="00A66018"/>
    <w:rsid w:val="00A662CF"/>
    <w:rsid w:val="00A66463"/>
    <w:rsid w:val="00A66868"/>
    <w:rsid w:val="00A66AA7"/>
    <w:rsid w:val="00A66DEE"/>
    <w:rsid w:val="00A671BB"/>
    <w:rsid w:val="00A67392"/>
    <w:rsid w:val="00A708D8"/>
    <w:rsid w:val="00A71468"/>
    <w:rsid w:val="00A72E1E"/>
    <w:rsid w:val="00A73E4B"/>
    <w:rsid w:val="00A73E72"/>
    <w:rsid w:val="00A73F6F"/>
    <w:rsid w:val="00A7401C"/>
    <w:rsid w:val="00A74292"/>
    <w:rsid w:val="00A74567"/>
    <w:rsid w:val="00A751EF"/>
    <w:rsid w:val="00A759B4"/>
    <w:rsid w:val="00A76218"/>
    <w:rsid w:val="00A7678A"/>
    <w:rsid w:val="00A7688B"/>
    <w:rsid w:val="00A77890"/>
    <w:rsid w:val="00A80222"/>
    <w:rsid w:val="00A8031C"/>
    <w:rsid w:val="00A803A1"/>
    <w:rsid w:val="00A805C9"/>
    <w:rsid w:val="00A80A20"/>
    <w:rsid w:val="00A80B5B"/>
    <w:rsid w:val="00A80D2D"/>
    <w:rsid w:val="00A80F62"/>
    <w:rsid w:val="00A820B9"/>
    <w:rsid w:val="00A82B64"/>
    <w:rsid w:val="00A83617"/>
    <w:rsid w:val="00A8372C"/>
    <w:rsid w:val="00A84251"/>
    <w:rsid w:val="00A847AD"/>
    <w:rsid w:val="00A84A3A"/>
    <w:rsid w:val="00A84C1E"/>
    <w:rsid w:val="00A84C4C"/>
    <w:rsid w:val="00A84E34"/>
    <w:rsid w:val="00A8550D"/>
    <w:rsid w:val="00A85A9E"/>
    <w:rsid w:val="00A86036"/>
    <w:rsid w:val="00A8608B"/>
    <w:rsid w:val="00A86483"/>
    <w:rsid w:val="00A865BA"/>
    <w:rsid w:val="00A87CCD"/>
    <w:rsid w:val="00A909FC"/>
    <w:rsid w:val="00A90B49"/>
    <w:rsid w:val="00A91135"/>
    <w:rsid w:val="00A921B3"/>
    <w:rsid w:val="00A92A26"/>
    <w:rsid w:val="00A93465"/>
    <w:rsid w:val="00A93FB9"/>
    <w:rsid w:val="00A95117"/>
    <w:rsid w:val="00A9511B"/>
    <w:rsid w:val="00A95657"/>
    <w:rsid w:val="00A957B0"/>
    <w:rsid w:val="00A95EAA"/>
    <w:rsid w:val="00A96CD3"/>
    <w:rsid w:val="00A96FE8"/>
    <w:rsid w:val="00A978DF"/>
    <w:rsid w:val="00A97DF0"/>
    <w:rsid w:val="00AA0CF9"/>
    <w:rsid w:val="00AA0F92"/>
    <w:rsid w:val="00AA1005"/>
    <w:rsid w:val="00AA1397"/>
    <w:rsid w:val="00AA18BA"/>
    <w:rsid w:val="00AA37B5"/>
    <w:rsid w:val="00AA3D24"/>
    <w:rsid w:val="00AA4F0E"/>
    <w:rsid w:val="00AA6115"/>
    <w:rsid w:val="00AA64EF"/>
    <w:rsid w:val="00AA65C9"/>
    <w:rsid w:val="00AA6A63"/>
    <w:rsid w:val="00AA702E"/>
    <w:rsid w:val="00AA79EB"/>
    <w:rsid w:val="00AA7D7C"/>
    <w:rsid w:val="00AB019C"/>
    <w:rsid w:val="00AB0BA8"/>
    <w:rsid w:val="00AB0F42"/>
    <w:rsid w:val="00AB142A"/>
    <w:rsid w:val="00AB1496"/>
    <w:rsid w:val="00AB14D2"/>
    <w:rsid w:val="00AB17DC"/>
    <w:rsid w:val="00AB1962"/>
    <w:rsid w:val="00AB1A64"/>
    <w:rsid w:val="00AB2B35"/>
    <w:rsid w:val="00AB35C0"/>
    <w:rsid w:val="00AB3ADC"/>
    <w:rsid w:val="00AB41F4"/>
    <w:rsid w:val="00AB4346"/>
    <w:rsid w:val="00AB4B3E"/>
    <w:rsid w:val="00AB571F"/>
    <w:rsid w:val="00AB5BD4"/>
    <w:rsid w:val="00AB62D1"/>
    <w:rsid w:val="00AB66A4"/>
    <w:rsid w:val="00AB6745"/>
    <w:rsid w:val="00AB788D"/>
    <w:rsid w:val="00AB7CE9"/>
    <w:rsid w:val="00AC02FF"/>
    <w:rsid w:val="00AC14F2"/>
    <w:rsid w:val="00AC26B1"/>
    <w:rsid w:val="00AC33B7"/>
    <w:rsid w:val="00AC373E"/>
    <w:rsid w:val="00AC3758"/>
    <w:rsid w:val="00AC3C5C"/>
    <w:rsid w:val="00AC4C49"/>
    <w:rsid w:val="00AC5B95"/>
    <w:rsid w:val="00AC6B32"/>
    <w:rsid w:val="00AC6FFF"/>
    <w:rsid w:val="00AC717C"/>
    <w:rsid w:val="00AC7569"/>
    <w:rsid w:val="00AC7652"/>
    <w:rsid w:val="00AC7B02"/>
    <w:rsid w:val="00AC7EE4"/>
    <w:rsid w:val="00AD1F25"/>
    <w:rsid w:val="00AD2996"/>
    <w:rsid w:val="00AD2CCA"/>
    <w:rsid w:val="00AD2D22"/>
    <w:rsid w:val="00AD44AA"/>
    <w:rsid w:val="00AD5009"/>
    <w:rsid w:val="00AD5303"/>
    <w:rsid w:val="00AD5614"/>
    <w:rsid w:val="00AD6186"/>
    <w:rsid w:val="00AD644C"/>
    <w:rsid w:val="00AD6F3D"/>
    <w:rsid w:val="00AD6F93"/>
    <w:rsid w:val="00AD7260"/>
    <w:rsid w:val="00AD73D8"/>
    <w:rsid w:val="00AE04FF"/>
    <w:rsid w:val="00AE0B35"/>
    <w:rsid w:val="00AE18EB"/>
    <w:rsid w:val="00AE1951"/>
    <w:rsid w:val="00AE1A2D"/>
    <w:rsid w:val="00AE1BC2"/>
    <w:rsid w:val="00AE26E4"/>
    <w:rsid w:val="00AE3561"/>
    <w:rsid w:val="00AE3A11"/>
    <w:rsid w:val="00AE40BD"/>
    <w:rsid w:val="00AE411E"/>
    <w:rsid w:val="00AE4386"/>
    <w:rsid w:val="00AE4A94"/>
    <w:rsid w:val="00AE59CE"/>
    <w:rsid w:val="00AE6245"/>
    <w:rsid w:val="00AE6428"/>
    <w:rsid w:val="00AE6CCD"/>
    <w:rsid w:val="00AE70F8"/>
    <w:rsid w:val="00AE796F"/>
    <w:rsid w:val="00AE7FA3"/>
    <w:rsid w:val="00AE7FD8"/>
    <w:rsid w:val="00AF01BA"/>
    <w:rsid w:val="00AF064A"/>
    <w:rsid w:val="00AF083D"/>
    <w:rsid w:val="00AF0D41"/>
    <w:rsid w:val="00AF13F1"/>
    <w:rsid w:val="00AF227F"/>
    <w:rsid w:val="00AF22DF"/>
    <w:rsid w:val="00AF250B"/>
    <w:rsid w:val="00AF3162"/>
    <w:rsid w:val="00AF3B9D"/>
    <w:rsid w:val="00AF41A6"/>
    <w:rsid w:val="00AF43A0"/>
    <w:rsid w:val="00AF5B6C"/>
    <w:rsid w:val="00AF6329"/>
    <w:rsid w:val="00AF636F"/>
    <w:rsid w:val="00AF6507"/>
    <w:rsid w:val="00AF66B1"/>
    <w:rsid w:val="00AF71A0"/>
    <w:rsid w:val="00B00305"/>
    <w:rsid w:val="00B004E1"/>
    <w:rsid w:val="00B004F9"/>
    <w:rsid w:val="00B00A7B"/>
    <w:rsid w:val="00B00EA5"/>
    <w:rsid w:val="00B011DC"/>
    <w:rsid w:val="00B02089"/>
    <w:rsid w:val="00B0226F"/>
    <w:rsid w:val="00B0261E"/>
    <w:rsid w:val="00B03A4B"/>
    <w:rsid w:val="00B043B1"/>
    <w:rsid w:val="00B04A24"/>
    <w:rsid w:val="00B056F4"/>
    <w:rsid w:val="00B05B7C"/>
    <w:rsid w:val="00B05D5B"/>
    <w:rsid w:val="00B05DA7"/>
    <w:rsid w:val="00B06DFF"/>
    <w:rsid w:val="00B075C9"/>
    <w:rsid w:val="00B075E0"/>
    <w:rsid w:val="00B07654"/>
    <w:rsid w:val="00B077C6"/>
    <w:rsid w:val="00B07BE8"/>
    <w:rsid w:val="00B07E10"/>
    <w:rsid w:val="00B10278"/>
    <w:rsid w:val="00B10A4B"/>
    <w:rsid w:val="00B1232B"/>
    <w:rsid w:val="00B1239E"/>
    <w:rsid w:val="00B125A4"/>
    <w:rsid w:val="00B13B26"/>
    <w:rsid w:val="00B13CC2"/>
    <w:rsid w:val="00B149EB"/>
    <w:rsid w:val="00B14CC5"/>
    <w:rsid w:val="00B15683"/>
    <w:rsid w:val="00B157C5"/>
    <w:rsid w:val="00B15C27"/>
    <w:rsid w:val="00B16142"/>
    <w:rsid w:val="00B16ACA"/>
    <w:rsid w:val="00B174F4"/>
    <w:rsid w:val="00B17B41"/>
    <w:rsid w:val="00B17D82"/>
    <w:rsid w:val="00B17E71"/>
    <w:rsid w:val="00B20212"/>
    <w:rsid w:val="00B20A68"/>
    <w:rsid w:val="00B20C32"/>
    <w:rsid w:val="00B22496"/>
    <w:rsid w:val="00B2250E"/>
    <w:rsid w:val="00B23ED8"/>
    <w:rsid w:val="00B24891"/>
    <w:rsid w:val="00B24B1C"/>
    <w:rsid w:val="00B256EB"/>
    <w:rsid w:val="00B256F0"/>
    <w:rsid w:val="00B25FDC"/>
    <w:rsid w:val="00B2643A"/>
    <w:rsid w:val="00B267E1"/>
    <w:rsid w:val="00B271A9"/>
    <w:rsid w:val="00B277C7"/>
    <w:rsid w:val="00B27A5C"/>
    <w:rsid w:val="00B27BE2"/>
    <w:rsid w:val="00B27EB0"/>
    <w:rsid w:val="00B27F50"/>
    <w:rsid w:val="00B30706"/>
    <w:rsid w:val="00B330C5"/>
    <w:rsid w:val="00B3405C"/>
    <w:rsid w:val="00B34329"/>
    <w:rsid w:val="00B3454F"/>
    <w:rsid w:val="00B34E64"/>
    <w:rsid w:val="00B35A61"/>
    <w:rsid w:val="00B3662B"/>
    <w:rsid w:val="00B3662F"/>
    <w:rsid w:val="00B36A7C"/>
    <w:rsid w:val="00B40B1B"/>
    <w:rsid w:val="00B4135C"/>
    <w:rsid w:val="00B4167B"/>
    <w:rsid w:val="00B423DD"/>
    <w:rsid w:val="00B42432"/>
    <w:rsid w:val="00B42C6C"/>
    <w:rsid w:val="00B4360D"/>
    <w:rsid w:val="00B43936"/>
    <w:rsid w:val="00B4466A"/>
    <w:rsid w:val="00B448D0"/>
    <w:rsid w:val="00B44D28"/>
    <w:rsid w:val="00B4525B"/>
    <w:rsid w:val="00B45DB2"/>
    <w:rsid w:val="00B45E6B"/>
    <w:rsid w:val="00B46556"/>
    <w:rsid w:val="00B46595"/>
    <w:rsid w:val="00B476B9"/>
    <w:rsid w:val="00B476F1"/>
    <w:rsid w:val="00B47B35"/>
    <w:rsid w:val="00B50125"/>
    <w:rsid w:val="00B502E3"/>
    <w:rsid w:val="00B5130F"/>
    <w:rsid w:val="00B53B50"/>
    <w:rsid w:val="00B53C42"/>
    <w:rsid w:val="00B53D47"/>
    <w:rsid w:val="00B54C63"/>
    <w:rsid w:val="00B5567F"/>
    <w:rsid w:val="00B557E4"/>
    <w:rsid w:val="00B558AF"/>
    <w:rsid w:val="00B558C7"/>
    <w:rsid w:val="00B55900"/>
    <w:rsid w:val="00B56D4A"/>
    <w:rsid w:val="00B56D99"/>
    <w:rsid w:val="00B56E6C"/>
    <w:rsid w:val="00B57606"/>
    <w:rsid w:val="00B578F0"/>
    <w:rsid w:val="00B57A2C"/>
    <w:rsid w:val="00B57DC6"/>
    <w:rsid w:val="00B6088D"/>
    <w:rsid w:val="00B60AFB"/>
    <w:rsid w:val="00B60E73"/>
    <w:rsid w:val="00B610A2"/>
    <w:rsid w:val="00B619C5"/>
    <w:rsid w:val="00B6264B"/>
    <w:rsid w:val="00B63138"/>
    <w:rsid w:val="00B64404"/>
    <w:rsid w:val="00B64895"/>
    <w:rsid w:val="00B65124"/>
    <w:rsid w:val="00B6608A"/>
    <w:rsid w:val="00B66E33"/>
    <w:rsid w:val="00B67A95"/>
    <w:rsid w:val="00B7132E"/>
    <w:rsid w:val="00B71D17"/>
    <w:rsid w:val="00B71E07"/>
    <w:rsid w:val="00B71E1B"/>
    <w:rsid w:val="00B71E3E"/>
    <w:rsid w:val="00B71F56"/>
    <w:rsid w:val="00B73331"/>
    <w:rsid w:val="00B735C8"/>
    <w:rsid w:val="00B73BF0"/>
    <w:rsid w:val="00B749CD"/>
    <w:rsid w:val="00B7602C"/>
    <w:rsid w:val="00B76701"/>
    <w:rsid w:val="00B76761"/>
    <w:rsid w:val="00B77DD2"/>
    <w:rsid w:val="00B77ECD"/>
    <w:rsid w:val="00B800AD"/>
    <w:rsid w:val="00B81122"/>
    <w:rsid w:val="00B81969"/>
    <w:rsid w:val="00B81DA1"/>
    <w:rsid w:val="00B82217"/>
    <w:rsid w:val="00B82C22"/>
    <w:rsid w:val="00B83510"/>
    <w:rsid w:val="00B83625"/>
    <w:rsid w:val="00B842F0"/>
    <w:rsid w:val="00B8500E"/>
    <w:rsid w:val="00B85960"/>
    <w:rsid w:val="00B86500"/>
    <w:rsid w:val="00B8660D"/>
    <w:rsid w:val="00B90242"/>
    <w:rsid w:val="00B90A6F"/>
    <w:rsid w:val="00B90D17"/>
    <w:rsid w:val="00B90EB8"/>
    <w:rsid w:val="00B91C1A"/>
    <w:rsid w:val="00B923F1"/>
    <w:rsid w:val="00B9253D"/>
    <w:rsid w:val="00B93B96"/>
    <w:rsid w:val="00B93EC1"/>
    <w:rsid w:val="00B94095"/>
    <w:rsid w:val="00B942CB"/>
    <w:rsid w:val="00B94779"/>
    <w:rsid w:val="00B9489B"/>
    <w:rsid w:val="00B94BB9"/>
    <w:rsid w:val="00B94CEE"/>
    <w:rsid w:val="00B95589"/>
    <w:rsid w:val="00B95B91"/>
    <w:rsid w:val="00B95F33"/>
    <w:rsid w:val="00B9673B"/>
    <w:rsid w:val="00B96ACA"/>
    <w:rsid w:val="00B96D34"/>
    <w:rsid w:val="00B96E99"/>
    <w:rsid w:val="00B97EF0"/>
    <w:rsid w:val="00B97F20"/>
    <w:rsid w:val="00BA0298"/>
    <w:rsid w:val="00BA072E"/>
    <w:rsid w:val="00BA0B0C"/>
    <w:rsid w:val="00BA1648"/>
    <w:rsid w:val="00BA1C11"/>
    <w:rsid w:val="00BA1C87"/>
    <w:rsid w:val="00BA27A3"/>
    <w:rsid w:val="00BA2BB6"/>
    <w:rsid w:val="00BA35F1"/>
    <w:rsid w:val="00BA380A"/>
    <w:rsid w:val="00BA3D0C"/>
    <w:rsid w:val="00BA465E"/>
    <w:rsid w:val="00BA533F"/>
    <w:rsid w:val="00BA5A3A"/>
    <w:rsid w:val="00BA5F22"/>
    <w:rsid w:val="00BA65B3"/>
    <w:rsid w:val="00BA77A1"/>
    <w:rsid w:val="00BA7C3D"/>
    <w:rsid w:val="00BA7F30"/>
    <w:rsid w:val="00BB0449"/>
    <w:rsid w:val="00BB1978"/>
    <w:rsid w:val="00BB2632"/>
    <w:rsid w:val="00BB2FCA"/>
    <w:rsid w:val="00BB31A4"/>
    <w:rsid w:val="00BB4484"/>
    <w:rsid w:val="00BB4581"/>
    <w:rsid w:val="00BB486B"/>
    <w:rsid w:val="00BB53D0"/>
    <w:rsid w:val="00BB56D7"/>
    <w:rsid w:val="00BB5FC0"/>
    <w:rsid w:val="00BB6639"/>
    <w:rsid w:val="00BB67A4"/>
    <w:rsid w:val="00BB6E88"/>
    <w:rsid w:val="00BB6FC1"/>
    <w:rsid w:val="00BB7B5A"/>
    <w:rsid w:val="00BC04A1"/>
    <w:rsid w:val="00BC07DC"/>
    <w:rsid w:val="00BC0982"/>
    <w:rsid w:val="00BC0CFF"/>
    <w:rsid w:val="00BC1488"/>
    <w:rsid w:val="00BC1589"/>
    <w:rsid w:val="00BC16C6"/>
    <w:rsid w:val="00BC173C"/>
    <w:rsid w:val="00BC198C"/>
    <w:rsid w:val="00BC1B16"/>
    <w:rsid w:val="00BC1B6F"/>
    <w:rsid w:val="00BC1EFA"/>
    <w:rsid w:val="00BC1F6B"/>
    <w:rsid w:val="00BC214E"/>
    <w:rsid w:val="00BC324B"/>
    <w:rsid w:val="00BC33A0"/>
    <w:rsid w:val="00BC3A5A"/>
    <w:rsid w:val="00BC4AC0"/>
    <w:rsid w:val="00BC4F1A"/>
    <w:rsid w:val="00BC5AC4"/>
    <w:rsid w:val="00BC5C4E"/>
    <w:rsid w:val="00BC6C40"/>
    <w:rsid w:val="00BD0548"/>
    <w:rsid w:val="00BD0B05"/>
    <w:rsid w:val="00BD1020"/>
    <w:rsid w:val="00BD10C1"/>
    <w:rsid w:val="00BD174E"/>
    <w:rsid w:val="00BD1855"/>
    <w:rsid w:val="00BD2300"/>
    <w:rsid w:val="00BD23F9"/>
    <w:rsid w:val="00BD27E4"/>
    <w:rsid w:val="00BD2A20"/>
    <w:rsid w:val="00BD2E10"/>
    <w:rsid w:val="00BD33E3"/>
    <w:rsid w:val="00BD3A44"/>
    <w:rsid w:val="00BD3B06"/>
    <w:rsid w:val="00BD3D1E"/>
    <w:rsid w:val="00BD44DD"/>
    <w:rsid w:val="00BD45CC"/>
    <w:rsid w:val="00BD46FB"/>
    <w:rsid w:val="00BD523D"/>
    <w:rsid w:val="00BD52BE"/>
    <w:rsid w:val="00BD61C9"/>
    <w:rsid w:val="00BD61FF"/>
    <w:rsid w:val="00BD69AB"/>
    <w:rsid w:val="00BD7292"/>
    <w:rsid w:val="00BD75A2"/>
    <w:rsid w:val="00BD7745"/>
    <w:rsid w:val="00BD7791"/>
    <w:rsid w:val="00BD7F41"/>
    <w:rsid w:val="00BE0428"/>
    <w:rsid w:val="00BE1041"/>
    <w:rsid w:val="00BE24C2"/>
    <w:rsid w:val="00BE2936"/>
    <w:rsid w:val="00BE3B25"/>
    <w:rsid w:val="00BE3C69"/>
    <w:rsid w:val="00BE4445"/>
    <w:rsid w:val="00BE499C"/>
    <w:rsid w:val="00BE56CC"/>
    <w:rsid w:val="00BE5849"/>
    <w:rsid w:val="00BE7E68"/>
    <w:rsid w:val="00BF0853"/>
    <w:rsid w:val="00BF1698"/>
    <w:rsid w:val="00BF1EE0"/>
    <w:rsid w:val="00BF33E1"/>
    <w:rsid w:val="00BF3516"/>
    <w:rsid w:val="00BF392C"/>
    <w:rsid w:val="00BF4696"/>
    <w:rsid w:val="00BF5DF9"/>
    <w:rsid w:val="00BF6576"/>
    <w:rsid w:val="00BF6C00"/>
    <w:rsid w:val="00BF7BF1"/>
    <w:rsid w:val="00BF7C7D"/>
    <w:rsid w:val="00C0018B"/>
    <w:rsid w:val="00C00AFA"/>
    <w:rsid w:val="00C01AD3"/>
    <w:rsid w:val="00C02234"/>
    <w:rsid w:val="00C033AE"/>
    <w:rsid w:val="00C03E59"/>
    <w:rsid w:val="00C043F5"/>
    <w:rsid w:val="00C04665"/>
    <w:rsid w:val="00C04956"/>
    <w:rsid w:val="00C05785"/>
    <w:rsid w:val="00C05A71"/>
    <w:rsid w:val="00C06579"/>
    <w:rsid w:val="00C06653"/>
    <w:rsid w:val="00C06E3E"/>
    <w:rsid w:val="00C0736C"/>
    <w:rsid w:val="00C07AAF"/>
    <w:rsid w:val="00C07CF6"/>
    <w:rsid w:val="00C07F58"/>
    <w:rsid w:val="00C11181"/>
    <w:rsid w:val="00C13773"/>
    <w:rsid w:val="00C1393B"/>
    <w:rsid w:val="00C13DA8"/>
    <w:rsid w:val="00C15241"/>
    <w:rsid w:val="00C155A3"/>
    <w:rsid w:val="00C15773"/>
    <w:rsid w:val="00C15B40"/>
    <w:rsid w:val="00C15C29"/>
    <w:rsid w:val="00C165CE"/>
    <w:rsid w:val="00C172BB"/>
    <w:rsid w:val="00C173F2"/>
    <w:rsid w:val="00C17658"/>
    <w:rsid w:val="00C20218"/>
    <w:rsid w:val="00C20DA4"/>
    <w:rsid w:val="00C21321"/>
    <w:rsid w:val="00C219AB"/>
    <w:rsid w:val="00C22066"/>
    <w:rsid w:val="00C22231"/>
    <w:rsid w:val="00C22619"/>
    <w:rsid w:val="00C22B7E"/>
    <w:rsid w:val="00C22D30"/>
    <w:rsid w:val="00C22E34"/>
    <w:rsid w:val="00C22EBD"/>
    <w:rsid w:val="00C22F11"/>
    <w:rsid w:val="00C23A65"/>
    <w:rsid w:val="00C23BF5"/>
    <w:rsid w:val="00C24124"/>
    <w:rsid w:val="00C242A8"/>
    <w:rsid w:val="00C244F0"/>
    <w:rsid w:val="00C24CDF"/>
    <w:rsid w:val="00C250D3"/>
    <w:rsid w:val="00C26132"/>
    <w:rsid w:val="00C26B1C"/>
    <w:rsid w:val="00C2725D"/>
    <w:rsid w:val="00C279E9"/>
    <w:rsid w:val="00C301F9"/>
    <w:rsid w:val="00C30F96"/>
    <w:rsid w:val="00C316AF"/>
    <w:rsid w:val="00C3184A"/>
    <w:rsid w:val="00C324B6"/>
    <w:rsid w:val="00C32B73"/>
    <w:rsid w:val="00C3431B"/>
    <w:rsid w:val="00C34F96"/>
    <w:rsid w:val="00C3534A"/>
    <w:rsid w:val="00C35536"/>
    <w:rsid w:val="00C3564A"/>
    <w:rsid w:val="00C35C7D"/>
    <w:rsid w:val="00C3618B"/>
    <w:rsid w:val="00C36FF2"/>
    <w:rsid w:val="00C37D76"/>
    <w:rsid w:val="00C40F34"/>
    <w:rsid w:val="00C414F9"/>
    <w:rsid w:val="00C419D9"/>
    <w:rsid w:val="00C41C8D"/>
    <w:rsid w:val="00C41D35"/>
    <w:rsid w:val="00C42066"/>
    <w:rsid w:val="00C43922"/>
    <w:rsid w:val="00C44969"/>
    <w:rsid w:val="00C45A62"/>
    <w:rsid w:val="00C45FA7"/>
    <w:rsid w:val="00C46986"/>
    <w:rsid w:val="00C46A2A"/>
    <w:rsid w:val="00C476A9"/>
    <w:rsid w:val="00C47E21"/>
    <w:rsid w:val="00C50074"/>
    <w:rsid w:val="00C501FC"/>
    <w:rsid w:val="00C50558"/>
    <w:rsid w:val="00C50763"/>
    <w:rsid w:val="00C50EFE"/>
    <w:rsid w:val="00C51F86"/>
    <w:rsid w:val="00C520A4"/>
    <w:rsid w:val="00C52279"/>
    <w:rsid w:val="00C526C8"/>
    <w:rsid w:val="00C5272F"/>
    <w:rsid w:val="00C528C3"/>
    <w:rsid w:val="00C52BBE"/>
    <w:rsid w:val="00C5359C"/>
    <w:rsid w:val="00C54F02"/>
    <w:rsid w:val="00C55374"/>
    <w:rsid w:val="00C55A43"/>
    <w:rsid w:val="00C55AB7"/>
    <w:rsid w:val="00C56512"/>
    <w:rsid w:val="00C56D74"/>
    <w:rsid w:val="00C576AE"/>
    <w:rsid w:val="00C6052E"/>
    <w:rsid w:val="00C61464"/>
    <w:rsid w:val="00C619FB"/>
    <w:rsid w:val="00C61C75"/>
    <w:rsid w:val="00C61F2C"/>
    <w:rsid w:val="00C62A1F"/>
    <w:rsid w:val="00C62A8A"/>
    <w:rsid w:val="00C63D92"/>
    <w:rsid w:val="00C63E12"/>
    <w:rsid w:val="00C63ED7"/>
    <w:rsid w:val="00C64884"/>
    <w:rsid w:val="00C649DB"/>
    <w:rsid w:val="00C649FB"/>
    <w:rsid w:val="00C64D0B"/>
    <w:rsid w:val="00C659E4"/>
    <w:rsid w:val="00C679EF"/>
    <w:rsid w:val="00C67C81"/>
    <w:rsid w:val="00C71654"/>
    <w:rsid w:val="00C71AA0"/>
    <w:rsid w:val="00C724D4"/>
    <w:rsid w:val="00C72796"/>
    <w:rsid w:val="00C7347D"/>
    <w:rsid w:val="00C73C66"/>
    <w:rsid w:val="00C7426B"/>
    <w:rsid w:val="00C74C33"/>
    <w:rsid w:val="00C74D12"/>
    <w:rsid w:val="00C74DE3"/>
    <w:rsid w:val="00C7545C"/>
    <w:rsid w:val="00C75715"/>
    <w:rsid w:val="00C75F6F"/>
    <w:rsid w:val="00C76E49"/>
    <w:rsid w:val="00C76F55"/>
    <w:rsid w:val="00C81253"/>
    <w:rsid w:val="00C82381"/>
    <w:rsid w:val="00C82568"/>
    <w:rsid w:val="00C8280D"/>
    <w:rsid w:val="00C833D7"/>
    <w:rsid w:val="00C8384D"/>
    <w:rsid w:val="00C8387B"/>
    <w:rsid w:val="00C83B54"/>
    <w:rsid w:val="00C83C4E"/>
    <w:rsid w:val="00C84084"/>
    <w:rsid w:val="00C84642"/>
    <w:rsid w:val="00C84A4C"/>
    <w:rsid w:val="00C859D9"/>
    <w:rsid w:val="00C86807"/>
    <w:rsid w:val="00C869A1"/>
    <w:rsid w:val="00C86B45"/>
    <w:rsid w:val="00C86B91"/>
    <w:rsid w:val="00C8704E"/>
    <w:rsid w:val="00C870B3"/>
    <w:rsid w:val="00C87589"/>
    <w:rsid w:val="00C9041B"/>
    <w:rsid w:val="00C908CB"/>
    <w:rsid w:val="00C90B48"/>
    <w:rsid w:val="00C9101E"/>
    <w:rsid w:val="00C916ED"/>
    <w:rsid w:val="00C91F8A"/>
    <w:rsid w:val="00C92019"/>
    <w:rsid w:val="00C92647"/>
    <w:rsid w:val="00C92849"/>
    <w:rsid w:val="00C943DA"/>
    <w:rsid w:val="00C9441D"/>
    <w:rsid w:val="00C9451F"/>
    <w:rsid w:val="00C949BA"/>
    <w:rsid w:val="00C94EDF"/>
    <w:rsid w:val="00C968FC"/>
    <w:rsid w:val="00C96ACA"/>
    <w:rsid w:val="00C96C9C"/>
    <w:rsid w:val="00C9708A"/>
    <w:rsid w:val="00C978FB"/>
    <w:rsid w:val="00C97D03"/>
    <w:rsid w:val="00CA0419"/>
    <w:rsid w:val="00CA046E"/>
    <w:rsid w:val="00CA0A74"/>
    <w:rsid w:val="00CA1336"/>
    <w:rsid w:val="00CA1D98"/>
    <w:rsid w:val="00CA1F28"/>
    <w:rsid w:val="00CA1FF5"/>
    <w:rsid w:val="00CA25B4"/>
    <w:rsid w:val="00CA289D"/>
    <w:rsid w:val="00CA3137"/>
    <w:rsid w:val="00CA4B24"/>
    <w:rsid w:val="00CA5213"/>
    <w:rsid w:val="00CA69E5"/>
    <w:rsid w:val="00CA6CBD"/>
    <w:rsid w:val="00CA6F6B"/>
    <w:rsid w:val="00CA6F9D"/>
    <w:rsid w:val="00CB0460"/>
    <w:rsid w:val="00CB0866"/>
    <w:rsid w:val="00CB0FC6"/>
    <w:rsid w:val="00CB17D5"/>
    <w:rsid w:val="00CB216E"/>
    <w:rsid w:val="00CB22B1"/>
    <w:rsid w:val="00CB2E59"/>
    <w:rsid w:val="00CB3CE8"/>
    <w:rsid w:val="00CB4BEE"/>
    <w:rsid w:val="00CB5BF9"/>
    <w:rsid w:val="00CB631E"/>
    <w:rsid w:val="00CB73CB"/>
    <w:rsid w:val="00CB75FE"/>
    <w:rsid w:val="00CC0853"/>
    <w:rsid w:val="00CC0BB7"/>
    <w:rsid w:val="00CC21AB"/>
    <w:rsid w:val="00CC2D6C"/>
    <w:rsid w:val="00CC305D"/>
    <w:rsid w:val="00CC3611"/>
    <w:rsid w:val="00CC4660"/>
    <w:rsid w:val="00CC48D8"/>
    <w:rsid w:val="00CC4FD1"/>
    <w:rsid w:val="00CC5AB1"/>
    <w:rsid w:val="00CC7077"/>
    <w:rsid w:val="00CC7F9A"/>
    <w:rsid w:val="00CD0015"/>
    <w:rsid w:val="00CD06AA"/>
    <w:rsid w:val="00CD09BD"/>
    <w:rsid w:val="00CD11EF"/>
    <w:rsid w:val="00CD1218"/>
    <w:rsid w:val="00CD1ED6"/>
    <w:rsid w:val="00CD1FC5"/>
    <w:rsid w:val="00CD2559"/>
    <w:rsid w:val="00CD280F"/>
    <w:rsid w:val="00CD3304"/>
    <w:rsid w:val="00CD35EB"/>
    <w:rsid w:val="00CD3686"/>
    <w:rsid w:val="00CD3770"/>
    <w:rsid w:val="00CD38E5"/>
    <w:rsid w:val="00CD437F"/>
    <w:rsid w:val="00CD48F7"/>
    <w:rsid w:val="00CD4F74"/>
    <w:rsid w:val="00CD5313"/>
    <w:rsid w:val="00CD6310"/>
    <w:rsid w:val="00CD6692"/>
    <w:rsid w:val="00CD6B81"/>
    <w:rsid w:val="00CD71E4"/>
    <w:rsid w:val="00CD7254"/>
    <w:rsid w:val="00CD7585"/>
    <w:rsid w:val="00CE0A42"/>
    <w:rsid w:val="00CE2457"/>
    <w:rsid w:val="00CE2474"/>
    <w:rsid w:val="00CE2C43"/>
    <w:rsid w:val="00CE3039"/>
    <w:rsid w:val="00CE3349"/>
    <w:rsid w:val="00CE35DB"/>
    <w:rsid w:val="00CE3944"/>
    <w:rsid w:val="00CE4CB3"/>
    <w:rsid w:val="00CE536F"/>
    <w:rsid w:val="00CE53DF"/>
    <w:rsid w:val="00CE619A"/>
    <w:rsid w:val="00CE7732"/>
    <w:rsid w:val="00CF0261"/>
    <w:rsid w:val="00CF119D"/>
    <w:rsid w:val="00CF29FF"/>
    <w:rsid w:val="00CF3219"/>
    <w:rsid w:val="00CF3258"/>
    <w:rsid w:val="00CF372F"/>
    <w:rsid w:val="00CF39C8"/>
    <w:rsid w:val="00CF3B77"/>
    <w:rsid w:val="00CF4270"/>
    <w:rsid w:val="00CF4630"/>
    <w:rsid w:val="00CF4F89"/>
    <w:rsid w:val="00CF5D26"/>
    <w:rsid w:val="00CF5E4A"/>
    <w:rsid w:val="00CF5E56"/>
    <w:rsid w:val="00CF6ABB"/>
    <w:rsid w:val="00CF6BF8"/>
    <w:rsid w:val="00CF72F3"/>
    <w:rsid w:val="00CF7F51"/>
    <w:rsid w:val="00D0063E"/>
    <w:rsid w:val="00D007F0"/>
    <w:rsid w:val="00D00BC7"/>
    <w:rsid w:val="00D0115D"/>
    <w:rsid w:val="00D013AF"/>
    <w:rsid w:val="00D01406"/>
    <w:rsid w:val="00D017C5"/>
    <w:rsid w:val="00D01B7A"/>
    <w:rsid w:val="00D022F2"/>
    <w:rsid w:val="00D02476"/>
    <w:rsid w:val="00D02C98"/>
    <w:rsid w:val="00D02E84"/>
    <w:rsid w:val="00D032C1"/>
    <w:rsid w:val="00D03522"/>
    <w:rsid w:val="00D03AE4"/>
    <w:rsid w:val="00D03F84"/>
    <w:rsid w:val="00D046A6"/>
    <w:rsid w:val="00D04E5A"/>
    <w:rsid w:val="00D05395"/>
    <w:rsid w:val="00D0560A"/>
    <w:rsid w:val="00D0666F"/>
    <w:rsid w:val="00D06B72"/>
    <w:rsid w:val="00D07577"/>
    <w:rsid w:val="00D075AF"/>
    <w:rsid w:val="00D10E51"/>
    <w:rsid w:val="00D111A9"/>
    <w:rsid w:val="00D11281"/>
    <w:rsid w:val="00D12E96"/>
    <w:rsid w:val="00D12EF8"/>
    <w:rsid w:val="00D13374"/>
    <w:rsid w:val="00D13BCF"/>
    <w:rsid w:val="00D13BDE"/>
    <w:rsid w:val="00D15E8E"/>
    <w:rsid w:val="00D16532"/>
    <w:rsid w:val="00D16AD4"/>
    <w:rsid w:val="00D16C96"/>
    <w:rsid w:val="00D17453"/>
    <w:rsid w:val="00D17928"/>
    <w:rsid w:val="00D17B66"/>
    <w:rsid w:val="00D17C45"/>
    <w:rsid w:val="00D17D39"/>
    <w:rsid w:val="00D17FA5"/>
    <w:rsid w:val="00D20703"/>
    <w:rsid w:val="00D2154D"/>
    <w:rsid w:val="00D215BD"/>
    <w:rsid w:val="00D216C4"/>
    <w:rsid w:val="00D21D5F"/>
    <w:rsid w:val="00D2210B"/>
    <w:rsid w:val="00D2251D"/>
    <w:rsid w:val="00D22CE1"/>
    <w:rsid w:val="00D2305F"/>
    <w:rsid w:val="00D23F97"/>
    <w:rsid w:val="00D24F61"/>
    <w:rsid w:val="00D2546C"/>
    <w:rsid w:val="00D256C0"/>
    <w:rsid w:val="00D25B62"/>
    <w:rsid w:val="00D25F41"/>
    <w:rsid w:val="00D25F85"/>
    <w:rsid w:val="00D26CA2"/>
    <w:rsid w:val="00D2728A"/>
    <w:rsid w:val="00D27349"/>
    <w:rsid w:val="00D275A4"/>
    <w:rsid w:val="00D2770F"/>
    <w:rsid w:val="00D27A8D"/>
    <w:rsid w:val="00D27B1F"/>
    <w:rsid w:val="00D27F1E"/>
    <w:rsid w:val="00D304E2"/>
    <w:rsid w:val="00D312DC"/>
    <w:rsid w:val="00D31F36"/>
    <w:rsid w:val="00D31FDF"/>
    <w:rsid w:val="00D32520"/>
    <w:rsid w:val="00D32CC1"/>
    <w:rsid w:val="00D3350F"/>
    <w:rsid w:val="00D34E36"/>
    <w:rsid w:val="00D352EF"/>
    <w:rsid w:val="00D3588F"/>
    <w:rsid w:val="00D35FC8"/>
    <w:rsid w:val="00D35FEE"/>
    <w:rsid w:val="00D36277"/>
    <w:rsid w:val="00D3775C"/>
    <w:rsid w:val="00D377B2"/>
    <w:rsid w:val="00D37BD5"/>
    <w:rsid w:val="00D37F4A"/>
    <w:rsid w:val="00D37FC1"/>
    <w:rsid w:val="00D40764"/>
    <w:rsid w:val="00D411F5"/>
    <w:rsid w:val="00D428C9"/>
    <w:rsid w:val="00D445C6"/>
    <w:rsid w:val="00D4524E"/>
    <w:rsid w:val="00D4533D"/>
    <w:rsid w:val="00D46CD2"/>
    <w:rsid w:val="00D46DB0"/>
    <w:rsid w:val="00D472A7"/>
    <w:rsid w:val="00D47F51"/>
    <w:rsid w:val="00D5163F"/>
    <w:rsid w:val="00D52027"/>
    <w:rsid w:val="00D521C4"/>
    <w:rsid w:val="00D52489"/>
    <w:rsid w:val="00D527AD"/>
    <w:rsid w:val="00D52BCD"/>
    <w:rsid w:val="00D52CCA"/>
    <w:rsid w:val="00D53089"/>
    <w:rsid w:val="00D53E40"/>
    <w:rsid w:val="00D54513"/>
    <w:rsid w:val="00D551F3"/>
    <w:rsid w:val="00D5728A"/>
    <w:rsid w:val="00D57B63"/>
    <w:rsid w:val="00D57B6C"/>
    <w:rsid w:val="00D57F3C"/>
    <w:rsid w:val="00D60794"/>
    <w:rsid w:val="00D61A46"/>
    <w:rsid w:val="00D623FD"/>
    <w:rsid w:val="00D62557"/>
    <w:rsid w:val="00D625B4"/>
    <w:rsid w:val="00D626D9"/>
    <w:rsid w:val="00D62C98"/>
    <w:rsid w:val="00D631E5"/>
    <w:rsid w:val="00D636B0"/>
    <w:rsid w:val="00D63B86"/>
    <w:rsid w:val="00D640E1"/>
    <w:rsid w:val="00D6586D"/>
    <w:rsid w:val="00D65DE7"/>
    <w:rsid w:val="00D67830"/>
    <w:rsid w:val="00D701FA"/>
    <w:rsid w:val="00D70851"/>
    <w:rsid w:val="00D70AFF"/>
    <w:rsid w:val="00D70F20"/>
    <w:rsid w:val="00D71575"/>
    <w:rsid w:val="00D718EB"/>
    <w:rsid w:val="00D71E25"/>
    <w:rsid w:val="00D7210C"/>
    <w:rsid w:val="00D729F7"/>
    <w:rsid w:val="00D73ABA"/>
    <w:rsid w:val="00D7430F"/>
    <w:rsid w:val="00D74A21"/>
    <w:rsid w:val="00D74F7E"/>
    <w:rsid w:val="00D766C7"/>
    <w:rsid w:val="00D772D3"/>
    <w:rsid w:val="00D80F9F"/>
    <w:rsid w:val="00D813A0"/>
    <w:rsid w:val="00D82506"/>
    <w:rsid w:val="00D82FFB"/>
    <w:rsid w:val="00D83364"/>
    <w:rsid w:val="00D834CD"/>
    <w:rsid w:val="00D83805"/>
    <w:rsid w:val="00D83AF5"/>
    <w:rsid w:val="00D8417D"/>
    <w:rsid w:val="00D84515"/>
    <w:rsid w:val="00D854C9"/>
    <w:rsid w:val="00D858F2"/>
    <w:rsid w:val="00D91C36"/>
    <w:rsid w:val="00D92193"/>
    <w:rsid w:val="00D92568"/>
    <w:rsid w:val="00D927D2"/>
    <w:rsid w:val="00D92A8F"/>
    <w:rsid w:val="00D92B43"/>
    <w:rsid w:val="00D93160"/>
    <w:rsid w:val="00D936EA"/>
    <w:rsid w:val="00D937D6"/>
    <w:rsid w:val="00D941BA"/>
    <w:rsid w:val="00D94296"/>
    <w:rsid w:val="00D9637E"/>
    <w:rsid w:val="00D96CF0"/>
    <w:rsid w:val="00D97001"/>
    <w:rsid w:val="00D97737"/>
    <w:rsid w:val="00DA00C7"/>
    <w:rsid w:val="00DA02BB"/>
    <w:rsid w:val="00DA034C"/>
    <w:rsid w:val="00DA05B0"/>
    <w:rsid w:val="00DA0C8E"/>
    <w:rsid w:val="00DA159C"/>
    <w:rsid w:val="00DA1EFE"/>
    <w:rsid w:val="00DA21C7"/>
    <w:rsid w:val="00DA2D64"/>
    <w:rsid w:val="00DA3211"/>
    <w:rsid w:val="00DA323B"/>
    <w:rsid w:val="00DA3679"/>
    <w:rsid w:val="00DA3BBD"/>
    <w:rsid w:val="00DA4C9A"/>
    <w:rsid w:val="00DA53A2"/>
    <w:rsid w:val="00DA5CAC"/>
    <w:rsid w:val="00DA5E1D"/>
    <w:rsid w:val="00DA686C"/>
    <w:rsid w:val="00DB03BF"/>
    <w:rsid w:val="00DB05A5"/>
    <w:rsid w:val="00DB129F"/>
    <w:rsid w:val="00DB2938"/>
    <w:rsid w:val="00DB338E"/>
    <w:rsid w:val="00DB37C3"/>
    <w:rsid w:val="00DB3CF5"/>
    <w:rsid w:val="00DB4395"/>
    <w:rsid w:val="00DB5318"/>
    <w:rsid w:val="00DB574C"/>
    <w:rsid w:val="00DB58CD"/>
    <w:rsid w:val="00DB5A8A"/>
    <w:rsid w:val="00DB6118"/>
    <w:rsid w:val="00DB6195"/>
    <w:rsid w:val="00DB664E"/>
    <w:rsid w:val="00DB6C2C"/>
    <w:rsid w:val="00DB721A"/>
    <w:rsid w:val="00DB737C"/>
    <w:rsid w:val="00DB73EA"/>
    <w:rsid w:val="00DB7AE4"/>
    <w:rsid w:val="00DC257A"/>
    <w:rsid w:val="00DC27A9"/>
    <w:rsid w:val="00DC2A54"/>
    <w:rsid w:val="00DC3898"/>
    <w:rsid w:val="00DC38B2"/>
    <w:rsid w:val="00DC3A28"/>
    <w:rsid w:val="00DC3F0C"/>
    <w:rsid w:val="00DC3FA3"/>
    <w:rsid w:val="00DC4488"/>
    <w:rsid w:val="00DC48AD"/>
    <w:rsid w:val="00DC4B32"/>
    <w:rsid w:val="00DC516D"/>
    <w:rsid w:val="00DC5772"/>
    <w:rsid w:val="00DC65A1"/>
    <w:rsid w:val="00DC7E36"/>
    <w:rsid w:val="00DD0E28"/>
    <w:rsid w:val="00DD0FC4"/>
    <w:rsid w:val="00DD2021"/>
    <w:rsid w:val="00DD2440"/>
    <w:rsid w:val="00DD25C3"/>
    <w:rsid w:val="00DD25CB"/>
    <w:rsid w:val="00DD2EED"/>
    <w:rsid w:val="00DD32AE"/>
    <w:rsid w:val="00DD3338"/>
    <w:rsid w:val="00DD351C"/>
    <w:rsid w:val="00DD3927"/>
    <w:rsid w:val="00DD39A9"/>
    <w:rsid w:val="00DD609F"/>
    <w:rsid w:val="00DD7C48"/>
    <w:rsid w:val="00DE0161"/>
    <w:rsid w:val="00DE025C"/>
    <w:rsid w:val="00DE06AA"/>
    <w:rsid w:val="00DE25BE"/>
    <w:rsid w:val="00DE29E2"/>
    <w:rsid w:val="00DE2A2B"/>
    <w:rsid w:val="00DE347F"/>
    <w:rsid w:val="00DE3522"/>
    <w:rsid w:val="00DE4143"/>
    <w:rsid w:val="00DE41C1"/>
    <w:rsid w:val="00DE48AD"/>
    <w:rsid w:val="00DE4E16"/>
    <w:rsid w:val="00DE4FCC"/>
    <w:rsid w:val="00DE5FAA"/>
    <w:rsid w:val="00DE5FB1"/>
    <w:rsid w:val="00DE6019"/>
    <w:rsid w:val="00DE61C0"/>
    <w:rsid w:val="00DE6391"/>
    <w:rsid w:val="00DE64BE"/>
    <w:rsid w:val="00DE6740"/>
    <w:rsid w:val="00DE6E4D"/>
    <w:rsid w:val="00DE74FE"/>
    <w:rsid w:val="00DE7631"/>
    <w:rsid w:val="00DF13B7"/>
    <w:rsid w:val="00DF14C8"/>
    <w:rsid w:val="00DF1545"/>
    <w:rsid w:val="00DF1BDC"/>
    <w:rsid w:val="00DF1F98"/>
    <w:rsid w:val="00DF2101"/>
    <w:rsid w:val="00DF218F"/>
    <w:rsid w:val="00DF2EE1"/>
    <w:rsid w:val="00DF3326"/>
    <w:rsid w:val="00DF35C3"/>
    <w:rsid w:val="00DF4A08"/>
    <w:rsid w:val="00DF4DF2"/>
    <w:rsid w:val="00DF5783"/>
    <w:rsid w:val="00DF5B4E"/>
    <w:rsid w:val="00DF5D3F"/>
    <w:rsid w:val="00DF6F52"/>
    <w:rsid w:val="00DF7155"/>
    <w:rsid w:val="00DF75B7"/>
    <w:rsid w:val="00E009CD"/>
    <w:rsid w:val="00E01103"/>
    <w:rsid w:val="00E01680"/>
    <w:rsid w:val="00E01C6E"/>
    <w:rsid w:val="00E01F45"/>
    <w:rsid w:val="00E02359"/>
    <w:rsid w:val="00E02515"/>
    <w:rsid w:val="00E02CB0"/>
    <w:rsid w:val="00E03800"/>
    <w:rsid w:val="00E03E6D"/>
    <w:rsid w:val="00E046B3"/>
    <w:rsid w:val="00E04A68"/>
    <w:rsid w:val="00E04A6F"/>
    <w:rsid w:val="00E05286"/>
    <w:rsid w:val="00E05400"/>
    <w:rsid w:val="00E06235"/>
    <w:rsid w:val="00E11862"/>
    <w:rsid w:val="00E12133"/>
    <w:rsid w:val="00E122A7"/>
    <w:rsid w:val="00E1233A"/>
    <w:rsid w:val="00E12970"/>
    <w:rsid w:val="00E13122"/>
    <w:rsid w:val="00E13EAB"/>
    <w:rsid w:val="00E148DB"/>
    <w:rsid w:val="00E14AD1"/>
    <w:rsid w:val="00E15558"/>
    <w:rsid w:val="00E172EB"/>
    <w:rsid w:val="00E17C3D"/>
    <w:rsid w:val="00E20228"/>
    <w:rsid w:val="00E2035E"/>
    <w:rsid w:val="00E205E7"/>
    <w:rsid w:val="00E2076F"/>
    <w:rsid w:val="00E21CCC"/>
    <w:rsid w:val="00E22AE1"/>
    <w:rsid w:val="00E22FF2"/>
    <w:rsid w:val="00E23070"/>
    <w:rsid w:val="00E24F71"/>
    <w:rsid w:val="00E25694"/>
    <w:rsid w:val="00E25918"/>
    <w:rsid w:val="00E25DB4"/>
    <w:rsid w:val="00E2649B"/>
    <w:rsid w:val="00E26B74"/>
    <w:rsid w:val="00E27677"/>
    <w:rsid w:val="00E27879"/>
    <w:rsid w:val="00E278A7"/>
    <w:rsid w:val="00E27F7D"/>
    <w:rsid w:val="00E30732"/>
    <w:rsid w:val="00E30948"/>
    <w:rsid w:val="00E30A47"/>
    <w:rsid w:val="00E30B6A"/>
    <w:rsid w:val="00E30C04"/>
    <w:rsid w:val="00E322AB"/>
    <w:rsid w:val="00E32372"/>
    <w:rsid w:val="00E32419"/>
    <w:rsid w:val="00E32D57"/>
    <w:rsid w:val="00E3363C"/>
    <w:rsid w:val="00E33779"/>
    <w:rsid w:val="00E33C48"/>
    <w:rsid w:val="00E33D22"/>
    <w:rsid w:val="00E34218"/>
    <w:rsid w:val="00E342EC"/>
    <w:rsid w:val="00E34395"/>
    <w:rsid w:val="00E344DC"/>
    <w:rsid w:val="00E35075"/>
    <w:rsid w:val="00E35853"/>
    <w:rsid w:val="00E36157"/>
    <w:rsid w:val="00E361B7"/>
    <w:rsid w:val="00E36F60"/>
    <w:rsid w:val="00E374D3"/>
    <w:rsid w:val="00E37909"/>
    <w:rsid w:val="00E40556"/>
    <w:rsid w:val="00E40EF5"/>
    <w:rsid w:val="00E411B7"/>
    <w:rsid w:val="00E41533"/>
    <w:rsid w:val="00E41856"/>
    <w:rsid w:val="00E437AE"/>
    <w:rsid w:val="00E444C9"/>
    <w:rsid w:val="00E44567"/>
    <w:rsid w:val="00E4461C"/>
    <w:rsid w:val="00E44B40"/>
    <w:rsid w:val="00E44DB1"/>
    <w:rsid w:val="00E4552B"/>
    <w:rsid w:val="00E45CF4"/>
    <w:rsid w:val="00E45DA4"/>
    <w:rsid w:val="00E46296"/>
    <w:rsid w:val="00E50067"/>
    <w:rsid w:val="00E50B94"/>
    <w:rsid w:val="00E51767"/>
    <w:rsid w:val="00E51BB9"/>
    <w:rsid w:val="00E52303"/>
    <w:rsid w:val="00E52FAC"/>
    <w:rsid w:val="00E535F4"/>
    <w:rsid w:val="00E53A9C"/>
    <w:rsid w:val="00E53E52"/>
    <w:rsid w:val="00E53F77"/>
    <w:rsid w:val="00E548E2"/>
    <w:rsid w:val="00E5540D"/>
    <w:rsid w:val="00E55742"/>
    <w:rsid w:val="00E55D79"/>
    <w:rsid w:val="00E5633E"/>
    <w:rsid w:val="00E56444"/>
    <w:rsid w:val="00E56883"/>
    <w:rsid w:val="00E56E8B"/>
    <w:rsid w:val="00E574ED"/>
    <w:rsid w:val="00E57DF1"/>
    <w:rsid w:val="00E605BE"/>
    <w:rsid w:val="00E60A46"/>
    <w:rsid w:val="00E60D9B"/>
    <w:rsid w:val="00E615B5"/>
    <w:rsid w:val="00E627FA"/>
    <w:rsid w:val="00E62A1B"/>
    <w:rsid w:val="00E62BA6"/>
    <w:rsid w:val="00E636D8"/>
    <w:rsid w:val="00E638FE"/>
    <w:rsid w:val="00E63C21"/>
    <w:rsid w:val="00E63D71"/>
    <w:rsid w:val="00E63E2A"/>
    <w:rsid w:val="00E64568"/>
    <w:rsid w:val="00E64D9B"/>
    <w:rsid w:val="00E65318"/>
    <w:rsid w:val="00E659BD"/>
    <w:rsid w:val="00E660D1"/>
    <w:rsid w:val="00E67600"/>
    <w:rsid w:val="00E67E78"/>
    <w:rsid w:val="00E67EDA"/>
    <w:rsid w:val="00E7056D"/>
    <w:rsid w:val="00E73B07"/>
    <w:rsid w:val="00E73B6A"/>
    <w:rsid w:val="00E74151"/>
    <w:rsid w:val="00E745B7"/>
    <w:rsid w:val="00E75166"/>
    <w:rsid w:val="00E75190"/>
    <w:rsid w:val="00E7550D"/>
    <w:rsid w:val="00E75B07"/>
    <w:rsid w:val="00E77B10"/>
    <w:rsid w:val="00E77C25"/>
    <w:rsid w:val="00E826F4"/>
    <w:rsid w:val="00E82812"/>
    <w:rsid w:val="00E8384E"/>
    <w:rsid w:val="00E84353"/>
    <w:rsid w:val="00E85430"/>
    <w:rsid w:val="00E85F5C"/>
    <w:rsid w:val="00E86511"/>
    <w:rsid w:val="00E86630"/>
    <w:rsid w:val="00E866D3"/>
    <w:rsid w:val="00E9039E"/>
    <w:rsid w:val="00E906B9"/>
    <w:rsid w:val="00E908DA"/>
    <w:rsid w:val="00E90FF2"/>
    <w:rsid w:val="00E914EE"/>
    <w:rsid w:val="00E91572"/>
    <w:rsid w:val="00E91A9F"/>
    <w:rsid w:val="00E92A0F"/>
    <w:rsid w:val="00E92CBC"/>
    <w:rsid w:val="00E93481"/>
    <w:rsid w:val="00E9387E"/>
    <w:rsid w:val="00E9565C"/>
    <w:rsid w:val="00E9599E"/>
    <w:rsid w:val="00E96C21"/>
    <w:rsid w:val="00E96D52"/>
    <w:rsid w:val="00E97FBD"/>
    <w:rsid w:val="00EA026F"/>
    <w:rsid w:val="00EA02DD"/>
    <w:rsid w:val="00EA0CD9"/>
    <w:rsid w:val="00EA12B6"/>
    <w:rsid w:val="00EA12CE"/>
    <w:rsid w:val="00EA2757"/>
    <w:rsid w:val="00EA285F"/>
    <w:rsid w:val="00EA2EB7"/>
    <w:rsid w:val="00EA3D1B"/>
    <w:rsid w:val="00EA3E12"/>
    <w:rsid w:val="00EA4A6B"/>
    <w:rsid w:val="00EA584D"/>
    <w:rsid w:val="00EA5F24"/>
    <w:rsid w:val="00EA60D8"/>
    <w:rsid w:val="00EA65A5"/>
    <w:rsid w:val="00EA6BE6"/>
    <w:rsid w:val="00EA7377"/>
    <w:rsid w:val="00EA7499"/>
    <w:rsid w:val="00EA79AE"/>
    <w:rsid w:val="00EA7C67"/>
    <w:rsid w:val="00EA7E9A"/>
    <w:rsid w:val="00EB10A0"/>
    <w:rsid w:val="00EB1503"/>
    <w:rsid w:val="00EB174F"/>
    <w:rsid w:val="00EB1B15"/>
    <w:rsid w:val="00EB23DE"/>
    <w:rsid w:val="00EB27ED"/>
    <w:rsid w:val="00EB2836"/>
    <w:rsid w:val="00EB2D3E"/>
    <w:rsid w:val="00EB4C08"/>
    <w:rsid w:val="00EB5135"/>
    <w:rsid w:val="00EB601B"/>
    <w:rsid w:val="00EC0D8F"/>
    <w:rsid w:val="00EC10BE"/>
    <w:rsid w:val="00EC10FC"/>
    <w:rsid w:val="00EC110C"/>
    <w:rsid w:val="00EC245E"/>
    <w:rsid w:val="00EC2A60"/>
    <w:rsid w:val="00EC2C4D"/>
    <w:rsid w:val="00EC2F2A"/>
    <w:rsid w:val="00EC35C5"/>
    <w:rsid w:val="00EC460C"/>
    <w:rsid w:val="00EC503C"/>
    <w:rsid w:val="00EC5C30"/>
    <w:rsid w:val="00EC603D"/>
    <w:rsid w:val="00EC60C1"/>
    <w:rsid w:val="00EC616A"/>
    <w:rsid w:val="00EC62C9"/>
    <w:rsid w:val="00EC645D"/>
    <w:rsid w:val="00EC649B"/>
    <w:rsid w:val="00EC66B8"/>
    <w:rsid w:val="00EC686D"/>
    <w:rsid w:val="00EC71F9"/>
    <w:rsid w:val="00ED0048"/>
    <w:rsid w:val="00ED06A7"/>
    <w:rsid w:val="00ED0EA5"/>
    <w:rsid w:val="00ED19FC"/>
    <w:rsid w:val="00ED1A2C"/>
    <w:rsid w:val="00ED1FCD"/>
    <w:rsid w:val="00ED2417"/>
    <w:rsid w:val="00ED2D6C"/>
    <w:rsid w:val="00ED3319"/>
    <w:rsid w:val="00ED373E"/>
    <w:rsid w:val="00ED3AC7"/>
    <w:rsid w:val="00ED3B4A"/>
    <w:rsid w:val="00ED3B52"/>
    <w:rsid w:val="00ED3E55"/>
    <w:rsid w:val="00ED3F68"/>
    <w:rsid w:val="00ED40E9"/>
    <w:rsid w:val="00ED4694"/>
    <w:rsid w:val="00ED4C13"/>
    <w:rsid w:val="00ED6458"/>
    <w:rsid w:val="00ED6501"/>
    <w:rsid w:val="00ED6C60"/>
    <w:rsid w:val="00ED6EBD"/>
    <w:rsid w:val="00ED742C"/>
    <w:rsid w:val="00ED7F30"/>
    <w:rsid w:val="00EE1395"/>
    <w:rsid w:val="00EE1686"/>
    <w:rsid w:val="00EE1D54"/>
    <w:rsid w:val="00EE219E"/>
    <w:rsid w:val="00EE2632"/>
    <w:rsid w:val="00EE2D6E"/>
    <w:rsid w:val="00EE48DD"/>
    <w:rsid w:val="00EE49EC"/>
    <w:rsid w:val="00EE4BE7"/>
    <w:rsid w:val="00EE5E88"/>
    <w:rsid w:val="00EE6079"/>
    <w:rsid w:val="00EE6FBC"/>
    <w:rsid w:val="00EE70C2"/>
    <w:rsid w:val="00EE72D8"/>
    <w:rsid w:val="00EE75FA"/>
    <w:rsid w:val="00EE76E6"/>
    <w:rsid w:val="00EE7811"/>
    <w:rsid w:val="00EE7B4E"/>
    <w:rsid w:val="00EF01D6"/>
    <w:rsid w:val="00EF0547"/>
    <w:rsid w:val="00EF0A0A"/>
    <w:rsid w:val="00EF0CA0"/>
    <w:rsid w:val="00EF135F"/>
    <w:rsid w:val="00EF16F8"/>
    <w:rsid w:val="00EF1DFE"/>
    <w:rsid w:val="00EF2929"/>
    <w:rsid w:val="00EF2C46"/>
    <w:rsid w:val="00EF2E4B"/>
    <w:rsid w:val="00EF3C3D"/>
    <w:rsid w:val="00EF413C"/>
    <w:rsid w:val="00EF4703"/>
    <w:rsid w:val="00EF6A92"/>
    <w:rsid w:val="00EF6FF5"/>
    <w:rsid w:val="00EF7C89"/>
    <w:rsid w:val="00EF7F7A"/>
    <w:rsid w:val="00F004BA"/>
    <w:rsid w:val="00F00D12"/>
    <w:rsid w:val="00F00E15"/>
    <w:rsid w:val="00F010D3"/>
    <w:rsid w:val="00F02182"/>
    <w:rsid w:val="00F0225A"/>
    <w:rsid w:val="00F024F4"/>
    <w:rsid w:val="00F02A64"/>
    <w:rsid w:val="00F035D7"/>
    <w:rsid w:val="00F03C5F"/>
    <w:rsid w:val="00F05020"/>
    <w:rsid w:val="00F05C02"/>
    <w:rsid w:val="00F064FE"/>
    <w:rsid w:val="00F06500"/>
    <w:rsid w:val="00F068B9"/>
    <w:rsid w:val="00F07418"/>
    <w:rsid w:val="00F07C5C"/>
    <w:rsid w:val="00F07EA6"/>
    <w:rsid w:val="00F07F5A"/>
    <w:rsid w:val="00F107DC"/>
    <w:rsid w:val="00F1192B"/>
    <w:rsid w:val="00F12674"/>
    <w:rsid w:val="00F1280E"/>
    <w:rsid w:val="00F142DB"/>
    <w:rsid w:val="00F14A79"/>
    <w:rsid w:val="00F15520"/>
    <w:rsid w:val="00F17B62"/>
    <w:rsid w:val="00F17F75"/>
    <w:rsid w:val="00F17FB4"/>
    <w:rsid w:val="00F2033B"/>
    <w:rsid w:val="00F2111C"/>
    <w:rsid w:val="00F21257"/>
    <w:rsid w:val="00F21336"/>
    <w:rsid w:val="00F217BA"/>
    <w:rsid w:val="00F2180B"/>
    <w:rsid w:val="00F21BA6"/>
    <w:rsid w:val="00F22158"/>
    <w:rsid w:val="00F22254"/>
    <w:rsid w:val="00F22D2B"/>
    <w:rsid w:val="00F22E9D"/>
    <w:rsid w:val="00F234A3"/>
    <w:rsid w:val="00F23BB2"/>
    <w:rsid w:val="00F23E78"/>
    <w:rsid w:val="00F23FEB"/>
    <w:rsid w:val="00F26556"/>
    <w:rsid w:val="00F26CF8"/>
    <w:rsid w:val="00F27535"/>
    <w:rsid w:val="00F27E40"/>
    <w:rsid w:val="00F300B3"/>
    <w:rsid w:val="00F3040D"/>
    <w:rsid w:val="00F31353"/>
    <w:rsid w:val="00F31387"/>
    <w:rsid w:val="00F31552"/>
    <w:rsid w:val="00F32953"/>
    <w:rsid w:val="00F33660"/>
    <w:rsid w:val="00F339A1"/>
    <w:rsid w:val="00F34D76"/>
    <w:rsid w:val="00F34EB1"/>
    <w:rsid w:val="00F35122"/>
    <w:rsid w:val="00F351E9"/>
    <w:rsid w:val="00F35891"/>
    <w:rsid w:val="00F35A10"/>
    <w:rsid w:val="00F3631C"/>
    <w:rsid w:val="00F3639F"/>
    <w:rsid w:val="00F36E98"/>
    <w:rsid w:val="00F370D2"/>
    <w:rsid w:val="00F37239"/>
    <w:rsid w:val="00F3766E"/>
    <w:rsid w:val="00F37942"/>
    <w:rsid w:val="00F408E4"/>
    <w:rsid w:val="00F40912"/>
    <w:rsid w:val="00F41A2B"/>
    <w:rsid w:val="00F41BF5"/>
    <w:rsid w:val="00F42690"/>
    <w:rsid w:val="00F4306C"/>
    <w:rsid w:val="00F43407"/>
    <w:rsid w:val="00F43CE4"/>
    <w:rsid w:val="00F43FB9"/>
    <w:rsid w:val="00F44E53"/>
    <w:rsid w:val="00F44E9A"/>
    <w:rsid w:val="00F44F91"/>
    <w:rsid w:val="00F45533"/>
    <w:rsid w:val="00F45CAA"/>
    <w:rsid w:val="00F462F0"/>
    <w:rsid w:val="00F46450"/>
    <w:rsid w:val="00F46FAD"/>
    <w:rsid w:val="00F4724F"/>
    <w:rsid w:val="00F47818"/>
    <w:rsid w:val="00F47F24"/>
    <w:rsid w:val="00F50034"/>
    <w:rsid w:val="00F507A8"/>
    <w:rsid w:val="00F508A6"/>
    <w:rsid w:val="00F508D7"/>
    <w:rsid w:val="00F50C2C"/>
    <w:rsid w:val="00F51222"/>
    <w:rsid w:val="00F51464"/>
    <w:rsid w:val="00F517A1"/>
    <w:rsid w:val="00F5185D"/>
    <w:rsid w:val="00F519A9"/>
    <w:rsid w:val="00F51BBF"/>
    <w:rsid w:val="00F53E43"/>
    <w:rsid w:val="00F54B99"/>
    <w:rsid w:val="00F55DBC"/>
    <w:rsid w:val="00F567C7"/>
    <w:rsid w:val="00F56C78"/>
    <w:rsid w:val="00F56CEE"/>
    <w:rsid w:val="00F56D1F"/>
    <w:rsid w:val="00F56DA0"/>
    <w:rsid w:val="00F57B3D"/>
    <w:rsid w:val="00F6065B"/>
    <w:rsid w:val="00F6073A"/>
    <w:rsid w:val="00F6074C"/>
    <w:rsid w:val="00F609BD"/>
    <w:rsid w:val="00F61443"/>
    <w:rsid w:val="00F61BAF"/>
    <w:rsid w:val="00F62E83"/>
    <w:rsid w:val="00F64337"/>
    <w:rsid w:val="00F643DA"/>
    <w:rsid w:val="00F6590F"/>
    <w:rsid w:val="00F65DD9"/>
    <w:rsid w:val="00F66D82"/>
    <w:rsid w:val="00F672E4"/>
    <w:rsid w:val="00F70328"/>
    <w:rsid w:val="00F70564"/>
    <w:rsid w:val="00F707CA"/>
    <w:rsid w:val="00F70B7F"/>
    <w:rsid w:val="00F7104A"/>
    <w:rsid w:val="00F71A55"/>
    <w:rsid w:val="00F71F92"/>
    <w:rsid w:val="00F7308E"/>
    <w:rsid w:val="00F743F3"/>
    <w:rsid w:val="00F75849"/>
    <w:rsid w:val="00F76058"/>
    <w:rsid w:val="00F772AE"/>
    <w:rsid w:val="00F77C27"/>
    <w:rsid w:val="00F77FE2"/>
    <w:rsid w:val="00F80159"/>
    <w:rsid w:val="00F8089E"/>
    <w:rsid w:val="00F8158C"/>
    <w:rsid w:val="00F82B16"/>
    <w:rsid w:val="00F82C94"/>
    <w:rsid w:val="00F83098"/>
    <w:rsid w:val="00F830F2"/>
    <w:rsid w:val="00F8326B"/>
    <w:rsid w:val="00F832F4"/>
    <w:rsid w:val="00F83507"/>
    <w:rsid w:val="00F83C5A"/>
    <w:rsid w:val="00F83FCF"/>
    <w:rsid w:val="00F8451A"/>
    <w:rsid w:val="00F84629"/>
    <w:rsid w:val="00F84646"/>
    <w:rsid w:val="00F84A27"/>
    <w:rsid w:val="00F84F1C"/>
    <w:rsid w:val="00F8635A"/>
    <w:rsid w:val="00F86BF2"/>
    <w:rsid w:val="00F8712D"/>
    <w:rsid w:val="00F87B9C"/>
    <w:rsid w:val="00F87D1D"/>
    <w:rsid w:val="00F90032"/>
    <w:rsid w:val="00F90518"/>
    <w:rsid w:val="00F9092F"/>
    <w:rsid w:val="00F9096E"/>
    <w:rsid w:val="00F90A89"/>
    <w:rsid w:val="00F90B86"/>
    <w:rsid w:val="00F90C7E"/>
    <w:rsid w:val="00F91442"/>
    <w:rsid w:val="00F92B37"/>
    <w:rsid w:val="00F934D1"/>
    <w:rsid w:val="00F93661"/>
    <w:rsid w:val="00F938E1"/>
    <w:rsid w:val="00F94C0F"/>
    <w:rsid w:val="00F953A1"/>
    <w:rsid w:val="00F9627E"/>
    <w:rsid w:val="00F9629B"/>
    <w:rsid w:val="00F9630B"/>
    <w:rsid w:val="00F965A8"/>
    <w:rsid w:val="00F9693C"/>
    <w:rsid w:val="00F96BED"/>
    <w:rsid w:val="00F97AFA"/>
    <w:rsid w:val="00F97C72"/>
    <w:rsid w:val="00FA076C"/>
    <w:rsid w:val="00FA0F3B"/>
    <w:rsid w:val="00FA1CA8"/>
    <w:rsid w:val="00FA1D35"/>
    <w:rsid w:val="00FA1D6E"/>
    <w:rsid w:val="00FA37D7"/>
    <w:rsid w:val="00FA3905"/>
    <w:rsid w:val="00FA3CFE"/>
    <w:rsid w:val="00FA3FEE"/>
    <w:rsid w:val="00FA4A08"/>
    <w:rsid w:val="00FA54B4"/>
    <w:rsid w:val="00FA5604"/>
    <w:rsid w:val="00FA5FC0"/>
    <w:rsid w:val="00FA6271"/>
    <w:rsid w:val="00FA65C5"/>
    <w:rsid w:val="00FA66A9"/>
    <w:rsid w:val="00FA6919"/>
    <w:rsid w:val="00FA775F"/>
    <w:rsid w:val="00FA7DA8"/>
    <w:rsid w:val="00FB0D9C"/>
    <w:rsid w:val="00FB2125"/>
    <w:rsid w:val="00FB21E6"/>
    <w:rsid w:val="00FB2722"/>
    <w:rsid w:val="00FB2AF1"/>
    <w:rsid w:val="00FB3C6F"/>
    <w:rsid w:val="00FB3D87"/>
    <w:rsid w:val="00FB3FCC"/>
    <w:rsid w:val="00FB4453"/>
    <w:rsid w:val="00FB557B"/>
    <w:rsid w:val="00FB57C2"/>
    <w:rsid w:val="00FB5C2D"/>
    <w:rsid w:val="00FB5D60"/>
    <w:rsid w:val="00FB7F86"/>
    <w:rsid w:val="00FC0282"/>
    <w:rsid w:val="00FC07C5"/>
    <w:rsid w:val="00FC1B1F"/>
    <w:rsid w:val="00FC2253"/>
    <w:rsid w:val="00FC25B0"/>
    <w:rsid w:val="00FC3056"/>
    <w:rsid w:val="00FC3204"/>
    <w:rsid w:val="00FC3880"/>
    <w:rsid w:val="00FC3BCA"/>
    <w:rsid w:val="00FC3DB4"/>
    <w:rsid w:val="00FC41CD"/>
    <w:rsid w:val="00FC470D"/>
    <w:rsid w:val="00FC481F"/>
    <w:rsid w:val="00FC5DBA"/>
    <w:rsid w:val="00FC6D32"/>
    <w:rsid w:val="00FC6EBB"/>
    <w:rsid w:val="00FC78CD"/>
    <w:rsid w:val="00FD0540"/>
    <w:rsid w:val="00FD0776"/>
    <w:rsid w:val="00FD1E1E"/>
    <w:rsid w:val="00FD2CBE"/>
    <w:rsid w:val="00FD32BD"/>
    <w:rsid w:val="00FD35CC"/>
    <w:rsid w:val="00FD3934"/>
    <w:rsid w:val="00FD4836"/>
    <w:rsid w:val="00FD5553"/>
    <w:rsid w:val="00FD5E20"/>
    <w:rsid w:val="00FD6311"/>
    <w:rsid w:val="00FD68C6"/>
    <w:rsid w:val="00FD6943"/>
    <w:rsid w:val="00FD699A"/>
    <w:rsid w:val="00FD6A59"/>
    <w:rsid w:val="00FD6AAE"/>
    <w:rsid w:val="00FD73C5"/>
    <w:rsid w:val="00FD7430"/>
    <w:rsid w:val="00FD7B01"/>
    <w:rsid w:val="00FD7D25"/>
    <w:rsid w:val="00FE036D"/>
    <w:rsid w:val="00FE079A"/>
    <w:rsid w:val="00FE23F3"/>
    <w:rsid w:val="00FE2505"/>
    <w:rsid w:val="00FE29E2"/>
    <w:rsid w:val="00FE2A06"/>
    <w:rsid w:val="00FE3E9B"/>
    <w:rsid w:val="00FE4377"/>
    <w:rsid w:val="00FE4469"/>
    <w:rsid w:val="00FE4B53"/>
    <w:rsid w:val="00FE4BA1"/>
    <w:rsid w:val="00FE4CE1"/>
    <w:rsid w:val="00FE54A6"/>
    <w:rsid w:val="00FE54B9"/>
    <w:rsid w:val="00FE5CC5"/>
    <w:rsid w:val="00FE6884"/>
    <w:rsid w:val="00FE6C05"/>
    <w:rsid w:val="00FE7A7C"/>
    <w:rsid w:val="00FE7AD6"/>
    <w:rsid w:val="00FF0148"/>
    <w:rsid w:val="00FF0233"/>
    <w:rsid w:val="00FF1608"/>
    <w:rsid w:val="00FF22C8"/>
    <w:rsid w:val="00FF2A43"/>
    <w:rsid w:val="00FF2DE7"/>
    <w:rsid w:val="00FF3CBA"/>
    <w:rsid w:val="00FF4253"/>
    <w:rsid w:val="00FF46BC"/>
    <w:rsid w:val="00FF5C32"/>
    <w:rsid w:val="00FF5EF3"/>
    <w:rsid w:val="00FF60E1"/>
    <w:rsid w:val="00FF6513"/>
    <w:rsid w:val="00FF7375"/>
    <w:rsid w:val="02692983"/>
    <w:rsid w:val="04D57ACB"/>
    <w:rsid w:val="0862B2D8"/>
    <w:rsid w:val="0911AF71"/>
    <w:rsid w:val="0A384FC7"/>
    <w:rsid w:val="0A9AF306"/>
    <w:rsid w:val="0ED2AA9E"/>
    <w:rsid w:val="16A44E9F"/>
    <w:rsid w:val="17DDC99A"/>
    <w:rsid w:val="1A02A0A2"/>
    <w:rsid w:val="1B1B572E"/>
    <w:rsid w:val="1F9AF888"/>
    <w:rsid w:val="259ABAC6"/>
    <w:rsid w:val="26096BA6"/>
    <w:rsid w:val="2A904668"/>
    <w:rsid w:val="2B989D36"/>
    <w:rsid w:val="2BD16E22"/>
    <w:rsid w:val="2C0C89E5"/>
    <w:rsid w:val="2F7AD084"/>
    <w:rsid w:val="3116A0E5"/>
    <w:rsid w:val="3C0721AF"/>
    <w:rsid w:val="3C740259"/>
    <w:rsid w:val="4A55D065"/>
    <w:rsid w:val="4AEC1D4F"/>
    <w:rsid w:val="4AFD233A"/>
    <w:rsid w:val="4C2B61FB"/>
    <w:rsid w:val="4C743CB3"/>
    <w:rsid w:val="538ED1E1"/>
    <w:rsid w:val="56A6213C"/>
    <w:rsid w:val="5CF62D33"/>
    <w:rsid w:val="6033DB25"/>
    <w:rsid w:val="63018F87"/>
    <w:rsid w:val="6727CEB8"/>
    <w:rsid w:val="684BC60B"/>
    <w:rsid w:val="6990FFC7"/>
    <w:rsid w:val="6D4083B0"/>
    <w:rsid w:val="6FFB8521"/>
    <w:rsid w:val="70C4D42C"/>
    <w:rsid w:val="73D714E8"/>
    <w:rsid w:val="7642B75B"/>
    <w:rsid w:val="7679F3B5"/>
    <w:rsid w:val="7BE75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F7F4E9D1-FFAE-4318-A2D9-CE9D1EED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numPr>
        <w:numId w:val="1"/>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533F"/>
    <w:pPr>
      <w:keepNext/>
      <w:keepLines/>
      <w:spacing w:before="40" w:line="480" w:lineRule="auto"/>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eastAsiaTheme="majorEastAsia" w:hAnsi="Verdana" w:cstheme="majorBidi"/>
      <w:b/>
    </w:rPr>
  </w:style>
  <w:style w:type="paragraph" w:styleId="TOCHeading">
    <w:name w:val="TOC Heading"/>
    <w:basedOn w:val="Heading1"/>
    <w:next w:val="Normal"/>
    <w:uiPriority w:val="39"/>
    <w:unhideWhenUsed/>
    <w:qFormat/>
    <w:rsid w:val="0096056C"/>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BF1EE0"/>
    <w:pPr>
      <w:tabs>
        <w:tab w:val="left" w:pos="880"/>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semiHidden/>
    <w:unhideWhenUsed/>
    <w:rsid w:val="000A7CAC"/>
    <w:rPr>
      <w:sz w:val="16"/>
      <w:szCs w:val="16"/>
    </w:rPr>
  </w:style>
  <w:style w:type="paragraph" w:styleId="CommentText">
    <w:name w:val="annotation text"/>
    <w:basedOn w:val="Normal"/>
    <w:link w:val="CommentTextChar"/>
    <w:unhideWhenUsed/>
    <w:rsid w:val="000A7CAC"/>
    <w:pPr>
      <w:spacing w:line="240" w:lineRule="auto"/>
    </w:pPr>
    <w:rPr>
      <w:sz w:val="20"/>
      <w:szCs w:val="20"/>
    </w:rPr>
  </w:style>
  <w:style w:type="character" w:customStyle="1" w:styleId="CommentTextChar">
    <w:name w:val="Comment Text Char"/>
    <w:basedOn w:val="DefaultParagraphFont"/>
    <w:link w:val="CommentText"/>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9430F4"/>
    <w:pPr>
      <w:ind w:left="862" w:right="862"/>
      <w:jc w:val="both"/>
    </w:pPr>
    <w:rPr>
      <w:iCs/>
    </w:rPr>
  </w:style>
  <w:style w:type="character" w:customStyle="1" w:styleId="QuoteChar">
    <w:name w:val="Quote Char"/>
    <w:basedOn w:val="DefaultParagraphFont"/>
    <w:link w:val="Quote"/>
    <w:uiPriority w:val="29"/>
    <w:rsid w:val="009430F4"/>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C324B6"/>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E24B6"/>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ni.gov.uk/articles/executive-programme-tackling-paramilitary-activity-and-organised-crime" TargetMode="External"/><Relationship Id="rId2" Type="http://schemas.openxmlformats.org/officeDocument/2006/relationships/hyperlink" Target="https://www.communities-ni.gov.uk/articles/social-inclusion-strategies" TargetMode="External"/><Relationship Id="rId1" Type="http://schemas.openxmlformats.org/officeDocument/2006/relationships/hyperlink" Target="https://ennhri.org/about-nhris/human-rights-based-approach/" TargetMode="External"/><Relationship Id="rId5" Type="http://schemas.openxmlformats.org/officeDocument/2006/relationships/hyperlink" Target="https://www.victimspaymentsboard.org.uk/statistics" TargetMode="External"/><Relationship Id="rId4" Type="http://schemas.openxmlformats.org/officeDocument/2006/relationships/hyperlink" Target="https://www.victimspaymentsboard.org.uk/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54D1F-0489-4EC8-A988-5AFA3BE3D39B}">
  <ds:schemaRefs>
    <ds:schemaRef ds:uri="http://schemas.microsoft.com/sharepoint/v3/contenttype/forms"/>
  </ds:schemaRefs>
</ds:datastoreItem>
</file>

<file path=customXml/itemProps2.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4EF4B48E-B095-4555-8369-D8DE398D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12</TotalTime>
  <Pages>39</Pages>
  <Words>9016</Words>
  <Characters>51397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6</cp:revision>
  <cp:lastPrinted>2018-04-20T11:30:00Z</cp:lastPrinted>
  <dcterms:created xsi:type="dcterms:W3CDTF">2024-04-10T09:50:00Z</dcterms:created>
  <dcterms:modified xsi:type="dcterms:W3CDTF">2024-04-10T10:20:00Z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0x0101003601CE9859C68E46B627E82A7C887FC1</vt:lpwstr>
  </property>
  <property fmtid="{D5CDD505-2E9C-101B-9397-08002B2CF9AE}" pid="3" name="MediaServiceImageTags">
    <vt:lpwstr/>
  </property>
</Properties>
</file>