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8529"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134C97DB" wp14:editId="7C6A6C78">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705F4218"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11778882" w14:textId="77777777" w:rsidR="0096459E" w:rsidRPr="003B7D0E" w:rsidRDefault="00DC6DB1" w:rsidP="00DC6DB1">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Response to Department of Justice Consultation on Non-Fatal Strangulation </w:t>
      </w:r>
    </w:p>
    <w:p w14:paraId="31BCAB62" w14:textId="77777777" w:rsidR="00F31387" w:rsidRPr="00331C61" w:rsidRDefault="00F31387" w:rsidP="003B7D0E">
      <w:pPr>
        <w:pStyle w:val="Default"/>
        <w:spacing w:line="288" w:lineRule="auto"/>
        <w:jc w:val="center"/>
        <w:rPr>
          <w:rFonts w:cs="Arial"/>
          <w:color w:val="232120"/>
          <w:sz w:val="36"/>
          <w:szCs w:val="36"/>
        </w:rPr>
      </w:pPr>
    </w:p>
    <w:p w14:paraId="2E07A55F" w14:textId="77777777" w:rsidR="008159E8" w:rsidRPr="00331C61" w:rsidRDefault="00DC6DB1" w:rsidP="003B7D0E">
      <w:pPr>
        <w:spacing w:line="288" w:lineRule="auto"/>
        <w:jc w:val="center"/>
        <w:rPr>
          <w:rFonts w:ascii="Verdana" w:hAnsi="Verdana" w:cs="Arial"/>
          <w:b/>
          <w:color w:val="232120"/>
          <w:sz w:val="30"/>
          <w:szCs w:val="30"/>
        </w:rPr>
      </w:pPr>
      <w:r>
        <w:rPr>
          <w:rFonts w:ascii="Verdana" w:hAnsi="Verdana" w:cs="Arial"/>
          <w:b/>
          <w:color w:val="232120"/>
          <w:sz w:val="30"/>
          <w:szCs w:val="30"/>
        </w:rPr>
        <w:t>September 2021</w:t>
      </w:r>
    </w:p>
    <w:p w14:paraId="765FEE06" w14:textId="77777777" w:rsidR="00046705" w:rsidRPr="00331C61" w:rsidRDefault="00046705" w:rsidP="003B7D0E">
      <w:pPr>
        <w:spacing w:line="288" w:lineRule="auto"/>
        <w:jc w:val="center"/>
        <w:rPr>
          <w:rFonts w:ascii="Verdana" w:hAnsi="Verdana" w:cs="Arial"/>
          <w:b/>
          <w:color w:val="232120"/>
          <w:sz w:val="28"/>
          <w:szCs w:val="28"/>
        </w:rPr>
      </w:pPr>
    </w:p>
    <w:p w14:paraId="593B4514" w14:textId="77777777" w:rsidR="00046705" w:rsidRPr="00331C61" w:rsidRDefault="00046705" w:rsidP="003B7D0E">
      <w:pPr>
        <w:spacing w:line="288" w:lineRule="auto"/>
        <w:jc w:val="center"/>
        <w:rPr>
          <w:rFonts w:ascii="Verdana" w:hAnsi="Verdana" w:cs="Arial"/>
          <w:b/>
          <w:color w:val="232120"/>
          <w:sz w:val="28"/>
          <w:szCs w:val="28"/>
        </w:rPr>
      </w:pPr>
    </w:p>
    <w:p w14:paraId="51D5F57E" w14:textId="77777777" w:rsidR="00EA12CE" w:rsidRPr="00331C61" w:rsidRDefault="00EA12CE" w:rsidP="003B7D0E">
      <w:pPr>
        <w:pStyle w:val="Default"/>
        <w:spacing w:line="288" w:lineRule="auto"/>
        <w:jc w:val="center"/>
        <w:rPr>
          <w:rFonts w:cs="Arial"/>
          <w:b/>
          <w:color w:val="232120"/>
          <w:sz w:val="28"/>
          <w:szCs w:val="28"/>
          <w:lang w:val="en-GB"/>
        </w:rPr>
      </w:pPr>
    </w:p>
    <w:p w14:paraId="1837CBD3" w14:textId="77777777" w:rsidR="003B7D0E" w:rsidRPr="00331C61" w:rsidRDefault="003B7D0E" w:rsidP="0072601C">
      <w:pPr>
        <w:pStyle w:val="Default"/>
        <w:spacing w:before="24" w:after="24" w:line="480" w:lineRule="auto"/>
        <w:jc w:val="center"/>
        <w:rPr>
          <w:rFonts w:cs="Arial"/>
          <w:b/>
          <w:color w:val="232120"/>
          <w:sz w:val="36"/>
          <w:szCs w:val="36"/>
        </w:rPr>
      </w:pPr>
    </w:p>
    <w:p w14:paraId="2F932A75" w14:textId="77777777" w:rsidR="003B7D0E" w:rsidRDefault="003B7D0E" w:rsidP="0072601C">
      <w:pPr>
        <w:pStyle w:val="Default"/>
        <w:spacing w:before="24" w:after="24" w:line="480" w:lineRule="auto"/>
        <w:jc w:val="center"/>
        <w:rPr>
          <w:rFonts w:cs="Arial"/>
          <w:b/>
          <w:color w:val="232120"/>
          <w:sz w:val="36"/>
          <w:szCs w:val="36"/>
        </w:rPr>
      </w:pPr>
    </w:p>
    <w:p w14:paraId="3BD084F3" w14:textId="77777777" w:rsidR="0096459E" w:rsidRDefault="0096459E" w:rsidP="0072601C">
      <w:pPr>
        <w:pStyle w:val="Default"/>
        <w:spacing w:before="24" w:after="24" w:line="480" w:lineRule="auto"/>
        <w:jc w:val="center"/>
        <w:rPr>
          <w:rFonts w:cs="Arial"/>
          <w:b/>
          <w:color w:val="232120"/>
          <w:sz w:val="36"/>
          <w:szCs w:val="36"/>
        </w:rPr>
      </w:pPr>
    </w:p>
    <w:p w14:paraId="49892BD4" w14:textId="77777777" w:rsidR="00DC6DB1" w:rsidRPr="00331C61" w:rsidRDefault="00DC6DB1" w:rsidP="0072601C">
      <w:pPr>
        <w:pStyle w:val="Default"/>
        <w:spacing w:before="24" w:after="24" w:line="480" w:lineRule="auto"/>
        <w:jc w:val="center"/>
        <w:rPr>
          <w:rFonts w:cs="Arial"/>
          <w:b/>
          <w:color w:val="232120"/>
          <w:sz w:val="36"/>
          <w:szCs w:val="36"/>
        </w:rPr>
      </w:pPr>
    </w:p>
    <w:p w14:paraId="2E633DC8" w14:textId="77777777" w:rsidR="003B7D0E" w:rsidRPr="00331C61" w:rsidRDefault="003B7D0E" w:rsidP="0072601C">
      <w:pPr>
        <w:pStyle w:val="Default"/>
        <w:spacing w:before="24" w:after="24" w:line="480" w:lineRule="auto"/>
        <w:jc w:val="center"/>
        <w:rPr>
          <w:rFonts w:cs="Arial"/>
          <w:b/>
          <w:color w:val="232120"/>
          <w:sz w:val="36"/>
          <w:szCs w:val="36"/>
        </w:rPr>
      </w:pPr>
    </w:p>
    <w:p w14:paraId="3045EC5C" w14:textId="77777777" w:rsidR="00E06D64" w:rsidRPr="001B4AF0" w:rsidRDefault="00EA12CE" w:rsidP="0072601C">
      <w:pPr>
        <w:pStyle w:val="TOCHeading"/>
        <w:spacing w:before="24" w:after="24"/>
        <w:rPr>
          <w:rFonts w:ascii="Verdana" w:hAnsi="Verdana" w:cs="Arial"/>
          <w:b/>
          <w:color w:val="77328A"/>
          <w:sz w:val="30"/>
          <w:szCs w:val="30"/>
        </w:rPr>
      </w:pPr>
      <w:r w:rsidRPr="001B4AF0">
        <w:rPr>
          <w:rFonts w:ascii="Verdana" w:hAnsi="Verdana" w:cs="Arial"/>
          <w:b/>
          <w:color w:val="77328A"/>
          <w:sz w:val="30"/>
          <w:szCs w:val="30"/>
        </w:rPr>
        <w:lastRenderedPageBreak/>
        <w:t>Table of Con</w:t>
      </w:r>
      <w:r w:rsidR="00E06D64" w:rsidRPr="001B4AF0">
        <w:rPr>
          <w:rFonts w:ascii="Verdana" w:hAnsi="Verdana" w:cs="Arial"/>
          <w:b/>
          <w:color w:val="77328A"/>
          <w:sz w:val="30"/>
          <w:szCs w:val="30"/>
        </w:rPr>
        <w:t>t</w:t>
      </w:r>
      <w:r w:rsidRPr="001B4AF0">
        <w:rPr>
          <w:rFonts w:ascii="Verdana" w:hAnsi="Verdana" w:cs="Arial"/>
          <w:b/>
          <w:color w:val="77328A"/>
          <w:sz w:val="30"/>
          <w:szCs w:val="30"/>
        </w:rPr>
        <w:t>ents</w:t>
      </w:r>
    </w:p>
    <w:sdt>
      <w:sdtPr>
        <w:rPr>
          <w:rFonts w:asciiTheme="minorHAnsi" w:hAnsiTheme="minorHAnsi" w:cstheme="minorBidi"/>
          <w:color w:val="auto"/>
          <w:lang w:val="en-GB"/>
        </w:rPr>
        <w:id w:val="2009855723"/>
        <w:docPartObj>
          <w:docPartGallery w:val="Table of Contents"/>
          <w:docPartUnique/>
        </w:docPartObj>
      </w:sdtPr>
      <w:sdtEndPr>
        <w:rPr>
          <w:b/>
          <w:bCs/>
          <w:noProof/>
        </w:rPr>
      </w:sdtEndPr>
      <w:sdtContent>
        <w:p w14:paraId="058962F0" w14:textId="54D739E9" w:rsidR="008452CF" w:rsidRPr="00516CEC" w:rsidRDefault="008452CF" w:rsidP="002C3371">
          <w:pPr>
            <w:pStyle w:val="Default"/>
            <w:spacing w:before="24" w:after="24" w:line="480" w:lineRule="auto"/>
            <w:rPr>
              <w:b/>
            </w:rPr>
          </w:pPr>
        </w:p>
        <w:p w14:paraId="779DD1A5" w14:textId="19D84249" w:rsidR="00BC483C" w:rsidRPr="00BC483C" w:rsidRDefault="008452CF">
          <w:pPr>
            <w:pStyle w:val="TOC1"/>
            <w:tabs>
              <w:tab w:val="right" w:leader="dot" w:pos="9848"/>
            </w:tabs>
            <w:rPr>
              <w:rFonts w:ascii="Verdana" w:hAnsi="Verdana"/>
              <w:b/>
              <w:noProof/>
              <w:sz w:val="22"/>
              <w:szCs w:val="22"/>
              <w:lang w:eastAsia="en-GB"/>
            </w:rPr>
          </w:pPr>
          <w:r w:rsidRPr="00516CEC">
            <w:rPr>
              <w:rFonts w:ascii="Verdana" w:hAnsi="Verdana"/>
              <w:b/>
            </w:rPr>
            <w:fldChar w:fldCharType="begin"/>
          </w:r>
          <w:r w:rsidRPr="00516CEC">
            <w:rPr>
              <w:rFonts w:ascii="Verdana" w:hAnsi="Verdana"/>
              <w:b/>
            </w:rPr>
            <w:instrText xml:space="preserve"> TOC \o "1-3" \h \z \u </w:instrText>
          </w:r>
          <w:r w:rsidRPr="00516CEC">
            <w:rPr>
              <w:rFonts w:ascii="Verdana" w:hAnsi="Verdana"/>
              <w:b/>
            </w:rPr>
            <w:fldChar w:fldCharType="separate"/>
          </w:r>
          <w:hyperlink w:anchor="_Toc81304855" w:history="1">
            <w:r w:rsidR="00BC483C" w:rsidRPr="00BC483C">
              <w:rPr>
                <w:rStyle w:val="Hyperlink"/>
                <w:rFonts w:ascii="Verdana" w:hAnsi="Verdana"/>
                <w:b/>
                <w:noProof/>
              </w:rPr>
              <w:t>Summary of Recommendations</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_Toc81304855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3</w:t>
            </w:r>
            <w:r w:rsidR="00BC483C" w:rsidRPr="00BC483C">
              <w:rPr>
                <w:rFonts w:ascii="Verdana" w:hAnsi="Verdana"/>
                <w:b/>
                <w:noProof/>
                <w:webHidden/>
              </w:rPr>
              <w:fldChar w:fldCharType="end"/>
            </w:r>
          </w:hyperlink>
        </w:p>
        <w:p w14:paraId="7C80ADBC" w14:textId="1EB80A57"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56" w:history="1">
            <w:r w:rsidR="00BC483C" w:rsidRPr="00BC483C">
              <w:rPr>
                <w:rStyle w:val="Hyperlink"/>
                <w:rFonts w:ascii="Verdana" w:hAnsi="Verdana"/>
                <w:b/>
                <w:noProof/>
              </w:rPr>
              <w:t>1.0</w:t>
            </w:r>
            <w:r w:rsidR="00BC483C" w:rsidRPr="00BC483C">
              <w:rPr>
                <w:rFonts w:ascii="Verdana" w:hAnsi="Verdana"/>
                <w:b/>
                <w:noProof/>
                <w:sz w:val="22"/>
                <w:szCs w:val="22"/>
                <w:lang w:eastAsia="en-GB"/>
              </w:rPr>
              <w:tab/>
            </w:r>
            <w:r w:rsidR="00BC483C" w:rsidRPr="00BC483C">
              <w:rPr>
                <w:rStyle w:val="Hyperlink"/>
                <w:rFonts w:ascii="Verdana" w:hAnsi="Verdana"/>
                <w:b/>
                <w:noProof/>
              </w:rPr>
              <w:t>Introduction</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_Toc81304856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4</w:t>
            </w:r>
            <w:r w:rsidR="00BC483C" w:rsidRPr="00BC483C">
              <w:rPr>
                <w:rFonts w:ascii="Verdana" w:hAnsi="Verdana"/>
                <w:b/>
                <w:noProof/>
                <w:webHidden/>
              </w:rPr>
              <w:fldChar w:fldCharType="end"/>
            </w:r>
          </w:hyperlink>
        </w:p>
        <w:p w14:paraId="6F95FCCE" w14:textId="225852E1"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57" w:history="1">
            <w:r w:rsidR="00BC483C" w:rsidRPr="00BC483C">
              <w:rPr>
                <w:rStyle w:val="Hyperlink"/>
                <w:rFonts w:ascii="Verdana" w:hAnsi="Verdana"/>
                <w:b/>
                <w:noProof/>
                <w:lang w:val="en-US"/>
              </w:rPr>
              <w:t>2.0</w:t>
            </w:r>
            <w:r w:rsidR="00BC483C" w:rsidRPr="00BC483C">
              <w:rPr>
                <w:rFonts w:ascii="Verdana" w:hAnsi="Verdana"/>
                <w:b/>
                <w:noProof/>
                <w:sz w:val="22"/>
                <w:szCs w:val="22"/>
                <w:lang w:eastAsia="en-GB"/>
              </w:rPr>
              <w:tab/>
            </w:r>
            <w:r w:rsidR="00BC483C" w:rsidRPr="00BC483C">
              <w:rPr>
                <w:rStyle w:val="Hyperlink"/>
                <w:rFonts w:ascii="Verdana" w:hAnsi="Verdana"/>
                <w:b/>
                <w:noProof/>
                <w:lang w:val="en-US"/>
              </w:rPr>
              <w:t>Standalone Offence</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_Toc81304857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5</w:t>
            </w:r>
            <w:r w:rsidR="00BC483C" w:rsidRPr="00BC483C">
              <w:rPr>
                <w:rFonts w:ascii="Verdana" w:hAnsi="Verdana"/>
                <w:b/>
                <w:noProof/>
                <w:webHidden/>
              </w:rPr>
              <w:fldChar w:fldCharType="end"/>
            </w:r>
          </w:hyperlink>
        </w:p>
        <w:p w14:paraId="6810603F" w14:textId="6E157C25" w:rsidR="00BC483C" w:rsidRPr="00BC483C" w:rsidRDefault="00F36792">
          <w:pPr>
            <w:pStyle w:val="TOC2"/>
            <w:rPr>
              <w:sz w:val="22"/>
              <w:szCs w:val="22"/>
              <w:lang w:eastAsia="en-GB"/>
            </w:rPr>
          </w:pPr>
          <w:hyperlink w:anchor="_Toc81304858" w:history="1">
            <w:r w:rsidR="00BC483C" w:rsidRPr="00BC483C">
              <w:rPr>
                <w:rStyle w:val="Hyperlink"/>
              </w:rPr>
              <w:t>Human Rights Standards</w:t>
            </w:r>
            <w:r w:rsidR="00BC483C" w:rsidRPr="00BC483C">
              <w:rPr>
                <w:webHidden/>
              </w:rPr>
              <w:tab/>
            </w:r>
            <w:r w:rsidR="00BC483C" w:rsidRPr="00BC483C">
              <w:rPr>
                <w:webHidden/>
              </w:rPr>
              <w:fldChar w:fldCharType="begin"/>
            </w:r>
            <w:r w:rsidR="00BC483C" w:rsidRPr="00BC483C">
              <w:rPr>
                <w:webHidden/>
              </w:rPr>
              <w:instrText xml:space="preserve"> PAGEREF _Toc81304858 \h </w:instrText>
            </w:r>
            <w:r w:rsidR="00BC483C" w:rsidRPr="00BC483C">
              <w:rPr>
                <w:webHidden/>
              </w:rPr>
            </w:r>
            <w:r w:rsidR="00BC483C" w:rsidRPr="00BC483C">
              <w:rPr>
                <w:webHidden/>
              </w:rPr>
              <w:fldChar w:fldCharType="separate"/>
            </w:r>
            <w:r w:rsidR="00BC483C" w:rsidRPr="00BC483C">
              <w:rPr>
                <w:webHidden/>
              </w:rPr>
              <w:t>6</w:t>
            </w:r>
            <w:r w:rsidR="00BC483C" w:rsidRPr="00BC483C">
              <w:rPr>
                <w:webHidden/>
              </w:rPr>
              <w:fldChar w:fldCharType="end"/>
            </w:r>
          </w:hyperlink>
        </w:p>
        <w:p w14:paraId="57494300" w14:textId="2654E083"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59" w:history="1">
            <w:r w:rsidR="00BC483C" w:rsidRPr="00BC483C">
              <w:rPr>
                <w:rStyle w:val="Hyperlink"/>
                <w:rFonts w:ascii="Verdana" w:hAnsi="Verdana"/>
                <w:b/>
                <w:noProof/>
                <w:lang w:val="en-US"/>
              </w:rPr>
              <w:t>3.0</w:t>
            </w:r>
            <w:r w:rsidR="00BC483C" w:rsidRPr="00BC483C">
              <w:rPr>
                <w:rFonts w:ascii="Verdana" w:hAnsi="Verdana"/>
                <w:b/>
                <w:noProof/>
                <w:sz w:val="22"/>
                <w:szCs w:val="22"/>
                <w:lang w:eastAsia="en-GB"/>
              </w:rPr>
              <w:tab/>
            </w:r>
            <w:r w:rsidR="00BC483C" w:rsidRPr="00BC483C">
              <w:rPr>
                <w:rStyle w:val="Hyperlink"/>
                <w:rFonts w:ascii="Verdana" w:hAnsi="Verdana"/>
                <w:b/>
                <w:noProof/>
                <w:lang w:val="en-US"/>
              </w:rPr>
              <w:t>Gender-Based Violence</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_Toc81304859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9</w:t>
            </w:r>
            <w:r w:rsidR="00BC483C" w:rsidRPr="00BC483C">
              <w:rPr>
                <w:rFonts w:ascii="Verdana" w:hAnsi="Verdana"/>
                <w:b/>
                <w:noProof/>
                <w:webHidden/>
              </w:rPr>
              <w:fldChar w:fldCharType="end"/>
            </w:r>
          </w:hyperlink>
        </w:p>
        <w:p w14:paraId="309C4958" w14:textId="1D1D4FCE"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60" w:history="1">
            <w:r w:rsidR="00BC483C" w:rsidRPr="00BC483C">
              <w:rPr>
                <w:rStyle w:val="Hyperlink"/>
                <w:rFonts w:ascii="Verdana" w:hAnsi="Verdana"/>
                <w:b/>
                <w:noProof/>
              </w:rPr>
              <w:t>4.0</w:t>
            </w:r>
            <w:r w:rsidR="00BC483C" w:rsidRPr="00BC483C">
              <w:rPr>
                <w:rFonts w:ascii="Verdana" w:hAnsi="Verdana"/>
                <w:b/>
                <w:noProof/>
                <w:sz w:val="22"/>
                <w:szCs w:val="22"/>
                <w:lang w:eastAsia="en-GB"/>
              </w:rPr>
              <w:tab/>
            </w:r>
            <w:r w:rsidR="00BC483C" w:rsidRPr="00BC483C">
              <w:rPr>
                <w:rStyle w:val="Hyperlink"/>
                <w:rFonts w:ascii="Verdana" w:hAnsi="Verdana"/>
                <w:b/>
                <w:noProof/>
              </w:rPr>
              <w:t>Consent to harm for sexual gratification: not a defence</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_Toc81304860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10</w:t>
            </w:r>
            <w:r w:rsidR="00BC483C" w:rsidRPr="00BC483C">
              <w:rPr>
                <w:rFonts w:ascii="Verdana" w:hAnsi="Verdana"/>
                <w:b/>
                <w:noProof/>
                <w:webHidden/>
              </w:rPr>
              <w:fldChar w:fldCharType="end"/>
            </w:r>
          </w:hyperlink>
        </w:p>
        <w:p w14:paraId="76B66F7C" w14:textId="4E079F99"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61" w:history="1">
            <w:r w:rsidR="00BC483C" w:rsidRPr="00BC483C">
              <w:rPr>
                <w:rStyle w:val="Hyperlink"/>
                <w:rFonts w:ascii="Verdana" w:hAnsi="Verdana"/>
                <w:b/>
                <w:noProof/>
              </w:rPr>
              <w:t>5.0</w:t>
            </w:r>
            <w:r w:rsidR="00BC483C" w:rsidRPr="00BC483C">
              <w:rPr>
                <w:rFonts w:ascii="Verdana" w:hAnsi="Verdana"/>
                <w:b/>
                <w:noProof/>
                <w:sz w:val="22"/>
                <w:szCs w:val="22"/>
                <w:lang w:eastAsia="en-GB"/>
              </w:rPr>
              <w:tab/>
            </w:r>
            <w:r w:rsidR="00BC483C" w:rsidRPr="00BC483C">
              <w:rPr>
                <w:rStyle w:val="Hyperlink"/>
                <w:rFonts w:ascii="Verdana" w:hAnsi="Verdana"/>
                <w:b/>
                <w:noProof/>
              </w:rPr>
              <w:t>UK Domestic Abuse Act 2021</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_Toc81304861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11</w:t>
            </w:r>
            <w:r w:rsidR="00BC483C" w:rsidRPr="00BC483C">
              <w:rPr>
                <w:rFonts w:ascii="Verdana" w:hAnsi="Verdana"/>
                <w:b/>
                <w:noProof/>
                <w:webHidden/>
              </w:rPr>
              <w:fldChar w:fldCharType="end"/>
            </w:r>
          </w:hyperlink>
        </w:p>
        <w:p w14:paraId="4FDFE2EE" w14:textId="3A288909"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62" w:history="1">
            <w:r w:rsidR="00BC483C" w:rsidRPr="00BC483C">
              <w:rPr>
                <w:rStyle w:val="Hyperlink"/>
                <w:rFonts w:ascii="Verdana" w:hAnsi="Verdana"/>
                <w:b/>
                <w:noProof/>
              </w:rPr>
              <w:t>6.0</w:t>
            </w:r>
            <w:r w:rsidR="00BC483C" w:rsidRPr="00BC483C">
              <w:rPr>
                <w:rFonts w:ascii="Verdana" w:hAnsi="Verdana"/>
                <w:b/>
                <w:noProof/>
                <w:sz w:val="22"/>
                <w:szCs w:val="22"/>
                <w:lang w:eastAsia="en-GB"/>
              </w:rPr>
              <w:tab/>
            </w:r>
            <w:r w:rsidR="00BC483C" w:rsidRPr="00BC483C">
              <w:rPr>
                <w:rStyle w:val="Hyperlink"/>
                <w:rFonts w:ascii="Verdana" w:hAnsi="Verdana"/>
                <w:b/>
                <w:noProof/>
              </w:rPr>
              <w:t>Disaggregated data</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_Toc81304862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12</w:t>
            </w:r>
            <w:r w:rsidR="00BC483C" w:rsidRPr="00BC483C">
              <w:rPr>
                <w:rFonts w:ascii="Verdana" w:hAnsi="Verdana"/>
                <w:b/>
                <w:noProof/>
                <w:webHidden/>
              </w:rPr>
              <w:fldChar w:fldCharType="end"/>
            </w:r>
          </w:hyperlink>
        </w:p>
        <w:p w14:paraId="5B119A1A" w14:textId="6C62AEE6" w:rsidR="00BC483C" w:rsidRPr="00BC483C" w:rsidRDefault="00F36792">
          <w:pPr>
            <w:pStyle w:val="TOC1"/>
            <w:tabs>
              <w:tab w:val="left" w:pos="660"/>
              <w:tab w:val="right" w:leader="dot" w:pos="9848"/>
            </w:tabs>
            <w:rPr>
              <w:rFonts w:ascii="Verdana" w:hAnsi="Verdana"/>
              <w:b/>
              <w:noProof/>
              <w:sz w:val="22"/>
              <w:szCs w:val="22"/>
              <w:lang w:eastAsia="en-GB"/>
            </w:rPr>
          </w:pPr>
          <w:hyperlink w:anchor="_Toc81304863" w:history="1">
            <w:r w:rsidR="00BC483C" w:rsidRPr="00BC483C">
              <w:rPr>
                <w:rStyle w:val="Hyperlink"/>
                <w:rFonts w:ascii="Verdana" w:hAnsi="Verdana"/>
                <w:b/>
                <w:noProof/>
              </w:rPr>
              <w:t>7.0</w:t>
            </w:r>
            <w:r w:rsidR="00BC483C" w:rsidRPr="00BC483C">
              <w:rPr>
                <w:rFonts w:ascii="Verdana" w:hAnsi="Verdana"/>
                <w:b/>
                <w:noProof/>
                <w:sz w:val="22"/>
                <w:szCs w:val="22"/>
                <w:lang w:eastAsia="en-GB"/>
              </w:rPr>
              <w:tab/>
            </w:r>
            <w:r w:rsidR="00BC483C" w:rsidRPr="00BC483C">
              <w:rPr>
                <w:rStyle w:val="Hyperlink"/>
                <w:rFonts w:ascii="Verdana" w:hAnsi="Verdana"/>
                <w:b/>
                <w:noProof/>
              </w:rPr>
              <w:t>Education, training and awareness raising</w:t>
            </w:r>
            <w:r w:rsidR="00BC483C" w:rsidRPr="00BC483C">
              <w:rPr>
                <w:rFonts w:ascii="Verdana" w:hAnsi="Verdana"/>
                <w:b/>
                <w:noProof/>
                <w:webHidden/>
              </w:rPr>
              <w:tab/>
            </w:r>
            <w:r w:rsidR="00BC483C" w:rsidRPr="00BC483C">
              <w:rPr>
                <w:rFonts w:ascii="Verdana" w:hAnsi="Verdana"/>
                <w:b/>
                <w:noProof/>
                <w:webHidden/>
              </w:rPr>
              <w:fldChar w:fldCharType="begin"/>
            </w:r>
            <w:r w:rsidR="00BC483C" w:rsidRPr="00BC483C">
              <w:rPr>
                <w:rFonts w:ascii="Verdana" w:hAnsi="Verdana"/>
                <w:b/>
                <w:noProof/>
                <w:webHidden/>
              </w:rPr>
              <w:instrText xml:space="preserve"> PAGEREF _Toc81304863 \h </w:instrText>
            </w:r>
            <w:r w:rsidR="00BC483C" w:rsidRPr="00BC483C">
              <w:rPr>
                <w:rFonts w:ascii="Verdana" w:hAnsi="Verdana"/>
                <w:b/>
                <w:noProof/>
                <w:webHidden/>
              </w:rPr>
            </w:r>
            <w:r w:rsidR="00BC483C" w:rsidRPr="00BC483C">
              <w:rPr>
                <w:rFonts w:ascii="Verdana" w:hAnsi="Verdana"/>
                <w:b/>
                <w:noProof/>
                <w:webHidden/>
              </w:rPr>
              <w:fldChar w:fldCharType="separate"/>
            </w:r>
            <w:r w:rsidR="00BC483C" w:rsidRPr="00BC483C">
              <w:rPr>
                <w:rFonts w:ascii="Verdana" w:hAnsi="Verdana"/>
                <w:b/>
                <w:noProof/>
                <w:webHidden/>
              </w:rPr>
              <w:t>13</w:t>
            </w:r>
            <w:r w:rsidR="00BC483C" w:rsidRPr="00BC483C">
              <w:rPr>
                <w:rFonts w:ascii="Verdana" w:hAnsi="Verdana"/>
                <w:b/>
                <w:noProof/>
                <w:webHidden/>
              </w:rPr>
              <w:fldChar w:fldCharType="end"/>
            </w:r>
          </w:hyperlink>
        </w:p>
        <w:p w14:paraId="60D5D44E" w14:textId="102350D2" w:rsidR="008452CF" w:rsidRDefault="008452CF" w:rsidP="002C3371">
          <w:pPr>
            <w:spacing w:before="24" w:after="24"/>
          </w:pPr>
          <w:r w:rsidRPr="00516CEC">
            <w:rPr>
              <w:rFonts w:ascii="Verdana" w:hAnsi="Verdana"/>
              <w:b/>
              <w:bCs/>
              <w:noProof/>
            </w:rPr>
            <w:fldChar w:fldCharType="end"/>
          </w:r>
        </w:p>
      </w:sdtContent>
    </w:sdt>
    <w:p w14:paraId="063EA063" w14:textId="77777777" w:rsidR="001E79A9" w:rsidRPr="00331C61" w:rsidRDefault="001E79A9" w:rsidP="002C3371">
      <w:pPr>
        <w:pStyle w:val="Default"/>
        <w:spacing w:before="24" w:after="24" w:line="288" w:lineRule="auto"/>
        <w:rPr>
          <w:rFonts w:cs="Arial"/>
          <w:b/>
          <w:color w:val="232120"/>
        </w:rPr>
      </w:pPr>
    </w:p>
    <w:p w14:paraId="2B9BA698" w14:textId="77777777" w:rsidR="00EA12CE" w:rsidRPr="00331C61" w:rsidRDefault="00EA12CE" w:rsidP="002C3371">
      <w:pPr>
        <w:pStyle w:val="Default"/>
        <w:spacing w:before="24" w:after="24" w:line="288" w:lineRule="auto"/>
        <w:rPr>
          <w:rFonts w:cs="Arial"/>
          <w:b/>
          <w:color w:val="232120"/>
        </w:rPr>
      </w:pPr>
    </w:p>
    <w:p w14:paraId="0D52EAA4" w14:textId="77777777" w:rsidR="00EA12CE" w:rsidRPr="00331C61" w:rsidRDefault="00EA12CE" w:rsidP="002C3371">
      <w:pPr>
        <w:pStyle w:val="Default"/>
        <w:spacing w:before="24" w:after="24" w:line="288" w:lineRule="auto"/>
        <w:rPr>
          <w:rFonts w:cs="Arial"/>
          <w:b/>
          <w:color w:val="232120"/>
        </w:rPr>
      </w:pPr>
    </w:p>
    <w:p w14:paraId="41004BC0" w14:textId="77777777" w:rsidR="00EA12CE" w:rsidRPr="00331C61" w:rsidRDefault="00EA12CE" w:rsidP="002C3371">
      <w:pPr>
        <w:pStyle w:val="Default"/>
        <w:spacing w:before="24" w:after="24" w:line="288" w:lineRule="auto"/>
        <w:rPr>
          <w:rFonts w:cs="Arial"/>
          <w:b/>
          <w:color w:val="232120"/>
        </w:rPr>
      </w:pPr>
    </w:p>
    <w:p w14:paraId="4366EB1A" w14:textId="77777777" w:rsidR="00EA12CE" w:rsidRPr="00331C61" w:rsidRDefault="00EA12CE" w:rsidP="002C3371">
      <w:pPr>
        <w:pStyle w:val="Default"/>
        <w:spacing w:before="24" w:after="24" w:line="288" w:lineRule="auto"/>
        <w:rPr>
          <w:rFonts w:cs="Arial"/>
          <w:b/>
          <w:color w:val="232120"/>
        </w:rPr>
      </w:pPr>
    </w:p>
    <w:p w14:paraId="5E5622EE" w14:textId="77777777" w:rsidR="00EA12CE" w:rsidRPr="00331C61" w:rsidRDefault="00EA12CE" w:rsidP="002C3371">
      <w:pPr>
        <w:pStyle w:val="Default"/>
        <w:spacing w:before="24" w:after="24" w:line="288" w:lineRule="auto"/>
        <w:rPr>
          <w:rFonts w:cs="Arial"/>
          <w:b/>
          <w:color w:val="232120"/>
        </w:rPr>
      </w:pPr>
    </w:p>
    <w:p w14:paraId="2986E02D" w14:textId="77777777" w:rsidR="00EA12CE" w:rsidRDefault="00EA12CE" w:rsidP="002C3371">
      <w:pPr>
        <w:pStyle w:val="Default"/>
        <w:spacing w:before="24" w:after="24" w:line="288" w:lineRule="auto"/>
        <w:rPr>
          <w:rFonts w:cs="Arial"/>
          <w:b/>
          <w:color w:val="232120"/>
        </w:rPr>
      </w:pPr>
    </w:p>
    <w:p w14:paraId="3652DE6A" w14:textId="77777777" w:rsidR="00DC6DB1" w:rsidRDefault="00DC6DB1" w:rsidP="002C3371">
      <w:pPr>
        <w:pStyle w:val="Default"/>
        <w:spacing w:before="24" w:after="24" w:line="288" w:lineRule="auto"/>
        <w:rPr>
          <w:rFonts w:cs="Arial"/>
          <w:b/>
          <w:color w:val="232120"/>
        </w:rPr>
      </w:pPr>
    </w:p>
    <w:p w14:paraId="242B4799" w14:textId="77777777" w:rsidR="00DC6DB1" w:rsidRDefault="00DC6DB1" w:rsidP="002C3371">
      <w:pPr>
        <w:pStyle w:val="Default"/>
        <w:spacing w:before="24" w:after="24" w:line="288" w:lineRule="auto"/>
        <w:rPr>
          <w:rFonts w:cs="Arial"/>
          <w:b/>
          <w:color w:val="232120"/>
        </w:rPr>
      </w:pPr>
    </w:p>
    <w:p w14:paraId="2B66902D" w14:textId="77777777" w:rsidR="00DC6DB1" w:rsidRDefault="00DC6DB1" w:rsidP="002C3371">
      <w:pPr>
        <w:pStyle w:val="Default"/>
        <w:spacing w:before="24" w:after="24" w:line="288" w:lineRule="auto"/>
        <w:rPr>
          <w:rFonts w:cs="Arial"/>
          <w:b/>
          <w:color w:val="232120"/>
        </w:rPr>
      </w:pPr>
    </w:p>
    <w:p w14:paraId="18B5CECA" w14:textId="77777777" w:rsidR="00DC6DB1" w:rsidRDefault="00DC6DB1" w:rsidP="002C3371">
      <w:pPr>
        <w:pStyle w:val="Default"/>
        <w:spacing w:before="24" w:after="24" w:line="288" w:lineRule="auto"/>
        <w:rPr>
          <w:rFonts w:cs="Arial"/>
          <w:b/>
          <w:color w:val="232120"/>
        </w:rPr>
      </w:pPr>
    </w:p>
    <w:p w14:paraId="11CAD6F4" w14:textId="77777777" w:rsidR="00DC6DB1" w:rsidRDefault="00DC6DB1" w:rsidP="002C3371">
      <w:pPr>
        <w:pStyle w:val="Default"/>
        <w:spacing w:before="24" w:after="24" w:line="288" w:lineRule="auto"/>
        <w:rPr>
          <w:rFonts w:cs="Arial"/>
          <w:b/>
          <w:color w:val="232120"/>
        </w:rPr>
      </w:pPr>
    </w:p>
    <w:p w14:paraId="2DA511A1" w14:textId="77777777" w:rsidR="00DC6DB1" w:rsidRDefault="00DC6DB1" w:rsidP="002C3371">
      <w:pPr>
        <w:pStyle w:val="Default"/>
        <w:spacing w:before="24" w:after="24" w:line="288" w:lineRule="auto"/>
        <w:rPr>
          <w:rFonts w:cs="Arial"/>
          <w:b/>
          <w:color w:val="232120"/>
        </w:rPr>
      </w:pPr>
    </w:p>
    <w:p w14:paraId="30A20FCD" w14:textId="77777777" w:rsidR="00DC6DB1" w:rsidRDefault="00DC6DB1" w:rsidP="002C3371">
      <w:pPr>
        <w:pStyle w:val="Default"/>
        <w:spacing w:before="24" w:after="24" w:line="288" w:lineRule="auto"/>
        <w:rPr>
          <w:rFonts w:cs="Arial"/>
          <w:b/>
          <w:color w:val="232120"/>
        </w:rPr>
      </w:pPr>
    </w:p>
    <w:p w14:paraId="5444FBCB" w14:textId="77777777" w:rsidR="00DC6DB1" w:rsidRDefault="00DC6DB1" w:rsidP="002C3371">
      <w:pPr>
        <w:pStyle w:val="Default"/>
        <w:spacing w:before="24" w:after="24" w:line="288" w:lineRule="auto"/>
        <w:rPr>
          <w:rFonts w:cs="Arial"/>
          <w:b/>
          <w:color w:val="232120"/>
        </w:rPr>
      </w:pPr>
    </w:p>
    <w:p w14:paraId="757C9028" w14:textId="77777777" w:rsidR="00DC6DB1" w:rsidRDefault="00DC6DB1" w:rsidP="002C3371">
      <w:pPr>
        <w:pStyle w:val="Default"/>
        <w:spacing w:before="24" w:after="24" w:line="288" w:lineRule="auto"/>
        <w:rPr>
          <w:rFonts w:cs="Arial"/>
          <w:b/>
          <w:color w:val="232120"/>
        </w:rPr>
      </w:pPr>
    </w:p>
    <w:p w14:paraId="46B34092" w14:textId="77777777" w:rsidR="00DC6DB1" w:rsidRDefault="00DC6DB1" w:rsidP="002C3371">
      <w:pPr>
        <w:pStyle w:val="Default"/>
        <w:spacing w:before="24" w:after="24" w:line="288" w:lineRule="auto"/>
        <w:rPr>
          <w:rFonts w:cs="Arial"/>
          <w:b/>
          <w:color w:val="232120"/>
        </w:rPr>
      </w:pPr>
    </w:p>
    <w:p w14:paraId="65C10C8F" w14:textId="77777777" w:rsidR="00DC6DB1" w:rsidRDefault="00DC6DB1" w:rsidP="002C3371">
      <w:pPr>
        <w:pStyle w:val="Default"/>
        <w:spacing w:before="24" w:after="24" w:line="288" w:lineRule="auto"/>
        <w:rPr>
          <w:rFonts w:cs="Arial"/>
          <w:b/>
          <w:color w:val="232120"/>
        </w:rPr>
      </w:pPr>
    </w:p>
    <w:p w14:paraId="3A0BBCE4" w14:textId="77777777" w:rsidR="00DC6DB1" w:rsidRDefault="00DC6DB1" w:rsidP="002C3371">
      <w:pPr>
        <w:pStyle w:val="Default"/>
        <w:spacing w:before="24" w:after="24" w:line="288" w:lineRule="auto"/>
        <w:rPr>
          <w:rFonts w:cs="Arial"/>
          <w:b/>
          <w:color w:val="232120"/>
        </w:rPr>
      </w:pPr>
    </w:p>
    <w:p w14:paraId="6F5A42BA" w14:textId="77777777" w:rsidR="00DC6DB1" w:rsidRDefault="00DC6DB1" w:rsidP="002C3371">
      <w:pPr>
        <w:pStyle w:val="Default"/>
        <w:spacing w:before="24" w:after="24" w:line="288" w:lineRule="auto"/>
        <w:rPr>
          <w:rFonts w:cs="Arial"/>
          <w:b/>
          <w:color w:val="232120"/>
        </w:rPr>
      </w:pPr>
    </w:p>
    <w:p w14:paraId="74BED9D8" w14:textId="04E80751" w:rsidR="00DC6DB1" w:rsidRDefault="00DC6DB1" w:rsidP="002C3371">
      <w:pPr>
        <w:pStyle w:val="Default"/>
        <w:spacing w:before="24" w:after="24" w:line="288" w:lineRule="auto"/>
        <w:rPr>
          <w:rFonts w:cs="Arial"/>
          <w:b/>
          <w:color w:val="232120"/>
        </w:rPr>
      </w:pPr>
    </w:p>
    <w:p w14:paraId="546D625A" w14:textId="6F8EBA6E" w:rsidR="00AD04D3" w:rsidRDefault="00AD04D3" w:rsidP="002C3371">
      <w:pPr>
        <w:pStyle w:val="Default"/>
        <w:spacing w:before="24" w:after="24" w:line="288" w:lineRule="auto"/>
        <w:rPr>
          <w:rFonts w:cs="Arial"/>
          <w:b/>
          <w:color w:val="232120"/>
        </w:rPr>
      </w:pPr>
    </w:p>
    <w:p w14:paraId="5192F297" w14:textId="3CE0D692" w:rsidR="00AD04D3" w:rsidRDefault="00AD04D3" w:rsidP="002C3371">
      <w:pPr>
        <w:pStyle w:val="Default"/>
        <w:spacing w:before="24" w:after="24" w:line="288" w:lineRule="auto"/>
        <w:rPr>
          <w:rFonts w:cs="Arial"/>
          <w:b/>
          <w:color w:val="232120"/>
        </w:rPr>
      </w:pPr>
    </w:p>
    <w:p w14:paraId="18948565" w14:textId="77777777" w:rsidR="00AD04D3" w:rsidRDefault="00AD04D3" w:rsidP="002C3371">
      <w:pPr>
        <w:pStyle w:val="Default"/>
        <w:spacing w:before="24" w:after="24" w:line="288" w:lineRule="auto"/>
        <w:rPr>
          <w:rFonts w:cs="Arial"/>
          <w:b/>
          <w:color w:val="232120"/>
        </w:rPr>
      </w:pPr>
    </w:p>
    <w:p w14:paraId="16DC87B2" w14:textId="73A8D5E4" w:rsidR="00AD04D3" w:rsidRDefault="00AD04D3" w:rsidP="002C3371">
      <w:pPr>
        <w:pStyle w:val="Default"/>
        <w:spacing w:before="24" w:after="24" w:line="288" w:lineRule="auto"/>
        <w:rPr>
          <w:rFonts w:cs="Arial"/>
          <w:b/>
          <w:color w:val="232120"/>
        </w:rPr>
      </w:pPr>
    </w:p>
    <w:bookmarkStart w:id="0" w:name="_Toc81304855"/>
    <w:p w14:paraId="6A206DDA" w14:textId="6710E73A" w:rsidR="00AD04D3" w:rsidRPr="00960220" w:rsidRDefault="00960220" w:rsidP="00960220">
      <w:pPr>
        <w:pStyle w:val="Heading1"/>
      </w:pPr>
      <w:r>
        <w:rPr>
          <w:noProof/>
          <w:lang w:eastAsia="en-GB"/>
        </w:rPr>
        <w:lastRenderedPageBreak/>
        <mc:AlternateContent>
          <mc:Choice Requires="wps">
            <w:drawing>
              <wp:anchor distT="45720" distB="45720" distL="114300" distR="114300" simplePos="0" relativeHeight="251659264" behindDoc="0" locked="0" layoutInCell="1" allowOverlap="1" wp14:anchorId="225659F5" wp14:editId="13EAF79F">
                <wp:simplePos x="0" y="0"/>
                <wp:positionH relativeFrom="column">
                  <wp:posOffset>18415</wp:posOffset>
                </wp:positionH>
                <wp:positionV relativeFrom="paragraph">
                  <wp:posOffset>318</wp:posOffset>
                </wp:positionV>
                <wp:extent cx="6462395" cy="939165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395" cy="9391650"/>
                        </a:xfrm>
                        <a:prstGeom prst="rect">
                          <a:avLst/>
                        </a:prstGeom>
                        <a:solidFill>
                          <a:srgbClr val="FFFFFF"/>
                        </a:solidFill>
                        <a:ln w="9525">
                          <a:solidFill>
                            <a:srgbClr val="000000"/>
                          </a:solidFill>
                          <a:miter lim="800000"/>
                          <a:headEnd/>
                          <a:tailEnd/>
                        </a:ln>
                      </wps:spPr>
                      <wps:txbx>
                        <w:txbxContent>
                          <w:p w14:paraId="7DF42D98" w14:textId="52EAECA7" w:rsidR="008733FE" w:rsidRDefault="008733FE" w:rsidP="008733FE">
                            <w:pPr>
                              <w:spacing w:before="24" w:after="24"/>
                              <w:rPr>
                                <w:rFonts w:ascii="Verdana" w:eastAsia="MS Mincho" w:hAnsi="Verdana" w:cs="Arial"/>
                                <w:b/>
                                <w:lang w:val="en-US"/>
                              </w:rPr>
                            </w:pPr>
                            <w:r>
                              <w:rPr>
                                <w:rFonts w:ascii="Verdana" w:eastAsia="MS Mincho" w:hAnsi="Verdana" w:cs="Arial"/>
                                <w:b/>
                                <w:lang w:val="en-US"/>
                              </w:rPr>
                              <w:t xml:space="preserve">The NIHRC recommends: </w:t>
                            </w:r>
                          </w:p>
                          <w:p w14:paraId="78685431" w14:textId="77777777" w:rsidR="00052A3D" w:rsidRDefault="00052A3D" w:rsidP="008733FE">
                            <w:pPr>
                              <w:spacing w:before="24" w:after="24"/>
                              <w:rPr>
                                <w:rFonts w:ascii="Verdana" w:eastAsia="MS Mincho" w:hAnsi="Verdana" w:cs="Arial"/>
                                <w:b/>
                                <w:lang w:val="en-US"/>
                              </w:rPr>
                            </w:pPr>
                          </w:p>
                          <w:p w14:paraId="731A3B0A" w14:textId="43C0E54B" w:rsidR="00052A3D" w:rsidRPr="00EF027A" w:rsidRDefault="00960220" w:rsidP="00EF027A">
                            <w:pPr>
                              <w:pStyle w:val="ListParagraph"/>
                              <w:numPr>
                                <w:ilvl w:val="0"/>
                                <w:numId w:val="33"/>
                              </w:numPr>
                              <w:spacing w:before="24" w:after="24"/>
                              <w:rPr>
                                <w:rFonts w:ascii="Verdana" w:eastAsia="MS Mincho" w:hAnsi="Verdana" w:cs="Arial"/>
                                <w:b/>
                                <w:lang w:val="en-US"/>
                              </w:rPr>
                            </w:pPr>
                            <w:r w:rsidRPr="00EF027A">
                              <w:rPr>
                                <w:rFonts w:ascii="Verdana" w:eastAsia="MS Mincho" w:hAnsi="Verdana" w:cs="Arial"/>
                                <w:b/>
                                <w:lang w:val="en-US"/>
                              </w:rPr>
                              <w:t xml:space="preserve">the Department of Justice introduces legislation that creates a standalone offence for non-fatal strangulation in order to comply with the positive obligations under Articles 2, 3 and 8 ECHR. </w:t>
                            </w:r>
                          </w:p>
                          <w:p w14:paraId="6885CC38" w14:textId="77777777" w:rsidR="00052A3D" w:rsidRDefault="00052A3D" w:rsidP="00052A3D">
                            <w:pPr>
                              <w:spacing w:before="24" w:after="24"/>
                              <w:rPr>
                                <w:rFonts w:ascii="Verdana" w:eastAsia="MS Mincho" w:hAnsi="Verdana" w:cs="Arial"/>
                                <w:b/>
                                <w:lang w:val="en-US"/>
                              </w:rPr>
                            </w:pPr>
                          </w:p>
                          <w:p w14:paraId="786A937E" w14:textId="51E2D42D" w:rsidR="00052A3D" w:rsidRPr="00EF027A" w:rsidRDefault="00960220" w:rsidP="00EF027A">
                            <w:pPr>
                              <w:pStyle w:val="ListParagraph"/>
                              <w:numPr>
                                <w:ilvl w:val="0"/>
                                <w:numId w:val="33"/>
                              </w:numPr>
                              <w:spacing w:before="24" w:after="24"/>
                              <w:rPr>
                                <w:rFonts w:ascii="Verdana" w:eastAsia="MS Mincho" w:hAnsi="Verdana" w:cs="Arial"/>
                                <w:b/>
                              </w:rPr>
                            </w:pPr>
                            <w:r w:rsidRPr="00EF027A">
                              <w:rPr>
                                <w:rFonts w:ascii="Verdana" w:eastAsia="MS Mincho" w:hAnsi="Verdana" w:cs="Arial"/>
                                <w:b/>
                              </w:rPr>
                              <w:t>the UK government ratify the Istanbul Convention</w:t>
                            </w:r>
                            <w:r w:rsidR="00931C61">
                              <w:rPr>
                                <w:rFonts w:ascii="Verdana" w:eastAsia="MS Mincho" w:hAnsi="Verdana" w:cs="Arial"/>
                                <w:b/>
                              </w:rPr>
                              <w:t xml:space="preserve"> at the earliest available opportunity</w:t>
                            </w:r>
                            <w:r w:rsidRPr="00EF027A">
                              <w:rPr>
                                <w:rFonts w:ascii="Verdana" w:eastAsia="MS Mincho" w:hAnsi="Verdana" w:cs="Arial"/>
                                <w:b/>
                              </w:rPr>
                              <w:t xml:space="preserve"> and the Department and NI Executive take the appropriate steps to ensure compliance with</w:t>
                            </w:r>
                            <w:r w:rsidR="00052A3D" w:rsidRPr="00EF027A">
                              <w:rPr>
                                <w:rFonts w:ascii="Verdana" w:eastAsia="MS Mincho" w:hAnsi="Verdana" w:cs="Arial"/>
                                <w:b/>
                              </w:rPr>
                              <w:t xml:space="preserve"> all aspects of the Convention</w:t>
                            </w:r>
                          </w:p>
                          <w:p w14:paraId="0421877B" w14:textId="77777777" w:rsidR="00052A3D" w:rsidRDefault="00052A3D" w:rsidP="00052A3D">
                            <w:pPr>
                              <w:spacing w:before="24" w:after="24"/>
                              <w:rPr>
                                <w:rFonts w:ascii="Verdana" w:eastAsia="MS Mincho" w:hAnsi="Verdana" w:cs="Arial"/>
                                <w:b/>
                              </w:rPr>
                            </w:pPr>
                          </w:p>
                          <w:p w14:paraId="093C528C" w14:textId="5FA83E6C" w:rsidR="00960220" w:rsidRPr="00EF027A" w:rsidRDefault="00960220" w:rsidP="00EF027A">
                            <w:pPr>
                              <w:pStyle w:val="ListParagraph"/>
                              <w:numPr>
                                <w:ilvl w:val="0"/>
                                <w:numId w:val="33"/>
                              </w:numPr>
                              <w:spacing w:before="24" w:after="24"/>
                              <w:rPr>
                                <w:rFonts w:ascii="Verdana" w:eastAsia="MS Mincho" w:hAnsi="Verdana" w:cs="Arial"/>
                                <w:b/>
                                <w:lang w:val="en-US"/>
                              </w:rPr>
                            </w:pPr>
                            <w:r w:rsidRPr="00EF027A">
                              <w:rPr>
                                <w:rFonts w:ascii="Verdana" w:eastAsia="MS Mincho" w:hAnsi="Verdana" w:cs="Arial"/>
                                <w:b/>
                              </w:rPr>
                              <w:t>the proposed legislation should include an element that protects against gender-based violence, using the UN CEDAW, UN CAT and Istanbul Convention as a guide.</w:t>
                            </w:r>
                          </w:p>
                          <w:p w14:paraId="3C4F253C" w14:textId="77777777" w:rsidR="00052A3D" w:rsidRDefault="00052A3D" w:rsidP="00052A3D">
                            <w:pPr>
                              <w:pStyle w:val="ListParagraph"/>
                              <w:rPr>
                                <w:rFonts w:ascii="Verdana" w:eastAsia="MS Mincho" w:hAnsi="Verdana" w:cs="Arial"/>
                                <w:b/>
                              </w:rPr>
                            </w:pPr>
                          </w:p>
                          <w:p w14:paraId="0DD07357" w14:textId="5C075B98" w:rsidR="00960220" w:rsidRDefault="00931C61" w:rsidP="00EF027A">
                            <w:pPr>
                              <w:pStyle w:val="ListParagraph"/>
                              <w:numPr>
                                <w:ilvl w:val="0"/>
                                <w:numId w:val="33"/>
                              </w:numPr>
                              <w:rPr>
                                <w:rFonts w:ascii="Verdana" w:eastAsia="MS Mincho" w:hAnsi="Verdana" w:cs="Arial"/>
                                <w:b/>
                              </w:rPr>
                            </w:pPr>
                            <w:r>
                              <w:rPr>
                                <w:rFonts w:ascii="Verdana" w:eastAsia="MS Mincho" w:hAnsi="Verdana" w:cs="Arial"/>
                                <w:b/>
                              </w:rPr>
                              <w:t xml:space="preserve">The Department introduces legislation to outlaw the use of consent </w:t>
                            </w:r>
                            <w:r w:rsidR="00960220" w:rsidRPr="00960220">
                              <w:rPr>
                                <w:rFonts w:ascii="Verdana" w:eastAsia="MS Mincho" w:hAnsi="Verdana" w:cs="Arial"/>
                                <w:b/>
                              </w:rPr>
                              <w:t xml:space="preserve">to harm for sexual gratification as a defence and that the legislation </w:t>
                            </w:r>
                            <w:r>
                              <w:rPr>
                                <w:rFonts w:ascii="Verdana" w:eastAsia="MS Mincho" w:hAnsi="Verdana" w:cs="Arial"/>
                                <w:b/>
                              </w:rPr>
                              <w:t>pre</w:t>
                            </w:r>
                            <w:r w:rsidR="00960220" w:rsidRPr="00960220">
                              <w:rPr>
                                <w:rFonts w:ascii="Verdana" w:eastAsia="MS Mincho" w:hAnsi="Verdana" w:cs="Arial"/>
                                <w:b/>
                              </w:rPr>
                              <w:t xml:space="preserve">cludes the defence being used for the offence of non-fatal strangulation. </w:t>
                            </w:r>
                          </w:p>
                          <w:p w14:paraId="1B8ED368" w14:textId="7A59ED96" w:rsidR="00960220" w:rsidRPr="00960220" w:rsidRDefault="00960220" w:rsidP="00960220">
                            <w:pPr>
                              <w:pStyle w:val="ListParagraph"/>
                              <w:rPr>
                                <w:rFonts w:ascii="Verdana" w:eastAsia="MS Mincho" w:hAnsi="Verdana" w:cs="Arial"/>
                                <w:b/>
                              </w:rPr>
                            </w:pPr>
                          </w:p>
                          <w:p w14:paraId="4C9FB683" w14:textId="131697C9" w:rsidR="00960220" w:rsidRDefault="00960220" w:rsidP="00EF027A">
                            <w:pPr>
                              <w:pStyle w:val="ListParagraph"/>
                              <w:numPr>
                                <w:ilvl w:val="0"/>
                                <w:numId w:val="33"/>
                              </w:numPr>
                              <w:rPr>
                                <w:rFonts w:ascii="Verdana" w:eastAsia="MS Mincho" w:hAnsi="Verdana" w:cs="Arial"/>
                                <w:b/>
                              </w:rPr>
                            </w:pPr>
                            <w:r w:rsidRPr="00960220">
                              <w:rPr>
                                <w:rFonts w:ascii="Verdana" w:eastAsia="MS Mincho" w:hAnsi="Verdana" w:cs="Arial"/>
                                <w:b/>
                              </w:rPr>
                              <w:t xml:space="preserve">the Department introduces legislation that ensures as a minimum parity of provision for non-fatal strangulation with England and Wales, so that victims in NI are provided with at least equal protection. </w:t>
                            </w:r>
                          </w:p>
                          <w:p w14:paraId="5DA76665" w14:textId="6A85674A" w:rsidR="00960220" w:rsidRPr="00960220" w:rsidRDefault="00960220" w:rsidP="00960220">
                            <w:pPr>
                              <w:pStyle w:val="ListParagraph"/>
                              <w:rPr>
                                <w:rFonts w:ascii="Verdana" w:eastAsia="MS Mincho" w:hAnsi="Verdana" w:cs="Arial"/>
                                <w:b/>
                              </w:rPr>
                            </w:pPr>
                          </w:p>
                          <w:p w14:paraId="6F891196" w14:textId="2151B8D4" w:rsidR="00EF027A" w:rsidRDefault="00960220" w:rsidP="00EF027A">
                            <w:pPr>
                              <w:pStyle w:val="ListParagraph"/>
                              <w:numPr>
                                <w:ilvl w:val="0"/>
                                <w:numId w:val="33"/>
                              </w:numPr>
                              <w:rPr>
                                <w:rFonts w:ascii="Verdana" w:eastAsia="MS Mincho" w:hAnsi="Verdana" w:cs="Arial"/>
                                <w:b/>
                              </w:rPr>
                            </w:pPr>
                            <w:r w:rsidRPr="00960220">
                              <w:rPr>
                                <w:rFonts w:ascii="Verdana" w:eastAsia="MS Mincho" w:hAnsi="Verdana" w:cs="Arial"/>
                                <w:b/>
                              </w:rPr>
                              <w:t>the Department works with the relevant public authorities and civil society organisations to systematically collect and publish data on non-fatal strangulation that is disaggregated by sex, gender, ethnicity, disability and age. It should also record the journey of non-fatal strangulation offences through the criminal justice system, including number of initial reports, number of referrals to the Public Prosecution Service, how many reach different stages of the court process, how many prosecutions occur, what is the resulting remedy and how often offences are repeated</w:t>
                            </w:r>
                            <w:r w:rsidR="00EF027A">
                              <w:rPr>
                                <w:rFonts w:ascii="Verdana" w:eastAsia="MS Mincho" w:hAnsi="Verdana" w:cs="Arial"/>
                                <w:b/>
                              </w:rPr>
                              <w:t>.</w:t>
                            </w:r>
                          </w:p>
                          <w:p w14:paraId="6CFB4111" w14:textId="77777777" w:rsidR="00EF027A" w:rsidRPr="00EF027A" w:rsidRDefault="00EF027A" w:rsidP="00EF027A">
                            <w:pPr>
                              <w:pStyle w:val="ListParagraph"/>
                              <w:rPr>
                                <w:rFonts w:ascii="Verdana" w:eastAsia="MS Mincho" w:hAnsi="Verdana" w:cs="Arial"/>
                                <w:b/>
                              </w:rPr>
                            </w:pPr>
                          </w:p>
                          <w:p w14:paraId="05AD3DB0" w14:textId="5A5240DC" w:rsidR="00EF027A" w:rsidRDefault="00AF099C" w:rsidP="00EF027A">
                            <w:pPr>
                              <w:pStyle w:val="ListParagraph"/>
                              <w:numPr>
                                <w:ilvl w:val="0"/>
                                <w:numId w:val="33"/>
                              </w:numPr>
                              <w:rPr>
                                <w:rFonts w:ascii="Verdana" w:eastAsia="MS Mincho" w:hAnsi="Verdana" w:cs="Arial"/>
                                <w:b/>
                              </w:rPr>
                            </w:pPr>
                            <w:r>
                              <w:rPr>
                                <w:rFonts w:ascii="Verdana" w:eastAsia="MS Mincho" w:hAnsi="Verdana" w:cs="Arial"/>
                                <w:b/>
                              </w:rPr>
                              <w:t xml:space="preserve">That in advance of ratification </w:t>
                            </w:r>
                            <w:r w:rsidR="00960220" w:rsidRPr="00EF027A">
                              <w:rPr>
                                <w:rFonts w:ascii="Verdana" w:eastAsia="MS Mincho" w:hAnsi="Verdana" w:cs="Arial"/>
                                <w:b/>
                              </w:rPr>
                              <w:t xml:space="preserve">the Department </w:t>
                            </w:r>
                            <w:r>
                              <w:rPr>
                                <w:rFonts w:ascii="Verdana" w:eastAsia="MS Mincho" w:hAnsi="Verdana" w:cs="Arial"/>
                                <w:b/>
                              </w:rPr>
                              <w:t xml:space="preserve">meets the commitments </w:t>
                            </w:r>
                            <w:r w:rsidR="00960220" w:rsidRPr="00EF027A">
                              <w:rPr>
                                <w:rFonts w:ascii="Verdana" w:eastAsia="MS Mincho" w:hAnsi="Verdana" w:cs="Arial"/>
                                <w:b/>
                              </w:rPr>
                              <w:t xml:space="preserve">contained within the Istanbul Convention concerning research, awareness-raising, education </w:t>
                            </w:r>
                            <w:r w:rsidR="00EF027A">
                              <w:rPr>
                                <w:rFonts w:ascii="Verdana" w:eastAsia="MS Mincho" w:hAnsi="Verdana" w:cs="Arial"/>
                                <w:b/>
                              </w:rPr>
                              <w:t xml:space="preserve">and training of professionals. </w:t>
                            </w:r>
                          </w:p>
                          <w:p w14:paraId="2E39B8E8" w14:textId="77777777" w:rsidR="00EF027A" w:rsidRPr="00EF027A" w:rsidRDefault="00EF027A" w:rsidP="00EF027A">
                            <w:pPr>
                              <w:pStyle w:val="ListParagraph"/>
                              <w:rPr>
                                <w:rFonts w:ascii="Verdana" w:eastAsia="MS Mincho" w:hAnsi="Verdana" w:cs="Arial"/>
                                <w:b/>
                              </w:rPr>
                            </w:pPr>
                          </w:p>
                          <w:p w14:paraId="221C37C0" w14:textId="78203BC7" w:rsidR="00EF027A" w:rsidRDefault="00960220" w:rsidP="00EF027A">
                            <w:pPr>
                              <w:pStyle w:val="ListParagraph"/>
                              <w:numPr>
                                <w:ilvl w:val="0"/>
                                <w:numId w:val="33"/>
                              </w:numPr>
                              <w:rPr>
                                <w:rFonts w:ascii="Verdana" w:eastAsia="MS Mincho" w:hAnsi="Verdana" w:cs="Arial"/>
                                <w:b/>
                              </w:rPr>
                            </w:pPr>
                            <w:r w:rsidRPr="00EF027A">
                              <w:rPr>
                                <w:rFonts w:ascii="Verdana" w:eastAsia="MS Mincho" w:hAnsi="Verdana" w:cs="Arial"/>
                                <w:b/>
                              </w:rPr>
                              <w:t xml:space="preserve">the UK Government and NI Executive to fulfil their obligations outlined in the NI (Executive Formation etc.) Act 2019. continues </w:t>
                            </w:r>
                            <w:r w:rsidR="00AF099C">
                              <w:rPr>
                                <w:rFonts w:ascii="Verdana" w:eastAsia="MS Mincho" w:hAnsi="Verdana" w:cs="Arial"/>
                                <w:b/>
                              </w:rPr>
                              <w:t xml:space="preserve">including </w:t>
                            </w:r>
                            <w:r w:rsidRPr="00EF027A">
                              <w:rPr>
                                <w:rFonts w:ascii="Verdana" w:eastAsia="MS Mincho" w:hAnsi="Verdana" w:cs="Arial"/>
                                <w:b/>
                              </w:rPr>
                              <w:t>the introduction of age appropriate and scientifically based reproductive and sexual health education</w:t>
                            </w:r>
                            <w:r w:rsidR="00AF099C">
                              <w:rPr>
                                <w:rFonts w:ascii="Verdana" w:eastAsia="MS Mincho" w:hAnsi="Verdana" w:cs="Arial"/>
                                <w:b/>
                              </w:rPr>
                              <w:t xml:space="preserve">. This should incude </w:t>
                            </w:r>
                            <w:r w:rsidRPr="00EF027A">
                              <w:rPr>
                                <w:rFonts w:ascii="Verdana" w:eastAsia="MS Mincho" w:hAnsi="Verdana" w:cs="Arial"/>
                                <w:b/>
                              </w:rPr>
                              <w:t>address</w:t>
                            </w:r>
                            <w:r w:rsidR="00AF099C">
                              <w:rPr>
                                <w:rFonts w:ascii="Verdana" w:eastAsia="MS Mincho" w:hAnsi="Verdana" w:cs="Arial"/>
                                <w:b/>
                              </w:rPr>
                              <w:t>ing</w:t>
                            </w:r>
                            <w:r w:rsidRPr="00EF027A">
                              <w:rPr>
                                <w:rFonts w:ascii="Verdana" w:eastAsia="MS Mincho" w:hAnsi="Verdana" w:cs="Arial"/>
                                <w:b/>
                              </w:rPr>
                              <w:t xml:space="preserve"> the meaning of consent, healthy relationships and prevention of gender based violence. This will require cross departmental collaboration.</w:t>
                            </w:r>
                          </w:p>
                          <w:p w14:paraId="1004761A" w14:textId="77777777" w:rsidR="00EF027A" w:rsidRPr="00EF027A" w:rsidRDefault="00EF027A" w:rsidP="00EF027A">
                            <w:pPr>
                              <w:pStyle w:val="ListParagraph"/>
                              <w:rPr>
                                <w:rFonts w:ascii="Verdana" w:hAnsi="Verdana"/>
                                <w:b/>
                              </w:rPr>
                            </w:pPr>
                          </w:p>
                          <w:p w14:paraId="2D197FB5" w14:textId="49E6877E" w:rsidR="00960220" w:rsidRPr="00EF027A" w:rsidRDefault="008733FE" w:rsidP="00EF027A">
                            <w:pPr>
                              <w:pStyle w:val="ListParagraph"/>
                              <w:numPr>
                                <w:ilvl w:val="0"/>
                                <w:numId w:val="33"/>
                              </w:numPr>
                              <w:rPr>
                                <w:rFonts w:ascii="Verdana" w:eastAsia="MS Mincho" w:hAnsi="Verdana" w:cs="Arial"/>
                                <w:b/>
                              </w:rPr>
                            </w:pPr>
                            <w:r w:rsidRPr="00EF027A">
                              <w:rPr>
                                <w:rFonts w:ascii="Verdana" w:hAnsi="Verdana"/>
                                <w:b/>
                              </w:rPr>
                              <w:t xml:space="preserve">call on the Department to </w:t>
                            </w:r>
                            <w:r w:rsidR="00AF099C">
                              <w:rPr>
                                <w:rFonts w:ascii="Verdana" w:hAnsi="Verdana"/>
                                <w:b/>
                              </w:rPr>
                              <w:t>facilitate the introduction of the training</w:t>
                            </w:r>
                            <w:r w:rsidRPr="00EF027A">
                              <w:rPr>
                                <w:rFonts w:ascii="Verdana" w:hAnsi="Verdana"/>
                                <w:b/>
                              </w:rPr>
                              <w:t xml:space="preserve">  recommendations within the Gillen Review as swiftly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659F5" id="_x0000_t202" coordsize="21600,21600" o:spt="202" path="m,l,21600r21600,l21600,xe">
                <v:stroke joinstyle="miter"/>
                <v:path gradientshapeok="t" o:connecttype="rect"/>
              </v:shapetype>
              <v:shape id="Text Box 2" o:spid="_x0000_s1026" type="#_x0000_t202" style="position:absolute;margin-left:1.45pt;margin-top:.05pt;width:508.85pt;height:7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8P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">
                <v:textbox>
                  <w:txbxContent>
                    <w:p w14:paraId="7DF42D98" w14:textId="52EAECA7" w:rsidR="008733FE" w:rsidRDefault="008733FE" w:rsidP="008733FE">
                      <w:pPr>
                        <w:spacing w:before="24" w:after="24"/>
                        <w:rPr>
                          <w:rFonts w:ascii="Verdana" w:eastAsia="MS Mincho" w:hAnsi="Verdana" w:cs="Arial"/>
                          <w:b/>
                          <w:lang w:val="en-US"/>
                        </w:rPr>
                      </w:pPr>
                      <w:r>
                        <w:rPr>
                          <w:rFonts w:ascii="Verdana" w:eastAsia="MS Mincho" w:hAnsi="Verdana" w:cs="Arial"/>
                          <w:b/>
                          <w:lang w:val="en-US"/>
                        </w:rPr>
                        <w:t xml:space="preserve">The NIHRC recommends: </w:t>
                      </w:r>
                    </w:p>
                    <w:p w14:paraId="78685431" w14:textId="77777777" w:rsidR="00052A3D" w:rsidRDefault="00052A3D" w:rsidP="008733FE">
                      <w:pPr>
                        <w:spacing w:before="24" w:after="24"/>
                        <w:rPr>
                          <w:rFonts w:ascii="Verdana" w:eastAsia="MS Mincho" w:hAnsi="Verdana" w:cs="Arial"/>
                          <w:b/>
                          <w:lang w:val="en-US"/>
                        </w:rPr>
                      </w:pPr>
                    </w:p>
                    <w:p w14:paraId="731A3B0A" w14:textId="43C0E54B" w:rsidR="00052A3D" w:rsidRPr="00EF027A" w:rsidRDefault="00960220" w:rsidP="00EF027A">
                      <w:pPr>
                        <w:pStyle w:val="ListParagraph"/>
                        <w:numPr>
                          <w:ilvl w:val="0"/>
                          <w:numId w:val="33"/>
                        </w:numPr>
                        <w:spacing w:before="24" w:after="24"/>
                        <w:rPr>
                          <w:rFonts w:ascii="Verdana" w:eastAsia="MS Mincho" w:hAnsi="Verdana" w:cs="Arial"/>
                          <w:b/>
                          <w:lang w:val="en-US"/>
                        </w:rPr>
                      </w:pPr>
                      <w:r w:rsidRPr="00EF027A">
                        <w:rPr>
                          <w:rFonts w:ascii="Verdana" w:eastAsia="MS Mincho" w:hAnsi="Verdana" w:cs="Arial"/>
                          <w:b/>
                          <w:lang w:val="en-US"/>
                        </w:rPr>
                        <w:t xml:space="preserve">the Department of Justice introduces legislation that creates a standalone offence for non-fatal strangulation in order to comply with the positive obligations under Articles 2, 3 and 8 ECHR. </w:t>
                      </w:r>
                    </w:p>
                    <w:p w14:paraId="6885CC38" w14:textId="77777777" w:rsidR="00052A3D" w:rsidRDefault="00052A3D" w:rsidP="00052A3D">
                      <w:pPr>
                        <w:spacing w:before="24" w:after="24"/>
                        <w:rPr>
                          <w:rFonts w:ascii="Verdana" w:eastAsia="MS Mincho" w:hAnsi="Verdana" w:cs="Arial"/>
                          <w:b/>
                          <w:lang w:val="en-US"/>
                        </w:rPr>
                      </w:pPr>
                    </w:p>
                    <w:p w14:paraId="786A937E" w14:textId="51E2D42D" w:rsidR="00052A3D" w:rsidRPr="00EF027A" w:rsidRDefault="00960220" w:rsidP="00EF027A">
                      <w:pPr>
                        <w:pStyle w:val="ListParagraph"/>
                        <w:numPr>
                          <w:ilvl w:val="0"/>
                          <w:numId w:val="33"/>
                        </w:numPr>
                        <w:spacing w:before="24" w:after="24"/>
                        <w:rPr>
                          <w:rFonts w:ascii="Verdana" w:eastAsia="MS Mincho" w:hAnsi="Verdana" w:cs="Arial"/>
                          <w:b/>
                        </w:rPr>
                      </w:pPr>
                      <w:r w:rsidRPr="00EF027A">
                        <w:rPr>
                          <w:rFonts w:ascii="Verdana" w:eastAsia="MS Mincho" w:hAnsi="Verdana" w:cs="Arial"/>
                          <w:b/>
                        </w:rPr>
                        <w:t>the UK government ratify the Istanbul Convention</w:t>
                      </w:r>
                      <w:r w:rsidR="00931C61">
                        <w:rPr>
                          <w:rFonts w:ascii="Verdana" w:eastAsia="MS Mincho" w:hAnsi="Verdana" w:cs="Arial"/>
                          <w:b/>
                        </w:rPr>
                        <w:t xml:space="preserve"> at the earliest available opportunity</w:t>
                      </w:r>
                      <w:r w:rsidRPr="00EF027A">
                        <w:rPr>
                          <w:rFonts w:ascii="Verdana" w:eastAsia="MS Mincho" w:hAnsi="Verdana" w:cs="Arial"/>
                          <w:b/>
                        </w:rPr>
                        <w:t xml:space="preserve"> and the Department and NI Executive take the appropriate steps to ensure compliance with</w:t>
                      </w:r>
                      <w:r w:rsidR="00052A3D" w:rsidRPr="00EF027A">
                        <w:rPr>
                          <w:rFonts w:ascii="Verdana" w:eastAsia="MS Mincho" w:hAnsi="Verdana" w:cs="Arial"/>
                          <w:b/>
                        </w:rPr>
                        <w:t xml:space="preserve"> all aspects of the Convention</w:t>
                      </w:r>
                    </w:p>
                    <w:p w14:paraId="0421877B" w14:textId="77777777" w:rsidR="00052A3D" w:rsidRDefault="00052A3D" w:rsidP="00052A3D">
                      <w:pPr>
                        <w:spacing w:before="24" w:after="24"/>
                        <w:rPr>
                          <w:rFonts w:ascii="Verdana" w:eastAsia="MS Mincho" w:hAnsi="Verdana" w:cs="Arial"/>
                          <w:b/>
                        </w:rPr>
                      </w:pPr>
                    </w:p>
                    <w:p w14:paraId="093C528C" w14:textId="5FA83E6C" w:rsidR="00960220" w:rsidRPr="00EF027A" w:rsidRDefault="00960220" w:rsidP="00EF027A">
                      <w:pPr>
                        <w:pStyle w:val="ListParagraph"/>
                        <w:numPr>
                          <w:ilvl w:val="0"/>
                          <w:numId w:val="33"/>
                        </w:numPr>
                        <w:spacing w:before="24" w:after="24"/>
                        <w:rPr>
                          <w:rFonts w:ascii="Verdana" w:eastAsia="MS Mincho" w:hAnsi="Verdana" w:cs="Arial"/>
                          <w:b/>
                          <w:lang w:val="en-US"/>
                        </w:rPr>
                      </w:pPr>
                      <w:r w:rsidRPr="00EF027A">
                        <w:rPr>
                          <w:rFonts w:ascii="Verdana" w:eastAsia="MS Mincho" w:hAnsi="Verdana" w:cs="Arial"/>
                          <w:b/>
                        </w:rPr>
                        <w:t>the proposed legislation should include an element that protects against gender-based violence, using the UN CEDAW, UN CAT and Istanbul Convention as a guide.</w:t>
                      </w:r>
                    </w:p>
                    <w:p w14:paraId="3C4F253C" w14:textId="77777777" w:rsidR="00052A3D" w:rsidRDefault="00052A3D" w:rsidP="00052A3D">
                      <w:pPr>
                        <w:pStyle w:val="ListParagraph"/>
                        <w:rPr>
                          <w:rFonts w:ascii="Verdana" w:eastAsia="MS Mincho" w:hAnsi="Verdana" w:cs="Arial"/>
                          <w:b/>
                        </w:rPr>
                      </w:pPr>
                    </w:p>
                    <w:p w14:paraId="0DD07357" w14:textId="5C075B98" w:rsidR="00960220" w:rsidRDefault="00931C61" w:rsidP="00EF027A">
                      <w:pPr>
                        <w:pStyle w:val="ListParagraph"/>
                        <w:numPr>
                          <w:ilvl w:val="0"/>
                          <w:numId w:val="33"/>
                        </w:numPr>
                        <w:rPr>
                          <w:rFonts w:ascii="Verdana" w:eastAsia="MS Mincho" w:hAnsi="Verdana" w:cs="Arial"/>
                          <w:b/>
                        </w:rPr>
                      </w:pPr>
                      <w:r>
                        <w:rPr>
                          <w:rFonts w:ascii="Verdana" w:eastAsia="MS Mincho" w:hAnsi="Verdana" w:cs="Arial"/>
                          <w:b/>
                        </w:rPr>
                        <w:t xml:space="preserve">The Department introduces legislation to outlaw the use of consent </w:t>
                      </w:r>
                      <w:r w:rsidR="00960220" w:rsidRPr="00960220">
                        <w:rPr>
                          <w:rFonts w:ascii="Verdana" w:eastAsia="MS Mincho" w:hAnsi="Verdana" w:cs="Arial"/>
                          <w:b/>
                        </w:rPr>
                        <w:t xml:space="preserve">to harm for sexual gratification as a defence and that the legislation </w:t>
                      </w:r>
                      <w:r>
                        <w:rPr>
                          <w:rFonts w:ascii="Verdana" w:eastAsia="MS Mincho" w:hAnsi="Verdana" w:cs="Arial"/>
                          <w:b/>
                        </w:rPr>
                        <w:t>pre</w:t>
                      </w:r>
                      <w:r w:rsidR="00960220" w:rsidRPr="00960220">
                        <w:rPr>
                          <w:rFonts w:ascii="Verdana" w:eastAsia="MS Mincho" w:hAnsi="Verdana" w:cs="Arial"/>
                          <w:b/>
                        </w:rPr>
                        <w:t xml:space="preserve">cludes the defence being used for the offence of non-fatal strangulation. </w:t>
                      </w:r>
                    </w:p>
                    <w:p w14:paraId="1B8ED368" w14:textId="7A59ED96" w:rsidR="00960220" w:rsidRPr="00960220" w:rsidRDefault="00960220" w:rsidP="00960220">
                      <w:pPr>
                        <w:pStyle w:val="ListParagraph"/>
                        <w:rPr>
                          <w:rFonts w:ascii="Verdana" w:eastAsia="MS Mincho" w:hAnsi="Verdana" w:cs="Arial"/>
                          <w:b/>
                        </w:rPr>
                      </w:pPr>
                    </w:p>
                    <w:p w14:paraId="4C9FB683" w14:textId="131697C9" w:rsidR="00960220" w:rsidRDefault="00960220" w:rsidP="00EF027A">
                      <w:pPr>
                        <w:pStyle w:val="ListParagraph"/>
                        <w:numPr>
                          <w:ilvl w:val="0"/>
                          <w:numId w:val="33"/>
                        </w:numPr>
                        <w:rPr>
                          <w:rFonts w:ascii="Verdana" w:eastAsia="MS Mincho" w:hAnsi="Verdana" w:cs="Arial"/>
                          <w:b/>
                        </w:rPr>
                      </w:pPr>
                      <w:r w:rsidRPr="00960220">
                        <w:rPr>
                          <w:rFonts w:ascii="Verdana" w:eastAsia="MS Mincho" w:hAnsi="Verdana" w:cs="Arial"/>
                          <w:b/>
                        </w:rPr>
                        <w:t xml:space="preserve">the Department introduces legislation that ensures as a minimum parity of provision for non-fatal strangulation with England and Wales, so that victims in NI are provided with at least equal protection. </w:t>
                      </w:r>
                    </w:p>
                    <w:p w14:paraId="5DA76665" w14:textId="6A85674A" w:rsidR="00960220" w:rsidRPr="00960220" w:rsidRDefault="00960220" w:rsidP="00960220">
                      <w:pPr>
                        <w:pStyle w:val="ListParagraph"/>
                        <w:rPr>
                          <w:rFonts w:ascii="Verdana" w:eastAsia="MS Mincho" w:hAnsi="Verdana" w:cs="Arial"/>
                          <w:b/>
                        </w:rPr>
                      </w:pPr>
                    </w:p>
                    <w:p w14:paraId="6F891196" w14:textId="2151B8D4" w:rsidR="00EF027A" w:rsidRDefault="00960220" w:rsidP="00EF027A">
                      <w:pPr>
                        <w:pStyle w:val="ListParagraph"/>
                        <w:numPr>
                          <w:ilvl w:val="0"/>
                          <w:numId w:val="33"/>
                        </w:numPr>
                        <w:rPr>
                          <w:rFonts w:ascii="Verdana" w:eastAsia="MS Mincho" w:hAnsi="Verdana" w:cs="Arial"/>
                          <w:b/>
                        </w:rPr>
                      </w:pPr>
                      <w:r w:rsidRPr="00960220">
                        <w:rPr>
                          <w:rFonts w:ascii="Verdana" w:eastAsia="MS Mincho" w:hAnsi="Verdana" w:cs="Arial"/>
                          <w:b/>
                        </w:rPr>
                        <w:t>the Department works with the relevant public authorities and civil society organisations to systematically collect and publish data on non-fatal strangulation that is disaggregated by sex, gender, ethnicity, disability and age. It should also record the journey of non-fatal strangulation offences through the criminal justice system, including number of initial reports, number of referrals to the Public Prosecution Service, how many reach different stages of the court process, how many prosecutions occur, what is the resulting remedy and how often offences are repeated</w:t>
                      </w:r>
                      <w:r w:rsidR="00EF027A">
                        <w:rPr>
                          <w:rFonts w:ascii="Verdana" w:eastAsia="MS Mincho" w:hAnsi="Verdana" w:cs="Arial"/>
                          <w:b/>
                        </w:rPr>
                        <w:t>.</w:t>
                      </w:r>
                    </w:p>
                    <w:p w14:paraId="6CFB4111" w14:textId="77777777" w:rsidR="00EF027A" w:rsidRPr="00EF027A" w:rsidRDefault="00EF027A" w:rsidP="00EF027A">
                      <w:pPr>
                        <w:pStyle w:val="ListParagraph"/>
                        <w:rPr>
                          <w:rFonts w:ascii="Verdana" w:eastAsia="MS Mincho" w:hAnsi="Verdana" w:cs="Arial"/>
                          <w:b/>
                        </w:rPr>
                      </w:pPr>
                    </w:p>
                    <w:p w14:paraId="05AD3DB0" w14:textId="5A5240DC" w:rsidR="00EF027A" w:rsidRDefault="00AF099C" w:rsidP="00EF027A">
                      <w:pPr>
                        <w:pStyle w:val="ListParagraph"/>
                        <w:numPr>
                          <w:ilvl w:val="0"/>
                          <w:numId w:val="33"/>
                        </w:numPr>
                        <w:rPr>
                          <w:rFonts w:ascii="Verdana" w:eastAsia="MS Mincho" w:hAnsi="Verdana" w:cs="Arial"/>
                          <w:b/>
                        </w:rPr>
                      </w:pPr>
                      <w:r>
                        <w:rPr>
                          <w:rFonts w:ascii="Verdana" w:eastAsia="MS Mincho" w:hAnsi="Verdana" w:cs="Arial"/>
                          <w:b/>
                        </w:rPr>
                        <w:t xml:space="preserve">That in advance of ratification </w:t>
                      </w:r>
                      <w:r w:rsidR="00960220" w:rsidRPr="00EF027A">
                        <w:rPr>
                          <w:rFonts w:ascii="Verdana" w:eastAsia="MS Mincho" w:hAnsi="Verdana" w:cs="Arial"/>
                          <w:b/>
                        </w:rPr>
                        <w:t xml:space="preserve">the Department </w:t>
                      </w:r>
                      <w:r>
                        <w:rPr>
                          <w:rFonts w:ascii="Verdana" w:eastAsia="MS Mincho" w:hAnsi="Verdana" w:cs="Arial"/>
                          <w:b/>
                        </w:rPr>
                        <w:t xml:space="preserve">meets the commitments </w:t>
                      </w:r>
                      <w:r w:rsidR="00960220" w:rsidRPr="00EF027A">
                        <w:rPr>
                          <w:rFonts w:ascii="Verdana" w:eastAsia="MS Mincho" w:hAnsi="Verdana" w:cs="Arial"/>
                          <w:b/>
                        </w:rPr>
                        <w:t xml:space="preserve">contained within the Istanbul Convention concerning research, awareness-raising, education </w:t>
                      </w:r>
                      <w:r w:rsidR="00EF027A">
                        <w:rPr>
                          <w:rFonts w:ascii="Verdana" w:eastAsia="MS Mincho" w:hAnsi="Verdana" w:cs="Arial"/>
                          <w:b/>
                        </w:rPr>
                        <w:t xml:space="preserve">and training of professionals. </w:t>
                      </w:r>
                    </w:p>
                    <w:p w14:paraId="2E39B8E8" w14:textId="77777777" w:rsidR="00EF027A" w:rsidRPr="00EF027A" w:rsidRDefault="00EF027A" w:rsidP="00EF027A">
                      <w:pPr>
                        <w:pStyle w:val="ListParagraph"/>
                        <w:rPr>
                          <w:rFonts w:ascii="Verdana" w:eastAsia="MS Mincho" w:hAnsi="Verdana" w:cs="Arial"/>
                          <w:b/>
                        </w:rPr>
                      </w:pPr>
                    </w:p>
                    <w:p w14:paraId="221C37C0" w14:textId="78203BC7" w:rsidR="00EF027A" w:rsidRDefault="00960220" w:rsidP="00EF027A">
                      <w:pPr>
                        <w:pStyle w:val="ListParagraph"/>
                        <w:numPr>
                          <w:ilvl w:val="0"/>
                          <w:numId w:val="33"/>
                        </w:numPr>
                        <w:rPr>
                          <w:rFonts w:ascii="Verdana" w:eastAsia="MS Mincho" w:hAnsi="Verdana" w:cs="Arial"/>
                          <w:b/>
                        </w:rPr>
                      </w:pPr>
                      <w:r w:rsidRPr="00EF027A">
                        <w:rPr>
                          <w:rFonts w:ascii="Verdana" w:eastAsia="MS Mincho" w:hAnsi="Verdana" w:cs="Arial"/>
                          <w:b/>
                        </w:rPr>
                        <w:t xml:space="preserve">the UK Government and NI Executive to fulfil their obligations outlined in the NI (Executive Formation etc.) Act 2019. continues </w:t>
                      </w:r>
                      <w:r w:rsidR="00AF099C">
                        <w:rPr>
                          <w:rFonts w:ascii="Verdana" w:eastAsia="MS Mincho" w:hAnsi="Verdana" w:cs="Arial"/>
                          <w:b/>
                        </w:rPr>
                        <w:t xml:space="preserve">including </w:t>
                      </w:r>
                      <w:r w:rsidRPr="00EF027A">
                        <w:rPr>
                          <w:rFonts w:ascii="Verdana" w:eastAsia="MS Mincho" w:hAnsi="Verdana" w:cs="Arial"/>
                          <w:b/>
                        </w:rPr>
                        <w:t>the introduction of age appropriate and scientifically based reproductive and sexual health education</w:t>
                      </w:r>
                      <w:r w:rsidR="00AF099C">
                        <w:rPr>
                          <w:rFonts w:ascii="Verdana" w:eastAsia="MS Mincho" w:hAnsi="Verdana" w:cs="Arial"/>
                          <w:b/>
                        </w:rPr>
                        <w:t xml:space="preserve">. This should </w:t>
                      </w:r>
                      <w:proofErr w:type="spellStart"/>
                      <w:r w:rsidR="00AF099C">
                        <w:rPr>
                          <w:rFonts w:ascii="Verdana" w:eastAsia="MS Mincho" w:hAnsi="Verdana" w:cs="Arial"/>
                          <w:b/>
                        </w:rPr>
                        <w:t>incude</w:t>
                      </w:r>
                      <w:proofErr w:type="spellEnd"/>
                      <w:r w:rsidR="00AF099C">
                        <w:rPr>
                          <w:rFonts w:ascii="Verdana" w:eastAsia="MS Mincho" w:hAnsi="Verdana" w:cs="Arial"/>
                          <w:b/>
                        </w:rPr>
                        <w:t xml:space="preserve"> </w:t>
                      </w:r>
                      <w:r w:rsidRPr="00EF027A">
                        <w:rPr>
                          <w:rFonts w:ascii="Verdana" w:eastAsia="MS Mincho" w:hAnsi="Verdana" w:cs="Arial"/>
                          <w:b/>
                        </w:rPr>
                        <w:t>address</w:t>
                      </w:r>
                      <w:r w:rsidR="00AF099C">
                        <w:rPr>
                          <w:rFonts w:ascii="Verdana" w:eastAsia="MS Mincho" w:hAnsi="Verdana" w:cs="Arial"/>
                          <w:b/>
                        </w:rPr>
                        <w:t>ing</w:t>
                      </w:r>
                      <w:r w:rsidRPr="00EF027A">
                        <w:rPr>
                          <w:rFonts w:ascii="Verdana" w:eastAsia="MS Mincho" w:hAnsi="Verdana" w:cs="Arial"/>
                          <w:b/>
                        </w:rPr>
                        <w:t xml:space="preserve"> the meaning of consent, healthy relationships and prevention of gender based violence. This will require cross departmental collaboration.</w:t>
                      </w:r>
                    </w:p>
                    <w:p w14:paraId="1004761A" w14:textId="77777777" w:rsidR="00EF027A" w:rsidRPr="00EF027A" w:rsidRDefault="00EF027A" w:rsidP="00EF027A">
                      <w:pPr>
                        <w:pStyle w:val="ListParagraph"/>
                        <w:rPr>
                          <w:rFonts w:ascii="Verdana" w:hAnsi="Verdana"/>
                          <w:b/>
                        </w:rPr>
                      </w:pPr>
                    </w:p>
                    <w:p w14:paraId="2D197FB5" w14:textId="49E6877E" w:rsidR="00960220" w:rsidRPr="00EF027A" w:rsidRDefault="008733FE" w:rsidP="00EF027A">
                      <w:pPr>
                        <w:pStyle w:val="ListParagraph"/>
                        <w:numPr>
                          <w:ilvl w:val="0"/>
                          <w:numId w:val="33"/>
                        </w:numPr>
                        <w:rPr>
                          <w:rFonts w:ascii="Verdana" w:eastAsia="MS Mincho" w:hAnsi="Verdana" w:cs="Arial"/>
                          <w:b/>
                        </w:rPr>
                      </w:pPr>
                      <w:r w:rsidRPr="00EF027A">
                        <w:rPr>
                          <w:rFonts w:ascii="Verdana" w:hAnsi="Verdana"/>
                          <w:b/>
                        </w:rPr>
                        <w:t xml:space="preserve">call on the Department to </w:t>
                      </w:r>
                      <w:r w:rsidR="00AF099C">
                        <w:rPr>
                          <w:rFonts w:ascii="Verdana" w:hAnsi="Verdana"/>
                          <w:b/>
                        </w:rPr>
                        <w:t>facilitate the introduction of the training</w:t>
                      </w:r>
                      <w:r w:rsidRPr="00EF027A">
                        <w:rPr>
                          <w:rFonts w:ascii="Verdana" w:hAnsi="Verdana"/>
                          <w:b/>
                        </w:rPr>
                        <w:t xml:space="preserve">  recommendations within the Gillen Review as swiftly as possible.</w:t>
                      </w:r>
                    </w:p>
                  </w:txbxContent>
                </v:textbox>
                <w10:wrap type="square"/>
              </v:shape>
            </w:pict>
          </mc:Fallback>
        </mc:AlternateContent>
      </w:r>
      <w:r w:rsidR="00AD04D3">
        <w:t>Summary of Recommendations</w:t>
      </w:r>
      <w:bookmarkEnd w:id="0"/>
      <w:r w:rsidR="00AD04D3">
        <w:t xml:space="preserve"> </w:t>
      </w:r>
    </w:p>
    <w:p w14:paraId="2D75214D" w14:textId="77777777" w:rsidR="00DC6DB1" w:rsidRPr="00DC6DB1" w:rsidRDefault="00DC6DB1">
      <w:pPr>
        <w:pStyle w:val="Heading1"/>
        <w:numPr>
          <w:ilvl w:val="1"/>
          <w:numId w:val="8"/>
        </w:numPr>
        <w:spacing w:before="24" w:after="24"/>
      </w:pPr>
      <w:bookmarkStart w:id="1" w:name="_Toc61268490"/>
      <w:bookmarkStart w:id="2" w:name="_Toc81304856"/>
      <w:r w:rsidRPr="00DC6DB1">
        <w:lastRenderedPageBreak/>
        <w:t>Introduction</w:t>
      </w:r>
      <w:bookmarkEnd w:id="1"/>
      <w:bookmarkEnd w:id="2"/>
      <w:r w:rsidRPr="00DC6DB1">
        <w:t xml:space="preserve"> </w:t>
      </w:r>
    </w:p>
    <w:p w14:paraId="018B5C8B" w14:textId="77777777" w:rsidR="00DC6DB1" w:rsidRPr="00DC6DB1" w:rsidRDefault="00DC6DB1">
      <w:pPr>
        <w:widowControl w:val="0"/>
        <w:suppressAutoHyphens/>
        <w:autoSpaceDE w:val="0"/>
        <w:autoSpaceDN w:val="0"/>
        <w:adjustRightInd w:val="0"/>
        <w:spacing w:before="24" w:after="24" w:line="288" w:lineRule="auto"/>
        <w:rPr>
          <w:rFonts w:ascii="Verdana" w:eastAsia="MS Mincho" w:hAnsi="Verdana" w:cs="Arial"/>
          <w:color w:val="77328A"/>
          <w:sz w:val="30"/>
          <w:szCs w:val="30"/>
        </w:rPr>
      </w:pPr>
    </w:p>
    <w:p w14:paraId="5A6A049B" w14:textId="5DF43FC9" w:rsidR="00DC6DB1" w:rsidRPr="00DC6DB1" w:rsidRDefault="00DC6DB1">
      <w:pPr>
        <w:widowControl w:val="0"/>
        <w:numPr>
          <w:ilvl w:val="1"/>
          <w:numId w:val="8"/>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Arial"/>
          <w:lang w:val="en-US"/>
        </w:rPr>
        <w:t>The Northern Ireland Human Rights Commission (NIHRC), pursuant to section 69(1) of the Northern Ireland Act 1998, reviews the adequacy and effectiveness of law and practice relating to the protection of human rights in Northern Ireland (NI). In accordance with this function, the following advice is submitted in response to Department of Justice’s consultation on</w:t>
      </w:r>
      <w:r w:rsidR="00485A10">
        <w:rPr>
          <w:rFonts w:ascii="Verdana" w:eastAsia="MS Mincho" w:hAnsi="Verdana" w:cs="Arial"/>
          <w:lang w:val="en-US"/>
        </w:rPr>
        <w:t xml:space="preserve"> Non-Fatal </w:t>
      </w:r>
      <w:r w:rsidR="00843218">
        <w:rPr>
          <w:rFonts w:ascii="Verdana" w:eastAsia="MS Mincho" w:hAnsi="Verdana" w:cs="Arial"/>
          <w:lang w:val="en-US"/>
        </w:rPr>
        <w:t>Strangulation</w:t>
      </w:r>
      <w:r w:rsidRPr="00DC6DB1">
        <w:rPr>
          <w:rFonts w:ascii="Verdana" w:eastAsia="MS Mincho" w:hAnsi="Verdana" w:cs="Arial"/>
          <w:lang w:val="en-US"/>
        </w:rPr>
        <w:t xml:space="preserve">. </w:t>
      </w:r>
    </w:p>
    <w:p w14:paraId="303F8C6C" w14:textId="77777777" w:rsidR="00DC6DB1" w:rsidRPr="00DC6DB1" w:rsidRDefault="00DC6DB1">
      <w:pPr>
        <w:widowControl w:val="0"/>
        <w:autoSpaceDE w:val="0"/>
        <w:autoSpaceDN w:val="0"/>
        <w:adjustRightInd w:val="0"/>
        <w:spacing w:before="24" w:after="24" w:line="288" w:lineRule="auto"/>
        <w:ind w:left="720"/>
        <w:rPr>
          <w:rFonts w:ascii="Verdana" w:eastAsia="MS Mincho" w:hAnsi="Verdana" w:cs="Arial"/>
          <w:lang w:val="en-US"/>
        </w:rPr>
      </w:pPr>
    </w:p>
    <w:p w14:paraId="10FACF92" w14:textId="77777777" w:rsidR="00DC6DB1" w:rsidRPr="00DC6DB1" w:rsidRDefault="00DC6DB1">
      <w:pPr>
        <w:widowControl w:val="0"/>
        <w:numPr>
          <w:ilvl w:val="1"/>
          <w:numId w:val="8"/>
        </w:numPr>
        <w:autoSpaceDE w:val="0"/>
        <w:autoSpaceDN w:val="0"/>
        <w:adjustRightInd w:val="0"/>
        <w:spacing w:before="24" w:after="24" w:line="288" w:lineRule="auto"/>
        <w:rPr>
          <w:rFonts w:ascii="Verdana" w:eastAsia="MS Mincho" w:hAnsi="Verdana" w:cs="Arial"/>
          <w:b/>
          <w:lang w:val="en-US"/>
        </w:rPr>
      </w:pPr>
      <w:r w:rsidRPr="00DC6DB1">
        <w:rPr>
          <w:rFonts w:ascii="Verdana" w:eastAsia="MS Mincho" w:hAnsi="Verdana" w:cs="Arial"/>
          <w:lang w:val="en-US"/>
        </w:rPr>
        <w:t>The NIHRC bases its advice on the full range of internationally accepted human rights standards, including the European Convention on Human Rights, as incorporated by the Human Rights Act 1998, and the treaty obligations of the Council of Europe (CoE) and United Nations (UN). The relevant regional and international treaties in this context include:</w:t>
      </w:r>
    </w:p>
    <w:p w14:paraId="00F9E0B2" w14:textId="77777777" w:rsidR="00DC6DB1" w:rsidRPr="00DC6DB1" w:rsidRDefault="00DC6DB1">
      <w:pPr>
        <w:spacing w:before="24" w:after="24" w:line="288" w:lineRule="auto"/>
        <w:ind w:left="720"/>
        <w:contextualSpacing/>
        <w:rPr>
          <w:rFonts w:ascii="Verdana" w:eastAsia="MS Mincho" w:hAnsi="Verdana" w:cs="Arial"/>
        </w:rPr>
      </w:pPr>
    </w:p>
    <w:p w14:paraId="0D2DB92D" w14:textId="77777777"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b/>
          <w:lang w:val="en-US"/>
        </w:rPr>
      </w:pPr>
      <w:r w:rsidRPr="00DC6DB1">
        <w:rPr>
          <w:rFonts w:ascii="Verdana" w:eastAsia="MS Mincho" w:hAnsi="Verdana" w:cs="Arial"/>
          <w:lang w:val="en-US"/>
        </w:rPr>
        <w:t>European Convention on Human Rights (ECHR);</w:t>
      </w:r>
      <w:r w:rsidRPr="00DC6DB1">
        <w:rPr>
          <w:rFonts w:ascii="Verdana" w:eastAsia="MS Mincho" w:hAnsi="Verdana" w:cs="Arial"/>
          <w:vertAlign w:val="superscript"/>
          <w:lang w:val="en-US"/>
        </w:rPr>
        <w:footnoteReference w:id="2"/>
      </w:r>
      <w:r w:rsidRPr="00DC6DB1">
        <w:rPr>
          <w:rFonts w:ascii="Verdana" w:eastAsia="MS Mincho" w:hAnsi="Verdana" w:cs="Arial"/>
          <w:lang w:val="en-US"/>
        </w:rPr>
        <w:t xml:space="preserve"> </w:t>
      </w:r>
    </w:p>
    <w:p w14:paraId="2E25A2C8" w14:textId="77777777"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Arial"/>
          <w:lang w:val="en-US"/>
        </w:rPr>
        <w:t>CoE Convention on Preventing and Combating Violence against Women (Istanbul Convention);</w:t>
      </w:r>
      <w:r w:rsidRPr="00DC6DB1">
        <w:rPr>
          <w:rFonts w:ascii="Verdana" w:eastAsia="MS Mincho" w:hAnsi="Verdana" w:cs="Arial"/>
          <w:vertAlign w:val="superscript"/>
          <w:lang w:val="en-US"/>
        </w:rPr>
        <w:footnoteReference w:id="3"/>
      </w:r>
    </w:p>
    <w:p w14:paraId="74E290CE" w14:textId="54D82EB1"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Arial"/>
          <w:lang w:val="en-US"/>
        </w:rPr>
        <w:t xml:space="preserve">UN </w:t>
      </w:r>
      <w:r w:rsidR="00594EA3">
        <w:rPr>
          <w:rFonts w:ascii="Verdana" w:eastAsia="MS Mincho" w:hAnsi="Verdana" w:cs="Arial"/>
          <w:lang w:val="en-US"/>
        </w:rPr>
        <w:t>International Covenant</w:t>
      </w:r>
      <w:r w:rsidRPr="00DC6DB1">
        <w:rPr>
          <w:rFonts w:ascii="Verdana" w:eastAsia="MS Mincho" w:hAnsi="Verdana" w:cs="Arial"/>
          <w:lang w:val="en-US"/>
        </w:rPr>
        <w:t xml:space="preserve"> on Civil and Political Rights (UN ICCPR);</w:t>
      </w:r>
      <w:r w:rsidRPr="00DC6DB1">
        <w:rPr>
          <w:rFonts w:ascii="Verdana" w:eastAsia="MS Mincho" w:hAnsi="Verdana" w:cs="Arial"/>
          <w:vertAlign w:val="superscript"/>
          <w:lang w:val="en-US"/>
        </w:rPr>
        <w:footnoteReference w:id="4"/>
      </w:r>
    </w:p>
    <w:p w14:paraId="32DA3598" w14:textId="77777777"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Verdana"/>
          <w:color w:val="000000"/>
          <w:lang w:val="en-US"/>
        </w:rPr>
        <w:t>UN Convention on Elimination of Discrimination against Women (UN CEDAW);</w:t>
      </w:r>
      <w:r w:rsidRPr="00DC6DB1">
        <w:rPr>
          <w:rFonts w:ascii="Verdana" w:eastAsia="MS Mincho" w:hAnsi="Verdana" w:cs="Verdana"/>
          <w:color w:val="000000"/>
          <w:vertAlign w:val="superscript"/>
          <w:lang w:val="en-US"/>
        </w:rPr>
        <w:footnoteReference w:id="5"/>
      </w:r>
    </w:p>
    <w:p w14:paraId="7846E919" w14:textId="77777777"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Verdana"/>
          <w:color w:val="000000"/>
          <w:lang w:val="en-US"/>
        </w:rPr>
        <w:t>UN Convention against Torture (UN CAT);</w:t>
      </w:r>
      <w:r w:rsidRPr="00DC6DB1">
        <w:rPr>
          <w:rFonts w:ascii="Verdana" w:eastAsia="MS Mincho" w:hAnsi="Verdana" w:cs="Verdana"/>
          <w:color w:val="000000"/>
          <w:vertAlign w:val="superscript"/>
          <w:lang w:val="en-US"/>
        </w:rPr>
        <w:footnoteReference w:id="6"/>
      </w:r>
    </w:p>
    <w:p w14:paraId="53695EF7" w14:textId="77777777"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Verdana"/>
          <w:color w:val="000000"/>
          <w:lang w:val="en-US"/>
        </w:rPr>
        <w:t>UN Convention on the Rights of the Child (UN CRC);</w:t>
      </w:r>
      <w:r w:rsidRPr="00DC6DB1">
        <w:rPr>
          <w:rFonts w:ascii="Verdana" w:eastAsia="MS Mincho" w:hAnsi="Verdana" w:cs="Verdana"/>
          <w:color w:val="000000"/>
          <w:vertAlign w:val="superscript"/>
          <w:lang w:val="en-US"/>
        </w:rPr>
        <w:footnoteReference w:id="7"/>
      </w:r>
      <w:r w:rsidRPr="00DC6DB1">
        <w:rPr>
          <w:rFonts w:ascii="Verdana" w:eastAsia="MS Mincho" w:hAnsi="Verdana" w:cs="Verdana"/>
          <w:color w:val="000000"/>
          <w:lang w:val="en-US"/>
        </w:rPr>
        <w:t xml:space="preserve"> and</w:t>
      </w:r>
    </w:p>
    <w:p w14:paraId="0C6CFF61" w14:textId="77777777" w:rsidR="00DC6DB1" w:rsidRPr="00DC6DB1" w:rsidRDefault="00DC6DB1">
      <w:pPr>
        <w:widowControl w:val="0"/>
        <w:numPr>
          <w:ilvl w:val="0"/>
          <w:numId w:val="9"/>
        </w:numPr>
        <w:autoSpaceDE w:val="0"/>
        <w:autoSpaceDN w:val="0"/>
        <w:adjustRightInd w:val="0"/>
        <w:spacing w:before="24" w:after="24" w:line="288" w:lineRule="auto"/>
        <w:rPr>
          <w:rFonts w:ascii="Verdana" w:eastAsia="MS Mincho" w:hAnsi="Verdana" w:cs="Arial"/>
          <w:lang w:val="en-US"/>
        </w:rPr>
      </w:pPr>
      <w:r w:rsidRPr="00DC6DB1">
        <w:rPr>
          <w:rFonts w:ascii="Verdana" w:eastAsia="MS Mincho" w:hAnsi="Verdana" w:cs="Verdana"/>
          <w:color w:val="000000"/>
          <w:lang w:val="en-US"/>
        </w:rPr>
        <w:t>UN Convention on the Rights of Persons with Disabilities (UN CRPD).</w:t>
      </w:r>
      <w:r w:rsidRPr="00DC6DB1">
        <w:rPr>
          <w:rFonts w:ascii="Verdana" w:eastAsia="MS Mincho" w:hAnsi="Verdana" w:cs="Verdana"/>
          <w:color w:val="000000"/>
          <w:vertAlign w:val="superscript"/>
          <w:lang w:val="en-US"/>
        </w:rPr>
        <w:footnoteReference w:id="8"/>
      </w:r>
    </w:p>
    <w:p w14:paraId="4C8DD0F4" w14:textId="77777777" w:rsidR="00DC6DB1" w:rsidRPr="00DC6DB1" w:rsidRDefault="00DC6DB1">
      <w:pPr>
        <w:spacing w:before="24" w:after="24" w:line="288" w:lineRule="auto"/>
        <w:ind w:left="720"/>
        <w:contextualSpacing/>
        <w:rPr>
          <w:rFonts w:ascii="Verdana" w:eastAsia="MS Mincho" w:hAnsi="Verdana" w:cs="Arial"/>
        </w:rPr>
      </w:pPr>
    </w:p>
    <w:p w14:paraId="7795FAA0" w14:textId="77777777" w:rsidR="00DC6DB1" w:rsidRPr="00DC6DB1" w:rsidRDefault="00DC6DB1">
      <w:pPr>
        <w:numPr>
          <w:ilvl w:val="1"/>
          <w:numId w:val="8"/>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In addition to these treaty standards, there exists a body of ‘soft law’ developed by the human rights bodies of the CoE and UN. These declarations and principles are non-binding, but provide further guidance in respect of specific areas. The relevant standards in this context include:</w:t>
      </w:r>
    </w:p>
    <w:p w14:paraId="4FBCD219" w14:textId="77777777" w:rsidR="00DC6DB1" w:rsidRPr="00DC6DB1" w:rsidRDefault="00DC6DB1">
      <w:pPr>
        <w:spacing w:before="24" w:after="24" w:line="288" w:lineRule="auto"/>
        <w:ind w:left="720"/>
        <w:contextualSpacing/>
        <w:rPr>
          <w:rFonts w:ascii="Verdana" w:eastAsia="MS Mincho" w:hAnsi="Verdana" w:cs="Arial"/>
          <w:lang w:val="en-US"/>
        </w:rPr>
      </w:pPr>
    </w:p>
    <w:p w14:paraId="19D4DA3B" w14:textId="77777777" w:rsidR="00DC6DB1" w:rsidRPr="00DC6DB1" w:rsidRDefault="00DC6DB1">
      <w:pPr>
        <w:numPr>
          <w:ilvl w:val="0"/>
          <w:numId w:val="10"/>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UN CAT Committee Concluding Observations 2019;</w:t>
      </w:r>
      <w:r w:rsidRPr="00DC6DB1">
        <w:rPr>
          <w:rFonts w:ascii="Verdana" w:eastAsia="MS Mincho" w:hAnsi="Verdana" w:cs="Arial"/>
          <w:vertAlign w:val="superscript"/>
          <w:lang w:val="en-US"/>
        </w:rPr>
        <w:footnoteReference w:id="9"/>
      </w:r>
    </w:p>
    <w:p w14:paraId="15C4D869" w14:textId="77777777" w:rsidR="00DC6DB1" w:rsidRPr="00DC6DB1" w:rsidRDefault="00DC6DB1">
      <w:pPr>
        <w:numPr>
          <w:ilvl w:val="0"/>
          <w:numId w:val="10"/>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lastRenderedPageBreak/>
        <w:t>UN CEDAW Committee Concluding Observations 2019;</w:t>
      </w:r>
      <w:r w:rsidRPr="00DC6DB1">
        <w:rPr>
          <w:rFonts w:ascii="Verdana" w:eastAsia="MS Mincho" w:hAnsi="Verdana" w:cs="Arial"/>
          <w:vertAlign w:val="superscript"/>
          <w:lang w:val="en-US"/>
        </w:rPr>
        <w:footnoteReference w:id="10"/>
      </w:r>
    </w:p>
    <w:p w14:paraId="3BAEF8DB" w14:textId="77777777" w:rsidR="00DC6DB1" w:rsidRPr="00DC6DB1" w:rsidRDefault="00DC6DB1">
      <w:pPr>
        <w:numPr>
          <w:ilvl w:val="0"/>
          <w:numId w:val="10"/>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UN CEDAW Committee General Recommendation No 35;</w:t>
      </w:r>
      <w:r w:rsidRPr="00DC6DB1">
        <w:rPr>
          <w:rFonts w:ascii="Verdana" w:eastAsia="MS Mincho" w:hAnsi="Verdana" w:cs="Arial"/>
          <w:vertAlign w:val="superscript"/>
          <w:lang w:val="en-US"/>
        </w:rPr>
        <w:footnoteReference w:id="11"/>
      </w:r>
    </w:p>
    <w:p w14:paraId="428DB2B0" w14:textId="77777777" w:rsidR="00DC6DB1" w:rsidRPr="00DC6DB1" w:rsidRDefault="00DC6DB1">
      <w:pPr>
        <w:numPr>
          <w:ilvl w:val="0"/>
          <w:numId w:val="10"/>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UN Human Rights Committee General Comment No 32;</w:t>
      </w:r>
      <w:r w:rsidRPr="00DC6DB1">
        <w:rPr>
          <w:rFonts w:ascii="Verdana" w:eastAsia="MS Mincho" w:hAnsi="Verdana" w:cs="Arial"/>
          <w:vertAlign w:val="superscript"/>
          <w:lang w:val="en-US"/>
        </w:rPr>
        <w:footnoteReference w:id="12"/>
      </w:r>
      <w:r w:rsidRPr="00DC6DB1">
        <w:rPr>
          <w:rFonts w:ascii="Verdana" w:eastAsia="MS Mincho" w:hAnsi="Verdana" w:cs="Arial"/>
          <w:lang w:val="en-US"/>
        </w:rPr>
        <w:t xml:space="preserve"> and </w:t>
      </w:r>
    </w:p>
    <w:p w14:paraId="510CEE91" w14:textId="77777777" w:rsidR="00DC6DB1" w:rsidRPr="00DC6DB1" w:rsidRDefault="00DC6DB1">
      <w:pPr>
        <w:numPr>
          <w:ilvl w:val="0"/>
          <w:numId w:val="10"/>
        </w:numPr>
        <w:spacing w:before="24" w:after="24" w:line="288" w:lineRule="auto"/>
        <w:contextualSpacing/>
        <w:rPr>
          <w:rFonts w:ascii="Verdana" w:eastAsia="MS Mincho" w:hAnsi="Verdana" w:cs="Arial"/>
          <w:lang w:val="en-US"/>
        </w:rPr>
      </w:pPr>
      <w:r w:rsidRPr="00DC6DB1">
        <w:rPr>
          <w:rFonts w:ascii="Verdana" w:eastAsia="MS Mincho" w:hAnsi="Verdana" w:cs="Arial"/>
          <w:lang w:val="en-US"/>
        </w:rPr>
        <w:t>UN Declaration on the Elimination of Violence against Women.</w:t>
      </w:r>
      <w:r w:rsidRPr="00DC6DB1">
        <w:rPr>
          <w:rFonts w:ascii="Verdana" w:eastAsia="MS Mincho" w:hAnsi="Verdana" w:cs="Arial"/>
          <w:vertAlign w:val="superscript"/>
          <w:lang w:val="en-US"/>
        </w:rPr>
        <w:footnoteReference w:id="13"/>
      </w:r>
    </w:p>
    <w:p w14:paraId="78290857" w14:textId="77777777" w:rsidR="00DC6DB1" w:rsidRPr="00DC6DB1" w:rsidRDefault="00DC6DB1">
      <w:pPr>
        <w:widowControl w:val="0"/>
        <w:autoSpaceDE w:val="0"/>
        <w:autoSpaceDN w:val="0"/>
        <w:adjustRightInd w:val="0"/>
        <w:spacing w:before="24" w:after="24" w:line="288" w:lineRule="auto"/>
        <w:rPr>
          <w:rFonts w:ascii="Verdana" w:hAnsi="Verdana" w:cs="Arial"/>
          <w:color w:val="232120"/>
          <w:lang w:val="en-US"/>
        </w:rPr>
      </w:pPr>
    </w:p>
    <w:p w14:paraId="5931DF60" w14:textId="77777777" w:rsidR="00DC6DB1" w:rsidRDefault="004A3BF3">
      <w:pPr>
        <w:numPr>
          <w:ilvl w:val="1"/>
          <w:numId w:val="8"/>
        </w:numPr>
        <w:spacing w:before="24" w:after="24" w:line="288" w:lineRule="auto"/>
        <w:contextualSpacing/>
        <w:rPr>
          <w:rFonts w:ascii="Verdana" w:eastAsia="MS Mincho" w:hAnsi="Verdana" w:cs="Arial"/>
          <w:lang w:val="en-US"/>
        </w:rPr>
      </w:pPr>
      <w:r>
        <w:rPr>
          <w:rFonts w:ascii="Verdana" w:eastAsia="MS Mincho" w:hAnsi="Verdana" w:cs="Arial"/>
          <w:lang w:val="en-US"/>
        </w:rPr>
        <w:t>The NIHRC</w:t>
      </w:r>
      <w:r w:rsidR="00DC6DB1" w:rsidRPr="00DC6DB1">
        <w:rPr>
          <w:rFonts w:ascii="Verdana" w:eastAsia="MS Mincho" w:hAnsi="Verdana" w:cs="Arial"/>
          <w:lang w:val="en-US"/>
        </w:rPr>
        <w:t xml:space="preserve"> welcomes the </w:t>
      </w:r>
      <w:r w:rsidR="00C504E2">
        <w:rPr>
          <w:rFonts w:ascii="Verdana" w:eastAsia="MS Mincho" w:hAnsi="Verdana" w:cs="Arial"/>
          <w:lang w:val="en-US"/>
        </w:rPr>
        <w:t>Department’s consultation to consider the introductio</w:t>
      </w:r>
      <w:r w:rsidR="00DC6DB1" w:rsidRPr="00DC6DB1">
        <w:rPr>
          <w:rFonts w:ascii="Verdana" w:eastAsia="MS Mincho" w:hAnsi="Verdana" w:cs="Arial"/>
          <w:lang w:val="en-US"/>
        </w:rPr>
        <w:t xml:space="preserve">n of legislation to </w:t>
      </w:r>
      <w:r w:rsidR="00E150E1">
        <w:rPr>
          <w:rFonts w:ascii="Verdana" w:eastAsia="MS Mincho" w:hAnsi="Verdana" w:cs="Arial"/>
          <w:lang w:val="en-US"/>
        </w:rPr>
        <w:t>create a standalone</w:t>
      </w:r>
      <w:r w:rsidR="00DC6DB1">
        <w:rPr>
          <w:rFonts w:ascii="Verdana" w:eastAsia="MS Mincho" w:hAnsi="Verdana" w:cs="Arial"/>
          <w:lang w:val="en-US"/>
        </w:rPr>
        <w:t xml:space="preserve"> offence </w:t>
      </w:r>
      <w:r w:rsidR="00E150E1">
        <w:rPr>
          <w:rFonts w:ascii="Verdana" w:eastAsia="MS Mincho" w:hAnsi="Verdana" w:cs="Arial"/>
          <w:lang w:val="en-US"/>
        </w:rPr>
        <w:t xml:space="preserve">for non-fatal strangulation. </w:t>
      </w:r>
    </w:p>
    <w:p w14:paraId="695343C2" w14:textId="77777777" w:rsidR="008A7F3E" w:rsidRDefault="008A7F3E">
      <w:pPr>
        <w:spacing w:before="24" w:after="24" w:line="288" w:lineRule="auto"/>
        <w:ind w:left="720"/>
        <w:contextualSpacing/>
        <w:rPr>
          <w:rFonts w:ascii="Verdana" w:eastAsia="MS Mincho" w:hAnsi="Verdana" w:cs="Arial"/>
          <w:lang w:val="en-US"/>
        </w:rPr>
      </w:pPr>
    </w:p>
    <w:p w14:paraId="3A5B5A2B" w14:textId="77777777" w:rsidR="008A7F3E" w:rsidRDefault="008A7F3E">
      <w:pPr>
        <w:pStyle w:val="Heading1"/>
        <w:numPr>
          <w:ilvl w:val="1"/>
          <w:numId w:val="14"/>
        </w:numPr>
        <w:spacing w:before="24" w:after="24"/>
        <w:rPr>
          <w:lang w:val="en-US"/>
        </w:rPr>
      </w:pPr>
      <w:bookmarkStart w:id="3" w:name="_Toc81304857"/>
      <w:r>
        <w:rPr>
          <w:lang w:val="en-US"/>
        </w:rPr>
        <w:t>Standalone Offence</w:t>
      </w:r>
      <w:bookmarkEnd w:id="3"/>
      <w:r>
        <w:rPr>
          <w:lang w:val="en-US"/>
        </w:rPr>
        <w:t xml:space="preserve"> </w:t>
      </w:r>
    </w:p>
    <w:p w14:paraId="5D9F04A7" w14:textId="77777777" w:rsidR="00CA6B33" w:rsidRDefault="00CA6B33">
      <w:pPr>
        <w:spacing w:before="24" w:after="24" w:line="288" w:lineRule="auto"/>
        <w:contextualSpacing/>
        <w:rPr>
          <w:rFonts w:ascii="Verdana" w:eastAsia="MS Mincho" w:hAnsi="Verdana" w:cs="Arial"/>
          <w:lang w:val="en-US"/>
        </w:rPr>
      </w:pPr>
    </w:p>
    <w:p w14:paraId="38825D20" w14:textId="5BFC44C7" w:rsidR="00E150E1" w:rsidRPr="008A7F3E" w:rsidRDefault="007B06C3">
      <w:pPr>
        <w:pStyle w:val="ListParagraph"/>
        <w:numPr>
          <w:ilvl w:val="1"/>
          <w:numId w:val="14"/>
        </w:numPr>
        <w:spacing w:before="24" w:after="24" w:line="288" w:lineRule="auto"/>
        <w:rPr>
          <w:rFonts w:ascii="Verdana" w:eastAsia="MS Mincho" w:hAnsi="Verdana" w:cs="Arial"/>
          <w:lang w:val="en-US"/>
        </w:rPr>
      </w:pPr>
      <w:r>
        <w:rPr>
          <w:rFonts w:ascii="Verdana" w:eastAsia="MS Mincho" w:hAnsi="Verdana" w:cs="Arial"/>
          <w:lang w:val="en-US"/>
        </w:rPr>
        <w:t>The NIHRC</w:t>
      </w:r>
      <w:r w:rsidR="00C504E2">
        <w:rPr>
          <w:rFonts w:ascii="Verdana" w:eastAsia="MS Mincho" w:hAnsi="Verdana" w:cs="Arial"/>
          <w:lang w:val="en-US"/>
        </w:rPr>
        <w:t xml:space="preserve"> has continuously called for the need to introduce legislation to create</w:t>
      </w:r>
      <w:r w:rsidR="00B326C1" w:rsidRPr="008A7F3E">
        <w:rPr>
          <w:rFonts w:ascii="Verdana" w:eastAsia="MS Mincho" w:hAnsi="Verdana" w:cs="Arial"/>
          <w:lang w:val="en-US"/>
        </w:rPr>
        <w:t xml:space="preserve"> a new standalone offence of non-fatal strangulation</w:t>
      </w:r>
      <w:r w:rsidR="00C504E2">
        <w:rPr>
          <w:rFonts w:ascii="Verdana" w:eastAsia="MS Mincho" w:hAnsi="Verdana" w:cs="Arial"/>
          <w:lang w:val="en-US"/>
        </w:rPr>
        <w:t>.</w:t>
      </w:r>
      <w:r w:rsidR="00843218">
        <w:rPr>
          <w:rStyle w:val="FootnoteReference"/>
          <w:rFonts w:ascii="Verdana" w:eastAsia="MS Mincho" w:hAnsi="Verdana" w:cs="Arial"/>
          <w:lang w:val="en-US"/>
        </w:rPr>
        <w:footnoteReference w:id="14"/>
      </w:r>
      <w:r w:rsidR="00B326C1" w:rsidRPr="008A7F3E">
        <w:rPr>
          <w:rFonts w:ascii="Verdana" w:eastAsia="MS Mincho" w:hAnsi="Verdana" w:cs="Arial"/>
          <w:lang w:val="en-US"/>
        </w:rPr>
        <w:t xml:space="preserve"> </w:t>
      </w:r>
    </w:p>
    <w:p w14:paraId="7C3B6206" w14:textId="77777777" w:rsidR="00E150E1" w:rsidRDefault="00E150E1">
      <w:pPr>
        <w:pStyle w:val="ListParagraph"/>
        <w:spacing w:before="24" w:after="24" w:line="288" w:lineRule="auto"/>
        <w:rPr>
          <w:rFonts w:ascii="Verdana" w:eastAsia="MS Mincho" w:hAnsi="Verdana" w:cs="Arial"/>
          <w:lang w:val="en-US"/>
        </w:rPr>
      </w:pPr>
    </w:p>
    <w:p w14:paraId="2E3C5A44" w14:textId="68BEDA6A" w:rsidR="00A018E7" w:rsidRDefault="00C504E2" w:rsidP="001B4AF0">
      <w:pPr>
        <w:pStyle w:val="ListParagraph"/>
        <w:numPr>
          <w:ilvl w:val="1"/>
          <w:numId w:val="14"/>
        </w:numPr>
        <w:spacing w:before="24" w:after="24" w:line="288" w:lineRule="auto"/>
        <w:rPr>
          <w:rFonts w:ascii="Verdana" w:eastAsia="MS Mincho" w:hAnsi="Verdana" w:cs="Arial"/>
          <w:lang w:val="en-US"/>
        </w:rPr>
      </w:pPr>
      <w:r>
        <w:rPr>
          <w:rFonts w:ascii="Verdana" w:eastAsia="MS Mincho" w:hAnsi="Verdana" w:cs="Arial"/>
          <w:lang w:val="en-US"/>
        </w:rPr>
        <w:t>Currently, t</w:t>
      </w:r>
      <w:r w:rsidR="00CA6B33" w:rsidRPr="00E150E1">
        <w:rPr>
          <w:rFonts w:ascii="Verdana" w:eastAsia="MS Mincho" w:hAnsi="Verdana" w:cs="Arial"/>
          <w:lang w:val="en-US"/>
        </w:rPr>
        <w:t xml:space="preserve">he offence of choking, suffocation or strangulation is legislated for in </w:t>
      </w:r>
      <w:r w:rsidR="00556D60">
        <w:rPr>
          <w:rFonts w:ascii="Verdana" w:eastAsia="MS Mincho" w:hAnsi="Verdana" w:cs="Arial"/>
          <w:lang w:val="en-US"/>
        </w:rPr>
        <w:t>Section 21</w:t>
      </w:r>
      <w:r w:rsidR="00CA6B33" w:rsidRPr="00E150E1">
        <w:rPr>
          <w:rFonts w:ascii="Verdana" w:eastAsia="MS Mincho" w:hAnsi="Verdana" w:cs="Arial"/>
          <w:lang w:val="en-US"/>
        </w:rPr>
        <w:t xml:space="preserve"> Offences </w:t>
      </w:r>
      <w:r w:rsidR="00594EA3">
        <w:rPr>
          <w:rFonts w:ascii="Verdana" w:eastAsia="MS Mincho" w:hAnsi="Verdana" w:cs="Arial"/>
          <w:lang w:val="en-US"/>
        </w:rPr>
        <w:t>A</w:t>
      </w:r>
      <w:r w:rsidR="00CA6B33" w:rsidRPr="00E150E1">
        <w:rPr>
          <w:rFonts w:ascii="Verdana" w:eastAsia="MS Mincho" w:hAnsi="Verdana" w:cs="Arial"/>
          <w:lang w:val="en-US"/>
        </w:rPr>
        <w:t>gainst the Person Act 1861. It can only be tried in the Crown Court and carries a maximum penalty of a life sentence. A component part of the offence is that the offender also intended to commit a further indictable offence. The impact of this</w:t>
      </w:r>
      <w:r w:rsidR="003C272D">
        <w:rPr>
          <w:rFonts w:ascii="Verdana" w:eastAsia="MS Mincho" w:hAnsi="Verdana" w:cs="Arial"/>
          <w:lang w:val="en-US"/>
        </w:rPr>
        <w:t>,</w:t>
      </w:r>
      <w:r w:rsidR="00CA6B33" w:rsidRPr="00E150E1">
        <w:rPr>
          <w:rFonts w:ascii="Verdana" w:eastAsia="MS Mincho" w:hAnsi="Verdana" w:cs="Arial"/>
          <w:lang w:val="en-US"/>
        </w:rPr>
        <w:t xml:space="preserve"> is that most strangulation cases are progressed under alternative charges</w:t>
      </w:r>
      <w:r w:rsidR="00556D60">
        <w:rPr>
          <w:rFonts w:ascii="Verdana" w:eastAsia="MS Mincho" w:hAnsi="Verdana" w:cs="Arial"/>
          <w:lang w:val="en-US"/>
        </w:rPr>
        <w:t xml:space="preserve"> and is most commonly </w:t>
      </w:r>
      <w:r w:rsidR="007B06C3">
        <w:rPr>
          <w:rFonts w:ascii="Verdana" w:eastAsia="MS Mincho" w:hAnsi="Verdana" w:cs="Arial"/>
          <w:lang w:val="en-US"/>
        </w:rPr>
        <w:t xml:space="preserve"> charged under Common Assault</w:t>
      </w:r>
      <w:r w:rsidR="00CA6B33" w:rsidRPr="007B06C3">
        <w:rPr>
          <w:rFonts w:ascii="Verdana" w:eastAsia="MS Mincho" w:hAnsi="Verdana" w:cs="Arial"/>
          <w:lang w:val="en-US"/>
        </w:rPr>
        <w:t xml:space="preserve"> </w:t>
      </w:r>
      <w:r w:rsidR="007B06C3">
        <w:rPr>
          <w:rFonts w:ascii="Verdana" w:eastAsia="MS Mincho" w:hAnsi="Verdana" w:cs="Arial"/>
          <w:lang w:val="en-US"/>
        </w:rPr>
        <w:t xml:space="preserve">which </w:t>
      </w:r>
      <w:r w:rsidR="007B06C3" w:rsidRPr="007B06C3">
        <w:rPr>
          <w:rFonts w:ascii="Verdana" w:eastAsia="MS Mincho" w:hAnsi="Verdana" w:cs="Arial"/>
          <w:lang w:val="en-US"/>
        </w:rPr>
        <w:t>negates capturing the g</w:t>
      </w:r>
      <w:r w:rsidR="007B06C3">
        <w:rPr>
          <w:rFonts w:ascii="Verdana" w:eastAsia="MS Mincho" w:hAnsi="Verdana" w:cs="Arial"/>
          <w:lang w:val="en-US"/>
        </w:rPr>
        <w:t>endered element of the offence, the appropriate sentencing and offender rehabilitation required</w:t>
      </w:r>
      <w:r w:rsidR="007B06C3" w:rsidRPr="007B06C3">
        <w:rPr>
          <w:rFonts w:ascii="Verdana" w:eastAsia="MS Mincho" w:hAnsi="Verdana" w:cs="Arial"/>
          <w:lang w:val="en-US"/>
        </w:rPr>
        <w:t>.</w:t>
      </w:r>
      <w:r w:rsidR="004A3BF3">
        <w:rPr>
          <w:rFonts w:ascii="Verdana" w:eastAsia="MS Mincho" w:hAnsi="Verdana" w:cs="Arial"/>
          <w:lang w:val="en-US"/>
        </w:rPr>
        <w:t xml:space="preserve"> </w:t>
      </w:r>
      <w:r w:rsidR="007B06C3" w:rsidRPr="004A3BF3">
        <w:rPr>
          <w:rFonts w:ascii="Verdana" w:eastAsia="MS Mincho" w:hAnsi="Verdana" w:cs="Arial"/>
          <w:lang w:val="en-US"/>
        </w:rPr>
        <w:t>A standalone</w:t>
      </w:r>
      <w:r w:rsidR="00A018E7" w:rsidRPr="004A3BF3">
        <w:rPr>
          <w:rFonts w:ascii="Verdana" w:eastAsia="MS Mincho" w:hAnsi="Verdana" w:cs="Arial"/>
          <w:lang w:val="en-US"/>
        </w:rPr>
        <w:t xml:space="preserve"> offence of </w:t>
      </w:r>
      <w:r w:rsidR="007B06C3" w:rsidRPr="004A3BF3">
        <w:rPr>
          <w:rFonts w:ascii="Verdana" w:eastAsia="MS Mincho" w:hAnsi="Verdana" w:cs="Arial"/>
          <w:lang w:val="en-US"/>
        </w:rPr>
        <w:t xml:space="preserve">non-fatal </w:t>
      </w:r>
      <w:r w:rsidR="00A018E7" w:rsidRPr="004A3BF3">
        <w:rPr>
          <w:rFonts w:ascii="Verdana" w:eastAsia="MS Mincho" w:hAnsi="Verdana" w:cs="Arial"/>
          <w:lang w:val="en-US"/>
        </w:rPr>
        <w:t xml:space="preserve">strangulation </w:t>
      </w:r>
      <w:r w:rsidR="007B06C3" w:rsidRPr="004A3BF3">
        <w:rPr>
          <w:rFonts w:ascii="Verdana" w:eastAsia="MS Mincho" w:hAnsi="Verdana" w:cs="Arial"/>
          <w:lang w:val="en-US"/>
        </w:rPr>
        <w:t xml:space="preserve">will </w:t>
      </w:r>
      <w:r w:rsidR="00A018E7" w:rsidRPr="004A3BF3">
        <w:rPr>
          <w:rFonts w:ascii="Verdana" w:eastAsia="MS Mincho" w:hAnsi="Verdana" w:cs="Arial"/>
          <w:lang w:val="en-US"/>
        </w:rPr>
        <w:t>require</w:t>
      </w:r>
      <w:r w:rsidR="007B06C3" w:rsidRPr="004A3BF3">
        <w:rPr>
          <w:rFonts w:ascii="Verdana" w:eastAsia="MS Mincho" w:hAnsi="Verdana" w:cs="Arial"/>
          <w:lang w:val="en-US"/>
        </w:rPr>
        <w:t xml:space="preserve"> criminal justice authorities </w:t>
      </w:r>
      <w:r w:rsidR="008452CF" w:rsidRPr="004A3BF3">
        <w:rPr>
          <w:rFonts w:ascii="Verdana" w:eastAsia="MS Mincho" w:hAnsi="Verdana" w:cs="Arial"/>
          <w:lang w:val="en-US"/>
        </w:rPr>
        <w:t>to address the severity of the o</w:t>
      </w:r>
      <w:r w:rsidR="00F10DDD" w:rsidRPr="004A3BF3">
        <w:rPr>
          <w:rFonts w:ascii="Verdana" w:eastAsia="MS Mincho" w:hAnsi="Verdana" w:cs="Arial"/>
          <w:lang w:val="en-US"/>
        </w:rPr>
        <w:t>ffence</w:t>
      </w:r>
      <w:r w:rsidR="00A018E7" w:rsidRPr="004A3BF3">
        <w:rPr>
          <w:rFonts w:ascii="Verdana" w:eastAsia="MS Mincho" w:hAnsi="Verdana" w:cs="Arial"/>
          <w:lang w:val="en-US"/>
        </w:rPr>
        <w:t xml:space="preserve"> and </w:t>
      </w:r>
      <w:r w:rsidR="008452CF" w:rsidRPr="004A3BF3">
        <w:rPr>
          <w:rFonts w:ascii="Verdana" w:eastAsia="MS Mincho" w:hAnsi="Verdana" w:cs="Arial"/>
          <w:lang w:val="en-US"/>
        </w:rPr>
        <w:t xml:space="preserve">understand </w:t>
      </w:r>
      <w:r w:rsidR="00F10DDD" w:rsidRPr="004A3BF3">
        <w:rPr>
          <w:rFonts w:ascii="Verdana" w:eastAsia="MS Mincho" w:hAnsi="Verdana" w:cs="Arial"/>
          <w:lang w:val="en-US"/>
        </w:rPr>
        <w:t xml:space="preserve">links between strangulation, </w:t>
      </w:r>
      <w:r w:rsidR="00A018E7" w:rsidRPr="004A3BF3">
        <w:rPr>
          <w:rFonts w:ascii="Verdana" w:eastAsia="MS Mincho" w:hAnsi="Verdana" w:cs="Arial"/>
          <w:lang w:val="en-US"/>
        </w:rPr>
        <w:t xml:space="preserve">domestic abuse and homicide. </w:t>
      </w:r>
    </w:p>
    <w:p w14:paraId="679D8D2F" w14:textId="77777777" w:rsidR="00485A10" w:rsidRPr="001B4AF0" w:rsidRDefault="00485A10" w:rsidP="001B4AF0">
      <w:pPr>
        <w:pStyle w:val="ListParagraph"/>
        <w:spacing w:before="24" w:after="24"/>
        <w:rPr>
          <w:rFonts w:ascii="Verdana" w:eastAsia="MS Mincho" w:hAnsi="Verdana" w:cs="Arial"/>
          <w:lang w:val="en-US"/>
        </w:rPr>
      </w:pPr>
    </w:p>
    <w:p w14:paraId="6A6C99BF" w14:textId="3AB4AB85" w:rsidR="00485A10" w:rsidRPr="00556D60" w:rsidRDefault="00556D60">
      <w:pPr>
        <w:pStyle w:val="ListParagraph"/>
        <w:numPr>
          <w:ilvl w:val="1"/>
          <w:numId w:val="14"/>
        </w:numPr>
        <w:spacing w:before="24" w:after="24"/>
        <w:rPr>
          <w:rFonts w:ascii="Verdana" w:eastAsia="MS Mincho" w:hAnsi="Verdana" w:cs="Arial"/>
          <w:lang w:val="en-US"/>
        </w:rPr>
      </w:pPr>
      <w:r w:rsidRPr="00AD1E34">
        <w:rPr>
          <w:rFonts w:ascii="Verdana" w:eastAsia="MS Mincho" w:hAnsi="Verdana" w:cs="Arial"/>
          <w:lang w:val="en-US"/>
        </w:rPr>
        <w:t xml:space="preserve">In 2019 the </w:t>
      </w:r>
      <w:r w:rsidR="00485A10" w:rsidRPr="00AD1E34">
        <w:rPr>
          <w:rFonts w:ascii="Verdana" w:eastAsia="MS Mincho" w:hAnsi="Verdana" w:cs="Arial"/>
          <w:lang w:val="en-US"/>
        </w:rPr>
        <w:t>Criminal Justice Inspectorate for NI</w:t>
      </w:r>
      <w:r w:rsidRPr="001B4AF0">
        <w:rPr>
          <w:rFonts w:ascii="Verdana" w:hAnsi="Verdana"/>
        </w:rPr>
        <w:t xml:space="preserve"> </w:t>
      </w:r>
      <w:r w:rsidR="00AD1E34" w:rsidRPr="001B4AF0">
        <w:rPr>
          <w:rFonts w:ascii="Verdana" w:hAnsi="Verdana"/>
        </w:rPr>
        <w:t>conducted a the</w:t>
      </w:r>
      <w:r w:rsidR="00AD1E34">
        <w:rPr>
          <w:rFonts w:ascii="Verdana" w:hAnsi="Verdana"/>
        </w:rPr>
        <w:t>matic inspection into the handli</w:t>
      </w:r>
      <w:r w:rsidR="00AD1E34" w:rsidRPr="001B4AF0">
        <w:rPr>
          <w:rFonts w:ascii="Verdana" w:hAnsi="Verdana"/>
        </w:rPr>
        <w:t>ng of domestic abuse in NI</w:t>
      </w:r>
      <w:r w:rsidRPr="001B4AF0">
        <w:rPr>
          <w:rFonts w:ascii="Verdana" w:hAnsi="Verdana"/>
        </w:rPr>
        <w:t>. During the fieldwork</w:t>
      </w:r>
      <w:r>
        <w:t xml:space="preserve"> </w:t>
      </w:r>
      <w:r w:rsidRPr="00556D60">
        <w:rPr>
          <w:rFonts w:ascii="Verdana" w:eastAsia="MS Mincho" w:hAnsi="Verdana" w:cs="Arial"/>
          <w:lang w:val="en-US"/>
        </w:rPr>
        <w:t>Inspectors discussed this issue with PPS prosecutors who agreed that Section 21 was a very difficult section of the legislation to use. Inspectors were advised that this issue had not been included in considerations around developing the domestic abuse legislation.</w:t>
      </w:r>
      <w:r>
        <w:rPr>
          <w:rFonts w:ascii="Verdana" w:eastAsia="MS Mincho" w:hAnsi="Verdana" w:cs="Arial"/>
          <w:lang w:val="en-US"/>
        </w:rPr>
        <w:t xml:space="preserve"> </w:t>
      </w:r>
      <w:r w:rsidRPr="00556D60">
        <w:rPr>
          <w:rFonts w:ascii="Verdana" w:eastAsia="MS Mincho" w:hAnsi="Verdana" w:cs="Arial"/>
          <w:lang w:val="en-US"/>
        </w:rPr>
        <w:t>The Criminal Justice Inspectorate re</w:t>
      </w:r>
      <w:r w:rsidR="00485A10" w:rsidRPr="00556D60">
        <w:rPr>
          <w:rFonts w:ascii="Verdana" w:eastAsia="MS Mincho" w:hAnsi="Verdana" w:cs="Arial"/>
          <w:lang w:val="en-US"/>
        </w:rPr>
        <w:t>commend</w:t>
      </w:r>
      <w:r w:rsidR="009F71F0">
        <w:rPr>
          <w:rFonts w:ascii="Verdana" w:eastAsia="MS Mincho" w:hAnsi="Verdana" w:cs="Arial"/>
          <w:lang w:val="en-US"/>
        </w:rPr>
        <w:t>ed</w:t>
      </w:r>
      <w:r w:rsidR="00485A10" w:rsidRPr="00556D60">
        <w:rPr>
          <w:rFonts w:ascii="Verdana" w:eastAsia="MS Mincho" w:hAnsi="Verdana" w:cs="Arial"/>
          <w:lang w:val="en-US"/>
        </w:rPr>
        <w:t xml:space="preserve"> that</w:t>
      </w:r>
      <w:r w:rsidR="009F71F0">
        <w:rPr>
          <w:rFonts w:ascii="Verdana" w:eastAsia="MS Mincho" w:hAnsi="Verdana" w:cs="Arial"/>
          <w:lang w:val="en-US"/>
        </w:rPr>
        <w:t xml:space="preserve"> the</w:t>
      </w:r>
      <w:r w:rsidR="00485A10" w:rsidRPr="00556D60">
        <w:rPr>
          <w:rFonts w:ascii="Verdana" w:eastAsia="MS Mincho" w:hAnsi="Verdana" w:cs="Arial"/>
          <w:lang w:val="en-US"/>
        </w:rPr>
        <w:t xml:space="preserve"> Department should review the </w:t>
      </w:r>
      <w:r w:rsidR="00485A10" w:rsidRPr="00556D60">
        <w:rPr>
          <w:rFonts w:ascii="Verdana" w:eastAsia="MS Mincho" w:hAnsi="Verdana" w:cs="Arial"/>
          <w:lang w:val="en-US"/>
        </w:rPr>
        <w:lastRenderedPageBreak/>
        <w:t>inadequacies in current legislation regarding the act of choking or strangulation by defendants.</w:t>
      </w:r>
      <w:r w:rsidR="00AD1E34">
        <w:rPr>
          <w:rStyle w:val="FootnoteReference"/>
          <w:rFonts w:ascii="Verdana" w:eastAsia="MS Mincho" w:hAnsi="Verdana" w:cs="Arial"/>
          <w:lang w:val="en-US"/>
        </w:rPr>
        <w:footnoteReference w:id="15"/>
      </w:r>
      <w:r w:rsidR="00485A10" w:rsidRPr="00556D60">
        <w:rPr>
          <w:rFonts w:ascii="Verdana" w:eastAsia="MS Mincho" w:hAnsi="Verdana" w:cs="Arial"/>
          <w:lang w:val="en-US"/>
        </w:rPr>
        <w:t xml:space="preserve"> </w:t>
      </w:r>
    </w:p>
    <w:p w14:paraId="3D8E4EBB" w14:textId="77777777" w:rsidR="004A3BF3" w:rsidRDefault="004A3BF3">
      <w:pPr>
        <w:pStyle w:val="BasicParagraph"/>
        <w:spacing w:before="24" w:after="24"/>
        <w:ind w:left="720"/>
        <w:rPr>
          <w:rFonts w:ascii="Verdana" w:hAnsi="Verdana"/>
        </w:rPr>
      </w:pPr>
    </w:p>
    <w:p w14:paraId="176F2CC9" w14:textId="77777777" w:rsidR="004A3BF3" w:rsidRPr="009277A9" w:rsidRDefault="004A3BF3">
      <w:pPr>
        <w:pStyle w:val="Heading2"/>
        <w:spacing w:before="24" w:after="24"/>
      </w:pPr>
      <w:bookmarkStart w:id="4" w:name="_Toc81304858"/>
      <w:r>
        <w:t>Human Rights Standards</w:t>
      </w:r>
      <w:bookmarkEnd w:id="4"/>
      <w:r>
        <w:t xml:space="preserve"> </w:t>
      </w:r>
    </w:p>
    <w:p w14:paraId="1F15CE1F" w14:textId="77777777" w:rsidR="00D91628" w:rsidRPr="004A3BF3" w:rsidRDefault="00D91628">
      <w:pPr>
        <w:pStyle w:val="ListParagraph"/>
        <w:spacing w:before="24" w:after="24" w:line="288" w:lineRule="auto"/>
        <w:rPr>
          <w:rFonts w:ascii="Verdana" w:eastAsia="MS Mincho" w:hAnsi="Verdana" w:cs="Arial"/>
          <w:lang w:val="en-US"/>
        </w:rPr>
      </w:pPr>
    </w:p>
    <w:p w14:paraId="481603D3" w14:textId="77777777" w:rsidR="00556D60" w:rsidRPr="00556D60" w:rsidRDefault="00556D60" w:rsidP="001B4AF0">
      <w:pPr>
        <w:pStyle w:val="ListParagraph"/>
        <w:numPr>
          <w:ilvl w:val="1"/>
          <w:numId w:val="14"/>
        </w:numPr>
        <w:spacing w:before="24" w:after="24"/>
        <w:rPr>
          <w:rFonts w:ascii="Verdana" w:hAnsi="Verdana" w:cs="Arial"/>
        </w:rPr>
      </w:pPr>
      <w:r w:rsidRPr="00556D60">
        <w:rPr>
          <w:rFonts w:ascii="Verdana" w:hAnsi="Verdana" w:cs="Arial"/>
        </w:rPr>
        <w:t xml:space="preserve">The NIHRC acknowledges the Department’s understanding that strangulation can occur in different contexts. Strangulation is a feature of most of the homicides and non-fatal assaults that have involved the use of the rough sex defence by the perpetrator.  This has been the case in several incidents in Northern Ireland, for example, by a Lisburn man in 2019 and three men in County Antrim in 2020. </w:t>
      </w:r>
    </w:p>
    <w:p w14:paraId="0DF5D9CD" w14:textId="77777777" w:rsidR="00556D60" w:rsidRDefault="00556D60" w:rsidP="001B4AF0">
      <w:pPr>
        <w:pStyle w:val="ListParagraph"/>
        <w:spacing w:before="24" w:after="24" w:line="288" w:lineRule="auto"/>
        <w:rPr>
          <w:rFonts w:ascii="Verdana" w:hAnsi="Verdana" w:cs="Arial"/>
        </w:rPr>
      </w:pPr>
    </w:p>
    <w:p w14:paraId="22915075" w14:textId="499C49B9" w:rsidR="00D91628" w:rsidRPr="003B3C3F" w:rsidRDefault="00D91628">
      <w:pPr>
        <w:pStyle w:val="ListParagraph"/>
        <w:numPr>
          <w:ilvl w:val="1"/>
          <w:numId w:val="14"/>
        </w:numPr>
        <w:spacing w:before="24" w:after="24" w:line="288" w:lineRule="auto"/>
        <w:rPr>
          <w:rFonts w:ascii="Verdana" w:hAnsi="Verdana" w:cs="Arial"/>
        </w:rPr>
      </w:pPr>
      <w:r w:rsidRPr="003B3C3F">
        <w:rPr>
          <w:rFonts w:ascii="Verdana" w:hAnsi="Verdana" w:cs="Arial"/>
        </w:rPr>
        <w:t xml:space="preserve">Article 2 ECHR protects the right to life and Article 3 ECHR </w:t>
      </w:r>
      <w:r w:rsidR="00594EA3" w:rsidRPr="003B3C3F">
        <w:rPr>
          <w:rFonts w:ascii="Verdana" w:hAnsi="Verdana" w:cs="Arial"/>
        </w:rPr>
        <w:t xml:space="preserve">provides </w:t>
      </w:r>
      <w:r w:rsidRPr="003B3C3F">
        <w:rPr>
          <w:rFonts w:ascii="Verdana" w:hAnsi="Verdana" w:cs="Arial"/>
        </w:rPr>
        <w:t>freedom from torture, cruel, inhuman or degrading treatment and punishment.</w:t>
      </w:r>
      <w:r w:rsidRPr="00A230B6">
        <w:rPr>
          <w:rStyle w:val="FootnoteReference"/>
          <w:rFonts w:ascii="Verdana" w:hAnsi="Verdana" w:cs="Arial"/>
        </w:rPr>
        <w:footnoteReference w:id="16"/>
      </w:r>
      <w:r w:rsidRPr="003B3C3F">
        <w:rPr>
          <w:rFonts w:ascii="Verdana" w:hAnsi="Verdana" w:cs="Arial"/>
        </w:rPr>
        <w:t xml:space="preserve"> </w:t>
      </w:r>
      <w:r w:rsidR="003B3C3F" w:rsidRPr="003B3C3F">
        <w:rPr>
          <w:rFonts w:ascii="Verdana" w:hAnsi="Verdana" w:cs="Arial"/>
        </w:rPr>
        <w:t>Article 2 and Article 3 ECHR also require positive obligatio</w:t>
      </w:r>
      <w:r w:rsidR="003B3C3F">
        <w:rPr>
          <w:rFonts w:ascii="Verdana" w:hAnsi="Verdana" w:cs="Arial"/>
        </w:rPr>
        <w:t>ns in re</w:t>
      </w:r>
      <w:r w:rsidR="003C272D">
        <w:rPr>
          <w:rFonts w:ascii="Verdana" w:hAnsi="Verdana" w:cs="Arial"/>
        </w:rPr>
        <w:t>lation</w:t>
      </w:r>
      <w:r w:rsidR="003B3C3F">
        <w:rPr>
          <w:rFonts w:ascii="Verdana" w:hAnsi="Verdana" w:cs="Arial"/>
        </w:rPr>
        <w:t xml:space="preserve"> to investigation of abuses. </w:t>
      </w:r>
      <w:r w:rsidRPr="003B3C3F">
        <w:rPr>
          <w:rFonts w:ascii="Verdana" w:hAnsi="Verdana" w:cs="Arial"/>
          <w:color w:val="000000"/>
        </w:rPr>
        <w:t xml:space="preserve">The European Court of Human Rights (ECtHR) has been clear that these provisions contain positive obligations to ensure these fundamental rights are protected. </w:t>
      </w:r>
    </w:p>
    <w:p w14:paraId="3BC86023" w14:textId="77777777" w:rsidR="00D91628" w:rsidRPr="00E82EEF" w:rsidRDefault="00D91628">
      <w:pPr>
        <w:pStyle w:val="Default"/>
        <w:spacing w:before="24" w:after="24" w:line="288" w:lineRule="auto"/>
        <w:ind w:left="873"/>
        <w:rPr>
          <w:rFonts w:cs="Arial"/>
          <w:color w:val="auto"/>
        </w:rPr>
      </w:pPr>
    </w:p>
    <w:p w14:paraId="111CEB12" w14:textId="56F12229" w:rsidR="00D91628" w:rsidRDefault="00D91628">
      <w:pPr>
        <w:pStyle w:val="Default"/>
        <w:numPr>
          <w:ilvl w:val="1"/>
          <w:numId w:val="14"/>
        </w:numPr>
        <w:spacing w:before="24" w:after="24" w:line="288" w:lineRule="auto"/>
        <w:rPr>
          <w:rFonts w:cs="Arial"/>
          <w:color w:val="auto"/>
        </w:rPr>
      </w:pPr>
      <w:r w:rsidRPr="00B84986">
        <w:rPr>
          <w:rFonts w:cs="Arial"/>
          <w:lang w:val="en-GB"/>
        </w:rPr>
        <w:t xml:space="preserve">The </w:t>
      </w:r>
      <w:r w:rsidR="00B46A13">
        <w:rPr>
          <w:rFonts w:cs="Arial"/>
          <w:lang w:val="en-GB"/>
        </w:rPr>
        <w:t xml:space="preserve">ECtHR </w:t>
      </w:r>
      <w:r>
        <w:rPr>
          <w:rFonts w:cs="Arial"/>
          <w:lang w:val="en-GB"/>
        </w:rPr>
        <w:t>has provided that</w:t>
      </w:r>
      <w:r w:rsidRPr="00B84986">
        <w:rPr>
          <w:rFonts w:cs="Arial"/>
          <w:lang w:val="en-GB"/>
        </w:rPr>
        <w:t xml:space="preserve"> the</w:t>
      </w:r>
      <w:r>
        <w:rPr>
          <w:rFonts w:cs="Arial"/>
          <w:lang w:val="en-GB"/>
        </w:rPr>
        <w:t>re are</w:t>
      </w:r>
      <w:r w:rsidRPr="00B84986">
        <w:rPr>
          <w:rFonts w:cs="Arial"/>
          <w:lang w:val="en-GB"/>
        </w:rPr>
        <w:t xml:space="preserve"> positive obligation</w:t>
      </w:r>
      <w:r>
        <w:rPr>
          <w:rFonts w:cs="Arial"/>
          <w:lang w:val="en-GB"/>
        </w:rPr>
        <w:t>s</w:t>
      </w:r>
      <w:r w:rsidRPr="00B84986">
        <w:rPr>
          <w:rFonts w:cs="Arial"/>
          <w:lang w:val="en-GB"/>
        </w:rPr>
        <w:t xml:space="preserve"> under Article 2 </w:t>
      </w:r>
      <w:r>
        <w:rPr>
          <w:rFonts w:cs="Arial"/>
          <w:lang w:val="en-GB"/>
        </w:rPr>
        <w:t xml:space="preserve">ECHR </w:t>
      </w:r>
      <w:r w:rsidRPr="00B84986">
        <w:rPr>
          <w:rFonts w:cs="Arial"/>
          <w:lang w:val="en-GB"/>
        </w:rPr>
        <w:t>to take appropriate steps to safeguard the lives of those within its jurisdiction to apply in the context of any activity, whether</w:t>
      </w:r>
      <w:r>
        <w:rPr>
          <w:rFonts w:cs="Arial"/>
          <w:lang w:val="en-GB"/>
        </w:rPr>
        <w:t xml:space="preserve"> </w:t>
      </w:r>
      <w:r w:rsidRPr="00B84986">
        <w:rPr>
          <w:rFonts w:cs="Arial"/>
          <w:lang w:val="en-GB"/>
        </w:rPr>
        <w:t>public or not, in which the right to life may be at stake</w:t>
      </w:r>
      <w:r>
        <w:rPr>
          <w:rFonts w:cs="Arial"/>
          <w:lang w:val="en-GB"/>
        </w:rPr>
        <w:t>.</w:t>
      </w:r>
      <w:r>
        <w:rPr>
          <w:rStyle w:val="FootnoteReference"/>
          <w:rFonts w:cs="Arial"/>
          <w:lang w:val="en-GB"/>
        </w:rPr>
        <w:footnoteReference w:id="17"/>
      </w:r>
      <w:r>
        <w:rPr>
          <w:rFonts w:cs="Arial"/>
          <w:lang w:val="en-GB"/>
        </w:rPr>
        <w:t xml:space="preserve"> This requires public authorities to take reasonable steps when they know of or ought to have known of real and immediate threats to life, including by a third party non-State actor.</w:t>
      </w:r>
      <w:r>
        <w:rPr>
          <w:rStyle w:val="FootnoteReference"/>
          <w:rFonts w:cs="Arial"/>
          <w:lang w:val="en-GB"/>
        </w:rPr>
        <w:footnoteReference w:id="18"/>
      </w:r>
      <w:r>
        <w:rPr>
          <w:rFonts w:cs="Arial"/>
          <w:lang w:val="en-GB"/>
        </w:rPr>
        <w:t xml:space="preserve"> </w:t>
      </w:r>
      <w:r>
        <w:rPr>
          <w:rFonts w:cs="Arial"/>
          <w:color w:val="auto"/>
        </w:rPr>
        <w:t xml:space="preserve">Article 3 ECHR is an absolute right which provides that this right </w:t>
      </w:r>
      <w:r w:rsidRPr="003631F6">
        <w:rPr>
          <w:rFonts w:cs="Arial"/>
          <w:color w:val="auto"/>
        </w:rPr>
        <w:t xml:space="preserve">must never be </w:t>
      </w:r>
      <w:r>
        <w:rPr>
          <w:rFonts w:cs="Arial"/>
          <w:color w:val="auto"/>
        </w:rPr>
        <w:t>interfered with</w:t>
      </w:r>
      <w:r w:rsidRPr="003631F6">
        <w:rPr>
          <w:rFonts w:cs="Arial"/>
          <w:color w:val="auto"/>
        </w:rPr>
        <w:t xml:space="preserve"> </w:t>
      </w:r>
      <w:r>
        <w:rPr>
          <w:rFonts w:cs="Arial"/>
          <w:color w:val="auto"/>
        </w:rPr>
        <w:t>under any circumstances.</w:t>
      </w:r>
      <w:r>
        <w:rPr>
          <w:rStyle w:val="FootnoteReference"/>
          <w:rFonts w:cs="Arial"/>
          <w:color w:val="auto"/>
        </w:rPr>
        <w:footnoteReference w:id="19"/>
      </w:r>
    </w:p>
    <w:p w14:paraId="03B13310" w14:textId="60A65EBB" w:rsidR="00B46A13" w:rsidRDefault="00B46A13" w:rsidP="001B4AF0">
      <w:pPr>
        <w:pStyle w:val="ListParagraph"/>
        <w:spacing w:before="24" w:after="24"/>
        <w:rPr>
          <w:rFonts w:cs="Arial"/>
        </w:rPr>
      </w:pPr>
    </w:p>
    <w:p w14:paraId="405963E0" w14:textId="77E76CA4" w:rsidR="00B46A13" w:rsidRPr="00B46A13" w:rsidRDefault="00B46A13" w:rsidP="001B4AF0">
      <w:pPr>
        <w:pStyle w:val="ListParagraph"/>
        <w:numPr>
          <w:ilvl w:val="1"/>
          <w:numId w:val="14"/>
        </w:numPr>
        <w:spacing w:before="24" w:after="24"/>
        <w:rPr>
          <w:rFonts w:ascii="Verdana" w:hAnsi="Verdana" w:cs="Arial"/>
          <w:lang w:val="en-US"/>
        </w:rPr>
      </w:pPr>
      <w:r w:rsidRPr="00B46A13">
        <w:rPr>
          <w:rFonts w:ascii="Verdana" w:hAnsi="Verdana" w:cs="Arial"/>
          <w:lang w:val="en-US"/>
        </w:rPr>
        <w:t xml:space="preserve">The ECtHR has held that the State has a responsibility to protect individuals from violence by third parties. This has been particularly true in cases involving victims of domestic violence. While there are often violations of Articles 2 and 3 ECHR in such cases, Article 8 ECHR is also </w:t>
      </w:r>
      <w:r w:rsidR="00931C61">
        <w:rPr>
          <w:rFonts w:ascii="Verdana" w:hAnsi="Verdana" w:cs="Arial"/>
          <w:lang w:val="en-US"/>
        </w:rPr>
        <w:t xml:space="preserve">engaged </w:t>
      </w:r>
      <w:r w:rsidRPr="00B46A13">
        <w:rPr>
          <w:rFonts w:ascii="Verdana" w:hAnsi="Verdana" w:cs="Arial"/>
          <w:lang w:val="en-US"/>
        </w:rPr>
        <w:t xml:space="preserve">because violence threatens the bodily integrity aspect of the right to respect for private life.  Under Article 8 ECHR, States have a duty to protect the physical and moral integrity of an individual from other persons, which requires affording protection against acts of violence by private individuals. </w:t>
      </w:r>
    </w:p>
    <w:p w14:paraId="1D72C88A" w14:textId="77777777" w:rsidR="00D91628" w:rsidRPr="00A912B5" w:rsidRDefault="00D91628" w:rsidP="001B4AF0">
      <w:pPr>
        <w:pStyle w:val="Default"/>
        <w:spacing w:before="24" w:after="24" w:line="288" w:lineRule="auto"/>
        <w:ind w:left="720"/>
        <w:rPr>
          <w:rFonts w:cs="Arial"/>
        </w:rPr>
      </w:pPr>
    </w:p>
    <w:p w14:paraId="5784160C" w14:textId="77777777" w:rsidR="00D91628" w:rsidRDefault="00D91628">
      <w:pPr>
        <w:pStyle w:val="Default"/>
        <w:numPr>
          <w:ilvl w:val="1"/>
          <w:numId w:val="14"/>
        </w:numPr>
        <w:spacing w:before="24" w:after="24" w:line="288" w:lineRule="auto"/>
        <w:rPr>
          <w:rFonts w:cs="Arial"/>
          <w:lang w:val="en-GB"/>
        </w:rPr>
      </w:pPr>
      <w:r w:rsidRPr="00B47D14">
        <w:rPr>
          <w:rFonts w:cs="Arial"/>
          <w:lang w:val="en-GB"/>
        </w:rPr>
        <w:lastRenderedPageBreak/>
        <w:t xml:space="preserve">Article 8 </w:t>
      </w:r>
      <w:r>
        <w:rPr>
          <w:rFonts w:cs="Arial"/>
          <w:lang w:val="en-GB"/>
        </w:rPr>
        <w:t xml:space="preserve">ECHR </w:t>
      </w:r>
      <w:r w:rsidRPr="00B47D14">
        <w:rPr>
          <w:rFonts w:cs="Arial"/>
          <w:lang w:val="en-GB"/>
        </w:rPr>
        <w:t>ensures protection of a private and family life.</w:t>
      </w:r>
      <w:r>
        <w:rPr>
          <w:rStyle w:val="FootnoteReference"/>
          <w:rFonts w:cs="Arial"/>
          <w:lang w:val="en-GB"/>
        </w:rPr>
        <w:footnoteReference w:id="20"/>
      </w:r>
      <w:r>
        <w:rPr>
          <w:rFonts w:cs="Arial"/>
          <w:lang w:val="en-GB"/>
        </w:rPr>
        <w:t xml:space="preserve"> It</w:t>
      </w:r>
      <w:r w:rsidRPr="00B47D14">
        <w:rPr>
          <w:rFonts w:cs="Arial"/>
          <w:lang w:val="en-GB"/>
        </w:rPr>
        <w:t xml:space="preserve"> is a qualified right</w:t>
      </w:r>
      <w:r>
        <w:rPr>
          <w:rFonts w:cs="Arial"/>
          <w:lang w:val="en-GB"/>
        </w:rPr>
        <w:t>,</w:t>
      </w:r>
      <w:r w:rsidRPr="00B47D14">
        <w:rPr>
          <w:rFonts w:cs="Arial"/>
          <w:lang w:val="en-GB"/>
        </w:rPr>
        <w:t xml:space="preserve"> which </w:t>
      </w:r>
      <w:r>
        <w:rPr>
          <w:rFonts w:cs="Arial"/>
          <w:lang w:val="en-GB"/>
        </w:rPr>
        <w:t>means l</w:t>
      </w:r>
      <w:r w:rsidRPr="006C4A88">
        <w:rPr>
          <w:rFonts w:cs="Arial"/>
          <w:lang w:val="en-GB"/>
        </w:rPr>
        <w:t>imitations are allowed if they are “in accordance with the law” and are “necessary in a democratic society” for the protection of one of the objectives set out in Article 8(2) ECHR</w:t>
      </w:r>
      <w:r>
        <w:rPr>
          <w:rFonts w:cs="Arial"/>
          <w:lang w:val="en-GB"/>
        </w:rPr>
        <w:t>, in this instance “for the prevention of disorder or crime” and “the protection of the rights and freedoms of others” T</w:t>
      </w:r>
      <w:r w:rsidRPr="006C4A88">
        <w:rPr>
          <w:rFonts w:cs="Arial"/>
          <w:lang w:val="en-GB"/>
        </w:rPr>
        <w:t xml:space="preserve">he </w:t>
      </w:r>
      <w:r>
        <w:rPr>
          <w:rFonts w:cs="Arial"/>
          <w:lang w:val="en-GB"/>
        </w:rPr>
        <w:t xml:space="preserve">ECtHR </w:t>
      </w:r>
      <w:r w:rsidRPr="006C4A88">
        <w:rPr>
          <w:rFonts w:cs="Arial"/>
          <w:lang w:val="en-GB"/>
        </w:rPr>
        <w:t>clarified that “necessary” in this context does not have the flexibility of such expressions as “useful”, “reasonable”, or “desirable” but implies the existence of a “pressing social need” fo</w:t>
      </w:r>
      <w:r>
        <w:rPr>
          <w:rFonts w:cs="Arial"/>
          <w:lang w:val="en-GB"/>
        </w:rPr>
        <w:t>r the interference in question.</w:t>
      </w:r>
      <w:r>
        <w:rPr>
          <w:rStyle w:val="FootnoteReference"/>
          <w:rFonts w:cs="Arial"/>
          <w:lang w:val="en-GB"/>
        </w:rPr>
        <w:footnoteReference w:id="21"/>
      </w:r>
    </w:p>
    <w:p w14:paraId="12534D4F" w14:textId="77777777" w:rsidR="00D91628" w:rsidRPr="006C4A88" w:rsidRDefault="00D91628">
      <w:pPr>
        <w:pStyle w:val="Default"/>
        <w:spacing w:before="24" w:after="24" w:line="288" w:lineRule="auto"/>
        <w:rPr>
          <w:rFonts w:cs="Arial"/>
          <w:lang w:val="en-GB"/>
        </w:rPr>
      </w:pPr>
    </w:p>
    <w:p w14:paraId="20C99DC7" w14:textId="2BCADB4F" w:rsidR="00D91628" w:rsidRDefault="00D91628">
      <w:pPr>
        <w:pStyle w:val="Default"/>
        <w:numPr>
          <w:ilvl w:val="1"/>
          <w:numId w:val="14"/>
        </w:numPr>
        <w:spacing w:before="24" w:after="24" w:line="288" w:lineRule="auto"/>
        <w:rPr>
          <w:rFonts w:cs="Arial"/>
          <w:lang w:val="en-GB"/>
        </w:rPr>
      </w:pPr>
      <w:r>
        <w:rPr>
          <w:rFonts w:cs="Arial"/>
          <w:lang w:val="en-GB"/>
        </w:rPr>
        <w:t xml:space="preserve">The ECtHR has provided that safeguarding physical integrity under </w:t>
      </w:r>
      <w:r w:rsidRPr="00CC1A29">
        <w:rPr>
          <w:rFonts w:cs="Arial"/>
          <w:lang w:val="en-GB"/>
        </w:rPr>
        <w:t xml:space="preserve">Article 8 </w:t>
      </w:r>
      <w:r>
        <w:rPr>
          <w:rFonts w:cs="Arial"/>
          <w:lang w:val="en-GB"/>
        </w:rPr>
        <w:t>ECHR requires an effective</w:t>
      </w:r>
      <w:r w:rsidRPr="00CC1A29">
        <w:rPr>
          <w:rFonts w:cs="Arial"/>
          <w:lang w:val="en-GB"/>
        </w:rPr>
        <w:t xml:space="preserve"> criminal investigation</w:t>
      </w:r>
      <w:r>
        <w:rPr>
          <w:rFonts w:cs="Arial"/>
          <w:lang w:val="en-GB"/>
        </w:rPr>
        <w:t>.</w:t>
      </w:r>
      <w:r>
        <w:rPr>
          <w:rStyle w:val="FootnoteReference"/>
          <w:rFonts w:cs="Arial"/>
          <w:lang w:val="en-GB"/>
        </w:rPr>
        <w:footnoteReference w:id="22"/>
      </w:r>
      <w:r>
        <w:rPr>
          <w:rFonts w:cs="Arial"/>
          <w:lang w:val="en-GB"/>
        </w:rPr>
        <w:t xml:space="preserve"> </w:t>
      </w:r>
      <w:r w:rsidRPr="00CC1A29">
        <w:rPr>
          <w:rFonts w:cs="Arial"/>
          <w:lang w:val="en-GB"/>
        </w:rPr>
        <w:t>Compliance with Article 8 ECHR in the sphere of protection against acts of individuals is within the State’s margin of appreciation,</w:t>
      </w:r>
      <w:r>
        <w:rPr>
          <w:rFonts w:cs="Arial"/>
          <w:lang w:val="en-GB"/>
        </w:rPr>
        <w:t xml:space="preserve"> yet</w:t>
      </w:r>
      <w:r w:rsidRPr="00CC1A29">
        <w:rPr>
          <w:rFonts w:cs="Arial"/>
          <w:lang w:val="en-GB"/>
        </w:rPr>
        <w:t xml:space="preserve"> effective deterrence against grave acts, where fundamental values and essential aspects of private life are at stake, requires efficient criminal law provisions.</w:t>
      </w:r>
      <w:r>
        <w:rPr>
          <w:rStyle w:val="FootnoteReference"/>
          <w:rFonts w:cs="Arial"/>
          <w:lang w:val="en-GB"/>
        </w:rPr>
        <w:footnoteReference w:id="23"/>
      </w:r>
      <w:r w:rsidRPr="00CC1A29">
        <w:rPr>
          <w:rFonts w:cs="Arial"/>
          <w:lang w:val="en-GB"/>
        </w:rPr>
        <w:t xml:space="preserve"> </w:t>
      </w:r>
    </w:p>
    <w:p w14:paraId="71B6991B" w14:textId="77777777" w:rsidR="00D91628" w:rsidRPr="00CC1A29" w:rsidRDefault="00D91628">
      <w:pPr>
        <w:pStyle w:val="Default"/>
        <w:spacing w:before="24" w:after="24" w:line="288" w:lineRule="auto"/>
        <w:ind w:left="720"/>
        <w:rPr>
          <w:rFonts w:cs="Arial"/>
          <w:lang w:val="en-GB"/>
        </w:rPr>
      </w:pPr>
    </w:p>
    <w:p w14:paraId="051C9B65" w14:textId="6248FE69" w:rsidR="00B7302D" w:rsidRPr="001B4AF0" w:rsidRDefault="004A3BF3">
      <w:pPr>
        <w:pStyle w:val="ListParagraph"/>
        <w:numPr>
          <w:ilvl w:val="1"/>
          <w:numId w:val="14"/>
        </w:numPr>
        <w:spacing w:before="24" w:after="24" w:line="288" w:lineRule="auto"/>
        <w:rPr>
          <w:rFonts w:ascii="Verdana" w:eastAsia="MS Mincho" w:hAnsi="Verdana" w:cs="Arial"/>
          <w:lang w:val="en-US"/>
        </w:rPr>
      </w:pPr>
      <w:r>
        <w:rPr>
          <w:rFonts w:ascii="Verdana" w:eastAsia="MS Mincho" w:hAnsi="Verdana" w:cs="Arial"/>
        </w:rPr>
        <w:t xml:space="preserve">The </w:t>
      </w:r>
      <w:r w:rsidR="00B46A13">
        <w:rPr>
          <w:rFonts w:ascii="Verdana" w:eastAsia="MS Mincho" w:hAnsi="Verdana" w:cs="Arial"/>
        </w:rPr>
        <w:t xml:space="preserve">ECtHR </w:t>
      </w:r>
      <w:r>
        <w:rPr>
          <w:rFonts w:ascii="Verdana" w:eastAsia="MS Mincho" w:hAnsi="Verdana" w:cs="Arial"/>
        </w:rPr>
        <w:t xml:space="preserve">has considered several cases where the lack of appropriate legislation or investigation addressing violence against women has proved incompatible with the state’s positive obligations under </w:t>
      </w:r>
      <w:r w:rsidR="00CD2084">
        <w:rPr>
          <w:rFonts w:ascii="Verdana" w:eastAsia="MS Mincho" w:hAnsi="Verdana" w:cs="Arial"/>
        </w:rPr>
        <w:t>Article</w:t>
      </w:r>
      <w:r w:rsidR="000A54B9">
        <w:rPr>
          <w:rFonts w:ascii="Verdana" w:eastAsia="MS Mincho" w:hAnsi="Verdana" w:cs="Arial"/>
        </w:rPr>
        <w:t>s</w:t>
      </w:r>
      <w:r w:rsidR="00CD2084">
        <w:rPr>
          <w:rFonts w:ascii="Verdana" w:eastAsia="MS Mincho" w:hAnsi="Verdana" w:cs="Arial"/>
        </w:rPr>
        <w:t xml:space="preserve"> 2, 3 and 8 </w:t>
      </w:r>
      <w:r>
        <w:rPr>
          <w:rFonts w:ascii="Verdana" w:eastAsia="MS Mincho" w:hAnsi="Verdana" w:cs="Arial"/>
        </w:rPr>
        <w:t xml:space="preserve">ECHR. </w:t>
      </w:r>
    </w:p>
    <w:p w14:paraId="0AA864CA" w14:textId="77777777" w:rsidR="00CD2084" w:rsidRPr="001B4AF0" w:rsidRDefault="00CD2084" w:rsidP="001B4AF0">
      <w:pPr>
        <w:pStyle w:val="ListParagraph"/>
        <w:spacing w:before="24" w:after="24" w:line="288" w:lineRule="auto"/>
        <w:rPr>
          <w:rFonts w:ascii="Verdana" w:eastAsia="MS Mincho" w:hAnsi="Verdana" w:cs="Arial"/>
          <w:lang w:val="en-US"/>
        </w:rPr>
      </w:pPr>
    </w:p>
    <w:p w14:paraId="05E25E1B" w14:textId="741E5C29" w:rsidR="00CD2084" w:rsidRPr="001B4AF0" w:rsidRDefault="002D50BC">
      <w:pPr>
        <w:pStyle w:val="ListParagraph"/>
        <w:numPr>
          <w:ilvl w:val="1"/>
          <w:numId w:val="14"/>
        </w:numPr>
        <w:spacing w:before="24" w:after="24" w:line="288" w:lineRule="auto"/>
        <w:rPr>
          <w:rFonts w:ascii="Verdana" w:eastAsia="MS Mincho" w:hAnsi="Verdana" w:cs="Arial"/>
          <w:lang w:val="en-US"/>
        </w:rPr>
      </w:pPr>
      <w:r>
        <w:rPr>
          <w:rFonts w:ascii="Verdana" w:eastAsia="MS Mincho" w:hAnsi="Verdana" w:cs="Arial"/>
        </w:rPr>
        <w:t>T</w:t>
      </w:r>
      <w:r w:rsidR="00CD2084">
        <w:rPr>
          <w:rFonts w:ascii="Verdana" w:eastAsia="MS Mincho" w:hAnsi="Verdana" w:cs="Arial"/>
        </w:rPr>
        <w:t xml:space="preserve">he case </w:t>
      </w:r>
      <w:r w:rsidR="00CD2084" w:rsidRPr="001B4AF0">
        <w:rPr>
          <w:rFonts w:ascii="Verdana" w:eastAsia="MS Mincho" w:hAnsi="Verdana" w:cs="Arial"/>
          <w:i/>
        </w:rPr>
        <w:t>Tërshana v. Albania</w:t>
      </w:r>
      <w:r w:rsidR="00CD2084">
        <w:rPr>
          <w:rFonts w:ascii="Verdana" w:eastAsia="MS Mincho" w:hAnsi="Verdana" w:cs="Arial"/>
        </w:rPr>
        <w:t xml:space="preserve"> </w:t>
      </w:r>
      <w:r w:rsidR="00CD2084" w:rsidRPr="00CD2084">
        <w:rPr>
          <w:rFonts w:ascii="Verdana" w:eastAsia="MS Mincho" w:hAnsi="Verdana" w:cs="Arial"/>
        </w:rPr>
        <w:t xml:space="preserve">concerned an acid attack on the applicant </w:t>
      </w:r>
      <w:r w:rsidR="00CD2084">
        <w:rPr>
          <w:rFonts w:ascii="Verdana" w:eastAsia="MS Mincho" w:hAnsi="Verdana" w:cs="Arial"/>
        </w:rPr>
        <w:t xml:space="preserve">by </w:t>
      </w:r>
      <w:r w:rsidR="00CD2084" w:rsidRPr="00CD2084">
        <w:rPr>
          <w:rFonts w:ascii="Verdana" w:eastAsia="MS Mincho" w:hAnsi="Verdana" w:cs="Arial"/>
        </w:rPr>
        <w:t>her former husband, whom s</w:t>
      </w:r>
      <w:r w:rsidR="00CD2084">
        <w:rPr>
          <w:rFonts w:ascii="Verdana" w:eastAsia="MS Mincho" w:hAnsi="Verdana" w:cs="Arial"/>
        </w:rPr>
        <w:t>he accused of domestic violence. She alleged</w:t>
      </w:r>
      <w:r w:rsidR="00CD2084" w:rsidRPr="00CD2084">
        <w:rPr>
          <w:rFonts w:ascii="Verdana" w:eastAsia="MS Mincho" w:hAnsi="Verdana" w:cs="Arial"/>
        </w:rPr>
        <w:t xml:space="preserve"> that the Albanian authorities had failed to take measures to protect her from the acid attack and to conduct a prompt and effective investigation for the identification, prosecution and punishment of her assailant</w:t>
      </w:r>
      <w:r w:rsidR="00CD2084">
        <w:rPr>
          <w:rFonts w:ascii="Verdana" w:eastAsia="MS Mincho" w:hAnsi="Verdana" w:cs="Arial"/>
        </w:rPr>
        <w:t xml:space="preserve">. The </w:t>
      </w:r>
      <w:r w:rsidR="00CD2084" w:rsidRPr="00CD2084">
        <w:rPr>
          <w:rFonts w:ascii="Verdana" w:eastAsia="MS Mincho" w:hAnsi="Verdana" w:cs="Arial"/>
        </w:rPr>
        <w:t xml:space="preserve">Court held that there had been a violation of Article 2 </w:t>
      </w:r>
      <w:r w:rsidR="00CD2084">
        <w:rPr>
          <w:rFonts w:ascii="Verdana" w:eastAsia="MS Mincho" w:hAnsi="Verdana" w:cs="Arial"/>
        </w:rPr>
        <w:t xml:space="preserve">ECHR </w:t>
      </w:r>
      <w:r w:rsidR="00CD2084" w:rsidRPr="00CD2084">
        <w:rPr>
          <w:rFonts w:ascii="Verdana" w:eastAsia="MS Mincho" w:hAnsi="Verdana" w:cs="Arial"/>
        </w:rPr>
        <w:t xml:space="preserve">in its procedural aspect, finding that the authorities’ response to the acid attack had been ineffective. </w:t>
      </w:r>
      <w:r w:rsidR="00CD2084">
        <w:rPr>
          <w:rFonts w:ascii="Verdana" w:eastAsia="MS Mincho" w:hAnsi="Verdana" w:cs="Arial"/>
        </w:rPr>
        <w:t>I</w:t>
      </w:r>
      <w:r w:rsidR="00CD2084" w:rsidRPr="00CD2084">
        <w:rPr>
          <w:rFonts w:ascii="Verdana" w:eastAsia="MS Mincho" w:hAnsi="Verdana" w:cs="Arial"/>
        </w:rPr>
        <w:t>t noted in particular that the attack had the hallmarks of gender-based violence and therefore should have incited the authorities to react with special diligence</w:t>
      </w:r>
      <w:r w:rsidR="00CD2084">
        <w:rPr>
          <w:rFonts w:ascii="Verdana" w:eastAsia="MS Mincho" w:hAnsi="Verdana" w:cs="Arial"/>
        </w:rPr>
        <w:t>.</w:t>
      </w:r>
      <w:r w:rsidR="00CD2084">
        <w:rPr>
          <w:rStyle w:val="FootnoteReference"/>
          <w:rFonts w:ascii="Verdana" w:eastAsia="MS Mincho" w:hAnsi="Verdana" w:cs="Arial"/>
        </w:rPr>
        <w:footnoteReference w:id="24"/>
      </w:r>
    </w:p>
    <w:p w14:paraId="1C4F9829" w14:textId="77777777" w:rsidR="003B3C3F" w:rsidRPr="001B4AF0" w:rsidRDefault="003B3C3F" w:rsidP="001B4AF0">
      <w:pPr>
        <w:pStyle w:val="ListParagraph"/>
        <w:spacing w:before="24" w:after="24"/>
        <w:rPr>
          <w:rFonts w:ascii="Verdana" w:eastAsia="MS Mincho" w:hAnsi="Verdana" w:cs="Arial"/>
          <w:lang w:val="en-US"/>
        </w:rPr>
      </w:pPr>
    </w:p>
    <w:p w14:paraId="4B27EC35" w14:textId="261E4779" w:rsidR="003B3C3F" w:rsidRPr="001B4AF0" w:rsidRDefault="003B3C3F">
      <w:pPr>
        <w:pStyle w:val="ListParagraph"/>
        <w:numPr>
          <w:ilvl w:val="1"/>
          <w:numId w:val="14"/>
        </w:numPr>
        <w:spacing w:before="24" w:after="24" w:line="288" w:lineRule="auto"/>
        <w:rPr>
          <w:rFonts w:ascii="Verdana" w:eastAsia="MS Mincho" w:hAnsi="Verdana" w:cs="Arial"/>
        </w:rPr>
      </w:pPr>
      <w:r>
        <w:rPr>
          <w:rFonts w:ascii="Verdana" w:eastAsia="MS Mincho" w:hAnsi="Verdana" w:cs="Arial"/>
        </w:rPr>
        <w:t xml:space="preserve">In the case </w:t>
      </w:r>
      <w:r w:rsidRPr="001B4AF0">
        <w:rPr>
          <w:rFonts w:ascii="Verdana" w:eastAsia="MS Mincho" w:hAnsi="Verdana" w:cs="Arial"/>
          <w:i/>
        </w:rPr>
        <w:t>E.M. v. Romania</w:t>
      </w:r>
      <w:r>
        <w:rPr>
          <w:rFonts w:ascii="Verdana" w:eastAsia="MS Mincho" w:hAnsi="Verdana" w:cs="Arial"/>
        </w:rPr>
        <w:t xml:space="preserve"> t</w:t>
      </w:r>
      <w:r w:rsidRPr="003B3C3F">
        <w:rPr>
          <w:rFonts w:ascii="Verdana" w:eastAsia="MS Mincho" w:hAnsi="Verdana" w:cs="Arial"/>
        </w:rPr>
        <w:t>he applicant alleged that the investigation into her criminal complaint of domestic violence committed</w:t>
      </w:r>
      <w:r>
        <w:rPr>
          <w:rFonts w:ascii="Verdana" w:eastAsia="MS Mincho" w:hAnsi="Verdana" w:cs="Arial"/>
        </w:rPr>
        <w:t xml:space="preserve"> </w:t>
      </w:r>
      <w:r w:rsidRPr="003B3C3F">
        <w:rPr>
          <w:rFonts w:ascii="Verdana" w:eastAsia="MS Mincho" w:hAnsi="Verdana" w:cs="Arial"/>
        </w:rPr>
        <w:t xml:space="preserve">had not been effective. The Romanian courts had dismissed the applicant’s complaints </w:t>
      </w:r>
      <w:r w:rsidRPr="003B3C3F">
        <w:rPr>
          <w:rFonts w:ascii="Verdana" w:eastAsia="MS Mincho" w:hAnsi="Verdana" w:cs="Arial"/>
        </w:rPr>
        <w:lastRenderedPageBreak/>
        <w:t>on the ground that her allegations that she had been subjected to violence by her husband had not been proven. The Court held that there had been a violation of Article 3</w:t>
      </w:r>
      <w:r>
        <w:rPr>
          <w:rFonts w:ascii="Verdana" w:eastAsia="MS Mincho" w:hAnsi="Verdana" w:cs="Arial"/>
        </w:rPr>
        <w:t xml:space="preserve"> ECHR</w:t>
      </w:r>
      <w:r w:rsidRPr="003B3C3F">
        <w:rPr>
          <w:rFonts w:ascii="Verdana" w:eastAsia="MS Mincho" w:hAnsi="Verdana" w:cs="Arial"/>
        </w:rPr>
        <w:t xml:space="preserve"> under its procedural limb, finding that the manner in which the investigation had been conducted had not afforded the applicant the effective protection required by Article 3. It observed in particular that, when making the first of her complaints, the applicant had requested assistance and protection from the authorities for herself and her daughter against her husband’s aggressive conduct. Despite the fact that the statutory framework provided for cooperation between the various authorities and for non-judicial measures to identify and ensure action was taken in respect of domestic violence, and although the medical certificate provided prima facie evidence of the applicant’s allegations, it did not appear fr</w:t>
      </w:r>
      <w:r>
        <w:rPr>
          <w:rFonts w:ascii="Verdana" w:eastAsia="MS Mincho" w:hAnsi="Verdana" w:cs="Arial"/>
        </w:rPr>
        <w:t xml:space="preserve">om the case file that any steps </w:t>
      </w:r>
      <w:r w:rsidRPr="003B3C3F">
        <w:rPr>
          <w:rFonts w:ascii="Verdana" w:eastAsia="MS Mincho" w:hAnsi="Verdana" w:cs="Arial"/>
        </w:rPr>
        <w:t>had been taken to that end.</w:t>
      </w:r>
      <w:r>
        <w:rPr>
          <w:rStyle w:val="FootnoteReference"/>
          <w:rFonts w:ascii="Verdana" w:eastAsia="MS Mincho" w:hAnsi="Verdana" w:cs="Arial"/>
        </w:rPr>
        <w:footnoteReference w:id="25"/>
      </w:r>
    </w:p>
    <w:p w14:paraId="35822B76" w14:textId="77777777" w:rsidR="00B7302D" w:rsidRPr="00B7302D" w:rsidRDefault="00B7302D">
      <w:pPr>
        <w:pStyle w:val="ListParagraph"/>
        <w:spacing w:before="24" w:after="24"/>
        <w:rPr>
          <w:rFonts w:ascii="Verdana" w:eastAsia="MS Mincho" w:hAnsi="Verdana" w:cs="Arial"/>
        </w:rPr>
      </w:pPr>
    </w:p>
    <w:p w14:paraId="5DCA296E" w14:textId="7F14E28E" w:rsidR="00D91628" w:rsidRPr="0072601C" w:rsidRDefault="00CD2084">
      <w:pPr>
        <w:pStyle w:val="ListParagraph"/>
        <w:numPr>
          <w:ilvl w:val="1"/>
          <w:numId w:val="14"/>
        </w:numPr>
        <w:spacing w:before="24" w:after="24" w:line="288" w:lineRule="auto"/>
        <w:rPr>
          <w:rFonts w:ascii="Verdana" w:eastAsia="MS Mincho" w:hAnsi="Verdana" w:cs="Arial"/>
          <w:lang w:val="en-US"/>
        </w:rPr>
      </w:pPr>
      <w:r>
        <w:rPr>
          <w:rFonts w:ascii="Verdana" w:eastAsia="MS Mincho" w:hAnsi="Verdana" w:cs="Arial"/>
        </w:rPr>
        <w:t>I</w:t>
      </w:r>
      <w:r w:rsidR="00D91628">
        <w:rPr>
          <w:rFonts w:ascii="Verdana" w:eastAsia="MS Mincho" w:hAnsi="Verdana" w:cs="Arial"/>
        </w:rPr>
        <w:t xml:space="preserve">n the case </w:t>
      </w:r>
      <w:r w:rsidR="00D91628" w:rsidRPr="00F10DDD">
        <w:rPr>
          <w:rFonts w:ascii="Verdana" w:eastAsia="MS Mincho" w:hAnsi="Verdana" w:cs="Arial"/>
          <w:i/>
        </w:rPr>
        <w:t>Sandra Janković v. Croatia</w:t>
      </w:r>
      <w:r w:rsidR="00D91628">
        <w:rPr>
          <w:rFonts w:ascii="Verdana" w:eastAsia="MS Mincho" w:hAnsi="Verdana" w:cs="Arial"/>
        </w:rPr>
        <w:t xml:space="preserve"> t</w:t>
      </w:r>
      <w:r w:rsidR="00D91628" w:rsidRPr="00D91628">
        <w:rPr>
          <w:rFonts w:ascii="Verdana" w:eastAsia="MS Mincho" w:hAnsi="Verdana" w:cs="Arial"/>
        </w:rPr>
        <w:t xml:space="preserve">he applicant </w:t>
      </w:r>
      <w:r w:rsidR="007B06C3">
        <w:rPr>
          <w:rFonts w:ascii="Verdana" w:eastAsia="MS Mincho" w:hAnsi="Verdana" w:cs="Arial"/>
        </w:rPr>
        <w:t xml:space="preserve">alleged that </w:t>
      </w:r>
      <w:r w:rsidR="00D91628" w:rsidRPr="00D91628">
        <w:rPr>
          <w:rFonts w:ascii="Verdana" w:eastAsia="MS Mincho" w:hAnsi="Verdana" w:cs="Arial"/>
        </w:rPr>
        <w:t>despite her attempts to have her allegations of being attacked and threatened by her flatmates investigated, the authorities had failed to ensure her adequate protection. The Court held that there had</w:t>
      </w:r>
      <w:r w:rsidR="004A3BF3">
        <w:rPr>
          <w:rFonts w:ascii="Verdana" w:eastAsia="MS Mincho" w:hAnsi="Verdana" w:cs="Arial"/>
        </w:rPr>
        <w:t xml:space="preserve"> been a violation of Article 8 ECHR </w:t>
      </w:r>
      <w:r w:rsidR="00D91628" w:rsidRPr="00D91628">
        <w:rPr>
          <w:rFonts w:ascii="Verdana" w:eastAsia="MS Mincho" w:hAnsi="Verdana" w:cs="Arial"/>
        </w:rPr>
        <w:t>on account of the failure by the Croatian authorities to adequately protect the applicant from an attack on her physical integrity and of the manner in which the national criminal</w:t>
      </w:r>
      <w:r w:rsidR="00060529">
        <w:rPr>
          <w:rFonts w:ascii="Verdana" w:eastAsia="MS Mincho" w:hAnsi="Verdana" w:cs="Arial"/>
        </w:rPr>
        <w:t xml:space="preserve"> </w:t>
      </w:r>
      <w:r w:rsidR="00D91628" w:rsidRPr="00D91628">
        <w:rPr>
          <w:rFonts w:ascii="Verdana" w:eastAsia="MS Mincho" w:hAnsi="Verdana" w:cs="Arial"/>
        </w:rPr>
        <w:t>law mechanisms had been implemented, contrary to the State’s positive obligations under Article 8.</w:t>
      </w:r>
      <w:r w:rsidR="00D91628">
        <w:rPr>
          <w:rFonts w:ascii="Verdana" w:eastAsia="MS Mincho" w:hAnsi="Verdana" w:cs="Arial"/>
        </w:rPr>
        <w:t xml:space="preserve"> </w:t>
      </w:r>
      <w:r w:rsidR="00D91628" w:rsidRPr="00D91628">
        <w:rPr>
          <w:rFonts w:ascii="Verdana" w:eastAsia="MS Mincho" w:hAnsi="Verdana" w:cs="Arial"/>
        </w:rPr>
        <w:t xml:space="preserve">Although the applicant tried to get a criminal case brought, it was dismissed by the domestic courts. She then brought a complaint relying on Articles 3 and 8 of the Convention before </w:t>
      </w:r>
      <w:r w:rsidR="007B06C3">
        <w:rPr>
          <w:rFonts w:ascii="Verdana" w:eastAsia="MS Mincho" w:hAnsi="Verdana" w:cs="Arial"/>
        </w:rPr>
        <w:t xml:space="preserve">the ECtHR. </w:t>
      </w:r>
      <w:r w:rsidR="00D91628" w:rsidRPr="00D91628">
        <w:rPr>
          <w:rFonts w:ascii="Verdana" w:eastAsia="MS Mincho" w:hAnsi="Verdana" w:cs="Arial"/>
        </w:rPr>
        <w:t>The applicant argued that the national authorities failed to afford her adequate protection against violence inflicted by private individuals, which was an Article 8 violation. The Court agreed that Article 8 applied due to the circumstances under which she had been attacked and found that Article 8 had been violated due to the delay of the authorities in prosecuting the crime.</w:t>
      </w:r>
      <w:r w:rsidR="004A3BF3">
        <w:rPr>
          <w:rStyle w:val="FootnoteReference"/>
          <w:rFonts w:ascii="Verdana" w:eastAsia="MS Mincho" w:hAnsi="Verdana" w:cs="Arial"/>
        </w:rPr>
        <w:footnoteReference w:id="26"/>
      </w:r>
    </w:p>
    <w:p w14:paraId="2FA43974" w14:textId="77777777" w:rsidR="0072601C" w:rsidRPr="0072601C" w:rsidRDefault="0072601C">
      <w:pPr>
        <w:pStyle w:val="ListParagraph"/>
        <w:spacing w:before="24" w:after="24" w:line="288" w:lineRule="auto"/>
        <w:rPr>
          <w:rFonts w:ascii="Verdana" w:eastAsia="MS Mincho" w:hAnsi="Verdana" w:cs="Arial"/>
          <w:lang w:val="en-US"/>
        </w:rPr>
      </w:pPr>
    </w:p>
    <w:p w14:paraId="4A3CDE79" w14:textId="7310F641" w:rsidR="00095FA7" w:rsidRDefault="0072601C">
      <w:pPr>
        <w:pStyle w:val="ListParagraph"/>
        <w:numPr>
          <w:ilvl w:val="1"/>
          <w:numId w:val="14"/>
        </w:numPr>
        <w:spacing w:before="24" w:after="24"/>
        <w:rPr>
          <w:rFonts w:ascii="Verdana" w:eastAsia="MS Mincho" w:hAnsi="Verdana" w:cs="Arial"/>
          <w:b/>
          <w:lang w:val="en-US"/>
        </w:rPr>
      </w:pPr>
      <w:r w:rsidRPr="0072601C">
        <w:rPr>
          <w:rFonts w:ascii="Verdana" w:eastAsia="MS Mincho" w:hAnsi="Verdana" w:cs="Arial"/>
          <w:b/>
          <w:lang w:val="en-US"/>
        </w:rPr>
        <w:t xml:space="preserve">The NIHRC recommends that the Department of Justice introduces legislation that </w:t>
      </w:r>
      <w:r>
        <w:rPr>
          <w:rFonts w:ascii="Verdana" w:eastAsia="MS Mincho" w:hAnsi="Verdana" w:cs="Arial"/>
          <w:b/>
          <w:lang w:val="en-US"/>
        </w:rPr>
        <w:t>creates a standalone offence for non-fatal strangulation</w:t>
      </w:r>
      <w:r w:rsidR="004A046B">
        <w:rPr>
          <w:rFonts w:ascii="Verdana" w:eastAsia="MS Mincho" w:hAnsi="Verdana" w:cs="Arial"/>
          <w:b/>
          <w:lang w:val="en-US"/>
        </w:rPr>
        <w:t xml:space="preserve"> </w:t>
      </w:r>
      <w:r w:rsidR="003A2A4B">
        <w:rPr>
          <w:rFonts w:ascii="Verdana" w:eastAsia="MS Mincho" w:hAnsi="Verdana" w:cs="Arial"/>
          <w:b/>
          <w:lang w:val="en-US"/>
        </w:rPr>
        <w:t>in order to comply with the</w:t>
      </w:r>
      <w:r>
        <w:rPr>
          <w:rFonts w:ascii="Verdana" w:eastAsia="MS Mincho" w:hAnsi="Verdana" w:cs="Arial"/>
          <w:b/>
          <w:lang w:val="en-US"/>
        </w:rPr>
        <w:t xml:space="preserve"> positive obligations under Article</w:t>
      </w:r>
      <w:r w:rsidR="003A2A4B">
        <w:rPr>
          <w:rFonts w:ascii="Verdana" w:eastAsia="MS Mincho" w:hAnsi="Verdana" w:cs="Arial"/>
          <w:b/>
          <w:lang w:val="en-US"/>
        </w:rPr>
        <w:t>s</w:t>
      </w:r>
      <w:r>
        <w:rPr>
          <w:rFonts w:ascii="Verdana" w:eastAsia="MS Mincho" w:hAnsi="Verdana" w:cs="Arial"/>
          <w:b/>
          <w:lang w:val="en-US"/>
        </w:rPr>
        <w:t xml:space="preserve"> 2, 3 and 8 ECHR. </w:t>
      </w:r>
    </w:p>
    <w:p w14:paraId="1C2F9ECD" w14:textId="77777777" w:rsidR="0072601C" w:rsidRPr="0072601C" w:rsidRDefault="0072601C">
      <w:pPr>
        <w:pStyle w:val="ListParagraph"/>
        <w:spacing w:before="24" w:after="24"/>
        <w:rPr>
          <w:rFonts w:ascii="Verdana" w:eastAsia="MS Mincho" w:hAnsi="Verdana" w:cs="Arial"/>
          <w:b/>
          <w:lang w:val="en-US"/>
        </w:rPr>
      </w:pPr>
    </w:p>
    <w:p w14:paraId="69EBE5F4" w14:textId="4E28D80E" w:rsidR="00095FA7" w:rsidRDefault="00095FA7" w:rsidP="00960220">
      <w:pPr>
        <w:pStyle w:val="Heading1"/>
        <w:numPr>
          <w:ilvl w:val="1"/>
          <w:numId w:val="28"/>
        </w:numPr>
        <w:spacing w:before="24" w:after="24"/>
        <w:rPr>
          <w:lang w:val="en-US"/>
        </w:rPr>
      </w:pPr>
      <w:bookmarkStart w:id="5" w:name="_Toc81304859"/>
      <w:r>
        <w:rPr>
          <w:lang w:val="en-US"/>
        </w:rPr>
        <w:t>Gender-Based Violence</w:t>
      </w:r>
      <w:bookmarkEnd w:id="5"/>
      <w:r>
        <w:rPr>
          <w:lang w:val="en-US"/>
        </w:rPr>
        <w:t xml:space="preserve"> </w:t>
      </w:r>
    </w:p>
    <w:p w14:paraId="19E1A66C" w14:textId="77777777" w:rsidR="00C504E2" w:rsidRDefault="00C504E2">
      <w:pPr>
        <w:pStyle w:val="ListParagraph"/>
        <w:spacing w:before="24" w:after="24" w:line="288" w:lineRule="auto"/>
        <w:ind w:left="390"/>
        <w:rPr>
          <w:rFonts w:ascii="Verdana" w:eastAsia="MS Mincho" w:hAnsi="Verdana" w:cs="Arial"/>
          <w:lang w:val="en-US"/>
        </w:rPr>
      </w:pPr>
    </w:p>
    <w:p w14:paraId="00BA3C7A" w14:textId="22EE3167" w:rsidR="005F608C" w:rsidRPr="00960220" w:rsidRDefault="005F608C" w:rsidP="00960220">
      <w:pPr>
        <w:pStyle w:val="ListParagraph"/>
        <w:numPr>
          <w:ilvl w:val="1"/>
          <w:numId w:val="28"/>
        </w:numPr>
        <w:spacing w:before="24" w:after="24"/>
        <w:rPr>
          <w:rFonts w:ascii="Verdana" w:eastAsia="MS Mincho" w:hAnsi="Verdana" w:cs="Arial"/>
        </w:rPr>
      </w:pPr>
      <w:r w:rsidRPr="00960220">
        <w:rPr>
          <w:rFonts w:ascii="Verdana" w:eastAsia="MS Mincho" w:hAnsi="Verdana" w:cs="Arial"/>
        </w:rPr>
        <w:lastRenderedPageBreak/>
        <w:t xml:space="preserve">The offence of non-fatal strangulation disproportionally affects women and girls. </w:t>
      </w:r>
      <w:r w:rsidR="00D55E78" w:rsidRPr="00960220">
        <w:rPr>
          <w:rFonts w:ascii="Verdana" w:eastAsia="MS Mincho" w:hAnsi="Verdana" w:cs="Arial"/>
        </w:rPr>
        <w:t>Women’s Aid report that it is widely recognised that non-fatal strangulation and asphyxiation are a common feature of domestic abuse. In addition, research highlights how non-fatal strangulation is frequently used as a tool to exert power and control, and to instil fear, rather than being a failed homicide attempt.</w:t>
      </w:r>
      <w:r w:rsidR="00D55E78">
        <w:rPr>
          <w:rStyle w:val="FootnoteReference"/>
          <w:rFonts w:ascii="Verdana" w:eastAsia="MS Mincho" w:hAnsi="Verdana" w:cs="Arial"/>
        </w:rPr>
        <w:footnoteReference w:id="27"/>
      </w:r>
      <w:r w:rsidR="00D55E78" w:rsidRPr="00960220">
        <w:rPr>
          <w:rFonts w:ascii="Verdana" w:eastAsia="MS Mincho" w:hAnsi="Verdana" w:cs="Arial"/>
        </w:rPr>
        <w:t xml:space="preserve"> </w:t>
      </w:r>
      <w:r w:rsidRPr="00960220">
        <w:rPr>
          <w:rFonts w:ascii="Verdana" w:eastAsia="MS Mincho" w:hAnsi="Verdana" w:cs="Arial"/>
        </w:rPr>
        <w:t xml:space="preserve">The </w:t>
      </w:r>
      <w:r w:rsidR="00B7302D" w:rsidRPr="00960220">
        <w:rPr>
          <w:rFonts w:ascii="Verdana" w:eastAsia="MS Mincho" w:hAnsi="Verdana" w:cs="Arial"/>
        </w:rPr>
        <w:t xml:space="preserve">lack of standalone offence fails </w:t>
      </w:r>
      <w:r w:rsidRPr="00960220">
        <w:rPr>
          <w:rFonts w:ascii="Verdana" w:eastAsia="MS Mincho" w:hAnsi="Verdana" w:cs="Arial"/>
        </w:rPr>
        <w:t>to recognise the gendered dimension of the violence associated</w:t>
      </w:r>
      <w:r w:rsidR="000C2DC8" w:rsidRPr="00960220">
        <w:rPr>
          <w:rFonts w:ascii="Verdana" w:eastAsia="MS Mincho" w:hAnsi="Verdana" w:cs="Arial"/>
        </w:rPr>
        <w:t xml:space="preserve"> with non-fatal strangulation</w:t>
      </w:r>
      <w:r w:rsidR="00823DDC" w:rsidRPr="00960220">
        <w:rPr>
          <w:rFonts w:ascii="Verdana" w:eastAsia="MS Mincho" w:hAnsi="Verdana" w:cs="Arial"/>
        </w:rPr>
        <w:t xml:space="preserve">. </w:t>
      </w:r>
    </w:p>
    <w:p w14:paraId="03AED37D" w14:textId="77777777" w:rsidR="002C3371" w:rsidRDefault="002C3371">
      <w:pPr>
        <w:pStyle w:val="ListParagraph"/>
        <w:spacing w:before="24" w:after="24"/>
        <w:rPr>
          <w:rFonts w:ascii="Verdana" w:eastAsia="MS Mincho" w:hAnsi="Verdana" w:cs="Arial"/>
        </w:rPr>
      </w:pPr>
    </w:p>
    <w:p w14:paraId="64F41A9B" w14:textId="77777777" w:rsidR="002C3371" w:rsidRPr="002C3371" w:rsidRDefault="002C3371" w:rsidP="00960220">
      <w:pPr>
        <w:pStyle w:val="ListParagraph"/>
        <w:numPr>
          <w:ilvl w:val="1"/>
          <w:numId w:val="28"/>
        </w:numPr>
        <w:spacing w:before="24" w:after="24" w:line="288" w:lineRule="auto"/>
        <w:rPr>
          <w:rFonts w:ascii="Verdana" w:hAnsi="Verdana" w:cs="Arial"/>
          <w:lang w:val="en-US"/>
        </w:rPr>
      </w:pPr>
      <w:r w:rsidRPr="002C3371">
        <w:rPr>
          <w:rFonts w:ascii="Verdana" w:hAnsi="Verdana" w:cs="Arial"/>
          <w:lang w:val="en-US"/>
        </w:rPr>
        <w:t xml:space="preserve">The UN CAT Committee in its 2019 Concluding Observations on the UK raised concerns of </w:t>
      </w:r>
      <w:r w:rsidRPr="002C3371">
        <w:rPr>
          <w:rFonts w:ascii="Verdana" w:hAnsi="Verdana"/>
        </w:rPr>
        <w:t>sexual and gender-based violence.</w:t>
      </w:r>
      <w:r w:rsidRPr="002C3371">
        <w:rPr>
          <w:rStyle w:val="FootnoteReference"/>
          <w:rFonts w:ascii="Verdana" w:hAnsi="Verdana"/>
        </w:rPr>
        <w:footnoteReference w:id="28"/>
      </w:r>
      <w:r w:rsidRPr="002C3371">
        <w:rPr>
          <w:rFonts w:ascii="Verdana" w:hAnsi="Verdana"/>
        </w:rPr>
        <w:t xml:space="preserve"> The UN CAT Committee stated it is concerned about reports that State party officials are recording increasing numbers of domestic abuse crimes and sexual offences, mainly against women, while also recording low prosecution and conviction rates in these cases.</w:t>
      </w:r>
      <w:r w:rsidRPr="002C3371">
        <w:rPr>
          <w:rStyle w:val="FootnoteReference"/>
          <w:rFonts w:ascii="Verdana" w:hAnsi="Verdana"/>
        </w:rPr>
        <w:footnoteReference w:id="29"/>
      </w:r>
    </w:p>
    <w:p w14:paraId="03AD9A7D" w14:textId="77777777" w:rsidR="005F608C" w:rsidRDefault="005F608C">
      <w:pPr>
        <w:pStyle w:val="ListParagraph"/>
        <w:spacing w:before="24" w:after="24"/>
        <w:rPr>
          <w:rFonts w:ascii="Verdana" w:eastAsia="MS Mincho" w:hAnsi="Verdana" w:cs="Arial"/>
        </w:rPr>
      </w:pPr>
    </w:p>
    <w:p w14:paraId="360C7066" w14:textId="77777777" w:rsidR="00C504E2" w:rsidRPr="00C504E2" w:rsidRDefault="00C504E2" w:rsidP="00960220">
      <w:pPr>
        <w:pStyle w:val="ListParagraph"/>
        <w:numPr>
          <w:ilvl w:val="1"/>
          <w:numId w:val="28"/>
        </w:numPr>
        <w:spacing w:before="24" w:after="24"/>
        <w:rPr>
          <w:rFonts w:ascii="Verdana" w:eastAsia="MS Mincho" w:hAnsi="Verdana" w:cs="Arial"/>
        </w:rPr>
      </w:pPr>
      <w:r w:rsidRPr="00C504E2">
        <w:rPr>
          <w:rFonts w:ascii="Verdana" w:eastAsia="MS Mincho" w:hAnsi="Verdana" w:cs="Arial"/>
        </w:rPr>
        <w:t>The UN CEDAW Committee, in its 2019 Concluding Observations on the UK, noted “with particular concern the inadequacy of laws and policies to protect women in Northern Ireland (from gender-based violence)” and recommended that the UK ratify the Istanbul Convention.</w:t>
      </w:r>
      <w:r w:rsidRPr="00C504E2">
        <w:rPr>
          <w:rFonts w:ascii="Verdana" w:eastAsia="MS Mincho" w:hAnsi="Verdana" w:cs="Arial"/>
          <w:vertAlign w:val="superscript"/>
        </w:rPr>
        <w:footnoteReference w:id="30"/>
      </w:r>
    </w:p>
    <w:p w14:paraId="1640BB5E" w14:textId="77777777" w:rsidR="00C504E2" w:rsidRPr="00C504E2" w:rsidRDefault="00C504E2">
      <w:pPr>
        <w:pStyle w:val="ListParagraph"/>
        <w:spacing w:before="24" w:after="24"/>
        <w:ind w:left="390"/>
        <w:rPr>
          <w:rFonts w:ascii="Verdana" w:eastAsia="MS Mincho" w:hAnsi="Verdana" w:cs="Arial"/>
        </w:rPr>
      </w:pPr>
    </w:p>
    <w:p w14:paraId="4C60D579" w14:textId="77777777" w:rsidR="00E82CE7" w:rsidRDefault="00C504E2" w:rsidP="00960220">
      <w:pPr>
        <w:pStyle w:val="ListParagraph"/>
        <w:numPr>
          <w:ilvl w:val="1"/>
          <w:numId w:val="28"/>
        </w:numPr>
        <w:spacing w:before="24" w:after="24"/>
        <w:rPr>
          <w:rFonts w:ascii="Verdana" w:eastAsia="MS Mincho" w:hAnsi="Verdana" w:cs="Arial"/>
        </w:rPr>
      </w:pPr>
      <w:r w:rsidRPr="00C504E2">
        <w:rPr>
          <w:rFonts w:ascii="Verdana" w:eastAsia="MS Mincho" w:hAnsi="Verdana" w:cs="Arial"/>
        </w:rPr>
        <w:t>The Council of Europe Convention on preventing and combating violence against women and domestic violence (Istanbul Convention) provides a legal framework at pan-European level to protect women against all forms of violence, and prevent, prosecute and eliminate violence against women and domestic violence. The UK Government has made it clear that it intends to ratify the Istanbul Convention and is currently in the process of addressing existing areas of non-compliance, such as extending its protections regardless of immigration status, criminalisation of psychological control across the UK, ensuring extraterritorial application, and protecting those that are reliant on spousal/partner support for residence status.</w:t>
      </w:r>
      <w:r w:rsidRPr="00C504E2">
        <w:rPr>
          <w:rFonts w:ascii="Verdana" w:eastAsia="MS Mincho" w:hAnsi="Verdana" w:cs="Arial"/>
          <w:vertAlign w:val="superscript"/>
        </w:rPr>
        <w:footnoteReference w:id="31"/>
      </w:r>
    </w:p>
    <w:p w14:paraId="39EA5202" w14:textId="77777777" w:rsidR="00C504E2" w:rsidRPr="00C504E2" w:rsidRDefault="00C504E2">
      <w:pPr>
        <w:pStyle w:val="ListParagraph"/>
        <w:spacing w:before="24" w:after="24"/>
        <w:rPr>
          <w:rFonts w:ascii="Verdana" w:eastAsia="MS Mincho" w:hAnsi="Verdana" w:cs="Arial"/>
        </w:rPr>
      </w:pPr>
    </w:p>
    <w:p w14:paraId="6D58E267" w14:textId="77777777" w:rsidR="00C504E2" w:rsidRDefault="00C504E2" w:rsidP="00960220">
      <w:pPr>
        <w:pStyle w:val="ListParagraph"/>
        <w:numPr>
          <w:ilvl w:val="1"/>
          <w:numId w:val="28"/>
        </w:numPr>
        <w:spacing w:before="24" w:after="24"/>
        <w:rPr>
          <w:rFonts w:ascii="Verdana" w:eastAsia="MS Mincho" w:hAnsi="Verdana" w:cs="Arial"/>
        </w:rPr>
      </w:pPr>
      <w:r>
        <w:rPr>
          <w:rFonts w:ascii="Verdana" w:eastAsia="MS Mincho" w:hAnsi="Verdana" w:cs="Arial"/>
        </w:rPr>
        <w:t>Article 35 of the Istanbul Convention relates to p</w:t>
      </w:r>
      <w:r w:rsidR="00E82CE7" w:rsidRPr="00C504E2">
        <w:rPr>
          <w:rFonts w:ascii="Verdana" w:eastAsia="MS Mincho" w:hAnsi="Verdana" w:cs="Arial"/>
        </w:rPr>
        <w:t xml:space="preserve">hysical violence </w:t>
      </w:r>
      <w:r>
        <w:rPr>
          <w:rFonts w:ascii="Verdana" w:eastAsia="MS Mincho" w:hAnsi="Verdana" w:cs="Arial"/>
        </w:rPr>
        <w:t>and provides that state p</w:t>
      </w:r>
      <w:r w:rsidR="00E82CE7" w:rsidRPr="00C504E2">
        <w:rPr>
          <w:rFonts w:ascii="Verdana" w:eastAsia="MS Mincho" w:hAnsi="Verdana" w:cs="Arial"/>
        </w:rPr>
        <w:t xml:space="preserve">arties shall take the necessary legislative or other measures to ensure that the intentional conduct of committing acts of physical violence against </w:t>
      </w:r>
      <w:r>
        <w:rPr>
          <w:rFonts w:ascii="Verdana" w:eastAsia="MS Mincho" w:hAnsi="Verdana" w:cs="Arial"/>
        </w:rPr>
        <w:t>another person is criminalised.</w:t>
      </w:r>
    </w:p>
    <w:p w14:paraId="05F274CB" w14:textId="77777777" w:rsidR="00C504E2" w:rsidRPr="00C504E2" w:rsidRDefault="00C504E2">
      <w:pPr>
        <w:pStyle w:val="ListParagraph"/>
        <w:spacing w:before="24" w:after="24"/>
        <w:rPr>
          <w:rFonts w:ascii="Verdana" w:eastAsia="MS Mincho" w:hAnsi="Verdana" w:cs="Arial"/>
        </w:rPr>
      </w:pPr>
    </w:p>
    <w:p w14:paraId="41774E76" w14:textId="77777777" w:rsidR="0035436F" w:rsidRDefault="00C504E2" w:rsidP="00960220">
      <w:pPr>
        <w:pStyle w:val="ListParagraph"/>
        <w:numPr>
          <w:ilvl w:val="1"/>
          <w:numId w:val="28"/>
        </w:numPr>
        <w:spacing w:before="24" w:after="24"/>
        <w:rPr>
          <w:rFonts w:ascii="Verdana" w:eastAsia="MS Mincho" w:hAnsi="Verdana" w:cs="Arial"/>
        </w:rPr>
      </w:pPr>
      <w:r>
        <w:rPr>
          <w:rFonts w:ascii="Verdana" w:eastAsia="MS Mincho" w:hAnsi="Verdana" w:cs="Arial"/>
        </w:rPr>
        <w:lastRenderedPageBreak/>
        <w:t>A</w:t>
      </w:r>
      <w:r w:rsidR="00E74D3F">
        <w:rPr>
          <w:rFonts w:ascii="Verdana" w:eastAsia="MS Mincho" w:hAnsi="Verdana" w:cs="Arial"/>
        </w:rPr>
        <w:t>rticle 36 of the Istanbul Con</w:t>
      </w:r>
      <w:r>
        <w:rPr>
          <w:rFonts w:ascii="Verdana" w:eastAsia="MS Mincho" w:hAnsi="Verdana" w:cs="Arial"/>
        </w:rPr>
        <w:t>vention relates to</w:t>
      </w:r>
      <w:r w:rsidR="0035436F">
        <w:rPr>
          <w:rFonts w:ascii="Verdana" w:eastAsia="MS Mincho" w:hAnsi="Verdana" w:cs="Arial"/>
        </w:rPr>
        <w:t xml:space="preserve"> s</w:t>
      </w:r>
      <w:r w:rsidR="00E82CE7" w:rsidRPr="00C504E2">
        <w:rPr>
          <w:rFonts w:ascii="Verdana" w:eastAsia="MS Mincho" w:hAnsi="Verdana" w:cs="Arial"/>
        </w:rPr>
        <w:t>exual violence, including r</w:t>
      </w:r>
      <w:r w:rsidR="0035436F">
        <w:rPr>
          <w:rFonts w:ascii="Verdana" w:eastAsia="MS Mincho" w:hAnsi="Verdana" w:cs="Arial"/>
        </w:rPr>
        <w:t xml:space="preserve">ape. It requires that: </w:t>
      </w:r>
    </w:p>
    <w:p w14:paraId="1909DFFC" w14:textId="77777777" w:rsidR="0035436F" w:rsidRPr="0035436F" w:rsidRDefault="0035436F">
      <w:pPr>
        <w:pStyle w:val="ListParagraph"/>
        <w:spacing w:before="24" w:after="24"/>
        <w:rPr>
          <w:rFonts w:ascii="Verdana" w:eastAsia="MS Mincho" w:hAnsi="Verdana" w:cs="Arial"/>
        </w:rPr>
      </w:pPr>
    </w:p>
    <w:p w14:paraId="2AE2753B" w14:textId="77777777" w:rsidR="002C3371" w:rsidRDefault="00E82CE7">
      <w:pPr>
        <w:pStyle w:val="Quote"/>
        <w:spacing w:before="24" w:after="24"/>
      </w:pPr>
      <w:r w:rsidRPr="00C504E2">
        <w:t xml:space="preserve">Parties shall take the necessary legislative or other measures to ensure that the following intentional conducts are criminalised: </w:t>
      </w:r>
    </w:p>
    <w:p w14:paraId="4CB81221" w14:textId="77777777" w:rsidR="002C3371" w:rsidRDefault="002C3371">
      <w:pPr>
        <w:pStyle w:val="Quote"/>
        <w:spacing w:before="24" w:after="24"/>
      </w:pPr>
    </w:p>
    <w:p w14:paraId="4C9C5095" w14:textId="77777777" w:rsidR="002C3371" w:rsidRDefault="00E82CE7">
      <w:pPr>
        <w:pStyle w:val="Quote"/>
        <w:numPr>
          <w:ilvl w:val="0"/>
          <w:numId w:val="27"/>
        </w:numPr>
        <w:spacing w:before="24" w:after="24"/>
      </w:pPr>
      <w:r w:rsidRPr="00C504E2">
        <w:t xml:space="preserve">engaging in non-consensual vaginal, anal or oral penetration of a sexual nature of the body of another person with any bodily part or object; </w:t>
      </w:r>
    </w:p>
    <w:p w14:paraId="23CC40BE" w14:textId="77777777" w:rsidR="002C3371" w:rsidRDefault="00E82CE7">
      <w:pPr>
        <w:pStyle w:val="Quote"/>
        <w:numPr>
          <w:ilvl w:val="0"/>
          <w:numId w:val="27"/>
        </w:numPr>
        <w:spacing w:before="24" w:after="24"/>
      </w:pPr>
      <w:r w:rsidRPr="00C504E2">
        <w:t>engaging in other non-consensual acts of a</w:t>
      </w:r>
      <w:r w:rsidR="002C3371">
        <w:t xml:space="preserve"> sexual nature with a person;</w:t>
      </w:r>
    </w:p>
    <w:p w14:paraId="6DDC7FFA" w14:textId="77777777" w:rsidR="002C3371" w:rsidRDefault="00E82CE7">
      <w:pPr>
        <w:pStyle w:val="Quote"/>
        <w:numPr>
          <w:ilvl w:val="0"/>
          <w:numId w:val="27"/>
        </w:numPr>
        <w:spacing w:before="24" w:after="24"/>
      </w:pPr>
      <w:r w:rsidRPr="00C504E2">
        <w:t>causing another person to engage in non-consensual acts of a sexua</w:t>
      </w:r>
      <w:r w:rsidR="0035436F">
        <w:t>l nature with a third person.</w:t>
      </w:r>
      <w:r w:rsidR="002C3371">
        <w:t xml:space="preserve"> </w:t>
      </w:r>
    </w:p>
    <w:p w14:paraId="3F269A8C" w14:textId="77777777" w:rsidR="002C3371" w:rsidRDefault="002C3371">
      <w:pPr>
        <w:pStyle w:val="Quote"/>
        <w:spacing w:before="24" w:after="24"/>
      </w:pPr>
    </w:p>
    <w:p w14:paraId="4703C919" w14:textId="77777777" w:rsidR="00E82CE7" w:rsidRDefault="00E82CE7">
      <w:pPr>
        <w:pStyle w:val="Quote"/>
        <w:spacing w:before="24" w:after="24"/>
      </w:pPr>
      <w:r w:rsidRPr="00C504E2">
        <w:t>Consent must be given voluntarily as the result of the person’s free will assessed in the context of t</w:t>
      </w:r>
      <w:r w:rsidR="0035436F">
        <w:t xml:space="preserve">he surrounding circumstances. </w:t>
      </w:r>
    </w:p>
    <w:p w14:paraId="77468E8F" w14:textId="77777777" w:rsidR="000C2DC8" w:rsidRDefault="000C2DC8">
      <w:pPr>
        <w:pStyle w:val="ListParagraph"/>
        <w:spacing w:before="24" w:after="24"/>
        <w:rPr>
          <w:rFonts w:ascii="Verdana" w:eastAsia="MS Mincho" w:hAnsi="Verdana" w:cs="Arial"/>
        </w:rPr>
      </w:pPr>
    </w:p>
    <w:p w14:paraId="68D7F2EA" w14:textId="77777777" w:rsidR="003E635E" w:rsidRPr="003E635E" w:rsidRDefault="003E635E" w:rsidP="00960220">
      <w:pPr>
        <w:pStyle w:val="ListParagraph"/>
        <w:numPr>
          <w:ilvl w:val="1"/>
          <w:numId w:val="28"/>
        </w:numPr>
        <w:spacing w:before="24" w:after="24"/>
        <w:rPr>
          <w:rFonts w:ascii="Verdana" w:eastAsia="MS Mincho" w:hAnsi="Verdana" w:cs="Arial"/>
        </w:rPr>
      </w:pPr>
      <w:r w:rsidRPr="003E635E">
        <w:rPr>
          <w:rFonts w:ascii="Verdana" w:eastAsia="MS Mincho" w:hAnsi="Verdana" w:cs="Arial"/>
        </w:rPr>
        <w:t xml:space="preserve">Article 43 of the Istanbul Convention provides that offences established in accordance with the Convention shall apply regardless of the nature of the relationship between victim and perpetrator. </w:t>
      </w:r>
    </w:p>
    <w:p w14:paraId="3F8EFBA9" w14:textId="77777777" w:rsidR="003E635E" w:rsidRPr="003E635E" w:rsidRDefault="003E635E" w:rsidP="001B4AF0">
      <w:pPr>
        <w:pStyle w:val="ListParagraph"/>
        <w:spacing w:before="24" w:after="24"/>
        <w:rPr>
          <w:rFonts w:ascii="Verdana" w:eastAsia="MS Mincho" w:hAnsi="Verdana" w:cs="Arial"/>
        </w:rPr>
      </w:pPr>
    </w:p>
    <w:p w14:paraId="6B595783" w14:textId="77777777" w:rsidR="003E635E" w:rsidRPr="003E635E" w:rsidRDefault="003E635E" w:rsidP="00960220">
      <w:pPr>
        <w:pStyle w:val="ListParagraph"/>
        <w:numPr>
          <w:ilvl w:val="1"/>
          <w:numId w:val="28"/>
        </w:numPr>
        <w:spacing w:before="24" w:after="24"/>
        <w:rPr>
          <w:rFonts w:ascii="Verdana" w:eastAsia="MS Mincho" w:hAnsi="Verdana" w:cs="Arial"/>
        </w:rPr>
      </w:pPr>
      <w:r w:rsidRPr="003E635E">
        <w:rPr>
          <w:rFonts w:ascii="Verdana" w:eastAsia="MS Mincho" w:hAnsi="Verdana" w:cs="Arial"/>
        </w:rPr>
        <w:t xml:space="preserve">Article 45 of the Istanbul Convention ensures that the offences are punishable by effective, proportionate and dissuasive sanctions, taking into account their seriousness. </w:t>
      </w:r>
    </w:p>
    <w:p w14:paraId="5D7F239D" w14:textId="77777777" w:rsidR="003E635E" w:rsidRDefault="003E635E" w:rsidP="001B4AF0">
      <w:pPr>
        <w:pStyle w:val="ListParagraph"/>
        <w:spacing w:before="24" w:after="24"/>
        <w:rPr>
          <w:rFonts w:ascii="Verdana" w:eastAsia="MS Mincho" w:hAnsi="Verdana" w:cs="Arial"/>
          <w:b/>
        </w:rPr>
      </w:pPr>
    </w:p>
    <w:p w14:paraId="718634F2" w14:textId="40A2076C" w:rsidR="00173A5B" w:rsidRDefault="000C2DC8" w:rsidP="00960220">
      <w:pPr>
        <w:pStyle w:val="ListParagraph"/>
        <w:numPr>
          <w:ilvl w:val="1"/>
          <w:numId w:val="28"/>
        </w:numPr>
        <w:spacing w:before="24" w:after="24"/>
        <w:rPr>
          <w:rFonts w:ascii="Verdana" w:eastAsia="MS Mincho" w:hAnsi="Verdana" w:cs="Arial"/>
          <w:b/>
        </w:rPr>
      </w:pPr>
      <w:r w:rsidRPr="00173A5B">
        <w:rPr>
          <w:rFonts w:ascii="Verdana" w:eastAsia="MS Mincho" w:hAnsi="Verdana" w:cs="Arial"/>
          <w:b/>
        </w:rPr>
        <w:t xml:space="preserve">The NIHRC continues to recommend </w:t>
      </w:r>
      <w:r w:rsidR="00173A5B">
        <w:rPr>
          <w:rFonts w:ascii="Verdana" w:eastAsia="MS Mincho" w:hAnsi="Verdana" w:cs="Arial"/>
          <w:b/>
        </w:rPr>
        <w:t>the UK government</w:t>
      </w:r>
      <w:r w:rsidR="00247BE7" w:rsidRPr="00173A5B">
        <w:rPr>
          <w:rFonts w:ascii="Verdana" w:eastAsia="MS Mincho" w:hAnsi="Verdana" w:cs="Arial"/>
          <w:b/>
        </w:rPr>
        <w:t xml:space="preserve"> ratify the Istanbul Convention</w:t>
      </w:r>
      <w:r w:rsidR="00931C61">
        <w:rPr>
          <w:rFonts w:ascii="Verdana" w:eastAsia="MS Mincho" w:hAnsi="Verdana" w:cs="Arial"/>
          <w:b/>
        </w:rPr>
        <w:t xml:space="preserve"> at the earliest available opportunity</w:t>
      </w:r>
      <w:r w:rsidR="00247BE7" w:rsidRPr="00173A5B">
        <w:rPr>
          <w:rFonts w:ascii="Verdana" w:eastAsia="MS Mincho" w:hAnsi="Verdana" w:cs="Arial"/>
          <w:b/>
        </w:rPr>
        <w:t xml:space="preserve"> and </w:t>
      </w:r>
      <w:r w:rsidRPr="00173A5B">
        <w:rPr>
          <w:rFonts w:ascii="Verdana" w:eastAsia="MS Mincho" w:hAnsi="Verdana" w:cs="Arial"/>
          <w:b/>
        </w:rPr>
        <w:t xml:space="preserve">the Department and NI Executive take </w:t>
      </w:r>
      <w:r w:rsidR="00247BE7" w:rsidRPr="00173A5B">
        <w:rPr>
          <w:rFonts w:ascii="Verdana" w:eastAsia="MS Mincho" w:hAnsi="Verdana" w:cs="Arial"/>
          <w:b/>
        </w:rPr>
        <w:t xml:space="preserve">the appropriate steps to ensure compliance with all aspects of the Convention. </w:t>
      </w:r>
    </w:p>
    <w:p w14:paraId="44AA0BDE" w14:textId="77777777" w:rsidR="00173A5B" w:rsidRDefault="00173A5B" w:rsidP="001B4AF0">
      <w:pPr>
        <w:pStyle w:val="ListParagraph"/>
        <w:spacing w:before="24" w:after="24"/>
        <w:rPr>
          <w:rFonts w:ascii="Verdana" w:eastAsia="MS Mincho" w:hAnsi="Verdana" w:cs="Arial"/>
          <w:b/>
        </w:rPr>
      </w:pPr>
    </w:p>
    <w:p w14:paraId="4A96297A" w14:textId="77777777" w:rsidR="00173A5B" w:rsidRDefault="00173A5B" w:rsidP="00960220">
      <w:pPr>
        <w:pStyle w:val="ListParagraph"/>
        <w:numPr>
          <w:ilvl w:val="1"/>
          <w:numId w:val="28"/>
        </w:numPr>
        <w:spacing w:before="24" w:after="24"/>
        <w:rPr>
          <w:rFonts w:ascii="Verdana" w:eastAsia="MS Mincho" w:hAnsi="Verdana" w:cs="Arial"/>
          <w:b/>
        </w:rPr>
      </w:pPr>
      <w:r>
        <w:rPr>
          <w:rFonts w:ascii="Verdana" w:eastAsia="MS Mincho" w:hAnsi="Verdana" w:cs="Arial"/>
          <w:b/>
        </w:rPr>
        <w:t xml:space="preserve">The NIHRC </w:t>
      </w:r>
      <w:r w:rsidRPr="00173A5B">
        <w:rPr>
          <w:rFonts w:ascii="Verdana" w:eastAsia="MS Mincho" w:hAnsi="Verdana" w:cs="Arial"/>
          <w:b/>
        </w:rPr>
        <w:t>recommends that the proposed legislation should include an element that protects against gender-based violence, using the UN CEDAW, UN CAT and Istanbul Convention as a guide.</w:t>
      </w:r>
    </w:p>
    <w:p w14:paraId="7DC20163" w14:textId="77777777" w:rsidR="000C2DC8" w:rsidRPr="00247BE7" w:rsidRDefault="000C2DC8">
      <w:pPr>
        <w:pStyle w:val="ListParagraph"/>
        <w:spacing w:before="24" w:after="24"/>
        <w:rPr>
          <w:rFonts w:ascii="Verdana" w:eastAsia="MS Mincho" w:hAnsi="Verdana" w:cs="Arial"/>
        </w:rPr>
      </w:pPr>
    </w:p>
    <w:p w14:paraId="16BC2B87" w14:textId="77777777" w:rsidR="00E06D64" w:rsidRPr="004A3BF3" w:rsidRDefault="00E06D64">
      <w:pPr>
        <w:pStyle w:val="ListParagraph"/>
        <w:spacing w:before="24" w:after="24"/>
        <w:rPr>
          <w:rFonts w:ascii="Verdana" w:eastAsia="MS Mincho" w:hAnsi="Verdana" w:cs="Arial"/>
        </w:rPr>
      </w:pPr>
    </w:p>
    <w:p w14:paraId="4BDE978F" w14:textId="210FF000" w:rsidR="004A3BF3" w:rsidRPr="00C504E2" w:rsidRDefault="004A3BF3" w:rsidP="00960220">
      <w:pPr>
        <w:pStyle w:val="Heading1"/>
        <w:numPr>
          <w:ilvl w:val="1"/>
          <w:numId w:val="29"/>
        </w:numPr>
        <w:spacing w:before="24" w:after="24"/>
      </w:pPr>
      <w:bookmarkStart w:id="6" w:name="_Toc81304860"/>
      <w:r w:rsidRPr="00C504E2">
        <w:t>Consent to harm for sexual gratification</w:t>
      </w:r>
      <w:r w:rsidR="00247BE7">
        <w:t>:</w:t>
      </w:r>
      <w:r w:rsidRPr="00C504E2">
        <w:t xml:space="preserve"> not a </w:t>
      </w:r>
      <w:r w:rsidR="00247BE7">
        <w:t>defence</w:t>
      </w:r>
      <w:bookmarkEnd w:id="6"/>
      <w:r w:rsidRPr="00C504E2">
        <w:t xml:space="preserve"> </w:t>
      </w:r>
    </w:p>
    <w:p w14:paraId="356927A9" w14:textId="77777777" w:rsidR="004A3BF3" w:rsidRPr="00E150E1" w:rsidRDefault="004A3BF3">
      <w:pPr>
        <w:pStyle w:val="ListParagraph"/>
        <w:spacing w:before="24" w:after="24"/>
        <w:rPr>
          <w:rFonts w:ascii="Verdana" w:eastAsia="MS Mincho" w:hAnsi="Verdana" w:cs="Arial"/>
          <w:lang w:val="en-US"/>
        </w:rPr>
      </w:pPr>
    </w:p>
    <w:p w14:paraId="1E2348A7" w14:textId="1B4B64E0" w:rsidR="004A3BF3" w:rsidRPr="00E74D3F" w:rsidRDefault="004A3BF3" w:rsidP="00960220">
      <w:pPr>
        <w:pStyle w:val="ListParagraph"/>
        <w:numPr>
          <w:ilvl w:val="1"/>
          <w:numId w:val="29"/>
        </w:numPr>
        <w:spacing w:before="24" w:after="24" w:line="288" w:lineRule="auto"/>
        <w:rPr>
          <w:rFonts w:ascii="Verdana" w:eastAsia="MS Mincho" w:hAnsi="Verdana" w:cs="Arial"/>
          <w:lang w:val="en-US"/>
        </w:rPr>
      </w:pPr>
      <w:r w:rsidRPr="00E74D3F">
        <w:rPr>
          <w:rFonts w:ascii="Verdana" w:eastAsia="MS Mincho" w:hAnsi="Verdana" w:cs="Arial"/>
          <w:lang w:val="en-US"/>
        </w:rPr>
        <w:t xml:space="preserve">Strangulation is a feature of most of the homicides and non-fatal assaults </w:t>
      </w:r>
      <w:r>
        <w:rPr>
          <w:rFonts w:ascii="Verdana" w:eastAsia="MS Mincho" w:hAnsi="Verdana" w:cs="Arial"/>
          <w:lang w:val="en-US"/>
        </w:rPr>
        <w:t xml:space="preserve">where the perpetrator has used </w:t>
      </w:r>
      <w:r w:rsidRPr="00E74D3F">
        <w:rPr>
          <w:rFonts w:ascii="Verdana" w:eastAsia="MS Mincho" w:hAnsi="Verdana" w:cs="Arial"/>
          <w:lang w:val="en-US"/>
        </w:rPr>
        <w:t>the rough sex defence</w:t>
      </w:r>
      <w:r>
        <w:rPr>
          <w:rFonts w:ascii="Verdana" w:eastAsia="MS Mincho" w:hAnsi="Verdana" w:cs="Arial"/>
          <w:lang w:val="en-US"/>
        </w:rPr>
        <w:t xml:space="preserve"> or consent to harm for sexual gratification</w:t>
      </w:r>
      <w:r w:rsidRPr="00E74D3F">
        <w:rPr>
          <w:rFonts w:ascii="Verdana" w:eastAsia="MS Mincho" w:hAnsi="Verdana" w:cs="Arial"/>
          <w:lang w:val="en-US"/>
        </w:rPr>
        <w:t>.</w:t>
      </w:r>
      <w:r w:rsidR="00485A10">
        <w:rPr>
          <w:rStyle w:val="FootnoteReference"/>
          <w:rFonts w:ascii="Verdana" w:eastAsia="MS Mincho" w:hAnsi="Verdana" w:cs="Arial"/>
          <w:lang w:val="en-US"/>
        </w:rPr>
        <w:footnoteReference w:id="32"/>
      </w:r>
      <w:r w:rsidRPr="00E74D3F">
        <w:rPr>
          <w:rFonts w:ascii="Verdana" w:eastAsia="MS Mincho" w:hAnsi="Verdana" w:cs="Arial"/>
          <w:lang w:val="en-US"/>
        </w:rPr>
        <w:t xml:space="preserve">  </w:t>
      </w:r>
    </w:p>
    <w:p w14:paraId="4AA6E25E" w14:textId="77777777" w:rsidR="004A3BF3" w:rsidRDefault="004A3BF3">
      <w:pPr>
        <w:pStyle w:val="ListParagraph"/>
        <w:spacing w:before="24" w:after="24" w:line="288" w:lineRule="auto"/>
        <w:rPr>
          <w:rFonts w:ascii="Verdana" w:eastAsia="MS Mincho" w:hAnsi="Verdana" w:cs="Arial"/>
          <w:lang w:val="en-US"/>
        </w:rPr>
      </w:pPr>
    </w:p>
    <w:p w14:paraId="7F4716B9" w14:textId="4E032722" w:rsidR="004A3BF3" w:rsidRPr="00E74D3F" w:rsidRDefault="004A3BF3" w:rsidP="00960220">
      <w:pPr>
        <w:pStyle w:val="ListParagraph"/>
        <w:numPr>
          <w:ilvl w:val="1"/>
          <w:numId w:val="29"/>
        </w:numPr>
        <w:spacing w:before="24" w:after="24" w:line="288" w:lineRule="auto"/>
        <w:rPr>
          <w:rFonts w:ascii="Verdana" w:eastAsia="MS Mincho" w:hAnsi="Verdana" w:cs="Arial"/>
          <w:lang w:val="en-US"/>
        </w:rPr>
      </w:pPr>
      <w:r w:rsidRPr="00E74D3F">
        <w:rPr>
          <w:rFonts w:ascii="Verdana" w:eastAsia="MS Mincho" w:hAnsi="Verdana" w:cs="Arial"/>
          <w:lang w:val="en-US"/>
        </w:rPr>
        <w:lastRenderedPageBreak/>
        <w:t>The Commission responded to the Department’s consultation on ‘Consent to Serious Harm for Sexual Gratification: Not a Defence’.</w:t>
      </w:r>
      <w:r w:rsidR="00485A10">
        <w:rPr>
          <w:rStyle w:val="FootnoteReference"/>
          <w:rFonts w:ascii="Verdana" w:eastAsia="MS Mincho" w:hAnsi="Verdana" w:cs="Arial"/>
          <w:lang w:val="en-US"/>
        </w:rPr>
        <w:footnoteReference w:id="33"/>
      </w:r>
      <w:r w:rsidRPr="00E74D3F">
        <w:rPr>
          <w:rFonts w:ascii="Verdana" w:eastAsia="MS Mincho" w:hAnsi="Verdana" w:cs="Arial"/>
          <w:lang w:val="en-US"/>
        </w:rPr>
        <w:t xml:space="preserve">  The Commission would refer the </w:t>
      </w:r>
      <w:r>
        <w:rPr>
          <w:rFonts w:ascii="Verdana" w:eastAsia="MS Mincho" w:hAnsi="Verdana" w:cs="Arial"/>
          <w:lang w:val="en-US"/>
        </w:rPr>
        <w:t xml:space="preserve">Department </w:t>
      </w:r>
      <w:r w:rsidRPr="00E74D3F">
        <w:rPr>
          <w:rFonts w:ascii="Verdana" w:eastAsia="MS Mincho" w:hAnsi="Verdana" w:cs="Arial"/>
          <w:lang w:val="en-US"/>
        </w:rPr>
        <w:t xml:space="preserve">to the Commission’s response as there is significant overlap in issues relating to gender related violence and the use of the </w:t>
      </w:r>
      <w:r w:rsidR="00485A10">
        <w:rPr>
          <w:rFonts w:ascii="Verdana" w:eastAsia="MS Mincho" w:hAnsi="Verdana" w:cs="Arial"/>
          <w:lang w:val="en-US"/>
        </w:rPr>
        <w:t xml:space="preserve">defence </w:t>
      </w:r>
      <w:r w:rsidRPr="00E74D3F">
        <w:rPr>
          <w:rFonts w:ascii="Verdana" w:eastAsia="MS Mincho" w:hAnsi="Verdana" w:cs="Arial"/>
          <w:lang w:val="en-US"/>
        </w:rPr>
        <w:t xml:space="preserve">by perpetrators of non-fatal strangulation offences. </w:t>
      </w:r>
    </w:p>
    <w:p w14:paraId="653FAA98" w14:textId="77777777" w:rsidR="004A3BF3" w:rsidRPr="00E150E1" w:rsidRDefault="004A3BF3">
      <w:pPr>
        <w:pStyle w:val="ListParagraph"/>
        <w:spacing w:before="24" w:after="24"/>
        <w:rPr>
          <w:rFonts w:ascii="Verdana" w:eastAsia="MS Mincho" w:hAnsi="Verdana" w:cs="Arial"/>
          <w:lang w:val="en-US"/>
        </w:rPr>
      </w:pPr>
    </w:p>
    <w:p w14:paraId="56807EEE" w14:textId="49873E6D" w:rsidR="004A3BF3" w:rsidRDefault="00BA7AE6" w:rsidP="00960220">
      <w:pPr>
        <w:pStyle w:val="ListParagraph"/>
        <w:numPr>
          <w:ilvl w:val="1"/>
          <w:numId w:val="29"/>
        </w:numPr>
        <w:spacing w:before="24" w:after="24" w:line="288" w:lineRule="auto"/>
        <w:rPr>
          <w:rFonts w:ascii="Verdana" w:eastAsia="MS Mincho" w:hAnsi="Verdana" w:cs="Arial"/>
          <w:lang w:val="en-US"/>
        </w:rPr>
      </w:pPr>
      <w:r>
        <w:rPr>
          <w:rFonts w:ascii="Verdana" w:eastAsia="MS Mincho" w:hAnsi="Verdana" w:cs="Arial"/>
          <w:lang w:val="en-US"/>
        </w:rPr>
        <w:t>In its response, t</w:t>
      </w:r>
      <w:r w:rsidR="004A3BF3">
        <w:rPr>
          <w:rFonts w:ascii="Verdana" w:eastAsia="MS Mincho" w:hAnsi="Verdana" w:cs="Arial"/>
          <w:lang w:val="en-US"/>
        </w:rPr>
        <w:t>he NIHRC recommended</w:t>
      </w:r>
      <w:r w:rsidR="004A3BF3" w:rsidRPr="00E150E1">
        <w:rPr>
          <w:rFonts w:ascii="Verdana" w:eastAsia="MS Mincho" w:hAnsi="Verdana" w:cs="Arial"/>
          <w:lang w:val="en-US"/>
        </w:rPr>
        <w:t xml:space="preserve"> the Department of Justice bring forward appropriate legislative change as soon as is practicable for non-fatal strangulation to be reg</w:t>
      </w:r>
      <w:r w:rsidR="004A3BF3">
        <w:rPr>
          <w:rFonts w:ascii="Verdana" w:eastAsia="MS Mincho" w:hAnsi="Verdana" w:cs="Arial"/>
          <w:lang w:val="en-US"/>
        </w:rPr>
        <w:t>arded as a standalone offence and that a</w:t>
      </w:r>
      <w:r w:rsidR="004A3BF3" w:rsidRPr="00E150E1">
        <w:rPr>
          <w:rFonts w:ascii="Verdana" w:eastAsia="MS Mincho" w:hAnsi="Verdana" w:cs="Arial"/>
          <w:lang w:val="en-US"/>
        </w:rPr>
        <w:t>ny legislative change should be clear that the defence of consent to harm for sexual gratification can no longer be used</w:t>
      </w:r>
      <w:r w:rsidR="004A3BF3">
        <w:rPr>
          <w:rFonts w:ascii="Verdana" w:eastAsia="MS Mincho" w:hAnsi="Verdana" w:cs="Arial"/>
          <w:lang w:val="en-US"/>
        </w:rPr>
        <w:t xml:space="preserve"> for non-fatal strangulation</w:t>
      </w:r>
      <w:r w:rsidR="004A3BF3" w:rsidRPr="00E150E1">
        <w:rPr>
          <w:rFonts w:ascii="Verdana" w:eastAsia="MS Mincho" w:hAnsi="Verdana" w:cs="Arial"/>
          <w:lang w:val="en-US"/>
        </w:rPr>
        <w:t>.</w:t>
      </w:r>
      <w:r w:rsidR="004A3BF3">
        <w:rPr>
          <w:rFonts w:ascii="Verdana" w:eastAsia="MS Mincho" w:hAnsi="Verdana" w:cs="Arial"/>
          <w:lang w:val="en-US"/>
        </w:rPr>
        <w:t xml:space="preserve"> </w:t>
      </w:r>
    </w:p>
    <w:p w14:paraId="1A925804" w14:textId="77777777" w:rsidR="004A3BF3" w:rsidRPr="00823DDC" w:rsidRDefault="004A3BF3">
      <w:pPr>
        <w:pStyle w:val="ListParagraph"/>
        <w:spacing w:before="24" w:after="24"/>
        <w:rPr>
          <w:rFonts w:ascii="Verdana" w:eastAsia="MS Mincho" w:hAnsi="Verdana" w:cs="Arial"/>
          <w:lang w:val="en-US"/>
        </w:rPr>
      </w:pPr>
    </w:p>
    <w:p w14:paraId="7B4745F9" w14:textId="043FD46E" w:rsidR="004A3BF3" w:rsidRPr="004A3BF3" w:rsidRDefault="004A3BF3" w:rsidP="00960220">
      <w:pPr>
        <w:pStyle w:val="ListParagraph"/>
        <w:numPr>
          <w:ilvl w:val="1"/>
          <w:numId w:val="29"/>
        </w:numPr>
        <w:spacing w:before="24" w:after="24" w:line="288" w:lineRule="auto"/>
        <w:rPr>
          <w:rFonts w:ascii="Verdana" w:eastAsia="MS Mincho" w:hAnsi="Verdana" w:cs="Arial"/>
          <w:b/>
          <w:lang w:val="en-US"/>
        </w:rPr>
      </w:pPr>
      <w:r w:rsidRPr="00823DDC">
        <w:rPr>
          <w:rFonts w:ascii="Verdana" w:eastAsia="MS Mincho" w:hAnsi="Verdana" w:cs="Arial"/>
          <w:b/>
          <w:lang w:val="en-US"/>
        </w:rPr>
        <w:t>The NIHRC recommends that the Department introduces legislation to outlaw the use of consent to harm for sexual gratification as a defence and t</w:t>
      </w:r>
      <w:r w:rsidR="002C3371">
        <w:rPr>
          <w:rFonts w:ascii="Verdana" w:eastAsia="MS Mincho" w:hAnsi="Verdana" w:cs="Arial"/>
          <w:b/>
          <w:lang w:val="en-US"/>
        </w:rPr>
        <w:t xml:space="preserve">hat the legislation </w:t>
      </w:r>
      <w:r w:rsidR="00931C61">
        <w:rPr>
          <w:rFonts w:ascii="Verdana" w:eastAsia="MS Mincho" w:hAnsi="Verdana" w:cs="Arial"/>
          <w:b/>
          <w:lang w:val="en-US"/>
        </w:rPr>
        <w:t>pre</w:t>
      </w:r>
      <w:r w:rsidR="00173A5B">
        <w:rPr>
          <w:rFonts w:ascii="Verdana" w:eastAsia="MS Mincho" w:hAnsi="Verdana" w:cs="Arial"/>
          <w:b/>
          <w:lang w:val="en-US"/>
        </w:rPr>
        <w:t>cludes</w:t>
      </w:r>
      <w:r w:rsidR="00AB03DD">
        <w:rPr>
          <w:rFonts w:ascii="Verdana" w:eastAsia="MS Mincho" w:hAnsi="Verdana" w:cs="Arial"/>
          <w:b/>
          <w:lang w:val="en-US"/>
        </w:rPr>
        <w:t xml:space="preserve"> the defence </w:t>
      </w:r>
      <w:r w:rsidR="00173A5B">
        <w:rPr>
          <w:rFonts w:ascii="Verdana" w:eastAsia="MS Mincho" w:hAnsi="Verdana" w:cs="Arial"/>
          <w:b/>
          <w:lang w:val="en-US"/>
        </w:rPr>
        <w:t>being used for</w:t>
      </w:r>
      <w:r w:rsidR="002C3371">
        <w:rPr>
          <w:rFonts w:ascii="Verdana" w:eastAsia="MS Mincho" w:hAnsi="Verdana" w:cs="Arial"/>
          <w:b/>
          <w:lang w:val="en-US"/>
        </w:rPr>
        <w:t xml:space="preserve"> the</w:t>
      </w:r>
      <w:r w:rsidRPr="00823DDC">
        <w:rPr>
          <w:rFonts w:ascii="Verdana" w:eastAsia="MS Mincho" w:hAnsi="Verdana" w:cs="Arial"/>
          <w:b/>
          <w:lang w:val="en-US"/>
        </w:rPr>
        <w:t xml:space="preserve"> offence of non-fatal strangulation. </w:t>
      </w:r>
    </w:p>
    <w:p w14:paraId="78546E52" w14:textId="77777777" w:rsidR="00E06D64" w:rsidRPr="00331C61" w:rsidRDefault="00E06D64">
      <w:pPr>
        <w:pStyle w:val="Default"/>
        <w:spacing w:before="24" w:after="24" w:line="288" w:lineRule="auto"/>
        <w:rPr>
          <w:rFonts w:cs="Arial"/>
          <w:b/>
          <w:color w:val="232120"/>
        </w:rPr>
      </w:pPr>
    </w:p>
    <w:p w14:paraId="5A192C36" w14:textId="089D024B" w:rsidR="00EA12CE" w:rsidRDefault="00E74D3F" w:rsidP="00960220">
      <w:pPr>
        <w:pStyle w:val="Heading1"/>
        <w:numPr>
          <w:ilvl w:val="0"/>
          <w:numId w:val="30"/>
        </w:numPr>
        <w:spacing w:before="24" w:after="24"/>
      </w:pPr>
      <w:bookmarkStart w:id="7" w:name="_Toc81304861"/>
      <w:r>
        <w:t xml:space="preserve">UK </w:t>
      </w:r>
      <w:r w:rsidR="00CA6B33">
        <w:t>Domestic Abuse Act</w:t>
      </w:r>
      <w:r w:rsidR="00563D42">
        <w:t xml:space="preserve"> 2021</w:t>
      </w:r>
      <w:bookmarkEnd w:id="7"/>
      <w:r w:rsidR="00CA6B33">
        <w:t xml:space="preserve"> </w:t>
      </w:r>
    </w:p>
    <w:p w14:paraId="12C1E72A" w14:textId="77777777" w:rsidR="006B1B09" w:rsidRPr="006B1B09" w:rsidRDefault="006B1B09">
      <w:pPr>
        <w:pStyle w:val="Default"/>
        <w:spacing w:before="24" w:after="24" w:line="288" w:lineRule="auto"/>
        <w:ind w:left="720"/>
        <w:rPr>
          <w:rFonts w:cs="Arial"/>
          <w:color w:val="232120"/>
        </w:rPr>
      </w:pPr>
    </w:p>
    <w:p w14:paraId="33CDFE0A" w14:textId="0A2AABDA" w:rsidR="006B1B09" w:rsidRPr="00A05E09" w:rsidRDefault="006B1B09" w:rsidP="00960220">
      <w:pPr>
        <w:pStyle w:val="Default"/>
        <w:numPr>
          <w:ilvl w:val="1"/>
          <w:numId w:val="30"/>
        </w:numPr>
        <w:spacing w:before="24" w:after="24" w:line="288" w:lineRule="auto"/>
        <w:rPr>
          <w:rFonts w:cs="Arial"/>
          <w:color w:val="232120"/>
        </w:rPr>
      </w:pPr>
      <w:r>
        <w:rPr>
          <w:rFonts w:cs="Arial"/>
          <w:color w:val="232120"/>
        </w:rPr>
        <w:t>Within the UK Domestic Abuse Act</w:t>
      </w:r>
      <w:r w:rsidR="00563D42">
        <w:rPr>
          <w:rFonts w:cs="Arial"/>
          <w:color w:val="232120"/>
        </w:rPr>
        <w:t xml:space="preserve"> 2021</w:t>
      </w:r>
      <w:r w:rsidR="007B276B">
        <w:rPr>
          <w:rFonts w:cs="Arial"/>
          <w:color w:val="232120"/>
        </w:rPr>
        <w:t>,</w:t>
      </w:r>
      <w:r>
        <w:rPr>
          <w:rFonts w:cs="Arial"/>
          <w:color w:val="232120"/>
        </w:rPr>
        <w:t xml:space="preserve"> a</w:t>
      </w:r>
      <w:r w:rsidRPr="006B1B09">
        <w:rPr>
          <w:rFonts w:cs="Arial"/>
          <w:color w:val="232120"/>
        </w:rPr>
        <w:t xml:space="preserve"> person </w:t>
      </w:r>
      <w:r w:rsidR="00A05E09">
        <w:rPr>
          <w:rFonts w:cs="Arial"/>
          <w:color w:val="232120"/>
        </w:rPr>
        <w:t xml:space="preserve">is guilty </w:t>
      </w:r>
      <w:r w:rsidR="00A05E09" w:rsidRPr="00A05E09">
        <w:rPr>
          <w:rFonts w:cs="Arial"/>
          <w:color w:val="232120"/>
        </w:rPr>
        <w:t>if that person unlawfully strangles or suffocates another person</w:t>
      </w:r>
      <w:r w:rsidR="00A05E09">
        <w:rPr>
          <w:rFonts w:cs="Arial"/>
          <w:color w:val="232120"/>
        </w:rPr>
        <w:t xml:space="preserve">. </w:t>
      </w:r>
      <w:r w:rsidR="00485A10">
        <w:rPr>
          <w:rFonts w:cs="Arial"/>
          <w:color w:val="232120"/>
        </w:rPr>
        <w:t xml:space="preserve">However, the Act only applies to England and Wales. </w:t>
      </w:r>
      <w:r w:rsidR="00A05E09">
        <w:rPr>
          <w:rFonts w:cs="Arial"/>
          <w:color w:val="232120"/>
        </w:rPr>
        <w:t xml:space="preserve">If found guilty the person can face a summary conviction of </w:t>
      </w:r>
      <w:r w:rsidRPr="00A05E09">
        <w:rPr>
          <w:rFonts w:cs="Arial"/>
          <w:color w:val="232120"/>
        </w:rPr>
        <w:t>imprisonment for a term not exceeding 12 months (or 6 months, if the offence was committed before the coming into force of paragraph 24(2) of Schedule 22 to the Sentencing Act 2020), o</w:t>
      </w:r>
      <w:r w:rsidR="00A05E09" w:rsidRPr="00A05E09">
        <w:rPr>
          <w:rFonts w:cs="Arial"/>
          <w:color w:val="232120"/>
        </w:rPr>
        <w:t>r a fine, or both</w:t>
      </w:r>
      <w:r w:rsidR="00F13EDA">
        <w:rPr>
          <w:rFonts w:cs="Arial"/>
          <w:color w:val="232120"/>
        </w:rPr>
        <w:t>;</w:t>
      </w:r>
      <w:r w:rsidR="00A05E09" w:rsidRPr="00A05E09">
        <w:rPr>
          <w:rFonts w:cs="Arial"/>
          <w:color w:val="232120"/>
        </w:rPr>
        <w:t xml:space="preserve"> </w:t>
      </w:r>
      <w:r w:rsidR="00F13EDA">
        <w:rPr>
          <w:rFonts w:cs="Arial"/>
          <w:color w:val="232120"/>
        </w:rPr>
        <w:t>o</w:t>
      </w:r>
      <w:r w:rsidR="00A05E09">
        <w:rPr>
          <w:rFonts w:cs="Arial"/>
          <w:color w:val="232120"/>
        </w:rPr>
        <w:t>r on</w:t>
      </w:r>
      <w:r w:rsidRPr="00A05E09">
        <w:rPr>
          <w:rFonts w:cs="Arial"/>
          <w:color w:val="232120"/>
        </w:rPr>
        <w:t xml:space="preserve"> conviction on indictment, to imprisonment for a term not exceeding </w:t>
      </w:r>
      <w:r w:rsidR="00A05E09">
        <w:rPr>
          <w:rFonts w:cs="Arial"/>
          <w:color w:val="232120"/>
        </w:rPr>
        <w:t>5 years, or to a fine, or both.</w:t>
      </w:r>
      <w:r w:rsidR="00485A10">
        <w:rPr>
          <w:rStyle w:val="FootnoteReference"/>
          <w:rFonts w:cs="Arial"/>
          <w:color w:val="232120"/>
        </w:rPr>
        <w:footnoteReference w:id="34"/>
      </w:r>
    </w:p>
    <w:p w14:paraId="00979FED" w14:textId="77777777" w:rsidR="006B1B09" w:rsidRPr="006B1B09" w:rsidRDefault="006B1B09">
      <w:pPr>
        <w:pStyle w:val="Default"/>
        <w:spacing w:before="24" w:after="24" w:line="288" w:lineRule="auto"/>
        <w:ind w:left="720"/>
        <w:rPr>
          <w:rFonts w:cs="Arial"/>
          <w:color w:val="232120"/>
        </w:rPr>
      </w:pPr>
    </w:p>
    <w:p w14:paraId="5172146F" w14:textId="74CF81B1" w:rsidR="008F4157" w:rsidRPr="008F4157" w:rsidRDefault="006B1B09" w:rsidP="00960220">
      <w:pPr>
        <w:pStyle w:val="Default"/>
        <w:numPr>
          <w:ilvl w:val="1"/>
          <w:numId w:val="30"/>
        </w:numPr>
        <w:spacing w:before="24" w:after="24" w:line="288" w:lineRule="auto"/>
        <w:rPr>
          <w:rFonts w:cs="Arial"/>
          <w:color w:val="232120"/>
        </w:rPr>
      </w:pPr>
      <w:r>
        <w:rPr>
          <w:rFonts w:cs="Arial"/>
          <w:color w:val="232120"/>
        </w:rPr>
        <w:t>The NIRHC understan</w:t>
      </w:r>
      <w:r w:rsidR="006F0B54">
        <w:rPr>
          <w:rFonts w:cs="Arial"/>
          <w:color w:val="232120"/>
        </w:rPr>
        <w:t xml:space="preserve">ds the Department has </w:t>
      </w:r>
      <w:r w:rsidR="00166641">
        <w:rPr>
          <w:rFonts w:cs="Arial"/>
          <w:color w:val="232120"/>
        </w:rPr>
        <w:t xml:space="preserve">asked </w:t>
      </w:r>
      <w:r w:rsidR="006F0B54">
        <w:rPr>
          <w:rFonts w:cs="Arial"/>
          <w:color w:val="232120"/>
        </w:rPr>
        <w:t>whe</w:t>
      </w:r>
      <w:r w:rsidR="00166641">
        <w:rPr>
          <w:rFonts w:cs="Arial"/>
          <w:color w:val="232120"/>
        </w:rPr>
        <w:t>re</w:t>
      </w:r>
      <w:r w:rsidR="006F0B54">
        <w:rPr>
          <w:rFonts w:cs="Arial"/>
          <w:color w:val="232120"/>
        </w:rPr>
        <w:t xml:space="preserve"> the</w:t>
      </w:r>
      <w:r w:rsidRPr="006B1B09">
        <w:rPr>
          <w:rFonts w:cs="Arial"/>
          <w:color w:val="232120"/>
        </w:rPr>
        <w:t xml:space="preserve"> new offence </w:t>
      </w:r>
      <w:r w:rsidR="006F0B54">
        <w:rPr>
          <w:rFonts w:cs="Arial"/>
          <w:color w:val="232120"/>
        </w:rPr>
        <w:t>sh</w:t>
      </w:r>
      <w:r w:rsidRPr="006B1B09">
        <w:rPr>
          <w:rFonts w:cs="Arial"/>
          <w:color w:val="232120"/>
        </w:rPr>
        <w:t xml:space="preserve">ould be tried in the </w:t>
      </w:r>
      <w:r w:rsidR="00FC362B">
        <w:rPr>
          <w:rFonts w:cs="Arial"/>
          <w:color w:val="232120"/>
        </w:rPr>
        <w:t>M</w:t>
      </w:r>
      <w:r w:rsidRPr="006B1B09">
        <w:rPr>
          <w:rFonts w:cs="Arial"/>
          <w:color w:val="232120"/>
        </w:rPr>
        <w:t>agistrates’ courts sho</w:t>
      </w:r>
      <w:r>
        <w:rPr>
          <w:rFonts w:cs="Arial"/>
          <w:color w:val="232120"/>
        </w:rPr>
        <w:t>uld the maximum sentence be 6 months, 12 months or 2 year</w:t>
      </w:r>
      <w:r w:rsidR="00823DDC">
        <w:rPr>
          <w:rFonts w:cs="Arial"/>
          <w:color w:val="232120"/>
        </w:rPr>
        <w:t xml:space="preserve">s. </w:t>
      </w:r>
      <w:r w:rsidR="00166641">
        <w:rPr>
          <w:rFonts w:cs="Arial"/>
          <w:color w:val="232120"/>
        </w:rPr>
        <w:t xml:space="preserve">In addition, </w:t>
      </w:r>
      <w:r>
        <w:rPr>
          <w:rFonts w:cs="Arial"/>
          <w:color w:val="232120"/>
        </w:rPr>
        <w:t>i</w:t>
      </w:r>
      <w:r w:rsidRPr="006B1B09">
        <w:rPr>
          <w:rFonts w:cs="Arial"/>
          <w:color w:val="232120"/>
        </w:rPr>
        <w:t xml:space="preserve">f a new offence </w:t>
      </w:r>
      <w:r w:rsidR="00166641">
        <w:rPr>
          <w:rFonts w:cs="Arial"/>
          <w:color w:val="232120"/>
        </w:rPr>
        <w:t xml:space="preserve">is </w:t>
      </w:r>
      <w:r w:rsidRPr="006B1B09">
        <w:rPr>
          <w:rFonts w:cs="Arial"/>
          <w:color w:val="232120"/>
        </w:rPr>
        <w:t>tried in the Crown Court, sho</w:t>
      </w:r>
      <w:r>
        <w:rPr>
          <w:rFonts w:cs="Arial"/>
          <w:color w:val="232120"/>
        </w:rPr>
        <w:t xml:space="preserve">uld the maximum sentence be 5 years or 7 years. </w:t>
      </w:r>
    </w:p>
    <w:p w14:paraId="2B8A9339" w14:textId="77777777" w:rsidR="006B1B09" w:rsidRDefault="006B1B09">
      <w:pPr>
        <w:pStyle w:val="ListParagraph"/>
        <w:spacing w:before="24" w:after="24"/>
        <w:rPr>
          <w:rFonts w:cs="Arial"/>
          <w:color w:val="232120"/>
        </w:rPr>
      </w:pPr>
    </w:p>
    <w:p w14:paraId="1F48D36A" w14:textId="1A6F3D54" w:rsidR="00021A87" w:rsidRDefault="006B1B09" w:rsidP="00960220">
      <w:pPr>
        <w:pStyle w:val="Default"/>
        <w:numPr>
          <w:ilvl w:val="1"/>
          <w:numId w:val="30"/>
        </w:numPr>
        <w:spacing w:before="24" w:after="24" w:line="288" w:lineRule="auto"/>
        <w:rPr>
          <w:rFonts w:cs="Arial"/>
          <w:color w:val="232120"/>
        </w:rPr>
      </w:pPr>
      <w:r>
        <w:rPr>
          <w:rFonts w:cs="Arial"/>
          <w:color w:val="232120"/>
        </w:rPr>
        <w:t>The Commission</w:t>
      </w:r>
      <w:r w:rsidR="00823DDC">
        <w:rPr>
          <w:rFonts w:cs="Arial"/>
          <w:color w:val="232120"/>
        </w:rPr>
        <w:t xml:space="preserve"> would highlight that the provision and sentencing for non-fatal strangulation</w:t>
      </w:r>
      <w:r w:rsidR="008F4157">
        <w:rPr>
          <w:rFonts w:cs="Arial"/>
          <w:color w:val="232120"/>
        </w:rPr>
        <w:t xml:space="preserve"> </w:t>
      </w:r>
      <w:r w:rsidR="00166641">
        <w:rPr>
          <w:rFonts w:cs="Arial"/>
          <w:color w:val="232120"/>
        </w:rPr>
        <w:t>should reflect</w:t>
      </w:r>
      <w:r w:rsidR="008F4157">
        <w:rPr>
          <w:rFonts w:cs="Arial"/>
          <w:color w:val="232120"/>
        </w:rPr>
        <w:t xml:space="preserve"> human rights standards</w:t>
      </w:r>
      <w:r w:rsidR="00021A87">
        <w:rPr>
          <w:rFonts w:cs="Arial"/>
          <w:color w:val="232120"/>
        </w:rPr>
        <w:t>. The Istanbul Convention provides that:</w:t>
      </w:r>
    </w:p>
    <w:p w14:paraId="22085010" w14:textId="77777777" w:rsidR="00021A87" w:rsidRDefault="00021A87" w:rsidP="001B4AF0">
      <w:pPr>
        <w:pStyle w:val="ListParagraph"/>
        <w:spacing w:before="24" w:after="24"/>
        <w:rPr>
          <w:rFonts w:cs="Arial"/>
          <w:color w:val="232120"/>
        </w:rPr>
      </w:pPr>
    </w:p>
    <w:p w14:paraId="7E3ECDA4" w14:textId="686C7ADF" w:rsidR="006B1B09" w:rsidRPr="006B1B09" w:rsidRDefault="00021A87" w:rsidP="001B4AF0">
      <w:pPr>
        <w:pStyle w:val="Quote"/>
        <w:spacing w:before="24" w:after="24"/>
      </w:pPr>
      <w:r w:rsidRPr="00021A87">
        <w:lastRenderedPageBreak/>
        <w:t>Parties shall take the necessary legislative or other measures, in conformity with the fundamental principles of human rights and having regard to the gendered understanding of violence, to ensure the effective investigation and prosecution of offences established in accordance with this Convention.</w:t>
      </w:r>
    </w:p>
    <w:p w14:paraId="4A6407E9" w14:textId="77777777" w:rsidR="006B1B09" w:rsidRPr="006B1B09" w:rsidRDefault="006B1B09">
      <w:pPr>
        <w:pStyle w:val="Default"/>
        <w:spacing w:before="24" w:after="24" w:line="288" w:lineRule="auto"/>
        <w:ind w:left="720"/>
        <w:rPr>
          <w:rFonts w:cs="Arial"/>
          <w:color w:val="232120"/>
        </w:rPr>
      </w:pPr>
    </w:p>
    <w:p w14:paraId="7A904EE2" w14:textId="361BD5BF" w:rsidR="00E74D3F" w:rsidRDefault="00CA6B33" w:rsidP="00960220">
      <w:pPr>
        <w:pStyle w:val="Default"/>
        <w:numPr>
          <w:ilvl w:val="1"/>
          <w:numId w:val="30"/>
        </w:numPr>
        <w:spacing w:before="24" w:after="24" w:line="288" w:lineRule="auto"/>
        <w:rPr>
          <w:rFonts w:cs="Arial"/>
          <w:color w:val="232120"/>
        </w:rPr>
      </w:pPr>
      <w:r w:rsidRPr="00CA6B33">
        <w:rPr>
          <w:rFonts w:cs="Arial"/>
          <w:color w:val="232120"/>
        </w:rPr>
        <w:t xml:space="preserve">The Commission would </w:t>
      </w:r>
      <w:r w:rsidR="00A05E09">
        <w:rPr>
          <w:rFonts w:cs="Arial"/>
          <w:color w:val="232120"/>
        </w:rPr>
        <w:t xml:space="preserve">further </w:t>
      </w:r>
      <w:r w:rsidRPr="00CA6B33">
        <w:rPr>
          <w:rFonts w:cs="Arial"/>
          <w:color w:val="232120"/>
        </w:rPr>
        <w:t>highlight provision within the recent Domestic Abuse Act that creates provision for strangulation or suffocation</w:t>
      </w:r>
      <w:r w:rsidR="00A05E09">
        <w:rPr>
          <w:rFonts w:cs="Arial"/>
          <w:color w:val="232120"/>
        </w:rPr>
        <w:t xml:space="preserve"> to i</w:t>
      </w:r>
      <w:r w:rsidRPr="00CA6B33">
        <w:rPr>
          <w:rFonts w:cs="Arial"/>
          <w:color w:val="232120"/>
        </w:rPr>
        <w:t>nclude its application extraterritorially to British cit</w:t>
      </w:r>
      <w:r w:rsidR="00E74D3F">
        <w:rPr>
          <w:rFonts w:cs="Arial"/>
          <w:color w:val="232120"/>
        </w:rPr>
        <w:t>izens acting outside of the UK.</w:t>
      </w:r>
      <w:r w:rsidR="00843218">
        <w:rPr>
          <w:rStyle w:val="FootnoteReference"/>
          <w:rFonts w:cs="Arial"/>
          <w:color w:val="232120"/>
        </w:rPr>
        <w:footnoteReference w:id="35"/>
      </w:r>
    </w:p>
    <w:p w14:paraId="0D2F1AC2" w14:textId="77777777" w:rsidR="00E74D3F" w:rsidRDefault="00E74D3F">
      <w:pPr>
        <w:pStyle w:val="Default"/>
        <w:spacing w:before="24" w:after="24" w:line="288" w:lineRule="auto"/>
        <w:ind w:left="720"/>
        <w:rPr>
          <w:rFonts w:cs="Arial"/>
          <w:color w:val="232120"/>
        </w:rPr>
      </w:pPr>
    </w:p>
    <w:p w14:paraId="63223242" w14:textId="0C60D61D" w:rsidR="00E74D3F" w:rsidRPr="004A3BF3" w:rsidRDefault="00CA6B33" w:rsidP="00960220">
      <w:pPr>
        <w:pStyle w:val="Default"/>
        <w:numPr>
          <w:ilvl w:val="1"/>
          <w:numId w:val="30"/>
        </w:numPr>
        <w:spacing w:before="24" w:after="24" w:line="288" w:lineRule="auto"/>
        <w:rPr>
          <w:rFonts w:cs="Arial"/>
          <w:b/>
          <w:color w:val="232120"/>
        </w:rPr>
      </w:pPr>
      <w:r w:rsidRPr="004A3BF3">
        <w:rPr>
          <w:rFonts w:cs="Arial"/>
          <w:b/>
          <w:color w:val="232120"/>
        </w:rPr>
        <w:t>The Comm</w:t>
      </w:r>
      <w:r w:rsidR="0072601C">
        <w:rPr>
          <w:rFonts w:cs="Arial"/>
          <w:b/>
          <w:color w:val="232120"/>
        </w:rPr>
        <w:t xml:space="preserve">ission recommends the Department introduces </w:t>
      </w:r>
      <w:r w:rsidR="00046CF9">
        <w:rPr>
          <w:rFonts w:cs="Arial"/>
          <w:b/>
          <w:color w:val="232120"/>
        </w:rPr>
        <w:t xml:space="preserve">legislation </w:t>
      </w:r>
      <w:r w:rsidR="00FC362B">
        <w:rPr>
          <w:rFonts w:cs="Arial"/>
          <w:b/>
          <w:color w:val="232120"/>
        </w:rPr>
        <w:t xml:space="preserve">that </w:t>
      </w:r>
      <w:r w:rsidR="00E150E1" w:rsidRPr="004A3BF3">
        <w:rPr>
          <w:rFonts w:cs="Arial"/>
          <w:b/>
          <w:color w:val="232120"/>
        </w:rPr>
        <w:t>ensure</w:t>
      </w:r>
      <w:r w:rsidR="00166641">
        <w:rPr>
          <w:rFonts w:cs="Arial"/>
          <w:b/>
          <w:color w:val="232120"/>
        </w:rPr>
        <w:t>s as a</w:t>
      </w:r>
      <w:r w:rsidR="00046CF9">
        <w:rPr>
          <w:rFonts w:cs="Arial"/>
          <w:b/>
          <w:color w:val="232120"/>
        </w:rPr>
        <w:t xml:space="preserve"> minimum parity of</w:t>
      </w:r>
      <w:r w:rsidR="00E150E1" w:rsidRPr="004A3BF3">
        <w:rPr>
          <w:rFonts w:cs="Arial"/>
          <w:b/>
          <w:color w:val="232120"/>
        </w:rPr>
        <w:t xml:space="preserve"> provision for non-fatal strangulation </w:t>
      </w:r>
      <w:r w:rsidR="00046CF9">
        <w:rPr>
          <w:rFonts w:cs="Arial"/>
          <w:b/>
          <w:color w:val="232120"/>
        </w:rPr>
        <w:t>with England and Wales</w:t>
      </w:r>
      <w:r w:rsidR="00FC362B">
        <w:rPr>
          <w:rFonts w:cs="Arial"/>
          <w:b/>
          <w:color w:val="232120"/>
        </w:rPr>
        <w:t>,</w:t>
      </w:r>
      <w:r w:rsidR="00046CF9">
        <w:rPr>
          <w:rFonts w:cs="Arial"/>
          <w:b/>
          <w:color w:val="232120"/>
        </w:rPr>
        <w:t xml:space="preserve"> so that victims in </w:t>
      </w:r>
      <w:r w:rsidR="00E150E1" w:rsidRPr="004A3BF3">
        <w:rPr>
          <w:rFonts w:cs="Arial"/>
          <w:b/>
          <w:color w:val="232120"/>
        </w:rPr>
        <w:t xml:space="preserve">NI are </w:t>
      </w:r>
      <w:r w:rsidR="00046CF9">
        <w:rPr>
          <w:rFonts w:cs="Arial"/>
          <w:b/>
          <w:color w:val="232120"/>
        </w:rPr>
        <w:t xml:space="preserve">provided with </w:t>
      </w:r>
      <w:r w:rsidR="00166641">
        <w:rPr>
          <w:rFonts w:cs="Arial"/>
          <w:b/>
          <w:color w:val="232120"/>
        </w:rPr>
        <w:t xml:space="preserve">at least </w:t>
      </w:r>
      <w:r w:rsidR="00046CF9">
        <w:rPr>
          <w:rFonts w:cs="Arial"/>
          <w:b/>
          <w:color w:val="232120"/>
        </w:rPr>
        <w:t xml:space="preserve">equal protection. </w:t>
      </w:r>
    </w:p>
    <w:p w14:paraId="31EEE724" w14:textId="77777777" w:rsidR="00F73E40" w:rsidRDefault="00F73E40">
      <w:pPr>
        <w:pStyle w:val="Default"/>
        <w:spacing w:before="24" w:after="24" w:line="288" w:lineRule="auto"/>
        <w:rPr>
          <w:rFonts w:cs="Arial"/>
          <w:color w:val="232120"/>
        </w:rPr>
      </w:pPr>
    </w:p>
    <w:p w14:paraId="35262FC3" w14:textId="77777777" w:rsidR="00F73E40" w:rsidRDefault="00F73E40" w:rsidP="00960220">
      <w:pPr>
        <w:pStyle w:val="Heading1"/>
        <w:numPr>
          <w:ilvl w:val="0"/>
          <w:numId w:val="30"/>
        </w:numPr>
        <w:spacing w:before="24" w:after="24"/>
      </w:pPr>
      <w:bookmarkStart w:id="8" w:name="_Toc81304862"/>
      <w:r>
        <w:t>Disaggregated data</w:t>
      </w:r>
      <w:bookmarkEnd w:id="8"/>
    </w:p>
    <w:p w14:paraId="150323F5" w14:textId="77777777" w:rsidR="00F73E40" w:rsidRDefault="00F73E40">
      <w:pPr>
        <w:pStyle w:val="Default"/>
        <w:spacing w:before="24" w:after="24" w:line="288" w:lineRule="auto"/>
        <w:rPr>
          <w:rFonts w:cs="Arial"/>
          <w:color w:val="232120"/>
        </w:rPr>
      </w:pPr>
    </w:p>
    <w:p w14:paraId="348738DC" w14:textId="77777777" w:rsidR="00F73E40" w:rsidRPr="00046CF9" w:rsidRDefault="00F73E40" w:rsidP="00960220">
      <w:pPr>
        <w:pStyle w:val="Default"/>
        <w:numPr>
          <w:ilvl w:val="1"/>
          <w:numId w:val="30"/>
        </w:numPr>
        <w:spacing w:before="24" w:after="24"/>
        <w:rPr>
          <w:rFonts w:cs="Arial"/>
          <w:color w:val="232120"/>
        </w:rPr>
      </w:pPr>
      <w:r w:rsidRPr="00F73E40">
        <w:rPr>
          <w:rFonts w:cs="Arial"/>
          <w:color w:val="232120"/>
        </w:rPr>
        <w:t>The UN CEDAW Committee in its 2019 concluding observations on the UK recommended that the UK Government and NI Executive “s</w:t>
      </w:r>
      <w:r w:rsidRPr="00F73E40">
        <w:rPr>
          <w:rFonts w:cs="Arial"/>
          <w:bCs/>
          <w:color w:val="232120"/>
        </w:rPr>
        <w:t>ystematically collect and publish data, disaggregated by sex, gender, ethnicity, disability and age, throughout the whole of its territory to inform policymaking and assess the impact of measures taken”.</w:t>
      </w:r>
      <w:r w:rsidRPr="00F73E40">
        <w:rPr>
          <w:rFonts w:cs="Arial"/>
          <w:color w:val="232120"/>
          <w:vertAlign w:val="superscript"/>
        </w:rPr>
        <w:footnoteReference w:id="36"/>
      </w:r>
    </w:p>
    <w:p w14:paraId="429D1502" w14:textId="77777777" w:rsidR="00046CF9" w:rsidRPr="00046CF9" w:rsidRDefault="00046CF9">
      <w:pPr>
        <w:pStyle w:val="Default"/>
        <w:spacing w:before="24" w:after="24"/>
        <w:ind w:left="720"/>
        <w:rPr>
          <w:rFonts w:cs="Arial"/>
          <w:color w:val="232120"/>
        </w:rPr>
      </w:pPr>
    </w:p>
    <w:p w14:paraId="1F3BB356" w14:textId="77777777" w:rsidR="00046CF9" w:rsidRPr="00046CF9" w:rsidRDefault="00046CF9" w:rsidP="00960220">
      <w:pPr>
        <w:pStyle w:val="Default"/>
        <w:numPr>
          <w:ilvl w:val="1"/>
          <w:numId w:val="30"/>
        </w:numPr>
        <w:spacing w:before="24" w:after="24"/>
        <w:rPr>
          <w:rFonts w:cs="Arial"/>
          <w:color w:val="232120"/>
        </w:rPr>
      </w:pPr>
      <w:r w:rsidRPr="00046CF9">
        <w:rPr>
          <w:rFonts w:cs="Arial"/>
          <w:color w:val="232120"/>
        </w:rPr>
        <w:t xml:space="preserve">Article 11 of the Istanbul Convention relates to </w:t>
      </w:r>
      <w:r>
        <w:rPr>
          <w:rFonts w:cs="Arial"/>
          <w:color w:val="232120"/>
        </w:rPr>
        <w:t>d</w:t>
      </w:r>
      <w:r w:rsidRPr="00046CF9">
        <w:rPr>
          <w:rFonts w:cs="Arial"/>
          <w:color w:val="232120"/>
        </w:rPr>
        <w:t xml:space="preserve">ata collection and research and requires state parties to undertake </w:t>
      </w:r>
      <w:r>
        <w:rPr>
          <w:rFonts w:cs="Arial"/>
          <w:color w:val="232120"/>
        </w:rPr>
        <w:t>and</w:t>
      </w:r>
      <w:r w:rsidRPr="00046CF9">
        <w:rPr>
          <w:rFonts w:cs="Arial"/>
          <w:color w:val="232120"/>
        </w:rPr>
        <w:t xml:space="preserve"> collect disaggregated relevant statistical data at regular intervals on cas</w:t>
      </w:r>
      <w:r>
        <w:rPr>
          <w:rFonts w:cs="Arial"/>
          <w:color w:val="232120"/>
        </w:rPr>
        <w:t xml:space="preserve">es of all forms of </w:t>
      </w:r>
      <w:r w:rsidRPr="00046CF9">
        <w:rPr>
          <w:rFonts w:cs="Arial"/>
          <w:color w:val="232120"/>
        </w:rPr>
        <w:t>viole</w:t>
      </w:r>
      <w:r>
        <w:rPr>
          <w:rFonts w:cs="Arial"/>
          <w:color w:val="232120"/>
        </w:rPr>
        <w:t>nce covered by the scope of the Convention.</w:t>
      </w:r>
    </w:p>
    <w:p w14:paraId="505BBA44" w14:textId="77777777" w:rsidR="00823DDC" w:rsidRPr="00823DDC" w:rsidRDefault="00823DDC">
      <w:pPr>
        <w:pStyle w:val="Default"/>
        <w:spacing w:before="24" w:after="24"/>
        <w:ind w:left="720"/>
        <w:rPr>
          <w:rFonts w:cs="Arial"/>
          <w:color w:val="232120"/>
        </w:rPr>
      </w:pPr>
    </w:p>
    <w:p w14:paraId="6A059C3D" w14:textId="1DB3A880" w:rsidR="00823DDC" w:rsidRPr="00F73E40" w:rsidRDefault="00823DDC" w:rsidP="00960220">
      <w:pPr>
        <w:pStyle w:val="Default"/>
        <w:numPr>
          <w:ilvl w:val="1"/>
          <w:numId w:val="30"/>
        </w:numPr>
        <w:spacing w:before="24" w:after="24"/>
        <w:rPr>
          <w:rFonts w:cs="Arial"/>
          <w:color w:val="232120"/>
        </w:rPr>
      </w:pPr>
      <w:r w:rsidRPr="00823DDC">
        <w:rPr>
          <w:rFonts w:cs="Arial"/>
          <w:color w:val="232120"/>
        </w:rPr>
        <w:t>Collection of data and report</w:t>
      </w:r>
      <w:r>
        <w:rPr>
          <w:rFonts w:cs="Arial"/>
          <w:color w:val="232120"/>
        </w:rPr>
        <w:t xml:space="preserve">ing on the </w:t>
      </w:r>
      <w:r w:rsidR="00563D42">
        <w:rPr>
          <w:rFonts w:cs="Arial"/>
          <w:color w:val="232120"/>
        </w:rPr>
        <w:t xml:space="preserve">implementation and </w:t>
      </w:r>
      <w:r>
        <w:rPr>
          <w:rFonts w:cs="Arial"/>
          <w:color w:val="232120"/>
        </w:rPr>
        <w:t>effectiveness of the new legislation is</w:t>
      </w:r>
      <w:r w:rsidR="00166641">
        <w:rPr>
          <w:rFonts w:cs="Arial"/>
          <w:color w:val="232120"/>
        </w:rPr>
        <w:t xml:space="preserve"> essential</w:t>
      </w:r>
      <w:r>
        <w:rPr>
          <w:rFonts w:cs="Arial"/>
          <w:color w:val="232120"/>
        </w:rPr>
        <w:t xml:space="preserve">. The Department </w:t>
      </w:r>
      <w:r w:rsidRPr="00823DDC">
        <w:rPr>
          <w:rFonts w:cs="Arial"/>
          <w:color w:val="232120"/>
        </w:rPr>
        <w:t>will require its o</w:t>
      </w:r>
      <w:r>
        <w:rPr>
          <w:rFonts w:cs="Arial"/>
          <w:color w:val="232120"/>
        </w:rPr>
        <w:t>wn data to understand if the standalone offence</w:t>
      </w:r>
      <w:r w:rsidRPr="00823DDC">
        <w:rPr>
          <w:rFonts w:cs="Arial"/>
          <w:color w:val="232120"/>
        </w:rPr>
        <w:t xml:space="preserve"> has had the intended effect an</w:t>
      </w:r>
      <w:r>
        <w:rPr>
          <w:rFonts w:cs="Arial"/>
          <w:color w:val="232120"/>
        </w:rPr>
        <w:t xml:space="preserve">d whether further measures in law, in training or in guidelines are required. </w:t>
      </w:r>
    </w:p>
    <w:p w14:paraId="7447D2AF" w14:textId="77777777" w:rsidR="00F73E40" w:rsidRPr="00F73E40" w:rsidRDefault="00F73E40">
      <w:pPr>
        <w:pStyle w:val="Default"/>
        <w:spacing w:before="24" w:after="24"/>
        <w:rPr>
          <w:rFonts w:cs="Arial"/>
          <w:color w:val="232120"/>
          <w:lang w:val="en-GB"/>
        </w:rPr>
      </w:pPr>
    </w:p>
    <w:p w14:paraId="026A6D74" w14:textId="1FC53563" w:rsidR="00F73E40" w:rsidRPr="00F73E40" w:rsidRDefault="00F73E40" w:rsidP="00960220">
      <w:pPr>
        <w:pStyle w:val="Default"/>
        <w:numPr>
          <w:ilvl w:val="1"/>
          <w:numId w:val="30"/>
        </w:numPr>
        <w:spacing w:before="24" w:after="24"/>
        <w:rPr>
          <w:rFonts w:cs="Arial"/>
          <w:b/>
          <w:color w:val="232120"/>
        </w:rPr>
      </w:pPr>
      <w:r w:rsidRPr="00F73E40">
        <w:rPr>
          <w:rFonts w:cs="Arial"/>
          <w:b/>
          <w:color w:val="232120"/>
        </w:rPr>
        <w:t xml:space="preserve">The NIHRC recommends that the Department works with the relevant public authorities and civil society organisations to systematically collect and publish data on </w:t>
      </w:r>
      <w:r>
        <w:rPr>
          <w:rFonts w:cs="Arial"/>
          <w:b/>
          <w:color w:val="232120"/>
        </w:rPr>
        <w:t xml:space="preserve">non-fatal strangulation </w:t>
      </w:r>
      <w:r w:rsidRPr="00F73E40">
        <w:rPr>
          <w:rFonts w:cs="Arial"/>
          <w:b/>
          <w:color w:val="232120"/>
        </w:rPr>
        <w:t xml:space="preserve">that is disaggregated by sex, gender, ethnicity, disability and age. It should also record the journey of </w:t>
      </w:r>
      <w:r>
        <w:rPr>
          <w:rFonts w:cs="Arial"/>
          <w:b/>
          <w:color w:val="232120"/>
        </w:rPr>
        <w:t xml:space="preserve">non-fatal strangulation offences </w:t>
      </w:r>
      <w:r w:rsidRPr="00F73E40">
        <w:rPr>
          <w:rFonts w:cs="Arial"/>
          <w:b/>
          <w:color w:val="232120"/>
        </w:rPr>
        <w:t xml:space="preserve">through the criminal justice system, including number of initial reports, number of referrals to the Public Prosecution </w:t>
      </w:r>
      <w:r w:rsidRPr="00F73E40">
        <w:rPr>
          <w:rFonts w:cs="Arial"/>
          <w:b/>
          <w:color w:val="232120"/>
        </w:rPr>
        <w:lastRenderedPageBreak/>
        <w:t>Service, how many reach different stages of the court process, how many prosecutions</w:t>
      </w:r>
      <w:r w:rsidR="00166641">
        <w:rPr>
          <w:rFonts w:cs="Arial"/>
          <w:b/>
          <w:color w:val="232120"/>
        </w:rPr>
        <w:t xml:space="preserve"> occur</w:t>
      </w:r>
      <w:r w:rsidRPr="00F73E40">
        <w:rPr>
          <w:rFonts w:cs="Arial"/>
          <w:b/>
          <w:color w:val="232120"/>
        </w:rPr>
        <w:t xml:space="preserve">, what is the resulting remedy and how </w:t>
      </w:r>
      <w:r w:rsidR="00166641">
        <w:rPr>
          <w:rFonts w:cs="Arial"/>
          <w:b/>
          <w:color w:val="232120"/>
        </w:rPr>
        <w:t>often</w:t>
      </w:r>
      <w:r w:rsidRPr="00F73E40">
        <w:rPr>
          <w:rFonts w:cs="Arial"/>
          <w:b/>
          <w:color w:val="232120"/>
        </w:rPr>
        <w:t xml:space="preserve"> offences</w:t>
      </w:r>
      <w:r w:rsidR="00166641">
        <w:rPr>
          <w:rFonts w:cs="Arial"/>
          <w:b/>
          <w:color w:val="232120"/>
        </w:rPr>
        <w:t xml:space="preserve"> are repeated</w:t>
      </w:r>
      <w:r w:rsidRPr="00F73E40">
        <w:rPr>
          <w:rFonts w:cs="Arial"/>
          <w:b/>
          <w:color w:val="232120"/>
        </w:rPr>
        <w:t>.</w:t>
      </w:r>
    </w:p>
    <w:p w14:paraId="47F5A194" w14:textId="77777777" w:rsidR="00F73E40" w:rsidRDefault="00F73E40">
      <w:pPr>
        <w:pStyle w:val="Default"/>
        <w:spacing w:before="24" w:after="24" w:line="288" w:lineRule="auto"/>
        <w:rPr>
          <w:rFonts w:cs="Arial"/>
          <w:color w:val="232120"/>
        </w:rPr>
      </w:pPr>
    </w:p>
    <w:p w14:paraId="35448B94" w14:textId="77777777" w:rsidR="00B326C1" w:rsidRPr="00B326C1" w:rsidRDefault="00B326C1" w:rsidP="00960220">
      <w:pPr>
        <w:pStyle w:val="Heading1"/>
        <w:numPr>
          <w:ilvl w:val="0"/>
          <w:numId w:val="30"/>
        </w:numPr>
        <w:spacing w:before="24" w:after="24"/>
      </w:pPr>
      <w:bookmarkStart w:id="9" w:name="_Toc81304863"/>
      <w:r w:rsidRPr="00B326C1">
        <w:t>Education, training and awareness</w:t>
      </w:r>
      <w:r>
        <w:t xml:space="preserve"> raising</w:t>
      </w:r>
      <w:bookmarkEnd w:id="9"/>
      <w:r>
        <w:t xml:space="preserve"> </w:t>
      </w:r>
    </w:p>
    <w:p w14:paraId="21AB6AF5" w14:textId="77777777" w:rsidR="0073625B" w:rsidRDefault="0073625B">
      <w:pPr>
        <w:pStyle w:val="Default"/>
        <w:spacing w:before="24" w:after="24" w:line="288" w:lineRule="auto"/>
        <w:rPr>
          <w:rFonts w:cs="Arial"/>
          <w:color w:val="232120"/>
        </w:rPr>
      </w:pPr>
    </w:p>
    <w:p w14:paraId="483309B4" w14:textId="3FF049B9" w:rsidR="009B0363" w:rsidRDefault="00046CF9" w:rsidP="00960220">
      <w:pPr>
        <w:pStyle w:val="Default"/>
        <w:numPr>
          <w:ilvl w:val="1"/>
          <w:numId w:val="30"/>
        </w:numPr>
        <w:spacing w:before="24" w:after="24" w:line="288" w:lineRule="auto"/>
        <w:rPr>
          <w:rFonts w:cs="Arial"/>
          <w:color w:val="232120"/>
        </w:rPr>
      </w:pPr>
      <w:r>
        <w:rPr>
          <w:rFonts w:cs="Arial"/>
          <w:color w:val="232120"/>
        </w:rPr>
        <w:t>The NIHRC would</w:t>
      </w:r>
      <w:r w:rsidR="009B0363">
        <w:rPr>
          <w:rFonts w:cs="Arial"/>
          <w:color w:val="232120"/>
        </w:rPr>
        <w:t xml:space="preserve"> direct the Department to the Commission’s response to the </w:t>
      </w:r>
      <w:r w:rsidR="0054495F">
        <w:rPr>
          <w:rFonts w:cs="Arial"/>
          <w:color w:val="232120"/>
        </w:rPr>
        <w:t>‘</w:t>
      </w:r>
      <w:r w:rsidR="009B0363">
        <w:rPr>
          <w:rFonts w:cs="Arial"/>
          <w:color w:val="232120"/>
        </w:rPr>
        <w:t>Consent to harm for Sexual Grat</w:t>
      </w:r>
      <w:r w:rsidR="00446A15">
        <w:rPr>
          <w:rFonts w:cs="Arial"/>
          <w:color w:val="232120"/>
        </w:rPr>
        <w:t>i</w:t>
      </w:r>
      <w:r w:rsidR="009B0363">
        <w:rPr>
          <w:rFonts w:cs="Arial"/>
          <w:color w:val="232120"/>
        </w:rPr>
        <w:t>fication: Not a Defence</w:t>
      </w:r>
      <w:r w:rsidR="0054495F">
        <w:rPr>
          <w:rFonts w:cs="Arial"/>
          <w:color w:val="232120"/>
        </w:rPr>
        <w:t>’</w:t>
      </w:r>
      <w:r w:rsidR="009B0363">
        <w:rPr>
          <w:rFonts w:cs="Arial"/>
          <w:color w:val="232120"/>
        </w:rPr>
        <w:t xml:space="preserve"> </w:t>
      </w:r>
      <w:r w:rsidR="00823DDC">
        <w:rPr>
          <w:rFonts w:cs="Arial"/>
          <w:color w:val="232120"/>
        </w:rPr>
        <w:t xml:space="preserve">consultation </w:t>
      </w:r>
      <w:r w:rsidR="00166641">
        <w:rPr>
          <w:rFonts w:cs="Arial"/>
          <w:color w:val="232120"/>
        </w:rPr>
        <w:t>in which the Commission outlined</w:t>
      </w:r>
      <w:r w:rsidR="009B0363">
        <w:rPr>
          <w:rFonts w:cs="Arial"/>
          <w:color w:val="232120"/>
        </w:rPr>
        <w:t xml:space="preserve"> recommendations on developing a parallel program</w:t>
      </w:r>
      <w:r w:rsidR="00446A15">
        <w:rPr>
          <w:rFonts w:cs="Arial"/>
          <w:color w:val="232120"/>
        </w:rPr>
        <w:t>m</w:t>
      </w:r>
      <w:r w:rsidR="009B0363">
        <w:rPr>
          <w:rFonts w:cs="Arial"/>
          <w:color w:val="232120"/>
        </w:rPr>
        <w:t>e for education which is</w:t>
      </w:r>
      <w:r w:rsidR="00446A15">
        <w:rPr>
          <w:rFonts w:cs="Arial"/>
          <w:color w:val="232120"/>
        </w:rPr>
        <w:t xml:space="preserve"> also </w:t>
      </w:r>
      <w:r w:rsidR="000C2DC8">
        <w:rPr>
          <w:rFonts w:cs="Arial"/>
          <w:color w:val="232120"/>
        </w:rPr>
        <w:t xml:space="preserve">applicable </w:t>
      </w:r>
      <w:r w:rsidR="00823DDC">
        <w:rPr>
          <w:rFonts w:cs="Arial"/>
          <w:color w:val="232120"/>
        </w:rPr>
        <w:t>to</w:t>
      </w:r>
      <w:r w:rsidR="000C2DC8">
        <w:rPr>
          <w:rFonts w:cs="Arial"/>
          <w:color w:val="232120"/>
        </w:rPr>
        <w:t xml:space="preserve"> education concerning</w:t>
      </w:r>
      <w:r w:rsidR="00823DDC">
        <w:rPr>
          <w:rFonts w:cs="Arial"/>
          <w:color w:val="232120"/>
        </w:rPr>
        <w:t xml:space="preserve"> non-fatal strangulation</w:t>
      </w:r>
      <w:r w:rsidR="009B0363">
        <w:rPr>
          <w:rFonts w:cs="Arial"/>
          <w:color w:val="232120"/>
        </w:rPr>
        <w:t xml:space="preserve">. </w:t>
      </w:r>
      <w:r>
        <w:rPr>
          <w:rFonts w:cs="Arial"/>
          <w:color w:val="232120"/>
        </w:rPr>
        <w:t>This includes detail on specific recommendations highlighted within the Gillen Review</w:t>
      </w:r>
      <w:r w:rsidR="0051666D">
        <w:rPr>
          <w:rFonts w:cs="Arial"/>
          <w:color w:val="232120"/>
        </w:rPr>
        <w:t xml:space="preserve"> as well as the requirements with</w:t>
      </w:r>
      <w:r w:rsidR="006F0B54">
        <w:rPr>
          <w:rFonts w:cs="Arial"/>
          <w:color w:val="232120"/>
        </w:rPr>
        <w:t>in the</w:t>
      </w:r>
      <w:r>
        <w:rPr>
          <w:rFonts w:cs="Arial"/>
          <w:color w:val="232120"/>
        </w:rPr>
        <w:t xml:space="preserve"> </w:t>
      </w:r>
      <w:r w:rsidR="006F0B54" w:rsidRPr="006F0B54">
        <w:rPr>
          <w:rFonts w:cs="Arial"/>
          <w:color w:val="232120"/>
        </w:rPr>
        <w:t>NI (Executive Formation etc</w:t>
      </w:r>
      <w:r w:rsidR="00E35E1D">
        <w:rPr>
          <w:rFonts w:cs="Arial"/>
          <w:color w:val="232120"/>
        </w:rPr>
        <w:t>.</w:t>
      </w:r>
      <w:r w:rsidR="006F0B54" w:rsidRPr="006F0B54">
        <w:rPr>
          <w:rFonts w:cs="Arial"/>
          <w:color w:val="232120"/>
        </w:rPr>
        <w:t xml:space="preserve">) Act 2019 to recommend the introduction </w:t>
      </w:r>
      <w:r w:rsidR="00E35E1D">
        <w:rPr>
          <w:rFonts w:cs="Arial"/>
          <w:color w:val="232120"/>
        </w:rPr>
        <w:t xml:space="preserve">of </w:t>
      </w:r>
      <w:r w:rsidR="006F0B54" w:rsidRPr="006F0B54">
        <w:rPr>
          <w:rFonts w:cs="Arial"/>
          <w:color w:val="232120"/>
        </w:rPr>
        <w:t>age appropriate and scientifically based reproductive and sexual health education that addresses the meaning of consent, healthy relationships and prevention of gender based violence.</w:t>
      </w:r>
      <w:r w:rsidR="00843218">
        <w:rPr>
          <w:rStyle w:val="FootnoteReference"/>
          <w:rFonts w:cs="Arial"/>
          <w:color w:val="232120"/>
        </w:rPr>
        <w:footnoteReference w:id="37"/>
      </w:r>
    </w:p>
    <w:p w14:paraId="690809EB" w14:textId="77777777" w:rsidR="0035436F" w:rsidRDefault="0035436F">
      <w:pPr>
        <w:pStyle w:val="Default"/>
        <w:spacing w:before="24" w:after="24" w:line="288" w:lineRule="auto"/>
        <w:ind w:left="720"/>
        <w:rPr>
          <w:rFonts w:cs="Arial"/>
          <w:color w:val="232120"/>
        </w:rPr>
      </w:pPr>
    </w:p>
    <w:p w14:paraId="747159CE" w14:textId="77777777" w:rsidR="0035436F" w:rsidRDefault="000C2DC8" w:rsidP="00960220">
      <w:pPr>
        <w:pStyle w:val="Default"/>
        <w:numPr>
          <w:ilvl w:val="1"/>
          <w:numId w:val="30"/>
        </w:numPr>
        <w:spacing w:before="24" w:after="24" w:line="288" w:lineRule="auto"/>
        <w:rPr>
          <w:rFonts w:cs="Arial"/>
          <w:color w:val="232120"/>
        </w:rPr>
      </w:pPr>
      <w:r>
        <w:rPr>
          <w:rFonts w:cs="Arial"/>
          <w:color w:val="232120"/>
        </w:rPr>
        <w:t xml:space="preserve">The NIHRC would </w:t>
      </w:r>
      <w:r w:rsidR="0035436F">
        <w:rPr>
          <w:rFonts w:cs="Arial"/>
          <w:color w:val="232120"/>
        </w:rPr>
        <w:t xml:space="preserve">highlight chapter 3 of the Istanbul Convention which outlines particular measures in relation to prevention of violence against women including offences such as non-fatal strangulation. </w:t>
      </w:r>
    </w:p>
    <w:p w14:paraId="3B8F2115" w14:textId="77777777" w:rsidR="00046CF9" w:rsidRDefault="00046CF9">
      <w:pPr>
        <w:pStyle w:val="Default"/>
        <w:spacing w:before="24" w:after="24" w:line="288" w:lineRule="auto"/>
        <w:ind w:left="720"/>
        <w:rPr>
          <w:rFonts w:cs="Arial"/>
          <w:color w:val="232120"/>
        </w:rPr>
      </w:pPr>
    </w:p>
    <w:p w14:paraId="7CF4F62C" w14:textId="77777777" w:rsidR="0035436F" w:rsidRPr="0035436F" w:rsidRDefault="00046CF9" w:rsidP="00960220">
      <w:pPr>
        <w:pStyle w:val="Default"/>
        <w:numPr>
          <w:ilvl w:val="1"/>
          <w:numId w:val="30"/>
        </w:numPr>
        <w:spacing w:before="24" w:after="24" w:line="288" w:lineRule="auto"/>
        <w:rPr>
          <w:rFonts w:cs="Arial"/>
          <w:color w:val="232120"/>
        </w:rPr>
      </w:pPr>
      <w:r>
        <w:t>Article 13 of the Istanbul Convention requires states to</w:t>
      </w:r>
      <w:r w:rsidR="0035436F">
        <w:t>:</w:t>
      </w:r>
    </w:p>
    <w:p w14:paraId="5C94E421" w14:textId="77777777" w:rsidR="0035436F" w:rsidRDefault="0035436F">
      <w:pPr>
        <w:pStyle w:val="ListParagraph"/>
        <w:spacing w:before="24" w:after="24"/>
      </w:pPr>
    </w:p>
    <w:p w14:paraId="5700A06D" w14:textId="77777777" w:rsidR="00C229B4" w:rsidRPr="0051666D" w:rsidRDefault="00046CF9">
      <w:pPr>
        <w:pStyle w:val="Quote"/>
        <w:spacing w:before="24" w:after="24"/>
      </w:pPr>
      <w:r>
        <w:t>promote or conduct, on a regular basis and at all levels, awareness-raising campaigns or programmes, including in co-operation with national human rights institutions and equality bodies, civil society and non-governmental organisations, especially women’s organisations, where appropriate, to increase awareness and understanding among the general public of the different manifestations of all forms of violence covered by the scope of this Convention, their consequences on children and the n</w:t>
      </w:r>
      <w:r w:rsidR="0035436F">
        <w:t xml:space="preserve">eed to prevent such violence. </w:t>
      </w:r>
      <w:r>
        <w:t xml:space="preserve">Parties shall ensure the wide dissemination among the general public of information on measures available to prevent acts of violence covered by the scope of this Convention. </w:t>
      </w:r>
    </w:p>
    <w:p w14:paraId="4E1758A7" w14:textId="77777777" w:rsidR="00C229B4" w:rsidRPr="00C229B4" w:rsidRDefault="00C229B4">
      <w:pPr>
        <w:pStyle w:val="Default"/>
        <w:spacing w:before="24" w:after="24" w:line="288" w:lineRule="auto"/>
        <w:ind w:left="720"/>
        <w:rPr>
          <w:rFonts w:cs="Arial"/>
          <w:color w:val="232120"/>
        </w:rPr>
      </w:pPr>
    </w:p>
    <w:p w14:paraId="70B0DD73" w14:textId="77777777" w:rsidR="0035436F" w:rsidRPr="0035436F" w:rsidRDefault="0035436F" w:rsidP="00960220">
      <w:pPr>
        <w:pStyle w:val="Default"/>
        <w:numPr>
          <w:ilvl w:val="1"/>
          <w:numId w:val="30"/>
        </w:numPr>
        <w:spacing w:before="24" w:after="24" w:line="288" w:lineRule="auto"/>
        <w:rPr>
          <w:rFonts w:cs="Arial"/>
          <w:color w:val="232120"/>
        </w:rPr>
      </w:pPr>
      <w:r>
        <w:t>Article 14 of the Convention relates to e</w:t>
      </w:r>
      <w:r w:rsidR="00046CF9">
        <w:t xml:space="preserve">ducation </w:t>
      </w:r>
      <w:r>
        <w:t xml:space="preserve">and requires the state: </w:t>
      </w:r>
    </w:p>
    <w:p w14:paraId="4C2C7C5D" w14:textId="77777777" w:rsidR="0035436F" w:rsidRPr="0035436F" w:rsidRDefault="0035436F">
      <w:pPr>
        <w:pStyle w:val="Default"/>
        <w:spacing w:before="24" w:after="24" w:line="288" w:lineRule="auto"/>
        <w:ind w:left="720"/>
        <w:rPr>
          <w:rFonts w:cs="Arial"/>
          <w:color w:val="232120"/>
        </w:rPr>
      </w:pPr>
    </w:p>
    <w:p w14:paraId="61ABD1BA" w14:textId="77777777" w:rsidR="006F0B54" w:rsidRDefault="00046CF9">
      <w:pPr>
        <w:pStyle w:val="Quote"/>
        <w:spacing w:before="24" w:after="24"/>
      </w:pPr>
      <w:r>
        <w:t xml:space="preserve">shall take, where appropriate, the necessary steps to include teaching material on issues such as equality between women and </w:t>
      </w:r>
      <w:r>
        <w:lastRenderedPageBreak/>
        <w:t>men, non-stereotyped gender roles, mutual respect, non-violent conflict resolution in interpersonal relationships, gender-based violence against women and the right to personal integrity, adapted to the evolving capacity of learners, in formal curricula an</w:t>
      </w:r>
      <w:r w:rsidR="006F0B54">
        <w:t>d at all levels of education.</w:t>
      </w:r>
    </w:p>
    <w:p w14:paraId="1799B386" w14:textId="77777777" w:rsidR="006F0B54" w:rsidRDefault="006F0B54">
      <w:pPr>
        <w:pStyle w:val="Quote"/>
        <w:spacing w:before="24" w:after="24"/>
      </w:pPr>
    </w:p>
    <w:p w14:paraId="7E88E52E" w14:textId="77777777" w:rsidR="0035436F" w:rsidRPr="0035436F" w:rsidRDefault="00046CF9">
      <w:pPr>
        <w:pStyle w:val="Quote"/>
        <w:spacing w:before="24" w:after="24"/>
        <w:rPr>
          <w:rFonts w:cs="Arial"/>
          <w:color w:val="232120"/>
        </w:rPr>
      </w:pPr>
      <w:r>
        <w:t xml:space="preserve">Parties shall take the necessary steps to promote the principles referred to in paragraph 1 in informal educational facilities, as well as in sports, cultural and leisure facilities and the media. </w:t>
      </w:r>
    </w:p>
    <w:p w14:paraId="64CD1D2E" w14:textId="77777777" w:rsidR="0035436F" w:rsidRPr="0035436F" w:rsidRDefault="0035436F">
      <w:pPr>
        <w:pStyle w:val="Default"/>
        <w:spacing w:before="24" w:after="24" w:line="288" w:lineRule="auto"/>
        <w:ind w:left="720"/>
        <w:rPr>
          <w:rFonts w:cs="Arial"/>
          <w:color w:val="232120"/>
        </w:rPr>
      </w:pPr>
    </w:p>
    <w:p w14:paraId="2BE55723" w14:textId="77777777" w:rsidR="0035436F" w:rsidRPr="0035436F" w:rsidRDefault="0035436F" w:rsidP="00960220">
      <w:pPr>
        <w:pStyle w:val="Default"/>
        <w:numPr>
          <w:ilvl w:val="1"/>
          <w:numId w:val="30"/>
        </w:numPr>
        <w:spacing w:before="24" w:after="24" w:line="288" w:lineRule="auto"/>
        <w:rPr>
          <w:rFonts w:cs="Arial"/>
          <w:color w:val="232120"/>
        </w:rPr>
      </w:pPr>
      <w:r>
        <w:t xml:space="preserve">Article 15 of the Convention relates to training of professionals. It states that: </w:t>
      </w:r>
    </w:p>
    <w:p w14:paraId="184CA2FF" w14:textId="77777777" w:rsidR="0035436F" w:rsidRDefault="0035436F">
      <w:pPr>
        <w:pStyle w:val="Default"/>
        <w:spacing w:before="24" w:after="24" w:line="288" w:lineRule="auto"/>
        <w:ind w:left="720"/>
      </w:pPr>
    </w:p>
    <w:p w14:paraId="4F15DCD7" w14:textId="77777777" w:rsidR="0035436F" w:rsidRDefault="00046CF9">
      <w:pPr>
        <w:pStyle w:val="Quote"/>
        <w:spacing w:before="24" w:after="24"/>
      </w:pPr>
      <w:r>
        <w:t>Parties shall provide or strengthen appropriate training for the relevant professionals dealing with victims or perpetrators of all acts of violence covered by the scope of this Convention, on the prevention and detection of such violence, equality between women and men, the needs and rights of victims, as well as on how to pre</w:t>
      </w:r>
      <w:r w:rsidR="0035436F">
        <w:t>vent secondary victimisation.</w:t>
      </w:r>
    </w:p>
    <w:p w14:paraId="14C5F388" w14:textId="77777777" w:rsidR="0035436F" w:rsidRDefault="0035436F">
      <w:pPr>
        <w:pStyle w:val="Quote"/>
        <w:spacing w:before="24" w:after="24"/>
      </w:pPr>
    </w:p>
    <w:p w14:paraId="091C7091" w14:textId="77777777" w:rsidR="00046CF9" w:rsidRDefault="00046CF9">
      <w:pPr>
        <w:pStyle w:val="Quote"/>
        <w:spacing w:before="24" w:after="24"/>
      </w:pPr>
      <w:r>
        <w:t>Parties shall encourage that the training referred to in paragraph 1 includes training on coordinated multi-agency co-operation to allow for a comprehensive and appropriate handling of referrals in cases of violence covered by the scope of this Convention</w:t>
      </w:r>
      <w:r w:rsidR="0035436F">
        <w:t xml:space="preserve">. </w:t>
      </w:r>
    </w:p>
    <w:p w14:paraId="23171B15" w14:textId="77777777" w:rsidR="0072601C" w:rsidRDefault="0072601C">
      <w:pPr>
        <w:pStyle w:val="Default"/>
        <w:spacing w:before="24" w:after="24" w:line="288" w:lineRule="auto"/>
        <w:ind w:left="720"/>
      </w:pPr>
    </w:p>
    <w:p w14:paraId="4876B524" w14:textId="225A60F9" w:rsidR="00C229B4" w:rsidRDefault="00C229B4" w:rsidP="00960220">
      <w:pPr>
        <w:pStyle w:val="Default"/>
        <w:numPr>
          <w:ilvl w:val="1"/>
          <w:numId w:val="30"/>
        </w:numPr>
        <w:spacing w:before="24" w:after="24" w:line="288" w:lineRule="auto"/>
        <w:rPr>
          <w:rFonts w:cs="Arial"/>
          <w:b/>
          <w:color w:val="232120"/>
        </w:rPr>
      </w:pPr>
      <w:r>
        <w:rPr>
          <w:rFonts w:cs="Arial"/>
          <w:b/>
          <w:color w:val="232120"/>
        </w:rPr>
        <w:t>The NIHRC recommends</w:t>
      </w:r>
      <w:r w:rsidR="00931C61">
        <w:rPr>
          <w:rFonts w:cs="Arial"/>
          <w:b/>
          <w:color w:val="232120"/>
        </w:rPr>
        <w:t xml:space="preserve"> that in advance of ratification</w:t>
      </w:r>
      <w:r>
        <w:rPr>
          <w:rFonts w:cs="Arial"/>
          <w:b/>
          <w:color w:val="232120"/>
        </w:rPr>
        <w:t xml:space="preserve"> </w:t>
      </w:r>
      <w:r w:rsidRPr="00C229B4">
        <w:rPr>
          <w:rFonts w:cs="Arial"/>
          <w:b/>
          <w:color w:val="232120"/>
        </w:rPr>
        <w:t xml:space="preserve">the Department </w:t>
      </w:r>
      <w:r w:rsidR="00931C61">
        <w:rPr>
          <w:rFonts w:cs="Arial"/>
          <w:b/>
          <w:color w:val="232120"/>
        </w:rPr>
        <w:t xml:space="preserve">meets the commitments </w:t>
      </w:r>
      <w:r w:rsidRPr="00C229B4">
        <w:rPr>
          <w:rFonts w:cs="Arial"/>
          <w:b/>
          <w:color w:val="232120"/>
        </w:rPr>
        <w:t>contained within the Istanbul Convention concerning research, awareness-raising, education and training of professionals</w:t>
      </w:r>
      <w:r>
        <w:rPr>
          <w:rFonts w:cs="Arial"/>
          <w:b/>
          <w:color w:val="232120"/>
        </w:rPr>
        <w:t xml:space="preserve">. </w:t>
      </w:r>
    </w:p>
    <w:p w14:paraId="0D100EFB" w14:textId="77777777" w:rsidR="0051666D" w:rsidRPr="0051666D" w:rsidRDefault="0051666D">
      <w:pPr>
        <w:pStyle w:val="Default"/>
        <w:spacing w:before="24" w:after="24" w:line="288" w:lineRule="auto"/>
        <w:ind w:left="720"/>
        <w:rPr>
          <w:rFonts w:cs="Arial"/>
          <w:b/>
          <w:color w:val="232120"/>
        </w:rPr>
      </w:pPr>
    </w:p>
    <w:p w14:paraId="3C1B720D" w14:textId="477C0927" w:rsidR="0051666D" w:rsidRDefault="0051666D" w:rsidP="00960220">
      <w:pPr>
        <w:pStyle w:val="Default"/>
        <w:numPr>
          <w:ilvl w:val="1"/>
          <w:numId w:val="30"/>
        </w:numPr>
        <w:spacing w:before="24" w:after="24" w:line="288" w:lineRule="auto"/>
        <w:rPr>
          <w:rFonts w:cs="Arial"/>
          <w:b/>
          <w:color w:val="232120"/>
        </w:rPr>
      </w:pPr>
      <w:r w:rsidRPr="0051666D">
        <w:rPr>
          <w:rFonts w:cs="Arial"/>
          <w:b/>
          <w:color w:val="232120"/>
        </w:rPr>
        <w:t>The NIHRC continues to call on the UK Government and NI Executive to fulfil their obligations outlined in the NI (Executive Formation etc</w:t>
      </w:r>
      <w:r w:rsidR="002763D6">
        <w:rPr>
          <w:rFonts w:cs="Arial"/>
          <w:b/>
          <w:color w:val="232120"/>
        </w:rPr>
        <w:t>.</w:t>
      </w:r>
      <w:r w:rsidRPr="0051666D">
        <w:rPr>
          <w:rFonts w:cs="Arial"/>
          <w:b/>
          <w:color w:val="232120"/>
        </w:rPr>
        <w:t>) Act 2019</w:t>
      </w:r>
      <w:r w:rsidR="00931C61">
        <w:rPr>
          <w:rFonts w:cs="Arial"/>
          <w:b/>
          <w:color w:val="232120"/>
        </w:rPr>
        <w:t xml:space="preserve"> including</w:t>
      </w:r>
      <w:r w:rsidRPr="0051666D">
        <w:rPr>
          <w:rFonts w:cs="Arial"/>
          <w:b/>
          <w:color w:val="232120"/>
        </w:rPr>
        <w:t xml:space="preserve"> the introduction</w:t>
      </w:r>
      <w:r w:rsidR="002E4395">
        <w:rPr>
          <w:rFonts w:cs="Arial"/>
          <w:b/>
          <w:color w:val="232120"/>
        </w:rPr>
        <w:t xml:space="preserve"> of</w:t>
      </w:r>
      <w:r w:rsidRPr="0051666D">
        <w:rPr>
          <w:rFonts w:cs="Arial"/>
          <w:b/>
          <w:color w:val="232120"/>
        </w:rPr>
        <w:t xml:space="preserve"> age appropriate and scientifically based reproductive and sexual health education</w:t>
      </w:r>
      <w:r w:rsidR="00931C61">
        <w:rPr>
          <w:rFonts w:cs="Arial"/>
          <w:b/>
          <w:color w:val="232120"/>
        </w:rPr>
        <w:t>.</w:t>
      </w:r>
      <w:r w:rsidRPr="0051666D">
        <w:rPr>
          <w:rFonts w:cs="Arial"/>
          <w:b/>
          <w:color w:val="232120"/>
        </w:rPr>
        <w:t xml:space="preserve"> </w:t>
      </w:r>
      <w:r w:rsidR="00931C61">
        <w:rPr>
          <w:rFonts w:cs="Arial"/>
          <w:b/>
          <w:color w:val="232120"/>
        </w:rPr>
        <w:t>This should</w:t>
      </w:r>
      <w:r w:rsidRPr="0051666D">
        <w:rPr>
          <w:rFonts w:cs="Arial"/>
          <w:b/>
          <w:color w:val="232120"/>
        </w:rPr>
        <w:t xml:space="preserve"> address the meaning of consent, healthy relationships and prevention of gender based violence. This will require cross departmental collaboration.</w:t>
      </w:r>
    </w:p>
    <w:p w14:paraId="03F31F6A" w14:textId="77777777" w:rsidR="006F0B54" w:rsidRDefault="006F0B54" w:rsidP="001B4AF0">
      <w:pPr>
        <w:pStyle w:val="ListParagraph"/>
        <w:spacing w:before="24" w:after="24"/>
        <w:rPr>
          <w:rFonts w:cs="Arial"/>
          <w:b/>
          <w:color w:val="232120"/>
        </w:rPr>
      </w:pPr>
    </w:p>
    <w:p w14:paraId="2108CBF3" w14:textId="1A697DAF" w:rsidR="006F0B54" w:rsidRPr="0051666D" w:rsidRDefault="006F0B54" w:rsidP="00960220">
      <w:pPr>
        <w:pStyle w:val="Default"/>
        <w:numPr>
          <w:ilvl w:val="1"/>
          <w:numId w:val="30"/>
        </w:numPr>
        <w:spacing w:before="24" w:after="24" w:line="288" w:lineRule="auto"/>
        <w:rPr>
          <w:rFonts w:cs="Arial"/>
          <w:b/>
          <w:color w:val="232120"/>
        </w:rPr>
      </w:pPr>
      <w:r>
        <w:rPr>
          <w:rFonts w:cs="Arial"/>
          <w:b/>
          <w:color w:val="232120"/>
        </w:rPr>
        <w:t>The NIHRC continues to call on the Department to</w:t>
      </w:r>
      <w:r w:rsidR="00931C61">
        <w:rPr>
          <w:rFonts w:cs="Arial"/>
          <w:b/>
          <w:color w:val="232120"/>
        </w:rPr>
        <w:t xml:space="preserve"> facilitate the introduction of the training</w:t>
      </w:r>
      <w:r w:rsidR="00516CEC">
        <w:rPr>
          <w:rFonts w:cs="Arial"/>
          <w:b/>
          <w:color w:val="232120"/>
        </w:rPr>
        <w:t xml:space="preserve"> recommendations within</w:t>
      </w:r>
      <w:r>
        <w:rPr>
          <w:rFonts w:cs="Arial"/>
          <w:b/>
          <w:color w:val="232120"/>
        </w:rPr>
        <w:t xml:space="preserve"> the Gillen Review</w:t>
      </w:r>
      <w:r w:rsidR="00931C61">
        <w:rPr>
          <w:rFonts w:cs="Arial"/>
          <w:b/>
          <w:color w:val="232120"/>
        </w:rPr>
        <w:t xml:space="preserve"> </w:t>
      </w:r>
      <w:r w:rsidR="00166641">
        <w:rPr>
          <w:rFonts w:cs="Arial"/>
          <w:b/>
          <w:color w:val="232120"/>
        </w:rPr>
        <w:t>as swiftly as possible</w:t>
      </w:r>
      <w:r>
        <w:rPr>
          <w:rFonts w:cs="Arial"/>
          <w:b/>
          <w:color w:val="232120"/>
        </w:rPr>
        <w:t xml:space="preserve">. </w:t>
      </w:r>
    </w:p>
    <w:p w14:paraId="6984E3B8" w14:textId="77777777" w:rsidR="0051666D" w:rsidRDefault="0051666D" w:rsidP="0051666D">
      <w:pPr>
        <w:pStyle w:val="Default"/>
        <w:spacing w:before="24" w:after="24" w:line="288" w:lineRule="auto"/>
        <w:ind w:left="720"/>
        <w:rPr>
          <w:rFonts w:cs="Arial"/>
          <w:b/>
          <w:color w:val="232120"/>
        </w:rPr>
      </w:pPr>
    </w:p>
    <w:p w14:paraId="2A20FDC2" w14:textId="77777777" w:rsidR="0072601C" w:rsidRPr="0072601C" w:rsidRDefault="0072601C" w:rsidP="0072601C">
      <w:pPr>
        <w:pStyle w:val="Default"/>
        <w:spacing w:line="288" w:lineRule="auto"/>
        <w:ind w:left="720"/>
        <w:rPr>
          <w:rFonts w:cs="Arial"/>
          <w:b/>
          <w:color w:val="232120"/>
        </w:rPr>
      </w:pPr>
    </w:p>
    <w:p w14:paraId="4EB3D53D" w14:textId="77777777" w:rsidR="00095FA7" w:rsidRPr="00095FA7" w:rsidRDefault="00095FA7" w:rsidP="00095FA7">
      <w:pPr>
        <w:pStyle w:val="Default"/>
        <w:spacing w:line="288" w:lineRule="auto"/>
        <w:rPr>
          <w:rFonts w:cs="Arial"/>
          <w:color w:val="232120"/>
        </w:rPr>
      </w:pPr>
    </w:p>
    <w:p w14:paraId="6408763A" w14:textId="77777777" w:rsidR="00095FA7" w:rsidRPr="00095FA7" w:rsidRDefault="00095FA7" w:rsidP="00095FA7">
      <w:pPr>
        <w:pStyle w:val="Default"/>
        <w:spacing w:line="288" w:lineRule="auto"/>
        <w:rPr>
          <w:rFonts w:cs="Arial"/>
          <w:color w:val="232120"/>
        </w:rPr>
      </w:pPr>
    </w:p>
    <w:p w14:paraId="33AC6C95" w14:textId="77777777" w:rsidR="00EA12CE" w:rsidRPr="00331C61" w:rsidRDefault="00EA12CE" w:rsidP="00331C61">
      <w:pPr>
        <w:pStyle w:val="Default"/>
        <w:spacing w:line="288" w:lineRule="auto"/>
        <w:rPr>
          <w:rFonts w:cs="Arial"/>
          <w:b/>
          <w:color w:val="232120"/>
        </w:rPr>
      </w:pPr>
    </w:p>
    <w:p w14:paraId="78CE5DFA" w14:textId="77777777" w:rsidR="00B326C1" w:rsidRDefault="00B326C1" w:rsidP="00B326C1">
      <w:pPr>
        <w:pStyle w:val="Default"/>
        <w:spacing w:line="288" w:lineRule="auto"/>
        <w:rPr>
          <w:rFonts w:cs="Arial"/>
          <w:b/>
          <w:color w:val="232120"/>
        </w:rPr>
      </w:pPr>
    </w:p>
    <w:p w14:paraId="1FF83576" w14:textId="77777777" w:rsidR="00EA12CE" w:rsidRDefault="00EA12CE" w:rsidP="00331C61">
      <w:pPr>
        <w:pStyle w:val="Default"/>
        <w:spacing w:line="288" w:lineRule="auto"/>
        <w:rPr>
          <w:rFonts w:cs="Arial"/>
          <w:b/>
          <w:color w:val="232120"/>
        </w:rPr>
      </w:pPr>
    </w:p>
    <w:p w14:paraId="1027AA3D" w14:textId="77777777" w:rsidR="00B326C1" w:rsidRDefault="00B326C1" w:rsidP="00331C61">
      <w:pPr>
        <w:pStyle w:val="Default"/>
        <w:spacing w:line="288" w:lineRule="auto"/>
        <w:rPr>
          <w:rFonts w:cs="Arial"/>
          <w:b/>
          <w:color w:val="232120"/>
        </w:rPr>
      </w:pPr>
    </w:p>
    <w:p w14:paraId="5CBAACBE" w14:textId="270A96DD" w:rsidR="003B7D0E" w:rsidRDefault="003B7D0E" w:rsidP="003B7D0E">
      <w:pPr>
        <w:pStyle w:val="BasicParagraph"/>
        <w:suppressAutoHyphens/>
        <w:jc w:val="center"/>
        <w:rPr>
          <w:rFonts w:ascii="Verdana" w:hAnsi="Verdana" w:cs="Arial"/>
          <w:b/>
          <w:color w:val="232120"/>
          <w:lang w:val="en-US"/>
        </w:rPr>
      </w:pPr>
    </w:p>
    <w:p w14:paraId="5C4A57DA" w14:textId="256948E4" w:rsidR="00843218" w:rsidRDefault="00843218" w:rsidP="003B7D0E">
      <w:pPr>
        <w:pStyle w:val="BasicParagraph"/>
        <w:suppressAutoHyphens/>
        <w:jc w:val="center"/>
        <w:rPr>
          <w:rFonts w:ascii="Verdana" w:hAnsi="Verdana" w:cs="Arial"/>
          <w:b/>
          <w:color w:val="232120"/>
          <w:lang w:val="en-US"/>
        </w:rPr>
      </w:pPr>
    </w:p>
    <w:p w14:paraId="0B607F0E" w14:textId="7065270B" w:rsidR="00843218" w:rsidRDefault="00843218" w:rsidP="003B7D0E">
      <w:pPr>
        <w:pStyle w:val="BasicParagraph"/>
        <w:suppressAutoHyphens/>
        <w:jc w:val="center"/>
        <w:rPr>
          <w:rFonts w:ascii="Verdana" w:hAnsi="Verdana" w:cs="Arial"/>
          <w:b/>
          <w:color w:val="232120"/>
          <w:lang w:val="en-US"/>
        </w:rPr>
      </w:pPr>
    </w:p>
    <w:p w14:paraId="0081D2EA" w14:textId="77777777" w:rsidR="00516CEC" w:rsidRDefault="00516CEC" w:rsidP="003B7D0E">
      <w:pPr>
        <w:pStyle w:val="BasicParagraph"/>
        <w:suppressAutoHyphens/>
        <w:jc w:val="center"/>
        <w:rPr>
          <w:rFonts w:ascii="Verdana" w:hAnsi="Verdana" w:cs="Arial"/>
          <w:b/>
          <w:color w:val="232120"/>
          <w:lang w:val="en-US"/>
        </w:rPr>
      </w:pPr>
    </w:p>
    <w:p w14:paraId="0F84FEFA" w14:textId="77777777" w:rsidR="00516CEC" w:rsidRDefault="00516CEC" w:rsidP="003B7D0E">
      <w:pPr>
        <w:pStyle w:val="BasicParagraph"/>
        <w:suppressAutoHyphens/>
        <w:jc w:val="center"/>
        <w:rPr>
          <w:rFonts w:ascii="Verdana" w:hAnsi="Verdana" w:cs="Arial"/>
          <w:color w:val="3C3C3B"/>
          <w:sz w:val="20"/>
          <w:szCs w:val="20"/>
        </w:rPr>
      </w:pPr>
    </w:p>
    <w:p w14:paraId="7C36777D"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5092E45E" w14:textId="77777777" w:rsidR="00331C61" w:rsidRPr="00331C61" w:rsidRDefault="00331C61" w:rsidP="00331C61">
      <w:pPr>
        <w:pStyle w:val="BasicParagraph"/>
        <w:suppressAutoHyphens/>
        <w:jc w:val="center"/>
        <w:rPr>
          <w:rFonts w:ascii="Verdana" w:hAnsi="Verdana" w:cs="Arial"/>
          <w:b/>
          <w:color w:val="77328A"/>
          <w:sz w:val="36"/>
          <w:szCs w:val="36"/>
        </w:rPr>
      </w:pPr>
    </w:p>
    <w:p w14:paraId="2E4FC63D" w14:textId="111650DD" w:rsidR="00331C61" w:rsidRPr="00331C61" w:rsidRDefault="00DC6DB1" w:rsidP="003B7D0E">
      <w:pPr>
        <w:spacing w:line="288" w:lineRule="auto"/>
        <w:jc w:val="center"/>
        <w:rPr>
          <w:rFonts w:ascii="Verdana" w:hAnsi="Verdana" w:cs="Arial"/>
          <w:b/>
          <w:color w:val="232120"/>
          <w:sz w:val="30"/>
          <w:szCs w:val="30"/>
        </w:rPr>
      </w:pPr>
      <w:r>
        <w:rPr>
          <w:rFonts w:ascii="Verdana" w:hAnsi="Verdana" w:cs="Arial"/>
          <w:b/>
          <w:color w:val="232120"/>
          <w:sz w:val="30"/>
          <w:szCs w:val="30"/>
        </w:rPr>
        <w:t>Rhyannon Blyth</w:t>
      </w:r>
      <w:r w:rsidR="002E4395">
        <w:rPr>
          <w:rFonts w:ascii="Verdana" w:hAnsi="Verdana" w:cs="Arial"/>
          <w:b/>
          <w:color w:val="232120"/>
          <w:sz w:val="30"/>
          <w:szCs w:val="30"/>
        </w:rPr>
        <w:t>e</w:t>
      </w:r>
      <w:r>
        <w:rPr>
          <w:rFonts w:ascii="Verdana" w:hAnsi="Verdana" w:cs="Arial"/>
          <w:b/>
          <w:color w:val="232120"/>
          <w:sz w:val="30"/>
          <w:szCs w:val="30"/>
        </w:rPr>
        <w:t xml:space="preserve"> - Director Legal, Policy, Research and Investigations</w:t>
      </w:r>
    </w:p>
    <w:p w14:paraId="4574CEB4" w14:textId="77777777" w:rsidR="00331C61" w:rsidRPr="00331C61" w:rsidRDefault="00331C61" w:rsidP="003B7D0E">
      <w:pPr>
        <w:spacing w:line="288" w:lineRule="auto"/>
        <w:jc w:val="center"/>
        <w:rPr>
          <w:rFonts w:ascii="Verdana" w:hAnsi="Verdana" w:cs="Arial"/>
          <w:b/>
          <w:color w:val="232120"/>
          <w:sz w:val="30"/>
          <w:szCs w:val="30"/>
        </w:rPr>
      </w:pPr>
    </w:p>
    <w:p w14:paraId="2D2AA03D" w14:textId="77777777" w:rsidR="00331C61" w:rsidRPr="00331C61" w:rsidRDefault="00F36792"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57521DA0"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04475853" w14:textId="77777777" w:rsidR="00F56C78" w:rsidRPr="00331C61" w:rsidRDefault="00F56C78" w:rsidP="003B7D0E">
      <w:pPr>
        <w:spacing w:line="288" w:lineRule="auto"/>
        <w:jc w:val="center"/>
        <w:rPr>
          <w:rFonts w:ascii="Verdana" w:hAnsi="Verdana" w:cs="Arial"/>
          <w:b/>
          <w:color w:val="232120"/>
          <w:sz w:val="28"/>
          <w:szCs w:val="28"/>
        </w:rPr>
      </w:pPr>
    </w:p>
    <w:p w14:paraId="4014096C" w14:textId="77777777" w:rsidR="00F56C78" w:rsidRPr="00331C61" w:rsidRDefault="00F56C78" w:rsidP="003B7D0E">
      <w:pPr>
        <w:spacing w:line="288" w:lineRule="auto"/>
        <w:jc w:val="center"/>
        <w:rPr>
          <w:rFonts w:ascii="Verdana" w:hAnsi="Verdana" w:cs="Arial"/>
          <w:color w:val="232120"/>
          <w:sz w:val="20"/>
          <w:szCs w:val="20"/>
        </w:rPr>
      </w:pPr>
    </w:p>
    <w:p w14:paraId="5BBA4096"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9D0357A" wp14:editId="63A042CA">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C3AE" w14:textId="77777777" w:rsidR="00385AC4" w:rsidRDefault="00385AC4" w:rsidP="00962B2B">
      <w:r>
        <w:separator/>
      </w:r>
    </w:p>
  </w:endnote>
  <w:endnote w:type="continuationSeparator" w:id="0">
    <w:p w14:paraId="199ED845" w14:textId="77777777" w:rsidR="00385AC4" w:rsidRDefault="00385AC4"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996A" w14:textId="77777777" w:rsidR="00D2770F" w:rsidRDefault="00D2770F" w:rsidP="00656ECD">
    <w:pPr>
      <w:pStyle w:val="Footer"/>
      <w:jc w:val="right"/>
      <w:rPr>
        <w:rStyle w:val="PageNumber"/>
        <w:rFonts w:ascii="Arial" w:hAnsi="Arial" w:cs="Arial"/>
        <w:b/>
        <w:sz w:val="16"/>
        <w:szCs w:val="16"/>
      </w:rPr>
    </w:pPr>
  </w:p>
  <w:p w14:paraId="4CD15DDC" w14:textId="19548A1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BC483C">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43D" w14:textId="77777777" w:rsidR="00D2770F" w:rsidRDefault="00D2770F" w:rsidP="00046705">
    <w:pPr>
      <w:pStyle w:val="Footer"/>
      <w:jc w:val="right"/>
      <w:rPr>
        <w:rStyle w:val="PageNumber"/>
        <w:rFonts w:ascii="Arial" w:hAnsi="Arial" w:cs="Arial"/>
        <w:b/>
        <w:sz w:val="16"/>
        <w:szCs w:val="16"/>
      </w:rPr>
    </w:pPr>
  </w:p>
  <w:p w14:paraId="19817FF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E6D8" w14:textId="77777777" w:rsidR="00385AC4" w:rsidRDefault="00385AC4" w:rsidP="00B96D34">
      <w:r>
        <w:continuationSeparator/>
      </w:r>
    </w:p>
    <w:p w14:paraId="5764DC7C" w14:textId="77777777" w:rsidR="00385AC4" w:rsidRPr="00B96D34" w:rsidRDefault="00385AC4" w:rsidP="00B96D34">
      <w:pPr>
        <w:pStyle w:val="Footer"/>
      </w:pPr>
    </w:p>
  </w:footnote>
  <w:footnote w:type="continuationSeparator" w:id="0">
    <w:p w14:paraId="5BB80389" w14:textId="77777777" w:rsidR="00385AC4" w:rsidRDefault="00385AC4" w:rsidP="00962B2B">
      <w:r>
        <w:continuationSeparator/>
      </w:r>
    </w:p>
  </w:footnote>
  <w:footnote w:type="continuationNotice" w:id="1">
    <w:p w14:paraId="08BD036C" w14:textId="77777777" w:rsidR="00385AC4" w:rsidRDefault="00385AC4"/>
  </w:footnote>
  <w:footnote w:id="2">
    <w:p w14:paraId="48EF298B" w14:textId="77777777" w:rsidR="00DC6DB1" w:rsidRPr="001B4AF0" w:rsidRDefault="00DC6DB1" w:rsidP="00DC6DB1">
      <w:pPr>
        <w:pStyle w:val="FootnoteText"/>
        <w:rPr>
          <w:rFonts w:ascii="Verdana" w:hAnsi="Verdana" w:cs="Times New Roman"/>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Ratified by the UK 1951. Further guidance is also taken from the body of case law from the European Court of Human</w:t>
      </w:r>
    </w:p>
    <w:p w14:paraId="1A199F2D" w14:textId="77777777" w:rsidR="00DC6DB1" w:rsidRPr="001B4AF0" w:rsidRDefault="00DC6DB1" w:rsidP="00DC6DB1">
      <w:pPr>
        <w:pStyle w:val="FootnoteText"/>
        <w:rPr>
          <w:rFonts w:ascii="Verdana" w:hAnsi="Verdana"/>
          <w:color w:val="77328A"/>
          <w:sz w:val="16"/>
          <w:szCs w:val="16"/>
        </w:rPr>
      </w:pPr>
      <w:r w:rsidRPr="001B4AF0">
        <w:rPr>
          <w:rFonts w:ascii="Verdana" w:hAnsi="Verdana"/>
          <w:color w:val="77328A"/>
          <w:sz w:val="16"/>
          <w:szCs w:val="16"/>
        </w:rPr>
        <w:t>Rights (ECtHR).</w:t>
      </w:r>
    </w:p>
  </w:footnote>
  <w:footnote w:id="3">
    <w:p w14:paraId="63FC477B" w14:textId="3ADADC6E"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Council of Europe Convention on preventing and combating violence against women and domestic violence (Istanbul Convention), 11 April 2011</w:t>
      </w:r>
      <w:r w:rsidR="006D2406" w:rsidRPr="001B4AF0">
        <w:rPr>
          <w:rFonts w:ascii="Verdana" w:hAnsi="Verdana"/>
          <w:color w:val="77328A"/>
          <w:sz w:val="16"/>
          <w:szCs w:val="16"/>
        </w:rPr>
        <w:t xml:space="preserve"> (Not ratified by UK)</w:t>
      </w:r>
      <w:r w:rsidRPr="001B4AF0">
        <w:rPr>
          <w:rFonts w:ascii="Verdana" w:hAnsi="Verdana"/>
          <w:color w:val="77328A"/>
          <w:sz w:val="16"/>
          <w:szCs w:val="16"/>
        </w:rPr>
        <w:t>.</w:t>
      </w:r>
    </w:p>
  </w:footnote>
  <w:footnote w:id="4">
    <w:p w14:paraId="604F141F"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Ratified by the UK 1966. </w:t>
      </w:r>
    </w:p>
  </w:footnote>
  <w:footnote w:id="5">
    <w:p w14:paraId="54C3CC51"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Ratified by the UK 1986.</w:t>
      </w:r>
    </w:p>
  </w:footnote>
  <w:footnote w:id="6">
    <w:p w14:paraId="76821E35"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Ratified by the UK 1988. </w:t>
      </w:r>
    </w:p>
  </w:footnote>
  <w:footnote w:id="7">
    <w:p w14:paraId="78CDCED6"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Ratified by the UK 1989.</w:t>
      </w:r>
    </w:p>
  </w:footnote>
  <w:footnote w:id="8">
    <w:p w14:paraId="0A84E40D" w14:textId="0AE37292" w:rsidR="00DC6DB1" w:rsidRPr="006549A6" w:rsidRDefault="00DC6DB1" w:rsidP="00DC6DB1">
      <w:pPr>
        <w:pStyle w:val="FootnoteText"/>
        <w:rPr>
          <w:rFonts w:ascii="Verdana" w:hAnsi="Verdana"/>
          <w:color w:val="7030A0"/>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Ratified by the UK 2009.</w:t>
      </w:r>
    </w:p>
  </w:footnote>
  <w:footnote w:id="9">
    <w:p w14:paraId="272D8763"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CAT/C/GBR/CO/6, ‘UN CAT Committee Concluding Observations on the Sixth Periodic Report of the UK of Great Britain and NI’, 7 June 2019.</w:t>
      </w:r>
    </w:p>
  </w:footnote>
  <w:footnote w:id="10">
    <w:p w14:paraId="18AFB171"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CEDAW/C/GBR/CO/8, ‘UN CEDAW Committee Concluding Observations on the UK Eighth Periodic Report’, 8 March 2019.</w:t>
      </w:r>
    </w:p>
  </w:footnote>
  <w:footnote w:id="11">
    <w:p w14:paraId="2736F2AD"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CEDAW/C/GC/35, ‘UN CEDAW Committee General Recommendation No 35:Gender-based V</w:t>
      </w:r>
    </w:p>
    <w:p w14:paraId="02089A4A" w14:textId="77777777" w:rsidR="00DC6DB1" w:rsidRPr="001B4AF0" w:rsidRDefault="00DC6DB1" w:rsidP="00DC6DB1">
      <w:pPr>
        <w:pStyle w:val="FootnoteText"/>
        <w:rPr>
          <w:rFonts w:ascii="Verdana" w:hAnsi="Verdana"/>
          <w:color w:val="77328A"/>
          <w:sz w:val="16"/>
          <w:szCs w:val="16"/>
        </w:rPr>
      </w:pPr>
      <w:r w:rsidRPr="001B4AF0">
        <w:rPr>
          <w:rFonts w:ascii="Verdana" w:hAnsi="Verdana"/>
          <w:color w:val="77328A"/>
          <w:sz w:val="16"/>
          <w:szCs w:val="16"/>
        </w:rPr>
        <w:t xml:space="preserve">against Women’, 26 July 2017. </w:t>
      </w:r>
    </w:p>
  </w:footnote>
  <w:footnote w:id="12">
    <w:p w14:paraId="1F13A848"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CCPR/C/GC/32, ‘UN Human Rights Committee General Comment No 32: Article 14 on the Right to Equality Before the Courts and Tribunals and to a Fair Trial’, 23 August 2007, at para 29.</w:t>
      </w:r>
    </w:p>
  </w:footnote>
  <w:footnote w:id="13">
    <w:p w14:paraId="502B89C1" w14:textId="77777777" w:rsidR="00DC6DB1" w:rsidRPr="001B4AF0" w:rsidRDefault="00DC6DB1" w:rsidP="00DC6DB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UN General Assembly, ‘Declaration on the Elimination of Violence against Women’, 20 December 1993.</w:t>
      </w:r>
    </w:p>
  </w:footnote>
  <w:footnote w:id="14">
    <w:p w14:paraId="4CCD2934" w14:textId="7AD9070D" w:rsidR="00843218" w:rsidRDefault="00843218">
      <w:pPr>
        <w:pStyle w:val="FootnoteText"/>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For example, NI Human Rights Commission, ‘Response to the Department of Justice Consultation on Consent to Serious Harm for Sexual Gratification: Not a Defence’</w:t>
      </w:r>
      <w:r w:rsidR="0020393F" w:rsidRPr="001B4AF0">
        <w:rPr>
          <w:rFonts w:ascii="Verdana" w:hAnsi="Verdana"/>
          <w:color w:val="77328A"/>
          <w:sz w:val="16"/>
          <w:szCs w:val="16"/>
        </w:rPr>
        <w:t xml:space="preserve">, April 2021 and </w:t>
      </w:r>
      <w:r w:rsidRPr="001B4AF0">
        <w:rPr>
          <w:rFonts w:ascii="Verdana" w:hAnsi="Verdana"/>
          <w:color w:val="77328A"/>
          <w:sz w:val="16"/>
          <w:szCs w:val="16"/>
        </w:rPr>
        <w:t>NI Human Rights Commission, ‘</w:t>
      </w:r>
      <w:r w:rsidR="0020393F" w:rsidRPr="001B4AF0">
        <w:rPr>
          <w:rFonts w:ascii="Verdana" w:hAnsi="Verdana"/>
          <w:color w:val="77328A"/>
          <w:sz w:val="16"/>
          <w:szCs w:val="16"/>
        </w:rPr>
        <w:t>Advice to the Department of Justice: Domestic Abuse and Family Proceedings Bill’, June 2020.</w:t>
      </w:r>
      <w:r w:rsidR="0020393F" w:rsidRPr="001B4AF0">
        <w:rPr>
          <w:color w:val="77328A"/>
        </w:rPr>
        <w:t xml:space="preserve"> </w:t>
      </w:r>
    </w:p>
  </w:footnote>
  <w:footnote w:id="15">
    <w:p w14:paraId="7DB46A81" w14:textId="6543027F" w:rsidR="00AD1E34" w:rsidRPr="001B4AF0" w:rsidRDefault="00AD1E34">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Criminal Justice Inspectorate NI, ‘</w:t>
      </w:r>
      <w:r w:rsidR="00843218" w:rsidRPr="001B4AF0">
        <w:rPr>
          <w:rFonts w:ascii="Verdana" w:hAnsi="Verdana"/>
          <w:color w:val="77328A"/>
          <w:sz w:val="16"/>
          <w:szCs w:val="16"/>
        </w:rPr>
        <w:t xml:space="preserve">No Excuse Public Protection Inspection II: A Thematic Inspection of the Handling of Domestic Violence and Abuse Cases by the Criminal Justice System in NI’, July 2019. </w:t>
      </w:r>
    </w:p>
  </w:footnote>
  <w:footnote w:id="16">
    <w:p w14:paraId="17C99F5A"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Article 2 ECHR; Article 3 ECHR. </w:t>
      </w:r>
    </w:p>
  </w:footnote>
  <w:footnote w:id="17">
    <w:p w14:paraId="2CF309A7"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i/>
          <w:color w:val="77328A"/>
          <w:sz w:val="16"/>
          <w:szCs w:val="16"/>
        </w:rPr>
        <w:t>Case of Centre for Legal Resources on Behalf of Valentin Campeanu v Romania</w:t>
      </w:r>
      <w:r w:rsidRPr="001B4AF0">
        <w:rPr>
          <w:rFonts w:ascii="Verdana" w:hAnsi="Verdana"/>
          <w:color w:val="77328A"/>
          <w:sz w:val="16"/>
          <w:szCs w:val="16"/>
        </w:rPr>
        <w:t xml:space="preserve"> (2014) ECHR 14.</w:t>
      </w:r>
    </w:p>
  </w:footnote>
  <w:footnote w:id="18">
    <w:p w14:paraId="02C609DD"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i/>
          <w:color w:val="77328A"/>
          <w:sz w:val="16"/>
          <w:szCs w:val="16"/>
        </w:rPr>
        <w:t>Osman v UK</w:t>
      </w:r>
      <w:r w:rsidRPr="001B4AF0">
        <w:rPr>
          <w:rFonts w:ascii="Verdana" w:hAnsi="Verdana"/>
          <w:color w:val="77328A"/>
          <w:sz w:val="16"/>
          <w:szCs w:val="16"/>
        </w:rPr>
        <w:t xml:space="preserve"> (1998) ECHR 101, at para 116.</w:t>
      </w:r>
    </w:p>
  </w:footnote>
  <w:footnote w:id="19">
    <w:p w14:paraId="02750DA0" w14:textId="77777777" w:rsidR="00D91628" w:rsidRPr="006549A6" w:rsidRDefault="00D91628" w:rsidP="00D91628">
      <w:pPr>
        <w:pStyle w:val="FootnoteText"/>
        <w:rPr>
          <w:rFonts w:ascii="Verdana" w:hAnsi="Verdana"/>
          <w:color w:val="7030A0"/>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i/>
          <w:color w:val="77328A"/>
          <w:sz w:val="16"/>
          <w:szCs w:val="16"/>
        </w:rPr>
        <w:t xml:space="preserve">Chahal v UK </w:t>
      </w:r>
      <w:r w:rsidRPr="001B4AF0">
        <w:rPr>
          <w:rFonts w:ascii="Verdana" w:hAnsi="Verdana"/>
          <w:color w:val="77328A"/>
          <w:sz w:val="16"/>
          <w:szCs w:val="16"/>
        </w:rPr>
        <w:t>(1996) ECHR 413.</w:t>
      </w:r>
      <w:r w:rsidRPr="006549A6">
        <w:rPr>
          <w:rFonts w:ascii="Verdana" w:hAnsi="Verdana"/>
          <w:color w:val="7030A0"/>
          <w:sz w:val="16"/>
          <w:szCs w:val="16"/>
        </w:rPr>
        <w:t xml:space="preserve"> </w:t>
      </w:r>
    </w:p>
  </w:footnote>
  <w:footnote w:id="20">
    <w:p w14:paraId="5F98584A"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Article 8 ECHR; Article 14 ECHR.</w:t>
      </w:r>
    </w:p>
  </w:footnote>
  <w:footnote w:id="21">
    <w:p w14:paraId="72800350"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i/>
          <w:color w:val="77328A"/>
          <w:sz w:val="16"/>
          <w:szCs w:val="16"/>
        </w:rPr>
        <w:t>Dudgeon v UK</w:t>
      </w:r>
      <w:r w:rsidRPr="001B4AF0">
        <w:rPr>
          <w:rFonts w:ascii="Verdana" w:hAnsi="Verdana"/>
          <w:color w:val="77328A"/>
          <w:sz w:val="16"/>
          <w:szCs w:val="16"/>
        </w:rPr>
        <w:t xml:space="preserve"> (1981) ECHR 22. </w:t>
      </w:r>
    </w:p>
  </w:footnote>
  <w:footnote w:id="22">
    <w:p w14:paraId="12EC6E34"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i/>
          <w:color w:val="77328A"/>
          <w:sz w:val="16"/>
          <w:szCs w:val="16"/>
        </w:rPr>
        <w:t xml:space="preserve">MC v Bulgaria </w:t>
      </w:r>
      <w:r w:rsidRPr="001B4AF0">
        <w:rPr>
          <w:rFonts w:ascii="Verdana" w:hAnsi="Verdana"/>
          <w:color w:val="77328A"/>
          <w:sz w:val="16"/>
          <w:szCs w:val="16"/>
        </w:rPr>
        <w:t>(2003) ECHR 646.</w:t>
      </w:r>
    </w:p>
  </w:footnote>
  <w:footnote w:id="23">
    <w:p w14:paraId="134C721F" w14:textId="77777777" w:rsidR="00D91628" w:rsidRPr="001B4AF0" w:rsidRDefault="00D91628" w:rsidP="00D9162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i/>
          <w:color w:val="77328A"/>
          <w:sz w:val="16"/>
          <w:szCs w:val="16"/>
        </w:rPr>
        <w:t xml:space="preserve">MC v Bulgaria </w:t>
      </w:r>
      <w:r w:rsidRPr="001B4AF0">
        <w:rPr>
          <w:rFonts w:ascii="Verdana" w:hAnsi="Verdana"/>
          <w:color w:val="77328A"/>
          <w:sz w:val="16"/>
          <w:szCs w:val="16"/>
        </w:rPr>
        <w:t>(2003) ECHR 646, at para 166.</w:t>
      </w:r>
    </w:p>
  </w:footnote>
  <w:footnote w:id="24">
    <w:p w14:paraId="6414E2C3" w14:textId="5F1704A5" w:rsidR="00CD2084" w:rsidRPr="001B4AF0" w:rsidRDefault="00CD2084">
      <w:pPr>
        <w:pStyle w:val="FootnoteText"/>
        <w:rPr>
          <w:sz w:val="16"/>
          <w:szCs w:val="16"/>
        </w:rPr>
      </w:pPr>
      <w:r w:rsidRPr="001B4AF0">
        <w:rPr>
          <w:rStyle w:val="FootnoteReference"/>
          <w:rFonts w:ascii="Verdana" w:hAnsi="Verdana"/>
          <w:color w:val="77328A"/>
          <w:sz w:val="16"/>
          <w:szCs w:val="16"/>
        </w:rPr>
        <w:footnoteRef/>
      </w:r>
      <w:r w:rsidRPr="001B4AF0">
        <w:rPr>
          <w:color w:val="77328A"/>
          <w:sz w:val="16"/>
          <w:szCs w:val="16"/>
        </w:rPr>
        <w:t xml:space="preserve"> </w:t>
      </w:r>
      <w:r w:rsidR="00AF6AF4" w:rsidRPr="001B4AF0">
        <w:rPr>
          <w:rFonts w:ascii="Verdana" w:eastAsia="MS Mincho" w:hAnsi="Verdana" w:cs="Arial"/>
          <w:i/>
          <w:color w:val="77328A"/>
          <w:sz w:val="16"/>
          <w:szCs w:val="16"/>
        </w:rPr>
        <w:t>Tërshana v. Albania</w:t>
      </w:r>
      <w:r w:rsidR="00AF6AF4">
        <w:rPr>
          <w:rFonts w:ascii="Verdana" w:eastAsia="MS Mincho" w:hAnsi="Verdana" w:cs="Arial"/>
          <w:i/>
          <w:color w:val="77328A"/>
          <w:sz w:val="16"/>
          <w:szCs w:val="16"/>
        </w:rPr>
        <w:t xml:space="preserve"> </w:t>
      </w:r>
      <w:r w:rsidR="00AF6AF4" w:rsidRPr="001B4AF0">
        <w:rPr>
          <w:rFonts w:ascii="Verdana" w:eastAsia="MS Mincho" w:hAnsi="Verdana" w:cs="Arial"/>
          <w:color w:val="77328A"/>
          <w:sz w:val="16"/>
          <w:szCs w:val="16"/>
        </w:rPr>
        <w:t>(2020).</w:t>
      </w:r>
      <w:r w:rsidR="00AF6AF4" w:rsidRPr="001B4AF0">
        <w:rPr>
          <w:rFonts w:ascii="Verdana" w:eastAsia="MS Mincho" w:hAnsi="Verdana" w:cs="Arial"/>
          <w:i/>
          <w:color w:val="77328A"/>
          <w:sz w:val="16"/>
          <w:szCs w:val="16"/>
        </w:rPr>
        <w:t xml:space="preserve"> </w:t>
      </w:r>
    </w:p>
  </w:footnote>
  <w:footnote w:id="25">
    <w:p w14:paraId="72A8AA3F" w14:textId="7EA635FA" w:rsidR="003B3C3F" w:rsidRPr="001B4AF0" w:rsidRDefault="003B3C3F">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00AF6AF4" w:rsidRPr="001B4AF0">
        <w:rPr>
          <w:rFonts w:ascii="Verdana" w:hAnsi="Verdana"/>
          <w:color w:val="77328A"/>
          <w:sz w:val="16"/>
          <w:szCs w:val="16"/>
        </w:rPr>
        <w:t xml:space="preserve"> </w:t>
      </w:r>
      <w:r w:rsidR="00AF6AF4" w:rsidRPr="001B4AF0">
        <w:rPr>
          <w:rFonts w:ascii="Verdana" w:hAnsi="Verdana"/>
          <w:i/>
          <w:color w:val="77328A"/>
          <w:sz w:val="16"/>
          <w:szCs w:val="16"/>
        </w:rPr>
        <w:t>E.M. v. Romania</w:t>
      </w:r>
      <w:r w:rsidR="00AF6AF4" w:rsidRPr="001B4AF0">
        <w:rPr>
          <w:rFonts w:ascii="Verdana" w:hAnsi="Verdana"/>
          <w:color w:val="77328A"/>
          <w:sz w:val="16"/>
          <w:szCs w:val="16"/>
        </w:rPr>
        <w:t xml:space="preserve"> (2012)</w:t>
      </w:r>
      <w:r w:rsidRPr="001B4AF0">
        <w:rPr>
          <w:rFonts w:ascii="Verdana" w:hAnsi="Verdana"/>
          <w:color w:val="77328A"/>
          <w:sz w:val="16"/>
          <w:szCs w:val="16"/>
        </w:rPr>
        <w:t xml:space="preserve"> </w:t>
      </w:r>
      <w:r w:rsidR="00AF6AF4" w:rsidRPr="001B4AF0">
        <w:rPr>
          <w:rFonts w:ascii="Verdana" w:hAnsi="Verdana"/>
          <w:color w:val="77328A"/>
          <w:sz w:val="16"/>
          <w:szCs w:val="16"/>
        </w:rPr>
        <w:t>ECHR 400.</w:t>
      </w:r>
    </w:p>
  </w:footnote>
  <w:footnote w:id="26">
    <w:p w14:paraId="76C2CFB2" w14:textId="77777777" w:rsidR="004A3BF3" w:rsidRPr="002C3371" w:rsidRDefault="004A3BF3">
      <w:pPr>
        <w:pStyle w:val="FootnoteText"/>
        <w:rPr>
          <w:rFonts w:ascii="Verdana" w:hAnsi="Verdan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Pr="001B4AF0">
        <w:rPr>
          <w:rFonts w:ascii="Verdana" w:hAnsi="Verdana" w:cs="Arial"/>
          <w:i/>
          <w:color w:val="77328A"/>
          <w:sz w:val="16"/>
          <w:szCs w:val="16"/>
        </w:rPr>
        <w:t xml:space="preserve">Sandra Janković v. Croatia </w:t>
      </w:r>
      <w:r w:rsidRPr="001B4AF0">
        <w:rPr>
          <w:rFonts w:ascii="Verdana" w:hAnsi="Verdana" w:cs="Arial"/>
          <w:color w:val="77328A"/>
          <w:sz w:val="16"/>
          <w:szCs w:val="16"/>
        </w:rPr>
        <w:t>(2008) ECHR 24.</w:t>
      </w:r>
    </w:p>
  </w:footnote>
  <w:footnote w:id="27">
    <w:p w14:paraId="55AA05A9" w14:textId="27AB38E6" w:rsidR="00D55E78" w:rsidRPr="001B4AF0" w:rsidRDefault="00D55E7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Women’s Aid, ‘Domestic Abuse Bill: Women’s Aid Briefing for Committee Stage’, January 2021. </w:t>
      </w:r>
    </w:p>
  </w:footnote>
  <w:footnote w:id="28">
    <w:p w14:paraId="601D8B6D" w14:textId="77777777" w:rsidR="002C3371" w:rsidRPr="001B4AF0" w:rsidRDefault="002C3371" w:rsidP="002C337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29">
    <w:p w14:paraId="687AC43D" w14:textId="77777777" w:rsidR="002C3371" w:rsidRPr="001B4AF0" w:rsidRDefault="002C3371" w:rsidP="002C3371">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Ibid. </w:t>
      </w:r>
    </w:p>
  </w:footnote>
  <w:footnote w:id="30">
    <w:p w14:paraId="48C74ABA" w14:textId="77777777" w:rsidR="00C504E2" w:rsidRPr="008F4157" w:rsidRDefault="00C504E2" w:rsidP="00C504E2">
      <w:pPr>
        <w:pStyle w:val="FootnoteText"/>
        <w:rPr>
          <w:rFonts w:ascii="Verdana" w:hAnsi="Verdana"/>
          <w:color w:val="77328A"/>
          <w:sz w:val="16"/>
          <w:szCs w:val="16"/>
        </w:rPr>
      </w:pPr>
      <w:r w:rsidRPr="008F4157">
        <w:rPr>
          <w:rStyle w:val="FootnoteReference"/>
          <w:rFonts w:ascii="Verdana" w:hAnsi="Verdana"/>
          <w:color w:val="77328A"/>
          <w:sz w:val="16"/>
          <w:szCs w:val="16"/>
        </w:rPr>
        <w:footnoteRef/>
      </w:r>
      <w:r w:rsidRPr="008F4157">
        <w:rPr>
          <w:rFonts w:ascii="Verdana" w:hAnsi="Verdana"/>
          <w:color w:val="77328A"/>
          <w:sz w:val="16"/>
          <w:szCs w:val="16"/>
        </w:rPr>
        <w:t xml:space="preserve"> CEDAW/C/GBR/CO/8, ‘UN CEDAW Committee Concluding Observations on the UK Eighth Periodic Report’, 8 March 2019, at para 29.</w:t>
      </w:r>
    </w:p>
  </w:footnote>
  <w:footnote w:id="31">
    <w:p w14:paraId="208A90FF" w14:textId="77777777" w:rsidR="00C504E2" w:rsidRPr="00540106" w:rsidRDefault="00C504E2" w:rsidP="00C504E2">
      <w:pPr>
        <w:pStyle w:val="FootnoteText"/>
        <w:rPr>
          <w:rFonts w:ascii="Verdana" w:hAnsi="Verdana"/>
          <w:sz w:val="16"/>
          <w:szCs w:val="16"/>
        </w:rPr>
      </w:pPr>
      <w:r w:rsidRPr="008F4157">
        <w:rPr>
          <w:rStyle w:val="FootnoteReference"/>
          <w:rFonts w:ascii="Verdana" w:hAnsi="Verdana"/>
          <w:color w:val="77328A"/>
          <w:sz w:val="16"/>
          <w:szCs w:val="16"/>
        </w:rPr>
        <w:footnoteRef/>
      </w:r>
      <w:r w:rsidRPr="008F4157">
        <w:rPr>
          <w:rFonts w:ascii="Verdana" w:hAnsi="Verdana"/>
          <w:color w:val="77328A"/>
          <w:sz w:val="16"/>
          <w:szCs w:val="16"/>
        </w:rPr>
        <w:t xml:space="preserve"> Preventing and Combating Violence against Women and Domestic Violence (Ratification of Convention) Act 2017; Home Office, ‘Ratification of the CoE Convention on Combating Violence against Women and Girls and Domestic Violence (Istanbul Convention) – 2020 Report on progress’ (HO, 2020), at Annex A.</w:t>
      </w:r>
    </w:p>
  </w:footnote>
  <w:footnote w:id="32">
    <w:p w14:paraId="3669AFDB" w14:textId="0FFD285A" w:rsidR="00485A10" w:rsidRPr="001B4AF0" w:rsidRDefault="00485A10">
      <w:pPr>
        <w:pStyle w:val="FootnoteText"/>
        <w:rPr>
          <w:rFonts w:ascii="Verdana" w:hAnsi="Verdana"/>
          <w:sz w:val="16"/>
          <w:szCs w:val="16"/>
        </w:rPr>
      </w:pPr>
      <w:r w:rsidRPr="001B4AF0">
        <w:rPr>
          <w:rStyle w:val="FootnoteReference"/>
          <w:rFonts w:ascii="Verdana" w:hAnsi="Verdana"/>
          <w:color w:val="77328A"/>
          <w:sz w:val="16"/>
          <w:szCs w:val="16"/>
        </w:rPr>
        <w:footnoteRef/>
      </w:r>
      <w:r w:rsidR="008F4157" w:rsidRPr="001B4AF0">
        <w:rPr>
          <w:rFonts w:ascii="Verdana" w:hAnsi="Verdana"/>
          <w:color w:val="77328A"/>
          <w:sz w:val="16"/>
          <w:szCs w:val="16"/>
        </w:rPr>
        <w:t xml:space="preserve"> We Can’t Consent to This. Available at: </w:t>
      </w:r>
      <w:hyperlink r:id="rId1" w:history="1">
        <w:r w:rsidR="008F4157" w:rsidRPr="001B4AF0">
          <w:rPr>
            <w:rStyle w:val="Hyperlink"/>
            <w:rFonts w:ascii="Verdana" w:hAnsi="Verdana"/>
            <w:color w:val="77328A"/>
            <w:sz w:val="16"/>
            <w:szCs w:val="16"/>
          </w:rPr>
          <w:t>https://wecantconsenttothis.uk/actnow</w:t>
        </w:r>
      </w:hyperlink>
      <w:r w:rsidR="008F4157">
        <w:rPr>
          <w:rFonts w:ascii="Verdana" w:hAnsi="Verdana"/>
          <w:color w:val="77328A"/>
          <w:sz w:val="16"/>
          <w:szCs w:val="16"/>
        </w:rPr>
        <w:t xml:space="preserve"> </w:t>
      </w:r>
    </w:p>
  </w:footnote>
  <w:footnote w:id="33">
    <w:p w14:paraId="70D99062" w14:textId="3F38596E" w:rsidR="00485A10" w:rsidRPr="001B4AF0" w:rsidRDefault="00485A10">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00843218" w:rsidRPr="001B4AF0">
        <w:rPr>
          <w:rFonts w:ascii="Verdana" w:hAnsi="Verdana"/>
          <w:color w:val="77328A"/>
          <w:sz w:val="16"/>
          <w:szCs w:val="16"/>
        </w:rPr>
        <w:t>NI Human Rights Commission, ‘Response to the Department of Justice Consultation on Consent to Serious Harm for Sexual Gratification: Not a Defence’, April 2021.</w:t>
      </w:r>
    </w:p>
  </w:footnote>
  <w:footnote w:id="34">
    <w:p w14:paraId="6F0AA425" w14:textId="3840C58C" w:rsidR="00485A10" w:rsidRDefault="00485A10">
      <w:pPr>
        <w:pStyle w:val="FootnoteText"/>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w:t>
      </w:r>
      <w:r w:rsidR="00843218" w:rsidRPr="001B4AF0">
        <w:rPr>
          <w:rFonts w:ascii="Verdana" w:hAnsi="Verdana"/>
          <w:color w:val="77328A"/>
          <w:sz w:val="16"/>
          <w:szCs w:val="16"/>
        </w:rPr>
        <w:t>Section 75A, Domestic Abuse Act 2021</w:t>
      </w:r>
      <w:r w:rsidR="008F4157" w:rsidRPr="001B4AF0">
        <w:rPr>
          <w:rFonts w:ascii="Verdana" w:hAnsi="Verdana"/>
          <w:color w:val="77328A"/>
          <w:sz w:val="16"/>
          <w:szCs w:val="16"/>
        </w:rPr>
        <w:t>.</w:t>
      </w:r>
    </w:p>
  </w:footnote>
  <w:footnote w:id="35">
    <w:p w14:paraId="64E3C35F" w14:textId="4B16637F" w:rsidR="00843218" w:rsidRPr="001B4AF0" w:rsidRDefault="00843218">
      <w:pPr>
        <w:pStyle w:val="FootnoteText"/>
        <w:rPr>
          <w:rFonts w:ascii="Verdana" w:hAnsi="Verdana"/>
          <w:color w:val="77328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Section 75B, Domestic Abuse Act 2021. </w:t>
      </w:r>
    </w:p>
  </w:footnote>
  <w:footnote w:id="36">
    <w:p w14:paraId="7EE94ECA" w14:textId="77777777" w:rsidR="00F73E40" w:rsidRPr="0074780E" w:rsidRDefault="00F73E40" w:rsidP="00F73E40">
      <w:pPr>
        <w:pStyle w:val="FootnoteText"/>
        <w:rPr>
          <w:rFonts w:ascii="Verdana" w:hAnsi="Verdana"/>
          <w:color w:val="7030A0"/>
          <w:sz w:val="16"/>
          <w:szCs w:val="16"/>
        </w:rPr>
      </w:pPr>
      <w:r w:rsidRPr="008F4157">
        <w:rPr>
          <w:rStyle w:val="FootnoteReference"/>
          <w:rFonts w:ascii="Verdana" w:hAnsi="Verdana"/>
          <w:color w:val="77328A"/>
          <w:sz w:val="16"/>
          <w:szCs w:val="16"/>
        </w:rPr>
        <w:footnoteRef/>
      </w:r>
      <w:r w:rsidRPr="008F4157">
        <w:rPr>
          <w:rFonts w:ascii="Verdana" w:hAnsi="Verdana"/>
          <w:color w:val="77328A"/>
          <w:sz w:val="16"/>
          <w:szCs w:val="16"/>
        </w:rPr>
        <w:t xml:space="preserve"> CEDAW/C/GBR/CO/8, ‘UN CEDAW Committee Concluding Observations on the Eighth Periodic Report of the UK of Great Britain and NI’, 14 March 2019, at para 26(d).</w:t>
      </w:r>
    </w:p>
  </w:footnote>
  <w:footnote w:id="37">
    <w:p w14:paraId="538D4940" w14:textId="01A06CBF" w:rsidR="00843218" w:rsidRPr="001B4AF0" w:rsidRDefault="00843218">
      <w:pPr>
        <w:pStyle w:val="FootnoteText"/>
        <w:rPr>
          <w:rFonts w:ascii="Verdana" w:hAnsi="Verdana"/>
          <w:sz w:val="16"/>
          <w:szCs w:val="16"/>
        </w:rPr>
      </w:pPr>
      <w:r w:rsidRPr="001B4AF0">
        <w:rPr>
          <w:rStyle w:val="FootnoteReference"/>
          <w:rFonts w:ascii="Verdana" w:hAnsi="Verdana"/>
          <w:color w:val="77328A"/>
          <w:sz w:val="16"/>
          <w:szCs w:val="16"/>
        </w:rPr>
        <w:footnoteRef/>
      </w:r>
      <w:r w:rsidRPr="001B4AF0">
        <w:rPr>
          <w:rFonts w:ascii="Verdana" w:hAnsi="Verdana"/>
          <w:color w:val="77328A"/>
          <w:sz w:val="16"/>
          <w:szCs w:val="16"/>
        </w:rPr>
        <w:t xml:space="preserve"> NI Human Rights Commission, ‘Response to the Department of Justice Consultation on Consent to Serious Harm for Sexual Gratification: Not a Defence’, April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8A1"/>
    <w:multiLevelType w:val="multilevel"/>
    <w:tmpl w:val="039CDE12"/>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 w15:restartNumberingAfterBreak="0">
    <w:nsid w:val="09E07AC6"/>
    <w:multiLevelType w:val="hybridMultilevel"/>
    <w:tmpl w:val="834A55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6D2BFE"/>
    <w:multiLevelType w:val="multilevel"/>
    <w:tmpl w:val="DC72A9D2"/>
    <w:lvl w:ilvl="0">
      <w:start w:val="5"/>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4" w15:restartNumberingAfterBreak="0">
    <w:nsid w:val="176F3012"/>
    <w:multiLevelType w:val="multilevel"/>
    <w:tmpl w:val="65A848B6"/>
    <w:lvl w:ilvl="0">
      <w:start w:val="3"/>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F263B0"/>
    <w:multiLevelType w:val="multilevel"/>
    <w:tmpl w:val="F6EA38D6"/>
    <w:lvl w:ilvl="0">
      <w:start w:val="4"/>
      <w:numFmt w:val="decimal"/>
      <w:lvlText w:val="%1"/>
      <w:lvlJc w:val="left"/>
      <w:pPr>
        <w:ind w:left="525" w:hanging="525"/>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15:restartNumberingAfterBreak="0">
    <w:nsid w:val="1C802049"/>
    <w:multiLevelType w:val="hybridMultilevel"/>
    <w:tmpl w:val="986A8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224CCB"/>
    <w:multiLevelType w:val="multilevel"/>
    <w:tmpl w:val="A92817D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97978"/>
    <w:multiLevelType w:val="multilevel"/>
    <w:tmpl w:val="1FEAABA0"/>
    <w:lvl w:ilvl="0">
      <w:start w:val="3"/>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8AB620E"/>
    <w:multiLevelType w:val="hybridMultilevel"/>
    <w:tmpl w:val="06A8ADF4"/>
    <w:lvl w:ilvl="0" w:tplc="08090017">
      <w:start w:val="1"/>
      <w:numFmt w:val="lowerLetter"/>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2" w15:restartNumberingAfterBreak="0">
    <w:nsid w:val="295717D5"/>
    <w:multiLevelType w:val="multilevel"/>
    <w:tmpl w:val="07B614CC"/>
    <w:lvl w:ilvl="0">
      <w:start w:val="3"/>
      <w:numFmt w:val="decimal"/>
      <w:lvlText w:val="%1"/>
      <w:lvlJc w:val="left"/>
      <w:pPr>
        <w:ind w:left="390" w:hanging="390"/>
      </w:pPr>
      <w:rPr>
        <w:rFonts w:eastAsia="Times New Roman" w:hint="default"/>
        <w:color w:val="auto"/>
      </w:rPr>
    </w:lvl>
    <w:lvl w:ilvl="1">
      <w:start w:val="1"/>
      <w:numFmt w:val="decimal"/>
      <w:lvlText w:val="%1.%2"/>
      <w:lvlJc w:val="left"/>
      <w:pPr>
        <w:ind w:left="720" w:hanging="720"/>
      </w:pPr>
      <w:rPr>
        <w:rFonts w:eastAsia="Times New Roman" w:hint="default"/>
        <w:color w:val="auto"/>
      </w:rPr>
    </w:lvl>
    <w:lvl w:ilvl="2">
      <w:start w:val="1"/>
      <w:numFmt w:val="decimal"/>
      <w:lvlText w:val="%1.%2.%3"/>
      <w:lvlJc w:val="left"/>
      <w:pPr>
        <w:ind w:left="1080" w:hanging="108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440" w:hanging="1440"/>
      </w:pPr>
      <w:rPr>
        <w:rFonts w:eastAsia="Times New Roman" w:hint="default"/>
        <w:color w:val="auto"/>
      </w:rPr>
    </w:lvl>
    <w:lvl w:ilvl="5">
      <w:start w:val="1"/>
      <w:numFmt w:val="decimal"/>
      <w:lvlText w:val="%1.%2.%3.%4.%5.%6"/>
      <w:lvlJc w:val="left"/>
      <w:pPr>
        <w:ind w:left="1800" w:hanging="1800"/>
      </w:pPr>
      <w:rPr>
        <w:rFonts w:eastAsia="Times New Roman" w:hint="default"/>
        <w:color w:val="auto"/>
      </w:rPr>
    </w:lvl>
    <w:lvl w:ilvl="6">
      <w:start w:val="1"/>
      <w:numFmt w:val="decimal"/>
      <w:lvlText w:val="%1.%2.%3.%4.%5.%6.%7"/>
      <w:lvlJc w:val="left"/>
      <w:pPr>
        <w:ind w:left="2160" w:hanging="2160"/>
      </w:pPr>
      <w:rPr>
        <w:rFonts w:eastAsia="Times New Roman" w:hint="default"/>
        <w:color w:val="auto"/>
      </w:rPr>
    </w:lvl>
    <w:lvl w:ilvl="7">
      <w:start w:val="1"/>
      <w:numFmt w:val="decimal"/>
      <w:lvlText w:val="%1.%2.%3.%4.%5.%6.%7.%8"/>
      <w:lvlJc w:val="left"/>
      <w:pPr>
        <w:ind w:left="2520" w:hanging="2520"/>
      </w:pPr>
      <w:rPr>
        <w:rFonts w:eastAsia="Times New Roman" w:hint="default"/>
        <w:color w:val="auto"/>
      </w:rPr>
    </w:lvl>
    <w:lvl w:ilvl="8">
      <w:start w:val="1"/>
      <w:numFmt w:val="decimal"/>
      <w:lvlText w:val="%1.%2.%3.%4.%5.%6.%7.%8.%9"/>
      <w:lvlJc w:val="left"/>
      <w:pPr>
        <w:ind w:left="2520" w:hanging="2520"/>
      </w:pPr>
      <w:rPr>
        <w:rFonts w:eastAsia="Times New Roman" w:hint="default"/>
        <w:color w:val="auto"/>
      </w:rPr>
    </w:lvl>
  </w:abstractNum>
  <w:abstractNum w:abstractNumId="13" w15:restartNumberingAfterBreak="0">
    <w:nsid w:val="2EDE4032"/>
    <w:multiLevelType w:val="multilevel"/>
    <w:tmpl w:val="D3FC007A"/>
    <w:lvl w:ilvl="0">
      <w:start w:val="2"/>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0724CFD"/>
    <w:multiLevelType w:val="hybridMultilevel"/>
    <w:tmpl w:val="7DB858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B66E51"/>
    <w:multiLevelType w:val="multilevel"/>
    <w:tmpl w:val="CBA87908"/>
    <w:lvl w:ilvl="0">
      <w:start w:val="3"/>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73226C"/>
    <w:multiLevelType w:val="multilevel"/>
    <w:tmpl w:val="8CD2BD7C"/>
    <w:lvl w:ilvl="0">
      <w:start w:val="5"/>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95787"/>
    <w:multiLevelType w:val="hybridMultilevel"/>
    <w:tmpl w:val="586A4C5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404EE"/>
    <w:multiLevelType w:val="multilevel"/>
    <w:tmpl w:val="039CDE12"/>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2" w15:restartNumberingAfterBreak="0">
    <w:nsid w:val="54644521"/>
    <w:multiLevelType w:val="hybridMultilevel"/>
    <w:tmpl w:val="AF74A4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A287F17"/>
    <w:multiLevelType w:val="hybridMultilevel"/>
    <w:tmpl w:val="04D47E58"/>
    <w:lvl w:ilvl="0" w:tplc="BE3A6700">
      <w:start w:val="3"/>
      <w:numFmt w:val="bullet"/>
      <w:lvlText w:val="-"/>
      <w:lvlJc w:val="left"/>
      <w:pPr>
        <w:ind w:left="720" w:hanging="360"/>
      </w:pPr>
      <w:rPr>
        <w:rFonts w:ascii="Verdana" w:eastAsia="MS Mincho"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E61A5"/>
    <w:multiLevelType w:val="hybridMultilevel"/>
    <w:tmpl w:val="6B7CE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418F9"/>
    <w:multiLevelType w:val="multilevel"/>
    <w:tmpl w:val="D3FC007A"/>
    <w:lvl w:ilvl="0">
      <w:start w:val="2"/>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5941C54"/>
    <w:multiLevelType w:val="hybridMultilevel"/>
    <w:tmpl w:val="DB7A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216645"/>
    <w:multiLevelType w:val="multilevel"/>
    <w:tmpl w:val="639CCE84"/>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8" w15:restartNumberingAfterBreak="0">
    <w:nsid w:val="6A464472"/>
    <w:multiLevelType w:val="multilevel"/>
    <w:tmpl w:val="C2166B60"/>
    <w:lvl w:ilvl="0">
      <w:start w:val="1"/>
      <w:numFmt w:val="decimal"/>
      <w:lvlText w:val="%1.0"/>
      <w:lvlJc w:val="left"/>
      <w:pPr>
        <w:ind w:left="720" w:hanging="720"/>
      </w:pPr>
      <w:rPr>
        <w:rFonts w:hint="default"/>
        <w:color w:val="77328A"/>
      </w:rPr>
    </w:lvl>
    <w:lvl w:ilv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9"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0001D8"/>
    <w:multiLevelType w:val="hybridMultilevel"/>
    <w:tmpl w:val="E01E7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2"/>
  </w:num>
  <w:num w:numId="3">
    <w:abstractNumId w:val="5"/>
  </w:num>
  <w:num w:numId="4">
    <w:abstractNumId w:val="16"/>
  </w:num>
  <w:num w:numId="5">
    <w:abstractNumId w:val="29"/>
  </w:num>
  <w:num w:numId="6">
    <w:abstractNumId w:val="8"/>
  </w:num>
  <w:num w:numId="7">
    <w:abstractNumId w:val="18"/>
  </w:num>
  <w:num w:numId="8">
    <w:abstractNumId w:val="28"/>
  </w:num>
  <w:num w:numId="9">
    <w:abstractNumId w:val="3"/>
  </w:num>
  <w:num w:numId="10">
    <w:abstractNumId w:val="31"/>
  </w:num>
  <w:num w:numId="11">
    <w:abstractNumId w:val="26"/>
  </w:num>
  <w:num w:numId="12">
    <w:abstractNumId w:val="7"/>
  </w:num>
  <w:num w:numId="13">
    <w:abstractNumId w:val="30"/>
  </w:num>
  <w:num w:numId="14">
    <w:abstractNumId w:val="25"/>
  </w:num>
  <w:num w:numId="15">
    <w:abstractNumId w:val="9"/>
  </w:num>
  <w:num w:numId="16">
    <w:abstractNumId w:val="24"/>
  </w:num>
  <w:num w:numId="17">
    <w:abstractNumId w:val="12"/>
  </w:num>
  <w:num w:numId="18">
    <w:abstractNumId w:val="27"/>
  </w:num>
  <w:num w:numId="19">
    <w:abstractNumId w:val="4"/>
  </w:num>
  <w:num w:numId="20">
    <w:abstractNumId w:val="0"/>
  </w:num>
  <w:num w:numId="21">
    <w:abstractNumId w:val="17"/>
  </w:num>
  <w:num w:numId="22">
    <w:abstractNumId w:val="22"/>
  </w:num>
  <w:num w:numId="23">
    <w:abstractNumId w:val="21"/>
  </w:num>
  <w:num w:numId="24">
    <w:abstractNumId w:val="13"/>
  </w:num>
  <w:num w:numId="25">
    <w:abstractNumId w:val="1"/>
  </w:num>
  <w:num w:numId="26">
    <w:abstractNumId w:val="14"/>
  </w:num>
  <w:num w:numId="27">
    <w:abstractNumId w:val="11"/>
  </w:num>
  <w:num w:numId="28">
    <w:abstractNumId w:val="10"/>
  </w:num>
  <w:num w:numId="29">
    <w:abstractNumId w:val="6"/>
  </w:num>
  <w:num w:numId="30">
    <w:abstractNumId w:val="2"/>
  </w:num>
  <w:num w:numId="31">
    <w:abstractNumId w:val="15"/>
  </w:num>
  <w:num w:numId="32">
    <w:abstractNumId w:val="2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21A87"/>
    <w:rsid w:val="00046705"/>
    <w:rsid w:val="00046CF9"/>
    <w:rsid w:val="00052A3D"/>
    <w:rsid w:val="0005379E"/>
    <w:rsid w:val="00060529"/>
    <w:rsid w:val="00095FA7"/>
    <w:rsid w:val="000A54B9"/>
    <w:rsid w:val="000C2DC8"/>
    <w:rsid w:val="000E1F61"/>
    <w:rsid w:val="000E7BEE"/>
    <w:rsid w:val="000E7F0C"/>
    <w:rsid w:val="00117C15"/>
    <w:rsid w:val="00164EAA"/>
    <w:rsid w:val="00166641"/>
    <w:rsid w:val="00173A5B"/>
    <w:rsid w:val="001A5158"/>
    <w:rsid w:val="001B4AF0"/>
    <w:rsid w:val="001E79A9"/>
    <w:rsid w:val="0020393F"/>
    <w:rsid w:val="00213B8A"/>
    <w:rsid w:val="00224140"/>
    <w:rsid w:val="002351CB"/>
    <w:rsid w:val="0023692D"/>
    <w:rsid w:val="002428EC"/>
    <w:rsid w:val="00247BE7"/>
    <w:rsid w:val="002763D6"/>
    <w:rsid w:val="002B02D6"/>
    <w:rsid w:val="002B1272"/>
    <w:rsid w:val="002C3371"/>
    <w:rsid w:val="002D50BC"/>
    <w:rsid w:val="002E4395"/>
    <w:rsid w:val="00306317"/>
    <w:rsid w:val="00331C61"/>
    <w:rsid w:val="00341BFE"/>
    <w:rsid w:val="0035436F"/>
    <w:rsid w:val="00367CCA"/>
    <w:rsid w:val="00385AC4"/>
    <w:rsid w:val="003A2A4B"/>
    <w:rsid w:val="003A5FF5"/>
    <w:rsid w:val="003B3C3F"/>
    <w:rsid w:val="003B7D0E"/>
    <w:rsid w:val="003C272D"/>
    <w:rsid w:val="003D09D2"/>
    <w:rsid w:val="003E635E"/>
    <w:rsid w:val="004371D8"/>
    <w:rsid w:val="00446A15"/>
    <w:rsid w:val="00447EE1"/>
    <w:rsid w:val="00463D6B"/>
    <w:rsid w:val="00466A2E"/>
    <w:rsid w:val="004672AC"/>
    <w:rsid w:val="00485A10"/>
    <w:rsid w:val="004A046B"/>
    <w:rsid w:val="004A3BF3"/>
    <w:rsid w:val="004E4456"/>
    <w:rsid w:val="0051666D"/>
    <w:rsid w:val="00516CEC"/>
    <w:rsid w:val="0054495F"/>
    <w:rsid w:val="00552293"/>
    <w:rsid w:val="00556D60"/>
    <w:rsid w:val="005614FA"/>
    <w:rsid w:val="00563D42"/>
    <w:rsid w:val="005651FC"/>
    <w:rsid w:val="00566574"/>
    <w:rsid w:val="00594EA3"/>
    <w:rsid w:val="005B723E"/>
    <w:rsid w:val="005E0DB9"/>
    <w:rsid w:val="005E1AE9"/>
    <w:rsid w:val="005F608C"/>
    <w:rsid w:val="00630D3C"/>
    <w:rsid w:val="006346F9"/>
    <w:rsid w:val="00656ECD"/>
    <w:rsid w:val="006B1B09"/>
    <w:rsid w:val="006C1D8F"/>
    <w:rsid w:val="006D2406"/>
    <w:rsid w:val="006F0B54"/>
    <w:rsid w:val="00705833"/>
    <w:rsid w:val="0072601C"/>
    <w:rsid w:val="0073625B"/>
    <w:rsid w:val="00745225"/>
    <w:rsid w:val="0074697A"/>
    <w:rsid w:val="007569C1"/>
    <w:rsid w:val="007B06C3"/>
    <w:rsid w:val="007B276B"/>
    <w:rsid w:val="007E6A41"/>
    <w:rsid w:val="007F266D"/>
    <w:rsid w:val="00812D47"/>
    <w:rsid w:val="008159E8"/>
    <w:rsid w:val="008216EF"/>
    <w:rsid w:val="00823DDC"/>
    <w:rsid w:val="008256B0"/>
    <w:rsid w:val="00843218"/>
    <w:rsid w:val="008452CF"/>
    <w:rsid w:val="0087161B"/>
    <w:rsid w:val="00872187"/>
    <w:rsid w:val="008733FE"/>
    <w:rsid w:val="00875E68"/>
    <w:rsid w:val="008A7F3E"/>
    <w:rsid w:val="008D7C32"/>
    <w:rsid w:val="008E7B1D"/>
    <w:rsid w:val="008F4157"/>
    <w:rsid w:val="00931C61"/>
    <w:rsid w:val="00960220"/>
    <w:rsid w:val="00962B2B"/>
    <w:rsid w:val="0096459E"/>
    <w:rsid w:val="00991F97"/>
    <w:rsid w:val="009B0363"/>
    <w:rsid w:val="009C4DF3"/>
    <w:rsid w:val="009D206C"/>
    <w:rsid w:val="009D519D"/>
    <w:rsid w:val="009F71F0"/>
    <w:rsid w:val="00A018E7"/>
    <w:rsid w:val="00A05E09"/>
    <w:rsid w:val="00A230B6"/>
    <w:rsid w:val="00A33337"/>
    <w:rsid w:val="00A349F7"/>
    <w:rsid w:val="00A912B5"/>
    <w:rsid w:val="00A976E0"/>
    <w:rsid w:val="00AB03DD"/>
    <w:rsid w:val="00AD04D3"/>
    <w:rsid w:val="00AD1E34"/>
    <w:rsid w:val="00AF099C"/>
    <w:rsid w:val="00AF6AF4"/>
    <w:rsid w:val="00B237D0"/>
    <w:rsid w:val="00B326C1"/>
    <w:rsid w:val="00B46A13"/>
    <w:rsid w:val="00B7302D"/>
    <w:rsid w:val="00B96D34"/>
    <w:rsid w:val="00BA7AE6"/>
    <w:rsid w:val="00BC483C"/>
    <w:rsid w:val="00BD2A79"/>
    <w:rsid w:val="00BE0E1C"/>
    <w:rsid w:val="00BE5849"/>
    <w:rsid w:val="00C229B4"/>
    <w:rsid w:val="00C2725D"/>
    <w:rsid w:val="00C504E2"/>
    <w:rsid w:val="00C54C0B"/>
    <w:rsid w:val="00C76E49"/>
    <w:rsid w:val="00CA6B33"/>
    <w:rsid w:val="00CC6E38"/>
    <w:rsid w:val="00CD2084"/>
    <w:rsid w:val="00CE3039"/>
    <w:rsid w:val="00CF0261"/>
    <w:rsid w:val="00D12EF8"/>
    <w:rsid w:val="00D16532"/>
    <w:rsid w:val="00D24592"/>
    <w:rsid w:val="00D25194"/>
    <w:rsid w:val="00D2770F"/>
    <w:rsid w:val="00D55E78"/>
    <w:rsid w:val="00D91628"/>
    <w:rsid w:val="00DC6DB1"/>
    <w:rsid w:val="00DD2405"/>
    <w:rsid w:val="00DF19FA"/>
    <w:rsid w:val="00E06D64"/>
    <w:rsid w:val="00E11EC5"/>
    <w:rsid w:val="00E150E1"/>
    <w:rsid w:val="00E35E1D"/>
    <w:rsid w:val="00E5754A"/>
    <w:rsid w:val="00E74D3F"/>
    <w:rsid w:val="00E82CE7"/>
    <w:rsid w:val="00EA12CE"/>
    <w:rsid w:val="00EA2EB7"/>
    <w:rsid w:val="00EF027A"/>
    <w:rsid w:val="00F10DDD"/>
    <w:rsid w:val="00F13EDA"/>
    <w:rsid w:val="00F31387"/>
    <w:rsid w:val="00F36792"/>
    <w:rsid w:val="00F43CE4"/>
    <w:rsid w:val="00F56C78"/>
    <w:rsid w:val="00F73E40"/>
    <w:rsid w:val="00FC362B"/>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6553DDF"/>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F3E"/>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4A3BF3"/>
    <w:pPr>
      <w:keepNext/>
      <w:keepLines/>
      <w:spacing w:before="40"/>
      <w:outlineLvl w:val="1"/>
    </w:pPr>
    <w:rPr>
      <w:rFonts w:ascii="Verdana" w:eastAsiaTheme="majorEastAsia" w:hAnsi="Verdan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8A7F3E"/>
    <w:rPr>
      <w:rFonts w:ascii="Verdana" w:eastAsiaTheme="majorEastAsia" w:hAnsi="Verdana" w:cstheme="majorBidi"/>
      <w:b/>
      <w:color w:val="77328A"/>
      <w:sz w:val="30"/>
      <w:szCs w:val="32"/>
    </w:rPr>
  </w:style>
  <w:style w:type="paragraph" w:styleId="ListParagraph">
    <w:name w:val="List Paragraph"/>
    <w:basedOn w:val="Normal"/>
    <w:uiPriority w:val="34"/>
    <w:qFormat/>
    <w:rsid w:val="00DC6DB1"/>
    <w:pPr>
      <w:ind w:left="720"/>
      <w:contextualSpacing/>
    </w:pPr>
  </w:style>
  <w:style w:type="paragraph" w:styleId="TOCHeading">
    <w:name w:val="TOC Heading"/>
    <w:basedOn w:val="Heading1"/>
    <w:next w:val="Normal"/>
    <w:uiPriority w:val="39"/>
    <w:unhideWhenUsed/>
    <w:qFormat/>
    <w:rsid w:val="008452CF"/>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8452CF"/>
    <w:pPr>
      <w:spacing w:after="100"/>
    </w:pPr>
  </w:style>
  <w:style w:type="character" w:customStyle="1" w:styleId="Heading2Char">
    <w:name w:val="Heading 2 Char"/>
    <w:basedOn w:val="DefaultParagraphFont"/>
    <w:link w:val="Heading2"/>
    <w:uiPriority w:val="9"/>
    <w:rsid w:val="004A3BF3"/>
    <w:rPr>
      <w:rFonts w:ascii="Verdana" w:eastAsiaTheme="majorEastAsia" w:hAnsi="Verdana" w:cstheme="majorBidi"/>
      <w:b/>
      <w:szCs w:val="26"/>
    </w:rPr>
  </w:style>
  <w:style w:type="paragraph" w:styleId="TOC2">
    <w:name w:val="toc 2"/>
    <w:basedOn w:val="Normal"/>
    <w:next w:val="Normal"/>
    <w:autoRedefine/>
    <w:uiPriority w:val="39"/>
    <w:unhideWhenUsed/>
    <w:rsid w:val="00AD04D3"/>
    <w:pPr>
      <w:tabs>
        <w:tab w:val="right" w:leader="dot" w:pos="9848"/>
      </w:tabs>
      <w:spacing w:after="100"/>
      <w:ind w:left="240"/>
    </w:pPr>
    <w:rPr>
      <w:rFonts w:ascii="Verdana" w:hAnsi="Verdana"/>
      <w:noProof/>
    </w:rPr>
  </w:style>
  <w:style w:type="paragraph" w:styleId="Quote">
    <w:name w:val="Quote"/>
    <w:basedOn w:val="Normal"/>
    <w:next w:val="Normal"/>
    <w:link w:val="QuoteChar"/>
    <w:uiPriority w:val="29"/>
    <w:qFormat/>
    <w:rsid w:val="002C3371"/>
    <w:pPr>
      <w:spacing w:before="200" w:after="160"/>
      <w:ind w:left="864" w:right="864"/>
    </w:pPr>
    <w:rPr>
      <w:rFonts w:ascii="Verdana" w:hAnsi="Verdana"/>
      <w:iCs/>
    </w:rPr>
  </w:style>
  <w:style w:type="character" w:customStyle="1" w:styleId="QuoteChar">
    <w:name w:val="Quote Char"/>
    <w:basedOn w:val="DefaultParagraphFont"/>
    <w:link w:val="Quote"/>
    <w:uiPriority w:val="29"/>
    <w:rsid w:val="002C3371"/>
    <w:rPr>
      <w:rFonts w:ascii="Verdana" w:hAnsi="Verdana"/>
      <w:iCs/>
    </w:rPr>
  </w:style>
  <w:style w:type="character" w:styleId="CommentReference">
    <w:name w:val="annotation reference"/>
    <w:basedOn w:val="DefaultParagraphFont"/>
    <w:uiPriority w:val="99"/>
    <w:semiHidden/>
    <w:unhideWhenUsed/>
    <w:rsid w:val="004E4456"/>
    <w:rPr>
      <w:sz w:val="16"/>
      <w:szCs w:val="16"/>
    </w:rPr>
  </w:style>
  <w:style w:type="paragraph" w:styleId="CommentText">
    <w:name w:val="annotation text"/>
    <w:basedOn w:val="Normal"/>
    <w:link w:val="CommentTextChar"/>
    <w:uiPriority w:val="99"/>
    <w:semiHidden/>
    <w:unhideWhenUsed/>
    <w:rsid w:val="004E4456"/>
    <w:rPr>
      <w:sz w:val="20"/>
      <w:szCs w:val="20"/>
    </w:rPr>
  </w:style>
  <w:style w:type="character" w:customStyle="1" w:styleId="CommentTextChar">
    <w:name w:val="Comment Text Char"/>
    <w:basedOn w:val="DefaultParagraphFont"/>
    <w:link w:val="CommentText"/>
    <w:uiPriority w:val="99"/>
    <w:semiHidden/>
    <w:rsid w:val="004E4456"/>
    <w:rPr>
      <w:sz w:val="20"/>
      <w:szCs w:val="20"/>
    </w:rPr>
  </w:style>
  <w:style w:type="paragraph" w:styleId="CommentSubject">
    <w:name w:val="annotation subject"/>
    <w:basedOn w:val="CommentText"/>
    <w:next w:val="CommentText"/>
    <w:link w:val="CommentSubjectChar"/>
    <w:uiPriority w:val="99"/>
    <w:semiHidden/>
    <w:unhideWhenUsed/>
    <w:rsid w:val="004E4456"/>
    <w:rPr>
      <w:b/>
      <w:bCs/>
    </w:rPr>
  </w:style>
  <w:style w:type="character" w:customStyle="1" w:styleId="CommentSubjectChar">
    <w:name w:val="Comment Subject Char"/>
    <w:basedOn w:val="CommentTextChar"/>
    <w:link w:val="CommentSubject"/>
    <w:uiPriority w:val="99"/>
    <w:semiHidden/>
    <w:rsid w:val="004E4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cantconsenttothis.uk/act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DEA2-5365-4197-B099-4B0995AB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3506</Words>
  <Characters>19987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2018-04-20T11:30:00Z</cp:lastPrinted>
  <dcterms:created xsi:type="dcterms:W3CDTF">2021-10-14T13:18:00Z</dcterms:created>
  <dcterms:modified xsi:type="dcterms:W3CDTF">2021-10-14T13:18:00Z</dcterms:modified>
</cp:coreProperties>
</file>