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FEB2" w14:textId="20638418" w:rsidR="002804A3" w:rsidRPr="00C138AA" w:rsidRDefault="0021540C" w:rsidP="00895F58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41167CB9" wp14:editId="094A509C">
            <wp:extent cx="2144542" cy="853440"/>
            <wp:effectExtent l="0" t="0" r="8255" b="3810"/>
            <wp:docPr id="3" name="Picture 3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NI logo.jf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1" t="20472" r="11024" b="18110"/>
                    <a:stretch/>
                  </pic:blipFill>
                  <pic:spPr bwMode="auto">
                    <a:xfrm>
                      <a:off x="0" y="0"/>
                      <a:ext cx="2175250" cy="86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23F4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71030330" wp14:editId="5B1F785D">
            <wp:extent cx="3124200" cy="697365"/>
            <wp:effectExtent l="0" t="0" r="0" b="7620"/>
            <wp:docPr id="5" name="Picture 5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ihrc-logo-20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31" cy="70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3F4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"/>
        </w:rPr>
        <w:br/>
      </w:r>
    </w:p>
    <w:p w14:paraId="5DFF3996" w14:textId="77777777" w:rsidR="00073380" w:rsidRPr="00F75A02" w:rsidRDefault="00073380" w:rsidP="00461827">
      <w:pPr>
        <w:pStyle w:val="Heading1"/>
        <w:spacing w:before="0" w:line="240" w:lineRule="auto"/>
        <w:rPr>
          <w:rFonts w:ascii="Arial" w:hAnsi="Arial" w:cs="Arial"/>
          <w:b/>
          <w:color w:val="auto"/>
          <w:sz w:val="40"/>
          <w:szCs w:val="40"/>
          <w:lang w:val="en-US"/>
        </w:rPr>
      </w:pPr>
    </w:p>
    <w:p w14:paraId="090FF99D" w14:textId="532F663F" w:rsidR="005E4727" w:rsidRPr="00C138AA" w:rsidRDefault="00F75A02" w:rsidP="00C138AA">
      <w:pPr>
        <w:pStyle w:val="Heading2"/>
        <w:spacing w:before="0" w:line="240" w:lineRule="auto"/>
        <w:rPr>
          <w:rFonts w:ascii="Arial" w:hAnsi="Arial" w:cs="Arial"/>
          <w:b/>
          <w:color w:val="auto"/>
          <w:sz w:val="40"/>
          <w:szCs w:val="32"/>
        </w:rPr>
      </w:pPr>
      <w:r w:rsidRPr="00C138AA">
        <w:rPr>
          <w:rFonts w:ascii="Arial" w:hAnsi="Arial" w:cs="Arial"/>
          <w:b/>
          <w:color w:val="auto"/>
          <w:sz w:val="40"/>
          <w:szCs w:val="32"/>
        </w:rPr>
        <w:t>A Short G</w:t>
      </w:r>
      <w:r w:rsidR="00F23EA1" w:rsidRPr="00C138AA">
        <w:rPr>
          <w:rFonts w:ascii="Arial" w:hAnsi="Arial" w:cs="Arial"/>
          <w:b/>
          <w:color w:val="auto"/>
          <w:sz w:val="40"/>
          <w:szCs w:val="32"/>
        </w:rPr>
        <w:t>uide</w:t>
      </w:r>
    </w:p>
    <w:p w14:paraId="5C725654" w14:textId="2966AD62" w:rsidR="00C138AA" w:rsidRPr="00C138AA" w:rsidRDefault="00C138AA" w:rsidP="00C138AA">
      <w:pPr>
        <w:spacing w:after="0" w:line="240" w:lineRule="auto"/>
        <w:rPr>
          <w:sz w:val="32"/>
          <w:szCs w:val="32"/>
        </w:rPr>
      </w:pPr>
    </w:p>
    <w:p w14:paraId="697E40BE" w14:textId="7BEE1F9D" w:rsidR="00C138AA" w:rsidRPr="004B0A7E" w:rsidRDefault="00C138AA" w:rsidP="00C138AA">
      <w:pPr>
        <w:pStyle w:val="Heading1"/>
        <w:spacing w:before="0" w:line="240" w:lineRule="auto"/>
        <w:rPr>
          <w:b/>
          <w:color w:val="auto"/>
          <w:lang w:val="en"/>
        </w:rPr>
      </w:pPr>
      <w:r w:rsidRPr="004B0A7E">
        <w:rPr>
          <w:rFonts w:ascii="Arial" w:eastAsia="Times New Roman" w:hAnsi="Arial" w:cs="Arial"/>
          <w:b/>
          <w:color w:val="auto"/>
          <w:lang w:val="en"/>
        </w:rPr>
        <w:t>Equality and Human Rights after Brexit:</w:t>
      </w:r>
      <w:r w:rsidRPr="004B0A7E">
        <w:rPr>
          <w:rFonts w:ascii="Arial" w:eastAsia="Times New Roman" w:hAnsi="Arial" w:cs="Arial"/>
          <w:b/>
          <w:color w:val="auto"/>
          <w:lang w:val="en"/>
        </w:rPr>
        <w:br/>
      </w:r>
    </w:p>
    <w:p w14:paraId="319C20F9" w14:textId="11C597B0" w:rsidR="00F75A02" w:rsidRPr="004B0A7E" w:rsidRDefault="00C138AA" w:rsidP="00C138AA">
      <w:pPr>
        <w:pStyle w:val="Heading1"/>
        <w:spacing w:before="0" w:line="240" w:lineRule="auto"/>
        <w:rPr>
          <w:rFonts w:ascii="Arial" w:hAnsi="Arial" w:cs="Arial"/>
          <w:b/>
          <w:color w:val="auto"/>
        </w:rPr>
      </w:pPr>
      <w:r w:rsidRPr="004B0A7E">
        <w:rPr>
          <w:rFonts w:ascii="Arial" w:hAnsi="Arial" w:cs="Arial"/>
          <w:b/>
          <w:color w:val="auto"/>
        </w:rPr>
        <w:t xml:space="preserve">The UK Government’s commitment under the </w:t>
      </w:r>
      <w:r w:rsidR="004B0A7E" w:rsidRPr="004B0A7E">
        <w:rPr>
          <w:rFonts w:ascii="Arial" w:hAnsi="Arial" w:cs="Arial"/>
          <w:b/>
          <w:color w:val="auto"/>
        </w:rPr>
        <w:t xml:space="preserve">Ireland/Northern Ireland </w:t>
      </w:r>
      <w:r w:rsidRPr="004B0A7E">
        <w:rPr>
          <w:rFonts w:ascii="Arial" w:hAnsi="Arial" w:cs="Arial"/>
          <w:b/>
          <w:color w:val="auto"/>
        </w:rPr>
        <w:t>Protocol</w:t>
      </w:r>
    </w:p>
    <w:p w14:paraId="0607942E" w14:textId="77777777" w:rsidR="00F75A02" w:rsidRPr="00C138AA" w:rsidRDefault="00F75A02" w:rsidP="00C138AA">
      <w:pPr>
        <w:pStyle w:val="Heading3"/>
        <w:spacing w:before="0" w:beforeAutospacing="0" w:after="0" w:afterAutospacing="0"/>
        <w:rPr>
          <w:rFonts w:ascii="Arial" w:hAnsi="Arial" w:cs="Arial"/>
          <w:sz w:val="32"/>
          <w:szCs w:val="28"/>
        </w:rPr>
      </w:pPr>
    </w:p>
    <w:p w14:paraId="3F43DEE0" w14:textId="15CA263A" w:rsidR="00846927" w:rsidRDefault="00AF7F73" w:rsidP="00C138AA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9539E">
        <w:rPr>
          <w:rFonts w:ascii="Arial" w:hAnsi="Arial" w:cs="Arial"/>
          <w:sz w:val="28"/>
          <w:szCs w:val="28"/>
        </w:rPr>
        <w:t>Article 2(1) of the Protocol</w:t>
      </w:r>
    </w:p>
    <w:p w14:paraId="072932A0" w14:textId="77777777" w:rsidR="00846927" w:rsidRDefault="00846927">
      <w:pPr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98914E6" w14:textId="601F9028" w:rsidR="00073380" w:rsidRDefault="00B020C4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3380">
        <w:rPr>
          <w:rFonts w:ascii="Arial" w:hAnsi="Arial" w:cs="Arial"/>
          <w:b/>
          <w:sz w:val="28"/>
          <w:szCs w:val="28"/>
        </w:rPr>
        <w:lastRenderedPageBreak/>
        <w:t>Introduction</w:t>
      </w:r>
    </w:p>
    <w:p w14:paraId="35EA332A" w14:textId="77777777" w:rsidR="001002F0" w:rsidRPr="00073380" w:rsidRDefault="001002F0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04B424A" w14:textId="5BC61EC2" w:rsidR="00073380" w:rsidRDefault="00073380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Under </w:t>
      </w:r>
      <w:r w:rsidRPr="004B3A76">
        <w:rPr>
          <w:rFonts w:ascii="Arial" w:hAnsi="Arial" w:cs="Arial"/>
          <w:sz w:val="28"/>
          <w:szCs w:val="28"/>
        </w:rPr>
        <w:t>the EU/UK Withdrawal Agreemen</w:t>
      </w:r>
      <w:r>
        <w:rPr>
          <w:rFonts w:ascii="Arial" w:hAnsi="Arial" w:cs="Arial"/>
          <w:sz w:val="28"/>
          <w:szCs w:val="28"/>
        </w:rPr>
        <w:t xml:space="preserve">t, the UK Government </w:t>
      </w:r>
      <w:r w:rsidR="00B05D61">
        <w:rPr>
          <w:rFonts w:ascii="Arial" w:hAnsi="Arial" w:cs="Arial"/>
          <w:sz w:val="28"/>
          <w:szCs w:val="28"/>
        </w:rPr>
        <w:t xml:space="preserve">has </w:t>
      </w:r>
      <w:r>
        <w:rPr>
          <w:rFonts w:ascii="Arial" w:hAnsi="Arial" w:cs="Arial"/>
          <w:sz w:val="28"/>
          <w:szCs w:val="28"/>
        </w:rPr>
        <w:t>committed</w:t>
      </w:r>
      <w:r w:rsidR="00131A6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 </w:t>
      </w:r>
      <w:r w:rsidRPr="004B23E0">
        <w:rPr>
          <w:rFonts w:ascii="Arial" w:hAnsi="Arial" w:cs="Arial"/>
          <w:sz w:val="28"/>
          <w:szCs w:val="28"/>
        </w:rPr>
        <w:t>Article 2</w:t>
      </w:r>
      <w:r w:rsidR="005944B4">
        <w:rPr>
          <w:rFonts w:ascii="Arial" w:hAnsi="Arial" w:cs="Arial"/>
          <w:sz w:val="28"/>
          <w:szCs w:val="28"/>
        </w:rPr>
        <w:t xml:space="preserve"> (1)</w:t>
      </w:r>
      <w:r w:rsidRPr="004B3A76">
        <w:rPr>
          <w:rFonts w:ascii="Arial" w:hAnsi="Arial" w:cs="Arial"/>
          <w:sz w:val="28"/>
          <w:szCs w:val="28"/>
        </w:rPr>
        <w:t xml:space="preserve"> </w:t>
      </w:r>
      <w:r w:rsidR="004B23E0">
        <w:rPr>
          <w:rFonts w:ascii="Arial" w:hAnsi="Arial" w:cs="Arial"/>
          <w:sz w:val="28"/>
          <w:szCs w:val="28"/>
        </w:rPr>
        <w:t xml:space="preserve">(‘Article 2’) </w:t>
      </w:r>
      <w:r w:rsidRPr="004B3A76">
        <w:rPr>
          <w:rFonts w:ascii="Arial" w:hAnsi="Arial" w:cs="Arial"/>
          <w:sz w:val="28"/>
          <w:szCs w:val="28"/>
        </w:rPr>
        <w:t>of the Ireland/Northern Ireland Protocol (</w:t>
      </w:r>
      <w:r>
        <w:rPr>
          <w:rFonts w:ascii="Arial" w:hAnsi="Arial" w:cs="Arial"/>
          <w:sz w:val="28"/>
          <w:szCs w:val="28"/>
        </w:rPr>
        <w:t>‘</w:t>
      </w:r>
      <w:r w:rsidRPr="004B3A76">
        <w:rPr>
          <w:rFonts w:ascii="Arial" w:hAnsi="Arial" w:cs="Arial"/>
          <w:sz w:val="28"/>
          <w:szCs w:val="28"/>
        </w:rPr>
        <w:t>the Protocol</w:t>
      </w:r>
      <w:r>
        <w:rPr>
          <w:rFonts w:ascii="Arial" w:hAnsi="Arial" w:cs="Arial"/>
          <w:sz w:val="28"/>
          <w:szCs w:val="28"/>
        </w:rPr>
        <w:t>’</w:t>
      </w:r>
      <w:r w:rsidRPr="004B3A76">
        <w:rPr>
          <w:rFonts w:ascii="Arial" w:hAnsi="Arial" w:cs="Arial"/>
          <w:sz w:val="28"/>
          <w:szCs w:val="28"/>
        </w:rPr>
        <w:t xml:space="preserve">), to </w:t>
      </w:r>
      <w:r w:rsidR="00B05D61">
        <w:rPr>
          <w:rFonts w:ascii="Arial" w:hAnsi="Arial" w:cs="Arial"/>
          <w:sz w:val="28"/>
          <w:szCs w:val="28"/>
        </w:rPr>
        <w:t>ensuring</w:t>
      </w:r>
      <w:r w:rsidRPr="004B3A76">
        <w:rPr>
          <w:rFonts w:ascii="Arial" w:hAnsi="Arial" w:cs="Arial"/>
          <w:sz w:val="28"/>
          <w:szCs w:val="28"/>
        </w:rPr>
        <w:t xml:space="preserve"> that certain equality and human rights in Northern Ireland will continue to be protected after Brexit</w:t>
      </w:r>
      <w:r w:rsidR="00483A26">
        <w:rPr>
          <w:rFonts w:ascii="Arial" w:hAnsi="Arial" w:cs="Arial"/>
          <w:sz w:val="28"/>
          <w:szCs w:val="28"/>
        </w:rPr>
        <w:t>.</w:t>
      </w:r>
    </w:p>
    <w:p w14:paraId="03274DFF" w14:textId="77777777" w:rsidR="00483A26" w:rsidRDefault="00483A26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E698FE" w14:textId="55046D57" w:rsidR="006F4A67" w:rsidRPr="00E91FFE" w:rsidRDefault="00073380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Set out below is further information on that commitment, the right of individuals to challenge </w:t>
      </w:r>
      <w:r w:rsidRPr="00B60294">
        <w:rPr>
          <w:rFonts w:ascii="Arial" w:hAnsi="Arial" w:cs="Arial"/>
          <w:sz w:val="28"/>
          <w:szCs w:val="28"/>
        </w:rPr>
        <w:t>a</w:t>
      </w:r>
      <w:r w:rsidR="00B05D61">
        <w:rPr>
          <w:rFonts w:ascii="Arial" w:hAnsi="Arial" w:cs="Arial"/>
          <w:sz w:val="28"/>
          <w:szCs w:val="28"/>
        </w:rPr>
        <w:t>n alleged</w:t>
      </w:r>
      <w:r w:rsidRPr="00B60294">
        <w:rPr>
          <w:rFonts w:ascii="Arial" w:hAnsi="Arial" w:cs="Arial"/>
          <w:sz w:val="28"/>
          <w:szCs w:val="28"/>
        </w:rPr>
        <w:t xml:space="preserve"> breach of the UK Government’s commitment</w:t>
      </w:r>
      <w:r w:rsidR="008C03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and how </w:t>
      </w:r>
      <w:r w:rsidRPr="004B03F0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Equality Commission and </w:t>
      </w:r>
      <w:r w:rsidR="00D81D1D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N</w:t>
      </w:r>
      <w:r w:rsidR="00B05D61">
        <w:rPr>
          <w:rFonts w:ascii="Arial" w:hAnsi="Arial" w:cs="Arial"/>
          <w:sz w:val="28"/>
          <w:szCs w:val="28"/>
        </w:rPr>
        <w:t xml:space="preserve">orthern </w:t>
      </w:r>
      <w:r>
        <w:rPr>
          <w:rFonts w:ascii="Arial" w:hAnsi="Arial" w:cs="Arial"/>
          <w:sz w:val="28"/>
          <w:szCs w:val="28"/>
        </w:rPr>
        <w:t>I</w:t>
      </w:r>
      <w:r w:rsidR="00B05D61">
        <w:rPr>
          <w:rFonts w:ascii="Arial" w:hAnsi="Arial" w:cs="Arial"/>
          <w:sz w:val="28"/>
          <w:szCs w:val="28"/>
        </w:rPr>
        <w:t>reland</w:t>
      </w:r>
      <w:r>
        <w:rPr>
          <w:rFonts w:ascii="Arial" w:hAnsi="Arial" w:cs="Arial"/>
          <w:sz w:val="28"/>
          <w:szCs w:val="28"/>
        </w:rPr>
        <w:t xml:space="preserve"> Human Rights Commission can assist individuals who wish to make such a challenge.</w:t>
      </w:r>
    </w:p>
    <w:p w14:paraId="5CA49E3E" w14:textId="77777777" w:rsidR="006F4A67" w:rsidRDefault="006F4A67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A301E77" w14:textId="7292DF9B" w:rsidR="00073380" w:rsidRDefault="006F4A67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073380" w:rsidRPr="00C80B9B">
        <w:rPr>
          <w:rFonts w:ascii="Arial" w:hAnsi="Arial" w:cs="Arial"/>
          <w:b/>
          <w:sz w:val="28"/>
          <w:szCs w:val="28"/>
        </w:rPr>
        <w:t>he UK Government’s commitment to equality and human rights after Brexit</w:t>
      </w:r>
    </w:p>
    <w:p w14:paraId="07993DBD" w14:textId="77777777" w:rsidR="008C0317" w:rsidRPr="00EB37B0" w:rsidRDefault="008C0317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30DA81A" w14:textId="7DF3FD9B" w:rsidR="00073380" w:rsidRDefault="00073380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4B3A76">
        <w:rPr>
          <w:rFonts w:ascii="Arial" w:hAnsi="Arial" w:cs="Arial"/>
          <w:sz w:val="28"/>
          <w:szCs w:val="28"/>
        </w:rPr>
        <w:t xml:space="preserve">UK Government </w:t>
      </w:r>
      <w:r>
        <w:rPr>
          <w:rFonts w:ascii="Arial" w:hAnsi="Arial" w:cs="Arial"/>
          <w:sz w:val="28"/>
          <w:szCs w:val="28"/>
        </w:rPr>
        <w:t>has committed</w:t>
      </w:r>
      <w:r w:rsidR="008C031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F6000E">
        <w:rPr>
          <w:rFonts w:ascii="Arial" w:hAnsi="Arial" w:cs="Arial"/>
          <w:sz w:val="28"/>
          <w:szCs w:val="28"/>
        </w:rPr>
        <w:t xml:space="preserve">in </w:t>
      </w:r>
      <w:r w:rsidRPr="004B23E0">
        <w:rPr>
          <w:rFonts w:ascii="Arial" w:hAnsi="Arial" w:cs="Arial"/>
          <w:sz w:val="28"/>
          <w:szCs w:val="28"/>
        </w:rPr>
        <w:t xml:space="preserve">Article </w:t>
      </w:r>
      <w:r w:rsidR="000B725A">
        <w:rPr>
          <w:rFonts w:ascii="Arial" w:hAnsi="Arial" w:cs="Arial"/>
          <w:sz w:val="28"/>
          <w:szCs w:val="28"/>
        </w:rPr>
        <w:t>2</w:t>
      </w:r>
      <w:r w:rsidRPr="00F6000E">
        <w:rPr>
          <w:rFonts w:ascii="Arial" w:hAnsi="Arial" w:cs="Arial"/>
          <w:sz w:val="28"/>
          <w:szCs w:val="28"/>
        </w:rPr>
        <w:t xml:space="preserve"> of the </w:t>
      </w:r>
      <w:r>
        <w:rPr>
          <w:rFonts w:ascii="Arial" w:hAnsi="Arial" w:cs="Arial"/>
          <w:sz w:val="28"/>
          <w:szCs w:val="28"/>
        </w:rPr>
        <w:t>Protocol</w:t>
      </w:r>
      <w:r w:rsidR="00972AC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to ensuring </w:t>
      </w:r>
      <w:r w:rsidRPr="004B3A76">
        <w:rPr>
          <w:rFonts w:ascii="Arial" w:hAnsi="Arial" w:cs="Arial"/>
          <w:sz w:val="28"/>
          <w:szCs w:val="28"/>
        </w:rPr>
        <w:t>that the</w:t>
      </w:r>
      <w:r>
        <w:rPr>
          <w:rFonts w:ascii="Arial" w:hAnsi="Arial" w:cs="Arial"/>
          <w:sz w:val="28"/>
          <w:szCs w:val="28"/>
        </w:rPr>
        <w:t xml:space="preserve"> </w:t>
      </w:r>
      <w:r w:rsidRPr="004B3A76">
        <w:rPr>
          <w:rFonts w:ascii="Arial" w:hAnsi="Arial" w:cs="Arial"/>
          <w:sz w:val="28"/>
          <w:szCs w:val="28"/>
        </w:rPr>
        <w:t xml:space="preserve">protections currently in place </w:t>
      </w:r>
      <w:r>
        <w:rPr>
          <w:rFonts w:ascii="Arial" w:hAnsi="Arial" w:cs="Arial"/>
          <w:sz w:val="28"/>
          <w:szCs w:val="28"/>
        </w:rPr>
        <w:t xml:space="preserve">in Northern Ireland </w:t>
      </w:r>
      <w:r w:rsidRPr="004B3A76">
        <w:rPr>
          <w:rFonts w:ascii="Arial" w:hAnsi="Arial" w:cs="Arial"/>
          <w:sz w:val="28"/>
          <w:szCs w:val="28"/>
        </w:rPr>
        <w:t>regarding the rights, safeguards and equality of opportunity provisions</w:t>
      </w:r>
      <w:r w:rsidR="008C0317">
        <w:rPr>
          <w:rFonts w:ascii="Arial" w:hAnsi="Arial" w:cs="Arial"/>
          <w:sz w:val="28"/>
          <w:szCs w:val="28"/>
        </w:rPr>
        <w:t>,</w:t>
      </w:r>
      <w:r w:rsidRPr="004B3A76">
        <w:rPr>
          <w:rFonts w:ascii="Arial" w:hAnsi="Arial" w:cs="Arial"/>
          <w:sz w:val="28"/>
          <w:szCs w:val="28"/>
        </w:rPr>
        <w:t xml:space="preserve"> set out in the chapter of </w:t>
      </w:r>
      <w:r w:rsidR="00B05D61">
        <w:rPr>
          <w:rFonts w:ascii="Arial" w:hAnsi="Arial" w:cs="Arial"/>
          <w:sz w:val="28"/>
          <w:szCs w:val="28"/>
        </w:rPr>
        <w:t xml:space="preserve">the same name in </w:t>
      </w:r>
      <w:r w:rsidRPr="004B3A76">
        <w:rPr>
          <w:rFonts w:ascii="Arial" w:hAnsi="Arial" w:cs="Arial"/>
          <w:sz w:val="28"/>
          <w:szCs w:val="28"/>
        </w:rPr>
        <w:t>the Belfast (Good Friday) Agreement</w:t>
      </w:r>
      <w:r w:rsidR="00541C0F">
        <w:rPr>
          <w:rFonts w:ascii="Arial" w:hAnsi="Arial" w:cs="Arial"/>
          <w:sz w:val="28"/>
          <w:szCs w:val="28"/>
        </w:rPr>
        <w:t>,</w:t>
      </w:r>
      <w:r w:rsidRPr="004B3A76">
        <w:rPr>
          <w:rFonts w:ascii="Arial" w:hAnsi="Arial" w:cs="Arial"/>
          <w:sz w:val="28"/>
          <w:szCs w:val="28"/>
        </w:rPr>
        <w:t xml:space="preserve"> are not reduced as a result of Brexit</w:t>
      </w:r>
      <w:r>
        <w:rPr>
          <w:rFonts w:ascii="Arial" w:hAnsi="Arial" w:cs="Arial"/>
          <w:sz w:val="28"/>
          <w:szCs w:val="28"/>
        </w:rPr>
        <w:t>.</w:t>
      </w:r>
      <w:r w:rsidRPr="004B3A76">
        <w:rPr>
          <w:rFonts w:ascii="Arial" w:hAnsi="Arial" w:cs="Arial"/>
          <w:sz w:val="28"/>
          <w:szCs w:val="28"/>
        </w:rPr>
        <w:t xml:space="preserve"> </w:t>
      </w:r>
    </w:p>
    <w:p w14:paraId="508A6229" w14:textId="77777777" w:rsidR="008C0317" w:rsidRDefault="008C0317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16932B" w14:textId="3AA1FC94" w:rsidR="00073380" w:rsidRDefault="00073380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UK Government also committed in the Protocol to ensur</w:t>
      </w:r>
      <w:r w:rsidR="00263E74">
        <w:rPr>
          <w:rFonts w:ascii="Arial" w:hAnsi="Arial" w:cs="Arial"/>
          <w:sz w:val="28"/>
          <w:szCs w:val="28"/>
        </w:rPr>
        <w:t>ing t</w:t>
      </w:r>
      <w:r w:rsidRPr="004B3A76">
        <w:rPr>
          <w:rFonts w:ascii="Arial" w:hAnsi="Arial" w:cs="Arial"/>
          <w:sz w:val="28"/>
          <w:szCs w:val="28"/>
        </w:rPr>
        <w:t xml:space="preserve">hat certain equality laws in Northern Ireland </w:t>
      </w:r>
      <w:r>
        <w:rPr>
          <w:rFonts w:ascii="Arial" w:hAnsi="Arial" w:cs="Arial"/>
          <w:sz w:val="28"/>
          <w:szCs w:val="28"/>
        </w:rPr>
        <w:t xml:space="preserve">will </w:t>
      </w:r>
      <w:r w:rsidRPr="004B3A76">
        <w:rPr>
          <w:rFonts w:ascii="Arial" w:hAnsi="Arial" w:cs="Arial"/>
          <w:sz w:val="28"/>
          <w:szCs w:val="28"/>
        </w:rPr>
        <w:t xml:space="preserve">keep pace with any future changes to </w:t>
      </w:r>
      <w:r w:rsidR="00385378" w:rsidRPr="00385378">
        <w:rPr>
          <w:rFonts w:ascii="Arial" w:hAnsi="Arial" w:cs="Arial"/>
          <w:sz w:val="28"/>
          <w:szCs w:val="28"/>
        </w:rPr>
        <w:t>the EU equality laws which are set</w:t>
      </w:r>
      <w:r w:rsidR="00385378">
        <w:rPr>
          <w:rFonts w:ascii="Arial" w:hAnsi="Arial" w:cs="Arial"/>
          <w:sz w:val="28"/>
          <w:szCs w:val="28"/>
        </w:rPr>
        <w:t xml:space="preserve"> out in Annex 1 to the Protocol</w:t>
      </w:r>
      <w:r w:rsidRPr="004B3A76">
        <w:rPr>
          <w:rFonts w:ascii="Arial" w:hAnsi="Arial" w:cs="Arial"/>
          <w:sz w:val="28"/>
          <w:szCs w:val="28"/>
        </w:rPr>
        <w:t>.</w:t>
      </w:r>
    </w:p>
    <w:p w14:paraId="188E48E0" w14:textId="77777777" w:rsidR="00461827" w:rsidRDefault="00461827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1E9270" w14:textId="593B4FBD" w:rsidR="003C210A" w:rsidRDefault="00066A84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</w:t>
      </w:r>
      <w:r w:rsidR="00786147" w:rsidRPr="00786147">
        <w:rPr>
          <w:rFonts w:ascii="Arial" w:hAnsi="Arial" w:cs="Arial"/>
          <w:sz w:val="28"/>
          <w:szCs w:val="28"/>
        </w:rPr>
        <w:t xml:space="preserve"> commitment is</w:t>
      </w:r>
      <w:r w:rsidR="003C210A" w:rsidRPr="00073380">
        <w:rPr>
          <w:rFonts w:ascii="Arial" w:hAnsi="Arial" w:cs="Arial"/>
          <w:sz w:val="28"/>
          <w:szCs w:val="28"/>
        </w:rPr>
        <w:t xml:space="preserve"> a recognition of the importance and centrality of rights and equality protections in the </w:t>
      </w:r>
      <w:r w:rsidR="003C210A" w:rsidRPr="00073380">
        <w:rPr>
          <w:rFonts w:ascii="Arial" w:hAnsi="Arial" w:cs="Arial"/>
          <w:iCs/>
          <w:sz w:val="28"/>
          <w:szCs w:val="28"/>
        </w:rPr>
        <w:t>Belfast</w:t>
      </w:r>
      <w:r w:rsidR="00263E74">
        <w:rPr>
          <w:rFonts w:ascii="Arial" w:hAnsi="Arial" w:cs="Arial"/>
          <w:iCs/>
          <w:sz w:val="28"/>
          <w:szCs w:val="28"/>
        </w:rPr>
        <w:t xml:space="preserve"> (Good Friday)</w:t>
      </w:r>
      <w:r w:rsidR="003C210A" w:rsidRPr="00073380">
        <w:rPr>
          <w:rFonts w:ascii="Arial" w:hAnsi="Arial" w:cs="Arial"/>
          <w:iCs/>
          <w:sz w:val="28"/>
          <w:szCs w:val="28"/>
        </w:rPr>
        <w:t xml:space="preserve"> Agreement</w:t>
      </w:r>
      <w:r w:rsidR="003C210A" w:rsidRPr="00073380">
        <w:rPr>
          <w:rFonts w:ascii="Arial" w:hAnsi="Arial" w:cs="Arial"/>
          <w:sz w:val="28"/>
          <w:szCs w:val="28"/>
        </w:rPr>
        <w:t xml:space="preserve"> and</w:t>
      </w:r>
      <w:r w:rsidR="00263E74">
        <w:rPr>
          <w:rFonts w:ascii="Arial" w:hAnsi="Arial" w:cs="Arial"/>
          <w:sz w:val="28"/>
          <w:szCs w:val="28"/>
        </w:rPr>
        <w:t xml:space="preserve"> of the fact</w:t>
      </w:r>
      <w:r w:rsidR="003C210A" w:rsidRPr="00073380">
        <w:rPr>
          <w:rFonts w:ascii="Arial" w:hAnsi="Arial" w:cs="Arial"/>
          <w:sz w:val="28"/>
          <w:szCs w:val="28"/>
        </w:rPr>
        <w:t xml:space="preserve"> that this Agreement has underpinned the peace process here.</w:t>
      </w:r>
    </w:p>
    <w:p w14:paraId="49946434" w14:textId="77777777" w:rsidR="0037436D" w:rsidRPr="00073380" w:rsidRDefault="0037436D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7C5FEF" w14:textId="4EA31017" w:rsidR="00EA680E" w:rsidRDefault="006F4A67" w:rsidP="00DE07CA">
      <w:pPr>
        <w:rPr>
          <w:rFonts w:ascii="Arial" w:hAnsi="Arial" w:cs="Arial"/>
          <w:sz w:val="28"/>
          <w:szCs w:val="28"/>
        </w:rPr>
      </w:pPr>
      <w:r w:rsidRPr="00DE07CA">
        <w:rPr>
          <w:rFonts w:ascii="Arial" w:hAnsi="Arial" w:cs="Arial"/>
          <w:sz w:val="28"/>
          <w:szCs w:val="28"/>
        </w:rPr>
        <w:t>This commitment applies to Northern Ireland</w:t>
      </w:r>
      <w:r w:rsidRPr="006810A6">
        <w:rPr>
          <w:rFonts w:ascii="Arial" w:hAnsi="Arial" w:cs="Arial"/>
          <w:sz w:val="28"/>
          <w:szCs w:val="28"/>
        </w:rPr>
        <w:t xml:space="preserve">. </w:t>
      </w:r>
      <w:r w:rsidR="00DE07CA" w:rsidRPr="006810A6">
        <w:rPr>
          <w:rFonts w:ascii="Arial" w:hAnsi="Arial" w:cs="Arial"/>
          <w:sz w:val="28"/>
          <w:szCs w:val="28"/>
        </w:rPr>
        <w:t>Everyone who is protected by Northern Ireland law is covered by this commitment irrespective of whether the law has been passed by the Northern Ireland Assembly or the UK Parliament.</w:t>
      </w:r>
    </w:p>
    <w:p w14:paraId="60AD1D52" w14:textId="77777777" w:rsidR="00EA680E" w:rsidRDefault="00EA68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063DBF9" w14:textId="4DC8F7AB" w:rsidR="007A3D58" w:rsidRPr="0013511B" w:rsidRDefault="006F4A67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The </w:t>
      </w:r>
      <w:r w:rsidR="007A3D58" w:rsidRPr="004B3A76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ights </w:t>
      </w:r>
      <w:r w:rsidR="007A3D58">
        <w:rPr>
          <w:rFonts w:ascii="Arial" w:hAnsi="Arial" w:cs="Arial"/>
          <w:b/>
          <w:sz w:val="28"/>
          <w:szCs w:val="28"/>
        </w:rPr>
        <w:t xml:space="preserve">covered by the </w:t>
      </w:r>
      <w:r>
        <w:rPr>
          <w:rFonts w:ascii="Arial" w:hAnsi="Arial" w:cs="Arial"/>
          <w:b/>
          <w:sz w:val="28"/>
          <w:szCs w:val="28"/>
        </w:rPr>
        <w:t>commitment</w:t>
      </w:r>
    </w:p>
    <w:p w14:paraId="4FE67AE1" w14:textId="77777777" w:rsidR="000F2CF6" w:rsidRPr="006F4A67" w:rsidRDefault="000F2CF6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FABD6A" w14:textId="586E5A5F" w:rsidR="007A3D58" w:rsidRPr="004B3A76" w:rsidRDefault="007A3D5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commitment </w:t>
      </w:r>
      <w:r w:rsidRPr="00F6000E">
        <w:rPr>
          <w:rFonts w:ascii="Arial" w:hAnsi="Arial" w:cs="Arial"/>
          <w:sz w:val="28"/>
          <w:szCs w:val="28"/>
        </w:rPr>
        <w:t xml:space="preserve">in </w:t>
      </w:r>
      <w:r w:rsidR="000B725A">
        <w:rPr>
          <w:rFonts w:ascii="Arial" w:hAnsi="Arial" w:cs="Arial"/>
          <w:sz w:val="28"/>
          <w:szCs w:val="28"/>
        </w:rPr>
        <w:t>Article 2</w:t>
      </w:r>
      <w:r w:rsidRPr="00F6000E">
        <w:rPr>
          <w:rFonts w:ascii="Arial" w:hAnsi="Arial" w:cs="Arial"/>
          <w:sz w:val="28"/>
          <w:szCs w:val="28"/>
        </w:rPr>
        <w:t xml:space="preserve"> of the </w:t>
      </w:r>
      <w:r>
        <w:rPr>
          <w:rFonts w:ascii="Arial" w:hAnsi="Arial" w:cs="Arial"/>
          <w:sz w:val="28"/>
          <w:szCs w:val="28"/>
        </w:rPr>
        <w:t>Protocol applies to t</w:t>
      </w:r>
      <w:r w:rsidRPr="004B3A76">
        <w:rPr>
          <w:rFonts w:ascii="Arial" w:hAnsi="Arial" w:cs="Arial"/>
          <w:sz w:val="28"/>
          <w:szCs w:val="28"/>
        </w:rPr>
        <w:t xml:space="preserve">he </w:t>
      </w:r>
      <w:r w:rsidR="00F522E8">
        <w:rPr>
          <w:rFonts w:ascii="Arial" w:hAnsi="Arial" w:cs="Arial"/>
          <w:sz w:val="28"/>
          <w:szCs w:val="28"/>
        </w:rPr>
        <w:t xml:space="preserve">rights, </w:t>
      </w:r>
      <w:r w:rsidR="00F522E8" w:rsidRPr="004B3A76">
        <w:rPr>
          <w:rFonts w:ascii="Arial" w:hAnsi="Arial" w:cs="Arial"/>
          <w:sz w:val="28"/>
          <w:szCs w:val="28"/>
        </w:rPr>
        <w:t xml:space="preserve">safeguards and equality of opportunity provisions </w:t>
      </w:r>
      <w:r w:rsidRPr="004B3A76">
        <w:rPr>
          <w:rFonts w:ascii="Arial" w:hAnsi="Arial" w:cs="Arial"/>
          <w:sz w:val="28"/>
          <w:szCs w:val="28"/>
        </w:rPr>
        <w:t xml:space="preserve">set out in </w:t>
      </w:r>
      <w:r w:rsidR="00B61403">
        <w:rPr>
          <w:rFonts w:ascii="Arial" w:hAnsi="Arial" w:cs="Arial"/>
          <w:sz w:val="28"/>
          <w:szCs w:val="28"/>
        </w:rPr>
        <w:t xml:space="preserve">the </w:t>
      </w:r>
      <w:r w:rsidR="00F522E8">
        <w:rPr>
          <w:rFonts w:ascii="Arial" w:hAnsi="Arial" w:cs="Arial"/>
          <w:sz w:val="28"/>
          <w:szCs w:val="28"/>
        </w:rPr>
        <w:t xml:space="preserve">chapter of the same name in </w:t>
      </w:r>
      <w:r w:rsidRPr="004B3A76">
        <w:rPr>
          <w:rFonts w:ascii="Arial" w:hAnsi="Arial" w:cs="Arial"/>
          <w:sz w:val="28"/>
          <w:szCs w:val="28"/>
        </w:rPr>
        <w:t>the Belfast (Good Friday) Agreement</w:t>
      </w:r>
      <w:r>
        <w:rPr>
          <w:rFonts w:ascii="Arial" w:hAnsi="Arial" w:cs="Arial"/>
          <w:sz w:val="28"/>
          <w:szCs w:val="28"/>
        </w:rPr>
        <w:t>,</w:t>
      </w:r>
      <w:r w:rsidRPr="004B3A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which </w:t>
      </w:r>
      <w:r w:rsidRPr="004B3A76">
        <w:rPr>
          <w:rFonts w:ascii="Arial" w:hAnsi="Arial" w:cs="Arial"/>
          <w:sz w:val="28"/>
          <w:szCs w:val="28"/>
        </w:rPr>
        <w:t>include:</w:t>
      </w:r>
    </w:p>
    <w:p w14:paraId="3B41832B" w14:textId="055CECB2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of free political thought</w:t>
      </w:r>
      <w:r w:rsidR="00263E74">
        <w:rPr>
          <w:rFonts w:ascii="Arial" w:hAnsi="Arial" w:cs="Arial"/>
          <w:sz w:val="28"/>
          <w:szCs w:val="28"/>
        </w:rPr>
        <w:t>;</w:t>
      </w:r>
    </w:p>
    <w:p w14:paraId="5B51E59B" w14:textId="58F12534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to freedom and expression of religion</w:t>
      </w:r>
      <w:r w:rsidR="00263E74">
        <w:rPr>
          <w:rFonts w:ascii="Arial" w:hAnsi="Arial" w:cs="Arial"/>
          <w:sz w:val="28"/>
          <w:szCs w:val="28"/>
        </w:rPr>
        <w:t>;</w:t>
      </w:r>
    </w:p>
    <w:p w14:paraId="6FE2551B" w14:textId="362D331A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to pursue democratically national and political aspirations</w:t>
      </w:r>
      <w:r w:rsidR="00263E74">
        <w:rPr>
          <w:rFonts w:ascii="Arial" w:hAnsi="Arial" w:cs="Arial"/>
          <w:sz w:val="28"/>
          <w:szCs w:val="28"/>
        </w:rPr>
        <w:t>;</w:t>
      </w:r>
    </w:p>
    <w:p w14:paraId="58E7D8EE" w14:textId="7F0E45E8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to seek constitutional change by peaceful and legitimate means</w:t>
      </w:r>
      <w:r w:rsidR="00263E74">
        <w:rPr>
          <w:rFonts w:ascii="Arial" w:hAnsi="Arial" w:cs="Arial"/>
          <w:sz w:val="28"/>
          <w:szCs w:val="28"/>
        </w:rPr>
        <w:t>;</w:t>
      </w:r>
    </w:p>
    <w:p w14:paraId="517A007F" w14:textId="619CD0D6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to freely chose one’s place of residence</w:t>
      </w:r>
      <w:r w:rsidR="00263E74">
        <w:rPr>
          <w:rFonts w:ascii="Arial" w:hAnsi="Arial" w:cs="Arial"/>
          <w:sz w:val="28"/>
          <w:szCs w:val="28"/>
        </w:rPr>
        <w:t>;</w:t>
      </w:r>
    </w:p>
    <w:p w14:paraId="5071E067" w14:textId="54645AAF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to equal opportunity in a</w:t>
      </w:r>
      <w:r w:rsidR="00263E74">
        <w:rPr>
          <w:rFonts w:ascii="Arial" w:hAnsi="Arial" w:cs="Arial"/>
          <w:sz w:val="28"/>
          <w:szCs w:val="28"/>
        </w:rPr>
        <w:t xml:space="preserve">ll social and economic activity </w:t>
      </w:r>
      <w:r w:rsidRPr="004B3A76">
        <w:rPr>
          <w:rFonts w:ascii="Arial" w:hAnsi="Arial" w:cs="Arial"/>
          <w:sz w:val="28"/>
          <w:szCs w:val="28"/>
        </w:rPr>
        <w:t>regardless of class, creed, disability, gender or ethnicity</w:t>
      </w:r>
      <w:r w:rsidR="00263E74">
        <w:rPr>
          <w:rFonts w:ascii="Arial" w:hAnsi="Arial" w:cs="Arial"/>
          <w:sz w:val="28"/>
          <w:szCs w:val="28"/>
        </w:rPr>
        <w:t>:</w:t>
      </w:r>
    </w:p>
    <w:p w14:paraId="3BBAA835" w14:textId="28F7D380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to freedom from sectarian harassment</w:t>
      </w:r>
      <w:r w:rsidR="00263E74">
        <w:rPr>
          <w:rFonts w:ascii="Arial" w:hAnsi="Arial" w:cs="Arial"/>
          <w:sz w:val="28"/>
          <w:szCs w:val="28"/>
        </w:rPr>
        <w:t>:</w:t>
      </w:r>
    </w:p>
    <w:p w14:paraId="02D3DC77" w14:textId="4679ACDE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of women to full and equal political participation</w:t>
      </w:r>
      <w:r w:rsidR="00263E74">
        <w:rPr>
          <w:rFonts w:ascii="Arial" w:hAnsi="Arial" w:cs="Arial"/>
          <w:sz w:val="28"/>
          <w:szCs w:val="28"/>
        </w:rPr>
        <w:t>:</w:t>
      </w:r>
    </w:p>
    <w:p w14:paraId="14BD613A" w14:textId="44E9928C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 of victims to remember as well to contribute to a changed society</w:t>
      </w:r>
      <w:r w:rsidR="00263E74">
        <w:rPr>
          <w:rFonts w:ascii="Arial" w:hAnsi="Arial" w:cs="Arial"/>
          <w:sz w:val="28"/>
          <w:szCs w:val="28"/>
        </w:rPr>
        <w:t>;</w:t>
      </w:r>
    </w:p>
    <w:p w14:paraId="4047B70E" w14:textId="77777777" w:rsidR="007A3D58" w:rsidRPr="004B3A76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Respect, understanding and tolerance in relation to linguistic diversity</w:t>
      </w:r>
      <w:r>
        <w:rPr>
          <w:rFonts w:ascii="Arial" w:hAnsi="Arial" w:cs="Arial"/>
          <w:sz w:val="28"/>
          <w:szCs w:val="28"/>
        </w:rPr>
        <w:t>,</w:t>
      </w:r>
      <w:r w:rsidRPr="004B3A76">
        <w:rPr>
          <w:rFonts w:ascii="Arial" w:hAnsi="Arial" w:cs="Arial"/>
          <w:sz w:val="28"/>
          <w:szCs w:val="28"/>
        </w:rPr>
        <w:t xml:space="preserve"> and </w:t>
      </w:r>
    </w:p>
    <w:p w14:paraId="1A465B6C" w14:textId="578EDA0F" w:rsidR="007A3D58" w:rsidRDefault="007A3D58" w:rsidP="0046182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need to ensure that symbols and emblems are used in a manner which promotes mutual respect rather than division.</w:t>
      </w:r>
    </w:p>
    <w:p w14:paraId="1E50678A" w14:textId="77777777" w:rsidR="00DD3D71" w:rsidRPr="004B3A76" w:rsidRDefault="00DD3D71" w:rsidP="00DD3D7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82DEEB7" w14:textId="00DEBA42" w:rsidR="007A3D58" w:rsidRDefault="007A3D5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Some of the</w:t>
      </w:r>
      <w:r w:rsidR="009177B4">
        <w:rPr>
          <w:rFonts w:ascii="Arial" w:hAnsi="Arial" w:cs="Arial"/>
          <w:sz w:val="28"/>
          <w:szCs w:val="28"/>
        </w:rPr>
        <w:t xml:space="preserve">se </w:t>
      </w:r>
      <w:r>
        <w:rPr>
          <w:rFonts w:ascii="Arial" w:hAnsi="Arial" w:cs="Arial"/>
          <w:sz w:val="28"/>
          <w:szCs w:val="28"/>
        </w:rPr>
        <w:t xml:space="preserve">rights </w:t>
      </w:r>
      <w:r w:rsidRPr="004B3A76">
        <w:rPr>
          <w:rFonts w:ascii="Arial" w:hAnsi="Arial" w:cs="Arial"/>
          <w:sz w:val="28"/>
          <w:szCs w:val="28"/>
        </w:rPr>
        <w:t>are underpinned by EU anti-</w:t>
      </w:r>
      <w:r>
        <w:rPr>
          <w:rFonts w:ascii="Arial" w:hAnsi="Arial" w:cs="Arial"/>
          <w:sz w:val="28"/>
          <w:szCs w:val="28"/>
        </w:rPr>
        <w:t xml:space="preserve">discrimination </w:t>
      </w:r>
      <w:r w:rsidRPr="004B3A76">
        <w:rPr>
          <w:rFonts w:ascii="Arial" w:hAnsi="Arial" w:cs="Arial"/>
          <w:sz w:val="28"/>
          <w:szCs w:val="28"/>
        </w:rPr>
        <w:t>laws which protect against discrimination on the grounds of: gender; racial or ethnic origin; religion or belief;</w:t>
      </w:r>
      <w:r>
        <w:rPr>
          <w:rFonts w:ascii="Arial" w:hAnsi="Arial" w:cs="Arial"/>
          <w:sz w:val="28"/>
          <w:szCs w:val="28"/>
        </w:rPr>
        <w:t xml:space="preserve"> </w:t>
      </w:r>
      <w:r w:rsidRPr="004B3A76">
        <w:rPr>
          <w:rFonts w:ascii="Arial" w:hAnsi="Arial" w:cs="Arial"/>
          <w:sz w:val="28"/>
          <w:szCs w:val="28"/>
        </w:rPr>
        <w:t>disability; age; sexual orientation</w:t>
      </w:r>
      <w:r w:rsidR="007B7928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and which</w:t>
      </w:r>
      <w:r w:rsidRPr="004B3A76">
        <w:rPr>
          <w:rFonts w:ascii="Arial" w:hAnsi="Arial" w:cs="Arial"/>
          <w:sz w:val="28"/>
          <w:szCs w:val="28"/>
        </w:rPr>
        <w:t xml:space="preserve"> promote equal treatment. </w:t>
      </w:r>
    </w:p>
    <w:p w14:paraId="6E5D3CC1" w14:textId="77777777" w:rsidR="00DD3D71" w:rsidRDefault="00DD3D71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2BA9F7" w14:textId="3630B357" w:rsidR="007A3D58" w:rsidRDefault="007A3D5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These EU laws cover areas such as employment, access to goods and services</w:t>
      </w:r>
      <w:r>
        <w:rPr>
          <w:rFonts w:ascii="Arial" w:hAnsi="Arial" w:cs="Arial"/>
          <w:sz w:val="28"/>
          <w:szCs w:val="28"/>
        </w:rPr>
        <w:t>,</w:t>
      </w:r>
      <w:r w:rsidRPr="004B3A76">
        <w:rPr>
          <w:rFonts w:ascii="Arial" w:hAnsi="Arial" w:cs="Arial"/>
          <w:sz w:val="28"/>
          <w:szCs w:val="28"/>
        </w:rPr>
        <w:t xml:space="preserve"> and social security</w:t>
      </w:r>
      <w:r>
        <w:rPr>
          <w:rFonts w:ascii="Arial" w:hAnsi="Arial" w:cs="Arial"/>
          <w:sz w:val="28"/>
          <w:szCs w:val="28"/>
        </w:rPr>
        <w:t xml:space="preserve">, and </w:t>
      </w:r>
      <w:r w:rsidRPr="004B3A76">
        <w:rPr>
          <w:rFonts w:ascii="Arial" w:hAnsi="Arial" w:cs="Arial"/>
          <w:sz w:val="28"/>
          <w:szCs w:val="28"/>
        </w:rPr>
        <w:t xml:space="preserve">are set out in </w:t>
      </w:r>
      <w:r w:rsidRPr="00DD3D71">
        <w:rPr>
          <w:rFonts w:ascii="Arial" w:hAnsi="Arial" w:cs="Arial"/>
          <w:sz w:val="28"/>
          <w:szCs w:val="28"/>
        </w:rPr>
        <w:t>Annex 1</w:t>
      </w:r>
      <w:r w:rsidRPr="004B3A76">
        <w:rPr>
          <w:rFonts w:ascii="Arial" w:hAnsi="Arial" w:cs="Arial"/>
          <w:sz w:val="28"/>
          <w:szCs w:val="28"/>
        </w:rPr>
        <w:t xml:space="preserve"> to the Protocol</w:t>
      </w:r>
      <w:r w:rsidR="00463FE0">
        <w:rPr>
          <w:rFonts w:ascii="Arial" w:hAnsi="Arial" w:cs="Arial"/>
          <w:sz w:val="28"/>
          <w:szCs w:val="28"/>
        </w:rPr>
        <w:t xml:space="preserve">, and are listed in Appendix 1 </w:t>
      </w:r>
      <w:r w:rsidR="00263E74">
        <w:rPr>
          <w:rFonts w:ascii="Arial" w:hAnsi="Arial" w:cs="Arial"/>
          <w:sz w:val="28"/>
          <w:szCs w:val="28"/>
        </w:rPr>
        <w:t>of this booklet.</w:t>
      </w:r>
    </w:p>
    <w:p w14:paraId="6F49B64C" w14:textId="77777777" w:rsidR="00DD3D71" w:rsidRPr="004B3A76" w:rsidRDefault="00DD3D71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C81D4C" w14:textId="65226249" w:rsidR="00AC2FD8" w:rsidRPr="002911C8" w:rsidRDefault="007A3D5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 xml:space="preserve">There are also other EU laws which are relevant to the protection of </w:t>
      </w:r>
      <w:r>
        <w:rPr>
          <w:rFonts w:ascii="Arial" w:hAnsi="Arial" w:cs="Arial"/>
          <w:sz w:val="28"/>
          <w:szCs w:val="28"/>
        </w:rPr>
        <w:t xml:space="preserve">these </w:t>
      </w:r>
      <w:r w:rsidRPr="004B3A76">
        <w:rPr>
          <w:rFonts w:ascii="Arial" w:hAnsi="Arial" w:cs="Arial"/>
          <w:sz w:val="28"/>
          <w:szCs w:val="28"/>
        </w:rPr>
        <w:t xml:space="preserve">rights. These include EU </w:t>
      </w:r>
      <w:r>
        <w:rPr>
          <w:rFonts w:ascii="Arial" w:hAnsi="Arial" w:cs="Arial"/>
          <w:sz w:val="28"/>
          <w:szCs w:val="28"/>
        </w:rPr>
        <w:t xml:space="preserve">laws </w:t>
      </w:r>
      <w:r w:rsidRPr="004B3A76">
        <w:rPr>
          <w:rFonts w:ascii="Arial" w:hAnsi="Arial" w:cs="Arial"/>
          <w:sz w:val="28"/>
          <w:szCs w:val="28"/>
        </w:rPr>
        <w:t>such as the Parental Leave Directive, Victims’ Directive and Pregnant Workers’ Directive, as well as specific measures aimed at protecting the rights of disabled people.</w:t>
      </w:r>
    </w:p>
    <w:p w14:paraId="30FC6284" w14:textId="6ABA1231" w:rsidR="00C01E50" w:rsidRDefault="00C01E50">
      <w:pPr>
        <w:rPr>
          <w:rFonts w:ascii="Arial" w:eastAsia="ArialMT" w:hAnsi="Arial" w:cs="Arial"/>
          <w:b/>
          <w:sz w:val="28"/>
          <w:szCs w:val="28"/>
        </w:rPr>
      </w:pPr>
      <w:r>
        <w:rPr>
          <w:rFonts w:ascii="Arial" w:eastAsia="ArialMT" w:hAnsi="Arial" w:cs="Arial"/>
          <w:b/>
          <w:sz w:val="28"/>
          <w:szCs w:val="28"/>
        </w:rPr>
        <w:br w:type="page"/>
      </w:r>
    </w:p>
    <w:p w14:paraId="43630A2F" w14:textId="79ACE96A" w:rsidR="0030633D" w:rsidRDefault="0030633D" w:rsidP="00461827">
      <w:pPr>
        <w:spacing w:after="0" w:line="240" w:lineRule="auto"/>
        <w:rPr>
          <w:rFonts w:ascii="Arial" w:eastAsia="ArialMT" w:hAnsi="Arial" w:cs="Arial"/>
          <w:sz w:val="28"/>
          <w:szCs w:val="28"/>
        </w:rPr>
      </w:pPr>
      <w:r>
        <w:rPr>
          <w:rFonts w:ascii="Arial" w:eastAsia="ArialMT" w:hAnsi="Arial" w:cs="Arial"/>
          <w:sz w:val="28"/>
          <w:szCs w:val="28"/>
        </w:rPr>
        <w:lastRenderedPageBreak/>
        <w:t xml:space="preserve">This commitment </w:t>
      </w:r>
      <w:r w:rsidRPr="00073380">
        <w:rPr>
          <w:rFonts w:ascii="Arial" w:eastAsia="ArialMT" w:hAnsi="Arial" w:cs="Arial"/>
          <w:sz w:val="28"/>
          <w:szCs w:val="28"/>
        </w:rPr>
        <w:t>is binding on t</w:t>
      </w:r>
      <w:r>
        <w:rPr>
          <w:rFonts w:ascii="Arial" w:eastAsia="ArialMT" w:hAnsi="Arial" w:cs="Arial"/>
          <w:sz w:val="28"/>
          <w:szCs w:val="28"/>
        </w:rPr>
        <w:t>he UK Government and Parliament</w:t>
      </w:r>
      <w:r w:rsidR="008D2BEF">
        <w:rPr>
          <w:rFonts w:ascii="Arial" w:eastAsia="ArialMT" w:hAnsi="Arial" w:cs="Arial"/>
          <w:sz w:val="28"/>
          <w:szCs w:val="28"/>
        </w:rPr>
        <w:t>,</w:t>
      </w:r>
      <w:r w:rsidRPr="00073380">
        <w:rPr>
          <w:rFonts w:ascii="Arial" w:eastAsia="ArialMT" w:hAnsi="Arial" w:cs="Arial"/>
          <w:sz w:val="28"/>
          <w:szCs w:val="28"/>
        </w:rPr>
        <w:t xml:space="preserve"> </w:t>
      </w:r>
      <w:r>
        <w:rPr>
          <w:rFonts w:ascii="Arial" w:eastAsia="ArialMT" w:hAnsi="Arial" w:cs="Arial"/>
          <w:sz w:val="28"/>
          <w:szCs w:val="28"/>
        </w:rPr>
        <w:t xml:space="preserve">and </w:t>
      </w:r>
      <w:r w:rsidRPr="00073380">
        <w:rPr>
          <w:rFonts w:ascii="Arial" w:eastAsia="ArialMT" w:hAnsi="Arial" w:cs="Arial"/>
          <w:sz w:val="28"/>
          <w:szCs w:val="28"/>
        </w:rPr>
        <w:t>the Northern Ireland Executive and the Assembly</w:t>
      </w:r>
      <w:r>
        <w:rPr>
          <w:rFonts w:ascii="Arial" w:eastAsia="ArialMT" w:hAnsi="Arial" w:cs="Arial"/>
          <w:sz w:val="28"/>
          <w:szCs w:val="28"/>
        </w:rPr>
        <w:t>,</w:t>
      </w:r>
      <w:r w:rsidRPr="00073380">
        <w:rPr>
          <w:rFonts w:ascii="Arial" w:eastAsia="ArialMT" w:hAnsi="Arial" w:cs="Arial"/>
          <w:sz w:val="28"/>
          <w:szCs w:val="28"/>
        </w:rPr>
        <w:t xml:space="preserve"> as a matter of international law. </w:t>
      </w:r>
    </w:p>
    <w:p w14:paraId="7BEB60FA" w14:textId="77777777" w:rsidR="00A31042" w:rsidRPr="00073380" w:rsidRDefault="00A31042" w:rsidP="00461827">
      <w:pPr>
        <w:spacing w:after="0" w:line="240" w:lineRule="auto"/>
        <w:rPr>
          <w:rFonts w:ascii="Arial" w:eastAsia="ArialMT" w:hAnsi="Arial" w:cs="Arial"/>
          <w:sz w:val="28"/>
          <w:szCs w:val="28"/>
        </w:rPr>
      </w:pPr>
    </w:p>
    <w:p w14:paraId="498A8A82" w14:textId="378EBE38" w:rsidR="0030633D" w:rsidRPr="00073380" w:rsidRDefault="0030633D" w:rsidP="00461827">
      <w:pPr>
        <w:spacing w:after="0" w:line="240" w:lineRule="auto"/>
        <w:rPr>
          <w:rFonts w:ascii="Arial" w:eastAsia="ArialMT" w:hAnsi="Arial" w:cs="Arial"/>
          <w:sz w:val="28"/>
          <w:szCs w:val="28"/>
        </w:rPr>
      </w:pPr>
      <w:r w:rsidRPr="00073380">
        <w:rPr>
          <w:rFonts w:ascii="Arial" w:eastAsia="ArialMT" w:hAnsi="Arial" w:cs="Arial"/>
          <w:sz w:val="28"/>
          <w:szCs w:val="28"/>
        </w:rPr>
        <w:t xml:space="preserve">All the provisions in the Withdrawal Agreement, including the UK Government’s commitment under </w:t>
      </w:r>
      <w:r w:rsidRPr="004B23E0">
        <w:rPr>
          <w:rFonts w:ascii="Arial" w:eastAsia="ArialMT" w:hAnsi="Arial" w:cs="Arial"/>
          <w:sz w:val="28"/>
          <w:szCs w:val="28"/>
        </w:rPr>
        <w:t>Article 2</w:t>
      </w:r>
      <w:r w:rsidRPr="00073380">
        <w:rPr>
          <w:rFonts w:ascii="Arial" w:eastAsia="ArialMT" w:hAnsi="Arial" w:cs="Arial"/>
          <w:sz w:val="28"/>
          <w:szCs w:val="28"/>
        </w:rPr>
        <w:t xml:space="preserve"> of the Protocol, are now contained in UK law.</w:t>
      </w:r>
    </w:p>
    <w:p w14:paraId="08425C30" w14:textId="69311D87" w:rsidR="006F4A67" w:rsidRDefault="006F4A67" w:rsidP="00461827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4575E74D" w14:textId="0FF451C8" w:rsidR="009C193E" w:rsidRDefault="00A10D61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F4A67">
        <w:rPr>
          <w:rFonts w:ascii="Arial" w:hAnsi="Arial" w:cs="Arial"/>
          <w:b/>
          <w:sz w:val="28"/>
          <w:szCs w:val="28"/>
        </w:rPr>
        <w:t xml:space="preserve">The role of the Equality Commission and the Northern Ireland Human Rights Commission </w:t>
      </w:r>
    </w:p>
    <w:p w14:paraId="2AF21BFB" w14:textId="77777777" w:rsidR="00A31042" w:rsidRPr="0030633D" w:rsidRDefault="00A31042" w:rsidP="00461827">
      <w:pPr>
        <w:spacing w:after="0" w:line="240" w:lineRule="auto"/>
        <w:rPr>
          <w:rFonts w:ascii="Arial" w:hAnsi="Arial" w:cs="Arial"/>
          <w:color w:val="0563C1"/>
          <w:sz w:val="28"/>
          <w:szCs w:val="28"/>
          <w:u w:val="single"/>
          <w:lang w:val="en"/>
        </w:rPr>
      </w:pPr>
    </w:p>
    <w:p w14:paraId="63DA6126" w14:textId="261641E8" w:rsidR="0030633D" w:rsidRDefault="0030633D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145D6A">
        <w:rPr>
          <w:rFonts w:ascii="Arial" w:hAnsi="Arial" w:cs="Arial"/>
          <w:sz w:val="28"/>
          <w:szCs w:val="28"/>
        </w:rPr>
        <w:t>o ensure that the UK Govern</w:t>
      </w:r>
      <w:r>
        <w:rPr>
          <w:rFonts w:ascii="Arial" w:hAnsi="Arial" w:cs="Arial"/>
          <w:sz w:val="28"/>
          <w:szCs w:val="28"/>
        </w:rPr>
        <w:t xml:space="preserve">ment meets its commitment under </w:t>
      </w:r>
      <w:r w:rsidR="000B725A">
        <w:rPr>
          <w:rFonts w:ascii="Arial" w:hAnsi="Arial" w:cs="Arial"/>
          <w:sz w:val="28"/>
          <w:szCs w:val="28"/>
        </w:rPr>
        <w:t>Article 2</w:t>
      </w:r>
      <w:r w:rsidR="005944B4" w:rsidRPr="004B23E0">
        <w:rPr>
          <w:rFonts w:ascii="Arial" w:hAnsi="Arial" w:cs="Arial"/>
          <w:sz w:val="28"/>
          <w:szCs w:val="28"/>
        </w:rPr>
        <w:t xml:space="preserve"> </w:t>
      </w:r>
      <w:r w:rsidRPr="004B23E0">
        <w:rPr>
          <w:rFonts w:ascii="Arial" w:hAnsi="Arial" w:cs="Arial"/>
          <w:sz w:val="28"/>
          <w:szCs w:val="28"/>
        </w:rPr>
        <w:t>of</w:t>
      </w:r>
      <w:r w:rsidRPr="00145D6A">
        <w:rPr>
          <w:rFonts w:ascii="Arial" w:hAnsi="Arial" w:cs="Arial"/>
          <w:sz w:val="28"/>
          <w:szCs w:val="28"/>
        </w:rPr>
        <w:t xml:space="preserve"> the</w:t>
      </w:r>
      <w:r>
        <w:rPr>
          <w:rFonts w:ascii="Arial" w:hAnsi="Arial" w:cs="Arial"/>
          <w:sz w:val="28"/>
          <w:szCs w:val="28"/>
        </w:rPr>
        <w:t xml:space="preserve"> Protocol, it created a ‘dedicated </w:t>
      </w:r>
      <w:r w:rsidR="00A31042">
        <w:rPr>
          <w:rFonts w:ascii="Arial" w:hAnsi="Arial" w:cs="Arial"/>
          <w:sz w:val="28"/>
          <w:szCs w:val="28"/>
        </w:rPr>
        <w:t xml:space="preserve">mechanism’ </w:t>
      </w:r>
      <w:r w:rsidRPr="00145D6A">
        <w:rPr>
          <w:rFonts w:ascii="Arial" w:hAnsi="Arial" w:cs="Arial"/>
          <w:sz w:val="28"/>
          <w:szCs w:val="28"/>
        </w:rPr>
        <w:t>comprising of the Equality Commission</w:t>
      </w:r>
      <w:r w:rsidR="008D3B7C">
        <w:rPr>
          <w:rFonts w:ascii="Arial" w:hAnsi="Arial" w:cs="Arial"/>
          <w:sz w:val="28"/>
          <w:szCs w:val="28"/>
        </w:rPr>
        <w:t xml:space="preserve"> of Northern Ireland</w:t>
      </w:r>
      <w:r w:rsidRPr="00145D6A">
        <w:rPr>
          <w:rFonts w:ascii="Arial" w:hAnsi="Arial" w:cs="Arial"/>
          <w:sz w:val="28"/>
          <w:szCs w:val="28"/>
        </w:rPr>
        <w:t xml:space="preserve"> and the N</w:t>
      </w:r>
      <w:r>
        <w:rPr>
          <w:rFonts w:ascii="Arial" w:hAnsi="Arial" w:cs="Arial"/>
          <w:sz w:val="28"/>
          <w:szCs w:val="28"/>
        </w:rPr>
        <w:t xml:space="preserve">orthern Ireland Human </w:t>
      </w:r>
      <w:r w:rsidRPr="00145D6A">
        <w:rPr>
          <w:rFonts w:ascii="Arial" w:hAnsi="Arial" w:cs="Arial"/>
          <w:sz w:val="28"/>
          <w:szCs w:val="28"/>
        </w:rPr>
        <w:t>Rights Commission.</w:t>
      </w:r>
    </w:p>
    <w:p w14:paraId="4AEF7183" w14:textId="77777777" w:rsidR="00A31042" w:rsidRDefault="00A31042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DCB28D" w14:textId="77777777" w:rsidR="00263E74" w:rsidRDefault="0030633D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Commission</w:t>
      </w:r>
      <w:r>
        <w:rPr>
          <w:rFonts w:ascii="Arial" w:hAnsi="Arial" w:cs="Arial"/>
          <w:sz w:val="28"/>
          <w:szCs w:val="28"/>
        </w:rPr>
        <w:t>s</w:t>
      </w:r>
      <w:r w:rsidRPr="004B3A76">
        <w:rPr>
          <w:rFonts w:ascii="Arial" w:hAnsi="Arial" w:cs="Arial"/>
          <w:sz w:val="28"/>
          <w:szCs w:val="28"/>
        </w:rPr>
        <w:t xml:space="preserve"> have been given </w:t>
      </w:r>
      <w:r>
        <w:rPr>
          <w:rFonts w:ascii="Arial" w:hAnsi="Arial" w:cs="Arial"/>
          <w:sz w:val="28"/>
          <w:szCs w:val="28"/>
        </w:rPr>
        <w:t xml:space="preserve">additional </w:t>
      </w:r>
      <w:r w:rsidRPr="004B3A76">
        <w:rPr>
          <w:rFonts w:ascii="Arial" w:hAnsi="Arial" w:cs="Arial"/>
          <w:sz w:val="28"/>
          <w:szCs w:val="28"/>
        </w:rPr>
        <w:t xml:space="preserve">powers and responsibilities to ensure that the UK Government’s commitment is met. </w:t>
      </w:r>
    </w:p>
    <w:p w14:paraId="7AB7D263" w14:textId="77777777" w:rsidR="00263E74" w:rsidRDefault="00263E74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988AF2" w14:textId="67BA8CC8" w:rsidR="00366DAE" w:rsidRDefault="0030633D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They are </w:t>
      </w:r>
      <w:r w:rsidRPr="004B3A76">
        <w:rPr>
          <w:rFonts w:ascii="Arial" w:hAnsi="Arial" w:cs="Arial"/>
          <w:sz w:val="28"/>
          <w:szCs w:val="28"/>
        </w:rPr>
        <w:t>responsible for providing advice to government and monitorin</w:t>
      </w:r>
      <w:r w:rsidR="00296CF3">
        <w:rPr>
          <w:rFonts w:ascii="Arial" w:hAnsi="Arial" w:cs="Arial"/>
          <w:sz w:val="28"/>
          <w:szCs w:val="28"/>
        </w:rPr>
        <w:t xml:space="preserve">g, supervising, enforcing and reporting on </w:t>
      </w:r>
      <w:r w:rsidRPr="004B3A76">
        <w:rPr>
          <w:rFonts w:ascii="Arial" w:hAnsi="Arial" w:cs="Arial"/>
          <w:sz w:val="28"/>
          <w:szCs w:val="28"/>
        </w:rPr>
        <w:t>the ongoing implementation of this commitment.</w:t>
      </w:r>
    </w:p>
    <w:p w14:paraId="250B8B6B" w14:textId="129DA65B" w:rsidR="00A10D61" w:rsidRPr="00895F58" w:rsidRDefault="009C193E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0D61">
        <w:rPr>
          <w:rFonts w:ascii="Arial" w:eastAsia="Times New Roman" w:hAnsi="Arial" w:cs="Arial"/>
          <w:color w:val="000000"/>
          <w:sz w:val="28"/>
          <w:szCs w:val="28"/>
          <w:highlight w:val="yellow"/>
          <w:bdr w:val="none" w:sz="0" w:space="0" w:color="auto" w:frame="1"/>
          <w:lang w:eastAsia="en-GB"/>
        </w:rPr>
        <w:br/>
      </w:r>
      <w:r w:rsidR="00366DAE" w:rsidRPr="00366DAE">
        <w:rPr>
          <w:rFonts w:ascii="Arial" w:hAnsi="Arial" w:cs="Arial"/>
          <w:sz w:val="28"/>
          <w:szCs w:val="28"/>
        </w:rPr>
        <w:t>Specifically, t</w:t>
      </w:r>
      <w:r w:rsidR="00A10D61" w:rsidRPr="00366DAE">
        <w:rPr>
          <w:rFonts w:ascii="Arial" w:hAnsi="Arial" w:cs="Arial"/>
          <w:sz w:val="28"/>
          <w:szCs w:val="28"/>
        </w:rPr>
        <w:t>he Commissions</w:t>
      </w:r>
      <w:r w:rsidR="00703D02" w:rsidRPr="00366DAE">
        <w:rPr>
          <w:rFonts w:ascii="Arial" w:hAnsi="Arial" w:cs="Arial"/>
          <w:sz w:val="28"/>
          <w:szCs w:val="28"/>
        </w:rPr>
        <w:t>’</w:t>
      </w:r>
      <w:r w:rsidR="0057381B" w:rsidRPr="00366DAE">
        <w:rPr>
          <w:rFonts w:ascii="Arial" w:hAnsi="Arial" w:cs="Arial"/>
          <w:sz w:val="28"/>
          <w:szCs w:val="28"/>
        </w:rPr>
        <w:t xml:space="preserve"> new powers and duties include:</w:t>
      </w:r>
    </w:p>
    <w:p w14:paraId="53AF9763" w14:textId="2E702DCE" w:rsidR="0057381B" w:rsidRPr="00895F58" w:rsidRDefault="00E4364A" w:rsidP="0046182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57381B" w:rsidRPr="00895F58">
        <w:rPr>
          <w:rFonts w:ascii="Arial" w:hAnsi="Arial" w:cs="Arial"/>
          <w:sz w:val="28"/>
          <w:szCs w:val="28"/>
        </w:rPr>
        <w:t>onitoring how the commitment is implemented</w:t>
      </w:r>
      <w:r>
        <w:rPr>
          <w:rFonts w:ascii="Arial" w:hAnsi="Arial" w:cs="Arial"/>
          <w:sz w:val="28"/>
          <w:szCs w:val="28"/>
        </w:rPr>
        <w:t>;</w:t>
      </w:r>
    </w:p>
    <w:p w14:paraId="0331809B" w14:textId="5AC382E6" w:rsidR="009350F2" w:rsidRPr="00895F58" w:rsidRDefault="00E4364A" w:rsidP="0046182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57381B" w:rsidRPr="00895F58">
        <w:rPr>
          <w:rFonts w:ascii="Arial" w:hAnsi="Arial" w:cs="Arial"/>
          <w:sz w:val="28"/>
          <w:szCs w:val="28"/>
        </w:rPr>
        <w:t xml:space="preserve">eporting on its implementation to the Secretary </w:t>
      </w:r>
      <w:r w:rsidR="00E269E8">
        <w:rPr>
          <w:rFonts w:ascii="Arial" w:hAnsi="Arial" w:cs="Arial"/>
          <w:sz w:val="28"/>
          <w:szCs w:val="28"/>
        </w:rPr>
        <w:t xml:space="preserve">of </w:t>
      </w:r>
      <w:r w:rsidR="0057381B" w:rsidRPr="00895F58">
        <w:rPr>
          <w:rFonts w:ascii="Arial" w:hAnsi="Arial" w:cs="Arial"/>
          <w:sz w:val="28"/>
          <w:szCs w:val="28"/>
        </w:rPr>
        <w:t>State for Northern Ireland and The Executive Office</w:t>
      </w:r>
      <w:r>
        <w:rPr>
          <w:rFonts w:ascii="Arial" w:hAnsi="Arial" w:cs="Arial"/>
          <w:sz w:val="28"/>
          <w:szCs w:val="28"/>
        </w:rPr>
        <w:t>;</w:t>
      </w:r>
    </w:p>
    <w:p w14:paraId="1078B36B" w14:textId="1B74E45A" w:rsidR="0057381B" w:rsidRPr="00895F58" w:rsidRDefault="00366DAE" w:rsidP="0046182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57381B" w:rsidRPr="00895F58">
        <w:rPr>
          <w:rFonts w:ascii="Arial" w:hAnsi="Arial" w:cs="Arial"/>
          <w:sz w:val="28"/>
          <w:szCs w:val="28"/>
        </w:rPr>
        <w:t>dvising the Secretary of State and t</w:t>
      </w:r>
      <w:r w:rsidR="00EE0E85">
        <w:rPr>
          <w:rFonts w:ascii="Arial" w:hAnsi="Arial" w:cs="Arial"/>
          <w:sz w:val="28"/>
          <w:szCs w:val="28"/>
        </w:rPr>
        <w:t xml:space="preserve">he </w:t>
      </w:r>
      <w:r w:rsidR="00D81D1D">
        <w:rPr>
          <w:rFonts w:ascii="Arial" w:hAnsi="Arial" w:cs="Arial"/>
          <w:sz w:val="28"/>
          <w:szCs w:val="28"/>
        </w:rPr>
        <w:t xml:space="preserve">Northern Ireland </w:t>
      </w:r>
      <w:r w:rsidR="00EE0E85">
        <w:rPr>
          <w:rFonts w:ascii="Arial" w:hAnsi="Arial" w:cs="Arial"/>
          <w:sz w:val="28"/>
          <w:szCs w:val="28"/>
        </w:rPr>
        <w:t xml:space="preserve">Executive </w:t>
      </w:r>
      <w:r w:rsidR="0057381B" w:rsidRPr="00895F58">
        <w:rPr>
          <w:rFonts w:ascii="Arial" w:hAnsi="Arial" w:cs="Arial"/>
          <w:sz w:val="28"/>
          <w:szCs w:val="28"/>
        </w:rPr>
        <w:t>of legislative and other measures that must be taken to implement the commitment</w:t>
      </w:r>
      <w:r>
        <w:rPr>
          <w:rFonts w:ascii="Arial" w:hAnsi="Arial" w:cs="Arial"/>
          <w:sz w:val="28"/>
          <w:szCs w:val="28"/>
        </w:rPr>
        <w:t>;</w:t>
      </w:r>
    </w:p>
    <w:p w14:paraId="0187B963" w14:textId="4FCADCE4" w:rsidR="0057381B" w:rsidRPr="005944B4" w:rsidRDefault="00366DAE" w:rsidP="0046182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57381B" w:rsidRPr="00895F58">
        <w:rPr>
          <w:rFonts w:ascii="Arial" w:hAnsi="Arial" w:cs="Arial"/>
          <w:sz w:val="28"/>
          <w:szCs w:val="28"/>
        </w:rPr>
        <w:t>dvisi</w:t>
      </w:r>
      <w:r w:rsidR="00BC3E3D">
        <w:rPr>
          <w:rFonts w:ascii="Arial" w:hAnsi="Arial" w:cs="Arial"/>
          <w:sz w:val="28"/>
          <w:szCs w:val="28"/>
        </w:rPr>
        <w:t xml:space="preserve">ng the Northern Ireland </w:t>
      </w:r>
      <w:r w:rsidR="0057381B" w:rsidRPr="00895F58">
        <w:rPr>
          <w:rFonts w:ascii="Arial" w:hAnsi="Arial" w:cs="Arial"/>
          <w:sz w:val="28"/>
          <w:szCs w:val="28"/>
        </w:rPr>
        <w:t>Assembly (or a commit</w:t>
      </w:r>
      <w:r w:rsidR="00AC2FD8">
        <w:rPr>
          <w:rFonts w:ascii="Arial" w:hAnsi="Arial" w:cs="Arial"/>
          <w:sz w:val="28"/>
          <w:szCs w:val="28"/>
        </w:rPr>
        <w:t xml:space="preserve">tee </w:t>
      </w:r>
      <w:r w:rsidR="0057381B" w:rsidRPr="00895F58">
        <w:rPr>
          <w:rFonts w:ascii="Arial" w:hAnsi="Arial" w:cs="Arial"/>
          <w:sz w:val="28"/>
          <w:szCs w:val="28"/>
        </w:rPr>
        <w:t xml:space="preserve">of the Assembly) whether a Bill is compatible with the </w:t>
      </w:r>
      <w:r w:rsidR="0057381B" w:rsidRPr="005944B4">
        <w:rPr>
          <w:rFonts w:ascii="Arial" w:hAnsi="Arial" w:cs="Arial"/>
          <w:sz w:val="28"/>
          <w:szCs w:val="28"/>
        </w:rPr>
        <w:t>commitment</w:t>
      </w:r>
      <w:r w:rsidR="00C744FC" w:rsidRPr="005944B4">
        <w:rPr>
          <w:rFonts w:ascii="Arial" w:hAnsi="Arial" w:cs="Arial"/>
          <w:sz w:val="28"/>
          <w:szCs w:val="28"/>
        </w:rPr>
        <w:t>;</w:t>
      </w:r>
    </w:p>
    <w:p w14:paraId="4EDFB034" w14:textId="471DD00D" w:rsidR="0057381B" w:rsidRPr="00895F58" w:rsidRDefault="00366DAE" w:rsidP="0046182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57381B" w:rsidRPr="00895F58">
        <w:rPr>
          <w:rFonts w:ascii="Arial" w:hAnsi="Arial" w:cs="Arial"/>
          <w:sz w:val="28"/>
          <w:szCs w:val="28"/>
        </w:rPr>
        <w:t xml:space="preserve">romoting understanding and awareness of </w:t>
      </w:r>
      <w:r>
        <w:rPr>
          <w:rFonts w:ascii="Arial" w:hAnsi="Arial" w:cs="Arial"/>
          <w:sz w:val="28"/>
          <w:szCs w:val="28"/>
        </w:rPr>
        <w:t>how important the commitment is;</w:t>
      </w:r>
    </w:p>
    <w:p w14:paraId="76779F4B" w14:textId="0593D5A4" w:rsidR="0057381B" w:rsidRPr="00895F58" w:rsidRDefault="00366DAE" w:rsidP="0046182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57381B" w:rsidRPr="00895F58">
        <w:rPr>
          <w:rFonts w:ascii="Arial" w:hAnsi="Arial" w:cs="Arial"/>
          <w:sz w:val="28"/>
          <w:szCs w:val="28"/>
        </w:rPr>
        <w:t xml:space="preserve">ringing or intervening in legal proceedings in respect of an alleged breach (or potential future breach of the </w:t>
      </w:r>
      <w:r w:rsidR="0057381B" w:rsidRPr="005944B4">
        <w:rPr>
          <w:rFonts w:ascii="Arial" w:hAnsi="Arial" w:cs="Arial"/>
          <w:sz w:val="28"/>
          <w:szCs w:val="28"/>
        </w:rPr>
        <w:t>commitmen</w:t>
      </w:r>
      <w:r w:rsidR="0057381B" w:rsidRPr="004B23E0">
        <w:rPr>
          <w:rFonts w:ascii="Arial" w:hAnsi="Arial" w:cs="Arial"/>
          <w:sz w:val="28"/>
          <w:szCs w:val="28"/>
        </w:rPr>
        <w:t>t</w:t>
      </w:r>
      <w:r w:rsidR="00C744FC" w:rsidRPr="004B23E0">
        <w:rPr>
          <w:rFonts w:ascii="Arial" w:hAnsi="Arial" w:cs="Arial"/>
          <w:sz w:val="28"/>
          <w:szCs w:val="28"/>
        </w:rPr>
        <w:t>)</w:t>
      </w:r>
      <w:r w:rsidRPr="004B23E0">
        <w:rPr>
          <w:rFonts w:ascii="Arial" w:hAnsi="Arial" w:cs="Arial"/>
          <w:sz w:val="28"/>
          <w:szCs w:val="28"/>
        </w:rPr>
        <w:t>;</w:t>
      </w:r>
      <w:r w:rsidR="0057381B" w:rsidRPr="00895F58">
        <w:rPr>
          <w:rFonts w:ascii="Arial" w:hAnsi="Arial" w:cs="Arial"/>
          <w:sz w:val="28"/>
          <w:szCs w:val="28"/>
        </w:rPr>
        <w:t xml:space="preserve"> and</w:t>
      </w:r>
    </w:p>
    <w:p w14:paraId="3CB6BFED" w14:textId="79A4373B" w:rsidR="00FA5477" w:rsidRDefault="00366DAE" w:rsidP="0046182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BE121A">
        <w:rPr>
          <w:rFonts w:ascii="Arial" w:hAnsi="Arial" w:cs="Arial"/>
          <w:sz w:val="28"/>
          <w:szCs w:val="28"/>
        </w:rPr>
        <w:t xml:space="preserve">ssisting </w:t>
      </w:r>
      <w:r w:rsidR="00BE121A" w:rsidRPr="00F021FE">
        <w:rPr>
          <w:rFonts w:ascii="Arial" w:hAnsi="Arial" w:cs="Arial"/>
          <w:sz w:val="28"/>
          <w:szCs w:val="28"/>
        </w:rPr>
        <w:t>person</w:t>
      </w:r>
      <w:r w:rsidR="0057381B" w:rsidRPr="00F021FE">
        <w:rPr>
          <w:rFonts w:ascii="Arial" w:hAnsi="Arial" w:cs="Arial"/>
          <w:sz w:val="28"/>
          <w:szCs w:val="28"/>
        </w:rPr>
        <w:t>s</w:t>
      </w:r>
      <w:r w:rsidR="0057381B" w:rsidRPr="00895F58">
        <w:rPr>
          <w:rFonts w:ascii="Arial" w:hAnsi="Arial" w:cs="Arial"/>
          <w:sz w:val="28"/>
          <w:szCs w:val="28"/>
        </w:rPr>
        <w:t xml:space="preserve"> in relevant legal proceedings</w:t>
      </w:r>
      <w:r w:rsidR="00AC2FD8">
        <w:rPr>
          <w:rFonts w:ascii="Arial" w:hAnsi="Arial" w:cs="Arial"/>
          <w:sz w:val="28"/>
          <w:szCs w:val="28"/>
        </w:rPr>
        <w:t>.</w:t>
      </w:r>
    </w:p>
    <w:p w14:paraId="2BE7C8BF" w14:textId="4089B201" w:rsidR="00E07948" w:rsidRDefault="00E079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E7E3A9B" w14:textId="7650ED11" w:rsidR="00A10D61" w:rsidRDefault="00233632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95F58">
        <w:rPr>
          <w:rFonts w:ascii="Arial" w:hAnsi="Arial" w:cs="Arial"/>
          <w:sz w:val="28"/>
          <w:szCs w:val="28"/>
        </w:rPr>
        <w:lastRenderedPageBreak/>
        <w:t xml:space="preserve">The </w:t>
      </w:r>
      <w:r w:rsidR="00FA5477" w:rsidRPr="00895F58">
        <w:rPr>
          <w:rFonts w:ascii="Arial" w:hAnsi="Arial" w:cs="Arial"/>
          <w:sz w:val="28"/>
          <w:szCs w:val="28"/>
        </w:rPr>
        <w:t>Commission</w:t>
      </w:r>
      <w:r w:rsidRPr="00895F58">
        <w:rPr>
          <w:rFonts w:ascii="Arial" w:hAnsi="Arial" w:cs="Arial"/>
          <w:sz w:val="28"/>
          <w:szCs w:val="28"/>
        </w:rPr>
        <w:t xml:space="preserve">s </w:t>
      </w:r>
      <w:r w:rsidR="00662D25">
        <w:rPr>
          <w:rFonts w:ascii="Arial" w:hAnsi="Arial" w:cs="Arial"/>
          <w:sz w:val="28"/>
          <w:szCs w:val="28"/>
        </w:rPr>
        <w:t xml:space="preserve">can </w:t>
      </w:r>
      <w:r w:rsidRPr="00895F58">
        <w:rPr>
          <w:rFonts w:ascii="Arial" w:hAnsi="Arial" w:cs="Arial"/>
          <w:sz w:val="28"/>
          <w:szCs w:val="28"/>
        </w:rPr>
        <w:t xml:space="preserve">carry out their powers and </w:t>
      </w:r>
      <w:r w:rsidR="00FA5477" w:rsidRPr="00895F58">
        <w:rPr>
          <w:rFonts w:ascii="Arial" w:hAnsi="Arial" w:cs="Arial"/>
          <w:sz w:val="28"/>
          <w:szCs w:val="28"/>
        </w:rPr>
        <w:t xml:space="preserve">duties </w:t>
      </w:r>
      <w:r w:rsidR="00AC2FD8">
        <w:rPr>
          <w:rFonts w:ascii="Arial" w:hAnsi="Arial" w:cs="Arial"/>
          <w:sz w:val="28"/>
          <w:szCs w:val="28"/>
        </w:rPr>
        <w:t xml:space="preserve">either </w:t>
      </w:r>
      <w:r w:rsidR="00FA5477" w:rsidRPr="00895F58">
        <w:rPr>
          <w:rFonts w:ascii="Arial" w:hAnsi="Arial" w:cs="Arial"/>
          <w:sz w:val="28"/>
          <w:szCs w:val="28"/>
        </w:rPr>
        <w:t>jointly or separately.</w:t>
      </w:r>
    </w:p>
    <w:p w14:paraId="035931E8" w14:textId="3157CA5F" w:rsidR="006F4A67" w:rsidRDefault="006F4A67" w:rsidP="00461827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635200A8" w14:textId="3F12CEBD" w:rsidR="005273C0" w:rsidRDefault="00D60200" w:rsidP="00F456EB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6DAE">
        <w:rPr>
          <w:rFonts w:ascii="Arial" w:hAnsi="Arial" w:cs="Arial"/>
          <w:color w:val="000000"/>
          <w:sz w:val="28"/>
          <w:szCs w:val="28"/>
          <w:shd w:val="clear" w:color="auto" w:fill="FFFFFF"/>
        </w:rPr>
        <w:t>The Commissions will also work with the</w:t>
      </w:r>
      <w:r w:rsidRPr="00366DAE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66DAE">
        <w:rPr>
          <w:rFonts w:ascii="Arial" w:hAnsi="Arial" w:cs="Arial"/>
          <w:color w:val="000000"/>
          <w:sz w:val="28"/>
          <w:szCs w:val="28"/>
          <w:shd w:val="clear" w:color="auto" w:fill="FFFFFF"/>
        </w:rPr>
        <w:t>Irish Human Rights and Equality Commission</w:t>
      </w:r>
      <w:r w:rsidR="003759C1" w:rsidRPr="00366D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(IHREC)</w:t>
      </w:r>
      <w:r w:rsidRPr="00366DAE">
        <w:rPr>
          <w:rFonts w:ascii="Arial" w:hAnsi="Arial" w:cs="Arial"/>
          <w:color w:val="000000"/>
          <w:sz w:val="28"/>
          <w:szCs w:val="28"/>
          <w:shd w:val="clear" w:color="auto" w:fill="FFFFFF"/>
        </w:rPr>
        <w:t> to provide oversight of</w:t>
      </w:r>
      <w:r w:rsidR="00F456EB">
        <w:rPr>
          <w:rFonts w:ascii="Arial" w:hAnsi="Arial" w:cs="Arial"/>
          <w:color w:val="000000"/>
          <w:sz w:val="28"/>
          <w:szCs w:val="28"/>
          <w:shd w:val="clear" w:color="auto" w:fill="FFFFFF"/>
        </w:rPr>
        <w:t>, and reporting on,</w:t>
      </w:r>
      <w:r w:rsidRPr="00366D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456E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rights and </w:t>
      </w:r>
      <w:r w:rsidRPr="00366D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equalities </w:t>
      </w:r>
      <w:r w:rsidR="00F456EB" w:rsidRPr="00F456EB">
        <w:rPr>
          <w:rFonts w:ascii="Arial" w:hAnsi="Arial" w:cs="Arial"/>
          <w:color w:val="000000"/>
          <w:sz w:val="28"/>
          <w:szCs w:val="28"/>
          <w:shd w:val="clear" w:color="auto" w:fill="FFFFFF"/>
        </w:rPr>
        <w:t>iss</w:t>
      </w:r>
      <w:r w:rsidR="00F456E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ues falling within the scope of </w:t>
      </w:r>
      <w:r w:rsidR="00F456EB" w:rsidRPr="00F456E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 commitment </w:t>
      </w:r>
      <w:r w:rsidR="00F456EB">
        <w:rPr>
          <w:rFonts w:ascii="Arial" w:hAnsi="Arial" w:cs="Arial"/>
          <w:color w:val="000000"/>
          <w:sz w:val="28"/>
          <w:szCs w:val="28"/>
          <w:shd w:val="clear" w:color="auto" w:fill="FFFFFF"/>
        </w:rPr>
        <w:t>that have an i</w:t>
      </w:r>
      <w:r w:rsidRPr="00366DAE">
        <w:rPr>
          <w:rFonts w:ascii="Arial" w:hAnsi="Arial" w:cs="Arial"/>
          <w:color w:val="000000"/>
          <w:sz w:val="28"/>
          <w:szCs w:val="28"/>
          <w:shd w:val="clear" w:color="auto" w:fill="FFFFFF"/>
        </w:rPr>
        <w:t>sland of Ireland dimension.</w:t>
      </w:r>
    </w:p>
    <w:p w14:paraId="438F4714" w14:textId="1C46C226" w:rsidR="006F4A67" w:rsidRDefault="006F4A67" w:rsidP="0046182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color w:val="222222"/>
          <w:sz w:val="28"/>
          <w:szCs w:val="28"/>
        </w:rPr>
      </w:pPr>
    </w:p>
    <w:p w14:paraId="5BCCEDC0" w14:textId="137DB6D2" w:rsidR="00F021FE" w:rsidRPr="00F021FE" w:rsidRDefault="00F021FE" w:rsidP="0046182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222222"/>
          <w:sz w:val="28"/>
          <w:szCs w:val="28"/>
        </w:rPr>
      </w:pPr>
      <w:r w:rsidRPr="00F021FE">
        <w:rPr>
          <w:rFonts w:ascii="Arial" w:eastAsia="ArialMT" w:hAnsi="Arial" w:cs="Arial"/>
          <w:color w:val="222222"/>
          <w:sz w:val="28"/>
          <w:szCs w:val="28"/>
        </w:rPr>
        <w:t xml:space="preserve">Further, </w:t>
      </w:r>
      <w:r w:rsidRPr="00F021FE">
        <w:rPr>
          <w:rFonts w:ascii="Arial" w:hAnsi="Arial" w:cs="Arial"/>
          <w:iCs/>
          <w:sz w:val="28"/>
          <w:szCs w:val="28"/>
        </w:rPr>
        <w:t xml:space="preserve">the </w:t>
      </w:r>
      <w:r w:rsidR="00B97FB2">
        <w:rPr>
          <w:rFonts w:ascii="Arial" w:hAnsi="Arial" w:cs="Arial"/>
          <w:iCs/>
          <w:sz w:val="28"/>
          <w:szCs w:val="28"/>
        </w:rPr>
        <w:t>Equality Commission</w:t>
      </w:r>
      <w:r w:rsidR="00263E74">
        <w:rPr>
          <w:rFonts w:ascii="Arial" w:hAnsi="Arial" w:cs="Arial"/>
          <w:iCs/>
          <w:sz w:val="28"/>
          <w:szCs w:val="28"/>
        </w:rPr>
        <w:t>, the NI</w:t>
      </w:r>
      <w:r w:rsidR="00B97FB2">
        <w:rPr>
          <w:rFonts w:ascii="Arial" w:hAnsi="Arial" w:cs="Arial"/>
          <w:iCs/>
          <w:sz w:val="28"/>
          <w:szCs w:val="28"/>
        </w:rPr>
        <w:t xml:space="preserve"> </w:t>
      </w:r>
      <w:r w:rsidR="00263E74">
        <w:rPr>
          <w:rFonts w:ascii="Arial" w:hAnsi="Arial" w:cs="Arial"/>
          <w:iCs/>
          <w:sz w:val="28"/>
          <w:szCs w:val="28"/>
        </w:rPr>
        <w:t>H</w:t>
      </w:r>
      <w:r w:rsidR="00B97FB2">
        <w:rPr>
          <w:rFonts w:ascii="Arial" w:hAnsi="Arial" w:cs="Arial"/>
          <w:iCs/>
          <w:sz w:val="28"/>
          <w:szCs w:val="28"/>
        </w:rPr>
        <w:t xml:space="preserve">uman </w:t>
      </w:r>
      <w:r w:rsidR="00263E74">
        <w:rPr>
          <w:rFonts w:ascii="Arial" w:hAnsi="Arial" w:cs="Arial"/>
          <w:iCs/>
          <w:sz w:val="28"/>
          <w:szCs w:val="28"/>
        </w:rPr>
        <w:t>R</w:t>
      </w:r>
      <w:r w:rsidR="00B97FB2">
        <w:rPr>
          <w:rFonts w:ascii="Arial" w:hAnsi="Arial" w:cs="Arial"/>
          <w:iCs/>
          <w:sz w:val="28"/>
          <w:szCs w:val="28"/>
        </w:rPr>
        <w:t xml:space="preserve">ights </w:t>
      </w:r>
      <w:r w:rsidR="00263E74">
        <w:rPr>
          <w:rFonts w:ascii="Arial" w:hAnsi="Arial" w:cs="Arial"/>
          <w:iCs/>
          <w:sz w:val="28"/>
          <w:szCs w:val="28"/>
        </w:rPr>
        <w:t>C</w:t>
      </w:r>
      <w:r w:rsidR="00B97FB2">
        <w:rPr>
          <w:rFonts w:ascii="Arial" w:hAnsi="Arial" w:cs="Arial"/>
          <w:iCs/>
          <w:sz w:val="28"/>
          <w:szCs w:val="28"/>
        </w:rPr>
        <w:t>ommission,</w:t>
      </w:r>
      <w:r w:rsidR="00263E74">
        <w:rPr>
          <w:rFonts w:ascii="Arial" w:hAnsi="Arial" w:cs="Arial"/>
          <w:iCs/>
          <w:sz w:val="28"/>
          <w:szCs w:val="28"/>
        </w:rPr>
        <w:t xml:space="preserve"> and </w:t>
      </w:r>
      <w:r w:rsidRPr="00F021FE">
        <w:rPr>
          <w:rFonts w:ascii="Arial" w:eastAsia="ArialMT" w:hAnsi="Arial" w:cs="Arial"/>
          <w:color w:val="222222"/>
          <w:sz w:val="28"/>
          <w:szCs w:val="28"/>
        </w:rPr>
        <w:t>the Joint Committee of</w:t>
      </w:r>
      <w:r w:rsidRPr="00F021FE">
        <w:rPr>
          <w:rFonts w:ascii="Arial" w:hAnsi="Arial" w:cs="Arial"/>
          <w:sz w:val="28"/>
          <w:szCs w:val="28"/>
        </w:rPr>
        <w:t xml:space="preserve"> NI</w:t>
      </w:r>
      <w:r w:rsidR="00B97FB2">
        <w:rPr>
          <w:rFonts w:ascii="Arial" w:hAnsi="Arial" w:cs="Arial"/>
          <w:sz w:val="28"/>
          <w:szCs w:val="28"/>
        </w:rPr>
        <w:t xml:space="preserve"> </w:t>
      </w:r>
      <w:r w:rsidR="00A44471">
        <w:rPr>
          <w:rFonts w:ascii="Arial" w:hAnsi="Arial" w:cs="Arial"/>
          <w:sz w:val="28"/>
          <w:szCs w:val="28"/>
        </w:rPr>
        <w:t>H</w:t>
      </w:r>
      <w:r w:rsidR="00B97FB2">
        <w:rPr>
          <w:rFonts w:ascii="Arial" w:hAnsi="Arial" w:cs="Arial"/>
          <w:sz w:val="28"/>
          <w:szCs w:val="28"/>
        </w:rPr>
        <w:t xml:space="preserve">uman </w:t>
      </w:r>
      <w:r w:rsidR="00A44471">
        <w:rPr>
          <w:rFonts w:ascii="Arial" w:hAnsi="Arial" w:cs="Arial"/>
          <w:sz w:val="28"/>
          <w:szCs w:val="28"/>
        </w:rPr>
        <w:t>R</w:t>
      </w:r>
      <w:r w:rsidR="00B97FB2">
        <w:rPr>
          <w:rFonts w:ascii="Arial" w:hAnsi="Arial" w:cs="Arial"/>
          <w:sz w:val="28"/>
          <w:szCs w:val="28"/>
        </w:rPr>
        <w:t xml:space="preserve">ights </w:t>
      </w:r>
      <w:r w:rsidR="00A44471">
        <w:rPr>
          <w:rFonts w:ascii="Arial" w:hAnsi="Arial" w:cs="Arial"/>
          <w:sz w:val="28"/>
          <w:szCs w:val="28"/>
        </w:rPr>
        <w:t>C</w:t>
      </w:r>
      <w:r w:rsidR="00B97FB2">
        <w:rPr>
          <w:rFonts w:ascii="Arial" w:hAnsi="Arial" w:cs="Arial"/>
          <w:sz w:val="28"/>
          <w:szCs w:val="28"/>
        </w:rPr>
        <w:t>ommission and IHRE</w:t>
      </w:r>
      <w:r w:rsidR="00A44471">
        <w:rPr>
          <w:rFonts w:ascii="Arial" w:hAnsi="Arial" w:cs="Arial"/>
          <w:sz w:val="28"/>
          <w:szCs w:val="28"/>
        </w:rPr>
        <w:t>C</w:t>
      </w:r>
      <w:r w:rsidR="00682178">
        <w:rPr>
          <w:rFonts w:ascii="Arial" w:hAnsi="Arial" w:cs="Arial"/>
          <w:sz w:val="28"/>
          <w:szCs w:val="28"/>
        </w:rPr>
        <w:t>,</w:t>
      </w:r>
      <w:r w:rsidRPr="00F021FE">
        <w:rPr>
          <w:rFonts w:ascii="Arial" w:eastAsia="ArialMT" w:hAnsi="Arial" w:cs="Arial"/>
          <w:color w:val="222222"/>
          <w:sz w:val="28"/>
          <w:szCs w:val="28"/>
        </w:rPr>
        <w:t xml:space="preserve"> can directly raise matters of relevance to how the commitment is being implemented with the Specialised Committee on the </w:t>
      </w:r>
      <w:r w:rsidRPr="00F021FE">
        <w:rPr>
          <w:rFonts w:ascii="Arial" w:hAnsi="Arial" w:cs="Arial"/>
          <w:color w:val="000000"/>
          <w:sz w:val="28"/>
          <w:szCs w:val="28"/>
          <w:lang w:val="en"/>
        </w:rPr>
        <w:t>Protocol.</w:t>
      </w:r>
      <w:r w:rsidRPr="00F021FE">
        <w:rPr>
          <w:rFonts w:ascii="Arial" w:eastAsia="ArialMT" w:hAnsi="Arial" w:cs="Arial"/>
          <w:color w:val="222222"/>
          <w:sz w:val="28"/>
          <w:szCs w:val="28"/>
        </w:rPr>
        <w:t xml:space="preserve"> </w:t>
      </w:r>
    </w:p>
    <w:p w14:paraId="4EA8B983" w14:textId="1F578865" w:rsidR="003A0A81" w:rsidRDefault="003A0A81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1A16444" w14:textId="0685A5F6" w:rsidR="003C4484" w:rsidRDefault="00F342AF" w:rsidP="0046182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CD37D7">
        <w:rPr>
          <w:rFonts w:ascii="Arial" w:hAnsi="Arial" w:cs="Arial"/>
          <w:b/>
          <w:sz w:val="28"/>
          <w:szCs w:val="28"/>
          <w:lang w:val="en-US"/>
        </w:rPr>
        <w:lastRenderedPageBreak/>
        <w:t>C</w:t>
      </w:r>
      <w:r w:rsidR="008D32D4" w:rsidRPr="00CD37D7">
        <w:rPr>
          <w:rFonts w:ascii="Arial" w:hAnsi="Arial" w:cs="Arial"/>
          <w:b/>
          <w:sz w:val="28"/>
          <w:szCs w:val="28"/>
          <w:lang w:val="en-US"/>
        </w:rPr>
        <w:t xml:space="preserve">hallenging </w:t>
      </w:r>
      <w:r w:rsidR="0008577F" w:rsidRPr="00CD37D7">
        <w:rPr>
          <w:rFonts w:ascii="Arial" w:hAnsi="Arial" w:cs="Arial"/>
          <w:b/>
          <w:sz w:val="28"/>
          <w:szCs w:val="28"/>
          <w:lang w:val="en-US"/>
        </w:rPr>
        <w:t xml:space="preserve">a breach of the </w:t>
      </w:r>
      <w:r w:rsidR="004028A1" w:rsidRPr="00CD37D7">
        <w:rPr>
          <w:rFonts w:ascii="Arial" w:hAnsi="Arial" w:cs="Arial"/>
          <w:b/>
          <w:sz w:val="28"/>
          <w:szCs w:val="28"/>
          <w:lang w:val="en-US"/>
        </w:rPr>
        <w:t>Article 2</w:t>
      </w:r>
      <w:r w:rsidR="00673A93" w:rsidRPr="00CD37D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4F3B99" w:rsidRPr="00CD37D7">
        <w:rPr>
          <w:rFonts w:ascii="Arial" w:hAnsi="Arial" w:cs="Arial"/>
          <w:b/>
          <w:sz w:val="28"/>
          <w:szCs w:val="28"/>
          <w:lang w:val="en-US"/>
        </w:rPr>
        <w:t>commitment</w:t>
      </w:r>
      <w:r w:rsidR="00ED5DB9" w:rsidRPr="00CD37D7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503C84EA" w14:textId="77777777" w:rsidR="00F14358" w:rsidRPr="00895F58" w:rsidRDefault="00F14358" w:rsidP="00461827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7AD97C37" w14:textId="6EEF7A2A" w:rsidR="00CD37D7" w:rsidRDefault="00CD37D7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4B3A76">
        <w:rPr>
          <w:rFonts w:ascii="Arial" w:hAnsi="Arial" w:cs="Arial"/>
          <w:sz w:val="28"/>
          <w:szCs w:val="28"/>
        </w:rPr>
        <w:t xml:space="preserve">ndividuals have the right to bring legal actions before the domestic courts if they consider </w:t>
      </w:r>
      <w:r>
        <w:rPr>
          <w:rFonts w:ascii="Arial" w:hAnsi="Arial" w:cs="Arial"/>
          <w:sz w:val="28"/>
          <w:szCs w:val="28"/>
        </w:rPr>
        <w:t xml:space="preserve">that </w:t>
      </w:r>
      <w:r w:rsidRPr="004B3A76">
        <w:rPr>
          <w:rFonts w:ascii="Arial" w:hAnsi="Arial" w:cs="Arial"/>
          <w:sz w:val="28"/>
          <w:szCs w:val="28"/>
        </w:rPr>
        <w:t>there</w:t>
      </w:r>
      <w:r>
        <w:rPr>
          <w:rFonts w:ascii="Arial" w:hAnsi="Arial" w:cs="Arial"/>
          <w:sz w:val="28"/>
          <w:szCs w:val="28"/>
        </w:rPr>
        <w:t xml:space="preserve"> </w:t>
      </w:r>
      <w:r w:rsidRPr="004B3A76">
        <w:rPr>
          <w:rFonts w:ascii="Arial" w:hAnsi="Arial" w:cs="Arial"/>
          <w:sz w:val="28"/>
          <w:szCs w:val="28"/>
        </w:rPr>
        <w:t>has been a breach</w:t>
      </w:r>
      <w:r>
        <w:rPr>
          <w:rFonts w:ascii="Arial" w:hAnsi="Arial" w:cs="Arial"/>
          <w:sz w:val="28"/>
          <w:szCs w:val="28"/>
        </w:rPr>
        <w:t>, or a potential future breach,</w:t>
      </w:r>
      <w:r w:rsidRPr="004B3A76">
        <w:rPr>
          <w:rFonts w:ascii="Arial" w:hAnsi="Arial" w:cs="Arial"/>
          <w:sz w:val="28"/>
          <w:szCs w:val="28"/>
        </w:rPr>
        <w:t xml:space="preserve"> of the UK Government’s commitment under Article 2 of the Protocol. </w:t>
      </w:r>
    </w:p>
    <w:p w14:paraId="42A1ECFC" w14:textId="77777777" w:rsidR="00F14358" w:rsidRDefault="00F1435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7F4B29" w14:textId="5223E1F1" w:rsidR="00CD37D7" w:rsidRPr="00CB7BD1" w:rsidRDefault="00CD37D7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E04BF">
        <w:rPr>
          <w:rFonts w:ascii="Arial" w:hAnsi="Arial" w:cs="Arial"/>
          <w:sz w:val="28"/>
          <w:szCs w:val="28"/>
        </w:rPr>
        <w:t xml:space="preserve">For example, </w:t>
      </w:r>
      <w:r>
        <w:rPr>
          <w:rFonts w:ascii="Arial" w:hAnsi="Arial" w:cs="Arial"/>
          <w:sz w:val="28"/>
          <w:szCs w:val="28"/>
        </w:rPr>
        <w:t xml:space="preserve">this means that if individuals consider </w:t>
      </w:r>
      <w:r w:rsidRPr="00CE04BF">
        <w:rPr>
          <w:rFonts w:ascii="Arial" w:hAnsi="Arial" w:cs="Arial"/>
          <w:sz w:val="28"/>
          <w:szCs w:val="28"/>
        </w:rPr>
        <w:t>that the N</w:t>
      </w:r>
      <w:r>
        <w:rPr>
          <w:rFonts w:ascii="Arial" w:hAnsi="Arial" w:cs="Arial"/>
          <w:sz w:val="28"/>
          <w:szCs w:val="28"/>
        </w:rPr>
        <w:t xml:space="preserve">orthern </w:t>
      </w:r>
      <w:r w:rsidRPr="00CE04BF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reland</w:t>
      </w:r>
      <w:r w:rsidR="00F14358">
        <w:rPr>
          <w:rFonts w:ascii="Arial" w:hAnsi="Arial" w:cs="Arial"/>
          <w:sz w:val="28"/>
          <w:szCs w:val="28"/>
        </w:rPr>
        <w:t xml:space="preserve"> Assembly, </w:t>
      </w:r>
      <w:r>
        <w:rPr>
          <w:rFonts w:ascii="Arial" w:hAnsi="Arial" w:cs="Arial"/>
          <w:sz w:val="28"/>
          <w:szCs w:val="28"/>
        </w:rPr>
        <w:t xml:space="preserve">or </w:t>
      </w:r>
      <w:r w:rsidRPr="00CE04BF">
        <w:rPr>
          <w:rFonts w:ascii="Arial" w:hAnsi="Arial" w:cs="Arial"/>
          <w:sz w:val="28"/>
          <w:szCs w:val="28"/>
        </w:rPr>
        <w:t>the N</w:t>
      </w:r>
      <w:r>
        <w:rPr>
          <w:rFonts w:ascii="Arial" w:hAnsi="Arial" w:cs="Arial"/>
          <w:sz w:val="28"/>
          <w:szCs w:val="28"/>
        </w:rPr>
        <w:t xml:space="preserve">orthern </w:t>
      </w:r>
      <w:r w:rsidRPr="00CE04BF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reland</w:t>
      </w:r>
      <w:r w:rsidRPr="00CE04BF">
        <w:rPr>
          <w:rFonts w:ascii="Arial" w:hAnsi="Arial" w:cs="Arial"/>
          <w:sz w:val="28"/>
          <w:szCs w:val="28"/>
        </w:rPr>
        <w:t xml:space="preserve"> Executive, has acted in a way that is incompatible with the UK</w:t>
      </w:r>
      <w:r>
        <w:rPr>
          <w:rFonts w:ascii="Arial" w:hAnsi="Arial" w:cs="Arial"/>
          <w:sz w:val="28"/>
          <w:szCs w:val="28"/>
        </w:rPr>
        <w:t xml:space="preserve"> </w:t>
      </w:r>
      <w:r w:rsidRPr="00CE04BF">
        <w:rPr>
          <w:rFonts w:ascii="Arial" w:hAnsi="Arial" w:cs="Arial"/>
          <w:sz w:val="28"/>
          <w:szCs w:val="28"/>
        </w:rPr>
        <w:t>Government’s commitment</w:t>
      </w:r>
      <w:r>
        <w:rPr>
          <w:rFonts w:ascii="Arial" w:hAnsi="Arial" w:cs="Arial"/>
          <w:sz w:val="28"/>
          <w:szCs w:val="28"/>
        </w:rPr>
        <w:t>,</w:t>
      </w:r>
      <w:r w:rsidRPr="00CE04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they can challenge those actions in domestic courts</w:t>
      </w:r>
      <w:r w:rsidR="00CB7BD1">
        <w:t xml:space="preserve">, </w:t>
      </w:r>
      <w:r w:rsidR="00CB7BD1" w:rsidRPr="00CB7BD1">
        <w:rPr>
          <w:rFonts w:ascii="Arial" w:hAnsi="Arial" w:cs="Arial"/>
          <w:sz w:val="28"/>
          <w:szCs w:val="28"/>
        </w:rPr>
        <w:t>by taking a form of legal action known as a ‘judicial review’.</w:t>
      </w:r>
    </w:p>
    <w:p w14:paraId="546A48E3" w14:textId="77777777" w:rsidR="00F14358" w:rsidRDefault="00F1435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731D11" w14:textId="2EFEF394" w:rsidR="00CD37D7" w:rsidRPr="004B3A76" w:rsidRDefault="00CD37D7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Only the courts can decide whether a breach of Article 2 of the Protocol has occurred.</w:t>
      </w:r>
    </w:p>
    <w:p w14:paraId="352EDF5B" w14:textId="77777777" w:rsidR="00CD37D7" w:rsidRDefault="00CD37D7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97184D9" w14:textId="77777777" w:rsidR="00FD1428" w:rsidRPr="004B3A76" w:rsidRDefault="00FD142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 xml:space="preserve">In order to show that there has been a breach </w:t>
      </w:r>
      <w:r>
        <w:rPr>
          <w:rFonts w:ascii="Arial" w:hAnsi="Arial" w:cs="Arial"/>
          <w:sz w:val="28"/>
          <w:szCs w:val="28"/>
        </w:rPr>
        <w:t>of the UK Government’s commitment,</w:t>
      </w:r>
      <w:r w:rsidRPr="00B935A0">
        <w:rPr>
          <w:rFonts w:ascii="Arial" w:hAnsi="Arial" w:cs="Arial"/>
          <w:sz w:val="28"/>
          <w:szCs w:val="28"/>
        </w:rPr>
        <w:t xml:space="preserve"> </w:t>
      </w:r>
      <w:r w:rsidRPr="004B3A76">
        <w:rPr>
          <w:rFonts w:ascii="Arial" w:hAnsi="Arial" w:cs="Arial"/>
          <w:sz w:val="28"/>
          <w:szCs w:val="28"/>
        </w:rPr>
        <w:t>there must be evidence that:</w:t>
      </w:r>
    </w:p>
    <w:p w14:paraId="13027212" w14:textId="0F098C4B" w:rsidR="00FD1428" w:rsidRPr="004B3A76" w:rsidRDefault="00FD1428" w:rsidP="0046182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right, safeguard or eq</w:t>
      </w:r>
      <w:r w:rsidR="009F12F5">
        <w:rPr>
          <w:rFonts w:ascii="Arial" w:hAnsi="Arial" w:cs="Arial"/>
          <w:sz w:val="28"/>
          <w:szCs w:val="28"/>
        </w:rPr>
        <w:t>uality of opportunity provision</w:t>
      </w:r>
      <w:r w:rsidRPr="004B3A76">
        <w:rPr>
          <w:rFonts w:ascii="Arial" w:hAnsi="Arial" w:cs="Arial"/>
          <w:sz w:val="28"/>
          <w:szCs w:val="28"/>
        </w:rPr>
        <w:t xml:space="preserve"> is covered by the chapter of the same name in the Belfast (Good Friday) Agreement;</w:t>
      </w:r>
    </w:p>
    <w:p w14:paraId="5FDECC1E" w14:textId="77777777" w:rsidR="00FD1428" w:rsidRPr="004B3A76" w:rsidRDefault="00FD1428" w:rsidP="0046182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it was protected under Northern Ireland law on or before the end of the Brexit transition period, namely 31 December 2020;</w:t>
      </w:r>
    </w:p>
    <w:p w14:paraId="014981DB" w14:textId="77777777" w:rsidR="00FD1428" w:rsidRPr="00942D89" w:rsidRDefault="00FD1428" w:rsidP="0046182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B3A76">
        <w:rPr>
          <w:rFonts w:ascii="Arial" w:hAnsi="Arial" w:cs="Arial"/>
          <w:sz w:val="28"/>
          <w:szCs w:val="28"/>
        </w:rPr>
        <w:t>the reduction in rights occurred as a result of Brexit.</w:t>
      </w:r>
    </w:p>
    <w:p w14:paraId="7C0751B2" w14:textId="77777777" w:rsidR="00FD1428" w:rsidRDefault="00FD142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0ADF40" w14:textId="77777777" w:rsidR="00500D8F" w:rsidRDefault="00FD142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5E30">
        <w:rPr>
          <w:rFonts w:ascii="Arial" w:hAnsi="Arial" w:cs="Arial"/>
          <w:sz w:val="28"/>
          <w:szCs w:val="28"/>
        </w:rPr>
        <w:t>A failure by the UK Government to ensure that Northern Ireland equality laws keep pace with any future changes that t</w:t>
      </w:r>
      <w:r w:rsidR="00DE68F2">
        <w:rPr>
          <w:rFonts w:ascii="Arial" w:hAnsi="Arial" w:cs="Arial"/>
          <w:sz w:val="28"/>
          <w:szCs w:val="28"/>
        </w:rPr>
        <w:t>he EU makes to update or replace</w:t>
      </w:r>
      <w:r w:rsidRPr="007C5E30">
        <w:rPr>
          <w:rFonts w:ascii="Arial" w:hAnsi="Arial" w:cs="Arial"/>
          <w:sz w:val="28"/>
          <w:szCs w:val="28"/>
        </w:rPr>
        <w:t xml:space="preserve"> </w:t>
      </w:r>
      <w:r w:rsidR="009F12F5">
        <w:rPr>
          <w:rFonts w:ascii="Arial" w:hAnsi="Arial" w:cs="Arial"/>
          <w:sz w:val="28"/>
          <w:szCs w:val="28"/>
        </w:rPr>
        <w:t xml:space="preserve">the EU equality laws </w:t>
      </w:r>
      <w:r w:rsidRPr="007C5E30">
        <w:rPr>
          <w:rFonts w:ascii="Arial" w:hAnsi="Arial" w:cs="Arial"/>
          <w:sz w:val="28"/>
          <w:szCs w:val="28"/>
        </w:rPr>
        <w:t>set out in Annex 1 to the Protoco</w:t>
      </w:r>
      <w:r>
        <w:rPr>
          <w:rFonts w:ascii="Arial" w:hAnsi="Arial" w:cs="Arial"/>
          <w:sz w:val="28"/>
          <w:szCs w:val="28"/>
        </w:rPr>
        <w:t>l, would also be a breach of its</w:t>
      </w:r>
      <w:r w:rsidRPr="007C5E30">
        <w:rPr>
          <w:rFonts w:ascii="Arial" w:hAnsi="Arial" w:cs="Arial"/>
          <w:sz w:val="28"/>
          <w:szCs w:val="28"/>
        </w:rPr>
        <w:t xml:space="preserve"> commitment</w:t>
      </w:r>
      <w:r>
        <w:rPr>
          <w:rFonts w:ascii="Arial" w:hAnsi="Arial" w:cs="Arial"/>
          <w:sz w:val="28"/>
          <w:szCs w:val="28"/>
        </w:rPr>
        <w:t>s under the Protocol</w:t>
      </w:r>
      <w:r w:rsidRPr="007C5E30">
        <w:rPr>
          <w:rFonts w:ascii="Arial" w:hAnsi="Arial" w:cs="Arial"/>
          <w:sz w:val="28"/>
          <w:szCs w:val="28"/>
        </w:rPr>
        <w:t>.</w:t>
      </w:r>
    </w:p>
    <w:p w14:paraId="1EFEF802" w14:textId="77777777" w:rsidR="00500D8F" w:rsidRDefault="00500D8F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C4093E" w14:textId="1823584B" w:rsidR="00154A49" w:rsidRPr="00500D8F" w:rsidRDefault="007240A0" w:rsidP="00461827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7240A0">
        <w:rPr>
          <w:rFonts w:ascii="Arial" w:hAnsi="Arial" w:cs="Arial"/>
          <w:b/>
          <w:sz w:val="28"/>
          <w:szCs w:val="28"/>
          <w:lang w:val="en-US"/>
        </w:rPr>
        <w:t>Enforcement powers of the Commissions</w:t>
      </w:r>
    </w:p>
    <w:p w14:paraId="14B99280" w14:textId="77777777" w:rsidR="00F14358" w:rsidRPr="007240A0" w:rsidRDefault="00F14358" w:rsidP="0046182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5B10A589" w14:textId="24495559" w:rsidR="00D47ED0" w:rsidRDefault="00154A49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95F58">
        <w:rPr>
          <w:rFonts w:ascii="Arial" w:hAnsi="Arial" w:cs="Arial"/>
          <w:sz w:val="28"/>
          <w:szCs w:val="28"/>
          <w:lang w:val="en"/>
        </w:rPr>
        <w:t xml:space="preserve">Both </w:t>
      </w:r>
      <w:r w:rsidRPr="00895F58">
        <w:rPr>
          <w:rFonts w:ascii="Arial" w:hAnsi="Arial" w:cs="Arial"/>
          <w:iCs/>
          <w:sz w:val="28"/>
          <w:szCs w:val="28"/>
        </w:rPr>
        <w:t xml:space="preserve">Commissions have </w:t>
      </w:r>
      <w:r w:rsidR="006114DB">
        <w:rPr>
          <w:rFonts w:ascii="Arial" w:hAnsi="Arial" w:cs="Arial"/>
          <w:iCs/>
          <w:sz w:val="28"/>
          <w:szCs w:val="28"/>
        </w:rPr>
        <w:t xml:space="preserve">additional </w:t>
      </w:r>
      <w:r w:rsidR="002F5AD6" w:rsidRPr="00895F58">
        <w:rPr>
          <w:rFonts w:ascii="Arial" w:hAnsi="Arial" w:cs="Arial"/>
          <w:iCs/>
          <w:sz w:val="28"/>
          <w:szCs w:val="28"/>
        </w:rPr>
        <w:t>powers</w:t>
      </w:r>
      <w:r w:rsidRPr="00895F58">
        <w:rPr>
          <w:rFonts w:ascii="Arial" w:hAnsi="Arial" w:cs="Arial"/>
          <w:iCs/>
          <w:sz w:val="28"/>
          <w:szCs w:val="28"/>
        </w:rPr>
        <w:t xml:space="preserve"> </w:t>
      </w:r>
      <w:r w:rsidR="00D05C01" w:rsidRPr="00895F58">
        <w:rPr>
          <w:rFonts w:ascii="Arial" w:hAnsi="Arial" w:cs="Arial"/>
          <w:iCs/>
          <w:sz w:val="28"/>
          <w:szCs w:val="28"/>
        </w:rPr>
        <w:t>to enforce the UK Government’s</w:t>
      </w:r>
      <w:r w:rsidR="002F5AD6" w:rsidRPr="00895F58">
        <w:rPr>
          <w:rFonts w:ascii="Arial" w:hAnsi="Arial" w:cs="Arial"/>
          <w:iCs/>
          <w:sz w:val="28"/>
          <w:szCs w:val="28"/>
        </w:rPr>
        <w:t xml:space="preserve"> commitment</w:t>
      </w:r>
      <w:r w:rsidR="00D05C01" w:rsidRPr="00895F58">
        <w:rPr>
          <w:rFonts w:ascii="Arial" w:hAnsi="Arial" w:cs="Arial"/>
          <w:iCs/>
          <w:sz w:val="28"/>
          <w:szCs w:val="28"/>
        </w:rPr>
        <w:t xml:space="preserve"> under Article 2 of the Protocol</w:t>
      </w:r>
      <w:r w:rsidRPr="00895F58">
        <w:rPr>
          <w:rFonts w:ascii="Arial" w:hAnsi="Arial" w:cs="Arial"/>
          <w:iCs/>
          <w:sz w:val="28"/>
          <w:szCs w:val="28"/>
        </w:rPr>
        <w:t xml:space="preserve"> and to ensure</w:t>
      </w:r>
      <w:r w:rsidRPr="00895F58">
        <w:rPr>
          <w:rFonts w:ascii="Arial" w:hAnsi="Arial" w:cs="Arial"/>
          <w:sz w:val="28"/>
          <w:szCs w:val="28"/>
        </w:rPr>
        <w:t xml:space="preserve"> the rights </w:t>
      </w:r>
      <w:r w:rsidR="00E4543F">
        <w:rPr>
          <w:rFonts w:ascii="Arial" w:hAnsi="Arial" w:cs="Arial"/>
          <w:sz w:val="28"/>
          <w:szCs w:val="28"/>
        </w:rPr>
        <w:t xml:space="preserve">and equality protections </w:t>
      </w:r>
      <w:r w:rsidRPr="00895F58">
        <w:rPr>
          <w:rFonts w:ascii="Arial" w:hAnsi="Arial" w:cs="Arial"/>
          <w:sz w:val="28"/>
          <w:szCs w:val="28"/>
        </w:rPr>
        <w:t>are upheld.</w:t>
      </w:r>
    </w:p>
    <w:p w14:paraId="2E2920D1" w14:textId="77777777" w:rsidR="00C671D7" w:rsidRPr="00895F58" w:rsidRDefault="00C671D7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8AB5D4" w14:textId="6E929153" w:rsidR="00154A49" w:rsidRDefault="00024DFF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95F58">
        <w:rPr>
          <w:rFonts w:ascii="Arial" w:hAnsi="Arial" w:cs="Arial"/>
          <w:sz w:val="28"/>
          <w:szCs w:val="28"/>
        </w:rPr>
        <w:t>Both Commissions ca</w:t>
      </w:r>
      <w:r w:rsidR="00742D75">
        <w:rPr>
          <w:rFonts w:ascii="Arial" w:hAnsi="Arial" w:cs="Arial"/>
          <w:sz w:val="28"/>
          <w:szCs w:val="28"/>
        </w:rPr>
        <w:t>n:</w:t>
      </w:r>
    </w:p>
    <w:p w14:paraId="040C19DD" w14:textId="77777777" w:rsidR="00A5420D" w:rsidRPr="008D6193" w:rsidRDefault="00A5420D" w:rsidP="00A5420D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D6193">
        <w:rPr>
          <w:rFonts w:ascii="Arial" w:hAnsi="Arial" w:cs="Arial"/>
          <w:sz w:val="28"/>
          <w:szCs w:val="28"/>
        </w:rPr>
        <w:t>provide advice and assistance to individuals</w:t>
      </w:r>
      <w:r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Pr="008D6193">
        <w:rPr>
          <w:rFonts w:ascii="Arial" w:hAnsi="Arial" w:cs="Arial"/>
          <w:sz w:val="28"/>
          <w:szCs w:val="28"/>
        </w:rPr>
        <w:t xml:space="preserve">, including, where appropriate, </w:t>
      </w:r>
      <w:r>
        <w:rPr>
          <w:rFonts w:ascii="Arial" w:hAnsi="Arial" w:cs="Arial"/>
          <w:sz w:val="28"/>
          <w:szCs w:val="28"/>
        </w:rPr>
        <w:t xml:space="preserve">provide support to individuals to </w:t>
      </w:r>
      <w:r w:rsidRPr="008D6193">
        <w:rPr>
          <w:rFonts w:ascii="Arial" w:hAnsi="Arial" w:cs="Arial"/>
          <w:sz w:val="28"/>
          <w:szCs w:val="28"/>
        </w:rPr>
        <w:t xml:space="preserve">bring legal </w:t>
      </w:r>
      <w:r w:rsidRPr="008D6193">
        <w:rPr>
          <w:rFonts w:ascii="Arial" w:hAnsi="Arial" w:cs="Arial"/>
          <w:sz w:val="28"/>
          <w:szCs w:val="28"/>
        </w:rPr>
        <w:lastRenderedPageBreak/>
        <w:t>proceedings, where they believe that th</w:t>
      </w:r>
      <w:r>
        <w:rPr>
          <w:rFonts w:ascii="Arial" w:hAnsi="Arial" w:cs="Arial"/>
          <w:sz w:val="28"/>
          <w:szCs w:val="28"/>
        </w:rPr>
        <w:t xml:space="preserve">e UK Government’s </w:t>
      </w:r>
      <w:r w:rsidRPr="008D6193">
        <w:rPr>
          <w:rFonts w:ascii="Arial" w:hAnsi="Arial" w:cs="Arial"/>
          <w:sz w:val="28"/>
          <w:szCs w:val="28"/>
        </w:rPr>
        <w:t>commitment has been breached</w:t>
      </w:r>
      <w:r>
        <w:rPr>
          <w:rFonts w:ascii="Arial" w:hAnsi="Arial" w:cs="Arial"/>
          <w:sz w:val="28"/>
          <w:szCs w:val="28"/>
        </w:rPr>
        <w:t>;</w:t>
      </w:r>
    </w:p>
    <w:p w14:paraId="52F99202" w14:textId="77777777" w:rsidR="00DC057F" w:rsidRPr="00DC057F" w:rsidRDefault="00802440" w:rsidP="00461827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D6193">
        <w:rPr>
          <w:rFonts w:ascii="Arial" w:hAnsi="Arial" w:cs="Arial"/>
          <w:sz w:val="28"/>
          <w:szCs w:val="28"/>
        </w:rPr>
        <w:t>bring legal challenges or inter</w:t>
      </w:r>
      <w:r w:rsidR="00C02726" w:rsidRPr="008D6193">
        <w:rPr>
          <w:rFonts w:ascii="Arial" w:hAnsi="Arial" w:cs="Arial"/>
          <w:sz w:val="28"/>
          <w:szCs w:val="28"/>
        </w:rPr>
        <w:t xml:space="preserve">vene in legal cases, where there is </w:t>
      </w:r>
      <w:r w:rsidR="00E60592" w:rsidRPr="008D6193">
        <w:rPr>
          <w:rFonts w:ascii="Arial" w:hAnsi="Arial" w:cs="Arial"/>
          <w:sz w:val="28"/>
          <w:szCs w:val="28"/>
        </w:rPr>
        <w:t>an alleged breach, or potential future breach, of the UK Government’s commitment</w:t>
      </w:r>
      <w:r w:rsidRPr="008D6193">
        <w:rPr>
          <w:rFonts w:ascii="Arial" w:hAnsi="Arial" w:cs="Arial"/>
          <w:sz w:val="28"/>
          <w:szCs w:val="28"/>
        </w:rPr>
        <w:t>, where appropriate.</w:t>
      </w:r>
    </w:p>
    <w:p w14:paraId="3CE11819" w14:textId="25C5E158" w:rsidR="00A10D61" w:rsidRPr="00F9464D" w:rsidRDefault="00A10D61" w:rsidP="00461827">
      <w:pPr>
        <w:pStyle w:val="ListParagraph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DD2B40C" w14:textId="67821248" w:rsidR="00B51E62" w:rsidRDefault="0027789B" w:rsidP="00461827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72574B">
        <w:rPr>
          <w:rFonts w:ascii="Arial" w:hAnsi="Arial" w:cs="Arial"/>
          <w:color w:val="222222"/>
          <w:sz w:val="28"/>
          <w:szCs w:val="28"/>
        </w:rPr>
        <w:t>The Commissions can exercise their enforcement powers and duties jointly or separately.</w:t>
      </w:r>
      <w:r>
        <w:rPr>
          <w:rFonts w:ascii="Arial" w:hAnsi="Arial" w:cs="Arial"/>
          <w:sz w:val="28"/>
          <w:szCs w:val="28"/>
        </w:rPr>
        <w:t xml:space="preserve"> </w:t>
      </w:r>
      <w:r w:rsidRPr="0072574B">
        <w:rPr>
          <w:rFonts w:ascii="Arial" w:hAnsi="Arial" w:cs="Arial"/>
          <w:color w:val="222222"/>
          <w:sz w:val="28"/>
          <w:szCs w:val="28"/>
        </w:rPr>
        <w:t>For example,</w:t>
      </w:r>
      <w:r>
        <w:rPr>
          <w:rFonts w:ascii="CIDFont+F3" w:hAnsi="CIDFont+F3" w:cs="CIDFont+F3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they </w:t>
      </w:r>
      <w:r w:rsidR="0076665C" w:rsidRPr="00895F58">
        <w:rPr>
          <w:rFonts w:ascii="Arial" w:hAnsi="Arial" w:cs="Arial"/>
          <w:sz w:val="28"/>
          <w:szCs w:val="28"/>
          <w:lang w:val="en-US"/>
        </w:rPr>
        <w:t>have</w:t>
      </w:r>
      <w:r w:rsidR="00154A49" w:rsidRPr="00895F58">
        <w:rPr>
          <w:rFonts w:ascii="Arial" w:hAnsi="Arial" w:cs="Arial"/>
          <w:sz w:val="28"/>
          <w:szCs w:val="28"/>
          <w:lang w:val="en-US"/>
        </w:rPr>
        <w:t xml:space="preserve"> </w:t>
      </w:r>
      <w:r w:rsidR="003B3F75" w:rsidRPr="00895F58">
        <w:rPr>
          <w:rFonts w:ascii="Arial" w:hAnsi="Arial" w:cs="Arial"/>
          <w:sz w:val="28"/>
          <w:szCs w:val="28"/>
          <w:lang w:val="en-US"/>
        </w:rPr>
        <w:t xml:space="preserve">the power to </w:t>
      </w:r>
      <w:r w:rsidR="00C736E9">
        <w:rPr>
          <w:rFonts w:ascii="Arial" w:hAnsi="Arial" w:cs="Arial"/>
          <w:sz w:val="28"/>
          <w:szCs w:val="28"/>
          <w:lang w:val="en-US"/>
        </w:rPr>
        <w:t xml:space="preserve">bring legal proceedings </w:t>
      </w:r>
      <w:r w:rsidR="00154A49" w:rsidRPr="00895F58">
        <w:rPr>
          <w:rFonts w:ascii="Arial" w:hAnsi="Arial" w:cs="Arial"/>
          <w:sz w:val="28"/>
          <w:szCs w:val="28"/>
          <w:lang w:val="en-US"/>
        </w:rPr>
        <w:t>together or</w:t>
      </w:r>
      <w:r w:rsidR="00643E86" w:rsidRPr="00895F58">
        <w:rPr>
          <w:rFonts w:ascii="Arial" w:hAnsi="Arial" w:cs="Arial"/>
          <w:sz w:val="28"/>
          <w:szCs w:val="28"/>
          <w:lang w:val="en-US"/>
        </w:rPr>
        <w:t xml:space="preserve"> in </w:t>
      </w:r>
      <w:r w:rsidR="0076665C" w:rsidRPr="00895F58">
        <w:rPr>
          <w:rFonts w:ascii="Arial" w:hAnsi="Arial" w:cs="Arial"/>
          <w:sz w:val="28"/>
          <w:szCs w:val="28"/>
          <w:lang w:val="en-US"/>
        </w:rPr>
        <w:t>their</w:t>
      </w:r>
      <w:r w:rsidR="00643E86" w:rsidRPr="00895F58">
        <w:rPr>
          <w:rFonts w:ascii="Arial" w:hAnsi="Arial" w:cs="Arial"/>
          <w:sz w:val="28"/>
          <w:szCs w:val="28"/>
          <w:lang w:val="en-US"/>
        </w:rPr>
        <w:t xml:space="preserve"> own name.</w:t>
      </w:r>
      <w:r w:rsidR="00D662BB" w:rsidRPr="00895F58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</w:t>
      </w:r>
    </w:p>
    <w:p w14:paraId="677D71B1" w14:textId="527F8B8F" w:rsidR="0078305D" w:rsidRDefault="0078305D" w:rsidP="00461827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34FCC1C0" w14:textId="04043C3C" w:rsidR="0078305D" w:rsidRDefault="0078305D" w:rsidP="00461827">
      <w:pPr>
        <w:pStyle w:val="BodyText"/>
        <w:jc w:val="left"/>
        <w:rPr>
          <w:rFonts w:cs="Arial"/>
          <w:b/>
          <w:sz w:val="28"/>
          <w:szCs w:val="28"/>
        </w:rPr>
      </w:pPr>
      <w:r w:rsidRPr="006F4A67">
        <w:rPr>
          <w:rFonts w:cs="Arial"/>
          <w:b/>
          <w:sz w:val="28"/>
          <w:szCs w:val="28"/>
        </w:rPr>
        <w:t>Time limits for making a complaint</w:t>
      </w:r>
    </w:p>
    <w:p w14:paraId="318788BD" w14:textId="77777777" w:rsidR="00F14358" w:rsidRPr="00895F58" w:rsidRDefault="00F14358" w:rsidP="00461827">
      <w:pPr>
        <w:pStyle w:val="BodyText"/>
        <w:jc w:val="left"/>
        <w:rPr>
          <w:rFonts w:cs="Arial"/>
          <w:b/>
          <w:sz w:val="28"/>
          <w:szCs w:val="28"/>
        </w:rPr>
      </w:pPr>
    </w:p>
    <w:p w14:paraId="5FA1AFA1" w14:textId="77777777" w:rsidR="0078305D" w:rsidRPr="00895F58" w:rsidRDefault="0078305D" w:rsidP="00461827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  <w:lang w:eastAsia="en-GB"/>
        </w:rPr>
      </w:pPr>
      <w:r w:rsidRPr="00895F58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There are strict time limits for lodging judicial review proceedings with a </w:t>
      </w:r>
      <w:r w:rsidRPr="00895F58">
        <w:rPr>
          <w:rFonts w:ascii="Arial" w:eastAsia="Arial" w:hAnsi="Arial" w:cs="Arial"/>
          <w:sz w:val="28"/>
          <w:szCs w:val="28"/>
          <w:lang w:eastAsia="en-GB"/>
        </w:rPr>
        <w:t>court.</w:t>
      </w:r>
    </w:p>
    <w:p w14:paraId="58DB8BE7" w14:textId="77777777" w:rsidR="0078305D" w:rsidRPr="00895F58" w:rsidRDefault="0078305D" w:rsidP="00461827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  <w:lang w:eastAsia="en-GB"/>
        </w:rPr>
      </w:pPr>
    </w:p>
    <w:p w14:paraId="799303A4" w14:textId="12BF954A" w:rsidR="0078305D" w:rsidRDefault="0078305D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95F58">
        <w:rPr>
          <w:rFonts w:ascii="Arial" w:hAnsi="Arial" w:cs="Arial"/>
          <w:sz w:val="28"/>
          <w:szCs w:val="28"/>
        </w:rPr>
        <w:t xml:space="preserve">A judicial review case for an alleged breach of Article 2 must be brought within </w:t>
      </w:r>
      <w:r w:rsidRPr="004C2FC9">
        <w:rPr>
          <w:rFonts w:ascii="Arial" w:hAnsi="Arial" w:cs="Arial"/>
          <w:b/>
          <w:sz w:val="28"/>
          <w:szCs w:val="28"/>
        </w:rPr>
        <w:t>3 months</w:t>
      </w:r>
      <w:r w:rsidRPr="00895F58">
        <w:rPr>
          <w:rFonts w:ascii="Arial" w:hAnsi="Arial" w:cs="Arial"/>
          <w:sz w:val="28"/>
          <w:szCs w:val="28"/>
        </w:rPr>
        <w:t xml:space="preserve"> of the decision or action being complained of taking place.</w:t>
      </w:r>
    </w:p>
    <w:p w14:paraId="17FFABE8" w14:textId="77777777" w:rsidR="0078305D" w:rsidRPr="00895F58" w:rsidRDefault="0078305D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72AA8A" w14:textId="77777777" w:rsidR="0078305D" w:rsidRDefault="0078305D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95F58">
        <w:rPr>
          <w:rFonts w:ascii="Arial" w:hAnsi="Arial" w:cs="Arial"/>
          <w:sz w:val="28"/>
          <w:szCs w:val="28"/>
        </w:rPr>
        <w:t xml:space="preserve">Please note that contacting the Commissions or making an application for assistance to the Commissions for advice or assistance does </w:t>
      </w:r>
      <w:r w:rsidRPr="00486AE9">
        <w:rPr>
          <w:rFonts w:ascii="Arial" w:hAnsi="Arial" w:cs="Arial"/>
          <w:b/>
          <w:sz w:val="28"/>
          <w:szCs w:val="28"/>
        </w:rPr>
        <w:t>not</w:t>
      </w:r>
      <w:r w:rsidRPr="00895F58">
        <w:rPr>
          <w:rFonts w:ascii="Arial" w:hAnsi="Arial" w:cs="Arial"/>
          <w:sz w:val="28"/>
          <w:szCs w:val="28"/>
        </w:rPr>
        <w:t xml:space="preserve"> constitute issuing legal proceedings.</w:t>
      </w:r>
    </w:p>
    <w:p w14:paraId="0219DB3F" w14:textId="77777777" w:rsidR="0078305D" w:rsidRPr="0027789B" w:rsidRDefault="0078305D" w:rsidP="0046182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222222"/>
          <w:sz w:val="28"/>
          <w:szCs w:val="28"/>
        </w:rPr>
      </w:pPr>
    </w:p>
    <w:p w14:paraId="03479553" w14:textId="11D8E077" w:rsidR="00942D89" w:rsidRPr="004B3A76" w:rsidRDefault="00942D89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0A9638C" w14:textId="0B06BA23" w:rsidR="00117869" w:rsidRPr="0013511B" w:rsidRDefault="00B51E62" w:rsidP="0013511B">
      <w:pPr>
        <w:pStyle w:val="BodyText"/>
        <w:jc w:val="left"/>
        <w:rPr>
          <w:rFonts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  <w:lang w:eastAsia="en-GB"/>
        </w:rPr>
        <w:br w:type="page"/>
      </w:r>
    </w:p>
    <w:p w14:paraId="38F3AE3A" w14:textId="2D5CE09B" w:rsidR="00070D58" w:rsidRDefault="00070D58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Further information </w:t>
      </w:r>
    </w:p>
    <w:p w14:paraId="5F215FC4" w14:textId="77777777" w:rsidR="00117869" w:rsidRPr="00895F58" w:rsidRDefault="00117869" w:rsidP="00461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76FB152" w14:textId="04528BD8" w:rsidR="00070D58" w:rsidRDefault="00070D58" w:rsidP="004618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736E9">
        <w:rPr>
          <w:rFonts w:ascii="Arial" w:hAnsi="Arial" w:cs="Arial"/>
          <w:sz w:val="28"/>
          <w:szCs w:val="28"/>
        </w:rPr>
        <w:t xml:space="preserve">For further information and guidance on the </w:t>
      </w:r>
      <w:r w:rsidR="00C736E9">
        <w:rPr>
          <w:rFonts w:ascii="Arial" w:hAnsi="Arial" w:cs="Arial"/>
          <w:sz w:val="28"/>
          <w:szCs w:val="28"/>
        </w:rPr>
        <w:t xml:space="preserve">UK </w:t>
      </w:r>
      <w:r w:rsidRPr="00C736E9">
        <w:rPr>
          <w:rFonts w:ascii="Arial" w:hAnsi="Arial" w:cs="Arial"/>
          <w:sz w:val="28"/>
          <w:szCs w:val="28"/>
        </w:rPr>
        <w:t>Government’s commitment under Article 2</w:t>
      </w:r>
      <w:r w:rsidR="004B23E0">
        <w:rPr>
          <w:rFonts w:ascii="Arial" w:hAnsi="Arial" w:cs="Arial"/>
          <w:sz w:val="28"/>
          <w:szCs w:val="28"/>
        </w:rPr>
        <w:t xml:space="preserve"> </w:t>
      </w:r>
      <w:r w:rsidRPr="00C736E9">
        <w:rPr>
          <w:rFonts w:ascii="Arial" w:hAnsi="Arial" w:cs="Arial"/>
          <w:sz w:val="28"/>
          <w:szCs w:val="28"/>
        </w:rPr>
        <w:t xml:space="preserve">of the Protocol, or in relation to </w:t>
      </w:r>
      <w:r w:rsidR="00C736E9">
        <w:rPr>
          <w:rFonts w:ascii="Arial" w:hAnsi="Arial" w:cs="Arial"/>
          <w:sz w:val="28"/>
          <w:szCs w:val="28"/>
        </w:rPr>
        <w:t xml:space="preserve">contacting the Commissions as regards </w:t>
      </w:r>
      <w:r w:rsidR="00C736E9" w:rsidRPr="004B23E0">
        <w:rPr>
          <w:rFonts w:ascii="Arial" w:hAnsi="Arial" w:cs="Arial"/>
          <w:sz w:val="28"/>
          <w:szCs w:val="28"/>
        </w:rPr>
        <w:t>a</w:t>
      </w:r>
      <w:r w:rsidR="00557A3F" w:rsidRPr="004B23E0">
        <w:rPr>
          <w:rFonts w:ascii="Arial" w:hAnsi="Arial" w:cs="Arial"/>
          <w:sz w:val="28"/>
          <w:szCs w:val="28"/>
        </w:rPr>
        <w:t>n alleged</w:t>
      </w:r>
      <w:r w:rsidR="00C736E9">
        <w:rPr>
          <w:rFonts w:ascii="Arial" w:hAnsi="Arial" w:cs="Arial"/>
          <w:sz w:val="28"/>
          <w:szCs w:val="28"/>
        </w:rPr>
        <w:t xml:space="preserve"> </w:t>
      </w:r>
      <w:r w:rsidRPr="00C736E9">
        <w:rPr>
          <w:rFonts w:ascii="Arial" w:hAnsi="Arial" w:cs="Arial"/>
          <w:sz w:val="28"/>
          <w:szCs w:val="28"/>
        </w:rPr>
        <w:t>breach</w:t>
      </w:r>
      <w:r w:rsidR="0078305D">
        <w:rPr>
          <w:rFonts w:ascii="Arial" w:hAnsi="Arial" w:cs="Arial"/>
          <w:sz w:val="28"/>
          <w:szCs w:val="28"/>
        </w:rPr>
        <w:t xml:space="preserve"> of the UK Government’s </w:t>
      </w:r>
      <w:r w:rsidRPr="00C736E9">
        <w:rPr>
          <w:rFonts w:ascii="Arial" w:hAnsi="Arial" w:cs="Arial"/>
          <w:sz w:val="28"/>
          <w:szCs w:val="28"/>
        </w:rPr>
        <w:t>commitment</w:t>
      </w:r>
      <w:r w:rsidR="0078305D">
        <w:rPr>
          <w:rFonts w:ascii="Arial" w:hAnsi="Arial" w:cs="Arial"/>
          <w:sz w:val="28"/>
          <w:szCs w:val="28"/>
        </w:rPr>
        <w:t xml:space="preserve"> under Article 2 of the Protocol</w:t>
      </w:r>
      <w:r w:rsidRPr="00C736E9">
        <w:rPr>
          <w:rFonts w:ascii="Arial" w:hAnsi="Arial" w:cs="Arial"/>
          <w:sz w:val="28"/>
          <w:szCs w:val="28"/>
        </w:rPr>
        <w:t xml:space="preserve">, please </w:t>
      </w:r>
      <w:r w:rsidR="00A5405B" w:rsidRPr="00C736E9">
        <w:rPr>
          <w:rFonts w:ascii="Arial" w:hAnsi="Arial" w:cs="Arial"/>
          <w:sz w:val="28"/>
          <w:szCs w:val="28"/>
        </w:rPr>
        <w:t xml:space="preserve">see </w:t>
      </w:r>
      <w:r w:rsidR="00D70B23">
        <w:rPr>
          <w:rFonts w:ascii="Arial" w:hAnsi="Arial" w:cs="Arial"/>
          <w:sz w:val="28"/>
          <w:szCs w:val="28"/>
        </w:rPr>
        <w:t xml:space="preserve">below: </w:t>
      </w:r>
    </w:p>
    <w:p w14:paraId="3C755854" w14:textId="77777777" w:rsidR="0078305D" w:rsidRDefault="0078305D" w:rsidP="00461827">
      <w:pPr>
        <w:pStyle w:val="BodyText"/>
        <w:jc w:val="left"/>
        <w:rPr>
          <w:rFonts w:cs="Arial"/>
          <w:b/>
          <w:sz w:val="28"/>
          <w:szCs w:val="28"/>
        </w:rPr>
      </w:pPr>
    </w:p>
    <w:p w14:paraId="014ADF0B" w14:textId="7BBF6199" w:rsidR="00D70B23" w:rsidRPr="008F38C0" w:rsidRDefault="00A5405B" w:rsidP="00461827">
      <w:pPr>
        <w:pStyle w:val="BodyText"/>
        <w:jc w:val="left"/>
        <w:rPr>
          <w:rFonts w:cs="Arial"/>
          <w:sz w:val="28"/>
          <w:szCs w:val="28"/>
        </w:rPr>
      </w:pPr>
      <w:r w:rsidRPr="00D70B23">
        <w:rPr>
          <w:rFonts w:cs="Arial"/>
          <w:b/>
          <w:sz w:val="28"/>
          <w:szCs w:val="28"/>
        </w:rPr>
        <w:t>Equality Commission</w:t>
      </w:r>
      <w:r w:rsidR="00D70B23" w:rsidRPr="008F38C0">
        <w:rPr>
          <w:rFonts w:cs="Arial"/>
          <w:b/>
          <w:sz w:val="28"/>
          <w:szCs w:val="28"/>
        </w:rPr>
        <w:t xml:space="preserve">: </w:t>
      </w:r>
      <w:hyperlink r:id="rId10" w:history="1">
        <w:r w:rsidR="00D70B23" w:rsidRPr="008F38C0">
          <w:rPr>
            <w:rStyle w:val="Hyperlink"/>
            <w:rFonts w:cs="Arial"/>
            <w:sz w:val="28"/>
            <w:szCs w:val="28"/>
          </w:rPr>
          <w:t>www.equalityni.org/brexit</w:t>
        </w:r>
      </w:hyperlink>
    </w:p>
    <w:p w14:paraId="7915F55F" w14:textId="476DF752" w:rsidR="00D70B23" w:rsidRPr="00895F58" w:rsidRDefault="00D70B23" w:rsidP="00461827">
      <w:pPr>
        <w:tabs>
          <w:tab w:val="center" w:pos="7270"/>
        </w:tabs>
        <w:spacing w:after="0" w:line="240" w:lineRule="auto"/>
        <w:ind w:left="-15"/>
        <w:rPr>
          <w:rFonts w:ascii="Arial" w:hAnsi="Arial" w:cs="Arial"/>
          <w:sz w:val="28"/>
          <w:szCs w:val="28"/>
        </w:rPr>
      </w:pPr>
      <w:r w:rsidRPr="008F38C0">
        <w:rPr>
          <w:rFonts w:ascii="Arial" w:hAnsi="Arial" w:cs="Arial"/>
          <w:b/>
          <w:sz w:val="28"/>
          <w:szCs w:val="28"/>
        </w:rPr>
        <w:t>NI Human Rights Commission:</w:t>
      </w:r>
      <w:r w:rsidRPr="008F38C0">
        <w:rPr>
          <w:rFonts w:ascii="Arial" w:hAnsi="Arial" w:cs="Arial"/>
          <w:sz w:val="36"/>
          <w:szCs w:val="28"/>
        </w:rPr>
        <w:t xml:space="preserve"> </w:t>
      </w:r>
      <w:hyperlink r:id="rId11" w:history="1">
        <w:r w:rsidR="008F38C0" w:rsidRPr="008F38C0">
          <w:rPr>
            <w:rStyle w:val="Hyperlink"/>
            <w:rFonts w:ascii="Arial" w:hAnsi="Arial" w:cs="Arial"/>
            <w:sz w:val="28"/>
          </w:rPr>
          <w:t>www.nihrc.org/human-rights-after-brexit</w:t>
        </w:r>
      </w:hyperlink>
    </w:p>
    <w:p w14:paraId="5EB0E111" w14:textId="6AF19635" w:rsidR="00443FE1" w:rsidRDefault="00443FE1" w:rsidP="0046182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222222"/>
          <w:sz w:val="28"/>
          <w:szCs w:val="28"/>
        </w:rPr>
      </w:pPr>
    </w:p>
    <w:p w14:paraId="5D5C3306" w14:textId="3CEA1B06" w:rsidR="00053821" w:rsidRPr="001D394F" w:rsidRDefault="00053821" w:rsidP="00461827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222222"/>
          <w:sz w:val="28"/>
          <w:szCs w:val="28"/>
        </w:rPr>
      </w:pPr>
      <w:r w:rsidRPr="00D37B9C">
        <w:rPr>
          <w:rFonts w:ascii="Arial" w:eastAsia="ArialMT" w:hAnsi="Arial" w:cs="Arial"/>
          <w:color w:val="222222"/>
          <w:sz w:val="28"/>
          <w:szCs w:val="28"/>
        </w:rPr>
        <w:t xml:space="preserve">For </w:t>
      </w:r>
      <w:r w:rsidR="0078305D" w:rsidRPr="00D37B9C">
        <w:rPr>
          <w:rFonts w:ascii="Arial" w:eastAsia="ArialMT" w:hAnsi="Arial" w:cs="Arial"/>
          <w:color w:val="222222"/>
          <w:sz w:val="28"/>
          <w:szCs w:val="28"/>
        </w:rPr>
        <w:t xml:space="preserve">additional </w:t>
      </w:r>
      <w:r w:rsidR="001738F9" w:rsidRPr="00D37B9C">
        <w:rPr>
          <w:rFonts w:ascii="Arial" w:eastAsia="ArialMT" w:hAnsi="Arial" w:cs="Arial"/>
          <w:color w:val="222222"/>
          <w:sz w:val="28"/>
          <w:szCs w:val="28"/>
        </w:rPr>
        <w:t>information</w:t>
      </w:r>
      <w:r w:rsidR="003E25CC">
        <w:rPr>
          <w:rFonts w:ascii="Arial" w:eastAsia="ArialMT" w:hAnsi="Arial" w:cs="Arial"/>
          <w:color w:val="222222"/>
          <w:sz w:val="28"/>
          <w:szCs w:val="28"/>
        </w:rPr>
        <w:t xml:space="preserve">: NIO (2020), </w:t>
      </w:r>
      <w:hyperlink r:id="rId12" w:history="1">
        <w:r w:rsidRPr="001D394F">
          <w:rPr>
            <w:rStyle w:val="Hyperlink"/>
            <w:rFonts w:ascii="Arial" w:eastAsia="ArialMT" w:hAnsi="Arial" w:cs="Arial"/>
            <w:sz w:val="28"/>
            <w:szCs w:val="28"/>
          </w:rPr>
          <w:t>Explainer: UK Government commitment to no diminution of rights, safeguards and equality of opportunity in Northern Ireland</w:t>
        </w:r>
      </w:hyperlink>
    </w:p>
    <w:p w14:paraId="4032C583" w14:textId="77777777" w:rsidR="00F17093" w:rsidRPr="00D37B9C" w:rsidRDefault="00F17093" w:rsidP="00461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E9C497" w14:textId="0DB6FA29" w:rsidR="00F17093" w:rsidRPr="00D37B9C" w:rsidRDefault="00443FE1" w:rsidP="0046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37B9C">
        <w:rPr>
          <w:rFonts w:ascii="Arial" w:hAnsi="Arial" w:cs="Arial"/>
          <w:sz w:val="28"/>
          <w:szCs w:val="28"/>
        </w:rPr>
        <w:t xml:space="preserve">This short guide provides general information only. </w:t>
      </w:r>
    </w:p>
    <w:p w14:paraId="19408188" w14:textId="62B2122A" w:rsidR="007C2B31" w:rsidRDefault="007C2B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3758A1B" w14:textId="58621323" w:rsidR="00463FE0" w:rsidRPr="0013511B" w:rsidRDefault="00337BD0" w:rsidP="0013511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  <w:lastRenderedPageBreak/>
        <w:t>Appendix 1: Equality Directives listed in Annex 1 to the Protocol</w:t>
      </w:r>
    </w:p>
    <w:p w14:paraId="62DEB370" w14:textId="77777777" w:rsidR="00117869" w:rsidRPr="00337BD0" w:rsidRDefault="00117869" w:rsidP="0046182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</w:pPr>
    </w:p>
    <w:p w14:paraId="6F8D07C6" w14:textId="2484472A" w:rsidR="00463FE0" w:rsidRDefault="00031868" w:rsidP="00461827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eastAsia="en-GB"/>
        </w:rPr>
        <w:t xml:space="preserve">The six EU </w:t>
      </w:r>
      <w:r w:rsidRPr="000B725A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>E</w:t>
      </w:r>
      <w:r w:rsidR="00463FE0" w:rsidRPr="00337BD0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eastAsia="en-GB"/>
        </w:rPr>
        <w:t>quality Directives listed in Annex 1 to the Protocol are:</w:t>
      </w:r>
    </w:p>
    <w:p w14:paraId="750359EA" w14:textId="77777777" w:rsidR="00117869" w:rsidRPr="00337BD0" w:rsidRDefault="00117869" w:rsidP="0046182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eastAsia="en-GB"/>
        </w:rPr>
      </w:pPr>
    </w:p>
    <w:p w14:paraId="10701E8F" w14:textId="77777777" w:rsidR="00463FE0" w:rsidRPr="00337BD0" w:rsidRDefault="00642528" w:rsidP="0046182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z-Cyrl-UZ" w:eastAsia="en-GB"/>
        </w:rPr>
      </w:pPr>
      <w:hyperlink r:id="rId13" w:history="1">
        <w:r w:rsidR="00463FE0" w:rsidRPr="00337BD0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u w:val="none"/>
            <w:shd w:val="clear" w:color="auto" w:fill="FFFFFF"/>
            <w:lang w:eastAsia="en-GB"/>
          </w:rPr>
          <w:t>Gender Goods and Services Directive (Gender)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shd w:val="clear" w:color="auto" w:fill="FFFFFF"/>
            <w:lang w:eastAsia="en-GB"/>
          </w:rPr>
          <w:t xml:space="preserve">: 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shd w:val="clear" w:color="auto" w:fill="FFFFFF"/>
            <w:lang w:val="uz-Cyrl-UZ" w:eastAsia="en-GB"/>
          </w:rPr>
          <w:t>Directive 2004/113/EC of 13 December 2004</w:t>
        </w:r>
        <w:r w:rsidR="00463FE0" w:rsidRPr="00337BD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  <w:lang w:val="uz-Cyrl-UZ" w:eastAsia="en-GB"/>
          </w:rPr>
          <w:t> </w:t>
        </w:r>
      </w:hyperlink>
      <w:r w:rsidR="00463FE0" w:rsidRPr="00337BD0">
        <w:rPr>
          <w:rFonts w:ascii="Arial" w:hAnsi="Arial" w:cs="Arial"/>
          <w:sz w:val="28"/>
          <w:szCs w:val="28"/>
          <w:shd w:val="clear" w:color="auto" w:fill="FFFFFF"/>
          <w:lang w:val="uz-Cyrl-UZ" w:eastAsia="en-GB"/>
        </w:rPr>
        <w:t>implementing the principle of equal treatment between men and women in the access to and supply of goods and services;</w:t>
      </w:r>
    </w:p>
    <w:p w14:paraId="38510F85" w14:textId="0AE9BF58" w:rsidR="00463FE0" w:rsidRPr="00337BD0" w:rsidRDefault="00463FE0" w:rsidP="0046182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z-Cyrl-UZ" w:eastAsia="en-GB"/>
        </w:rPr>
      </w:pPr>
      <w:r w:rsidRPr="00597B7F">
        <w:rPr>
          <w:rFonts w:ascii="Arial" w:hAnsi="Arial" w:cs="Arial"/>
          <w:b/>
          <w:bCs/>
          <w:sz w:val="28"/>
          <w:szCs w:val="28"/>
          <w:shd w:val="clear" w:color="auto" w:fill="FFFFFF"/>
          <w:lang w:eastAsia="en-GB"/>
        </w:rPr>
        <w:t>Recast Directive (Gender)</w:t>
      </w:r>
      <w:r w:rsidRPr="00597B7F">
        <w:rPr>
          <w:rFonts w:ascii="Arial" w:hAnsi="Arial" w:cs="Arial"/>
          <w:bCs/>
          <w:sz w:val="28"/>
          <w:szCs w:val="28"/>
          <w:shd w:val="clear" w:color="auto" w:fill="FFFFFF"/>
          <w:lang w:eastAsia="en-GB"/>
        </w:rPr>
        <w:t xml:space="preserve">: </w:t>
      </w:r>
      <w:r w:rsidRPr="00597B7F">
        <w:rPr>
          <w:rFonts w:ascii="Arial" w:hAnsi="Arial" w:cs="Arial"/>
          <w:bCs/>
          <w:sz w:val="28"/>
          <w:szCs w:val="28"/>
          <w:shd w:val="clear" w:color="auto" w:fill="FFFFFF"/>
          <w:lang w:val="uz-Cyrl-UZ" w:eastAsia="en-GB"/>
        </w:rPr>
        <w:t>Directive 2006/54/EC of the European Parliament and of the Council of 5 July 2006</w:t>
      </w:r>
      <w:r w:rsidRPr="00597B7F">
        <w:rPr>
          <w:rFonts w:ascii="Arial" w:hAnsi="Arial" w:cs="Arial"/>
          <w:sz w:val="28"/>
          <w:szCs w:val="28"/>
          <w:shd w:val="clear" w:color="auto" w:fill="FFFFFF"/>
          <w:lang w:val="uz-Cyrl-UZ" w:eastAsia="en-GB"/>
        </w:rPr>
        <w:t> </w:t>
      </w:r>
      <w:r w:rsidRPr="00337BD0">
        <w:rPr>
          <w:rFonts w:ascii="Arial" w:hAnsi="Arial" w:cs="Arial"/>
          <w:sz w:val="28"/>
          <w:szCs w:val="28"/>
          <w:shd w:val="clear" w:color="auto" w:fill="FFFFFF"/>
          <w:lang w:val="uz-Cyrl-UZ" w:eastAsia="en-GB"/>
        </w:rPr>
        <w:t>on the implementation of the principle of equal opportunities and equal treatment of men and women in matters of employment and occupation (recast);</w:t>
      </w:r>
    </w:p>
    <w:p w14:paraId="18CD244E" w14:textId="77777777" w:rsidR="00463FE0" w:rsidRPr="00337BD0" w:rsidRDefault="00642528" w:rsidP="0046182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z-Cyrl-UZ" w:eastAsia="en-GB"/>
        </w:rPr>
      </w:pPr>
      <w:hyperlink r:id="rId14" w:history="1">
        <w:r w:rsidR="00463FE0" w:rsidRPr="00337BD0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u w:val="none"/>
            <w:lang w:eastAsia="en-GB"/>
          </w:rPr>
          <w:t>Race Equality Directive (Race)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lang w:eastAsia="en-GB"/>
          </w:rPr>
          <w:t xml:space="preserve">: 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lang w:val="uz-Cyrl-UZ" w:eastAsia="en-GB"/>
          </w:rPr>
          <w:t>Directive 2000/43/EC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shd w:val="clear" w:color="auto" w:fill="FFFFFF"/>
            <w:lang w:val="uz-Cyrl-UZ" w:eastAsia="en-GB"/>
          </w:rPr>
          <w:t> of 29 June 2000</w:t>
        </w:r>
      </w:hyperlink>
      <w:r w:rsidR="00463FE0" w:rsidRPr="00337BD0">
        <w:rPr>
          <w:rFonts w:ascii="Arial" w:hAnsi="Arial" w:cs="Arial"/>
          <w:b/>
          <w:bCs/>
          <w:sz w:val="28"/>
          <w:szCs w:val="28"/>
          <w:shd w:val="clear" w:color="auto" w:fill="FFFFFF"/>
          <w:lang w:val="uz-Cyrl-UZ" w:eastAsia="en-GB"/>
        </w:rPr>
        <w:t> </w:t>
      </w:r>
      <w:r w:rsidR="00463FE0" w:rsidRPr="00337BD0">
        <w:rPr>
          <w:rFonts w:ascii="Arial" w:hAnsi="Arial" w:cs="Arial"/>
          <w:sz w:val="28"/>
          <w:szCs w:val="28"/>
          <w:shd w:val="clear" w:color="auto" w:fill="FFFFFF"/>
          <w:lang w:val="uz-Cyrl-UZ" w:eastAsia="en-GB"/>
        </w:rPr>
        <w:t>implementing the principle of equal treatment between persons irrespective of racial or ethnic origin;</w:t>
      </w:r>
    </w:p>
    <w:p w14:paraId="10F686A7" w14:textId="209B3219" w:rsidR="00463FE0" w:rsidRPr="00337BD0" w:rsidRDefault="00642528" w:rsidP="0046182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z-Cyrl-UZ" w:eastAsia="en-GB"/>
        </w:rPr>
      </w:pPr>
      <w:hyperlink r:id="rId15" w:history="1">
        <w:r w:rsidR="00B23D4A" w:rsidRPr="00337BD0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  <w:lang w:eastAsia="en-GB"/>
          </w:rPr>
          <w:t>Framework Directive (R</w:t>
        </w:r>
        <w:r w:rsidR="00463FE0" w:rsidRPr="00337BD0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  <w:lang w:eastAsia="en-GB"/>
          </w:rPr>
          <w:t>eligion and belief; age; sexual orientation; and disability)</w:t>
        </w:r>
        <w:r w:rsidR="00463FE0" w:rsidRPr="00337BD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eastAsia="en-GB"/>
          </w:rPr>
          <w:t xml:space="preserve">: 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shd w:val="clear" w:color="auto" w:fill="FFFFFF"/>
            <w:lang w:val="uz-Cyrl-UZ" w:eastAsia="en-GB"/>
          </w:rPr>
          <w:t>Directive 2000/78/EC of 27 November 2000</w:t>
        </w:r>
        <w:r w:rsidR="00463FE0" w:rsidRPr="00337BD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  <w:lang w:val="uz-Cyrl-UZ" w:eastAsia="en-GB"/>
          </w:rPr>
          <w:t> </w:t>
        </w:r>
      </w:hyperlink>
      <w:r w:rsidR="00463FE0" w:rsidRPr="00337BD0">
        <w:rPr>
          <w:rFonts w:ascii="Arial" w:hAnsi="Arial" w:cs="Arial"/>
          <w:sz w:val="28"/>
          <w:szCs w:val="28"/>
          <w:shd w:val="clear" w:color="auto" w:fill="FFFFFF"/>
          <w:lang w:val="uz-Cyrl-UZ" w:eastAsia="en-GB"/>
        </w:rPr>
        <w:t>establishing a general framework for equal treatment in employment and occupation;</w:t>
      </w:r>
    </w:p>
    <w:p w14:paraId="5C985EA0" w14:textId="3505C1C0" w:rsidR="00463FE0" w:rsidRPr="00337BD0" w:rsidRDefault="00642528" w:rsidP="0046182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z-Cyrl-UZ" w:eastAsia="en-GB"/>
        </w:rPr>
      </w:pPr>
      <w:hyperlink r:id="rId16" w:history="1">
        <w:r w:rsidR="00B23D4A" w:rsidRPr="00337BD0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u w:val="none"/>
            <w:lang w:eastAsia="en-GB"/>
          </w:rPr>
          <w:t xml:space="preserve">Equal Treatment Directive: </w:t>
        </w:r>
        <w:r w:rsidR="00463FE0" w:rsidRPr="00337BD0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u w:val="none"/>
            <w:lang w:eastAsia="en-GB"/>
          </w:rPr>
          <w:t>Self-employment (Gender)</w:t>
        </w:r>
        <w:r w:rsidR="00B23D4A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lang w:eastAsia="en-GB"/>
          </w:rPr>
          <w:t xml:space="preserve">: 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lang w:val="uz-Cyrl-UZ" w:eastAsia="en-GB"/>
          </w:rPr>
          <w:t>Directive 2010/41/EU of the European Parliament and of the Council of 7 July 2010</w:t>
        </w:r>
        <w:r w:rsidR="00463FE0" w:rsidRPr="00337BD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uz-Cyrl-UZ" w:eastAsia="en-GB"/>
          </w:rPr>
          <w:t> </w:t>
        </w:r>
      </w:hyperlink>
      <w:r w:rsidR="00463FE0" w:rsidRPr="00337BD0">
        <w:rPr>
          <w:rFonts w:ascii="Arial" w:hAnsi="Arial" w:cs="Arial"/>
          <w:sz w:val="28"/>
          <w:szCs w:val="28"/>
          <w:lang w:val="uz-Cyrl-UZ" w:eastAsia="en-GB"/>
        </w:rPr>
        <w:t>on the application of the principle of equal treatment between men and women engaged in an activity in a self-employed capacity and repealing Council Directive 86/613/EEC;</w:t>
      </w:r>
    </w:p>
    <w:p w14:paraId="5C731589" w14:textId="77777777" w:rsidR="00463FE0" w:rsidRPr="00337BD0" w:rsidRDefault="00642528" w:rsidP="0046182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uz-Cyrl-UZ" w:eastAsia="en-GB"/>
        </w:rPr>
      </w:pPr>
      <w:hyperlink r:id="rId17" w:history="1">
        <w:r w:rsidR="00463FE0" w:rsidRPr="00337BD0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u w:val="none"/>
            <w:lang w:eastAsia="en-GB"/>
          </w:rPr>
          <w:t>Equal Treatment Directive: Social security (Gender)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lang w:eastAsia="en-GB"/>
          </w:rPr>
          <w:t xml:space="preserve">: </w:t>
        </w:r>
        <w:r w:rsidR="00463FE0" w:rsidRPr="00337BD0">
          <w:rPr>
            <w:rStyle w:val="Hyperlink"/>
            <w:rFonts w:ascii="Arial" w:hAnsi="Arial" w:cs="Arial"/>
            <w:bCs/>
            <w:color w:val="auto"/>
            <w:sz w:val="28"/>
            <w:szCs w:val="28"/>
            <w:u w:val="none"/>
            <w:lang w:val="uz-Cyrl-UZ" w:eastAsia="en-GB"/>
          </w:rPr>
          <w:t>Directive 79/7/EEC of 19 December 1978</w:t>
        </w:r>
        <w:r w:rsidR="00463FE0" w:rsidRPr="00337BD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uz-Cyrl-UZ" w:eastAsia="en-GB"/>
          </w:rPr>
          <w:t> </w:t>
        </w:r>
      </w:hyperlink>
      <w:r w:rsidR="00463FE0" w:rsidRPr="00337BD0">
        <w:rPr>
          <w:rFonts w:ascii="Arial" w:hAnsi="Arial" w:cs="Arial"/>
          <w:sz w:val="28"/>
          <w:szCs w:val="28"/>
          <w:lang w:val="uz-Cyrl-UZ" w:eastAsia="en-GB"/>
        </w:rPr>
        <w:t>on the progressive implementation of the principle of equal treatment for men and women in matters of social security.</w:t>
      </w:r>
    </w:p>
    <w:p w14:paraId="601C4528" w14:textId="37241704" w:rsidR="00CF08C6" w:rsidRPr="00642528" w:rsidRDefault="00642528" w:rsidP="006425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bookmarkStart w:id="0" w:name="_GoBack"/>
      <w:bookmarkEnd w:id="0"/>
      <w:r w:rsidR="00CF08C6" w:rsidRPr="00CF08C6">
        <w:rPr>
          <w:rFonts w:ascii="Arial" w:hAnsi="Arial" w:cs="Arial"/>
          <w:b/>
          <w:sz w:val="28"/>
          <w:szCs w:val="28"/>
        </w:rPr>
        <w:lastRenderedPageBreak/>
        <w:t>Further information</w:t>
      </w:r>
    </w:p>
    <w:p w14:paraId="7224F44D" w14:textId="17137280" w:rsidR="000A4DE8" w:rsidRDefault="0013511B" w:rsidP="00461827">
      <w:pPr>
        <w:spacing w:after="0"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further information</w:t>
      </w:r>
      <w:r w:rsidR="0095716A">
        <w:rPr>
          <w:rFonts w:ascii="Arial" w:hAnsi="Arial" w:cs="Arial"/>
          <w:sz w:val="28"/>
          <w:szCs w:val="28"/>
        </w:rPr>
        <w:t xml:space="preserve"> and guidance</w:t>
      </w:r>
      <w:r>
        <w:rPr>
          <w:rFonts w:ascii="Arial" w:hAnsi="Arial" w:cs="Arial"/>
          <w:sz w:val="28"/>
          <w:szCs w:val="28"/>
        </w:rPr>
        <w:t>, please contact:</w:t>
      </w:r>
    </w:p>
    <w:tbl>
      <w:tblPr>
        <w:tblStyle w:val="TableGrid"/>
        <w:tblW w:w="9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58"/>
      </w:tblGrid>
      <w:tr w:rsidR="00151D94" w14:paraId="3AB30E8E" w14:textId="77777777" w:rsidTr="003818D5">
        <w:trPr>
          <w:trHeight w:val="3622"/>
        </w:trPr>
        <w:tc>
          <w:tcPr>
            <w:tcW w:w="4248" w:type="dxa"/>
          </w:tcPr>
          <w:p w14:paraId="6DFD33FB" w14:textId="530423D5" w:rsidR="00151D94" w:rsidRPr="000A4DE8" w:rsidRDefault="000A4DE8" w:rsidP="00151D94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A4DE8">
              <w:rPr>
                <w:rFonts w:ascii="Arial" w:hAnsi="Arial" w:cs="Arial"/>
                <w:b/>
                <w:sz w:val="28"/>
                <w:szCs w:val="28"/>
              </w:rPr>
              <w:t>Equality Commission</w:t>
            </w:r>
            <w:r w:rsidR="00CF08C6">
              <w:rPr>
                <w:rFonts w:ascii="Arial" w:hAnsi="Arial" w:cs="Arial"/>
                <w:b/>
                <w:sz w:val="28"/>
                <w:szCs w:val="28"/>
              </w:rPr>
              <w:t xml:space="preserve"> for NI</w:t>
            </w:r>
          </w:p>
          <w:p w14:paraId="552A13C4" w14:textId="77777777" w:rsidR="00151D94" w:rsidRPr="00895F58" w:rsidRDefault="00642528" w:rsidP="00151D94">
            <w:pPr>
              <w:rPr>
                <w:rFonts w:ascii="Arial" w:hAnsi="Arial" w:cs="Arial"/>
                <w:sz w:val="28"/>
                <w:szCs w:val="28"/>
              </w:rPr>
            </w:pPr>
            <w:hyperlink r:id="rId18" w:history="1">
              <w:r w:rsidR="00151D94" w:rsidRPr="00895F58">
                <w:rPr>
                  <w:rStyle w:val="Hyperlink"/>
                  <w:rFonts w:ascii="Arial" w:hAnsi="Arial" w:cs="Arial"/>
                  <w:sz w:val="28"/>
                  <w:szCs w:val="28"/>
                </w:rPr>
                <w:t>DMU@equalityni.org</w:t>
              </w:r>
            </w:hyperlink>
          </w:p>
          <w:p w14:paraId="47B7A7D2" w14:textId="77777777" w:rsidR="00026973" w:rsidRDefault="00151D94" w:rsidP="00151D94">
            <w:pPr>
              <w:pStyle w:val="BodyText"/>
              <w:jc w:val="left"/>
              <w:rPr>
                <w:rFonts w:cs="Arial"/>
                <w:sz w:val="28"/>
                <w:szCs w:val="28"/>
              </w:rPr>
            </w:pPr>
            <w:r w:rsidRPr="00F9036A">
              <w:rPr>
                <w:rFonts w:cs="Arial"/>
                <w:sz w:val="28"/>
                <w:szCs w:val="28"/>
              </w:rPr>
              <w:t xml:space="preserve">028 9050 0600 </w:t>
            </w:r>
            <w:r w:rsidR="009957E8">
              <w:rPr>
                <w:rFonts w:cs="Arial"/>
                <w:sz w:val="28"/>
                <w:szCs w:val="28"/>
              </w:rPr>
              <w:br/>
              <w:t>Equality House</w:t>
            </w:r>
            <w:r w:rsidR="00026973">
              <w:rPr>
                <w:rFonts w:cs="Arial"/>
                <w:sz w:val="28"/>
                <w:szCs w:val="28"/>
              </w:rPr>
              <w:t>,</w:t>
            </w:r>
            <w:r w:rsidR="009957E8">
              <w:rPr>
                <w:rFonts w:cs="Arial"/>
                <w:sz w:val="28"/>
                <w:szCs w:val="28"/>
              </w:rPr>
              <w:br/>
              <w:t>7-9 Shaftesbury Square</w:t>
            </w:r>
            <w:r w:rsidR="00026973">
              <w:rPr>
                <w:rFonts w:cs="Arial"/>
                <w:sz w:val="28"/>
                <w:szCs w:val="28"/>
              </w:rPr>
              <w:t xml:space="preserve">, </w:t>
            </w:r>
          </w:p>
          <w:p w14:paraId="4A4525D0" w14:textId="41251C33" w:rsidR="00151D94" w:rsidRDefault="009957E8" w:rsidP="00151D94">
            <w:pPr>
              <w:pStyle w:val="BodyText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Belfast</w:t>
            </w:r>
          </w:p>
          <w:p w14:paraId="6A6818CF" w14:textId="0ECB0D4B" w:rsidR="009957E8" w:rsidRPr="00F9036A" w:rsidRDefault="009957E8" w:rsidP="00151D94">
            <w:pPr>
              <w:pStyle w:val="BodyText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BT2 7DP</w:t>
            </w:r>
          </w:p>
          <w:p w14:paraId="59C86DB5" w14:textId="6E970780" w:rsidR="00151D94" w:rsidRDefault="00642528" w:rsidP="00151D94">
            <w:pPr>
              <w:pStyle w:val="BodyText"/>
              <w:jc w:val="left"/>
              <w:rPr>
                <w:rFonts w:cs="Arial"/>
                <w:sz w:val="28"/>
                <w:szCs w:val="28"/>
              </w:rPr>
            </w:pPr>
            <w:hyperlink r:id="rId19" w:history="1">
              <w:r w:rsidR="00151D94" w:rsidRPr="009872C5">
                <w:rPr>
                  <w:rStyle w:val="Hyperlink"/>
                  <w:rFonts w:cs="Arial"/>
                  <w:sz w:val="28"/>
                  <w:szCs w:val="28"/>
                </w:rPr>
                <w:t>www.equalityni.org/brexit</w:t>
              </w:r>
            </w:hyperlink>
            <w:r w:rsidR="0095716A">
              <w:rPr>
                <w:rStyle w:val="Hyperlink"/>
                <w:rFonts w:cs="Arial"/>
                <w:sz w:val="28"/>
                <w:szCs w:val="28"/>
              </w:rPr>
              <w:br/>
            </w:r>
          </w:p>
          <w:p w14:paraId="3F9CEA70" w14:textId="5960DB41" w:rsidR="00151D94" w:rsidRDefault="00A44471" w:rsidP="00461827">
            <w:pPr>
              <w:spacing w:line="36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3C837D5" wp14:editId="443DAA9F">
                  <wp:extent cx="2546642" cy="1013460"/>
                  <wp:effectExtent l="0" t="0" r="6350" b="0"/>
                  <wp:docPr id="2" name="Picture 2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NI logo.jf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11" t="20472" r="11024" b="18110"/>
                          <a:stretch/>
                        </pic:blipFill>
                        <pic:spPr bwMode="auto">
                          <a:xfrm>
                            <a:off x="0" y="0"/>
                            <a:ext cx="2593112" cy="1031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8" w:type="dxa"/>
          </w:tcPr>
          <w:p w14:paraId="230665FA" w14:textId="361283B9" w:rsidR="00151D94" w:rsidRPr="000A4DE8" w:rsidRDefault="000A4DE8" w:rsidP="00151D94">
            <w:pPr>
              <w:pStyle w:val="BodyText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NI</w:t>
            </w:r>
            <w:r w:rsidRPr="000A4DE8">
              <w:rPr>
                <w:rFonts w:cs="Arial"/>
                <w:b/>
                <w:sz w:val="28"/>
                <w:szCs w:val="28"/>
              </w:rPr>
              <w:t xml:space="preserve"> Human Rights Commission</w:t>
            </w:r>
          </w:p>
          <w:p w14:paraId="4782DAD9" w14:textId="566E3318" w:rsidR="00151D94" w:rsidRPr="00895F58" w:rsidRDefault="00642528" w:rsidP="00151D94">
            <w:pPr>
              <w:ind w:right="280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hyperlink r:id="rId20" w:history="1">
              <w:r w:rsidR="00151D94" w:rsidRPr="00895F58">
                <w:rPr>
                  <w:rStyle w:val="Hyperlink"/>
                  <w:rFonts w:ascii="Arial" w:hAnsi="Arial" w:cs="Arial"/>
                  <w:color w:val="00844F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info@nihrc.org</w:t>
              </w:r>
            </w:hyperlink>
          </w:p>
          <w:p w14:paraId="02128510" w14:textId="0A98A666" w:rsidR="00151D94" w:rsidRPr="00895F58" w:rsidRDefault="00151D94" w:rsidP="00151D94">
            <w:pPr>
              <w:ind w:right="280"/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95F58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028 9024 3987</w:t>
            </w:r>
            <w:r w:rsidR="009957E8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4</w:t>
            </w:r>
            <w:r w:rsidR="009957E8" w:rsidRPr="009957E8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th</w:t>
            </w:r>
            <w:r w:rsidR="009957E8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Floor Alfred House</w:t>
            </w:r>
            <w:r w:rsidR="00026973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="009957E8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19-21 Alfred Street</w:t>
            </w:r>
            <w:r w:rsidR="00026973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="009957E8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Belfast</w:t>
            </w:r>
            <w:r w:rsidR="009957E8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BT2 8ED</w:t>
            </w:r>
          </w:p>
          <w:p w14:paraId="2B77FC50" w14:textId="29B0FF75" w:rsidR="003818D5" w:rsidRPr="00895F58" w:rsidRDefault="00642528" w:rsidP="003818D5">
            <w:pPr>
              <w:tabs>
                <w:tab w:val="center" w:pos="7270"/>
              </w:tabs>
              <w:ind w:left="-15"/>
              <w:rPr>
                <w:rFonts w:ascii="Arial" w:hAnsi="Arial" w:cs="Arial"/>
                <w:sz w:val="28"/>
                <w:szCs w:val="28"/>
              </w:rPr>
            </w:pPr>
            <w:hyperlink r:id="rId21" w:history="1">
              <w:r w:rsidR="003818D5" w:rsidRPr="008F38C0">
                <w:rPr>
                  <w:rStyle w:val="Hyperlink"/>
                  <w:rFonts w:ascii="Arial" w:hAnsi="Arial" w:cs="Arial"/>
                  <w:sz w:val="28"/>
                </w:rPr>
                <w:t>www.nihrc.org/human-rights-after-brexit</w:t>
              </w:r>
            </w:hyperlink>
            <w:r w:rsidR="003818D5">
              <w:rPr>
                <w:rStyle w:val="Hyperlink"/>
                <w:rFonts w:ascii="Arial" w:hAnsi="Arial" w:cs="Arial"/>
                <w:sz w:val="28"/>
              </w:rPr>
              <w:br/>
            </w:r>
          </w:p>
          <w:p w14:paraId="01DA9C83" w14:textId="3DC045C9" w:rsidR="00A44471" w:rsidRDefault="00A44471" w:rsidP="00461827">
            <w:pPr>
              <w:spacing w:line="36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41F7CE" wp14:editId="5A6F23B8">
                  <wp:extent cx="2731011" cy="609600"/>
                  <wp:effectExtent l="0" t="0" r="0" b="0"/>
                  <wp:docPr id="1" name="Picture 1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radford\AppData\Local\Microsoft\Windows\INetCache\Content.Word\nihrc-logo-2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955" cy="615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B21FDC" w14:textId="0EBD2363" w:rsidR="0087713A" w:rsidRDefault="0087713A" w:rsidP="00461827">
      <w:pPr>
        <w:pStyle w:val="BodyText"/>
        <w:spacing w:line="360" w:lineRule="auto"/>
        <w:jc w:val="left"/>
        <w:rPr>
          <w:rFonts w:cs="Arial"/>
          <w:b/>
          <w:sz w:val="28"/>
          <w:szCs w:val="28"/>
        </w:rPr>
      </w:pPr>
    </w:p>
    <w:p w14:paraId="79122A8C" w14:textId="490F009C" w:rsidR="0008207B" w:rsidRPr="00895F58" w:rsidRDefault="0095716A" w:rsidP="000A4DE8">
      <w:pPr>
        <w:pStyle w:val="BodyText"/>
        <w:spacing w:line="360" w:lineRule="auto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April</w:t>
      </w:r>
      <w:r w:rsidR="0008207B" w:rsidRPr="00895F58">
        <w:rPr>
          <w:rFonts w:cs="Arial"/>
          <w:b/>
          <w:sz w:val="28"/>
          <w:szCs w:val="28"/>
        </w:rPr>
        <w:t xml:space="preserve"> 2021</w:t>
      </w:r>
    </w:p>
    <w:sectPr w:rsidR="0008207B" w:rsidRPr="00895F58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C4272D" w16cid:durableId="238AE1D7"/>
  <w16cid:commentId w16cid:paraId="4E52F958" w16cid:durableId="238AE210"/>
  <w16cid:commentId w16cid:paraId="27CF485B" w16cid:durableId="238AE26E"/>
  <w16cid:commentId w16cid:paraId="6F08CDC6" w16cid:durableId="238AE3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C62BF" w14:textId="77777777" w:rsidR="007B7B2F" w:rsidRDefault="007B7B2F" w:rsidP="003B3D2C">
      <w:pPr>
        <w:spacing w:after="0" w:line="240" w:lineRule="auto"/>
      </w:pPr>
      <w:r>
        <w:separator/>
      </w:r>
    </w:p>
  </w:endnote>
  <w:endnote w:type="continuationSeparator" w:id="0">
    <w:p w14:paraId="4B05D5C6" w14:textId="77777777" w:rsidR="007B7B2F" w:rsidRDefault="007B7B2F" w:rsidP="003B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7809A" w14:textId="77777777" w:rsidR="007B7B2F" w:rsidRDefault="007B7B2F" w:rsidP="003B3D2C">
      <w:pPr>
        <w:spacing w:after="0" w:line="240" w:lineRule="auto"/>
      </w:pPr>
      <w:r>
        <w:separator/>
      </w:r>
    </w:p>
  </w:footnote>
  <w:footnote w:type="continuationSeparator" w:id="0">
    <w:p w14:paraId="1082021F" w14:textId="77777777" w:rsidR="007B7B2F" w:rsidRDefault="007B7B2F" w:rsidP="003B3D2C">
      <w:pPr>
        <w:spacing w:after="0" w:line="240" w:lineRule="auto"/>
      </w:pPr>
      <w:r>
        <w:continuationSeparator/>
      </w:r>
    </w:p>
  </w:footnote>
  <w:footnote w:id="1">
    <w:p w14:paraId="5F48D3A7" w14:textId="77777777" w:rsidR="00A5420D" w:rsidRPr="00AA47FD" w:rsidRDefault="00A5420D" w:rsidP="00A5420D">
      <w:pPr>
        <w:pStyle w:val="FootnoteText"/>
        <w:rPr>
          <w:rFonts w:ascii="Arial" w:hAnsi="Arial" w:cs="Arial"/>
        </w:rPr>
      </w:pPr>
      <w:r w:rsidRPr="00AA47FD">
        <w:rPr>
          <w:rStyle w:val="FootnoteReference"/>
          <w:rFonts w:ascii="Arial" w:hAnsi="Arial" w:cs="Arial"/>
        </w:rPr>
        <w:footnoteRef/>
      </w:r>
      <w:r w:rsidRPr="00AA47FD">
        <w:rPr>
          <w:rFonts w:ascii="Arial" w:hAnsi="Arial" w:cs="Arial"/>
        </w:rPr>
        <w:t xml:space="preserve"> The relevant legislation (Section 78 D (1) &amp; (2) of the Northern Ireland Act 1998) refers to the power of Commissions to assist ‘persons’ in legal proceedings.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8A7E" w14:textId="719E61EF" w:rsidR="003B3D2C" w:rsidRPr="00C138AA" w:rsidRDefault="00C138AA" w:rsidP="00C138AA">
    <w:pPr>
      <w:pStyle w:val="Header"/>
      <w:rPr>
        <w:rFonts w:ascii="Arial" w:hAnsi="Arial" w:cs="Arial"/>
        <w:sz w:val="24"/>
      </w:rPr>
    </w:pPr>
    <w:r w:rsidRPr="00C138AA">
      <w:rPr>
        <w:rFonts w:ascii="Arial" w:hAnsi="Arial" w:cs="Arial"/>
        <w:sz w:val="24"/>
      </w:rPr>
      <w:t>A Short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2A4"/>
    <w:multiLevelType w:val="hybridMultilevel"/>
    <w:tmpl w:val="C24A4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5B0"/>
    <w:multiLevelType w:val="hybridMultilevel"/>
    <w:tmpl w:val="A134B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FC7"/>
    <w:multiLevelType w:val="hybridMultilevel"/>
    <w:tmpl w:val="A1C68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1E46"/>
    <w:multiLevelType w:val="hybridMultilevel"/>
    <w:tmpl w:val="36D2A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A411A"/>
    <w:multiLevelType w:val="hybridMultilevel"/>
    <w:tmpl w:val="7AB8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F4E2D"/>
    <w:multiLevelType w:val="hybridMultilevel"/>
    <w:tmpl w:val="BDAE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A0E7F"/>
    <w:multiLevelType w:val="hybridMultilevel"/>
    <w:tmpl w:val="03BA70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794E"/>
    <w:multiLevelType w:val="hybridMultilevel"/>
    <w:tmpl w:val="0F06B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30271"/>
    <w:multiLevelType w:val="hybridMultilevel"/>
    <w:tmpl w:val="D108B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142A0"/>
    <w:multiLevelType w:val="hybridMultilevel"/>
    <w:tmpl w:val="7F7ACD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205D1"/>
    <w:multiLevelType w:val="hybridMultilevel"/>
    <w:tmpl w:val="8310A5D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4EA56AC"/>
    <w:multiLevelType w:val="multilevel"/>
    <w:tmpl w:val="9650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525B95"/>
    <w:multiLevelType w:val="hybridMultilevel"/>
    <w:tmpl w:val="42B6B7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3F5EB2"/>
    <w:multiLevelType w:val="hybridMultilevel"/>
    <w:tmpl w:val="2BA0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55479"/>
    <w:multiLevelType w:val="hybridMultilevel"/>
    <w:tmpl w:val="8FD0C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3021E"/>
    <w:multiLevelType w:val="hybridMultilevel"/>
    <w:tmpl w:val="C93A34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747F8"/>
    <w:multiLevelType w:val="hybridMultilevel"/>
    <w:tmpl w:val="75E4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E5FC6"/>
    <w:multiLevelType w:val="hybridMultilevel"/>
    <w:tmpl w:val="1196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B18CF"/>
    <w:multiLevelType w:val="hybridMultilevel"/>
    <w:tmpl w:val="C080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65A7"/>
    <w:multiLevelType w:val="hybridMultilevel"/>
    <w:tmpl w:val="5C56C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95732D"/>
    <w:multiLevelType w:val="hybridMultilevel"/>
    <w:tmpl w:val="1BB2E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E3EE6"/>
    <w:multiLevelType w:val="hybridMultilevel"/>
    <w:tmpl w:val="59F0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17"/>
  </w:num>
  <w:num w:numId="5">
    <w:abstractNumId w:val="19"/>
  </w:num>
  <w:num w:numId="6">
    <w:abstractNumId w:val="10"/>
  </w:num>
  <w:num w:numId="7">
    <w:abstractNumId w:val="1"/>
  </w:num>
  <w:num w:numId="8">
    <w:abstractNumId w:val="0"/>
  </w:num>
  <w:num w:numId="9">
    <w:abstractNumId w:val="16"/>
  </w:num>
  <w:num w:numId="10">
    <w:abstractNumId w:val="11"/>
  </w:num>
  <w:num w:numId="11">
    <w:abstractNumId w:val="13"/>
  </w:num>
  <w:num w:numId="12">
    <w:abstractNumId w:val="6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20"/>
  </w:num>
  <w:num w:numId="18">
    <w:abstractNumId w:val="3"/>
  </w:num>
  <w:num w:numId="19">
    <w:abstractNumId w:val="2"/>
  </w:num>
  <w:num w:numId="20">
    <w:abstractNumId w:val="8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24"/>
    <w:rsid w:val="00000E65"/>
    <w:rsid w:val="00006EEB"/>
    <w:rsid w:val="00013095"/>
    <w:rsid w:val="00017122"/>
    <w:rsid w:val="000175FD"/>
    <w:rsid w:val="00020B9B"/>
    <w:rsid w:val="00021003"/>
    <w:rsid w:val="00024DFF"/>
    <w:rsid w:val="00025305"/>
    <w:rsid w:val="00026973"/>
    <w:rsid w:val="00026F80"/>
    <w:rsid w:val="0003071B"/>
    <w:rsid w:val="00031868"/>
    <w:rsid w:val="000328A5"/>
    <w:rsid w:val="00032A43"/>
    <w:rsid w:val="00034E2B"/>
    <w:rsid w:val="0004096A"/>
    <w:rsid w:val="00041B31"/>
    <w:rsid w:val="00041BD0"/>
    <w:rsid w:val="00047989"/>
    <w:rsid w:val="00050ACF"/>
    <w:rsid w:val="00051257"/>
    <w:rsid w:val="000530FA"/>
    <w:rsid w:val="00053821"/>
    <w:rsid w:val="0005587E"/>
    <w:rsid w:val="00057D09"/>
    <w:rsid w:val="00060B00"/>
    <w:rsid w:val="00066A84"/>
    <w:rsid w:val="00070D58"/>
    <w:rsid w:val="00073380"/>
    <w:rsid w:val="00074C15"/>
    <w:rsid w:val="00081E35"/>
    <w:rsid w:val="0008207B"/>
    <w:rsid w:val="0008577F"/>
    <w:rsid w:val="000863F2"/>
    <w:rsid w:val="000901A6"/>
    <w:rsid w:val="00091024"/>
    <w:rsid w:val="00091ADB"/>
    <w:rsid w:val="0009340F"/>
    <w:rsid w:val="000938A6"/>
    <w:rsid w:val="000954CD"/>
    <w:rsid w:val="000A06C5"/>
    <w:rsid w:val="000A2361"/>
    <w:rsid w:val="000A247F"/>
    <w:rsid w:val="000A4219"/>
    <w:rsid w:val="000A4DE8"/>
    <w:rsid w:val="000B725A"/>
    <w:rsid w:val="000C13C2"/>
    <w:rsid w:val="000C701B"/>
    <w:rsid w:val="000D6FEF"/>
    <w:rsid w:val="000D7180"/>
    <w:rsid w:val="000D7BF6"/>
    <w:rsid w:val="000E29CF"/>
    <w:rsid w:val="000E40F5"/>
    <w:rsid w:val="000E6DFF"/>
    <w:rsid w:val="000F2CF6"/>
    <w:rsid w:val="000F3F51"/>
    <w:rsid w:val="000F4F5C"/>
    <w:rsid w:val="001002F0"/>
    <w:rsid w:val="00101150"/>
    <w:rsid w:val="001043C5"/>
    <w:rsid w:val="001140D4"/>
    <w:rsid w:val="00117869"/>
    <w:rsid w:val="00117ECF"/>
    <w:rsid w:val="00124C81"/>
    <w:rsid w:val="00127E5F"/>
    <w:rsid w:val="00131A63"/>
    <w:rsid w:val="0013324A"/>
    <w:rsid w:val="00133E5D"/>
    <w:rsid w:val="001342AB"/>
    <w:rsid w:val="0013511B"/>
    <w:rsid w:val="001361AA"/>
    <w:rsid w:val="00137479"/>
    <w:rsid w:val="001433FA"/>
    <w:rsid w:val="00151D94"/>
    <w:rsid w:val="00154A49"/>
    <w:rsid w:val="001630D4"/>
    <w:rsid w:val="00164D1D"/>
    <w:rsid w:val="0016612E"/>
    <w:rsid w:val="001661B8"/>
    <w:rsid w:val="00171384"/>
    <w:rsid w:val="00172236"/>
    <w:rsid w:val="001738F9"/>
    <w:rsid w:val="00173EEA"/>
    <w:rsid w:val="0017754B"/>
    <w:rsid w:val="00177C8E"/>
    <w:rsid w:val="001803E9"/>
    <w:rsid w:val="0018051C"/>
    <w:rsid w:val="001875DA"/>
    <w:rsid w:val="00196305"/>
    <w:rsid w:val="00197C57"/>
    <w:rsid w:val="001A1C28"/>
    <w:rsid w:val="001B4FA9"/>
    <w:rsid w:val="001B7F74"/>
    <w:rsid w:val="001C7856"/>
    <w:rsid w:val="001D2754"/>
    <w:rsid w:val="001D394F"/>
    <w:rsid w:val="001D6655"/>
    <w:rsid w:val="001E0FCD"/>
    <w:rsid w:val="001F7C28"/>
    <w:rsid w:val="002001D8"/>
    <w:rsid w:val="00201E8C"/>
    <w:rsid w:val="0020733B"/>
    <w:rsid w:val="00210438"/>
    <w:rsid w:val="0021540C"/>
    <w:rsid w:val="00217688"/>
    <w:rsid w:val="002209E4"/>
    <w:rsid w:val="00221F8A"/>
    <w:rsid w:val="002235B0"/>
    <w:rsid w:val="00225A92"/>
    <w:rsid w:val="00227888"/>
    <w:rsid w:val="00232C10"/>
    <w:rsid w:val="00233632"/>
    <w:rsid w:val="0023404F"/>
    <w:rsid w:val="00235F58"/>
    <w:rsid w:val="00241C7D"/>
    <w:rsid w:val="00242602"/>
    <w:rsid w:val="00243610"/>
    <w:rsid w:val="00243861"/>
    <w:rsid w:val="002465F4"/>
    <w:rsid w:val="002558C4"/>
    <w:rsid w:val="00255A5E"/>
    <w:rsid w:val="0025686C"/>
    <w:rsid w:val="00263E74"/>
    <w:rsid w:val="00274BE8"/>
    <w:rsid w:val="0027789B"/>
    <w:rsid w:val="002804A3"/>
    <w:rsid w:val="00286A35"/>
    <w:rsid w:val="002911C8"/>
    <w:rsid w:val="0029232B"/>
    <w:rsid w:val="002945EF"/>
    <w:rsid w:val="00295AF7"/>
    <w:rsid w:val="00296CF3"/>
    <w:rsid w:val="002A202F"/>
    <w:rsid w:val="002A32F2"/>
    <w:rsid w:val="002A4F18"/>
    <w:rsid w:val="002A53C6"/>
    <w:rsid w:val="002B5BA7"/>
    <w:rsid w:val="002B7DC0"/>
    <w:rsid w:val="002D0548"/>
    <w:rsid w:val="002E3E82"/>
    <w:rsid w:val="002E585D"/>
    <w:rsid w:val="002F037A"/>
    <w:rsid w:val="002F2630"/>
    <w:rsid w:val="002F562C"/>
    <w:rsid w:val="002F5AD6"/>
    <w:rsid w:val="00301E39"/>
    <w:rsid w:val="0030455A"/>
    <w:rsid w:val="00304B27"/>
    <w:rsid w:val="0030633D"/>
    <w:rsid w:val="00314B29"/>
    <w:rsid w:val="00316519"/>
    <w:rsid w:val="0032327D"/>
    <w:rsid w:val="0032652B"/>
    <w:rsid w:val="00335E23"/>
    <w:rsid w:val="00336BB7"/>
    <w:rsid w:val="00337BD0"/>
    <w:rsid w:val="00341258"/>
    <w:rsid w:val="00342092"/>
    <w:rsid w:val="0034470A"/>
    <w:rsid w:val="003472E0"/>
    <w:rsid w:val="00354E64"/>
    <w:rsid w:val="00356478"/>
    <w:rsid w:val="00357C63"/>
    <w:rsid w:val="00364EC2"/>
    <w:rsid w:val="00366DAE"/>
    <w:rsid w:val="00372F94"/>
    <w:rsid w:val="0037436D"/>
    <w:rsid w:val="0037481C"/>
    <w:rsid w:val="003759B0"/>
    <w:rsid w:val="003759C1"/>
    <w:rsid w:val="0038169C"/>
    <w:rsid w:val="003818D5"/>
    <w:rsid w:val="00382E20"/>
    <w:rsid w:val="00383953"/>
    <w:rsid w:val="00385378"/>
    <w:rsid w:val="00391D19"/>
    <w:rsid w:val="003A052C"/>
    <w:rsid w:val="003A08F1"/>
    <w:rsid w:val="003A0A81"/>
    <w:rsid w:val="003B019B"/>
    <w:rsid w:val="003B07CC"/>
    <w:rsid w:val="003B23BB"/>
    <w:rsid w:val="003B38B5"/>
    <w:rsid w:val="003B3D2C"/>
    <w:rsid w:val="003B3F75"/>
    <w:rsid w:val="003B482B"/>
    <w:rsid w:val="003B6406"/>
    <w:rsid w:val="003C1826"/>
    <w:rsid w:val="003C210A"/>
    <w:rsid w:val="003C367A"/>
    <w:rsid w:val="003C4484"/>
    <w:rsid w:val="003C6063"/>
    <w:rsid w:val="003C78EE"/>
    <w:rsid w:val="003D70D2"/>
    <w:rsid w:val="003E25CC"/>
    <w:rsid w:val="003E6B18"/>
    <w:rsid w:val="003E7064"/>
    <w:rsid w:val="003F72BF"/>
    <w:rsid w:val="004028A1"/>
    <w:rsid w:val="00416450"/>
    <w:rsid w:val="004169F8"/>
    <w:rsid w:val="0042110F"/>
    <w:rsid w:val="00443FE1"/>
    <w:rsid w:val="004444D7"/>
    <w:rsid w:val="004539D0"/>
    <w:rsid w:val="00456192"/>
    <w:rsid w:val="00461827"/>
    <w:rsid w:val="004629C3"/>
    <w:rsid w:val="00463961"/>
    <w:rsid w:val="00463FE0"/>
    <w:rsid w:val="00465C12"/>
    <w:rsid w:val="0047080A"/>
    <w:rsid w:val="00471AF5"/>
    <w:rsid w:val="00472B0F"/>
    <w:rsid w:val="00474605"/>
    <w:rsid w:val="00475A9A"/>
    <w:rsid w:val="00481207"/>
    <w:rsid w:val="00482D50"/>
    <w:rsid w:val="00483A26"/>
    <w:rsid w:val="004854EE"/>
    <w:rsid w:val="00486AE9"/>
    <w:rsid w:val="00493AEE"/>
    <w:rsid w:val="004964E4"/>
    <w:rsid w:val="00497D92"/>
    <w:rsid w:val="004A1554"/>
    <w:rsid w:val="004A3B74"/>
    <w:rsid w:val="004B0A7E"/>
    <w:rsid w:val="004B23E0"/>
    <w:rsid w:val="004B4739"/>
    <w:rsid w:val="004C2FC9"/>
    <w:rsid w:val="004C575E"/>
    <w:rsid w:val="004D12A9"/>
    <w:rsid w:val="004D2603"/>
    <w:rsid w:val="004D7F73"/>
    <w:rsid w:val="004E4B00"/>
    <w:rsid w:val="004F1496"/>
    <w:rsid w:val="004F3AB1"/>
    <w:rsid w:val="004F3B99"/>
    <w:rsid w:val="004F3C85"/>
    <w:rsid w:val="004F66C2"/>
    <w:rsid w:val="00500D8F"/>
    <w:rsid w:val="00503BBA"/>
    <w:rsid w:val="0050622C"/>
    <w:rsid w:val="0051058B"/>
    <w:rsid w:val="00521E23"/>
    <w:rsid w:val="005273C0"/>
    <w:rsid w:val="00531FEB"/>
    <w:rsid w:val="005351EB"/>
    <w:rsid w:val="0053711B"/>
    <w:rsid w:val="005410E3"/>
    <w:rsid w:val="00541101"/>
    <w:rsid w:val="00541C0F"/>
    <w:rsid w:val="00542EE4"/>
    <w:rsid w:val="005435CC"/>
    <w:rsid w:val="00550753"/>
    <w:rsid w:val="005534EC"/>
    <w:rsid w:val="005557A6"/>
    <w:rsid w:val="00557A3F"/>
    <w:rsid w:val="00562401"/>
    <w:rsid w:val="00565491"/>
    <w:rsid w:val="00566C6D"/>
    <w:rsid w:val="00570B10"/>
    <w:rsid w:val="00572AEA"/>
    <w:rsid w:val="005737F2"/>
    <w:rsid w:val="0057381B"/>
    <w:rsid w:val="00582D27"/>
    <w:rsid w:val="005858D6"/>
    <w:rsid w:val="0058696F"/>
    <w:rsid w:val="005873A2"/>
    <w:rsid w:val="00587721"/>
    <w:rsid w:val="00593ABB"/>
    <w:rsid w:val="005942D8"/>
    <w:rsid w:val="005944B4"/>
    <w:rsid w:val="00595C50"/>
    <w:rsid w:val="00597B7F"/>
    <w:rsid w:val="00597FD2"/>
    <w:rsid w:val="005A3FCF"/>
    <w:rsid w:val="005A7767"/>
    <w:rsid w:val="005B3894"/>
    <w:rsid w:val="005B3B37"/>
    <w:rsid w:val="005B46E4"/>
    <w:rsid w:val="005B5EF8"/>
    <w:rsid w:val="005C4DF3"/>
    <w:rsid w:val="005C714B"/>
    <w:rsid w:val="005D782D"/>
    <w:rsid w:val="005E2389"/>
    <w:rsid w:val="005E2739"/>
    <w:rsid w:val="005E4727"/>
    <w:rsid w:val="005E6D39"/>
    <w:rsid w:val="005F28D0"/>
    <w:rsid w:val="005F2B68"/>
    <w:rsid w:val="005F3C32"/>
    <w:rsid w:val="005F6A0E"/>
    <w:rsid w:val="0060197F"/>
    <w:rsid w:val="00604AFB"/>
    <w:rsid w:val="00605FDC"/>
    <w:rsid w:val="0060786F"/>
    <w:rsid w:val="00607F20"/>
    <w:rsid w:val="006114DB"/>
    <w:rsid w:val="00612425"/>
    <w:rsid w:val="00613904"/>
    <w:rsid w:val="00614961"/>
    <w:rsid w:val="006167B3"/>
    <w:rsid w:val="00617953"/>
    <w:rsid w:val="006179F9"/>
    <w:rsid w:val="00617BEE"/>
    <w:rsid w:val="00621E5E"/>
    <w:rsid w:val="00623BD7"/>
    <w:rsid w:val="00626153"/>
    <w:rsid w:val="00626E15"/>
    <w:rsid w:val="00630192"/>
    <w:rsid w:val="006376CF"/>
    <w:rsid w:val="00640408"/>
    <w:rsid w:val="00642528"/>
    <w:rsid w:val="00643E86"/>
    <w:rsid w:val="006453DF"/>
    <w:rsid w:val="006512E9"/>
    <w:rsid w:val="00662D25"/>
    <w:rsid w:val="0066344B"/>
    <w:rsid w:val="00666189"/>
    <w:rsid w:val="00670CD8"/>
    <w:rsid w:val="00671523"/>
    <w:rsid w:val="00673419"/>
    <w:rsid w:val="00673A93"/>
    <w:rsid w:val="0067500F"/>
    <w:rsid w:val="00675473"/>
    <w:rsid w:val="00675824"/>
    <w:rsid w:val="00676E7D"/>
    <w:rsid w:val="0068036F"/>
    <w:rsid w:val="006810A6"/>
    <w:rsid w:val="00682178"/>
    <w:rsid w:val="0069760D"/>
    <w:rsid w:val="006A158E"/>
    <w:rsid w:val="006A3827"/>
    <w:rsid w:val="006A5F69"/>
    <w:rsid w:val="006B2901"/>
    <w:rsid w:val="006B754B"/>
    <w:rsid w:val="006C163B"/>
    <w:rsid w:val="006C2DE3"/>
    <w:rsid w:val="006D2C72"/>
    <w:rsid w:val="006D33DF"/>
    <w:rsid w:val="006D5A77"/>
    <w:rsid w:val="006E143E"/>
    <w:rsid w:val="006E3AED"/>
    <w:rsid w:val="006E7F67"/>
    <w:rsid w:val="006F4A67"/>
    <w:rsid w:val="006F5F63"/>
    <w:rsid w:val="00700D94"/>
    <w:rsid w:val="00703D02"/>
    <w:rsid w:val="00711E26"/>
    <w:rsid w:val="00717F3C"/>
    <w:rsid w:val="007235A2"/>
    <w:rsid w:val="007240A0"/>
    <w:rsid w:val="00724BE8"/>
    <w:rsid w:val="0072574B"/>
    <w:rsid w:val="007278A2"/>
    <w:rsid w:val="00732628"/>
    <w:rsid w:val="007339AF"/>
    <w:rsid w:val="007342C1"/>
    <w:rsid w:val="00735065"/>
    <w:rsid w:val="00740A49"/>
    <w:rsid w:val="0074116B"/>
    <w:rsid w:val="00742D75"/>
    <w:rsid w:val="007464F5"/>
    <w:rsid w:val="00750B14"/>
    <w:rsid w:val="007632B8"/>
    <w:rsid w:val="007647A5"/>
    <w:rsid w:val="0076665C"/>
    <w:rsid w:val="0076714D"/>
    <w:rsid w:val="00767D6F"/>
    <w:rsid w:val="00773C05"/>
    <w:rsid w:val="00774322"/>
    <w:rsid w:val="00775F63"/>
    <w:rsid w:val="00782180"/>
    <w:rsid w:val="00782590"/>
    <w:rsid w:val="0078305D"/>
    <w:rsid w:val="00784753"/>
    <w:rsid w:val="007858D4"/>
    <w:rsid w:val="00785EDA"/>
    <w:rsid w:val="00786147"/>
    <w:rsid w:val="00793117"/>
    <w:rsid w:val="00797B0E"/>
    <w:rsid w:val="007A1B3F"/>
    <w:rsid w:val="007A3D58"/>
    <w:rsid w:val="007A5A1A"/>
    <w:rsid w:val="007A6EF0"/>
    <w:rsid w:val="007B08CA"/>
    <w:rsid w:val="007B588B"/>
    <w:rsid w:val="007B7928"/>
    <w:rsid w:val="007B7B2F"/>
    <w:rsid w:val="007C0DE0"/>
    <w:rsid w:val="007C0EC0"/>
    <w:rsid w:val="007C2B31"/>
    <w:rsid w:val="007C77D6"/>
    <w:rsid w:val="007D5E7C"/>
    <w:rsid w:val="007E462F"/>
    <w:rsid w:val="007E50D6"/>
    <w:rsid w:val="007E7497"/>
    <w:rsid w:val="0080075F"/>
    <w:rsid w:val="00800A67"/>
    <w:rsid w:val="00802440"/>
    <w:rsid w:val="00802E5C"/>
    <w:rsid w:val="00804B07"/>
    <w:rsid w:val="008054B2"/>
    <w:rsid w:val="00810FAA"/>
    <w:rsid w:val="008163BC"/>
    <w:rsid w:val="008168AD"/>
    <w:rsid w:val="00816EEA"/>
    <w:rsid w:val="00820779"/>
    <w:rsid w:val="0082670F"/>
    <w:rsid w:val="00831597"/>
    <w:rsid w:val="008321A0"/>
    <w:rsid w:val="00835827"/>
    <w:rsid w:val="00836E3E"/>
    <w:rsid w:val="00840E30"/>
    <w:rsid w:val="00840FE8"/>
    <w:rsid w:val="00844333"/>
    <w:rsid w:val="00844B35"/>
    <w:rsid w:val="00846754"/>
    <w:rsid w:val="00846927"/>
    <w:rsid w:val="00853F4C"/>
    <w:rsid w:val="00861129"/>
    <w:rsid w:val="00862164"/>
    <w:rsid w:val="00862F35"/>
    <w:rsid w:val="00872E1F"/>
    <w:rsid w:val="0087401B"/>
    <w:rsid w:val="00874EAD"/>
    <w:rsid w:val="00875806"/>
    <w:rsid w:val="0087713A"/>
    <w:rsid w:val="00880A32"/>
    <w:rsid w:val="00881962"/>
    <w:rsid w:val="008908B0"/>
    <w:rsid w:val="00894D0C"/>
    <w:rsid w:val="00895F58"/>
    <w:rsid w:val="008A045C"/>
    <w:rsid w:val="008B08B6"/>
    <w:rsid w:val="008B0949"/>
    <w:rsid w:val="008B7F2D"/>
    <w:rsid w:val="008C0317"/>
    <w:rsid w:val="008C1310"/>
    <w:rsid w:val="008C1392"/>
    <w:rsid w:val="008C5981"/>
    <w:rsid w:val="008D18D3"/>
    <w:rsid w:val="008D1F19"/>
    <w:rsid w:val="008D2BEF"/>
    <w:rsid w:val="008D32D4"/>
    <w:rsid w:val="008D3B7C"/>
    <w:rsid w:val="008D6193"/>
    <w:rsid w:val="008E0327"/>
    <w:rsid w:val="008E13EB"/>
    <w:rsid w:val="008E334A"/>
    <w:rsid w:val="008F2E04"/>
    <w:rsid w:val="008F32D2"/>
    <w:rsid w:val="008F38C0"/>
    <w:rsid w:val="008F4D20"/>
    <w:rsid w:val="008F4FFB"/>
    <w:rsid w:val="008F6198"/>
    <w:rsid w:val="0090091D"/>
    <w:rsid w:val="009012A5"/>
    <w:rsid w:val="00901603"/>
    <w:rsid w:val="00912C75"/>
    <w:rsid w:val="00914F8D"/>
    <w:rsid w:val="00916BCC"/>
    <w:rsid w:val="009177B4"/>
    <w:rsid w:val="0092125F"/>
    <w:rsid w:val="00930506"/>
    <w:rsid w:val="009350F2"/>
    <w:rsid w:val="0094264A"/>
    <w:rsid w:val="00942D89"/>
    <w:rsid w:val="0094354E"/>
    <w:rsid w:val="00945B21"/>
    <w:rsid w:val="00946713"/>
    <w:rsid w:val="009474C9"/>
    <w:rsid w:val="00950A24"/>
    <w:rsid w:val="00952A5A"/>
    <w:rsid w:val="00952CD9"/>
    <w:rsid w:val="00954E00"/>
    <w:rsid w:val="00955892"/>
    <w:rsid w:val="009566C0"/>
    <w:rsid w:val="0095716A"/>
    <w:rsid w:val="00963D77"/>
    <w:rsid w:val="00972AC1"/>
    <w:rsid w:val="00973CDB"/>
    <w:rsid w:val="00974662"/>
    <w:rsid w:val="009766AA"/>
    <w:rsid w:val="009851E7"/>
    <w:rsid w:val="00985C37"/>
    <w:rsid w:val="009930D6"/>
    <w:rsid w:val="009957E8"/>
    <w:rsid w:val="009A1787"/>
    <w:rsid w:val="009A3352"/>
    <w:rsid w:val="009A6049"/>
    <w:rsid w:val="009B1488"/>
    <w:rsid w:val="009B33B1"/>
    <w:rsid w:val="009C193E"/>
    <w:rsid w:val="009C2896"/>
    <w:rsid w:val="009D0AB1"/>
    <w:rsid w:val="009D1AA1"/>
    <w:rsid w:val="009E2478"/>
    <w:rsid w:val="009E5E17"/>
    <w:rsid w:val="009F12F5"/>
    <w:rsid w:val="009F1F00"/>
    <w:rsid w:val="009F39AA"/>
    <w:rsid w:val="00A026B1"/>
    <w:rsid w:val="00A02B03"/>
    <w:rsid w:val="00A06FA0"/>
    <w:rsid w:val="00A100CD"/>
    <w:rsid w:val="00A10245"/>
    <w:rsid w:val="00A10D61"/>
    <w:rsid w:val="00A12EC4"/>
    <w:rsid w:val="00A14BB1"/>
    <w:rsid w:val="00A17A50"/>
    <w:rsid w:val="00A262C4"/>
    <w:rsid w:val="00A2669F"/>
    <w:rsid w:val="00A31042"/>
    <w:rsid w:val="00A314DB"/>
    <w:rsid w:val="00A3182A"/>
    <w:rsid w:val="00A332DF"/>
    <w:rsid w:val="00A35435"/>
    <w:rsid w:val="00A43ACC"/>
    <w:rsid w:val="00A43E98"/>
    <w:rsid w:val="00A44471"/>
    <w:rsid w:val="00A45136"/>
    <w:rsid w:val="00A53A87"/>
    <w:rsid w:val="00A5405B"/>
    <w:rsid w:val="00A5420D"/>
    <w:rsid w:val="00A572D7"/>
    <w:rsid w:val="00A60E46"/>
    <w:rsid w:val="00A65F4B"/>
    <w:rsid w:val="00A7127A"/>
    <w:rsid w:val="00A7379E"/>
    <w:rsid w:val="00A7548D"/>
    <w:rsid w:val="00A760FB"/>
    <w:rsid w:val="00A82CA3"/>
    <w:rsid w:val="00A90CC1"/>
    <w:rsid w:val="00A93F47"/>
    <w:rsid w:val="00A9711F"/>
    <w:rsid w:val="00AA1F7E"/>
    <w:rsid w:val="00AA262C"/>
    <w:rsid w:val="00AA47FD"/>
    <w:rsid w:val="00AB092A"/>
    <w:rsid w:val="00AB2EE1"/>
    <w:rsid w:val="00AB5440"/>
    <w:rsid w:val="00AB617A"/>
    <w:rsid w:val="00AB7C8F"/>
    <w:rsid w:val="00AC1AC0"/>
    <w:rsid w:val="00AC2FD8"/>
    <w:rsid w:val="00AC4193"/>
    <w:rsid w:val="00AD33F2"/>
    <w:rsid w:val="00AD384A"/>
    <w:rsid w:val="00AD4C01"/>
    <w:rsid w:val="00AD7A29"/>
    <w:rsid w:val="00AF7D4E"/>
    <w:rsid w:val="00AF7F73"/>
    <w:rsid w:val="00B008FB"/>
    <w:rsid w:val="00B01C5A"/>
    <w:rsid w:val="00B020C4"/>
    <w:rsid w:val="00B05B82"/>
    <w:rsid w:val="00B05D61"/>
    <w:rsid w:val="00B14690"/>
    <w:rsid w:val="00B17486"/>
    <w:rsid w:val="00B22C97"/>
    <w:rsid w:val="00B23D4A"/>
    <w:rsid w:val="00B30A78"/>
    <w:rsid w:val="00B31D31"/>
    <w:rsid w:val="00B33F0C"/>
    <w:rsid w:val="00B344FD"/>
    <w:rsid w:val="00B360A0"/>
    <w:rsid w:val="00B51828"/>
    <w:rsid w:val="00B51E62"/>
    <w:rsid w:val="00B564FF"/>
    <w:rsid w:val="00B57945"/>
    <w:rsid w:val="00B61403"/>
    <w:rsid w:val="00B63920"/>
    <w:rsid w:val="00B93E3A"/>
    <w:rsid w:val="00B9536F"/>
    <w:rsid w:val="00B95C20"/>
    <w:rsid w:val="00B97FB2"/>
    <w:rsid w:val="00BA0B59"/>
    <w:rsid w:val="00BC1AED"/>
    <w:rsid w:val="00BC299D"/>
    <w:rsid w:val="00BC3E3D"/>
    <w:rsid w:val="00BC70B0"/>
    <w:rsid w:val="00BC7CF1"/>
    <w:rsid w:val="00BD07D1"/>
    <w:rsid w:val="00BD57ED"/>
    <w:rsid w:val="00BD5F62"/>
    <w:rsid w:val="00BD613C"/>
    <w:rsid w:val="00BE121A"/>
    <w:rsid w:val="00BE35D3"/>
    <w:rsid w:val="00BE7242"/>
    <w:rsid w:val="00BF28AC"/>
    <w:rsid w:val="00BF4653"/>
    <w:rsid w:val="00BF4F50"/>
    <w:rsid w:val="00C004EF"/>
    <w:rsid w:val="00C01E50"/>
    <w:rsid w:val="00C02726"/>
    <w:rsid w:val="00C138AA"/>
    <w:rsid w:val="00C157BB"/>
    <w:rsid w:val="00C21D4F"/>
    <w:rsid w:val="00C228AB"/>
    <w:rsid w:val="00C260CA"/>
    <w:rsid w:val="00C2769C"/>
    <w:rsid w:val="00C35DFA"/>
    <w:rsid w:val="00C36A87"/>
    <w:rsid w:val="00C424D6"/>
    <w:rsid w:val="00C535BD"/>
    <w:rsid w:val="00C568CA"/>
    <w:rsid w:val="00C6018A"/>
    <w:rsid w:val="00C6329D"/>
    <w:rsid w:val="00C64035"/>
    <w:rsid w:val="00C671D7"/>
    <w:rsid w:val="00C703CF"/>
    <w:rsid w:val="00C70A1C"/>
    <w:rsid w:val="00C71140"/>
    <w:rsid w:val="00C729F9"/>
    <w:rsid w:val="00C734A3"/>
    <w:rsid w:val="00C736E9"/>
    <w:rsid w:val="00C7433F"/>
    <w:rsid w:val="00C744FC"/>
    <w:rsid w:val="00C84C48"/>
    <w:rsid w:val="00C90DC2"/>
    <w:rsid w:val="00C90DE7"/>
    <w:rsid w:val="00C92C61"/>
    <w:rsid w:val="00CA349A"/>
    <w:rsid w:val="00CA539A"/>
    <w:rsid w:val="00CB2F9E"/>
    <w:rsid w:val="00CB652C"/>
    <w:rsid w:val="00CB7BD1"/>
    <w:rsid w:val="00CC5C18"/>
    <w:rsid w:val="00CC5F24"/>
    <w:rsid w:val="00CD0F0A"/>
    <w:rsid w:val="00CD37D7"/>
    <w:rsid w:val="00CD7838"/>
    <w:rsid w:val="00CE0EC8"/>
    <w:rsid w:val="00CE4018"/>
    <w:rsid w:val="00CF08C6"/>
    <w:rsid w:val="00CF1719"/>
    <w:rsid w:val="00CF1A41"/>
    <w:rsid w:val="00CF21BC"/>
    <w:rsid w:val="00CF4AD2"/>
    <w:rsid w:val="00D00838"/>
    <w:rsid w:val="00D01324"/>
    <w:rsid w:val="00D02FC4"/>
    <w:rsid w:val="00D04F38"/>
    <w:rsid w:val="00D05C01"/>
    <w:rsid w:val="00D126F6"/>
    <w:rsid w:val="00D12EB2"/>
    <w:rsid w:val="00D255F2"/>
    <w:rsid w:val="00D31645"/>
    <w:rsid w:val="00D32478"/>
    <w:rsid w:val="00D37B9C"/>
    <w:rsid w:val="00D422FD"/>
    <w:rsid w:val="00D47D09"/>
    <w:rsid w:val="00D47ED0"/>
    <w:rsid w:val="00D52E20"/>
    <w:rsid w:val="00D570C4"/>
    <w:rsid w:val="00D60200"/>
    <w:rsid w:val="00D60E0A"/>
    <w:rsid w:val="00D62F57"/>
    <w:rsid w:val="00D646EC"/>
    <w:rsid w:val="00D662BB"/>
    <w:rsid w:val="00D67EA9"/>
    <w:rsid w:val="00D70202"/>
    <w:rsid w:val="00D7093D"/>
    <w:rsid w:val="00D70B23"/>
    <w:rsid w:val="00D70E09"/>
    <w:rsid w:val="00D7243E"/>
    <w:rsid w:val="00D77DAE"/>
    <w:rsid w:val="00D81D1D"/>
    <w:rsid w:val="00D833A9"/>
    <w:rsid w:val="00D84AF2"/>
    <w:rsid w:val="00D872D2"/>
    <w:rsid w:val="00D90936"/>
    <w:rsid w:val="00D9099B"/>
    <w:rsid w:val="00D91C08"/>
    <w:rsid w:val="00D95745"/>
    <w:rsid w:val="00D96219"/>
    <w:rsid w:val="00D96BC4"/>
    <w:rsid w:val="00DA39F4"/>
    <w:rsid w:val="00DA5042"/>
    <w:rsid w:val="00DB005E"/>
    <w:rsid w:val="00DB1F5C"/>
    <w:rsid w:val="00DC057F"/>
    <w:rsid w:val="00DC1B25"/>
    <w:rsid w:val="00DC54AC"/>
    <w:rsid w:val="00DC57FB"/>
    <w:rsid w:val="00DD3D71"/>
    <w:rsid w:val="00DD49B6"/>
    <w:rsid w:val="00DE07CA"/>
    <w:rsid w:val="00DE1E9B"/>
    <w:rsid w:val="00DE271B"/>
    <w:rsid w:val="00DE2C42"/>
    <w:rsid w:val="00DE68F2"/>
    <w:rsid w:val="00DF6285"/>
    <w:rsid w:val="00E07948"/>
    <w:rsid w:val="00E10F3B"/>
    <w:rsid w:val="00E12840"/>
    <w:rsid w:val="00E14408"/>
    <w:rsid w:val="00E14DC7"/>
    <w:rsid w:val="00E20A4F"/>
    <w:rsid w:val="00E269E8"/>
    <w:rsid w:val="00E27EAF"/>
    <w:rsid w:val="00E310CB"/>
    <w:rsid w:val="00E33A69"/>
    <w:rsid w:val="00E350ED"/>
    <w:rsid w:val="00E3661E"/>
    <w:rsid w:val="00E42CFE"/>
    <w:rsid w:val="00E4364A"/>
    <w:rsid w:val="00E4543F"/>
    <w:rsid w:val="00E47525"/>
    <w:rsid w:val="00E54FCF"/>
    <w:rsid w:val="00E60592"/>
    <w:rsid w:val="00E649EB"/>
    <w:rsid w:val="00E70330"/>
    <w:rsid w:val="00E70BFD"/>
    <w:rsid w:val="00E72510"/>
    <w:rsid w:val="00E760A6"/>
    <w:rsid w:val="00E763A2"/>
    <w:rsid w:val="00E76870"/>
    <w:rsid w:val="00E77B2A"/>
    <w:rsid w:val="00E77F80"/>
    <w:rsid w:val="00E823DE"/>
    <w:rsid w:val="00E91FFE"/>
    <w:rsid w:val="00E9539E"/>
    <w:rsid w:val="00E95A0C"/>
    <w:rsid w:val="00EA0995"/>
    <w:rsid w:val="00EA680E"/>
    <w:rsid w:val="00EB0716"/>
    <w:rsid w:val="00EC0A60"/>
    <w:rsid w:val="00EC1D28"/>
    <w:rsid w:val="00EC4087"/>
    <w:rsid w:val="00EC460E"/>
    <w:rsid w:val="00EC6473"/>
    <w:rsid w:val="00ED077B"/>
    <w:rsid w:val="00ED5DB9"/>
    <w:rsid w:val="00ED7A4D"/>
    <w:rsid w:val="00EE0E85"/>
    <w:rsid w:val="00EE1895"/>
    <w:rsid w:val="00EF4017"/>
    <w:rsid w:val="00EF54E0"/>
    <w:rsid w:val="00EF61D1"/>
    <w:rsid w:val="00F021FE"/>
    <w:rsid w:val="00F033E7"/>
    <w:rsid w:val="00F04D85"/>
    <w:rsid w:val="00F06AE9"/>
    <w:rsid w:val="00F14268"/>
    <w:rsid w:val="00F14358"/>
    <w:rsid w:val="00F14C80"/>
    <w:rsid w:val="00F17093"/>
    <w:rsid w:val="00F17812"/>
    <w:rsid w:val="00F223F4"/>
    <w:rsid w:val="00F23EA1"/>
    <w:rsid w:val="00F255B3"/>
    <w:rsid w:val="00F30517"/>
    <w:rsid w:val="00F33181"/>
    <w:rsid w:val="00F342AF"/>
    <w:rsid w:val="00F45452"/>
    <w:rsid w:val="00F456EB"/>
    <w:rsid w:val="00F50016"/>
    <w:rsid w:val="00F51FC5"/>
    <w:rsid w:val="00F522E8"/>
    <w:rsid w:val="00F61017"/>
    <w:rsid w:val="00F63B9C"/>
    <w:rsid w:val="00F721D0"/>
    <w:rsid w:val="00F75A02"/>
    <w:rsid w:val="00F81E03"/>
    <w:rsid w:val="00F8269F"/>
    <w:rsid w:val="00F864E5"/>
    <w:rsid w:val="00F9036A"/>
    <w:rsid w:val="00F90875"/>
    <w:rsid w:val="00F92515"/>
    <w:rsid w:val="00F9464D"/>
    <w:rsid w:val="00FA3D75"/>
    <w:rsid w:val="00FA5477"/>
    <w:rsid w:val="00FA55B4"/>
    <w:rsid w:val="00FB0847"/>
    <w:rsid w:val="00FB2F52"/>
    <w:rsid w:val="00FC04D4"/>
    <w:rsid w:val="00FD1428"/>
    <w:rsid w:val="00FD1C65"/>
    <w:rsid w:val="00FD7AE7"/>
    <w:rsid w:val="00FE63D6"/>
    <w:rsid w:val="00FE7A03"/>
    <w:rsid w:val="00FF2980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FED3798"/>
  <w15:chartTrackingRefBased/>
  <w15:docId w15:val="{2FDE357D-A031-46A4-9259-5F74E0D8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4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A24"/>
    <w:pPr>
      <w:spacing w:line="256" w:lineRule="auto"/>
      <w:ind w:left="720"/>
      <w:contextualSpacing/>
    </w:pPr>
  </w:style>
  <w:style w:type="paragraph" w:customStyle="1" w:styleId="xmsonormal">
    <w:name w:val="x_msonormal"/>
    <w:basedOn w:val="Normal"/>
    <w:rsid w:val="00950A24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209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34209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2092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386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43C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F4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F401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649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3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2C"/>
  </w:style>
  <w:style w:type="paragraph" w:styleId="Footer">
    <w:name w:val="footer"/>
    <w:basedOn w:val="Normal"/>
    <w:link w:val="FooterChar"/>
    <w:uiPriority w:val="99"/>
    <w:unhideWhenUsed/>
    <w:rsid w:val="003B3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2C"/>
  </w:style>
  <w:style w:type="character" w:customStyle="1" w:styleId="Heading1Char">
    <w:name w:val="Heading 1 Char"/>
    <w:basedOn w:val="DefaultParagraphFont"/>
    <w:link w:val="Heading1"/>
    <w:uiPriority w:val="9"/>
    <w:rsid w:val="005E2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gem-c-lead-paragraph">
    <w:name w:val="gem-c-lead-paragraph"/>
    <w:basedOn w:val="Normal"/>
    <w:rsid w:val="005E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F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F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F50"/>
    <w:rPr>
      <w:vertAlign w:val="superscript"/>
    </w:rPr>
  </w:style>
  <w:style w:type="table" w:styleId="TableGrid">
    <w:name w:val="Table Grid"/>
    <w:basedOn w:val="TableNormal"/>
    <w:uiPriority w:val="39"/>
    <w:rsid w:val="001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hyperlink" Target="https://eur-lex.europa.eu/legal-content/EN/TXT/?uri=celex%3A32004L0113" TargetMode="External"/><Relationship Id="rId18" Type="http://schemas.openxmlformats.org/officeDocument/2006/relationships/hyperlink" Target="mailto:DMU@equalityni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ihrc.org/human-rights-after-brex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protocol-on-irelandnorthern-ireland-article-2" TargetMode="External"/><Relationship Id="rId17" Type="http://schemas.openxmlformats.org/officeDocument/2006/relationships/hyperlink" Target="https://eur-lex.europa.eu/legal-content/EN/ALL/?uri=celex%3A31979L00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uri=celex%3A32010L0041" TargetMode="External"/><Relationship Id="rId20" Type="http://schemas.openxmlformats.org/officeDocument/2006/relationships/hyperlink" Target="mailto:info@nihrc.org?subject=Brexit%20enquiry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hrc.org/human-rights-after-brex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EN/TXT/HTML/?uri=CELEX:32000L0078&amp;from=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qualityni.org/brexit" TargetMode="External"/><Relationship Id="rId19" Type="http://schemas.openxmlformats.org/officeDocument/2006/relationships/hyperlink" Target="http://www.equalityni.org/brex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ur-lex.europa.eu/legal-content/EN/TXT/?uri=CELEX%3A32000L004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1D71-2D75-4D01-ABE5-A0F74772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Cosgrove</dc:creator>
  <cp:keywords/>
  <dc:description/>
  <cp:lastModifiedBy>Melanie Bradford</cp:lastModifiedBy>
  <cp:revision>58</cp:revision>
  <dcterms:created xsi:type="dcterms:W3CDTF">2021-03-04T11:37:00Z</dcterms:created>
  <dcterms:modified xsi:type="dcterms:W3CDTF">2021-05-06T11:37:00Z</dcterms:modified>
</cp:coreProperties>
</file>