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EF87D" w14:textId="77777777" w:rsidR="00F31387" w:rsidRDefault="00F31387" w:rsidP="003B7D0E">
      <w:pPr>
        <w:pStyle w:val="BasicParagraph"/>
        <w:suppressAutoHyphens/>
        <w:jc w:val="center"/>
        <w:rPr>
          <w:rFonts w:ascii="Verdana" w:hAnsi="Verdana" w:cs="Arial"/>
          <w:b/>
          <w:bCs/>
          <w:color w:val="734791"/>
          <w:sz w:val="36"/>
          <w:szCs w:val="36"/>
        </w:rPr>
      </w:pPr>
      <w:r w:rsidRPr="00EA12CE">
        <w:rPr>
          <w:rFonts w:ascii="Verdana" w:hAnsi="Verdana" w:cs="Arial"/>
          <w:b/>
          <w:bCs/>
          <w:noProof/>
          <w:color w:val="734791"/>
          <w:sz w:val="36"/>
          <w:szCs w:val="36"/>
          <w:lang w:eastAsia="en-GB"/>
        </w:rPr>
        <w:drawing>
          <wp:inline distT="0" distB="0" distL="0" distR="0" wp14:anchorId="0ABB8E63" wp14:editId="58523385">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19DFB711" w14:textId="77777777" w:rsidR="003B7D0E" w:rsidRPr="00EA12CE" w:rsidRDefault="003B7D0E" w:rsidP="003B7D0E">
      <w:pPr>
        <w:pStyle w:val="BasicParagraph"/>
        <w:suppressAutoHyphens/>
        <w:jc w:val="center"/>
        <w:rPr>
          <w:rFonts w:ascii="Verdana" w:hAnsi="Verdana" w:cs="Arial"/>
          <w:b/>
          <w:bCs/>
          <w:color w:val="734791"/>
          <w:sz w:val="36"/>
          <w:szCs w:val="36"/>
        </w:rPr>
      </w:pPr>
    </w:p>
    <w:p w14:paraId="367ED0FB" w14:textId="77777777" w:rsidR="0096459E" w:rsidRPr="003B7D0E" w:rsidRDefault="00A07CA8" w:rsidP="003B7D0E">
      <w:pPr>
        <w:pStyle w:val="BasicParagraph"/>
        <w:suppressAutoHyphens/>
        <w:jc w:val="center"/>
        <w:rPr>
          <w:rFonts w:ascii="Verdana" w:hAnsi="Verdana" w:cs="Arial"/>
          <w:b/>
          <w:color w:val="77328A"/>
          <w:sz w:val="36"/>
          <w:szCs w:val="36"/>
        </w:rPr>
      </w:pPr>
      <w:r>
        <w:rPr>
          <w:rFonts w:ascii="Verdana" w:hAnsi="Verdana" w:cs="Arial"/>
          <w:b/>
          <w:bCs/>
          <w:color w:val="77328A"/>
          <w:sz w:val="36"/>
          <w:szCs w:val="36"/>
        </w:rPr>
        <w:t xml:space="preserve">NIHRC Submission to Committee for Economy on the </w:t>
      </w:r>
      <w:r w:rsidR="007836A4">
        <w:rPr>
          <w:rFonts w:ascii="Verdana" w:hAnsi="Verdana" w:cs="Arial"/>
          <w:b/>
          <w:bCs/>
          <w:color w:val="77328A"/>
          <w:sz w:val="36"/>
          <w:szCs w:val="36"/>
        </w:rPr>
        <w:t>P</w:t>
      </w:r>
      <w:r w:rsidR="007836A4" w:rsidRPr="007836A4">
        <w:rPr>
          <w:rFonts w:ascii="Verdana" w:hAnsi="Verdana" w:cs="Arial"/>
          <w:b/>
          <w:bCs/>
          <w:color w:val="77328A"/>
          <w:sz w:val="36"/>
          <w:szCs w:val="36"/>
        </w:rPr>
        <w:t>arental Bereavement (Leave and Pay) Bill</w:t>
      </w:r>
    </w:p>
    <w:p w14:paraId="3A2403CD" w14:textId="77777777" w:rsidR="00F31387" w:rsidRPr="00331C61" w:rsidRDefault="00F31387" w:rsidP="003B7D0E">
      <w:pPr>
        <w:pStyle w:val="Default"/>
        <w:spacing w:line="288" w:lineRule="auto"/>
        <w:jc w:val="center"/>
        <w:rPr>
          <w:rFonts w:cs="Arial"/>
          <w:color w:val="232120"/>
          <w:sz w:val="36"/>
          <w:szCs w:val="36"/>
        </w:rPr>
      </w:pPr>
    </w:p>
    <w:p w14:paraId="12B2A86A" w14:textId="77777777" w:rsidR="00046705" w:rsidRPr="00331C61" w:rsidRDefault="007836A4" w:rsidP="003B7D0E">
      <w:pPr>
        <w:spacing w:line="288" w:lineRule="auto"/>
        <w:jc w:val="center"/>
        <w:rPr>
          <w:rFonts w:ascii="Verdana" w:hAnsi="Verdana" w:cs="Arial"/>
          <w:b/>
          <w:color w:val="232120"/>
          <w:sz w:val="28"/>
          <w:szCs w:val="28"/>
        </w:rPr>
      </w:pPr>
      <w:r>
        <w:rPr>
          <w:rFonts w:ascii="Verdana" w:hAnsi="Verdana" w:cs="Arial"/>
          <w:b/>
          <w:color w:val="232120"/>
          <w:sz w:val="30"/>
          <w:szCs w:val="30"/>
        </w:rPr>
        <w:t>August 2021</w:t>
      </w:r>
    </w:p>
    <w:p w14:paraId="6AF3B549" w14:textId="77777777" w:rsidR="00046705" w:rsidRPr="00331C61" w:rsidRDefault="00046705" w:rsidP="003B7D0E">
      <w:pPr>
        <w:spacing w:line="288" w:lineRule="auto"/>
        <w:jc w:val="center"/>
        <w:rPr>
          <w:rFonts w:ascii="Verdana" w:hAnsi="Verdana" w:cs="Arial"/>
          <w:b/>
          <w:color w:val="232120"/>
          <w:sz w:val="28"/>
          <w:szCs w:val="28"/>
        </w:rPr>
      </w:pPr>
    </w:p>
    <w:p w14:paraId="227E9600" w14:textId="77777777" w:rsidR="00EA12CE" w:rsidRPr="00331C61" w:rsidRDefault="00EA12CE" w:rsidP="003B7D0E">
      <w:pPr>
        <w:pStyle w:val="Default"/>
        <w:spacing w:line="288" w:lineRule="auto"/>
        <w:jc w:val="center"/>
        <w:rPr>
          <w:rFonts w:cs="Arial"/>
          <w:b/>
          <w:color w:val="232120"/>
          <w:sz w:val="28"/>
          <w:szCs w:val="28"/>
          <w:lang w:val="en-GB"/>
        </w:rPr>
      </w:pPr>
    </w:p>
    <w:p w14:paraId="6D4D47CD" w14:textId="77777777" w:rsidR="003B7D0E" w:rsidRPr="00331C61" w:rsidRDefault="003B7D0E" w:rsidP="003B7D0E">
      <w:pPr>
        <w:pStyle w:val="Default"/>
        <w:spacing w:line="480" w:lineRule="auto"/>
        <w:jc w:val="center"/>
        <w:rPr>
          <w:rFonts w:cs="Arial"/>
          <w:b/>
          <w:color w:val="232120"/>
          <w:sz w:val="36"/>
          <w:szCs w:val="36"/>
        </w:rPr>
      </w:pPr>
    </w:p>
    <w:p w14:paraId="48C88074" w14:textId="77777777" w:rsidR="003B7D0E" w:rsidRDefault="003B7D0E" w:rsidP="003B7D0E">
      <w:pPr>
        <w:pStyle w:val="Default"/>
        <w:spacing w:line="480" w:lineRule="auto"/>
        <w:jc w:val="center"/>
        <w:rPr>
          <w:rFonts w:cs="Arial"/>
          <w:b/>
          <w:color w:val="232120"/>
          <w:sz w:val="36"/>
          <w:szCs w:val="36"/>
        </w:rPr>
      </w:pPr>
    </w:p>
    <w:p w14:paraId="4EF4BB14" w14:textId="77777777" w:rsidR="000A1BB2" w:rsidRDefault="000A1BB2" w:rsidP="003B7D0E">
      <w:pPr>
        <w:pStyle w:val="Default"/>
        <w:spacing w:line="480" w:lineRule="auto"/>
        <w:jc w:val="center"/>
        <w:rPr>
          <w:rFonts w:cs="Arial"/>
          <w:b/>
          <w:color w:val="232120"/>
          <w:sz w:val="36"/>
          <w:szCs w:val="36"/>
        </w:rPr>
      </w:pPr>
    </w:p>
    <w:p w14:paraId="1DB9DF69" w14:textId="77777777" w:rsidR="000A1BB2" w:rsidRDefault="000A1BB2" w:rsidP="003B7D0E">
      <w:pPr>
        <w:pStyle w:val="Default"/>
        <w:spacing w:line="480" w:lineRule="auto"/>
        <w:jc w:val="center"/>
        <w:rPr>
          <w:rFonts w:cs="Arial"/>
          <w:b/>
          <w:color w:val="232120"/>
          <w:sz w:val="36"/>
          <w:szCs w:val="36"/>
        </w:rPr>
      </w:pPr>
    </w:p>
    <w:p w14:paraId="7EBC7D42" w14:textId="77777777" w:rsidR="000A1BB2" w:rsidRDefault="000A1BB2" w:rsidP="003B7D0E">
      <w:pPr>
        <w:pStyle w:val="Default"/>
        <w:spacing w:line="480" w:lineRule="auto"/>
        <w:jc w:val="center"/>
        <w:rPr>
          <w:rFonts w:cs="Arial"/>
          <w:b/>
          <w:color w:val="232120"/>
          <w:sz w:val="36"/>
          <w:szCs w:val="36"/>
        </w:rPr>
      </w:pPr>
    </w:p>
    <w:sdt>
      <w:sdtPr>
        <w:rPr>
          <w:rFonts w:asciiTheme="minorHAnsi" w:eastAsiaTheme="minorEastAsia" w:hAnsiTheme="minorHAnsi" w:cstheme="minorBidi"/>
          <w:color w:val="auto"/>
          <w:sz w:val="24"/>
          <w:szCs w:val="24"/>
          <w:lang w:val="en-GB"/>
        </w:rPr>
        <w:id w:val="-341697565"/>
        <w:docPartObj>
          <w:docPartGallery w:val="Table of Contents"/>
          <w:docPartUnique/>
        </w:docPartObj>
      </w:sdtPr>
      <w:sdtEndPr>
        <w:rPr>
          <w:b/>
          <w:bCs/>
          <w:noProof/>
        </w:rPr>
      </w:sdtEndPr>
      <w:sdtContent>
        <w:p w14:paraId="201E3D12" w14:textId="77777777" w:rsidR="000A1BB2" w:rsidRPr="000A1BB2" w:rsidRDefault="000A1BB2">
          <w:pPr>
            <w:pStyle w:val="TOCHeading"/>
            <w:rPr>
              <w:rFonts w:ascii="Verdana" w:hAnsi="Verdana"/>
              <w:b/>
              <w:color w:val="7030A0"/>
              <w:sz w:val="30"/>
              <w:szCs w:val="30"/>
            </w:rPr>
          </w:pPr>
          <w:r w:rsidRPr="000A1BB2">
            <w:rPr>
              <w:rFonts w:ascii="Verdana" w:hAnsi="Verdana"/>
              <w:b/>
              <w:color w:val="7030A0"/>
              <w:sz w:val="30"/>
              <w:szCs w:val="30"/>
            </w:rPr>
            <w:t>Contents</w:t>
          </w:r>
        </w:p>
        <w:p w14:paraId="4319AB30" w14:textId="77777777" w:rsidR="000A1BB2" w:rsidRPr="00E66856" w:rsidRDefault="000A1BB2" w:rsidP="000A1BB2">
          <w:pPr>
            <w:rPr>
              <w:b/>
              <w:lang w:val="en-US"/>
            </w:rPr>
          </w:pPr>
        </w:p>
        <w:p w14:paraId="5A0DB111" w14:textId="3F44EDE8" w:rsidR="00F5217E" w:rsidRPr="00F5217E" w:rsidRDefault="000A1BB2">
          <w:pPr>
            <w:pStyle w:val="TOC1"/>
            <w:tabs>
              <w:tab w:val="right" w:leader="dot" w:pos="9848"/>
            </w:tabs>
            <w:rPr>
              <w:rFonts w:ascii="Verdana" w:hAnsi="Verdana"/>
              <w:b/>
              <w:noProof/>
              <w:sz w:val="22"/>
              <w:szCs w:val="22"/>
              <w:lang w:eastAsia="en-GB"/>
            </w:rPr>
          </w:pPr>
          <w:r w:rsidRPr="00E66856">
            <w:rPr>
              <w:rFonts w:ascii="Verdana" w:hAnsi="Verdana"/>
              <w:b/>
            </w:rPr>
            <w:fldChar w:fldCharType="begin"/>
          </w:r>
          <w:r w:rsidRPr="00E66856">
            <w:rPr>
              <w:rFonts w:ascii="Verdana" w:hAnsi="Verdana"/>
              <w:b/>
            </w:rPr>
            <w:instrText xml:space="preserve"> TOC \o "1-3" \h \z \u </w:instrText>
          </w:r>
          <w:r w:rsidRPr="00E66856">
            <w:rPr>
              <w:rFonts w:ascii="Verdana" w:hAnsi="Verdana"/>
              <w:b/>
            </w:rPr>
            <w:fldChar w:fldCharType="separate"/>
          </w:r>
          <w:hyperlink w:anchor="_Toc80779462" w:history="1">
            <w:r w:rsidR="00F5217E" w:rsidRPr="00F5217E">
              <w:rPr>
                <w:rStyle w:val="Hyperlink"/>
                <w:rFonts w:ascii="Verdana" w:hAnsi="Verdana"/>
                <w:b/>
                <w:noProof/>
              </w:rPr>
              <w:t>Summary of Recommendations</w:t>
            </w:r>
            <w:r w:rsidR="00F5217E" w:rsidRPr="00F5217E">
              <w:rPr>
                <w:rFonts w:ascii="Verdana" w:hAnsi="Verdana"/>
                <w:b/>
                <w:noProof/>
                <w:webHidden/>
              </w:rPr>
              <w:tab/>
            </w:r>
            <w:r w:rsidR="00F5217E" w:rsidRPr="00F5217E">
              <w:rPr>
                <w:rFonts w:ascii="Verdana" w:hAnsi="Verdana"/>
                <w:b/>
                <w:noProof/>
                <w:webHidden/>
              </w:rPr>
              <w:fldChar w:fldCharType="begin"/>
            </w:r>
            <w:r w:rsidR="00F5217E" w:rsidRPr="00F5217E">
              <w:rPr>
                <w:rFonts w:ascii="Verdana" w:hAnsi="Verdana"/>
                <w:b/>
                <w:noProof/>
                <w:webHidden/>
              </w:rPr>
              <w:instrText xml:space="preserve"> PAGEREF _Toc80779462 \h </w:instrText>
            </w:r>
            <w:r w:rsidR="00F5217E" w:rsidRPr="00F5217E">
              <w:rPr>
                <w:rFonts w:ascii="Verdana" w:hAnsi="Verdana"/>
                <w:b/>
                <w:noProof/>
                <w:webHidden/>
              </w:rPr>
            </w:r>
            <w:r w:rsidR="00F5217E" w:rsidRPr="00F5217E">
              <w:rPr>
                <w:rFonts w:ascii="Verdana" w:hAnsi="Verdana"/>
                <w:b/>
                <w:noProof/>
                <w:webHidden/>
              </w:rPr>
              <w:fldChar w:fldCharType="separate"/>
            </w:r>
            <w:r w:rsidR="00F5217E" w:rsidRPr="00F5217E">
              <w:rPr>
                <w:rFonts w:ascii="Verdana" w:hAnsi="Verdana"/>
                <w:b/>
                <w:noProof/>
                <w:webHidden/>
              </w:rPr>
              <w:t>3</w:t>
            </w:r>
            <w:r w:rsidR="00F5217E" w:rsidRPr="00F5217E">
              <w:rPr>
                <w:rFonts w:ascii="Verdana" w:hAnsi="Verdana"/>
                <w:b/>
                <w:noProof/>
                <w:webHidden/>
              </w:rPr>
              <w:fldChar w:fldCharType="end"/>
            </w:r>
          </w:hyperlink>
        </w:p>
        <w:p w14:paraId="5A4EB736" w14:textId="1A1274E0" w:rsidR="00F5217E" w:rsidRPr="00F5217E" w:rsidRDefault="00FB4EB6">
          <w:pPr>
            <w:pStyle w:val="TOC1"/>
            <w:tabs>
              <w:tab w:val="left" w:pos="660"/>
              <w:tab w:val="right" w:leader="dot" w:pos="9848"/>
            </w:tabs>
            <w:rPr>
              <w:rFonts w:ascii="Verdana" w:hAnsi="Verdana"/>
              <w:b/>
              <w:noProof/>
              <w:sz w:val="22"/>
              <w:szCs w:val="22"/>
              <w:lang w:eastAsia="en-GB"/>
            </w:rPr>
          </w:pPr>
          <w:hyperlink w:anchor="_Toc80779463" w:history="1">
            <w:r w:rsidR="00F5217E" w:rsidRPr="00F5217E">
              <w:rPr>
                <w:rStyle w:val="Hyperlink"/>
                <w:rFonts w:ascii="Verdana" w:hAnsi="Verdana"/>
                <w:b/>
                <w:noProof/>
              </w:rPr>
              <w:t>1.0</w:t>
            </w:r>
            <w:r w:rsidR="00F5217E" w:rsidRPr="00F5217E">
              <w:rPr>
                <w:rFonts w:ascii="Verdana" w:hAnsi="Verdana"/>
                <w:b/>
                <w:noProof/>
                <w:sz w:val="22"/>
                <w:szCs w:val="22"/>
                <w:lang w:eastAsia="en-GB"/>
              </w:rPr>
              <w:tab/>
            </w:r>
            <w:r w:rsidR="00F5217E" w:rsidRPr="00F5217E">
              <w:rPr>
                <w:rStyle w:val="Hyperlink"/>
                <w:rFonts w:ascii="Verdana" w:hAnsi="Verdana"/>
                <w:b/>
                <w:noProof/>
              </w:rPr>
              <w:t>Introduction</w:t>
            </w:r>
            <w:r w:rsidR="00F5217E" w:rsidRPr="00F5217E">
              <w:rPr>
                <w:rFonts w:ascii="Verdana" w:hAnsi="Verdana"/>
                <w:b/>
                <w:noProof/>
                <w:webHidden/>
              </w:rPr>
              <w:tab/>
            </w:r>
            <w:r w:rsidR="00F5217E" w:rsidRPr="00F5217E">
              <w:rPr>
                <w:rFonts w:ascii="Verdana" w:hAnsi="Verdana"/>
                <w:b/>
                <w:noProof/>
                <w:webHidden/>
              </w:rPr>
              <w:fldChar w:fldCharType="begin"/>
            </w:r>
            <w:r w:rsidR="00F5217E" w:rsidRPr="00F5217E">
              <w:rPr>
                <w:rFonts w:ascii="Verdana" w:hAnsi="Verdana"/>
                <w:b/>
                <w:noProof/>
                <w:webHidden/>
              </w:rPr>
              <w:instrText xml:space="preserve"> PAGEREF _Toc80779463 \h </w:instrText>
            </w:r>
            <w:r w:rsidR="00F5217E" w:rsidRPr="00F5217E">
              <w:rPr>
                <w:rFonts w:ascii="Verdana" w:hAnsi="Verdana"/>
                <w:b/>
                <w:noProof/>
                <w:webHidden/>
              </w:rPr>
            </w:r>
            <w:r w:rsidR="00F5217E" w:rsidRPr="00F5217E">
              <w:rPr>
                <w:rFonts w:ascii="Verdana" w:hAnsi="Verdana"/>
                <w:b/>
                <w:noProof/>
                <w:webHidden/>
              </w:rPr>
              <w:fldChar w:fldCharType="separate"/>
            </w:r>
            <w:r w:rsidR="00F5217E" w:rsidRPr="00F5217E">
              <w:rPr>
                <w:rFonts w:ascii="Verdana" w:hAnsi="Verdana"/>
                <w:b/>
                <w:noProof/>
                <w:webHidden/>
              </w:rPr>
              <w:t>4</w:t>
            </w:r>
            <w:r w:rsidR="00F5217E" w:rsidRPr="00F5217E">
              <w:rPr>
                <w:rFonts w:ascii="Verdana" w:hAnsi="Verdana"/>
                <w:b/>
                <w:noProof/>
                <w:webHidden/>
              </w:rPr>
              <w:fldChar w:fldCharType="end"/>
            </w:r>
          </w:hyperlink>
        </w:p>
        <w:p w14:paraId="18D76AE3" w14:textId="21FD8DA5" w:rsidR="00F5217E" w:rsidRPr="00F5217E" w:rsidRDefault="00FB4EB6">
          <w:pPr>
            <w:pStyle w:val="TOC1"/>
            <w:tabs>
              <w:tab w:val="left" w:pos="660"/>
              <w:tab w:val="right" w:leader="dot" w:pos="9848"/>
            </w:tabs>
            <w:rPr>
              <w:rFonts w:ascii="Verdana" w:hAnsi="Verdana"/>
              <w:b/>
              <w:noProof/>
              <w:sz w:val="22"/>
              <w:szCs w:val="22"/>
              <w:lang w:eastAsia="en-GB"/>
            </w:rPr>
          </w:pPr>
          <w:hyperlink w:anchor="_Toc80779464" w:history="1">
            <w:r w:rsidR="00F5217E" w:rsidRPr="00F5217E">
              <w:rPr>
                <w:rStyle w:val="Hyperlink"/>
                <w:rFonts w:ascii="Verdana" w:hAnsi="Verdana"/>
                <w:b/>
                <w:noProof/>
              </w:rPr>
              <w:t>2.0</w:t>
            </w:r>
            <w:r w:rsidR="00F5217E" w:rsidRPr="00F5217E">
              <w:rPr>
                <w:rFonts w:ascii="Verdana" w:hAnsi="Verdana"/>
                <w:b/>
                <w:noProof/>
                <w:sz w:val="22"/>
                <w:szCs w:val="22"/>
                <w:lang w:eastAsia="en-GB"/>
              </w:rPr>
              <w:tab/>
            </w:r>
            <w:r w:rsidR="00F5217E" w:rsidRPr="00F5217E">
              <w:rPr>
                <w:rStyle w:val="Hyperlink"/>
                <w:rFonts w:ascii="Verdana" w:hAnsi="Verdana"/>
                <w:b/>
                <w:noProof/>
              </w:rPr>
              <w:t>General Comments on the Bill</w:t>
            </w:r>
            <w:r w:rsidR="00F5217E" w:rsidRPr="00F5217E">
              <w:rPr>
                <w:rFonts w:ascii="Verdana" w:hAnsi="Verdana"/>
                <w:b/>
                <w:noProof/>
                <w:webHidden/>
              </w:rPr>
              <w:tab/>
            </w:r>
            <w:r w:rsidR="00F5217E" w:rsidRPr="00F5217E">
              <w:rPr>
                <w:rFonts w:ascii="Verdana" w:hAnsi="Verdana"/>
                <w:b/>
                <w:noProof/>
                <w:webHidden/>
              </w:rPr>
              <w:fldChar w:fldCharType="begin"/>
            </w:r>
            <w:r w:rsidR="00F5217E" w:rsidRPr="00F5217E">
              <w:rPr>
                <w:rFonts w:ascii="Verdana" w:hAnsi="Verdana"/>
                <w:b/>
                <w:noProof/>
                <w:webHidden/>
              </w:rPr>
              <w:instrText xml:space="preserve"> PAGEREF _Toc80779464 \h </w:instrText>
            </w:r>
            <w:r w:rsidR="00F5217E" w:rsidRPr="00F5217E">
              <w:rPr>
                <w:rFonts w:ascii="Verdana" w:hAnsi="Verdana"/>
                <w:b/>
                <w:noProof/>
                <w:webHidden/>
              </w:rPr>
            </w:r>
            <w:r w:rsidR="00F5217E" w:rsidRPr="00F5217E">
              <w:rPr>
                <w:rFonts w:ascii="Verdana" w:hAnsi="Verdana"/>
                <w:b/>
                <w:noProof/>
                <w:webHidden/>
              </w:rPr>
              <w:fldChar w:fldCharType="separate"/>
            </w:r>
            <w:r w:rsidR="00F5217E" w:rsidRPr="00F5217E">
              <w:rPr>
                <w:rFonts w:ascii="Verdana" w:hAnsi="Verdana"/>
                <w:b/>
                <w:noProof/>
                <w:webHidden/>
              </w:rPr>
              <w:t>5</w:t>
            </w:r>
            <w:r w:rsidR="00F5217E" w:rsidRPr="00F5217E">
              <w:rPr>
                <w:rFonts w:ascii="Verdana" w:hAnsi="Verdana"/>
                <w:b/>
                <w:noProof/>
                <w:webHidden/>
              </w:rPr>
              <w:fldChar w:fldCharType="end"/>
            </w:r>
          </w:hyperlink>
        </w:p>
        <w:p w14:paraId="1B2C38E5" w14:textId="62853165" w:rsidR="00F5217E" w:rsidRPr="00F5217E" w:rsidRDefault="00FB4EB6">
          <w:pPr>
            <w:pStyle w:val="TOC2"/>
            <w:tabs>
              <w:tab w:val="right" w:leader="dot" w:pos="9848"/>
            </w:tabs>
            <w:rPr>
              <w:rFonts w:ascii="Verdana" w:hAnsi="Verdana"/>
              <w:noProof/>
              <w:sz w:val="22"/>
              <w:szCs w:val="22"/>
              <w:lang w:eastAsia="en-GB"/>
            </w:rPr>
          </w:pPr>
          <w:hyperlink w:anchor="_Toc80779465" w:history="1">
            <w:r w:rsidR="00F5217E" w:rsidRPr="00F5217E">
              <w:rPr>
                <w:rStyle w:val="Hyperlink"/>
                <w:rFonts w:ascii="Verdana" w:hAnsi="Verdana"/>
                <w:noProof/>
              </w:rPr>
              <w:t>Clause 1: Parental Bereavement Leave</w:t>
            </w:r>
            <w:r w:rsidR="00F5217E" w:rsidRPr="00F5217E">
              <w:rPr>
                <w:rFonts w:ascii="Verdana" w:hAnsi="Verdana"/>
                <w:noProof/>
                <w:webHidden/>
              </w:rPr>
              <w:tab/>
            </w:r>
            <w:r w:rsidR="00F5217E" w:rsidRPr="00F5217E">
              <w:rPr>
                <w:rFonts w:ascii="Verdana" w:hAnsi="Verdana"/>
                <w:noProof/>
                <w:webHidden/>
              </w:rPr>
              <w:fldChar w:fldCharType="begin"/>
            </w:r>
            <w:r w:rsidR="00F5217E" w:rsidRPr="00F5217E">
              <w:rPr>
                <w:rFonts w:ascii="Verdana" w:hAnsi="Verdana"/>
                <w:noProof/>
                <w:webHidden/>
              </w:rPr>
              <w:instrText xml:space="preserve"> PAGEREF _Toc80779465 \h </w:instrText>
            </w:r>
            <w:r w:rsidR="00F5217E" w:rsidRPr="00F5217E">
              <w:rPr>
                <w:rFonts w:ascii="Verdana" w:hAnsi="Verdana"/>
                <w:noProof/>
                <w:webHidden/>
              </w:rPr>
            </w:r>
            <w:r w:rsidR="00F5217E" w:rsidRPr="00F5217E">
              <w:rPr>
                <w:rFonts w:ascii="Verdana" w:hAnsi="Verdana"/>
                <w:noProof/>
                <w:webHidden/>
              </w:rPr>
              <w:fldChar w:fldCharType="separate"/>
            </w:r>
            <w:r w:rsidR="00F5217E" w:rsidRPr="00F5217E">
              <w:rPr>
                <w:rFonts w:ascii="Verdana" w:hAnsi="Verdana"/>
                <w:noProof/>
                <w:webHidden/>
              </w:rPr>
              <w:t>6</w:t>
            </w:r>
            <w:r w:rsidR="00F5217E" w:rsidRPr="00F5217E">
              <w:rPr>
                <w:rFonts w:ascii="Verdana" w:hAnsi="Verdana"/>
                <w:noProof/>
                <w:webHidden/>
              </w:rPr>
              <w:fldChar w:fldCharType="end"/>
            </w:r>
          </w:hyperlink>
        </w:p>
        <w:p w14:paraId="0A8F6609" w14:textId="09C9E538" w:rsidR="00F5217E" w:rsidRPr="00F5217E" w:rsidRDefault="00FB4EB6">
          <w:pPr>
            <w:pStyle w:val="TOC2"/>
            <w:tabs>
              <w:tab w:val="right" w:leader="dot" w:pos="9848"/>
            </w:tabs>
            <w:rPr>
              <w:rFonts w:ascii="Verdana" w:hAnsi="Verdana"/>
              <w:noProof/>
              <w:sz w:val="22"/>
              <w:szCs w:val="22"/>
              <w:lang w:eastAsia="en-GB"/>
            </w:rPr>
          </w:pPr>
          <w:hyperlink w:anchor="_Toc80779466" w:history="1">
            <w:r w:rsidR="00F5217E" w:rsidRPr="00F5217E">
              <w:rPr>
                <w:rStyle w:val="Hyperlink"/>
                <w:rFonts w:ascii="Verdana" w:hAnsi="Verdana"/>
                <w:noProof/>
              </w:rPr>
              <w:t>Clause 2: Parental Bereavement Pay</w:t>
            </w:r>
            <w:r w:rsidR="00F5217E" w:rsidRPr="00F5217E">
              <w:rPr>
                <w:rFonts w:ascii="Verdana" w:hAnsi="Verdana"/>
                <w:noProof/>
                <w:webHidden/>
              </w:rPr>
              <w:tab/>
            </w:r>
            <w:r w:rsidR="00F5217E" w:rsidRPr="00F5217E">
              <w:rPr>
                <w:rFonts w:ascii="Verdana" w:hAnsi="Verdana"/>
                <w:noProof/>
                <w:webHidden/>
              </w:rPr>
              <w:fldChar w:fldCharType="begin"/>
            </w:r>
            <w:r w:rsidR="00F5217E" w:rsidRPr="00F5217E">
              <w:rPr>
                <w:rFonts w:ascii="Verdana" w:hAnsi="Verdana"/>
                <w:noProof/>
                <w:webHidden/>
              </w:rPr>
              <w:instrText xml:space="preserve"> PAGEREF _Toc80779466 \h </w:instrText>
            </w:r>
            <w:r w:rsidR="00F5217E" w:rsidRPr="00F5217E">
              <w:rPr>
                <w:rFonts w:ascii="Verdana" w:hAnsi="Verdana"/>
                <w:noProof/>
                <w:webHidden/>
              </w:rPr>
            </w:r>
            <w:r w:rsidR="00F5217E" w:rsidRPr="00F5217E">
              <w:rPr>
                <w:rFonts w:ascii="Verdana" w:hAnsi="Verdana"/>
                <w:noProof/>
                <w:webHidden/>
              </w:rPr>
              <w:fldChar w:fldCharType="separate"/>
            </w:r>
            <w:r w:rsidR="00F5217E" w:rsidRPr="00F5217E">
              <w:rPr>
                <w:rFonts w:ascii="Verdana" w:hAnsi="Verdana"/>
                <w:noProof/>
                <w:webHidden/>
              </w:rPr>
              <w:t>7</w:t>
            </w:r>
            <w:r w:rsidR="00F5217E" w:rsidRPr="00F5217E">
              <w:rPr>
                <w:rFonts w:ascii="Verdana" w:hAnsi="Verdana"/>
                <w:noProof/>
                <w:webHidden/>
              </w:rPr>
              <w:fldChar w:fldCharType="end"/>
            </w:r>
          </w:hyperlink>
        </w:p>
        <w:p w14:paraId="3A4A2DA1" w14:textId="2D224FDB" w:rsidR="00F5217E" w:rsidRPr="00F5217E" w:rsidRDefault="00FB4EB6">
          <w:pPr>
            <w:pStyle w:val="TOC1"/>
            <w:tabs>
              <w:tab w:val="left" w:pos="660"/>
              <w:tab w:val="right" w:leader="dot" w:pos="9848"/>
            </w:tabs>
            <w:rPr>
              <w:rFonts w:ascii="Verdana" w:hAnsi="Verdana"/>
              <w:noProof/>
              <w:sz w:val="22"/>
              <w:szCs w:val="22"/>
              <w:lang w:eastAsia="en-GB"/>
            </w:rPr>
          </w:pPr>
          <w:hyperlink w:anchor="_Toc80779467" w:history="1">
            <w:r w:rsidR="00F5217E" w:rsidRPr="00F5217E">
              <w:rPr>
                <w:rStyle w:val="Hyperlink"/>
                <w:rFonts w:ascii="Verdana" w:hAnsi="Verdana"/>
                <w:b/>
                <w:noProof/>
              </w:rPr>
              <w:t>3.0</w:t>
            </w:r>
            <w:r w:rsidR="00F5217E" w:rsidRPr="00F5217E">
              <w:rPr>
                <w:rFonts w:ascii="Verdana" w:hAnsi="Verdana"/>
                <w:b/>
                <w:noProof/>
                <w:sz w:val="22"/>
                <w:szCs w:val="22"/>
                <w:lang w:eastAsia="en-GB"/>
              </w:rPr>
              <w:tab/>
            </w:r>
            <w:r w:rsidR="00F5217E" w:rsidRPr="00F5217E">
              <w:rPr>
                <w:rStyle w:val="Hyperlink"/>
                <w:rFonts w:ascii="Verdana" w:hAnsi="Verdana"/>
                <w:b/>
                <w:noProof/>
              </w:rPr>
              <w:t>Omissions</w:t>
            </w:r>
            <w:r w:rsidR="00F5217E" w:rsidRPr="00F5217E">
              <w:rPr>
                <w:rFonts w:ascii="Verdana" w:hAnsi="Verdana"/>
                <w:b/>
                <w:noProof/>
                <w:webHidden/>
              </w:rPr>
              <w:tab/>
            </w:r>
            <w:r w:rsidR="00F5217E" w:rsidRPr="00F5217E">
              <w:rPr>
                <w:rFonts w:ascii="Verdana" w:hAnsi="Verdana"/>
                <w:b/>
                <w:noProof/>
                <w:webHidden/>
              </w:rPr>
              <w:fldChar w:fldCharType="begin"/>
            </w:r>
            <w:r w:rsidR="00F5217E" w:rsidRPr="00F5217E">
              <w:rPr>
                <w:rFonts w:ascii="Verdana" w:hAnsi="Verdana"/>
                <w:b/>
                <w:noProof/>
                <w:webHidden/>
              </w:rPr>
              <w:instrText xml:space="preserve"> PAGEREF _Toc80779467 \h </w:instrText>
            </w:r>
            <w:r w:rsidR="00F5217E" w:rsidRPr="00F5217E">
              <w:rPr>
                <w:rFonts w:ascii="Verdana" w:hAnsi="Verdana"/>
                <w:b/>
                <w:noProof/>
                <w:webHidden/>
              </w:rPr>
            </w:r>
            <w:r w:rsidR="00F5217E" w:rsidRPr="00F5217E">
              <w:rPr>
                <w:rFonts w:ascii="Verdana" w:hAnsi="Verdana"/>
                <w:b/>
                <w:noProof/>
                <w:webHidden/>
              </w:rPr>
              <w:fldChar w:fldCharType="separate"/>
            </w:r>
            <w:r w:rsidR="00F5217E" w:rsidRPr="00F5217E">
              <w:rPr>
                <w:rFonts w:ascii="Verdana" w:hAnsi="Verdana"/>
                <w:b/>
                <w:noProof/>
                <w:webHidden/>
              </w:rPr>
              <w:t>10</w:t>
            </w:r>
            <w:r w:rsidR="00F5217E" w:rsidRPr="00F5217E">
              <w:rPr>
                <w:rFonts w:ascii="Verdana" w:hAnsi="Verdana"/>
                <w:b/>
                <w:noProof/>
                <w:webHidden/>
              </w:rPr>
              <w:fldChar w:fldCharType="end"/>
            </w:r>
          </w:hyperlink>
        </w:p>
        <w:p w14:paraId="23311FD3" w14:textId="0A66DF9E" w:rsidR="000A1BB2" w:rsidRDefault="000A1BB2">
          <w:r w:rsidRPr="00E66856">
            <w:rPr>
              <w:rFonts w:ascii="Verdana" w:hAnsi="Verdana"/>
              <w:b/>
              <w:bCs/>
              <w:noProof/>
            </w:rPr>
            <w:fldChar w:fldCharType="end"/>
          </w:r>
        </w:p>
      </w:sdtContent>
    </w:sdt>
    <w:p w14:paraId="2E9E99ED" w14:textId="77777777" w:rsidR="000A1BB2" w:rsidRDefault="000A1BB2" w:rsidP="003B7D0E">
      <w:pPr>
        <w:pStyle w:val="Default"/>
        <w:spacing w:line="480" w:lineRule="auto"/>
        <w:jc w:val="center"/>
        <w:rPr>
          <w:rFonts w:cs="Arial"/>
          <w:b/>
          <w:color w:val="232120"/>
          <w:sz w:val="36"/>
          <w:szCs w:val="36"/>
        </w:rPr>
      </w:pPr>
    </w:p>
    <w:p w14:paraId="1583DC63" w14:textId="77777777" w:rsidR="000A1BB2" w:rsidRDefault="000A1BB2" w:rsidP="003B7D0E">
      <w:pPr>
        <w:pStyle w:val="Default"/>
        <w:spacing w:line="480" w:lineRule="auto"/>
        <w:jc w:val="center"/>
        <w:rPr>
          <w:rFonts w:cs="Arial"/>
          <w:b/>
          <w:color w:val="232120"/>
          <w:sz w:val="36"/>
          <w:szCs w:val="36"/>
        </w:rPr>
      </w:pPr>
    </w:p>
    <w:p w14:paraId="7EAA79C8" w14:textId="77777777" w:rsidR="000A1BB2" w:rsidRDefault="000A1BB2" w:rsidP="003B7D0E">
      <w:pPr>
        <w:pStyle w:val="Default"/>
        <w:spacing w:line="480" w:lineRule="auto"/>
        <w:jc w:val="center"/>
        <w:rPr>
          <w:rFonts w:cs="Arial"/>
          <w:b/>
          <w:color w:val="232120"/>
          <w:sz w:val="36"/>
          <w:szCs w:val="36"/>
        </w:rPr>
      </w:pPr>
    </w:p>
    <w:p w14:paraId="6D0EFA38" w14:textId="77777777" w:rsidR="000A1BB2" w:rsidRDefault="000A1BB2" w:rsidP="003B7D0E">
      <w:pPr>
        <w:pStyle w:val="Default"/>
        <w:spacing w:line="480" w:lineRule="auto"/>
        <w:jc w:val="center"/>
        <w:rPr>
          <w:rFonts w:cs="Arial"/>
          <w:b/>
          <w:color w:val="232120"/>
          <w:sz w:val="36"/>
          <w:szCs w:val="36"/>
        </w:rPr>
      </w:pPr>
    </w:p>
    <w:p w14:paraId="72A22D41" w14:textId="77777777" w:rsidR="000A1BB2" w:rsidRDefault="000A1BB2" w:rsidP="003B7D0E">
      <w:pPr>
        <w:pStyle w:val="Default"/>
        <w:spacing w:line="480" w:lineRule="auto"/>
        <w:jc w:val="center"/>
        <w:rPr>
          <w:rFonts w:cs="Arial"/>
          <w:b/>
          <w:color w:val="232120"/>
          <w:sz w:val="36"/>
          <w:szCs w:val="36"/>
        </w:rPr>
      </w:pPr>
    </w:p>
    <w:p w14:paraId="52AEFAA4" w14:textId="77777777" w:rsidR="000A1BB2" w:rsidRDefault="000A1BB2" w:rsidP="003B7D0E">
      <w:pPr>
        <w:pStyle w:val="Default"/>
        <w:spacing w:line="480" w:lineRule="auto"/>
        <w:jc w:val="center"/>
        <w:rPr>
          <w:rFonts w:cs="Arial"/>
          <w:b/>
          <w:color w:val="232120"/>
          <w:sz w:val="36"/>
          <w:szCs w:val="36"/>
        </w:rPr>
      </w:pPr>
    </w:p>
    <w:p w14:paraId="1DD2524D" w14:textId="77777777" w:rsidR="000A1BB2" w:rsidRDefault="000A1BB2" w:rsidP="003B7D0E">
      <w:pPr>
        <w:pStyle w:val="Default"/>
        <w:spacing w:line="480" w:lineRule="auto"/>
        <w:jc w:val="center"/>
        <w:rPr>
          <w:rFonts w:cs="Arial"/>
          <w:b/>
          <w:color w:val="232120"/>
          <w:sz w:val="36"/>
          <w:szCs w:val="36"/>
        </w:rPr>
      </w:pPr>
    </w:p>
    <w:p w14:paraId="28AC1CF4" w14:textId="77777777" w:rsidR="000A1BB2" w:rsidRDefault="000A1BB2" w:rsidP="003B7D0E">
      <w:pPr>
        <w:pStyle w:val="Default"/>
        <w:spacing w:line="480" w:lineRule="auto"/>
        <w:jc w:val="center"/>
        <w:rPr>
          <w:rFonts w:cs="Arial"/>
          <w:b/>
          <w:color w:val="232120"/>
          <w:sz w:val="36"/>
          <w:szCs w:val="36"/>
        </w:rPr>
      </w:pPr>
    </w:p>
    <w:p w14:paraId="6DDF9355" w14:textId="77777777" w:rsidR="000A1BB2" w:rsidRDefault="000A1BB2" w:rsidP="003B7D0E">
      <w:pPr>
        <w:pStyle w:val="Default"/>
        <w:spacing w:line="480" w:lineRule="auto"/>
        <w:jc w:val="center"/>
        <w:rPr>
          <w:rFonts w:cs="Arial"/>
          <w:b/>
          <w:color w:val="232120"/>
          <w:sz w:val="36"/>
          <w:szCs w:val="36"/>
        </w:rPr>
      </w:pPr>
    </w:p>
    <w:p w14:paraId="352403CA" w14:textId="77777777" w:rsidR="00173AF1" w:rsidRDefault="00173AF1" w:rsidP="003B7D0E">
      <w:pPr>
        <w:pStyle w:val="Default"/>
        <w:spacing w:line="480" w:lineRule="auto"/>
        <w:jc w:val="center"/>
        <w:rPr>
          <w:rFonts w:cs="Arial"/>
          <w:b/>
          <w:color w:val="232120"/>
          <w:sz w:val="36"/>
          <w:szCs w:val="36"/>
        </w:rPr>
      </w:pPr>
    </w:p>
    <w:p w14:paraId="41B2230A" w14:textId="77777777" w:rsidR="00173AF1" w:rsidRDefault="00173AF1" w:rsidP="003B7D0E">
      <w:pPr>
        <w:pStyle w:val="Default"/>
        <w:spacing w:line="480" w:lineRule="auto"/>
        <w:jc w:val="center"/>
        <w:rPr>
          <w:rFonts w:cs="Arial"/>
          <w:b/>
          <w:color w:val="232120"/>
          <w:sz w:val="36"/>
          <w:szCs w:val="36"/>
        </w:rPr>
      </w:pPr>
    </w:p>
    <w:p w14:paraId="69F71B7C" w14:textId="77777777" w:rsidR="000A1BB2" w:rsidRDefault="000A1BB2" w:rsidP="003B7D0E">
      <w:pPr>
        <w:pStyle w:val="Default"/>
        <w:spacing w:line="480" w:lineRule="auto"/>
        <w:jc w:val="center"/>
        <w:rPr>
          <w:rFonts w:cs="Arial"/>
          <w:b/>
          <w:color w:val="232120"/>
          <w:sz w:val="36"/>
          <w:szCs w:val="36"/>
        </w:rPr>
      </w:pPr>
    </w:p>
    <w:p w14:paraId="47E6509E" w14:textId="77777777" w:rsidR="000A1BB2" w:rsidRDefault="000A1BB2" w:rsidP="003B7D0E">
      <w:pPr>
        <w:pStyle w:val="Default"/>
        <w:spacing w:line="480" w:lineRule="auto"/>
        <w:jc w:val="center"/>
        <w:rPr>
          <w:rFonts w:cs="Arial"/>
          <w:b/>
          <w:color w:val="232120"/>
          <w:sz w:val="36"/>
          <w:szCs w:val="36"/>
        </w:rPr>
      </w:pPr>
    </w:p>
    <w:p w14:paraId="21575F12" w14:textId="4DC8FD86" w:rsidR="000A1BB2" w:rsidRDefault="000A1BB2" w:rsidP="00E66856">
      <w:pPr>
        <w:pStyle w:val="Heading1"/>
      </w:pPr>
      <w:bookmarkStart w:id="0" w:name="_Toc80779462"/>
      <w:r>
        <w:lastRenderedPageBreak/>
        <w:t>Summary of Recommendatio</w:t>
      </w:r>
      <w:r w:rsidR="000E5BE4">
        <w:t>ns</w:t>
      </w:r>
      <w:r w:rsidR="000E5BE4" w:rsidRPr="000E5BE4">
        <w:rPr>
          <w:rFonts w:cs="Arial"/>
          <w:b w:val="0"/>
          <w:noProof/>
          <w:color w:val="232120"/>
          <w:sz w:val="36"/>
          <w:szCs w:val="36"/>
          <w:lang w:eastAsia="en-GB"/>
        </w:rPr>
        <mc:AlternateContent>
          <mc:Choice Requires="wps">
            <w:drawing>
              <wp:anchor distT="45720" distB="45720" distL="114300" distR="114300" simplePos="0" relativeHeight="251659264" behindDoc="0" locked="0" layoutInCell="1" allowOverlap="1" wp14:anchorId="019AB525" wp14:editId="7E3E23C4">
                <wp:simplePos x="0" y="0"/>
                <wp:positionH relativeFrom="column">
                  <wp:posOffset>13335</wp:posOffset>
                </wp:positionH>
                <wp:positionV relativeFrom="paragraph">
                  <wp:posOffset>348615</wp:posOffset>
                </wp:positionV>
                <wp:extent cx="6433820" cy="8281670"/>
                <wp:effectExtent l="0" t="0" r="2413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3820" cy="8281670"/>
                        </a:xfrm>
                        <a:prstGeom prst="rect">
                          <a:avLst/>
                        </a:prstGeom>
                        <a:solidFill>
                          <a:srgbClr val="FFFFFF"/>
                        </a:solidFill>
                        <a:ln w="9525">
                          <a:solidFill>
                            <a:srgbClr val="000000"/>
                          </a:solidFill>
                          <a:miter lim="800000"/>
                          <a:headEnd/>
                          <a:tailEnd/>
                        </a:ln>
                      </wps:spPr>
                      <wps:txbx>
                        <w:txbxContent>
                          <w:p w14:paraId="3BBB32C9" w14:textId="77777777" w:rsidR="000E7DE4" w:rsidRDefault="000E7DE4" w:rsidP="000E7DE4">
                            <w:pPr>
                              <w:ind w:left="720"/>
                              <w:rPr>
                                <w:rFonts w:ascii="Verdana" w:hAnsi="Verdana"/>
                                <w:b/>
                                <w:lang w:val="en-US"/>
                              </w:rPr>
                            </w:pPr>
                            <w:r w:rsidRPr="000E7DE4">
                              <w:rPr>
                                <w:rFonts w:ascii="Verdana" w:hAnsi="Verdana"/>
                                <w:b/>
                                <w:lang w:val="en-US"/>
                              </w:rPr>
                              <w:t>The NIHRC (the Commission) recommends</w:t>
                            </w:r>
                            <w:r>
                              <w:rPr>
                                <w:rFonts w:ascii="Verdana" w:hAnsi="Verdana"/>
                                <w:b/>
                                <w:lang w:val="en-US"/>
                              </w:rPr>
                              <w:t xml:space="preserve">: </w:t>
                            </w:r>
                          </w:p>
                          <w:p w14:paraId="32A751C8" w14:textId="77777777" w:rsidR="000E7DE4" w:rsidRDefault="000E7DE4" w:rsidP="000E7DE4">
                            <w:pPr>
                              <w:ind w:left="720"/>
                              <w:rPr>
                                <w:rFonts w:ascii="Verdana" w:hAnsi="Verdana"/>
                                <w:b/>
                                <w:lang w:val="en-US"/>
                              </w:rPr>
                            </w:pPr>
                          </w:p>
                          <w:p w14:paraId="565E091F" w14:textId="77777777" w:rsidR="000E7DE4" w:rsidRPr="000E7DE4" w:rsidRDefault="000E7DE4" w:rsidP="000E7DE4">
                            <w:pPr>
                              <w:pStyle w:val="ListParagraph"/>
                              <w:numPr>
                                <w:ilvl w:val="0"/>
                                <w:numId w:val="24"/>
                              </w:numPr>
                              <w:rPr>
                                <w:rFonts w:ascii="Verdana" w:hAnsi="Verdana"/>
                                <w:b/>
                                <w:lang w:val="en-US"/>
                              </w:rPr>
                            </w:pPr>
                            <w:r w:rsidRPr="000E7DE4">
                              <w:rPr>
                                <w:rFonts w:ascii="Verdana" w:hAnsi="Verdana"/>
                                <w:b/>
                                <w:lang w:val="en-US"/>
                              </w:rPr>
                              <w:t xml:space="preserve">The Commission recommends the Committee suggest the Department develop guidance for employers when the Bill becomes legislation. </w:t>
                            </w:r>
                          </w:p>
                          <w:p w14:paraId="04AF87AE" w14:textId="77777777" w:rsidR="000E7DE4" w:rsidRDefault="000E7DE4" w:rsidP="000E7DE4">
                            <w:pPr>
                              <w:ind w:left="720"/>
                              <w:rPr>
                                <w:rFonts w:ascii="Verdana" w:hAnsi="Verdana"/>
                                <w:b/>
                                <w:lang w:val="en-US"/>
                              </w:rPr>
                            </w:pPr>
                          </w:p>
                          <w:p w14:paraId="389A3CFA" w14:textId="77777777" w:rsidR="000E7DE4" w:rsidRPr="000E7DE4" w:rsidRDefault="000E7DE4" w:rsidP="000E7DE4">
                            <w:pPr>
                              <w:pStyle w:val="ListParagraph"/>
                              <w:numPr>
                                <w:ilvl w:val="0"/>
                                <w:numId w:val="24"/>
                              </w:numPr>
                              <w:rPr>
                                <w:rFonts w:ascii="Verdana" w:hAnsi="Verdana"/>
                                <w:b/>
                                <w:lang w:val="en-US"/>
                              </w:rPr>
                            </w:pPr>
                            <w:r w:rsidRPr="000E7DE4">
                              <w:rPr>
                                <w:rFonts w:ascii="Verdana" w:hAnsi="Verdana"/>
                                <w:b/>
                                <w:lang w:val="en-US"/>
                              </w:rPr>
                              <w:t xml:space="preserve">The Commission recommends the Committee take into consideration the views of relevant stakeholders to explore ways in which the Department can offer better protections for NI. </w:t>
                            </w:r>
                          </w:p>
                          <w:p w14:paraId="19EECF3D" w14:textId="77777777" w:rsidR="000E7DE4" w:rsidRDefault="000E7DE4" w:rsidP="000E7DE4">
                            <w:pPr>
                              <w:ind w:left="720"/>
                              <w:rPr>
                                <w:rFonts w:ascii="Verdana" w:hAnsi="Verdana"/>
                                <w:b/>
                                <w:lang w:val="en-US"/>
                              </w:rPr>
                            </w:pPr>
                          </w:p>
                          <w:p w14:paraId="3039BA07" w14:textId="1C37A562" w:rsidR="000E7DE4" w:rsidRDefault="000E7DE4" w:rsidP="000E7DE4">
                            <w:pPr>
                              <w:pStyle w:val="ListParagraph"/>
                              <w:numPr>
                                <w:ilvl w:val="0"/>
                                <w:numId w:val="24"/>
                              </w:numPr>
                              <w:rPr>
                                <w:rFonts w:ascii="Verdana" w:hAnsi="Verdana"/>
                                <w:b/>
                                <w:lang w:val="en-US"/>
                              </w:rPr>
                            </w:pPr>
                            <w:r w:rsidRPr="000E7DE4">
                              <w:rPr>
                                <w:rFonts w:ascii="Verdana" w:hAnsi="Verdana"/>
                                <w:b/>
                                <w:lang w:val="en-US"/>
                              </w:rPr>
                              <w:t xml:space="preserve">The Commission recommends the Committee suggest that the Department should continue to monitor any developments in EU law relating to the Parental Bereavement (Leave and Pay) Bill and resulting Regulations to ensure compliance with Article 2 of the Ireland/Northern Ireland Protocol.   </w:t>
                            </w:r>
                          </w:p>
                          <w:p w14:paraId="5A575490" w14:textId="77777777" w:rsidR="007E3CE8" w:rsidRPr="007E3CE8" w:rsidRDefault="007E3CE8" w:rsidP="007E3CE8">
                            <w:pPr>
                              <w:pStyle w:val="ListParagraph"/>
                              <w:rPr>
                                <w:rFonts w:ascii="Verdana" w:hAnsi="Verdana"/>
                                <w:b/>
                                <w:lang w:val="en-US"/>
                              </w:rPr>
                            </w:pPr>
                          </w:p>
                          <w:p w14:paraId="1DD072A7" w14:textId="338126AC" w:rsidR="007E3CE8" w:rsidRPr="007E3CE8" w:rsidRDefault="007E3CE8" w:rsidP="007E3CE8">
                            <w:pPr>
                              <w:pStyle w:val="ListParagraph"/>
                              <w:numPr>
                                <w:ilvl w:val="0"/>
                                <w:numId w:val="24"/>
                              </w:numPr>
                              <w:rPr>
                                <w:rFonts w:ascii="Verdana" w:hAnsi="Verdana"/>
                                <w:b/>
                                <w:lang w:val="en-US"/>
                              </w:rPr>
                            </w:pPr>
                            <w:r w:rsidRPr="007E3CE8">
                              <w:rPr>
                                <w:rFonts w:ascii="Verdana" w:hAnsi="Verdana"/>
                                <w:b/>
                                <w:lang w:val="en-US"/>
                              </w:rPr>
                              <w:t xml:space="preserve">The Commission recommends that the commitment to change the period of time leave can be taken from 56 days to 56 weeks is upheld. </w:t>
                            </w:r>
                          </w:p>
                          <w:p w14:paraId="1C436C93" w14:textId="77777777" w:rsidR="000E7DE4" w:rsidRDefault="000E7DE4" w:rsidP="000E7DE4">
                            <w:pPr>
                              <w:ind w:left="720"/>
                              <w:rPr>
                                <w:rFonts w:ascii="Verdana" w:hAnsi="Verdana"/>
                                <w:b/>
                                <w:lang w:val="en-US"/>
                              </w:rPr>
                            </w:pPr>
                          </w:p>
                          <w:p w14:paraId="73B5B892" w14:textId="77777777" w:rsidR="000E7DE4" w:rsidRPr="000E7DE4" w:rsidRDefault="000E7DE4" w:rsidP="000E7DE4">
                            <w:pPr>
                              <w:pStyle w:val="ListParagraph"/>
                              <w:numPr>
                                <w:ilvl w:val="0"/>
                                <w:numId w:val="24"/>
                              </w:numPr>
                              <w:rPr>
                                <w:rFonts w:ascii="Verdana" w:hAnsi="Verdana"/>
                                <w:b/>
                                <w:lang w:val="en-US"/>
                              </w:rPr>
                            </w:pPr>
                            <w:r w:rsidRPr="000E7DE4">
                              <w:rPr>
                                <w:rFonts w:ascii="Verdana" w:hAnsi="Verdana"/>
                                <w:b/>
                                <w:lang w:val="en-US"/>
                              </w:rPr>
                              <w:t xml:space="preserve">The Commission recommends that the definition of a parent is broad and open to interpretation to ensure a wide inclusion of those with a relationship to the child.  </w:t>
                            </w:r>
                          </w:p>
                          <w:p w14:paraId="70C34184" w14:textId="77777777" w:rsidR="000E7DE4" w:rsidRDefault="000E7DE4" w:rsidP="000E7DE4">
                            <w:pPr>
                              <w:ind w:left="720"/>
                              <w:rPr>
                                <w:rFonts w:ascii="Verdana" w:hAnsi="Verdana"/>
                                <w:b/>
                                <w:lang w:val="en-US"/>
                              </w:rPr>
                            </w:pPr>
                          </w:p>
                          <w:p w14:paraId="4122AEA7" w14:textId="77777777" w:rsidR="000E7DE4" w:rsidRPr="000E7DE4" w:rsidRDefault="000E7DE4" w:rsidP="000E7DE4">
                            <w:pPr>
                              <w:pStyle w:val="ListParagraph"/>
                              <w:numPr>
                                <w:ilvl w:val="0"/>
                                <w:numId w:val="24"/>
                              </w:numPr>
                              <w:rPr>
                                <w:rFonts w:ascii="Verdana" w:hAnsi="Verdana"/>
                                <w:b/>
                                <w:lang w:val="en-US"/>
                              </w:rPr>
                            </w:pPr>
                            <w:r w:rsidRPr="000E7DE4">
                              <w:rPr>
                                <w:rFonts w:ascii="Verdana" w:hAnsi="Verdana"/>
                                <w:b/>
                                <w:lang w:val="en-US"/>
                              </w:rPr>
                              <w:t xml:space="preserve">The Commission recommends the Committee advises the Department to conduct a human rights impact assessment to consider any interference with Article 8 and Article 14 ECHR.  As well as compliance with international human rights standards and recommendations of the UN ICESCR and UN CEDAW Committees as referenced in the Human Rights Act. </w:t>
                            </w:r>
                          </w:p>
                          <w:p w14:paraId="665F74C5" w14:textId="77777777" w:rsidR="000E7DE4" w:rsidRDefault="000E7DE4" w:rsidP="000E7DE4">
                            <w:pPr>
                              <w:ind w:left="720"/>
                              <w:rPr>
                                <w:rFonts w:ascii="Verdana" w:hAnsi="Verdana"/>
                                <w:b/>
                                <w:lang w:val="en-US"/>
                              </w:rPr>
                            </w:pPr>
                          </w:p>
                          <w:p w14:paraId="7C6B5BE5" w14:textId="16481522" w:rsidR="000E7DE4" w:rsidRPr="000E7DE4" w:rsidRDefault="000E7DE4" w:rsidP="000E7DE4">
                            <w:pPr>
                              <w:pStyle w:val="ListParagraph"/>
                              <w:numPr>
                                <w:ilvl w:val="0"/>
                                <w:numId w:val="24"/>
                              </w:numPr>
                              <w:rPr>
                                <w:rFonts w:ascii="Verdana" w:hAnsi="Verdana"/>
                                <w:b/>
                                <w:lang w:val="en-US"/>
                              </w:rPr>
                            </w:pPr>
                            <w:r w:rsidRPr="000E7DE4">
                              <w:rPr>
                                <w:rFonts w:ascii="Verdana" w:hAnsi="Verdana"/>
                                <w:b/>
                                <w:lang w:val="en-US"/>
                              </w:rPr>
                              <w:t xml:space="preserve">The Commission recommends the Committee consider other countries’ approach to parental bereavement leave, particularly in relation to miscarriage and stillbirth, including New Zealand’s inclusion of bereavement through miscarriage, as well as relevant civil society organisations’ recommendations on the inclusion of miscarriage within parental bereavement leave. </w:t>
                            </w:r>
                          </w:p>
                          <w:p w14:paraId="52435694" w14:textId="77777777" w:rsidR="000E7DE4" w:rsidRPr="000E7DE4" w:rsidRDefault="000E7DE4" w:rsidP="000E7DE4">
                            <w:pPr>
                              <w:pStyle w:val="ListParagraph"/>
                              <w:rPr>
                                <w:rFonts w:ascii="Verdana" w:hAnsi="Verdana"/>
                                <w:b/>
                                <w:lang w:val="en-US"/>
                              </w:rPr>
                            </w:pPr>
                          </w:p>
                          <w:p w14:paraId="66252A84" w14:textId="77777777" w:rsidR="000E7DE4" w:rsidRPr="000E7DE4" w:rsidRDefault="000E7DE4" w:rsidP="000E7DE4">
                            <w:pPr>
                              <w:pStyle w:val="ListParagraph"/>
                              <w:rPr>
                                <w:rFonts w:ascii="Verdana" w:hAnsi="Verdana"/>
                                <w:b/>
                                <w:lang w:val="en-US"/>
                              </w:rPr>
                            </w:pPr>
                          </w:p>
                          <w:p w14:paraId="2105CBFB" w14:textId="77777777" w:rsidR="000E7DE4" w:rsidRPr="000E7DE4" w:rsidRDefault="000E7DE4" w:rsidP="000E7DE4">
                            <w:pPr>
                              <w:ind w:left="720"/>
                              <w:rPr>
                                <w:rFonts w:ascii="Verdana" w:hAnsi="Verdana"/>
                                <w:b/>
                                <w:lang w:val="en-US"/>
                              </w:rPr>
                            </w:pPr>
                          </w:p>
                          <w:p w14:paraId="30B9DB25" w14:textId="44ED4EE4" w:rsidR="000E5BE4" w:rsidRDefault="000E5B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9AB525" id="_x0000_t202" coordsize="21600,21600" o:spt="202" path="m,l,21600r21600,l21600,xe">
                <v:stroke joinstyle="miter"/>
                <v:path gradientshapeok="t" o:connecttype="rect"/>
              </v:shapetype>
              <v:shape id="Text Box 2" o:spid="_x0000_s1026" type="#_x0000_t202" style="position:absolute;margin-left:1.05pt;margin-top:27.45pt;width:506.6pt;height:65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omeJQIAAEcEAAAOAAAAZHJzL2Uyb0RvYy54bWysU9uO2yAQfa/Uf0C8N469STZrxVlts01V&#10;aXuRdvsBGOMYFRgKJHb69R1wNo227UtVHhDDDIeZc2ZWt4NW5CCcl2Aqmk+mlAjDoZFmV9GvT9s3&#10;S0p8YKZhCoyo6FF4ert+/WrV21IU0IFqhCMIYnzZ24p2IdgyyzzvhGZ+AlYYdLbgNAtoul3WONYj&#10;ulZZMZ0ush5cYx1w4T3e3o9Ouk74bSt4+Ny2XgSiKoq5hbS7tNdxz9YrVu4cs53kpzTYP2ShmTT4&#10;6RnqngVG9k7+BqUld+ChDRMOOoO2lVykGrCafPqimseOWZFqQXK8PdPk/x8s/3T44ohsKlrk15QY&#10;plGkJzEE8hYGUkR+eutLDHu0GBgGvEadU63ePgD/5omBTcfMTtw5B30nWIP55fFldvF0xPERpO4/&#10;QoPfsH2ABDS0TkfykA6C6KjT8axNTIXj5WJ2dbUs0MXRtyyW+eI6qZex8vm5dT68F6BJPFTUofgJ&#10;nh0efIjpsPI5JP7mQclmK5VKhtvVG+XIgWGjbNNKFbwIU4b0Fb2ZF/ORgb9CTNP6E4SWATteSY1l&#10;nINYGXl7Z5rUj4FJNZ4xZWVOREbuRhbDUA8nYWpojkipg7GzcRLx0IH7QUmPXV1R/33PnKBEfTAo&#10;y00+m8UxSMZsfh0JdZee+tLDDEeoigZKxuMmpNGJhBm4Q/lamYiNOo+ZnHLFbk18nyYrjsOlnaJ+&#10;zf/6JwAAAP//AwBQSwMEFAAGAAgAAAAhAI2QS9nhAAAACgEAAA8AAABkcnMvZG93bnJldi54bWxM&#10;j8FOwzAQRO9I/IO1SFwQddI0pQlxKoQEghu0FVzdeJtE2Otgu2n4e9wT3GY1o5m31Xoymo3ofG9J&#10;QDpLgCE1VvXUCthtn25XwHyQpKS2hAJ+0MO6vryoZKnsid5x3ISWxRLypRTQhTCUnPumQyP9zA5I&#10;0TtYZ2SIp2u5cvIUy43m8yRZciN7igudHPCxw+ZrczQCVouX8dO/Zm8fzfKgi3BzNz5/OyGur6aH&#10;e2ABp/AXhjN+RIc6Mu3tkZRnWsA8jUEB+aIAdraTNM+A7aPK8iIFXlf8/wv1LwAAAP//AwBQSwEC&#10;LQAUAAYACAAAACEAtoM4kv4AAADhAQAAEwAAAAAAAAAAAAAAAAAAAAAAW0NvbnRlbnRfVHlwZXNd&#10;LnhtbFBLAQItABQABgAIAAAAIQA4/SH/1gAAAJQBAAALAAAAAAAAAAAAAAAAAC8BAABfcmVscy8u&#10;cmVsc1BLAQItABQABgAIAAAAIQBR7omeJQIAAEcEAAAOAAAAAAAAAAAAAAAAAC4CAABkcnMvZTJv&#10;RG9jLnhtbFBLAQItABQABgAIAAAAIQCNkEvZ4QAAAAoBAAAPAAAAAAAAAAAAAAAAAH8EAABkcnMv&#10;ZG93bnJldi54bWxQSwUGAAAAAAQABADzAAAAjQUAAAAA&#10;">
                <v:textbox>
                  <w:txbxContent>
                    <w:p w14:paraId="3BBB32C9" w14:textId="77777777" w:rsidR="000E7DE4" w:rsidRDefault="000E7DE4" w:rsidP="000E7DE4">
                      <w:pPr>
                        <w:ind w:left="720"/>
                        <w:rPr>
                          <w:rFonts w:ascii="Verdana" w:hAnsi="Verdana"/>
                          <w:b/>
                          <w:lang w:val="en-US"/>
                        </w:rPr>
                      </w:pPr>
                      <w:r w:rsidRPr="000E7DE4">
                        <w:rPr>
                          <w:rFonts w:ascii="Verdana" w:hAnsi="Verdana"/>
                          <w:b/>
                          <w:lang w:val="en-US"/>
                        </w:rPr>
                        <w:t>The NIHRC (the Commission) recommends</w:t>
                      </w:r>
                      <w:r>
                        <w:rPr>
                          <w:rFonts w:ascii="Verdana" w:hAnsi="Verdana"/>
                          <w:b/>
                          <w:lang w:val="en-US"/>
                        </w:rPr>
                        <w:t xml:space="preserve">: </w:t>
                      </w:r>
                    </w:p>
                    <w:p w14:paraId="32A751C8" w14:textId="77777777" w:rsidR="000E7DE4" w:rsidRDefault="000E7DE4" w:rsidP="000E7DE4">
                      <w:pPr>
                        <w:ind w:left="720"/>
                        <w:rPr>
                          <w:rFonts w:ascii="Verdana" w:hAnsi="Verdana"/>
                          <w:b/>
                          <w:lang w:val="en-US"/>
                        </w:rPr>
                      </w:pPr>
                    </w:p>
                    <w:p w14:paraId="565E091F" w14:textId="77777777" w:rsidR="000E7DE4" w:rsidRPr="000E7DE4" w:rsidRDefault="000E7DE4" w:rsidP="000E7DE4">
                      <w:pPr>
                        <w:pStyle w:val="ListParagraph"/>
                        <w:numPr>
                          <w:ilvl w:val="0"/>
                          <w:numId w:val="24"/>
                        </w:numPr>
                        <w:rPr>
                          <w:rFonts w:ascii="Verdana" w:hAnsi="Verdana"/>
                          <w:b/>
                          <w:lang w:val="en-US"/>
                        </w:rPr>
                      </w:pPr>
                      <w:r w:rsidRPr="000E7DE4">
                        <w:rPr>
                          <w:rFonts w:ascii="Verdana" w:hAnsi="Verdana"/>
                          <w:b/>
                          <w:lang w:val="en-US"/>
                        </w:rPr>
                        <w:t xml:space="preserve">The Commission recommends the Committee suggest the Department develop guidance for employers when the Bill becomes legislation. </w:t>
                      </w:r>
                    </w:p>
                    <w:p w14:paraId="04AF87AE" w14:textId="77777777" w:rsidR="000E7DE4" w:rsidRDefault="000E7DE4" w:rsidP="000E7DE4">
                      <w:pPr>
                        <w:ind w:left="720"/>
                        <w:rPr>
                          <w:rFonts w:ascii="Verdana" w:hAnsi="Verdana"/>
                          <w:b/>
                          <w:lang w:val="en-US"/>
                        </w:rPr>
                      </w:pPr>
                    </w:p>
                    <w:p w14:paraId="389A3CFA" w14:textId="77777777" w:rsidR="000E7DE4" w:rsidRPr="000E7DE4" w:rsidRDefault="000E7DE4" w:rsidP="000E7DE4">
                      <w:pPr>
                        <w:pStyle w:val="ListParagraph"/>
                        <w:numPr>
                          <w:ilvl w:val="0"/>
                          <w:numId w:val="24"/>
                        </w:numPr>
                        <w:rPr>
                          <w:rFonts w:ascii="Verdana" w:hAnsi="Verdana"/>
                          <w:b/>
                          <w:lang w:val="en-US"/>
                        </w:rPr>
                      </w:pPr>
                      <w:r w:rsidRPr="000E7DE4">
                        <w:rPr>
                          <w:rFonts w:ascii="Verdana" w:hAnsi="Verdana"/>
                          <w:b/>
                          <w:lang w:val="en-US"/>
                        </w:rPr>
                        <w:t xml:space="preserve">The Commission recommends the Committee take into consideration the views of relevant stakeholders to explore ways in which the Department can offer better protections for NI. </w:t>
                      </w:r>
                    </w:p>
                    <w:p w14:paraId="19EECF3D" w14:textId="77777777" w:rsidR="000E7DE4" w:rsidRDefault="000E7DE4" w:rsidP="000E7DE4">
                      <w:pPr>
                        <w:ind w:left="720"/>
                        <w:rPr>
                          <w:rFonts w:ascii="Verdana" w:hAnsi="Verdana"/>
                          <w:b/>
                          <w:lang w:val="en-US"/>
                        </w:rPr>
                      </w:pPr>
                    </w:p>
                    <w:p w14:paraId="3039BA07" w14:textId="1C37A562" w:rsidR="000E7DE4" w:rsidRDefault="000E7DE4" w:rsidP="000E7DE4">
                      <w:pPr>
                        <w:pStyle w:val="ListParagraph"/>
                        <w:numPr>
                          <w:ilvl w:val="0"/>
                          <w:numId w:val="24"/>
                        </w:numPr>
                        <w:rPr>
                          <w:rFonts w:ascii="Verdana" w:hAnsi="Verdana"/>
                          <w:b/>
                          <w:lang w:val="en-US"/>
                        </w:rPr>
                      </w:pPr>
                      <w:r w:rsidRPr="000E7DE4">
                        <w:rPr>
                          <w:rFonts w:ascii="Verdana" w:hAnsi="Verdana"/>
                          <w:b/>
                          <w:lang w:val="en-US"/>
                        </w:rPr>
                        <w:t xml:space="preserve">The Commission recommends the Committee suggest that the Department should continue to monitor any developments in EU law relating to the Parental Bereavement (Leave and Pay) Bill and resulting Regulations to ensure compliance with Article 2 of the Ireland/Northern Ireland Protocol.   </w:t>
                      </w:r>
                    </w:p>
                    <w:p w14:paraId="5A575490" w14:textId="77777777" w:rsidR="007E3CE8" w:rsidRPr="007E3CE8" w:rsidRDefault="007E3CE8" w:rsidP="007E3CE8">
                      <w:pPr>
                        <w:pStyle w:val="ListParagraph"/>
                        <w:rPr>
                          <w:rFonts w:ascii="Verdana" w:hAnsi="Verdana"/>
                          <w:b/>
                          <w:lang w:val="en-US"/>
                        </w:rPr>
                      </w:pPr>
                    </w:p>
                    <w:p w14:paraId="1DD072A7" w14:textId="338126AC" w:rsidR="007E3CE8" w:rsidRPr="007E3CE8" w:rsidRDefault="007E3CE8" w:rsidP="007E3CE8">
                      <w:pPr>
                        <w:pStyle w:val="ListParagraph"/>
                        <w:numPr>
                          <w:ilvl w:val="0"/>
                          <w:numId w:val="24"/>
                        </w:numPr>
                        <w:rPr>
                          <w:rFonts w:ascii="Verdana" w:hAnsi="Verdana"/>
                          <w:b/>
                          <w:lang w:val="en-US"/>
                        </w:rPr>
                      </w:pPr>
                      <w:r w:rsidRPr="007E3CE8">
                        <w:rPr>
                          <w:rFonts w:ascii="Verdana" w:hAnsi="Verdana"/>
                          <w:b/>
                          <w:lang w:val="en-US"/>
                        </w:rPr>
                        <w:t xml:space="preserve">The Commission recommends that the commitment to change the period of time leave can be taken from 56 days to 56 weeks is upheld. </w:t>
                      </w:r>
                      <w:bookmarkStart w:id="2" w:name="_GoBack"/>
                      <w:bookmarkEnd w:id="2"/>
                    </w:p>
                    <w:p w14:paraId="1C436C93" w14:textId="77777777" w:rsidR="000E7DE4" w:rsidRDefault="000E7DE4" w:rsidP="000E7DE4">
                      <w:pPr>
                        <w:ind w:left="720"/>
                        <w:rPr>
                          <w:rFonts w:ascii="Verdana" w:hAnsi="Verdana"/>
                          <w:b/>
                          <w:lang w:val="en-US"/>
                        </w:rPr>
                      </w:pPr>
                    </w:p>
                    <w:p w14:paraId="73B5B892" w14:textId="77777777" w:rsidR="000E7DE4" w:rsidRPr="000E7DE4" w:rsidRDefault="000E7DE4" w:rsidP="000E7DE4">
                      <w:pPr>
                        <w:pStyle w:val="ListParagraph"/>
                        <w:numPr>
                          <w:ilvl w:val="0"/>
                          <w:numId w:val="24"/>
                        </w:numPr>
                        <w:rPr>
                          <w:rFonts w:ascii="Verdana" w:hAnsi="Verdana"/>
                          <w:b/>
                          <w:lang w:val="en-US"/>
                        </w:rPr>
                      </w:pPr>
                      <w:r w:rsidRPr="000E7DE4">
                        <w:rPr>
                          <w:rFonts w:ascii="Verdana" w:hAnsi="Verdana"/>
                          <w:b/>
                          <w:lang w:val="en-US"/>
                        </w:rPr>
                        <w:t xml:space="preserve">The Commission recommends that the definition of a parent is broad and open to interpretation to ensure a wide inclusion of those with a relationship to the child.  </w:t>
                      </w:r>
                    </w:p>
                    <w:p w14:paraId="70C34184" w14:textId="77777777" w:rsidR="000E7DE4" w:rsidRDefault="000E7DE4" w:rsidP="000E7DE4">
                      <w:pPr>
                        <w:ind w:left="720"/>
                        <w:rPr>
                          <w:rFonts w:ascii="Verdana" w:hAnsi="Verdana"/>
                          <w:b/>
                          <w:lang w:val="en-US"/>
                        </w:rPr>
                      </w:pPr>
                    </w:p>
                    <w:p w14:paraId="4122AEA7" w14:textId="77777777" w:rsidR="000E7DE4" w:rsidRPr="000E7DE4" w:rsidRDefault="000E7DE4" w:rsidP="000E7DE4">
                      <w:pPr>
                        <w:pStyle w:val="ListParagraph"/>
                        <w:numPr>
                          <w:ilvl w:val="0"/>
                          <w:numId w:val="24"/>
                        </w:numPr>
                        <w:rPr>
                          <w:rFonts w:ascii="Verdana" w:hAnsi="Verdana"/>
                          <w:b/>
                          <w:lang w:val="en-US"/>
                        </w:rPr>
                      </w:pPr>
                      <w:r w:rsidRPr="000E7DE4">
                        <w:rPr>
                          <w:rFonts w:ascii="Verdana" w:hAnsi="Verdana"/>
                          <w:b/>
                          <w:lang w:val="en-US"/>
                        </w:rPr>
                        <w:t xml:space="preserve">The Commission recommends the Committee advises the Department to conduct a human rights impact assessment to consider any interference with Article 8 and Article 14 ECHR.  As well as compliance with international human rights standards and recommendations of the UN ICESCR and UN CEDAW Committees as referenced in the Human Rights Act. </w:t>
                      </w:r>
                    </w:p>
                    <w:p w14:paraId="665F74C5" w14:textId="77777777" w:rsidR="000E7DE4" w:rsidRDefault="000E7DE4" w:rsidP="000E7DE4">
                      <w:pPr>
                        <w:ind w:left="720"/>
                        <w:rPr>
                          <w:rFonts w:ascii="Verdana" w:hAnsi="Verdana"/>
                          <w:b/>
                          <w:lang w:val="en-US"/>
                        </w:rPr>
                      </w:pPr>
                    </w:p>
                    <w:p w14:paraId="7C6B5BE5" w14:textId="16481522" w:rsidR="000E7DE4" w:rsidRPr="000E7DE4" w:rsidRDefault="000E7DE4" w:rsidP="000E7DE4">
                      <w:pPr>
                        <w:pStyle w:val="ListParagraph"/>
                        <w:numPr>
                          <w:ilvl w:val="0"/>
                          <w:numId w:val="24"/>
                        </w:numPr>
                        <w:rPr>
                          <w:rFonts w:ascii="Verdana" w:hAnsi="Verdana"/>
                          <w:b/>
                          <w:lang w:val="en-US"/>
                        </w:rPr>
                      </w:pPr>
                      <w:r w:rsidRPr="000E7DE4">
                        <w:rPr>
                          <w:rFonts w:ascii="Verdana" w:hAnsi="Verdana"/>
                          <w:b/>
                          <w:lang w:val="en-US"/>
                        </w:rPr>
                        <w:t xml:space="preserve">The Commission recommends the Committee consider other countries’ approach to parental bereavement leave, particularly in relation to miscarriage and stillbirth, including New Zealand’s inclusion of bereavement through miscarriage, as well as relevant civil society organisations’ recommendations on the inclusion of miscarriage within parental bereavement leave. </w:t>
                      </w:r>
                    </w:p>
                    <w:p w14:paraId="52435694" w14:textId="77777777" w:rsidR="000E7DE4" w:rsidRPr="000E7DE4" w:rsidRDefault="000E7DE4" w:rsidP="000E7DE4">
                      <w:pPr>
                        <w:pStyle w:val="ListParagraph"/>
                        <w:rPr>
                          <w:rFonts w:ascii="Verdana" w:hAnsi="Verdana"/>
                          <w:b/>
                          <w:lang w:val="en-US"/>
                        </w:rPr>
                      </w:pPr>
                    </w:p>
                    <w:p w14:paraId="66252A84" w14:textId="77777777" w:rsidR="000E7DE4" w:rsidRPr="000E7DE4" w:rsidRDefault="000E7DE4" w:rsidP="000E7DE4">
                      <w:pPr>
                        <w:pStyle w:val="ListParagraph"/>
                        <w:rPr>
                          <w:rFonts w:ascii="Verdana" w:hAnsi="Verdana"/>
                          <w:b/>
                          <w:lang w:val="en-US"/>
                        </w:rPr>
                      </w:pPr>
                    </w:p>
                    <w:p w14:paraId="2105CBFB" w14:textId="77777777" w:rsidR="000E7DE4" w:rsidRPr="000E7DE4" w:rsidRDefault="000E7DE4" w:rsidP="000E7DE4">
                      <w:pPr>
                        <w:ind w:left="720"/>
                        <w:rPr>
                          <w:rFonts w:ascii="Verdana" w:hAnsi="Verdana"/>
                          <w:b/>
                          <w:lang w:val="en-US"/>
                        </w:rPr>
                      </w:pPr>
                    </w:p>
                    <w:p w14:paraId="30B9DB25" w14:textId="44ED4EE4" w:rsidR="000E5BE4" w:rsidRDefault="000E5BE4"/>
                  </w:txbxContent>
                </v:textbox>
                <w10:wrap type="square"/>
              </v:shape>
            </w:pict>
          </mc:Fallback>
        </mc:AlternateContent>
      </w:r>
      <w:bookmarkEnd w:id="0"/>
    </w:p>
    <w:p w14:paraId="7C93EAA9" w14:textId="77777777" w:rsidR="00A07CA8" w:rsidRPr="00331C61" w:rsidRDefault="00A07CA8" w:rsidP="00331C61">
      <w:pPr>
        <w:pStyle w:val="Default"/>
        <w:spacing w:line="288" w:lineRule="auto"/>
        <w:rPr>
          <w:rFonts w:cs="Arial"/>
          <w:b/>
          <w:color w:val="232120"/>
        </w:rPr>
      </w:pPr>
    </w:p>
    <w:p w14:paraId="519E4064" w14:textId="77777777" w:rsidR="00EA12CE" w:rsidRDefault="007836A4" w:rsidP="00D45A5F">
      <w:pPr>
        <w:pStyle w:val="Heading1"/>
        <w:numPr>
          <w:ilvl w:val="1"/>
          <w:numId w:val="8"/>
        </w:numPr>
        <w:spacing w:before="24" w:after="24"/>
      </w:pPr>
      <w:bookmarkStart w:id="1" w:name="_Toc80779463"/>
      <w:r>
        <w:t>Introduction</w:t>
      </w:r>
      <w:bookmarkEnd w:id="1"/>
      <w:r>
        <w:t xml:space="preserve"> </w:t>
      </w:r>
    </w:p>
    <w:p w14:paraId="3F1924DA" w14:textId="77777777" w:rsidR="007836A4" w:rsidRDefault="007836A4" w:rsidP="00D45A5F">
      <w:pPr>
        <w:pStyle w:val="Default"/>
        <w:spacing w:before="24" w:after="24" w:line="288" w:lineRule="auto"/>
        <w:ind w:left="720"/>
        <w:rPr>
          <w:rFonts w:cs="Arial"/>
          <w:b/>
          <w:color w:val="232120"/>
        </w:rPr>
      </w:pPr>
    </w:p>
    <w:p w14:paraId="42A7A7F2" w14:textId="44BF8C48" w:rsidR="0067610A" w:rsidRPr="000A1BB2" w:rsidRDefault="0067610A" w:rsidP="000A1BB2">
      <w:pPr>
        <w:pStyle w:val="ListParagraph"/>
        <w:widowControl w:val="0"/>
        <w:numPr>
          <w:ilvl w:val="1"/>
          <w:numId w:val="8"/>
        </w:numPr>
        <w:autoSpaceDE w:val="0"/>
        <w:autoSpaceDN w:val="0"/>
        <w:adjustRightInd w:val="0"/>
        <w:spacing w:before="24" w:after="24" w:line="288" w:lineRule="auto"/>
        <w:rPr>
          <w:rFonts w:ascii="Verdana" w:eastAsia="MS Mincho" w:hAnsi="Verdana" w:cs="Arial"/>
          <w:lang w:val="en-US"/>
        </w:rPr>
      </w:pPr>
      <w:r w:rsidRPr="000A1BB2">
        <w:rPr>
          <w:rFonts w:ascii="Verdana" w:eastAsia="MS Mincho" w:hAnsi="Verdana" w:cs="Arial"/>
          <w:lang w:val="en-US"/>
        </w:rPr>
        <w:t>The Northern Ireland Human Rights Commission (NIHRC), pursuant to section 69(</w:t>
      </w:r>
      <w:r w:rsidR="00F5217E">
        <w:rPr>
          <w:rFonts w:ascii="Verdana" w:eastAsia="MS Mincho" w:hAnsi="Verdana" w:cs="Arial"/>
          <w:lang w:val="en-US"/>
        </w:rPr>
        <w:t>4</w:t>
      </w:r>
      <w:r w:rsidRPr="000A1BB2">
        <w:rPr>
          <w:rFonts w:ascii="Verdana" w:eastAsia="MS Mincho" w:hAnsi="Verdana" w:cs="Arial"/>
          <w:lang w:val="en-US"/>
        </w:rPr>
        <w:t xml:space="preserve">) of the Northern Ireland Act 1998, reviews the adequacy and effectiveness of law and practice relating to the protection of human rights in Northern Ireland (NI). </w:t>
      </w:r>
      <w:r w:rsidR="003622A2">
        <w:rPr>
          <w:rFonts w:ascii="Verdana" w:eastAsia="MS Mincho" w:hAnsi="Verdana" w:cs="Arial"/>
          <w:lang w:val="en-US"/>
        </w:rPr>
        <w:t xml:space="preserve">The NIHRC, pursuant to section 78A(6) of the Northern Ireland Act 1998, must advise </w:t>
      </w:r>
      <w:r w:rsidR="0093330F">
        <w:rPr>
          <w:rFonts w:ascii="Verdana" w:eastAsia="MS Mincho" w:hAnsi="Verdana" w:cs="Arial"/>
          <w:lang w:val="en-US"/>
        </w:rPr>
        <w:t xml:space="preserve">the Assembly (or a committee of the Assembly) whether a Bill is compatible with Article 2(1) of the Ireland/Northern Ireland Protocol. </w:t>
      </w:r>
      <w:r w:rsidRPr="000A1BB2">
        <w:rPr>
          <w:rFonts w:ascii="Verdana" w:eastAsia="MS Mincho" w:hAnsi="Verdana" w:cs="Arial"/>
          <w:lang w:val="en-US"/>
        </w:rPr>
        <w:t xml:space="preserve">In accordance with </w:t>
      </w:r>
      <w:r w:rsidR="0093330F">
        <w:rPr>
          <w:rFonts w:ascii="Verdana" w:eastAsia="MS Mincho" w:hAnsi="Verdana" w:cs="Arial"/>
          <w:lang w:val="en-US"/>
        </w:rPr>
        <w:t>these functions</w:t>
      </w:r>
      <w:r w:rsidRPr="000A1BB2">
        <w:rPr>
          <w:rFonts w:ascii="Verdana" w:eastAsia="MS Mincho" w:hAnsi="Verdana" w:cs="Arial"/>
          <w:lang w:val="en-US"/>
        </w:rPr>
        <w:t xml:space="preserve">, the following advice is submitted to the Committee for Economy on the Parental Bereavement (Leave and Pay) Bill. </w:t>
      </w:r>
    </w:p>
    <w:p w14:paraId="34E2C635" w14:textId="77777777" w:rsidR="0067610A" w:rsidRPr="00DC6DB1" w:rsidRDefault="0067610A" w:rsidP="0067610A">
      <w:pPr>
        <w:widowControl w:val="0"/>
        <w:autoSpaceDE w:val="0"/>
        <w:autoSpaceDN w:val="0"/>
        <w:adjustRightInd w:val="0"/>
        <w:spacing w:before="24" w:after="24" w:line="288" w:lineRule="auto"/>
        <w:ind w:left="720"/>
        <w:rPr>
          <w:rFonts w:ascii="Verdana" w:eastAsia="MS Mincho" w:hAnsi="Verdana" w:cs="Arial"/>
          <w:lang w:val="en-US"/>
        </w:rPr>
      </w:pPr>
    </w:p>
    <w:p w14:paraId="7ADAAA2E" w14:textId="77777777" w:rsidR="0067610A" w:rsidRPr="00DC6DB1" w:rsidRDefault="0067610A" w:rsidP="000A1BB2">
      <w:pPr>
        <w:widowControl w:val="0"/>
        <w:numPr>
          <w:ilvl w:val="1"/>
          <w:numId w:val="8"/>
        </w:numPr>
        <w:autoSpaceDE w:val="0"/>
        <w:autoSpaceDN w:val="0"/>
        <w:adjustRightInd w:val="0"/>
        <w:spacing w:before="24" w:after="24" w:line="288" w:lineRule="auto"/>
        <w:rPr>
          <w:rFonts w:ascii="Verdana" w:eastAsia="MS Mincho" w:hAnsi="Verdana" w:cs="Arial"/>
          <w:b/>
          <w:lang w:val="en-US"/>
        </w:rPr>
      </w:pPr>
      <w:r w:rsidRPr="00DC6DB1">
        <w:rPr>
          <w:rFonts w:ascii="Verdana" w:eastAsia="MS Mincho" w:hAnsi="Verdana" w:cs="Arial"/>
          <w:lang w:val="en-US"/>
        </w:rPr>
        <w:t>The NIHRC bases its advice on the full range of internationally accepted human rights standards, including the European Convention on Human Rights, as incorporated by the Human Rights Act 1998, and the treaty obligations of the Council of Europe (CoE) and United Nations (UN). The relevant regional and international treaties in this context include:</w:t>
      </w:r>
    </w:p>
    <w:p w14:paraId="31BF9921" w14:textId="77777777" w:rsidR="0067610A" w:rsidRPr="00DC6DB1" w:rsidRDefault="0067610A" w:rsidP="0067610A">
      <w:pPr>
        <w:spacing w:before="24" w:after="24" w:line="288" w:lineRule="auto"/>
        <w:ind w:left="720"/>
        <w:contextualSpacing/>
        <w:rPr>
          <w:rFonts w:ascii="Verdana" w:eastAsia="MS Mincho" w:hAnsi="Verdana" w:cs="Arial"/>
        </w:rPr>
      </w:pPr>
    </w:p>
    <w:p w14:paraId="1E62488E" w14:textId="77777777" w:rsidR="0067610A" w:rsidRPr="00BB4526" w:rsidRDefault="0067610A" w:rsidP="0067610A">
      <w:pPr>
        <w:widowControl w:val="0"/>
        <w:numPr>
          <w:ilvl w:val="0"/>
          <w:numId w:val="14"/>
        </w:numPr>
        <w:autoSpaceDE w:val="0"/>
        <w:autoSpaceDN w:val="0"/>
        <w:adjustRightInd w:val="0"/>
        <w:spacing w:before="24" w:after="24" w:line="288" w:lineRule="auto"/>
        <w:rPr>
          <w:rFonts w:ascii="Verdana" w:eastAsia="MS Mincho" w:hAnsi="Verdana" w:cs="Arial"/>
          <w:b/>
          <w:lang w:val="en-US"/>
        </w:rPr>
      </w:pPr>
      <w:r w:rsidRPr="00DC6DB1">
        <w:rPr>
          <w:rFonts w:ascii="Verdana" w:eastAsia="MS Mincho" w:hAnsi="Verdana" w:cs="Arial"/>
          <w:lang w:val="en-US"/>
        </w:rPr>
        <w:t>European Convention on Human Rights (ECHR);</w:t>
      </w:r>
      <w:r w:rsidRPr="00DC6DB1">
        <w:rPr>
          <w:rFonts w:ascii="Verdana" w:eastAsia="MS Mincho" w:hAnsi="Verdana" w:cs="Arial"/>
          <w:vertAlign w:val="superscript"/>
          <w:lang w:val="en-US"/>
        </w:rPr>
        <w:footnoteReference w:id="2"/>
      </w:r>
      <w:r w:rsidRPr="00DC6DB1">
        <w:rPr>
          <w:rFonts w:ascii="Verdana" w:eastAsia="MS Mincho" w:hAnsi="Verdana" w:cs="Arial"/>
          <w:lang w:val="en-US"/>
        </w:rPr>
        <w:t xml:space="preserve"> </w:t>
      </w:r>
    </w:p>
    <w:p w14:paraId="3B862097" w14:textId="7927A43E" w:rsidR="00BB4526" w:rsidRPr="00DC6DB1" w:rsidRDefault="00BB4526" w:rsidP="005230E2">
      <w:pPr>
        <w:widowControl w:val="0"/>
        <w:numPr>
          <w:ilvl w:val="0"/>
          <w:numId w:val="14"/>
        </w:numPr>
        <w:autoSpaceDE w:val="0"/>
        <w:autoSpaceDN w:val="0"/>
        <w:adjustRightInd w:val="0"/>
        <w:spacing w:before="24" w:after="24" w:line="288" w:lineRule="auto"/>
        <w:rPr>
          <w:rFonts w:ascii="Verdana" w:eastAsia="MS Mincho" w:hAnsi="Verdana" w:cs="Arial"/>
          <w:b/>
          <w:lang w:val="en-US"/>
        </w:rPr>
      </w:pPr>
      <w:r>
        <w:rPr>
          <w:rFonts w:ascii="Verdana" w:eastAsia="MS Mincho" w:hAnsi="Verdana" w:cs="Arial"/>
          <w:lang w:val="en-US"/>
        </w:rPr>
        <w:t xml:space="preserve">UN </w:t>
      </w:r>
      <w:r w:rsidR="004C2E2D">
        <w:rPr>
          <w:rFonts w:ascii="Verdana" w:eastAsia="MS Mincho" w:hAnsi="Verdana" w:cs="Arial"/>
          <w:lang w:val="en-US"/>
        </w:rPr>
        <w:t>International Covenant on</w:t>
      </w:r>
      <w:r>
        <w:rPr>
          <w:rFonts w:ascii="Verdana" w:eastAsia="MS Mincho" w:hAnsi="Verdana" w:cs="Arial"/>
          <w:lang w:val="en-US"/>
        </w:rPr>
        <w:t xml:space="preserve"> Economi</w:t>
      </w:r>
      <w:r w:rsidR="005230E2">
        <w:rPr>
          <w:rFonts w:ascii="Verdana" w:eastAsia="MS Mincho" w:hAnsi="Verdana" w:cs="Arial"/>
          <w:lang w:val="en-US"/>
        </w:rPr>
        <w:t>c, Social and Cultural Rights (</w:t>
      </w:r>
      <w:r>
        <w:rPr>
          <w:rFonts w:ascii="Verdana" w:eastAsia="MS Mincho" w:hAnsi="Verdana" w:cs="Arial"/>
          <w:lang w:val="en-US"/>
        </w:rPr>
        <w:t>UN ICESCR</w:t>
      </w:r>
      <w:r w:rsidR="005230E2">
        <w:rPr>
          <w:rFonts w:ascii="Verdana" w:eastAsia="MS Mincho" w:hAnsi="Verdana" w:cs="Arial"/>
          <w:lang w:val="en-US"/>
        </w:rPr>
        <w:t>) and</w:t>
      </w:r>
      <w:r>
        <w:rPr>
          <w:rFonts w:ascii="Verdana" w:eastAsia="MS Mincho" w:hAnsi="Verdana" w:cs="Arial"/>
          <w:lang w:val="en-US"/>
        </w:rPr>
        <w:t>;</w:t>
      </w:r>
      <w:r>
        <w:rPr>
          <w:rStyle w:val="FootnoteReference"/>
          <w:rFonts w:ascii="Verdana" w:eastAsia="MS Mincho" w:hAnsi="Verdana" w:cs="Arial"/>
          <w:lang w:val="en-US"/>
        </w:rPr>
        <w:footnoteReference w:id="3"/>
      </w:r>
    </w:p>
    <w:p w14:paraId="239D12C1" w14:textId="77777777" w:rsidR="0067610A" w:rsidRPr="00DC6DB1" w:rsidRDefault="0067610A" w:rsidP="005230E2">
      <w:pPr>
        <w:widowControl w:val="0"/>
        <w:numPr>
          <w:ilvl w:val="0"/>
          <w:numId w:val="14"/>
        </w:numPr>
        <w:autoSpaceDE w:val="0"/>
        <w:autoSpaceDN w:val="0"/>
        <w:adjustRightInd w:val="0"/>
        <w:spacing w:before="24" w:after="24" w:line="288" w:lineRule="auto"/>
        <w:rPr>
          <w:rFonts w:ascii="Verdana" w:eastAsia="MS Mincho" w:hAnsi="Verdana" w:cs="Arial"/>
          <w:lang w:val="en-US"/>
        </w:rPr>
      </w:pPr>
      <w:r w:rsidRPr="00DC6DB1">
        <w:rPr>
          <w:rFonts w:ascii="Verdana" w:eastAsia="MS Mincho" w:hAnsi="Verdana" w:cs="Verdana"/>
          <w:color w:val="000000"/>
          <w:lang w:val="en-US"/>
        </w:rPr>
        <w:t xml:space="preserve">UN Convention on Elimination of Discrimination against Women </w:t>
      </w:r>
      <w:r>
        <w:rPr>
          <w:rFonts w:ascii="Verdana" w:eastAsia="MS Mincho" w:hAnsi="Verdana" w:cs="Verdana"/>
          <w:color w:val="000000"/>
          <w:lang w:val="en-US"/>
        </w:rPr>
        <w:t>(UN CEDAW).</w:t>
      </w:r>
      <w:r w:rsidRPr="00DC6DB1">
        <w:rPr>
          <w:rFonts w:ascii="Verdana" w:eastAsia="MS Mincho" w:hAnsi="Verdana" w:cs="Verdana"/>
          <w:color w:val="000000"/>
          <w:vertAlign w:val="superscript"/>
          <w:lang w:val="en-US"/>
        </w:rPr>
        <w:footnoteReference w:id="4"/>
      </w:r>
    </w:p>
    <w:p w14:paraId="5BE53E0B" w14:textId="77777777" w:rsidR="0067610A" w:rsidRPr="00DC6DB1" w:rsidRDefault="0067610A" w:rsidP="005230E2">
      <w:pPr>
        <w:spacing w:before="24" w:after="24" w:line="288" w:lineRule="auto"/>
        <w:ind w:left="720"/>
        <w:contextualSpacing/>
        <w:rPr>
          <w:rFonts w:ascii="Verdana" w:eastAsia="MS Mincho" w:hAnsi="Verdana" w:cs="Arial"/>
        </w:rPr>
      </w:pPr>
    </w:p>
    <w:p w14:paraId="048A143A" w14:textId="77777777" w:rsidR="0067610A" w:rsidRDefault="0067610A" w:rsidP="000A1BB2">
      <w:pPr>
        <w:numPr>
          <w:ilvl w:val="1"/>
          <w:numId w:val="8"/>
        </w:numPr>
        <w:spacing w:before="24" w:after="24" w:line="288" w:lineRule="auto"/>
        <w:contextualSpacing/>
        <w:rPr>
          <w:rFonts w:ascii="Verdana" w:eastAsia="MS Mincho" w:hAnsi="Verdana" w:cs="Arial"/>
          <w:lang w:val="en-US"/>
        </w:rPr>
      </w:pPr>
      <w:r w:rsidRPr="00DC6DB1">
        <w:rPr>
          <w:rFonts w:ascii="Verdana" w:eastAsia="MS Mincho" w:hAnsi="Verdana" w:cs="Arial"/>
          <w:lang w:val="en-US"/>
        </w:rPr>
        <w:t>In addition to these treaty standards, there exists a body of ‘soft law’ developed by the human rights bodies of the CoE and UN. These declarations and principles are non-binding, but provide further guidance in respect of specific areas. The relevant standards in this context include:</w:t>
      </w:r>
    </w:p>
    <w:p w14:paraId="40369B95" w14:textId="77777777" w:rsidR="0067610A" w:rsidRPr="0067610A" w:rsidRDefault="0067610A" w:rsidP="005230E2">
      <w:pPr>
        <w:spacing w:before="24" w:after="24" w:line="288" w:lineRule="auto"/>
        <w:ind w:left="720"/>
        <w:contextualSpacing/>
        <w:rPr>
          <w:rFonts w:ascii="Verdana" w:eastAsia="MS Mincho" w:hAnsi="Verdana" w:cs="Arial"/>
          <w:lang w:val="en-US"/>
        </w:rPr>
      </w:pPr>
    </w:p>
    <w:p w14:paraId="09FB8AE9" w14:textId="77777777" w:rsidR="0067610A" w:rsidRPr="00DC6DB1" w:rsidRDefault="0067610A" w:rsidP="005230E2">
      <w:pPr>
        <w:numPr>
          <w:ilvl w:val="0"/>
          <w:numId w:val="15"/>
        </w:numPr>
        <w:spacing w:before="24" w:after="24" w:line="288" w:lineRule="auto"/>
        <w:contextualSpacing/>
        <w:rPr>
          <w:rFonts w:ascii="Verdana" w:eastAsia="MS Mincho" w:hAnsi="Verdana" w:cs="Arial"/>
          <w:lang w:val="en-US"/>
        </w:rPr>
      </w:pPr>
      <w:r w:rsidRPr="00DC6DB1">
        <w:rPr>
          <w:rFonts w:ascii="Verdana" w:eastAsia="MS Mincho" w:hAnsi="Verdana" w:cs="Arial"/>
          <w:lang w:val="en-US"/>
        </w:rPr>
        <w:t>UN CEDAW Committee Concluding Observations 2019;</w:t>
      </w:r>
      <w:r w:rsidRPr="00DC6DB1">
        <w:rPr>
          <w:rFonts w:ascii="Verdana" w:eastAsia="MS Mincho" w:hAnsi="Verdana" w:cs="Arial"/>
          <w:vertAlign w:val="superscript"/>
          <w:lang w:val="en-US"/>
        </w:rPr>
        <w:footnoteReference w:id="5"/>
      </w:r>
    </w:p>
    <w:p w14:paraId="120CAFB7" w14:textId="54EA71E2" w:rsidR="0067610A" w:rsidRPr="000A1BB2" w:rsidRDefault="00BB4526" w:rsidP="000B0CEE">
      <w:pPr>
        <w:numPr>
          <w:ilvl w:val="0"/>
          <w:numId w:val="15"/>
        </w:numPr>
        <w:spacing w:before="24" w:after="24" w:line="288" w:lineRule="auto"/>
        <w:contextualSpacing/>
        <w:rPr>
          <w:rFonts w:ascii="Verdana" w:eastAsia="MS Mincho" w:hAnsi="Verdana" w:cs="Arial"/>
          <w:lang w:val="en-US"/>
        </w:rPr>
      </w:pPr>
      <w:r w:rsidRPr="000A1BB2">
        <w:rPr>
          <w:rFonts w:ascii="Verdana" w:eastAsia="MS Mincho" w:hAnsi="Verdana" w:cs="Arial"/>
          <w:lang w:val="en-US"/>
        </w:rPr>
        <w:t xml:space="preserve">UN </w:t>
      </w:r>
      <w:r w:rsidR="004C2E2D">
        <w:rPr>
          <w:rFonts w:ascii="Verdana" w:eastAsia="MS Mincho" w:hAnsi="Verdana" w:cs="Arial"/>
          <w:lang w:val="en-US"/>
        </w:rPr>
        <w:t>ICESCR</w:t>
      </w:r>
      <w:r w:rsidR="004C2E2D" w:rsidRPr="000A1BB2">
        <w:rPr>
          <w:rFonts w:ascii="Verdana" w:eastAsia="MS Mincho" w:hAnsi="Verdana" w:cs="Arial"/>
          <w:lang w:val="en-US"/>
        </w:rPr>
        <w:t xml:space="preserve"> </w:t>
      </w:r>
      <w:r w:rsidR="000A1BB2" w:rsidRPr="000A1BB2">
        <w:rPr>
          <w:rFonts w:ascii="Verdana" w:eastAsia="MS Mincho" w:hAnsi="Verdana" w:cs="Arial"/>
          <w:lang w:val="en-US"/>
        </w:rPr>
        <w:t>Committee General comment No. 23 (2016) on the right to just and favourable condi</w:t>
      </w:r>
      <w:r w:rsidR="00173AF1">
        <w:rPr>
          <w:rFonts w:ascii="Verdana" w:eastAsia="MS Mincho" w:hAnsi="Verdana" w:cs="Arial"/>
          <w:lang w:val="en-US"/>
        </w:rPr>
        <w:t xml:space="preserve">tions of work (article 7 of the </w:t>
      </w:r>
      <w:r w:rsidR="000A1BB2" w:rsidRPr="000A1BB2">
        <w:rPr>
          <w:rFonts w:ascii="Verdana" w:eastAsia="MS Mincho" w:hAnsi="Verdana" w:cs="Arial"/>
          <w:lang w:val="en-US"/>
        </w:rPr>
        <w:t>International</w:t>
      </w:r>
      <w:r w:rsidR="000A1BB2">
        <w:rPr>
          <w:rFonts w:ascii="Verdana" w:eastAsia="MS Mincho" w:hAnsi="Verdana" w:cs="Arial"/>
          <w:lang w:val="en-US"/>
        </w:rPr>
        <w:t xml:space="preserve"> </w:t>
      </w:r>
      <w:r w:rsidR="000A1BB2" w:rsidRPr="000A1BB2">
        <w:rPr>
          <w:rFonts w:ascii="Verdana" w:eastAsia="MS Mincho" w:hAnsi="Verdana" w:cs="Arial"/>
          <w:lang w:val="en-US"/>
        </w:rPr>
        <w:t>Covenant on Economic, Social and Cultural Rights)</w:t>
      </w:r>
      <w:r w:rsidRPr="000A1BB2">
        <w:rPr>
          <w:rFonts w:ascii="Verdana" w:eastAsia="MS Mincho" w:hAnsi="Verdana" w:cs="Arial"/>
          <w:lang w:val="en-US"/>
        </w:rPr>
        <w:t>.</w:t>
      </w:r>
      <w:r w:rsidR="0067610A" w:rsidRPr="00DC6DB1">
        <w:rPr>
          <w:rFonts w:ascii="Verdana" w:eastAsia="MS Mincho" w:hAnsi="Verdana" w:cs="Arial"/>
          <w:vertAlign w:val="superscript"/>
          <w:lang w:val="en-US"/>
        </w:rPr>
        <w:footnoteReference w:id="6"/>
      </w:r>
    </w:p>
    <w:p w14:paraId="0BBDB342" w14:textId="77777777" w:rsidR="0067610A" w:rsidRPr="0067610A" w:rsidRDefault="0067610A" w:rsidP="005230E2">
      <w:pPr>
        <w:spacing w:before="24" w:after="24" w:line="288" w:lineRule="auto"/>
        <w:ind w:left="1440"/>
        <w:contextualSpacing/>
        <w:rPr>
          <w:rFonts w:ascii="Verdana" w:eastAsia="MS Mincho" w:hAnsi="Verdana" w:cs="Arial"/>
          <w:lang w:val="en-US"/>
        </w:rPr>
      </w:pPr>
    </w:p>
    <w:p w14:paraId="0792B22A" w14:textId="411FDBFB" w:rsidR="00A07CA8" w:rsidRDefault="007836A4" w:rsidP="005230E2">
      <w:pPr>
        <w:pStyle w:val="Default"/>
        <w:numPr>
          <w:ilvl w:val="1"/>
          <w:numId w:val="8"/>
        </w:numPr>
        <w:spacing w:before="24" w:after="24" w:line="288" w:lineRule="auto"/>
        <w:rPr>
          <w:rFonts w:cs="Arial"/>
          <w:color w:val="232120"/>
        </w:rPr>
      </w:pPr>
      <w:r w:rsidRPr="00A07CA8">
        <w:rPr>
          <w:rFonts w:cs="Arial"/>
          <w:color w:val="232120"/>
        </w:rPr>
        <w:t>The Commission welcomes the Department of Economy</w:t>
      </w:r>
      <w:r w:rsidR="00A07CA8" w:rsidRPr="00A07CA8">
        <w:rPr>
          <w:rFonts w:cs="Arial"/>
          <w:color w:val="232120"/>
        </w:rPr>
        <w:t>’s</w:t>
      </w:r>
      <w:r w:rsidRPr="00A07CA8">
        <w:rPr>
          <w:rFonts w:cs="Arial"/>
          <w:color w:val="232120"/>
        </w:rPr>
        <w:t xml:space="preserve"> </w:t>
      </w:r>
      <w:r w:rsidR="00A07CA8" w:rsidRPr="00A07CA8">
        <w:rPr>
          <w:rFonts w:cs="Arial"/>
          <w:color w:val="232120"/>
        </w:rPr>
        <w:t xml:space="preserve">introduction of the Parental Bereavement (Leave and Pay) Bill to introduce regulations creating a legal requirement for all employers to grant a period of a minimum of </w:t>
      </w:r>
      <w:r w:rsidR="004D2ED2">
        <w:rPr>
          <w:rFonts w:cs="Arial"/>
          <w:color w:val="232120"/>
        </w:rPr>
        <w:t>two</w:t>
      </w:r>
      <w:r w:rsidR="004D2ED2" w:rsidRPr="00A07CA8">
        <w:rPr>
          <w:rFonts w:cs="Arial"/>
          <w:color w:val="232120"/>
        </w:rPr>
        <w:t xml:space="preserve"> </w:t>
      </w:r>
      <w:r w:rsidR="00A07CA8" w:rsidRPr="00A07CA8">
        <w:rPr>
          <w:rFonts w:cs="Arial"/>
          <w:color w:val="232120"/>
        </w:rPr>
        <w:t>weeks</w:t>
      </w:r>
      <w:r w:rsidR="00A07CA8">
        <w:rPr>
          <w:rFonts w:cs="Arial"/>
          <w:color w:val="232120"/>
        </w:rPr>
        <w:t xml:space="preserve"> of Parental Bereavement Leave. </w:t>
      </w:r>
    </w:p>
    <w:p w14:paraId="21C997CD" w14:textId="77777777" w:rsidR="00B33793" w:rsidRDefault="00B33793" w:rsidP="005230E2">
      <w:pPr>
        <w:pStyle w:val="Default"/>
        <w:spacing w:before="24" w:after="24" w:line="288" w:lineRule="auto"/>
        <w:ind w:left="720"/>
        <w:rPr>
          <w:rFonts w:cs="Arial"/>
          <w:color w:val="232120"/>
        </w:rPr>
      </w:pPr>
    </w:p>
    <w:p w14:paraId="4DD16332" w14:textId="77777777" w:rsidR="00B33793" w:rsidRDefault="00B33793" w:rsidP="005230E2">
      <w:pPr>
        <w:pStyle w:val="Heading1"/>
        <w:numPr>
          <w:ilvl w:val="0"/>
          <w:numId w:val="8"/>
        </w:numPr>
        <w:spacing w:before="24" w:after="24"/>
      </w:pPr>
      <w:bookmarkStart w:id="2" w:name="_Toc80779464"/>
      <w:r>
        <w:t>General Comments on the Bill</w:t>
      </w:r>
      <w:bookmarkEnd w:id="2"/>
      <w:r>
        <w:t xml:space="preserve"> </w:t>
      </w:r>
    </w:p>
    <w:p w14:paraId="74D75931" w14:textId="77777777" w:rsidR="00A07CA8" w:rsidRDefault="00A07CA8" w:rsidP="005230E2">
      <w:pPr>
        <w:pStyle w:val="Default"/>
        <w:spacing w:before="24" w:after="24" w:line="288" w:lineRule="auto"/>
        <w:ind w:left="720"/>
        <w:rPr>
          <w:rFonts w:cs="Arial"/>
          <w:color w:val="232120"/>
        </w:rPr>
      </w:pPr>
    </w:p>
    <w:p w14:paraId="04859973" w14:textId="77777777" w:rsidR="005230E2" w:rsidRDefault="005230E2" w:rsidP="008F4E80">
      <w:pPr>
        <w:pStyle w:val="Default"/>
        <w:numPr>
          <w:ilvl w:val="1"/>
          <w:numId w:val="10"/>
        </w:numPr>
        <w:spacing w:before="24" w:after="24" w:line="288" w:lineRule="auto"/>
        <w:rPr>
          <w:rFonts w:cs="Arial"/>
          <w:color w:val="232120"/>
        </w:rPr>
      </w:pPr>
      <w:r w:rsidRPr="003B216D">
        <w:rPr>
          <w:rFonts w:cs="Arial"/>
          <w:color w:val="232120"/>
        </w:rPr>
        <w:t xml:space="preserve">The Commission welcomes the legislation </w:t>
      </w:r>
      <w:r w:rsidR="000A1BB2" w:rsidRPr="003B216D">
        <w:rPr>
          <w:rFonts w:cs="Arial"/>
          <w:color w:val="232120"/>
        </w:rPr>
        <w:t xml:space="preserve">to introduce </w:t>
      </w:r>
      <w:r w:rsidR="003B216D" w:rsidRPr="003B216D">
        <w:rPr>
          <w:rFonts w:cs="Arial"/>
          <w:color w:val="232120"/>
        </w:rPr>
        <w:t xml:space="preserve">a legal requirement for parental bereavement leave and pay to ensure equality of access to leave entitlement and financial security when grieving. </w:t>
      </w:r>
    </w:p>
    <w:p w14:paraId="145C92F1" w14:textId="77777777" w:rsidR="003B216D" w:rsidRPr="003B216D" w:rsidRDefault="003B216D" w:rsidP="003B216D">
      <w:pPr>
        <w:pStyle w:val="Default"/>
        <w:spacing w:before="24" w:after="24" w:line="288" w:lineRule="auto"/>
        <w:ind w:left="720"/>
        <w:rPr>
          <w:rFonts w:cs="Arial"/>
          <w:color w:val="232120"/>
        </w:rPr>
      </w:pPr>
    </w:p>
    <w:p w14:paraId="3E7DE9F0" w14:textId="77777777" w:rsidR="009D39FB" w:rsidRDefault="00A07CA8" w:rsidP="00E975D0">
      <w:pPr>
        <w:pStyle w:val="Default"/>
        <w:numPr>
          <w:ilvl w:val="1"/>
          <w:numId w:val="10"/>
        </w:numPr>
        <w:spacing w:before="24" w:after="24" w:line="288" w:lineRule="auto"/>
        <w:rPr>
          <w:rFonts w:cs="Arial"/>
          <w:color w:val="232120"/>
        </w:rPr>
      </w:pPr>
      <w:r w:rsidRPr="005230E2">
        <w:rPr>
          <w:rFonts w:cs="Arial"/>
          <w:color w:val="232120"/>
        </w:rPr>
        <w:t>The Commission</w:t>
      </w:r>
      <w:r w:rsidR="000A1BB2">
        <w:rPr>
          <w:rFonts w:cs="Arial"/>
          <w:color w:val="232120"/>
        </w:rPr>
        <w:t xml:space="preserve"> recognises the draft Bill largely mirrors provision for parental leave and pay in the UK.</w:t>
      </w:r>
      <w:r w:rsidRPr="005230E2">
        <w:rPr>
          <w:rFonts w:cs="Arial"/>
          <w:color w:val="232120"/>
        </w:rPr>
        <w:t xml:space="preserve"> </w:t>
      </w:r>
      <w:r w:rsidR="00B33793" w:rsidRPr="005230E2">
        <w:rPr>
          <w:rFonts w:cs="Arial"/>
          <w:color w:val="232120"/>
        </w:rPr>
        <w:t xml:space="preserve">However, as employment is a devolved matter the Commission would highlight that this gives the Department the opportunity to introduce legislation that goes beyond the protections offered within the UK legislation to be more inclusive and </w:t>
      </w:r>
      <w:r w:rsidR="00F04647" w:rsidRPr="005230E2">
        <w:rPr>
          <w:rFonts w:cs="Arial"/>
          <w:color w:val="232120"/>
        </w:rPr>
        <w:t xml:space="preserve">progressive. </w:t>
      </w:r>
    </w:p>
    <w:p w14:paraId="7F84737A" w14:textId="77777777" w:rsidR="005230E2" w:rsidRPr="005230E2" w:rsidRDefault="005230E2" w:rsidP="005230E2">
      <w:pPr>
        <w:pStyle w:val="Default"/>
        <w:spacing w:before="24" w:after="24" w:line="288" w:lineRule="auto"/>
        <w:ind w:left="720"/>
        <w:rPr>
          <w:rFonts w:cs="Arial"/>
          <w:color w:val="232120"/>
        </w:rPr>
      </w:pPr>
    </w:p>
    <w:p w14:paraId="174F009D" w14:textId="39F3DDCC" w:rsidR="00C42D0C" w:rsidRDefault="009D39FB" w:rsidP="005230E2">
      <w:pPr>
        <w:pStyle w:val="Default"/>
        <w:numPr>
          <w:ilvl w:val="1"/>
          <w:numId w:val="10"/>
        </w:numPr>
        <w:spacing w:before="24" w:after="24" w:line="288" w:lineRule="auto"/>
        <w:rPr>
          <w:rFonts w:cs="Arial"/>
          <w:color w:val="232120"/>
        </w:rPr>
      </w:pPr>
      <w:r>
        <w:rPr>
          <w:rFonts w:cs="Arial"/>
          <w:color w:val="232120"/>
        </w:rPr>
        <w:t xml:space="preserve">The Commission would highlight to the Committee that other countries have taken </w:t>
      </w:r>
      <w:r w:rsidR="005230E2">
        <w:rPr>
          <w:rFonts w:cs="Arial"/>
          <w:color w:val="232120"/>
        </w:rPr>
        <w:t xml:space="preserve">a more progressive and inclusive approach to parental bereavement leave and pay. </w:t>
      </w:r>
      <w:r w:rsidR="000A1BB2">
        <w:rPr>
          <w:rFonts w:cs="Arial"/>
          <w:color w:val="232120"/>
        </w:rPr>
        <w:t xml:space="preserve">For example, New Zealand </w:t>
      </w:r>
      <w:r w:rsidR="003B216D">
        <w:rPr>
          <w:rFonts w:cs="Arial"/>
          <w:color w:val="232120"/>
        </w:rPr>
        <w:t xml:space="preserve">has included provision for bereavement due to miscarriage. The Commission has highlighted this as </w:t>
      </w:r>
      <w:r w:rsidR="00D166BD">
        <w:rPr>
          <w:rFonts w:cs="Arial"/>
          <w:color w:val="232120"/>
        </w:rPr>
        <w:t xml:space="preserve">a </w:t>
      </w:r>
      <w:r w:rsidR="003B216D">
        <w:rPr>
          <w:rFonts w:cs="Arial"/>
          <w:color w:val="232120"/>
        </w:rPr>
        <w:t xml:space="preserve">potential issue later in the submission. </w:t>
      </w:r>
    </w:p>
    <w:p w14:paraId="4CD75316" w14:textId="77777777" w:rsidR="003B216D" w:rsidRDefault="003B216D" w:rsidP="003B216D">
      <w:pPr>
        <w:pStyle w:val="ListParagraph"/>
        <w:rPr>
          <w:rFonts w:cs="Arial"/>
          <w:color w:val="232120"/>
        </w:rPr>
      </w:pPr>
    </w:p>
    <w:p w14:paraId="7B9B5AD7" w14:textId="42D8319F" w:rsidR="003B216D" w:rsidRPr="005230E2" w:rsidRDefault="00D166BD" w:rsidP="005230E2">
      <w:pPr>
        <w:pStyle w:val="Default"/>
        <w:numPr>
          <w:ilvl w:val="1"/>
          <w:numId w:val="10"/>
        </w:numPr>
        <w:spacing w:before="24" w:after="24" w:line="288" w:lineRule="auto"/>
        <w:rPr>
          <w:rFonts w:cs="Arial"/>
          <w:color w:val="232120"/>
        </w:rPr>
      </w:pPr>
      <w:r>
        <w:rPr>
          <w:rFonts w:cs="Arial"/>
          <w:color w:val="232120"/>
        </w:rPr>
        <w:t>The</w:t>
      </w:r>
      <w:r w:rsidR="003B216D">
        <w:rPr>
          <w:rFonts w:cs="Arial"/>
          <w:color w:val="232120"/>
        </w:rPr>
        <w:t xml:space="preserve"> Commission would </w:t>
      </w:r>
      <w:r>
        <w:rPr>
          <w:rFonts w:cs="Arial"/>
          <w:color w:val="232120"/>
        </w:rPr>
        <w:t>suggest that</w:t>
      </w:r>
      <w:r w:rsidR="000E7DE4">
        <w:rPr>
          <w:rFonts w:cs="Arial"/>
          <w:color w:val="232120"/>
        </w:rPr>
        <w:t xml:space="preserve"> </w:t>
      </w:r>
      <w:r w:rsidR="003B216D">
        <w:rPr>
          <w:rFonts w:cs="Arial"/>
          <w:color w:val="232120"/>
        </w:rPr>
        <w:t>the Committee engage with relevant stakeholders such as civil society organisations</w:t>
      </w:r>
      <w:r>
        <w:rPr>
          <w:rFonts w:cs="Arial"/>
          <w:color w:val="232120"/>
        </w:rPr>
        <w:t>, businesses</w:t>
      </w:r>
      <w:r w:rsidR="003B216D">
        <w:rPr>
          <w:rFonts w:cs="Arial"/>
          <w:color w:val="232120"/>
        </w:rPr>
        <w:t xml:space="preserve"> and trade union representatives with an interest in the Bill. Furthermore, the Commission would advise the Committee call on the Department to develop draft guidance for employers when the legislation comes into operation.</w:t>
      </w:r>
    </w:p>
    <w:p w14:paraId="11F8E0DF" w14:textId="77777777" w:rsidR="00A900BB" w:rsidRDefault="00A900BB" w:rsidP="005230E2">
      <w:pPr>
        <w:pStyle w:val="ListParagraph"/>
        <w:spacing w:before="24" w:after="24"/>
        <w:rPr>
          <w:rFonts w:cs="Arial"/>
          <w:color w:val="232120"/>
        </w:rPr>
      </w:pPr>
    </w:p>
    <w:p w14:paraId="13D77ABE" w14:textId="5415AFF3" w:rsidR="00A900BB" w:rsidRDefault="000A1BB2" w:rsidP="005230E2">
      <w:pPr>
        <w:pStyle w:val="Default"/>
        <w:numPr>
          <w:ilvl w:val="1"/>
          <w:numId w:val="10"/>
        </w:numPr>
        <w:spacing w:before="24" w:after="24" w:line="288" w:lineRule="auto"/>
        <w:rPr>
          <w:rFonts w:cs="Arial"/>
          <w:color w:val="232120"/>
        </w:rPr>
      </w:pPr>
      <w:r>
        <w:rPr>
          <w:rFonts w:cs="Arial"/>
          <w:color w:val="232120"/>
        </w:rPr>
        <w:t xml:space="preserve">The Commission would also highlight that </w:t>
      </w:r>
      <w:r w:rsidR="00A900BB" w:rsidRPr="00A900BB">
        <w:rPr>
          <w:rFonts w:cs="Arial"/>
          <w:color w:val="232120"/>
        </w:rPr>
        <w:t>Article 2 of the Ireland/Northern Ireland Protocol (the Protocol) requires the UK government to ensure no diminution of rights, safeguards and equality of opportunity, as set out in the Belfast (Good Friday) Agreement 1998, results from the UK’s withdrawal from the EU. Article 2 also commits the UK government to keep pace with certain provisions of EU law concerning non-discrimination listed in Annex 1 of the Protocol.  This includes th</w:t>
      </w:r>
      <w:r w:rsidR="00264009">
        <w:rPr>
          <w:rFonts w:cs="Arial"/>
          <w:color w:val="232120"/>
        </w:rPr>
        <w:t>e Equality Framework Directive</w:t>
      </w:r>
      <w:r w:rsidR="003D3B82">
        <w:rPr>
          <w:rStyle w:val="FootnoteReference"/>
          <w:rFonts w:cs="Arial"/>
          <w:color w:val="232120"/>
        </w:rPr>
        <w:footnoteReference w:id="7"/>
      </w:r>
      <w:r w:rsidR="00264009">
        <w:rPr>
          <w:rFonts w:cs="Arial"/>
          <w:color w:val="232120"/>
        </w:rPr>
        <w:t xml:space="preserve">, </w:t>
      </w:r>
      <w:r w:rsidR="00BB4526">
        <w:rPr>
          <w:rFonts w:cs="Arial"/>
          <w:color w:val="232120"/>
        </w:rPr>
        <w:t>the Equal Treatment Directive</w:t>
      </w:r>
      <w:r w:rsidR="003D3B82">
        <w:rPr>
          <w:rStyle w:val="FootnoteReference"/>
          <w:rFonts w:cs="Arial"/>
          <w:color w:val="232120"/>
        </w:rPr>
        <w:footnoteReference w:id="8"/>
      </w:r>
      <w:r w:rsidR="00264009">
        <w:rPr>
          <w:rFonts w:cs="Arial"/>
          <w:color w:val="232120"/>
        </w:rPr>
        <w:t xml:space="preserve"> and the Social Security Directive</w:t>
      </w:r>
      <w:r w:rsidR="003D3B82">
        <w:rPr>
          <w:rStyle w:val="FootnoteReference"/>
          <w:rFonts w:cs="Arial"/>
          <w:color w:val="232120"/>
        </w:rPr>
        <w:footnoteReference w:id="9"/>
      </w:r>
      <w:r w:rsidR="00264009">
        <w:rPr>
          <w:rFonts w:cs="Arial"/>
          <w:color w:val="232120"/>
        </w:rPr>
        <w:t xml:space="preserve">, which </w:t>
      </w:r>
      <w:r w:rsidR="00A900BB" w:rsidRPr="00A900BB">
        <w:rPr>
          <w:rFonts w:cs="Arial"/>
          <w:color w:val="232120"/>
        </w:rPr>
        <w:t>aim to combat discrimination in matters of employment</w:t>
      </w:r>
      <w:r w:rsidR="00264009">
        <w:rPr>
          <w:rFonts w:cs="Arial"/>
          <w:color w:val="232120"/>
        </w:rPr>
        <w:t xml:space="preserve"> and social security provision</w:t>
      </w:r>
      <w:r w:rsidR="00A900BB" w:rsidRPr="00A900BB">
        <w:rPr>
          <w:rFonts w:cs="Arial"/>
          <w:color w:val="232120"/>
        </w:rPr>
        <w:t xml:space="preserve">, and fall within scope of article 2. The European Union (Withdrawal) Act 2020 updates the Northern Ireland Act 1998 to reflect that a provision is outside the legislative competence of the NI Assembly if “it is incompatible with Article 2(1) of the Protocol on Ireland/Northern Ireland”. </w:t>
      </w:r>
      <w:r w:rsidR="006A2DFC">
        <w:rPr>
          <w:rFonts w:cs="Arial"/>
          <w:color w:val="232120"/>
        </w:rPr>
        <w:t xml:space="preserve">While no breach of article 2 has been identified in the text of the Bill as drafted at this stage, ongoing monitoring of changes in relevant EU law will be required in the development </w:t>
      </w:r>
      <w:r w:rsidR="003D3B82">
        <w:rPr>
          <w:rFonts w:cs="Arial"/>
          <w:color w:val="232120"/>
        </w:rPr>
        <w:t xml:space="preserve">and implementation of the regulations which give effect to the scheme. </w:t>
      </w:r>
    </w:p>
    <w:p w14:paraId="4C8C998C" w14:textId="77777777" w:rsidR="00A900BB" w:rsidRPr="00A900BB" w:rsidRDefault="00A900BB" w:rsidP="005230E2">
      <w:pPr>
        <w:pStyle w:val="Default"/>
        <w:spacing w:before="24" w:after="24" w:line="288" w:lineRule="auto"/>
        <w:ind w:left="720"/>
        <w:rPr>
          <w:rFonts w:cs="Arial"/>
          <w:color w:val="232120"/>
        </w:rPr>
      </w:pPr>
    </w:p>
    <w:p w14:paraId="48EB777C" w14:textId="77777777" w:rsidR="005230E2" w:rsidRDefault="005230E2" w:rsidP="005230E2">
      <w:pPr>
        <w:pStyle w:val="ListParagraph"/>
        <w:numPr>
          <w:ilvl w:val="1"/>
          <w:numId w:val="10"/>
        </w:numPr>
        <w:rPr>
          <w:rFonts w:ascii="Verdana" w:hAnsi="Verdana" w:cs="Arial"/>
          <w:b/>
          <w:color w:val="232120"/>
          <w:lang w:val="en-US"/>
        </w:rPr>
      </w:pPr>
      <w:r w:rsidRPr="005230E2">
        <w:rPr>
          <w:rFonts w:ascii="Verdana" w:hAnsi="Verdana" w:cs="Arial"/>
          <w:b/>
          <w:color w:val="232120"/>
          <w:lang w:val="en-US"/>
        </w:rPr>
        <w:t xml:space="preserve">The Commission </w:t>
      </w:r>
      <w:r w:rsidR="003B216D">
        <w:rPr>
          <w:rFonts w:ascii="Verdana" w:hAnsi="Verdana" w:cs="Arial"/>
          <w:b/>
          <w:color w:val="232120"/>
          <w:lang w:val="en-US"/>
        </w:rPr>
        <w:t xml:space="preserve">recommends </w:t>
      </w:r>
      <w:r w:rsidRPr="005230E2">
        <w:rPr>
          <w:rFonts w:ascii="Verdana" w:hAnsi="Verdana" w:cs="Arial"/>
          <w:b/>
          <w:color w:val="232120"/>
          <w:lang w:val="en-US"/>
        </w:rPr>
        <w:t xml:space="preserve">the Committee suggest the Department develop guidance for employers when the Bill becomes legislation. </w:t>
      </w:r>
    </w:p>
    <w:p w14:paraId="0C53B1E8" w14:textId="77777777" w:rsidR="005230E2" w:rsidRPr="005230E2" w:rsidRDefault="005230E2" w:rsidP="005230E2">
      <w:pPr>
        <w:pStyle w:val="ListParagraph"/>
        <w:rPr>
          <w:rFonts w:ascii="Verdana" w:hAnsi="Verdana" w:cs="Arial"/>
          <w:b/>
          <w:color w:val="232120"/>
          <w:lang w:val="en-US"/>
        </w:rPr>
      </w:pPr>
    </w:p>
    <w:p w14:paraId="01DCCD4E" w14:textId="77777777" w:rsidR="005230E2" w:rsidRPr="003B216D" w:rsidRDefault="005230E2" w:rsidP="003B216D">
      <w:pPr>
        <w:pStyle w:val="ListParagraph"/>
        <w:numPr>
          <w:ilvl w:val="1"/>
          <w:numId w:val="10"/>
        </w:numPr>
        <w:rPr>
          <w:rFonts w:ascii="Verdana" w:hAnsi="Verdana" w:cs="Arial"/>
          <w:b/>
          <w:color w:val="232120"/>
          <w:lang w:val="en-US"/>
        </w:rPr>
      </w:pPr>
      <w:r>
        <w:rPr>
          <w:rFonts w:ascii="Verdana" w:hAnsi="Verdana" w:cs="Arial"/>
          <w:b/>
          <w:color w:val="232120"/>
          <w:lang w:val="en-US"/>
        </w:rPr>
        <w:t xml:space="preserve">The Commission </w:t>
      </w:r>
      <w:r w:rsidR="00047FE8">
        <w:rPr>
          <w:rFonts w:ascii="Verdana" w:hAnsi="Verdana" w:cs="Arial"/>
          <w:b/>
          <w:color w:val="232120"/>
          <w:lang w:val="en-US"/>
        </w:rPr>
        <w:t xml:space="preserve">recommends </w:t>
      </w:r>
      <w:r>
        <w:rPr>
          <w:rFonts w:ascii="Verdana" w:hAnsi="Verdana" w:cs="Arial"/>
          <w:b/>
          <w:color w:val="232120"/>
          <w:lang w:val="en-US"/>
        </w:rPr>
        <w:t xml:space="preserve">the Committee take into consideration </w:t>
      </w:r>
      <w:r w:rsidR="003B216D">
        <w:rPr>
          <w:rFonts w:ascii="Verdana" w:hAnsi="Verdana" w:cs="Arial"/>
          <w:b/>
          <w:color w:val="232120"/>
          <w:lang w:val="en-US"/>
        </w:rPr>
        <w:t xml:space="preserve">the views of relevant stakeholders </w:t>
      </w:r>
      <w:r w:rsidRPr="003B216D">
        <w:rPr>
          <w:rFonts w:ascii="Verdana" w:hAnsi="Verdana" w:cs="Arial"/>
          <w:b/>
          <w:color w:val="232120"/>
          <w:lang w:val="en-US"/>
        </w:rPr>
        <w:t>to explore ways in which the Department c</w:t>
      </w:r>
      <w:r w:rsidR="00047FE8">
        <w:rPr>
          <w:rFonts w:ascii="Verdana" w:hAnsi="Verdana" w:cs="Arial"/>
          <w:b/>
          <w:color w:val="232120"/>
          <w:lang w:val="en-US"/>
        </w:rPr>
        <w:t>an offer better protections for</w:t>
      </w:r>
      <w:r w:rsidRPr="003B216D">
        <w:rPr>
          <w:rFonts w:ascii="Verdana" w:hAnsi="Verdana" w:cs="Arial"/>
          <w:b/>
          <w:color w:val="232120"/>
          <w:lang w:val="en-US"/>
        </w:rPr>
        <w:t xml:space="preserve"> NI. </w:t>
      </w:r>
    </w:p>
    <w:p w14:paraId="0EBCC969" w14:textId="77777777" w:rsidR="005230E2" w:rsidRPr="005230E2" w:rsidRDefault="005230E2" w:rsidP="005230E2">
      <w:pPr>
        <w:pStyle w:val="Default"/>
        <w:spacing w:before="24" w:after="24" w:line="288" w:lineRule="auto"/>
        <w:ind w:left="720"/>
        <w:rPr>
          <w:rFonts w:cs="Arial"/>
          <w:b/>
          <w:color w:val="232120"/>
        </w:rPr>
      </w:pPr>
    </w:p>
    <w:p w14:paraId="7B876ABB" w14:textId="3271E4D9" w:rsidR="00A900BB" w:rsidRPr="005230E2" w:rsidRDefault="005230E2" w:rsidP="005230E2">
      <w:pPr>
        <w:pStyle w:val="Default"/>
        <w:numPr>
          <w:ilvl w:val="1"/>
          <w:numId w:val="10"/>
        </w:numPr>
        <w:spacing w:before="24" w:after="24" w:line="288" w:lineRule="auto"/>
        <w:rPr>
          <w:rFonts w:cs="Arial"/>
          <w:b/>
          <w:color w:val="232120"/>
        </w:rPr>
      </w:pPr>
      <w:r w:rsidRPr="005230E2">
        <w:rPr>
          <w:rFonts w:cs="Arial"/>
          <w:b/>
          <w:color w:val="232120"/>
        </w:rPr>
        <w:t>The Commission recommend</w:t>
      </w:r>
      <w:r w:rsidR="00F9345A">
        <w:rPr>
          <w:rFonts w:cs="Arial"/>
          <w:b/>
          <w:color w:val="232120"/>
        </w:rPr>
        <w:t>s</w:t>
      </w:r>
      <w:r w:rsidRPr="005230E2">
        <w:rPr>
          <w:rFonts w:cs="Arial"/>
          <w:b/>
          <w:color w:val="232120"/>
        </w:rPr>
        <w:t xml:space="preserve"> t</w:t>
      </w:r>
      <w:r w:rsidR="00A900BB" w:rsidRPr="005230E2">
        <w:rPr>
          <w:rFonts w:cs="Arial"/>
          <w:b/>
          <w:color w:val="232120"/>
        </w:rPr>
        <w:t xml:space="preserve">he Committee suggest that the Department </w:t>
      </w:r>
      <w:r w:rsidR="003D3B82">
        <w:rPr>
          <w:rFonts w:cs="Arial"/>
          <w:b/>
          <w:color w:val="232120"/>
        </w:rPr>
        <w:t xml:space="preserve">should </w:t>
      </w:r>
      <w:r w:rsidR="003622A2">
        <w:rPr>
          <w:rFonts w:cs="Arial"/>
          <w:b/>
          <w:color w:val="232120"/>
        </w:rPr>
        <w:t xml:space="preserve">continue to </w:t>
      </w:r>
      <w:r w:rsidR="003D3B82">
        <w:rPr>
          <w:rFonts w:cs="Arial"/>
          <w:b/>
          <w:color w:val="232120"/>
        </w:rPr>
        <w:t>monitor any developments in EU law relating to the</w:t>
      </w:r>
      <w:r w:rsidR="00A900BB" w:rsidRPr="005230E2">
        <w:rPr>
          <w:rFonts w:cs="Arial"/>
          <w:b/>
          <w:color w:val="232120"/>
        </w:rPr>
        <w:t xml:space="preserve"> Parental Bereavement (Leave and Pay) Bill </w:t>
      </w:r>
      <w:r w:rsidR="004C683C">
        <w:rPr>
          <w:rFonts w:cs="Arial"/>
          <w:b/>
          <w:color w:val="232120"/>
        </w:rPr>
        <w:t xml:space="preserve">and resulting Regulations </w:t>
      </w:r>
      <w:r w:rsidR="00A900BB" w:rsidRPr="005230E2">
        <w:rPr>
          <w:rFonts w:cs="Arial"/>
          <w:b/>
          <w:color w:val="232120"/>
        </w:rPr>
        <w:t xml:space="preserve">to ensure compliance with Article 2 of the Ireland/Northern Ireland Protocol.   </w:t>
      </w:r>
    </w:p>
    <w:p w14:paraId="15167183" w14:textId="77777777" w:rsidR="00C42D0C" w:rsidRDefault="00C42D0C" w:rsidP="005230E2">
      <w:pPr>
        <w:pStyle w:val="Default"/>
        <w:spacing w:before="24" w:after="24" w:line="288" w:lineRule="auto"/>
        <w:ind w:left="390"/>
        <w:rPr>
          <w:rFonts w:cs="Arial"/>
          <w:color w:val="232120"/>
        </w:rPr>
      </w:pPr>
    </w:p>
    <w:p w14:paraId="190D5F85" w14:textId="77777777" w:rsidR="00F04647" w:rsidRDefault="005230E2" w:rsidP="005230E2">
      <w:pPr>
        <w:pStyle w:val="Heading2"/>
        <w:spacing w:before="24" w:after="24"/>
      </w:pPr>
      <w:bookmarkStart w:id="3" w:name="_Toc80779465"/>
      <w:r>
        <w:t xml:space="preserve">Clause 1: </w:t>
      </w:r>
      <w:r w:rsidR="000A1BB2">
        <w:t>Parental Bereavement Leave</w:t>
      </w:r>
      <w:bookmarkEnd w:id="3"/>
      <w:r w:rsidR="000A1BB2">
        <w:t xml:space="preserve"> </w:t>
      </w:r>
    </w:p>
    <w:p w14:paraId="31163C3F" w14:textId="77777777" w:rsidR="00B33793" w:rsidRPr="00B33793" w:rsidRDefault="00B33793" w:rsidP="005230E2">
      <w:pPr>
        <w:pStyle w:val="Default"/>
        <w:spacing w:before="24" w:after="24" w:line="288" w:lineRule="auto"/>
        <w:ind w:left="720"/>
        <w:rPr>
          <w:rFonts w:cs="Arial"/>
          <w:color w:val="232120"/>
        </w:rPr>
      </w:pPr>
    </w:p>
    <w:p w14:paraId="3D1208F0" w14:textId="2BDCA8B9" w:rsidR="0045303B" w:rsidRPr="00721ED3" w:rsidRDefault="0045303B" w:rsidP="000E5BE4">
      <w:pPr>
        <w:pStyle w:val="Default"/>
        <w:numPr>
          <w:ilvl w:val="1"/>
          <w:numId w:val="10"/>
        </w:numPr>
        <w:spacing w:before="24" w:after="24" w:line="288" w:lineRule="auto"/>
        <w:rPr>
          <w:rFonts w:cs="Arial"/>
          <w:color w:val="232120"/>
        </w:rPr>
      </w:pPr>
      <w:r>
        <w:rPr>
          <w:rFonts w:cs="Arial"/>
          <w:color w:val="232120"/>
        </w:rPr>
        <w:t>The Commission welcomes the definition of a bereaved parent to extend to those who have had a parental relations</w:t>
      </w:r>
      <w:r w:rsidR="00721ED3">
        <w:rPr>
          <w:rFonts w:cs="Arial"/>
          <w:color w:val="232120"/>
        </w:rPr>
        <w:t xml:space="preserve">hip prior to the child’s death. </w:t>
      </w:r>
      <w:r w:rsidR="000E5BE4" w:rsidRPr="000E5BE4">
        <w:rPr>
          <w:rFonts w:cs="Arial"/>
          <w:color w:val="232120"/>
        </w:rPr>
        <w:t>The</w:t>
      </w:r>
      <w:r w:rsidR="000E5BE4">
        <w:rPr>
          <w:rFonts w:cs="Arial"/>
          <w:color w:val="232120"/>
        </w:rPr>
        <w:t xml:space="preserve"> Commission would </w:t>
      </w:r>
      <w:r w:rsidR="00D94A78">
        <w:rPr>
          <w:rFonts w:cs="Arial"/>
          <w:color w:val="232120"/>
        </w:rPr>
        <w:t>recommend the</w:t>
      </w:r>
      <w:r w:rsidR="000E5BE4" w:rsidRPr="000E5BE4">
        <w:rPr>
          <w:rFonts w:cs="Arial"/>
          <w:color w:val="232120"/>
        </w:rPr>
        <w:t xml:space="preserve"> definition of a parent should be set as wide as possible. The definition should include both biological parents and those with parental responsibilit</w:t>
      </w:r>
      <w:r w:rsidR="00D94A78">
        <w:rPr>
          <w:rFonts w:cs="Arial"/>
          <w:color w:val="232120"/>
        </w:rPr>
        <w:t xml:space="preserve">y but also take into account various types of parenting arrangements. </w:t>
      </w:r>
    </w:p>
    <w:p w14:paraId="77EDC709" w14:textId="77777777" w:rsidR="00015239" w:rsidRDefault="00015239" w:rsidP="005230E2">
      <w:pPr>
        <w:pStyle w:val="ListParagraph"/>
        <w:spacing w:before="24" w:after="24"/>
        <w:rPr>
          <w:rFonts w:cs="Arial"/>
          <w:color w:val="232120"/>
        </w:rPr>
      </w:pPr>
    </w:p>
    <w:p w14:paraId="77F99B07" w14:textId="080715DF" w:rsidR="000A1BB2" w:rsidRDefault="0045303B" w:rsidP="005230E2">
      <w:pPr>
        <w:pStyle w:val="Default"/>
        <w:numPr>
          <w:ilvl w:val="1"/>
          <w:numId w:val="10"/>
        </w:numPr>
        <w:spacing w:before="24" w:after="24" w:line="288" w:lineRule="auto"/>
        <w:rPr>
          <w:rFonts w:cs="Arial"/>
          <w:color w:val="232120"/>
        </w:rPr>
      </w:pPr>
      <w:r>
        <w:rPr>
          <w:rFonts w:cs="Arial"/>
          <w:color w:val="232120"/>
        </w:rPr>
        <w:t xml:space="preserve">The Commission </w:t>
      </w:r>
      <w:r w:rsidR="00D166BD">
        <w:rPr>
          <w:rFonts w:cs="Arial"/>
          <w:color w:val="232120"/>
        </w:rPr>
        <w:t>recognises</w:t>
      </w:r>
      <w:r>
        <w:rPr>
          <w:rFonts w:cs="Arial"/>
          <w:color w:val="232120"/>
        </w:rPr>
        <w:t xml:space="preserve"> the decision that the two weeks leave </w:t>
      </w:r>
      <w:r w:rsidR="00B33793">
        <w:rPr>
          <w:rFonts w:cs="Arial"/>
          <w:color w:val="232120"/>
        </w:rPr>
        <w:t xml:space="preserve">do not have to </w:t>
      </w:r>
      <w:r>
        <w:rPr>
          <w:rFonts w:cs="Arial"/>
          <w:color w:val="232120"/>
        </w:rPr>
        <w:t xml:space="preserve">be taken </w:t>
      </w:r>
      <w:r w:rsidR="00B33793">
        <w:rPr>
          <w:rFonts w:cs="Arial"/>
          <w:color w:val="232120"/>
        </w:rPr>
        <w:t xml:space="preserve">consecutively and can be taken </w:t>
      </w:r>
      <w:r w:rsidR="009C6538">
        <w:rPr>
          <w:rFonts w:cs="Arial"/>
          <w:color w:val="232120"/>
        </w:rPr>
        <w:t xml:space="preserve">one week </w:t>
      </w:r>
      <w:r w:rsidR="00B33793">
        <w:rPr>
          <w:rFonts w:cs="Arial"/>
          <w:color w:val="232120"/>
        </w:rPr>
        <w:t>at any time up to</w:t>
      </w:r>
      <w:r w:rsidR="00D27811">
        <w:rPr>
          <w:rFonts w:cs="Arial"/>
          <w:color w:val="232120"/>
        </w:rPr>
        <w:t xml:space="preserve"> at least</w:t>
      </w:r>
      <w:r w:rsidR="00B33793">
        <w:rPr>
          <w:rFonts w:cs="Arial"/>
          <w:color w:val="232120"/>
        </w:rPr>
        <w:t xml:space="preserve"> 56 </w:t>
      </w:r>
      <w:r w:rsidR="00D166BD">
        <w:rPr>
          <w:rFonts w:cs="Arial"/>
          <w:color w:val="232120"/>
        </w:rPr>
        <w:t>days</w:t>
      </w:r>
      <w:r w:rsidR="00B33793">
        <w:rPr>
          <w:rFonts w:cs="Arial"/>
          <w:color w:val="232120"/>
        </w:rPr>
        <w:t xml:space="preserve"> </w:t>
      </w:r>
      <w:r w:rsidR="00AD0001">
        <w:rPr>
          <w:rFonts w:cs="Arial"/>
          <w:color w:val="232120"/>
        </w:rPr>
        <w:t>following</w:t>
      </w:r>
      <w:r w:rsidR="00B33793">
        <w:rPr>
          <w:rFonts w:cs="Arial"/>
          <w:color w:val="232120"/>
        </w:rPr>
        <w:t xml:space="preserve"> the date of the chil</w:t>
      </w:r>
      <w:r w:rsidR="00C42D0C">
        <w:rPr>
          <w:rFonts w:cs="Arial"/>
          <w:color w:val="232120"/>
        </w:rPr>
        <w:t xml:space="preserve">d’s death. The Commission notes that the current draft Bill </w:t>
      </w:r>
      <w:r w:rsidR="00B33793">
        <w:rPr>
          <w:rFonts w:cs="Arial"/>
          <w:color w:val="232120"/>
        </w:rPr>
        <w:t>states 56 days but understands the Min</w:t>
      </w:r>
      <w:r w:rsidR="000A1BB2">
        <w:rPr>
          <w:rFonts w:cs="Arial"/>
          <w:color w:val="232120"/>
        </w:rPr>
        <w:t>ister has committed</w:t>
      </w:r>
      <w:r w:rsidR="00B33793">
        <w:rPr>
          <w:rFonts w:cs="Arial"/>
          <w:color w:val="232120"/>
        </w:rPr>
        <w:t xml:space="preserve"> t</w:t>
      </w:r>
      <w:r w:rsidR="000A1BB2">
        <w:rPr>
          <w:rFonts w:cs="Arial"/>
          <w:color w:val="232120"/>
        </w:rPr>
        <w:t>hat this will be changed t</w:t>
      </w:r>
      <w:r w:rsidR="00B33793">
        <w:rPr>
          <w:rFonts w:cs="Arial"/>
          <w:color w:val="232120"/>
        </w:rPr>
        <w:t>o 56 weeks</w:t>
      </w:r>
      <w:r w:rsidR="00D166BD">
        <w:rPr>
          <w:rFonts w:cs="Arial"/>
          <w:color w:val="232120"/>
        </w:rPr>
        <w:t xml:space="preserve"> and this is welcome</w:t>
      </w:r>
      <w:r w:rsidR="00B33793">
        <w:rPr>
          <w:rFonts w:cs="Arial"/>
          <w:color w:val="232120"/>
        </w:rPr>
        <w:t>.</w:t>
      </w:r>
      <w:r w:rsidR="00B333B0">
        <w:rPr>
          <w:rStyle w:val="FootnoteReference"/>
          <w:rFonts w:cs="Arial"/>
          <w:color w:val="232120"/>
        </w:rPr>
        <w:footnoteReference w:id="10"/>
      </w:r>
      <w:r w:rsidR="00B33793">
        <w:rPr>
          <w:rFonts w:cs="Arial"/>
          <w:color w:val="232120"/>
        </w:rPr>
        <w:t xml:space="preserve"> </w:t>
      </w:r>
    </w:p>
    <w:p w14:paraId="0E8C9795" w14:textId="77777777" w:rsidR="00B333B0" w:rsidRDefault="00B333B0" w:rsidP="00E66856">
      <w:pPr>
        <w:pStyle w:val="Default"/>
        <w:spacing w:before="24" w:after="24" w:line="288" w:lineRule="auto"/>
        <w:ind w:left="720"/>
        <w:rPr>
          <w:rFonts w:cs="Arial"/>
          <w:color w:val="232120"/>
        </w:rPr>
      </w:pPr>
    </w:p>
    <w:p w14:paraId="07E91F85" w14:textId="75CEA16C" w:rsidR="00B333B0" w:rsidRDefault="00D166BD" w:rsidP="00E66856">
      <w:pPr>
        <w:pStyle w:val="Default"/>
        <w:numPr>
          <w:ilvl w:val="1"/>
          <w:numId w:val="10"/>
        </w:numPr>
        <w:spacing w:before="24" w:after="24" w:line="288" w:lineRule="auto"/>
      </w:pPr>
      <w:r>
        <w:t>On</w:t>
      </w:r>
      <w:r w:rsidR="009D4879" w:rsidRPr="00E66856">
        <w:t xml:space="preserve">the consideration to give notice periods </w:t>
      </w:r>
      <w:r w:rsidR="00F21F2D" w:rsidRPr="00E66856">
        <w:t>when</w:t>
      </w:r>
      <w:r w:rsidR="009D4879" w:rsidRPr="00E66856">
        <w:t xml:space="preserve"> taking parental leave the Commission would suggest th</w:t>
      </w:r>
      <w:r w:rsidR="00B333B0">
        <w:t xml:space="preserve">at the </w:t>
      </w:r>
      <w:r w:rsidR="009D4879" w:rsidRPr="00E66856">
        <w:t>Committee</w:t>
      </w:r>
      <w:r w:rsidR="00B333B0">
        <w:t xml:space="preserve"> and Department provide for exceptions in</w:t>
      </w:r>
      <w:r w:rsidR="009D4879" w:rsidRPr="00E66856">
        <w:t xml:space="preserve"> circumstances</w:t>
      </w:r>
      <w:r w:rsidR="003B216D" w:rsidRPr="00E66856">
        <w:t xml:space="preserve"> of sudden death</w:t>
      </w:r>
      <w:r w:rsidR="00B333B0">
        <w:t xml:space="preserve"> where notice is not possible. </w:t>
      </w:r>
    </w:p>
    <w:p w14:paraId="09EAB727" w14:textId="77777777" w:rsidR="004A787C" w:rsidRDefault="004A787C" w:rsidP="004A787C">
      <w:pPr>
        <w:pStyle w:val="ListParagraph"/>
      </w:pPr>
    </w:p>
    <w:p w14:paraId="131392D0" w14:textId="13631864" w:rsidR="004A787C" w:rsidRPr="004A787C" w:rsidRDefault="004A787C" w:rsidP="004A787C">
      <w:pPr>
        <w:pStyle w:val="Default"/>
        <w:numPr>
          <w:ilvl w:val="1"/>
          <w:numId w:val="10"/>
        </w:numPr>
        <w:spacing w:before="24" w:after="24" w:line="288" w:lineRule="auto"/>
        <w:rPr>
          <w:b/>
        </w:rPr>
      </w:pPr>
      <w:r w:rsidRPr="004A787C">
        <w:rPr>
          <w:b/>
        </w:rPr>
        <w:t xml:space="preserve">The Commission recommends that the commitment to change the period of time leave can be taken from 56 days to 56 weeks is upheld. </w:t>
      </w:r>
    </w:p>
    <w:p w14:paraId="2F184E63" w14:textId="67B8311E" w:rsidR="0067610A" w:rsidRPr="00E66856" w:rsidRDefault="00B333B0" w:rsidP="009D4879">
      <w:pPr>
        <w:pStyle w:val="ListParagraph"/>
        <w:spacing w:before="24" w:after="24"/>
        <w:rPr>
          <w:rFonts w:ascii="Verdana" w:hAnsi="Verdana" w:cs="Arial"/>
          <w:color w:val="232120"/>
        </w:rPr>
      </w:pPr>
      <w:r w:rsidDel="00B333B0">
        <w:rPr>
          <w:rFonts w:ascii="Verdana" w:hAnsi="Verdana" w:cs="Arial"/>
          <w:color w:val="232120"/>
          <w:lang w:val="en-US"/>
        </w:rPr>
        <w:t xml:space="preserve"> </w:t>
      </w:r>
    </w:p>
    <w:p w14:paraId="5283EEE0" w14:textId="05E955A6" w:rsidR="0067610A" w:rsidRPr="000E7DE4" w:rsidRDefault="0067610A" w:rsidP="00E66856">
      <w:pPr>
        <w:pStyle w:val="ListParagraph"/>
        <w:numPr>
          <w:ilvl w:val="1"/>
          <w:numId w:val="10"/>
        </w:numPr>
        <w:spacing w:before="24" w:after="24"/>
        <w:rPr>
          <w:rFonts w:ascii="Verdana" w:hAnsi="Verdana" w:cs="Arial"/>
          <w:b/>
          <w:color w:val="232120"/>
        </w:rPr>
      </w:pPr>
      <w:r w:rsidRPr="000E7DE4">
        <w:rPr>
          <w:rFonts w:ascii="Verdana" w:hAnsi="Verdana" w:cs="Arial"/>
          <w:b/>
          <w:color w:val="232120"/>
        </w:rPr>
        <w:t xml:space="preserve">The Commission recommends </w:t>
      </w:r>
      <w:r w:rsidR="00B333B0" w:rsidRPr="000E7DE4">
        <w:rPr>
          <w:rFonts w:ascii="Verdana" w:hAnsi="Verdana" w:cs="Arial"/>
          <w:b/>
          <w:color w:val="232120"/>
        </w:rPr>
        <w:t xml:space="preserve">that </w:t>
      </w:r>
      <w:r w:rsidR="00B81F29" w:rsidRPr="000E7DE4">
        <w:rPr>
          <w:rFonts w:ascii="Verdana" w:hAnsi="Verdana" w:cs="Arial"/>
          <w:b/>
          <w:color w:val="232120"/>
        </w:rPr>
        <w:t xml:space="preserve">the definition </w:t>
      </w:r>
      <w:r w:rsidR="00D94A78" w:rsidRPr="000E7DE4">
        <w:rPr>
          <w:rFonts w:ascii="Verdana" w:hAnsi="Verdana" w:cs="Arial"/>
          <w:b/>
          <w:color w:val="232120"/>
        </w:rPr>
        <w:t xml:space="preserve">of a parent </w:t>
      </w:r>
      <w:r w:rsidR="007247E6" w:rsidRPr="000E7DE4">
        <w:rPr>
          <w:rFonts w:ascii="Verdana" w:hAnsi="Verdana" w:cs="Arial"/>
          <w:b/>
          <w:color w:val="232120"/>
        </w:rPr>
        <w:t xml:space="preserve">is </w:t>
      </w:r>
      <w:r w:rsidR="00D94A78" w:rsidRPr="000E7DE4">
        <w:rPr>
          <w:rFonts w:ascii="Verdana" w:hAnsi="Verdana" w:cs="Arial"/>
          <w:b/>
          <w:color w:val="232120"/>
        </w:rPr>
        <w:t>broad and open to interpretation</w:t>
      </w:r>
      <w:r w:rsidR="00B81F29" w:rsidRPr="000E7DE4">
        <w:rPr>
          <w:rFonts w:ascii="Verdana" w:hAnsi="Verdana" w:cs="Arial"/>
          <w:b/>
          <w:color w:val="232120"/>
        </w:rPr>
        <w:t xml:space="preserve"> to</w:t>
      </w:r>
      <w:r w:rsidR="00B333B0" w:rsidRPr="000E7DE4">
        <w:rPr>
          <w:rFonts w:ascii="Verdana" w:hAnsi="Verdana" w:cs="Arial"/>
          <w:b/>
          <w:color w:val="232120"/>
        </w:rPr>
        <w:t xml:space="preserve"> ensure</w:t>
      </w:r>
      <w:r w:rsidR="00B81F29" w:rsidRPr="000E7DE4">
        <w:rPr>
          <w:rFonts w:ascii="Verdana" w:hAnsi="Verdana" w:cs="Arial"/>
          <w:b/>
          <w:color w:val="232120"/>
        </w:rPr>
        <w:t xml:space="preserve"> a</w:t>
      </w:r>
      <w:r w:rsidR="00D94A78" w:rsidRPr="000E7DE4">
        <w:rPr>
          <w:rFonts w:ascii="Verdana" w:hAnsi="Verdana" w:cs="Arial"/>
          <w:b/>
          <w:color w:val="232120"/>
        </w:rPr>
        <w:t xml:space="preserve"> wide</w:t>
      </w:r>
      <w:r w:rsidR="00B333B0" w:rsidRPr="000E7DE4">
        <w:rPr>
          <w:rFonts w:ascii="Verdana" w:hAnsi="Verdana" w:cs="Arial"/>
          <w:b/>
          <w:color w:val="232120"/>
        </w:rPr>
        <w:t xml:space="preserve"> inclusion of those with a relationship to the child. </w:t>
      </w:r>
      <w:r w:rsidRPr="000E7DE4">
        <w:rPr>
          <w:rFonts w:ascii="Verdana" w:hAnsi="Verdana" w:cs="Arial"/>
          <w:b/>
          <w:color w:val="232120"/>
        </w:rPr>
        <w:t xml:space="preserve"> </w:t>
      </w:r>
    </w:p>
    <w:p w14:paraId="16DC6A94" w14:textId="77777777" w:rsidR="00C42D0C" w:rsidRDefault="00C42D0C" w:rsidP="005230E2">
      <w:pPr>
        <w:pStyle w:val="ListParagraph"/>
        <w:spacing w:before="24" w:after="24"/>
        <w:rPr>
          <w:rFonts w:cs="Arial"/>
          <w:color w:val="232120"/>
        </w:rPr>
      </w:pPr>
    </w:p>
    <w:p w14:paraId="20F17EF8" w14:textId="77777777" w:rsidR="00C42D0C" w:rsidRDefault="00C42D0C" w:rsidP="005230E2">
      <w:pPr>
        <w:pStyle w:val="Heading2"/>
        <w:spacing w:before="24" w:after="24"/>
      </w:pPr>
      <w:bookmarkStart w:id="4" w:name="_Toc80779466"/>
      <w:r>
        <w:t>Clause 2</w:t>
      </w:r>
      <w:r w:rsidR="005230E2">
        <w:t>: Parental Bereavement Pay</w:t>
      </w:r>
      <w:bookmarkEnd w:id="4"/>
    </w:p>
    <w:p w14:paraId="6BA0A358" w14:textId="77777777" w:rsidR="004C7E4D" w:rsidRDefault="004C7E4D" w:rsidP="005230E2">
      <w:pPr>
        <w:pStyle w:val="ListParagraph"/>
        <w:spacing w:before="24" w:after="24"/>
        <w:rPr>
          <w:rFonts w:cs="Arial"/>
          <w:color w:val="232120"/>
        </w:rPr>
      </w:pPr>
    </w:p>
    <w:p w14:paraId="0CA74A1A" w14:textId="77777777" w:rsidR="00C42D0C" w:rsidRDefault="00C42D0C" w:rsidP="005230E2">
      <w:pPr>
        <w:pStyle w:val="Default"/>
        <w:numPr>
          <w:ilvl w:val="1"/>
          <w:numId w:val="10"/>
        </w:numPr>
        <w:spacing w:before="24" w:after="24" w:line="288" w:lineRule="auto"/>
        <w:rPr>
          <w:rFonts w:cs="Arial"/>
          <w:color w:val="232120"/>
        </w:rPr>
      </w:pPr>
      <w:r>
        <w:rPr>
          <w:rFonts w:cs="Arial"/>
          <w:color w:val="232120"/>
        </w:rPr>
        <w:t xml:space="preserve">The Commission is concerned that the current draft Bill will only apply to those who have been in consecutive employment for 26 weeks and does not apply to employees who are employed on an agency basis or to employees on zero-hour contracts. </w:t>
      </w:r>
    </w:p>
    <w:p w14:paraId="65ED7AAD" w14:textId="77777777" w:rsidR="00892EA3" w:rsidRDefault="00892EA3" w:rsidP="00892EA3">
      <w:pPr>
        <w:pStyle w:val="ListParagraph"/>
        <w:rPr>
          <w:rFonts w:cs="Arial"/>
          <w:color w:val="232120"/>
        </w:rPr>
      </w:pPr>
    </w:p>
    <w:p w14:paraId="628822A6" w14:textId="7F2087CF" w:rsidR="00892EA3" w:rsidRPr="00892EA3" w:rsidRDefault="00892EA3" w:rsidP="00892EA3">
      <w:pPr>
        <w:pStyle w:val="Default"/>
        <w:numPr>
          <w:ilvl w:val="1"/>
          <w:numId w:val="10"/>
        </w:numPr>
        <w:spacing w:before="24" w:after="24" w:line="288" w:lineRule="auto"/>
        <w:rPr>
          <w:rFonts w:cs="Arial"/>
          <w:color w:val="232120"/>
        </w:rPr>
      </w:pPr>
      <w:r w:rsidRPr="00892EA3">
        <w:rPr>
          <w:rFonts w:cs="Arial"/>
          <w:color w:val="232120"/>
        </w:rPr>
        <w:t>Article 8 ECHR</w:t>
      </w:r>
      <w:r w:rsidRPr="00892EA3">
        <w:t xml:space="preserve"> </w:t>
      </w:r>
      <w:r w:rsidRPr="00892EA3">
        <w:rPr>
          <w:rFonts w:cs="Arial"/>
          <w:color w:val="232120"/>
        </w:rPr>
        <w:t xml:space="preserve">provides that everyone has the right to respect for his private and family life, his home and his correspondence. Article 14 provides </w:t>
      </w:r>
      <w:r w:rsidRPr="00892EA3">
        <w:rPr>
          <w:rFonts w:cs="Arial"/>
          <w:color w:val="232120"/>
          <w:lang w:val="en-GB"/>
        </w:rPr>
        <w:t>prohibition of discrimination on any ground such as sex, race, colour, language, religion, political or other opinion, national or social origin, association with a national minority, property, birth or other status.</w:t>
      </w:r>
      <w:r>
        <w:rPr>
          <w:rFonts w:cs="Arial"/>
          <w:color w:val="232120"/>
          <w:lang w:val="en-GB"/>
        </w:rPr>
        <w:t xml:space="preserve"> The Commission would suggest the Committee recommend the Department conduct a human rights impact assessment to ensure </w:t>
      </w:r>
      <w:r w:rsidR="004D2ED2">
        <w:rPr>
          <w:rFonts w:cs="Arial"/>
          <w:color w:val="232120"/>
          <w:lang w:val="en-GB"/>
        </w:rPr>
        <w:t xml:space="preserve">that any </w:t>
      </w:r>
      <w:r>
        <w:rPr>
          <w:rFonts w:cs="Arial"/>
          <w:color w:val="232120"/>
          <w:lang w:val="en-GB"/>
        </w:rPr>
        <w:t>interference with ECHR rights</w:t>
      </w:r>
      <w:r w:rsidR="004D2ED2">
        <w:rPr>
          <w:rFonts w:cs="Arial"/>
          <w:color w:val="232120"/>
          <w:lang w:val="en-GB"/>
        </w:rPr>
        <w:t xml:space="preserve"> is justified</w:t>
      </w:r>
      <w:r>
        <w:rPr>
          <w:rFonts w:cs="Arial"/>
          <w:color w:val="232120"/>
          <w:lang w:val="en-GB"/>
        </w:rPr>
        <w:t xml:space="preserve">. </w:t>
      </w:r>
    </w:p>
    <w:p w14:paraId="1BA63869" w14:textId="77777777" w:rsidR="00BB4526" w:rsidRDefault="00BB4526" w:rsidP="005230E2">
      <w:pPr>
        <w:pStyle w:val="Default"/>
        <w:spacing w:before="24" w:after="24" w:line="288" w:lineRule="auto"/>
        <w:ind w:left="720"/>
        <w:rPr>
          <w:rFonts w:cs="Arial"/>
          <w:color w:val="232120"/>
        </w:rPr>
      </w:pPr>
    </w:p>
    <w:p w14:paraId="52CEE285" w14:textId="77777777" w:rsidR="00BB4526" w:rsidRPr="00BB4526" w:rsidRDefault="00BB4526" w:rsidP="005230E2">
      <w:pPr>
        <w:pStyle w:val="Default"/>
        <w:numPr>
          <w:ilvl w:val="1"/>
          <w:numId w:val="10"/>
        </w:numPr>
        <w:spacing w:before="24" w:after="24" w:line="288" w:lineRule="auto"/>
        <w:rPr>
          <w:rFonts w:cs="Arial"/>
          <w:color w:val="232120"/>
        </w:rPr>
      </w:pPr>
      <w:r>
        <w:rPr>
          <w:rFonts w:cs="Arial"/>
          <w:color w:val="232120"/>
          <w:lang w:val="en-GB"/>
        </w:rPr>
        <w:t>The UN ICESCR Committee in its 2016 Concluding Observations on the UK noted in regards to working conditions that:</w:t>
      </w:r>
    </w:p>
    <w:p w14:paraId="65D4E201" w14:textId="77777777" w:rsidR="00BB4526" w:rsidRDefault="00BB4526" w:rsidP="005230E2">
      <w:pPr>
        <w:pStyle w:val="ListParagraph"/>
        <w:spacing w:before="24" w:after="24"/>
        <w:rPr>
          <w:rFonts w:cs="Arial"/>
          <w:color w:val="232120"/>
        </w:rPr>
      </w:pPr>
    </w:p>
    <w:p w14:paraId="32EF2A76" w14:textId="77777777" w:rsidR="00BB4526" w:rsidRDefault="00BB4526" w:rsidP="005230E2">
      <w:pPr>
        <w:pStyle w:val="Quote"/>
        <w:spacing w:before="24" w:after="24"/>
      </w:pPr>
      <w:r w:rsidRPr="00BB4526">
        <w:t xml:space="preserve">The Committee is concerned at the high incidence of part-time work, precarious self-employment, temporary employment and the use of “zero hour contracts” in the State party, which particularly affect women. It is also concerned about the negative impact that all those forms of employment have on the enjoyment by workers of their right to just and </w:t>
      </w:r>
      <w:r>
        <w:t>favourable conditions of work.</w:t>
      </w:r>
      <w:r w:rsidR="005230E2">
        <w:rPr>
          <w:rStyle w:val="FootnoteReference"/>
        </w:rPr>
        <w:footnoteReference w:id="11"/>
      </w:r>
      <w:r>
        <w:t xml:space="preserve"> </w:t>
      </w:r>
    </w:p>
    <w:p w14:paraId="1C3CD280" w14:textId="77777777" w:rsidR="00BB1633" w:rsidRDefault="00BB1633" w:rsidP="005230E2">
      <w:pPr>
        <w:pStyle w:val="Default"/>
        <w:spacing w:before="24" w:after="24" w:line="288" w:lineRule="auto"/>
        <w:ind w:left="720"/>
        <w:rPr>
          <w:rFonts w:cs="Arial"/>
          <w:color w:val="232120"/>
          <w:lang w:val="en-GB"/>
        </w:rPr>
      </w:pPr>
    </w:p>
    <w:p w14:paraId="646445F9" w14:textId="77777777" w:rsidR="00BB1633" w:rsidRDefault="00BB1633" w:rsidP="005230E2">
      <w:pPr>
        <w:pStyle w:val="Default"/>
        <w:numPr>
          <w:ilvl w:val="1"/>
          <w:numId w:val="10"/>
        </w:numPr>
        <w:spacing w:before="24" w:after="24" w:line="288" w:lineRule="auto"/>
        <w:rPr>
          <w:rFonts w:cs="Arial"/>
          <w:color w:val="232120"/>
          <w:lang w:val="en-GB"/>
        </w:rPr>
      </w:pPr>
      <w:r>
        <w:rPr>
          <w:rFonts w:cs="Arial"/>
          <w:color w:val="232120"/>
          <w:lang w:val="en-GB"/>
        </w:rPr>
        <w:t xml:space="preserve">The UN ICESCR Committee recommended that the </w:t>
      </w:r>
      <w:r w:rsidR="00BB4526" w:rsidRPr="00BB4526">
        <w:rPr>
          <w:rFonts w:cs="Arial"/>
          <w:color w:val="232120"/>
          <w:lang w:val="en-GB"/>
        </w:rPr>
        <w:t xml:space="preserve">State party: </w:t>
      </w:r>
    </w:p>
    <w:p w14:paraId="75DD5A9D" w14:textId="77777777" w:rsidR="00BB1633" w:rsidRDefault="00BB1633" w:rsidP="005230E2">
      <w:pPr>
        <w:pStyle w:val="Default"/>
        <w:spacing w:before="24" w:after="24" w:line="288" w:lineRule="auto"/>
        <w:ind w:left="720"/>
        <w:rPr>
          <w:rFonts w:cs="Arial"/>
          <w:color w:val="232120"/>
          <w:lang w:val="en-GB"/>
        </w:rPr>
      </w:pPr>
    </w:p>
    <w:p w14:paraId="47EA2E39" w14:textId="77777777" w:rsidR="00BB1633" w:rsidRDefault="00BB4526" w:rsidP="005230E2">
      <w:pPr>
        <w:pStyle w:val="Quote"/>
        <w:numPr>
          <w:ilvl w:val="0"/>
          <w:numId w:val="20"/>
        </w:numPr>
        <w:spacing w:before="24" w:after="24"/>
      </w:pPr>
      <w:r w:rsidRPr="00BB4526">
        <w:t xml:space="preserve">Take all appropriate measures to progressively reduce the use of temporary employment, precarious self-employment and “zero hour contracts”, including by generating decent work opportunities that offer job security and adequate protection of labour rights; </w:t>
      </w:r>
    </w:p>
    <w:p w14:paraId="7DFC1DD7" w14:textId="77777777" w:rsidR="00BB1633" w:rsidRDefault="00BB4526" w:rsidP="005230E2">
      <w:pPr>
        <w:pStyle w:val="Quote"/>
        <w:numPr>
          <w:ilvl w:val="0"/>
          <w:numId w:val="20"/>
        </w:numPr>
        <w:spacing w:before="24" w:after="24"/>
      </w:pPr>
      <w:r w:rsidRPr="00BB4526">
        <w:t>Ensure that the labour and social security rights of persons in part-time work, precarious self-employment, temporary employment and “zero-hour contracts” are fully guarant</w:t>
      </w:r>
      <w:r w:rsidR="00BB1633">
        <w:t>eed in law and in practice.</w:t>
      </w:r>
      <w:r w:rsidR="00BB1633">
        <w:rPr>
          <w:rStyle w:val="FootnoteReference"/>
          <w:rFonts w:cs="Arial"/>
          <w:color w:val="232120"/>
        </w:rPr>
        <w:footnoteReference w:id="12"/>
      </w:r>
      <w:r w:rsidR="00BB1633">
        <w:t xml:space="preserve"> </w:t>
      </w:r>
    </w:p>
    <w:p w14:paraId="4C11B8D7" w14:textId="77777777" w:rsidR="00BB1633" w:rsidRDefault="00BB1633" w:rsidP="005230E2">
      <w:pPr>
        <w:pStyle w:val="Default"/>
        <w:spacing w:before="24" w:after="24" w:line="288" w:lineRule="auto"/>
        <w:ind w:left="720"/>
        <w:rPr>
          <w:rFonts w:cs="Arial"/>
          <w:color w:val="232120"/>
          <w:lang w:val="en-GB"/>
        </w:rPr>
      </w:pPr>
    </w:p>
    <w:p w14:paraId="5EECF422" w14:textId="77777777" w:rsidR="00BB1633" w:rsidRPr="005230E2" w:rsidRDefault="00BB1633" w:rsidP="005230E2">
      <w:pPr>
        <w:pStyle w:val="Default"/>
        <w:numPr>
          <w:ilvl w:val="1"/>
          <w:numId w:val="10"/>
        </w:numPr>
        <w:spacing w:before="24" w:after="24" w:line="288" w:lineRule="auto"/>
        <w:rPr>
          <w:rFonts w:cs="Arial"/>
          <w:color w:val="232120"/>
          <w:lang w:val="en-GB"/>
        </w:rPr>
      </w:pPr>
      <w:r w:rsidRPr="005230E2">
        <w:rPr>
          <w:rFonts w:cs="Arial"/>
          <w:color w:val="232120"/>
          <w:lang w:val="en-GB"/>
        </w:rPr>
        <w:t>The UN ICESCR Committee in</w:t>
      </w:r>
      <w:r w:rsidR="00BB4526" w:rsidRPr="005230E2">
        <w:rPr>
          <w:rFonts w:cs="Arial"/>
          <w:color w:val="232120"/>
          <w:lang w:val="en-GB"/>
        </w:rPr>
        <w:t xml:space="preserve"> its general comment No. 23 (2016) on the right to just and favourable conditions of work.</w:t>
      </w:r>
      <w:r w:rsidRPr="005230E2">
        <w:rPr>
          <w:rFonts w:cstheme="minorBidi"/>
          <w:color w:val="auto"/>
          <w:lang w:val="en-GB"/>
        </w:rPr>
        <w:t xml:space="preserve"> The UN ICESCR Committee states that:</w:t>
      </w:r>
    </w:p>
    <w:p w14:paraId="435EA8FF" w14:textId="77777777" w:rsidR="00BB1633" w:rsidRPr="00BB1633" w:rsidRDefault="00BB1633" w:rsidP="005230E2">
      <w:pPr>
        <w:pStyle w:val="Default"/>
        <w:spacing w:before="24" w:after="24" w:line="288" w:lineRule="auto"/>
        <w:ind w:left="720"/>
        <w:rPr>
          <w:rFonts w:cs="Arial"/>
          <w:color w:val="232120"/>
          <w:lang w:val="en-GB"/>
        </w:rPr>
      </w:pPr>
    </w:p>
    <w:p w14:paraId="21862704" w14:textId="77777777" w:rsidR="00BB4526" w:rsidRDefault="00BB1633" w:rsidP="005230E2">
      <w:pPr>
        <w:pStyle w:val="Quote"/>
        <w:spacing w:before="24" w:after="24"/>
      </w:pPr>
      <w:r w:rsidRPr="00BB1633">
        <w:t>The right to just and favourable conditions of work is a right of everyone, without distinction of any kind. The reference to “everyone” highlights the fact that the right applies to all workers in all settings, regardless of gender, as well as young and older workers, workers with disabilities, workers in the informal sector, migrant workers, workers from ethnic and other minorities, domestic workers, self-employed workers, agricultural workers, refugee workers and unpaid workers. The reference to “everyone” reinforces the general prohibition on discrimination in article 2 (2) and the equality provision in article 3 of the Covenant, and is supplemented by the various references to equality and freedom from distinctions of any kind in sub-articles 7 (a) (i) and (c).</w:t>
      </w:r>
      <w:r w:rsidR="005230E2">
        <w:rPr>
          <w:rStyle w:val="FootnoteReference"/>
        </w:rPr>
        <w:footnoteReference w:id="13"/>
      </w:r>
    </w:p>
    <w:p w14:paraId="329378E7" w14:textId="77777777" w:rsidR="00A8030E" w:rsidRDefault="00A8030E" w:rsidP="005230E2">
      <w:pPr>
        <w:pStyle w:val="Default"/>
        <w:spacing w:before="24" w:after="24" w:line="288" w:lineRule="auto"/>
        <w:ind w:left="720"/>
        <w:rPr>
          <w:rFonts w:cs="Arial"/>
          <w:color w:val="232120"/>
          <w:lang w:val="en-GB"/>
        </w:rPr>
      </w:pPr>
    </w:p>
    <w:p w14:paraId="5E921573" w14:textId="7491A807" w:rsidR="00A8030E" w:rsidRDefault="00A8030E" w:rsidP="005230E2">
      <w:pPr>
        <w:pStyle w:val="Default"/>
        <w:numPr>
          <w:ilvl w:val="1"/>
          <w:numId w:val="10"/>
        </w:numPr>
        <w:spacing w:before="24" w:after="24" w:line="288" w:lineRule="auto"/>
        <w:rPr>
          <w:rFonts w:cs="Arial"/>
          <w:color w:val="232120"/>
          <w:lang w:val="en-GB"/>
        </w:rPr>
      </w:pPr>
      <w:r>
        <w:rPr>
          <w:rFonts w:cs="Arial"/>
          <w:color w:val="232120"/>
          <w:lang w:val="en-GB"/>
        </w:rPr>
        <w:t xml:space="preserve">UN ICESCR </w:t>
      </w:r>
      <w:r w:rsidR="00421FD9">
        <w:rPr>
          <w:rFonts w:cs="Arial"/>
          <w:color w:val="232120"/>
          <w:lang w:val="en-GB"/>
        </w:rPr>
        <w:t xml:space="preserve">Committee </w:t>
      </w:r>
      <w:r>
        <w:rPr>
          <w:rFonts w:cs="Arial"/>
          <w:color w:val="232120"/>
          <w:lang w:val="en-GB"/>
        </w:rPr>
        <w:t>also makes specific reference to w</w:t>
      </w:r>
      <w:r w:rsidR="00BB1633" w:rsidRPr="00BB1633">
        <w:rPr>
          <w:rFonts w:cs="Arial"/>
          <w:color w:val="232120"/>
          <w:lang w:val="en-GB"/>
        </w:rPr>
        <w:t>ork</w:t>
      </w:r>
      <w:r>
        <w:rPr>
          <w:rFonts w:cs="Arial"/>
          <w:color w:val="232120"/>
          <w:lang w:val="en-GB"/>
        </w:rPr>
        <w:t>ers in the informal economy</w:t>
      </w:r>
      <w:r w:rsidR="00BA05DF">
        <w:rPr>
          <w:rFonts w:cs="Arial"/>
          <w:color w:val="232120"/>
          <w:lang w:val="en-GB"/>
        </w:rPr>
        <w:t>,</w:t>
      </w:r>
      <w:r>
        <w:rPr>
          <w:rFonts w:cs="Arial"/>
          <w:color w:val="232120"/>
          <w:lang w:val="en-GB"/>
        </w:rPr>
        <w:t xml:space="preserve"> providing that: </w:t>
      </w:r>
    </w:p>
    <w:p w14:paraId="254DCD52" w14:textId="77777777" w:rsidR="005230E2" w:rsidRPr="005230E2" w:rsidRDefault="005230E2" w:rsidP="005230E2">
      <w:pPr>
        <w:pStyle w:val="Default"/>
        <w:spacing w:before="24" w:after="24" w:line="288" w:lineRule="auto"/>
        <w:ind w:left="720"/>
        <w:rPr>
          <w:rFonts w:cs="Arial"/>
          <w:color w:val="232120"/>
          <w:lang w:val="en-GB"/>
        </w:rPr>
      </w:pPr>
    </w:p>
    <w:p w14:paraId="34CA95E3" w14:textId="77777777" w:rsidR="00BB1633" w:rsidRDefault="00BB1633" w:rsidP="005230E2">
      <w:pPr>
        <w:pStyle w:val="Quote"/>
        <w:spacing w:before="24" w:after="24"/>
      </w:pPr>
      <w:r w:rsidRPr="00BB1633">
        <w:t>Although these workers account for a</w:t>
      </w:r>
      <w:r w:rsidR="00A8030E">
        <w:t xml:space="preserve"> </w:t>
      </w:r>
      <w:r w:rsidRPr="00BB1633">
        <w:t>significant percentage of the world’s workforce, they are often excluded from national</w:t>
      </w:r>
      <w:r>
        <w:t xml:space="preserve"> </w:t>
      </w:r>
      <w:r w:rsidRPr="00BB1633">
        <w:t>statistics and legal protection, support and safeguards, exacerbating vulnerability. While the</w:t>
      </w:r>
      <w:r>
        <w:t xml:space="preserve"> </w:t>
      </w:r>
      <w:r w:rsidRPr="00BB1633">
        <w:t>overall objective should be to formalize work, laws and policies should explicitly extend to</w:t>
      </w:r>
      <w:r>
        <w:t xml:space="preserve"> </w:t>
      </w:r>
      <w:r w:rsidRPr="00BB1633">
        <w:t>workers in the informal economy and States parties should take steps to gather relevant</w:t>
      </w:r>
      <w:r>
        <w:t xml:space="preserve"> </w:t>
      </w:r>
      <w:r w:rsidRPr="00BB1633">
        <w:t>disaggregated data so as to include this category of workers in the progressive realization of</w:t>
      </w:r>
      <w:r>
        <w:t xml:space="preserve"> </w:t>
      </w:r>
      <w:r w:rsidRPr="00BB1633">
        <w:t>the right to just and favourable conditions of work. For that purpose, the informal economy</w:t>
      </w:r>
      <w:r>
        <w:t xml:space="preserve"> </w:t>
      </w:r>
      <w:r w:rsidRPr="00BB1633">
        <w:t>should be included in the mandate of the respective monitoring and enforcement</w:t>
      </w:r>
      <w:r>
        <w:t xml:space="preserve"> </w:t>
      </w:r>
      <w:r w:rsidRPr="00BB1633">
        <w:t>mechanism. Women are often overrepresented in the informal economy, for example, as</w:t>
      </w:r>
      <w:r>
        <w:t xml:space="preserve"> </w:t>
      </w:r>
      <w:r w:rsidRPr="00BB1633">
        <w:t>casual workers, home workers or own-account workers, which in turn exacerbates</w:t>
      </w:r>
      <w:r>
        <w:t xml:space="preserve"> </w:t>
      </w:r>
      <w:r w:rsidRPr="00BB1633">
        <w:t>inequalities in areas such as remuneration, health and safet</w:t>
      </w:r>
      <w:r w:rsidR="00A8030E">
        <w:t>y, rest, leisure and paid leave.</w:t>
      </w:r>
      <w:r w:rsidR="005230E2">
        <w:rPr>
          <w:rStyle w:val="FootnoteReference"/>
        </w:rPr>
        <w:footnoteReference w:id="14"/>
      </w:r>
      <w:r w:rsidR="00A8030E">
        <w:t xml:space="preserve"> </w:t>
      </w:r>
    </w:p>
    <w:p w14:paraId="5AE4E9CC" w14:textId="77777777" w:rsidR="00A8030E" w:rsidRDefault="00A8030E" w:rsidP="005230E2">
      <w:pPr>
        <w:pStyle w:val="Default"/>
        <w:spacing w:before="24" w:after="24" w:line="288" w:lineRule="auto"/>
        <w:ind w:left="720"/>
        <w:rPr>
          <w:rFonts w:cs="Arial"/>
          <w:color w:val="232120"/>
          <w:lang w:val="en-GB"/>
        </w:rPr>
      </w:pPr>
    </w:p>
    <w:p w14:paraId="1AEA2A20" w14:textId="5D3A6083" w:rsidR="00A8030E" w:rsidRDefault="00A8030E" w:rsidP="005230E2">
      <w:pPr>
        <w:pStyle w:val="Default"/>
        <w:numPr>
          <w:ilvl w:val="1"/>
          <w:numId w:val="10"/>
        </w:numPr>
        <w:spacing w:before="24" w:after="24" w:line="288" w:lineRule="auto"/>
        <w:rPr>
          <w:rFonts w:cs="Arial"/>
          <w:color w:val="232120"/>
          <w:lang w:val="en-GB"/>
        </w:rPr>
      </w:pPr>
      <w:r>
        <w:rPr>
          <w:rFonts w:cs="Arial"/>
          <w:color w:val="232120"/>
          <w:lang w:val="en-GB"/>
        </w:rPr>
        <w:t xml:space="preserve">The UN ICESCR </w:t>
      </w:r>
      <w:r w:rsidR="00421FD9">
        <w:rPr>
          <w:rFonts w:cs="Arial"/>
          <w:color w:val="232120"/>
          <w:lang w:val="en-GB"/>
        </w:rPr>
        <w:t xml:space="preserve">Committee </w:t>
      </w:r>
      <w:r>
        <w:rPr>
          <w:rFonts w:cs="Arial"/>
          <w:color w:val="232120"/>
          <w:lang w:val="en-GB"/>
        </w:rPr>
        <w:t xml:space="preserve">further </w:t>
      </w:r>
      <w:r w:rsidR="005230E2">
        <w:rPr>
          <w:rFonts w:cs="Arial"/>
          <w:color w:val="232120"/>
          <w:lang w:val="en-GB"/>
        </w:rPr>
        <w:t>highlights</w:t>
      </w:r>
      <w:r>
        <w:rPr>
          <w:rFonts w:cs="Arial"/>
          <w:color w:val="232120"/>
          <w:lang w:val="en-GB"/>
        </w:rPr>
        <w:t xml:space="preserve"> issues in relation to female workers stating that: </w:t>
      </w:r>
    </w:p>
    <w:p w14:paraId="245EE07F" w14:textId="77777777" w:rsidR="005230E2" w:rsidRPr="005230E2" w:rsidRDefault="005230E2" w:rsidP="005230E2">
      <w:pPr>
        <w:pStyle w:val="Default"/>
        <w:spacing w:before="24" w:after="24" w:line="288" w:lineRule="auto"/>
        <w:ind w:left="720"/>
        <w:rPr>
          <w:rFonts w:cs="Arial"/>
          <w:color w:val="232120"/>
          <w:lang w:val="en-GB"/>
        </w:rPr>
      </w:pPr>
    </w:p>
    <w:p w14:paraId="66D73DED" w14:textId="77777777" w:rsidR="00BB1633" w:rsidRPr="00BB1633" w:rsidRDefault="00A8030E" w:rsidP="005230E2">
      <w:pPr>
        <w:pStyle w:val="Quote"/>
        <w:spacing w:before="24" w:after="24"/>
      </w:pPr>
      <w:r>
        <w:t>Pr</w:t>
      </w:r>
      <w:r w:rsidR="00BB1633" w:rsidRPr="00BB1633">
        <w:t>ogress on the three key interrelated indicators for gender equality in the context of labour rights — the “glass ceiling”, the “gender pay gap” and the “sticky floor” — remains far from satisfactory. Intersectional discrimination and the absence of a life-cycle approach regarding the needs of women lead to accumulated disadvantages that have a negative impact on the right to just and favourable conditions of work and other rights. Particular attention is needed to address occupational segregation by sex and to achieve equal remuneration for work of equal value, as well as equal opportunity for promotion, including through the introduction of temporary special measures. Any assessment of the “value” of work must avoid gender ste</w:t>
      </w:r>
      <w:r w:rsidR="005230E2">
        <w:t xml:space="preserve">reotypes that could undervalue </w:t>
      </w:r>
      <w:r w:rsidR="00BB1633" w:rsidRPr="00BB1633">
        <w:t>work predominantly performed by women. States parties should take into account the different requirements of male and female workers. For example, specific measures might be necessary to protect the safety and health of pregnant workers in relation to travel or night work. Day-care services in the workplace and flexible working arrangements can promote equal conditions of work in practice. Workers benefiting from gender-specific measures should not be penalized in other areas. States parties must take measures to address traditional gender roles and other structural obstacles th</w:t>
      </w:r>
      <w:r w:rsidR="005230E2">
        <w:t>at perpetuate gender inequality.</w:t>
      </w:r>
      <w:r w:rsidR="005230E2">
        <w:rPr>
          <w:rStyle w:val="FootnoteReference"/>
        </w:rPr>
        <w:footnoteReference w:id="15"/>
      </w:r>
    </w:p>
    <w:p w14:paraId="6A6FAC79" w14:textId="77777777" w:rsidR="00C42D0C" w:rsidRDefault="00C42D0C" w:rsidP="00D45A5F">
      <w:pPr>
        <w:pStyle w:val="Default"/>
        <w:spacing w:before="24" w:after="24" w:line="288" w:lineRule="auto"/>
        <w:ind w:left="720"/>
        <w:rPr>
          <w:rFonts w:cs="Arial"/>
          <w:color w:val="232120"/>
        </w:rPr>
      </w:pPr>
    </w:p>
    <w:p w14:paraId="59389611" w14:textId="77777777" w:rsidR="00C42D0C" w:rsidRPr="00C42D0C" w:rsidRDefault="00C42D0C" w:rsidP="00D45A5F">
      <w:pPr>
        <w:pStyle w:val="ListParagraph"/>
        <w:numPr>
          <w:ilvl w:val="1"/>
          <w:numId w:val="10"/>
        </w:numPr>
        <w:spacing w:before="24" w:after="24"/>
        <w:rPr>
          <w:rFonts w:ascii="Verdana" w:hAnsi="Verdana" w:cs="Arial"/>
          <w:color w:val="232120"/>
          <w:lang w:val="en-US"/>
        </w:rPr>
      </w:pPr>
      <w:r>
        <w:rPr>
          <w:rFonts w:ascii="Verdana" w:hAnsi="Verdana" w:cs="Arial"/>
          <w:color w:val="232120"/>
          <w:lang w:val="en-US"/>
        </w:rPr>
        <w:t>The UN CEDAW Committee 2019</w:t>
      </w:r>
      <w:r w:rsidRPr="00C42D0C">
        <w:rPr>
          <w:rFonts w:ascii="Verdana" w:hAnsi="Verdana" w:cs="Arial"/>
          <w:color w:val="232120"/>
          <w:lang w:val="en-US"/>
        </w:rPr>
        <w:t xml:space="preserve"> Concluding Observations </w:t>
      </w:r>
      <w:r>
        <w:rPr>
          <w:rFonts w:ascii="Verdana" w:hAnsi="Verdana" w:cs="Arial"/>
          <w:color w:val="232120"/>
          <w:lang w:val="en-US"/>
        </w:rPr>
        <w:t xml:space="preserve">on the UK </w:t>
      </w:r>
      <w:r w:rsidRPr="00C42D0C">
        <w:rPr>
          <w:rFonts w:ascii="Verdana" w:hAnsi="Verdana" w:cs="Arial"/>
          <w:color w:val="232120"/>
          <w:lang w:val="en-US"/>
        </w:rPr>
        <w:t>highlighted that women are more likely to be engaged in informal, temporary or precarious forms of employment, including employment with zero-hours contracts. The Committee recommended the UK government and NI Executive to take measures to increase opportunities for women to gain access to formal and secure employment and discourage the use by employers of zero-hours contracts.</w:t>
      </w:r>
      <w:r w:rsidR="005230E2">
        <w:rPr>
          <w:rStyle w:val="FootnoteReference"/>
          <w:rFonts w:ascii="Verdana" w:hAnsi="Verdana" w:cs="Arial"/>
          <w:color w:val="232120"/>
          <w:lang w:val="en-US"/>
        </w:rPr>
        <w:footnoteReference w:id="16"/>
      </w:r>
      <w:r w:rsidRPr="00C42D0C">
        <w:rPr>
          <w:rFonts w:ascii="Verdana" w:hAnsi="Verdana" w:cs="Arial"/>
          <w:color w:val="232120"/>
          <w:lang w:val="en-US"/>
        </w:rPr>
        <w:t xml:space="preserve"> </w:t>
      </w:r>
    </w:p>
    <w:p w14:paraId="6AE1EA88" w14:textId="77777777" w:rsidR="00C42D0C" w:rsidRDefault="00C42D0C" w:rsidP="00D45A5F">
      <w:pPr>
        <w:pStyle w:val="Default"/>
        <w:spacing w:before="24" w:after="24" w:line="288" w:lineRule="auto"/>
        <w:ind w:left="720"/>
        <w:rPr>
          <w:rFonts w:cs="Arial"/>
          <w:color w:val="232120"/>
        </w:rPr>
      </w:pPr>
    </w:p>
    <w:p w14:paraId="3519D683" w14:textId="1E06FF06" w:rsidR="00A37749" w:rsidRDefault="004C7E4D">
      <w:pPr>
        <w:pStyle w:val="Default"/>
        <w:numPr>
          <w:ilvl w:val="1"/>
          <w:numId w:val="10"/>
        </w:numPr>
        <w:spacing w:before="24" w:after="24" w:line="288" w:lineRule="auto"/>
        <w:rPr>
          <w:rFonts w:cs="Arial"/>
          <w:color w:val="232120"/>
        </w:rPr>
      </w:pPr>
      <w:r w:rsidRPr="004C7E4D">
        <w:rPr>
          <w:rFonts w:cs="Arial"/>
          <w:color w:val="232120"/>
        </w:rPr>
        <w:t>The UN CEDAW Committee also highlighted that while welcoming the introduction of flexible working arrangements in 2014, the Committee regrets that it can only be exercised</w:t>
      </w:r>
      <w:r w:rsidR="00C42D0C">
        <w:rPr>
          <w:rFonts w:cs="Arial"/>
          <w:color w:val="232120"/>
        </w:rPr>
        <w:t xml:space="preserve"> after 26 weeks of employment. </w:t>
      </w:r>
      <w:r w:rsidRPr="004C7E4D">
        <w:rPr>
          <w:rFonts w:cs="Arial"/>
          <w:color w:val="232120"/>
        </w:rPr>
        <w:t>The Committee recommended that the State party consider removing the 26-week waiting period for employees who wish to apply for fle</w:t>
      </w:r>
      <w:r>
        <w:rPr>
          <w:rFonts w:cs="Arial"/>
          <w:color w:val="232120"/>
        </w:rPr>
        <w:t>xible working arrangements.</w:t>
      </w:r>
      <w:r w:rsidR="005230E2">
        <w:rPr>
          <w:rStyle w:val="FootnoteReference"/>
          <w:rFonts w:cs="Arial"/>
          <w:color w:val="232120"/>
        </w:rPr>
        <w:footnoteReference w:id="17"/>
      </w:r>
      <w:r>
        <w:rPr>
          <w:rFonts w:cs="Arial"/>
          <w:color w:val="232120"/>
        </w:rPr>
        <w:t xml:space="preserve"> </w:t>
      </w:r>
    </w:p>
    <w:p w14:paraId="25E518AD" w14:textId="77777777" w:rsidR="00B333B0" w:rsidRDefault="00B333B0" w:rsidP="00E66856">
      <w:pPr>
        <w:pStyle w:val="Default"/>
        <w:spacing w:before="24" w:after="24" w:line="288" w:lineRule="auto"/>
        <w:ind w:left="720"/>
        <w:rPr>
          <w:rFonts w:cs="Arial"/>
          <w:color w:val="232120"/>
        </w:rPr>
      </w:pPr>
    </w:p>
    <w:p w14:paraId="3EFA73A9" w14:textId="480E5864" w:rsidR="004C7E4D" w:rsidRDefault="001A7A91">
      <w:pPr>
        <w:pStyle w:val="Default"/>
        <w:numPr>
          <w:ilvl w:val="1"/>
          <w:numId w:val="10"/>
        </w:numPr>
        <w:spacing w:before="24" w:after="24" w:line="288" w:lineRule="auto"/>
        <w:rPr>
          <w:rFonts w:cs="Arial"/>
          <w:color w:val="232120"/>
        </w:rPr>
      </w:pPr>
      <w:r>
        <w:rPr>
          <w:rFonts w:cs="Arial"/>
          <w:color w:val="232120"/>
        </w:rPr>
        <w:t>While the above commentary</w:t>
      </w:r>
      <w:r w:rsidR="00C42D0C">
        <w:rPr>
          <w:rFonts w:cs="Arial"/>
          <w:color w:val="232120"/>
        </w:rPr>
        <w:t xml:space="preserve"> do</w:t>
      </w:r>
      <w:r>
        <w:rPr>
          <w:rFonts w:cs="Arial"/>
          <w:color w:val="232120"/>
        </w:rPr>
        <w:t>es</w:t>
      </w:r>
      <w:r w:rsidR="00C42D0C">
        <w:rPr>
          <w:rFonts w:cs="Arial"/>
          <w:color w:val="232120"/>
        </w:rPr>
        <w:t xml:space="preserve"> not directly relate to the</w:t>
      </w:r>
      <w:r w:rsidR="004D2ED2">
        <w:rPr>
          <w:rFonts w:cs="Arial"/>
          <w:color w:val="232120"/>
        </w:rPr>
        <w:t xml:space="preserve"> specific issues of</w:t>
      </w:r>
      <w:r w:rsidR="00C42D0C">
        <w:rPr>
          <w:rFonts w:cs="Arial"/>
          <w:color w:val="232120"/>
        </w:rPr>
        <w:t xml:space="preserve"> provision of parental leave</w:t>
      </w:r>
      <w:r w:rsidR="004D2ED2">
        <w:rPr>
          <w:rFonts w:cs="Arial"/>
          <w:color w:val="232120"/>
        </w:rPr>
        <w:t xml:space="preserve">, </w:t>
      </w:r>
      <w:r>
        <w:rPr>
          <w:rFonts w:cs="Arial"/>
          <w:color w:val="232120"/>
        </w:rPr>
        <w:t>it</w:t>
      </w:r>
      <w:r w:rsidR="004D2ED2">
        <w:rPr>
          <w:rFonts w:cs="Arial"/>
          <w:color w:val="232120"/>
        </w:rPr>
        <w:t xml:space="preserve"> highlight</w:t>
      </w:r>
      <w:r>
        <w:rPr>
          <w:rFonts w:cs="Arial"/>
          <w:color w:val="232120"/>
        </w:rPr>
        <w:t>s</w:t>
      </w:r>
      <w:r w:rsidR="004D2ED2">
        <w:rPr>
          <w:rFonts w:cs="Arial"/>
          <w:color w:val="232120"/>
        </w:rPr>
        <w:t xml:space="preserve"> the views </w:t>
      </w:r>
      <w:r>
        <w:rPr>
          <w:rFonts w:cs="Arial"/>
          <w:color w:val="232120"/>
        </w:rPr>
        <w:t xml:space="preserve">of </w:t>
      </w:r>
      <w:r w:rsidR="00BA05DF">
        <w:rPr>
          <w:rFonts w:cs="Arial"/>
          <w:color w:val="232120"/>
        </w:rPr>
        <w:t>I</w:t>
      </w:r>
      <w:r>
        <w:rPr>
          <w:rFonts w:cs="Arial"/>
          <w:color w:val="232120"/>
        </w:rPr>
        <w:t>CESCR and CEDAW in rights terms on</w:t>
      </w:r>
      <w:r w:rsidR="004D2ED2">
        <w:rPr>
          <w:rFonts w:cs="Arial"/>
          <w:color w:val="232120"/>
        </w:rPr>
        <w:t xml:space="preserve"> the impact of informal, temporary employment (including zero-hours contracts) upon women</w:t>
      </w:r>
      <w:r>
        <w:rPr>
          <w:rFonts w:cs="Arial"/>
          <w:color w:val="232120"/>
        </w:rPr>
        <w:t>. This should be taken as context in consideration of the Bill’s intention, as currently drafted, to exclude particular groups of employees from its protection.</w:t>
      </w:r>
      <w:r w:rsidR="004D2ED2">
        <w:rPr>
          <w:rFonts w:cs="Arial"/>
          <w:color w:val="232120"/>
        </w:rPr>
        <w:t xml:space="preserve"> </w:t>
      </w:r>
      <w:r w:rsidR="00C42D0C">
        <w:rPr>
          <w:rFonts w:cs="Arial"/>
          <w:color w:val="232120"/>
        </w:rPr>
        <w:t xml:space="preserve"> </w:t>
      </w:r>
      <w:r w:rsidR="009D39FB">
        <w:rPr>
          <w:rFonts w:cs="Arial"/>
          <w:color w:val="232120"/>
        </w:rPr>
        <w:t xml:space="preserve">Furthermore, the Commission is concerned that due to the types of informal employment that women are more likely to hold, women will be </w:t>
      </w:r>
      <w:r w:rsidR="00471B64">
        <w:rPr>
          <w:rFonts w:cs="Arial"/>
          <w:color w:val="232120"/>
        </w:rPr>
        <w:t xml:space="preserve">disproportionally </w:t>
      </w:r>
      <w:r w:rsidR="00BA05DF">
        <w:rPr>
          <w:rFonts w:cs="Arial"/>
          <w:color w:val="232120"/>
        </w:rPr>
        <w:t>a</w:t>
      </w:r>
      <w:r w:rsidR="003B216D">
        <w:rPr>
          <w:rFonts w:cs="Arial"/>
          <w:color w:val="232120"/>
        </w:rPr>
        <w:t xml:space="preserve">ffected by the Bill as currently drafted. </w:t>
      </w:r>
    </w:p>
    <w:p w14:paraId="293401A6" w14:textId="77777777" w:rsidR="009C6538" w:rsidRDefault="009C6538" w:rsidP="009C6538">
      <w:pPr>
        <w:pStyle w:val="ListParagraph"/>
        <w:rPr>
          <w:rFonts w:cs="Arial"/>
          <w:color w:val="232120"/>
        </w:rPr>
      </w:pPr>
    </w:p>
    <w:p w14:paraId="26CFF512" w14:textId="783F9A94" w:rsidR="00A8030E" w:rsidRPr="005230E2" w:rsidRDefault="00A8030E">
      <w:pPr>
        <w:pStyle w:val="Default"/>
        <w:numPr>
          <w:ilvl w:val="1"/>
          <w:numId w:val="10"/>
        </w:numPr>
        <w:spacing w:before="24" w:after="24" w:line="288" w:lineRule="auto"/>
        <w:rPr>
          <w:rFonts w:cs="Arial"/>
          <w:b/>
          <w:color w:val="232120"/>
        </w:rPr>
      </w:pPr>
      <w:r w:rsidRPr="005230E2">
        <w:rPr>
          <w:rFonts w:cs="Arial"/>
          <w:b/>
          <w:color w:val="232120"/>
        </w:rPr>
        <w:t xml:space="preserve">The Commission recommends the Committee advises the Department </w:t>
      </w:r>
      <w:r w:rsidR="001A7A91">
        <w:rPr>
          <w:rFonts w:cs="Arial"/>
          <w:b/>
          <w:color w:val="232120"/>
        </w:rPr>
        <w:t xml:space="preserve">to </w:t>
      </w:r>
      <w:r w:rsidRPr="005230E2">
        <w:rPr>
          <w:rFonts w:cs="Arial"/>
          <w:b/>
          <w:color w:val="232120"/>
        </w:rPr>
        <w:t xml:space="preserve">conduct </w:t>
      </w:r>
      <w:r w:rsidR="001A7A91">
        <w:rPr>
          <w:rFonts w:cs="Arial"/>
          <w:b/>
          <w:color w:val="232120"/>
        </w:rPr>
        <w:t>a</w:t>
      </w:r>
      <w:r w:rsidR="005230E2" w:rsidRPr="005230E2">
        <w:rPr>
          <w:rFonts w:cs="Arial"/>
          <w:b/>
          <w:color w:val="232120"/>
        </w:rPr>
        <w:t xml:space="preserve"> human rights impact assessment </w:t>
      </w:r>
      <w:r w:rsidR="00173AF1">
        <w:rPr>
          <w:rFonts w:cs="Arial"/>
          <w:b/>
          <w:color w:val="232120"/>
        </w:rPr>
        <w:t>to consider any interference with Article 8 and Article 14 ECHR</w:t>
      </w:r>
      <w:r w:rsidR="00B333B0">
        <w:rPr>
          <w:rFonts w:cs="Arial"/>
          <w:b/>
          <w:color w:val="232120"/>
        </w:rPr>
        <w:t xml:space="preserve">.  As well as compliance with </w:t>
      </w:r>
      <w:r w:rsidR="005230E2">
        <w:rPr>
          <w:rFonts w:cs="Arial"/>
          <w:b/>
          <w:color w:val="232120"/>
        </w:rPr>
        <w:t>international human rights standards and recommendations of the UN ICESCR and UN CEDAW Committees</w:t>
      </w:r>
      <w:r w:rsidR="00B333B0">
        <w:rPr>
          <w:rFonts w:cs="Arial"/>
          <w:b/>
          <w:color w:val="232120"/>
        </w:rPr>
        <w:t xml:space="preserve"> as referenced in the Human Rights Act.</w:t>
      </w:r>
      <w:r w:rsidR="005230E2">
        <w:rPr>
          <w:rFonts w:cs="Arial"/>
          <w:b/>
          <w:color w:val="232120"/>
        </w:rPr>
        <w:t xml:space="preserve"> </w:t>
      </w:r>
    </w:p>
    <w:p w14:paraId="12F96EBC" w14:textId="77777777" w:rsidR="00F72157" w:rsidRDefault="00F72157" w:rsidP="00F72157">
      <w:pPr>
        <w:pStyle w:val="ListParagraph"/>
        <w:rPr>
          <w:rFonts w:cs="Arial"/>
          <w:color w:val="232120"/>
        </w:rPr>
      </w:pPr>
    </w:p>
    <w:p w14:paraId="0619E8CF" w14:textId="77777777" w:rsidR="00B33793" w:rsidRDefault="00B33793" w:rsidP="00D45A5F">
      <w:pPr>
        <w:pStyle w:val="ListParagraph"/>
        <w:spacing w:before="24" w:after="24"/>
        <w:rPr>
          <w:rFonts w:cs="Arial"/>
          <w:color w:val="232120"/>
        </w:rPr>
      </w:pPr>
    </w:p>
    <w:p w14:paraId="2B04FDC1" w14:textId="77777777" w:rsidR="00C42D0C" w:rsidRDefault="00C42D0C" w:rsidP="00D45A5F">
      <w:pPr>
        <w:pStyle w:val="Heading1"/>
        <w:numPr>
          <w:ilvl w:val="0"/>
          <w:numId w:val="8"/>
        </w:numPr>
        <w:spacing w:before="24" w:after="24"/>
      </w:pPr>
      <w:bookmarkStart w:id="5" w:name="_Toc80779467"/>
      <w:r>
        <w:t>Omissions</w:t>
      </w:r>
      <w:bookmarkEnd w:id="5"/>
      <w:r>
        <w:t xml:space="preserve"> </w:t>
      </w:r>
    </w:p>
    <w:p w14:paraId="7987A38F" w14:textId="77777777" w:rsidR="00C42D0C" w:rsidRDefault="00C42D0C" w:rsidP="00D45A5F">
      <w:pPr>
        <w:pStyle w:val="ListParagraph"/>
        <w:spacing w:before="24" w:after="24"/>
        <w:rPr>
          <w:rFonts w:cs="Arial"/>
          <w:color w:val="232120"/>
        </w:rPr>
      </w:pPr>
    </w:p>
    <w:p w14:paraId="639AABF8" w14:textId="3B1A134E" w:rsidR="00C75EE7" w:rsidRPr="00E66856" w:rsidRDefault="005230E2" w:rsidP="005230E2">
      <w:pPr>
        <w:pStyle w:val="Default"/>
        <w:numPr>
          <w:ilvl w:val="1"/>
          <w:numId w:val="12"/>
        </w:numPr>
        <w:spacing w:before="24" w:after="24" w:line="288" w:lineRule="auto"/>
        <w:rPr>
          <w:rFonts w:cs="Arial"/>
          <w:b/>
          <w:color w:val="232120"/>
        </w:rPr>
      </w:pPr>
      <w:r>
        <w:rPr>
          <w:rFonts w:cs="Arial"/>
          <w:color w:val="232120"/>
        </w:rPr>
        <w:t xml:space="preserve">The legislation applies to those bereaved in accordance with the </w:t>
      </w:r>
      <w:r w:rsidR="00C75EE7">
        <w:rPr>
          <w:rFonts w:cs="Arial"/>
          <w:color w:val="232120"/>
        </w:rPr>
        <w:t>legal definition of stillbirth post 24 weeks pregnancy</w:t>
      </w:r>
      <w:r>
        <w:rPr>
          <w:rFonts w:cs="Arial"/>
          <w:color w:val="232120"/>
        </w:rPr>
        <w:t xml:space="preserve">. </w:t>
      </w:r>
      <w:r w:rsidRPr="005230E2">
        <w:rPr>
          <w:rFonts w:cs="Arial"/>
          <w:color w:val="232120"/>
        </w:rPr>
        <w:t>T</w:t>
      </w:r>
      <w:r w:rsidR="00D802F9" w:rsidRPr="005230E2">
        <w:rPr>
          <w:rFonts w:cs="Arial"/>
          <w:color w:val="232120"/>
        </w:rPr>
        <w:t>he Commission understands</w:t>
      </w:r>
      <w:r w:rsidRPr="005230E2">
        <w:rPr>
          <w:rFonts w:cs="Arial"/>
          <w:color w:val="232120"/>
        </w:rPr>
        <w:t xml:space="preserve"> that therefore the </w:t>
      </w:r>
      <w:r w:rsidR="00885B1F" w:rsidRPr="005230E2">
        <w:rPr>
          <w:rFonts w:cs="Arial"/>
          <w:color w:val="232120"/>
        </w:rPr>
        <w:t>Bil</w:t>
      </w:r>
      <w:r w:rsidR="00C42D0C" w:rsidRPr="005230E2">
        <w:rPr>
          <w:rFonts w:cs="Arial"/>
          <w:color w:val="232120"/>
        </w:rPr>
        <w:t xml:space="preserve">l does not include provision </w:t>
      </w:r>
      <w:r w:rsidRPr="005230E2">
        <w:rPr>
          <w:rFonts w:cs="Arial"/>
          <w:color w:val="232120"/>
        </w:rPr>
        <w:t xml:space="preserve">for </w:t>
      </w:r>
      <w:r w:rsidR="00C42D0C" w:rsidRPr="005230E2">
        <w:rPr>
          <w:rFonts w:cs="Arial"/>
          <w:color w:val="232120"/>
        </w:rPr>
        <w:t>bereavement through</w:t>
      </w:r>
      <w:r w:rsidR="00885B1F" w:rsidRPr="005230E2">
        <w:rPr>
          <w:rFonts w:cs="Arial"/>
          <w:color w:val="232120"/>
        </w:rPr>
        <w:t xml:space="preserve"> miscarriage. </w:t>
      </w:r>
    </w:p>
    <w:p w14:paraId="1FEF8C7C" w14:textId="77777777" w:rsidR="00A37749" w:rsidRPr="00E66856" w:rsidRDefault="00A37749" w:rsidP="00E66856">
      <w:pPr>
        <w:pStyle w:val="Default"/>
        <w:spacing w:before="24" w:after="24" w:line="288" w:lineRule="auto"/>
        <w:ind w:left="720"/>
        <w:rPr>
          <w:rFonts w:cs="Arial"/>
          <w:b/>
          <w:color w:val="232120"/>
        </w:rPr>
      </w:pPr>
    </w:p>
    <w:p w14:paraId="428E2D40" w14:textId="0F3D7D1C" w:rsidR="00A37749" w:rsidRPr="00E66856" w:rsidRDefault="00A37749" w:rsidP="006930E1">
      <w:pPr>
        <w:pStyle w:val="Default"/>
        <w:numPr>
          <w:ilvl w:val="1"/>
          <w:numId w:val="12"/>
        </w:numPr>
        <w:spacing w:before="24" w:after="24" w:line="288" w:lineRule="auto"/>
        <w:rPr>
          <w:rFonts w:cs="Arial"/>
          <w:b/>
          <w:color w:val="232120"/>
        </w:rPr>
      </w:pPr>
      <w:r>
        <w:rPr>
          <w:rFonts w:cs="Arial"/>
          <w:color w:val="232120"/>
        </w:rPr>
        <w:t xml:space="preserve">The Commission would highlight that New Zealand </w:t>
      </w:r>
      <w:r w:rsidR="00B81F29" w:rsidRPr="00B81F29">
        <w:rPr>
          <w:rFonts w:cs="Arial"/>
          <w:color w:val="232120"/>
        </w:rPr>
        <w:t>gives parents a right to three days’ paid leav</w:t>
      </w:r>
      <w:r w:rsidR="00B81F29">
        <w:rPr>
          <w:rFonts w:cs="Arial"/>
          <w:color w:val="232120"/>
        </w:rPr>
        <w:t xml:space="preserve">e if they suffer a miscarriage </w:t>
      </w:r>
      <w:r w:rsidR="00B81F29" w:rsidRPr="00B81F29">
        <w:rPr>
          <w:rFonts w:cs="Arial"/>
          <w:color w:val="232120"/>
        </w:rPr>
        <w:t>at</w:t>
      </w:r>
      <w:r w:rsidR="00B81F29">
        <w:rPr>
          <w:rFonts w:cs="Arial"/>
          <w:color w:val="232120"/>
        </w:rPr>
        <w:t xml:space="preserve"> any time during the pregnancy</w:t>
      </w:r>
      <w:r w:rsidR="0094020E">
        <w:rPr>
          <w:rFonts w:cs="Arial"/>
          <w:color w:val="232120"/>
        </w:rPr>
        <w:t>,</w:t>
      </w:r>
      <w:r w:rsidR="00B81F29">
        <w:rPr>
          <w:rFonts w:cs="Arial"/>
          <w:color w:val="232120"/>
        </w:rPr>
        <w:t xml:space="preserve"> </w:t>
      </w:r>
      <w:r w:rsidR="00B81F29" w:rsidRPr="00B81F29">
        <w:rPr>
          <w:rFonts w:cs="Arial"/>
          <w:color w:val="232120"/>
        </w:rPr>
        <w:t xml:space="preserve">or a stillbirth. The right also applies to those </w:t>
      </w:r>
      <w:r w:rsidR="00B36137">
        <w:rPr>
          <w:rFonts w:cs="Arial"/>
          <w:color w:val="232120"/>
        </w:rPr>
        <w:t xml:space="preserve">who </w:t>
      </w:r>
      <w:r w:rsidR="00B81F29" w:rsidRPr="00B81F29">
        <w:rPr>
          <w:rFonts w:cs="Arial"/>
          <w:color w:val="232120"/>
        </w:rPr>
        <w:t>welcom</w:t>
      </w:r>
      <w:r w:rsidR="00B36137">
        <w:rPr>
          <w:rFonts w:cs="Arial"/>
          <w:color w:val="232120"/>
        </w:rPr>
        <w:t>e</w:t>
      </w:r>
      <w:r w:rsidR="00B81F29" w:rsidRPr="00B81F29">
        <w:rPr>
          <w:rFonts w:cs="Arial"/>
          <w:color w:val="232120"/>
        </w:rPr>
        <w:t xml:space="preserve"> a child through adoption or surrogacy.</w:t>
      </w:r>
      <w:r w:rsidR="00B81F29">
        <w:rPr>
          <w:rFonts w:cs="Arial"/>
          <w:color w:val="232120"/>
        </w:rPr>
        <w:t xml:space="preserve"> </w:t>
      </w:r>
      <w:r w:rsidR="006930E1">
        <w:rPr>
          <w:rFonts w:cs="Arial"/>
          <w:color w:val="232120"/>
        </w:rPr>
        <w:t>The Bill provides</w:t>
      </w:r>
      <w:r w:rsidR="006930E1" w:rsidRPr="006930E1">
        <w:rPr>
          <w:rFonts w:cs="Arial"/>
          <w:color w:val="232120"/>
        </w:rPr>
        <w:t xml:space="preserve"> that the unplanned end of a pregnancy by miscarriage or stillbirth constitutes grounds for bereavement leave for the mother and her partner or spouse, and that the duration of the bereavement leave should be up to 3 days</w:t>
      </w:r>
      <w:r w:rsidR="006930E1">
        <w:rPr>
          <w:rFonts w:cs="Arial"/>
          <w:color w:val="232120"/>
        </w:rPr>
        <w:t>.</w:t>
      </w:r>
      <w:r w:rsidR="006930E1">
        <w:rPr>
          <w:rStyle w:val="FootnoteReference"/>
          <w:rFonts w:cs="Arial"/>
          <w:color w:val="232120"/>
        </w:rPr>
        <w:footnoteReference w:id="18"/>
      </w:r>
    </w:p>
    <w:p w14:paraId="275BECF2" w14:textId="77777777" w:rsidR="00356DB5" w:rsidRDefault="00356DB5" w:rsidP="00E66856">
      <w:pPr>
        <w:pStyle w:val="ListParagraph"/>
        <w:rPr>
          <w:rFonts w:cs="Arial"/>
          <w:b/>
          <w:color w:val="232120"/>
        </w:rPr>
      </w:pPr>
    </w:p>
    <w:p w14:paraId="3665CEDB" w14:textId="6656EA5F" w:rsidR="00356DB5" w:rsidRPr="00356DB5" w:rsidRDefault="00356DB5" w:rsidP="00B81F29">
      <w:pPr>
        <w:pStyle w:val="Default"/>
        <w:numPr>
          <w:ilvl w:val="1"/>
          <w:numId w:val="12"/>
        </w:numPr>
        <w:spacing w:before="24" w:after="24" w:line="288" w:lineRule="auto"/>
        <w:rPr>
          <w:rFonts w:cs="Arial"/>
          <w:color w:val="232120"/>
        </w:rPr>
      </w:pPr>
      <w:r w:rsidRPr="00E66856">
        <w:rPr>
          <w:rFonts w:cs="Arial"/>
          <w:color w:val="232120"/>
        </w:rPr>
        <w:t xml:space="preserve">The Commission understands the UK legislation does not </w:t>
      </w:r>
      <w:r>
        <w:rPr>
          <w:rFonts w:cs="Arial"/>
          <w:color w:val="232120"/>
        </w:rPr>
        <w:t xml:space="preserve">extend to miscarriage however, that civil society organisations have supported the extension to </w:t>
      </w:r>
      <w:r w:rsidR="005A4262">
        <w:rPr>
          <w:rFonts w:cs="Arial"/>
          <w:color w:val="232120"/>
        </w:rPr>
        <w:t xml:space="preserve">include </w:t>
      </w:r>
      <w:r>
        <w:rPr>
          <w:rFonts w:cs="Arial"/>
          <w:color w:val="232120"/>
        </w:rPr>
        <w:t>miscarriage within the UK.</w:t>
      </w:r>
      <w:r>
        <w:rPr>
          <w:rStyle w:val="FootnoteReference"/>
          <w:rFonts w:cs="Arial"/>
          <w:color w:val="232120"/>
        </w:rPr>
        <w:footnoteReference w:id="19"/>
      </w:r>
      <w:r>
        <w:rPr>
          <w:rFonts w:cs="Arial"/>
          <w:color w:val="232120"/>
        </w:rPr>
        <w:t xml:space="preserve"> </w:t>
      </w:r>
    </w:p>
    <w:p w14:paraId="45A4EB17" w14:textId="77777777" w:rsidR="00A37749" w:rsidRPr="00E66856" w:rsidRDefault="00A37749" w:rsidP="00E66856">
      <w:pPr>
        <w:pStyle w:val="Default"/>
        <w:spacing w:before="24" w:after="24" w:line="288" w:lineRule="auto"/>
        <w:ind w:left="720"/>
        <w:rPr>
          <w:rFonts w:cs="Arial"/>
          <w:b/>
          <w:color w:val="232120"/>
        </w:rPr>
      </w:pPr>
    </w:p>
    <w:p w14:paraId="517252F6" w14:textId="14E4E4CE" w:rsidR="00A37749" w:rsidRPr="00A37749" w:rsidRDefault="00A37749" w:rsidP="005230E2">
      <w:pPr>
        <w:pStyle w:val="Default"/>
        <w:numPr>
          <w:ilvl w:val="1"/>
          <w:numId w:val="12"/>
        </w:numPr>
        <w:spacing w:before="24" w:after="24" w:line="288" w:lineRule="auto"/>
        <w:rPr>
          <w:rFonts w:cs="Arial"/>
          <w:b/>
          <w:color w:val="232120"/>
        </w:rPr>
      </w:pPr>
      <w:r w:rsidRPr="00E66856">
        <w:rPr>
          <w:rFonts w:cs="Arial"/>
          <w:b/>
          <w:color w:val="232120"/>
        </w:rPr>
        <w:t xml:space="preserve">The Commission recommends the Committee consider </w:t>
      </w:r>
      <w:r w:rsidR="00356DB5">
        <w:rPr>
          <w:rFonts w:cs="Arial"/>
          <w:b/>
          <w:color w:val="232120"/>
        </w:rPr>
        <w:t>other countries</w:t>
      </w:r>
      <w:r w:rsidR="00F70FBB">
        <w:rPr>
          <w:rFonts w:cs="Arial"/>
          <w:b/>
          <w:color w:val="232120"/>
        </w:rPr>
        <w:t>’</w:t>
      </w:r>
      <w:r w:rsidR="00356DB5">
        <w:rPr>
          <w:rFonts w:cs="Arial"/>
          <w:b/>
          <w:color w:val="232120"/>
        </w:rPr>
        <w:t xml:space="preserve"> approach to parental bereavement </w:t>
      </w:r>
      <w:r w:rsidR="006930E1">
        <w:rPr>
          <w:rFonts w:cs="Arial"/>
          <w:b/>
          <w:color w:val="232120"/>
        </w:rPr>
        <w:t>leave</w:t>
      </w:r>
      <w:r w:rsidR="004F36C3">
        <w:rPr>
          <w:rFonts w:cs="Arial"/>
          <w:b/>
          <w:color w:val="232120"/>
        </w:rPr>
        <w:t>,</w:t>
      </w:r>
      <w:r w:rsidR="00192091">
        <w:rPr>
          <w:rFonts w:cs="Arial"/>
          <w:b/>
          <w:color w:val="232120"/>
        </w:rPr>
        <w:t xml:space="preserve"> particularly </w:t>
      </w:r>
      <w:r w:rsidR="008A235B">
        <w:rPr>
          <w:rFonts w:cs="Arial"/>
          <w:b/>
          <w:color w:val="232120"/>
        </w:rPr>
        <w:t>in relation to miscarriage and stillbirth,</w:t>
      </w:r>
      <w:r w:rsidR="006930E1">
        <w:rPr>
          <w:rFonts w:cs="Arial"/>
          <w:b/>
          <w:color w:val="232120"/>
        </w:rPr>
        <w:t xml:space="preserve"> including New Zealand’s inclusion of bereavement through miscarriage</w:t>
      </w:r>
      <w:r w:rsidR="003B081B">
        <w:rPr>
          <w:rFonts w:cs="Arial"/>
          <w:b/>
          <w:color w:val="232120"/>
        </w:rPr>
        <w:t>,</w:t>
      </w:r>
      <w:r w:rsidRPr="00E66856">
        <w:rPr>
          <w:rFonts w:cs="Arial"/>
          <w:b/>
          <w:color w:val="232120"/>
        </w:rPr>
        <w:t xml:space="preserve"> </w:t>
      </w:r>
      <w:r w:rsidR="004F36C3">
        <w:rPr>
          <w:rFonts w:cs="Arial"/>
          <w:b/>
          <w:color w:val="232120"/>
        </w:rPr>
        <w:t>a</w:t>
      </w:r>
      <w:r w:rsidR="006930E1">
        <w:rPr>
          <w:rFonts w:cs="Arial"/>
          <w:b/>
          <w:color w:val="232120"/>
        </w:rPr>
        <w:t>s well as relevant civil society organisations</w:t>
      </w:r>
      <w:r w:rsidR="004F36C3">
        <w:rPr>
          <w:rFonts w:cs="Arial"/>
          <w:b/>
          <w:color w:val="232120"/>
        </w:rPr>
        <w:t>’</w:t>
      </w:r>
      <w:r w:rsidR="006930E1">
        <w:rPr>
          <w:rFonts w:cs="Arial"/>
          <w:b/>
          <w:color w:val="232120"/>
        </w:rPr>
        <w:t xml:space="preserve"> recommendations on the inclusion of miscarriage within parental bereavement leave. </w:t>
      </w:r>
    </w:p>
    <w:p w14:paraId="150B4399" w14:textId="77777777" w:rsidR="009C6538" w:rsidRPr="00E816AF" w:rsidRDefault="009C6538" w:rsidP="009C6538">
      <w:pPr>
        <w:pStyle w:val="Default"/>
        <w:spacing w:before="24" w:after="24" w:line="288" w:lineRule="auto"/>
        <w:ind w:left="720"/>
        <w:rPr>
          <w:rFonts w:cs="Arial"/>
          <w:color w:val="232120"/>
        </w:rPr>
      </w:pPr>
    </w:p>
    <w:p w14:paraId="2D71C3C7" w14:textId="77777777" w:rsidR="00EA12CE" w:rsidRPr="00331C61" w:rsidRDefault="00EA12CE" w:rsidP="00331C61">
      <w:pPr>
        <w:pStyle w:val="Default"/>
        <w:spacing w:line="288" w:lineRule="auto"/>
        <w:rPr>
          <w:rFonts w:cs="Arial"/>
          <w:b/>
          <w:color w:val="232120"/>
        </w:rPr>
      </w:pPr>
    </w:p>
    <w:p w14:paraId="00708516" w14:textId="77777777" w:rsidR="00EA12CE" w:rsidRPr="00331C61" w:rsidRDefault="00EA12CE" w:rsidP="00331C61">
      <w:pPr>
        <w:pStyle w:val="Default"/>
        <w:spacing w:line="288" w:lineRule="auto"/>
        <w:rPr>
          <w:rFonts w:cs="Arial"/>
          <w:b/>
          <w:color w:val="232120"/>
        </w:rPr>
      </w:pPr>
    </w:p>
    <w:p w14:paraId="77AE3DA8" w14:textId="2C43D0B0" w:rsidR="00EA12CE" w:rsidRPr="00331C61" w:rsidRDefault="00EA12CE" w:rsidP="00331C61">
      <w:pPr>
        <w:pStyle w:val="Default"/>
        <w:spacing w:line="288" w:lineRule="auto"/>
        <w:rPr>
          <w:rFonts w:cs="Arial"/>
          <w:b/>
          <w:color w:val="232120"/>
        </w:rPr>
      </w:pPr>
    </w:p>
    <w:p w14:paraId="72805DBA" w14:textId="77777777" w:rsidR="00EA12CE" w:rsidRPr="00331C61" w:rsidRDefault="00EA12CE" w:rsidP="00331C61">
      <w:pPr>
        <w:pStyle w:val="Default"/>
        <w:spacing w:line="288" w:lineRule="auto"/>
        <w:rPr>
          <w:rFonts w:cs="Arial"/>
          <w:b/>
          <w:color w:val="232120"/>
        </w:rPr>
      </w:pPr>
    </w:p>
    <w:p w14:paraId="41988C26" w14:textId="77777777" w:rsidR="007836A4" w:rsidRDefault="007836A4" w:rsidP="00331C61">
      <w:pPr>
        <w:pStyle w:val="Default"/>
        <w:spacing w:line="288" w:lineRule="auto"/>
        <w:rPr>
          <w:rFonts w:cs="Arial"/>
          <w:b/>
          <w:color w:val="232120"/>
        </w:rPr>
      </w:pPr>
    </w:p>
    <w:p w14:paraId="14457715" w14:textId="77777777" w:rsidR="007836A4" w:rsidRDefault="007836A4" w:rsidP="00331C61">
      <w:pPr>
        <w:pStyle w:val="Default"/>
        <w:spacing w:line="288" w:lineRule="auto"/>
        <w:rPr>
          <w:rFonts w:cs="Arial"/>
          <w:b/>
          <w:color w:val="232120"/>
        </w:rPr>
      </w:pPr>
    </w:p>
    <w:p w14:paraId="47F61BF9" w14:textId="77777777" w:rsidR="007836A4" w:rsidRDefault="007836A4" w:rsidP="00331C61">
      <w:pPr>
        <w:pStyle w:val="Default"/>
        <w:spacing w:line="288" w:lineRule="auto"/>
        <w:rPr>
          <w:rFonts w:cs="Arial"/>
          <w:b/>
          <w:color w:val="232120"/>
        </w:rPr>
      </w:pPr>
    </w:p>
    <w:p w14:paraId="479BF3E7" w14:textId="77777777" w:rsidR="007836A4" w:rsidRDefault="007836A4" w:rsidP="00331C61">
      <w:pPr>
        <w:pStyle w:val="Default"/>
        <w:spacing w:line="288" w:lineRule="auto"/>
        <w:rPr>
          <w:rFonts w:cs="Arial"/>
          <w:b/>
          <w:color w:val="232120"/>
        </w:rPr>
      </w:pPr>
    </w:p>
    <w:p w14:paraId="44E8B398" w14:textId="77777777" w:rsidR="00BC4539" w:rsidRDefault="00BC4539" w:rsidP="00331C61">
      <w:pPr>
        <w:pStyle w:val="Default"/>
        <w:spacing w:line="288" w:lineRule="auto"/>
        <w:rPr>
          <w:rFonts w:cs="Arial"/>
          <w:b/>
          <w:color w:val="232120"/>
        </w:rPr>
      </w:pPr>
    </w:p>
    <w:p w14:paraId="2E3E9D6B" w14:textId="77777777" w:rsidR="00BC4539" w:rsidRPr="00331C61" w:rsidRDefault="00BC4539" w:rsidP="00331C61">
      <w:pPr>
        <w:pStyle w:val="Default"/>
        <w:spacing w:line="288" w:lineRule="auto"/>
        <w:rPr>
          <w:rFonts w:cs="Arial"/>
          <w:b/>
          <w:color w:val="232120"/>
        </w:rPr>
      </w:pPr>
    </w:p>
    <w:p w14:paraId="3329EB7D" w14:textId="77777777" w:rsidR="00EA12CE" w:rsidRDefault="00EA12CE" w:rsidP="00331C61">
      <w:pPr>
        <w:pStyle w:val="Default"/>
        <w:spacing w:line="288" w:lineRule="auto"/>
        <w:rPr>
          <w:rFonts w:cs="Arial"/>
          <w:b/>
          <w:color w:val="232120"/>
        </w:rPr>
      </w:pPr>
    </w:p>
    <w:p w14:paraId="6A3BD72D" w14:textId="77777777" w:rsidR="00892EA3" w:rsidRDefault="00892EA3" w:rsidP="00331C61">
      <w:pPr>
        <w:pStyle w:val="Default"/>
        <w:spacing w:line="288" w:lineRule="auto"/>
        <w:rPr>
          <w:rFonts w:cs="Arial"/>
          <w:b/>
          <w:color w:val="232120"/>
        </w:rPr>
      </w:pPr>
    </w:p>
    <w:p w14:paraId="14BABF1A" w14:textId="77777777" w:rsidR="00892EA3" w:rsidRDefault="00892EA3" w:rsidP="00331C61">
      <w:pPr>
        <w:pStyle w:val="Default"/>
        <w:spacing w:line="288" w:lineRule="auto"/>
        <w:rPr>
          <w:rFonts w:cs="Arial"/>
          <w:b/>
          <w:color w:val="232120"/>
        </w:rPr>
      </w:pPr>
    </w:p>
    <w:p w14:paraId="5B42158C" w14:textId="77777777" w:rsidR="00892EA3" w:rsidRDefault="00892EA3" w:rsidP="00331C61">
      <w:pPr>
        <w:pStyle w:val="Default"/>
        <w:spacing w:line="288" w:lineRule="auto"/>
        <w:rPr>
          <w:rFonts w:cs="Arial"/>
          <w:b/>
          <w:color w:val="232120"/>
        </w:rPr>
      </w:pPr>
    </w:p>
    <w:p w14:paraId="1141722E" w14:textId="77777777" w:rsidR="00892EA3" w:rsidRDefault="00892EA3" w:rsidP="00331C61">
      <w:pPr>
        <w:pStyle w:val="Default"/>
        <w:spacing w:line="288" w:lineRule="auto"/>
        <w:rPr>
          <w:rFonts w:cs="Arial"/>
          <w:b/>
          <w:color w:val="232120"/>
        </w:rPr>
      </w:pPr>
    </w:p>
    <w:p w14:paraId="16C60BC8" w14:textId="77777777" w:rsidR="00892EA3" w:rsidRDefault="00892EA3" w:rsidP="00331C61">
      <w:pPr>
        <w:pStyle w:val="Default"/>
        <w:spacing w:line="288" w:lineRule="auto"/>
        <w:rPr>
          <w:rFonts w:cs="Arial"/>
          <w:b/>
          <w:color w:val="232120"/>
        </w:rPr>
      </w:pPr>
    </w:p>
    <w:p w14:paraId="46BEAC8E" w14:textId="77777777" w:rsidR="00892EA3" w:rsidRDefault="00892EA3" w:rsidP="00331C61">
      <w:pPr>
        <w:pStyle w:val="Default"/>
        <w:spacing w:line="288" w:lineRule="auto"/>
        <w:rPr>
          <w:rFonts w:cs="Arial"/>
          <w:b/>
          <w:color w:val="232120"/>
        </w:rPr>
      </w:pPr>
    </w:p>
    <w:p w14:paraId="3E86F2F8" w14:textId="77777777" w:rsidR="00356DB5" w:rsidRDefault="00356DB5" w:rsidP="00331C61">
      <w:pPr>
        <w:pStyle w:val="Default"/>
        <w:spacing w:line="288" w:lineRule="auto"/>
        <w:rPr>
          <w:rFonts w:cs="Arial"/>
          <w:b/>
          <w:color w:val="232120"/>
        </w:rPr>
      </w:pPr>
    </w:p>
    <w:p w14:paraId="6B320C9C" w14:textId="39DE221F" w:rsidR="006930E1" w:rsidRDefault="006930E1" w:rsidP="00331C61">
      <w:pPr>
        <w:pStyle w:val="Default"/>
        <w:spacing w:line="288" w:lineRule="auto"/>
        <w:rPr>
          <w:rFonts w:cs="Arial"/>
          <w:b/>
          <w:color w:val="232120"/>
        </w:rPr>
      </w:pPr>
    </w:p>
    <w:p w14:paraId="19CFE28B" w14:textId="3237F84A" w:rsidR="006930E1" w:rsidRDefault="006930E1" w:rsidP="00331C61">
      <w:pPr>
        <w:pStyle w:val="Default"/>
        <w:spacing w:line="288" w:lineRule="auto"/>
        <w:rPr>
          <w:rFonts w:cs="Arial"/>
          <w:b/>
          <w:color w:val="232120"/>
        </w:rPr>
      </w:pPr>
    </w:p>
    <w:p w14:paraId="283CFAB6" w14:textId="745004C4" w:rsidR="006930E1" w:rsidRDefault="006930E1" w:rsidP="00331C61">
      <w:pPr>
        <w:pStyle w:val="Default"/>
        <w:spacing w:line="288" w:lineRule="auto"/>
        <w:rPr>
          <w:rFonts w:cs="Arial"/>
          <w:b/>
          <w:color w:val="232120"/>
        </w:rPr>
      </w:pPr>
    </w:p>
    <w:p w14:paraId="3CD3D581" w14:textId="72398404" w:rsidR="006930E1" w:rsidRDefault="006930E1" w:rsidP="00331C61">
      <w:pPr>
        <w:pStyle w:val="Default"/>
        <w:spacing w:line="288" w:lineRule="auto"/>
        <w:rPr>
          <w:rFonts w:cs="Arial"/>
          <w:b/>
          <w:color w:val="232120"/>
        </w:rPr>
      </w:pPr>
    </w:p>
    <w:p w14:paraId="238A9453" w14:textId="5A7AA236" w:rsidR="006930E1" w:rsidRDefault="006930E1" w:rsidP="00331C61">
      <w:pPr>
        <w:pStyle w:val="Default"/>
        <w:spacing w:line="288" w:lineRule="auto"/>
        <w:rPr>
          <w:rFonts w:cs="Arial"/>
          <w:b/>
          <w:color w:val="232120"/>
        </w:rPr>
      </w:pPr>
    </w:p>
    <w:p w14:paraId="2DADE921" w14:textId="4AF92646" w:rsidR="006930E1" w:rsidRDefault="006930E1" w:rsidP="00331C61">
      <w:pPr>
        <w:pStyle w:val="Default"/>
        <w:spacing w:line="288" w:lineRule="auto"/>
        <w:rPr>
          <w:rFonts w:cs="Arial"/>
          <w:b/>
          <w:color w:val="232120"/>
        </w:rPr>
      </w:pPr>
    </w:p>
    <w:p w14:paraId="533E37B3" w14:textId="2C19B23A" w:rsidR="006930E1" w:rsidRDefault="006930E1" w:rsidP="00331C61">
      <w:pPr>
        <w:pStyle w:val="Default"/>
        <w:spacing w:line="288" w:lineRule="auto"/>
        <w:rPr>
          <w:rFonts w:cs="Arial"/>
          <w:b/>
          <w:color w:val="232120"/>
        </w:rPr>
      </w:pPr>
    </w:p>
    <w:p w14:paraId="70D71EF4" w14:textId="4317427F" w:rsidR="006930E1" w:rsidRDefault="006930E1" w:rsidP="00331C61">
      <w:pPr>
        <w:pStyle w:val="Default"/>
        <w:spacing w:line="288" w:lineRule="auto"/>
        <w:rPr>
          <w:rFonts w:cs="Arial"/>
          <w:b/>
          <w:color w:val="232120"/>
        </w:rPr>
      </w:pPr>
    </w:p>
    <w:p w14:paraId="6DF68DA5" w14:textId="738B97E4" w:rsidR="006930E1" w:rsidRDefault="006930E1" w:rsidP="003B7D0E">
      <w:pPr>
        <w:pStyle w:val="BasicParagraph"/>
        <w:suppressAutoHyphens/>
        <w:jc w:val="center"/>
        <w:rPr>
          <w:rFonts w:ascii="Verdana" w:hAnsi="Verdana" w:cs="Arial"/>
          <w:color w:val="3C3C3B"/>
          <w:sz w:val="20"/>
          <w:szCs w:val="20"/>
        </w:rPr>
      </w:pPr>
    </w:p>
    <w:p w14:paraId="1A71B8E3" w14:textId="77777777" w:rsidR="00705833" w:rsidRPr="00331C61" w:rsidRDefault="00705833" w:rsidP="00331C61">
      <w:pPr>
        <w:pStyle w:val="BasicParagraph"/>
        <w:suppressAutoHyphens/>
        <w:jc w:val="center"/>
        <w:rPr>
          <w:rFonts w:ascii="Verdana" w:hAnsi="Verdana" w:cs="Arial"/>
          <w:b/>
          <w:bCs/>
          <w:color w:val="77328A"/>
          <w:sz w:val="36"/>
          <w:szCs w:val="36"/>
        </w:rPr>
      </w:pPr>
      <w:r w:rsidRPr="00331C61">
        <w:rPr>
          <w:rFonts w:ascii="Verdana" w:hAnsi="Verdana" w:cs="Arial"/>
          <w:b/>
          <w:bCs/>
          <w:color w:val="77328A"/>
          <w:sz w:val="36"/>
          <w:szCs w:val="36"/>
        </w:rPr>
        <w:t>Co</w:t>
      </w:r>
      <w:r w:rsidR="0096459E">
        <w:rPr>
          <w:rFonts w:ascii="Verdana" w:hAnsi="Verdana" w:cs="Arial"/>
          <w:b/>
          <w:bCs/>
          <w:color w:val="77328A"/>
          <w:sz w:val="36"/>
          <w:szCs w:val="36"/>
        </w:rPr>
        <w:t xml:space="preserve">ntact us </w:t>
      </w:r>
    </w:p>
    <w:p w14:paraId="17CE9869" w14:textId="77777777" w:rsidR="00331C61" w:rsidRPr="00331C61" w:rsidRDefault="00331C61" w:rsidP="00331C61">
      <w:pPr>
        <w:pStyle w:val="BasicParagraph"/>
        <w:suppressAutoHyphens/>
        <w:jc w:val="center"/>
        <w:rPr>
          <w:rFonts w:ascii="Verdana" w:hAnsi="Verdana" w:cs="Arial"/>
          <w:b/>
          <w:color w:val="77328A"/>
          <w:sz w:val="36"/>
          <w:szCs w:val="36"/>
        </w:rPr>
      </w:pPr>
    </w:p>
    <w:p w14:paraId="6BB9B39B" w14:textId="77777777" w:rsidR="004672AC" w:rsidRPr="00331C61" w:rsidRDefault="007836A4" w:rsidP="003B7D0E">
      <w:pPr>
        <w:spacing w:line="288" w:lineRule="auto"/>
        <w:jc w:val="center"/>
        <w:rPr>
          <w:rFonts w:ascii="Verdana" w:hAnsi="Verdana" w:cs="Arial"/>
          <w:b/>
          <w:color w:val="232120"/>
          <w:sz w:val="30"/>
          <w:szCs w:val="30"/>
        </w:rPr>
      </w:pPr>
      <w:r>
        <w:rPr>
          <w:rFonts w:ascii="Verdana" w:hAnsi="Verdana" w:cs="Arial"/>
          <w:b/>
          <w:color w:val="232120"/>
          <w:sz w:val="30"/>
          <w:szCs w:val="30"/>
        </w:rPr>
        <w:t>Rhyannon Blythe – Director of Legal, Policy, Research and Investigations</w:t>
      </w:r>
    </w:p>
    <w:p w14:paraId="4E2C3BBE" w14:textId="77777777" w:rsidR="00331C61" w:rsidRPr="00331C61" w:rsidRDefault="00331C61" w:rsidP="003B7D0E">
      <w:pPr>
        <w:spacing w:line="288" w:lineRule="auto"/>
        <w:jc w:val="center"/>
        <w:rPr>
          <w:rFonts w:ascii="Verdana" w:hAnsi="Verdana" w:cs="Arial"/>
          <w:b/>
          <w:color w:val="232120"/>
          <w:sz w:val="30"/>
          <w:szCs w:val="30"/>
        </w:rPr>
      </w:pPr>
    </w:p>
    <w:p w14:paraId="11FCBA5F" w14:textId="77777777" w:rsidR="00331C61" w:rsidRPr="00331C61" w:rsidRDefault="00331C61" w:rsidP="003B7D0E">
      <w:pPr>
        <w:spacing w:line="288" w:lineRule="auto"/>
        <w:jc w:val="center"/>
        <w:rPr>
          <w:rFonts w:ascii="Verdana" w:hAnsi="Verdana" w:cs="Arial"/>
          <w:b/>
          <w:color w:val="232120"/>
          <w:sz w:val="30"/>
          <w:szCs w:val="30"/>
        </w:rPr>
      </w:pPr>
    </w:p>
    <w:p w14:paraId="278699E4" w14:textId="77777777" w:rsidR="00331C61" w:rsidRPr="00331C61" w:rsidRDefault="00FB4EB6" w:rsidP="00331C61">
      <w:pPr>
        <w:spacing w:line="288" w:lineRule="auto"/>
        <w:jc w:val="center"/>
        <w:rPr>
          <w:rFonts w:ascii="Verdana" w:hAnsi="Verdana" w:cs="Arial"/>
          <w:color w:val="232120"/>
          <w:sz w:val="28"/>
          <w:szCs w:val="28"/>
        </w:rPr>
      </w:pPr>
      <w:hyperlink r:id="rId9" w:history="1">
        <w:r w:rsidR="00331C61" w:rsidRPr="00331C61">
          <w:rPr>
            <w:rStyle w:val="Hyperlink"/>
            <w:rFonts w:ascii="Verdana" w:hAnsi="Verdana" w:cs="Arial"/>
            <w:color w:val="232120"/>
            <w:sz w:val="28"/>
            <w:szCs w:val="28"/>
            <w:u w:val="none"/>
            <w:lang w:val="en-US"/>
          </w:rPr>
          <w:t>www.nihrc.org</w:t>
        </w:r>
      </w:hyperlink>
      <w:r w:rsidR="00331C61" w:rsidRPr="00331C61">
        <w:rPr>
          <w:rFonts w:ascii="Verdana" w:hAnsi="Verdana" w:cs="Arial"/>
          <w:color w:val="232120"/>
          <w:sz w:val="28"/>
          <w:szCs w:val="28"/>
          <w:lang w:val="en-US"/>
        </w:rPr>
        <w:t xml:space="preserve">  |  </w:t>
      </w:r>
      <w:hyperlink r:id="rId10" w:history="1">
        <w:r w:rsidR="00331C61" w:rsidRPr="00331C61">
          <w:rPr>
            <w:rStyle w:val="Hyperlink"/>
            <w:rFonts w:ascii="Verdana" w:hAnsi="Verdana" w:cs="Arial"/>
            <w:color w:val="232120"/>
            <w:sz w:val="28"/>
            <w:szCs w:val="28"/>
            <w:u w:val="none"/>
            <w:lang w:val="en-US"/>
          </w:rPr>
          <w:t>info@nihrc.org</w:t>
        </w:r>
      </w:hyperlink>
      <w:r w:rsidR="00331C61" w:rsidRPr="00331C61">
        <w:rPr>
          <w:rFonts w:ascii="Verdana" w:hAnsi="Verdana" w:cs="Arial"/>
          <w:color w:val="232120"/>
          <w:sz w:val="28"/>
          <w:szCs w:val="28"/>
          <w:lang w:val="en-US"/>
        </w:rPr>
        <w:t xml:space="preserve">  |  +44 (0)28 9024 3987</w:t>
      </w:r>
    </w:p>
    <w:p w14:paraId="71CA8F53" w14:textId="77777777" w:rsidR="00F56C78" w:rsidRPr="00331C61" w:rsidRDefault="00D16532" w:rsidP="00331C61">
      <w:pPr>
        <w:spacing w:line="288" w:lineRule="auto"/>
        <w:jc w:val="center"/>
        <w:rPr>
          <w:rFonts w:ascii="Verdana" w:hAnsi="Verdana" w:cs="Arial"/>
          <w:color w:val="232120"/>
          <w:sz w:val="28"/>
          <w:szCs w:val="28"/>
        </w:rPr>
      </w:pPr>
      <w:r>
        <w:rPr>
          <w:rFonts w:ascii="Verdana" w:hAnsi="Verdana" w:cs="Arial"/>
          <w:color w:val="232120"/>
          <w:sz w:val="28"/>
          <w:szCs w:val="28"/>
          <w:lang w:val="en-US"/>
        </w:rPr>
        <w:t>4</w:t>
      </w:r>
      <w:r w:rsidRPr="00D16532">
        <w:rPr>
          <w:rFonts w:ascii="Verdana" w:hAnsi="Verdana" w:cs="Arial"/>
          <w:color w:val="232120"/>
          <w:sz w:val="28"/>
          <w:szCs w:val="28"/>
          <w:vertAlign w:val="superscript"/>
          <w:lang w:val="en-US"/>
        </w:rPr>
        <w:t>th</w:t>
      </w:r>
      <w:r>
        <w:rPr>
          <w:rFonts w:ascii="Verdana" w:hAnsi="Verdana" w:cs="Arial"/>
          <w:color w:val="232120"/>
          <w:sz w:val="28"/>
          <w:szCs w:val="28"/>
          <w:lang w:val="en-US"/>
        </w:rPr>
        <w:t xml:space="preserve"> Floor, Alfred House, 19-21 Alfred Street, Belfast, BT2 8ED</w:t>
      </w:r>
    </w:p>
    <w:p w14:paraId="02E958A5" w14:textId="77777777" w:rsidR="00F56C78" w:rsidRPr="00331C61" w:rsidRDefault="00F56C78" w:rsidP="003B7D0E">
      <w:pPr>
        <w:spacing w:line="288" w:lineRule="auto"/>
        <w:jc w:val="center"/>
        <w:rPr>
          <w:rFonts w:ascii="Verdana" w:hAnsi="Verdana" w:cs="Arial"/>
          <w:b/>
          <w:color w:val="232120"/>
          <w:sz w:val="28"/>
          <w:szCs w:val="28"/>
        </w:rPr>
      </w:pPr>
    </w:p>
    <w:p w14:paraId="4CFA5E39" w14:textId="77777777" w:rsidR="00F56C78" w:rsidRPr="00331C61" w:rsidRDefault="00F56C78" w:rsidP="003B7D0E">
      <w:pPr>
        <w:spacing w:line="288" w:lineRule="auto"/>
        <w:jc w:val="center"/>
        <w:rPr>
          <w:rFonts w:ascii="Verdana" w:hAnsi="Verdana" w:cs="Arial"/>
          <w:color w:val="232120"/>
          <w:sz w:val="20"/>
          <w:szCs w:val="20"/>
        </w:rPr>
      </w:pPr>
    </w:p>
    <w:p w14:paraId="3BFD97F6" w14:textId="77777777" w:rsidR="00705833" w:rsidRPr="00331C61" w:rsidRDefault="00F56C78" w:rsidP="003B7D0E">
      <w:pPr>
        <w:pStyle w:val="BasicParagraph"/>
        <w:suppressAutoHyphens/>
        <w:spacing w:line="240" w:lineRule="auto"/>
        <w:jc w:val="center"/>
        <w:rPr>
          <w:rFonts w:ascii="Verdana" w:hAnsi="Verdana" w:cs="Arial"/>
          <w:color w:val="232120"/>
          <w:sz w:val="28"/>
          <w:szCs w:val="28"/>
        </w:rPr>
      </w:pPr>
      <w:r w:rsidRPr="00331C61">
        <w:rPr>
          <w:rFonts w:ascii="Verdana" w:hAnsi="Verdana" w:cs="Arial"/>
          <w:noProof/>
          <w:color w:val="232120"/>
          <w:sz w:val="28"/>
          <w:szCs w:val="28"/>
          <w:lang w:eastAsia="en-GB"/>
        </w:rPr>
        <w:drawing>
          <wp:inline distT="0" distB="0" distL="0" distR="0" wp14:anchorId="648F6110" wp14:editId="6B8B844B">
            <wp:extent cx="1515406" cy="274540"/>
            <wp:effectExtent l="0" t="0" r="8890" b="508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sectPr w:rsidR="00705833" w:rsidRPr="00331C61" w:rsidSect="003B7D0E">
      <w:footerReference w:type="default" r:id="rId12"/>
      <w:footerReference w:type="first" r:id="rId13"/>
      <w:pgSz w:w="11900" w:h="16820"/>
      <w:pgMar w:top="1021" w:right="1021" w:bottom="1021" w:left="1021" w:header="1021"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60059" w14:textId="77777777" w:rsidR="00397562" w:rsidRDefault="00397562" w:rsidP="00962B2B">
      <w:r>
        <w:separator/>
      </w:r>
    </w:p>
  </w:endnote>
  <w:endnote w:type="continuationSeparator" w:id="0">
    <w:p w14:paraId="3A9486AA" w14:textId="77777777" w:rsidR="00397562" w:rsidRDefault="00397562" w:rsidP="00962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1720A" w14:textId="77777777" w:rsidR="00D2770F" w:rsidRDefault="00D2770F" w:rsidP="00656ECD">
    <w:pPr>
      <w:pStyle w:val="Footer"/>
      <w:jc w:val="right"/>
      <w:rPr>
        <w:rStyle w:val="PageNumber"/>
        <w:rFonts w:ascii="Arial" w:hAnsi="Arial" w:cs="Arial"/>
        <w:b/>
        <w:sz w:val="16"/>
        <w:szCs w:val="16"/>
      </w:rPr>
    </w:pPr>
  </w:p>
  <w:p w14:paraId="7160DBD2" w14:textId="01376CBD" w:rsidR="00D2770F" w:rsidRPr="007569C1" w:rsidRDefault="00D2770F" w:rsidP="00656ECD">
    <w:pPr>
      <w:pStyle w:val="Footer"/>
      <w:jc w:val="right"/>
      <w:rPr>
        <w:rFonts w:ascii="Arial" w:hAnsi="Arial" w:cs="Arial"/>
        <w:b/>
        <w:color w:val="77328A"/>
        <w:sz w:val="16"/>
        <w:szCs w:val="16"/>
      </w:rPr>
    </w:pPr>
    <w:r w:rsidRPr="007569C1">
      <w:rPr>
        <w:rStyle w:val="PageNumber"/>
        <w:rFonts w:ascii="Arial" w:hAnsi="Arial" w:cs="Arial"/>
        <w:b/>
        <w:color w:val="77328A"/>
        <w:sz w:val="16"/>
        <w:szCs w:val="16"/>
      </w:rPr>
      <w:fldChar w:fldCharType="begin"/>
    </w:r>
    <w:r w:rsidRPr="007569C1">
      <w:rPr>
        <w:rStyle w:val="PageNumber"/>
        <w:rFonts w:ascii="Arial" w:hAnsi="Arial" w:cs="Arial"/>
        <w:b/>
        <w:color w:val="77328A"/>
        <w:sz w:val="16"/>
        <w:szCs w:val="16"/>
      </w:rPr>
      <w:instrText xml:space="preserve"> PAGE </w:instrText>
    </w:r>
    <w:r w:rsidRPr="007569C1">
      <w:rPr>
        <w:rStyle w:val="PageNumber"/>
        <w:rFonts w:ascii="Arial" w:hAnsi="Arial" w:cs="Arial"/>
        <w:b/>
        <w:color w:val="77328A"/>
        <w:sz w:val="16"/>
        <w:szCs w:val="16"/>
      </w:rPr>
      <w:fldChar w:fldCharType="separate"/>
    </w:r>
    <w:r w:rsidR="007E3CE8">
      <w:rPr>
        <w:rStyle w:val="PageNumber"/>
        <w:rFonts w:ascii="Arial" w:hAnsi="Arial" w:cs="Arial"/>
        <w:b/>
        <w:noProof/>
        <w:color w:val="77328A"/>
        <w:sz w:val="16"/>
        <w:szCs w:val="16"/>
      </w:rPr>
      <w:t>3</w:t>
    </w:r>
    <w:r w:rsidRPr="007569C1">
      <w:rPr>
        <w:rStyle w:val="PageNumber"/>
        <w:rFonts w:ascii="Arial" w:hAnsi="Arial" w:cs="Arial"/>
        <w:b/>
        <w:color w:val="77328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9CA6A" w14:textId="77777777" w:rsidR="00D2770F" w:rsidRDefault="00D2770F" w:rsidP="00046705">
    <w:pPr>
      <w:pStyle w:val="Footer"/>
      <w:jc w:val="right"/>
      <w:rPr>
        <w:rStyle w:val="PageNumber"/>
        <w:rFonts w:ascii="Arial" w:hAnsi="Arial" w:cs="Arial"/>
        <w:b/>
        <w:sz w:val="16"/>
        <w:szCs w:val="16"/>
      </w:rPr>
    </w:pPr>
  </w:p>
  <w:p w14:paraId="1E6746BC" w14:textId="77777777" w:rsidR="00D2770F" w:rsidRPr="00D12EF8" w:rsidRDefault="00D2770F" w:rsidP="00046705">
    <w:pPr>
      <w:pStyle w:val="Footer"/>
      <w:jc w:val="right"/>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08CAF" w14:textId="77777777" w:rsidR="00397562" w:rsidRDefault="00397562" w:rsidP="00B96D34">
      <w:r>
        <w:continuationSeparator/>
      </w:r>
    </w:p>
    <w:p w14:paraId="0BE1DE55" w14:textId="77777777" w:rsidR="00397562" w:rsidRPr="00B96D34" w:rsidRDefault="00397562" w:rsidP="00B96D34">
      <w:pPr>
        <w:pStyle w:val="Footer"/>
      </w:pPr>
    </w:p>
  </w:footnote>
  <w:footnote w:type="continuationSeparator" w:id="0">
    <w:p w14:paraId="735A7A07" w14:textId="77777777" w:rsidR="00397562" w:rsidRDefault="00397562" w:rsidP="00962B2B">
      <w:r>
        <w:continuationSeparator/>
      </w:r>
    </w:p>
  </w:footnote>
  <w:footnote w:type="continuationNotice" w:id="1">
    <w:p w14:paraId="661F7A0D" w14:textId="77777777" w:rsidR="00397562" w:rsidRDefault="00397562"/>
  </w:footnote>
  <w:footnote w:id="2">
    <w:p w14:paraId="7B7B0C8F" w14:textId="77777777" w:rsidR="0067610A" w:rsidRPr="00F8754A" w:rsidRDefault="0067610A" w:rsidP="0067610A">
      <w:pPr>
        <w:pStyle w:val="FootnoteText"/>
        <w:rPr>
          <w:rFonts w:ascii="Verdana" w:hAnsi="Verdana" w:cs="Times New Roman"/>
          <w:color w:val="7030A0"/>
          <w:sz w:val="16"/>
          <w:szCs w:val="16"/>
        </w:rPr>
      </w:pPr>
      <w:r w:rsidRPr="00F8754A">
        <w:rPr>
          <w:rStyle w:val="FootnoteReference"/>
          <w:rFonts w:ascii="Verdana" w:hAnsi="Verdana"/>
          <w:color w:val="7030A0"/>
          <w:sz w:val="16"/>
          <w:szCs w:val="16"/>
        </w:rPr>
        <w:footnoteRef/>
      </w:r>
      <w:r w:rsidRPr="00F8754A">
        <w:rPr>
          <w:rFonts w:ascii="Verdana" w:hAnsi="Verdana"/>
          <w:color w:val="7030A0"/>
          <w:sz w:val="16"/>
          <w:szCs w:val="16"/>
        </w:rPr>
        <w:t xml:space="preserve"> Ratified by the UK 1951. Further guidance is also taken from the body of case law from the European Court of Human</w:t>
      </w:r>
    </w:p>
    <w:p w14:paraId="3A9DB865" w14:textId="77777777" w:rsidR="0067610A" w:rsidRPr="00F8754A" w:rsidRDefault="0067610A" w:rsidP="0067610A">
      <w:pPr>
        <w:pStyle w:val="FootnoteText"/>
        <w:rPr>
          <w:rFonts w:ascii="Verdana" w:hAnsi="Verdana"/>
          <w:color w:val="7030A0"/>
          <w:sz w:val="16"/>
          <w:szCs w:val="16"/>
        </w:rPr>
      </w:pPr>
      <w:r w:rsidRPr="00F8754A">
        <w:rPr>
          <w:rFonts w:ascii="Verdana" w:hAnsi="Verdana"/>
          <w:color w:val="7030A0"/>
          <w:sz w:val="16"/>
          <w:szCs w:val="16"/>
        </w:rPr>
        <w:t>Rights (ECtHR).</w:t>
      </w:r>
      <w:r w:rsidR="00173AF1" w:rsidRPr="00F8754A">
        <w:rPr>
          <w:rFonts w:ascii="Verdana" w:hAnsi="Verdana"/>
          <w:color w:val="7030A0"/>
          <w:sz w:val="16"/>
          <w:szCs w:val="16"/>
        </w:rPr>
        <w:t xml:space="preserve"> </w:t>
      </w:r>
    </w:p>
  </w:footnote>
  <w:footnote w:id="3">
    <w:p w14:paraId="4FB7CAA4" w14:textId="5024A791" w:rsidR="00BB4526" w:rsidRPr="00E66856" w:rsidRDefault="00BB4526">
      <w:pPr>
        <w:pStyle w:val="FootnoteText"/>
        <w:rPr>
          <w:rFonts w:ascii="Verdana" w:hAnsi="Verdana"/>
          <w:color w:val="7030A0"/>
          <w:sz w:val="16"/>
          <w:szCs w:val="16"/>
        </w:rPr>
      </w:pPr>
      <w:r w:rsidRPr="00E66856">
        <w:rPr>
          <w:rStyle w:val="FootnoteReference"/>
          <w:rFonts w:ascii="Verdana" w:hAnsi="Verdana"/>
          <w:color w:val="7030A0"/>
          <w:sz w:val="16"/>
          <w:szCs w:val="16"/>
        </w:rPr>
        <w:footnoteRef/>
      </w:r>
      <w:r w:rsidRPr="00E66856">
        <w:rPr>
          <w:rFonts w:ascii="Verdana" w:hAnsi="Verdana"/>
          <w:color w:val="7030A0"/>
          <w:sz w:val="16"/>
          <w:szCs w:val="16"/>
        </w:rPr>
        <w:t xml:space="preserve"> </w:t>
      </w:r>
      <w:r w:rsidR="00B81F29" w:rsidRPr="00E66856">
        <w:rPr>
          <w:rFonts w:ascii="Verdana" w:hAnsi="Verdana"/>
          <w:color w:val="7030A0"/>
          <w:sz w:val="16"/>
          <w:szCs w:val="16"/>
        </w:rPr>
        <w:t xml:space="preserve">Ratified by the UK </w:t>
      </w:r>
      <w:r w:rsidR="006930E1" w:rsidRPr="00F8754A">
        <w:rPr>
          <w:rFonts w:ascii="Verdana" w:hAnsi="Verdana"/>
          <w:color w:val="7030A0"/>
          <w:sz w:val="16"/>
          <w:szCs w:val="16"/>
        </w:rPr>
        <w:t xml:space="preserve">1976. </w:t>
      </w:r>
    </w:p>
  </w:footnote>
  <w:footnote w:id="4">
    <w:p w14:paraId="58E5C826" w14:textId="77777777" w:rsidR="0067610A" w:rsidRPr="00F8754A" w:rsidRDefault="0067610A" w:rsidP="0067610A">
      <w:pPr>
        <w:pStyle w:val="FootnoteText"/>
        <w:rPr>
          <w:rFonts w:ascii="Verdana" w:hAnsi="Verdana"/>
          <w:color w:val="7030A0"/>
          <w:sz w:val="16"/>
          <w:szCs w:val="16"/>
        </w:rPr>
      </w:pPr>
      <w:r w:rsidRPr="00F8754A">
        <w:rPr>
          <w:rStyle w:val="FootnoteReference"/>
          <w:rFonts w:ascii="Verdana" w:hAnsi="Verdana"/>
          <w:color w:val="7030A0"/>
          <w:sz w:val="16"/>
          <w:szCs w:val="16"/>
        </w:rPr>
        <w:footnoteRef/>
      </w:r>
      <w:r w:rsidRPr="00F8754A">
        <w:rPr>
          <w:rFonts w:ascii="Verdana" w:hAnsi="Verdana"/>
          <w:color w:val="7030A0"/>
          <w:sz w:val="16"/>
          <w:szCs w:val="16"/>
        </w:rPr>
        <w:t xml:space="preserve"> Ratified by the UK 1986.</w:t>
      </w:r>
    </w:p>
  </w:footnote>
  <w:footnote w:id="5">
    <w:p w14:paraId="023C3A17" w14:textId="77777777" w:rsidR="0067610A" w:rsidRPr="00F8754A" w:rsidRDefault="0067610A" w:rsidP="0067610A">
      <w:pPr>
        <w:pStyle w:val="FootnoteText"/>
        <w:rPr>
          <w:rFonts w:ascii="Verdana" w:hAnsi="Verdana"/>
          <w:color w:val="7030A0"/>
          <w:sz w:val="16"/>
          <w:szCs w:val="16"/>
        </w:rPr>
      </w:pPr>
      <w:r w:rsidRPr="00F8754A">
        <w:rPr>
          <w:rStyle w:val="FootnoteReference"/>
          <w:rFonts w:ascii="Verdana" w:hAnsi="Verdana"/>
          <w:color w:val="7030A0"/>
          <w:sz w:val="16"/>
          <w:szCs w:val="16"/>
        </w:rPr>
        <w:footnoteRef/>
      </w:r>
      <w:r w:rsidRPr="00F8754A">
        <w:rPr>
          <w:rFonts w:ascii="Verdana" w:hAnsi="Verdana"/>
          <w:color w:val="7030A0"/>
          <w:sz w:val="16"/>
          <w:szCs w:val="16"/>
        </w:rPr>
        <w:t xml:space="preserve"> CEDAW/C/GBR/CO/8, ‘UN CEDAW Committee Concluding Observations on the UK Eighth Periodic Report’, 8 March 2019.</w:t>
      </w:r>
    </w:p>
  </w:footnote>
  <w:footnote w:id="6">
    <w:p w14:paraId="5B8D477D" w14:textId="0570EE9B" w:rsidR="0067610A" w:rsidRPr="006549A6" w:rsidRDefault="0067610A" w:rsidP="0067610A">
      <w:pPr>
        <w:pStyle w:val="FootnoteText"/>
        <w:rPr>
          <w:rFonts w:ascii="Verdana" w:hAnsi="Verdana"/>
          <w:color w:val="7030A0"/>
          <w:sz w:val="16"/>
          <w:szCs w:val="16"/>
        </w:rPr>
      </w:pPr>
      <w:r w:rsidRPr="00F8754A">
        <w:rPr>
          <w:rStyle w:val="FootnoteReference"/>
          <w:rFonts w:ascii="Verdana" w:hAnsi="Verdana"/>
          <w:color w:val="7030A0"/>
          <w:sz w:val="16"/>
          <w:szCs w:val="16"/>
        </w:rPr>
        <w:footnoteRef/>
      </w:r>
      <w:r w:rsidRPr="00F8754A">
        <w:rPr>
          <w:rFonts w:ascii="Verdana" w:hAnsi="Verdana"/>
          <w:color w:val="7030A0"/>
          <w:sz w:val="16"/>
          <w:szCs w:val="16"/>
        </w:rPr>
        <w:t xml:space="preserve"> </w:t>
      </w:r>
      <w:r w:rsidR="00356DB5" w:rsidRPr="00F8754A">
        <w:rPr>
          <w:rFonts w:ascii="Verdana" w:hAnsi="Verdana"/>
          <w:color w:val="7030A0"/>
          <w:sz w:val="16"/>
          <w:szCs w:val="16"/>
        </w:rPr>
        <w:t xml:space="preserve">E/C.12/GC/23, ‘UN ICESCR Committee General comment No. 23: On the Right to Just and Favourable Conditions of Work’, 27 April 2016. </w:t>
      </w:r>
    </w:p>
  </w:footnote>
  <w:footnote w:id="7">
    <w:p w14:paraId="55A88149" w14:textId="35D6E1D7" w:rsidR="003D3B82" w:rsidRPr="003622A2" w:rsidRDefault="003D3B82">
      <w:pPr>
        <w:pStyle w:val="FootnoteText"/>
        <w:rPr>
          <w:rFonts w:ascii="Verdana" w:hAnsi="Verdana"/>
          <w:color w:val="7030A0"/>
          <w:sz w:val="16"/>
          <w:szCs w:val="16"/>
        </w:rPr>
      </w:pPr>
      <w:r w:rsidRPr="003622A2">
        <w:rPr>
          <w:rStyle w:val="FootnoteReference"/>
          <w:rFonts w:ascii="Verdana" w:hAnsi="Verdana"/>
          <w:color w:val="7030A0"/>
          <w:sz w:val="16"/>
          <w:szCs w:val="16"/>
        </w:rPr>
        <w:footnoteRef/>
      </w:r>
      <w:r w:rsidRPr="003622A2">
        <w:rPr>
          <w:rFonts w:ascii="Verdana" w:hAnsi="Verdana"/>
          <w:color w:val="7030A0"/>
          <w:sz w:val="16"/>
          <w:szCs w:val="16"/>
        </w:rPr>
        <w:t xml:space="preserve"> Directive 2006/54/EC</w:t>
      </w:r>
    </w:p>
  </w:footnote>
  <w:footnote w:id="8">
    <w:p w14:paraId="6024BB2E" w14:textId="269EA1D9" w:rsidR="003D3B82" w:rsidRPr="003622A2" w:rsidRDefault="003D3B82">
      <w:pPr>
        <w:pStyle w:val="FootnoteText"/>
        <w:rPr>
          <w:rFonts w:ascii="Verdana" w:hAnsi="Verdana"/>
          <w:color w:val="7030A0"/>
          <w:sz w:val="16"/>
          <w:szCs w:val="16"/>
        </w:rPr>
      </w:pPr>
      <w:r w:rsidRPr="003622A2">
        <w:rPr>
          <w:rStyle w:val="FootnoteReference"/>
          <w:rFonts w:ascii="Verdana" w:hAnsi="Verdana"/>
          <w:color w:val="7030A0"/>
          <w:sz w:val="16"/>
          <w:szCs w:val="16"/>
        </w:rPr>
        <w:footnoteRef/>
      </w:r>
      <w:r w:rsidRPr="003622A2">
        <w:rPr>
          <w:rFonts w:ascii="Verdana" w:hAnsi="Verdana"/>
          <w:color w:val="7030A0"/>
          <w:sz w:val="16"/>
          <w:szCs w:val="16"/>
        </w:rPr>
        <w:t xml:space="preserve"> Directive 2004/113/EC</w:t>
      </w:r>
    </w:p>
  </w:footnote>
  <w:footnote w:id="9">
    <w:p w14:paraId="5F0BEBF2" w14:textId="12A3CF2E" w:rsidR="003D3B82" w:rsidRDefault="003D3B82">
      <w:pPr>
        <w:pStyle w:val="FootnoteText"/>
      </w:pPr>
      <w:r w:rsidRPr="003622A2">
        <w:rPr>
          <w:rStyle w:val="FootnoteReference"/>
          <w:rFonts w:ascii="Verdana" w:hAnsi="Verdana"/>
          <w:color w:val="7030A0"/>
          <w:sz w:val="16"/>
          <w:szCs w:val="16"/>
        </w:rPr>
        <w:footnoteRef/>
      </w:r>
      <w:r w:rsidRPr="003622A2">
        <w:rPr>
          <w:rFonts w:ascii="Verdana" w:hAnsi="Verdana"/>
          <w:color w:val="7030A0"/>
          <w:sz w:val="16"/>
          <w:szCs w:val="16"/>
        </w:rPr>
        <w:t xml:space="preserve"> Directive 79/7/EEC</w:t>
      </w:r>
    </w:p>
  </w:footnote>
  <w:footnote w:id="10">
    <w:p w14:paraId="2296D24F" w14:textId="124C188E" w:rsidR="00B333B0" w:rsidRPr="00E66856" w:rsidRDefault="00B333B0" w:rsidP="006930E1">
      <w:pPr>
        <w:pStyle w:val="FootnoteText"/>
        <w:rPr>
          <w:rFonts w:ascii="Verdana" w:hAnsi="Verdana"/>
          <w:sz w:val="16"/>
          <w:szCs w:val="16"/>
        </w:rPr>
      </w:pPr>
      <w:r w:rsidRPr="00E66856">
        <w:rPr>
          <w:rStyle w:val="FootnoteReference"/>
          <w:rFonts w:ascii="Verdana" w:hAnsi="Verdana"/>
          <w:color w:val="7030A0"/>
          <w:sz w:val="16"/>
          <w:szCs w:val="16"/>
        </w:rPr>
        <w:footnoteRef/>
      </w:r>
      <w:r w:rsidRPr="00E66856">
        <w:rPr>
          <w:rFonts w:ascii="Verdana" w:hAnsi="Verdana"/>
          <w:color w:val="7030A0"/>
          <w:sz w:val="16"/>
          <w:szCs w:val="16"/>
        </w:rPr>
        <w:t xml:space="preserve"> </w:t>
      </w:r>
      <w:r w:rsidR="006930E1" w:rsidRPr="00E66856">
        <w:rPr>
          <w:rFonts w:ascii="Verdana" w:hAnsi="Verdana"/>
          <w:color w:val="7030A0"/>
          <w:sz w:val="16"/>
          <w:szCs w:val="16"/>
        </w:rPr>
        <w:t>NI Assembly, Executive Committee Business</w:t>
      </w:r>
      <w:r w:rsidR="00D37281" w:rsidRPr="00E66856">
        <w:rPr>
          <w:rFonts w:ascii="Verdana" w:hAnsi="Verdana"/>
          <w:color w:val="7030A0"/>
          <w:sz w:val="16"/>
          <w:szCs w:val="16"/>
        </w:rPr>
        <w:t xml:space="preserve"> </w:t>
      </w:r>
      <w:r w:rsidR="006930E1" w:rsidRPr="00E66856">
        <w:rPr>
          <w:rFonts w:ascii="Verdana" w:hAnsi="Verdana"/>
          <w:color w:val="7030A0"/>
          <w:sz w:val="16"/>
          <w:szCs w:val="16"/>
        </w:rPr>
        <w:t>Second Stage: Parental Bereavement (Leave and Pay) Bill (NIA Bill 22/17-22)</w:t>
      </w:r>
      <w:r w:rsidR="00D37281" w:rsidRPr="00E66856">
        <w:rPr>
          <w:rFonts w:ascii="Verdana" w:hAnsi="Verdana"/>
          <w:color w:val="7030A0"/>
          <w:sz w:val="16"/>
          <w:szCs w:val="16"/>
        </w:rPr>
        <w:t xml:space="preserve"> </w:t>
      </w:r>
      <w:r w:rsidR="006930E1" w:rsidRPr="00E66856">
        <w:rPr>
          <w:rFonts w:ascii="Verdana" w:hAnsi="Verdana"/>
          <w:color w:val="7030A0"/>
          <w:sz w:val="16"/>
          <w:szCs w:val="16"/>
        </w:rPr>
        <w:t xml:space="preserve">Available at: </w:t>
      </w:r>
      <w:hyperlink r:id="rId1" w:anchor="3521114" w:history="1">
        <w:r w:rsidR="006930E1" w:rsidRPr="00E66856">
          <w:rPr>
            <w:rStyle w:val="Hyperlink"/>
            <w:rFonts w:ascii="Verdana" w:hAnsi="Verdana"/>
            <w:color w:val="7030A0"/>
            <w:sz w:val="16"/>
            <w:szCs w:val="16"/>
          </w:rPr>
          <w:t>http://aims.niassembly.gov.uk/officialreport/report.aspx?&amp;eveDate=2021/06/14&amp;docID=341073#3521114</w:t>
        </w:r>
      </w:hyperlink>
      <w:r w:rsidR="006930E1" w:rsidRPr="00E66856">
        <w:rPr>
          <w:rFonts w:ascii="Verdana" w:hAnsi="Verdana"/>
          <w:color w:val="7030A0"/>
          <w:sz w:val="16"/>
          <w:szCs w:val="16"/>
        </w:rPr>
        <w:t xml:space="preserve"> </w:t>
      </w:r>
    </w:p>
  </w:footnote>
  <w:footnote w:id="11">
    <w:p w14:paraId="55FC7D06" w14:textId="73411EE2" w:rsidR="005230E2" w:rsidRPr="00E66856" w:rsidRDefault="005230E2" w:rsidP="00D94A78">
      <w:pPr>
        <w:pStyle w:val="FootnoteText"/>
        <w:rPr>
          <w:rFonts w:ascii="Verdana" w:hAnsi="Verdana"/>
          <w:color w:val="7030A0"/>
          <w:sz w:val="16"/>
          <w:szCs w:val="16"/>
        </w:rPr>
      </w:pPr>
      <w:r w:rsidRPr="00E66856">
        <w:rPr>
          <w:rStyle w:val="FootnoteReference"/>
          <w:rFonts w:ascii="Verdana" w:hAnsi="Verdana"/>
          <w:color w:val="7030A0"/>
          <w:sz w:val="16"/>
          <w:szCs w:val="16"/>
        </w:rPr>
        <w:footnoteRef/>
      </w:r>
      <w:r w:rsidRPr="00E66856">
        <w:rPr>
          <w:rFonts w:ascii="Verdana" w:hAnsi="Verdana"/>
          <w:color w:val="7030A0"/>
          <w:sz w:val="16"/>
          <w:szCs w:val="16"/>
        </w:rPr>
        <w:t xml:space="preserve"> </w:t>
      </w:r>
      <w:r w:rsidR="00D94A78" w:rsidRPr="00E66856">
        <w:rPr>
          <w:rFonts w:ascii="Verdana" w:hAnsi="Verdana"/>
          <w:color w:val="7030A0"/>
          <w:sz w:val="16"/>
          <w:szCs w:val="16"/>
        </w:rPr>
        <w:t xml:space="preserve">E/C.12/GBR/CO/6, </w:t>
      </w:r>
      <w:r w:rsidR="00A930BF" w:rsidRPr="00E66856">
        <w:rPr>
          <w:rFonts w:ascii="Verdana" w:hAnsi="Verdana"/>
          <w:color w:val="7030A0"/>
          <w:sz w:val="16"/>
          <w:szCs w:val="16"/>
        </w:rPr>
        <w:t>‘UN ICESCR Committee Concluding O</w:t>
      </w:r>
      <w:r w:rsidR="00D94A78" w:rsidRPr="00E66856">
        <w:rPr>
          <w:rFonts w:ascii="Verdana" w:hAnsi="Verdana"/>
          <w:color w:val="7030A0"/>
          <w:sz w:val="16"/>
          <w:szCs w:val="16"/>
        </w:rPr>
        <w:t xml:space="preserve">bservations on the </w:t>
      </w:r>
      <w:r w:rsidR="00A930BF" w:rsidRPr="00E66856">
        <w:rPr>
          <w:rFonts w:ascii="Verdana" w:hAnsi="Verdana"/>
          <w:color w:val="7030A0"/>
          <w:sz w:val="16"/>
          <w:szCs w:val="16"/>
        </w:rPr>
        <w:t>UK Sixth Periodic Report’</w:t>
      </w:r>
      <w:r w:rsidR="00D94A78" w:rsidRPr="00E66856">
        <w:rPr>
          <w:rFonts w:ascii="Verdana" w:hAnsi="Verdana"/>
          <w:color w:val="7030A0"/>
          <w:sz w:val="16"/>
          <w:szCs w:val="16"/>
        </w:rPr>
        <w:t>, 16 July 2016</w:t>
      </w:r>
      <w:r w:rsidR="00A930BF" w:rsidRPr="00E66856">
        <w:rPr>
          <w:rFonts w:ascii="Verdana" w:hAnsi="Verdana"/>
          <w:color w:val="7030A0"/>
          <w:sz w:val="16"/>
          <w:szCs w:val="16"/>
        </w:rPr>
        <w:t xml:space="preserve"> at para 31</w:t>
      </w:r>
      <w:r w:rsidR="00D94A78" w:rsidRPr="00E66856">
        <w:rPr>
          <w:rFonts w:ascii="Verdana" w:hAnsi="Verdana"/>
          <w:color w:val="7030A0"/>
          <w:sz w:val="16"/>
          <w:szCs w:val="16"/>
        </w:rPr>
        <w:t xml:space="preserve">. </w:t>
      </w:r>
    </w:p>
  </w:footnote>
  <w:footnote w:id="12">
    <w:p w14:paraId="52552E43" w14:textId="4BE4722A" w:rsidR="00BB1633" w:rsidRPr="000A1BB2" w:rsidRDefault="00BB1633">
      <w:pPr>
        <w:pStyle w:val="FootnoteText"/>
        <w:rPr>
          <w:sz w:val="16"/>
          <w:szCs w:val="16"/>
        </w:rPr>
      </w:pPr>
      <w:r w:rsidRPr="00E66856">
        <w:rPr>
          <w:rStyle w:val="FootnoteReference"/>
          <w:rFonts w:ascii="Verdana" w:hAnsi="Verdana"/>
          <w:color w:val="7030A0"/>
          <w:sz w:val="16"/>
          <w:szCs w:val="16"/>
        </w:rPr>
        <w:footnoteRef/>
      </w:r>
      <w:r w:rsidRPr="00E66856">
        <w:rPr>
          <w:rFonts w:ascii="Verdana" w:hAnsi="Verdana"/>
          <w:color w:val="7030A0"/>
          <w:sz w:val="16"/>
          <w:szCs w:val="16"/>
        </w:rPr>
        <w:t xml:space="preserve"> </w:t>
      </w:r>
      <w:r w:rsidR="00356DB5" w:rsidRPr="00E66856">
        <w:rPr>
          <w:rFonts w:ascii="Verdana" w:hAnsi="Verdana"/>
          <w:color w:val="7030A0"/>
          <w:sz w:val="16"/>
          <w:szCs w:val="16"/>
        </w:rPr>
        <w:t xml:space="preserve">E/C.12/GBR/CO/6, ‘UN ICESCR Committee Concluding Observations on the UK Sixth Periodic Report’, 16 July 2016 at para 32. </w:t>
      </w:r>
    </w:p>
  </w:footnote>
  <w:footnote w:id="13">
    <w:p w14:paraId="28DCAD70" w14:textId="7214F8C2" w:rsidR="005230E2" w:rsidRPr="00E66856" w:rsidRDefault="005230E2" w:rsidP="00A930BF">
      <w:pPr>
        <w:pStyle w:val="FootnoteText"/>
        <w:rPr>
          <w:rFonts w:ascii="Verdana" w:hAnsi="Verdana"/>
          <w:color w:val="7030A0"/>
          <w:sz w:val="16"/>
          <w:szCs w:val="16"/>
        </w:rPr>
      </w:pPr>
      <w:r w:rsidRPr="00E66856">
        <w:rPr>
          <w:rStyle w:val="FootnoteReference"/>
          <w:rFonts w:ascii="Verdana" w:hAnsi="Verdana"/>
          <w:color w:val="7030A0"/>
          <w:sz w:val="16"/>
          <w:szCs w:val="16"/>
        </w:rPr>
        <w:footnoteRef/>
      </w:r>
      <w:r w:rsidRPr="00E66856">
        <w:rPr>
          <w:rFonts w:ascii="Verdana" w:hAnsi="Verdana"/>
          <w:color w:val="7030A0"/>
          <w:sz w:val="16"/>
          <w:szCs w:val="16"/>
        </w:rPr>
        <w:t xml:space="preserve"> </w:t>
      </w:r>
      <w:r w:rsidR="00A930BF" w:rsidRPr="00E66856">
        <w:rPr>
          <w:rFonts w:ascii="Verdana" w:hAnsi="Verdana"/>
          <w:color w:val="7030A0"/>
          <w:sz w:val="16"/>
          <w:szCs w:val="16"/>
        </w:rPr>
        <w:t>E/C.12/GC/23, ‘UN ICESCR Committee</w:t>
      </w:r>
      <w:r w:rsidR="00421FD9" w:rsidRPr="00E66856">
        <w:rPr>
          <w:rFonts w:ascii="Verdana" w:hAnsi="Verdana"/>
          <w:color w:val="7030A0"/>
          <w:sz w:val="16"/>
          <w:szCs w:val="16"/>
        </w:rPr>
        <w:t xml:space="preserve"> </w:t>
      </w:r>
      <w:r w:rsidR="00A930BF" w:rsidRPr="00E66856">
        <w:rPr>
          <w:rFonts w:ascii="Verdana" w:hAnsi="Verdana"/>
          <w:color w:val="7030A0"/>
          <w:sz w:val="16"/>
          <w:szCs w:val="16"/>
        </w:rPr>
        <w:t>General comment No. 23</w:t>
      </w:r>
      <w:r w:rsidR="00356DB5" w:rsidRPr="00E66856">
        <w:rPr>
          <w:rFonts w:ascii="Verdana" w:hAnsi="Verdana"/>
          <w:color w:val="7030A0"/>
          <w:sz w:val="16"/>
          <w:szCs w:val="16"/>
        </w:rPr>
        <w:t>:</w:t>
      </w:r>
      <w:r w:rsidR="00A930BF" w:rsidRPr="00E66856">
        <w:rPr>
          <w:rFonts w:ascii="Verdana" w:hAnsi="Verdana"/>
          <w:color w:val="7030A0"/>
          <w:sz w:val="16"/>
          <w:szCs w:val="16"/>
        </w:rPr>
        <w:t xml:space="preserve"> On the Right to Just and Favourable Conditions of Work’, 27 April 2016 at para </w:t>
      </w:r>
      <w:r w:rsidR="00356DB5" w:rsidRPr="00E66856">
        <w:rPr>
          <w:rFonts w:ascii="Verdana" w:hAnsi="Verdana"/>
          <w:color w:val="7030A0"/>
          <w:sz w:val="16"/>
          <w:szCs w:val="16"/>
        </w:rPr>
        <w:t xml:space="preserve">5. </w:t>
      </w:r>
    </w:p>
  </w:footnote>
  <w:footnote w:id="14">
    <w:p w14:paraId="34F66726" w14:textId="7E6CBDC3" w:rsidR="005230E2" w:rsidRPr="000A1BB2" w:rsidRDefault="005230E2">
      <w:pPr>
        <w:pStyle w:val="FootnoteText"/>
        <w:rPr>
          <w:sz w:val="16"/>
          <w:szCs w:val="16"/>
        </w:rPr>
      </w:pPr>
      <w:r w:rsidRPr="00E66856">
        <w:rPr>
          <w:rStyle w:val="FootnoteReference"/>
          <w:rFonts w:ascii="Verdana" w:hAnsi="Verdana"/>
          <w:color w:val="7030A0"/>
          <w:sz w:val="16"/>
          <w:szCs w:val="16"/>
        </w:rPr>
        <w:footnoteRef/>
      </w:r>
      <w:r w:rsidRPr="00E66856">
        <w:rPr>
          <w:rFonts w:ascii="Verdana" w:hAnsi="Verdana"/>
          <w:color w:val="7030A0"/>
          <w:sz w:val="16"/>
          <w:szCs w:val="16"/>
        </w:rPr>
        <w:t xml:space="preserve"> </w:t>
      </w:r>
      <w:r w:rsidR="00421FD9" w:rsidRPr="00E66856">
        <w:rPr>
          <w:rFonts w:ascii="Verdana" w:hAnsi="Verdana"/>
          <w:color w:val="7030A0"/>
          <w:sz w:val="16"/>
          <w:szCs w:val="16"/>
        </w:rPr>
        <w:t>E/C.12/GC/23, ‘UN ICESCR Committee General comment No. 23</w:t>
      </w:r>
      <w:r w:rsidR="00356DB5" w:rsidRPr="00E66856">
        <w:rPr>
          <w:rFonts w:ascii="Verdana" w:hAnsi="Verdana"/>
          <w:color w:val="7030A0"/>
          <w:sz w:val="16"/>
          <w:szCs w:val="16"/>
        </w:rPr>
        <w:t>:</w:t>
      </w:r>
      <w:r w:rsidR="00421FD9" w:rsidRPr="00E66856">
        <w:rPr>
          <w:rFonts w:ascii="Verdana" w:hAnsi="Verdana"/>
          <w:color w:val="7030A0"/>
          <w:sz w:val="16"/>
          <w:szCs w:val="16"/>
        </w:rPr>
        <w:t xml:space="preserve"> On the Right to Just and Favourable Conditions of Work’, 27 April 2016 at para </w:t>
      </w:r>
      <w:r w:rsidR="00356DB5" w:rsidRPr="00E66856">
        <w:rPr>
          <w:rFonts w:ascii="Verdana" w:hAnsi="Verdana"/>
          <w:color w:val="7030A0"/>
          <w:sz w:val="16"/>
          <w:szCs w:val="16"/>
        </w:rPr>
        <w:t xml:space="preserve">47(d). </w:t>
      </w:r>
    </w:p>
  </w:footnote>
  <w:footnote w:id="15">
    <w:p w14:paraId="6BDFDEE4" w14:textId="01617A3B" w:rsidR="005230E2" w:rsidRPr="00E66856" w:rsidRDefault="005230E2">
      <w:pPr>
        <w:pStyle w:val="FootnoteText"/>
        <w:rPr>
          <w:rFonts w:ascii="Verdana" w:hAnsi="Verdana"/>
          <w:color w:val="7030A0"/>
          <w:sz w:val="16"/>
          <w:szCs w:val="16"/>
        </w:rPr>
      </w:pPr>
      <w:r w:rsidRPr="00E66856">
        <w:rPr>
          <w:rStyle w:val="FootnoteReference"/>
          <w:rFonts w:ascii="Verdana" w:hAnsi="Verdana"/>
          <w:color w:val="7030A0"/>
          <w:sz w:val="16"/>
          <w:szCs w:val="16"/>
        </w:rPr>
        <w:footnoteRef/>
      </w:r>
      <w:r w:rsidRPr="00E66856">
        <w:rPr>
          <w:rFonts w:ascii="Verdana" w:hAnsi="Verdana"/>
          <w:color w:val="7030A0"/>
          <w:sz w:val="16"/>
          <w:szCs w:val="16"/>
        </w:rPr>
        <w:t xml:space="preserve"> </w:t>
      </w:r>
      <w:r w:rsidR="00421FD9" w:rsidRPr="00E66856">
        <w:rPr>
          <w:rFonts w:ascii="Verdana" w:hAnsi="Verdana"/>
          <w:color w:val="7030A0"/>
          <w:sz w:val="16"/>
          <w:szCs w:val="16"/>
        </w:rPr>
        <w:t>E/C.12/GC/23, ‘UN ICESCR Committee General comment No. 23</w:t>
      </w:r>
      <w:r w:rsidR="00356DB5" w:rsidRPr="00E66856">
        <w:rPr>
          <w:rFonts w:ascii="Verdana" w:hAnsi="Verdana"/>
          <w:color w:val="7030A0"/>
          <w:sz w:val="16"/>
          <w:szCs w:val="16"/>
        </w:rPr>
        <w:t>:</w:t>
      </w:r>
      <w:r w:rsidR="00421FD9" w:rsidRPr="00E66856">
        <w:rPr>
          <w:rFonts w:ascii="Verdana" w:hAnsi="Verdana"/>
          <w:color w:val="7030A0"/>
          <w:sz w:val="16"/>
          <w:szCs w:val="16"/>
        </w:rPr>
        <w:t xml:space="preserve"> On the Right to Just and Favourable Conditions o</w:t>
      </w:r>
      <w:r w:rsidR="00356DB5" w:rsidRPr="00E66856">
        <w:rPr>
          <w:rFonts w:ascii="Verdana" w:hAnsi="Verdana"/>
          <w:color w:val="7030A0"/>
          <w:sz w:val="16"/>
          <w:szCs w:val="16"/>
        </w:rPr>
        <w:t xml:space="preserve">f Work’, 27 April 2016 at para 47(a). </w:t>
      </w:r>
    </w:p>
  </w:footnote>
  <w:footnote w:id="16">
    <w:p w14:paraId="0676B29D" w14:textId="411140B3" w:rsidR="005230E2" w:rsidRPr="00356DB5" w:rsidRDefault="005230E2">
      <w:pPr>
        <w:pStyle w:val="FootnoteText"/>
        <w:rPr>
          <w:rFonts w:ascii="Verdana" w:hAnsi="Verdana"/>
          <w:color w:val="7030A0"/>
          <w:sz w:val="16"/>
          <w:szCs w:val="16"/>
        </w:rPr>
      </w:pPr>
      <w:r w:rsidRPr="00356DB5">
        <w:rPr>
          <w:rStyle w:val="FootnoteReference"/>
          <w:rFonts w:ascii="Verdana" w:hAnsi="Verdana"/>
          <w:color w:val="7030A0"/>
          <w:sz w:val="16"/>
          <w:szCs w:val="16"/>
        </w:rPr>
        <w:footnoteRef/>
      </w:r>
      <w:r w:rsidRPr="00356DB5">
        <w:rPr>
          <w:rFonts w:ascii="Verdana" w:hAnsi="Verdana"/>
          <w:color w:val="7030A0"/>
          <w:sz w:val="16"/>
          <w:szCs w:val="16"/>
        </w:rPr>
        <w:t xml:space="preserve"> </w:t>
      </w:r>
      <w:r w:rsidR="00E6236C" w:rsidRPr="00356DB5">
        <w:rPr>
          <w:rFonts w:ascii="Verdana" w:hAnsi="Verdana"/>
          <w:color w:val="7030A0"/>
          <w:sz w:val="16"/>
          <w:szCs w:val="16"/>
        </w:rPr>
        <w:t xml:space="preserve">CEDAW/C/GBR/CO/8, ‘UN CEDAW Committee Concluding Observations on the UK Eighth Periodic Report’, 8 March 2019 at </w:t>
      </w:r>
      <w:r w:rsidR="00356DB5" w:rsidRPr="00356DB5">
        <w:rPr>
          <w:rFonts w:ascii="Verdana" w:hAnsi="Verdana"/>
          <w:color w:val="7030A0"/>
          <w:sz w:val="16"/>
          <w:szCs w:val="16"/>
        </w:rPr>
        <w:t xml:space="preserve">para 43. </w:t>
      </w:r>
    </w:p>
  </w:footnote>
  <w:footnote w:id="17">
    <w:p w14:paraId="12AEE62A" w14:textId="6742D5EB" w:rsidR="005230E2" w:rsidRDefault="005230E2">
      <w:pPr>
        <w:pStyle w:val="FootnoteText"/>
      </w:pPr>
      <w:r w:rsidRPr="00356DB5">
        <w:rPr>
          <w:rStyle w:val="FootnoteReference"/>
          <w:rFonts w:ascii="Verdana" w:hAnsi="Verdana"/>
          <w:color w:val="7030A0"/>
          <w:sz w:val="16"/>
          <w:szCs w:val="16"/>
        </w:rPr>
        <w:footnoteRef/>
      </w:r>
      <w:r w:rsidRPr="00E66856">
        <w:rPr>
          <w:rFonts w:ascii="Verdana" w:hAnsi="Verdana"/>
          <w:color w:val="7030A0"/>
          <w:sz w:val="16"/>
          <w:szCs w:val="16"/>
        </w:rPr>
        <w:t xml:space="preserve"> </w:t>
      </w:r>
      <w:r w:rsidR="00E6236C" w:rsidRPr="00E66856">
        <w:rPr>
          <w:rFonts w:ascii="Verdana" w:hAnsi="Verdana"/>
          <w:color w:val="7030A0"/>
          <w:sz w:val="16"/>
          <w:szCs w:val="16"/>
        </w:rPr>
        <w:t xml:space="preserve">CEDAW/C/GBR/CO/8, ‘UN CEDAW Committee Concluding Observations on the UK Eighth Periodic Report’, 8 March 2019 at </w:t>
      </w:r>
      <w:r w:rsidR="00356DB5" w:rsidRPr="00356DB5">
        <w:rPr>
          <w:rFonts w:ascii="Verdana" w:hAnsi="Verdana"/>
          <w:color w:val="7030A0"/>
          <w:sz w:val="16"/>
          <w:szCs w:val="16"/>
        </w:rPr>
        <w:t>para 45</w:t>
      </w:r>
      <w:r w:rsidR="00E6236C" w:rsidRPr="00E66856">
        <w:rPr>
          <w:rFonts w:ascii="Verdana" w:hAnsi="Verdana"/>
          <w:color w:val="7030A0"/>
          <w:sz w:val="16"/>
          <w:szCs w:val="16"/>
        </w:rPr>
        <w:t>.</w:t>
      </w:r>
    </w:p>
  </w:footnote>
  <w:footnote w:id="18">
    <w:p w14:paraId="06197BCA" w14:textId="26486C77" w:rsidR="006930E1" w:rsidRPr="00E66856" w:rsidRDefault="006930E1">
      <w:pPr>
        <w:pStyle w:val="FootnoteText"/>
        <w:rPr>
          <w:rFonts w:ascii="Verdana" w:hAnsi="Verdana"/>
          <w:color w:val="7030A0"/>
          <w:sz w:val="16"/>
          <w:szCs w:val="16"/>
        </w:rPr>
      </w:pPr>
      <w:r w:rsidRPr="00E66856">
        <w:rPr>
          <w:rStyle w:val="FootnoteReference"/>
          <w:rFonts w:ascii="Verdana" w:hAnsi="Verdana"/>
          <w:color w:val="7030A0"/>
          <w:sz w:val="16"/>
          <w:szCs w:val="16"/>
        </w:rPr>
        <w:footnoteRef/>
      </w:r>
      <w:r w:rsidRPr="00E66856">
        <w:rPr>
          <w:rFonts w:ascii="Verdana" w:hAnsi="Verdana"/>
          <w:color w:val="7030A0"/>
          <w:sz w:val="16"/>
          <w:szCs w:val="16"/>
        </w:rPr>
        <w:t xml:space="preserve"> Holidays (Bereavement Leave for Miscarriage) Amendment Bill (No 2). Available at: </w:t>
      </w:r>
      <w:hyperlink r:id="rId2" w:history="1">
        <w:r w:rsidRPr="00E66856">
          <w:rPr>
            <w:rStyle w:val="Hyperlink"/>
            <w:rFonts w:ascii="Verdana" w:hAnsi="Verdana"/>
            <w:color w:val="7030A0"/>
            <w:sz w:val="16"/>
            <w:szCs w:val="16"/>
          </w:rPr>
          <w:t>https://perma.cc/K9FU-8AE2</w:t>
        </w:r>
      </w:hyperlink>
      <w:r w:rsidRPr="00E66856">
        <w:rPr>
          <w:rFonts w:ascii="Verdana" w:hAnsi="Verdana"/>
          <w:color w:val="7030A0"/>
          <w:sz w:val="16"/>
          <w:szCs w:val="16"/>
        </w:rPr>
        <w:t xml:space="preserve"> </w:t>
      </w:r>
    </w:p>
  </w:footnote>
  <w:footnote w:id="19">
    <w:p w14:paraId="3F2B3B40" w14:textId="38B03F18" w:rsidR="00356DB5" w:rsidRPr="00E66856" w:rsidRDefault="00356DB5" w:rsidP="006930E1">
      <w:pPr>
        <w:pStyle w:val="FootnoteText"/>
        <w:rPr>
          <w:rFonts w:ascii="Verdana" w:hAnsi="Verdana"/>
          <w:sz w:val="16"/>
          <w:szCs w:val="16"/>
        </w:rPr>
      </w:pPr>
      <w:r w:rsidRPr="00E66856">
        <w:rPr>
          <w:rStyle w:val="FootnoteReference"/>
          <w:rFonts w:ascii="Verdana" w:hAnsi="Verdana"/>
          <w:color w:val="7030A0"/>
          <w:sz w:val="16"/>
          <w:szCs w:val="16"/>
        </w:rPr>
        <w:footnoteRef/>
      </w:r>
      <w:r w:rsidRPr="00E66856">
        <w:rPr>
          <w:rFonts w:ascii="Verdana" w:hAnsi="Verdana"/>
          <w:color w:val="7030A0"/>
          <w:sz w:val="16"/>
          <w:szCs w:val="16"/>
        </w:rPr>
        <w:t xml:space="preserve"> For example, Maternity Action, </w:t>
      </w:r>
      <w:r w:rsidR="006930E1" w:rsidRPr="00E66856">
        <w:rPr>
          <w:rFonts w:ascii="Verdana" w:hAnsi="Verdana"/>
          <w:color w:val="7030A0"/>
          <w:sz w:val="16"/>
          <w:szCs w:val="16"/>
        </w:rPr>
        <w:t>‘</w:t>
      </w:r>
      <w:r w:rsidRPr="00E66856">
        <w:rPr>
          <w:rFonts w:ascii="Verdana" w:hAnsi="Verdana"/>
          <w:color w:val="7030A0"/>
          <w:sz w:val="16"/>
          <w:szCs w:val="16"/>
        </w:rPr>
        <w:t>Briefing</w:t>
      </w:r>
      <w:r w:rsidR="006930E1" w:rsidRPr="00E66856">
        <w:rPr>
          <w:rFonts w:ascii="Verdana" w:hAnsi="Verdana"/>
          <w:color w:val="7030A0"/>
          <w:sz w:val="16"/>
          <w:szCs w:val="16"/>
        </w:rPr>
        <w:t>: Miscarriage and Women’s Rights at Work’</w:t>
      </w:r>
      <w:r w:rsidRPr="00E66856">
        <w:rPr>
          <w:rFonts w:ascii="Verdana" w:hAnsi="Verdana"/>
          <w:color w:val="7030A0"/>
          <w:sz w:val="16"/>
          <w:szCs w:val="16"/>
        </w:rPr>
        <w:t xml:space="preserve"> </w:t>
      </w:r>
      <w:r w:rsidR="006930E1" w:rsidRPr="00E66856">
        <w:rPr>
          <w:rFonts w:ascii="Verdana" w:hAnsi="Verdana"/>
          <w:color w:val="7030A0"/>
          <w:sz w:val="16"/>
          <w:szCs w:val="16"/>
        </w:rPr>
        <w:t xml:space="preserve">Available at: </w:t>
      </w:r>
      <w:hyperlink r:id="rId3" w:history="1">
        <w:r w:rsidR="006930E1" w:rsidRPr="00E66856">
          <w:rPr>
            <w:rStyle w:val="Hyperlink"/>
            <w:rFonts w:ascii="Verdana" w:hAnsi="Verdana"/>
            <w:color w:val="7030A0"/>
            <w:sz w:val="16"/>
            <w:szCs w:val="16"/>
          </w:rPr>
          <w:t>https://maternityaction.org.uk/wp-content/uploads/MA-briefing-on-miscarriage-Feb-2020-1.pdf</w:t>
        </w:r>
      </w:hyperlink>
      <w:r w:rsidR="006930E1" w:rsidRPr="00E66856">
        <w:rPr>
          <w:rFonts w:ascii="Verdana" w:hAnsi="Verdana"/>
          <w:color w:val="7030A0"/>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F1981"/>
    <w:multiLevelType w:val="hybridMultilevel"/>
    <w:tmpl w:val="3B1C05DC"/>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C7E0A"/>
    <w:multiLevelType w:val="hybridMultilevel"/>
    <w:tmpl w:val="1EEA5884"/>
    <w:lvl w:ilvl="0" w:tplc="08090017">
      <w:start w:val="1"/>
      <w:numFmt w:val="lowerLetter"/>
      <w:lvlText w:val="%1)"/>
      <w:lvlJc w:val="left"/>
      <w:pPr>
        <w:ind w:left="1584" w:hanging="360"/>
      </w:pPr>
    </w:lvl>
    <w:lvl w:ilvl="1" w:tplc="08090019" w:tentative="1">
      <w:start w:val="1"/>
      <w:numFmt w:val="lowerLetter"/>
      <w:lvlText w:val="%2."/>
      <w:lvlJc w:val="left"/>
      <w:pPr>
        <w:ind w:left="2304" w:hanging="360"/>
      </w:pPr>
    </w:lvl>
    <w:lvl w:ilvl="2" w:tplc="0809001B" w:tentative="1">
      <w:start w:val="1"/>
      <w:numFmt w:val="lowerRoman"/>
      <w:lvlText w:val="%3."/>
      <w:lvlJc w:val="right"/>
      <w:pPr>
        <w:ind w:left="3024" w:hanging="180"/>
      </w:pPr>
    </w:lvl>
    <w:lvl w:ilvl="3" w:tplc="0809000F" w:tentative="1">
      <w:start w:val="1"/>
      <w:numFmt w:val="decimal"/>
      <w:lvlText w:val="%4."/>
      <w:lvlJc w:val="left"/>
      <w:pPr>
        <w:ind w:left="3744" w:hanging="360"/>
      </w:pPr>
    </w:lvl>
    <w:lvl w:ilvl="4" w:tplc="08090019" w:tentative="1">
      <w:start w:val="1"/>
      <w:numFmt w:val="lowerLetter"/>
      <w:lvlText w:val="%5."/>
      <w:lvlJc w:val="left"/>
      <w:pPr>
        <w:ind w:left="4464" w:hanging="360"/>
      </w:pPr>
    </w:lvl>
    <w:lvl w:ilvl="5" w:tplc="0809001B" w:tentative="1">
      <w:start w:val="1"/>
      <w:numFmt w:val="lowerRoman"/>
      <w:lvlText w:val="%6."/>
      <w:lvlJc w:val="right"/>
      <w:pPr>
        <w:ind w:left="5184" w:hanging="180"/>
      </w:pPr>
    </w:lvl>
    <w:lvl w:ilvl="6" w:tplc="0809000F" w:tentative="1">
      <w:start w:val="1"/>
      <w:numFmt w:val="decimal"/>
      <w:lvlText w:val="%7."/>
      <w:lvlJc w:val="left"/>
      <w:pPr>
        <w:ind w:left="5904" w:hanging="360"/>
      </w:pPr>
    </w:lvl>
    <w:lvl w:ilvl="7" w:tplc="08090019" w:tentative="1">
      <w:start w:val="1"/>
      <w:numFmt w:val="lowerLetter"/>
      <w:lvlText w:val="%8."/>
      <w:lvlJc w:val="left"/>
      <w:pPr>
        <w:ind w:left="6624" w:hanging="360"/>
      </w:pPr>
    </w:lvl>
    <w:lvl w:ilvl="8" w:tplc="0809001B" w:tentative="1">
      <w:start w:val="1"/>
      <w:numFmt w:val="lowerRoman"/>
      <w:lvlText w:val="%9."/>
      <w:lvlJc w:val="right"/>
      <w:pPr>
        <w:ind w:left="7344" w:hanging="180"/>
      </w:pPr>
    </w:lvl>
  </w:abstractNum>
  <w:abstractNum w:abstractNumId="2" w15:restartNumberingAfterBreak="0">
    <w:nsid w:val="13D74158"/>
    <w:multiLevelType w:val="hybridMultilevel"/>
    <w:tmpl w:val="378A0B96"/>
    <w:lvl w:ilvl="0" w:tplc="08090001">
      <w:start w:val="1"/>
      <w:numFmt w:val="bullet"/>
      <w:lvlText w:val=""/>
      <w:lvlJc w:val="left"/>
      <w:pPr>
        <w:ind w:left="1494" w:hanging="360"/>
      </w:pPr>
      <w:rPr>
        <w:rFonts w:ascii="Symbol" w:hAnsi="Symbol" w:hint="default"/>
      </w:rPr>
    </w:lvl>
    <w:lvl w:ilvl="1" w:tplc="08090003">
      <w:start w:val="1"/>
      <w:numFmt w:val="bullet"/>
      <w:lvlText w:val="o"/>
      <w:lvlJc w:val="left"/>
      <w:pPr>
        <w:ind w:left="2214" w:hanging="360"/>
      </w:pPr>
      <w:rPr>
        <w:rFonts w:ascii="Courier New" w:hAnsi="Courier New" w:cs="Courier New" w:hint="default"/>
      </w:rPr>
    </w:lvl>
    <w:lvl w:ilvl="2" w:tplc="08090005">
      <w:start w:val="1"/>
      <w:numFmt w:val="bullet"/>
      <w:lvlText w:val=""/>
      <w:lvlJc w:val="left"/>
      <w:pPr>
        <w:ind w:left="2934" w:hanging="360"/>
      </w:pPr>
      <w:rPr>
        <w:rFonts w:ascii="Wingdings" w:hAnsi="Wingdings" w:hint="default"/>
      </w:rPr>
    </w:lvl>
    <w:lvl w:ilvl="3" w:tplc="08090001">
      <w:start w:val="1"/>
      <w:numFmt w:val="bullet"/>
      <w:lvlText w:val=""/>
      <w:lvlJc w:val="left"/>
      <w:pPr>
        <w:ind w:left="3654" w:hanging="360"/>
      </w:pPr>
      <w:rPr>
        <w:rFonts w:ascii="Symbol" w:hAnsi="Symbol" w:hint="default"/>
      </w:rPr>
    </w:lvl>
    <w:lvl w:ilvl="4" w:tplc="08090003">
      <w:start w:val="1"/>
      <w:numFmt w:val="bullet"/>
      <w:lvlText w:val="o"/>
      <w:lvlJc w:val="left"/>
      <w:pPr>
        <w:ind w:left="4374" w:hanging="360"/>
      </w:pPr>
      <w:rPr>
        <w:rFonts w:ascii="Courier New" w:hAnsi="Courier New" w:cs="Courier New" w:hint="default"/>
      </w:rPr>
    </w:lvl>
    <w:lvl w:ilvl="5" w:tplc="08090005">
      <w:start w:val="1"/>
      <w:numFmt w:val="bullet"/>
      <w:lvlText w:val=""/>
      <w:lvlJc w:val="left"/>
      <w:pPr>
        <w:ind w:left="5094" w:hanging="360"/>
      </w:pPr>
      <w:rPr>
        <w:rFonts w:ascii="Wingdings" w:hAnsi="Wingdings" w:hint="default"/>
      </w:rPr>
    </w:lvl>
    <w:lvl w:ilvl="6" w:tplc="08090001">
      <w:start w:val="1"/>
      <w:numFmt w:val="bullet"/>
      <w:lvlText w:val=""/>
      <w:lvlJc w:val="left"/>
      <w:pPr>
        <w:ind w:left="5814" w:hanging="360"/>
      </w:pPr>
      <w:rPr>
        <w:rFonts w:ascii="Symbol" w:hAnsi="Symbol" w:hint="default"/>
      </w:rPr>
    </w:lvl>
    <w:lvl w:ilvl="7" w:tplc="08090003">
      <w:start w:val="1"/>
      <w:numFmt w:val="bullet"/>
      <w:lvlText w:val="o"/>
      <w:lvlJc w:val="left"/>
      <w:pPr>
        <w:ind w:left="6534" w:hanging="360"/>
      </w:pPr>
      <w:rPr>
        <w:rFonts w:ascii="Courier New" w:hAnsi="Courier New" w:cs="Courier New" w:hint="default"/>
      </w:rPr>
    </w:lvl>
    <w:lvl w:ilvl="8" w:tplc="08090005">
      <w:start w:val="1"/>
      <w:numFmt w:val="bullet"/>
      <w:lvlText w:val=""/>
      <w:lvlJc w:val="left"/>
      <w:pPr>
        <w:ind w:left="7254" w:hanging="360"/>
      </w:pPr>
      <w:rPr>
        <w:rFonts w:ascii="Wingdings" w:hAnsi="Wingdings" w:hint="default"/>
      </w:rPr>
    </w:lvl>
  </w:abstractNum>
  <w:abstractNum w:abstractNumId="3" w15:restartNumberingAfterBreak="0">
    <w:nsid w:val="160611FA"/>
    <w:multiLevelType w:val="hybridMultilevel"/>
    <w:tmpl w:val="C5F266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57018A"/>
    <w:multiLevelType w:val="hybridMultilevel"/>
    <w:tmpl w:val="8A30D634"/>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F180B86"/>
    <w:multiLevelType w:val="hybridMultilevel"/>
    <w:tmpl w:val="90FEE25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139525F"/>
    <w:multiLevelType w:val="hybridMultilevel"/>
    <w:tmpl w:val="8CF40FB0"/>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83B137D"/>
    <w:multiLevelType w:val="hybridMultilevel"/>
    <w:tmpl w:val="ABC66DCC"/>
    <w:lvl w:ilvl="0" w:tplc="12FA65BC">
      <w:start w:val="1"/>
      <w:numFmt w:val="lowerLetter"/>
      <w:lvlText w:val="(%1)"/>
      <w:lvlJc w:val="left"/>
      <w:pPr>
        <w:ind w:left="216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CBF5D7C"/>
    <w:multiLevelType w:val="multilevel"/>
    <w:tmpl w:val="436E418A"/>
    <w:lvl w:ilvl="0">
      <w:start w:val="3"/>
      <w:numFmt w:val="decimal"/>
      <w:lvlText w:val="%1"/>
      <w:lvlJc w:val="left"/>
      <w:pPr>
        <w:ind w:left="390" w:hanging="39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440" w:hanging="144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520" w:hanging="2520"/>
      </w:pPr>
      <w:rPr>
        <w:rFonts w:hint="default"/>
        <w:b w:val="0"/>
      </w:rPr>
    </w:lvl>
    <w:lvl w:ilvl="8">
      <w:start w:val="1"/>
      <w:numFmt w:val="decimal"/>
      <w:lvlText w:val="%1.%2.%3.%4.%5.%6.%7.%8.%9"/>
      <w:lvlJc w:val="left"/>
      <w:pPr>
        <w:ind w:left="2880" w:hanging="2880"/>
      </w:pPr>
      <w:rPr>
        <w:rFonts w:hint="default"/>
        <w:b w:val="0"/>
      </w:rPr>
    </w:lvl>
  </w:abstractNum>
  <w:abstractNum w:abstractNumId="9" w15:restartNumberingAfterBreak="0">
    <w:nsid w:val="30CF4053"/>
    <w:multiLevelType w:val="hybridMultilevel"/>
    <w:tmpl w:val="5DF6FAE2"/>
    <w:lvl w:ilvl="0" w:tplc="12FA65B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6447DFB"/>
    <w:multiLevelType w:val="hybridMultilevel"/>
    <w:tmpl w:val="A3B84D18"/>
    <w:lvl w:ilvl="0" w:tplc="50960044">
      <w:start w:val="1"/>
      <w:numFmt w:val="decimal"/>
      <w:lvlText w:val="%1."/>
      <w:lvlJc w:val="left"/>
      <w:pPr>
        <w:ind w:left="360" w:hanging="360"/>
      </w:pPr>
      <w:rPr>
        <w:rFonts w:hint="default"/>
        <w:color w:val="73479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E422170"/>
    <w:multiLevelType w:val="hybridMultilevel"/>
    <w:tmpl w:val="E522FDC6"/>
    <w:lvl w:ilvl="0" w:tplc="9174B4FC">
      <w:start w:val="1"/>
      <w:numFmt w:val="bullet"/>
      <w:lvlText w:val=""/>
      <w:lvlJc w:val="left"/>
      <w:pPr>
        <w:ind w:left="360" w:hanging="360"/>
      </w:pPr>
      <w:rPr>
        <w:rFonts w:ascii="Symbol" w:hAnsi="Symbol" w:hint="default"/>
        <w:color w:val="77328A"/>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CBB786D"/>
    <w:multiLevelType w:val="multilevel"/>
    <w:tmpl w:val="80049FE0"/>
    <w:lvl w:ilvl="0">
      <w:start w:val="1"/>
      <w:numFmt w:val="decimal"/>
      <w:lvlText w:val="%1.0"/>
      <w:lvlJc w:val="left"/>
      <w:pPr>
        <w:ind w:left="720" w:hanging="720"/>
      </w:pPr>
      <w:rPr>
        <w:rFonts w:hint="default"/>
      </w:rPr>
    </w:lvl>
    <w:lvl w:ilv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3" w15:restartNumberingAfterBreak="0">
    <w:nsid w:val="4D224682"/>
    <w:multiLevelType w:val="hybridMultilevel"/>
    <w:tmpl w:val="57A2487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AE5959"/>
    <w:multiLevelType w:val="hybridMultilevel"/>
    <w:tmpl w:val="D864100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E7E6D6F"/>
    <w:multiLevelType w:val="hybridMultilevel"/>
    <w:tmpl w:val="05D2C7A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CD46DA"/>
    <w:multiLevelType w:val="hybridMultilevel"/>
    <w:tmpl w:val="A198F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56B7983"/>
    <w:multiLevelType w:val="multilevel"/>
    <w:tmpl w:val="80049FE0"/>
    <w:lvl w:ilvl="0">
      <w:start w:val="1"/>
      <w:numFmt w:val="decimal"/>
      <w:lvlText w:val="%1.0"/>
      <w:lvlJc w:val="left"/>
      <w:pPr>
        <w:ind w:left="720" w:hanging="720"/>
      </w:pPr>
      <w:rPr>
        <w:rFonts w:hint="default"/>
      </w:rPr>
    </w:lvl>
    <w:lvl w:ilv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8" w15:restartNumberingAfterBreak="0">
    <w:nsid w:val="6A464472"/>
    <w:multiLevelType w:val="multilevel"/>
    <w:tmpl w:val="C2166B60"/>
    <w:lvl w:ilvl="0">
      <w:start w:val="1"/>
      <w:numFmt w:val="decimal"/>
      <w:lvlText w:val="%1.0"/>
      <w:lvlJc w:val="left"/>
      <w:pPr>
        <w:ind w:left="720" w:hanging="720"/>
      </w:pPr>
      <w:rPr>
        <w:rFonts w:hint="default"/>
        <w:color w:val="77328A"/>
      </w:rPr>
    </w:lvl>
    <w:lvl w:ilvl="1">
      <w:numFmt w:val="decimal"/>
      <w:lvlText w:val="%1.%2"/>
      <w:lvlJc w:val="left"/>
      <w:pPr>
        <w:ind w:left="720" w:hanging="720"/>
      </w:pPr>
      <w:rPr>
        <w:rFonts w:hint="default"/>
        <w:b w:val="0"/>
        <w:color w:val="auto"/>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19" w15:restartNumberingAfterBreak="0">
    <w:nsid w:val="7152285C"/>
    <w:multiLevelType w:val="hybridMultilevel"/>
    <w:tmpl w:val="306C1C9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732D4628"/>
    <w:multiLevelType w:val="hybridMultilevel"/>
    <w:tmpl w:val="7BB07136"/>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CD83C24"/>
    <w:multiLevelType w:val="hybridMultilevel"/>
    <w:tmpl w:val="F640AA6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2" w15:restartNumberingAfterBreak="0">
    <w:nsid w:val="7E2E08FB"/>
    <w:multiLevelType w:val="hybridMultilevel"/>
    <w:tmpl w:val="7F569DE2"/>
    <w:lvl w:ilvl="0" w:tplc="B6DEEB0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FE552FA"/>
    <w:multiLevelType w:val="multilevel"/>
    <w:tmpl w:val="22BC0516"/>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num w:numId="1">
    <w:abstractNumId w:val="16"/>
  </w:num>
  <w:num w:numId="2">
    <w:abstractNumId w:val="22"/>
  </w:num>
  <w:num w:numId="3">
    <w:abstractNumId w:val="4"/>
  </w:num>
  <w:num w:numId="4">
    <w:abstractNumId w:val="10"/>
  </w:num>
  <w:num w:numId="5">
    <w:abstractNumId w:val="20"/>
  </w:num>
  <w:num w:numId="6">
    <w:abstractNumId w:val="6"/>
  </w:num>
  <w:num w:numId="7">
    <w:abstractNumId w:val="11"/>
  </w:num>
  <w:num w:numId="8">
    <w:abstractNumId w:val="17"/>
  </w:num>
  <w:num w:numId="9">
    <w:abstractNumId w:val="3"/>
  </w:num>
  <w:num w:numId="10">
    <w:abstractNumId w:val="23"/>
  </w:num>
  <w:num w:numId="11">
    <w:abstractNumId w:val="12"/>
  </w:num>
  <w:num w:numId="12">
    <w:abstractNumId w:val="8"/>
  </w:num>
  <w:num w:numId="13">
    <w:abstractNumId w:val="18"/>
  </w:num>
  <w:num w:numId="14">
    <w:abstractNumId w:val="2"/>
  </w:num>
  <w:num w:numId="15">
    <w:abstractNumId w:val="21"/>
  </w:num>
  <w:num w:numId="16">
    <w:abstractNumId w:val="19"/>
  </w:num>
  <w:num w:numId="17">
    <w:abstractNumId w:val="14"/>
  </w:num>
  <w:num w:numId="18">
    <w:abstractNumId w:val="9"/>
  </w:num>
  <w:num w:numId="19">
    <w:abstractNumId w:val="7"/>
  </w:num>
  <w:num w:numId="20">
    <w:abstractNumId w:val="1"/>
  </w:num>
  <w:num w:numId="21">
    <w:abstractNumId w:val="0"/>
  </w:num>
  <w:num w:numId="22">
    <w:abstractNumId w:val="15"/>
  </w:num>
  <w:num w:numId="23">
    <w:abstractNumId w:val="13"/>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6385"/>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532"/>
    <w:rsid w:val="00015239"/>
    <w:rsid w:val="00030F45"/>
    <w:rsid w:val="00046705"/>
    <w:rsid w:val="00047FE8"/>
    <w:rsid w:val="0005379E"/>
    <w:rsid w:val="000A1BB2"/>
    <w:rsid w:val="000E1F61"/>
    <w:rsid w:val="000E5BE4"/>
    <w:rsid w:val="000E7DE4"/>
    <w:rsid w:val="000E7F0C"/>
    <w:rsid w:val="00173AF1"/>
    <w:rsid w:val="00192091"/>
    <w:rsid w:val="001A7A91"/>
    <w:rsid w:val="001D3277"/>
    <w:rsid w:val="001E79A9"/>
    <w:rsid w:val="00213B8A"/>
    <w:rsid w:val="00224140"/>
    <w:rsid w:val="002351CB"/>
    <w:rsid w:val="00241396"/>
    <w:rsid w:val="002428EC"/>
    <w:rsid w:val="00264009"/>
    <w:rsid w:val="002B1272"/>
    <w:rsid w:val="002C00A2"/>
    <w:rsid w:val="00306317"/>
    <w:rsid w:val="00331C61"/>
    <w:rsid w:val="00341BFE"/>
    <w:rsid w:val="00356DB5"/>
    <w:rsid w:val="003622A2"/>
    <w:rsid w:val="00367CCA"/>
    <w:rsid w:val="00397562"/>
    <w:rsid w:val="003B081B"/>
    <w:rsid w:val="003B216D"/>
    <w:rsid w:val="003B4778"/>
    <w:rsid w:val="003B7D0E"/>
    <w:rsid w:val="003D09D2"/>
    <w:rsid w:val="003D3B82"/>
    <w:rsid w:val="00421FD9"/>
    <w:rsid w:val="0045303B"/>
    <w:rsid w:val="00463D6B"/>
    <w:rsid w:val="00466A2E"/>
    <w:rsid w:val="004672AC"/>
    <w:rsid w:val="00471B64"/>
    <w:rsid w:val="00474728"/>
    <w:rsid w:val="004A787C"/>
    <w:rsid w:val="004C2E2D"/>
    <w:rsid w:val="004C683C"/>
    <w:rsid w:val="004C7E4D"/>
    <w:rsid w:val="004D2ED2"/>
    <w:rsid w:val="004F36C3"/>
    <w:rsid w:val="005230E2"/>
    <w:rsid w:val="00552293"/>
    <w:rsid w:val="005651FC"/>
    <w:rsid w:val="00566574"/>
    <w:rsid w:val="005A4262"/>
    <w:rsid w:val="005B723E"/>
    <w:rsid w:val="00656ECD"/>
    <w:rsid w:val="0067610A"/>
    <w:rsid w:val="006930E1"/>
    <w:rsid w:val="006A2DFC"/>
    <w:rsid w:val="00705833"/>
    <w:rsid w:val="00721ED3"/>
    <w:rsid w:val="007247E6"/>
    <w:rsid w:val="007569C1"/>
    <w:rsid w:val="007836A4"/>
    <w:rsid w:val="007A3E84"/>
    <w:rsid w:val="007E3CE8"/>
    <w:rsid w:val="007F266D"/>
    <w:rsid w:val="00812D47"/>
    <w:rsid w:val="008159E8"/>
    <w:rsid w:val="0087161B"/>
    <w:rsid w:val="00872187"/>
    <w:rsid w:val="00875E68"/>
    <w:rsid w:val="00885B1F"/>
    <w:rsid w:val="00892EA3"/>
    <w:rsid w:val="008A235B"/>
    <w:rsid w:val="008D7C32"/>
    <w:rsid w:val="0093330F"/>
    <w:rsid w:val="0094020E"/>
    <w:rsid w:val="00962B2B"/>
    <w:rsid w:val="0096459E"/>
    <w:rsid w:val="00983AE6"/>
    <w:rsid w:val="00991F97"/>
    <w:rsid w:val="009C6538"/>
    <w:rsid w:val="009D39FB"/>
    <w:rsid w:val="009D4879"/>
    <w:rsid w:val="009D763F"/>
    <w:rsid w:val="00A07CA8"/>
    <w:rsid w:val="00A33337"/>
    <w:rsid w:val="00A349F7"/>
    <w:rsid w:val="00A37749"/>
    <w:rsid w:val="00A8030E"/>
    <w:rsid w:val="00A900BB"/>
    <w:rsid w:val="00A930BF"/>
    <w:rsid w:val="00AC2066"/>
    <w:rsid w:val="00AD0001"/>
    <w:rsid w:val="00B333B0"/>
    <w:rsid w:val="00B33793"/>
    <w:rsid w:val="00B36137"/>
    <w:rsid w:val="00B81F29"/>
    <w:rsid w:val="00B96D34"/>
    <w:rsid w:val="00BA05DF"/>
    <w:rsid w:val="00BA650B"/>
    <w:rsid w:val="00BB1633"/>
    <w:rsid w:val="00BB4526"/>
    <w:rsid w:val="00BC4539"/>
    <w:rsid w:val="00BE5849"/>
    <w:rsid w:val="00C2725D"/>
    <w:rsid w:val="00C42D0C"/>
    <w:rsid w:val="00C7172C"/>
    <w:rsid w:val="00C75EE7"/>
    <w:rsid w:val="00C76E49"/>
    <w:rsid w:val="00CE3039"/>
    <w:rsid w:val="00CF0261"/>
    <w:rsid w:val="00D12EF8"/>
    <w:rsid w:val="00D16532"/>
    <w:rsid w:val="00D166BD"/>
    <w:rsid w:val="00D2770F"/>
    <w:rsid w:val="00D27811"/>
    <w:rsid w:val="00D37281"/>
    <w:rsid w:val="00D45A5F"/>
    <w:rsid w:val="00D802F9"/>
    <w:rsid w:val="00D94A78"/>
    <w:rsid w:val="00E6236C"/>
    <w:rsid w:val="00E66856"/>
    <w:rsid w:val="00E816AF"/>
    <w:rsid w:val="00EA12CE"/>
    <w:rsid w:val="00EA2EB7"/>
    <w:rsid w:val="00ED0B9B"/>
    <w:rsid w:val="00F04647"/>
    <w:rsid w:val="00F21F2D"/>
    <w:rsid w:val="00F31387"/>
    <w:rsid w:val="00F43CE4"/>
    <w:rsid w:val="00F5217E"/>
    <w:rsid w:val="00F53CD5"/>
    <w:rsid w:val="00F56C78"/>
    <w:rsid w:val="00F70FBB"/>
    <w:rsid w:val="00F72157"/>
    <w:rsid w:val="00F8754A"/>
    <w:rsid w:val="00F92400"/>
    <w:rsid w:val="00F9345A"/>
    <w:rsid w:val="00FB4EB6"/>
    <w:rsid w:val="00FF3CB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6AC014C3"/>
  <w14:defaultImageDpi w14:val="300"/>
  <w15:docId w15:val="{CC4997BB-8FE9-49D1-BB35-C9A8DC933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7E4D"/>
    <w:pPr>
      <w:keepNext/>
      <w:keepLines/>
      <w:spacing w:before="240"/>
      <w:outlineLvl w:val="0"/>
    </w:pPr>
    <w:rPr>
      <w:rFonts w:ascii="Verdana" w:eastAsiaTheme="majorEastAsia" w:hAnsi="Verdana" w:cstheme="majorBidi"/>
      <w:b/>
      <w:color w:val="77328A"/>
      <w:sz w:val="30"/>
      <w:szCs w:val="32"/>
    </w:rPr>
  </w:style>
  <w:style w:type="paragraph" w:styleId="Heading2">
    <w:name w:val="heading 2"/>
    <w:basedOn w:val="Normal"/>
    <w:next w:val="Normal"/>
    <w:link w:val="Heading2Char"/>
    <w:uiPriority w:val="9"/>
    <w:unhideWhenUsed/>
    <w:qFormat/>
    <w:rsid w:val="00C42D0C"/>
    <w:pPr>
      <w:keepNext/>
      <w:keepLines/>
      <w:spacing w:before="40"/>
      <w:outlineLvl w:val="1"/>
    </w:pPr>
    <w:rPr>
      <w:rFonts w:ascii="Verdana" w:eastAsiaTheme="majorEastAsia" w:hAnsi="Verdana" w:cstheme="majorBidi"/>
      <w:b/>
      <w:szCs w:val="26"/>
    </w:rPr>
  </w:style>
  <w:style w:type="paragraph" w:styleId="Heading6">
    <w:name w:val="heading 6"/>
    <w:basedOn w:val="Normal"/>
    <w:next w:val="Normal"/>
    <w:link w:val="Heading6Char"/>
    <w:uiPriority w:val="9"/>
    <w:semiHidden/>
    <w:unhideWhenUsed/>
    <w:qFormat/>
    <w:rsid w:val="0022414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B2B"/>
    <w:pPr>
      <w:tabs>
        <w:tab w:val="center" w:pos="4320"/>
        <w:tab w:val="right" w:pos="8640"/>
      </w:tabs>
    </w:pPr>
  </w:style>
  <w:style w:type="character" w:customStyle="1" w:styleId="HeaderChar">
    <w:name w:val="Header Char"/>
    <w:basedOn w:val="DefaultParagraphFont"/>
    <w:link w:val="Header"/>
    <w:uiPriority w:val="99"/>
    <w:rsid w:val="00962B2B"/>
  </w:style>
  <w:style w:type="paragraph" w:styleId="Footer">
    <w:name w:val="footer"/>
    <w:basedOn w:val="Normal"/>
    <w:link w:val="FooterChar"/>
    <w:uiPriority w:val="99"/>
    <w:unhideWhenUsed/>
    <w:rsid w:val="00962B2B"/>
    <w:pPr>
      <w:tabs>
        <w:tab w:val="center" w:pos="4320"/>
        <w:tab w:val="right" w:pos="8640"/>
      </w:tabs>
    </w:pPr>
  </w:style>
  <w:style w:type="character" w:customStyle="1" w:styleId="FooterChar">
    <w:name w:val="Footer Char"/>
    <w:basedOn w:val="DefaultParagraphFont"/>
    <w:link w:val="Footer"/>
    <w:uiPriority w:val="99"/>
    <w:rsid w:val="00962B2B"/>
  </w:style>
  <w:style w:type="paragraph" w:styleId="BalloonText">
    <w:name w:val="Balloon Text"/>
    <w:basedOn w:val="Normal"/>
    <w:link w:val="BalloonTextChar"/>
    <w:uiPriority w:val="99"/>
    <w:semiHidden/>
    <w:unhideWhenUsed/>
    <w:rsid w:val="00962B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2B2B"/>
    <w:rPr>
      <w:rFonts w:ascii="Lucida Grande" w:hAnsi="Lucida Grande" w:cs="Lucida Grande"/>
      <w:sz w:val="18"/>
      <w:szCs w:val="18"/>
    </w:rPr>
  </w:style>
  <w:style w:type="paragraph" w:customStyle="1" w:styleId="BasicParagraph">
    <w:name w:val="[Basic Paragraph]"/>
    <w:basedOn w:val="Normal"/>
    <w:uiPriority w:val="99"/>
    <w:rsid w:val="00962B2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Body">
    <w:name w:val="Body"/>
    <w:basedOn w:val="Normal"/>
    <w:rsid w:val="007F266D"/>
    <w:rPr>
      <w:rFonts w:ascii="Helvetica" w:eastAsiaTheme="minorHAnsi" w:hAnsi="Helvetica" w:cs="Helvetica"/>
      <w:color w:val="000000"/>
      <w:sz w:val="22"/>
      <w:szCs w:val="22"/>
      <w:lang w:eastAsia="en-GB"/>
    </w:rPr>
  </w:style>
  <w:style w:type="paragraph" w:styleId="FootnoteText">
    <w:name w:val="footnote text"/>
    <w:basedOn w:val="Normal"/>
    <w:link w:val="FootnoteTextChar"/>
    <w:uiPriority w:val="99"/>
    <w:unhideWhenUsed/>
    <w:rsid w:val="00224140"/>
  </w:style>
  <w:style w:type="character" w:customStyle="1" w:styleId="FootnoteTextChar">
    <w:name w:val="Footnote Text Char"/>
    <w:basedOn w:val="DefaultParagraphFont"/>
    <w:link w:val="FootnoteText"/>
    <w:uiPriority w:val="99"/>
    <w:rsid w:val="00224140"/>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
    <w:basedOn w:val="DefaultParagraphFont"/>
    <w:uiPriority w:val="99"/>
    <w:unhideWhenUsed/>
    <w:qFormat/>
    <w:rsid w:val="00224140"/>
    <w:rPr>
      <w:vertAlign w:val="superscript"/>
    </w:rPr>
  </w:style>
  <w:style w:type="character" w:styleId="PageNumber">
    <w:name w:val="page number"/>
    <w:basedOn w:val="DefaultParagraphFont"/>
    <w:uiPriority w:val="99"/>
    <w:semiHidden/>
    <w:unhideWhenUsed/>
    <w:rsid w:val="00D12EF8"/>
  </w:style>
  <w:style w:type="character" w:customStyle="1" w:styleId="Heading6Char">
    <w:name w:val="Heading 6 Char"/>
    <w:basedOn w:val="DefaultParagraphFont"/>
    <w:link w:val="Heading6"/>
    <w:uiPriority w:val="9"/>
    <w:semiHidden/>
    <w:rsid w:val="00224140"/>
    <w:rPr>
      <w:rFonts w:asciiTheme="majorHAnsi" w:eastAsiaTheme="majorEastAsia" w:hAnsiTheme="majorHAnsi" w:cstheme="majorBidi"/>
      <w:i/>
      <w:iCs/>
      <w:color w:val="243F60" w:themeColor="accent1" w:themeShade="7F"/>
    </w:rPr>
  </w:style>
  <w:style w:type="paragraph" w:customStyle="1" w:styleId="Default">
    <w:name w:val="Default"/>
    <w:rsid w:val="00552293"/>
    <w:pPr>
      <w:widowControl w:val="0"/>
      <w:autoSpaceDE w:val="0"/>
      <w:autoSpaceDN w:val="0"/>
      <w:adjustRightInd w:val="0"/>
    </w:pPr>
    <w:rPr>
      <w:rFonts w:ascii="Verdana" w:hAnsi="Verdana" w:cs="Verdana"/>
      <w:color w:val="000000"/>
      <w:lang w:val="en-US"/>
    </w:rPr>
  </w:style>
  <w:style w:type="paragraph" w:styleId="NormalWeb">
    <w:name w:val="Normal (Web)"/>
    <w:basedOn w:val="Normal"/>
    <w:uiPriority w:val="99"/>
    <w:unhideWhenUsed/>
    <w:rsid w:val="005B723E"/>
    <w:pPr>
      <w:spacing w:before="100" w:beforeAutospacing="1" w:after="100" w:afterAutospacing="1"/>
    </w:pPr>
    <w:rPr>
      <w:rFonts w:ascii="Times" w:hAnsi="Times" w:cs="Times New Roman"/>
      <w:sz w:val="20"/>
      <w:szCs w:val="20"/>
    </w:rPr>
  </w:style>
  <w:style w:type="paragraph" w:customStyle="1" w:styleId="NIHRCFootnotes">
    <w:name w:val="NIHRC Footnotes"/>
    <w:basedOn w:val="Normal"/>
    <w:qFormat/>
    <w:rsid w:val="004672AC"/>
    <w:pPr>
      <w:tabs>
        <w:tab w:val="left" w:pos="284"/>
      </w:tabs>
    </w:pPr>
    <w:rPr>
      <w:rFonts w:ascii="Verdana" w:hAnsi="Verdana" w:cs="Arial"/>
      <w:color w:val="77328A"/>
      <w:sz w:val="16"/>
      <w:szCs w:val="16"/>
    </w:rPr>
  </w:style>
  <w:style w:type="character" w:styleId="Hyperlink">
    <w:name w:val="Hyperlink"/>
    <w:basedOn w:val="DefaultParagraphFont"/>
    <w:uiPriority w:val="99"/>
    <w:unhideWhenUsed/>
    <w:rsid w:val="00331C61"/>
    <w:rPr>
      <w:color w:val="0000FF" w:themeColor="hyperlink"/>
      <w:u w:val="single"/>
    </w:rPr>
  </w:style>
  <w:style w:type="paragraph" w:styleId="ListParagraph">
    <w:name w:val="List Paragraph"/>
    <w:basedOn w:val="Normal"/>
    <w:uiPriority w:val="34"/>
    <w:qFormat/>
    <w:rsid w:val="00015239"/>
    <w:pPr>
      <w:ind w:left="720"/>
      <w:contextualSpacing/>
    </w:pPr>
  </w:style>
  <w:style w:type="character" w:customStyle="1" w:styleId="Heading2Char">
    <w:name w:val="Heading 2 Char"/>
    <w:basedOn w:val="DefaultParagraphFont"/>
    <w:link w:val="Heading2"/>
    <w:uiPriority w:val="9"/>
    <w:rsid w:val="00C42D0C"/>
    <w:rPr>
      <w:rFonts w:ascii="Verdana" w:eastAsiaTheme="majorEastAsia" w:hAnsi="Verdana" w:cstheme="majorBidi"/>
      <w:b/>
      <w:szCs w:val="26"/>
    </w:rPr>
  </w:style>
  <w:style w:type="character" w:customStyle="1" w:styleId="Heading1Char">
    <w:name w:val="Heading 1 Char"/>
    <w:basedOn w:val="DefaultParagraphFont"/>
    <w:link w:val="Heading1"/>
    <w:uiPriority w:val="9"/>
    <w:rsid w:val="004C7E4D"/>
    <w:rPr>
      <w:rFonts w:ascii="Verdana" w:eastAsiaTheme="majorEastAsia" w:hAnsi="Verdana" w:cstheme="majorBidi"/>
      <w:b/>
      <w:color w:val="77328A"/>
      <w:sz w:val="30"/>
      <w:szCs w:val="32"/>
    </w:rPr>
  </w:style>
  <w:style w:type="character" w:styleId="CommentReference">
    <w:name w:val="annotation reference"/>
    <w:basedOn w:val="DefaultParagraphFont"/>
    <w:uiPriority w:val="99"/>
    <w:semiHidden/>
    <w:unhideWhenUsed/>
    <w:rsid w:val="00F72157"/>
    <w:rPr>
      <w:rFonts w:cs="Times New Roman"/>
      <w:sz w:val="16"/>
      <w:szCs w:val="16"/>
    </w:rPr>
  </w:style>
  <w:style w:type="paragraph" w:styleId="CommentText">
    <w:name w:val="annotation text"/>
    <w:basedOn w:val="Normal"/>
    <w:link w:val="CommentTextChar"/>
    <w:uiPriority w:val="99"/>
    <w:semiHidden/>
    <w:unhideWhenUsed/>
    <w:rsid w:val="00F72157"/>
    <w:pPr>
      <w:spacing w:after="160"/>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F72157"/>
    <w:rPr>
      <w:rFonts w:eastAsia="Times New Roman" w:cs="Times New Roman"/>
      <w:sz w:val="20"/>
      <w:szCs w:val="20"/>
    </w:rPr>
  </w:style>
  <w:style w:type="paragraph" w:styleId="Quote">
    <w:name w:val="Quote"/>
    <w:basedOn w:val="Normal"/>
    <w:next w:val="Normal"/>
    <w:link w:val="QuoteChar"/>
    <w:uiPriority w:val="29"/>
    <w:qFormat/>
    <w:rsid w:val="005230E2"/>
    <w:pPr>
      <w:spacing w:before="200" w:after="160"/>
      <w:ind w:left="864" w:right="864"/>
    </w:pPr>
    <w:rPr>
      <w:rFonts w:ascii="Verdana" w:hAnsi="Verdana"/>
      <w:iCs/>
    </w:rPr>
  </w:style>
  <w:style w:type="character" w:customStyle="1" w:styleId="QuoteChar">
    <w:name w:val="Quote Char"/>
    <w:basedOn w:val="DefaultParagraphFont"/>
    <w:link w:val="Quote"/>
    <w:uiPriority w:val="29"/>
    <w:rsid w:val="005230E2"/>
    <w:rPr>
      <w:rFonts w:ascii="Verdana" w:hAnsi="Verdana"/>
      <w:iCs/>
    </w:rPr>
  </w:style>
  <w:style w:type="paragraph" w:styleId="TOCHeading">
    <w:name w:val="TOC Heading"/>
    <w:basedOn w:val="Heading1"/>
    <w:next w:val="Normal"/>
    <w:uiPriority w:val="39"/>
    <w:unhideWhenUsed/>
    <w:qFormat/>
    <w:rsid w:val="000A1BB2"/>
    <w:pPr>
      <w:spacing w:line="259" w:lineRule="auto"/>
      <w:outlineLvl w:val="9"/>
    </w:pPr>
    <w:rPr>
      <w:rFonts w:asciiTheme="majorHAnsi" w:hAnsiTheme="majorHAnsi"/>
      <w:b w:val="0"/>
      <w:color w:val="365F91" w:themeColor="accent1" w:themeShade="BF"/>
      <w:sz w:val="32"/>
      <w:lang w:val="en-US"/>
    </w:rPr>
  </w:style>
  <w:style w:type="paragraph" w:styleId="TOC1">
    <w:name w:val="toc 1"/>
    <w:basedOn w:val="Normal"/>
    <w:next w:val="Normal"/>
    <w:autoRedefine/>
    <w:uiPriority w:val="39"/>
    <w:unhideWhenUsed/>
    <w:rsid w:val="000A1BB2"/>
    <w:pPr>
      <w:spacing w:after="100"/>
    </w:pPr>
  </w:style>
  <w:style w:type="paragraph" w:styleId="TOC2">
    <w:name w:val="toc 2"/>
    <w:basedOn w:val="Normal"/>
    <w:next w:val="Normal"/>
    <w:autoRedefine/>
    <w:uiPriority w:val="39"/>
    <w:unhideWhenUsed/>
    <w:rsid w:val="000A1BB2"/>
    <w:pPr>
      <w:spacing w:after="100"/>
      <w:ind w:left="240"/>
    </w:pPr>
  </w:style>
  <w:style w:type="paragraph" w:styleId="CommentSubject">
    <w:name w:val="annotation subject"/>
    <w:basedOn w:val="CommentText"/>
    <w:next w:val="CommentText"/>
    <w:link w:val="CommentSubjectChar"/>
    <w:uiPriority w:val="99"/>
    <w:semiHidden/>
    <w:unhideWhenUsed/>
    <w:rsid w:val="00892EA3"/>
    <w:pPr>
      <w:spacing w:after="0"/>
    </w:pPr>
    <w:rPr>
      <w:rFonts w:eastAsiaTheme="minorEastAsia" w:cstheme="minorBidi"/>
      <w:b/>
      <w:bCs/>
    </w:rPr>
  </w:style>
  <w:style w:type="character" w:customStyle="1" w:styleId="CommentSubjectChar">
    <w:name w:val="Comment Subject Char"/>
    <w:basedOn w:val="CommentTextChar"/>
    <w:link w:val="CommentSubject"/>
    <w:uiPriority w:val="99"/>
    <w:semiHidden/>
    <w:rsid w:val="00892EA3"/>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988160">
      <w:bodyDiv w:val="1"/>
      <w:marLeft w:val="0"/>
      <w:marRight w:val="0"/>
      <w:marTop w:val="0"/>
      <w:marBottom w:val="0"/>
      <w:divBdr>
        <w:top w:val="none" w:sz="0" w:space="0" w:color="auto"/>
        <w:left w:val="none" w:sz="0" w:space="0" w:color="auto"/>
        <w:bottom w:val="none" w:sz="0" w:space="0" w:color="auto"/>
        <w:right w:val="none" w:sz="0" w:space="0" w:color="auto"/>
      </w:divBdr>
      <w:divsChild>
        <w:div w:id="1028986289">
          <w:marLeft w:val="0"/>
          <w:marRight w:val="0"/>
          <w:marTop w:val="0"/>
          <w:marBottom w:val="0"/>
          <w:divBdr>
            <w:top w:val="none" w:sz="0" w:space="0" w:color="auto"/>
            <w:left w:val="none" w:sz="0" w:space="0" w:color="auto"/>
            <w:bottom w:val="none" w:sz="0" w:space="0" w:color="auto"/>
            <w:right w:val="none" w:sz="0" w:space="0" w:color="auto"/>
          </w:divBdr>
          <w:divsChild>
            <w:div w:id="1795251692">
              <w:marLeft w:val="0"/>
              <w:marRight w:val="0"/>
              <w:marTop w:val="0"/>
              <w:marBottom w:val="0"/>
              <w:divBdr>
                <w:top w:val="none" w:sz="0" w:space="0" w:color="auto"/>
                <w:left w:val="none" w:sz="0" w:space="0" w:color="auto"/>
                <w:bottom w:val="none" w:sz="0" w:space="0" w:color="auto"/>
                <w:right w:val="none" w:sz="0" w:space="0" w:color="auto"/>
              </w:divBdr>
              <w:divsChild>
                <w:div w:id="146692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85121">
      <w:bodyDiv w:val="1"/>
      <w:marLeft w:val="0"/>
      <w:marRight w:val="0"/>
      <w:marTop w:val="0"/>
      <w:marBottom w:val="0"/>
      <w:divBdr>
        <w:top w:val="none" w:sz="0" w:space="0" w:color="auto"/>
        <w:left w:val="none" w:sz="0" w:space="0" w:color="auto"/>
        <w:bottom w:val="none" w:sz="0" w:space="0" w:color="auto"/>
        <w:right w:val="none" w:sz="0" w:space="0" w:color="auto"/>
      </w:divBdr>
    </w:div>
    <w:div w:id="2006592875">
      <w:bodyDiv w:val="1"/>
      <w:marLeft w:val="0"/>
      <w:marRight w:val="0"/>
      <w:marTop w:val="0"/>
      <w:marBottom w:val="0"/>
      <w:divBdr>
        <w:top w:val="none" w:sz="0" w:space="0" w:color="auto"/>
        <w:left w:val="none" w:sz="0" w:space="0" w:color="auto"/>
        <w:bottom w:val="none" w:sz="0" w:space="0" w:color="auto"/>
        <w:right w:val="none" w:sz="0" w:space="0" w:color="auto"/>
      </w:divBdr>
    </w:div>
    <w:div w:id="2129470764">
      <w:bodyDiv w:val="1"/>
      <w:marLeft w:val="0"/>
      <w:marRight w:val="0"/>
      <w:marTop w:val="0"/>
      <w:marBottom w:val="0"/>
      <w:divBdr>
        <w:top w:val="none" w:sz="0" w:space="0" w:color="auto"/>
        <w:left w:val="none" w:sz="0" w:space="0" w:color="auto"/>
        <w:bottom w:val="none" w:sz="0" w:space="0" w:color="auto"/>
        <w:right w:val="none" w:sz="0" w:space="0" w:color="auto"/>
      </w:divBdr>
      <w:divsChild>
        <w:div w:id="608201235">
          <w:marLeft w:val="0"/>
          <w:marRight w:val="0"/>
          <w:marTop w:val="0"/>
          <w:marBottom w:val="0"/>
          <w:divBdr>
            <w:top w:val="none" w:sz="0" w:space="0" w:color="auto"/>
            <w:left w:val="none" w:sz="0" w:space="0" w:color="auto"/>
            <w:bottom w:val="none" w:sz="0" w:space="0" w:color="auto"/>
            <w:right w:val="none" w:sz="0" w:space="0" w:color="auto"/>
          </w:divBdr>
          <w:divsChild>
            <w:div w:id="248193691">
              <w:marLeft w:val="0"/>
              <w:marRight w:val="0"/>
              <w:marTop w:val="0"/>
              <w:marBottom w:val="0"/>
              <w:divBdr>
                <w:top w:val="none" w:sz="0" w:space="0" w:color="auto"/>
                <w:left w:val="none" w:sz="0" w:space="0" w:color="auto"/>
                <w:bottom w:val="none" w:sz="0" w:space="0" w:color="auto"/>
                <w:right w:val="none" w:sz="0" w:space="0" w:color="auto"/>
              </w:divBdr>
              <w:divsChild>
                <w:div w:id="91771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nihrc.org" TargetMode="External"/><Relationship Id="rId4" Type="http://schemas.openxmlformats.org/officeDocument/2006/relationships/settings" Target="settings.xml"/><Relationship Id="rId9" Type="http://schemas.openxmlformats.org/officeDocument/2006/relationships/hyperlink" Target="http://www.nihrc.org"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maternityaction.org.uk/wp-content/uploads/MA-briefing-on-miscarriage-Feb-2020-1.pdf" TargetMode="External"/><Relationship Id="rId2" Type="http://schemas.openxmlformats.org/officeDocument/2006/relationships/hyperlink" Target="https://perma.cc/K9FU-8AE2" TargetMode="External"/><Relationship Id="rId1" Type="http://schemas.openxmlformats.org/officeDocument/2006/relationships/hyperlink" Target="http://aims.niassembly.gov.uk/officialreport/report.aspx?&amp;eveDate=2021/06/14&amp;docID=3410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42B64-03C9-4B8A-AAD6-1E858D3FF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2359</Words>
  <Characters>13452</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Whitenoise</Company>
  <LinksUpToDate>false</LinksUpToDate>
  <CharactersWithSpaces>15780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McKeown</dc:creator>
  <cp:keywords/>
  <dc:description/>
  <cp:lastModifiedBy>Conor Boyle</cp:lastModifiedBy>
  <cp:revision>2</cp:revision>
  <cp:lastPrinted>2018-04-20T11:30:00Z</cp:lastPrinted>
  <dcterms:created xsi:type="dcterms:W3CDTF">2021-09-01T13:41:00Z</dcterms:created>
  <dcterms:modified xsi:type="dcterms:W3CDTF">2021-09-01T13:41:00Z</dcterms:modified>
</cp:coreProperties>
</file>