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D311E" w14:textId="77777777" w:rsidR="00015718" w:rsidRPr="00387C3F" w:rsidRDefault="00015718" w:rsidP="00015718">
      <w:pPr>
        <w:pStyle w:val="BasicParagraph"/>
        <w:suppressAutoHyphens/>
        <w:jc w:val="center"/>
        <w:rPr>
          <w:rFonts w:ascii="Verdana" w:hAnsi="Verdana" w:cs="Arial"/>
          <w:b/>
          <w:bCs/>
          <w:color w:val="734791"/>
          <w:sz w:val="36"/>
          <w:szCs w:val="36"/>
        </w:rPr>
      </w:pPr>
      <w:bookmarkStart w:id="0" w:name="_Toc118292599"/>
      <w:r w:rsidRPr="00387C3F">
        <w:rPr>
          <w:rFonts w:ascii="Verdana" w:hAnsi="Verdana" w:cs="Arial"/>
          <w:b/>
          <w:bCs/>
          <w:noProof/>
          <w:color w:val="734791"/>
          <w:sz w:val="36"/>
          <w:szCs w:val="36"/>
          <w:lang w:eastAsia="en-GB"/>
        </w:rPr>
        <w:drawing>
          <wp:inline distT="0" distB="0" distL="0" distR="0" wp14:anchorId="49F49AF8" wp14:editId="47E9E60C">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0A9203A6" w14:textId="77777777" w:rsidR="00015718" w:rsidRPr="00387C3F" w:rsidRDefault="00015718" w:rsidP="00015718">
      <w:pPr>
        <w:pStyle w:val="BasicParagraph"/>
        <w:suppressAutoHyphens/>
        <w:jc w:val="center"/>
        <w:rPr>
          <w:rFonts w:ascii="Verdana" w:hAnsi="Verdana" w:cs="Arial"/>
          <w:b/>
          <w:bCs/>
          <w:color w:val="734791"/>
          <w:sz w:val="36"/>
          <w:szCs w:val="36"/>
        </w:rPr>
      </w:pPr>
    </w:p>
    <w:p w14:paraId="1EA2B02D" w14:textId="7E76D491" w:rsidR="00015718" w:rsidRPr="00387C3F" w:rsidRDefault="00375410" w:rsidP="00015718">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Submission</w:t>
      </w:r>
      <w:r w:rsidR="00015718" w:rsidRPr="00387C3F">
        <w:rPr>
          <w:rFonts w:ascii="Verdana" w:hAnsi="Verdana" w:cs="Arial"/>
          <w:b/>
          <w:bCs/>
          <w:color w:val="77328A"/>
          <w:sz w:val="36"/>
          <w:szCs w:val="36"/>
        </w:rPr>
        <w:t xml:space="preserve"> to Joint Committee on Human Rights Inquiry on </w:t>
      </w:r>
      <w:r w:rsidR="004A26BE">
        <w:rPr>
          <w:rFonts w:ascii="Verdana" w:hAnsi="Verdana" w:cs="Arial"/>
          <w:b/>
          <w:bCs/>
          <w:color w:val="77328A"/>
          <w:sz w:val="36"/>
          <w:szCs w:val="36"/>
        </w:rPr>
        <w:t>Illegal Migration Bill</w:t>
      </w:r>
    </w:p>
    <w:p w14:paraId="624D8304" w14:textId="77777777" w:rsidR="00015718" w:rsidRPr="00387C3F" w:rsidRDefault="00015718" w:rsidP="00015718">
      <w:pPr>
        <w:pStyle w:val="Default"/>
        <w:spacing w:line="288" w:lineRule="auto"/>
        <w:jc w:val="center"/>
        <w:rPr>
          <w:rFonts w:cs="Arial"/>
          <w:color w:val="232120"/>
          <w:sz w:val="36"/>
          <w:szCs w:val="36"/>
        </w:rPr>
      </w:pPr>
    </w:p>
    <w:p w14:paraId="52A81408" w14:textId="77777777" w:rsidR="00015718" w:rsidRPr="00387C3F" w:rsidRDefault="00015718" w:rsidP="00015718">
      <w:pPr>
        <w:pStyle w:val="Default"/>
        <w:spacing w:line="288" w:lineRule="auto"/>
        <w:jc w:val="center"/>
        <w:rPr>
          <w:rFonts w:cs="Arial"/>
          <w:color w:val="232120"/>
          <w:sz w:val="36"/>
          <w:szCs w:val="36"/>
        </w:rPr>
      </w:pPr>
    </w:p>
    <w:p w14:paraId="1515601C" w14:textId="77777777" w:rsidR="00015718" w:rsidRPr="00387C3F" w:rsidRDefault="00015718" w:rsidP="00015718">
      <w:pPr>
        <w:pStyle w:val="Default"/>
        <w:spacing w:line="288" w:lineRule="auto"/>
        <w:jc w:val="center"/>
        <w:rPr>
          <w:rFonts w:cs="Arial"/>
          <w:color w:val="232120"/>
          <w:sz w:val="36"/>
          <w:szCs w:val="36"/>
        </w:rPr>
      </w:pPr>
    </w:p>
    <w:p w14:paraId="7014C68B" w14:textId="77777777" w:rsidR="00015718" w:rsidRPr="00387C3F" w:rsidRDefault="00015718" w:rsidP="00015718">
      <w:pPr>
        <w:pStyle w:val="Default"/>
        <w:spacing w:line="288" w:lineRule="auto"/>
        <w:jc w:val="center"/>
        <w:rPr>
          <w:rFonts w:cs="Arial"/>
          <w:color w:val="232120"/>
          <w:sz w:val="36"/>
          <w:szCs w:val="36"/>
        </w:rPr>
      </w:pPr>
    </w:p>
    <w:p w14:paraId="6811C16C" w14:textId="77777777" w:rsidR="00015718" w:rsidRPr="00387C3F" w:rsidRDefault="00015718" w:rsidP="00015718">
      <w:pPr>
        <w:pStyle w:val="Default"/>
        <w:spacing w:line="288" w:lineRule="auto"/>
        <w:jc w:val="center"/>
        <w:rPr>
          <w:rFonts w:cs="Arial"/>
          <w:color w:val="232120"/>
          <w:sz w:val="36"/>
          <w:szCs w:val="36"/>
        </w:rPr>
      </w:pPr>
    </w:p>
    <w:p w14:paraId="0C36410D" w14:textId="77777777" w:rsidR="00015718" w:rsidRPr="00387C3F" w:rsidRDefault="00015718" w:rsidP="00015718">
      <w:pPr>
        <w:pStyle w:val="Default"/>
        <w:spacing w:line="288" w:lineRule="auto"/>
        <w:jc w:val="center"/>
        <w:rPr>
          <w:rFonts w:cs="Arial"/>
          <w:color w:val="232120"/>
          <w:sz w:val="36"/>
          <w:szCs w:val="36"/>
        </w:rPr>
      </w:pPr>
    </w:p>
    <w:p w14:paraId="186A4A05" w14:textId="74277F30" w:rsidR="00015718" w:rsidRPr="00387C3F" w:rsidRDefault="004A26BE" w:rsidP="00015718">
      <w:pPr>
        <w:jc w:val="center"/>
        <w:rPr>
          <w:rFonts w:cs="Arial"/>
          <w:b/>
          <w:color w:val="232120"/>
          <w:sz w:val="30"/>
          <w:szCs w:val="30"/>
        </w:rPr>
      </w:pPr>
      <w:r>
        <w:rPr>
          <w:rFonts w:cs="Arial"/>
          <w:b/>
          <w:color w:val="232120"/>
          <w:sz w:val="30"/>
          <w:szCs w:val="30"/>
        </w:rPr>
        <w:t xml:space="preserve">April </w:t>
      </w:r>
      <w:r w:rsidR="00015718" w:rsidRPr="00387C3F">
        <w:rPr>
          <w:rFonts w:cs="Arial"/>
          <w:b/>
          <w:color w:val="232120"/>
          <w:sz w:val="30"/>
          <w:szCs w:val="30"/>
        </w:rPr>
        <w:t>2023</w:t>
      </w:r>
    </w:p>
    <w:p w14:paraId="40A6616E" w14:textId="77777777" w:rsidR="00015718" w:rsidRPr="00387C3F" w:rsidRDefault="00015718" w:rsidP="00015718"/>
    <w:p w14:paraId="56151385" w14:textId="77777777" w:rsidR="003F60F5" w:rsidRPr="00387C3F" w:rsidRDefault="003F60F5" w:rsidP="003F60F5"/>
    <w:p w14:paraId="3F07405E" w14:textId="77777777" w:rsidR="00015718" w:rsidRPr="00387C3F" w:rsidRDefault="00015718">
      <w:pPr>
        <w:rPr>
          <w:rFonts w:eastAsiaTheme="majorEastAsia" w:cstheme="majorBidi"/>
          <w:b/>
          <w:szCs w:val="26"/>
        </w:rPr>
      </w:pPr>
      <w:bookmarkStart w:id="1" w:name="_Toc121392669"/>
      <w:r w:rsidRPr="00387C3F">
        <w:br w:type="page"/>
      </w:r>
    </w:p>
    <w:bookmarkStart w:id="2" w:name="_Toc131676081" w:displacedByCustomXml="next"/>
    <w:sdt>
      <w:sdtPr>
        <w:rPr>
          <w:rFonts w:eastAsiaTheme="minorEastAsia" w:cstheme="minorBidi"/>
          <w:b w:val="0"/>
          <w:color w:val="auto"/>
          <w:sz w:val="24"/>
          <w:szCs w:val="24"/>
        </w:rPr>
        <w:id w:val="504181103"/>
        <w:docPartObj>
          <w:docPartGallery w:val="Table of Contents"/>
          <w:docPartUnique/>
        </w:docPartObj>
      </w:sdtPr>
      <w:sdtEndPr>
        <w:rPr>
          <w:bCs/>
          <w:noProof/>
        </w:rPr>
      </w:sdtEndPr>
      <w:sdtContent>
        <w:p w14:paraId="4456DCF5" w14:textId="5E3A599A" w:rsidR="00A250D0" w:rsidRPr="00387C3F" w:rsidRDefault="00A250D0" w:rsidP="00C231F7">
          <w:pPr>
            <w:pStyle w:val="Heading1"/>
            <w:numPr>
              <w:ilvl w:val="0"/>
              <w:numId w:val="0"/>
            </w:numPr>
            <w:ind w:left="720" w:hanging="720"/>
          </w:pPr>
          <w:r w:rsidRPr="00387C3F">
            <w:t>Table of Contents</w:t>
          </w:r>
          <w:bookmarkEnd w:id="2"/>
        </w:p>
        <w:p w14:paraId="7F8C4E3F" w14:textId="77777777" w:rsidR="00A250D0" w:rsidRPr="00387C3F" w:rsidRDefault="00A250D0" w:rsidP="00A250D0">
          <w:pPr>
            <w:rPr>
              <w:lang w:val="en-US"/>
            </w:rPr>
          </w:pPr>
        </w:p>
        <w:p w14:paraId="5988ED17" w14:textId="70303772" w:rsidR="0005316F" w:rsidRDefault="00A250D0">
          <w:pPr>
            <w:pStyle w:val="TOC1"/>
            <w:rPr>
              <w:rFonts w:asciiTheme="minorHAnsi" w:hAnsiTheme="minorHAnsi"/>
              <w:b w:val="0"/>
              <w:bCs w:val="0"/>
              <w:sz w:val="22"/>
              <w:szCs w:val="22"/>
              <w:lang w:eastAsia="en-GB"/>
            </w:rPr>
          </w:pPr>
          <w:r w:rsidRPr="00387C3F">
            <w:fldChar w:fldCharType="begin"/>
          </w:r>
          <w:r w:rsidRPr="00387C3F">
            <w:instrText xml:space="preserve"> TOC \o "1-3" \h \z \u </w:instrText>
          </w:r>
          <w:r w:rsidRPr="00387C3F">
            <w:fldChar w:fldCharType="separate"/>
          </w:r>
          <w:hyperlink w:anchor="_Toc131676081" w:history="1">
            <w:r w:rsidR="0005316F" w:rsidRPr="003A5686">
              <w:rPr>
                <w:rStyle w:val="Hyperlink"/>
              </w:rPr>
              <w:t>Table of Contents</w:t>
            </w:r>
            <w:r w:rsidR="0005316F">
              <w:rPr>
                <w:webHidden/>
              </w:rPr>
              <w:tab/>
            </w:r>
            <w:r w:rsidR="0005316F">
              <w:rPr>
                <w:webHidden/>
              </w:rPr>
              <w:fldChar w:fldCharType="begin"/>
            </w:r>
            <w:r w:rsidR="0005316F">
              <w:rPr>
                <w:webHidden/>
              </w:rPr>
              <w:instrText xml:space="preserve"> PAGEREF _Toc131676081 \h </w:instrText>
            </w:r>
            <w:r w:rsidR="0005316F">
              <w:rPr>
                <w:webHidden/>
              </w:rPr>
            </w:r>
            <w:r w:rsidR="0005316F">
              <w:rPr>
                <w:webHidden/>
              </w:rPr>
              <w:fldChar w:fldCharType="separate"/>
            </w:r>
            <w:r w:rsidR="009A26E4">
              <w:rPr>
                <w:webHidden/>
              </w:rPr>
              <w:t>2</w:t>
            </w:r>
            <w:r w:rsidR="0005316F">
              <w:rPr>
                <w:webHidden/>
              </w:rPr>
              <w:fldChar w:fldCharType="end"/>
            </w:r>
          </w:hyperlink>
        </w:p>
        <w:p w14:paraId="74FC60EC" w14:textId="0CFBF70F" w:rsidR="0005316F" w:rsidRDefault="00000000">
          <w:pPr>
            <w:pStyle w:val="TOC1"/>
            <w:rPr>
              <w:rFonts w:asciiTheme="minorHAnsi" w:hAnsiTheme="minorHAnsi"/>
              <w:b w:val="0"/>
              <w:bCs w:val="0"/>
              <w:sz w:val="22"/>
              <w:szCs w:val="22"/>
              <w:lang w:eastAsia="en-GB"/>
            </w:rPr>
          </w:pPr>
          <w:hyperlink w:anchor="_Toc131676082" w:history="1">
            <w:r w:rsidR="0005316F" w:rsidRPr="003A5686">
              <w:rPr>
                <w:rStyle w:val="Hyperlink"/>
              </w:rPr>
              <w:t>1.0</w:t>
            </w:r>
            <w:r w:rsidR="0005316F">
              <w:rPr>
                <w:rFonts w:asciiTheme="minorHAnsi" w:hAnsiTheme="minorHAnsi"/>
                <w:b w:val="0"/>
                <w:bCs w:val="0"/>
                <w:sz w:val="22"/>
                <w:szCs w:val="22"/>
                <w:lang w:eastAsia="en-GB"/>
              </w:rPr>
              <w:tab/>
            </w:r>
            <w:r w:rsidR="0005316F" w:rsidRPr="003A5686">
              <w:rPr>
                <w:rStyle w:val="Hyperlink"/>
              </w:rPr>
              <w:t>Introduction</w:t>
            </w:r>
            <w:r w:rsidR="0005316F">
              <w:rPr>
                <w:webHidden/>
              </w:rPr>
              <w:tab/>
            </w:r>
            <w:r w:rsidR="0005316F">
              <w:rPr>
                <w:webHidden/>
              </w:rPr>
              <w:fldChar w:fldCharType="begin"/>
            </w:r>
            <w:r w:rsidR="0005316F">
              <w:rPr>
                <w:webHidden/>
              </w:rPr>
              <w:instrText xml:space="preserve"> PAGEREF _Toc131676082 \h </w:instrText>
            </w:r>
            <w:r w:rsidR="0005316F">
              <w:rPr>
                <w:webHidden/>
              </w:rPr>
            </w:r>
            <w:r w:rsidR="0005316F">
              <w:rPr>
                <w:webHidden/>
              </w:rPr>
              <w:fldChar w:fldCharType="separate"/>
            </w:r>
            <w:r w:rsidR="009A26E4">
              <w:rPr>
                <w:webHidden/>
              </w:rPr>
              <w:t>3</w:t>
            </w:r>
            <w:r w:rsidR="0005316F">
              <w:rPr>
                <w:webHidden/>
              </w:rPr>
              <w:fldChar w:fldCharType="end"/>
            </w:r>
          </w:hyperlink>
        </w:p>
        <w:p w14:paraId="111F2836" w14:textId="2875065D" w:rsidR="0005316F" w:rsidRDefault="00000000">
          <w:pPr>
            <w:pStyle w:val="TOC1"/>
            <w:rPr>
              <w:rFonts w:asciiTheme="minorHAnsi" w:hAnsiTheme="minorHAnsi"/>
              <w:b w:val="0"/>
              <w:bCs w:val="0"/>
              <w:sz w:val="22"/>
              <w:szCs w:val="22"/>
              <w:lang w:eastAsia="en-GB"/>
            </w:rPr>
          </w:pPr>
          <w:hyperlink w:anchor="_Toc131676083" w:history="1">
            <w:r w:rsidR="0005316F" w:rsidRPr="003A5686">
              <w:rPr>
                <w:rStyle w:val="Hyperlink"/>
              </w:rPr>
              <w:t>2.0</w:t>
            </w:r>
            <w:r w:rsidR="0005316F">
              <w:rPr>
                <w:rFonts w:asciiTheme="minorHAnsi" w:hAnsiTheme="minorHAnsi"/>
                <w:b w:val="0"/>
                <w:bCs w:val="0"/>
                <w:sz w:val="22"/>
                <w:szCs w:val="22"/>
                <w:lang w:eastAsia="en-GB"/>
              </w:rPr>
              <w:tab/>
            </w:r>
            <w:r w:rsidR="0005316F" w:rsidRPr="003A5686">
              <w:rPr>
                <w:rStyle w:val="Hyperlink"/>
              </w:rPr>
              <w:t>General Comments</w:t>
            </w:r>
            <w:r w:rsidR="0005316F">
              <w:rPr>
                <w:webHidden/>
              </w:rPr>
              <w:tab/>
            </w:r>
            <w:r w:rsidR="0005316F">
              <w:rPr>
                <w:webHidden/>
              </w:rPr>
              <w:fldChar w:fldCharType="begin"/>
            </w:r>
            <w:r w:rsidR="0005316F">
              <w:rPr>
                <w:webHidden/>
              </w:rPr>
              <w:instrText xml:space="preserve"> PAGEREF _Toc131676083 \h </w:instrText>
            </w:r>
            <w:r w:rsidR="0005316F">
              <w:rPr>
                <w:webHidden/>
              </w:rPr>
            </w:r>
            <w:r w:rsidR="0005316F">
              <w:rPr>
                <w:webHidden/>
              </w:rPr>
              <w:fldChar w:fldCharType="separate"/>
            </w:r>
            <w:r w:rsidR="009A26E4">
              <w:rPr>
                <w:webHidden/>
              </w:rPr>
              <w:t>3</w:t>
            </w:r>
            <w:r w:rsidR="0005316F">
              <w:rPr>
                <w:webHidden/>
              </w:rPr>
              <w:fldChar w:fldCharType="end"/>
            </w:r>
          </w:hyperlink>
        </w:p>
        <w:p w14:paraId="73565770" w14:textId="110E2669" w:rsidR="0005316F" w:rsidRDefault="00000000">
          <w:pPr>
            <w:pStyle w:val="TOC2"/>
            <w:tabs>
              <w:tab w:val="right" w:leader="dot" w:pos="9016"/>
            </w:tabs>
            <w:rPr>
              <w:rFonts w:asciiTheme="minorHAnsi" w:hAnsiTheme="minorHAnsi"/>
              <w:noProof/>
              <w:sz w:val="22"/>
              <w:szCs w:val="22"/>
              <w:lang w:eastAsia="en-GB"/>
            </w:rPr>
          </w:pPr>
          <w:hyperlink w:anchor="_Toc131676084" w:history="1">
            <w:r w:rsidR="0005316F" w:rsidRPr="003A5686">
              <w:rPr>
                <w:rStyle w:val="Hyperlink"/>
                <w:noProof/>
              </w:rPr>
              <w:t>Foundational human rights principles</w:t>
            </w:r>
            <w:r w:rsidR="0005316F">
              <w:rPr>
                <w:noProof/>
                <w:webHidden/>
              </w:rPr>
              <w:tab/>
            </w:r>
            <w:r w:rsidR="0005316F">
              <w:rPr>
                <w:noProof/>
                <w:webHidden/>
              </w:rPr>
              <w:fldChar w:fldCharType="begin"/>
            </w:r>
            <w:r w:rsidR="0005316F">
              <w:rPr>
                <w:noProof/>
                <w:webHidden/>
              </w:rPr>
              <w:instrText xml:space="preserve"> PAGEREF _Toc131676084 \h </w:instrText>
            </w:r>
            <w:r w:rsidR="0005316F">
              <w:rPr>
                <w:noProof/>
                <w:webHidden/>
              </w:rPr>
            </w:r>
            <w:r w:rsidR="0005316F">
              <w:rPr>
                <w:noProof/>
                <w:webHidden/>
              </w:rPr>
              <w:fldChar w:fldCharType="separate"/>
            </w:r>
            <w:r w:rsidR="009A26E4">
              <w:rPr>
                <w:noProof/>
                <w:webHidden/>
              </w:rPr>
              <w:t>3</w:t>
            </w:r>
            <w:r w:rsidR="0005316F">
              <w:rPr>
                <w:noProof/>
                <w:webHidden/>
              </w:rPr>
              <w:fldChar w:fldCharType="end"/>
            </w:r>
          </w:hyperlink>
        </w:p>
        <w:p w14:paraId="526549E4" w14:textId="60F10255" w:rsidR="0005316F" w:rsidRDefault="00000000">
          <w:pPr>
            <w:pStyle w:val="TOC2"/>
            <w:tabs>
              <w:tab w:val="right" w:leader="dot" w:pos="9016"/>
            </w:tabs>
            <w:rPr>
              <w:rFonts w:asciiTheme="minorHAnsi" w:hAnsiTheme="minorHAnsi"/>
              <w:noProof/>
              <w:sz w:val="22"/>
              <w:szCs w:val="22"/>
              <w:lang w:eastAsia="en-GB"/>
            </w:rPr>
          </w:pPr>
          <w:hyperlink w:anchor="_Toc131676085" w:history="1">
            <w:r w:rsidR="0005316F" w:rsidRPr="003A5686">
              <w:rPr>
                <w:rStyle w:val="Hyperlink"/>
                <w:noProof/>
              </w:rPr>
              <w:t>Removal to a third country</w:t>
            </w:r>
            <w:r w:rsidR="0005316F">
              <w:rPr>
                <w:noProof/>
                <w:webHidden/>
              </w:rPr>
              <w:tab/>
            </w:r>
            <w:r w:rsidR="0005316F">
              <w:rPr>
                <w:noProof/>
                <w:webHidden/>
              </w:rPr>
              <w:fldChar w:fldCharType="begin"/>
            </w:r>
            <w:r w:rsidR="0005316F">
              <w:rPr>
                <w:noProof/>
                <w:webHidden/>
              </w:rPr>
              <w:instrText xml:space="preserve"> PAGEREF _Toc131676085 \h </w:instrText>
            </w:r>
            <w:r w:rsidR="0005316F">
              <w:rPr>
                <w:noProof/>
                <w:webHidden/>
              </w:rPr>
            </w:r>
            <w:r w:rsidR="0005316F">
              <w:rPr>
                <w:noProof/>
                <w:webHidden/>
              </w:rPr>
              <w:fldChar w:fldCharType="separate"/>
            </w:r>
            <w:r w:rsidR="009A26E4">
              <w:rPr>
                <w:noProof/>
                <w:webHidden/>
              </w:rPr>
              <w:t>5</w:t>
            </w:r>
            <w:r w:rsidR="0005316F">
              <w:rPr>
                <w:noProof/>
                <w:webHidden/>
              </w:rPr>
              <w:fldChar w:fldCharType="end"/>
            </w:r>
          </w:hyperlink>
        </w:p>
        <w:p w14:paraId="12D08061" w14:textId="4B7A7CD9" w:rsidR="0005316F" w:rsidRDefault="00000000">
          <w:pPr>
            <w:pStyle w:val="TOC2"/>
            <w:tabs>
              <w:tab w:val="right" w:leader="dot" w:pos="9016"/>
            </w:tabs>
            <w:rPr>
              <w:rFonts w:asciiTheme="minorHAnsi" w:hAnsiTheme="minorHAnsi"/>
              <w:noProof/>
              <w:sz w:val="22"/>
              <w:szCs w:val="22"/>
              <w:lang w:eastAsia="en-GB"/>
            </w:rPr>
          </w:pPr>
          <w:hyperlink w:anchor="_Toc131676086" w:history="1">
            <w:r w:rsidR="0005316F" w:rsidRPr="003A5686">
              <w:rPr>
                <w:rStyle w:val="Hyperlink"/>
                <w:noProof/>
              </w:rPr>
              <w:t>Compliance with the ‘no diminution of rights’ commitment in Article 2 of the Windsor Framework</w:t>
            </w:r>
            <w:r w:rsidR="0005316F">
              <w:rPr>
                <w:noProof/>
                <w:webHidden/>
              </w:rPr>
              <w:tab/>
            </w:r>
            <w:r w:rsidR="0005316F">
              <w:rPr>
                <w:noProof/>
                <w:webHidden/>
              </w:rPr>
              <w:fldChar w:fldCharType="begin"/>
            </w:r>
            <w:r w:rsidR="0005316F">
              <w:rPr>
                <w:noProof/>
                <w:webHidden/>
              </w:rPr>
              <w:instrText xml:space="preserve"> PAGEREF _Toc131676086 \h </w:instrText>
            </w:r>
            <w:r w:rsidR="0005316F">
              <w:rPr>
                <w:noProof/>
                <w:webHidden/>
              </w:rPr>
            </w:r>
            <w:r w:rsidR="0005316F">
              <w:rPr>
                <w:noProof/>
                <w:webHidden/>
              </w:rPr>
              <w:fldChar w:fldCharType="separate"/>
            </w:r>
            <w:r w:rsidR="009A26E4">
              <w:rPr>
                <w:noProof/>
                <w:webHidden/>
              </w:rPr>
              <w:t>7</w:t>
            </w:r>
            <w:r w:rsidR="0005316F">
              <w:rPr>
                <w:noProof/>
                <w:webHidden/>
              </w:rPr>
              <w:fldChar w:fldCharType="end"/>
            </w:r>
          </w:hyperlink>
        </w:p>
        <w:p w14:paraId="63D9C6D4" w14:textId="6D32E44C" w:rsidR="0005316F" w:rsidRDefault="00000000">
          <w:pPr>
            <w:pStyle w:val="TOC2"/>
            <w:tabs>
              <w:tab w:val="right" w:leader="dot" w:pos="9016"/>
            </w:tabs>
            <w:rPr>
              <w:rFonts w:asciiTheme="minorHAnsi" w:hAnsiTheme="minorHAnsi"/>
              <w:noProof/>
              <w:sz w:val="22"/>
              <w:szCs w:val="22"/>
              <w:lang w:eastAsia="en-GB"/>
            </w:rPr>
          </w:pPr>
          <w:hyperlink w:anchor="_Toc131676087" w:history="1">
            <w:r w:rsidR="0005316F" w:rsidRPr="003A5686">
              <w:rPr>
                <w:rStyle w:val="Hyperlink"/>
                <w:noProof/>
              </w:rPr>
              <w:t>Clause 1(5): Disapplication of section 3 of the Human Rights Act 1998</w:t>
            </w:r>
            <w:r w:rsidR="0005316F">
              <w:rPr>
                <w:noProof/>
                <w:webHidden/>
              </w:rPr>
              <w:tab/>
            </w:r>
            <w:r w:rsidR="0005316F">
              <w:rPr>
                <w:noProof/>
                <w:webHidden/>
              </w:rPr>
              <w:fldChar w:fldCharType="begin"/>
            </w:r>
            <w:r w:rsidR="0005316F">
              <w:rPr>
                <w:noProof/>
                <w:webHidden/>
              </w:rPr>
              <w:instrText xml:space="preserve"> PAGEREF _Toc131676087 \h </w:instrText>
            </w:r>
            <w:r w:rsidR="0005316F">
              <w:rPr>
                <w:noProof/>
                <w:webHidden/>
              </w:rPr>
            </w:r>
            <w:r w:rsidR="0005316F">
              <w:rPr>
                <w:noProof/>
                <w:webHidden/>
              </w:rPr>
              <w:fldChar w:fldCharType="separate"/>
            </w:r>
            <w:r w:rsidR="009A26E4">
              <w:rPr>
                <w:noProof/>
                <w:webHidden/>
              </w:rPr>
              <w:t>10</w:t>
            </w:r>
            <w:r w:rsidR="0005316F">
              <w:rPr>
                <w:noProof/>
                <w:webHidden/>
              </w:rPr>
              <w:fldChar w:fldCharType="end"/>
            </w:r>
          </w:hyperlink>
        </w:p>
        <w:p w14:paraId="34AD98B2" w14:textId="7C0EA360" w:rsidR="0005316F" w:rsidRDefault="00000000">
          <w:pPr>
            <w:pStyle w:val="TOC1"/>
            <w:rPr>
              <w:rFonts w:asciiTheme="minorHAnsi" w:hAnsiTheme="minorHAnsi"/>
              <w:b w:val="0"/>
              <w:bCs w:val="0"/>
              <w:sz w:val="22"/>
              <w:szCs w:val="22"/>
              <w:lang w:eastAsia="en-GB"/>
            </w:rPr>
          </w:pPr>
          <w:hyperlink w:anchor="_Toc131676088" w:history="1">
            <w:r w:rsidR="0005316F" w:rsidRPr="003A5686">
              <w:rPr>
                <w:rStyle w:val="Hyperlink"/>
              </w:rPr>
              <w:t>3.0</w:t>
            </w:r>
            <w:r w:rsidR="0005316F">
              <w:rPr>
                <w:rFonts w:asciiTheme="minorHAnsi" w:hAnsiTheme="minorHAnsi"/>
                <w:b w:val="0"/>
                <w:bCs w:val="0"/>
                <w:sz w:val="22"/>
                <w:szCs w:val="22"/>
                <w:lang w:eastAsia="en-GB"/>
              </w:rPr>
              <w:tab/>
            </w:r>
            <w:r w:rsidR="0005316F" w:rsidRPr="003A5686">
              <w:rPr>
                <w:rStyle w:val="Hyperlink"/>
              </w:rPr>
              <w:t>Duty to Make Arrangements for Removal</w:t>
            </w:r>
            <w:r w:rsidR="0005316F">
              <w:rPr>
                <w:webHidden/>
              </w:rPr>
              <w:tab/>
            </w:r>
            <w:r w:rsidR="0005316F">
              <w:rPr>
                <w:webHidden/>
              </w:rPr>
              <w:fldChar w:fldCharType="begin"/>
            </w:r>
            <w:r w:rsidR="0005316F">
              <w:rPr>
                <w:webHidden/>
              </w:rPr>
              <w:instrText xml:space="preserve"> PAGEREF _Toc131676088 \h </w:instrText>
            </w:r>
            <w:r w:rsidR="0005316F">
              <w:rPr>
                <w:webHidden/>
              </w:rPr>
            </w:r>
            <w:r w:rsidR="0005316F">
              <w:rPr>
                <w:webHidden/>
              </w:rPr>
              <w:fldChar w:fldCharType="separate"/>
            </w:r>
            <w:r w:rsidR="009A26E4">
              <w:rPr>
                <w:webHidden/>
              </w:rPr>
              <w:t>11</w:t>
            </w:r>
            <w:r w:rsidR="0005316F">
              <w:rPr>
                <w:webHidden/>
              </w:rPr>
              <w:fldChar w:fldCharType="end"/>
            </w:r>
          </w:hyperlink>
        </w:p>
        <w:p w14:paraId="02C7AACD" w14:textId="5490055C" w:rsidR="0005316F" w:rsidRDefault="00000000">
          <w:pPr>
            <w:pStyle w:val="TOC2"/>
            <w:tabs>
              <w:tab w:val="right" w:leader="dot" w:pos="9016"/>
            </w:tabs>
            <w:rPr>
              <w:rFonts w:asciiTheme="minorHAnsi" w:hAnsiTheme="minorHAnsi"/>
              <w:noProof/>
              <w:sz w:val="22"/>
              <w:szCs w:val="22"/>
              <w:lang w:eastAsia="en-GB"/>
            </w:rPr>
          </w:pPr>
          <w:hyperlink w:anchor="_Toc131676089" w:history="1">
            <w:r w:rsidR="0005316F" w:rsidRPr="003A5686">
              <w:rPr>
                <w:rStyle w:val="Hyperlink"/>
                <w:noProof/>
              </w:rPr>
              <w:t>Clauses 4, 5, 15 and 21: Retrospective effect</w:t>
            </w:r>
            <w:r w:rsidR="0005316F">
              <w:rPr>
                <w:noProof/>
                <w:webHidden/>
              </w:rPr>
              <w:tab/>
            </w:r>
            <w:r w:rsidR="0005316F">
              <w:rPr>
                <w:noProof/>
                <w:webHidden/>
              </w:rPr>
              <w:fldChar w:fldCharType="begin"/>
            </w:r>
            <w:r w:rsidR="0005316F">
              <w:rPr>
                <w:noProof/>
                <w:webHidden/>
              </w:rPr>
              <w:instrText xml:space="preserve"> PAGEREF _Toc131676089 \h </w:instrText>
            </w:r>
            <w:r w:rsidR="0005316F">
              <w:rPr>
                <w:noProof/>
                <w:webHidden/>
              </w:rPr>
            </w:r>
            <w:r w:rsidR="0005316F">
              <w:rPr>
                <w:noProof/>
                <w:webHidden/>
              </w:rPr>
              <w:fldChar w:fldCharType="separate"/>
            </w:r>
            <w:r w:rsidR="009A26E4">
              <w:rPr>
                <w:noProof/>
                <w:webHidden/>
              </w:rPr>
              <w:t>11</w:t>
            </w:r>
            <w:r w:rsidR="0005316F">
              <w:rPr>
                <w:noProof/>
                <w:webHidden/>
              </w:rPr>
              <w:fldChar w:fldCharType="end"/>
            </w:r>
          </w:hyperlink>
        </w:p>
        <w:p w14:paraId="40F02E8C" w14:textId="5AAFAC0A" w:rsidR="0005316F" w:rsidRDefault="00000000">
          <w:pPr>
            <w:pStyle w:val="TOC1"/>
            <w:rPr>
              <w:rFonts w:asciiTheme="minorHAnsi" w:hAnsiTheme="minorHAnsi"/>
              <w:b w:val="0"/>
              <w:bCs w:val="0"/>
              <w:sz w:val="22"/>
              <w:szCs w:val="22"/>
              <w:lang w:eastAsia="en-GB"/>
            </w:rPr>
          </w:pPr>
          <w:hyperlink w:anchor="_Toc131676090" w:history="1">
            <w:r w:rsidR="0005316F" w:rsidRPr="003A5686">
              <w:rPr>
                <w:rStyle w:val="Hyperlink"/>
              </w:rPr>
              <w:t>4.0</w:t>
            </w:r>
            <w:r w:rsidR="0005316F">
              <w:rPr>
                <w:rFonts w:asciiTheme="minorHAnsi" w:hAnsiTheme="minorHAnsi"/>
                <w:b w:val="0"/>
                <w:bCs w:val="0"/>
                <w:sz w:val="22"/>
                <w:szCs w:val="22"/>
                <w:lang w:eastAsia="en-GB"/>
              </w:rPr>
              <w:tab/>
            </w:r>
            <w:r w:rsidR="0005316F" w:rsidRPr="003A5686">
              <w:rPr>
                <w:rStyle w:val="Hyperlink"/>
              </w:rPr>
              <w:t>Detention and bail</w:t>
            </w:r>
            <w:r w:rsidR="0005316F">
              <w:rPr>
                <w:webHidden/>
              </w:rPr>
              <w:tab/>
            </w:r>
            <w:r w:rsidR="0005316F">
              <w:rPr>
                <w:webHidden/>
              </w:rPr>
              <w:fldChar w:fldCharType="begin"/>
            </w:r>
            <w:r w:rsidR="0005316F">
              <w:rPr>
                <w:webHidden/>
              </w:rPr>
              <w:instrText xml:space="preserve"> PAGEREF _Toc131676090 \h </w:instrText>
            </w:r>
            <w:r w:rsidR="0005316F">
              <w:rPr>
                <w:webHidden/>
              </w:rPr>
            </w:r>
            <w:r w:rsidR="0005316F">
              <w:rPr>
                <w:webHidden/>
              </w:rPr>
              <w:fldChar w:fldCharType="separate"/>
            </w:r>
            <w:r w:rsidR="009A26E4">
              <w:rPr>
                <w:webHidden/>
              </w:rPr>
              <w:t>12</w:t>
            </w:r>
            <w:r w:rsidR="0005316F">
              <w:rPr>
                <w:webHidden/>
              </w:rPr>
              <w:fldChar w:fldCharType="end"/>
            </w:r>
          </w:hyperlink>
        </w:p>
        <w:p w14:paraId="593693EA" w14:textId="4A55B60D" w:rsidR="0005316F" w:rsidRDefault="00000000">
          <w:pPr>
            <w:pStyle w:val="TOC1"/>
            <w:rPr>
              <w:rFonts w:asciiTheme="minorHAnsi" w:hAnsiTheme="minorHAnsi"/>
              <w:b w:val="0"/>
              <w:bCs w:val="0"/>
              <w:sz w:val="22"/>
              <w:szCs w:val="22"/>
              <w:lang w:eastAsia="en-GB"/>
            </w:rPr>
          </w:pPr>
          <w:hyperlink w:anchor="_Toc131676091" w:history="1">
            <w:r w:rsidR="0005316F" w:rsidRPr="003A5686">
              <w:rPr>
                <w:rStyle w:val="Hyperlink"/>
              </w:rPr>
              <w:t>5.0</w:t>
            </w:r>
            <w:r w:rsidR="0005316F">
              <w:rPr>
                <w:rFonts w:asciiTheme="minorHAnsi" w:hAnsiTheme="minorHAnsi"/>
                <w:b w:val="0"/>
                <w:bCs w:val="0"/>
                <w:sz w:val="22"/>
                <w:szCs w:val="22"/>
                <w:lang w:eastAsia="en-GB"/>
              </w:rPr>
              <w:tab/>
            </w:r>
            <w:r w:rsidR="0005316F" w:rsidRPr="003A5686">
              <w:rPr>
                <w:rStyle w:val="Hyperlink"/>
              </w:rPr>
              <w:t>Children</w:t>
            </w:r>
            <w:r w:rsidR="0005316F">
              <w:rPr>
                <w:webHidden/>
              </w:rPr>
              <w:tab/>
            </w:r>
            <w:r w:rsidR="0005316F">
              <w:rPr>
                <w:webHidden/>
              </w:rPr>
              <w:fldChar w:fldCharType="begin"/>
            </w:r>
            <w:r w:rsidR="0005316F">
              <w:rPr>
                <w:webHidden/>
              </w:rPr>
              <w:instrText xml:space="preserve"> PAGEREF _Toc131676091 \h </w:instrText>
            </w:r>
            <w:r w:rsidR="0005316F">
              <w:rPr>
                <w:webHidden/>
              </w:rPr>
            </w:r>
            <w:r w:rsidR="0005316F">
              <w:rPr>
                <w:webHidden/>
              </w:rPr>
              <w:fldChar w:fldCharType="separate"/>
            </w:r>
            <w:r w:rsidR="009A26E4">
              <w:rPr>
                <w:webHidden/>
              </w:rPr>
              <w:t>13</w:t>
            </w:r>
            <w:r w:rsidR="0005316F">
              <w:rPr>
                <w:webHidden/>
              </w:rPr>
              <w:fldChar w:fldCharType="end"/>
            </w:r>
          </w:hyperlink>
        </w:p>
        <w:p w14:paraId="1DD56DCC" w14:textId="116E7CBC" w:rsidR="0005316F" w:rsidRDefault="00000000">
          <w:pPr>
            <w:pStyle w:val="TOC2"/>
            <w:tabs>
              <w:tab w:val="right" w:leader="dot" w:pos="9016"/>
            </w:tabs>
            <w:rPr>
              <w:rFonts w:asciiTheme="minorHAnsi" w:hAnsiTheme="minorHAnsi"/>
              <w:noProof/>
              <w:sz w:val="22"/>
              <w:szCs w:val="22"/>
              <w:lang w:eastAsia="en-GB"/>
            </w:rPr>
          </w:pPr>
          <w:hyperlink w:anchor="_Toc131676092" w:history="1">
            <w:r w:rsidR="0005316F" w:rsidRPr="003A5686">
              <w:rPr>
                <w:rStyle w:val="Hyperlink"/>
                <w:noProof/>
              </w:rPr>
              <w:t>Clause 3: Unaccompanied children</w:t>
            </w:r>
            <w:r w:rsidR="0005316F">
              <w:rPr>
                <w:noProof/>
                <w:webHidden/>
              </w:rPr>
              <w:tab/>
            </w:r>
            <w:r w:rsidR="0005316F">
              <w:rPr>
                <w:noProof/>
                <w:webHidden/>
              </w:rPr>
              <w:fldChar w:fldCharType="begin"/>
            </w:r>
            <w:r w:rsidR="0005316F">
              <w:rPr>
                <w:noProof/>
                <w:webHidden/>
              </w:rPr>
              <w:instrText xml:space="preserve"> PAGEREF _Toc131676092 \h </w:instrText>
            </w:r>
            <w:r w:rsidR="0005316F">
              <w:rPr>
                <w:noProof/>
                <w:webHidden/>
              </w:rPr>
            </w:r>
            <w:r w:rsidR="0005316F">
              <w:rPr>
                <w:noProof/>
                <w:webHidden/>
              </w:rPr>
              <w:fldChar w:fldCharType="separate"/>
            </w:r>
            <w:r w:rsidR="009A26E4">
              <w:rPr>
                <w:noProof/>
                <w:webHidden/>
              </w:rPr>
              <w:t>13</w:t>
            </w:r>
            <w:r w:rsidR="0005316F">
              <w:rPr>
                <w:noProof/>
                <w:webHidden/>
              </w:rPr>
              <w:fldChar w:fldCharType="end"/>
            </w:r>
          </w:hyperlink>
        </w:p>
        <w:p w14:paraId="1FE1F345" w14:textId="531A920D" w:rsidR="0005316F" w:rsidRDefault="00000000">
          <w:pPr>
            <w:pStyle w:val="TOC1"/>
            <w:rPr>
              <w:rFonts w:asciiTheme="minorHAnsi" w:hAnsiTheme="minorHAnsi"/>
              <w:b w:val="0"/>
              <w:bCs w:val="0"/>
              <w:sz w:val="22"/>
              <w:szCs w:val="22"/>
              <w:lang w:eastAsia="en-GB"/>
            </w:rPr>
          </w:pPr>
          <w:hyperlink w:anchor="_Toc131676093" w:history="1">
            <w:r w:rsidR="0005316F" w:rsidRPr="003A5686">
              <w:rPr>
                <w:rStyle w:val="Hyperlink"/>
              </w:rPr>
              <w:t>6.0</w:t>
            </w:r>
            <w:r w:rsidR="0005316F">
              <w:rPr>
                <w:rFonts w:asciiTheme="minorHAnsi" w:hAnsiTheme="minorHAnsi"/>
                <w:b w:val="0"/>
                <w:bCs w:val="0"/>
                <w:sz w:val="22"/>
                <w:szCs w:val="22"/>
                <w:lang w:eastAsia="en-GB"/>
              </w:rPr>
              <w:tab/>
            </w:r>
            <w:r w:rsidR="0005316F" w:rsidRPr="003A5686">
              <w:rPr>
                <w:rStyle w:val="Hyperlink"/>
              </w:rPr>
              <w:t>Modern Slavery</w:t>
            </w:r>
            <w:r w:rsidR="0005316F">
              <w:rPr>
                <w:webHidden/>
              </w:rPr>
              <w:tab/>
            </w:r>
            <w:r w:rsidR="0005316F">
              <w:rPr>
                <w:webHidden/>
              </w:rPr>
              <w:fldChar w:fldCharType="begin"/>
            </w:r>
            <w:r w:rsidR="0005316F">
              <w:rPr>
                <w:webHidden/>
              </w:rPr>
              <w:instrText xml:space="preserve"> PAGEREF _Toc131676093 \h </w:instrText>
            </w:r>
            <w:r w:rsidR="0005316F">
              <w:rPr>
                <w:webHidden/>
              </w:rPr>
            </w:r>
            <w:r w:rsidR="0005316F">
              <w:rPr>
                <w:webHidden/>
              </w:rPr>
              <w:fldChar w:fldCharType="separate"/>
            </w:r>
            <w:r w:rsidR="009A26E4">
              <w:rPr>
                <w:webHidden/>
              </w:rPr>
              <w:t>15</w:t>
            </w:r>
            <w:r w:rsidR="0005316F">
              <w:rPr>
                <w:webHidden/>
              </w:rPr>
              <w:fldChar w:fldCharType="end"/>
            </w:r>
          </w:hyperlink>
        </w:p>
        <w:p w14:paraId="3A3E4E79" w14:textId="7128992D" w:rsidR="0005316F" w:rsidRDefault="00000000">
          <w:pPr>
            <w:pStyle w:val="TOC2"/>
            <w:tabs>
              <w:tab w:val="right" w:leader="dot" w:pos="9016"/>
            </w:tabs>
            <w:rPr>
              <w:rFonts w:asciiTheme="minorHAnsi" w:hAnsiTheme="minorHAnsi"/>
              <w:noProof/>
              <w:sz w:val="22"/>
              <w:szCs w:val="22"/>
              <w:lang w:eastAsia="en-GB"/>
            </w:rPr>
          </w:pPr>
          <w:hyperlink w:anchor="_Toc131676094" w:history="1">
            <w:r w:rsidR="0005316F" w:rsidRPr="003A5686">
              <w:rPr>
                <w:rStyle w:val="Hyperlink"/>
                <w:noProof/>
              </w:rPr>
              <w:t>Clauses 21 -28: Modern slavery</w:t>
            </w:r>
            <w:r w:rsidR="0005316F">
              <w:rPr>
                <w:noProof/>
                <w:webHidden/>
              </w:rPr>
              <w:tab/>
            </w:r>
            <w:r w:rsidR="0005316F">
              <w:rPr>
                <w:noProof/>
                <w:webHidden/>
              </w:rPr>
              <w:fldChar w:fldCharType="begin"/>
            </w:r>
            <w:r w:rsidR="0005316F">
              <w:rPr>
                <w:noProof/>
                <w:webHidden/>
              </w:rPr>
              <w:instrText xml:space="preserve"> PAGEREF _Toc131676094 \h </w:instrText>
            </w:r>
            <w:r w:rsidR="0005316F">
              <w:rPr>
                <w:noProof/>
                <w:webHidden/>
              </w:rPr>
            </w:r>
            <w:r w:rsidR="0005316F">
              <w:rPr>
                <w:noProof/>
                <w:webHidden/>
              </w:rPr>
              <w:fldChar w:fldCharType="separate"/>
            </w:r>
            <w:r w:rsidR="009A26E4">
              <w:rPr>
                <w:noProof/>
                <w:webHidden/>
              </w:rPr>
              <w:t>15</w:t>
            </w:r>
            <w:r w:rsidR="0005316F">
              <w:rPr>
                <w:noProof/>
                <w:webHidden/>
              </w:rPr>
              <w:fldChar w:fldCharType="end"/>
            </w:r>
          </w:hyperlink>
        </w:p>
        <w:p w14:paraId="03553879" w14:textId="55129F87" w:rsidR="0005316F" w:rsidRDefault="00000000">
          <w:pPr>
            <w:pStyle w:val="TOC1"/>
            <w:rPr>
              <w:rFonts w:asciiTheme="minorHAnsi" w:hAnsiTheme="minorHAnsi"/>
              <w:b w:val="0"/>
              <w:bCs w:val="0"/>
              <w:sz w:val="22"/>
              <w:szCs w:val="22"/>
              <w:lang w:eastAsia="en-GB"/>
            </w:rPr>
          </w:pPr>
          <w:hyperlink w:anchor="_Toc131676095" w:history="1">
            <w:r w:rsidR="0005316F" w:rsidRPr="003A5686">
              <w:rPr>
                <w:rStyle w:val="Hyperlink"/>
              </w:rPr>
              <w:t>7.0</w:t>
            </w:r>
            <w:r w:rsidR="0005316F">
              <w:rPr>
                <w:rFonts w:asciiTheme="minorHAnsi" w:hAnsiTheme="minorHAnsi"/>
                <w:b w:val="0"/>
                <w:bCs w:val="0"/>
                <w:sz w:val="22"/>
                <w:szCs w:val="22"/>
                <w:lang w:eastAsia="en-GB"/>
              </w:rPr>
              <w:tab/>
            </w:r>
            <w:r w:rsidR="0005316F" w:rsidRPr="003A5686">
              <w:rPr>
                <w:rStyle w:val="Hyperlink"/>
              </w:rPr>
              <w:t>Other Issues</w:t>
            </w:r>
            <w:r w:rsidR="0005316F">
              <w:rPr>
                <w:webHidden/>
              </w:rPr>
              <w:tab/>
            </w:r>
            <w:r w:rsidR="0005316F">
              <w:rPr>
                <w:webHidden/>
              </w:rPr>
              <w:fldChar w:fldCharType="begin"/>
            </w:r>
            <w:r w:rsidR="0005316F">
              <w:rPr>
                <w:webHidden/>
              </w:rPr>
              <w:instrText xml:space="preserve"> PAGEREF _Toc131676095 \h </w:instrText>
            </w:r>
            <w:r w:rsidR="0005316F">
              <w:rPr>
                <w:webHidden/>
              </w:rPr>
            </w:r>
            <w:r w:rsidR="0005316F">
              <w:rPr>
                <w:webHidden/>
              </w:rPr>
              <w:fldChar w:fldCharType="separate"/>
            </w:r>
            <w:r w:rsidR="009A26E4">
              <w:rPr>
                <w:webHidden/>
              </w:rPr>
              <w:t>17</w:t>
            </w:r>
            <w:r w:rsidR="0005316F">
              <w:rPr>
                <w:webHidden/>
              </w:rPr>
              <w:fldChar w:fldCharType="end"/>
            </w:r>
          </w:hyperlink>
        </w:p>
        <w:p w14:paraId="77643C7E" w14:textId="0C99DA5A" w:rsidR="0005316F" w:rsidRDefault="00000000">
          <w:pPr>
            <w:pStyle w:val="TOC2"/>
            <w:tabs>
              <w:tab w:val="right" w:leader="dot" w:pos="9016"/>
            </w:tabs>
            <w:rPr>
              <w:rFonts w:asciiTheme="minorHAnsi" w:hAnsiTheme="minorHAnsi"/>
              <w:noProof/>
              <w:sz w:val="22"/>
              <w:szCs w:val="22"/>
              <w:lang w:eastAsia="en-GB"/>
            </w:rPr>
          </w:pPr>
          <w:hyperlink w:anchor="_Toc131676096" w:history="1">
            <w:r w:rsidR="0005316F" w:rsidRPr="003A5686">
              <w:rPr>
                <w:rStyle w:val="Hyperlink"/>
                <w:noProof/>
              </w:rPr>
              <w:t>Clause 49: Interim measures</w:t>
            </w:r>
            <w:r w:rsidR="0005316F">
              <w:rPr>
                <w:noProof/>
                <w:webHidden/>
              </w:rPr>
              <w:tab/>
            </w:r>
            <w:r w:rsidR="0005316F">
              <w:rPr>
                <w:noProof/>
                <w:webHidden/>
              </w:rPr>
              <w:fldChar w:fldCharType="begin"/>
            </w:r>
            <w:r w:rsidR="0005316F">
              <w:rPr>
                <w:noProof/>
                <w:webHidden/>
              </w:rPr>
              <w:instrText xml:space="preserve"> PAGEREF _Toc131676096 \h </w:instrText>
            </w:r>
            <w:r w:rsidR="0005316F">
              <w:rPr>
                <w:noProof/>
                <w:webHidden/>
              </w:rPr>
            </w:r>
            <w:r w:rsidR="0005316F">
              <w:rPr>
                <w:noProof/>
                <w:webHidden/>
              </w:rPr>
              <w:fldChar w:fldCharType="separate"/>
            </w:r>
            <w:r w:rsidR="009A26E4">
              <w:rPr>
                <w:noProof/>
                <w:webHidden/>
              </w:rPr>
              <w:t>17</w:t>
            </w:r>
            <w:r w:rsidR="0005316F">
              <w:rPr>
                <w:noProof/>
                <w:webHidden/>
              </w:rPr>
              <w:fldChar w:fldCharType="end"/>
            </w:r>
          </w:hyperlink>
        </w:p>
        <w:p w14:paraId="53678529" w14:textId="0C6E6CA7" w:rsidR="00A250D0" w:rsidRPr="00387C3F" w:rsidRDefault="00A250D0">
          <w:r w:rsidRPr="00387C3F">
            <w:rPr>
              <w:b/>
              <w:bCs/>
              <w:noProof/>
            </w:rPr>
            <w:fldChar w:fldCharType="end"/>
          </w:r>
        </w:p>
      </w:sdtContent>
    </w:sdt>
    <w:p w14:paraId="31218C30" w14:textId="77777777" w:rsidR="00A250D0" w:rsidRPr="00387C3F" w:rsidRDefault="00A250D0">
      <w:pPr>
        <w:spacing w:line="240" w:lineRule="auto"/>
        <w:rPr>
          <w:rFonts w:eastAsiaTheme="majorEastAsia" w:cstheme="majorBidi"/>
          <w:b/>
          <w:color w:val="77328A"/>
          <w:sz w:val="32"/>
          <w:szCs w:val="32"/>
        </w:rPr>
      </w:pPr>
      <w:r w:rsidRPr="00387C3F">
        <w:br w:type="page"/>
      </w:r>
    </w:p>
    <w:p w14:paraId="05BC957A" w14:textId="5914B547" w:rsidR="00FE169D" w:rsidRDefault="00015718" w:rsidP="00383628">
      <w:pPr>
        <w:pStyle w:val="Heading1"/>
        <w:numPr>
          <w:ilvl w:val="0"/>
          <w:numId w:val="9"/>
        </w:numPr>
      </w:pPr>
      <w:bookmarkStart w:id="3" w:name="_Toc131676082"/>
      <w:r w:rsidRPr="00387C3F">
        <w:lastRenderedPageBreak/>
        <w:t>Introduction</w:t>
      </w:r>
      <w:bookmarkEnd w:id="3"/>
    </w:p>
    <w:p w14:paraId="5470D70D" w14:textId="4A0E9BF4" w:rsidR="001560F2" w:rsidRDefault="001560F2" w:rsidP="00461980">
      <w:pPr>
        <w:pStyle w:val="ListParagraph"/>
        <w:numPr>
          <w:ilvl w:val="1"/>
          <w:numId w:val="9"/>
        </w:numPr>
        <w:ind w:left="709" w:hanging="709"/>
      </w:pPr>
      <w:r w:rsidRPr="001560F2">
        <w:t>The Northern Ireland Human Rights Commission (NIHRC), pursuant to section 69(1) of the Northern Ireland (NI) Act 1998, reviews the adequacy and effectiveness of law and practice relating to the protection of human rights in NI. The NIHRC is also mandated, under section 78</w:t>
      </w:r>
      <w:proofErr w:type="gramStart"/>
      <w:r w:rsidRPr="001560F2">
        <w:t>A(</w:t>
      </w:r>
      <w:proofErr w:type="gramEnd"/>
      <w:r w:rsidRPr="001560F2">
        <w:t xml:space="preserve">1) to monitor the implementation of Article 2(1) of the </w:t>
      </w:r>
      <w:r w:rsidR="00073FEF">
        <w:t>Windsor Framework</w:t>
      </w:r>
      <w:r w:rsidR="00B53B5C">
        <w:t>,</w:t>
      </w:r>
      <w:r w:rsidR="002B72AD">
        <w:rPr>
          <w:rStyle w:val="FootnoteReference"/>
        </w:rPr>
        <w:footnoteReference w:id="2"/>
      </w:r>
      <w:r w:rsidRPr="001560F2">
        <w:t xml:space="preserve"> to ensure there is no diminution of rights protected in the ‘Rights, Safeguards and Equality of Opportunity’ chapter of the Belfast (Good Friday) Agreement 1998 as a result of the UK’s withdrawal from the EU. In accordance with these functions, the following evidence is submitted to the Joint Committee on Human Rights (Joint Committee) in response to its inquiry into the Illegal Migration Bill (the Bill).</w:t>
      </w:r>
    </w:p>
    <w:p w14:paraId="063CC037" w14:textId="77777777" w:rsidR="001560F2" w:rsidRDefault="001560F2" w:rsidP="001560F2">
      <w:pPr>
        <w:pStyle w:val="ListParagraph"/>
        <w:numPr>
          <w:ilvl w:val="0"/>
          <w:numId w:val="0"/>
        </w:numPr>
        <w:ind w:left="720"/>
      </w:pPr>
    </w:p>
    <w:p w14:paraId="20CD798B" w14:textId="1171C3CA" w:rsidR="00FE169D" w:rsidRPr="00387C3F" w:rsidRDefault="00A414F3" w:rsidP="00461980">
      <w:pPr>
        <w:pStyle w:val="ListParagraph"/>
        <w:ind w:left="709" w:hanging="709"/>
      </w:pPr>
      <w:r>
        <w:t>This</w:t>
      </w:r>
      <w:r w:rsidR="00723037">
        <w:t xml:space="preserve"> </w:t>
      </w:r>
      <w:r w:rsidR="00FE169D">
        <w:t xml:space="preserve">NIHRC welcomes the opportunity to respond to the Joint Committee’s </w:t>
      </w:r>
      <w:r w:rsidR="00F9661C">
        <w:t>inquiry</w:t>
      </w:r>
      <w:r w:rsidR="0017777B">
        <w:t xml:space="preserve">. </w:t>
      </w:r>
      <w:r w:rsidR="00FE169D">
        <w:t xml:space="preserve">In this response, the NIHRC does not address </w:t>
      </w:r>
      <w:r w:rsidR="0059079E">
        <w:t xml:space="preserve">the full </w:t>
      </w:r>
      <w:r w:rsidR="00625B3B">
        <w:t>range of</w:t>
      </w:r>
      <w:r w:rsidR="00FE169D">
        <w:t xml:space="preserve"> </w:t>
      </w:r>
      <w:r w:rsidR="0059079E">
        <w:t xml:space="preserve">its </w:t>
      </w:r>
      <w:r w:rsidR="00CD2FA5">
        <w:t>concerns with</w:t>
      </w:r>
      <w:r w:rsidR="00FE169D">
        <w:t xml:space="preserve"> </w:t>
      </w:r>
      <w:r w:rsidR="00CD2B0B">
        <w:t>each of the</w:t>
      </w:r>
      <w:r w:rsidR="00B46828">
        <w:t xml:space="preserve"> </w:t>
      </w:r>
      <w:r w:rsidR="00FE169D">
        <w:t>provisions due to time constraints. However, a comprehensive analysis of the Bill will be available in the coming weeks to inform upcoming</w:t>
      </w:r>
      <w:r w:rsidR="00CF62CF">
        <w:t xml:space="preserve"> Parliamentary</w:t>
      </w:r>
      <w:r w:rsidR="00FE169D">
        <w:t xml:space="preserve"> stages. </w:t>
      </w:r>
    </w:p>
    <w:p w14:paraId="349AF47D" w14:textId="030B859D" w:rsidR="00F00196" w:rsidRDefault="004A26BE" w:rsidP="00EF71C8">
      <w:pPr>
        <w:pStyle w:val="Heading1"/>
      </w:pPr>
      <w:bookmarkStart w:id="4" w:name="_Toc131676083"/>
      <w:r>
        <w:t>General Comm</w:t>
      </w:r>
      <w:r w:rsidRPr="00954B81">
        <w:t>ents</w:t>
      </w:r>
      <w:bookmarkEnd w:id="4"/>
    </w:p>
    <w:p w14:paraId="04AB99AE" w14:textId="5CD9CBFB" w:rsidR="00E86192" w:rsidRDefault="005C5C8E" w:rsidP="005C5C8E">
      <w:pPr>
        <w:pStyle w:val="Heading2"/>
      </w:pPr>
      <w:bookmarkStart w:id="5" w:name="_Toc131676084"/>
      <w:r>
        <w:t>Foundational human rights principles</w:t>
      </w:r>
      <w:bookmarkEnd w:id="5"/>
    </w:p>
    <w:p w14:paraId="20847FF4" w14:textId="77777777" w:rsidR="0084608F" w:rsidRDefault="0084608F" w:rsidP="00461980">
      <w:pPr>
        <w:pStyle w:val="ListParagraph"/>
        <w:ind w:left="709" w:hanging="709"/>
      </w:pPr>
      <w:r>
        <w:t>Article 14 of the Universal Declaration of Human Rights states that, “everyone has the right to seek and enjoy in other countries asylum from persecution”. The UN Refugee Convention 1951 (the Refugee Convention) builds on this to include the right not to be penalised for being in or entering a country without permission where this is necessary to seek and receive asylum.</w:t>
      </w:r>
      <w:r w:rsidRPr="00C50144">
        <w:rPr>
          <w:rStyle w:val="FootnoteReference"/>
        </w:rPr>
        <w:footnoteReference w:id="3"/>
      </w:r>
    </w:p>
    <w:p w14:paraId="162D7EB9" w14:textId="77777777" w:rsidR="0084608F" w:rsidRDefault="0084608F" w:rsidP="0084608F">
      <w:pPr>
        <w:pStyle w:val="ListParagraph"/>
        <w:numPr>
          <w:ilvl w:val="0"/>
          <w:numId w:val="0"/>
        </w:numPr>
        <w:ind w:left="720"/>
      </w:pPr>
    </w:p>
    <w:p w14:paraId="3E7782D3" w14:textId="77777777" w:rsidR="0084608F" w:rsidRDefault="0084608F" w:rsidP="00461980">
      <w:pPr>
        <w:pStyle w:val="ListParagraph"/>
        <w:spacing w:after="240"/>
        <w:ind w:left="709"/>
      </w:pPr>
      <w:r>
        <w:t xml:space="preserve">In </w:t>
      </w:r>
      <w:r w:rsidRPr="00BA10CF">
        <w:t>terms</w:t>
      </w:r>
      <w:r>
        <w:t xml:space="preserve"> of focusing on refugees, people seeking asylum and migrants that have arrived on boats, the UN Refugee Agency has observed that d</w:t>
      </w:r>
      <w:r w:rsidRPr="00BA2AB6">
        <w:t>ifferential treatment determined by refugees</w:t>
      </w:r>
      <w:r>
        <w:t xml:space="preserve"> and </w:t>
      </w:r>
      <w:r>
        <w:lastRenderedPageBreak/>
        <w:t>people seeking asylum</w:t>
      </w:r>
      <w:r w:rsidRPr="00BA2AB6">
        <w:t xml:space="preserve"> mode of arrival into the UK</w:t>
      </w:r>
      <w:r>
        <w:t xml:space="preserve"> is manifestly incompatible with the Refugee Convention.</w:t>
      </w:r>
      <w:r w:rsidRPr="00D96705">
        <w:rPr>
          <w:rStyle w:val="FootnoteReference"/>
          <w:color w:val="auto"/>
        </w:rPr>
        <w:footnoteReference w:id="4"/>
      </w:r>
      <w:r>
        <w:t xml:space="preserve"> It states that: </w:t>
      </w:r>
    </w:p>
    <w:p w14:paraId="1CE9B62F" w14:textId="77777777" w:rsidR="0084608F" w:rsidRDefault="0084608F" w:rsidP="0084608F">
      <w:pPr>
        <w:pStyle w:val="ListParagraph"/>
        <w:numPr>
          <w:ilvl w:val="0"/>
          <w:numId w:val="0"/>
        </w:numPr>
        <w:ind w:left="1440"/>
        <w:rPr>
          <w:bCs/>
        </w:rPr>
      </w:pPr>
      <w:r>
        <w:rPr>
          <w:bCs/>
        </w:rPr>
        <w:t>m</w:t>
      </w:r>
      <w:r w:rsidRPr="00AF5B49">
        <w:rPr>
          <w:bCs/>
        </w:rPr>
        <w:t>ost people fleeing war and persecution are simply unable to access the required passports and visas. There are no safe and “legal” routes available to them. Denying them access to asylum on this basis undermines the very purpose for which the Refugee Convention was established.</w:t>
      </w:r>
      <w:r w:rsidRPr="00D96705">
        <w:rPr>
          <w:rStyle w:val="FootnoteReference"/>
          <w:color w:val="auto"/>
        </w:rPr>
        <w:footnoteReference w:id="5"/>
      </w:r>
    </w:p>
    <w:p w14:paraId="09E2B0B2" w14:textId="77777777" w:rsidR="0084608F" w:rsidRDefault="0084608F" w:rsidP="00F24E59">
      <w:pPr>
        <w:pStyle w:val="ListParagraph"/>
        <w:numPr>
          <w:ilvl w:val="0"/>
          <w:numId w:val="0"/>
        </w:numPr>
        <w:ind w:left="720"/>
      </w:pPr>
    </w:p>
    <w:p w14:paraId="6A8B917F" w14:textId="5F5E4485" w:rsidR="0084608F" w:rsidRDefault="0084608F" w:rsidP="00461980">
      <w:pPr>
        <w:pStyle w:val="ListParagraph"/>
        <w:ind w:left="709"/>
      </w:pPr>
      <w:r>
        <w:t>Thus, the UN Refugee Agency concludes that, in its current form, the Bill amounts to an asylum ban which is a clear breach of the Refugee Convention by “</w:t>
      </w:r>
      <w:r w:rsidRPr="0081698B">
        <w:t xml:space="preserve">extinguishing the right to seek refugee protection in the </w:t>
      </w:r>
      <w:r>
        <w:t>UK</w:t>
      </w:r>
      <w:r w:rsidRPr="0081698B">
        <w:t xml:space="preserve"> for those who arrive irregularly, no matter how genuine and compelling their claim may be, and with no consideration of their individual circumstances</w:t>
      </w:r>
      <w:r>
        <w:t>”</w:t>
      </w:r>
      <w:r w:rsidRPr="0081698B">
        <w:t>.</w:t>
      </w:r>
      <w:r>
        <w:rPr>
          <w:rStyle w:val="FootnoteReference"/>
        </w:rPr>
        <w:footnoteReference w:id="6"/>
      </w:r>
    </w:p>
    <w:p w14:paraId="0759A72E" w14:textId="77777777" w:rsidR="0084608F" w:rsidRDefault="0084608F" w:rsidP="0084608F">
      <w:pPr>
        <w:pStyle w:val="ListParagraph"/>
        <w:numPr>
          <w:ilvl w:val="0"/>
          <w:numId w:val="0"/>
        </w:numPr>
        <w:ind w:left="720"/>
      </w:pPr>
    </w:p>
    <w:p w14:paraId="156F54B9" w14:textId="77777777" w:rsidR="0084608F" w:rsidRPr="00EB43AC" w:rsidRDefault="0084608F" w:rsidP="0084608F">
      <w:pPr>
        <w:pStyle w:val="ListParagraph"/>
        <w:rPr>
          <w:vanish/>
        </w:rPr>
      </w:pPr>
    </w:p>
    <w:p w14:paraId="6B11FBD8" w14:textId="2EFDA5F3" w:rsidR="0084608F" w:rsidRDefault="0084608F" w:rsidP="00461980">
      <w:pPr>
        <w:pStyle w:val="ListParagraph"/>
        <w:numPr>
          <w:ilvl w:val="1"/>
          <w:numId w:val="13"/>
        </w:numPr>
        <w:ind w:left="709"/>
      </w:pPr>
      <w:r>
        <w:t xml:space="preserve">The </w:t>
      </w:r>
      <w:proofErr w:type="spellStart"/>
      <w:r>
        <w:t>CoE</w:t>
      </w:r>
      <w:proofErr w:type="spellEnd"/>
      <w:r>
        <w:t xml:space="preserve"> Parliamentary Assembly has stated that:</w:t>
      </w:r>
    </w:p>
    <w:p w14:paraId="2BF787FA" w14:textId="77777777" w:rsidR="0084608F" w:rsidRDefault="0084608F" w:rsidP="0084608F">
      <w:pPr>
        <w:pStyle w:val="ListParagraph"/>
        <w:numPr>
          <w:ilvl w:val="0"/>
          <w:numId w:val="0"/>
        </w:numPr>
        <w:ind w:left="720"/>
      </w:pPr>
    </w:p>
    <w:p w14:paraId="52285B0F" w14:textId="7D93AC2D" w:rsidR="0084608F" w:rsidRDefault="0084608F" w:rsidP="007E3150">
      <w:pPr>
        <w:pStyle w:val="Quote"/>
        <w:ind w:left="1440"/>
      </w:pPr>
      <w:r>
        <w:t xml:space="preserve">…as a starting point, international human rights instruments are applicable to all persons regardless of their nationality or status. Irregular migrants need protection and are entitled to certain minimum human rights </w:t>
      </w:r>
      <w:proofErr w:type="gramStart"/>
      <w:r>
        <w:t>in order to</w:t>
      </w:r>
      <w:proofErr w:type="gramEnd"/>
      <w:r>
        <w:t xml:space="preserve"> live in a humane and dignified manner. These rights include certain basic civil and political rights and social and economic rights.</w:t>
      </w:r>
      <w:r w:rsidR="00B83EFF">
        <w:rPr>
          <w:rStyle w:val="FootnoteReference"/>
        </w:rPr>
        <w:footnoteReference w:id="7"/>
      </w:r>
    </w:p>
    <w:p w14:paraId="713A3519" w14:textId="77777777" w:rsidR="0084608F" w:rsidRDefault="0084608F" w:rsidP="0084608F">
      <w:pPr>
        <w:pStyle w:val="ListParagraph"/>
        <w:numPr>
          <w:ilvl w:val="0"/>
          <w:numId w:val="0"/>
        </w:numPr>
        <w:ind w:left="720"/>
      </w:pPr>
    </w:p>
    <w:p w14:paraId="6113FA70" w14:textId="77777777" w:rsidR="0084608F" w:rsidRDefault="0084608F" w:rsidP="00461980">
      <w:pPr>
        <w:pStyle w:val="ListParagraph"/>
        <w:ind w:left="709"/>
      </w:pPr>
      <w:r>
        <w:t>The NIHRC shares the significant concern for the number of people who resort to dangerous Channel crossings to seek safety and protection in the UK. However, the NIHRC is gravely concerned by the current draft of the Bill and the general direction of recent developments that seek to diminish the rights of refugees, asylum seekers and migrants who arrive to the UK by irregular means.</w:t>
      </w:r>
      <w:r>
        <w:rPr>
          <w:rStyle w:val="FootnoteReference"/>
        </w:rPr>
        <w:footnoteReference w:id="8"/>
      </w:r>
      <w:r>
        <w:t xml:space="preserve"> </w:t>
      </w:r>
    </w:p>
    <w:p w14:paraId="567B8C5A" w14:textId="77777777" w:rsidR="0084608F" w:rsidRDefault="0084608F" w:rsidP="0084608F">
      <w:pPr>
        <w:pStyle w:val="ListParagraph"/>
        <w:numPr>
          <w:ilvl w:val="0"/>
          <w:numId w:val="0"/>
        </w:numPr>
        <w:ind w:left="720"/>
      </w:pPr>
    </w:p>
    <w:p w14:paraId="37FF503B" w14:textId="5814518A" w:rsidR="0084608F" w:rsidRDefault="0084608F" w:rsidP="00461980">
      <w:pPr>
        <w:pStyle w:val="ListParagraph"/>
        <w:ind w:left="709"/>
      </w:pPr>
      <w:r>
        <w:lastRenderedPageBreak/>
        <w:t xml:space="preserve">The UK Government has obligations under the international human rights framework to which it has committed. In accordance, refugees, asylum seekers and migrants are entitled to respect for their human rights and to receive minimum standards of treatment while in the UK, regardless of their motivation and mode of arrival. Yet, this Bill seeks to ignore that anyone who may </w:t>
      </w:r>
      <w:proofErr w:type="gramStart"/>
      <w:r>
        <w:t>be in need of</w:t>
      </w:r>
      <w:proofErr w:type="gramEnd"/>
      <w:r>
        <w:t xml:space="preserve"> protection should have the opportunity to have their claim fairly and comprehensively assessed. It also significantly </w:t>
      </w:r>
      <w:r w:rsidR="00DC39AE">
        <w:t>hinders</w:t>
      </w:r>
      <w:r>
        <w:t xml:space="preserve"> the ability to meaningfully challenge removal from the UK in most cases.</w:t>
      </w:r>
    </w:p>
    <w:p w14:paraId="58B5C924" w14:textId="77777777" w:rsidR="0084608F" w:rsidRPr="0084608F" w:rsidRDefault="0084608F" w:rsidP="005C5C8E">
      <w:pPr>
        <w:pStyle w:val="ListParagraph"/>
        <w:numPr>
          <w:ilvl w:val="0"/>
          <w:numId w:val="0"/>
        </w:numPr>
        <w:ind w:left="720"/>
        <w:rPr>
          <w:shd w:val="clear" w:color="auto" w:fill="FFFFFF"/>
        </w:rPr>
      </w:pPr>
    </w:p>
    <w:p w14:paraId="48D0E6A5" w14:textId="77777777" w:rsidR="0084608F" w:rsidRDefault="0084608F" w:rsidP="00461980">
      <w:pPr>
        <w:pStyle w:val="ListParagraph"/>
        <w:ind w:left="709"/>
      </w:pPr>
      <w:r w:rsidRPr="0084608F">
        <w:rPr>
          <w:shd w:val="clear" w:color="auto" w:fill="FFFFFF"/>
        </w:rPr>
        <w:t xml:space="preserve">Unlike what is portrayed in the current draft of the Bill, human rights protection is not limited to migrants, including refugees and people seeking asylum, that are fleeing persecution or conflict. This approach </w:t>
      </w:r>
      <w:r w:rsidRPr="002A158E">
        <w:t>frames certain groups of rights holders</w:t>
      </w:r>
      <w:r>
        <w:t>, in this case certain migrants,</w:t>
      </w:r>
      <w:r w:rsidRPr="002A158E">
        <w:t xml:space="preserve"> as less entitled to rights protection</w:t>
      </w:r>
      <w:r>
        <w:t xml:space="preserve"> than others</w:t>
      </w:r>
      <w:r w:rsidRPr="00487CE6">
        <w:t>.</w:t>
      </w:r>
      <w:r>
        <w:t xml:space="preserve"> </w:t>
      </w:r>
      <w:r w:rsidRPr="0084608F">
        <w:rPr>
          <w:shd w:val="clear" w:color="auto" w:fill="FFFFFF"/>
        </w:rPr>
        <w:t xml:space="preserve">Taking this divisive approach, by way of example, excludes from protection migrants attempting to reunite with their families, those affected by natural disasters or environmental degradation, those fleeing inhumane treatment such as forced labour, modern </w:t>
      </w:r>
      <w:proofErr w:type="gramStart"/>
      <w:r w:rsidRPr="0084608F">
        <w:rPr>
          <w:shd w:val="clear" w:color="auto" w:fill="FFFFFF"/>
        </w:rPr>
        <w:t>slavery</w:t>
      </w:r>
      <w:proofErr w:type="gramEnd"/>
      <w:r w:rsidRPr="0084608F">
        <w:rPr>
          <w:shd w:val="clear" w:color="auto" w:fill="FFFFFF"/>
        </w:rPr>
        <w:t xml:space="preserve"> and human trafficking. It also excludes migrants who leave their home country because they have limited or no access to social or economic rights, thereby facing poverty, destitution, or barriers to healthcare. Thus, </w:t>
      </w:r>
      <w:r>
        <w:t>t</w:t>
      </w:r>
      <w:r w:rsidRPr="006E2773">
        <w:t>h</w:t>
      </w:r>
      <w:r>
        <w:t>e current draft of the Bill creates an</w:t>
      </w:r>
      <w:r w:rsidRPr="006E2773">
        <w:t xml:space="preserve"> implied hierarchy of rights-holders</w:t>
      </w:r>
      <w:r>
        <w:t xml:space="preserve"> and adopts an unjustified blanket approach to </w:t>
      </w:r>
      <w:proofErr w:type="gramStart"/>
      <w:r>
        <w:t>particular groups</w:t>
      </w:r>
      <w:proofErr w:type="gramEnd"/>
      <w:r>
        <w:t>, both of which are</w:t>
      </w:r>
      <w:r w:rsidRPr="006E2773">
        <w:t xml:space="preserve"> </w:t>
      </w:r>
      <w:r>
        <w:t>contrary to</w:t>
      </w:r>
      <w:r w:rsidRPr="006E2773">
        <w:t xml:space="preserve"> the </w:t>
      </w:r>
      <w:r>
        <w:t>foundational human rights</w:t>
      </w:r>
      <w:r w:rsidRPr="006E2773">
        <w:t xml:space="preserve"> principle</w:t>
      </w:r>
      <w:r>
        <w:t>s</w:t>
      </w:r>
      <w:r w:rsidRPr="006E2773">
        <w:t xml:space="preserve"> of </w:t>
      </w:r>
      <w:r>
        <w:t xml:space="preserve">inalienability, </w:t>
      </w:r>
      <w:r w:rsidRPr="006E2773">
        <w:t xml:space="preserve">universality </w:t>
      </w:r>
      <w:r>
        <w:t>and proportionality</w:t>
      </w:r>
      <w:r w:rsidRPr="006E2773">
        <w:t>.</w:t>
      </w:r>
      <w:r>
        <w:t xml:space="preserve"> </w:t>
      </w:r>
    </w:p>
    <w:p w14:paraId="112D2CDF" w14:textId="77777777" w:rsidR="0084608F" w:rsidRPr="00D244E1" w:rsidRDefault="0084608F" w:rsidP="003175A6">
      <w:pPr>
        <w:pStyle w:val="ListParagraph"/>
        <w:numPr>
          <w:ilvl w:val="0"/>
          <w:numId w:val="0"/>
        </w:numPr>
        <w:ind w:left="720"/>
        <w:rPr>
          <w:b/>
        </w:rPr>
      </w:pPr>
    </w:p>
    <w:p w14:paraId="0108D60E" w14:textId="14064544" w:rsidR="0084608F" w:rsidRPr="005C5C8E" w:rsidRDefault="0084608F" w:rsidP="00461980">
      <w:pPr>
        <w:pStyle w:val="ListParagraph"/>
        <w:ind w:left="709"/>
      </w:pPr>
      <w:r w:rsidRPr="00D244E1">
        <w:rPr>
          <w:b/>
        </w:rPr>
        <w:t xml:space="preserve">The NIHRC </w:t>
      </w:r>
      <w:r w:rsidR="007E20A3">
        <w:rPr>
          <w:b/>
        </w:rPr>
        <w:t>recommends</w:t>
      </w:r>
      <w:r w:rsidRPr="00D244E1">
        <w:rPr>
          <w:b/>
        </w:rPr>
        <w:t xml:space="preserve"> that the present Bill should be revised to ensure that the principles of inalienability, universality and proportionality are embedded throughout, including in the language used, to prevent the demonisation and unjustifiable denial of human rights protection to </w:t>
      </w:r>
      <w:proofErr w:type="gramStart"/>
      <w:r w:rsidRPr="00D244E1">
        <w:rPr>
          <w:b/>
        </w:rPr>
        <w:t>particular groups</w:t>
      </w:r>
      <w:proofErr w:type="gramEnd"/>
      <w:r w:rsidRPr="00D244E1">
        <w:rPr>
          <w:b/>
        </w:rPr>
        <w:t xml:space="preserve"> of migrants.</w:t>
      </w:r>
    </w:p>
    <w:p w14:paraId="110EF9B9" w14:textId="77777777" w:rsidR="002D71E4" w:rsidRDefault="002D71E4" w:rsidP="006A12D6"/>
    <w:p w14:paraId="3DD2C452" w14:textId="51782FB2" w:rsidR="006A12D6" w:rsidRDefault="006A12D6" w:rsidP="006A12D6">
      <w:pPr>
        <w:pStyle w:val="Heading2"/>
      </w:pPr>
      <w:bookmarkStart w:id="6" w:name="_Toc131676085"/>
      <w:r>
        <w:t>Removal to a third country</w:t>
      </w:r>
      <w:bookmarkEnd w:id="6"/>
    </w:p>
    <w:p w14:paraId="1AA8344C" w14:textId="77777777" w:rsidR="00831A1A" w:rsidRDefault="005C5135" w:rsidP="00461980">
      <w:pPr>
        <w:pStyle w:val="ListParagraph"/>
        <w:spacing w:after="240"/>
        <w:ind w:left="709"/>
      </w:pPr>
      <w:r>
        <w:t xml:space="preserve">The way in which the current draft of the Bill proposes to </w:t>
      </w:r>
      <w:r w:rsidR="009E43A9">
        <w:t>re</w:t>
      </w:r>
      <w:r>
        <w:t xml:space="preserve">move criminalised refugees, </w:t>
      </w:r>
      <w:r w:rsidR="008A3F86">
        <w:t>people seeking asylum</w:t>
      </w:r>
      <w:r>
        <w:t xml:space="preserve"> and migrants who arrive irregularly to a third country is also gravely concerning. </w:t>
      </w:r>
      <w:r w:rsidR="00816E0E">
        <w:t>Thi</w:t>
      </w:r>
      <w:r w:rsidR="007565BB">
        <w:t xml:space="preserve">s </w:t>
      </w:r>
      <w:r w:rsidR="007D3D80">
        <w:lastRenderedPageBreak/>
        <w:t>could</w:t>
      </w:r>
      <w:r w:rsidR="003E57A9">
        <w:t xml:space="preserve"> increas</w:t>
      </w:r>
      <w:r w:rsidR="00776285">
        <w:t xml:space="preserve">e </w:t>
      </w:r>
      <w:r w:rsidR="003E57A9">
        <w:t xml:space="preserve">the risk that individuals are removed to places where they may experience serious human rights violations. </w:t>
      </w:r>
      <w:r w:rsidR="00C8634D" w:rsidRPr="004224A1">
        <w:rPr>
          <w:rFonts w:cs="Open Sans"/>
          <w:color w:val="auto"/>
          <w:shd w:val="clear" w:color="auto" w:fill="FFFFFF"/>
        </w:rPr>
        <w:t xml:space="preserve">The </w:t>
      </w:r>
      <w:r w:rsidR="00C8634D" w:rsidRPr="004224A1">
        <w:rPr>
          <w:rFonts w:cs="Open Sans"/>
          <w:shd w:val="clear" w:color="auto" w:fill="FFFFFF"/>
        </w:rPr>
        <w:t xml:space="preserve">UK has obligations under Article 1 of the </w:t>
      </w:r>
      <w:r w:rsidR="00C8634D" w:rsidRPr="004224A1">
        <w:rPr>
          <w:rStyle w:val="cf01"/>
          <w:rFonts w:ascii="Verdana" w:hAnsi="Verdana"/>
          <w:sz w:val="24"/>
          <w:szCs w:val="24"/>
        </w:rPr>
        <w:t xml:space="preserve">European Convention on Human Rights (ECHR) to “secure to everyone within their jurisdiction the rights and freedoms” contained within the ECHR. The European Court of Human Rights (ECtHR) has </w:t>
      </w:r>
      <w:r w:rsidR="00C8634D">
        <w:t xml:space="preserve">consistently held that the removal of migrants and </w:t>
      </w:r>
      <w:r w:rsidR="008A3F86">
        <w:t>people seeking asylum</w:t>
      </w:r>
      <w:r w:rsidR="00C8634D">
        <w:t xml:space="preserve"> could engage ECHR Articles 2 (right to life) and 3 (freedom from </w:t>
      </w:r>
      <w:r w:rsidR="00C8634D" w:rsidRPr="002C1EAD">
        <w:t>torture</w:t>
      </w:r>
      <w:r w:rsidR="00C8634D">
        <w:t xml:space="preserve">, </w:t>
      </w:r>
      <w:r w:rsidR="00C8634D" w:rsidRPr="002C1EAD">
        <w:t>inhuman or degrading treatment</w:t>
      </w:r>
      <w:r w:rsidR="00C8634D">
        <w:t>)</w:t>
      </w:r>
      <w:r w:rsidR="00C8634D" w:rsidRPr="002C1EAD">
        <w:t xml:space="preserve"> </w:t>
      </w:r>
      <w:r w:rsidR="00C8634D">
        <w:t>where substantial grounds have been shown for believing that the person in question, if deported, would face a “real risk” of being subjected to treatment contrary to Articles 2 or 3 in the destination country.</w:t>
      </w:r>
      <w:r w:rsidR="00C8634D">
        <w:rPr>
          <w:rStyle w:val="FootnoteReference"/>
        </w:rPr>
        <w:footnoteReference w:id="9"/>
      </w:r>
    </w:p>
    <w:p w14:paraId="41EB008E" w14:textId="77777777" w:rsidR="00BA10CF" w:rsidRPr="00403772" w:rsidRDefault="00E0488D" w:rsidP="00461980">
      <w:pPr>
        <w:pStyle w:val="ListParagraph"/>
        <w:ind w:left="709"/>
        <w:rPr>
          <w:rStyle w:val="CommentReference"/>
        </w:rPr>
      </w:pPr>
      <w:r w:rsidRPr="00403772">
        <w:rPr>
          <w:color w:val="auto"/>
        </w:rPr>
        <w:t>I</w:t>
      </w:r>
      <w:r w:rsidR="00C13CCF" w:rsidRPr="00403772">
        <w:rPr>
          <w:color w:val="auto"/>
        </w:rPr>
        <w:t xml:space="preserve">nternational </w:t>
      </w:r>
      <w:r w:rsidR="007B3FD7" w:rsidRPr="00403772">
        <w:rPr>
          <w:color w:val="auto"/>
        </w:rPr>
        <w:t xml:space="preserve">refugee protection </w:t>
      </w:r>
      <w:r w:rsidR="00C13CCF" w:rsidRPr="00403772">
        <w:rPr>
          <w:color w:val="auto"/>
        </w:rPr>
        <w:t xml:space="preserve">law does not rule out the possibility of transfer to a third safe country </w:t>
      </w:r>
      <w:r w:rsidR="00C13CCF" w:rsidRPr="00403772">
        <w:rPr>
          <w:color w:val="auto"/>
          <w:shd w:val="clear" w:color="auto" w:fill="FFFFFF"/>
        </w:rPr>
        <w:t>if Refugee Convention rights will be respected there.</w:t>
      </w:r>
      <w:r w:rsidR="00C13CCF" w:rsidRPr="00403772">
        <w:rPr>
          <w:color w:val="auto"/>
        </w:rPr>
        <w:t xml:space="preserve"> </w:t>
      </w:r>
      <w:r w:rsidR="002A1A4C" w:rsidRPr="00403772">
        <w:rPr>
          <w:color w:val="auto"/>
        </w:rPr>
        <w:t>However, in addition to being human rights compliant, from a practical perspective</w:t>
      </w:r>
      <w:r w:rsidR="00F72266" w:rsidRPr="00403772">
        <w:rPr>
          <w:color w:val="auto"/>
        </w:rPr>
        <w:t>,</w:t>
      </w:r>
      <w:r w:rsidR="002A1A4C" w:rsidRPr="00403772">
        <w:rPr>
          <w:color w:val="auto"/>
        </w:rPr>
        <w:t xml:space="preserve"> transfer</w:t>
      </w:r>
      <w:r w:rsidR="000E472A" w:rsidRPr="00403772">
        <w:rPr>
          <w:color w:val="auto"/>
        </w:rPr>
        <w:t xml:space="preserve"> to a third country</w:t>
      </w:r>
      <w:r w:rsidR="008F635B" w:rsidRPr="00403772">
        <w:rPr>
          <w:color w:val="auto"/>
        </w:rPr>
        <w:t xml:space="preserve"> requires</w:t>
      </w:r>
      <w:r w:rsidR="00C13CCF" w:rsidRPr="00403772">
        <w:rPr>
          <w:color w:val="auto"/>
        </w:rPr>
        <w:t xml:space="preserve"> countries to co-operate together to share responsibility and allocate responsibility for determining asylum claims. However</w:t>
      </w:r>
      <w:r w:rsidR="00C13CCF" w:rsidRPr="00403772">
        <w:rPr>
          <w:color w:val="auto"/>
          <w:shd w:val="clear" w:color="auto" w:fill="FFFFFF"/>
        </w:rPr>
        <w:t xml:space="preserve">, the UK is not part of any formal agreement, and its bilateral arrangement with Rwanda </w:t>
      </w:r>
      <w:r w:rsidR="001E3302" w:rsidRPr="00403772">
        <w:rPr>
          <w:color w:val="auto"/>
          <w:shd w:val="clear" w:color="auto" w:fill="FFFFFF"/>
        </w:rPr>
        <w:t xml:space="preserve">does not meet </w:t>
      </w:r>
      <w:r w:rsidR="008E1F21" w:rsidRPr="00403772">
        <w:rPr>
          <w:color w:val="auto"/>
          <w:shd w:val="clear" w:color="auto" w:fill="FFFFFF"/>
        </w:rPr>
        <w:t xml:space="preserve">the standards </w:t>
      </w:r>
      <w:r w:rsidR="008E1F21">
        <w:rPr>
          <w:color w:val="222222"/>
          <w:shd w:val="clear" w:color="auto" w:fill="FFFFFF"/>
        </w:rPr>
        <w:t xml:space="preserve">set out in the Refugee Convention </w:t>
      </w:r>
      <w:r w:rsidR="004F0B37">
        <w:rPr>
          <w:color w:val="222222"/>
          <w:shd w:val="clear" w:color="auto" w:fill="FFFFFF"/>
        </w:rPr>
        <w:t xml:space="preserve">and </w:t>
      </w:r>
      <w:r w:rsidR="00C13CCF" w:rsidRPr="00DD1A2C">
        <w:rPr>
          <w:color w:val="222222"/>
          <w:shd w:val="clear" w:color="auto" w:fill="FFFFFF"/>
        </w:rPr>
        <w:t>was considered</w:t>
      </w:r>
      <w:r w:rsidR="00C13CCF">
        <w:t xml:space="preserve"> </w:t>
      </w:r>
      <w:r w:rsidR="00161E67">
        <w:t>by</w:t>
      </w:r>
      <w:r w:rsidR="00780AE6">
        <w:t xml:space="preserve"> the</w:t>
      </w:r>
      <w:r w:rsidR="00161E67">
        <w:t xml:space="preserve"> </w:t>
      </w:r>
      <w:r w:rsidR="00780AE6">
        <w:t xml:space="preserve">UN Refugee Agency to be </w:t>
      </w:r>
      <w:r w:rsidR="00C13CCF">
        <w:t>an abdication of international responsibility</w:t>
      </w:r>
      <w:r w:rsidR="00C13CCF" w:rsidRPr="00DD1A2C">
        <w:t>.</w:t>
      </w:r>
      <w:r w:rsidR="00C13CCF" w:rsidRPr="00AF5B49">
        <w:rPr>
          <w:vertAlign w:val="superscript"/>
        </w:rPr>
        <w:footnoteReference w:id="10"/>
      </w:r>
      <w:r w:rsidR="004224A1">
        <w:rPr>
          <w:rStyle w:val="CommentReference"/>
          <w:color w:val="auto"/>
        </w:rPr>
        <w:t xml:space="preserve"> </w:t>
      </w:r>
    </w:p>
    <w:p w14:paraId="6F812338" w14:textId="77777777" w:rsidR="00BA10CF" w:rsidRPr="00BA10CF" w:rsidRDefault="00BA10CF" w:rsidP="00BA10CF">
      <w:pPr>
        <w:pStyle w:val="ListParagraph"/>
        <w:numPr>
          <w:ilvl w:val="0"/>
          <w:numId w:val="0"/>
        </w:numPr>
        <w:ind w:left="720"/>
        <w:rPr>
          <w:rStyle w:val="CommentReference"/>
          <w:color w:val="auto"/>
        </w:rPr>
      </w:pPr>
    </w:p>
    <w:p w14:paraId="4831212A" w14:textId="77777777" w:rsidR="007B65FA" w:rsidRDefault="00C64903" w:rsidP="00461980">
      <w:pPr>
        <w:pStyle w:val="ListParagraph"/>
        <w:ind w:left="709"/>
      </w:pPr>
      <w:r>
        <w:t>Furthermore, i</w:t>
      </w:r>
      <w:r w:rsidR="00C13CCF">
        <w:t xml:space="preserve">t is unclear how the current Bill intends to increase the Home Office’s capacity to remove people in this regard. Despite increasing the number of refugees and </w:t>
      </w:r>
      <w:r w:rsidR="00083CC5">
        <w:t>people seeking asylum</w:t>
      </w:r>
      <w:r w:rsidR="00C13CCF">
        <w:t xml:space="preserve"> declared inadmissible to the UK asylum system, the Home Office retains </w:t>
      </w:r>
      <w:r w:rsidR="00B82E77">
        <w:t xml:space="preserve">responsibility </w:t>
      </w:r>
      <w:r w:rsidR="00C13CCF">
        <w:t>for accommodation and support while each case is processed</w:t>
      </w:r>
      <w:r w:rsidR="00BD4A0B">
        <w:t>.</w:t>
      </w:r>
      <w:r w:rsidR="00973562">
        <w:t xml:space="preserve"> </w:t>
      </w:r>
    </w:p>
    <w:p w14:paraId="1FD231FC" w14:textId="77777777" w:rsidR="004D086A" w:rsidRPr="004D086A" w:rsidRDefault="004D086A">
      <w:pPr>
        <w:pStyle w:val="ListParagraph"/>
        <w:numPr>
          <w:ilvl w:val="0"/>
          <w:numId w:val="0"/>
        </w:numPr>
        <w:ind w:left="720"/>
        <w:rPr>
          <w:color w:val="222222"/>
          <w:shd w:val="clear" w:color="auto" w:fill="FFFFFF"/>
        </w:rPr>
      </w:pPr>
    </w:p>
    <w:p w14:paraId="5DD44F56" w14:textId="77777777" w:rsidR="004B7209" w:rsidRPr="00403772" w:rsidRDefault="00E638AA" w:rsidP="00461980">
      <w:pPr>
        <w:pStyle w:val="ListParagraph"/>
        <w:ind w:left="709"/>
        <w:rPr>
          <w:color w:val="auto"/>
        </w:rPr>
      </w:pPr>
      <w:r w:rsidRPr="00403772">
        <w:rPr>
          <w:color w:val="auto"/>
          <w:shd w:val="clear" w:color="auto" w:fill="FFFFFF"/>
        </w:rPr>
        <w:t>T</w:t>
      </w:r>
      <w:r w:rsidR="000D4656" w:rsidRPr="00403772">
        <w:rPr>
          <w:color w:val="auto"/>
          <w:shd w:val="clear" w:color="auto" w:fill="FFFFFF"/>
        </w:rPr>
        <w:t xml:space="preserve">he </w:t>
      </w:r>
      <w:r w:rsidRPr="00403772">
        <w:rPr>
          <w:color w:val="auto"/>
          <w:shd w:val="clear" w:color="auto" w:fill="FFFFFF"/>
        </w:rPr>
        <w:t>UK</w:t>
      </w:r>
      <w:r w:rsidR="000D4656" w:rsidRPr="00403772">
        <w:rPr>
          <w:color w:val="auto"/>
          <w:shd w:val="clear" w:color="auto" w:fill="FFFFFF"/>
        </w:rPr>
        <w:t xml:space="preserve"> Government’s </w:t>
      </w:r>
      <w:r w:rsidR="00D2601D" w:rsidRPr="00403772">
        <w:rPr>
          <w:color w:val="auto"/>
          <w:shd w:val="clear" w:color="auto" w:fill="FFFFFF"/>
        </w:rPr>
        <w:t xml:space="preserve">focus should </w:t>
      </w:r>
      <w:r w:rsidR="00933E1C" w:rsidRPr="00403772">
        <w:rPr>
          <w:color w:val="auto"/>
          <w:shd w:val="clear" w:color="auto" w:fill="FFFFFF"/>
        </w:rPr>
        <w:t xml:space="preserve">instead </w:t>
      </w:r>
      <w:r w:rsidR="002B7B72" w:rsidRPr="00403772">
        <w:rPr>
          <w:color w:val="auto"/>
          <w:shd w:val="clear" w:color="auto" w:fill="FFFFFF"/>
        </w:rPr>
        <w:t xml:space="preserve">be on </w:t>
      </w:r>
      <w:r w:rsidR="009E584E" w:rsidRPr="00403772">
        <w:rPr>
          <w:color w:val="auto"/>
          <w:shd w:val="clear" w:color="auto" w:fill="FFFFFF"/>
        </w:rPr>
        <w:t>strengthening</w:t>
      </w:r>
      <w:r w:rsidR="00B21055" w:rsidRPr="00403772">
        <w:rPr>
          <w:color w:val="auto"/>
          <w:shd w:val="clear" w:color="auto" w:fill="FFFFFF"/>
        </w:rPr>
        <w:t xml:space="preserve"> </w:t>
      </w:r>
      <w:r w:rsidR="00103730" w:rsidRPr="00403772">
        <w:rPr>
          <w:color w:val="auto"/>
          <w:shd w:val="clear" w:color="auto" w:fill="FFFFFF"/>
        </w:rPr>
        <w:t>the UK’s asylum system</w:t>
      </w:r>
      <w:r w:rsidR="00EB5747" w:rsidRPr="00403772">
        <w:rPr>
          <w:color w:val="auto"/>
          <w:shd w:val="clear" w:color="auto" w:fill="FFFFFF"/>
        </w:rPr>
        <w:t>,</w:t>
      </w:r>
      <w:r w:rsidR="00594909" w:rsidRPr="00403772">
        <w:rPr>
          <w:color w:val="auto"/>
          <w:shd w:val="clear" w:color="auto" w:fill="FFFFFF"/>
        </w:rPr>
        <w:t xml:space="preserve"> </w:t>
      </w:r>
      <w:r w:rsidR="001A7ED6" w:rsidRPr="00403772">
        <w:rPr>
          <w:color w:val="auto"/>
          <w:shd w:val="clear" w:color="auto" w:fill="FFFFFF"/>
        </w:rPr>
        <w:t>by</w:t>
      </w:r>
      <w:r w:rsidR="00B21055" w:rsidRPr="00403772">
        <w:rPr>
          <w:color w:val="auto"/>
          <w:shd w:val="clear" w:color="auto" w:fill="FFFFFF"/>
        </w:rPr>
        <w:t xml:space="preserve"> </w:t>
      </w:r>
      <w:r w:rsidR="00F220C1" w:rsidRPr="00403772">
        <w:rPr>
          <w:color w:val="auto"/>
          <w:shd w:val="clear" w:color="auto" w:fill="FFFFFF"/>
        </w:rPr>
        <w:t>improving</w:t>
      </w:r>
      <w:r w:rsidR="00EB5747" w:rsidRPr="00403772">
        <w:rPr>
          <w:color w:val="auto"/>
          <w:shd w:val="clear" w:color="auto" w:fill="FFFFFF"/>
        </w:rPr>
        <w:t xml:space="preserve"> case processing and reception conditions</w:t>
      </w:r>
      <w:r w:rsidR="00434E27" w:rsidRPr="00403772">
        <w:rPr>
          <w:color w:val="auto"/>
          <w:shd w:val="clear" w:color="auto" w:fill="FFFFFF"/>
        </w:rPr>
        <w:t>,</w:t>
      </w:r>
      <w:r w:rsidR="00EB5747" w:rsidRPr="00403772">
        <w:rPr>
          <w:color w:val="auto"/>
          <w:shd w:val="clear" w:color="auto" w:fill="FFFFFF"/>
        </w:rPr>
        <w:t xml:space="preserve"> </w:t>
      </w:r>
      <w:r w:rsidR="00AE4057" w:rsidRPr="00403772">
        <w:rPr>
          <w:color w:val="auto"/>
          <w:shd w:val="clear" w:color="auto" w:fill="FFFFFF"/>
        </w:rPr>
        <w:t>and enhancing</w:t>
      </w:r>
      <w:r w:rsidR="00F220C1" w:rsidRPr="00403772">
        <w:rPr>
          <w:color w:val="auto"/>
          <w:shd w:val="clear" w:color="auto" w:fill="FFFFFF"/>
        </w:rPr>
        <w:t xml:space="preserve"> </w:t>
      </w:r>
      <w:r w:rsidR="0018075D" w:rsidRPr="00403772">
        <w:rPr>
          <w:color w:val="auto"/>
          <w:shd w:val="clear" w:color="auto" w:fill="FFFFFF"/>
        </w:rPr>
        <w:t>cooperat</w:t>
      </w:r>
      <w:r w:rsidR="00F220C1" w:rsidRPr="00403772">
        <w:rPr>
          <w:color w:val="auto"/>
          <w:shd w:val="clear" w:color="auto" w:fill="FFFFFF"/>
        </w:rPr>
        <w:t>ion</w:t>
      </w:r>
      <w:r w:rsidR="0018075D" w:rsidRPr="00403772">
        <w:rPr>
          <w:color w:val="auto"/>
          <w:shd w:val="clear" w:color="auto" w:fill="FFFFFF"/>
        </w:rPr>
        <w:t xml:space="preserve"> with other countries to expand safe pathways</w:t>
      </w:r>
      <w:r w:rsidR="00434E27" w:rsidRPr="00403772">
        <w:rPr>
          <w:color w:val="auto"/>
          <w:shd w:val="clear" w:color="auto" w:fill="FFFFFF"/>
        </w:rPr>
        <w:t xml:space="preserve"> both in and out of the UK.</w:t>
      </w:r>
      <w:r w:rsidR="00692585" w:rsidRPr="00403772">
        <w:rPr>
          <w:color w:val="auto"/>
          <w:shd w:val="clear" w:color="auto" w:fill="FFFFFF"/>
        </w:rPr>
        <w:t xml:space="preserve"> </w:t>
      </w:r>
      <w:r w:rsidR="00072C14" w:rsidRPr="00403772">
        <w:rPr>
          <w:color w:val="auto"/>
          <w:shd w:val="clear" w:color="auto" w:fill="FFFFFF"/>
        </w:rPr>
        <w:t>This</w:t>
      </w:r>
      <w:r w:rsidR="00C51932" w:rsidRPr="00403772">
        <w:rPr>
          <w:color w:val="auto"/>
        </w:rPr>
        <w:t xml:space="preserve"> would accelerate the integration of </w:t>
      </w:r>
      <w:r w:rsidR="00F27282" w:rsidRPr="00403772">
        <w:rPr>
          <w:color w:val="auto"/>
        </w:rPr>
        <w:t>individuals granted refugee status</w:t>
      </w:r>
      <w:r w:rsidR="00C51932" w:rsidRPr="00403772">
        <w:rPr>
          <w:color w:val="auto"/>
        </w:rPr>
        <w:t xml:space="preserve"> and </w:t>
      </w:r>
      <w:r w:rsidR="00C51932" w:rsidRPr="00403772">
        <w:rPr>
          <w:color w:val="auto"/>
        </w:rPr>
        <w:lastRenderedPageBreak/>
        <w:t xml:space="preserve">facilitate the swift return </w:t>
      </w:r>
      <w:r w:rsidR="00467F4A" w:rsidRPr="00403772">
        <w:rPr>
          <w:color w:val="auto"/>
        </w:rPr>
        <w:t xml:space="preserve">or transfer </w:t>
      </w:r>
      <w:r w:rsidR="00C51932" w:rsidRPr="00403772">
        <w:rPr>
          <w:color w:val="auto"/>
        </w:rPr>
        <w:t xml:space="preserve">of those who </w:t>
      </w:r>
      <w:r w:rsidR="00CE73B4" w:rsidRPr="00403772">
        <w:rPr>
          <w:color w:val="auto"/>
        </w:rPr>
        <w:t xml:space="preserve">are deemed to </w:t>
      </w:r>
      <w:r w:rsidR="00C51932" w:rsidRPr="00403772">
        <w:rPr>
          <w:color w:val="auto"/>
        </w:rPr>
        <w:t>have no legal basis to stay</w:t>
      </w:r>
      <w:r w:rsidR="00467F4A" w:rsidRPr="00403772">
        <w:rPr>
          <w:color w:val="auto"/>
        </w:rPr>
        <w:t>.</w:t>
      </w:r>
      <w:r w:rsidR="00467F4A" w:rsidRPr="00403772">
        <w:rPr>
          <w:rStyle w:val="FootnoteReference"/>
          <w:color w:val="auto"/>
        </w:rPr>
        <w:footnoteReference w:id="11"/>
      </w:r>
      <w:r w:rsidR="00C51932" w:rsidRPr="00403772">
        <w:rPr>
          <w:color w:val="auto"/>
        </w:rPr>
        <w:t xml:space="preserve"> </w:t>
      </w:r>
    </w:p>
    <w:p w14:paraId="34F47853" w14:textId="77777777" w:rsidR="00EB6215" w:rsidRDefault="00EB6215" w:rsidP="00EB6215">
      <w:pPr>
        <w:pStyle w:val="ListParagraph"/>
        <w:numPr>
          <w:ilvl w:val="0"/>
          <w:numId w:val="0"/>
        </w:numPr>
        <w:ind w:left="720"/>
      </w:pPr>
    </w:p>
    <w:p w14:paraId="24B03BC2" w14:textId="5EC50EE4" w:rsidR="000A2B67" w:rsidRPr="000A2B67" w:rsidRDefault="000A2B67" w:rsidP="00461980">
      <w:pPr>
        <w:pStyle w:val="ListParagraph"/>
        <w:spacing w:after="240"/>
        <w:ind w:left="709"/>
        <w:rPr>
          <w:b/>
          <w:bCs/>
        </w:rPr>
      </w:pPr>
      <w:r w:rsidRPr="003E749E">
        <w:rPr>
          <w:b/>
          <w:bCs/>
        </w:rPr>
        <w:t xml:space="preserve">The NIHRC </w:t>
      </w:r>
      <w:r>
        <w:rPr>
          <w:b/>
          <w:bCs/>
        </w:rPr>
        <w:t xml:space="preserve">recommends that the </w:t>
      </w:r>
      <w:r w:rsidR="00CB55B9">
        <w:rPr>
          <w:b/>
          <w:bCs/>
        </w:rPr>
        <w:t>purpose</w:t>
      </w:r>
      <w:r>
        <w:rPr>
          <w:b/>
          <w:bCs/>
        </w:rPr>
        <w:t xml:space="preserve"> and provisions of the current Bill require immediate and thorough reassessment, which should take place through meaningful engagement. The result should ensure that all </w:t>
      </w:r>
      <w:r w:rsidR="009255AA">
        <w:rPr>
          <w:b/>
          <w:bCs/>
        </w:rPr>
        <w:t>refugees,</w:t>
      </w:r>
      <w:r>
        <w:rPr>
          <w:b/>
          <w:bCs/>
        </w:rPr>
        <w:t xml:space="preserve"> </w:t>
      </w:r>
      <w:r w:rsidR="00083CC5">
        <w:rPr>
          <w:b/>
          <w:bCs/>
        </w:rPr>
        <w:t>people seeking asylum</w:t>
      </w:r>
      <w:r w:rsidR="009255AA">
        <w:rPr>
          <w:b/>
          <w:bCs/>
        </w:rPr>
        <w:t xml:space="preserve"> and migrants arriving </w:t>
      </w:r>
      <w:r w:rsidR="00EF0FDC">
        <w:rPr>
          <w:b/>
          <w:bCs/>
        </w:rPr>
        <w:t>to</w:t>
      </w:r>
      <w:r>
        <w:rPr>
          <w:b/>
          <w:bCs/>
        </w:rPr>
        <w:t xml:space="preserve"> the U</w:t>
      </w:r>
      <w:r w:rsidR="0035578F">
        <w:rPr>
          <w:b/>
          <w:bCs/>
        </w:rPr>
        <w:t>K</w:t>
      </w:r>
      <w:r>
        <w:rPr>
          <w:b/>
          <w:bCs/>
        </w:rPr>
        <w:t xml:space="preserve"> are processed </w:t>
      </w:r>
      <w:r w:rsidR="00472B29">
        <w:rPr>
          <w:b/>
          <w:bCs/>
        </w:rPr>
        <w:t xml:space="preserve">and accommodated </w:t>
      </w:r>
      <w:r>
        <w:rPr>
          <w:b/>
          <w:bCs/>
        </w:rPr>
        <w:t>in compliance with human rights obligations</w:t>
      </w:r>
      <w:r w:rsidR="002D71E4">
        <w:rPr>
          <w:b/>
          <w:bCs/>
        </w:rPr>
        <w:t>, with particular focus on if, when and how individuals are transferred to a third country</w:t>
      </w:r>
      <w:r>
        <w:rPr>
          <w:b/>
          <w:bCs/>
        </w:rPr>
        <w:t xml:space="preserve">. </w:t>
      </w:r>
    </w:p>
    <w:p w14:paraId="70AE29AD" w14:textId="1AC6C17F" w:rsidR="00767F71" w:rsidRDefault="00767F71" w:rsidP="00767F71">
      <w:pPr>
        <w:pStyle w:val="Heading2"/>
        <w:spacing w:after="240" w:line="240" w:lineRule="auto"/>
      </w:pPr>
      <w:bookmarkStart w:id="7" w:name="_Toc131676086"/>
      <w:r>
        <w:t>Compliance with the ‘no diminution of rights’ commitment in Article 2 of the Windsor Framework</w:t>
      </w:r>
      <w:bookmarkEnd w:id="7"/>
    </w:p>
    <w:p w14:paraId="2E80CDB8" w14:textId="11668FC7" w:rsidR="00B3546E" w:rsidRPr="00B3546E" w:rsidRDefault="00445123" w:rsidP="00461980">
      <w:pPr>
        <w:pStyle w:val="ListParagraph"/>
        <w:spacing w:after="240"/>
        <w:ind w:left="709" w:hanging="709"/>
      </w:pPr>
      <w:r w:rsidRPr="00445123">
        <w:t xml:space="preserve">The </w:t>
      </w:r>
      <w:r w:rsidR="00531A93">
        <w:t>NIHRC</w:t>
      </w:r>
      <w:r w:rsidRPr="00445123">
        <w:t xml:space="preserve"> is </w:t>
      </w:r>
      <w:r w:rsidR="003C137B">
        <w:t>considering</w:t>
      </w:r>
      <w:r w:rsidRPr="00445123">
        <w:t xml:space="preserve"> compliance of the Bill with the UK Government’s commitment under Article 2 of the Windsor Framework to ensure no diminution of protections in the ‘Rights, Safeguards and Equality of Opportunity’ chapter of the Belfast (Good Friday) Agreement 1998</w:t>
      </w:r>
      <w:r w:rsidR="005D3202">
        <w:t>,</w:t>
      </w:r>
      <w:r w:rsidRPr="00445123">
        <w:t xml:space="preserve"> </w:t>
      </w:r>
      <w:proofErr w:type="gramStart"/>
      <w:r w:rsidRPr="00445123">
        <w:t>as a result of</w:t>
      </w:r>
      <w:proofErr w:type="gramEnd"/>
      <w:r w:rsidRPr="00445123">
        <w:t xml:space="preserve"> the UK’s withdrawal from the EU</w:t>
      </w:r>
      <w:r>
        <w:t>.</w:t>
      </w:r>
      <w:r w:rsidR="005D3202">
        <w:t xml:space="preserve"> </w:t>
      </w:r>
    </w:p>
    <w:p w14:paraId="57BFCDD3" w14:textId="0C34A948" w:rsidR="00F825DD" w:rsidRDefault="00F825DD" w:rsidP="00461980">
      <w:pPr>
        <w:pStyle w:val="ListParagraph"/>
        <w:spacing w:after="240"/>
        <w:ind w:left="709" w:hanging="709"/>
      </w:pPr>
      <w:r w:rsidRPr="00FF1940">
        <w:t xml:space="preserve">The </w:t>
      </w:r>
      <w:r w:rsidR="00531A93">
        <w:t>NIHRC</w:t>
      </w:r>
      <w:r>
        <w:t xml:space="preserve"> takes the view </w:t>
      </w:r>
      <w:r w:rsidRPr="00FF1940">
        <w:t xml:space="preserve">that the rights of asylum-seekers and refugees fall within the protection of the relevant chapter of the Belfast (Good Friday) Agreement and that therefore </w:t>
      </w:r>
      <w:proofErr w:type="gramStart"/>
      <w:r w:rsidRPr="00FF1940">
        <w:t>a number of</w:t>
      </w:r>
      <w:proofErr w:type="gramEnd"/>
      <w:r w:rsidRPr="00FF1940">
        <w:t xml:space="preserve"> EU standards, which were binding on the UK on 31 December 2020, remain binding in Northern Ireland. </w:t>
      </w:r>
    </w:p>
    <w:p w14:paraId="69467AC0" w14:textId="5B4EF42A" w:rsidR="006B4EAF" w:rsidRPr="00A16EDE" w:rsidRDefault="008F1C04" w:rsidP="00892E9A">
      <w:pPr>
        <w:pStyle w:val="ListParagraph"/>
        <w:spacing w:line="276" w:lineRule="auto"/>
        <w:ind w:left="709"/>
        <w:rPr>
          <w:rFonts w:cstheme="minorBidi"/>
        </w:rPr>
      </w:pPr>
      <w:r>
        <w:t xml:space="preserve">The first section of this chapter of the Belfast (Good Friday) Agreement is entitled ‘Human Rights’ and </w:t>
      </w:r>
      <w:r w:rsidR="005F15D6">
        <w:t xml:space="preserve">opens with a </w:t>
      </w:r>
      <w:r>
        <w:t xml:space="preserve">general commitment </w:t>
      </w:r>
      <w:r w:rsidR="005F15D6">
        <w:t xml:space="preserve">to the “civil rights and religious liberties of everyone in the community”. This </w:t>
      </w:r>
      <w:r>
        <w:t>is followed by a non-exhaustive list of rights “affirmed in particular”.</w:t>
      </w:r>
      <w:r>
        <w:rPr>
          <w:rStyle w:val="FootnoteReference"/>
        </w:rPr>
        <w:footnoteReference w:id="12"/>
      </w:r>
      <w:r>
        <w:t xml:space="preserve"> Within this human rights section is the UK Government’s commitment to the incorporation of the ECHR with direct access to the courts and remedies for breach.</w:t>
      </w:r>
      <w:r w:rsidR="00A16EDE">
        <w:t xml:space="preserve"> </w:t>
      </w:r>
      <w:r w:rsidR="006B4EAF">
        <w:t xml:space="preserve">The </w:t>
      </w:r>
      <w:r w:rsidR="00656421">
        <w:t>breadth</w:t>
      </w:r>
      <w:r w:rsidR="005F15D6">
        <w:t xml:space="preserve"> of rights and protections </w:t>
      </w:r>
      <w:r w:rsidR="00C3475C">
        <w:t xml:space="preserve">addressed </w:t>
      </w:r>
      <w:r w:rsidR="006B4EAF">
        <w:t xml:space="preserve">is important in determining the range of EU laws relevant to, and within scope of, </w:t>
      </w:r>
      <w:r w:rsidR="00897F32">
        <w:t>Windsor Framework</w:t>
      </w:r>
      <w:r w:rsidR="006B4EAF">
        <w:t xml:space="preserve"> Article 2.</w:t>
      </w:r>
      <w:r w:rsidR="00243C8C">
        <w:t xml:space="preserve"> In</w:t>
      </w:r>
      <w:r w:rsidR="00243C8C" w:rsidRPr="00243C8C">
        <w:t xml:space="preserve"> summary, the </w:t>
      </w:r>
      <w:r w:rsidR="00243C8C">
        <w:t>chapter</w:t>
      </w:r>
      <w:r w:rsidR="00243C8C" w:rsidRPr="00243C8C">
        <w:t xml:space="preserve"> represents wide-</w:t>
      </w:r>
      <w:r w:rsidR="00243C8C" w:rsidRPr="00243C8C">
        <w:lastRenderedPageBreak/>
        <w:t xml:space="preserve">ranging acknowledgement of and commitment to civil, political, economic, </w:t>
      </w:r>
      <w:proofErr w:type="gramStart"/>
      <w:r w:rsidR="00243C8C" w:rsidRPr="00243C8C">
        <w:t>social</w:t>
      </w:r>
      <w:proofErr w:type="gramEnd"/>
      <w:r w:rsidR="00243C8C" w:rsidRPr="00243C8C">
        <w:t xml:space="preserve"> and cultural rights and equality of opportunity, anticipating further legislation to entrench and safeguard those rights</w:t>
      </w:r>
      <w:r w:rsidR="00C25F86">
        <w:t>.</w:t>
      </w:r>
    </w:p>
    <w:p w14:paraId="4FE01148" w14:textId="77777777" w:rsidR="006B4EAF" w:rsidRDefault="006B4EAF" w:rsidP="00892E9A">
      <w:pPr>
        <w:pStyle w:val="ListParagraph"/>
        <w:numPr>
          <w:ilvl w:val="0"/>
          <w:numId w:val="0"/>
        </w:numPr>
        <w:spacing w:line="276" w:lineRule="auto"/>
        <w:ind w:left="709"/>
      </w:pPr>
    </w:p>
    <w:p w14:paraId="6203E8D2" w14:textId="18208160" w:rsidR="006B4EAF" w:rsidRDefault="006B4EAF" w:rsidP="00892E9A">
      <w:pPr>
        <w:pStyle w:val="ListParagraph"/>
        <w:spacing w:line="276" w:lineRule="auto"/>
        <w:ind w:left="709"/>
      </w:pPr>
      <w:r>
        <w:t xml:space="preserve">The UK Government’s ‘Explainer’ document on </w:t>
      </w:r>
      <w:r w:rsidR="00DF4346">
        <w:t>Windsor Framework</w:t>
      </w:r>
      <w:r>
        <w:t xml:space="preserve"> Article 2 acknowledges that its protections apply to everyone who is “subject to the law in Northern Ireland”.</w:t>
      </w:r>
      <w:r>
        <w:rPr>
          <w:rStyle w:val="FootnoteReference"/>
        </w:rPr>
        <w:footnoteReference w:id="13"/>
      </w:r>
      <w:r>
        <w:t xml:space="preserve"> Asylum-seekers are part of the community, subject to the law in NI and are therefore protected by the Rights, Safeguards and Equality of Opportunity chapter of the </w:t>
      </w:r>
      <w:r w:rsidR="00F81EF4">
        <w:t>Belfast (Good Friday) Agreement</w:t>
      </w:r>
      <w:r>
        <w:t>.</w:t>
      </w:r>
      <w:r w:rsidR="00314BE5">
        <w:t xml:space="preserve"> </w:t>
      </w:r>
      <w:r w:rsidR="00456CA9">
        <w:t>In court proceedings</w:t>
      </w:r>
      <w:r w:rsidR="00B6481D">
        <w:t xml:space="preserve"> ongoing at the time of writing, </w:t>
      </w:r>
      <w:r w:rsidR="00D4728E">
        <w:t xml:space="preserve">the </w:t>
      </w:r>
      <w:r w:rsidR="00A56FD7">
        <w:t xml:space="preserve">Home Office has not disputed the </w:t>
      </w:r>
      <w:r w:rsidR="00A90E57">
        <w:t xml:space="preserve">argument that </w:t>
      </w:r>
      <w:r w:rsidR="009A3253">
        <w:t xml:space="preserve">the protections of the </w:t>
      </w:r>
      <w:r w:rsidR="00E2267B">
        <w:t>relevant chapter of the Belfast (Good Friday) Agreement extend to asylum-seekers and refugees.</w:t>
      </w:r>
      <w:r w:rsidR="00E2267B">
        <w:rPr>
          <w:rStyle w:val="FootnoteReference"/>
        </w:rPr>
        <w:footnoteReference w:id="14"/>
      </w:r>
    </w:p>
    <w:p w14:paraId="4B07AF2F" w14:textId="77777777" w:rsidR="006B4EAF" w:rsidRDefault="006B4EAF" w:rsidP="00892E9A">
      <w:pPr>
        <w:pStyle w:val="ListParagraph"/>
        <w:numPr>
          <w:ilvl w:val="0"/>
          <w:numId w:val="0"/>
        </w:numPr>
        <w:spacing w:line="276" w:lineRule="auto"/>
        <w:ind w:left="709"/>
      </w:pPr>
    </w:p>
    <w:p w14:paraId="71B40F38" w14:textId="1926E5BC" w:rsidR="006B4EAF" w:rsidRDefault="006B4EAF" w:rsidP="00892E9A">
      <w:pPr>
        <w:pStyle w:val="ListParagraph"/>
        <w:spacing w:line="276" w:lineRule="auto"/>
        <w:ind w:left="709"/>
      </w:pPr>
      <w:r>
        <w:t>Read in the context of the additional pledges on rights within this chapter, the general commitment of the Belfast (Good Friday) Agreement signatories to the range of rights referenced within the chapter must be understood as embracing, as a minimum, those rights set out in the ECHR.</w:t>
      </w:r>
      <w:r>
        <w:rPr>
          <w:rStyle w:val="FootnoteReference"/>
        </w:rPr>
        <w:footnoteReference w:id="15"/>
      </w:r>
      <w:r>
        <w:t xml:space="preserve">  In its Explainer the UK Government has confirmed that the “key rights and equality provisions in the [Belfast (Good Friday)] Agreement are supported by the ECHR”.  The Explainer further confirms that the UK Government acknowledges that “in NI, EU law, particularly on anti-discrimination, has formed an important part of the framework for delivering the guarantees on rights and equality set out in the [Belfast (Good Friday)] Agreement”.</w:t>
      </w:r>
      <w:r>
        <w:rPr>
          <w:rStyle w:val="FootnoteReference"/>
        </w:rPr>
        <w:footnoteReference w:id="16"/>
      </w:r>
      <w:r>
        <w:t xml:space="preserve">  The Commissions are adopting a working assumption that the non-diminution commitment in </w:t>
      </w:r>
      <w:r w:rsidR="006C2B73">
        <w:t>Windsor Framework</w:t>
      </w:r>
      <w:r>
        <w:t xml:space="preserve"> Article 2 encompasses the full range of rights set out in the ECHR, to the extent that they are underpinned by EU legal obligations in force on or before 31 December 2020.  Put another way, the Commissions consider that </w:t>
      </w:r>
      <w:r>
        <w:lastRenderedPageBreak/>
        <w:t xml:space="preserve">all EU law in force in NI on or before 31 December 2020 which underpins an ECHR right, falls within scope of the non-diminution commitment in </w:t>
      </w:r>
      <w:r w:rsidR="00A345CA">
        <w:t>Windsor Framework</w:t>
      </w:r>
      <w:r>
        <w:t xml:space="preserve"> Article 2.</w:t>
      </w:r>
    </w:p>
    <w:p w14:paraId="23B8DCD5" w14:textId="77777777" w:rsidR="006B4EAF" w:rsidRDefault="006B4EAF" w:rsidP="00892E9A">
      <w:pPr>
        <w:pStyle w:val="ListParagraph"/>
        <w:numPr>
          <w:ilvl w:val="0"/>
          <w:numId w:val="0"/>
        </w:numPr>
        <w:spacing w:line="276" w:lineRule="auto"/>
        <w:ind w:left="709"/>
      </w:pPr>
    </w:p>
    <w:p w14:paraId="1AD9DCDA" w14:textId="432FCD66" w:rsidR="00A504A0" w:rsidRDefault="006B4EAF" w:rsidP="009D757C">
      <w:pPr>
        <w:pStyle w:val="ListParagraph"/>
        <w:spacing w:line="276" w:lineRule="auto"/>
        <w:ind w:left="709"/>
      </w:pPr>
      <w:proofErr w:type="gramStart"/>
      <w:r>
        <w:t>A number of</w:t>
      </w:r>
      <w:proofErr w:type="gramEnd"/>
      <w:r>
        <w:t xml:space="preserve"> ECHR rights are engaged by the Bill, bringing into scope relevant EU law as outlined below. Relevant ECHR rights include, for example</w:t>
      </w:r>
      <w:r w:rsidR="008A2796">
        <w:t>,</w:t>
      </w:r>
      <w:r>
        <w:t xml:space="preserve"> protections against slavery and </w:t>
      </w:r>
      <w:r w:rsidR="00C4216C">
        <w:t>forced labour</w:t>
      </w:r>
      <w:r>
        <w:t xml:space="preserve"> (A</w:t>
      </w:r>
      <w:r w:rsidR="00B502AD">
        <w:t xml:space="preserve">rticle </w:t>
      </w:r>
      <w:r>
        <w:t>4 ECHR), the right to liberty and security (</w:t>
      </w:r>
      <w:r w:rsidR="00B502AD">
        <w:t xml:space="preserve">Article </w:t>
      </w:r>
      <w:r>
        <w:t xml:space="preserve">5 ECHR) and the right to a </w:t>
      </w:r>
      <w:r w:rsidR="00F575D3">
        <w:t>p</w:t>
      </w:r>
      <w:r w:rsidR="0087005F">
        <w:t>rivate</w:t>
      </w:r>
      <w:r>
        <w:t xml:space="preserve"> and family life (</w:t>
      </w:r>
      <w:r w:rsidR="00B502AD">
        <w:t xml:space="preserve">Article </w:t>
      </w:r>
      <w:r>
        <w:t>8 ECHR) as well as freedom from discrimination (</w:t>
      </w:r>
      <w:r w:rsidR="00B502AD">
        <w:t xml:space="preserve">Article </w:t>
      </w:r>
      <w:r>
        <w:t>14 ECHR).</w:t>
      </w:r>
    </w:p>
    <w:p w14:paraId="32FA4A39" w14:textId="77777777" w:rsidR="00A504A0" w:rsidRDefault="00A504A0" w:rsidP="00A504A0">
      <w:pPr>
        <w:pStyle w:val="ListParagraph"/>
        <w:numPr>
          <w:ilvl w:val="0"/>
          <w:numId w:val="0"/>
        </w:numPr>
        <w:ind w:left="720"/>
      </w:pPr>
    </w:p>
    <w:p w14:paraId="562870A8" w14:textId="47E4B409" w:rsidR="007C52E2" w:rsidRDefault="00B502AD" w:rsidP="00892E9A">
      <w:pPr>
        <w:pStyle w:val="ListParagraph"/>
        <w:spacing w:line="276" w:lineRule="auto"/>
        <w:ind w:left="709"/>
      </w:pPr>
      <w:r>
        <w:t xml:space="preserve">The </w:t>
      </w:r>
      <w:r w:rsidR="00CE4E20">
        <w:t>NIHRC</w:t>
      </w:r>
      <w:r w:rsidR="00464F48">
        <w:t xml:space="preserve">, along with the </w:t>
      </w:r>
      <w:r w:rsidR="00CE4E20">
        <w:t>E</w:t>
      </w:r>
      <w:r w:rsidR="00464F48">
        <w:t xml:space="preserve">quality </w:t>
      </w:r>
      <w:r w:rsidR="00CE4E20">
        <w:t>C</w:t>
      </w:r>
      <w:r w:rsidR="00464F48">
        <w:t xml:space="preserve">ommission for </w:t>
      </w:r>
      <w:r w:rsidR="00CE4E20">
        <w:t>NI</w:t>
      </w:r>
      <w:r w:rsidR="00047A85">
        <w:t>,</w:t>
      </w:r>
      <w:r w:rsidR="00CE4E20">
        <w:t xml:space="preserve"> have identified the Reception Directive</w:t>
      </w:r>
      <w:r w:rsidR="00BA00BA">
        <w:t>,</w:t>
      </w:r>
      <w:r w:rsidR="00CE4E20">
        <w:rPr>
          <w:rStyle w:val="FootnoteReference"/>
        </w:rPr>
        <w:footnoteReference w:id="17"/>
      </w:r>
      <w:r w:rsidR="00CE4E20">
        <w:t xml:space="preserve"> the Procedures Directive</w:t>
      </w:r>
      <w:r w:rsidR="003A6BB5">
        <w:t>,</w:t>
      </w:r>
      <w:r w:rsidR="00CE4E20">
        <w:rPr>
          <w:rStyle w:val="FootnoteReference"/>
        </w:rPr>
        <w:footnoteReference w:id="18"/>
      </w:r>
      <w:r w:rsidR="00CE4E20">
        <w:t xml:space="preserve"> the Qualification Directive</w:t>
      </w:r>
      <w:r w:rsidR="00CE4E20">
        <w:rPr>
          <w:rStyle w:val="FootnoteReference"/>
        </w:rPr>
        <w:footnoteReference w:id="19"/>
      </w:r>
      <w:r w:rsidR="00CE4E20">
        <w:t xml:space="preserve"> </w:t>
      </w:r>
      <w:r w:rsidR="003A6BB5">
        <w:t>and the Dublin III Regulation</w:t>
      </w:r>
      <w:r w:rsidR="003A6BB5">
        <w:rPr>
          <w:rStyle w:val="FootnoteReference"/>
        </w:rPr>
        <w:footnoteReference w:id="20"/>
      </w:r>
      <w:r w:rsidR="003A6BB5">
        <w:t xml:space="preserve"> </w:t>
      </w:r>
      <w:r w:rsidR="00CE4E20">
        <w:t xml:space="preserve">as relevant to </w:t>
      </w:r>
      <w:r w:rsidR="008941EA">
        <w:t xml:space="preserve">Windsor Framework </w:t>
      </w:r>
      <w:r w:rsidR="00CE4E20">
        <w:t xml:space="preserve">Article 2. These </w:t>
      </w:r>
      <w:r w:rsidR="003A6BB5">
        <w:t>measures</w:t>
      </w:r>
      <w:r w:rsidR="00CE4E20">
        <w:t xml:space="preserve"> address, for example, free movement, accommodation, detention including conditions designed to meet special needs, family unity, access to healthcare, the best interests of the child and education of minors.</w:t>
      </w:r>
      <w:r w:rsidR="00A504A0">
        <w:t xml:space="preserve"> </w:t>
      </w:r>
      <w:r w:rsidR="00B81E69">
        <w:t xml:space="preserve">The Procedures Directive includes specific provisions on access to judicial review where an </w:t>
      </w:r>
      <w:r w:rsidR="00B81E69" w:rsidRPr="00B81E69">
        <w:t>applicant for asylum is held in detention</w:t>
      </w:r>
      <w:r w:rsidR="00B81E69">
        <w:t xml:space="preserve"> and a right to an effective </w:t>
      </w:r>
      <w:r w:rsidR="00023D04">
        <w:t>remedy</w:t>
      </w:r>
      <w:r w:rsidR="00B81E69">
        <w:t xml:space="preserve"> in respect of a </w:t>
      </w:r>
      <w:r w:rsidR="00023D04">
        <w:t>decision to consider an application in admissible.</w:t>
      </w:r>
      <w:r w:rsidR="00023D04">
        <w:rPr>
          <w:rStyle w:val="FootnoteReference"/>
        </w:rPr>
        <w:footnoteReference w:id="21"/>
      </w:r>
      <w:r w:rsidR="00023D04">
        <w:t xml:space="preserve"> </w:t>
      </w:r>
      <w:r w:rsidR="00CE4E20">
        <w:t>EU Directives on Victims and Combating Human Trafficking are also relevant.</w:t>
      </w:r>
      <w:r w:rsidR="00E83E31" w:rsidRPr="00EE172B">
        <w:rPr>
          <w:rStyle w:val="FootnoteReference"/>
        </w:rPr>
        <w:footnoteReference w:id="22"/>
      </w:r>
      <w:r w:rsidR="00A504A0">
        <w:t xml:space="preserve"> </w:t>
      </w:r>
      <w:r w:rsidR="00CE4E20">
        <w:t>A published appendix to the Commissions</w:t>
      </w:r>
      <w:r w:rsidR="00A504A0">
        <w:t>’</w:t>
      </w:r>
      <w:r w:rsidR="00CE4E20">
        <w:t xml:space="preserve"> working paper sets out relevant transposing legislation.</w:t>
      </w:r>
      <w:r w:rsidR="00CE4E20">
        <w:rPr>
          <w:rStyle w:val="FootnoteReference"/>
        </w:rPr>
        <w:footnoteReference w:id="23"/>
      </w:r>
      <w:r w:rsidR="006B4EAF">
        <w:t xml:space="preserve"> </w:t>
      </w:r>
    </w:p>
    <w:p w14:paraId="6876C09C" w14:textId="77777777" w:rsidR="007C52E2" w:rsidRDefault="007C52E2" w:rsidP="00892E9A">
      <w:pPr>
        <w:pStyle w:val="ListParagraph"/>
        <w:numPr>
          <w:ilvl w:val="0"/>
          <w:numId w:val="0"/>
        </w:numPr>
        <w:ind w:left="709"/>
      </w:pPr>
    </w:p>
    <w:p w14:paraId="6DD9DEA2" w14:textId="44A03CD4" w:rsidR="00F825DD" w:rsidRDefault="00736A12" w:rsidP="00892E9A">
      <w:pPr>
        <w:pStyle w:val="ListParagraph"/>
        <w:spacing w:after="240" w:line="276" w:lineRule="auto"/>
        <w:ind w:left="709"/>
      </w:pPr>
      <w:r>
        <w:t>Given this analysis, f</w:t>
      </w:r>
      <w:r w:rsidR="008D3F29">
        <w:t xml:space="preserve">ailure to address </w:t>
      </w:r>
      <w:r>
        <w:t>compliance with W</w:t>
      </w:r>
      <w:r w:rsidR="00B502AD">
        <w:t xml:space="preserve">indsor </w:t>
      </w:r>
      <w:r>
        <w:t>F</w:t>
      </w:r>
      <w:r w:rsidR="00B502AD">
        <w:t>ramework</w:t>
      </w:r>
      <w:r>
        <w:t xml:space="preserve"> Article 2</w:t>
      </w:r>
      <w:r w:rsidR="008D3F29">
        <w:t xml:space="preserve"> in the </w:t>
      </w:r>
      <w:r w:rsidR="008D3F29" w:rsidRPr="00445123">
        <w:t>Human Rights memorandum to the Bill</w:t>
      </w:r>
      <w:r w:rsidR="008D3F29">
        <w:t xml:space="preserve"> is </w:t>
      </w:r>
      <w:r w:rsidR="008D3F29">
        <w:lastRenderedPageBreak/>
        <w:t>a matter of concern.</w:t>
      </w:r>
    </w:p>
    <w:p w14:paraId="7B171424" w14:textId="6D46C622" w:rsidR="00EC31E0" w:rsidRDefault="00E6253B" w:rsidP="00CF66CB">
      <w:pPr>
        <w:pStyle w:val="ListParagraph"/>
        <w:ind w:left="709"/>
        <w:rPr>
          <w:b/>
          <w:bCs/>
        </w:rPr>
      </w:pPr>
      <w:r>
        <w:rPr>
          <w:b/>
          <w:bCs/>
        </w:rPr>
        <w:t xml:space="preserve">The </w:t>
      </w:r>
      <w:r w:rsidR="00EC31E0" w:rsidRPr="00511508">
        <w:rPr>
          <w:b/>
          <w:bCs/>
        </w:rPr>
        <w:t xml:space="preserve">NIHRC recommends that </w:t>
      </w:r>
      <w:r w:rsidR="0086572B">
        <w:rPr>
          <w:b/>
          <w:bCs/>
        </w:rPr>
        <w:t xml:space="preserve">the Committee explore with the Secretary of State what steps she has taken to assure herself that the Bill complies with </w:t>
      </w:r>
      <w:r w:rsidR="00007BF2">
        <w:rPr>
          <w:b/>
          <w:bCs/>
        </w:rPr>
        <w:t xml:space="preserve">Article 2 of the </w:t>
      </w:r>
      <w:r w:rsidR="0086572B">
        <w:rPr>
          <w:b/>
          <w:bCs/>
        </w:rPr>
        <w:t>Wind</w:t>
      </w:r>
      <w:r w:rsidR="00007BF2">
        <w:rPr>
          <w:b/>
          <w:bCs/>
        </w:rPr>
        <w:t>sor Framework</w:t>
      </w:r>
      <w:r w:rsidR="00DF4ECB">
        <w:rPr>
          <w:b/>
          <w:bCs/>
        </w:rPr>
        <w:t xml:space="preserve"> and that</w:t>
      </w:r>
      <w:r w:rsidR="00007BF2">
        <w:rPr>
          <w:b/>
          <w:bCs/>
        </w:rPr>
        <w:t xml:space="preserve"> </w:t>
      </w:r>
      <w:r w:rsidR="00EC31E0" w:rsidRPr="00511508">
        <w:rPr>
          <w:b/>
          <w:bCs/>
        </w:rPr>
        <w:t>the Human Rights Memorandum to the Bill be amended to set out in detail</w:t>
      </w:r>
      <w:r w:rsidR="00D32B22" w:rsidRPr="00511508">
        <w:rPr>
          <w:b/>
          <w:bCs/>
        </w:rPr>
        <w:t xml:space="preserve"> </w:t>
      </w:r>
      <w:r w:rsidR="00543EAF">
        <w:rPr>
          <w:b/>
          <w:bCs/>
        </w:rPr>
        <w:t>an assessment of the</w:t>
      </w:r>
      <w:r w:rsidR="00483E12" w:rsidRPr="00511508">
        <w:rPr>
          <w:b/>
          <w:bCs/>
        </w:rPr>
        <w:t xml:space="preserve"> compliance of the Bill with </w:t>
      </w:r>
      <w:r w:rsidR="00511508" w:rsidRPr="00511508">
        <w:rPr>
          <w:b/>
          <w:bCs/>
        </w:rPr>
        <w:t>Article 2 of the Windsor Framework.</w:t>
      </w:r>
    </w:p>
    <w:p w14:paraId="58199C4F" w14:textId="77777777" w:rsidR="00B3546E" w:rsidRDefault="00B3546E" w:rsidP="0026762A">
      <w:pPr>
        <w:pStyle w:val="Heading2"/>
      </w:pPr>
    </w:p>
    <w:p w14:paraId="3C7F0CF7" w14:textId="38E58484" w:rsidR="00CE4CD9" w:rsidRDefault="00CE4CD9" w:rsidP="0026762A">
      <w:pPr>
        <w:pStyle w:val="Heading2"/>
      </w:pPr>
      <w:bookmarkStart w:id="8" w:name="_Toc131676087"/>
      <w:r>
        <w:t>Clause 1(5)</w:t>
      </w:r>
      <w:r w:rsidR="00E73819">
        <w:t>:</w:t>
      </w:r>
      <w:r>
        <w:t xml:space="preserve"> </w:t>
      </w:r>
      <w:r w:rsidR="00900E22">
        <w:t>D</w:t>
      </w:r>
      <w:r>
        <w:t>isapplication of s</w:t>
      </w:r>
      <w:r w:rsidR="00E53B77">
        <w:t xml:space="preserve">ection </w:t>
      </w:r>
      <w:r>
        <w:t>3 of the Human Rights Act 1998</w:t>
      </w:r>
      <w:bookmarkEnd w:id="8"/>
    </w:p>
    <w:p w14:paraId="6CB867FF" w14:textId="4A7A432A" w:rsidR="00D50660" w:rsidRDefault="006F7AC2" w:rsidP="00461980">
      <w:pPr>
        <w:pStyle w:val="ListParagraph"/>
        <w:ind w:left="709"/>
      </w:pPr>
      <w:r w:rsidRPr="006F7AC2">
        <w:t xml:space="preserve">Section 3 of the </w:t>
      </w:r>
      <w:r w:rsidR="00BD71E1">
        <w:t xml:space="preserve">Human Rights Act 1998 </w:t>
      </w:r>
      <w:r w:rsidR="00046AF5">
        <w:t>requires</w:t>
      </w:r>
      <w:r w:rsidR="008E45DE">
        <w:t xml:space="preserve"> </w:t>
      </w:r>
      <w:r w:rsidR="005F2EA1">
        <w:t>UK courts</w:t>
      </w:r>
      <w:r w:rsidR="007D1719">
        <w:t xml:space="preserve"> and</w:t>
      </w:r>
      <w:r w:rsidR="005F2EA1">
        <w:t xml:space="preserve"> </w:t>
      </w:r>
      <w:r w:rsidR="007D1719">
        <w:t xml:space="preserve">public authorities </w:t>
      </w:r>
      <w:r w:rsidR="004C4449">
        <w:t xml:space="preserve">to </w:t>
      </w:r>
      <w:r w:rsidR="00AB4CCA">
        <w:t>read and</w:t>
      </w:r>
      <w:r w:rsidR="00CA0F87">
        <w:t xml:space="preserve"> </w:t>
      </w:r>
      <w:r w:rsidR="00046AF5">
        <w:t xml:space="preserve">give effect </w:t>
      </w:r>
      <w:r w:rsidR="007B3FF2">
        <w:t>to</w:t>
      </w:r>
      <w:r w:rsidR="00705583">
        <w:t xml:space="preserve"> legislation </w:t>
      </w:r>
      <w:r w:rsidR="002545E7">
        <w:t xml:space="preserve">in a way </w:t>
      </w:r>
      <w:r w:rsidR="00736711">
        <w:t xml:space="preserve">that is </w:t>
      </w:r>
      <w:r w:rsidR="002545E7">
        <w:t>compatible with the European Convention on Human Rights (ECHR)</w:t>
      </w:r>
      <w:r w:rsidR="00E02DF6">
        <w:t xml:space="preserve"> so far as</w:t>
      </w:r>
      <w:r w:rsidR="00C8768D">
        <w:t xml:space="preserve"> it is</w:t>
      </w:r>
      <w:r w:rsidR="00E02DF6">
        <w:t xml:space="preserve"> possible</w:t>
      </w:r>
      <w:r w:rsidR="00C8768D">
        <w:t xml:space="preserve"> to do so</w:t>
      </w:r>
      <w:r w:rsidR="00E02DF6">
        <w:t>.</w:t>
      </w:r>
      <w:r w:rsidR="00673120" w:rsidRPr="00EC78E5">
        <w:t xml:space="preserve"> </w:t>
      </w:r>
      <w:r w:rsidR="00E02DF6">
        <w:t xml:space="preserve">The </w:t>
      </w:r>
      <w:r w:rsidR="00673120">
        <w:t xml:space="preserve">NIHRC is extremely concerned by clause 1(5) of the </w:t>
      </w:r>
      <w:r w:rsidRPr="006F7AC2">
        <w:t>Bill</w:t>
      </w:r>
      <w:r w:rsidR="00673120">
        <w:t xml:space="preserve"> which</w:t>
      </w:r>
      <w:r w:rsidRPr="006F7AC2">
        <w:t xml:space="preserve"> seeks to remove </w:t>
      </w:r>
      <w:r w:rsidR="00673120">
        <w:t>ECHR</w:t>
      </w:r>
      <w:r w:rsidRPr="006F7AC2">
        <w:t xml:space="preserve"> considerations from decision</w:t>
      </w:r>
      <w:r w:rsidR="00D50660">
        <w:t>-</w:t>
      </w:r>
      <w:r w:rsidRPr="006F7AC2">
        <w:t xml:space="preserve">making </w:t>
      </w:r>
      <w:r w:rsidR="00D50660">
        <w:t xml:space="preserve">in respect </w:t>
      </w:r>
      <w:r w:rsidR="00E666B2">
        <w:t xml:space="preserve">of </w:t>
      </w:r>
      <w:r w:rsidR="00D00FD7">
        <w:t xml:space="preserve">the </w:t>
      </w:r>
      <w:r w:rsidR="00AC73DE">
        <w:t>extensive powers contained within the</w:t>
      </w:r>
      <w:r w:rsidR="00D64C6E">
        <w:t xml:space="preserve"> Bill</w:t>
      </w:r>
      <w:r w:rsidR="003C5E2A">
        <w:t xml:space="preserve">. </w:t>
      </w:r>
    </w:p>
    <w:p w14:paraId="6DD6A6EC" w14:textId="77777777" w:rsidR="00D50660" w:rsidRDefault="00D50660" w:rsidP="00D50660">
      <w:pPr>
        <w:pStyle w:val="ListParagraph"/>
        <w:numPr>
          <w:ilvl w:val="0"/>
          <w:numId w:val="0"/>
        </w:numPr>
        <w:ind w:left="720"/>
      </w:pPr>
    </w:p>
    <w:p w14:paraId="25B62B98" w14:textId="2BDB9A2F" w:rsidR="00C65D69" w:rsidRDefault="00DF60A7" w:rsidP="00461980">
      <w:pPr>
        <w:pStyle w:val="ListParagraph"/>
        <w:ind w:left="709"/>
      </w:pPr>
      <w:r w:rsidRPr="006F7AC2">
        <w:t xml:space="preserve">The </w:t>
      </w:r>
      <w:r>
        <w:t>NIHRC</w:t>
      </w:r>
      <w:r w:rsidRPr="006F7AC2">
        <w:t xml:space="preserve"> has consistently highlighted that integrating human rights considerations into public sector decision</w:t>
      </w:r>
      <w:r>
        <w:t>-</w:t>
      </w:r>
      <w:r w:rsidRPr="006F7AC2">
        <w:t>making leads to better outcomes.</w:t>
      </w:r>
      <w:r>
        <w:rPr>
          <w:rStyle w:val="FootnoteReference"/>
        </w:rPr>
        <w:footnoteReference w:id="24"/>
      </w:r>
      <w:r w:rsidRPr="006F7AC2">
        <w:t xml:space="preserve"> </w:t>
      </w:r>
      <w:r>
        <w:t xml:space="preserve">However, </w:t>
      </w:r>
      <w:r w:rsidR="00C65D69">
        <w:t>throughout the Bill</w:t>
      </w:r>
      <w:r w:rsidR="00A975EC">
        <w:t xml:space="preserve"> and Explanatory Notes</w:t>
      </w:r>
      <w:r w:rsidR="00C67E3F">
        <w:t>,</w:t>
      </w:r>
      <w:r w:rsidR="004102B3">
        <w:t xml:space="preserve"> emphasis is placed on reducing the </w:t>
      </w:r>
      <w:r w:rsidR="004246F7">
        <w:t xml:space="preserve">responsibility </w:t>
      </w:r>
      <w:r w:rsidR="004102B3">
        <w:t xml:space="preserve">of government </w:t>
      </w:r>
      <w:r w:rsidR="004A4A7F">
        <w:t xml:space="preserve">and public authorities </w:t>
      </w:r>
      <w:r w:rsidR="004102B3">
        <w:t xml:space="preserve">to protect </w:t>
      </w:r>
      <w:r w:rsidR="004A4A7F">
        <w:t xml:space="preserve">the rights of </w:t>
      </w:r>
      <w:r w:rsidR="00487FD9">
        <w:t>refugees</w:t>
      </w:r>
      <w:r w:rsidR="00045039">
        <w:t xml:space="preserve">, </w:t>
      </w:r>
      <w:r w:rsidR="00083CC5">
        <w:t xml:space="preserve">people seeking </w:t>
      </w:r>
      <w:r w:rsidR="00487FD9">
        <w:t xml:space="preserve">asylum </w:t>
      </w:r>
      <w:r w:rsidR="00045039">
        <w:t xml:space="preserve">and migrants </w:t>
      </w:r>
      <w:r w:rsidR="00A307CD">
        <w:t>who arrive to the UK</w:t>
      </w:r>
      <w:r w:rsidR="008F4E0F">
        <w:t xml:space="preserve"> irregularly</w:t>
      </w:r>
      <w:r w:rsidR="00B55B62">
        <w:t>.</w:t>
      </w:r>
      <w:r w:rsidR="008F4E0F">
        <w:t xml:space="preserve"> </w:t>
      </w:r>
      <w:r w:rsidR="00EA35C7">
        <w:t>C</w:t>
      </w:r>
      <w:r w:rsidR="0047488B">
        <w:t>lause 1(5)</w:t>
      </w:r>
      <w:r w:rsidR="00F23C69">
        <w:t xml:space="preserve"> suggest</w:t>
      </w:r>
      <w:r w:rsidR="0047488B">
        <w:t>s</w:t>
      </w:r>
      <w:r w:rsidR="00F23C69">
        <w:t xml:space="preserve"> </w:t>
      </w:r>
      <w:r w:rsidR="00C95443">
        <w:t xml:space="preserve">a </w:t>
      </w:r>
      <w:r w:rsidR="00F23C69">
        <w:t xml:space="preserve">willingness to provide public authorities with more freedom to act in ways which are, potentially, incompatible with the </w:t>
      </w:r>
      <w:r w:rsidR="00A3540B">
        <w:t xml:space="preserve">UK’s </w:t>
      </w:r>
      <w:r w:rsidR="00F23C69">
        <w:t xml:space="preserve">human rights </w:t>
      </w:r>
      <w:r w:rsidR="00A3540B">
        <w:t>obligations.</w:t>
      </w:r>
    </w:p>
    <w:p w14:paraId="58B3259B" w14:textId="77777777" w:rsidR="00C65D69" w:rsidRDefault="00C65D69" w:rsidP="00C65D69">
      <w:pPr>
        <w:pStyle w:val="ListParagraph"/>
        <w:numPr>
          <w:ilvl w:val="0"/>
          <w:numId w:val="0"/>
        </w:numPr>
        <w:ind w:left="720"/>
      </w:pPr>
    </w:p>
    <w:p w14:paraId="653C3E14" w14:textId="56FFF657" w:rsidR="00711AFA" w:rsidRPr="00CE109E" w:rsidRDefault="00352549" w:rsidP="00461980">
      <w:pPr>
        <w:pStyle w:val="ListParagraph"/>
        <w:ind w:left="709"/>
      </w:pPr>
      <w:r w:rsidRPr="00CE109E">
        <w:t xml:space="preserve">Further, </w:t>
      </w:r>
      <w:r w:rsidR="00E5619D" w:rsidRPr="00CE109E">
        <w:t>i</w:t>
      </w:r>
      <w:r w:rsidR="00711AFA" w:rsidRPr="00CE109E">
        <w:t>f implemented,</w:t>
      </w:r>
      <w:r w:rsidR="00E5619D" w:rsidRPr="00CE109E">
        <w:t xml:space="preserve"> </w:t>
      </w:r>
      <w:r w:rsidR="00DB1B0B" w:rsidRPr="00CE109E">
        <w:t xml:space="preserve">clause 1(5) </w:t>
      </w:r>
      <w:r w:rsidR="00A025F4">
        <w:t>w</w:t>
      </w:r>
      <w:r w:rsidR="00711AFA" w:rsidRPr="00CE109E">
        <w:t>ould deny access to justice in the domestic courts</w:t>
      </w:r>
      <w:r w:rsidR="00796EA6" w:rsidRPr="00CE109E">
        <w:t xml:space="preserve"> </w:t>
      </w:r>
      <w:r w:rsidR="00716219" w:rsidRPr="00CE109E">
        <w:t xml:space="preserve">for </w:t>
      </w:r>
      <w:r w:rsidR="00FB14B5">
        <w:t xml:space="preserve">any </w:t>
      </w:r>
      <w:r w:rsidR="00716219" w:rsidRPr="00CE109E">
        <w:t xml:space="preserve">human rights violations </w:t>
      </w:r>
      <w:r w:rsidR="00FB14B5">
        <w:t>in respect of</w:t>
      </w:r>
      <w:r w:rsidR="00796EA6" w:rsidRPr="00CE109E">
        <w:t xml:space="preserve"> </w:t>
      </w:r>
      <w:r w:rsidR="00520A90" w:rsidRPr="00CE109E">
        <w:t>the Bill</w:t>
      </w:r>
      <w:r w:rsidR="00A34ADA" w:rsidRPr="00CE109E">
        <w:t>. Whil</w:t>
      </w:r>
      <w:r w:rsidR="00076E3E" w:rsidRPr="00CE109E">
        <w:t xml:space="preserve">e </w:t>
      </w:r>
      <w:r w:rsidR="00A81CFC" w:rsidRPr="00CE109E">
        <w:t xml:space="preserve">individuals </w:t>
      </w:r>
      <w:r w:rsidR="00D10D0D" w:rsidRPr="00CE109E">
        <w:t xml:space="preserve">may </w:t>
      </w:r>
      <w:r w:rsidR="00A81CFC" w:rsidRPr="00CE109E">
        <w:t xml:space="preserve">apply to the European Court of Human Rights (ECtHR), </w:t>
      </w:r>
      <w:r w:rsidR="00CB4AD7" w:rsidRPr="00CE109E">
        <w:t xml:space="preserve">this </w:t>
      </w:r>
      <w:r w:rsidR="00711AFA" w:rsidRPr="00CE109E">
        <w:t>create</w:t>
      </w:r>
      <w:r w:rsidR="00CB4AD7" w:rsidRPr="00CE109E">
        <w:t>s</w:t>
      </w:r>
      <w:r w:rsidR="00711AFA" w:rsidRPr="00CE109E">
        <w:t xml:space="preserve"> additional barriers to those already </w:t>
      </w:r>
      <w:r w:rsidR="00B64C43" w:rsidRPr="00CE109E">
        <w:t xml:space="preserve">facing significant </w:t>
      </w:r>
      <w:r w:rsidR="00711AFA" w:rsidRPr="00CE109E">
        <w:t>disadvantage</w:t>
      </w:r>
      <w:r w:rsidR="00CE109E" w:rsidRPr="00CE109E">
        <w:t xml:space="preserve"> </w:t>
      </w:r>
      <w:r w:rsidR="00991774">
        <w:t xml:space="preserve">and </w:t>
      </w:r>
      <w:r w:rsidR="00407E4B">
        <w:t>such individuals</w:t>
      </w:r>
      <w:r w:rsidR="00EA6584">
        <w:t xml:space="preserve"> </w:t>
      </w:r>
      <w:r w:rsidR="004F5E2B" w:rsidRPr="00CE109E">
        <w:t xml:space="preserve">may </w:t>
      </w:r>
      <w:r w:rsidR="00CE109E" w:rsidRPr="00CE109E">
        <w:t xml:space="preserve">be </w:t>
      </w:r>
      <w:r w:rsidR="004F5E2B" w:rsidRPr="00CE109E">
        <w:t>prevented from accessing justice</w:t>
      </w:r>
      <w:r w:rsidR="0055337B">
        <w:t xml:space="preserve"> </w:t>
      </w:r>
      <w:r w:rsidR="004F5E2B" w:rsidRPr="00CE109E">
        <w:t xml:space="preserve">due to the financial costs and the </w:t>
      </w:r>
      <w:r w:rsidR="004F5E2B" w:rsidRPr="00CE109E">
        <w:lastRenderedPageBreak/>
        <w:t xml:space="preserve">length of time taken by court </w:t>
      </w:r>
      <w:r w:rsidR="00371BC2" w:rsidRPr="00CE109E">
        <w:t xml:space="preserve">proceedings. </w:t>
      </w:r>
    </w:p>
    <w:p w14:paraId="013B9FB1" w14:textId="77777777" w:rsidR="009654F9" w:rsidRDefault="009654F9" w:rsidP="00F90A31"/>
    <w:p w14:paraId="60C5EB85" w14:textId="54BD001D" w:rsidR="00010CBA" w:rsidRDefault="00D50660" w:rsidP="00461980">
      <w:pPr>
        <w:pStyle w:val="ListParagraph"/>
        <w:ind w:left="709"/>
      </w:pPr>
      <w:r>
        <w:t>Clause 1(5)</w:t>
      </w:r>
      <w:r w:rsidR="006F7AC2" w:rsidRPr="006F7AC2">
        <w:t xml:space="preserve"> appears to be informed by the same rationale which </w:t>
      </w:r>
      <w:r w:rsidR="00AC73DE">
        <w:t>underpinned</w:t>
      </w:r>
      <w:r w:rsidR="006F7AC2" w:rsidRPr="006F7AC2">
        <w:t xml:space="preserve"> the</w:t>
      </w:r>
      <w:r w:rsidR="00AC73DE">
        <w:t xml:space="preserve"> UK</w:t>
      </w:r>
      <w:r w:rsidR="00A7147F">
        <w:t xml:space="preserve"> Government’s</w:t>
      </w:r>
      <w:r w:rsidR="006F7AC2" w:rsidRPr="006F7AC2">
        <w:t xml:space="preserve"> Bill of Rights Bill</w:t>
      </w:r>
      <w:r w:rsidR="00DA6D88">
        <w:t>, that</w:t>
      </w:r>
      <w:r w:rsidR="00C45513">
        <w:t xml:space="preserve"> </w:t>
      </w:r>
      <w:r w:rsidR="008068F0">
        <w:t xml:space="preserve">disapplying or </w:t>
      </w:r>
      <w:r w:rsidR="00C45513">
        <w:t xml:space="preserve">repealing section 3 </w:t>
      </w:r>
      <w:r w:rsidR="00A04819">
        <w:t xml:space="preserve">would </w:t>
      </w:r>
      <w:r w:rsidR="00C45513">
        <w:t xml:space="preserve">ensure UK courts </w:t>
      </w:r>
      <w:r w:rsidR="00E55934">
        <w:t>“can no longer alter legislation contrary to its ordinary meaning”.</w:t>
      </w:r>
      <w:r w:rsidR="008F6903">
        <w:rPr>
          <w:rStyle w:val="FootnoteReference"/>
        </w:rPr>
        <w:footnoteReference w:id="25"/>
      </w:r>
      <w:r w:rsidR="008C505D">
        <w:t xml:space="preserve"> </w:t>
      </w:r>
      <w:r w:rsidR="00E726D0">
        <w:t>However, the</w:t>
      </w:r>
      <w:r w:rsidR="006F7AC2" w:rsidRPr="006F7AC2">
        <w:t xml:space="preserve"> </w:t>
      </w:r>
      <w:r w:rsidR="006F4AE5">
        <w:t>I</w:t>
      </w:r>
      <w:r w:rsidR="006F7AC2" w:rsidRPr="006F7AC2">
        <w:t xml:space="preserve">ndependent </w:t>
      </w:r>
      <w:r w:rsidR="006F4AE5">
        <w:t>R</w:t>
      </w:r>
      <w:r w:rsidR="006F7AC2" w:rsidRPr="006F7AC2">
        <w:t xml:space="preserve">eview of the </w:t>
      </w:r>
      <w:r w:rsidR="006F4AE5">
        <w:t>Human Rights Act</w:t>
      </w:r>
      <w:r w:rsidR="00B96088">
        <w:t xml:space="preserve"> </w:t>
      </w:r>
      <w:r w:rsidR="006F7AC2" w:rsidRPr="006F7AC2">
        <w:t>found that section 3 was applied in a very limited number of cases</w:t>
      </w:r>
      <w:r w:rsidR="005A4A6C">
        <w:t>,</w:t>
      </w:r>
      <w:r w:rsidR="00B53E2B" w:rsidRPr="00B53E2B">
        <w:t xml:space="preserve"> </w:t>
      </w:r>
      <w:r w:rsidR="00A0076D">
        <w:t xml:space="preserve">which </w:t>
      </w:r>
      <w:r w:rsidR="00B53E2B" w:rsidRPr="00B53E2B">
        <w:t>strongly indicat</w:t>
      </w:r>
      <w:r w:rsidR="00A0076D">
        <w:t xml:space="preserve">ed </w:t>
      </w:r>
      <w:r w:rsidR="00B53E2B" w:rsidRPr="00B53E2B">
        <w:t xml:space="preserve">that </w:t>
      </w:r>
      <w:r w:rsidR="005A4A6C">
        <w:t>“</w:t>
      </w:r>
      <w:r w:rsidR="00B53E2B" w:rsidRPr="00B53E2B">
        <w:t>the courts are not using section 3 to trespass on to the territory of the legislature</w:t>
      </w:r>
      <w:r w:rsidR="005A4A6C">
        <w:t>”</w:t>
      </w:r>
      <w:r w:rsidR="001277B0">
        <w:t>.</w:t>
      </w:r>
      <w:r w:rsidR="00A0076D" w:rsidRPr="00B8411E">
        <w:rPr>
          <w:rStyle w:val="FootnoteReference"/>
        </w:rPr>
        <w:footnoteReference w:id="26"/>
      </w:r>
      <w:r w:rsidR="005B188B">
        <w:t xml:space="preserve"> </w:t>
      </w:r>
    </w:p>
    <w:p w14:paraId="06AEC960" w14:textId="77777777" w:rsidR="003A6A7F" w:rsidRDefault="003A6A7F" w:rsidP="001774BC">
      <w:pPr>
        <w:pStyle w:val="ListParagraph"/>
        <w:numPr>
          <w:ilvl w:val="0"/>
          <w:numId w:val="0"/>
        </w:numPr>
        <w:ind w:left="720"/>
      </w:pPr>
    </w:p>
    <w:p w14:paraId="012BC199" w14:textId="5D8D661E" w:rsidR="003A6A7F" w:rsidRDefault="00D95C1D" w:rsidP="00461980">
      <w:pPr>
        <w:pStyle w:val="ListParagraph"/>
        <w:ind w:left="709"/>
      </w:pPr>
      <w:r>
        <w:t>E</w:t>
      </w:r>
      <w:r w:rsidR="00663120">
        <w:t xml:space="preserve">ven if section 3 was disapplied, </w:t>
      </w:r>
      <w:r w:rsidR="006C5378">
        <w:t xml:space="preserve">senior </w:t>
      </w:r>
      <w:r w:rsidR="00245D3C">
        <w:t xml:space="preserve">courts are free to make a </w:t>
      </w:r>
      <w:r w:rsidR="00B8187F">
        <w:t>declaration of incompatibility under section 4 of the Human Rights Act</w:t>
      </w:r>
      <w:r w:rsidR="001774BC">
        <w:t>.</w:t>
      </w:r>
      <w:r w:rsidR="00F668F0">
        <w:t xml:space="preserve"> </w:t>
      </w:r>
      <w:r w:rsidR="005A7E94">
        <w:t>T</w:t>
      </w:r>
      <w:r w:rsidR="0033563B">
        <w:t>he I</w:t>
      </w:r>
      <w:r w:rsidR="0033563B" w:rsidRPr="006F7AC2">
        <w:t xml:space="preserve">ndependent </w:t>
      </w:r>
      <w:r w:rsidR="0033563B">
        <w:t>R</w:t>
      </w:r>
      <w:r w:rsidR="0033563B" w:rsidRPr="006F7AC2">
        <w:t xml:space="preserve">eview of the </w:t>
      </w:r>
      <w:r w:rsidR="0033563B">
        <w:t>Human Rights Act found that w</w:t>
      </w:r>
      <w:r w:rsidR="0033563B" w:rsidRPr="0033563B">
        <w:t>here declarations of incompatibility have been made, the government and Parliament have in every case ultimately legislated to remedy the incompatibility.</w:t>
      </w:r>
      <w:r w:rsidR="00D85CD6">
        <w:rPr>
          <w:rStyle w:val="FootnoteReference"/>
        </w:rPr>
        <w:footnoteReference w:id="27"/>
      </w:r>
      <w:r w:rsidR="00907D9B">
        <w:t xml:space="preserve"> </w:t>
      </w:r>
      <w:r w:rsidR="000969DC">
        <w:t>This</w:t>
      </w:r>
      <w:r w:rsidR="00D85CD6">
        <w:t xml:space="preserve"> </w:t>
      </w:r>
      <w:r w:rsidR="000969DC">
        <w:t xml:space="preserve">could </w:t>
      </w:r>
      <w:r w:rsidR="00D85CD6">
        <w:t>place</w:t>
      </w:r>
      <w:r w:rsidR="00883DC4">
        <w:t xml:space="preserve"> an additional and unnecessary legislative burden on government and Parliament.</w:t>
      </w:r>
    </w:p>
    <w:p w14:paraId="236E116B" w14:textId="77777777" w:rsidR="00B10AF1" w:rsidRDefault="00B10AF1" w:rsidP="00B10AF1">
      <w:pPr>
        <w:pStyle w:val="ListParagraph"/>
        <w:numPr>
          <w:ilvl w:val="0"/>
          <w:numId w:val="0"/>
        </w:numPr>
        <w:ind w:left="720"/>
      </w:pPr>
    </w:p>
    <w:p w14:paraId="6EE38EDA" w14:textId="758C07EF" w:rsidR="00C200F2" w:rsidRPr="003D3C81" w:rsidRDefault="00B10AF1" w:rsidP="00461980">
      <w:pPr>
        <w:pStyle w:val="ListParagraph"/>
        <w:ind w:left="709" w:hanging="709"/>
        <w:rPr>
          <w:b/>
          <w:bCs/>
        </w:rPr>
      </w:pPr>
      <w:r w:rsidRPr="00016773">
        <w:rPr>
          <w:b/>
          <w:bCs/>
        </w:rPr>
        <w:t xml:space="preserve">The NIHRC recommends that clause 1(5) </w:t>
      </w:r>
      <w:r w:rsidR="003E5F1B">
        <w:rPr>
          <w:b/>
          <w:bCs/>
        </w:rPr>
        <w:t xml:space="preserve">of the </w:t>
      </w:r>
      <w:r w:rsidR="005E5068">
        <w:rPr>
          <w:b/>
          <w:bCs/>
        </w:rPr>
        <w:t xml:space="preserve">current draft of the </w:t>
      </w:r>
      <w:r w:rsidR="003E5F1B">
        <w:rPr>
          <w:b/>
          <w:bCs/>
        </w:rPr>
        <w:t>Bill</w:t>
      </w:r>
      <w:r w:rsidRPr="00016773">
        <w:rPr>
          <w:b/>
          <w:bCs/>
        </w:rPr>
        <w:t xml:space="preserve"> </w:t>
      </w:r>
      <w:r w:rsidR="00016773" w:rsidRPr="00016773">
        <w:rPr>
          <w:b/>
          <w:bCs/>
        </w:rPr>
        <w:t>is removed</w:t>
      </w:r>
      <w:r w:rsidR="00016773">
        <w:rPr>
          <w:b/>
          <w:bCs/>
        </w:rPr>
        <w:t xml:space="preserve"> </w:t>
      </w:r>
      <w:r w:rsidR="00AA0E9E">
        <w:rPr>
          <w:b/>
          <w:bCs/>
        </w:rPr>
        <w:t xml:space="preserve">and that </w:t>
      </w:r>
      <w:r w:rsidR="0065786F">
        <w:rPr>
          <w:b/>
          <w:bCs/>
        </w:rPr>
        <w:t xml:space="preserve">continued access to domestic courts for human rights violations is ensured. </w:t>
      </w:r>
    </w:p>
    <w:p w14:paraId="5BE275ED" w14:textId="1EDA8C7B" w:rsidR="00F532E5" w:rsidRDefault="00F532E5" w:rsidP="00086959">
      <w:pPr>
        <w:pStyle w:val="Heading1"/>
      </w:pPr>
      <w:bookmarkStart w:id="9" w:name="_Toc131676088"/>
      <w:r>
        <w:t xml:space="preserve">Duty to </w:t>
      </w:r>
      <w:proofErr w:type="gramStart"/>
      <w:r w:rsidR="00D95C1D">
        <w:t>M</w:t>
      </w:r>
      <w:r>
        <w:t xml:space="preserve">ake </w:t>
      </w:r>
      <w:r w:rsidR="00D95C1D">
        <w:t>A</w:t>
      </w:r>
      <w:r>
        <w:t>rrangements</w:t>
      </w:r>
      <w:proofErr w:type="gramEnd"/>
      <w:r>
        <w:t xml:space="preserve"> for </w:t>
      </w:r>
      <w:r w:rsidR="00D95C1D">
        <w:t>R</w:t>
      </w:r>
      <w:r>
        <w:t>emoval</w:t>
      </w:r>
      <w:bookmarkEnd w:id="9"/>
      <w:r>
        <w:t xml:space="preserve"> </w:t>
      </w:r>
    </w:p>
    <w:p w14:paraId="520244E2" w14:textId="090E311E" w:rsidR="00583B3F" w:rsidRPr="0026762A" w:rsidRDefault="00583B3F" w:rsidP="00583B3F">
      <w:pPr>
        <w:pStyle w:val="Heading2"/>
      </w:pPr>
      <w:bookmarkStart w:id="10" w:name="_Toc131676089"/>
      <w:r>
        <w:t xml:space="preserve">Clauses </w:t>
      </w:r>
      <w:r w:rsidR="00E93E7C">
        <w:t>4</w:t>
      </w:r>
      <w:r w:rsidR="007116F3">
        <w:t>,</w:t>
      </w:r>
      <w:r>
        <w:t xml:space="preserve"> 5</w:t>
      </w:r>
      <w:r w:rsidR="00BA14E9">
        <w:t xml:space="preserve">, </w:t>
      </w:r>
      <w:r w:rsidR="007116F3">
        <w:t>15</w:t>
      </w:r>
      <w:r w:rsidR="00BA14E9">
        <w:t xml:space="preserve"> and 21</w:t>
      </w:r>
      <w:r>
        <w:t xml:space="preserve">: </w:t>
      </w:r>
      <w:r w:rsidR="00900E22">
        <w:t>R</w:t>
      </w:r>
      <w:r>
        <w:t>etrospective effect</w:t>
      </w:r>
      <w:bookmarkEnd w:id="10"/>
    </w:p>
    <w:p w14:paraId="3C197276" w14:textId="5A29B375" w:rsidR="00583B3F" w:rsidRDefault="00583B3F" w:rsidP="00461980">
      <w:pPr>
        <w:pStyle w:val="ListParagraph"/>
        <w:spacing w:after="240"/>
        <w:ind w:left="709"/>
      </w:pPr>
      <w:r>
        <w:t>Clause</w:t>
      </w:r>
      <w:r w:rsidR="00E93E7C">
        <w:t xml:space="preserve">s </w:t>
      </w:r>
      <w:r w:rsidR="001F038B">
        <w:t>4</w:t>
      </w:r>
      <w:r w:rsidR="007116F3">
        <w:t xml:space="preserve">, </w:t>
      </w:r>
      <w:r>
        <w:t>5</w:t>
      </w:r>
      <w:r w:rsidR="00BA14E9">
        <w:t>, 15 and 21</w:t>
      </w:r>
      <w:r>
        <w:t xml:space="preserve"> </w:t>
      </w:r>
      <w:r w:rsidR="005E5068">
        <w:t xml:space="preserve">of the current draft of the Bill </w:t>
      </w:r>
      <w:r>
        <w:t>propose that t</w:t>
      </w:r>
      <w:r w:rsidRPr="001B236D">
        <w:t xml:space="preserve">he duty </w:t>
      </w:r>
      <w:r>
        <w:t>to</w:t>
      </w:r>
      <w:r w:rsidRPr="001B236D">
        <w:t xml:space="preserve"> remove persons who arrive in the UK irregularly will apply to persons who arrived on or after 7 March 2023</w:t>
      </w:r>
      <w:r>
        <w:t xml:space="preserve">. </w:t>
      </w:r>
      <w:r w:rsidR="005E5068">
        <w:t>T</w:t>
      </w:r>
      <w:r>
        <w:t xml:space="preserve">his potentially engages Article 7 ECHR which provides that: </w:t>
      </w:r>
    </w:p>
    <w:p w14:paraId="3748E2F9" w14:textId="0CD67290" w:rsidR="00583B3F" w:rsidRDefault="005E5068" w:rsidP="00583B3F">
      <w:pPr>
        <w:pStyle w:val="ListParagraph"/>
        <w:numPr>
          <w:ilvl w:val="0"/>
          <w:numId w:val="0"/>
        </w:numPr>
        <w:ind w:left="1440"/>
      </w:pPr>
      <w:r>
        <w:t>n</w:t>
      </w:r>
      <w:r w:rsidR="00583B3F">
        <w:t xml:space="preserve">o one shall be held guilty of any criminal offence on account of any act or omission which did not constitute a criminal offence under national law at the time when it was committed. Nor shall a heavier penalty be imposed than the one that was applicable at the time the criminal offence was </w:t>
      </w:r>
      <w:r w:rsidR="00583B3F">
        <w:lastRenderedPageBreak/>
        <w:t xml:space="preserve">committed. </w:t>
      </w:r>
    </w:p>
    <w:p w14:paraId="02383697" w14:textId="77777777" w:rsidR="00583B3F" w:rsidRDefault="00583B3F" w:rsidP="00583B3F">
      <w:pPr>
        <w:pStyle w:val="ListParagraph"/>
        <w:numPr>
          <w:ilvl w:val="0"/>
          <w:numId w:val="0"/>
        </w:numPr>
        <w:ind w:left="720"/>
      </w:pPr>
    </w:p>
    <w:p w14:paraId="4192E0F3" w14:textId="3C52241F" w:rsidR="00583B3F" w:rsidRDefault="005E5068" w:rsidP="00461980">
      <w:pPr>
        <w:pStyle w:val="ListParagraph"/>
        <w:ind w:left="709"/>
      </w:pPr>
      <w:r>
        <w:t>Thus,</w:t>
      </w:r>
      <w:r w:rsidR="00583B3F">
        <w:t xml:space="preserve"> Article 7 ECHR unconditionally prohibits the retrospective application of the criminal law where it is to an accused’s disadvantage. The principle of non-retroactivity of criminal law applies both to the provisions defining the offence and to those setting the penalties incurred. </w:t>
      </w:r>
      <w:r w:rsidR="008D1CEA">
        <w:t>The guarantees in</w:t>
      </w:r>
      <w:r w:rsidR="00017BA0">
        <w:t xml:space="preserve"> Article </w:t>
      </w:r>
      <w:r w:rsidR="00F424BD">
        <w:t>7</w:t>
      </w:r>
      <w:r w:rsidR="009E1AD6">
        <w:t xml:space="preserve"> are absolute</w:t>
      </w:r>
      <w:r w:rsidR="00DB0828">
        <w:t xml:space="preserve">, </w:t>
      </w:r>
      <w:r w:rsidR="001479C0">
        <w:t>with</w:t>
      </w:r>
      <w:r w:rsidR="00DB0828">
        <w:t xml:space="preserve"> no derogation </w:t>
      </w:r>
      <w:r w:rsidR="00017BA0">
        <w:t xml:space="preserve">permissible </w:t>
      </w:r>
      <w:r w:rsidR="00F47D53">
        <w:t xml:space="preserve">under </w:t>
      </w:r>
      <w:r w:rsidR="007434F4">
        <w:t>any circumstances</w:t>
      </w:r>
      <w:r w:rsidR="00F47D53">
        <w:t>.</w:t>
      </w:r>
      <w:r w:rsidR="00543288">
        <w:rPr>
          <w:rStyle w:val="FootnoteReference"/>
        </w:rPr>
        <w:footnoteReference w:id="28"/>
      </w:r>
    </w:p>
    <w:p w14:paraId="3ACC968F" w14:textId="77777777" w:rsidR="00583B3F" w:rsidRDefault="00583B3F" w:rsidP="00583B3F">
      <w:pPr>
        <w:pStyle w:val="ListParagraph"/>
        <w:numPr>
          <w:ilvl w:val="0"/>
          <w:numId w:val="0"/>
        </w:numPr>
        <w:ind w:left="720"/>
      </w:pPr>
    </w:p>
    <w:p w14:paraId="55B8B2FB" w14:textId="2C813591" w:rsidR="00583B3F" w:rsidRDefault="00583B3F" w:rsidP="00461980">
      <w:pPr>
        <w:pStyle w:val="ListParagraph"/>
        <w:ind w:left="709"/>
      </w:pPr>
      <w:r>
        <w:t>Further, the principle of non-retroactivity is infringed in cases of retroactive application of legislative provisions to offences committed before those provisions came into force. Therefore, it is prohibited to extend the scope of offences to acts which previously were not criminal offences.</w:t>
      </w:r>
    </w:p>
    <w:p w14:paraId="0E1AC110" w14:textId="77777777" w:rsidR="006D47E7" w:rsidRDefault="006D47E7" w:rsidP="006D47E7">
      <w:pPr>
        <w:pStyle w:val="ListParagraph"/>
        <w:numPr>
          <w:ilvl w:val="0"/>
          <w:numId w:val="0"/>
        </w:numPr>
        <w:ind w:left="720"/>
      </w:pPr>
    </w:p>
    <w:p w14:paraId="46C8E1DC" w14:textId="54D38289" w:rsidR="00F6466E" w:rsidRPr="004F6841" w:rsidRDefault="006D47E7" w:rsidP="00461980">
      <w:pPr>
        <w:pStyle w:val="ListParagraph"/>
        <w:ind w:left="709"/>
        <w:rPr>
          <w:rFonts w:cstheme="minorBidi"/>
          <w:b/>
          <w:bCs/>
          <w:color w:val="auto"/>
        </w:rPr>
      </w:pPr>
      <w:r w:rsidRPr="00FB7F79">
        <w:rPr>
          <w:b/>
          <w:bCs/>
        </w:rPr>
        <w:t xml:space="preserve">The NIHRC </w:t>
      </w:r>
      <w:r w:rsidR="00E74311" w:rsidRPr="00FB7F79">
        <w:rPr>
          <w:b/>
          <w:bCs/>
        </w:rPr>
        <w:t>recommends that</w:t>
      </w:r>
      <w:r w:rsidR="00C66897">
        <w:rPr>
          <w:b/>
          <w:bCs/>
        </w:rPr>
        <w:t xml:space="preserve"> </w:t>
      </w:r>
      <w:r w:rsidR="003F4326">
        <w:rPr>
          <w:b/>
          <w:bCs/>
        </w:rPr>
        <w:t>the retrospective application of the Bill is</w:t>
      </w:r>
      <w:r w:rsidR="00752DEE">
        <w:rPr>
          <w:b/>
          <w:bCs/>
        </w:rPr>
        <w:t xml:space="preserve"> </w:t>
      </w:r>
      <w:r w:rsidR="00E10E9B">
        <w:rPr>
          <w:b/>
          <w:bCs/>
        </w:rPr>
        <w:t>amended</w:t>
      </w:r>
      <w:r w:rsidR="00C66897">
        <w:rPr>
          <w:b/>
          <w:bCs/>
        </w:rPr>
        <w:t xml:space="preserve"> </w:t>
      </w:r>
      <w:r w:rsidR="0031747A">
        <w:rPr>
          <w:b/>
          <w:bCs/>
        </w:rPr>
        <w:t xml:space="preserve">to </w:t>
      </w:r>
      <w:r w:rsidR="00E471B4">
        <w:rPr>
          <w:b/>
          <w:bCs/>
        </w:rPr>
        <w:t>take</w:t>
      </w:r>
      <w:r w:rsidR="0031747A">
        <w:rPr>
          <w:b/>
          <w:bCs/>
        </w:rPr>
        <w:t xml:space="preserve"> </w:t>
      </w:r>
      <w:r w:rsidR="00E471B4">
        <w:rPr>
          <w:b/>
          <w:bCs/>
        </w:rPr>
        <w:t>account of Article 7 ECHR</w:t>
      </w:r>
      <w:r w:rsidR="00803459">
        <w:rPr>
          <w:b/>
          <w:bCs/>
        </w:rPr>
        <w:t xml:space="preserve"> and the principle of non-retroactivity.</w:t>
      </w:r>
    </w:p>
    <w:p w14:paraId="4873DD51" w14:textId="77777777" w:rsidR="00F6466E" w:rsidRPr="004F6841" w:rsidRDefault="00F6466E" w:rsidP="004F6841">
      <w:pPr>
        <w:pStyle w:val="ListParagraph"/>
        <w:numPr>
          <w:ilvl w:val="0"/>
          <w:numId w:val="0"/>
        </w:numPr>
        <w:ind w:left="720"/>
        <w:rPr>
          <w:rFonts w:cstheme="minorBidi"/>
          <w:b/>
          <w:bCs/>
          <w:color w:val="auto"/>
        </w:rPr>
      </w:pPr>
    </w:p>
    <w:p w14:paraId="3D6E3AFB" w14:textId="08CB220B" w:rsidR="00B51B44" w:rsidRPr="00B51B44" w:rsidRDefault="00F6466E" w:rsidP="00461980">
      <w:pPr>
        <w:pStyle w:val="ListParagraph"/>
        <w:ind w:left="709"/>
        <w:rPr>
          <w:rFonts w:cstheme="minorBidi"/>
          <w:color w:val="auto"/>
        </w:rPr>
      </w:pPr>
      <w:r w:rsidRPr="004F6841">
        <w:rPr>
          <w:rFonts w:cstheme="minorBidi"/>
          <w:color w:val="auto"/>
        </w:rPr>
        <w:t xml:space="preserve">Clause 4(2) of the Bill provides that where a person meets the criteria in </w:t>
      </w:r>
      <w:r w:rsidR="00C425C5">
        <w:rPr>
          <w:rFonts w:cstheme="minorBidi"/>
          <w:color w:val="auto"/>
        </w:rPr>
        <w:t>C</w:t>
      </w:r>
      <w:r w:rsidRPr="004F6841">
        <w:rPr>
          <w:rFonts w:cstheme="minorBidi"/>
          <w:color w:val="auto"/>
        </w:rPr>
        <w:t xml:space="preserve">lause 2 the Secretary </w:t>
      </w:r>
      <w:r w:rsidR="005875C6" w:rsidRPr="004F6841">
        <w:rPr>
          <w:rFonts w:cstheme="minorBidi"/>
          <w:color w:val="auto"/>
        </w:rPr>
        <w:t>of</w:t>
      </w:r>
      <w:r w:rsidRPr="004F6841">
        <w:rPr>
          <w:rFonts w:cstheme="minorBidi"/>
          <w:color w:val="auto"/>
        </w:rPr>
        <w:t xml:space="preserve"> State must declare a </w:t>
      </w:r>
      <w:r w:rsidR="005875C6" w:rsidRPr="004F6841">
        <w:rPr>
          <w:rFonts w:cstheme="minorBidi"/>
          <w:color w:val="auto"/>
        </w:rPr>
        <w:t xml:space="preserve">‘protection claim’ inadmissible. </w:t>
      </w:r>
      <w:r w:rsidR="004F6841">
        <w:rPr>
          <w:rFonts w:cstheme="minorBidi"/>
          <w:color w:val="auto"/>
        </w:rPr>
        <w:t xml:space="preserve">For example, </w:t>
      </w:r>
      <w:r w:rsidR="005875C6" w:rsidRPr="004F6841">
        <w:rPr>
          <w:rFonts w:cstheme="minorBidi"/>
          <w:color w:val="auto"/>
        </w:rPr>
        <w:t xml:space="preserve">Article </w:t>
      </w:r>
      <w:r w:rsidR="005875C6">
        <w:rPr>
          <w:rFonts w:cstheme="minorBidi"/>
          <w:color w:val="auto"/>
        </w:rPr>
        <w:t xml:space="preserve">25 of the </w:t>
      </w:r>
      <w:r w:rsidR="005875C6">
        <w:t>EU Procedures Directive sets out the criteria by which an application for asylum is considered as inadmissible.</w:t>
      </w:r>
      <w:r w:rsidR="00BA00BA">
        <w:rPr>
          <w:rStyle w:val="FootnoteReference"/>
        </w:rPr>
        <w:footnoteReference w:id="29"/>
      </w:r>
      <w:r w:rsidR="005875C6">
        <w:t xml:space="preserve"> The Commission will be reviewing Clause 4 and other relevant provisions of the Bill </w:t>
      </w:r>
      <w:proofErr w:type="gramStart"/>
      <w:r w:rsidR="005875C6">
        <w:t>in light of</w:t>
      </w:r>
      <w:proofErr w:type="gramEnd"/>
      <w:r w:rsidR="005875C6">
        <w:t xml:space="preserve"> </w:t>
      </w:r>
      <w:r w:rsidR="004F6841">
        <w:t>EU Procedures Directive</w:t>
      </w:r>
      <w:r w:rsidR="005875C6">
        <w:t xml:space="preserve">. </w:t>
      </w:r>
    </w:p>
    <w:p w14:paraId="48D99217" w14:textId="77777777" w:rsidR="00B51B44" w:rsidRPr="00B51B44" w:rsidRDefault="00B51B44" w:rsidP="00B51B44">
      <w:pPr>
        <w:pStyle w:val="ListParagraph"/>
        <w:numPr>
          <w:ilvl w:val="0"/>
          <w:numId w:val="0"/>
        </w:numPr>
        <w:ind w:left="1440"/>
        <w:rPr>
          <w:b/>
          <w:bCs/>
        </w:rPr>
      </w:pPr>
    </w:p>
    <w:p w14:paraId="29D73288" w14:textId="1C60822A" w:rsidR="004A46FF" w:rsidRPr="00B51B44" w:rsidRDefault="00A56099" w:rsidP="00461980">
      <w:pPr>
        <w:pStyle w:val="ListParagraph"/>
        <w:ind w:left="709"/>
        <w:rPr>
          <w:rFonts w:cstheme="minorBidi"/>
          <w:color w:val="auto"/>
        </w:rPr>
      </w:pPr>
      <w:r w:rsidRPr="00B51B44">
        <w:rPr>
          <w:b/>
          <w:bCs/>
        </w:rPr>
        <w:t>The NIHRC recommends that the Committee ask the Secretary of State to consider and detail her analysis of the compliance of Clause 4 and other provisions of the Bill</w:t>
      </w:r>
      <w:r>
        <w:t xml:space="preserve"> </w:t>
      </w:r>
      <w:r w:rsidRPr="00B51B44">
        <w:rPr>
          <w:b/>
          <w:bCs/>
        </w:rPr>
        <w:t>relating to the inadmissibility of protection claims with Article 2 of the Windsor Framework.</w:t>
      </w:r>
    </w:p>
    <w:p w14:paraId="63FD0B44" w14:textId="0813E7C5" w:rsidR="008C3545" w:rsidRPr="00387C3F" w:rsidRDefault="003E2224" w:rsidP="00086959">
      <w:pPr>
        <w:pStyle w:val="Heading1"/>
      </w:pPr>
      <w:bookmarkStart w:id="11" w:name="_Toc131676090"/>
      <w:r>
        <w:t xml:space="preserve">Detention and </w:t>
      </w:r>
      <w:r w:rsidR="005D458C">
        <w:t>b</w:t>
      </w:r>
      <w:r>
        <w:t>ail</w:t>
      </w:r>
      <w:bookmarkEnd w:id="11"/>
    </w:p>
    <w:p w14:paraId="6CE7A150" w14:textId="6C32B3FE" w:rsidR="005D0584" w:rsidRDefault="009703D2" w:rsidP="00461980">
      <w:pPr>
        <w:pStyle w:val="ListParagraph"/>
        <w:ind w:left="709" w:hanging="709"/>
      </w:pPr>
      <w:r>
        <w:t xml:space="preserve">Further to the explanation above under general comments, the Commission advises that, as a consequence of Windsor Framework </w:t>
      </w:r>
      <w:r>
        <w:lastRenderedPageBreak/>
        <w:t>Article 2, the EU Procedures Directive remains relevant for determining the minimum standard of rights required in Northern Ireland, to the extent that those measures were binding on the UK on 31 December 2020.</w:t>
      </w:r>
      <w:r w:rsidR="00BA00BA">
        <w:rPr>
          <w:rStyle w:val="FootnoteReference"/>
        </w:rPr>
        <w:footnoteReference w:id="30"/>
      </w:r>
      <w:r>
        <w:t xml:space="preserve"> For example, </w:t>
      </w:r>
      <w:r w:rsidR="00DE5DC1">
        <w:t xml:space="preserve">Article 18 of the </w:t>
      </w:r>
      <w:r w:rsidR="002B5C41">
        <w:t xml:space="preserve">Directive </w:t>
      </w:r>
      <w:r w:rsidR="00DE5DC1">
        <w:t>provides that where an applicant is held in detention,</w:t>
      </w:r>
      <w:r w:rsidR="000D3354">
        <w:rPr>
          <w:rStyle w:val="FootnoteReference"/>
        </w:rPr>
        <w:footnoteReference w:id="31"/>
      </w:r>
      <w:r w:rsidR="00DE5DC1">
        <w:t xml:space="preserve"> </w:t>
      </w:r>
      <w:r w:rsidR="001F2C37">
        <w:t xml:space="preserve">Member States shall ensue that there is a possibility of </w:t>
      </w:r>
      <w:r w:rsidR="00875954">
        <w:t>speedy</w:t>
      </w:r>
      <w:r w:rsidR="001F2C37">
        <w:t xml:space="preserve"> judicial review</w:t>
      </w:r>
      <w:r w:rsidR="00875954">
        <w:t xml:space="preserve"> and that no one should be held in detention for the sole reason that they are an asylum seeker.</w:t>
      </w:r>
      <w:r w:rsidR="0053033C">
        <w:t xml:space="preserve"> </w:t>
      </w:r>
      <w:r>
        <w:t>In addition, all EU law relevant to the UK</w:t>
      </w:r>
      <w:r w:rsidR="009A2F2F">
        <w:t>-</w:t>
      </w:r>
      <w:r>
        <w:t xml:space="preserve">EU Withdrawal Agreement must be interpreted in line with EU norms which include the EU Charter of Fundamental Rights, including Article 18 on the </w:t>
      </w:r>
      <w:r w:rsidR="0053033C">
        <w:t xml:space="preserve">right to asylum </w:t>
      </w:r>
      <w:r>
        <w:t xml:space="preserve">and </w:t>
      </w:r>
      <w:r w:rsidR="0053033C" w:rsidRPr="0053033C">
        <w:t xml:space="preserve">Article 47 </w:t>
      </w:r>
      <w:r w:rsidR="0053033C">
        <w:t xml:space="preserve">on the </w:t>
      </w:r>
      <w:r w:rsidR="0053033C" w:rsidRPr="0053033C">
        <w:t>right to an effective remedy and to a fair trial</w:t>
      </w:r>
      <w:r w:rsidR="0053033C">
        <w:t>. The Commission will be revie</w:t>
      </w:r>
      <w:r w:rsidR="005875C6">
        <w:t>w</w:t>
      </w:r>
      <w:r w:rsidR="0053033C">
        <w:t>ing the Bill</w:t>
      </w:r>
      <w:r w:rsidR="005875C6">
        <w:t>’s</w:t>
      </w:r>
      <w:r w:rsidR="0053033C">
        <w:t xml:space="preserve"> provisions on detention, </w:t>
      </w:r>
      <w:proofErr w:type="gramStart"/>
      <w:r w:rsidR="0053033C">
        <w:t>bail</w:t>
      </w:r>
      <w:proofErr w:type="gramEnd"/>
      <w:r w:rsidR="0053033C">
        <w:t xml:space="preserve"> and </w:t>
      </w:r>
      <w:r w:rsidR="00E70E96">
        <w:t xml:space="preserve">access to judicial supervision of such decisions in light of these provisions. </w:t>
      </w:r>
    </w:p>
    <w:p w14:paraId="4F5FD6EA" w14:textId="77777777" w:rsidR="004F6841" w:rsidRDefault="004F6841" w:rsidP="004F6841">
      <w:pPr>
        <w:pStyle w:val="ListParagraph"/>
        <w:numPr>
          <w:ilvl w:val="0"/>
          <w:numId w:val="0"/>
        </w:numPr>
        <w:ind w:left="720"/>
      </w:pPr>
    </w:p>
    <w:p w14:paraId="47E87021" w14:textId="72C769B2" w:rsidR="00D9527A" w:rsidRPr="00D6504A" w:rsidRDefault="00D9527A" w:rsidP="00461980">
      <w:pPr>
        <w:pStyle w:val="ListParagraph"/>
        <w:ind w:left="709"/>
        <w:rPr>
          <w:b/>
          <w:bCs/>
        </w:rPr>
      </w:pPr>
      <w:r w:rsidRPr="00D6504A">
        <w:rPr>
          <w:b/>
          <w:bCs/>
        </w:rPr>
        <w:t xml:space="preserve">The NIHRC recommends that the Committee ask the Secretary of State to consider and detail her analysis of the compliance of the </w:t>
      </w:r>
      <w:r w:rsidRPr="00F819B2">
        <w:rPr>
          <w:b/>
          <w:bCs/>
        </w:rPr>
        <w:t xml:space="preserve">Bill’s provisions on detention, </w:t>
      </w:r>
      <w:proofErr w:type="gramStart"/>
      <w:r w:rsidRPr="00F819B2">
        <w:rPr>
          <w:b/>
          <w:bCs/>
        </w:rPr>
        <w:t>bail</w:t>
      </w:r>
      <w:proofErr w:type="gramEnd"/>
      <w:r w:rsidRPr="004F6841">
        <w:rPr>
          <w:b/>
          <w:bCs/>
        </w:rPr>
        <w:t xml:space="preserve"> and access to judicial supervision of such decisions</w:t>
      </w:r>
      <w:r w:rsidRPr="00D6504A">
        <w:rPr>
          <w:b/>
          <w:bCs/>
        </w:rPr>
        <w:t xml:space="preserve"> with Article 2 of the Windsor Framework. </w:t>
      </w:r>
    </w:p>
    <w:p w14:paraId="142C8044" w14:textId="6CDF9F6A" w:rsidR="008C3545" w:rsidRPr="00387C3F" w:rsidRDefault="003E2224" w:rsidP="00086959">
      <w:pPr>
        <w:pStyle w:val="Heading1"/>
      </w:pPr>
      <w:bookmarkStart w:id="12" w:name="_Toc131676091"/>
      <w:r>
        <w:t>Children</w:t>
      </w:r>
      <w:bookmarkEnd w:id="12"/>
    </w:p>
    <w:p w14:paraId="36FBC997" w14:textId="21DC9343" w:rsidR="0070046F" w:rsidRPr="00D1013B" w:rsidRDefault="00E73819" w:rsidP="00D1013B">
      <w:pPr>
        <w:pStyle w:val="Heading2"/>
        <w:rPr>
          <w:rFonts w:eastAsiaTheme="minorEastAsia"/>
        </w:rPr>
      </w:pPr>
      <w:bookmarkStart w:id="13" w:name="_Toc131676092"/>
      <w:r>
        <w:t xml:space="preserve">Clause 3: </w:t>
      </w:r>
      <w:r w:rsidR="00900E22">
        <w:t>U</w:t>
      </w:r>
      <w:r>
        <w:t>naccompanied children</w:t>
      </w:r>
      <w:bookmarkEnd w:id="13"/>
      <w:r>
        <w:t xml:space="preserve"> </w:t>
      </w:r>
      <w:bookmarkEnd w:id="0"/>
      <w:bookmarkEnd w:id="1"/>
    </w:p>
    <w:p w14:paraId="0888BD6E" w14:textId="5CC68DD9" w:rsidR="00246448" w:rsidRDefault="00246448" w:rsidP="00461980">
      <w:pPr>
        <w:pStyle w:val="ListParagraph"/>
        <w:ind w:left="709"/>
      </w:pPr>
      <w:r w:rsidRPr="00CF2B5F">
        <w:t>Article 3</w:t>
      </w:r>
      <w:r>
        <w:t xml:space="preserve"> of the UN Convention on the Rights of the Child</w:t>
      </w:r>
      <w:r w:rsidRPr="00CF2B5F">
        <w:t xml:space="preserve"> </w:t>
      </w:r>
      <w:r>
        <w:t xml:space="preserve">(UN CRC) requires the child’s best interests to be a primary consideration in </w:t>
      </w:r>
      <w:r w:rsidRPr="00CF2B5F">
        <w:t xml:space="preserve">all actions concerning </w:t>
      </w:r>
      <w:r>
        <w:t xml:space="preserve">them. </w:t>
      </w:r>
      <w:r w:rsidRPr="002E0931">
        <w:t>Article 22</w:t>
      </w:r>
      <w:r>
        <w:t xml:space="preserve"> of the UN CRC</w:t>
      </w:r>
      <w:r w:rsidRPr="002E0931">
        <w:t xml:space="preserve"> explicitly requires </w:t>
      </w:r>
      <w:r w:rsidR="00C47BFB">
        <w:t>S</w:t>
      </w:r>
      <w:r w:rsidRPr="002E0931">
        <w:t>tates to ensure that the rights set out in the UN</w:t>
      </w:r>
      <w:r w:rsidR="00C47BFB">
        <w:t xml:space="preserve"> </w:t>
      </w:r>
      <w:r w:rsidRPr="002E0931">
        <w:t>CRC extend, without exception, to refugee</w:t>
      </w:r>
      <w:r w:rsidR="009F5447">
        <w:t xml:space="preserve"> </w:t>
      </w:r>
      <w:r w:rsidR="00585CB3">
        <w:t xml:space="preserve">children </w:t>
      </w:r>
      <w:r w:rsidR="009F5447">
        <w:t xml:space="preserve">and </w:t>
      </w:r>
      <w:r w:rsidR="00543288">
        <w:t xml:space="preserve">children seeking </w:t>
      </w:r>
      <w:r w:rsidRPr="002E0931">
        <w:t>asylum</w:t>
      </w:r>
      <w:r>
        <w:t>.</w:t>
      </w:r>
    </w:p>
    <w:p w14:paraId="759C7B14" w14:textId="77777777" w:rsidR="00246448" w:rsidRDefault="00246448" w:rsidP="00246448">
      <w:pPr>
        <w:pStyle w:val="ListParagraph"/>
        <w:numPr>
          <w:ilvl w:val="0"/>
          <w:numId w:val="0"/>
        </w:numPr>
        <w:ind w:left="720"/>
      </w:pPr>
    </w:p>
    <w:p w14:paraId="0B2233F6" w14:textId="27374CB0" w:rsidR="001308E9" w:rsidRDefault="00F80926" w:rsidP="00461980">
      <w:pPr>
        <w:pStyle w:val="ListParagraph"/>
        <w:ind w:left="709" w:hanging="709"/>
      </w:pPr>
      <w:r w:rsidRPr="00F80926">
        <w:t>Children who have become temporarily or permanently separated from their parents, relatives or caregivers are dependent on state authorities to uphold their rights. Of all refugees</w:t>
      </w:r>
      <w:r w:rsidR="009F5447">
        <w:t>,</w:t>
      </w:r>
      <w:r w:rsidRPr="00F80926">
        <w:t xml:space="preserve"> </w:t>
      </w:r>
      <w:r w:rsidR="008A3F86">
        <w:t>people seeking asylum</w:t>
      </w:r>
      <w:r w:rsidR="009F5447">
        <w:t xml:space="preserve"> and migrants</w:t>
      </w:r>
      <w:r w:rsidRPr="00F80926">
        <w:t xml:space="preserve">, unaccompanied children are among the most vulnerable to violence, </w:t>
      </w:r>
      <w:proofErr w:type="gramStart"/>
      <w:r w:rsidRPr="00F80926">
        <w:t>abuse</w:t>
      </w:r>
      <w:proofErr w:type="gramEnd"/>
      <w:r w:rsidRPr="00F80926">
        <w:t xml:space="preserve"> and exploitation.</w:t>
      </w:r>
      <w:r w:rsidR="00D811C1">
        <w:rPr>
          <w:rStyle w:val="FootnoteReference"/>
        </w:rPr>
        <w:footnoteReference w:id="32"/>
      </w:r>
      <w:r w:rsidR="001308E9">
        <w:t xml:space="preserve"> </w:t>
      </w:r>
    </w:p>
    <w:p w14:paraId="7600C3EC" w14:textId="77777777" w:rsidR="002E0931" w:rsidRDefault="002E0931" w:rsidP="00246448"/>
    <w:p w14:paraId="374243C1" w14:textId="6059F278" w:rsidR="0077531D" w:rsidRDefault="00D1013B" w:rsidP="00461980">
      <w:pPr>
        <w:pStyle w:val="ListParagraph"/>
        <w:ind w:left="709" w:hanging="709"/>
      </w:pPr>
      <w:r w:rsidRPr="009257D2">
        <w:t xml:space="preserve">The UN Committee on the Rights of the Child </w:t>
      </w:r>
      <w:r>
        <w:t>emphasises</w:t>
      </w:r>
      <w:r w:rsidRPr="009257D2">
        <w:t xml:space="preserve"> that the “ultimate aim in addressing the fate of unaccompanied and separated children is to identify a durable solution that addresses all their protection needs”.</w:t>
      </w:r>
      <w:r>
        <w:rPr>
          <w:rStyle w:val="FootnoteReference"/>
        </w:rPr>
        <w:footnoteReference w:id="33"/>
      </w:r>
      <w:r>
        <w:t xml:space="preserve"> </w:t>
      </w:r>
      <w:r w:rsidR="002E29A3">
        <w:t>D</w:t>
      </w:r>
      <w:r w:rsidR="0077531D">
        <w:t xml:space="preserve">etermining a child’s best interests and seeking a durable solution depends on </w:t>
      </w:r>
      <w:r w:rsidR="004F0345">
        <w:t>an assessment of the</w:t>
      </w:r>
      <w:r w:rsidR="0077531D">
        <w:t xml:space="preserve"> individual circumstances of that child. </w:t>
      </w:r>
    </w:p>
    <w:p w14:paraId="042E268C" w14:textId="77777777" w:rsidR="0077531D" w:rsidRDefault="0077531D" w:rsidP="0077531D">
      <w:pPr>
        <w:pStyle w:val="ListParagraph"/>
        <w:numPr>
          <w:ilvl w:val="0"/>
          <w:numId w:val="0"/>
        </w:numPr>
        <w:ind w:left="720"/>
      </w:pPr>
    </w:p>
    <w:p w14:paraId="5F8A6B1D" w14:textId="22F3F882" w:rsidR="0074383D" w:rsidRDefault="00406ABD" w:rsidP="00461980">
      <w:pPr>
        <w:pStyle w:val="ListParagraph"/>
        <w:ind w:left="709"/>
      </w:pPr>
      <w:r>
        <w:t>The</w:t>
      </w:r>
      <w:r w:rsidR="00F84659">
        <w:t xml:space="preserve"> </w:t>
      </w:r>
      <w:r w:rsidR="002E29A3">
        <w:t>current draft of the</w:t>
      </w:r>
      <w:r w:rsidR="00F84659">
        <w:t xml:space="preserve"> Bill </w:t>
      </w:r>
      <w:r w:rsidR="00B01A75">
        <w:t xml:space="preserve">prevents </w:t>
      </w:r>
      <w:r w:rsidR="00F84659">
        <w:t xml:space="preserve">children </w:t>
      </w:r>
      <w:r w:rsidR="00F84659" w:rsidRPr="0070046F">
        <w:t>from making an asylum claim</w:t>
      </w:r>
      <w:r w:rsidR="008466FE">
        <w:t xml:space="preserve"> </w:t>
      </w:r>
      <w:r w:rsidR="006759B5">
        <w:t>where</w:t>
      </w:r>
      <w:r w:rsidR="008466FE">
        <w:t xml:space="preserve"> they arrive to the UK irregularly. As a result, it</w:t>
      </w:r>
      <w:r w:rsidR="00F84659">
        <w:t xml:space="preserve"> </w:t>
      </w:r>
      <w:r w:rsidR="00A454C6">
        <w:t xml:space="preserve">denies </w:t>
      </w:r>
      <w:r w:rsidR="00A47F9E">
        <w:t xml:space="preserve">such </w:t>
      </w:r>
      <w:r w:rsidR="00A454C6">
        <w:t xml:space="preserve">children </w:t>
      </w:r>
      <w:r w:rsidR="00F84659">
        <w:t xml:space="preserve">the opportunity to seek protection and stability within the UK. </w:t>
      </w:r>
      <w:r w:rsidR="00371ECF">
        <w:t>As set out above, t</w:t>
      </w:r>
      <w:r w:rsidR="00C91F74">
        <w:t xml:space="preserve">he Bill’s blanket policy in respect of </w:t>
      </w:r>
      <w:r w:rsidR="00A95376">
        <w:t xml:space="preserve">people </w:t>
      </w:r>
      <w:r w:rsidR="00E553FC">
        <w:t xml:space="preserve">who arrive </w:t>
      </w:r>
      <w:r w:rsidR="00A95376">
        <w:t xml:space="preserve">to the UK </w:t>
      </w:r>
      <w:r w:rsidR="00E553FC">
        <w:t xml:space="preserve">irregularly </w:t>
      </w:r>
      <w:r w:rsidR="005D2474">
        <w:t>contravenes</w:t>
      </w:r>
      <w:r w:rsidR="003E5A73">
        <w:t xml:space="preserve"> foundational principles of human rights and</w:t>
      </w:r>
      <w:r w:rsidR="00FB6250">
        <w:t xml:space="preserve">, in the context of children, </w:t>
      </w:r>
      <w:r w:rsidR="006B0279">
        <w:t>further</w:t>
      </w:r>
      <w:r w:rsidR="00053DD6">
        <w:t xml:space="preserve"> contravenes </w:t>
      </w:r>
      <w:r w:rsidR="00694E65">
        <w:t xml:space="preserve">obligations under the </w:t>
      </w:r>
      <w:r w:rsidR="00440B37">
        <w:t>UN CRC</w:t>
      </w:r>
      <w:r w:rsidR="0074383D">
        <w:t xml:space="preserve">. </w:t>
      </w:r>
    </w:p>
    <w:p w14:paraId="5C3C2C0C" w14:textId="77777777" w:rsidR="0008215E" w:rsidRDefault="0008215E" w:rsidP="0008215E">
      <w:pPr>
        <w:pStyle w:val="ListParagraph"/>
        <w:numPr>
          <w:ilvl w:val="0"/>
          <w:numId w:val="0"/>
        </w:numPr>
        <w:ind w:left="720"/>
      </w:pPr>
    </w:p>
    <w:p w14:paraId="16AB5688" w14:textId="049165A7" w:rsidR="00A94518" w:rsidRDefault="00A94518" w:rsidP="00461980">
      <w:pPr>
        <w:pStyle w:val="ListParagraph"/>
        <w:ind w:left="709"/>
      </w:pPr>
      <w:r>
        <w:t xml:space="preserve">For the reasons detailed above in general comments, </w:t>
      </w:r>
      <w:r w:rsidR="00A9377B">
        <w:t xml:space="preserve">the Commission advises that, </w:t>
      </w:r>
      <w:proofErr w:type="gramStart"/>
      <w:r w:rsidR="00A9377B">
        <w:t>as a consequence of</w:t>
      </w:r>
      <w:proofErr w:type="gramEnd"/>
      <w:r w:rsidR="00A9377B">
        <w:t xml:space="preserve"> Windsor Framework Article 2, the Procedures Directive,</w:t>
      </w:r>
      <w:r w:rsidR="00BA00BA">
        <w:rPr>
          <w:rStyle w:val="FootnoteReference"/>
        </w:rPr>
        <w:footnoteReference w:id="34"/>
      </w:r>
      <w:r w:rsidR="00A9377B">
        <w:t xml:space="preserve"> the Qualification Directive,</w:t>
      </w:r>
      <w:r w:rsidR="00BA00BA">
        <w:rPr>
          <w:rStyle w:val="FootnoteReference"/>
        </w:rPr>
        <w:footnoteReference w:id="35"/>
      </w:r>
      <w:r w:rsidR="00BA00BA">
        <w:t xml:space="preserve"> </w:t>
      </w:r>
      <w:r w:rsidR="00A9377B">
        <w:t xml:space="preserve"> the Reception Directive</w:t>
      </w:r>
      <w:r w:rsidR="00BA00BA">
        <w:rPr>
          <w:rStyle w:val="FootnoteReference"/>
        </w:rPr>
        <w:footnoteReference w:id="36"/>
      </w:r>
      <w:r w:rsidR="00A9377B">
        <w:t xml:space="preserve"> and the Dublin III Regulation,</w:t>
      </w:r>
      <w:r w:rsidR="00BA00BA">
        <w:rPr>
          <w:rStyle w:val="FootnoteReference"/>
        </w:rPr>
        <w:footnoteReference w:id="37"/>
      </w:r>
      <w:r w:rsidR="00A9377B">
        <w:t xml:space="preserve"> remain relevant for determining </w:t>
      </w:r>
      <w:r w:rsidR="000B6A9E">
        <w:t>minimum standard</w:t>
      </w:r>
      <w:r w:rsidR="00FE04F6">
        <w:t>s</w:t>
      </w:r>
      <w:r w:rsidR="000B6A9E">
        <w:t xml:space="preserve"> of </w:t>
      </w:r>
      <w:r w:rsidR="00A9377B">
        <w:t xml:space="preserve">rights </w:t>
      </w:r>
      <w:r w:rsidR="000B6A9E">
        <w:t xml:space="preserve">required </w:t>
      </w:r>
      <w:r w:rsidR="006E54BB">
        <w:t>for</w:t>
      </w:r>
      <w:r w:rsidR="00A9377B">
        <w:t xml:space="preserve"> asylum-seekers and refugees in </w:t>
      </w:r>
      <w:r w:rsidR="00FE04F6">
        <w:t>NI</w:t>
      </w:r>
      <w:r w:rsidR="00A9377B">
        <w:t>, to the extent that the</w:t>
      </w:r>
      <w:r w:rsidR="006E54BB">
        <w:t>se standards</w:t>
      </w:r>
      <w:r w:rsidR="00A9377B">
        <w:t xml:space="preserve"> were binding on the UK on 31 December 2020. </w:t>
      </w:r>
      <w:proofErr w:type="gramStart"/>
      <w:r w:rsidR="00A9377B">
        <w:t>All of</w:t>
      </w:r>
      <w:proofErr w:type="gramEnd"/>
      <w:r w:rsidR="00A9377B">
        <w:t xml:space="preserve"> these measures stipulate that “the best interests of the child shall be a primary consideration” when implementing relevant provisions.</w:t>
      </w:r>
      <w:r w:rsidR="00A9377B">
        <w:rPr>
          <w:rStyle w:val="FootnoteReference"/>
        </w:rPr>
        <w:footnoteReference w:id="38"/>
      </w:r>
      <w:r w:rsidR="000C2750">
        <w:t xml:space="preserve"> Moreover, all EU law </w:t>
      </w:r>
      <w:r w:rsidR="00D72BF6">
        <w:t>relevant to the UK</w:t>
      </w:r>
      <w:r w:rsidR="005E6BF7">
        <w:t>-</w:t>
      </w:r>
      <w:r w:rsidR="00D72BF6">
        <w:t xml:space="preserve">EU Withdrawal Agreement </w:t>
      </w:r>
      <w:r w:rsidR="000C2750">
        <w:t>must</w:t>
      </w:r>
      <w:r w:rsidR="00D72BF6">
        <w:t>, under Article 4 of that Agreement</w:t>
      </w:r>
      <w:r w:rsidR="000C2750">
        <w:t xml:space="preserve"> be interpreted in</w:t>
      </w:r>
      <w:r w:rsidR="00D72BF6">
        <w:t xml:space="preserve"> line </w:t>
      </w:r>
      <w:r w:rsidR="00F30CAF">
        <w:t xml:space="preserve">with </w:t>
      </w:r>
      <w:r w:rsidR="00D72BF6">
        <w:t xml:space="preserve">EU norms which include the </w:t>
      </w:r>
      <w:r w:rsidR="001378B7">
        <w:t>Charter of Fundamental Rights of the EU</w:t>
      </w:r>
      <w:r w:rsidR="009F7B92">
        <w:t xml:space="preserve">, </w:t>
      </w:r>
      <w:r w:rsidR="003B231D">
        <w:t>Article 24 on the rights of the child</w:t>
      </w:r>
      <w:r w:rsidR="00F16571">
        <w:t xml:space="preserve"> being particularly relevant in this regard</w:t>
      </w:r>
      <w:r w:rsidR="003B231D">
        <w:t>.</w:t>
      </w:r>
    </w:p>
    <w:p w14:paraId="5017DAAC" w14:textId="77777777" w:rsidR="0074383D" w:rsidRDefault="0074383D" w:rsidP="0074383D">
      <w:pPr>
        <w:pStyle w:val="ListParagraph"/>
        <w:numPr>
          <w:ilvl w:val="0"/>
          <w:numId w:val="0"/>
        </w:numPr>
        <w:ind w:left="720"/>
      </w:pPr>
    </w:p>
    <w:p w14:paraId="1C3A0506" w14:textId="0F25483F" w:rsidR="00F94DD6" w:rsidRPr="009F5447" w:rsidRDefault="009D52F3" w:rsidP="00461980">
      <w:pPr>
        <w:pStyle w:val="ListParagraph"/>
        <w:ind w:left="709"/>
        <w:rPr>
          <w:b/>
        </w:rPr>
      </w:pPr>
      <w:r w:rsidRPr="00DF6CA9">
        <w:rPr>
          <w:b/>
          <w:bCs/>
        </w:rPr>
        <w:lastRenderedPageBreak/>
        <w:t xml:space="preserve">The NIHRC </w:t>
      </w:r>
      <w:r w:rsidR="00246448" w:rsidRPr="00DF6CA9">
        <w:rPr>
          <w:b/>
          <w:bCs/>
        </w:rPr>
        <w:t xml:space="preserve">recommends </w:t>
      </w:r>
      <w:r w:rsidRPr="00DF6CA9">
        <w:rPr>
          <w:b/>
          <w:bCs/>
        </w:rPr>
        <w:t xml:space="preserve">that any action on behalf of </w:t>
      </w:r>
      <w:r w:rsidR="00246448" w:rsidRPr="00DF6CA9">
        <w:rPr>
          <w:b/>
          <w:bCs/>
        </w:rPr>
        <w:t>refugee</w:t>
      </w:r>
      <w:r w:rsidR="009F5447">
        <w:rPr>
          <w:b/>
          <w:bCs/>
        </w:rPr>
        <w:t xml:space="preserve">, </w:t>
      </w:r>
      <w:r w:rsidR="00246448" w:rsidRPr="00DF6CA9">
        <w:rPr>
          <w:b/>
          <w:bCs/>
        </w:rPr>
        <w:t>asylum</w:t>
      </w:r>
      <w:r w:rsidR="009F5447">
        <w:rPr>
          <w:b/>
          <w:bCs/>
        </w:rPr>
        <w:t xml:space="preserve"> seeking </w:t>
      </w:r>
      <w:r w:rsidR="00246448" w:rsidRPr="00DF6CA9">
        <w:rPr>
          <w:b/>
          <w:bCs/>
        </w:rPr>
        <w:t xml:space="preserve">and </w:t>
      </w:r>
      <w:r w:rsidR="009F5447">
        <w:rPr>
          <w:b/>
          <w:bCs/>
        </w:rPr>
        <w:t xml:space="preserve">migrant </w:t>
      </w:r>
      <w:r w:rsidR="00C719DC">
        <w:rPr>
          <w:b/>
          <w:bCs/>
        </w:rPr>
        <w:t>children</w:t>
      </w:r>
      <w:r w:rsidR="00246448" w:rsidRPr="00DF6CA9">
        <w:rPr>
          <w:b/>
          <w:bCs/>
        </w:rPr>
        <w:t xml:space="preserve">, including </w:t>
      </w:r>
      <w:r w:rsidRPr="00DF6CA9">
        <w:rPr>
          <w:b/>
          <w:bCs/>
        </w:rPr>
        <w:t>unaccompanied children</w:t>
      </w:r>
      <w:r w:rsidR="00246448" w:rsidRPr="00DF6CA9">
        <w:rPr>
          <w:b/>
          <w:bCs/>
        </w:rPr>
        <w:t xml:space="preserve">, </w:t>
      </w:r>
      <w:r w:rsidR="00DF6CA9" w:rsidRPr="00DF6CA9">
        <w:rPr>
          <w:b/>
          <w:bCs/>
        </w:rPr>
        <w:t>who arrive in the UK by any means</w:t>
      </w:r>
      <w:r w:rsidRPr="00DF6CA9">
        <w:rPr>
          <w:b/>
          <w:bCs/>
        </w:rPr>
        <w:t xml:space="preserve"> should be guided by principles enshrined in international human rights law.</w:t>
      </w:r>
    </w:p>
    <w:p w14:paraId="1917A3EE" w14:textId="77777777" w:rsidR="00F46F83" w:rsidRPr="00F46F83" w:rsidRDefault="00F46F83" w:rsidP="00F46F83">
      <w:pPr>
        <w:pStyle w:val="ListParagraph"/>
        <w:numPr>
          <w:ilvl w:val="0"/>
          <w:numId w:val="0"/>
        </w:numPr>
        <w:ind w:left="720"/>
        <w:rPr>
          <w:b/>
        </w:rPr>
      </w:pPr>
    </w:p>
    <w:p w14:paraId="7D4C0C3E" w14:textId="73F4CDBC" w:rsidR="00F46F83" w:rsidRPr="00D6504A" w:rsidRDefault="00F46F83" w:rsidP="00461980">
      <w:pPr>
        <w:pStyle w:val="ListParagraph"/>
        <w:ind w:left="709"/>
        <w:rPr>
          <w:b/>
          <w:bCs/>
        </w:rPr>
      </w:pPr>
      <w:r w:rsidRPr="00D6504A">
        <w:rPr>
          <w:b/>
          <w:bCs/>
        </w:rPr>
        <w:t xml:space="preserve">The NIHRC recommends that the Committee ask the Secretary of State to consider and detail her analysis of the compliance of the provisions </w:t>
      </w:r>
      <w:r w:rsidR="00EA0BE9" w:rsidRPr="00D6504A">
        <w:rPr>
          <w:b/>
          <w:bCs/>
        </w:rPr>
        <w:t>affecting children</w:t>
      </w:r>
      <w:r w:rsidR="007873B6" w:rsidRPr="00D6504A">
        <w:rPr>
          <w:b/>
          <w:bCs/>
        </w:rPr>
        <w:t>, including unaccompanied minors,</w:t>
      </w:r>
      <w:r w:rsidR="00EA0BE9" w:rsidRPr="00D6504A">
        <w:rPr>
          <w:b/>
          <w:bCs/>
        </w:rPr>
        <w:t xml:space="preserve"> </w:t>
      </w:r>
      <w:r w:rsidRPr="00D6504A">
        <w:rPr>
          <w:b/>
          <w:bCs/>
        </w:rPr>
        <w:t xml:space="preserve">with Article 2 of the Windsor Framework. </w:t>
      </w:r>
    </w:p>
    <w:p w14:paraId="5B6A53A4" w14:textId="77777777" w:rsidR="00F46F83" w:rsidRPr="009F5447" w:rsidRDefault="00F46F83" w:rsidP="00F46F83">
      <w:pPr>
        <w:pStyle w:val="ListParagraph"/>
        <w:numPr>
          <w:ilvl w:val="0"/>
          <w:numId w:val="0"/>
        </w:numPr>
        <w:ind w:left="720"/>
        <w:rPr>
          <w:b/>
        </w:rPr>
      </w:pPr>
    </w:p>
    <w:p w14:paraId="324907A2" w14:textId="57603AAB" w:rsidR="008C3545" w:rsidRPr="00387C3F" w:rsidRDefault="003E2224" w:rsidP="00086959">
      <w:pPr>
        <w:pStyle w:val="Heading1"/>
      </w:pPr>
      <w:bookmarkStart w:id="14" w:name="_Toc131676093"/>
      <w:r>
        <w:t>Modern Slavery</w:t>
      </w:r>
      <w:bookmarkEnd w:id="14"/>
    </w:p>
    <w:p w14:paraId="655E7AE7" w14:textId="2AE8F05C" w:rsidR="00FE487B" w:rsidRDefault="00C86C02" w:rsidP="00FE487B">
      <w:pPr>
        <w:pStyle w:val="Heading2"/>
      </w:pPr>
      <w:bookmarkStart w:id="15" w:name="_Toc131676094"/>
      <w:r>
        <w:t xml:space="preserve">Clauses 21 -28: </w:t>
      </w:r>
      <w:r w:rsidR="00F22E6D">
        <w:t>M</w:t>
      </w:r>
      <w:r w:rsidR="00FE487B">
        <w:t>odern slavery</w:t>
      </w:r>
      <w:bookmarkEnd w:id="15"/>
      <w:r w:rsidR="00FE487B">
        <w:t xml:space="preserve"> </w:t>
      </w:r>
    </w:p>
    <w:p w14:paraId="3676F8AE" w14:textId="58F563A6" w:rsidR="00A862C3" w:rsidRDefault="00D9298C" w:rsidP="00461980">
      <w:pPr>
        <w:pStyle w:val="ListParagraph"/>
        <w:ind w:left="709"/>
      </w:pPr>
      <w:r>
        <w:t>C</w:t>
      </w:r>
      <w:r w:rsidRPr="00A862C3">
        <w:t xml:space="preserve">lauses 21-28 </w:t>
      </w:r>
      <w:r w:rsidR="00C719DC">
        <w:t xml:space="preserve">of the current draft of the Bill </w:t>
      </w:r>
      <w:r>
        <w:t xml:space="preserve">deny victims of modern slavery </w:t>
      </w:r>
      <w:r w:rsidRPr="009E4F7C">
        <w:t xml:space="preserve">who have </w:t>
      </w:r>
      <w:r>
        <w:t>arrived</w:t>
      </w:r>
      <w:r w:rsidRPr="009E4F7C">
        <w:t xml:space="preserve"> </w:t>
      </w:r>
      <w:proofErr w:type="gramStart"/>
      <w:r w:rsidR="3C8685B4" w:rsidRPr="009E4F7C">
        <w:t xml:space="preserve">in </w:t>
      </w:r>
      <w:r w:rsidRPr="009E4F7C">
        <w:t xml:space="preserve"> the</w:t>
      </w:r>
      <w:proofErr w:type="gramEnd"/>
      <w:r w:rsidRPr="009E4F7C">
        <w:t xml:space="preserve"> UK irregularl</w:t>
      </w:r>
      <w:r>
        <w:t xml:space="preserve">y </w:t>
      </w:r>
      <w:r w:rsidRPr="009E4F7C">
        <w:t xml:space="preserve">access </w:t>
      </w:r>
      <w:r>
        <w:t xml:space="preserve">to </w:t>
      </w:r>
      <w:r w:rsidR="00B84B7E">
        <w:t xml:space="preserve">existing </w:t>
      </w:r>
      <w:r w:rsidRPr="009E4F7C">
        <w:t>support</w:t>
      </w:r>
      <w:r>
        <w:t xml:space="preserve">. The Bill also </w:t>
      </w:r>
      <w:r w:rsidR="00C719DC">
        <w:t xml:space="preserve">proposes to </w:t>
      </w:r>
      <w:r w:rsidRPr="009E4F7C">
        <w:t xml:space="preserve">stop </w:t>
      </w:r>
      <w:r>
        <w:t xml:space="preserve">victims </w:t>
      </w:r>
      <w:r w:rsidRPr="009E4F7C">
        <w:t>using such claims to prevent their removal.</w:t>
      </w:r>
      <w:r w:rsidR="00406466">
        <w:t xml:space="preserve"> </w:t>
      </w:r>
      <w:r w:rsidR="00AA238C">
        <w:t xml:space="preserve">The </w:t>
      </w:r>
      <w:r w:rsidR="005A7007" w:rsidRPr="005A7007">
        <w:t>right to be protected against slavery and servitude, as provided for by Article 4(1) of the ECHR</w:t>
      </w:r>
      <w:r w:rsidR="00C719DC">
        <w:t>,</w:t>
      </w:r>
      <w:r w:rsidR="005A7007" w:rsidRPr="005A7007">
        <w:t xml:space="preserve"> is absolute and cannot be interfered with under any circumstances. </w:t>
      </w:r>
      <w:r w:rsidR="00E83D34">
        <w:t xml:space="preserve">The ECtHR </w:t>
      </w:r>
      <w:r w:rsidR="00E83D34" w:rsidRPr="00E83D34">
        <w:t>has held that trafficking in human beings falls within the scope of Article 4</w:t>
      </w:r>
      <w:r w:rsidR="006355A5">
        <w:rPr>
          <w:rStyle w:val="FootnoteReference"/>
        </w:rPr>
        <w:footnoteReference w:id="39"/>
      </w:r>
      <w:r w:rsidR="00E83D34" w:rsidRPr="00E83D34">
        <w:t xml:space="preserve"> </w:t>
      </w:r>
      <w:r w:rsidR="00E83D34">
        <w:t>and</w:t>
      </w:r>
      <w:r w:rsidR="00A84FBF">
        <w:t xml:space="preserve"> </w:t>
      </w:r>
      <w:r w:rsidR="00EF0356">
        <w:t xml:space="preserve">has emphasised </w:t>
      </w:r>
      <w:r w:rsidR="00451A84">
        <w:t>States</w:t>
      </w:r>
      <w:r w:rsidR="00EC1C9D">
        <w:t>’</w:t>
      </w:r>
      <w:r w:rsidR="00451A84">
        <w:t xml:space="preserve"> </w:t>
      </w:r>
      <w:r w:rsidR="00EF0356">
        <w:t>duty</w:t>
      </w:r>
      <w:r w:rsidR="00EC1C9D">
        <w:t xml:space="preserve"> </w:t>
      </w:r>
      <w:r w:rsidR="00451A84">
        <w:t>to protect victims</w:t>
      </w:r>
      <w:r w:rsidR="00EC1C9D">
        <w:t>.</w:t>
      </w:r>
      <w:r w:rsidR="00830513">
        <w:rPr>
          <w:rStyle w:val="FootnoteReference"/>
        </w:rPr>
        <w:footnoteReference w:id="40"/>
      </w:r>
      <w:r w:rsidR="00EC1C9D">
        <w:t xml:space="preserve"> </w:t>
      </w:r>
      <w:r w:rsidR="007F0186">
        <w:t xml:space="preserve"> </w:t>
      </w:r>
    </w:p>
    <w:p w14:paraId="3B6AE433" w14:textId="77777777" w:rsidR="006355A5" w:rsidRDefault="006355A5" w:rsidP="006355A5">
      <w:pPr>
        <w:pStyle w:val="ListParagraph"/>
        <w:numPr>
          <w:ilvl w:val="0"/>
          <w:numId w:val="0"/>
        </w:numPr>
        <w:ind w:left="720"/>
      </w:pPr>
    </w:p>
    <w:p w14:paraId="05A364F4" w14:textId="57188A01" w:rsidR="00B249DA" w:rsidRDefault="00512A53" w:rsidP="00461980">
      <w:pPr>
        <w:pStyle w:val="ListParagraph"/>
        <w:ind w:left="709"/>
        <w:rPr>
          <w:b/>
          <w:bCs/>
        </w:rPr>
      </w:pPr>
      <w:r w:rsidRPr="00A95BFA">
        <w:rPr>
          <w:b/>
          <w:bCs/>
        </w:rPr>
        <w:t xml:space="preserve">The NIHRC </w:t>
      </w:r>
      <w:r w:rsidR="00897CB3" w:rsidRPr="00A95BFA">
        <w:rPr>
          <w:b/>
          <w:bCs/>
        </w:rPr>
        <w:t xml:space="preserve">recommends that </w:t>
      </w:r>
      <w:r w:rsidR="00340D92" w:rsidRPr="00A95BFA">
        <w:rPr>
          <w:b/>
          <w:bCs/>
        </w:rPr>
        <w:t xml:space="preserve">clauses 21-28 </w:t>
      </w:r>
      <w:r w:rsidR="00C719DC">
        <w:rPr>
          <w:b/>
          <w:bCs/>
        </w:rPr>
        <w:t xml:space="preserve">of the current draft of the Bill </w:t>
      </w:r>
      <w:r w:rsidR="00340D92" w:rsidRPr="00A95BFA">
        <w:rPr>
          <w:b/>
          <w:bCs/>
        </w:rPr>
        <w:t xml:space="preserve">are removed and </w:t>
      </w:r>
      <w:r w:rsidR="00A95BFA">
        <w:rPr>
          <w:b/>
          <w:bCs/>
        </w:rPr>
        <w:t xml:space="preserve">that </w:t>
      </w:r>
      <w:r w:rsidR="00525B48">
        <w:rPr>
          <w:b/>
          <w:bCs/>
        </w:rPr>
        <w:t xml:space="preserve">victims and potential victims of modern slavery and human trafficking </w:t>
      </w:r>
      <w:r w:rsidR="00566417">
        <w:rPr>
          <w:b/>
          <w:bCs/>
        </w:rPr>
        <w:t xml:space="preserve">continue to receive </w:t>
      </w:r>
      <w:r w:rsidR="00BD5A76">
        <w:rPr>
          <w:b/>
          <w:bCs/>
        </w:rPr>
        <w:t xml:space="preserve">adequate </w:t>
      </w:r>
      <w:r w:rsidR="00566417">
        <w:rPr>
          <w:b/>
          <w:bCs/>
        </w:rPr>
        <w:t>support</w:t>
      </w:r>
      <w:r w:rsidR="003C1DAE">
        <w:rPr>
          <w:b/>
          <w:bCs/>
        </w:rPr>
        <w:t xml:space="preserve">, in </w:t>
      </w:r>
      <w:r w:rsidR="00C00A1F">
        <w:rPr>
          <w:b/>
          <w:bCs/>
        </w:rPr>
        <w:t>complian</w:t>
      </w:r>
      <w:r w:rsidR="00662E41">
        <w:rPr>
          <w:b/>
          <w:bCs/>
        </w:rPr>
        <w:t>ce</w:t>
      </w:r>
      <w:r w:rsidR="003C1DAE">
        <w:rPr>
          <w:b/>
          <w:bCs/>
        </w:rPr>
        <w:t xml:space="preserve"> with Article 4 ECHR.</w:t>
      </w:r>
    </w:p>
    <w:p w14:paraId="6864963E" w14:textId="77777777" w:rsidR="00B249DA" w:rsidRDefault="00B249DA" w:rsidP="00B249DA">
      <w:pPr>
        <w:pStyle w:val="ListParagraph"/>
        <w:numPr>
          <w:ilvl w:val="0"/>
          <w:numId w:val="0"/>
        </w:numPr>
        <w:ind w:left="720"/>
      </w:pPr>
    </w:p>
    <w:p w14:paraId="3BB05559" w14:textId="54F67F6A" w:rsidR="00B249DA" w:rsidRDefault="008303EF" w:rsidP="00461980">
      <w:pPr>
        <w:pStyle w:val="ListParagraph"/>
        <w:ind w:left="709"/>
      </w:pPr>
      <w:r>
        <w:t>Further to the explanation above under general comments, t</w:t>
      </w:r>
      <w:r w:rsidR="00B249DA">
        <w:t xml:space="preserve">he Commission advises that, </w:t>
      </w:r>
      <w:proofErr w:type="gramStart"/>
      <w:r w:rsidR="00B249DA">
        <w:t>as a consequence of</w:t>
      </w:r>
      <w:proofErr w:type="gramEnd"/>
      <w:r w:rsidR="00B249DA">
        <w:t xml:space="preserve"> Windsor Framework Article 2, the Victims’ Directive</w:t>
      </w:r>
      <w:r w:rsidR="002C5BD8">
        <w:rPr>
          <w:rStyle w:val="FootnoteReference"/>
        </w:rPr>
        <w:footnoteReference w:id="41"/>
      </w:r>
      <w:r w:rsidR="00B249DA">
        <w:t xml:space="preserve"> and the Human Trafficking Directive</w:t>
      </w:r>
      <w:r w:rsidR="00FE04F6">
        <w:t>,</w:t>
      </w:r>
      <w:r w:rsidR="005A148A">
        <w:rPr>
          <w:rStyle w:val="FootnoteReference"/>
        </w:rPr>
        <w:footnoteReference w:id="42"/>
      </w:r>
      <w:r w:rsidR="00B249DA">
        <w:t xml:space="preserve"> remain relevant for determining the minimum standard </w:t>
      </w:r>
      <w:r w:rsidR="00B249DA">
        <w:lastRenderedPageBreak/>
        <w:t xml:space="preserve">of rights required in </w:t>
      </w:r>
      <w:r w:rsidR="00A43C92">
        <w:t>NI</w:t>
      </w:r>
      <w:r w:rsidR="00B249DA">
        <w:t>, to the extent that those measures were binding on the UK on 31 December 2020. The rights of victims of crime and human trafficking fall within the scope of the relevant chapter of the Belfast (Good Friday) Agreement for three reasons: first, the chapter embraces the rights protected in the ECHR, including Article 4 on the prohibition of slavery and forced labour; secondly, due to recognition of human trafficking as a form of ‘gender-based violence’</w:t>
      </w:r>
      <w:r w:rsidR="00B249DA">
        <w:rPr>
          <w:rStyle w:val="FootnoteReference"/>
        </w:rPr>
        <w:footnoteReference w:id="43"/>
      </w:r>
      <w:r w:rsidR="00B249DA">
        <w:t xml:space="preserve"> and thirdly due to the inclusion of victims’ rights within the chapter.</w:t>
      </w:r>
      <w:r w:rsidR="00B249DA" w:rsidRPr="001E1DC8">
        <w:t xml:space="preserve"> The Commission</w:t>
      </w:r>
      <w:r w:rsidR="00B249DA">
        <w:t xml:space="preserve"> is considering the compliance of </w:t>
      </w:r>
      <w:r w:rsidR="0042337B">
        <w:t xml:space="preserve">Clause 4 and </w:t>
      </w:r>
      <w:r w:rsidR="00B249DA">
        <w:t>Clauses 21</w:t>
      </w:r>
      <w:r w:rsidR="00D34160">
        <w:t xml:space="preserve"> to </w:t>
      </w:r>
      <w:r w:rsidR="00B249DA">
        <w:t>28 with these Directives.</w:t>
      </w:r>
      <w:r w:rsidR="00DB665F">
        <w:t xml:space="preserve"> </w:t>
      </w:r>
    </w:p>
    <w:p w14:paraId="7BA3E716" w14:textId="77777777" w:rsidR="00DB665F" w:rsidRDefault="00DB665F" w:rsidP="00DB665F">
      <w:pPr>
        <w:pStyle w:val="ListParagraph"/>
        <w:numPr>
          <w:ilvl w:val="0"/>
          <w:numId w:val="0"/>
        </w:numPr>
        <w:ind w:left="720"/>
      </w:pPr>
    </w:p>
    <w:p w14:paraId="79E5B028" w14:textId="4474A7F9" w:rsidR="00DB665F" w:rsidRDefault="00A36B12" w:rsidP="00461980">
      <w:pPr>
        <w:pStyle w:val="ListParagraph"/>
        <w:ind w:left="709"/>
      </w:pPr>
      <w:r>
        <w:t xml:space="preserve">By way of example, </w:t>
      </w:r>
      <w:r w:rsidR="002D4854">
        <w:t xml:space="preserve">Articles </w:t>
      </w:r>
      <w:r w:rsidR="00DF15C9">
        <w:t xml:space="preserve">8 and 9 of the </w:t>
      </w:r>
      <w:r>
        <w:t xml:space="preserve">of the Victims’ Directive </w:t>
      </w:r>
      <w:r w:rsidR="00DF15C9">
        <w:t xml:space="preserve">detail the support and assistance that must be provided to potential victims </w:t>
      </w:r>
      <w:r w:rsidR="00A5303C">
        <w:t xml:space="preserve">and Article 1 states that </w:t>
      </w:r>
      <w:r w:rsidR="00A45640">
        <w:t>“</w:t>
      </w:r>
      <w:r w:rsidR="00A45640" w:rsidRPr="00A45640">
        <w:t xml:space="preserve">The rights set out in this Directive shall apply to victims in a non-discriminatory manner, </w:t>
      </w:r>
      <w:r w:rsidR="00A45640" w:rsidRPr="00A45640">
        <w:rPr>
          <w:b/>
          <w:bCs/>
        </w:rPr>
        <w:t>including with respect to their residence status</w:t>
      </w:r>
      <w:r w:rsidR="00A45640">
        <w:t>”.</w:t>
      </w:r>
      <w:r w:rsidR="0008320E">
        <w:t xml:space="preserve"> This point is also emphasised in the recitals which state: “</w:t>
      </w:r>
      <w:r w:rsidR="0008320E" w:rsidRPr="0008320E">
        <w:t xml:space="preserve">Member States should take the necessary measures to </w:t>
      </w:r>
      <w:r w:rsidR="0008320E" w:rsidRPr="0008320E">
        <w:rPr>
          <w:b/>
          <w:bCs/>
        </w:rPr>
        <w:t>ensure that the rights set out in this Directive are not made conditional on the victim's residence status in their territory</w:t>
      </w:r>
      <w:r w:rsidR="0008320E" w:rsidRPr="0008320E">
        <w:t xml:space="preserve"> or on the victim's citizenship or nationality</w:t>
      </w:r>
      <w:r w:rsidR="0008320E">
        <w:t>”</w:t>
      </w:r>
      <w:r w:rsidR="00A74180">
        <w:t xml:space="preserve"> (emphasis added in both cases).</w:t>
      </w:r>
      <w:r w:rsidR="00AA79CF">
        <w:t xml:space="preserve"> </w:t>
      </w:r>
    </w:p>
    <w:p w14:paraId="76467AF5" w14:textId="77777777" w:rsidR="005402C2" w:rsidRDefault="005402C2" w:rsidP="005402C2">
      <w:pPr>
        <w:pStyle w:val="ListParagraph"/>
        <w:numPr>
          <w:ilvl w:val="0"/>
          <w:numId w:val="0"/>
        </w:numPr>
        <w:ind w:left="720"/>
      </w:pPr>
    </w:p>
    <w:p w14:paraId="12B2F3FA" w14:textId="43DF2CBA" w:rsidR="00CB151D" w:rsidRDefault="00DD525F" w:rsidP="00461980">
      <w:pPr>
        <w:pStyle w:val="ListParagraph"/>
        <w:ind w:left="709"/>
      </w:pPr>
      <w:r>
        <w:t>Article 2 of t</w:t>
      </w:r>
      <w:r w:rsidR="005402C2">
        <w:t xml:space="preserve">he Human Trafficking Directive stipulates that </w:t>
      </w:r>
      <w:r>
        <w:t>“</w:t>
      </w:r>
      <w:r w:rsidRPr="00DD525F">
        <w:t xml:space="preserve">The </w:t>
      </w:r>
      <w:r w:rsidRPr="00B17FBB">
        <w:rPr>
          <w:b/>
        </w:rPr>
        <w:t>consent of a victim of trafficking in human beings to the exploitation, whether intended or actual, shall be irrelevant</w:t>
      </w:r>
      <w:r w:rsidR="00720EA9">
        <w:t xml:space="preserve">” where </w:t>
      </w:r>
      <w:r w:rsidR="00A158DD">
        <w:t>t</w:t>
      </w:r>
      <w:r w:rsidR="00684399">
        <w:t>rafficking has occurred by any of the means set out including coercion, deception, frau</w:t>
      </w:r>
      <w:r w:rsidR="004B1577">
        <w:t>d or giving or receiving payments</w:t>
      </w:r>
      <w:r w:rsidR="00A74180">
        <w:t xml:space="preserve"> (emphasis added)</w:t>
      </w:r>
      <w:r w:rsidR="004B1577">
        <w:t>.</w:t>
      </w:r>
      <w:r w:rsidR="00AA79CF" w:rsidRPr="00AA79CF">
        <w:t xml:space="preserve"> </w:t>
      </w:r>
      <w:r w:rsidR="00AA79CF">
        <w:t xml:space="preserve">Article 8 requires that authorities be entitled not to prosecute or impose a penalty on </w:t>
      </w:r>
      <w:r w:rsidR="00794BFA">
        <w:t xml:space="preserve">victims of human trafficking for their involvement in </w:t>
      </w:r>
      <w:r w:rsidR="00764B37">
        <w:t xml:space="preserve">criminal activities they have been compelled to commit </w:t>
      </w:r>
      <w:proofErr w:type="gramStart"/>
      <w:r w:rsidR="00764B37">
        <w:t>as a consequence of</w:t>
      </w:r>
      <w:proofErr w:type="gramEnd"/>
      <w:r w:rsidR="00764B37">
        <w:t xml:space="preserve"> being trafficked. </w:t>
      </w:r>
    </w:p>
    <w:p w14:paraId="0BC8D283" w14:textId="77777777" w:rsidR="00C457F5" w:rsidRDefault="00C457F5" w:rsidP="0025033C">
      <w:pPr>
        <w:pStyle w:val="ListParagraph"/>
        <w:numPr>
          <w:ilvl w:val="0"/>
          <w:numId w:val="0"/>
        </w:numPr>
        <w:ind w:left="720"/>
      </w:pPr>
    </w:p>
    <w:p w14:paraId="12421268" w14:textId="51E7C03A" w:rsidR="00C457F5" w:rsidRPr="00040A16" w:rsidRDefault="00C457F5" w:rsidP="00461980">
      <w:pPr>
        <w:pStyle w:val="ListParagraph"/>
        <w:ind w:left="709"/>
        <w:rPr>
          <w:b/>
        </w:rPr>
      </w:pPr>
      <w:r w:rsidRPr="00BE4BE9">
        <w:rPr>
          <w:b/>
        </w:rPr>
        <w:t xml:space="preserve">The </w:t>
      </w:r>
      <w:r w:rsidR="00F819B2" w:rsidRPr="00BE4BE9">
        <w:rPr>
          <w:b/>
        </w:rPr>
        <w:t>NIHRC</w:t>
      </w:r>
      <w:r w:rsidRPr="00BE4BE9">
        <w:rPr>
          <w:b/>
        </w:rPr>
        <w:t xml:space="preserve"> recommends that the Committee </w:t>
      </w:r>
      <w:r w:rsidR="00B41258" w:rsidRPr="00BE4BE9">
        <w:rPr>
          <w:b/>
        </w:rPr>
        <w:t xml:space="preserve">ask the Secretary of State </w:t>
      </w:r>
      <w:r w:rsidR="00A6578F" w:rsidRPr="00BE4BE9">
        <w:rPr>
          <w:b/>
        </w:rPr>
        <w:t>to consider and detail her analysis of the compliance of the modern slavery provisions with Article 2 of the Windsor Framework</w:t>
      </w:r>
      <w:r w:rsidR="0025033C" w:rsidRPr="00040A16">
        <w:rPr>
          <w:b/>
          <w:bCs/>
        </w:rPr>
        <w:t>.</w:t>
      </w:r>
      <w:r w:rsidR="00703A42" w:rsidRPr="00040A16">
        <w:rPr>
          <w:b/>
        </w:rPr>
        <w:t xml:space="preserve"> </w:t>
      </w:r>
    </w:p>
    <w:p w14:paraId="791E96A7" w14:textId="77777777" w:rsidR="006A7A66" w:rsidRDefault="006A7A66">
      <w:pPr>
        <w:spacing w:line="240" w:lineRule="auto"/>
        <w:rPr>
          <w:rFonts w:eastAsiaTheme="minorHAnsi" w:cs="Times New Roman"/>
          <w:sz w:val="20"/>
          <w:szCs w:val="20"/>
        </w:rPr>
      </w:pPr>
    </w:p>
    <w:p w14:paraId="25867570" w14:textId="5E0F141E" w:rsidR="006A7A66" w:rsidRDefault="006A7A66" w:rsidP="006A7A66">
      <w:pPr>
        <w:pStyle w:val="Heading1"/>
      </w:pPr>
      <w:bookmarkStart w:id="16" w:name="_Toc131676095"/>
      <w:r>
        <w:lastRenderedPageBreak/>
        <w:t xml:space="preserve">Other </w:t>
      </w:r>
      <w:r w:rsidR="00FC5262">
        <w:t>I</w:t>
      </w:r>
      <w:r>
        <w:t>ssues</w:t>
      </w:r>
      <w:bookmarkEnd w:id="16"/>
    </w:p>
    <w:p w14:paraId="440435D7" w14:textId="446F61C2" w:rsidR="00D16E17" w:rsidRDefault="004264C5" w:rsidP="00D16E17">
      <w:pPr>
        <w:pStyle w:val="Heading2"/>
      </w:pPr>
      <w:bookmarkStart w:id="17" w:name="_Toc131676096"/>
      <w:r>
        <w:t>Clause 49</w:t>
      </w:r>
      <w:r w:rsidR="00E73819">
        <w:t>:</w:t>
      </w:r>
      <w:r>
        <w:t xml:space="preserve"> </w:t>
      </w:r>
      <w:r w:rsidR="003A7841">
        <w:t>I</w:t>
      </w:r>
      <w:r>
        <w:t>nterim measures</w:t>
      </w:r>
      <w:bookmarkEnd w:id="17"/>
    </w:p>
    <w:p w14:paraId="205F4B57" w14:textId="77777777" w:rsidR="002D2447" w:rsidRDefault="00980068" w:rsidP="002D2447">
      <w:pPr>
        <w:pStyle w:val="ListParagraph"/>
        <w:ind w:left="709" w:hanging="709"/>
      </w:pPr>
      <w:r>
        <w:t>Clause 49</w:t>
      </w:r>
      <w:r w:rsidR="003A7841">
        <w:t xml:space="preserve"> of the current draft of the Bill</w:t>
      </w:r>
      <w:r>
        <w:t xml:space="preserve"> proposes for the Secretary of State to</w:t>
      </w:r>
      <w:r w:rsidR="006365AC">
        <w:t xml:space="preserve"> be empowered to </w:t>
      </w:r>
      <w:r>
        <w:t xml:space="preserve">make provision about interim measures indicated by the </w:t>
      </w:r>
      <w:r w:rsidR="00915084">
        <w:t>ECtHR</w:t>
      </w:r>
      <w:r>
        <w:t xml:space="preserve"> as they relate to the removal of persons from the </w:t>
      </w:r>
      <w:r w:rsidR="00915084">
        <w:t>UK</w:t>
      </w:r>
      <w:r>
        <w:t xml:space="preserve"> </w:t>
      </w:r>
      <w:r w:rsidR="002E72A3">
        <w:t xml:space="preserve">under </w:t>
      </w:r>
      <w:r w:rsidR="00DF3294">
        <w:t>the</w:t>
      </w:r>
      <w:r w:rsidR="005C00F4">
        <w:t xml:space="preserve"> Bill</w:t>
      </w:r>
      <w:r w:rsidR="006365AC">
        <w:t xml:space="preserve"> by way of regulation</w:t>
      </w:r>
      <w:r w:rsidR="007C7115">
        <w:t>s</w:t>
      </w:r>
      <w:r>
        <w:t xml:space="preserve">. </w:t>
      </w:r>
      <w:r w:rsidR="007F022A">
        <w:t>T</w:t>
      </w:r>
      <w:r w:rsidR="00BC23A9">
        <w:t xml:space="preserve">his </w:t>
      </w:r>
      <w:r>
        <w:t xml:space="preserve">clause broadly reflects a similar </w:t>
      </w:r>
      <w:r w:rsidR="00007001">
        <w:t>proposal within</w:t>
      </w:r>
      <w:r>
        <w:t xml:space="preserve"> the</w:t>
      </w:r>
      <w:r w:rsidR="0089429B">
        <w:t xml:space="preserve"> UK Government’s</w:t>
      </w:r>
      <w:r>
        <w:t xml:space="preserve"> Bill</w:t>
      </w:r>
      <w:r w:rsidR="00371D5C">
        <w:t xml:space="preserve"> of Rights Bill.</w:t>
      </w:r>
    </w:p>
    <w:p w14:paraId="0806FE3B" w14:textId="0F53E405" w:rsidR="002D2447" w:rsidRDefault="00371D5C" w:rsidP="002D2447">
      <w:pPr>
        <w:pStyle w:val="ListParagraph"/>
        <w:numPr>
          <w:ilvl w:val="0"/>
          <w:numId w:val="0"/>
        </w:numPr>
        <w:ind w:left="709"/>
      </w:pPr>
      <w:r>
        <w:t xml:space="preserve"> </w:t>
      </w:r>
    </w:p>
    <w:p w14:paraId="20A5B01D" w14:textId="5073DD8B" w:rsidR="002E72A3" w:rsidRPr="002E72A3" w:rsidRDefault="00980068" w:rsidP="002D2447">
      <w:pPr>
        <w:pStyle w:val="ListParagraph"/>
        <w:ind w:left="709" w:hanging="709"/>
      </w:pPr>
      <w:r w:rsidRPr="002D2447">
        <w:rPr>
          <w:rFonts w:cs="Times New Roman"/>
        </w:rPr>
        <w:t xml:space="preserve">Under the </w:t>
      </w:r>
      <w:r w:rsidR="00EE597B" w:rsidRPr="002D2447">
        <w:rPr>
          <w:rFonts w:cs="Times New Roman"/>
        </w:rPr>
        <w:t>ECHR</w:t>
      </w:r>
      <w:r w:rsidRPr="002D2447">
        <w:rPr>
          <w:rFonts w:cs="Times New Roman"/>
        </w:rPr>
        <w:t xml:space="preserve">, the ECtHR has jurisdiction to issue </w:t>
      </w:r>
      <w:r w:rsidR="008031F8" w:rsidRPr="002D2447">
        <w:rPr>
          <w:rFonts w:cs="Times New Roman"/>
        </w:rPr>
        <w:t xml:space="preserve">interim </w:t>
      </w:r>
      <w:r w:rsidRPr="002D2447">
        <w:rPr>
          <w:rFonts w:cs="Times New Roman"/>
        </w:rPr>
        <w:t>measures</w:t>
      </w:r>
      <w:r w:rsidR="008031F8" w:rsidRPr="002D2447">
        <w:rPr>
          <w:rFonts w:cs="Times New Roman"/>
        </w:rPr>
        <w:t xml:space="preserve"> to any State </w:t>
      </w:r>
      <w:r w:rsidR="00530CDF" w:rsidRPr="002D2447">
        <w:rPr>
          <w:rFonts w:cs="Times New Roman"/>
        </w:rPr>
        <w:t>Party</w:t>
      </w:r>
      <w:r w:rsidRPr="002D2447">
        <w:rPr>
          <w:rFonts w:cs="Times New Roman"/>
        </w:rPr>
        <w:t xml:space="preserve"> “to preserve an asserted right before irreparable damage is done to it”.</w:t>
      </w:r>
      <w:r w:rsidRPr="002E72A3">
        <w:rPr>
          <w:rStyle w:val="FootnoteReference"/>
          <w:rFonts w:cs="Times New Roman"/>
        </w:rPr>
        <w:footnoteReference w:id="44"/>
      </w:r>
      <w:r w:rsidRPr="002D2447">
        <w:rPr>
          <w:rFonts w:cs="Times New Roman"/>
        </w:rPr>
        <w:t xml:space="preserve"> Such measures are, when issued, legally binding on States, by reason of States’ undertaking in Article 34 of the </w:t>
      </w:r>
      <w:r w:rsidR="004C2CDD" w:rsidRPr="002D2447">
        <w:rPr>
          <w:rFonts w:cs="Times New Roman"/>
        </w:rPr>
        <w:t>ECHR</w:t>
      </w:r>
      <w:r w:rsidRPr="002D2447">
        <w:rPr>
          <w:rFonts w:cs="Times New Roman"/>
        </w:rPr>
        <w:t xml:space="preserve"> “not to hinder in any way the effective exercise” by a victim of a claim before the ECtHR to be a victim.</w:t>
      </w:r>
      <w:r w:rsidRPr="002E72A3">
        <w:rPr>
          <w:rStyle w:val="FootnoteReference"/>
          <w:rFonts w:cs="Times New Roman"/>
        </w:rPr>
        <w:footnoteReference w:id="45"/>
      </w:r>
      <w:r w:rsidRPr="002D2447">
        <w:rPr>
          <w:rFonts w:cs="Times New Roman"/>
        </w:rPr>
        <w:t xml:space="preserve"> </w:t>
      </w:r>
    </w:p>
    <w:p w14:paraId="0F62120B" w14:textId="77777777" w:rsidR="002E72A3" w:rsidRPr="002E72A3" w:rsidRDefault="002E72A3" w:rsidP="002E72A3">
      <w:pPr>
        <w:pStyle w:val="ListParagraph"/>
        <w:numPr>
          <w:ilvl w:val="0"/>
          <w:numId w:val="0"/>
        </w:numPr>
        <w:ind w:left="720"/>
      </w:pPr>
    </w:p>
    <w:p w14:paraId="55B6884B" w14:textId="287E893F" w:rsidR="00980068" w:rsidRDefault="00980068" w:rsidP="00461980">
      <w:pPr>
        <w:pStyle w:val="ListParagraph"/>
        <w:ind w:left="709"/>
      </w:pPr>
      <w:r w:rsidRPr="002E72A3">
        <w:t xml:space="preserve">The Belfast (Good Friday) Agreement </w:t>
      </w:r>
      <w:r w:rsidR="007F022A">
        <w:t xml:space="preserve">1998 </w:t>
      </w:r>
      <w:r w:rsidRPr="002E72A3">
        <w:t>created a duty on the UK Government to incorporate the ECHR into NI law “with direct access to the courts, and remedies for breach of the… [ECHR]”.</w:t>
      </w:r>
      <w:r w:rsidRPr="002E72A3">
        <w:rPr>
          <w:rStyle w:val="FootnoteReference"/>
        </w:rPr>
        <w:footnoteReference w:id="46"/>
      </w:r>
      <w:r w:rsidRPr="002E72A3">
        <w:t xml:space="preserve"> If enacted this clause would empower the Home Secretary to deny an essential safeguard to some of the most </w:t>
      </w:r>
      <w:r w:rsidR="00662E41">
        <w:t>disadvantaged</w:t>
      </w:r>
      <w:r w:rsidRPr="002E72A3">
        <w:t xml:space="preserve"> individuals in the UK. </w:t>
      </w:r>
    </w:p>
    <w:p w14:paraId="22644D0D" w14:textId="77777777" w:rsidR="00E63F86" w:rsidRDefault="00E63F86" w:rsidP="00E63F86">
      <w:pPr>
        <w:pStyle w:val="ListParagraph"/>
        <w:numPr>
          <w:ilvl w:val="0"/>
          <w:numId w:val="0"/>
        </w:numPr>
        <w:ind w:left="720"/>
      </w:pPr>
    </w:p>
    <w:p w14:paraId="295D68E4" w14:textId="4AE37B45" w:rsidR="004C16C4" w:rsidRDefault="00E63F86" w:rsidP="00461980">
      <w:pPr>
        <w:pStyle w:val="ListParagraph"/>
        <w:ind w:left="709"/>
        <w:rPr>
          <w:b/>
        </w:rPr>
      </w:pPr>
      <w:r w:rsidRPr="008B4BC7">
        <w:rPr>
          <w:b/>
          <w:bCs/>
        </w:rPr>
        <w:t xml:space="preserve">The NIHRC recommends that </w:t>
      </w:r>
      <w:r w:rsidR="007F022A">
        <w:rPr>
          <w:b/>
          <w:bCs/>
        </w:rPr>
        <w:t>compliance with</w:t>
      </w:r>
      <w:r w:rsidR="00F02325">
        <w:rPr>
          <w:b/>
          <w:bCs/>
        </w:rPr>
        <w:t xml:space="preserve"> </w:t>
      </w:r>
      <w:r w:rsidR="00791522">
        <w:rPr>
          <w:b/>
          <w:bCs/>
        </w:rPr>
        <w:t xml:space="preserve">Article 34 ECHR and Rule 39 of the </w:t>
      </w:r>
      <w:r w:rsidR="003A0BFC">
        <w:rPr>
          <w:b/>
          <w:bCs/>
        </w:rPr>
        <w:t>European Court of Human Rights</w:t>
      </w:r>
      <w:r w:rsidR="00B664D1">
        <w:rPr>
          <w:b/>
          <w:bCs/>
        </w:rPr>
        <w:t xml:space="preserve"> is ensured</w:t>
      </w:r>
      <w:r w:rsidR="000B739B">
        <w:rPr>
          <w:b/>
          <w:bCs/>
        </w:rPr>
        <w:t xml:space="preserve"> within the Bill</w:t>
      </w:r>
      <w:r w:rsidR="00B664D1">
        <w:rPr>
          <w:b/>
          <w:bCs/>
        </w:rPr>
        <w:t>, for example by removing clause 49 of the current</w:t>
      </w:r>
      <w:r w:rsidR="008D06FA">
        <w:rPr>
          <w:b/>
          <w:bCs/>
        </w:rPr>
        <w:t xml:space="preserve"> Bill.</w:t>
      </w:r>
    </w:p>
    <w:p w14:paraId="6FE3DDA6" w14:textId="77777777" w:rsidR="00662E41" w:rsidRPr="00662E41" w:rsidRDefault="00662E41" w:rsidP="00662E41">
      <w:pPr>
        <w:pStyle w:val="ListParagraph"/>
        <w:numPr>
          <w:ilvl w:val="0"/>
          <w:numId w:val="0"/>
        </w:numPr>
        <w:ind w:left="720"/>
        <w:rPr>
          <w:b/>
          <w:bCs/>
        </w:rPr>
      </w:pPr>
    </w:p>
    <w:p w14:paraId="5910ADAE" w14:textId="77777777" w:rsidR="00662E41" w:rsidRPr="00662E41" w:rsidRDefault="00662E41" w:rsidP="00662E41">
      <w:pPr>
        <w:pStyle w:val="ListParagraph"/>
        <w:numPr>
          <w:ilvl w:val="0"/>
          <w:numId w:val="0"/>
        </w:numPr>
        <w:ind w:left="720"/>
        <w:rPr>
          <w:b/>
          <w:bCs/>
        </w:rPr>
      </w:pPr>
    </w:p>
    <w:p w14:paraId="7BB2A7A8" w14:textId="0FD6C428" w:rsidR="004C16C4" w:rsidRPr="00387C3F" w:rsidRDefault="004C16C4">
      <w:pPr>
        <w:spacing w:line="240" w:lineRule="auto"/>
        <w:rPr>
          <w:rFonts w:eastAsiaTheme="minorHAnsi" w:cs="Times New Roman"/>
          <w:sz w:val="20"/>
          <w:szCs w:val="20"/>
        </w:rPr>
      </w:pPr>
    </w:p>
    <w:p w14:paraId="11ED7929" w14:textId="77777777" w:rsidR="00662E41" w:rsidRDefault="00662E41">
      <w:pPr>
        <w:spacing w:line="240" w:lineRule="auto"/>
        <w:rPr>
          <w:rFonts w:eastAsiaTheme="minorHAnsi" w:cs="Times New Roman"/>
          <w:sz w:val="20"/>
          <w:szCs w:val="20"/>
        </w:rPr>
      </w:pPr>
    </w:p>
    <w:p w14:paraId="69C107B3" w14:textId="77777777" w:rsidR="00662E41" w:rsidRDefault="00662E41">
      <w:pPr>
        <w:spacing w:line="240" w:lineRule="auto"/>
        <w:rPr>
          <w:rFonts w:eastAsiaTheme="minorHAnsi" w:cs="Times New Roman"/>
          <w:sz w:val="20"/>
          <w:szCs w:val="20"/>
        </w:rPr>
      </w:pPr>
    </w:p>
    <w:p w14:paraId="224035A6" w14:textId="77777777" w:rsidR="00662E41" w:rsidRDefault="00662E41">
      <w:pPr>
        <w:spacing w:line="240" w:lineRule="auto"/>
        <w:rPr>
          <w:rFonts w:eastAsiaTheme="minorHAnsi" w:cs="Times New Roman"/>
          <w:sz w:val="20"/>
          <w:szCs w:val="20"/>
        </w:rPr>
      </w:pPr>
    </w:p>
    <w:p w14:paraId="622DCE54" w14:textId="77777777" w:rsidR="00662E41" w:rsidRDefault="00662E41">
      <w:pPr>
        <w:spacing w:line="240" w:lineRule="auto"/>
        <w:rPr>
          <w:rFonts w:eastAsiaTheme="minorHAnsi" w:cs="Times New Roman"/>
          <w:sz w:val="20"/>
          <w:szCs w:val="20"/>
        </w:rPr>
      </w:pPr>
    </w:p>
    <w:p w14:paraId="52F3A381" w14:textId="77777777" w:rsidR="00662E41" w:rsidRDefault="00662E41">
      <w:pPr>
        <w:spacing w:line="240" w:lineRule="auto"/>
        <w:rPr>
          <w:rFonts w:eastAsiaTheme="minorHAnsi" w:cs="Times New Roman"/>
          <w:sz w:val="20"/>
          <w:szCs w:val="20"/>
        </w:rPr>
      </w:pPr>
    </w:p>
    <w:p w14:paraId="5DF1D229" w14:textId="77777777" w:rsidR="00662E41" w:rsidRDefault="00662E41">
      <w:pPr>
        <w:spacing w:line="240" w:lineRule="auto"/>
        <w:rPr>
          <w:rFonts w:eastAsiaTheme="minorHAnsi" w:cs="Times New Roman"/>
          <w:sz w:val="20"/>
          <w:szCs w:val="20"/>
        </w:rPr>
      </w:pPr>
    </w:p>
    <w:p w14:paraId="3CB959D0" w14:textId="77777777" w:rsidR="00662E41" w:rsidRDefault="00662E41">
      <w:pPr>
        <w:spacing w:line="240" w:lineRule="auto"/>
        <w:rPr>
          <w:rFonts w:eastAsiaTheme="minorHAnsi" w:cs="Times New Roman"/>
          <w:sz w:val="20"/>
          <w:szCs w:val="20"/>
        </w:rPr>
      </w:pPr>
    </w:p>
    <w:p w14:paraId="6D72FA54" w14:textId="77777777" w:rsidR="00662E41" w:rsidRDefault="00662E41">
      <w:pPr>
        <w:spacing w:line="240" w:lineRule="auto"/>
        <w:rPr>
          <w:rFonts w:eastAsiaTheme="minorHAnsi" w:cs="Times New Roman"/>
          <w:sz w:val="20"/>
          <w:szCs w:val="20"/>
        </w:rPr>
      </w:pPr>
    </w:p>
    <w:p w14:paraId="1795EC56" w14:textId="77777777" w:rsidR="00662E41" w:rsidRDefault="00662E41">
      <w:pPr>
        <w:spacing w:line="240" w:lineRule="auto"/>
        <w:rPr>
          <w:rFonts w:eastAsiaTheme="minorHAnsi" w:cs="Times New Roman"/>
          <w:sz w:val="20"/>
          <w:szCs w:val="20"/>
        </w:rPr>
      </w:pPr>
    </w:p>
    <w:p w14:paraId="076AF15D" w14:textId="77777777" w:rsidR="00662E41" w:rsidRDefault="00662E41">
      <w:pPr>
        <w:spacing w:line="240" w:lineRule="auto"/>
        <w:rPr>
          <w:rFonts w:eastAsiaTheme="minorHAnsi" w:cs="Times New Roman"/>
          <w:sz w:val="20"/>
          <w:szCs w:val="20"/>
        </w:rPr>
      </w:pPr>
    </w:p>
    <w:p w14:paraId="7FDFB4BB" w14:textId="77777777" w:rsidR="00662E41" w:rsidRDefault="00662E41">
      <w:pPr>
        <w:spacing w:line="240" w:lineRule="auto"/>
        <w:rPr>
          <w:rFonts w:eastAsiaTheme="minorHAnsi" w:cs="Times New Roman"/>
          <w:sz w:val="20"/>
          <w:szCs w:val="20"/>
        </w:rPr>
      </w:pPr>
    </w:p>
    <w:p w14:paraId="6865E97B" w14:textId="77777777" w:rsidR="00662E41" w:rsidRDefault="00662E41">
      <w:pPr>
        <w:spacing w:line="240" w:lineRule="auto"/>
        <w:rPr>
          <w:rFonts w:eastAsiaTheme="minorHAnsi" w:cs="Times New Roman"/>
          <w:sz w:val="20"/>
          <w:szCs w:val="20"/>
        </w:rPr>
      </w:pPr>
    </w:p>
    <w:p w14:paraId="27E34C15" w14:textId="77777777" w:rsidR="00662E41" w:rsidRDefault="00662E41">
      <w:pPr>
        <w:spacing w:line="240" w:lineRule="auto"/>
        <w:rPr>
          <w:rFonts w:eastAsiaTheme="minorHAnsi" w:cs="Times New Roman"/>
          <w:sz w:val="20"/>
          <w:szCs w:val="20"/>
        </w:rPr>
      </w:pPr>
    </w:p>
    <w:p w14:paraId="24413D6E" w14:textId="77777777" w:rsidR="00662E41" w:rsidRDefault="00662E41">
      <w:pPr>
        <w:spacing w:line="240" w:lineRule="auto"/>
        <w:rPr>
          <w:rFonts w:eastAsiaTheme="minorHAnsi" w:cs="Times New Roman"/>
          <w:sz w:val="20"/>
          <w:szCs w:val="20"/>
        </w:rPr>
      </w:pPr>
    </w:p>
    <w:p w14:paraId="7371331E" w14:textId="77777777" w:rsidR="00662E41" w:rsidRDefault="00662E41">
      <w:pPr>
        <w:spacing w:line="240" w:lineRule="auto"/>
        <w:rPr>
          <w:rFonts w:eastAsiaTheme="minorHAnsi" w:cs="Times New Roman"/>
          <w:sz w:val="20"/>
          <w:szCs w:val="20"/>
        </w:rPr>
      </w:pPr>
    </w:p>
    <w:p w14:paraId="49B488E3" w14:textId="77777777" w:rsidR="00662E41" w:rsidRDefault="00662E41">
      <w:pPr>
        <w:spacing w:line="240" w:lineRule="auto"/>
        <w:rPr>
          <w:rFonts w:eastAsiaTheme="minorHAnsi" w:cs="Times New Roman"/>
          <w:sz w:val="20"/>
          <w:szCs w:val="20"/>
        </w:rPr>
      </w:pPr>
    </w:p>
    <w:p w14:paraId="0E2E9C0A" w14:textId="77777777" w:rsidR="00662E41" w:rsidRDefault="00662E41">
      <w:pPr>
        <w:spacing w:line="240" w:lineRule="auto"/>
        <w:rPr>
          <w:rFonts w:eastAsiaTheme="minorHAnsi" w:cs="Times New Roman"/>
          <w:sz w:val="20"/>
          <w:szCs w:val="20"/>
        </w:rPr>
      </w:pPr>
    </w:p>
    <w:p w14:paraId="7A706843" w14:textId="77777777" w:rsidR="00662E41" w:rsidRDefault="00662E41">
      <w:pPr>
        <w:spacing w:line="240" w:lineRule="auto"/>
        <w:rPr>
          <w:rFonts w:eastAsiaTheme="minorHAnsi" w:cs="Times New Roman"/>
          <w:sz w:val="20"/>
          <w:szCs w:val="20"/>
        </w:rPr>
      </w:pPr>
    </w:p>
    <w:p w14:paraId="16000512" w14:textId="77777777" w:rsidR="00662E41" w:rsidRDefault="00662E41">
      <w:pPr>
        <w:spacing w:line="240" w:lineRule="auto"/>
        <w:rPr>
          <w:rFonts w:eastAsiaTheme="minorHAnsi" w:cs="Times New Roman"/>
          <w:sz w:val="20"/>
          <w:szCs w:val="20"/>
        </w:rPr>
      </w:pPr>
    </w:p>
    <w:p w14:paraId="3D8705BD" w14:textId="77777777" w:rsidR="00662E41" w:rsidRDefault="00662E41">
      <w:pPr>
        <w:spacing w:line="240" w:lineRule="auto"/>
        <w:rPr>
          <w:rFonts w:eastAsiaTheme="minorHAnsi" w:cs="Times New Roman"/>
          <w:sz w:val="20"/>
          <w:szCs w:val="20"/>
        </w:rPr>
      </w:pPr>
    </w:p>
    <w:p w14:paraId="5014B511" w14:textId="77777777" w:rsidR="00C73F83" w:rsidRDefault="00C73F83">
      <w:pPr>
        <w:spacing w:line="240" w:lineRule="auto"/>
        <w:rPr>
          <w:rFonts w:eastAsiaTheme="minorHAnsi" w:cs="Times New Roman"/>
          <w:sz w:val="20"/>
          <w:szCs w:val="20"/>
        </w:rPr>
      </w:pPr>
    </w:p>
    <w:p w14:paraId="70A653DA" w14:textId="77777777" w:rsidR="00C73F83" w:rsidRDefault="00C73F83">
      <w:pPr>
        <w:spacing w:line="240" w:lineRule="auto"/>
        <w:rPr>
          <w:rFonts w:eastAsiaTheme="minorHAnsi" w:cs="Times New Roman"/>
          <w:sz w:val="20"/>
          <w:szCs w:val="20"/>
        </w:rPr>
      </w:pPr>
    </w:p>
    <w:p w14:paraId="6A33248F" w14:textId="77777777" w:rsidR="00C73F83" w:rsidRDefault="00C73F83">
      <w:pPr>
        <w:spacing w:line="240" w:lineRule="auto"/>
        <w:rPr>
          <w:rFonts w:eastAsiaTheme="minorHAnsi" w:cs="Times New Roman"/>
          <w:sz w:val="20"/>
          <w:szCs w:val="20"/>
        </w:rPr>
      </w:pPr>
    </w:p>
    <w:p w14:paraId="10BE19B3" w14:textId="77777777" w:rsidR="00C73F83" w:rsidRDefault="00C73F83">
      <w:pPr>
        <w:spacing w:line="240" w:lineRule="auto"/>
        <w:rPr>
          <w:rFonts w:eastAsiaTheme="minorHAnsi" w:cs="Times New Roman"/>
          <w:sz w:val="20"/>
          <w:szCs w:val="20"/>
        </w:rPr>
      </w:pPr>
    </w:p>
    <w:p w14:paraId="7BE84C17" w14:textId="77777777" w:rsidR="00C73F83" w:rsidRDefault="00C73F83">
      <w:pPr>
        <w:spacing w:line="240" w:lineRule="auto"/>
        <w:rPr>
          <w:rFonts w:eastAsiaTheme="minorHAnsi" w:cs="Times New Roman"/>
          <w:sz w:val="20"/>
          <w:szCs w:val="20"/>
        </w:rPr>
      </w:pPr>
    </w:p>
    <w:p w14:paraId="5F5EEC12" w14:textId="77777777" w:rsidR="00C73F83" w:rsidRDefault="00C73F83">
      <w:pPr>
        <w:spacing w:line="240" w:lineRule="auto"/>
        <w:rPr>
          <w:rFonts w:eastAsiaTheme="minorHAnsi" w:cs="Times New Roman"/>
          <w:sz w:val="20"/>
          <w:szCs w:val="20"/>
        </w:rPr>
      </w:pPr>
    </w:p>
    <w:p w14:paraId="49FE8F62" w14:textId="77777777" w:rsidR="00C73F83" w:rsidRDefault="00C73F83">
      <w:pPr>
        <w:spacing w:line="240" w:lineRule="auto"/>
        <w:rPr>
          <w:rFonts w:eastAsiaTheme="minorHAnsi" w:cs="Times New Roman"/>
          <w:sz w:val="20"/>
          <w:szCs w:val="20"/>
        </w:rPr>
      </w:pPr>
    </w:p>
    <w:p w14:paraId="428FBC1D" w14:textId="77777777" w:rsidR="00C73F83" w:rsidRDefault="00C73F83">
      <w:pPr>
        <w:spacing w:line="240" w:lineRule="auto"/>
        <w:rPr>
          <w:rFonts w:eastAsiaTheme="minorHAnsi" w:cs="Times New Roman"/>
          <w:sz w:val="20"/>
          <w:szCs w:val="20"/>
        </w:rPr>
      </w:pPr>
    </w:p>
    <w:p w14:paraId="211CA9AE" w14:textId="77777777" w:rsidR="00C73F83" w:rsidRDefault="00C73F83">
      <w:pPr>
        <w:spacing w:line="240" w:lineRule="auto"/>
        <w:rPr>
          <w:rFonts w:eastAsiaTheme="minorHAnsi" w:cs="Times New Roman"/>
          <w:sz w:val="20"/>
          <w:szCs w:val="20"/>
        </w:rPr>
      </w:pPr>
    </w:p>
    <w:p w14:paraId="7C1A0BC0" w14:textId="77777777" w:rsidR="00C73F83" w:rsidRDefault="00C73F83">
      <w:pPr>
        <w:spacing w:line="240" w:lineRule="auto"/>
        <w:rPr>
          <w:rFonts w:eastAsiaTheme="minorHAnsi" w:cs="Times New Roman"/>
          <w:sz w:val="20"/>
          <w:szCs w:val="20"/>
        </w:rPr>
      </w:pPr>
    </w:p>
    <w:p w14:paraId="0892DFFB" w14:textId="77777777" w:rsidR="00C73F83" w:rsidRDefault="00C73F83">
      <w:pPr>
        <w:spacing w:line="240" w:lineRule="auto"/>
        <w:rPr>
          <w:rFonts w:eastAsiaTheme="minorHAnsi" w:cs="Times New Roman"/>
          <w:sz w:val="20"/>
          <w:szCs w:val="20"/>
        </w:rPr>
      </w:pPr>
    </w:p>
    <w:p w14:paraId="7E4CF70E" w14:textId="77777777" w:rsidR="00C73F83" w:rsidRDefault="00C73F83">
      <w:pPr>
        <w:spacing w:line="240" w:lineRule="auto"/>
        <w:rPr>
          <w:rFonts w:eastAsiaTheme="minorHAnsi" w:cs="Times New Roman"/>
          <w:sz w:val="20"/>
          <w:szCs w:val="20"/>
        </w:rPr>
      </w:pPr>
    </w:p>
    <w:p w14:paraId="369E4D91" w14:textId="77777777" w:rsidR="00C73F83" w:rsidRPr="00387C3F" w:rsidRDefault="00C73F83">
      <w:pPr>
        <w:spacing w:line="240" w:lineRule="auto"/>
        <w:rPr>
          <w:rFonts w:eastAsiaTheme="minorHAnsi" w:cs="Times New Roman"/>
          <w:sz w:val="20"/>
          <w:szCs w:val="20"/>
        </w:rPr>
      </w:pPr>
    </w:p>
    <w:p w14:paraId="3D2FEA34" w14:textId="7238A527" w:rsidR="004C16C4" w:rsidRPr="00387C3F" w:rsidRDefault="004C16C4">
      <w:pPr>
        <w:spacing w:line="240" w:lineRule="auto"/>
        <w:rPr>
          <w:rFonts w:eastAsiaTheme="minorHAnsi" w:cs="Times New Roman"/>
          <w:sz w:val="20"/>
          <w:szCs w:val="20"/>
        </w:rPr>
      </w:pPr>
    </w:p>
    <w:p w14:paraId="0224C853" w14:textId="77777777" w:rsidR="004C16C4" w:rsidRPr="00387C3F" w:rsidRDefault="004C16C4">
      <w:pPr>
        <w:spacing w:line="240" w:lineRule="auto"/>
        <w:rPr>
          <w:rFonts w:eastAsiaTheme="minorHAnsi" w:cs="Times New Roman"/>
          <w:sz w:val="20"/>
          <w:szCs w:val="20"/>
        </w:rPr>
      </w:pPr>
    </w:p>
    <w:p w14:paraId="5C2C3DEA" w14:textId="28501A71" w:rsidR="0062748F" w:rsidRPr="00387C3F" w:rsidRDefault="0062748F">
      <w:pPr>
        <w:spacing w:line="240" w:lineRule="auto"/>
        <w:rPr>
          <w:rFonts w:eastAsiaTheme="minorHAnsi" w:cs="Times New Roman"/>
          <w:sz w:val="20"/>
          <w:szCs w:val="20"/>
        </w:rPr>
      </w:pPr>
    </w:p>
    <w:p w14:paraId="1D5C9149" w14:textId="77777777" w:rsidR="0062748F" w:rsidRPr="00387C3F" w:rsidRDefault="0062748F" w:rsidP="0062748F">
      <w:pPr>
        <w:ind w:left="720" w:hanging="720"/>
        <w:jc w:val="center"/>
      </w:pPr>
      <w:r w:rsidRPr="00387C3F">
        <w:rPr>
          <w:rFonts w:cs="Arial"/>
          <w:b/>
          <w:bCs/>
          <w:color w:val="77328A"/>
          <w:sz w:val="36"/>
          <w:szCs w:val="36"/>
        </w:rPr>
        <w:t xml:space="preserve">Contact </w:t>
      </w:r>
      <w:proofErr w:type="gramStart"/>
      <w:r w:rsidRPr="00387C3F">
        <w:rPr>
          <w:rFonts w:cs="Arial"/>
          <w:b/>
          <w:bCs/>
          <w:color w:val="77328A"/>
          <w:sz w:val="36"/>
          <w:szCs w:val="36"/>
        </w:rPr>
        <w:t>us</w:t>
      </w:r>
      <w:proofErr w:type="gramEnd"/>
    </w:p>
    <w:p w14:paraId="033E5352" w14:textId="77777777" w:rsidR="0062748F" w:rsidRPr="00387C3F" w:rsidRDefault="0062748F" w:rsidP="0062748F">
      <w:pPr>
        <w:pStyle w:val="BasicParagraph"/>
        <w:suppressAutoHyphens/>
        <w:jc w:val="center"/>
        <w:rPr>
          <w:rFonts w:ascii="Verdana" w:hAnsi="Verdana" w:cs="Arial"/>
          <w:b/>
          <w:color w:val="77328A"/>
          <w:sz w:val="36"/>
          <w:szCs w:val="36"/>
        </w:rPr>
      </w:pPr>
    </w:p>
    <w:p w14:paraId="090F344E" w14:textId="587C1F4C" w:rsidR="0062748F" w:rsidRPr="00387C3F" w:rsidRDefault="0062748F" w:rsidP="0062748F">
      <w:pPr>
        <w:jc w:val="center"/>
        <w:rPr>
          <w:rFonts w:cs="Arial"/>
          <w:b/>
          <w:color w:val="232120"/>
          <w:sz w:val="30"/>
          <w:szCs w:val="30"/>
        </w:rPr>
      </w:pPr>
      <w:r w:rsidRPr="00387C3F">
        <w:rPr>
          <w:rFonts w:cs="Arial"/>
          <w:b/>
          <w:color w:val="232120"/>
          <w:sz w:val="30"/>
          <w:szCs w:val="30"/>
        </w:rPr>
        <w:t>Please send any queries to</w:t>
      </w:r>
      <w:r w:rsidR="004C16C4" w:rsidRPr="00387C3F">
        <w:rPr>
          <w:rFonts w:cs="Arial"/>
          <w:b/>
          <w:color w:val="232120"/>
          <w:sz w:val="30"/>
          <w:szCs w:val="30"/>
        </w:rPr>
        <w:t xml:space="preserve"> </w:t>
      </w:r>
      <w:hyperlink r:id="rId12" w:history="1">
        <w:r w:rsidR="004C16C4" w:rsidRPr="00387C3F">
          <w:rPr>
            <w:rStyle w:val="Hyperlink"/>
            <w:rFonts w:cs="Arial"/>
            <w:b/>
            <w:sz w:val="30"/>
            <w:szCs w:val="30"/>
          </w:rPr>
          <w:t>Eilis.Haughey@nihrc.org</w:t>
        </w:r>
      </w:hyperlink>
      <w:r w:rsidR="004C16C4" w:rsidRPr="00387C3F">
        <w:rPr>
          <w:rFonts w:cs="Arial"/>
          <w:b/>
          <w:color w:val="232120"/>
          <w:sz w:val="30"/>
          <w:szCs w:val="30"/>
        </w:rPr>
        <w:t xml:space="preserve"> </w:t>
      </w:r>
      <w:r w:rsidR="00CF0779">
        <w:rPr>
          <w:b/>
          <w:sz w:val="30"/>
          <w:szCs w:val="30"/>
        </w:rPr>
        <w:t xml:space="preserve">and </w:t>
      </w:r>
      <w:hyperlink r:id="rId13" w:history="1">
        <w:r w:rsidR="00CF0779" w:rsidRPr="008D63B8">
          <w:rPr>
            <w:rStyle w:val="Hyperlink"/>
            <w:rFonts w:cs="Arial"/>
            <w:b/>
            <w:sz w:val="30"/>
            <w:szCs w:val="30"/>
          </w:rPr>
          <w:t>Colin.Caughey@nihrc.org</w:t>
        </w:r>
      </w:hyperlink>
    </w:p>
    <w:p w14:paraId="27563AB4" w14:textId="77777777" w:rsidR="0062748F" w:rsidRPr="00387C3F" w:rsidRDefault="0062748F" w:rsidP="0062748F">
      <w:pPr>
        <w:rPr>
          <w:rFonts w:cs="Arial"/>
          <w:b/>
          <w:color w:val="232120"/>
          <w:sz w:val="30"/>
          <w:szCs w:val="30"/>
        </w:rPr>
      </w:pPr>
    </w:p>
    <w:p w14:paraId="3216D5DC" w14:textId="77777777" w:rsidR="0062748F" w:rsidRPr="00387C3F" w:rsidRDefault="0062748F" w:rsidP="0062748F">
      <w:pPr>
        <w:jc w:val="center"/>
        <w:rPr>
          <w:rFonts w:cs="Arial"/>
          <w:b/>
          <w:color w:val="232120"/>
          <w:sz w:val="30"/>
          <w:szCs w:val="30"/>
        </w:rPr>
      </w:pPr>
    </w:p>
    <w:p w14:paraId="311738A5" w14:textId="77777777" w:rsidR="0062748F" w:rsidRPr="00387C3F" w:rsidRDefault="0062748F" w:rsidP="0062748F">
      <w:pPr>
        <w:jc w:val="center"/>
        <w:rPr>
          <w:rFonts w:cs="Arial"/>
          <w:b/>
          <w:color w:val="232120"/>
          <w:sz w:val="30"/>
          <w:szCs w:val="30"/>
        </w:rPr>
      </w:pPr>
    </w:p>
    <w:p w14:paraId="62E4DA5C" w14:textId="77777777" w:rsidR="0062748F" w:rsidRPr="00387C3F" w:rsidRDefault="00000000" w:rsidP="0062748F">
      <w:pPr>
        <w:jc w:val="center"/>
        <w:rPr>
          <w:rFonts w:cs="Arial"/>
          <w:color w:val="232120"/>
          <w:sz w:val="28"/>
          <w:szCs w:val="28"/>
        </w:rPr>
      </w:pPr>
      <w:hyperlink r:id="rId14" w:history="1">
        <w:r w:rsidR="0062748F" w:rsidRPr="00387C3F">
          <w:rPr>
            <w:rStyle w:val="Hyperlink"/>
            <w:rFonts w:cs="Arial"/>
            <w:color w:val="232120"/>
            <w:sz w:val="28"/>
            <w:szCs w:val="28"/>
            <w:lang w:val="en-US"/>
          </w:rPr>
          <w:t>www.nihrc.org</w:t>
        </w:r>
      </w:hyperlink>
      <w:r w:rsidR="0062748F" w:rsidRPr="00387C3F">
        <w:rPr>
          <w:rFonts w:cs="Arial"/>
          <w:color w:val="232120"/>
          <w:sz w:val="28"/>
          <w:szCs w:val="28"/>
          <w:lang w:val="en-US"/>
        </w:rPr>
        <w:t xml:space="preserve">  |  </w:t>
      </w:r>
      <w:hyperlink r:id="rId15" w:history="1">
        <w:r w:rsidR="0062748F" w:rsidRPr="00387C3F">
          <w:rPr>
            <w:rStyle w:val="Hyperlink"/>
            <w:rFonts w:cs="Arial"/>
            <w:color w:val="232120"/>
            <w:sz w:val="28"/>
            <w:szCs w:val="28"/>
            <w:lang w:val="en-US"/>
          </w:rPr>
          <w:t>info@nihrc.org</w:t>
        </w:r>
      </w:hyperlink>
      <w:r w:rsidR="0062748F" w:rsidRPr="00387C3F">
        <w:rPr>
          <w:rFonts w:cs="Arial"/>
          <w:color w:val="232120"/>
          <w:sz w:val="28"/>
          <w:szCs w:val="28"/>
          <w:lang w:val="en-US"/>
        </w:rPr>
        <w:t xml:space="preserve">  |  +44 (0)28 9024 3987</w:t>
      </w:r>
    </w:p>
    <w:p w14:paraId="0099D767" w14:textId="77777777" w:rsidR="0062748F" w:rsidRPr="00387C3F" w:rsidRDefault="0062748F" w:rsidP="0062748F">
      <w:pPr>
        <w:jc w:val="center"/>
        <w:rPr>
          <w:rFonts w:cs="Arial"/>
          <w:color w:val="232120"/>
          <w:sz w:val="28"/>
          <w:szCs w:val="28"/>
        </w:rPr>
      </w:pPr>
      <w:r w:rsidRPr="00387C3F">
        <w:rPr>
          <w:rFonts w:cs="Arial"/>
          <w:color w:val="232120"/>
          <w:sz w:val="28"/>
          <w:szCs w:val="28"/>
          <w:lang w:val="en-US"/>
        </w:rPr>
        <w:t>4</w:t>
      </w:r>
      <w:r w:rsidRPr="00387C3F">
        <w:rPr>
          <w:rFonts w:cs="Arial"/>
          <w:color w:val="232120"/>
          <w:sz w:val="28"/>
          <w:szCs w:val="28"/>
          <w:vertAlign w:val="superscript"/>
          <w:lang w:val="en-US"/>
        </w:rPr>
        <w:t>th</w:t>
      </w:r>
      <w:r w:rsidRPr="00387C3F">
        <w:rPr>
          <w:rFonts w:cs="Arial"/>
          <w:color w:val="232120"/>
          <w:sz w:val="28"/>
          <w:szCs w:val="28"/>
          <w:lang w:val="en-US"/>
        </w:rPr>
        <w:t xml:space="preserve"> Floor, Alfred House, 19-21 Alfred Street, Belfast, BT2 8ED</w:t>
      </w:r>
    </w:p>
    <w:p w14:paraId="28E9294A" w14:textId="77777777" w:rsidR="0062748F" w:rsidRPr="00387C3F" w:rsidRDefault="0062748F" w:rsidP="0062748F">
      <w:pPr>
        <w:jc w:val="center"/>
        <w:rPr>
          <w:rFonts w:cs="Arial"/>
          <w:b/>
          <w:color w:val="232120"/>
          <w:sz w:val="28"/>
          <w:szCs w:val="28"/>
        </w:rPr>
      </w:pPr>
    </w:p>
    <w:p w14:paraId="13E1CF6F" w14:textId="77777777" w:rsidR="0062748F" w:rsidRPr="00387C3F" w:rsidRDefault="0062748F" w:rsidP="0062748F">
      <w:pPr>
        <w:jc w:val="center"/>
        <w:rPr>
          <w:rFonts w:cs="Arial"/>
          <w:color w:val="232120"/>
          <w:sz w:val="20"/>
          <w:szCs w:val="20"/>
        </w:rPr>
      </w:pPr>
    </w:p>
    <w:p w14:paraId="58DF823E" w14:textId="77777777" w:rsidR="0062748F" w:rsidRPr="00387C3F" w:rsidRDefault="0062748F" w:rsidP="0062748F">
      <w:pPr>
        <w:pStyle w:val="BasicParagraph"/>
        <w:suppressAutoHyphens/>
        <w:spacing w:line="240" w:lineRule="auto"/>
        <w:jc w:val="center"/>
        <w:rPr>
          <w:rFonts w:ascii="Verdana" w:hAnsi="Verdana" w:cs="Arial"/>
          <w:color w:val="232120"/>
          <w:sz w:val="28"/>
          <w:szCs w:val="28"/>
        </w:rPr>
      </w:pPr>
      <w:r w:rsidRPr="00387C3F">
        <w:rPr>
          <w:rFonts w:ascii="Verdana" w:hAnsi="Verdana" w:cs="Arial"/>
          <w:noProof/>
          <w:color w:val="232120"/>
          <w:sz w:val="28"/>
          <w:szCs w:val="28"/>
          <w:lang w:eastAsia="en-GB"/>
        </w:rPr>
        <w:drawing>
          <wp:inline distT="0" distB="0" distL="0" distR="0" wp14:anchorId="11946D77" wp14:editId="06381D70">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24133220" w14:textId="77777777" w:rsidR="0062748F" w:rsidRPr="00387C3F" w:rsidRDefault="0062748F">
      <w:pPr>
        <w:spacing w:line="240" w:lineRule="auto"/>
        <w:rPr>
          <w:rFonts w:eastAsiaTheme="minorHAnsi" w:cs="Times New Roman"/>
          <w:sz w:val="20"/>
          <w:szCs w:val="20"/>
        </w:rPr>
      </w:pPr>
    </w:p>
    <w:sectPr w:rsidR="0062748F" w:rsidRPr="00387C3F" w:rsidSect="00A63277">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8C467" w14:textId="77777777" w:rsidR="00274BA5" w:rsidRDefault="00274BA5" w:rsidP="003F60F5">
      <w:r>
        <w:separator/>
      </w:r>
    </w:p>
  </w:endnote>
  <w:endnote w:type="continuationSeparator" w:id="0">
    <w:p w14:paraId="1D12CBD3" w14:textId="77777777" w:rsidR="00274BA5" w:rsidRDefault="00274BA5" w:rsidP="003F60F5">
      <w:r>
        <w:continuationSeparator/>
      </w:r>
    </w:p>
  </w:endnote>
  <w:endnote w:type="continuationNotice" w:id="1">
    <w:p w14:paraId="3B675D94" w14:textId="77777777" w:rsidR="00274BA5" w:rsidRDefault="00274B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7328A"/>
      </w:rPr>
      <w:id w:val="831108615"/>
      <w:docPartObj>
        <w:docPartGallery w:val="Page Numbers (Bottom of Page)"/>
        <w:docPartUnique/>
      </w:docPartObj>
    </w:sdtPr>
    <w:sdtEndPr>
      <w:rPr>
        <w:noProof/>
      </w:rPr>
    </w:sdtEndPr>
    <w:sdtContent>
      <w:p w14:paraId="4A016D6A" w14:textId="4B2D027B" w:rsidR="007D17F2" w:rsidRPr="007D17F2" w:rsidRDefault="007D17F2">
        <w:pPr>
          <w:pStyle w:val="Footer"/>
          <w:jc w:val="right"/>
          <w:rPr>
            <w:color w:val="77328A"/>
          </w:rPr>
        </w:pPr>
        <w:r w:rsidRPr="007D17F2">
          <w:rPr>
            <w:color w:val="77328A"/>
          </w:rPr>
          <w:fldChar w:fldCharType="begin"/>
        </w:r>
        <w:r w:rsidRPr="007D17F2">
          <w:rPr>
            <w:color w:val="77328A"/>
          </w:rPr>
          <w:instrText xml:space="preserve"> PAGE   \* MERGEFORMAT </w:instrText>
        </w:r>
        <w:r w:rsidRPr="007D17F2">
          <w:rPr>
            <w:color w:val="77328A"/>
          </w:rPr>
          <w:fldChar w:fldCharType="separate"/>
        </w:r>
        <w:r w:rsidRPr="007D17F2">
          <w:rPr>
            <w:noProof/>
            <w:color w:val="77328A"/>
          </w:rPr>
          <w:t>2</w:t>
        </w:r>
        <w:r w:rsidRPr="007D17F2">
          <w:rPr>
            <w:noProof/>
            <w:color w:val="77328A"/>
          </w:rPr>
          <w:fldChar w:fldCharType="end"/>
        </w:r>
      </w:p>
    </w:sdtContent>
  </w:sdt>
  <w:p w14:paraId="4982FD1F" w14:textId="77777777" w:rsidR="007D17F2" w:rsidRDefault="007D1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9F6ED" w14:textId="77777777" w:rsidR="00274BA5" w:rsidRDefault="00274BA5" w:rsidP="003F60F5">
      <w:r>
        <w:separator/>
      </w:r>
    </w:p>
  </w:footnote>
  <w:footnote w:type="continuationSeparator" w:id="0">
    <w:p w14:paraId="1CFB193A" w14:textId="77777777" w:rsidR="00274BA5" w:rsidRDefault="00274BA5" w:rsidP="003F60F5">
      <w:r>
        <w:continuationSeparator/>
      </w:r>
    </w:p>
  </w:footnote>
  <w:footnote w:type="continuationNotice" w:id="1">
    <w:p w14:paraId="6C6592F9" w14:textId="77777777" w:rsidR="00274BA5" w:rsidRDefault="00274BA5">
      <w:pPr>
        <w:spacing w:line="240" w:lineRule="auto"/>
      </w:pPr>
    </w:p>
  </w:footnote>
  <w:footnote w:id="2">
    <w:p w14:paraId="2D81C731" w14:textId="61032DE2" w:rsidR="002B72AD" w:rsidRPr="00BA00BA" w:rsidRDefault="002B72AD" w:rsidP="00BA00BA">
      <w:pPr>
        <w:pStyle w:val="FootnoteText"/>
        <w:spacing w:line="240" w:lineRule="auto"/>
        <w:rPr>
          <w:color w:val="77328A"/>
          <w:sz w:val="16"/>
          <w:szCs w:val="16"/>
        </w:rPr>
      </w:pPr>
      <w:r w:rsidRPr="00BA00BA">
        <w:rPr>
          <w:rStyle w:val="FootnoteReference"/>
          <w:color w:val="77328A"/>
          <w:sz w:val="16"/>
          <w:szCs w:val="16"/>
        </w:rPr>
        <w:footnoteRef/>
      </w:r>
      <w:r w:rsidRPr="00BA00BA">
        <w:rPr>
          <w:color w:val="77328A"/>
          <w:sz w:val="16"/>
          <w:szCs w:val="16"/>
        </w:rPr>
        <w:t xml:space="preserve"> The Windsor Framework </w:t>
      </w:r>
      <w:r w:rsidR="00A43C92">
        <w:rPr>
          <w:color w:val="77328A"/>
          <w:sz w:val="16"/>
          <w:szCs w:val="16"/>
        </w:rPr>
        <w:t>was formerly known as</w:t>
      </w:r>
      <w:r w:rsidRPr="00BA00BA">
        <w:rPr>
          <w:color w:val="77328A"/>
          <w:sz w:val="16"/>
          <w:szCs w:val="16"/>
        </w:rPr>
        <w:t xml:space="preserve"> the Protocol on Ireland/Northern Ireland </w:t>
      </w:r>
      <w:r w:rsidR="00A43C92">
        <w:rPr>
          <w:color w:val="77328A"/>
          <w:sz w:val="16"/>
          <w:szCs w:val="16"/>
        </w:rPr>
        <w:t>to</w:t>
      </w:r>
      <w:r w:rsidRPr="00BA00BA">
        <w:rPr>
          <w:color w:val="77328A"/>
          <w:sz w:val="16"/>
          <w:szCs w:val="16"/>
        </w:rPr>
        <w:t xml:space="preserve"> the UK-EU Withdrawal Agreement and all references to the Protocol in this document have been updated to reflect this change. (</w:t>
      </w:r>
      <w:r w:rsidR="00A43C92">
        <w:rPr>
          <w:color w:val="77328A"/>
          <w:sz w:val="16"/>
          <w:szCs w:val="16"/>
        </w:rPr>
        <w:t xml:space="preserve">see </w:t>
      </w:r>
      <w:r w:rsidRPr="00BA00BA">
        <w:rPr>
          <w:color w:val="77328A"/>
          <w:sz w:val="16"/>
          <w:szCs w:val="16"/>
        </w:rPr>
        <w:t>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4B087E33" w14:textId="77777777" w:rsidR="0084608F" w:rsidRPr="00BA00BA" w:rsidRDefault="0084608F" w:rsidP="00BA00BA">
      <w:pPr>
        <w:pStyle w:val="FootnoteText"/>
        <w:spacing w:line="240" w:lineRule="auto"/>
        <w:rPr>
          <w:color w:val="77328A"/>
          <w:sz w:val="16"/>
          <w:szCs w:val="16"/>
        </w:rPr>
      </w:pPr>
      <w:r w:rsidRPr="00BA00BA">
        <w:rPr>
          <w:rStyle w:val="FootnoteReference"/>
          <w:color w:val="77328A"/>
          <w:sz w:val="16"/>
          <w:szCs w:val="16"/>
        </w:rPr>
        <w:footnoteRef/>
      </w:r>
      <w:r w:rsidRPr="00BA00BA">
        <w:rPr>
          <w:color w:val="77328A"/>
          <w:sz w:val="16"/>
          <w:szCs w:val="16"/>
        </w:rPr>
        <w:t xml:space="preserve"> Article 31, UN Refugee Convention 1951.</w:t>
      </w:r>
    </w:p>
  </w:footnote>
  <w:footnote w:id="4">
    <w:p w14:paraId="1FDE3D54" w14:textId="77777777" w:rsidR="0084608F" w:rsidRPr="00BA00BA" w:rsidRDefault="0084608F" w:rsidP="00BA00BA">
      <w:pPr>
        <w:pStyle w:val="FootnoteText"/>
        <w:spacing w:line="240" w:lineRule="auto"/>
        <w:rPr>
          <w:sz w:val="16"/>
          <w:szCs w:val="16"/>
        </w:rPr>
      </w:pPr>
      <w:r w:rsidRPr="00BA00BA">
        <w:rPr>
          <w:rStyle w:val="FootnoteReference"/>
          <w:color w:val="77328A"/>
          <w:sz w:val="16"/>
          <w:szCs w:val="16"/>
        </w:rPr>
        <w:footnoteRef/>
      </w:r>
      <w:r w:rsidRPr="00BA00BA">
        <w:rPr>
          <w:color w:val="77328A"/>
          <w:sz w:val="16"/>
          <w:szCs w:val="16"/>
        </w:rPr>
        <w:t xml:space="preserve"> UN Refugee Agency, ‘Statement on UK Asylum Bill’. Available at: https://www.unhcr.org/uk/news/press/2023/3/6407794e4/statement-on-uk-asylum-bill.html.</w:t>
      </w:r>
    </w:p>
  </w:footnote>
  <w:footnote w:id="5">
    <w:p w14:paraId="4CFEFA85" w14:textId="77777777" w:rsidR="0084608F" w:rsidRPr="00BA00BA" w:rsidRDefault="0084608F" w:rsidP="00BA00BA">
      <w:pPr>
        <w:pStyle w:val="FootnoteText"/>
        <w:spacing w:line="240" w:lineRule="auto"/>
        <w:rPr>
          <w:sz w:val="16"/>
          <w:szCs w:val="16"/>
        </w:rPr>
      </w:pPr>
      <w:r w:rsidRPr="00BA00BA">
        <w:rPr>
          <w:rStyle w:val="FootnoteReference"/>
          <w:color w:val="77328A"/>
          <w:sz w:val="16"/>
          <w:szCs w:val="16"/>
        </w:rPr>
        <w:footnoteRef/>
      </w:r>
      <w:r w:rsidRPr="00BA00BA">
        <w:rPr>
          <w:color w:val="77328A"/>
          <w:sz w:val="16"/>
          <w:szCs w:val="16"/>
        </w:rPr>
        <w:t xml:space="preserve"> UN Refugee Agency, ‘Statement on UK Asylum Bill’. Available at: https://www.unhcr.org/uk/news/press/2023/3/6407794e4/statement-on-uk-asylum-bill.html.</w:t>
      </w:r>
    </w:p>
  </w:footnote>
  <w:footnote w:id="6">
    <w:p w14:paraId="4FD08B2B" w14:textId="77777777" w:rsidR="0084608F" w:rsidRPr="00BA00BA" w:rsidRDefault="0084608F" w:rsidP="00BA00BA">
      <w:pPr>
        <w:pStyle w:val="FootnoteText"/>
        <w:spacing w:line="240" w:lineRule="auto"/>
        <w:rPr>
          <w:sz w:val="16"/>
          <w:szCs w:val="16"/>
        </w:rPr>
      </w:pPr>
      <w:r w:rsidRPr="00BA00BA">
        <w:rPr>
          <w:rStyle w:val="FootnoteReference"/>
          <w:color w:val="77328A"/>
          <w:sz w:val="16"/>
          <w:szCs w:val="16"/>
        </w:rPr>
        <w:footnoteRef/>
      </w:r>
      <w:r w:rsidRPr="00BA00BA">
        <w:rPr>
          <w:color w:val="77328A"/>
          <w:sz w:val="16"/>
          <w:szCs w:val="16"/>
        </w:rPr>
        <w:t xml:space="preserve"> Ibid.</w:t>
      </w:r>
    </w:p>
  </w:footnote>
  <w:footnote w:id="7">
    <w:p w14:paraId="25414604" w14:textId="5A7902EC" w:rsidR="00B83EFF" w:rsidRPr="00BA00BA" w:rsidRDefault="00B83EFF" w:rsidP="00BA00BA">
      <w:pPr>
        <w:pStyle w:val="FootnoteText"/>
        <w:spacing w:line="240" w:lineRule="auto"/>
        <w:rPr>
          <w:sz w:val="16"/>
          <w:szCs w:val="16"/>
        </w:rPr>
      </w:pPr>
      <w:r w:rsidRPr="00BA00BA">
        <w:rPr>
          <w:rStyle w:val="FootnoteReference"/>
          <w:color w:val="77328A"/>
          <w:sz w:val="16"/>
          <w:szCs w:val="16"/>
        </w:rPr>
        <w:footnoteRef/>
      </w:r>
      <w:r w:rsidRPr="00BA00BA">
        <w:rPr>
          <w:color w:val="77328A"/>
          <w:sz w:val="16"/>
          <w:szCs w:val="16"/>
        </w:rPr>
        <w:t xml:space="preserve"> </w:t>
      </w:r>
      <w:r w:rsidR="00DB0615" w:rsidRPr="00BA00BA">
        <w:rPr>
          <w:color w:val="77328A"/>
          <w:sz w:val="16"/>
          <w:szCs w:val="16"/>
        </w:rPr>
        <w:t>Parliamentary Assembly</w:t>
      </w:r>
      <w:r w:rsidR="00490FF0" w:rsidRPr="00BA00BA">
        <w:rPr>
          <w:color w:val="77328A"/>
          <w:sz w:val="16"/>
          <w:szCs w:val="16"/>
        </w:rPr>
        <w:t xml:space="preserve"> ‘Resolution </w:t>
      </w:r>
      <w:r w:rsidR="00FA1FB0" w:rsidRPr="00BA00BA">
        <w:rPr>
          <w:color w:val="77328A"/>
          <w:sz w:val="16"/>
          <w:szCs w:val="16"/>
        </w:rPr>
        <w:t>1509 (2006) Human rights of irregular migrants’</w:t>
      </w:r>
      <w:r w:rsidR="00EF735C" w:rsidRPr="00BA00BA">
        <w:rPr>
          <w:color w:val="77328A"/>
          <w:sz w:val="16"/>
          <w:szCs w:val="16"/>
        </w:rPr>
        <w:t>, 27 June 2006</w:t>
      </w:r>
      <w:r w:rsidR="00200BC5" w:rsidRPr="00BA00BA">
        <w:rPr>
          <w:color w:val="77328A"/>
          <w:sz w:val="16"/>
          <w:szCs w:val="16"/>
        </w:rPr>
        <w:t>.</w:t>
      </w:r>
    </w:p>
  </w:footnote>
  <w:footnote w:id="8">
    <w:p w14:paraId="0E77D7A7" w14:textId="77777777" w:rsidR="0084608F" w:rsidRPr="00BA00BA" w:rsidRDefault="0084608F" w:rsidP="00BA00BA">
      <w:pPr>
        <w:pStyle w:val="FootnoteText"/>
        <w:spacing w:line="240" w:lineRule="auto"/>
        <w:rPr>
          <w:sz w:val="16"/>
          <w:szCs w:val="16"/>
        </w:rPr>
      </w:pPr>
      <w:r w:rsidRPr="00BA00BA">
        <w:rPr>
          <w:rStyle w:val="FootnoteReference"/>
          <w:color w:val="77328A"/>
          <w:sz w:val="16"/>
          <w:szCs w:val="16"/>
        </w:rPr>
        <w:footnoteRef/>
      </w:r>
      <w:r w:rsidRPr="00BA00BA">
        <w:rPr>
          <w:color w:val="77328A"/>
          <w:sz w:val="16"/>
          <w:szCs w:val="16"/>
        </w:rPr>
        <w:t xml:space="preserve"> See: Nationality and Borders Act 2022; Home Office, ‘Memorandum of Understanding (MoU) between the Government of the United Kingdom of Great Britain and Northern Ireland and the Government of the Republic of Rwanda for the provision of an asylum partnership arrangement’, (Gov.UK, 2022); Home Office, ‘New Plan for Immigration’, (Gov.UK, 2022).</w:t>
      </w:r>
    </w:p>
  </w:footnote>
  <w:footnote w:id="9">
    <w:p w14:paraId="4B6C8E56" w14:textId="77777777" w:rsidR="00C8634D" w:rsidRPr="00BA00BA" w:rsidRDefault="00C8634D" w:rsidP="00BA00BA">
      <w:pPr>
        <w:pStyle w:val="FootnoteText"/>
        <w:spacing w:line="240" w:lineRule="auto"/>
        <w:rPr>
          <w:sz w:val="16"/>
          <w:szCs w:val="16"/>
        </w:rPr>
      </w:pPr>
      <w:r w:rsidRPr="00BA00BA">
        <w:rPr>
          <w:rStyle w:val="FootnoteReference"/>
          <w:color w:val="77328A"/>
          <w:sz w:val="16"/>
          <w:szCs w:val="16"/>
        </w:rPr>
        <w:footnoteRef/>
      </w:r>
      <w:r w:rsidRPr="00BA00BA">
        <w:rPr>
          <w:color w:val="77328A"/>
          <w:sz w:val="16"/>
          <w:szCs w:val="16"/>
        </w:rPr>
        <w:t xml:space="preserve"> </w:t>
      </w:r>
      <w:r w:rsidRPr="00BA00BA">
        <w:rPr>
          <w:rFonts w:cs="Open Sans"/>
          <w:i/>
          <w:iCs/>
          <w:color w:val="77328A"/>
          <w:sz w:val="16"/>
          <w:szCs w:val="16"/>
          <w:shd w:val="clear" w:color="auto" w:fill="FFFFFF"/>
        </w:rPr>
        <w:t>Soering v UK</w:t>
      </w:r>
      <w:r w:rsidRPr="00BA00BA">
        <w:rPr>
          <w:rFonts w:cs="Open Sans"/>
          <w:color w:val="77328A"/>
          <w:sz w:val="16"/>
          <w:szCs w:val="16"/>
          <w:shd w:val="clear" w:color="auto" w:fill="FFFFFF"/>
        </w:rPr>
        <w:t xml:space="preserve"> (1989) ECHR 17; </w:t>
      </w:r>
      <w:r w:rsidRPr="00BA00BA">
        <w:rPr>
          <w:i/>
          <w:iCs/>
          <w:color w:val="77328A"/>
          <w:sz w:val="16"/>
          <w:szCs w:val="16"/>
        </w:rPr>
        <w:t xml:space="preserve">Al </w:t>
      </w:r>
      <w:r w:rsidRPr="00BA00BA">
        <w:rPr>
          <w:i/>
          <w:iCs/>
          <w:color w:val="77328A"/>
          <w:sz w:val="16"/>
          <w:szCs w:val="16"/>
        </w:rPr>
        <w:t>Saadoon and Mufdhi v UK</w:t>
      </w:r>
      <w:r w:rsidRPr="00BA00BA">
        <w:rPr>
          <w:color w:val="77328A"/>
          <w:sz w:val="16"/>
          <w:szCs w:val="16"/>
        </w:rPr>
        <w:t xml:space="preserve"> (2010) ECHR 279; </w:t>
      </w:r>
      <w:r w:rsidRPr="00BA00BA">
        <w:rPr>
          <w:i/>
          <w:iCs/>
          <w:color w:val="77328A"/>
          <w:sz w:val="16"/>
          <w:szCs w:val="16"/>
        </w:rPr>
        <w:t>Othman (Abu Qatada) v UK</w:t>
      </w:r>
      <w:r w:rsidRPr="00BA00BA">
        <w:rPr>
          <w:color w:val="77328A"/>
          <w:sz w:val="16"/>
          <w:szCs w:val="16"/>
        </w:rPr>
        <w:t xml:space="preserve"> (2012) ECHR 817.</w:t>
      </w:r>
    </w:p>
  </w:footnote>
  <w:footnote w:id="10">
    <w:p w14:paraId="1E9D4A51" w14:textId="77777777" w:rsidR="00C13CCF" w:rsidRPr="00BA00BA" w:rsidRDefault="00C13CCF" w:rsidP="00BA00BA">
      <w:pPr>
        <w:spacing w:line="240" w:lineRule="auto"/>
        <w:rPr>
          <w:color w:val="77328A"/>
          <w:sz w:val="16"/>
          <w:szCs w:val="16"/>
        </w:rPr>
      </w:pPr>
      <w:r w:rsidRPr="00BA00BA">
        <w:rPr>
          <w:rStyle w:val="FootnoteReference"/>
          <w:rFonts w:cs="Arial"/>
          <w:color w:val="77328A"/>
          <w:sz w:val="16"/>
          <w:szCs w:val="16"/>
        </w:rPr>
        <w:footnoteRef/>
      </w:r>
      <w:r w:rsidRPr="00BA00BA">
        <w:rPr>
          <w:color w:val="77328A"/>
          <w:sz w:val="16"/>
          <w:szCs w:val="16"/>
        </w:rPr>
        <w:t xml:space="preserve"> UN Refugee Agency, ‘Press Release: UN Refugee Agency opposes plan to export asylum’, 14 April 2022; UN Refugee Agency, ‘UNCHR Analysis of the Legality and Appropriateness of the Transfer of Asylum-Seekers Under the UK-Rwanda Arrangement’ (UNCHR, 2022).</w:t>
      </w:r>
    </w:p>
  </w:footnote>
  <w:footnote w:id="11">
    <w:p w14:paraId="1338CD6F" w14:textId="77777777" w:rsidR="00467F4A" w:rsidRPr="00BA00BA" w:rsidRDefault="00467F4A" w:rsidP="00BA00BA">
      <w:pPr>
        <w:pStyle w:val="FootnoteText"/>
        <w:spacing w:line="240" w:lineRule="auto"/>
        <w:rPr>
          <w:sz w:val="16"/>
          <w:szCs w:val="16"/>
        </w:rPr>
      </w:pPr>
      <w:r w:rsidRPr="00BA00BA">
        <w:rPr>
          <w:rStyle w:val="FootnoteReference"/>
          <w:color w:val="77328A"/>
          <w:sz w:val="16"/>
          <w:szCs w:val="16"/>
        </w:rPr>
        <w:footnoteRef/>
      </w:r>
      <w:r w:rsidRPr="00BA00BA">
        <w:rPr>
          <w:color w:val="77328A"/>
          <w:sz w:val="16"/>
          <w:szCs w:val="16"/>
        </w:rPr>
        <w:t xml:space="preserve"> Ibid.</w:t>
      </w:r>
    </w:p>
  </w:footnote>
  <w:footnote w:id="12">
    <w:p w14:paraId="572D1CE4" w14:textId="77777777" w:rsidR="008F1C04" w:rsidRPr="00BA00BA" w:rsidRDefault="008F1C04" w:rsidP="00BA00BA">
      <w:pPr>
        <w:pStyle w:val="FootnoteText"/>
        <w:spacing w:line="240" w:lineRule="auto"/>
        <w:rPr>
          <w:rFonts w:cstheme="minorHAnsi"/>
          <w:color w:val="77328A"/>
          <w:sz w:val="16"/>
          <w:szCs w:val="16"/>
        </w:rPr>
      </w:pPr>
      <w:r w:rsidRPr="00BA00BA">
        <w:rPr>
          <w:rStyle w:val="FootnoteReference"/>
          <w:rFonts w:cstheme="minorHAnsi"/>
          <w:color w:val="77328A"/>
          <w:sz w:val="16"/>
          <w:szCs w:val="16"/>
        </w:rPr>
        <w:footnoteRef/>
      </w:r>
      <w:r w:rsidRPr="00BA00BA">
        <w:rPr>
          <w:rFonts w:cstheme="minorHAnsi"/>
          <w:color w:val="77328A"/>
          <w:sz w:val="16"/>
          <w:szCs w:val="16"/>
        </w:rPr>
        <w:t xml:space="preserve"> The UK Government has also recognised that the rights, </w:t>
      </w:r>
      <w:r w:rsidRPr="00BA00BA">
        <w:rPr>
          <w:rFonts w:cstheme="minorHAnsi"/>
          <w:color w:val="77328A"/>
          <w:sz w:val="16"/>
          <w:szCs w:val="16"/>
        </w:rPr>
        <w:t>safeguard and equality of opportunity protections in the Belfast (Good Friday) Agreement are not limited to the “affirmed in particular” rights. See paragraph 9 of the NI Office, ‘</w:t>
      </w:r>
      <w:hyperlink r:id="rId1" w:history="1">
        <w:r w:rsidRPr="00BA00BA">
          <w:rPr>
            <w:rStyle w:val="Hyperlink"/>
            <w:rFonts w:cstheme="minorHAnsi"/>
            <w:color w:val="77328A"/>
            <w:sz w:val="16"/>
            <w:szCs w:val="16"/>
          </w:rPr>
          <w:t>UK Government Commitment</w:t>
        </w:r>
      </w:hyperlink>
      <w:r w:rsidRPr="00BA00BA">
        <w:rPr>
          <w:rFonts w:cstheme="minorHAnsi"/>
          <w:color w:val="77328A"/>
          <w:sz w:val="16"/>
          <w:szCs w:val="16"/>
        </w:rPr>
        <w:t xml:space="preserve"> to “No Diminution of Rights, Safeguards and Equality of Opportunity” in Northern Ireland: What does it Mean and How will it be Implemented?’ (NIO, 2020).</w:t>
      </w:r>
    </w:p>
  </w:footnote>
  <w:footnote w:id="13">
    <w:p w14:paraId="093A1C94" w14:textId="77777777" w:rsidR="006B4EAF" w:rsidRPr="00BA00BA" w:rsidRDefault="006B4EAF" w:rsidP="00BA00BA">
      <w:pPr>
        <w:pStyle w:val="FootnoteText"/>
        <w:spacing w:line="240" w:lineRule="auto"/>
        <w:rPr>
          <w:color w:val="77328A"/>
          <w:sz w:val="16"/>
          <w:szCs w:val="16"/>
        </w:rPr>
      </w:pPr>
      <w:r w:rsidRPr="00BA00BA">
        <w:rPr>
          <w:rStyle w:val="FootnoteReference"/>
          <w:color w:val="77328A"/>
          <w:sz w:val="16"/>
          <w:szCs w:val="16"/>
        </w:rPr>
        <w:footnoteRef/>
      </w:r>
      <w:r w:rsidRPr="00BA00BA">
        <w:rPr>
          <w:color w:val="77328A"/>
          <w:sz w:val="16"/>
          <w:szCs w:val="16"/>
        </w:rPr>
        <w:t xml:space="preserve"> </w:t>
      </w:r>
      <w:r w:rsidRPr="00BA00BA">
        <w:rPr>
          <w:rFonts w:cstheme="minorHAnsi"/>
          <w:color w:val="77328A"/>
          <w:sz w:val="16"/>
          <w:szCs w:val="16"/>
        </w:rPr>
        <w:t>NI Office, ‘</w:t>
      </w:r>
      <w:hyperlink r:id="rId2" w:history="1">
        <w:r w:rsidRPr="00BA00BA">
          <w:rPr>
            <w:rStyle w:val="Hyperlink"/>
            <w:rFonts w:cstheme="minorHAnsi"/>
            <w:color w:val="77328A"/>
            <w:sz w:val="16"/>
            <w:szCs w:val="16"/>
          </w:rPr>
          <w:t>UK Government Commitment</w:t>
        </w:r>
      </w:hyperlink>
      <w:r w:rsidRPr="00BA00BA">
        <w:rPr>
          <w:rFonts w:cstheme="minorHAnsi"/>
          <w:color w:val="77328A"/>
          <w:sz w:val="16"/>
          <w:szCs w:val="16"/>
        </w:rPr>
        <w:t xml:space="preserve"> to “No Diminution of Rights, Safeguards and Equality of Opportunity” in Northern Ireland: What does it Mean and How will it be Implemented?’ (NIO, 2020), at para 8.</w:t>
      </w:r>
    </w:p>
  </w:footnote>
  <w:footnote w:id="14">
    <w:p w14:paraId="481E0BF1" w14:textId="4F0A1CC5" w:rsidR="00E2267B" w:rsidRPr="00BA00BA" w:rsidRDefault="00E2267B" w:rsidP="00BA00BA">
      <w:pPr>
        <w:pStyle w:val="FootnoteText"/>
        <w:spacing w:line="240" w:lineRule="auto"/>
        <w:rPr>
          <w:color w:val="77328A"/>
          <w:sz w:val="16"/>
          <w:szCs w:val="16"/>
        </w:rPr>
      </w:pPr>
      <w:r w:rsidRPr="00BA00BA">
        <w:rPr>
          <w:rStyle w:val="FootnoteReference"/>
          <w:color w:val="77328A"/>
          <w:sz w:val="16"/>
          <w:szCs w:val="16"/>
        </w:rPr>
        <w:footnoteRef/>
      </w:r>
      <w:r w:rsidRPr="00BA00BA">
        <w:rPr>
          <w:color w:val="77328A"/>
          <w:sz w:val="16"/>
          <w:szCs w:val="16"/>
        </w:rPr>
        <w:t xml:space="preserve"> </w:t>
      </w:r>
      <w:r w:rsidR="000C4C0E" w:rsidRPr="00BA00BA">
        <w:rPr>
          <w:i/>
          <w:color w:val="77328A"/>
          <w:sz w:val="16"/>
          <w:szCs w:val="16"/>
        </w:rPr>
        <w:t xml:space="preserve">In the matter of an application by Aman </w:t>
      </w:r>
      <w:r w:rsidR="000C4C0E" w:rsidRPr="00BA00BA">
        <w:rPr>
          <w:i/>
          <w:color w:val="77328A"/>
          <w:sz w:val="16"/>
          <w:szCs w:val="16"/>
        </w:rPr>
        <w:t>Angesom for Judicial Review</w:t>
      </w:r>
      <w:r w:rsidR="000C4C0E" w:rsidRPr="00BA00BA">
        <w:rPr>
          <w:color w:val="77328A"/>
          <w:sz w:val="16"/>
          <w:szCs w:val="16"/>
        </w:rPr>
        <w:t xml:space="preserve"> </w:t>
      </w:r>
      <w:r w:rsidR="00810D96" w:rsidRPr="00BA00BA">
        <w:rPr>
          <w:color w:val="77328A"/>
          <w:sz w:val="16"/>
          <w:szCs w:val="16"/>
        </w:rPr>
        <w:t>(</w:t>
      </w:r>
      <w:r w:rsidR="0020081D" w:rsidRPr="00BA00BA">
        <w:rPr>
          <w:color w:val="77328A"/>
          <w:sz w:val="16"/>
          <w:szCs w:val="16"/>
        </w:rPr>
        <w:t>Case Ref</w:t>
      </w:r>
      <w:r w:rsidR="00F055AB" w:rsidRPr="00BA00BA">
        <w:rPr>
          <w:color w:val="77328A"/>
          <w:sz w:val="16"/>
          <w:szCs w:val="16"/>
        </w:rPr>
        <w:t>.</w:t>
      </w:r>
      <w:r w:rsidR="0020081D" w:rsidRPr="00BA00BA">
        <w:rPr>
          <w:color w:val="77328A"/>
          <w:sz w:val="16"/>
          <w:szCs w:val="16"/>
        </w:rPr>
        <w:t xml:space="preserve"> 22/006236)</w:t>
      </w:r>
    </w:p>
  </w:footnote>
  <w:footnote w:id="15">
    <w:p w14:paraId="2E682A34" w14:textId="77777777" w:rsidR="006B4EAF" w:rsidRPr="00BA00BA" w:rsidRDefault="006B4EAF" w:rsidP="00BA00BA">
      <w:pPr>
        <w:pStyle w:val="FootnoteText"/>
        <w:spacing w:line="240" w:lineRule="auto"/>
        <w:rPr>
          <w:rFonts w:cstheme="minorHAnsi"/>
          <w:color w:val="77328A"/>
          <w:sz w:val="16"/>
          <w:szCs w:val="16"/>
        </w:rPr>
      </w:pPr>
      <w:r w:rsidRPr="00BA00BA">
        <w:rPr>
          <w:rStyle w:val="FootnoteReference"/>
          <w:rFonts w:cstheme="minorHAnsi"/>
          <w:color w:val="77328A"/>
          <w:sz w:val="16"/>
          <w:szCs w:val="16"/>
        </w:rPr>
        <w:footnoteRef/>
      </w:r>
      <w:r w:rsidRPr="00BA00BA">
        <w:rPr>
          <w:rFonts w:cstheme="minorHAnsi"/>
          <w:color w:val="77328A"/>
          <w:sz w:val="16"/>
          <w:szCs w:val="16"/>
        </w:rPr>
        <w:t xml:space="preserve"> This relates to the scope of issues and EU law relevant to Article 2, rather than the question of whether Article 2 requires the UK to remain committed to the ECHR as considered in Social Change Initiative, ‘</w:t>
      </w:r>
      <w:hyperlink r:id="rId3" w:history="1">
        <w:r w:rsidRPr="00BA00BA">
          <w:rPr>
            <w:rStyle w:val="Hyperlink"/>
            <w:rFonts w:cstheme="minorHAnsi"/>
            <w:color w:val="77328A"/>
            <w:sz w:val="16"/>
            <w:szCs w:val="16"/>
          </w:rPr>
          <w:t>Human Rights and Equality in Northern Ireland under the Protocol – A Practical Guide</w:t>
        </w:r>
      </w:hyperlink>
      <w:r w:rsidRPr="00BA00BA">
        <w:rPr>
          <w:rFonts w:cstheme="minorHAnsi"/>
          <w:color w:val="77328A"/>
          <w:sz w:val="16"/>
          <w:szCs w:val="16"/>
        </w:rPr>
        <w:t>’ (SCI, 2021); Christopher McCrudden, ‘</w:t>
      </w:r>
      <w:hyperlink r:id="rId4" w:history="1">
        <w:r w:rsidRPr="00BA00BA">
          <w:rPr>
            <w:rStyle w:val="Hyperlink"/>
            <w:rFonts w:cstheme="minorHAnsi"/>
            <w:color w:val="77328A"/>
            <w:sz w:val="16"/>
            <w:szCs w:val="16"/>
          </w:rPr>
          <w:t>Parliamentary Scrutiny of the Joint Committee and the Application of the Northern Ireland Protocol – Evidence to the House of Commons European Scrutiny Committee</w:t>
        </w:r>
      </w:hyperlink>
      <w:r w:rsidRPr="00BA00BA">
        <w:rPr>
          <w:rFonts w:cstheme="minorHAnsi"/>
          <w:color w:val="77328A"/>
          <w:sz w:val="16"/>
          <w:szCs w:val="16"/>
        </w:rPr>
        <w:t>’ (ESC, 2020); and Sylvia De Mars, Aoife O’Donoghue, Colin Murray and Ben Warwick, ‘</w:t>
      </w:r>
      <w:hyperlink r:id="rId5" w:history="1">
        <w:r w:rsidRPr="00BA00BA">
          <w:rPr>
            <w:rStyle w:val="Hyperlink"/>
            <w:rFonts w:cstheme="minorHAnsi"/>
            <w:color w:val="77328A"/>
            <w:sz w:val="16"/>
            <w:szCs w:val="16"/>
          </w:rPr>
          <w:t>Commentary on the Protocol on Ireland/Northern Ireland</w:t>
        </w:r>
      </w:hyperlink>
      <w:r w:rsidRPr="00BA00BA">
        <w:rPr>
          <w:rFonts w:cstheme="minorHAnsi"/>
          <w:color w:val="77328A"/>
          <w:sz w:val="16"/>
          <w:szCs w:val="16"/>
        </w:rPr>
        <w:t xml:space="preserve"> in the Draft Withdrawal Agreement’ (2018).</w:t>
      </w:r>
    </w:p>
  </w:footnote>
  <w:footnote w:id="16">
    <w:p w14:paraId="6D27E142" w14:textId="77777777" w:rsidR="006B4EAF" w:rsidRPr="00BA00BA" w:rsidRDefault="006B4EAF" w:rsidP="00BA00BA">
      <w:pPr>
        <w:pStyle w:val="FootnoteText"/>
        <w:spacing w:line="240" w:lineRule="auto"/>
        <w:rPr>
          <w:rFonts w:cstheme="minorHAnsi"/>
          <w:color w:val="77328A"/>
          <w:sz w:val="16"/>
          <w:szCs w:val="16"/>
        </w:rPr>
      </w:pPr>
      <w:r w:rsidRPr="00BA00BA">
        <w:rPr>
          <w:rStyle w:val="FootnoteReference"/>
          <w:rFonts w:cstheme="minorHAnsi"/>
          <w:color w:val="77328A"/>
          <w:sz w:val="16"/>
          <w:szCs w:val="16"/>
        </w:rPr>
        <w:footnoteRef/>
      </w:r>
      <w:r w:rsidRPr="00BA00BA">
        <w:rPr>
          <w:rFonts w:cstheme="minorHAnsi"/>
          <w:color w:val="77328A"/>
          <w:sz w:val="16"/>
          <w:szCs w:val="16"/>
        </w:rPr>
        <w:t xml:space="preserve"> NI Office, ‘</w:t>
      </w:r>
      <w:hyperlink r:id="rId6" w:history="1">
        <w:r w:rsidRPr="00BA00BA">
          <w:rPr>
            <w:rStyle w:val="Hyperlink"/>
            <w:rFonts w:cstheme="minorHAnsi"/>
            <w:color w:val="77328A"/>
            <w:sz w:val="16"/>
            <w:szCs w:val="16"/>
          </w:rPr>
          <w:t>UK Government Commitment</w:t>
        </w:r>
      </w:hyperlink>
      <w:r w:rsidRPr="00BA00BA">
        <w:rPr>
          <w:rFonts w:cstheme="minorHAnsi"/>
          <w:color w:val="77328A"/>
          <w:sz w:val="16"/>
          <w:szCs w:val="16"/>
        </w:rPr>
        <w:t xml:space="preserve"> to “No Diminution of Rights, Safeguards and Equality of Opportunity” in Northern Ireland: What does it Mean and How will it be Implemented?’ (NIO, 2020), at para 3.</w:t>
      </w:r>
    </w:p>
  </w:footnote>
  <w:footnote w:id="17">
    <w:p w14:paraId="195C1D65" w14:textId="04E7EA0A" w:rsidR="00CE4E20" w:rsidRPr="00BA00BA" w:rsidRDefault="00CE4E20" w:rsidP="00BA00BA">
      <w:pPr>
        <w:spacing w:line="240" w:lineRule="auto"/>
        <w:rPr>
          <w:rFonts w:cs="Calibri"/>
          <w:color w:val="77328A"/>
          <w:sz w:val="16"/>
          <w:szCs w:val="16"/>
        </w:rPr>
      </w:pPr>
      <w:r w:rsidRPr="00BA00BA">
        <w:rPr>
          <w:rStyle w:val="FootnoteReference"/>
          <w:color w:val="77328A"/>
          <w:sz w:val="16"/>
          <w:szCs w:val="16"/>
        </w:rPr>
        <w:footnoteRef/>
      </w:r>
      <w:r w:rsidRPr="00BA00BA">
        <w:rPr>
          <w:color w:val="77328A"/>
          <w:sz w:val="16"/>
          <w:szCs w:val="16"/>
        </w:rPr>
        <w:t xml:space="preserve"> </w:t>
      </w:r>
      <w:r w:rsidR="002E0B93" w:rsidRPr="00BA00BA">
        <w:rPr>
          <w:rFonts w:cs="Calibri"/>
          <w:color w:val="77328A"/>
          <w:sz w:val="16"/>
          <w:szCs w:val="16"/>
        </w:rPr>
        <w:t>Directive 2003/9/EC</w:t>
      </w:r>
      <w:r w:rsidR="007E7EA3" w:rsidRPr="00BA00BA">
        <w:rPr>
          <w:rStyle w:val="Hyperlink"/>
          <w:rFonts w:cs="Calibri"/>
          <w:color w:val="77328A"/>
          <w:sz w:val="16"/>
          <w:szCs w:val="16"/>
          <w:u w:val="none"/>
        </w:rPr>
        <w:t>, ‘Council Directive</w:t>
      </w:r>
      <w:r w:rsidRPr="00BA00BA">
        <w:rPr>
          <w:rFonts w:cs="Calibri"/>
          <w:color w:val="77328A"/>
          <w:sz w:val="16"/>
          <w:szCs w:val="16"/>
        </w:rPr>
        <w:t xml:space="preserve"> laying down minimum standards for the reception of asylum seekers</w:t>
      </w:r>
      <w:r w:rsidR="007E7EA3" w:rsidRPr="00BA00BA">
        <w:rPr>
          <w:rFonts w:cs="Calibri"/>
          <w:color w:val="77328A"/>
          <w:sz w:val="16"/>
          <w:szCs w:val="16"/>
        </w:rPr>
        <w:t>’, 27 January 2003.</w:t>
      </w:r>
    </w:p>
  </w:footnote>
  <w:footnote w:id="18">
    <w:p w14:paraId="7DE065AF" w14:textId="500A2992" w:rsidR="00CE4E20" w:rsidRPr="00BA00BA" w:rsidRDefault="00CE4E20" w:rsidP="00BA00BA">
      <w:pPr>
        <w:spacing w:line="240" w:lineRule="auto"/>
        <w:rPr>
          <w:rFonts w:cs="Calibri"/>
          <w:color w:val="77328A"/>
          <w:sz w:val="16"/>
          <w:szCs w:val="16"/>
        </w:rPr>
      </w:pPr>
      <w:r w:rsidRPr="00BA00BA">
        <w:rPr>
          <w:rStyle w:val="FootnoteReference"/>
          <w:color w:val="77328A"/>
          <w:sz w:val="16"/>
          <w:szCs w:val="16"/>
        </w:rPr>
        <w:footnoteRef/>
      </w:r>
      <w:r w:rsidRPr="00BA00BA">
        <w:rPr>
          <w:color w:val="77328A"/>
          <w:sz w:val="16"/>
          <w:szCs w:val="16"/>
        </w:rPr>
        <w:t xml:space="preserve"> </w:t>
      </w:r>
      <w:r w:rsidR="002E0B93" w:rsidRPr="00BA00BA">
        <w:rPr>
          <w:rFonts w:cs="Calibri"/>
          <w:color w:val="77328A"/>
          <w:sz w:val="16"/>
          <w:szCs w:val="16"/>
        </w:rPr>
        <w:t>Directive 2005/85/EC</w:t>
      </w:r>
      <w:r w:rsidR="007E7EA3" w:rsidRPr="00BA00BA">
        <w:rPr>
          <w:rStyle w:val="Hyperlink"/>
          <w:rFonts w:cs="Calibri"/>
          <w:color w:val="77328A"/>
          <w:sz w:val="16"/>
          <w:szCs w:val="16"/>
          <w:u w:val="none"/>
        </w:rPr>
        <w:t>, ‘Council</w:t>
      </w:r>
      <w:r w:rsidRPr="00BA00BA">
        <w:rPr>
          <w:rFonts w:cs="Calibri"/>
          <w:color w:val="77328A"/>
          <w:sz w:val="16"/>
          <w:szCs w:val="16"/>
        </w:rPr>
        <w:t xml:space="preserve"> </w:t>
      </w:r>
      <w:r w:rsidR="007E7EA3" w:rsidRPr="00BA00BA">
        <w:rPr>
          <w:rFonts w:cs="Calibri"/>
          <w:color w:val="77328A"/>
          <w:sz w:val="16"/>
          <w:szCs w:val="16"/>
        </w:rPr>
        <w:t xml:space="preserve">Directive </w:t>
      </w:r>
      <w:r w:rsidRPr="00BA00BA">
        <w:rPr>
          <w:rFonts w:cs="Calibri"/>
          <w:color w:val="77328A"/>
          <w:sz w:val="16"/>
          <w:szCs w:val="16"/>
        </w:rPr>
        <w:t>on minimum standards on procedures in Member States for granting and withdrawing refugee status</w:t>
      </w:r>
      <w:r w:rsidR="007E7EA3" w:rsidRPr="00BA00BA">
        <w:rPr>
          <w:rFonts w:cs="Calibri"/>
          <w:color w:val="77328A"/>
          <w:sz w:val="16"/>
          <w:szCs w:val="16"/>
        </w:rPr>
        <w:t>’, of 1 December 2005.</w:t>
      </w:r>
    </w:p>
  </w:footnote>
  <w:footnote w:id="19">
    <w:p w14:paraId="24A9DB0B" w14:textId="30E998C3" w:rsidR="00CE4E20" w:rsidRPr="00C73F83" w:rsidRDefault="00CE4E20" w:rsidP="00BA00BA">
      <w:pPr>
        <w:spacing w:line="240" w:lineRule="auto"/>
        <w:rPr>
          <w:rFonts w:cs="Calibri"/>
          <w:color w:val="77328A"/>
          <w:sz w:val="16"/>
          <w:szCs w:val="16"/>
        </w:rPr>
      </w:pPr>
      <w:r w:rsidRPr="00BA00BA">
        <w:rPr>
          <w:rStyle w:val="FootnoteReference"/>
          <w:color w:val="77328A"/>
          <w:sz w:val="16"/>
          <w:szCs w:val="16"/>
        </w:rPr>
        <w:footnoteRef/>
      </w:r>
      <w:r w:rsidRPr="00BA00BA">
        <w:rPr>
          <w:color w:val="77328A"/>
          <w:sz w:val="16"/>
          <w:szCs w:val="16"/>
        </w:rPr>
        <w:t xml:space="preserve"> </w:t>
      </w:r>
      <w:r w:rsidR="002E0B93" w:rsidRPr="00BA00BA">
        <w:rPr>
          <w:rFonts w:cs="Calibri"/>
          <w:color w:val="77328A"/>
          <w:sz w:val="16"/>
          <w:szCs w:val="16"/>
        </w:rPr>
        <w:t>Directive 2004/83/EC</w:t>
      </w:r>
      <w:r w:rsidRPr="00BA00BA">
        <w:rPr>
          <w:rFonts w:cs="Calibri"/>
          <w:color w:val="77328A"/>
          <w:sz w:val="16"/>
          <w:szCs w:val="16"/>
        </w:rPr>
        <w:t xml:space="preserve"> </w:t>
      </w:r>
      <w:r w:rsidR="007E7EA3" w:rsidRPr="00BA00BA">
        <w:rPr>
          <w:rFonts w:cs="Calibri"/>
          <w:color w:val="77328A"/>
          <w:sz w:val="16"/>
          <w:szCs w:val="16"/>
        </w:rPr>
        <w:t xml:space="preserve">‘Council Directive </w:t>
      </w:r>
      <w:r w:rsidRPr="00BA00BA">
        <w:rPr>
          <w:rFonts w:cs="Calibri"/>
          <w:color w:val="77328A"/>
          <w:sz w:val="16"/>
          <w:szCs w:val="16"/>
        </w:rPr>
        <w:t xml:space="preserve">on minimum standards for the qualification and status of third country nationals or stateless persons as refugees or as persons who otherwise need international protection and </w:t>
      </w:r>
      <w:r w:rsidRPr="00C73F83">
        <w:rPr>
          <w:rFonts w:cs="Calibri"/>
          <w:color w:val="77328A"/>
          <w:sz w:val="16"/>
          <w:szCs w:val="16"/>
        </w:rPr>
        <w:t>the content of the protection granted</w:t>
      </w:r>
      <w:r w:rsidR="007E7EA3" w:rsidRPr="00C73F83">
        <w:rPr>
          <w:rFonts w:cs="Calibri"/>
          <w:color w:val="77328A"/>
          <w:sz w:val="16"/>
          <w:szCs w:val="16"/>
        </w:rPr>
        <w:t>’ 29 April 2004.</w:t>
      </w:r>
    </w:p>
  </w:footnote>
  <w:footnote w:id="20">
    <w:p w14:paraId="69B32346" w14:textId="0F82D622" w:rsidR="003A6BB5" w:rsidRPr="00BA00BA" w:rsidRDefault="003A6BB5" w:rsidP="00BA00BA">
      <w:pPr>
        <w:spacing w:line="240" w:lineRule="auto"/>
        <w:rPr>
          <w:color w:val="77328A"/>
          <w:sz w:val="16"/>
          <w:szCs w:val="16"/>
        </w:rPr>
      </w:pPr>
      <w:r w:rsidRPr="00C73F83">
        <w:rPr>
          <w:rStyle w:val="FootnoteReference"/>
          <w:color w:val="77328A"/>
          <w:sz w:val="16"/>
          <w:szCs w:val="16"/>
        </w:rPr>
        <w:footnoteRef/>
      </w:r>
      <w:r w:rsidRPr="00C73F83">
        <w:rPr>
          <w:color w:val="77328A"/>
          <w:sz w:val="16"/>
          <w:szCs w:val="16"/>
        </w:rPr>
        <w:t xml:space="preserve"> </w:t>
      </w:r>
      <w:r w:rsidR="0085452E" w:rsidRPr="00C73F83">
        <w:rPr>
          <w:color w:val="77328A"/>
          <w:sz w:val="16"/>
          <w:szCs w:val="16"/>
        </w:rPr>
        <w:t>Regulation 2013/604/EU, ‘Regulation</w:t>
      </w:r>
      <w:r w:rsidR="00871B21" w:rsidRPr="00C73F83">
        <w:rPr>
          <w:color w:val="77328A"/>
          <w:sz w:val="16"/>
          <w:szCs w:val="16"/>
        </w:rPr>
        <w:t xml:space="preserve"> of the European Parliament and of the Council establishing the criteria and mechanisms for determining the Member State responsible for </w:t>
      </w:r>
      <w:r w:rsidR="00871B21" w:rsidRPr="00BA00BA">
        <w:rPr>
          <w:color w:val="77328A"/>
          <w:sz w:val="16"/>
          <w:szCs w:val="16"/>
        </w:rPr>
        <w:t>examining an application for international protection lodged in one of the Member States by a third-country national or a stateless person</w:t>
      </w:r>
      <w:r w:rsidR="0085452E" w:rsidRPr="00BA00BA">
        <w:rPr>
          <w:color w:val="77328A"/>
          <w:sz w:val="16"/>
          <w:szCs w:val="16"/>
        </w:rPr>
        <w:t>’, 26 June 2013</w:t>
      </w:r>
    </w:p>
  </w:footnote>
  <w:footnote w:id="21">
    <w:p w14:paraId="3CE3B73B" w14:textId="7B6DF7D5" w:rsidR="00023D04" w:rsidRPr="00BA00BA" w:rsidRDefault="00023D04" w:rsidP="00BA00BA">
      <w:pPr>
        <w:spacing w:line="240" w:lineRule="auto"/>
        <w:rPr>
          <w:rFonts w:cs="Calibri"/>
          <w:color w:val="77328A"/>
          <w:sz w:val="16"/>
          <w:szCs w:val="16"/>
        </w:rPr>
      </w:pPr>
      <w:r w:rsidRPr="00BA00BA">
        <w:rPr>
          <w:rStyle w:val="FootnoteReference"/>
          <w:color w:val="77328A"/>
          <w:sz w:val="16"/>
          <w:szCs w:val="16"/>
        </w:rPr>
        <w:footnoteRef/>
      </w:r>
      <w:r w:rsidRPr="00BA00BA">
        <w:rPr>
          <w:color w:val="77328A"/>
          <w:sz w:val="16"/>
          <w:szCs w:val="16"/>
        </w:rPr>
        <w:t xml:space="preserve"> Article 18 and 3</w:t>
      </w:r>
      <w:r w:rsidR="00571B2E" w:rsidRPr="00BA00BA">
        <w:rPr>
          <w:color w:val="77328A"/>
          <w:sz w:val="16"/>
          <w:szCs w:val="16"/>
        </w:rPr>
        <w:t xml:space="preserve">9, </w:t>
      </w:r>
      <w:r w:rsidRPr="00BA00BA">
        <w:rPr>
          <w:rFonts w:cs="Calibri"/>
          <w:color w:val="77328A"/>
          <w:sz w:val="16"/>
          <w:szCs w:val="16"/>
        </w:rPr>
        <w:t>Directive 2005/85/EC</w:t>
      </w:r>
      <w:r w:rsidRPr="00BA00BA">
        <w:rPr>
          <w:rStyle w:val="Hyperlink"/>
          <w:rFonts w:cs="Calibri"/>
          <w:color w:val="77328A"/>
          <w:sz w:val="16"/>
          <w:szCs w:val="16"/>
          <w:u w:val="none"/>
        </w:rPr>
        <w:t>, ‘Council</w:t>
      </w:r>
      <w:r w:rsidRPr="00BA00BA">
        <w:rPr>
          <w:rFonts w:cs="Calibri"/>
          <w:color w:val="77328A"/>
          <w:sz w:val="16"/>
          <w:szCs w:val="16"/>
        </w:rPr>
        <w:t xml:space="preserve"> Directive on minimum standards on procedures in Member States for granting and withdrawing refugee status’, of 1 December 2005.</w:t>
      </w:r>
    </w:p>
  </w:footnote>
  <w:footnote w:id="22">
    <w:p w14:paraId="0C78AE23" w14:textId="1A384178" w:rsidR="00E83E31" w:rsidRPr="00BA00BA" w:rsidRDefault="00E83E31" w:rsidP="00BA00BA">
      <w:pPr>
        <w:pStyle w:val="NIHRCFootnotes"/>
      </w:pPr>
      <w:r w:rsidRPr="00BA00BA">
        <w:rPr>
          <w:rStyle w:val="FootnoteReference"/>
        </w:rPr>
        <w:footnoteRef/>
      </w:r>
      <w:r w:rsidRPr="00BA00BA">
        <w:t xml:space="preserve"> </w:t>
      </w:r>
      <w:r w:rsidR="007E7EA3" w:rsidRPr="00BA00BA">
        <w:t xml:space="preserve">Directive 2012/29/EU, ‘Directive of the European Parliament and of the Council establishing minimum standards on the rights, support and protection of victims of crime’, 25 October 2012; </w:t>
      </w:r>
      <w:r w:rsidRPr="00BA00BA">
        <w:t>Directive 2011/36/EU, ‘EU Council Directive on preventing and combating trafficking in human beings and protecting its victims’, 5 April 2011.</w:t>
      </w:r>
    </w:p>
  </w:footnote>
  <w:footnote w:id="23">
    <w:p w14:paraId="23450133" w14:textId="77777777" w:rsidR="00CE4E20" w:rsidRPr="00BA00BA" w:rsidRDefault="00CE4E20" w:rsidP="00BA00BA">
      <w:pPr>
        <w:pStyle w:val="FootnoteText"/>
        <w:spacing w:line="240" w:lineRule="auto"/>
        <w:rPr>
          <w:color w:val="77328A"/>
          <w:sz w:val="16"/>
          <w:szCs w:val="16"/>
        </w:rPr>
      </w:pPr>
      <w:r w:rsidRPr="00BA00BA">
        <w:rPr>
          <w:rStyle w:val="FootnoteReference"/>
          <w:color w:val="77328A"/>
          <w:sz w:val="16"/>
          <w:szCs w:val="16"/>
        </w:rPr>
        <w:footnoteRef/>
      </w:r>
      <w:r w:rsidRPr="00BA00BA">
        <w:rPr>
          <w:color w:val="77328A"/>
          <w:sz w:val="16"/>
          <w:szCs w:val="16"/>
        </w:rPr>
        <w:t xml:space="preserve"> NIHRC and ECNI ‘</w:t>
      </w:r>
      <w:hyperlink r:id="rId7" w:history="1">
        <w:r w:rsidRPr="00BA00BA">
          <w:rPr>
            <w:rStyle w:val="Hyperlink"/>
            <w:color w:val="77328A"/>
            <w:sz w:val="16"/>
            <w:szCs w:val="16"/>
          </w:rPr>
          <w:t>Table of EU Directives which underpin the Rights, Safeguards and Equality of Opportunity provisions included in the Belfast (Good Friday) Agreement chapter of the same name and implementing Domestic Legislation</w:t>
        </w:r>
      </w:hyperlink>
      <w:r w:rsidRPr="00BA00BA">
        <w:rPr>
          <w:color w:val="77328A"/>
          <w:sz w:val="16"/>
          <w:szCs w:val="16"/>
        </w:rPr>
        <w:t>’ (NIHRC and ECNI, 2022)</w:t>
      </w:r>
    </w:p>
  </w:footnote>
  <w:footnote w:id="24">
    <w:p w14:paraId="2561E851" w14:textId="7FDB48B1" w:rsidR="00DF60A7" w:rsidRPr="00BA00BA" w:rsidRDefault="00DF60A7" w:rsidP="00BA00BA">
      <w:pPr>
        <w:pStyle w:val="FootnoteText"/>
        <w:spacing w:line="240" w:lineRule="auto"/>
        <w:rPr>
          <w:color w:val="77328A"/>
          <w:sz w:val="16"/>
          <w:szCs w:val="16"/>
        </w:rPr>
      </w:pPr>
      <w:r w:rsidRPr="00BA00BA">
        <w:rPr>
          <w:rStyle w:val="FootnoteReference"/>
          <w:color w:val="77328A"/>
          <w:sz w:val="16"/>
          <w:szCs w:val="16"/>
        </w:rPr>
        <w:footnoteRef/>
      </w:r>
      <w:r w:rsidRPr="00BA00BA">
        <w:rPr>
          <w:color w:val="77328A"/>
          <w:sz w:val="16"/>
          <w:szCs w:val="16"/>
        </w:rPr>
        <w:t xml:space="preserve"> NI Human Rights Commission, ‘Response to Public Consultation on the Home Office’s New Plan for Immigration’, (NIHRC, 2021)</w:t>
      </w:r>
      <w:r w:rsidR="00CA45A6" w:rsidRPr="00BA00BA">
        <w:rPr>
          <w:color w:val="77328A"/>
          <w:sz w:val="16"/>
          <w:szCs w:val="16"/>
        </w:rPr>
        <w:t>; NI Human Rights Commission, ‘</w:t>
      </w:r>
      <w:r w:rsidR="001A23CA" w:rsidRPr="00BA00BA">
        <w:rPr>
          <w:color w:val="77328A"/>
          <w:sz w:val="16"/>
          <w:szCs w:val="16"/>
        </w:rPr>
        <w:t xml:space="preserve">Response to the consultation on Human Rights Act Reform: </w:t>
      </w:r>
      <w:r w:rsidR="001A23CA" w:rsidRPr="00BA00BA">
        <w:rPr>
          <w:color w:val="77328A"/>
          <w:sz w:val="16"/>
          <w:szCs w:val="16"/>
        </w:rPr>
        <w:t>a Modern Bill of Rights’, (NIHRC, 2022).</w:t>
      </w:r>
    </w:p>
  </w:footnote>
  <w:footnote w:id="25">
    <w:p w14:paraId="34419673" w14:textId="210A4A9E" w:rsidR="008F6903" w:rsidRPr="00BA00BA" w:rsidRDefault="008F6903" w:rsidP="00BA00BA">
      <w:pPr>
        <w:pStyle w:val="FootnoteText"/>
        <w:spacing w:line="240" w:lineRule="auto"/>
        <w:rPr>
          <w:sz w:val="16"/>
          <w:szCs w:val="16"/>
        </w:rPr>
      </w:pPr>
      <w:r w:rsidRPr="00BA00BA">
        <w:rPr>
          <w:rStyle w:val="FootnoteReference"/>
          <w:color w:val="77328A"/>
          <w:sz w:val="16"/>
          <w:szCs w:val="16"/>
        </w:rPr>
        <w:footnoteRef/>
      </w:r>
      <w:r w:rsidRPr="00BA00BA">
        <w:rPr>
          <w:color w:val="77328A"/>
          <w:sz w:val="16"/>
          <w:szCs w:val="16"/>
        </w:rPr>
        <w:t xml:space="preserve"> UK Parliament, ‘</w:t>
      </w:r>
      <w:r w:rsidR="005A1C20" w:rsidRPr="00BA00BA">
        <w:rPr>
          <w:color w:val="77328A"/>
          <w:sz w:val="16"/>
          <w:szCs w:val="16"/>
        </w:rPr>
        <w:t>Written Statement made on 22 June 2022</w:t>
      </w:r>
      <w:r w:rsidR="005B188B" w:rsidRPr="00BA00BA">
        <w:rPr>
          <w:color w:val="77328A"/>
          <w:sz w:val="16"/>
          <w:szCs w:val="16"/>
        </w:rPr>
        <w:t>: Introduction of the Bill of Rights’. Available at: https://questions-statements.parliament.uk/written-statements/detail/2022-06-22/hcws129.</w:t>
      </w:r>
    </w:p>
  </w:footnote>
  <w:footnote w:id="26">
    <w:p w14:paraId="50C7CCAF" w14:textId="4133C881" w:rsidR="00A0076D" w:rsidRPr="00BA00BA" w:rsidRDefault="00A0076D" w:rsidP="00BA00BA">
      <w:pPr>
        <w:pStyle w:val="FootnoteText"/>
        <w:spacing w:line="240" w:lineRule="auto"/>
        <w:rPr>
          <w:color w:val="7030A0"/>
          <w:sz w:val="16"/>
          <w:szCs w:val="16"/>
        </w:rPr>
      </w:pPr>
      <w:r w:rsidRPr="00BA00BA">
        <w:rPr>
          <w:rStyle w:val="FootnoteReference"/>
          <w:color w:val="77328A"/>
          <w:sz w:val="16"/>
          <w:szCs w:val="16"/>
        </w:rPr>
        <w:footnoteRef/>
      </w:r>
      <w:r w:rsidRPr="00BA00BA">
        <w:rPr>
          <w:color w:val="77328A"/>
          <w:sz w:val="16"/>
          <w:szCs w:val="16"/>
        </w:rPr>
        <w:t xml:space="preserve"> </w:t>
      </w:r>
      <w:r w:rsidR="00C43E68" w:rsidRPr="00BA00BA">
        <w:rPr>
          <w:color w:val="77328A"/>
          <w:sz w:val="16"/>
          <w:szCs w:val="16"/>
        </w:rPr>
        <w:t>The Independent Human Rights Act Review, 2021</w:t>
      </w:r>
      <w:r w:rsidR="006033E1" w:rsidRPr="00BA00BA">
        <w:rPr>
          <w:color w:val="77328A"/>
          <w:sz w:val="16"/>
          <w:szCs w:val="16"/>
        </w:rPr>
        <w:t>.</w:t>
      </w:r>
      <w:r w:rsidR="00010CBA" w:rsidRPr="00BA00BA">
        <w:rPr>
          <w:color w:val="77328A"/>
          <w:sz w:val="16"/>
          <w:szCs w:val="16"/>
        </w:rPr>
        <w:t xml:space="preserve"> Available at: https://publications.parliament.uk/pa/jt5802/jtselect/jtrights/89/8907.htm</w:t>
      </w:r>
    </w:p>
  </w:footnote>
  <w:footnote w:id="27">
    <w:p w14:paraId="0A06CD29" w14:textId="7063BD3A" w:rsidR="00D85CD6" w:rsidRPr="00BA00BA" w:rsidRDefault="00D85CD6" w:rsidP="00BA00BA">
      <w:pPr>
        <w:pStyle w:val="FootnoteText"/>
        <w:spacing w:line="240" w:lineRule="auto"/>
        <w:rPr>
          <w:sz w:val="16"/>
          <w:szCs w:val="16"/>
        </w:rPr>
      </w:pPr>
      <w:r w:rsidRPr="00BA00BA">
        <w:rPr>
          <w:rStyle w:val="FootnoteReference"/>
          <w:color w:val="77328A"/>
          <w:sz w:val="16"/>
          <w:szCs w:val="16"/>
        </w:rPr>
        <w:footnoteRef/>
      </w:r>
      <w:r w:rsidRPr="00BA00BA">
        <w:rPr>
          <w:color w:val="77328A"/>
          <w:sz w:val="16"/>
          <w:szCs w:val="16"/>
        </w:rPr>
        <w:t xml:space="preserve"> </w:t>
      </w:r>
      <w:r w:rsidR="00437D33" w:rsidRPr="00BA00BA">
        <w:rPr>
          <w:color w:val="77328A"/>
          <w:sz w:val="16"/>
          <w:szCs w:val="16"/>
        </w:rPr>
        <w:t>Ibid.</w:t>
      </w:r>
    </w:p>
  </w:footnote>
  <w:footnote w:id="28">
    <w:p w14:paraId="5B86996C" w14:textId="108FCB27" w:rsidR="00543288" w:rsidRPr="00BA00BA" w:rsidRDefault="00543288" w:rsidP="00BA00BA">
      <w:pPr>
        <w:pStyle w:val="FootnoteText"/>
        <w:spacing w:line="240" w:lineRule="auto"/>
        <w:rPr>
          <w:sz w:val="16"/>
          <w:szCs w:val="16"/>
        </w:rPr>
      </w:pPr>
      <w:r w:rsidRPr="00BA00BA">
        <w:rPr>
          <w:rStyle w:val="FootnoteReference"/>
          <w:color w:val="77328A"/>
          <w:sz w:val="16"/>
          <w:szCs w:val="16"/>
        </w:rPr>
        <w:footnoteRef/>
      </w:r>
      <w:r w:rsidRPr="00BA00BA">
        <w:rPr>
          <w:color w:val="77328A"/>
          <w:sz w:val="16"/>
          <w:szCs w:val="16"/>
        </w:rPr>
        <w:t xml:space="preserve"> Article 15(2), European Convention on Human Rights 1950.</w:t>
      </w:r>
    </w:p>
  </w:footnote>
  <w:footnote w:id="29">
    <w:p w14:paraId="3CCAB926" w14:textId="77777777" w:rsidR="00BA00BA" w:rsidRPr="00BA00BA" w:rsidRDefault="00BA00BA" w:rsidP="00BA00BA">
      <w:pPr>
        <w:spacing w:line="240" w:lineRule="auto"/>
        <w:rPr>
          <w:rFonts w:cs="Calibri"/>
          <w:color w:val="77328A"/>
          <w:sz w:val="16"/>
          <w:szCs w:val="16"/>
        </w:rPr>
      </w:pPr>
      <w:r w:rsidRPr="00BA00BA">
        <w:rPr>
          <w:rStyle w:val="FootnoteReference"/>
          <w:color w:val="77328A"/>
          <w:sz w:val="16"/>
          <w:szCs w:val="16"/>
        </w:rPr>
        <w:footnoteRef/>
      </w:r>
      <w:r w:rsidRPr="00BA00BA">
        <w:rPr>
          <w:color w:val="77328A"/>
          <w:sz w:val="16"/>
          <w:szCs w:val="16"/>
        </w:rPr>
        <w:t xml:space="preserve"> </w:t>
      </w:r>
      <w:r w:rsidRPr="00BA00BA">
        <w:rPr>
          <w:rFonts w:cs="Calibri"/>
          <w:color w:val="77328A"/>
          <w:sz w:val="16"/>
          <w:szCs w:val="16"/>
        </w:rPr>
        <w:t>Directive 2005/85/EC</w:t>
      </w:r>
      <w:r w:rsidRPr="00BA00BA">
        <w:rPr>
          <w:rStyle w:val="Hyperlink"/>
          <w:rFonts w:cs="Calibri"/>
          <w:color w:val="77328A"/>
          <w:sz w:val="16"/>
          <w:szCs w:val="16"/>
          <w:u w:val="none"/>
        </w:rPr>
        <w:t>, ‘Council</w:t>
      </w:r>
      <w:r w:rsidRPr="00BA00BA">
        <w:rPr>
          <w:rFonts w:cs="Calibri"/>
          <w:color w:val="77328A"/>
          <w:sz w:val="16"/>
          <w:szCs w:val="16"/>
        </w:rPr>
        <w:t xml:space="preserve"> Directive on minimum standards on procedures in Member States for granting and withdrawing refugee status’, of 1 December 2005.</w:t>
      </w:r>
    </w:p>
  </w:footnote>
  <w:footnote w:id="30">
    <w:p w14:paraId="273C6D14" w14:textId="77777777" w:rsidR="00BA00BA" w:rsidRPr="00BA00BA" w:rsidRDefault="00BA00BA" w:rsidP="00BA00BA">
      <w:pPr>
        <w:spacing w:line="240" w:lineRule="auto"/>
        <w:rPr>
          <w:rFonts w:cs="Calibri"/>
          <w:color w:val="77328A"/>
          <w:sz w:val="16"/>
          <w:szCs w:val="16"/>
        </w:rPr>
      </w:pPr>
      <w:r w:rsidRPr="00BA00BA">
        <w:rPr>
          <w:rStyle w:val="FootnoteReference"/>
          <w:color w:val="77328A"/>
          <w:sz w:val="16"/>
          <w:szCs w:val="16"/>
        </w:rPr>
        <w:footnoteRef/>
      </w:r>
      <w:r w:rsidRPr="00BA00BA">
        <w:rPr>
          <w:color w:val="77328A"/>
          <w:sz w:val="16"/>
          <w:szCs w:val="16"/>
        </w:rPr>
        <w:t xml:space="preserve"> </w:t>
      </w:r>
      <w:r w:rsidRPr="00BA00BA">
        <w:rPr>
          <w:rFonts w:cs="Calibri"/>
          <w:color w:val="77328A"/>
          <w:sz w:val="16"/>
          <w:szCs w:val="16"/>
        </w:rPr>
        <w:t>Directive 2005/85/EC</w:t>
      </w:r>
      <w:r w:rsidRPr="00BA00BA">
        <w:rPr>
          <w:rStyle w:val="Hyperlink"/>
          <w:rFonts w:cs="Calibri"/>
          <w:color w:val="77328A"/>
          <w:sz w:val="16"/>
          <w:szCs w:val="16"/>
          <w:u w:val="none"/>
        </w:rPr>
        <w:t>, ‘Council</w:t>
      </w:r>
      <w:r w:rsidRPr="00BA00BA">
        <w:rPr>
          <w:rFonts w:cs="Calibri"/>
          <w:color w:val="77328A"/>
          <w:sz w:val="16"/>
          <w:szCs w:val="16"/>
        </w:rPr>
        <w:t xml:space="preserve"> Directive on minimum standards on procedures in Member States for granting and withdrawing refugee status’, of 1 December 2005.</w:t>
      </w:r>
    </w:p>
  </w:footnote>
  <w:footnote w:id="31">
    <w:p w14:paraId="1E990A18" w14:textId="28768029" w:rsidR="000D3354" w:rsidRPr="00BA00BA" w:rsidRDefault="000D3354" w:rsidP="00BA00BA">
      <w:pPr>
        <w:pStyle w:val="FootnoteText"/>
        <w:spacing w:line="240" w:lineRule="auto"/>
        <w:rPr>
          <w:color w:val="77328A"/>
          <w:sz w:val="16"/>
          <w:szCs w:val="16"/>
        </w:rPr>
      </w:pPr>
      <w:r w:rsidRPr="00BA00BA">
        <w:rPr>
          <w:rStyle w:val="FootnoteReference"/>
          <w:color w:val="77328A"/>
          <w:sz w:val="16"/>
          <w:szCs w:val="16"/>
        </w:rPr>
        <w:footnoteRef/>
      </w:r>
      <w:r w:rsidRPr="00BA00BA">
        <w:rPr>
          <w:color w:val="77328A"/>
          <w:sz w:val="16"/>
          <w:szCs w:val="16"/>
        </w:rPr>
        <w:t xml:space="preserve"> See paragraph 3.8 and 3.9 in relation to admissibility of application for asylum. </w:t>
      </w:r>
    </w:p>
  </w:footnote>
  <w:footnote w:id="32">
    <w:p w14:paraId="574A6A6F" w14:textId="213D0CDC" w:rsidR="00D811C1" w:rsidRPr="00BA00BA" w:rsidRDefault="00D811C1" w:rsidP="00BA00BA">
      <w:pPr>
        <w:pStyle w:val="FootnoteText"/>
        <w:spacing w:line="240" w:lineRule="auto"/>
        <w:rPr>
          <w:sz w:val="16"/>
          <w:szCs w:val="16"/>
        </w:rPr>
      </w:pPr>
      <w:r w:rsidRPr="00BA00BA">
        <w:rPr>
          <w:rStyle w:val="FootnoteReference"/>
          <w:color w:val="77328A"/>
          <w:sz w:val="16"/>
          <w:szCs w:val="16"/>
        </w:rPr>
        <w:footnoteRef/>
      </w:r>
      <w:r w:rsidRPr="00BA00BA">
        <w:rPr>
          <w:color w:val="77328A"/>
          <w:sz w:val="16"/>
          <w:szCs w:val="16"/>
        </w:rPr>
        <w:t xml:space="preserve"> UNHCR, ‘High Commissioner’s Dialogue on Protection Challenges: Children on the Move’ 28 November 2016, at paras 14 -18.</w:t>
      </w:r>
    </w:p>
  </w:footnote>
  <w:footnote w:id="33">
    <w:p w14:paraId="279CF46E" w14:textId="77777777" w:rsidR="00D1013B" w:rsidRPr="00BA00BA" w:rsidRDefault="00D1013B" w:rsidP="00BA00BA">
      <w:pPr>
        <w:pStyle w:val="FootnoteText"/>
        <w:spacing w:line="240" w:lineRule="auto"/>
        <w:rPr>
          <w:sz w:val="16"/>
          <w:szCs w:val="16"/>
        </w:rPr>
      </w:pPr>
      <w:r w:rsidRPr="00BA00BA">
        <w:rPr>
          <w:rStyle w:val="FootnoteReference"/>
          <w:color w:val="77328A"/>
          <w:sz w:val="16"/>
          <w:szCs w:val="16"/>
        </w:rPr>
        <w:footnoteRef/>
      </w:r>
      <w:r w:rsidRPr="00BA00BA">
        <w:rPr>
          <w:color w:val="77328A"/>
          <w:sz w:val="16"/>
          <w:szCs w:val="16"/>
        </w:rPr>
        <w:t xml:space="preserve"> </w:t>
      </w:r>
      <w:r w:rsidRPr="00BA00BA">
        <w:rPr>
          <w:rStyle w:val="FootnoteReference"/>
          <w:color w:val="77328A"/>
          <w:sz w:val="16"/>
          <w:szCs w:val="16"/>
        </w:rPr>
        <w:footnoteRef/>
      </w:r>
      <w:r w:rsidRPr="00BA00BA">
        <w:rPr>
          <w:color w:val="77328A"/>
          <w:sz w:val="16"/>
          <w:szCs w:val="16"/>
        </w:rPr>
        <w:t xml:space="preserve"> CRC/GC/2005/6, UN Committee on the Rights of the Child, General Comment No.6 (2005) Treatment of unaccompanied and separated children outside their country of origin, 1 September 2005, at para 79.</w:t>
      </w:r>
    </w:p>
  </w:footnote>
  <w:footnote w:id="34">
    <w:p w14:paraId="166AFA67" w14:textId="77777777" w:rsidR="00BA00BA" w:rsidRPr="00BA00BA" w:rsidRDefault="00BA00BA" w:rsidP="00BA00BA">
      <w:pPr>
        <w:spacing w:line="240" w:lineRule="auto"/>
        <w:rPr>
          <w:rFonts w:cs="Calibri"/>
          <w:color w:val="77328A"/>
          <w:sz w:val="16"/>
          <w:szCs w:val="16"/>
        </w:rPr>
      </w:pPr>
      <w:r w:rsidRPr="00BA00BA">
        <w:rPr>
          <w:rStyle w:val="FootnoteReference"/>
          <w:color w:val="77328A"/>
          <w:sz w:val="16"/>
          <w:szCs w:val="16"/>
        </w:rPr>
        <w:footnoteRef/>
      </w:r>
      <w:r w:rsidRPr="00BA00BA">
        <w:rPr>
          <w:color w:val="77328A"/>
          <w:sz w:val="16"/>
          <w:szCs w:val="16"/>
        </w:rPr>
        <w:t xml:space="preserve"> </w:t>
      </w:r>
      <w:r w:rsidRPr="00BA00BA">
        <w:rPr>
          <w:rFonts w:cs="Calibri"/>
          <w:color w:val="77328A"/>
          <w:sz w:val="16"/>
          <w:szCs w:val="16"/>
        </w:rPr>
        <w:t>Directive 2005/85/EC</w:t>
      </w:r>
      <w:r w:rsidRPr="00BA00BA">
        <w:rPr>
          <w:rStyle w:val="Hyperlink"/>
          <w:rFonts w:cs="Calibri"/>
          <w:color w:val="77328A"/>
          <w:sz w:val="16"/>
          <w:szCs w:val="16"/>
          <w:u w:val="none"/>
        </w:rPr>
        <w:t>, ‘Council</w:t>
      </w:r>
      <w:r w:rsidRPr="00BA00BA">
        <w:rPr>
          <w:rFonts w:cs="Calibri"/>
          <w:color w:val="77328A"/>
          <w:sz w:val="16"/>
          <w:szCs w:val="16"/>
        </w:rPr>
        <w:t xml:space="preserve"> Directive on minimum standards on procedures in Member States for granting and withdrawing refugee status’, of 1 December 2005.</w:t>
      </w:r>
    </w:p>
  </w:footnote>
  <w:footnote w:id="35">
    <w:p w14:paraId="136AD5D2" w14:textId="77777777" w:rsidR="00BA00BA" w:rsidRPr="00BA00BA" w:rsidRDefault="00BA00BA" w:rsidP="00BA00BA">
      <w:pPr>
        <w:spacing w:line="240" w:lineRule="auto"/>
        <w:rPr>
          <w:rFonts w:cs="Calibri"/>
          <w:color w:val="77328A"/>
          <w:sz w:val="16"/>
          <w:szCs w:val="16"/>
        </w:rPr>
      </w:pPr>
      <w:r w:rsidRPr="00BA00BA">
        <w:rPr>
          <w:rStyle w:val="FootnoteReference"/>
          <w:color w:val="77328A"/>
          <w:sz w:val="16"/>
          <w:szCs w:val="16"/>
        </w:rPr>
        <w:footnoteRef/>
      </w:r>
      <w:r w:rsidRPr="00BA00BA">
        <w:rPr>
          <w:color w:val="77328A"/>
          <w:sz w:val="16"/>
          <w:szCs w:val="16"/>
        </w:rPr>
        <w:t xml:space="preserve"> </w:t>
      </w:r>
      <w:r w:rsidRPr="00BA00BA">
        <w:rPr>
          <w:rFonts w:cs="Calibri"/>
          <w:color w:val="77328A"/>
          <w:sz w:val="16"/>
          <w:szCs w:val="16"/>
        </w:rPr>
        <w:t>Directive 2004/83/EC ‘Council Directive on minimum standards for the qualification and status of third country nationals or stateless persons as refugees or as persons who otherwise need international protection and the content of the protection granted’ 29 April 2004.</w:t>
      </w:r>
    </w:p>
  </w:footnote>
  <w:footnote w:id="36">
    <w:p w14:paraId="4719E221" w14:textId="77777777" w:rsidR="00BA00BA" w:rsidRPr="00BA00BA" w:rsidRDefault="00BA00BA" w:rsidP="00BA00BA">
      <w:pPr>
        <w:spacing w:line="240" w:lineRule="auto"/>
        <w:rPr>
          <w:rFonts w:cs="Calibri"/>
          <w:color w:val="77328A"/>
          <w:sz w:val="16"/>
          <w:szCs w:val="16"/>
        </w:rPr>
      </w:pPr>
      <w:r w:rsidRPr="00BA00BA">
        <w:rPr>
          <w:rStyle w:val="FootnoteReference"/>
          <w:color w:val="77328A"/>
          <w:sz w:val="16"/>
          <w:szCs w:val="16"/>
        </w:rPr>
        <w:footnoteRef/>
      </w:r>
      <w:r w:rsidRPr="00BA00BA">
        <w:rPr>
          <w:color w:val="77328A"/>
          <w:sz w:val="16"/>
          <w:szCs w:val="16"/>
        </w:rPr>
        <w:t xml:space="preserve"> </w:t>
      </w:r>
      <w:r w:rsidRPr="00BA00BA">
        <w:rPr>
          <w:rFonts w:cs="Calibri"/>
          <w:color w:val="77328A"/>
          <w:sz w:val="16"/>
          <w:szCs w:val="16"/>
        </w:rPr>
        <w:t>Directive 2003/9/EC</w:t>
      </w:r>
      <w:r w:rsidRPr="00BA00BA">
        <w:rPr>
          <w:rStyle w:val="Hyperlink"/>
          <w:rFonts w:cs="Calibri"/>
          <w:color w:val="77328A"/>
          <w:sz w:val="16"/>
          <w:szCs w:val="16"/>
          <w:u w:val="none"/>
        </w:rPr>
        <w:t>, ‘Council Directive</w:t>
      </w:r>
      <w:r w:rsidRPr="00BA00BA">
        <w:rPr>
          <w:rFonts w:cs="Calibri"/>
          <w:color w:val="77328A"/>
          <w:sz w:val="16"/>
          <w:szCs w:val="16"/>
        </w:rPr>
        <w:t xml:space="preserve"> laying down minimum standards for the reception of asylum seekers’, 27 January 2003.</w:t>
      </w:r>
    </w:p>
  </w:footnote>
  <w:footnote w:id="37">
    <w:p w14:paraId="5EAA01C6" w14:textId="77777777" w:rsidR="00BA00BA" w:rsidRPr="00BA00BA" w:rsidRDefault="00BA00BA" w:rsidP="00BA00BA">
      <w:pPr>
        <w:spacing w:line="240" w:lineRule="auto"/>
        <w:rPr>
          <w:color w:val="77328A"/>
          <w:sz w:val="16"/>
          <w:szCs w:val="16"/>
        </w:rPr>
      </w:pPr>
      <w:r w:rsidRPr="00C73F83">
        <w:rPr>
          <w:rStyle w:val="FootnoteReference"/>
          <w:color w:val="77328A"/>
          <w:sz w:val="16"/>
          <w:szCs w:val="16"/>
        </w:rPr>
        <w:footnoteRef/>
      </w:r>
      <w:r w:rsidRPr="00C73F83">
        <w:rPr>
          <w:color w:val="77328A"/>
          <w:sz w:val="16"/>
          <w:szCs w:val="16"/>
        </w:rPr>
        <w:t xml:space="preserve"> Regulation 2013/604/EU, ‘Regulation of the European Parliament and of the Council establishing the criteria and mechanisms for determining the Member State responsible </w:t>
      </w:r>
      <w:r w:rsidRPr="00BA00BA">
        <w:rPr>
          <w:color w:val="77328A"/>
          <w:sz w:val="16"/>
          <w:szCs w:val="16"/>
        </w:rPr>
        <w:t>for examining an application for international protection lodged in one of the Member States by a third-country national or a stateless person’, 26 June 2013</w:t>
      </w:r>
    </w:p>
  </w:footnote>
  <w:footnote w:id="38">
    <w:p w14:paraId="602CC62B" w14:textId="77777777" w:rsidR="00A9377B" w:rsidRPr="00BA00BA" w:rsidRDefault="00A9377B" w:rsidP="00BA00BA">
      <w:pPr>
        <w:pStyle w:val="FootnoteText"/>
        <w:spacing w:line="240" w:lineRule="auto"/>
        <w:rPr>
          <w:sz w:val="16"/>
          <w:szCs w:val="16"/>
        </w:rPr>
      </w:pPr>
      <w:r w:rsidRPr="00BA00BA">
        <w:rPr>
          <w:rStyle w:val="FootnoteReference"/>
          <w:color w:val="77328A"/>
          <w:sz w:val="16"/>
          <w:szCs w:val="16"/>
        </w:rPr>
        <w:footnoteRef/>
      </w:r>
      <w:r w:rsidRPr="00BA00BA">
        <w:rPr>
          <w:color w:val="77328A"/>
          <w:sz w:val="16"/>
          <w:szCs w:val="16"/>
        </w:rPr>
        <w:t xml:space="preserve"> Articles 18, 19, Reception Directive; Recitals and Article 17 Procedures Directive; Recitals and Article 20, Qualification Directive; Recitals and Article 6, Dublin III Regulation.</w:t>
      </w:r>
    </w:p>
  </w:footnote>
  <w:footnote w:id="39">
    <w:p w14:paraId="27654A23" w14:textId="3E2B9D62" w:rsidR="006355A5" w:rsidRPr="00BA00BA" w:rsidRDefault="006355A5" w:rsidP="00BA00BA">
      <w:pPr>
        <w:pStyle w:val="FootnoteText"/>
        <w:spacing w:line="240" w:lineRule="auto"/>
        <w:rPr>
          <w:sz w:val="16"/>
          <w:szCs w:val="16"/>
        </w:rPr>
      </w:pPr>
      <w:r w:rsidRPr="00BA00BA">
        <w:rPr>
          <w:rStyle w:val="FootnoteReference"/>
          <w:color w:val="77328A"/>
          <w:sz w:val="16"/>
          <w:szCs w:val="16"/>
        </w:rPr>
        <w:footnoteRef/>
      </w:r>
      <w:r w:rsidRPr="00BA00BA">
        <w:rPr>
          <w:color w:val="77328A"/>
          <w:sz w:val="16"/>
          <w:szCs w:val="16"/>
        </w:rPr>
        <w:t xml:space="preserve"> </w:t>
      </w:r>
      <w:r w:rsidR="00B51AEA" w:rsidRPr="00BA00BA">
        <w:rPr>
          <w:i/>
          <w:iCs/>
          <w:color w:val="77328A"/>
          <w:sz w:val="16"/>
          <w:szCs w:val="16"/>
        </w:rPr>
        <w:t>Rantsev v Cyprus and Russia</w:t>
      </w:r>
      <w:r w:rsidR="00B51AEA" w:rsidRPr="00BA00BA">
        <w:rPr>
          <w:color w:val="77328A"/>
          <w:sz w:val="16"/>
          <w:szCs w:val="16"/>
        </w:rPr>
        <w:t xml:space="preserve"> (2010) ECHR 22, at para 284.</w:t>
      </w:r>
    </w:p>
  </w:footnote>
  <w:footnote w:id="40">
    <w:p w14:paraId="12D6240E" w14:textId="6AD97007" w:rsidR="00830513" w:rsidRPr="00BA00BA" w:rsidRDefault="00830513" w:rsidP="00BA00BA">
      <w:pPr>
        <w:pStyle w:val="FootnoteText"/>
        <w:spacing w:line="240" w:lineRule="auto"/>
        <w:rPr>
          <w:sz w:val="16"/>
          <w:szCs w:val="16"/>
        </w:rPr>
      </w:pPr>
      <w:r w:rsidRPr="00BA00BA">
        <w:rPr>
          <w:rStyle w:val="FootnoteReference"/>
          <w:color w:val="77328A"/>
          <w:sz w:val="16"/>
          <w:szCs w:val="16"/>
        </w:rPr>
        <w:footnoteRef/>
      </w:r>
      <w:r w:rsidRPr="00BA00BA">
        <w:rPr>
          <w:color w:val="77328A"/>
          <w:sz w:val="16"/>
          <w:szCs w:val="16"/>
        </w:rPr>
        <w:t xml:space="preserve"> </w:t>
      </w:r>
      <w:r w:rsidR="001151A5" w:rsidRPr="00BA00BA">
        <w:rPr>
          <w:i/>
          <w:iCs/>
          <w:color w:val="77328A"/>
          <w:sz w:val="16"/>
          <w:szCs w:val="16"/>
        </w:rPr>
        <w:t>V.C.L. and A.N. v. the United Kingdom</w:t>
      </w:r>
      <w:r w:rsidR="00C13AEE" w:rsidRPr="00BA00BA">
        <w:rPr>
          <w:color w:val="77328A"/>
          <w:sz w:val="16"/>
          <w:szCs w:val="16"/>
        </w:rPr>
        <w:t xml:space="preserve"> </w:t>
      </w:r>
      <w:r w:rsidR="00B51AEA" w:rsidRPr="00BA00BA">
        <w:rPr>
          <w:color w:val="77328A"/>
          <w:sz w:val="16"/>
          <w:szCs w:val="16"/>
        </w:rPr>
        <w:t>(</w:t>
      </w:r>
      <w:r w:rsidR="00C20DDE" w:rsidRPr="00BA00BA">
        <w:rPr>
          <w:color w:val="77328A"/>
          <w:sz w:val="16"/>
          <w:szCs w:val="16"/>
        </w:rPr>
        <w:t>2021</w:t>
      </w:r>
      <w:r w:rsidR="00B51AEA" w:rsidRPr="00BA00BA">
        <w:rPr>
          <w:color w:val="77328A"/>
          <w:sz w:val="16"/>
          <w:szCs w:val="16"/>
        </w:rPr>
        <w:t>)</w:t>
      </w:r>
      <w:r w:rsidR="00C20DDE" w:rsidRPr="00BA00BA">
        <w:rPr>
          <w:color w:val="77328A"/>
          <w:sz w:val="16"/>
          <w:szCs w:val="16"/>
        </w:rPr>
        <w:t xml:space="preserve"> ECHR 132,</w:t>
      </w:r>
      <w:r w:rsidR="001151A5" w:rsidRPr="00BA00BA">
        <w:rPr>
          <w:color w:val="77328A"/>
          <w:sz w:val="16"/>
          <w:szCs w:val="16"/>
        </w:rPr>
        <w:t xml:space="preserve"> at para 151.</w:t>
      </w:r>
    </w:p>
  </w:footnote>
  <w:footnote w:id="41">
    <w:p w14:paraId="4250878B" w14:textId="381C1D35" w:rsidR="002C5BD8" w:rsidRPr="00BA00BA" w:rsidRDefault="002C5BD8" w:rsidP="00BA00BA">
      <w:pPr>
        <w:spacing w:line="240" w:lineRule="auto"/>
        <w:rPr>
          <w:rFonts w:ascii="Calibri" w:hAnsi="Calibri" w:cs="Calibri"/>
          <w:color w:val="77328A"/>
          <w:sz w:val="16"/>
          <w:szCs w:val="16"/>
        </w:rPr>
      </w:pPr>
      <w:r w:rsidRPr="00BA00BA">
        <w:rPr>
          <w:rStyle w:val="FootnoteReference"/>
          <w:color w:val="77328A"/>
          <w:sz w:val="16"/>
          <w:szCs w:val="16"/>
        </w:rPr>
        <w:footnoteRef/>
      </w:r>
      <w:r w:rsidRPr="00BA00BA">
        <w:rPr>
          <w:sz w:val="16"/>
          <w:szCs w:val="16"/>
        </w:rPr>
        <w:t xml:space="preserve"> </w:t>
      </w:r>
      <w:hyperlink r:id="rId8" w:history="1">
        <w:r w:rsidR="00F9426E" w:rsidRPr="00BA00BA">
          <w:rPr>
            <w:rStyle w:val="Hyperlink"/>
            <w:color w:val="77328A"/>
            <w:sz w:val="16"/>
            <w:szCs w:val="16"/>
          </w:rPr>
          <w:t>Directive 2012/29/EU</w:t>
        </w:r>
      </w:hyperlink>
      <w:r w:rsidR="00F9426E" w:rsidRPr="00BA00BA">
        <w:rPr>
          <w:color w:val="77328A"/>
          <w:sz w:val="16"/>
          <w:szCs w:val="16"/>
        </w:rPr>
        <w:t xml:space="preserve"> of the European Parliament and of the Council of 25 October 2012 establishing </w:t>
      </w:r>
      <w:r w:rsidR="00F9426E" w:rsidRPr="00BA00BA">
        <w:rPr>
          <w:b/>
          <w:color w:val="77328A"/>
          <w:sz w:val="16"/>
          <w:szCs w:val="16"/>
        </w:rPr>
        <w:t>minimum standards on the rights, support and protection of victims of crime</w:t>
      </w:r>
      <w:r w:rsidR="00F9426E" w:rsidRPr="00BA00BA">
        <w:rPr>
          <w:color w:val="77328A"/>
          <w:sz w:val="16"/>
          <w:szCs w:val="16"/>
        </w:rPr>
        <w:t>, and replacing Council Framework Decision 2001/220/</w:t>
      </w:r>
      <w:r w:rsidR="00F9426E" w:rsidRPr="00BA00BA">
        <w:rPr>
          <w:color w:val="77328A"/>
          <w:sz w:val="16"/>
          <w:szCs w:val="16"/>
        </w:rPr>
        <w:t>JHA</w:t>
      </w:r>
    </w:p>
  </w:footnote>
  <w:footnote w:id="42">
    <w:p w14:paraId="315A8EDC" w14:textId="3DEEB8CA" w:rsidR="005A148A" w:rsidRPr="00BA00BA" w:rsidRDefault="005A148A" w:rsidP="00BA00BA">
      <w:pPr>
        <w:spacing w:line="240" w:lineRule="auto"/>
        <w:rPr>
          <w:rFonts w:cs="Calibri"/>
          <w:color w:val="77328A"/>
          <w:sz w:val="16"/>
          <w:szCs w:val="16"/>
        </w:rPr>
      </w:pPr>
      <w:r w:rsidRPr="00BA00BA">
        <w:rPr>
          <w:rStyle w:val="FootnoteReference"/>
          <w:color w:val="77328A"/>
          <w:sz w:val="16"/>
          <w:szCs w:val="16"/>
        </w:rPr>
        <w:footnoteRef/>
      </w:r>
      <w:r w:rsidRPr="00BA00BA">
        <w:rPr>
          <w:color w:val="77328A"/>
          <w:sz w:val="16"/>
          <w:szCs w:val="16"/>
        </w:rPr>
        <w:t xml:space="preserve"> </w:t>
      </w:r>
      <w:hyperlink r:id="rId9" w:history="1">
        <w:r w:rsidR="002E6698" w:rsidRPr="00BA00BA">
          <w:rPr>
            <w:rStyle w:val="Hyperlink"/>
            <w:rFonts w:cs="Calibri"/>
            <w:color w:val="77328A"/>
            <w:sz w:val="16"/>
            <w:szCs w:val="16"/>
          </w:rPr>
          <w:t>Directive 2011/36/EU</w:t>
        </w:r>
      </w:hyperlink>
      <w:r w:rsidR="002E6698" w:rsidRPr="00BA00BA">
        <w:rPr>
          <w:rFonts w:cs="Calibri"/>
          <w:color w:val="77328A"/>
          <w:sz w:val="16"/>
          <w:szCs w:val="16"/>
        </w:rPr>
        <w:t xml:space="preserve"> of the European Parliament and of the Council of 5 April 2011 on </w:t>
      </w:r>
      <w:r w:rsidR="002E6698" w:rsidRPr="00BA00BA">
        <w:rPr>
          <w:rFonts w:cs="Calibri"/>
          <w:b/>
          <w:color w:val="77328A"/>
          <w:sz w:val="16"/>
          <w:szCs w:val="16"/>
        </w:rPr>
        <w:t>preventing and combating trafficking</w:t>
      </w:r>
      <w:r w:rsidR="002E6698" w:rsidRPr="00BA00BA">
        <w:rPr>
          <w:rFonts w:cs="Calibri"/>
          <w:color w:val="77328A"/>
          <w:sz w:val="16"/>
          <w:szCs w:val="16"/>
        </w:rPr>
        <w:t xml:space="preserve"> in human beings and </w:t>
      </w:r>
      <w:r w:rsidR="002E6698" w:rsidRPr="00BA00BA">
        <w:rPr>
          <w:rFonts w:cs="Calibri"/>
          <w:b/>
          <w:color w:val="77328A"/>
          <w:sz w:val="16"/>
          <w:szCs w:val="16"/>
        </w:rPr>
        <w:t>protecting its victims</w:t>
      </w:r>
      <w:r w:rsidR="002E6698" w:rsidRPr="00BA00BA">
        <w:rPr>
          <w:rFonts w:cs="Calibri"/>
          <w:color w:val="77328A"/>
          <w:sz w:val="16"/>
          <w:szCs w:val="16"/>
        </w:rPr>
        <w:t>, and replacing Council Framework Decision 2002/629/</w:t>
      </w:r>
      <w:r w:rsidR="002E6698" w:rsidRPr="00BA00BA">
        <w:rPr>
          <w:rFonts w:cs="Calibri"/>
          <w:color w:val="77328A"/>
          <w:sz w:val="16"/>
          <w:szCs w:val="16"/>
        </w:rPr>
        <w:t>JHA</w:t>
      </w:r>
    </w:p>
  </w:footnote>
  <w:footnote w:id="43">
    <w:p w14:paraId="76C715E3" w14:textId="7C5C83E2" w:rsidR="00B249DA" w:rsidRPr="00BA00BA" w:rsidRDefault="00B249DA" w:rsidP="00BA00BA">
      <w:pPr>
        <w:pStyle w:val="FootnoteText"/>
        <w:spacing w:line="240" w:lineRule="auto"/>
        <w:rPr>
          <w:color w:val="77328A"/>
          <w:sz w:val="16"/>
          <w:szCs w:val="16"/>
        </w:rPr>
      </w:pPr>
      <w:r w:rsidRPr="00BA00BA">
        <w:rPr>
          <w:rStyle w:val="FootnoteReference"/>
          <w:color w:val="77328A"/>
          <w:sz w:val="16"/>
          <w:szCs w:val="16"/>
        </w:rPr>
        <w:footnoteRef/>
      </w:r>
      <w:r w:rsidRPr="00BA00BA">
        <w:rPr>
          <w:color w:val="77328A"/>
          <w:sz w:val="16"/>
          <w:szCs w:val="16"/>
        </w:rPr>
        <w:t xml:space="preserve"> Recital 17, Victims Directive</w:t>
      </w:r>
      <w:r w:rsidR="00BB703B" w:rsidRPr="00BA00BA">
        <w:rPr>
          <w:color w:val="77328A"/>
          <w:sz w:val="16"/>
          <w:szCs w:val="16"/>
        </w:rPr>
        <w:t xml:space="preserve"> </w:t>
      </w:r>
      <w:r w:rsidR="00F85BAA" w:rsidRPr="00BA00BA">
        <w:rPr>
          <w:color w:val="77328A"/>
          <w:sz w:val="16"/>
          <w:szCs w:val="16"/>
        </w:rPr>
        <w:t>2012/29/EU – full citation a</w:t>
      </w:r>
      <w:r w:rsidR="0063168B" w:rsidRPr="00BA00BA">
        <w:rPr>
          <w:color w:val="77328A"/>
          <w:sz w:val="16"/>
          <w:szCs w:val="16"/>
        </w:rPr>
        <w:t>t</w:t>
      </w:r>
      <w:r w:rsidR="00F85BAA" w:rsidRPr="00BA00BA">
        <w:rPr>
          <w:color w:val="77328A"/>
          <w:sz w:val="16"/>
          <w:szCs w:val="16"/>
        </w:rPr>
        <w:t xml:space="preserve"> n.30</w:t>
      </w:r>
    </w:p>
  </w:footnote>
  <w:footnote w:id="44">
    <w:p w14:paraId="56979231" w14:textId="631FBA3C" w:rsidR="00980068" w:rsidRPr="00BA00BA" w:rsidRDefault="00980068" w:rsidP="00BA00BA">
      <w:pPr>
        <w:pStyle w:val="FootnoteText"/>
        <w:spacing w:line="240" w:lineRule="auto"/>
        <w:rPr>
          <w:color w:val="77328A"/>
          <w:sz w:val="16"/>
          <w:szCs w:val="16"/>
        </w:rPr>
      </w:pPr>
      <w:r w:rsidRPr="00BA00BA">
        <w:rPr>
          <w:rStyle w:val="FootnoteReference"/>
          <w:color w:val="77328A"/>
          <w:sz w:val="16"/>
          <w:szCs w:val="16"/>
        </w:rPr>
        <w:footnoteRef/>
      </w:r>
      <w:r w:rsidRPr="00BA00BA">
        <w:rPr>
          <w:color w:val="77328A"/>
          <w:sz w:val="16"/>
          <w:szCs w:val="16"/>
        </w:rPr>
        <w:t xml:space="preserve"> Rule 39 of the ECtHR Rules of Court provide for the issue of interim measures to any State Party to the Convention. </w:t>
      </w:r>
    </w:p>
  </w:footnote>
  <w:footnote w:id="45">
    <w:p w14:paraId="0FD03FB0" w14:textId="1F8E7F09" w:rsidR="00980068" w:rsidRPr="00BA00BA" w:rsidRDefault="00980068" w:rsidP="00BA00BA">
      <w:pPr>
        <w:pStyle w:val="FootnoteText"/>
        <w:spacing w:line="240" w:lineRule="auto"/>
        <w:rPr>
          <w:color w:val="77328A"/>
          <w:sz w:val="16"/>
          <w:szCs w:val="16"/>
        </w:rPr>
      </w:pPr>
      <w:r w:rsidRPr="00BA00BA">
        <w:rPr>
          <w:rStyle w:val="FootnoteReference"/>
          <w:rFonts w:cs="Times New Roman"/>
          <w:color w:val="77328A"/>
          <w:sz w:val="16"/>
          <w:szCs w:val="16"/>
        </w:rPr>
        <w:footnoteRef/>
      </w:r>
      <w:r w:rsidRPr="00BA00BA">
        <w:rPr>
          <w:rFonts w:cs="Times New Roman"/>
          <w:color w:val="77328A"/>
          <w:sz w:val="16"/>
          <w:szCs w:val="16"/>
        </w:rPr>
        <w:t xml:space="preserve"> </w:t>
      </w:r>
      <w:r w:rsidRPr="00BA00BA">
        <w:rPr>
          <w:rFonts w:cs="Times New Roman"/>
          <w:i/>
          <w:iCs/>
          <w:color w:val="77328A"/>
          <w:sz w:val="16"/>
          <w:szCs w:val="16"/>
        </w:rPr>
        <w:t>Mamatkulov and Askarov v Turkey</w:t>
      </w:r>
      <w:r w:rsidRPr="00BA00BA">
        <w:rPr>
          <w:rFonts w:cs="Times New Roman"/>
          <w:color w:val="77328A"/>
          <w:sz w:val="16"/>
          <w:szCs w:val="16"/>
        </w:rPr>
        <w:t xml:space="preserve"> </w:t>
      </w:r>
      <w:r w:rsidR="00B51AEA" w:rsidRPr="00BA00BA">
        <w:rPr>
          <w:rFonts w:cs="Times New Roman"/>
          <w:color w:val="77328A"/>
          <w:sz w:val="16"/>
          <w:szCs w:val="16"/>
        </w:rPr>
        <w:t>(</w:t>
      </w:r>
      <w:r w:rsidR="00C32338" w:rsidRPr="00BA00BA">
        <w:rPr>
          <w:rFonts w:cs="Times New Roman"/>
          <w:color w:val="77328A"/>
          <w:sz w:val="16"/>
          <w:szCs w:val="16"/>
        </w:rPr>
        <w:t>2005</w:t>
      </w:r>
      <w:r w:rsidR="00B51AEA" w:rsidRPr="00BA00BA">
        <w:rPr>
          <w:rFonts w:cs="Times New Roman"/>
          <w:color w:val="77328A"/>
          <w:sz w:val="16"/>
          <w:szCs w:val="16"/>
        </w:rPr>
        <w:t xml:space="preserve">) </w:t>
      </w:r>
      <w:r w:rsidR="00C32338" w:rsidRPr="00BA00BA">
        <w:rPr>
          <w:rFonts w:cs="Times New Roman"/>
          <w:color w:val="77328A"/>
          <w:sz w:val="16"/>
          <w:szCs w:val="16"/>
        </w:rPr>
        <w:t>ECHR 64</w:t>
      </w:r>
      <w:r w:rsidRPr="00BA00BA">
        <w:rPr>
          <w:rFonts w:cs="Times New Roman"/>
          <w:color w:val="77328A"/>
          <w:sz w:val="16"/>
          <w:szCs w:val="16"/>
        </w:rPr>
        <w:t>.</w:t>
      </w:r>
    </w:p>
  </w:footnote>
  <w:footnote w:id="46">
    <w:p w14:paraId="43280D44" w14:textId="77777777" w:rsidR="00980068" w:rsidRPr="00BA00BA" w:rsidRDefault="00980068" w:rsidP="00BA00BA">
      <w:pPr>
        <w:pStyle w:val="NIHRCFootnotes"/>
        <w:rPr>
          <w:color w:val="7030A0"/>
        </w:rPr>
      </w:pPr>
      <w:r w:rsidRPr="00BA00BA">
        <w:rPr>
          <w:vertAlign w:val="superscript"/>
        </w:rPr>
        <w:footnoteRef/>
      </w:r>
      <w:r w:rsidRPr="00BA00BA">
        <w:rPr>
          <w:vertAlign w:val="superscript"/>
        </w:rPr>
        <w:t xml:space="preserve"> </w:t>
      </w:r>
      <w:r w:rsidRPr="00BA00BA">
        <w:t>The Good Friday Agreement 1998, Rights, Safeguards and Equality of Opportunity, at para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48F4"/>
    <w:multiLevelType w:val="hybridMultilevel"/>
    <w:tmpl w:val="E73C99EA"/>
    <w:lvl w:ilvl="0" w:tplc="80B2ABD2">
      <w:start w:val="1"/>
      <w:numFmt w:val="decimal"/>
      <w:lvlText w:val="%1.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472294"/>
    <w:multiLevelType w:val="hybridMultilevel"/>
    <w:tmpl w:val="E3D03D5E"/>
    <w:lvl w:ilvl="0" w:tplc="BC7C6458">
      <w:start w:val="1"/>
      <w:numFmt w:val="decimal"/>
      <w:lvlText w:val="1.%1"/>
      <w:lvlJc w:val="left"/>
      <w:pPr>
        <w:ind w:left="1440" w:hanging="360"/>
      </w:pPr>
      <w:rPr>
        <w:rFonts w:hint="default"/>
        <w:vanish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793423"/>
    <w:multiLevelType w:val="multilevel"/>
    <w:tmpl w:val="97C4AB8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45874F0"/>
    <w:multiLevelType w:val="multilevel"/>
    <w:tmpl w:val="3D485C02"/>
    <w:lvl w:ilvl="0">
      <w:start w:val="3"/>
      <w:numFmt w:val="decimal"/>
      <w:lvlText w:val="%1.0"/>
      <w:lvlJc w:val="left"/>
      <w:pPr>
        <w:ind w:left="720" w:hanging="720"/>
      </w:pPr>
      <w:rPr>
        <w:rFonts w:hint="default"/>
        <w:color w:val="auto"/>
      </w:rPr>
    </w:lvl>
    <w:lvl w:ilvl="1">
      <w:start w:val="1"/>
      <w:numFmt w:val="decimal"/>
      <w:lvlText w:val="%1.%2"/>
      <w:lvlJc w:val="left"/>
      <w:pPr>
        <w:ind w:left="720" w:hanging="720"/>
      </w:pPr>
      <w:rPr>
        <w:rFonts w:ascii="Verdana" w:hAnsi="Verdana" w:hint="default"/>
        <w:b w:val="0"/>
        <w:color w:val="auto"/>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4" w15:restartNumberingAfterBreak="0">
    <w:nsid w:val="2A261FD4"/>
    <w:multiLevelType w:val="multilevel"/>
    <w:tmpl w:val="3BF6C39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DFE30B1"/>
    <w:multiLevelType w:val="multilevel"/>
    <w:tmpl w:val="7214F3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408B51D8"/>
    <w:multiLevelType w:val="multilevel"/>
    <w:tmpl w:val="FFFFFFFF"/>
    <w:lvl w:ilvl="0">
      <w:start w:val="3"/>
      <w:numFmt w:val="decimal"/>
      <w:lvlText w:val="%1"/>
      <w:lvlJc w:val="left"/>
      <w:pPr>
        <w:ind w:left="608" w:hanging="608"/>
      </w:pPr>
      <w:rPr>
        <w:rFonts w:cs="MinionPro-Regular" w:hint="default"/>
        <w:color w:val="000000"/>
      </w:rPr>
    </w:lvl>
    <w:lvl w:ilvl="1">
      <w:start w:val="1"/>
      <w:numFmt w:val="decimal"/>
      <w:lvlText w:val="%1.%2"/>
      <w:lvlJc w:val="left"/>
      <w:pPr>
        <w:ind w:left="720" w:hanging="720"/>
      </w:pPr>
      <w:rPr>
        <w:rFonts w:cs="MinionPro-Regular" w:hint="default"/>
        <w:b w:val="0"/>
        <w:color w:val="000000"/>
        <w:sz w:val="24"/>
        <w:szCs w:val="24"/>
      </w:rPr>
    </w:lvl>
    <w:lvl w:ilvl="2">
      <w:start w:val="1"/>
      <w:numFmt w:val="decimal"/>
      <w:lvlText w:val="%1.%2.%3"/>
      <w:lvlJc w:val="left"/>
      <w:pPr>
        <w:ind w:left="1080" w:hanging="1080"/>
      </w:pPr>
      <w:rPr>
        <w:rFonts w:cs="MinionPro-Regular" w:hint="default"/>
        <w:color w:val="000000"/>
      </w:rPr>
    </w:lvl>
    <w:lvl w:ilvl="3">
      <w:start w:val="1"/>
      <w:numFmt w:val="decimal"/>
      <w:lvlText w:val="%1.%2.%3.%4"/>
      <w:lvlJc w:val="left"/>
      <w:pPr>
        <w:ind w:left="1440" w:hanging="1440"/>
      </w:pPr>
      <w:rPr>
        <w:rFonts w:cs="MinionPro-Regular" w:hint="default"/>
        <w:color w:val="000000"/>
      </w:rPr>
    </w:lvl>
    <w:lvl w:ilvl="4">
      <w:start w:val="1"/>
      <w:numFmt w:val="decimal"/>
      <w:lvlText w:val="%1.%2.%3.%4.%5"/>
      <w:lvlJc w:val="left"/>
      <w:pPr>
        <w:ind w:left="1440" w:hanging="1440"/>
      </w:pPr>
      <w:rPr>
        <w:rFonts w:cs="MinionPro-Regular" w:hint="default"/>
        <w:color w:val="000000"/>
      </w:rPr>
    </w:lvl>
    <w:lvl w:ilvl="5">
      <w:start w:val="1"/>
      <w:numFmt w:val="decimal"/>
      <w:lvlText w:val="%1.%2.%3.%4.%5.%6"/>
      <w:lvlJc w:val="left"/>
      <w:pPr>
        <w:ind w:left="1800" w:hanging="1800"/>
      </w:pPr>
      <w:rPr>
        <w:rFonts w:cs="MinionPro-Regular" w:hint="default"/>
        <w:color w:val="000000"/>
      </w:rPr>
    </w:lvl>
    <w:lvl w:ilvl="6">
      <w:start w:val="1"/>
      <w:numFmt w:val="decimal"/>
      <w:lvlText w:val="%1.%2.%3.%4.%5.%6.%7"/>
      <w:lvlJc w:val="left"/>
      <w:pPr>
        <w:ind w:left="2160" w:hanging="2160"/>
      </w:pPr>
      <w:rPr>
        <w:rFonts w:cs="MinionPro-Regular" w:hint="default"/>
        <w:color w:val="000000"/>
      </w:rPr>
    </w:lvl>
    <w:lvl w:ilvl="7">
      <w:start w:val="1"/>
      <w:numFmt w:val="decimal"/>
      <w:lvlText w:val="%1.%2.%3.%4.%5.%6.%7.%8"/>
      <w:lvlJc w:val="left"/>
      <w:pPr>
        <w:ind w:left="2520" w:hanging="2520"/>
      </w:pPr>
      <w:rPr>
        <w:rFonts w:cs="MinionPro-Regular" w:hint="default"/>
        <w:color w:val="000000"/>
      </w:rPr>
    </w:lvl>
    <w:lvl w:ilvl="8">
      <w:start w:val="1"/>
      <w:numFmt w:val="decimal"/>
      <w:lvlText w:val="%1.%2.%3.%4.%5.%6.%7.%8.%9"/>
      <w:lvlJc w:val="left"/>
      <w:pPr>
        <w:ind w:left="2880" w:hanging="2880"/>
      </w:pPr>
      <w:rPr>
        <w:rFonts w:cs="MinionPro-Regular" w:hint="default"/>
        <w:color w:val="000000"/>
      </w:rPr>
    </w:lvl>
  </w:abstractNum>
  <w:abstractNum w:abstractNumId="7" w15:restartNumberingAfterBreak="0">
    <w:nsid w:val="4D6A2093"/>
    <w:multiLevelType w:val="multilevel"/>
    <w:tmpl w:val="C7E422DC"/>
    <w:lvl w:ilvl="0">
      <w:start w:val="5"/>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71F64100"/>
    <w:multiLevelType w:val="multilevel"/>
    <w:tmpl w:val="E216F594"/>
    <w:lvl w:ilvl="0">
      <w:start w:val="1"/>
      <w:numFmt w:val="decimal"/>
      <w:pStyle w:val="Heading1"/>
      <w:lvlText w:val="%1.0"/>
      <w:lvlJc w:val="left"/>
      <w:pPr>
        <w:ind w:left="720" w:hanging="720"/>
      </w:pPr>
      <w:rPr>
        <w:rFonts w:hint="default"/>
      </w:rPr>
    </w:lvl>
    <w:lvl w:ilvl="1">
      <w:start w:val="1"/>
      <w:numFmt w:val="decimal"/>
      <w:pStyle w:val="ListParagraph"/>
      <w:lvlText w:val="%1.%2"/>
      <w:lvlJc w:val="left"/>
      <w:pPr>
        <w:ind w:left="1440" w:hanging="720"/>
      </w:pPr>
      <w:rPr>
        <w:rFonts w:hint="default"/>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16cid:durableId="1363439006">
    <w:abstractNumId w:val="1"/>
  </w:num>
  <w:num w:numId="2" w16cid:durableId="2084377726">
    <w:abstractNumId w:val="2"/>
  </w:num>
  <w:num w:numId="3" w16cid:durableId="1718973592">
    <w:abstractNumId w:val="7"/>
  </w:num>
  <w:num w:numId="4" w16cid:durableId="53702865">
    <w:abstractNumId w:val="5"/>
  </w:num>
  <w:num w:numId="5" w16cid:durableId="650061469">
    <w:abstractNumId w:val="3"/>
  </w:num>
  <w:num w:numId="6" w16cid:durableId="830947591">
    <w:abstractNumId w:val="4"/>
  </w:num>
  <w:num w:numId="7" w16cid:durableId="1041634808">
    <w:abstractNumId w:val="0"/>
  </w:num>
  <w:num w:numId="8" w16cid:durableId="1067923461">
    <w:abstractNumId w:val="8"/>
  </w:num>
  <w:num w:numId="9" w16cid:durableId="1179274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854399">
    <w:abstractNumId w:val="6"/>
  </w:num>
  <w:num w:numId="11" w16cid:durableId="1261528903">
    <w:abstractNumId w:val="8"/>
    <w:lvlOverride w:ilvl="0">
      <w:startOverride w:val="2"/>
    </w:lvlOverride>
    <w:lvlOverride w:ilvl="1">
      <w:startOverride w:val="6"/>
    </w:lvlOverride>
  </w:num>
  <w:num w:numId="12" w16cid:durableId="1197432068">
    <w:abstractNumId w:val="8"/>
    <w:lvlOverride w:ilvl="0">
      <w:startOverride w:val="2"/>
    </w:lvlOverride>
    <w:lvlOverride w:ilvl="1">
      <w:startOverride w:val="4"/>
    </w:lvlOverride>
  </w:num>
  <w:num w:numId="13" w16cid:durableId="699161386">
    <w:abstractNumId w:val="8"/>
    <w:lvlOverride w:ilvl="0">
      <w:startOverride w:val="4"/>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F5"/>
    <w:rsid w:val="00000569"/>
    <w:rsid w:val="00003299"/>
    <w:rsid w:val="000034F7"/>
    <w:rsid w:val="00003D2C"/>
    <w:rsid w:val="00004F5A"/>
    <w:rsid w:val="0000694B"/>
    <w:rsid w:val="00007001"/>
    <w:rsid w:val="00007BF2"/>
    <w:rsid w:val="00010CBA"/>
    <w:rsid w:val="00010F27"/>
    <w:rsid w:val="00011A55"/>
    <w:rsid w:val="00014557"/>
    <w:rsid w:val="000150A2"/>
    <w:rsid w:val="00015718"/>
    <w:rsid w:val="00015797"/>
    <w:rsid w:val="00015F3A"/>
    <w:rsid w:val="00016357"/>
    <w:rsid w:val="00016773"/>
    <w:rsid w:val="000178DE"/>
    <w:rsid w:val="00017BA0"/>
    <w:rsid w:val="00017BEB"/>
    <w:rsid w:val="000200D6"/>
    <w:rsid w:val="00020168"/>
    <w:rsid w:val="0002347A"/>
    <w:rsid w:val="00023D04"/>
    <w:rsid w:val="00023FE1"/>
    <w:rsid w:val="000257B2"/>
    <w:rsid w:val="00026532"/>
    <w:rsid w:val="0002742A"/>
    <w:rsid w:val="00027ACC"/>
    <w:rsid w:val="00027FDD"/>
    <w:rsid w:val="00027FE7"/>
    <w:rsid w:val="000316ED"/>
    <w:rsid w:val="00035F00"/>
    <w:rsid w:val="0003604E"/>
    <w:rsid w:val="000401CD"/>
    <w:rsid w:val="00040A16"/>
    <w:rsid w:val="00040BB9"/>
    <w:rsid w:val="000411D8"/>
    <w:rsid w:val="00041CBD"/>
    <w:rsid w:val="0004292D"/>
    <w:rsid w:val="000431CA"/>
    <w:rsid w:val="0004362F"/>
    <w:rsid w:val="000441AD"/>
    <w:rsid w:val="00045039"/>
    <w:rsid w:val="00045C45"/>
    <w:rsid w:val="00046514"/>
    <w:rsid w:val="00046AF5"/>
    <w:rsid w:val="00047A85"/>
    <w:rsid w:val="00051289"/>
    <w:rsid w:val="0005316F"/>
    <w:rsid w:val="0005375F"/>
    <w:rsid w:val="00053C00"/>
    <w:rsid w:val="00053DD6"/>
    <w:rsid w:val="00053F32"/>
    <w:rsid w:val="000545E8"/>
    <w:rsid w:val="00057ECE"/>
    <w:rsid w:val="00060A98"/>
    <w:rsid w:val="000622FE"/>
    <w:rsid w:val="000635D7"/>
    <w:rsid w:val="00064F3A"/>
    <w:rsid w:val="0006643C"/>
    <w:rsid w:val="00066984"/>
    <w:rsid w:val="00070919"/>
    <w:rsid w:val="00070ADC"/>
    <w:rsid w:val="00071982"/>
    <w:rsid w:val="00072390"/>
    <w:rsid w:val="00072C14"/>
    <w:rsid w:val="00073C16"/>
    <w:rsid w:val="00073FEF"/>
    <w:rsid w:val="00074714"/>
    <w:rsid w:val="00076E3E"/>
    <w:rsid w:val="0008215E"/>
    <w:rsid w:val="00082433"/>
    <w:rsid w:val="00082D38"/>
    <w:rsid w:val="0008320E"/>
    <w:rsid w:val="000833B1"/>
    <w:rsid w:val="00083CC5"/>
    <w:rsid w:val="000850A7"/>
    <w:rsid w:val="00086959"/>
    <w:rsid w:val="000869A3"/>
    <w:rsid w:val="00087A54"/>
    <w:rsid w:val="00090EFB"/>
    <w:rsid w:val="00091962"/>
    <w:rsid w:val="000935A3"/>
    <w:rsid w:val="000940AE"/>
    <w:rsid w:val="00095716"/>
    <w:rsid w:val="00095D20"/>
    <w:rsid w:val="00095EE7"/>
    <w:rsid w:val="000969DC"/>
    <w:rsid w:val="00096D4D"/>
    <w:rsid w:val="000A1184"/>
    <w:rsid w:val="000A1246"/>
    <w:rsid w:val="000A2B67"/>
    <w:rsid w:val="000A4EA2"/>
    <w:rsid w:val="000A7756"/>
    <w:rsid w:val="000B5089"/>
    <w:rsid w:val="000B6A9E"/>
    <w:rsid w:val="000B739B"/>
    <w:rsid w:val="000C09D7"/>
    <w:rsid w:val="000C2750"/>
    <w:rsid w:val="000C28F0"/>
    <w:rsid w:val="000C4538"/>
    <w:rsid w:val="000C4C0E"/>
    <w:rsid w:val="000C6C66"/>
    <w:rsid w:val="000C6D2F"/>
    <w:rsid w:val="000D141C"/>
    <w:rsid w:val="000D3354"/>
    <w:rsid w:val="000D4656"/>
    <w:rsid w:val="000D7649"/>
    <w:rsid w:val="000D77F8"/>
    <w:rsid w:val="000E2933"/>
    <w:rsid w:val="000E3215"/>
    <w:rsid w:val="000E3722"/>
    <w:rsid w:val="000E472A"/>
    <w:rsid w:val="000E5ECF"/>
    <w:rsid w:val="000E7E72"/>
    <w:rsid w:val="000F0C62"/>
    <w:rsid w:val="000F2801"/>
    <w:rsid w:val="000F3258"/>
    <w:rsid w:val="000F3A33"/>
    <w:rsid w:val="000F5AAC"/>
    <w:rsid w:val="00103730"/>
    <w:rsid w:val="0010473E"/>
    <w:rsid w:val="001057CD"/>
    <w:rsid w:val="00106EA2"/>
    <w:rsid w:val="00107961"/>
    <w:rsid w:val="00107D3B"/>
    <w:rsid w:val="00111108"/>
    <w:rsid w:val="00112997"/>
    <w:rsid w:val="0011343D"/>
    <w:rsid w:val="00113453"/>
    <w:rsid w:val="00113890"/>
    <w:rsid w:val="001151A5"/>
    <w:rsid w:val="00117E0B"/>
    <w:rsid w:val="00120662"/>
    <w:rsid w:val="00120839"/>
    <w:rsid w:val="001211E9"/>
    <w:rsid w:val="001214D0"/>
    <w:rsid w:val="00122010"/>
    <w:rsid w:val="00122B2F"/>
    <w:rsid w:val="00123F15"/>
    <w:rsid w:val="00124184"/>
    <w:rsid w:val="00124447"/>
    <w:rsid w:val="001277B0"/>
    <w:rsid w:val="001308E9"/>
    <w:rsid w:val="0013314C"/>
    <w:rsid w:val="00134289"/>
    <w:rsid w:val="001357ED"/>
    <w:rsid w:val="00137531"/>
    <w:rsid w:val="001378B7"/>
    <w:rsid w:val="00142AF9"/>
    <w:rsid w:val="00144BF8"/>
    <w:rsid w:val="00145180"/>
    <w:rsid w:val="00145A2B"/>
    <w:rsid w:val="00145F1A"/>
    <w:rsid w:val="00146A95"/>
    <w:rsid w:val="001479C0"/>
    <w:rsid w:val="00147D78"/>
    <w:rsid w:val="00150F7E"/>
    <w:rsid w:val="00151114"/>
    <w:rsid w:val="00153E35"/>
    <w:rsid w:val="001560F2"/>
    <w:rsid w:val="00160BA8"/>
    <w:rsid w:val="00161E67"/>
    <w:rsid w:val="00162BF8"/>
    <w:rsid w:val="00162E1F"/>
    <w:rsid w:val="001637EF"/>
    <w:rsid w:val="001639FA"/>
    <w:rsid w:val="0016673D"/>
    <w:rsid w:val="001670CC"/>
    <w:rsid w:val="00167BCF"/>
    <w:rsid w:val="00171BAA"/>
    <w:rsid w:val="00173D18"/>
    <w:rsid w:val="001741E2"/>
    <w:rsid w:val="001758D0"/>
    <w:rsid w:val="001774BC"/>
    <w:rsid w:val="0017777B"/>
    <w:rsid w:val="0018071A"/>
    <w:rsid w:val="0018075D"/>
    <w:rsid w:val="0018187A"/>
    <w:rsid w:val="00181D87"/>
    <w:rsid w:val="001824B9"/>
    <w:rsid w:val="00182A7D"/>
    <w:rsid w:val="00182C3B"/>
    <w:rsid w:val="0018312B"/>
    <w:rsid w:val="00184321"/>
    <w:rsid w:val="00184717"/>
    <w:rsid w:val="001847E8"/>
    <w:rsid w:val="00185701"/>
    <w:rsid w:val="0018761A"/>
    <w:rsid w:val="001919E0"/>
    <w:rsid w:val="00192F37"/>
    <w:rsid w:val="00195597"/>
    <w:rsid w:val="001978F0"/>
    <w:rsid w:val="00197BD4"/>
    <w:rsid w:val="001A23CA"/>
    <w:rsid w:val="001A6C65"/>
    <w:rsid w:val="001A7ED6"/>
    <w:rsid w:val="001B148A"/>
    <w:rsid w:val="001B1FD1"/>
    <w:rsid w:val="001B236D"/>
    <w:rsid w:val="001B2A0A"/>
    <w:rsid w:val="001B4B74"/>
    <w:rsid w:val="001B6359"/>
    <w:rsid w:val="001B7A5E"/>
    <w:rsid w:val="001C0A4B"/>
    <w:rsid w:val="001C0BA4"/>
    <w:rsid w:val="001C0EA1"/>
    <w:rsid w:val="001C2A56"/>
    <w:rsid w:val="001C2ECC"/>
    <w:rsid w:val="001C4D74"/>
    <w:rsid w:val="001C5A4B"/>
    <w:rsid w:val="001C6068"/>
    <w:rsid w:val="001C6E81"/>
    <w:rsid w:val="001D01A8"/>
    <w:rsid w:val="001D0887"/>
    <w:rsid w:val="001D25FA"/>
    <w:rsid w:val="001D3A74"/>
    <w:rsid w:val="001D5254"/>
    <w:rsid w:val="001D6848"/>
    <w:rsid w:val="001E0791"/>
    <w:rsid w:val="001E1DC8"/>
    <w:rsid w:val="001E3302"/>
    <w:rsid w:val="001E4D9F"/>
    <w:rsid w:val="001E54AF"/>
    <w:rsid w:val="001E6A34"/>
    <w:rsid w:val="001E7723"/>
    <w:rsid w:val="001F038B"/>
    <w:rsid w:val="001F20CD"/>
    <w:rsid w:val="001F2989"/>
    <w:rsid w:val="001F2C37"/>
    <w:rsid w:val="001F31A4"/>
    <w:rsid w:val="001F56F0"/>
    <w:rsid w:val="001F665C"/>
    <w:rsid w:val="0020081D"/>
    <w:rsid w:val="00200BC5"/>
    <w:rsid w:val="00201C08"/>
    <w:rsid w:val="00202F03"/>
    <w:rsid w:val="00211708"/>
    <w:rsid w:val="00211C65"/>
    <w:rsid w:val="002138A6"/>
    <w:rsid w:val="00214AD5"/>
    <w:rsid w:val="00215878"/>
    <w:rsid w:val="00217D8A"/>
    <w:rsid w:val="0022028C"/>
    <w:rsid w:val="00220839"/>
    <w:rsid w:val="00223A89"/>
    <w:rsid w:val="0022449D"/>
    <w:rsid w:val="002249DE"/>
    <w:rsid w:val="00225D12"/>
    <w:rsid w:val="00226697"/>
    <w:rsid w:val="002304D9"/>
    <w:rsid w:val="0023065B"/>
    <w:rsid w:val="00230D64"/>
    <w:rsid w:val="00231B24"/>
    <w:rsid w:val="00233212"/>
    <w:rsid w:val="0023454D"/>
    <w:rsid w:val="00234888"/>
    <w:rsid w:val="002401AA"/>
    <w:rsid w:val="00240637"/>
    <w:rsid w:val="00241FB2"/>
    <w:rsid w:val="0024221F"/>
    <w:rsid w:val="00242EE4"/>
    <w:rsid w:val="00243C8C"/>
    <w:rsid w:val="00245784"/>
    <w:rsid w:val="00245CC6"/>
    <w:rsid w:val="00245D3C"/>
    <w:rsid w:val="0024632D"/>
    <w:rsid w:val="00246448"/>
    <w:rsid w:val="0025033C"/>
    <w:rsid w:val="00250E1B"/>
    <w:rsid w:val="0025120D"/>
    <w:rsid w:val="002545E7"/>
    <w:rsid w:val="00255758"/>
    <w:rsid w:val="0025601F"/>
    <w:rsid w:val="00261203"/>
    <w:rsid w:val="0026482F"/>
    <w:rsid w:val="002652B9"/>
    <w:rsid w:val="00266703"/>
    <w:rsid w:val="0026762A"/>
    <w:rsid w:val="00267A88"/>
    <w:rsid w:val="00270F51"/>
    <w:rsid w:val="00272A52"/>
    <w:rsid w:val="00274BA5"/>
    <w:rsid w:val="0027680F"/>
    <w:rsid w:val="002768D7"/>
    <w:rsid w:val="0027799E"/>
    <w:rsid w:val="002779D1"/>
    <w:rsid w:val="00280B57"/>
    <w:rsid w:val="00281D5E"/>
    <w:rsid w:val="00282225"/>
    <w:rsid w:val="002829C0"/>
    <w:rsid w:val="00283F99"/>
    <w:rsid w:val="00284124"/>
    <w:rsid w:val="00284BC6"/>
    <w:rsid w:val="0028578A"/>
    <w:rsid w:val="00287B82"/>
    <w:rsid w:val="002904B7"/>
    <w:rsid w:val="00292933"/>
    <w:rsid w:val="00293D6C"/>
    <w:rsid w:val="00295514"/>
    <w:rsid w:val="002968EF"/>
    <w:rsid w:val="00297197"/>
    <w:rsid w:val="00297985"/>
    <w:rsid w:val="002A0EAD"/>
    <w:rsid w:val="002A1A4C"/>
    <w:rsid w:val="002A3774"/>
    <w:rsid w:val="002A4EF1"/>
    <w:rsid w:val="002A6406"/>
    <w:rsid w:val="002A6B85"/>
    <w:rsid w:val="002B0B8E"/>
    <w:rsid w:val="002B1910"/>
    <w:rsid w:val="002B27A5"/>
    <w:rsid w:val="002B3744"/>
    <w:rsid w:val="002B5C41"/>
    <w:rsid w:val="002B72AD"/>
    <w:rsid w:val="002B7B72"/>
    <w:rsid w:val="002B7C57"/>
    <w:rsid w:val="002C0236"/>
    <w:rsid w:val="002C1EAD"/>
    <w:rsid w:val="002C5281"/>
    <w:rsid w:val="002C5BD8"/>
    <w:rsid w:val="002C6154"/>
    <w:rsid w:val="002C7707"/>
    <w:rsid w:val="002D0AD7"/>
    <w:rsid w:val="002D1B5E"/>
    <w:rsid w:val="002D21B5"/>
    <w:rsid w:val="002D2447"/>
    <w:rsid w:val="002D2B2C"/>
    <w:rsid w:val="002D429A"/>
    <w:rsid w:val="002D4854"/>
    <w:rsid w:val="002D63E1"/>
    <w:rsid w:val="002D71E4"/>
    <w:rsid w:val="002D7850"/>
    <w:rsid w:val="002E0931"/>
    <w:rsid w:val="002E0B93"/>
    <w:rsid w:val="002E0D5A"/>
    <w:rsid w:val="002E29A3"/>
    <w:rsid w:val="002E2B01"/>
    <w:rsid w:val="002E60E1"/>
    <w:rsid w:val="002E6698"/>
    <w:rsid w:val="002E72A3"/>
    <w:rsid w:val="002E7FF0"/>
    <w:rsid w:val="002F08A0"/>
    <w:rsid w:val="002F21E2"/>
    <w:rsid w:val="002F2DDD"/>
    <w:rsid w:val="002F33B0"/>
    <w:rsid w:val="002F44D9"/>
    <w:rsid w:val="002F4E8E"/>
    <w:rsid w:val="002F5348"/>
    <w:rsid w:val="002F62F5"/>
    <w:rsid w:val="00300900"/>
    <w:rsid w:val="00301C3E"/>
    <w:rsid w:val="00302EF4"/>
    <w:rsid w:val="00303722"/>
    <w:rsid w:val="0030395C"/>
    <w:rsid w:val="00303E8E"/>
    <w:rsid w:val="00306B9F"/>
    <w:rsid w:val="003106DB"/>
    <w:rsid w:val="00310E91"/>
    <w:rsid w:val="00312E28"/>
    <w:rsid w:val="00313868"/>
    <w:rsid w:val="00314965"/>
    <w:rsid w:val="00314BE5"/>
    <w:rsid w:val="00314D6A"/>
    <w:rsid w:val="0031554A"/>
    <w:rsid w:val="00315E6C"/>
    <w:rsid w:val="00315F49"/>
    <w:rsid w:val="00316585"/>
    <w:rsid w:val="003165A0"/>
    <w:rsid w:val="003168FE"/>
    <w:rsid w:val="003172A6"/>
    <w:rsid w:val="0031747A"/>
    <w:rsid w:val="003175A6"/>
    <w:rsid w:val="00321847"/>
    <w:rsid w:val="00322282"/>
    <w:rsid w:val="003259BE"/>
    <w:rsid w:val="0033187D"/>
    <w:rsid w:val="00332B67"/>
    <w:rsid w:val="00332F2B"/>
    <w:rsid w:val="003341F0"/>
    <w:rsid w:val="0033563B"/>
    <w:rsid w:val="00337090"/>
    <w:rsid w:val="0033756B"/>
    <w:rsid w:val="00337694"/>
    <w:rsid w:val="003406C1"/>
    <w:rsid w:val="00340D92"/>
    <w:rsid w:val="00340FD0"/>
    <w:rsid w:val="00342329"/>
    <w:rsid w:val="003456EF"/>
    <w:rsid w:val="003457BF"/>
    <w:rsid w:val="00345C2F"/>
    <w:rsid w:val="00346026"/>
    <w:rsid w:val="00347277"/>
    <w:rsid w:val="00350102"/>
    <w:rsid w:val="0035164B"/>
    <w:rsid w:val="00352549"/>
    <w:rsid w:val="003541A0"/>
    <w:rsid w:val="00355773"/>
    <w:rsid w:val="0035578F"/>
    <w:rsid w:val="00356D1A"/>
    <w:rsid w:val="00356EAF"/>
    <w:rsid w:val="003577AA"/>
    <w:rsid w:val="0035796C"/>
    <w:rsid w:val="003600C5"/>
    <w:rsid w:val="00361406"/>
    <w:rsid w:val="00361F78"/>
    <w:rsid w:val="00363F9F"/>
    <w:rsid w:val="0036466F"/>
    <w:rsid w:val="00365B5B"/>
    <w:rsid w:val="0036737C"/>
    <w:rsid w:val="00371B69"/>
    <w:rsid w:val="00371BC2"/>
    <w:rsid w:val="00371D5C"/>
    <w:rsid w:val="00371ECF"/>
    <w:rsid w:val="00372261"/>
    <w:rsid w:val="00372E2F"/>
    <w:rsid w:val="0037385F"/>
    <w:rsid w:val="00375410"/>
    <w:rsid w:val="00375546"/>
    <w:rsid w:val="00377957"/>
    <w:rsid w:val="00382A4C"/>
    <w:rsid w:val="00383628"/>
    <w:rsid w:val="00384098"/>
    <w:rsid w:val="003867A9"/>
    <w:rsid w:val="00387C3F"/>
    <w:rsid w:val="003920A8"/>
    <w:rsid w:val="00394F3E"/>
    <w:rsid w:val="00395F0C"/>
    <w:rsid w:val="00396D57"/>
    <w:rsid w:val="00397327"/>
    <w:rsid w:val="003A0BFC"/>
    <w:rsid w:val="003A108D"/>
    <w:rsid w:val="003A1E3A"/>
    <w:rsid w:val="003A224D"/>
    <w:rsid w:val="003A3D5B"/>
    <w:rsid w:val="003A4DF4"/>
    <w:rsid w:val="003A6A7F"/>
    <w:rsid w:val="003A6BB5"/>
    <w:rsid w:val="003A6EA4"/>
    <w:rsid w:val="003A7249"/>
    <w:rsid w:val="003A7841"/>
    <w:rsid w:val="003A78D8"/>
    <w:rsid w:val="003B0738"/>
    <w:rsid w:val="003B1845"/>
    <w:rsid w:val="003B231D"/>
    <w:rsid w:val="003B56B8"/>
    <w:rsid w:val="003B6A33"/>
    <w:rsid w:val="003C032A"/>
    <w:rsid w:val="003C0D1E"/>
    <w:rsid w:val="003C137B"/>
    <w:rsid w:val="003C189E"/>
    <w:rsid w:val="003C1DAE"/>
    <w:rsid w:val="003C3FAF"/>
    <w:rsid w:val="003C4BCE"/>
    <w:rsid w:val="003C4E82"/>
    <w:rsid w:val="003C5E2A"/>
    <w:rsid w:val="003C7076"/>
    <w:rsid w:val="003C7883"/>
    <w:rsid w:val="003D1068"/>
    <w:rsid w:val="003D2632"/>
    <w:rsid w:val="003D3C81"/>
    <w:rsid w:val="003D69D6"/>
    <w:rsid w:val="003D6A14"/>
    <w:rsid w:val="003D7119"/>
    <w:rsid w:val="003E0701"/>
    <w:rsid w:val="003E07EC"/>
    <w:rsid w:val="003E2224"/>
    <w:rsid w:val="003E5275"/>
    <w:rsid w:val="003E57A9"/>
    <w:rsid w:val="003E5A73"/>
    <w:rsid w:val="003E5F1B"/>
    <w:rsid w:val="003E749E"/>
    <w:rsid w:val="003E75C4"/>
    <w:rsid w:val="003E7878"/>
    <w:rsid w:val="003F1103"/>
    <w:rsid w:val="003F4326"/>
    <w:rsid w:val="003F549D"/>
    <w:rsid w:val="003F60F5"/>
    <w:rsid w:val="003F6820"/>
    <w:rsid w:val="003F6AB9"/>
    <w:rsid w:val="004013E2"/>
    <w:rsid w:val="00401A7F"/>
    <w:rsid w:val="00402DDE"/>
    <w:rsid w:val="004030B5"/>
    <w:rsid w:val="00403F0F"/>
    <w:rsid w:val="00406466"/>
    <w:rsid w:val="00406ABD"/>
    <w:rsid w:val="00407A8F"/>
    <w:rsid w:val="00407E4B"/>
    <w:rsid w:val="004102B3"/>
    <w:rsid w:val="00410A9F"/>
    <w:rsid w:val="00414762"/>
    <w:rsid w:val="00414A15"/>
    <w:rsid w:val="00414A2F"/>
    <w:rsid w:val="0041580C"/>
    <w:rsid w:val="00416064"/>
    <w:rsid w:val="004161B7"/>
    <w:rsid w:val="004212DA"/>
    <w:rsid w:val="004220F8"/>
    <w:rsid w:val="004224A1"/>
    <w:rsid w:val="0042337B"/>
    <w:rsid w:val="00423D3D"/>
    <w:rsid w:val="004246F7"/>
    <w:rsid w:val="00424850"/>
    <w:rsid w:val="00425570"/>
    <w:rsid w:val="004264C5"/>
    <w:rsid w:val="004276A9"/>
    <w:rsid w:val="00427DC4"/>
    <w:rsid w:val="004300FB"/>
    <w:rsid w:val="00430681"/>
    <w:rsid w:val="004308C2"/>
    <w:rsid w:val="00432799"/>
    <w:rsid w:val="00434D3D"/>
    <w:rsid w:val="00434E27"/>
    <w:rsid w:val="00435781"/>
    <w:rsid w:val="00435858"/>
    <w:rsid w:val="00436D26"/>
    <w:rsid w:val="00437334"/>
    <w:rsid w:val="00437D33"/>
    <w:rsid w:val="00437DF9"/>
    <w:rsid w:val="0044047A"/>
    <w:rsid w:val="00440B37"/>
    <w:rsid w:val="00444C12"/>
    <w:rsid w:val="00445123"/>
    <w:rsid w:val="0044607B"/>
    <w:rsid w:val="00451A84"/>
    <w:rsid w:val="00456AB5"/>
    <w:rsid w:val="00456CA9"/>
    <w:rsid w:val="00461980"/>
    <w:rsid w:val="00464A02"/>
    <w:rsid w:val="00464DE9"/>
    <w:rsid w:val="00464F48"/>
    <w:rsid w:val="00466E2F"/>
    <w:rsid w:val="00466FBF"/>
    <w:rsid w:val="00467018"/>
    <w:rsid w:val="00467F4A"/>
    <w:rsid w:val="004717DE"/>
    <w:rsid w:val="00471917"/>
    <w:rsid w:val="00472B29"/>
    <w:rsid w:val="0047488B"/>
    <w:rsid w:val="00476505"/>
    <w:rsid w:val="00476627"/>
    <w:rsid w:val="004776A7"/>
    <w:rsid w:val="00480BBF"/>
    <w:rsid w:val="00480BC0"/>
    <w:rsid w:val="00482915"/>
    <w:rsid w:val="0048308F"/>
    <w:rsid w:val="00483E12"/>
    <w:rsid w:val="00487FD9"/>
    <w:rsid w:val="004904DB"/>
    <w:rsid w:val="00490FF0"/>
    <w:rsid w:val="0049104D"/>
    <w:rsid w:val="00491774"/>
    <w:rsid w:val="00491A0A"/>
    <w:rsid w:val="00491C08"/>
    <w:rsid w:val="00491D60"/>
    <w:rsid w:val="00491FD9"/>
    <w:rsid w:val="00492A7A"/>
    <w:rsid w:val="00492B5B"/>
    <w:rsid w:val="0049335D"/>
    <w:rsid w:val="004A03C1"/>
    <w:rsid w:val="004A26BE"/>
    <w:rsid w:val="004A29FC"/>
    <w:rsid w:val="004A3820"/>
    <w:rsid w:val="004A3D0A"/>
    <w:rsid w:val="004A3F80"/>
    <w:rsid w:val="004A46FF"/>
    <w:rsid w:val="004A4A7F"/>
    <w:rsid w:val="004A4DE7"/>
    <w:rsid w:val="004A5F80"/>
    <w:rsid w:val="004A6E80"/>
    <w:rsid w:val="004A6ED8"/>
    <w:rsid w:val="004B107C"/>
    <w:rsid w:val="004B1577"/>
    <w:rsid w:val="004B2C29"/>
    <w:rsid w:val="004B563A"/>
    <w:rsid w:val="004B5693"/>
    <w:rsid w:val="004B60FC"/>
    <w:rsid w:val="004B629D"/>
    <w:rsid w:val="004B635F"/>
    <w:rsid w:val="004B6DE1"/>
    <w:rsid w:val="004B7209"/>
    <w:rsid w:val="004B7A04"/>
    <w:rsid w:val="004B7B02"/>
    <w:rsid w:val="004C16C4"/>
    <w:rsid w:val="004C2CDD"/>
    <w:rsid w:val="004C2F06"/>
    <w:rsid w:val="004C4449"/>
    <w:rsid w:val="004C6E40"/>
    <w:rsid w:val="004D086A"/>
    <w:rsid w:val="004D0FCE"/>
    <w:rsid w:val="004D1461"/>
    <w:rsid w:val="004D3BC6"/>
    <w:rsid w:val="004D4A6C"/>
    <w:rsid w:val="004D6946"/>
    <w:rsid w:val="004D75A4"/>
    <w:rsid w:val="004E12F8"/>
    <w:rsid w:val="004E2026"/>
    <w:rsid w:val="004E4157"/>
    <w:rsid w:val="004E4A16"/>
    <w:rsid w:val="004E6564"/>
    <w:rsid w:val="004F0345"/>
    <w:rsid w:val="004F0B37"/>
    <w:rsid w:val="004F10A1"/>
    <w:rsid w:val="004F176D"/>
    <w:rsid w:val="004F1C4B"/>
    <w:rsid w:val="004F21CB"/>
    <w:rsid w:val="004F24BC"/>
    <w:rsid w:val="004F319B"/>
    <w:rsid w:val="004F368B"/>
    <w:rsid w:val="004F3904"/>
    <w:rsid w:val="004F483C"/>
    <w:rsid w:val="004F5E2B"/>
    <w:rsid w:val="004F6841"/>
    <w:rsid w:val="004F7B8F"/>
    <w:rsid w:val="00501781"/>
    <w:rsid w:val="00502391"/>
    <w:rsid w:val="00502ED6"/>
    <w:rsid w:val="00503D42"/>
    <w:rsid w:val="00504235"/>
    <w:rsid w:val="00504872"/>
    <w:rsid w:val="0050581A"/>
    <w:rsid w:val="00505871"/>
    <w:rsid w:val="005061EA"/>
    <w:rsid w:val="0050684E"/>
    <w:rsid w:val="00510AB8"/>
    <w:rsid w:val="00511508"/>
    <w:rsid w:val="00512A53"/>
    <w:rsid w:val="005144D5"/>
    <w:rsid w:val="0051474D"/>
    <w:rsid w:val="005204AE"/>
    <w:rsid w:val="00520A90"/>
    <w:rsid w:val="00523DA9"/>
    <w:rsid w:val="00524B8D"/>
    <w:rsid w:val="005254F4"/>
    <w:rsid w:val="00525B48"/>
    <w:rsid w:val="005265E5"/>
    <w:rsid w:val="0053033C"/>
    <w:rsid w:val="00530CDF"/>
    <w:rsid w:val="0053129A"/>
    <w:rsid w:val="00531683"/>
    <w:rsid w:val="00531A93"/>
    <w:rsid w:val="00533210"/>
    <w:rsid w:val="0053466E"/>
    <w:rsid w:val="005375D1"/>
    <w:rsid w:val="005402C2"/>
    <w:rsid w:val="0054051F"/>
    <w:rsid w:val="00540975"/>
    <w:rsid w:val="00541E65"/>
    <w:rsid w:val="00543288"/>
    <w:rsid w:val="00543EAF"/>
    <w:rsid w:val="0054495B"/>
    <w:rsid w:val="00544C2C"/>
    <w:rsid w:val="00545334"/>
    <w:rsid w:val="00545A6E"/>
    <w:rsid w:val="00551143"/>
    <w:rsid w:val="005511BC"/>
    <w:rsid w:val="005522DB"/>
    <w:rsid w:val="0055337B"/>
    <w:rsid w:val="005559D3"/>
    <w:rsid w:val="005570D1"/>
    <w:rsid w:val="00557F2B"/>
    <w:rsid w:val="00560427"/>
    <w:rsid w:val="00562CA2"/>
    <w:rsid w:val="00566417"/>
    <w:rsid w:val="005679EA"/>
    <w:rsid w:val="00570AE5"/>
    <w:rsid w:val="00571B2E"/>
    <w:rsid w:val="00575FD0"/>
    <w:rsid w:val="005762D5"/>
    <w:rsid w:val="0057799E"/>
    <w:rsid w:val="005802D9"/>
    <w:rsid w:val="00581A5D"/>
    <w:rsid w:val="00581AD0"/>
    <w:rsid w:val="00582470"/>
    <w:rsid w:val="005824BF"/>
    <w:rsid w:val="00582574"/>
    <w:rsid w:val="00582813"/>
    <w:rsid w:val="005836C5"/>
    <w:rsid w:val="00583AB4"/>
    <w:rsid w:val="00583B3F"/>
    <w:rsid w:val="005848A0"/>
    <w:rsid w:val="00585CB3"/>
    <w:rsid w:val="005875C6"/>
    <w:rsid w:val="0059079E"/>
    <w:rsid w:val="00590AFE"/>
    <w:rsid w:val="00590BA1"/>
    <w:rsid w:val="00590CB9"/>
    <w:rsid w:val="005911EB"/>
    <w:rsid w:val="005918A0"/>
    <w:rsid w:val="00594909"/>
    <w:rsid w:val="00595156"/>
    <w:rsid w:val="00597349"/>
    <w:rsid w:val="00597647"/>
    <w:rsid w:val="005A01DB"/>
    <w:rsid w:val="005A05A7"/>
    <w:rsid w:val="005A0F0A"/>
    <w:rsid w:val="005A148A"/>
    <w:rsid w:val="005A1C20"/>
    <w:rsid w:val="005A22FA"/>
    <w:rsid w:val="005A3BEA"/>
    <w:rsid w:val="005A4A6C"/>
    <w:rsid w:val="005A5706"/>
    <w:rsid w:val="005A7007"/>
    <w:rsid w:val="005A7E94"/>
    <w:rsid w:val="005B188B"/>
    <w:rsid w:val="005B6315"/>
    <w:rsid w:val="005B7B27"/>
    <w:rsid w:val="005C00F4"/>
    <w:rsid w:val="005C1B32"/>
    <w:rsid w:val="005C4CC8"/>
    <w:rsid w:val="005C5135"/>
    <w:rsid w:val="005C5C8E"/>
    <w:rsid w:val="005C68B4"/>
    <w:rsid w:val="005C7899"/>
    <w:rsid w:val="005C7CA6"/>
    <w:rsid w:val="005D0135"/>
    <w:rsid w:val="005D0141"/>
    <w:rsid w:val="005D044A"/>
    <w:rsid w:val="005D0584"/>
    <w:rsid w:val="005D2474"/>
    <w:rsid w:val="005D255B"/>
    <w:rsid w:val="005D3202"/>
    <w:rsid w:val="005D3A45"/>
    <w:rsid w:val="005D458C"/>
    <w:rsid w:val="005D6B77"/>
    <w:rsid w:val="005E0B0B"/>
    <w:rsid w:val="005E12D6"/>
    <w:rsid w:val="005E159D"/>
    <w:rsid w:val="005E160F"/>
    <w:rsid w:val="005E2398"/>
    <w:rsid w:val="005E2A7A"/>
    <w:rsid w:val="005E385D"/>
    <w:rsid w:val="005E5068"/>
    <w:rsid w:val="005E6550"/>
    <w:rsid w:val="005E6BF7"/>
    <w:rsid w:val="005F15D6"/>
    <w:rsid w:val="005F1E61"/>
    <w:rsid w:val="005F2637"/>
    <w:rsid w:val="005F2EA1"/>
    <w:rsid w:val="005F36A2"/>
    <w:rsid w:val="005F40C3"/>
    <w:rsid w:val="006011B1"/>
    <w:rsid w:val="0060319A"/>
    <w:rsid w:val="006033E1"/>
    <w:rsid w:val="0060679E"/>
    <w:rsid w:val="006105C8"/>
    <w:rsid w:val="00610C34"/>
    <w:rsid w:val="00612CFE"/>
    <w:rsid w:val="00612D1D"/>
    <w:rsid w:val="00617AD7"/>
    <w:rsid w:val="00623671"/>
    <w:rsid w:val="006258C1"/>
    <w:rsid w:val="00625B3B"/>
    <w:rsid w:val="00626AF2"/>
    <w:rsid w:val="006270F3"/>
    <w:rsid w:val="00627366"/>
    <w:rsid w:val="0062748F"/>
    <w:rsid w:val="00630044"/>
    <w:rsid w:val="0063168B"/>
    <w:rsid w:val="00632179"/>
    <w:rsid w:val="006334CE"/>
    <w:rsid w:val="00633F9F"/>
    <w:rsid w:val="00634824"/>
    <w:rsid w:val="006355A5"/>
    <w:rsid w:val="006363DE"/>
    <w:rsid w:val="006365AC"/>
    <w:rsid w:val="00636B75"/>
    <w:rsid w:val="00636F3B"/>
    <w:rsid w:val="006371E3"/>
    <w:rsid w:val="0064067D"/>
    <w:rsid w:val="006418D2"/>
    <w:rsid w:val="00642F12"/>
    <w:rsid w:val="0064660E"/>
    <w:rsid w:val="00650C2E"/>
    <w:rsid w:val="0065176E"/>
    <w:rsid w:val="006532B1"/>
    <w:rsid w:val="006543A7"/>
    <w:rsid w:val="00656421"/>
    <w:rsid w:val="00656F19"/>
    <w:rsid w:val="0065786F"/>
    <w:rsid w:val="006578EB"/>
    <w:rsid w:val="006579BF"/>
    <w:rsid w:val="00657F86"/>
    <w:rsid w:val="00662E41"/>
    <w:rsid w:val="00663120"/>
    <w:rsid w:val="0066361F"/>
    <w:rsid w:val="00663F51"/>
    <w:rsid w:val="00670770"/>
    <w:rsid w:val="00671C50"/>
    <w:rsid w:val="00673120"/>
    <w:rsid w:val="006743A4"/>
    <w:rsid w:val="006744EE"/>
    <w:rsid w:val="0067463E"/>
    <w:rsid w:val="006759B5"/>
    <w:rsid w:val="00675A44"/>
    <w:rsid w:val="00675FD4"/>
    <w:rsid w:val="00677AD3"/>
    <w:rsid w:val="00680313"/>
    <w:rsid w:val="00680459"/>
    <w:rsid w:val="006804B0"/>
    <w:rsid w:val="00684399"/>
    <w:rsid w:val="0068458D"/>
    <w:rsid w:val="00684CAC"/>
    <w:rsid w:val="00687BC5"/>
    <w:rsid w:val="00692585"/>
    <w:rsid w:val="00694E65"/>
    <w:rsid w:val="00694FB0"/>
    <w:rsid w:val="00695144"/>
    <w:rsid w:val="00696BCA"/>
    <w:rsid w:val="00696F91"/>
    <w:rsid w:val="00697C17"/>
    <w:rsid w:val="006A0228"/>
    <w:rsid w:val="006A0ADE"/>
    <w:rsid w:val="006A12D6"/>
    <w:rsid w:val="006A44C2"/>
    <w:rsid w:val="006A4E03"/>
    <w:rsid w:val="006A7A66"/>
    <w:rsid w:val="006B0279"/>
    <w:rsid w:val="006B3227"/>
    <w:rsid w:val="006B4EAF"/>
    <w:rsid w:val="006B5172"/>
    <w:rsid w:val="006B6600"/>
    <w:rsid w:val="006B7F1D"/>
    <w:rsid w:val="006C1CE2"/>
    <w:rsid w:val="006C2642"/>
    <w:rsid w:val="006C2B73"/>
    <w:rsid w:val="006C3BF1"/>
    <w:rsid w:val="006C5378"/>
    <w:rsid w:val="006D3566"/>
    <w:rsid w:val="006D4528"/>
    <w:rsid w:val="006D47E7"/>
    <w:rsid w:val="006D498A"/>
    <w:rsid w:val="006D5AD7"/>
    <w:rsid w:val="006D67B4"/>
    <w:rsid w:val="006D6ECF"/>
    <w:rsid w:val="006D72AD"/>
    <w:rsid w:val="006D7603"/>
    <w:rsid w:val="006E04E8"/>
    <w:rsid w:val="006E27B3"/>
    <w:rsid w:val="006E2B9E"/>
    <w:rsid w:val="006E4A3A"/>
    <w:rsid w:val="006E4C59"/>
    <w:rsid w:val="006E54BB"/>
    <w:rsid w:val="006E77D5"/>
    <w:rsid w:val="006E7FAE"/>
    <w:rsid w:val="006F298C"/>
    <w:rsid w:val="006F2E2D"/>
    <w:rsid w:val="006F3B17"/>
    <w:rsid w:val="006F3BFC"/>
    <w:rsid w:val="006F483B"/>
    <w:rsid w:val="006F4AE5"/>
    <w:rsid w:val="006F5161"/>
    <w:rsid w:val="006F58DC"/>
    <w:rsid w:val="006F5D2E"/>
    <w:rsid w:val="006F7AC2"/>
    <w:rsid w:val="0070046F"/>
    <w:rsid w:val="00700CFD"/>
    <w:rsid w:val="00701D59"/>
    <w:rsid w:val="00702CB6"/>
    <w:rsid w:val="00703A42"/>
    <w:rsid w:val="00704090"/>
    <w:rsid w:val="00705034"/>
    <w:rsid w:val="00705583"/>
    <w:rsid w:val="00710E20"/>
    <w:rsid w:val="007116F3"/>
    <w:rsid w:val="007117F3"/>
    <w:rsid w:val="00711AFA"/>
    <w:rsid w:val="00712C37"/>
    <w:rsid w:val="00716219"/>
    <w:rsid w:val="00716249"/>
    <w:rsid w:val="00716AB9"/>
    <w:rsid w:val="00720EA9"/>
    <w:rsid w:val="00722140"/>
    <w:rsid w:val="00722A19"/>
    <w:rsid w:val="00722D79"/>
    <w:rsid w:val="00722DD4"/>
    <w:rsid w:val="00723037"/>
    <w:rsid w:val="00725E58"/>
    <w:rsid w:val="00727B3F"/>
    <w:rsid w:val="00727C0C"/>
    <w:rsid w:val="007305B7"/>
    <w:rsid w:val="00731D45"/>
    <w:rsid w:val="007325F3"/>
    <w:rsid w:val="00732782"/>
    <w:rsid w:val="007335E9"/>
    <w:rsid w:val="0073445F"/>
    <w:rsid w:val="007348B4"/>
    <w:rsid w:val="00736711"/>
    <w:rsid w:val="00736A12"/>
    <w:rsid w:val="00736A7C"/>
    <w:rsid w:val="00741E4B"/>
    <w:rsid w:val="007422B6"/>
    <w:rsid w:val="007434F4"/>
    <w:rsid w:val="0074383D"/>
    <w:rsid w:val="00744C04"/>
    <w:rsid w:val="00747388"/>
    <w:rsid w:val="00747A41"/>
    <w:rsid w:val="00747B3C"/>
    <w:rsid w:val="0075115F"/>
    <w:rsid w:val="007512F0"/>
    <w:rsid w:val="00752DEE"/>
    <w:rsid w:val="00753C04"/>
    <w:rsid w:val="007555D4"/>
    <w:rsid w:val="007565BB"/>
    <w:rsid w:val="00756984"/>
    <w:rsid w:val="007616FF"/>
    <w:rsid w:val="0076223F"/>
    <w:rsid w:val="00762486"/>
    <w:rsid w:val="00762E60"/>
    <w:rsid w:val="00763AE5"/>
    <w:rsid w:val="00764720"/>
    <w:rsid w:val="00764A9F"/>
    <w:rsid w:val="00764B37"/>
    <w:rsid w:val="00764DDA"/>
    <w:rsid w:val="00765532"/>
    <w:rsid w:val="00767C8D"/>
    <w:rsid w:val="00767E1D"/>
    <w:rsid w:val="00767F71"/>
    <w:rsid w:val="0077024A"/>
    <w:rsid w:val="00770366"/>
    <w:rsid w:val="007706AE"/>
    <w:rsid w:val="00771EB6"/>
    <w:rsid w:val="0077248A"/>
    <w:rsid w:val="00773E1C"/>
    <w:rsid w:val="0077531D"/>
    <w:rsid w:val="00775B9B"/>
    <w:rsid w:val="00776285"/>
    <w:rsid w:val="00776881"/>
    <w:rsid w:val="00780AE6"/>
    <w:rsid w:val="00781C50"/>
    <w:rsid w:val="007820D2"/>
    <w:rsid w:val="00782284"/>
    <w:rsid w:val="00785288"/>
    <w:rsid w:val="007863A8"/>
    <w:rsid w:val="007864B3"/>
    <w:rsid w:val="0078679C"/>
    <w:rsid w:val="00787116"/>
    <w:rsid w:val="007873B6"/>
    <w:rsid w:val="00791522"/>
    <w:rsid w:val="00791743"/>
    <w:rsid w:val="0079287F"/>
    <w:rsid w:val="0079366E"/>
    <w:rsid w:val="00793F40"/>
    <w:rsid w:val="00794BFA"/>
    <w:rsid w:val="00796EA6"/>
    <w:rsid w:val="00797A92"/>
    <w:rsid w:val="007A0AB9"/>
    <w:rsid w:val="007A1704"/>
    <w:rsid w:val="007A1A6F"/>
    <w:rsid w:val="007A1C8C"/>
    <w:rsid w:val="007A1D99"/>
    <w:rsid w:val="007A1E0A"/>
    <w:rsid w:val="007A268C"/>
    <w:rsid w:val="007A3238"/>
    <w:rsid w:val="007A5168"/>
    <w:rsid w:val="007A58F2"/>
    <w:rsid w:val="007B3D72"/>
    <w:rsid w:val="007B3FD7"/>
    <w:rsid w:val="007B3FF2"/>
    <w:rsid w:val="007B404C"/>
    <w:rsid w:val="007B65FA"/>
    <w:rsid w:val="007B6CD5"/>
    <w:rsid w:val="007B7F32"/>
    <w:rsid w:val="007C01CC"/>
    <w:rsid w:val="007C0783"/>
    <w:rsid w:val="007C0ACC"/>
    <w:rsid w:val="007C0F13"/>
    <w:rsid w:val="007C1566"/>
    <w:rsid w:val="007C1E27"/>
    <w:rsid w:val="007C216E"/>
    <w:rsid w:val="007C2A5D"/>
    <w:rsid w:val="007C3456"/>
    <w:rsid w:val="007C4FF5"/>
    <w:rsid w:val="007C52E2"/>
    <w:rsid w:val="007C55A5"/>
    <w:rsid w:val="007C5D01"/>
    <w:rsid w:val="007C7115"/>
    <w:rsid w:val="007C7CEF"/>
    <w:rsid w:val="007D0495"/>
    <w:rsid w:val="007D08FC"/>
    <w:rsid w:val="007D1719"/>
    <w:rsid w:val="007D17F2"/>
    <w:rsid w:val="007D2650"/>
    <w:rsid w:val="007D3D31"/>
    <w:rsid w:val="007D3D80"/>
    <w:rsid w:val="007D5D4F"/>
    <w:rsid w:val="007D6299"/>
    <w:rsid w:val="007D6C32"/>
    <w:rsid w:val="007D74B2"/>
    <w:rsid w:val="007E1640"/>
    <w:rsid w:val="007E20A3"/>
    <w:rsid w:val="007E28D2"/>
    <w:rsid w:val="007E3150"/>
    <w:rsid w:val="007E41D8"/>
    <w:rsid w:val="007E4CAA"/>
    <w:rsid w:val="007E6B3D"/>
    <w:rsid w:val="007E74A8"/>
    <w:rsid w:val="007E7D42"/>
    <w:rsid w:val="007E7EA3"/>
    <w:rsid w:val="007F0186"/>
    <w:rsid w:val="007F022A"/>
    <w:rsid w:val="007F0E1F"/>
    <w:rsid w:val="007F331D"/>
    <w:rsid w:val="007F3C16"/>
    <w:rsid w:val="007F400A"/>
    <w:rsid w:val="007F4453"/>
    <w:rsid w:val="00800588"/>
    <w:rsid w:val="00800AF0"/>
    <w:rsid w:val="00802138"/>
    <w:rsid w:val="008031F8"/>
    <w:rsid w:val="00803459"/>
    <w:rsid w:val="00804204"/>
    <w:rsid w:val="008054D5"/>
    <w:rsid w:val="008060CB"/>
    <w:rsid w:val="008068F0"/>
    <w:rsid w:val="00806DCF"/>
    <w:rsid w:val="00810206"/>
    <w:rsid w:val="008102D7"/>
    <w:rsid w:val="00810D96"/>
    <w:rsid w:val="00811D4B"/>
    <w:rsid w:val="008127D7"/>
    <w:rsid w:val="00812DD6"/>
    <w:rsid w:val="00814927"/>
    <w:rsid w:val="008166DD"/>
    <w:rsid w:val="0081698B"/>
    <w:rsid w:val="00816998"/>
    <w:rsid w:val="00816B45"/>
    <w:rsid w:val="00816E0E"/>
    <w:rsid w:val="00821C3B"/>
    <w:rsid w:val="00822553"/>
    <w:rsid w:val="00824159"/>
    <w:rsid w:val="00824E64"/>
    <w:rsid w:val="00825147"/>
    <w:rsid w:val="008272CA"/>
    <w:rsid w:val="008303EF"/>
    <w:rsid w:val="00830513"/>
    <w:rsid w:val="0083124B"/>
    <w:rsid w:val="00831A1A"/>
    <w:rsid w:val="00833239"/>
    <w:rsid w:val="00833822"/>
    <w:rsid w:val="00835100"/>
    <w:rsid w:val="00835229"/>
    <w:rsid w:val="00835856"/>
    <w:rsid w:val="00843CC8"/>
    <w:rsid w:val="008452BD"/>
    <w:rsid w:val="0084608F"/>
    <w:rsid w:val="00846657"/>
    <w:rsid w:val="008466B0"/>
    <w:rsid w:val="008466FE"/>
    <w:rsid w:val="00846859"/>
    <w:rsid w:val="00847BD7"/>
    <w:rsid w:val="00853650"/>
    <w:rsid w:val="0085452E"/>
    <w:rsid w:val="0085526A"/>
    <w:rsid w:val="008557FA"/>
    <w:rsid w:val="008559F3"/>
    <w:rsid w:val="00863586"/>
    <w:rsid w:val="00863F96"/>
    <w:rsid w:val="00864294"/>
    <w:rsid w:val="00865459"/>
    <w:rsid w:val="0086572B"/>
    <w:rsid w:val="00865E4D"/>
    <w:rsid w:val="00866131"/>
    <w:rsid w:val="008663BA"/>
    <w:rsid w:val="00866B78"/>
    <w:rsid w:val="00867046"/>
    <w:rsid w:val="00867951"/>
    <w:rsid w:val="00870038"/>
    <w:rsid w:val="0087005F"/>
    <w:rsid w:val="00870B4E"/>
    <w:rsid w:val="0087130F"/>
    <w:rsid w:val="00871B21"/>
    <w:rsid w:val="00873688"/>
    <w:rsid w:val="00873F36"/>
    <w:rsid w:val="008747B8"/>
    <w:rsid w:val="00874823"/>
    <w:rsid w:val="00875954"/>
    <w:rsid w:val="008761BD"/>
    <w:rsid w:val="00876E02"/>
    <w:rsid w:val="008826D5"/>
    <w:rsid w:val="008829A6"/>
    <w:rsid w:val="00883DC4"/>
    <w:rsid w:val="00885CA1"/>
    <w:rsid w:val="008866A7"/>
    <w:rsid w:val="00890E3E"/>
    <w:rsid w:val="00891329"/>
    <w:rsid w:val="00891340"/>
    <w:rsid w:val="00892462"/>
    <w:rsid w:val="00892E9A"/>
    <w:rsid w:val="00892F85"/>
    <w:rsid w:val="008941EA"/>
    <w:rsid w:val="0089429B"/>
    <w:rsid w:val="00896B58"/>
    <w:rsid w:val="0089799F"/>
    <w:rsid w:val="00897CB3"/>
    <w:rsid w:val="00897F32"/>
    <w:rsid w:val="008A0AC8"/>
    <w:rsid w:val="008A1593"/>
    <w:rsid w:val="008A2796"/>
    <w:rsid w:val="008A2BB9"/>
    <w:rsid w:val="008A3F86"/>
    <w:rsid w:val="008A4645"/>
    <w:rsid w:val="008A6CAD"/>
    <w:rsid w:val="008A6E70"/>
    <w:rsid w:val="008A77D7"/>
    <w:rsid w:val="008A7FBB"/>
    <w:rsid w:val="008B0F60"/>
    <w:rsid w:val="008B1CEB"/>
    <w:rsid w:val="008B243B"/>
    <w:rsid w:val="008B2473"/>
    <w:rsid w:val="008B27B0"/>
    <w:rsid w:val="008B3521"/>
    <w:rsid w:val="008B364E"/>
    <w:rsid w:val="008B436F"/>
    <w:rsid w:val="008B46BD"/>
    <w:rsid w:val="008B4B63"/>
    <w:rsid w:val="008B4BC7"/>
    <w:rsid w:val="008B61D0"/>
    <w:rsid w:val="008B7E88"/>
    <w:rsid w:val="008B7F51"/>
    <w:rsid w:val="008C00D3"/>
    <w:rsid w:val="008C09A3"/>
    <w:rsid w:val="008C2AF8"/>
    <w:rsid w:val="008C325B"/>
    <w:rsid w:val="008C3545"/>
    <w:rsid w:val="008C505D"/>
    <w:rsid w:val="008C58C2"/>
    <w:rsid w:val="008C64DD"/>
    <w:rsid w:val="008C744E"/>
    <w:rsid w:val="008C7C9A"/>
    <w:rsid w:val="008D00D2"/>
    <w:rsid w:val="008D06FA"/>
    <w:rsid w:val="008D1CEA"/>
    <w:rsid w:val="008D2AA8"/>
    <w:rsid w:val="008D314E"/>
    <w:rsid w:val="008D3ADC"/>
    <w:rsid w:val="008D3F29"/>
    <w:rsid w:val="008D4088"/>
    <w:rsid w:val="008D444A"/>
    <w:rsid w:val="008D544F"/>
    <w:rsid w:val="008D67DE"/>
    <w:rsid w:val="008D730C"/>
    <w:rsid w:val="008D7B70"/>
    <w:rsid w:val="008D7C70"/>
    <w:rsid w:val="008E1295"/>
    <w:rsid w:val="008E1F21"/>
    <w:rsid w:val="008E2258"/>
    <w:rsid w:val="008E2881"/>
    <w:rsid w:val="008E3842"/>
    <w:rsid w:val="008E4045"/>
    <w:rsid w:val="008E4354"/>
    <w:rsid w:val="008E45DE"/>
    <w:rsid w:val="008F1C04"/>
    <w:rsid w:val="008F2857"/>
    <w:rsid w:val="008F2DD0"/>
    <w:rsid w:val="008F33C6"/>
    <w:rsid w:val="008F3B39"/>
    <w:rsid w:val="008F41F5"/>
    <w:rsid w:val="008F440D"/>
    <w:rsid w:val="008F4E0F"/>
    <w:rsid w:val="008F519C"/>
    <w:rsid w:val="008F5AB5"/>
    <w:rsid w:val="008F5E9F"/>
    <w:rsid w:val="008F635B"/>
    <w:rsid w:val="008F6903"/>
    <w:rsid w:val="008F7D71"/>
    <w:rsid w:val="00900E22"/>
    <w:rsid w:val="00906E52"/>
    <w:rsid w:val="00907D9B"/>
    <w:rsid w:val="009103A3"/>
    <w:rsid w:val="009104D9"/>
    <w:rsid w:val="00910DC3"/>
    <w:rsid w:val="00911DED"/>
    <w:rsid w:val="00913738"/>
    <w:rsid w:val="00915084"/>
    <w:rsid w:val="009157C0"/>
    <w:rsid w:val="00917626"/>
    <w:rsid w:val="009179E6"/>
    <w:rsid w:val="0092072F"/>
    <w:rsid w:val="0092324B"/>
    <w:rsid w:val="00924DA5"/>
    <w:rsid w:val="009255AA"/>
    <w:rsid w:val="009257D2"/>
    <w:rsid w:val="009270E9"/>
    <w:rsid w:val="009308E6"/>
    <w:rsid w:val="00933CB6"/>
    <w:rsid w:val="00933E1C"/>
    <w:rsid w:val="0093401B"/>
    <w:rsid w:val="009344A9"/>
    <w:rsid w:val="00934A6E"/>
    <w:rsid w:val="00936A31"/>
    <w:rsid w:val="009404EF"/>
    <w:rsid w:val="0094054A"/>
    <w:rsid w:val="00940B6F"/>
    <w:rsid w:val="009415B7"/>
    <w:rsid w:val="00941B91"/>
    <w:rsid w:val="00941DAF"/>
    <w:rsid w:val="009438A2"/>
    <w:rsid w:val="0094486A"/>
    <w:rsid w:val="00944DF8"/>
    <w:rsid w:val="00947237"/>
    <w:rsid w:val="009473B7"/>
    <w:rsid w:val="00947930"/>
    <w:rsid w:val="00950C70"/>
    <w:rsid w:val="00951785"/>
    <w:rsid w:val="009524BE"/>
    <w:rsid w:val="00953D5F"/>
    <w:rsid w:val="00954B81"/>
    <w:rsid w:val="00954DBB"/>
    <w:rsid w:val="00960A93"/>
    <w:rsid w:val="00960CE1"/>
    <w:rsid w:val="00962443"/>
    <w:rsid w:val="0096452A"/>
    <w:rsid w:val="009654F9"/>
    <w:rsid w:val="00965CAE"/>
    <w:rsid w:val="009661C1"/>
    <w:rsid w:val="00966765"/>
    <w:rsid w:val="0096696D"/>
    <w:rsid w:val="00966B6A"/>
    <w:rsid w:val="009703D2"/>
    <w:rsid w:val="00970891"/>
    <w:rsid w:val="0097098E"/>
    <w:rsid w:val="00971F79"/>
    <w:rsid w:val="00972ABC"/>
    <w:rsid w:val="00973562"/>
    <w:rsid w:val="009778EE"/>
    <w:rsid w:val="00980068"/>
    <w:rsid w:val="00980B49"/>
    <w:rsid w:val="00981BF1"/>
    <w:rsid w:val="0098421A"/>
    <w:rsid w:val="00984375"/>
    <w:rsid w:val="00985932"/>
    <w:rsid w:val="00987984"/>
    <w:rsid w:val="00991774"/>
    <w:rsid w:val="00994DE1"/>
    <w:rsid w:val="0099669F"/>
    <w:rsid w:val="00996804"/>
    <w:rsid w:val="009A1136"/>
    <w:rsid w:val="009A26E4"/>
    <w:rsid w:val="009A2F2F"/>
    <w:rsid w:val="009A3253"/>
    <w:rsid w:val="009A41BF"/>
    <w:rsid w:val="009A43AF"/>
    <w:rsid w:val="009A520B"/>
    <w:rsid w:val="009A5D45"/>
    <w:rsid w:val="009A5D63"/>
    <w:rsid w:val="009B0344"/>
    <w:rsid w:val="009B1263"/>
    <w:rsid w:val="009B2BDC"/>
    <w:rsid w:val="009B34FD"/>
    <w:rsid w:val="009B677E"/>
    <w:rsid w:val="009C01B2"/>
    <w:rsid w:val="009C0EE2"/>
    <w:rsid w:val="009C1FC7"/>
    <w:rsid w:val="009C2CF1"/>
    <w:rsid w:val="009C65F6"/>
    <w:rsid w:val="009D0FF3"/>
    <w:rsid w:val="009D1F74"/>
    <w:rsid w:val="009D1FB6"/>
    <w:rsid w:val="009D2119"/>
    <w:rsid w:val="009D4E7B"/>
    <w:rsid w:val="009D52F3"/>
    <w:rsid w:val="009D5E19"/>
    <w:rsid w:val="009D735A"/>
    <w:rsid w:val="009D757C"/>
    <w:rsid w:val="009E1109"/>
    <w:rsid w:val="009E17C8"/>
    <w:rsid w:val="009E1AD6"/>
    <w:rsid w:val="009E43A9"/>
    <w:rsid w:val="009E4F7C"/>
    <w:rsid w:val="009E584E"/>
    <w:rsid w:val="009E6D4F"/>
    <w:rsid w:val="009F16B4"/>
    <w:rsid w:val="009F2B25"/>
    <w:rsid w:val="009F5447"/>
    <w:rsid w:val="009F7B92"/>
    <w:rsid w:val="00A0076D"/>
    <w:rsid w:val="00A02117"/>
    <w:rsid w:val="00A025F4"/>
    <w:rsid w:val="00A04819"/>
    <w:rsid w:val="00A0708D"/>
    <w:rsid w:val="00A07D90"/>
    <w:rsid w:val="00A11C2B"/>
    <w:rsid w:val="00A1429E"/>
    <w:rsid w:val="00A15478"/>
    <w:rsid w:val="00A158DD"/>
    <w:rsid w:val="00A160A8"/>
    <w:rsid w:val="00A16242"/>
    <w:rsid w:val="00A16EDE"/>
    <w:rsid w:val="00A17156"/>
    <w:rsid w:val="00A22783"/>
    <w:rsid w:val="00A22FA6"/>
    <w:rsid w:val="00A250D0"/>
    <w:rsid w:val="00A25D6E"/>
    <w:rsid w:val="00A26BB8"/>
    <w:rsid w:val="00A27233"/>
    <w:rsid w:val="00A307CD"/>
    <w:rsid w:val="00A345CA"/>
    <w:rsid w:val="00A34ADA"/>
    <w:rsid w:val="00A3540B"/>
    <w:rsid w:val="00A354DA"/>
    <w:rsid w:val="00A35AA1"/>
    <w:rsid w:val="00A3600F"/>
    <w:rsid w:val="00A36B12"/>
    <w:rsid w:val="00A37A7A"/>
    <w:rsid w:val="00A37DC2"/>
    <w:rsid w:val="00A37F1E"/>
    <w:rsid w:val="00A40695"/>
    <w:rsid w:val="00A40CF0"/>
    <w:rsid w:val="00A40E75"/>
    <w:rsid w:val="00A414F3"/>
    <w:rsid w:val="00A4284F"/>
    <w:rsid w:val="00A42BCD"/>
    <w:rsid w:val="00A42F48"/>
    <w:rsid w:val="00A430C3"/>
    <w:rsid w:val="00A43C92"/>
    <w:rsid w:val="00A44F90"/>
    <w:rsid w:val="00A454C6"/>
    <w:rsid w:val="00A45640"/>
    <w:rsid w:val="00A470E2"/>
    <w:rsid w:val="00A47F9E"/>
    <w:rsid w:val="00A504A0"/>
    <w:rsid w:val="00A50895"/>
    <w:rsid w:val="00A5303C"/>
    <w:rsid w:val="00A54C09"/>
    <w:rsid w:val="00A56099"/>
    <w:rsid w:val="00A56A8F"/>
    <w:rsid w:val="00A56F1D"/>
    <w:rsid w:val="00A56FD7"/>
    <w:rsid w:val="00A570F6"/>
    <w:rsid w:val="00A57D8C"/>
    <w:rsid w:val="00A60B48"/>
    <w:rsid w:val="00A616D8"/>
    <w:rsid w:val="00A62F52"/>
    <w:rsid w:val="00A63277"/>
    <w:rsid w:val="00A632BA"/>
    <w:rsid w:val="00A63B45"/>
    <w:rsid w:val="00A6578F"/>
    <w:rsid w:val="00A6596D"/>
    <w:rsid w:val="00A65A7A"/>
    <w:rsid w:val="00A67CB1"/>
    <w:rsid w:val="00A703AB"/>
    <w:rsid w:val="00A70DA5"/>
    <w:rsid w:val="00A7147F"/>
    <w:rsid w:val="00A724E5"/>
    <w:rsid w:val="00A74180"/>
    <w:rsid w:val="00A7593E"/>
    <w:rsid w:val="00A7785E"/>
    <w:rsid w:val="00A80427"/>
    <w:rsid w:val="00A8124C"/>
    <w:rsid w:val="00A81CFC"/>
    <w:rsid w:val="00A81D2E"/>
    <w:rsid w:val="00A8275F"/>
    <w:rsid w:val="00A84B15"/>
    <w:rsid w:val="00A84FBF"/>
    <w:rsid w:val="00A862C3"/>
    <w:rsid w:val="00A86610"/>
    <w:rsid w:val="00A8756C"/>
    <w:rsid w:val="00A90100"/>
    <w:rsid w:val="00A9064F"/>
    <w:rsid w:val="00A90E57"/>
    <w:rsid w:val="00A925FD"/>
    <w:rsid w:val="00A9377B"/>
    <w:rsid w:val="00A93B18"/>
    <w:rsid w:val="00A93F37"/>
    <w:rsid w:val="00A94518"/>
    <w:rsid w:val="00A95376"/>
    <w:rsid w:val="00A95BB6"/>
    <w:rsid w:val="00A95BFA"/>
    <w:rsid w:val="00A975EC"/>
    <w:rsid w:val="00A97E60"/>
    <w:rsid w:val="00AA0E9E"/>
    <w:rsid w:val="00AA238C"/>
    <w:rsid w:val="00AA24FB"/>
    <w:rsid w:val="00AA3E4C"/>
    <w:rsid w:val="00AA6837"/>
    <w:rsid w:val="00AA777D"/>
    <w:rsid w:val="00AA79CF"/>
    <w:rsid w:val="00AB0FBD"/>
    <w:rsid w:val="00AB2C38"/>
    <w:rsid w:val="00AB2FDC"/>
    <w:rsid w:val="00AB40AE"/>
    <w:rsid w:val="00AB4409"/>
    <w:rsid w:val="00AB4CCA"/>
    <w:rsid w:val="00AB59BC"/>
    <w:rsid w:val="00AB6455"/>
    <w:rsid w:val="00AC095A"/>
    <w:rsid w:val="00AC2C21"/>
    <w:rsid w:val="00AC328B"/>
    <w:rsid w:val="00AC5AE8"/>
    <w:rsid w:val="00AC68BE"/>
    <w:rsid w:val="00AC73DE"/>
    <w:rsid w:val="00AD65BF"/>
    <w:rsid w:val="00AD7148"/>
    <w:rsid w:val="00AD7524"/>
    <w:rsid w:val="00AE04B5"/>
    <w:rsid w:val="00AE2049"/>
    <w:rsid w:val="00AE3CF2"/>
    <w:rsid w:val="00AE4057"/>
    <w:rsid w:val="00AE5AA6"/>
    <w:rsid w:val="00AE637B"/>
    <w:rsid w:val="00AE6566"/>
    <w:rsid w:val="00AE72B2"/>
    <w:rsid w:val="00AF0645"/>
    <w:rsid w:val="00AF14FA"/>
    <w:rsid w:val="00AF4682"/>
    <w:rsid w:val="00AF5B49"/>
    <w:rsid w:val="00B01019"/>
    <w:rsid w:val="00B01248"/>
    <w:rsid w:val="00B0125F"/>
    <w:rsid w:val="00B01A75"/>
    <w:rsid w:val="00B07D97"/>
    <w:rsid w:val="00B10AF1"/>
    <w:rsid w:val="00B12EC1"/>
    <w:rsid w:val="00B134A9"/>
    <w:rsid w:val="00B1407F"/>
    <w:rsid w:val="00B16804"/>
    <w:rsid w:val="00B17950"/>
    <w:rsid w:val="00B17FBB"/>
    <w:rsid w:val="00B21055"/>
    <w:rsid w:val="00B21985"/>
    <w:rsid w:val="00B230FA"/>
    <w:rsid w:val="00B233B5"/>
    <w:rsid w:val="00B23C99"/>
    <w:rsid w:val="00B249DA"/>
    <w:rsid w:val="00B255CE"/>
    <w:rsid w:val="00B2652F"/>
    <w:rsid w:val="00B26B86"/>
    <w:rsid w:val="00B26C13"/>
    <w:rsid w:val="00B27726"/>
    <w:rsid w:val="00B277E8"/>
    <w:rsid w:val="00B31051"/>
    <w:rsid w:val="00B31E02"/>
    <w:rsid w:val="00B342D9"/>
    <w:rsid w:val="00B3546E"/>
    <w:rsid w:val="00B355DE"/>
    <w:rsid w:val="00B366F0"/>
    <w:rsid w:val="00B37FD3"/>
    <w:rsid w:val="00B41058"/>
    <w:rsid w:val="00B41258"/>
    <w:rsid w:val="00B425C2"/>
    <w:rsid w:val="00B42A1C"/>
    <w:rsid w:val="00B43DCB"/>
    <w:rsid w:val="00B43EE6"/>
    <w:rsid w:val="00B444D1"/>
    <w:rsid w:val="00B44BE1"/>
    <w:rsid w:val="00B44E40"/>
    <w:rsid w:val="00B46828"/>
    <w:rsid w:val="00B46ED6"/>
    <w:rsid w:val="00B502AD"/>
    <w:rsid w:val="00B51067"/>
    <w:rsid w:val="00B519F1"/>
    <w:rsid w:val="00B51AEA"/>
    <w:rsid w:val="00B51B44"/>
    <w:rsid w:val="00B52ACB"/>
    <w:rsid w:val="00B52C13"/>
    <w:rsid w:val="00B53B5C"/>
    <w:rsid w:val="00B53E2B"/>
    <w:rsid w:val="00B54214"/>
    <w:rsid w:val="00B55B62"/>
    <w:rsid w:val="00B567B2"/>
    <w:rsid w:val="00B604F7"/>
    <w:rsid w:val="00B61029"/>
    <w:rsid w:val="00B615A9"/>
    <w:rsid w:val="00B618CF"/>
    <w:rsid w:val="00B6218C"/>
    <w:rsid w:val="00B63325"/>
    <w:rsid w:val="00B63E27"/>
    <w:rsid w:val="00B6481D"/>
    <w:rsid w:val="00B64B71"/>
    <w:rsid w:val="00B64C43"/>
    <w:rsid w:val="00B64F6F"/>
    <w:rsid w:val="00B664D1"/>
    <w:rsid w:val="00B708A6"/>
    <w:rsid w:val="00B75521"/>
    <w:rsid w:val="00B80729"/>
    <w:rsid w:val="00B810E1"/>
    <w:rsid w:val="00B8187F"/>
    <w:rsid w:val="00B819CD"/>
    <w:rsid w:val="00B81E69"/>
    <w:rsid w:val="00B81E8A"/>
    <w:rsid w:val="00B82E77"/>
    <w:rsid w:val="00B83EFF"/>
    <w:rsid w:val="00B8411E"/>
    <w:rsid w:val="00B84B7E"/>
    <w:rsid w:val="00B851B7"/>
    <w:rsid w:val="00B86463"/>
    <w:rsid w:val="00B87EFD"/>
    <w:rsid w:val="00B90DFE"/>
    <w:rsid w:val="00B91796"/>
    <w:rsid w:val="00B93A4C"/>
    <w:rsid w:val="00B93A65"/>
    <w:rsid w:val="00B96088"/>
    <w:rsid w:val="00B96D8C"/>
    <w:rsid w:val="00BA00BA"/>
    <w:rsid w:val="00BA10CF"/>
    <w:rsid w:val="00BA14E9"/>
    <w:rsid w:val="00BA1CD8"/>
    <w:rsid w:val="00BA2AB6"/>
    <w:rsid w:val="00BA3573"/>
    <w:rsid w:val="00BA4337"/>
    <w:rsid w:val="00BA6E19"/>
    <w:rsid w:val="00BB0714"/>
    <w:rsid w:val="00BB09E4"/>
    <w:rsid w:val="00BB0EE3"/>
    <w:rsid w:val="00BB0FA5"/>
    <w:rsid w:val="00BB16CA"/>
    <w:rsid w:val="00BB18DB"/>
    <w:rsid w:val="00BB2765"/>
    <w:rsid w:val="00BB4A10"/>
    <w:rsid w:val="00BB4A8D"/>
    <w:rsid w:val="00BB4DFF"/>
    <w:rsid w:val="00BB6514"/>
    <w:rsid w:val="00BB678B"/>
    <w:rsid w:val="00BB698C"/>
    <w:rsid w:val="00BB703B"/>
    <w:rsid w:val="00BB7B07"/>
    <w:rsid w:val="00BC0F7F"/>
    <w:rsid w:val="00BC1361"/>
    <w:rsid w:val="00BC23A9"/>
    <w:rsid w:val="00BC266C"/>
    <w:rsid w:val="00BC4D57"/>
    <w:rsid w:val="00BD05B8"/>
    <w:rsid w:val="00BD0E95"/>
    <w:rsid w:val="00BD0FD5"/>
    <w:rsid w:val="00BD4A0B"/>
    <w:rsid w:val="00BD4DD1"/>
    <w:rsid w:val="00BD5A76"/>
    <w:rsid w:val="00BD71E1"/>
    <w:rsid w:val="00BE1239"/>
    <w:rsid w:val="00BE147C"/>
    <w:rsid w:val="00BE323A"/>
    <w:rsid w:val="00BE37F4"/>
    <w:rsid w:val="00BE47A6"/>
    <w:rsid w:val="00BE4BE9"/>
    <w:rsid w:val="00BE5240"/>
    <w:rsid w:val="00BE61C3"/>
    <w:rsid w:val="00BE7A2A"/>
    <w:rsid w:val="00BF03AE"/>
    <w:rsid w:val="00BF0619"/>
    <w:rsid w:val="00BF1522"/>
    <w:rsid w:val="00BF2C41"/>
    <w:rsid w:val="00BF355F"/>
    <w:rsid w:val="00BF4A4E"/>
    <w:rsid w:val="00BF79D8"/>
    <w:rsid w:val="00C0087F"/>
    <w:rsid w:val="00C00A1F"/>
    <w:rsid w:val="00C0241E"/>
    <w:rsid w:val="00C02749"/>
    <w:rsid w:val="00C02816"/>
    <w:rsid w:val="00C0291E"/>
    <w:rsid w:val="00C069CB"/>
    <w:rsid w:val="00C10B26"/>
    <w:rsid w:val="00C10DDE"/>
    <w:rsid w:val="00C11C01"/>
    <w:rsid w:val="00C12BB4"/>
    <w:rsid w:val="00C12EB9"/>
    <w:rsid w:val="00C135A2"/>
    <w:rsid w:val="00C13AEE"/>
    <w:rsid w:val="00C13CCF"/>
    <w:rsid w:val="00C14947"/>
    <w:rsid w:val="00C17C01"/>
    <w:rsid w:val="00C200F2"/>
    <w:rsid w:val="00C20DDE"/>
    <w:rsid w:val="00C21866"/>
    <w:rsid w:val="00C231F7"/>
    <w:rsid w:val="00C253F5"/>
    <w:rsid w:val="00C25F86"/>
    <w:rsid w:val="00C26DD7"/>
    <w:rsid w:val="00C2777B"/>
    <w:rsid w:val="00C309BF"/>
    <w:rsid w:val="00C31D7F"/>
    <w:rsid w:val="00C32338"/>
    <w:rsid w:val="00C3273B"/>
    <w:rsid w:val="00C32BA7"/>
    <w:rsid w:val="00C32E1C"/>
    <w:rsid w:val="00C336F3"/>
    <w:rsid w:val="00C3475C"/>
    <w:rsid w:val="00C353E3"/>
    <w:rsid w:val="00C41851"/>
    <w:rsid w:val="00C41936"/>
    <w:rsid w:val="00C42047"/>
    <w:rsid w:val="00C4216C"/>
    <w:rsid w:val="00C425C5"/>
    <w:rsid w:val="00C43882"/>
    <w:rsid w:val="00C43E68"/>
    <w:rsid w:val="00C44950"/>
    <w:rsid w:val="00C44A06"/>
    <w:rsid w:val="00C45513"/>
    <w:rsid w:val="00C457F5"/>
    <w:rsid w:val="00C46A34"/>
    <w:rsid w:val="00C47B09"/>
    <w:rsid w:val="00C47BFB"/>
    <w:rsid w:val="00C47C09"/>
    <w:rsid w:val="00C51932"/>
    <w:rsid w:val="00C54538"/>
    <w:rsid w:val="00C56AD6"/>
    <w:rsid w:val="00C56C4A"/>
    <w:rsid w:val="00C56EE0"/>
    <w:rsid w:val="00C607D4"/>
    <w:rsid w:val="00C614C5"/>
    <w:rsid w:val="00C635F7"/>
    <w:rsid w:val="00C63B16"/>
    <w:rsid w:val="00C64867"/>
    <w:rsid w:val="00C64903"/>
    <w:rsid w:val="00C6535F"/>
    <w:rsid w:val="00C65D69"/>
    <w:rsid w:val="00C66729"/>
    <w:rsid w:val="00C66897"/>
    <w:rsid w:val="00C67298"/>
    <w:rsid w:val="00C67896"/>
    <w:rsid w:val="00C67E3F"/>
    <w:rsid w:val="00C719DC"/>
    <w:rsid w:val="00C71EC0"/>
    <w:rsid w:val="00C7289E"/>
    <w:rsid w:val="00C7354C"/>
    <w:rsid w:val="00C73F83"/>
    <w:rsid w:val="00C74DE4"/>
    <w:rsid w:val="00C7662D"/>
    <w:rsid w:val="00C77928"/>
    <w:rsid w:val="00C80353"/>
    <w:rsid w:val="00C80F21"/>
    <w:rsid w:val="00C8228C"/>
    <w:rsid w:val="00C835D8"/>
    <w:rsid w:val="00C83C04"/>
    <w:rsid w:val="00C862A6"/>
    <w:rsid w:val="00C8634D"/>
    <w:rsid w:val="00C86C02"/>
    <w:rsid w:val="00C87270"/>
    <w:rsid w:val="00C8768D"/>
    <w:rsid w:val="00C91F74"/>
    <w:rsid w:val="00C92F56"/>
    <w:rsid w:val="00C93914"/>
    <w:rsid w:val="00C95443"/>
    <w:rsid w:val="00C972E0"/>
    <w:rsid w:val="00C97F51"/>
    <w:rsid w:val="00CA09C8"/>
    <w:rsid w:val="00CA0A31"/>
    <w:rsid w:val="00CA0F2E"/>
    <w:rsid w:val="00CA0F87"/>
    <w:rsid w:val="00CA36F6"/>
    <w:rsid w:val="00CA3890"/>
    <w:rsid w:val="00CA45A6"/>
    <w:rsid w:val="00CA78A5"/>
    <w:rsid w:val="00CA7FBD"/>
    <w:rsid w:val="00CB151D"/>
    <w:rsid w:val="00CB4AD7"/>
    <w:rsid w:val="00CB4B29"/>
    <w:rsid w:val="00CB55B9"/>
    <w:rsid w:val="00CB58F6"/>
    <w:rsid w:val="00CB6522"/>
    <w:rsid w:val="00CB6D17"/>
    <w:rsid w:val="00CB707C"/>
    <w:rsid w:val="00CC069E"/>
    <w:rsid w:val="00CC13E7"/>
    <w:rsid w:val="00CC1444"/>
    <w:rsid w:val="00CC1E2E"/>
    <w:rsid w:val="00CC353E"/>
    <w:rsid w:val="00CC451E"/>
    <w:rsid w:val="00CC4BD1"/>
    <w:rsid w:val="00CC4D17"/>
    <w:rsid w:val="00CC589B"/>
    <w:rsid w:val="00CC5D27"/>
    <w:rsid w:val="00CC6D01"/>
    <w:rsid w:val="00CC7B6C"/>
    <w:rsid w:val="00CD0321"/>
    <w:rsid w:val="00CD21A0"/>
    <w:rsid w:val="00CD2A79"/>
    <w:rsid w:val="00CD2B0B"/>
    <w:rsid w:val="00CD2FA5"/>
    <w:rsid w:val="00CD3480"/>
    <w:rsid w:val="00CD4329"/>
    <w:rsid w:val="00CD5179"/>
    <w:rsid w:val="00CD75DD"/>
    <w:rsid w:val="00CE109E"/>
    <w:rsid w:val="00CE1733"/>
    <w:rsid w:val="00CE4725"/>
    <w:rsid w:val="00CE47BB"/>
    <w:rsid w:val="00CE4CD9"/>
    <w:rsid w:val="00CE4E20"/>
    <w:rsid w:val="00CE73B4"/>
    <w:rsid w:val="00CE782A"/>
    <w:rsid w:val="00CE79CF"/>
    <w:rsid w:val="00CF0779"/>
    <w:rsid w:val="00CF2704"/>
    <w:rsid w:val="00CF2B5F"/>
    <w:rsid w:val="00CF442F"/>
    <w:rsid w:val="00CF4771"/>
    <w:rsid w:val="00CF53EB"/>
    <w:rsid w:val="00CF60AD"/>
    <w:rsid w:val="00CF62CF"/>
    <w:rsid w:val="00CF66CB"/>
    <w:rsid w:val="00CF7548"/>
    <w:rsid w:val="00D007A6"/>
    <w:rsid w:val="00D00DEF"/>
    <w:rsid w:val="00D00FD7"/>
    <w:rsid w:val="00D01EA1"/>
    <w:rsid w:val="00D07509"/>
    <w:rsid w:val="00D0785F"/>
    <w:rsid w:val="00D1013B"/>
    <w:rsid w:val="00D10D0D"/>
    <w:rsid w:val="00D113D0"/>
    <w:rsid w:val="00D11BB2"/>
    <w:rsid w:val="00D1307C"/>
    <w:rsid w:val="00D15F79"/>
    <w:rsid w:val="00D16E17"/>
    <w:rsid w:val="00D17E6E"/>
    <w:rsid w:val="00D23AEB"/>
    <w:rsid w:val="00D23BE9"/>
    <w:rsid w:val="00D244E1"/>
    <w:rsid w:val="00D249F1"/>
    <w:rsid w:val="00D2601D"/>
    <w:rsid w:val="00D320C7"/>
    <w:rsid w:val="00D32B22"/>
    <w:rsid w:val="00D34160"/>
    <w:rsid w:val="00D34E3B"/>
    <w:rsid w:val="00D35B5E"/>
    <w:rsid w:val="00D37DFD"/>
    <w:rsid w:val="00D41110"/>
    <w:rsid w:val="00D44629"/>
    <w:rsid w:val="00D4728E"/>
    <w:rsid w:val="00D4736A"/>
    <w:rsid w:val="00D50660"/>
    <w:rsid w:val="00D51CAF"/>
    <w:rsid w:val="00D52B94"/>
    <w:rsid w:val="00D54D56"/>
    <w:rsid w:val="00D57F4B"/>
    <w:rsid w:val="00D60172"/>
    <w:rsid w:val="00D60BF6"/>
    <w:rsid w:val="00D63E05"/>
    <w:rsid w:val="00D64C6E"/>
    <w:rsid w:val="00D64F5D"/>
    <w:rsid w:val="00D6504A"/>
    <w:rsid w:val="00D67082"/>
    <w:rsid w:val="00D6792E"/>
    <w:rsid w:val="00D70BAD"/>
    <w:rsid w:val="00D7194D"/>
    <w:rsid w:val="00D723BC"/>
    <w:rsid w:val="00D72882"/>
    <w:rsid w:val="00D72BF6"/>
    <w:rsid w:val="00D74187"/>
    <w:rsid w:val="00D742EF"/>
    <w:rsid w:val="00D75D97"/>
    <w:rsid w:val="00D8009F"/>
    <w:rsid w:val="00D8017D"/>
    <w:rsid w:val="00D8102C"/>
    <w:rsid w:val="00D811C1"/>
    <w:rsid w:val="00D81BEF"/>
    <w:rsid w:val="00D83DAF"/>
    <w:rsid w:val="00D84207"/>
    <w:rsid w:val="00D85C3B"/>
    <w:rsid w:val="00D85CD6"/>
    <w:rsid w:val="00D868F1"/>
    <w:rsid w:val="00D90E42"/>
    <w:rsid w:val="00D90EA6"/>
    <w:rsid w:val="00D9298C"/>
    <w:rsid w:val="00D93DC5"/>
    <w:rsid w:val="00D946FF"/>
    <w:rsid w:val="00D9527A"/>
    <w:rsid w:val="00D954F6"/>
    <w:rsid w:val="00D95C1D"/>
    <w:rsid w:val="00D9624D"/>
    <w:rsid w:val="00D96705"/>
    <w:rsid w:val="00D97659"/>
    <w:rsid w:val="00DA008B"/>
    <w:rsid w:val="00DA165A"/>
    <w:rsid w:val="00DA235C"/>
    <w:rsid w:val="00DA50C7"/>
    <w:rsid w:val="00DA6D88"/>
    <w:rsid w:val="00DA778A"/>
    <w:rsid w:val="00DA7AA1"/>
    <w:rsid w:val="00DA7D76"/>
    <w:rsid w:val="00DA7FAA"/>
    <w:rsid w:val="00DA7FF0"/>
    <w:rsid w:val="00DB0615"/>
    <w:rsid w:val="00DB0828"/>
    <w:rsid w:val="00DB1B0B"/>
    <w:rsid w:val="00DB3720"/>
    <w:rsid w:val="00DB3FB7"/>
    <w:rsid w:val="00DB488A"/>
    <w:rsid w:val="00DB52CD"/>
    <w:rsid w:val="00DB5448"/>
    <w:rsid w:val="00DB665F"/>
    <w:rsid w:val="00DB6D28"/>
    <w:rsid w:val="00DB78BB"/>
    <w:rsid w:val="00DC0D2F"/>
    <w:rsid w:val="00DC1D7A"/>
    <w:rsid w:val="00DC32E7"/>
    <w:rsid w:val="00DC39AE"/>
    <w:rsid w:val="00DC4A83"/>
    <w:rsid w:val="00DC515B"/>
    <w:rsid w:val="00DC7318"/>
    <w:rsid w:val="00DD0BE3"/>
    <w:rsid w:val="00DD1A2C"/>
    <w:rsid w:val="00DD1EBE"/>
    <w:rsid w:val="00DD2808"/>
    <w:rsid w:val="00DD33A3"/>
    <w:rsid w:val="00DD4526"/>
    <w:rsid w:val="00DD525F"/>
    <w:rsid w:val="00DD54BE"/>
    <w:rsid w:val="00DD560A"/>
    <w:rsid w:val="00DD7F92"/>
    <w:rsid w:val="00DE0419"/>
    <w:rsid w:val="00DE1257"/>
    <w:rsid w:val="00DE150C"/>
    <w:rsid w:val="00DE273C"/>
    <w:rsid w:val="00DE40B7"/>
    <w:rsid w:val="00DE444F"/>
    <w:rsid w:val="00DE50B0"/>
    <w:rsid w:val="00DE5326"/>
    <w:rsid w:val="00DE5A68"/>
    <w:rsid w:val="00DE5DC1"/>
    <w:rsid w:val="00DE65C1"/>
    <w:rsid w:val="00DF14F1"/>
    <w:rsid w:val="00DF15C9"/>
    <w:rsid w:val="00DF1DFA"/>
    <w:rsid w:val="00DF31BA"/>
    <w:rsid w:val="00DF3284"/>
    <w:rsid w:val="00DF3294"/>
    <w:rsid w:val="00DF3F15"/>
    <w:rsid w:val="00DF4346"/>
    <w:rsid w:val="00DF4ECB"/>
    <w:rsid w:val="00DF60A7"/>
    <w:rsid w:val="00DF6CA9"/>
    <w:rsid w:val="00E00306"/>
    <w:rsid w:val="00E01BFE"/>
    <w:rsid w:val="00E02DF6"/>
    <w:rsid w:val="00E0488D"/>
    <w:rsid w:val="00E06E95"/>
    <w:rsid w:val="00E104FC"/>
    <w:rsid w:val="00E10E9B"/>
    <w:rsid w:val="00E139C7"/>
    <w:rsid w:val="00E14A0E"/>
    <w:rsid w:val="00E15654"/>
    <w:rsid w:val="00E15FF4"/>
    <w:rsid w:val="00E16B91"/>
    <w:rsid w:val="00E16E19"/>
    <w:rsid w:val="00E200DB"/>
    <w:rsid w:val="00E223B6"/>
    <w:rsid w:val="00E224B1"/>
    <w:rsid w:val="00E2267B"/>
    <w:rsid w:val="00E22FC4"/>
    <w:rsid w:val="00E25402"/>
    <w:rsid w:val="00E25758"/>
    <w:rsid w:val="00E277A0"/>
    <w:rsid w:val="00E33E36"/>
    <w:rsid w:val="00E341C3"/>
    <w:rsid w:val="00E34CF8"/>
    <w:rsid w:val="00E34EBD"/>
    <w:rsid w:val="00E354C5"/>
    <w:rsid w:val="00E3606F"/>
    <w:rsid w:val="00E37596"/>
    <w:rsid w:val="00E40723"/>
    <w:rsid w:val="00E40FA2"/>
    <w:rsid w:val="00E43DE3"/>
    <w:rsid w:val="00E442ED"/>
    <w:rsid w:val="00E445D8"/>
    <w:rsid w:val="00E44801"/>
    <w:rsid w:val="00E45349"/>
    <w:rsid w:val="00E471B4"/>
    <w:rsid w:val="00E539C0"/>
    <w:rsid w:val="00E53B77"/>
    <w:rsid w:val="00E54FCC"/>
    <w:rsid w:val="00E54FD5"/>
    <w:rsid w:val="00E553FC"/>
    <w:rsid w:val="00E55934"/>
    <w:rsid w:val="00E55994"/>
    <w:rsid w:val="00E5619D"/>
    <w:rsid w:val="00E568E4"/>
    <w:rsid w:val="00E56CCD"/>
    <w:rsid w:val="00E57DB9"/>
    <w:rsid w:val="00E57E21"/>
    <w:rsid w:val="00E61BB9"/>
    <w:rsid w:val="00E6253B"/>
    <w:rsid w:val="00E6299F"/>
    <w:rsid w:val="00E63655"/>
    <w:rsid w:val="00E638AA"/>
    <w:rsid w:val="00E638F7"/>
    <w:rsid w:val="00E63F86"/>
    <w:rsid w:val="00E64E18"/>
    <w:rsid w:val="00E666B2"/>
    <w:rsid w:val="00E67547"/>
    <w:rsid w:val="00E70E96"/>
    <w:rsid w:val="00E7199C"/>
    <w:rsid w:val="00E7201C"/>
    <w:rsid w:val="00E726D0"/>
    <w:rsid w:val="00E73819"/>
    <w:rsid w:val="00E73FC1"/>
    <w:rsid w:val="00E74311"/>
    <w:rsid w:val="00E74A30"/>
    <w:rsid w:val="00E74FD6"/>
    <w:rsid w:val="00E75B14"/>
    <w:rsid w:val="00E76DF1"/>
    <w:rsid w:val="00E80203"/>
    <w:rsid w:val="00E82CD6"/>
    <w:rsid w:val="00E83D34"/>
    <w:rsid w:val="00E83E31"/>
    <w:rsid w:val="00E85BF0"/>
    <w:rsid w:val="00E85C9F"/>
    <w:rsid w:val="00E86192"/>
    <w:rsid w:val="00E86876"/>
    <w:rsid w:val="00E87456"/>
    <w:rsid w:val="00E904FB"/>
    <w:rsid w:val="00E9203F"/>
    <w:rsid w:val="00E92C90"/>
    <w:rsid w:val="00E93369"/>
    <w:rsid w:val="00E93E7C"/>
    <w:rsid w:val="00E95DE1"/>
    <w:rsid w:val="00E96912"/>
    <w:rsid w:val="00E96F3F"/>
    <w:rsid w:val="00E9763A"/>
    <w:rsid w:val="00E977F1"/>
    <w:rsid w:val="00EA0438"/>
    <w:rsid w:val="00EA0BE9"/>
    <w:rsid w:val="00EA2725"/>
    <w:rsid w:val="00EA35C7"/>
    <w:rsid w:val="00EA36A0"/>
    <w:rsid w:val="00EA5463"/>
    <w:rsid w:val="00EA54C9"/>
    <w:rsid w:val="00EA6584"/>
    <w:rsid w:val="00EA7122"/>
    <w:rsid w:val="00EA71D5"/>
    <w:rsid w:val="00EA77B3"/>
    <w:rsid w:val="00EB0CB9"/>
    <w:rsid w:val="00EB3F83"/>
    <w:rsid w:val="00EB478B"/>
    <w:rsid w:val="00EB4C12"/>
    <w:rsid w:val="00EB5747"/>
    <w:rsid w:val="00EB6215"/>
    <w:rsid w:val="00EC13EB"/>
    <w:rsid w:val="00EC18E2"/>
    <w:rsid w:val="00EC1AD1"/>
    <w:rsid w:val="00EC1C9D"/>
    <w:rsid w:val="00EC31E0"/>
    <w:rsid w:val="00EC3275"/>
    <w:rsid w:val="00EC342A"/>
    <w:rsid w:val="00EC37F5"/>
    <w:rsid w:val="00EC78E5"/>
    <w:rsid w:val="00ED2305"/>
    <w:rsid w:val="00ED3EC0"/>
    <w:rsid w:val="00ED48C1"/>
    <w:rsid w:val="00ED4F17"/>
    <w:rsid w:val="00ED63BE"/>
    <w:rsid w:val="00ED69DE"/>
    <w:rsid w:val="00ED7FE5"/>
    <w:rsid w:val="00EE58E4"/>
    <w:rsid w:val="00EE597B"/>
    <w:rsid w:val="00EE6F4B"/>
    <w:rsid w:val="00EF0356"/>
    <w:rsid w:val="00EF0FDC"/>
    <w:rsid w:val="00EF19C3"/>
    <w:rsid w:val="00EF1ED4"/>
    <w:rsid w:val="00EF221D"/>
    <w:rsid w:val="00EF3078"/>
    <w:rsid w:val="00EF591B"/>
    <w:rsid w:val="00EF71C8"/>
    <w:rsid w:val="00EF735C"/>
    <w:rsid w:val="00F00196"/>
    <w:rsid w:val="00F00B0B"/>
    <w:rsid w:val="00F01422"/>
    <w:rsid w:val="00F01A30"/>
    <w:rsid w:val="00F02325"/>
    <w:rsid w:val="00F02CB7"/>
    <w:rsid w:val="00F02D9F"/>
    <w:rsid w:val="00F04550"/>
    <w:rsid w:val="00F05183"/>
    <w:rsid w:val="00F055AB"/>
    <w:rsid w:val="00F05E1C"/>
    <w:rsid w:val="00F103B9"/>
    <w:rsid w:val="00F11EF7"/>
    <w:rsid w:val="00F11FE6"/>
    <w:rsid w:val="00F12338"/>
    <w:rsid w:val="00F1566C"/>
    <w:rsid w:val="00F159C0"/>
    <w:rsid w:val="00F15C6F"/>
    <w:rsid w:val="00F1618F"/>
    <w:rsid w:val="00F1634E"/>
    <w:rsid w:val="00F16571"/>
    <w:rsid w:val="00F21187"/>
    <w:rsid w:val="00F212E5"/>
    <w:rsid w:val="00F220C1"/>
    <w:rsid w:val="00F22B05"/>
    <w:rsid w:val="00F22E6D"/>
    <w:rsid w:val="00F23121"/>
    <w:rsid w:val="00F23167"/>
    <w:rsid w:val="00F23B2F"/>
    <w:rsid w:val="00F23C69"/>
    <w:rsid w:val="00F244DB"/>
    <w:rsid w:val="00F24E59"/>
    <w:rsid w:val="00F2681A"/>
    <w:rsid w:val="00F27282"/>
    <w:rsid w:val="00F27723"/>
    <w:rsid w:val="00F30367"/>
    <w:rsid w:val="00F30CAF"/>
    <w:rsid w:val="00F31C9A"/>
    <w:rsid w:val="00F324DA"/>
    <w:rsid w:val="00F326A8"/>
    <w:rsid w:val="00F34418"/>
    <w:rsid w:val="00F34E08"/>
    <w:rsid w:val="00F34EA5"/>
    <w:rsid w:val="00F3573A"/>
    <w:rsid w:val="00F369A6"/>
    <w:rsid w:val="00F41573"/>
    <w:rsid w:val="00F41E5C"/>
    <w:rsid w:val="00F424BD"/>
    <w:rsid w:val="00F42C0B"/>
    <w:rsid w:val="00F42C88"/>
    <w:rsid w:val="00F43A57"/>
    <w:rsid w:val="00F44529"/>
    <w:rsid w:val="00F45704"/>
    <w:rsid w:val="00F457D2"/>
    <w:rsid w:val="00F46F83"/>
    <w:rsid w:val="00F47D53"/>
    <w:rsid w:val="00F5186E"/>
    <w:rsid w:val="00F52270"/>
    <w:rsid w:val="00F524EE"/>
    <w:rsid w:val="00F52FF8"/>
    <w:rsid w:val="00F532E5"/>
    <w:rsid w:val="00F5498A"/>
    <w:rsid w:val="00F566B0"/>
    <w:rsid w:val="00F573CB"/>
    <w:rsid w:val="00F575D3"/>
    <w:rsid w:val="00F61534"/>
    <w:rsid w:val="00F61D1E"/>
    <w:rsid w:val="00F61E97"/>
    <w:rsid w:val="00F632AF"/>
    <w:rsid w:val="00F6466E"/>
    <w:rsid w:val="00F65D6B"/>
    <w:rsid w:val="00F668F0"/>
    <w:rsid w:val="00F6760E"/>
    <w:rsid w:val="00F67DCD"/>
    <w:rsid w:val="00F7090D"/>
    <w:rsid w:val="00F716FA"/>
    <w:rsid w:val="00F71A34"/>
    <w:rsid w:val="00F71C3F"/>
    <w:rsid w:val="00F72266"/>
    <w:rsid w:val="00F7593E"/>
    <w:rsid w:val="00F75BC5"/>
    <w:rsid w:val="00F76823"/>
    <w:rsid w:val="00F76F47"/>
    <w:rsid w:val="00F8067A"/>
    <w:rsid w:val="00F80926"/>
    <w:rsid w:val="00F819B2"/>
    <w:rsid w:val="00F81EF4"/>
    <w:rsid w:val="00F825DD"/>
    <w:rsid w:val="00F82C77"/>
    <w:rsid w:val="00F835E3"/>
    <w:rsid w:val="00F83BA1"/>
    <w:rsid w:val="00F84611"/>
    <w:rsid w:val="00F84659"/>
    <w:rsid w:val="00F85BAA"/>
    <w:rsid w:val="00F901CD"/>
    <w:rsid w:val="00F90A31"/>
    <w:rsid w:val="00F91C04"/>
    <w:rsid w:val="00F93964"/>
    <w:rsid w:val="00F9426E"/>
    <w:rsid w:val="00F9457B"/>
    <w:rsid w:val="00F94C87"/>
    <w:rsid w:val="00F94DD6"/>
    <w:rsid w:val="00F9522A"/>
    <w:rsid w:val="00F95246"/>
    <w:rsid w:val="00F9661C"/>
    <w:rsid w:val="00FA079E"/>
    <w:rsid w:val="00FA10D5"/>
    <w:rsid w:val="00FA1FB0"/>
    <w:rsid w:val="00FA6202"/>
    <w:rsid w:val="00FB06DA"/>
    <w:rsid w:val="00FB14B5"/>
    <w:rsid w:val="00FB3611"/>
    <w:rsid w:val="00FB3E61"/>
    <w:rsid w:val="00FB4F8B"/>
    <w:rsid w:val="00FB5D90"/>
    <w:rsid w:val="00FB6250"/>
    <w:rsid w:val="00FB76A8"/>
    <w:rsid w:val="00FB7CCD"/>
    <w:rsid w:val="00FB7F79"/>
    <w:rsid w:val="00FC026C"/>
    <w:rsid w:val="00FC304B"/>
    <w:rsid w:val="00FC3CEC"/>
    <w:rsid w:val="00FC5262"/>
    <w:rsid w:val="00FC5866"/>
    <w:rsid w:val="00FC5F67"/>
    <w:rsid w:val="00FC612B"/>
    <w:rsid w:val="00FC62AF"/>
    <w:rsid w:val="00FC6424"/>
    <w:rsid w:val="00FC6C27"/>
    <w:rsid w:val="00FD0B76"/>
    <w:rsid w:val="00FD1D30"/>
    <w:rsid w:val="00FD2771"/>
    <w:rsid w:val="00FD278A"/>
    <w:rsid w:val="00FD2801"/>
    <w:rsid w:val="00FD3051"/>
    <w:rsid w:val="00FD54BB"/>
    <w:rsid w:val="00FD55F6"/>
    <w:rsid w:val="00FD6118"/>
    <w:rsid w:val="00FD7E71"/>
    <w:rsid w:val="00FE04F6"/>
    <w:rsid w:val="00FE0C8F"/>
    <w:rsid w:val="00FE169D"/>
    <w:rsid w:val="00FE173B"/>
    <w:rsid w:val="00FE2D6E"/>
    <w:rsid w:val="00FE34EE"/>
    <w:rsid w:val="00FE3D75"/>
    <w:rsid w:val="00FE487B"/>
    <w:rsid w:val="00FE54D3"/>
    <w:rsid w:val="00FE5DD0"/>
    <w:rsid w:val="00FF06A6"/>
    <w:rsid w:val="00FF1940"/>
    <w:rsid w:val="00FF2084"/>
    <w:rsid w:val="00FF490E"/>
    <w:rsid w:val="00FF7405"/>
    <w:rsid w:val="00FF7EC4"/>
    <w:rsid w:val="010FC041"/>
    <w:rsid w:val="0AC63981"/>
    <w:rsid w:val="0B4ADD20"/>
    <w:rsid w:val="0DB7490D"/>
    <w:rsid w:val="15C31AE8"/>
    <w:rsid w:val="192EA7F6"/>
    <w:rsid w:val="1F85498A"/>
    <w:rsid w:val="216F7DCD"/>
    <w:rsid w:val="2D61BF51"/>
    <w:rsid w:val="2E6A47D9"/>
    <w:rsid w:val="2E77748F"/>
    <w:rsid w:val="2F52758C"/>
    <w:rsid w:val="2FDC5B02"/>
    <w:rsid w:val="31AA6C9E"/>
    <w:rsid w:val="34DBD73F"/>
    <w:rsid w:val="383ABD67"/>
    <w:rsid w:val="3C8685B4"/>
    <w:rsid w:val="4159B73D"/>
    <w:rsid w:val="436A7472"/>
    <w:rsid w:val="4E29F7D1"/>
    <w:rsid w:val="4FBD7605"/>
    <w:rsid w:val="4FC5C832"/>
    <w:rsid w:val="5A2DD922"/>
    <w:rsid w:val="5D84CC1A"/>
    <w:rsid w:val="64D58256"/>
    <w:rsid w:val="64DB520F"/>
    <w:rsid w:val="716C6292"/>
    <w:rsid w:val="725F3BF9"/>
    <w:rsid w:val="733EBA5C"/>
    <w:rsid w:val="77E7AE0F"/>
    <w:rsid w:val="78D2739E"/>
    <w:rsid w:val="7E325981"/>
    <w:rsid w:val="7F4EE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49951"/>
  <w15:chartTrackingRefBased/>
  <w15:docId w15:val="{B59C2DEF-41B3-4805-8235-A0FE182E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718"/>
    <w:pPr>
      <w:spacing w:line="288" w:lineRule="auto"/>
    </w:pPr>
    <w:rPr>
      <w:rFonts w:ascii="Verdana" w:eastAsiaTheme="minorEastAsia" w:hAnsi="Verdana" w:cstheme="minorBidi"/>
      <w:sz w:val="24"/>
      <w:szCs w:val="24"/>
    </w:rPr>
  </w:style>
  <w:style w:type="paragraph" w:styleId="Heading1">
    <w:name w:val="heading 1"/>
    <w:basedOn w:val="Normal"/>
    <w:next w:val="Normal"/>
    <w:link w:val="Heading1Char"/>
    <w:uiPriority w:val="9"/>
    <w:qFormat/>
    <w:rsid w:val="00086959"/>
    <w:pPr>
      <w:keepNext/>
      <w:keepLines/>
      <w:numPr>
        <w:numId w:val="8"/>
      </w:numPr>
      <w:spacing w:before="240" w:after="240"/>
      <w:outlineLvl w:val="0"/>
    </w:pPr>
    <w:rPr>
      <w:rFonts w:eastAsiaTheme="majorEastAsia" w:cstheme="majorBidi"/>
      <w:b/>
      <w:color w:val="77328A"/>
      <w:sz w:val="32"/>
      <w:szCs w:val="32"/>
    </w:rPr>
  </w:style>
  <w:style w:type="paragraph" w:styleId="Heading2">
    <w:name w:val="heading 2"/>
    <w:basedOn w:val="Normal"/>
    <w:next w:val="Normal"/>
    <w:link w:val="Heading2Char"/>
    <w:uiPriority w:val="9"/>
    <w:unhideWhenUsed/>
    <w:qFormat/>
    <w:rsid w:val="00866131"/>
    <w:pPr>
      <w:keepNext/>
      <w:keepLines/>
      <w:spacing w:before="40" w:line="360"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6131"/>
    <w:rPr>
      <w:rFonts w:ascii="Verdana" w:eastAsiaTheme="majorEastAsia" w:hAnsi="Verdana" w:cstheme="majorBidi"/>
      <w:b/>
      <w:sz w:val="24"/>
      <w:szCs w:val="26"/>
    </w:rPr>
  </w:style>
  <w:style w:type="paragraph" w:customStyle="1" w:styleId="NIHRCFootnotes">
    <w:name w:val="NIHRC Footnotes"/>
    <w:basedOn w:val="Normal"/>
    <w:qFormat/>
    <w:rsid w:val="00AF4682"/>
    <w:pPr>
      <w:tabs>
        <w:tab w:val="left" w:pos="284"/>
      </w:tabs>
      <w:spacing w:line="240" w:lineRule="auto"/>
    </w:pPr>
    <w:rPr>
      <w:rFonts w:cs="Arial"/>
      <w:color w:val="77328A"/>
      <w:sz w:val="16"/>
      <w:szCs w:val="16"/>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BasicParagraph"/>
    <w:link w:val="ListParagraphChar"/>
    <w:uiPriority w:val="34"/>
    <w:qFormat/>
    <w:rsid w:val="000F3258"/>
    <w:pPr>
      <w:numPr>
        <w:ilvl w:val="1"/>
        <w:numId w:val="8"/>
      </w:numPr>
      <w:suppressAutoHyphens/>
      <w:jc w:val="left"/>
    </w:pPr>
    <w:rPr>
      <w:rFonts w:ascii="Verdana" w:hAnsi="Verdana"/>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0F3258"/>
    <w:rPr>
      <w:rFonts w:ascii="Verdana" w:eastAsiaTheme="minorEastAsia" w:hAnsi="Verdana" w:cs="MinionPro-Regular"/>
      <w:color w:val="000000"/>
      <w:sz w:val="24"/>
      <w:szCs w:val="24"/>
    </w:rPr>
  </w:style>
  <w:style w:type="character" w:customStyle="1" w:styleId="normaltextrun">
    <w:name w:val="normaltextrun"/>
    <w:basedOn w:val="DefaultParagraphFont"/>
    <w:rsid w:val="003F60F5"/>
  </w:style>
  <w:style w:type="paragraph" w:customStyle="1" w:styleId="paragraph">
    <w:name w:val="paragraph"/>
    <w:basedOn w:val="Normal"/>
    <w:rsid w:val="003F60F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3F60F5"/>
    <w:rPr>
      <w:color w:val="0563C1" w:themeColor="hyperlink"/>
      <w:u w:val="single"/>
    </w:rPr>
  </w:style>
  <w:style w:type="paragraph" w:styleId="EndnoteText">
    <w:name w:val="endnote text"/>
    <w:basedOn w:val="Normal"/>
    <w:link w:val="EndnoteTextChar"/>
    <w:uiPriority w:val="99"/>
    <w:semiHidden/>
    <w:unhideWhenUsed/>
    <w:rsid w:val="003F60F5"/>
    <w:rPr>
      <w:sz w:val="20"/>
      <w:szCs w:val="20"/>
    </w:rPr>
  </w:style>
  <w:style w:type="character" w:customStyle="1" w:styleId="EndnoteTextChar">
    <w:name w:val="Endnote Text Char"/>
    <w:basedOn w:val="DefaultParagraphFont"/>
    <w:link w:val="EndnoteText"/>
    <w:uiPriority w:val="99"/>
    <w:semiHidden/>
    <w:rsid w:val="003F60F5"/>
    <w:rPr>
      <w:rFonts w:ascii="Verdana" w:eastAsiaTheme="minorEastAsia" w:hAnsi="Verdana" w:cstheme="minorBidi"/>
    </w:rPr>
  </w:style>
  <w:style w:type="character" w:styleId="EndnoteReference">
    <w:name w:val="endnote reference"/>
    <w:basedOn w:val="DefaultParagraphFont"/>
    <w:uiPriority w:val="99"/>
    <w:semiHidden/>
    <w:unhideWhenUsed/>
    <w:rsid w:val="003F60F5"/>
    <w:rPr>
      <w:vertAlign w:val="superscript"/>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
    <w:basedOn w:val="Normal"/>
    <w:link w:val="FootnoteTextChar"/>
    <w:uiPriority w:val="99"/>
    <w:unhideWhenUsed/>
    <w:qFormat/>
    <w:rsid w:val="002779D1"/>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2779D1"/>
    <w:rPr>
      <w:rFonts w:ascii="Verdana" w:eastAsiaTheme="minorEastAsia" w:hAnsi="Verdana" w:cstheme="minorBidi"/>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unhideWhenUsed/>
    <w:qFormat/>
    <w:rsid w:val="002779D1"/>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E3606F"/>
    <w:pPr>
      <w:spacing w:line="240" w:lineRule="exact"/>
      <w:jc w:val="both"/>
    </w:pPr>
    <w:rPr>
      <w:rFonts w:ascii="Times New Roman" w:eastAsiaTheme="minorHAnsi" w:hAnsi="Times New Roman" w:cs="Times New Roman"/>
      <w:sz w:val="20"/>
      <w:szCs w:val="20"/>
      <w:vertAlign w:val="superscript"/>
    </w:rPr>
  </w:style>
  <w:style w:type="character" w:styleId="CommentReference">
    <w:name w:val="annotation reference"/>
    <w:basedOn w:val="DefaultParagraphFont"/>
    <w:uiPriority w:val="99"/>
    <w:semiHidden/>
    <w:unhideWhenUsed/>
    <w:rsid w:val="007A268C"/>
    <w:rPr>
      <w:sz w:val="16"/>
      <w:szCs w:val="16"/>
    </w:rPr>
  </w:style>
  <w:style w:type="paragraph" w:styleId="CommentText">
    <w:name w:val="annotation text"/>
    <w:basedOn w:val="Normal"/>
    <w:link w:val="CommentTextChar"/>
    <w:uiPriority w:val="99"/>
    <w:unhideWhenUsed/>
    <w:rsid w:val="007A268C"/>
    <w:rPr>
      <w:sz w:val="20"/>
      <w:szCs w:val="20"/>
    </w:rPr>
  </w:style>
  <w:style w:type="character" w:customStyle="1" w:styleId="CommentTextChar">
    <w:name w:val="Comment Text Char"/>
    <w:basedOn w:val="DefaultParagraphFont"/>
    <w:link w:val="CommentText"/>
    <w:uiPriority w:val="99"/>
    <w:rsid w:val="007A268C"/>
    <w:rPr>
      <w:rFonts w:ascii="Verdana" w:eastAsiaTheme="minorEastAsia" w:hAnsi="Verdana" w:cstheme="minorBidi"/>
    </w:rPr>
  </w:style>
  <w:style w:type="paragraph" w:styleId="CommentSubject">
    <w:name w:val="annotation subject"/>
    <w:basedOn w:val="CommentText"/>
    <w:next w:val="CommentText"/>
    <w:link w:val="CommentSubjectChar"/>
    <w:uiPriority w:val="99"/>
    <w:semiHidden/>
    <w:unhideWhenUsed/>
    <w:rsid w:val="007A268C"/>
    <w:rPr>
      <w:b/>
      <w:bCs/>
    </w:rPr>
  </w:style>
  <w:style w:type="character" w:customStyle="1" w:styleId="CommentSubjectChar">
    <w:name w:val="Comment Subject Char"/>
    <w:basedOn w:val="CommentTextChar"/>
    <w:link w:val="CommentSubject"/>
    <w:uiPriority w:val="99"/>
    <w:semiHidden/>
    <w:rsid w:val="007A268C"/>
    <w:rPr>
      <w:rFonts w:ascii="Verdana" w:eastAsiaTheme="minorEastAsia" w:hAnsi="Verdana" w:cstheme="minorBidi"/>
      <w:b/>
      <w:bCs/>
    </w:rPr>
  </w:style>
  <w:style w:type="paragraph" w:customStyle="1" w:styleId="BasicParagraph">
    <w:name w:val="[Basic Paragraph]"/>
    <w:basedOn w:val="Normal"/>
    <w:link w:val="BasicParagraphChar"/>
    <w:uiPriority w:val="99"/>
    <w:rsid w:val="00015718"/>
    <w:pPr>
      <w:widowControl w:val="0"/>
      <w:autoSpaceDE w:val="0"/>
      <w:autoSpaceDN w:val="0"/>
      <w:adjustRightInd w:val="0"/>
      <w:jc w:val="both"/>
      <w:textAlignment w:val="center"/>
    </w:pPr>
    <w:rPr>
      <w:rFonts w:ascii="MinionPro-Regular" w:hAnsi="MinionPro-Regular" w:cs="MinionPro-Regular"/>
      <w:color w:val="000000"/>
    </w:rPr>
  </w:style>
  <w:style w:type="paragraph" w:customStyle="1" w:styleId="Default">
    <w:name w:val="Default"/>
    <w:rsid w:val="00015718"/>
    <w:pPr>
      <w:widowControl w:val="0"/>
      <w:autoSpaceDE w:val="0"/>
      <w:autoSpaceDN w:val="0"/>
      <w:adjustRightInd w:val="0"/>
      <w:spacing w:line="360" w:lineRule="auto"/>
      <w:jc w:val="both"/>
    </w:pPr>
    <w:rPr>
      <w:rFonts w:ascii="Verdana" w:eastAsiaTheme="minorEastAsia" w:hAnsi="Verdana" w:cs="Verdana"/>
      <w:color w:val="000000"/>
      <w:sz w:val="24"/>
      <w:szCs w:val="24"/>
      <w:lang w:val="en-US"/>
    </w:rPr>
  </w:style>
  <w:style w:type="character" w:customStyle="1" w:styleId="Heading1Char">
    <w:name w:val="Heading 1 Char"/>
    <w:basedOn w:val="DefaultParagraphFont"/>
    <w:link w:val="Heading1"/>
    <w:uiPriority w:val="9"/>
    <w:rsid w:val="00086959"/>
    <w:rPr>
      <w:rFonts w:ascii="Verdana" w:eastAsiaTheme="majorEastAsia" w:hAnsi="Verdana" w:cstheme="majorBidi"/>
      <w:b/>
      <w:color w:val="77328A"/>
      <w:sz w:val="32"/>
      <w:szCs w:val="32"/>
    </w:rPr>
  </w:style>
  <w:style w:type="character" w:styleId="UnresolvedMention">
    <w:name w:val="Unresolved Mention"/>
    <w:basedOn w:val="DefaultParagraphFont"/>
    <w:uiPriority w:val="99"/>
    <w:semiHidden/>
    <w:unhideWhenUsed/>
    <w:rsid w:val="0062748F"/>
    <w:rPr>
      <w:color w:val="605E5C"/>
      <w:shd w:val="clear" w:color="auto" w:fill="E1DFDD"/>
    </w:rPr>
  </w:style>
  <w:style w:type="character" w:styleId="Emphasis">
    <w:name w:val="Emphasis"/>
    <w:basedOn w:val="DefaultParagraphFont"/>
    <w:uiPriority w:val="20"/>
    <w:qFormat/>
    <w:rsid w:val="005E0B0B"/>
    <w:rPr>
      <w:i/>
      <w:iCs/>
    </w:rPr>
  </w:style>
  <w:style w:type="paragraph" w:styleId="TOCHeading">
    <w:name w:val="TOC Heading"/>
    <w:basedOn w:val="Heading1"/>
    <w:next w:val="Normal"/>
    <w:uiPriority w:val="39"/>
    <w:unhideWhenUsed/>
    <w:qFormat/>
    <w:rsid w:val="00A250D0"/>
    <w:pPr>
      <w:spacing w:line="259" w:lineRule="auto"/>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F716FA"/>
    <w:pPr>
      <w:tabs>
        <w:tab w:val="left" w:pos="660"/>
        <w:tab w:val="right" w:leader="dot" w:pos="9016"/>
      </w:tabs>
      <w:spacing w:after="100"/>
    </w:pPr>
    <w:rPr>
      <w:b/>
      <w:bCs/>
      <w:noProof/>
    </w:rPr>
  </w:style>
  <w:style w:type="paragraph" w:styleId="TOC2">
    <w:name w:val="toc 2"/>
    <w:basedOn w:val="Normal"/>
    <w:next w:val="Normal"/>
    <w:autoRedefine/>
    <w:uiPriority w:val="39"/>
    <w:unhideWhenUsed/>
    <w:rsid w:val="00A250D0"/>
    <w:pPr>
      <w:spacing w:after="100"/>
      <w:ind w:left="240"/>
    </w:pPr>
  </w:style>
  <w:style w:type="paragraph" w:styleId="Header">
    <w:name w:val="header"/>
    <w:basedOn w:val="Normal"/>
    <w:link w:val="HeaderChar"/>
    <w:uiPriority w:val="99"/>
    <w:unhideWhenUsed/>
    <w:rsid w:val="007D17F2"/>
    <w:pPr>
      <w:tabs>
        <w:tab w:val="center" w:pos="4513"/>
        <w:tab w:val="right" w:pos="9026"/>
      </w:tabs>
      <w:spacing w:line="240" w:lineRule="auto"/>
    </w:pPr>
  </w:style>
  <w:style w:type="character" w:customStyle="1" w:styleId="HeaderChar">
    <w:name w:val="Header Char"/>
    <w:basedOn w:val="DefaultParagraphFont"/>
    <w:link w:val="Header"/>
    <w:uiPriority w:val="99"/>
    <w:rsid w:val="007D17F2"/>
    <w:rPr>
      <w:rFonts w:ascii="Verdana" w:eastAsiaTheme="minorEastAsia" w:hAnsi="Verdana" w:cstheme="minorBidi"/>
      <w:sz w:val="24"/>
      <w:szCs w:val="24"/>
    </w:rPr>
  </w:style>
  <w:style w:type="paragraph" w:styleId="Footer">
    <w:name w:val="footer"/>
    <w:basedOn w:val="Normal"/>
    <w:link w:val="FooterChar"/>
    <w:uiPriority w:val="99"/>
    <w:unhideWhenUsed/>
    <w:rsid w:val="007D17F2"/>
    <w:pPr>
      <w:tabs>
        <w:tab w:val="center" w:pos="4513"/>
        <w:tab w:val="right" w:pos="9026"/>
      </w:tabs>
      <w:spacing w:line="240" w:lineRule="auto"/>
    </w:pPr>
  </w:style>
  <w:style w:type="character" w:customStyle="1" w:styleId="FooterChar">
    <w:name w:val="Footer Char"/>
    <w:basedOn w:val="DefaultParagraphFont"/>
    <w:link w:val="Footer"/>
    <w:uiPriority w:val="99"/>
    <w:rsid w:val="007D17F2"/>
    <w:rPr>
      <w:rFonts w:ascii="Verdana" w:eastAsiaTheme="minorEastAsia" w:hAnsi="Verdana" w:cstheme="minorBidi"/>
      <w:sz w:val="24"/>
      <w:szCs w:val="24"/>
    </w:rPr>
  </w:style>
  <w:style w:type="paragraph" w:styleId="Revision">
    <w:name w:val="Revision"/>
    <w:hidden/>
    <w:uiPriority w:val="99"/>
    <w:semiHidden/>
    <w:rsid w:val="00171BAA"/>
    <w:rPr>
      <w:rFonts w:ascii="Verdana" w:eastAsiaTheme="minorEastAsia" w:hAnsi="Verdana" w:cstheme="minorBidi"/>
      <w:sz w:val="24"/>
      <w:szCs w:val="24"/>
    </w:rPr>
  </w:style>
  <w:style w:type="character" w:customStyle="1" w:styleId="BasicParagraphChar">
    <w:name w:val="[Basic Paragraph] Char"/>
    <w:basedOn w:val="DefaultParagraphFont"/>
    <w:link w:val="BasicParagraph"/>
    <w:uiPriority w:val="99"/>
    <w:rsid w:val="002F62F5"/>
    <w:rPr>
      <w:rFonts w:ascii="MinionPro-Regular" w:eastAsiaTheme="minorEastAsia" w:hAnsi="MinionPro-Regular" w:cs="MinionPro-Regular"/>
      <w:color w:val="000000"/>
      <w:sz w:val="24"/>
      <w:szCs w:val="24"/>
    </w:rPr>
  </w:style>
  <w:style w:type="paragraph" w:styleId="Quote">
    <w:name w:val="Quote"/>
    <w:basedOn w:val="Normal"/>
    <w:next w:val="Normal"/>
    <w:link w:val="QuoteChar"/>
    <w:uiPriority w:val="29"/>
    <w:qFormat/>
    <w:rsid w:val="002F62F5"/>
    <w:pPr>
      <w:ind w:left="862" w:right="862"/>
    </w:pPr>
    <w:rPr>
      <w:iCs/>
    </w:rPr>
  </w:style>
  <w:style w:type="character" w:customStyle="1" w:styleId="QuoteChar">
    <w:name w:val="Quote Char"/>
    <w:basedOn w:val="DefaultParagraphFont"/>
    <w:link w:val="Quote"/>
    <w:uiPriority w:val="29"/>
    <w:rsid w:val="002F62F5"/>
    <w:rPr>
      <w:rFonts w:ascii="Verdana" w:eastAsiaTheme="minorEastAsia" w:hAnsi="Verdana" w:cstheme="minorBidi"/>
      <w:iCs/>
      <w:sz w:val="24"/>
      <w:szCs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rsid w:val="00C77928"/>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0F3258"/>
    <w:rPr>
      <w:rFonts w:ascii="Verdana" w:eastAsiaTheme="minorEastAsia" w:hAnsi="Verdana" w:cstheme="minorBidi"/>
      <w:sz w:val="24"/>
      <w:szCs w:val="24"/>
    </w:rPr>
  </w:style>
  <w:style w:type="paragraph" w:customStyle="1" w:styleId="Pa2">
    <w:name w:val="Pa2"/>
    <w:basedOn w:val="Default"/>
    <w:next w:val="Default"/>
    <w:uiPriority w:val="99"/>
    <w:rsid w:val="008559F3"/>
    <w:pPr>
      <w:widowControl/>
      <w:spacing w:line="241" w:lineRule="atLeast"/>
      <w:jc w:val="left"/>
    </w:pPr>
    <w:rPr>
      <w:rFonts w:ascii="Gotham" w:eastAsiaTheme="minorHAnsi" w:hAnsi="Gotham" w:cs="Times New Roman"/>
      <w:color w:val="auto"/>
      <w:lang w:val="en-GB"/>
    </w:rPr>
  </w:style>
  <w:style w:type="character" w:customStyle="1" w:styleId="cf01">
    <w:name w:val="cf01"/>
    <w:basedOn w:val="DefaultParagraphFont"/>
    <w:rsid w:val="0030395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209">
      <w:bodyDiv w:val="1"/>
      <w:marLeft w:val="0"/>
      <w:marRight w:val="0"/>
      <w:marTop w:val="0"/>
      <w:marBottom w:val="0"/>
      <w:divBdr>
        <w:top w:val="none" w:sz="0" w:space="0" w:color="auto"/>
        <w:left w:val="none" w:sz="0" w:space="0" w:color="auto"/>
        <w:bottom w:val="none" w:sz="0" w:space="0" w:color="auto"/>
        <w:right w:val="none" w:sz="0" w:space="0" w:color="auto"/>
      </w:divBdr>
    </w:div>
    <w:div w:id="153494347">
      <w:bodyDiv w:val="1"/>
      <w:marLeft w:val="0"/>
      <w:marRight w:val="0"/>
      <w:marTop w:val="0"/>
      <w:marBottom w:val="0"/>
      <w:divBdr>
        <w:top w:val="none" w:sz="0" w:space="0" w:color="auto"/>
        <w:left w:val="none" w:sz="0" w:space="0" w:color="auto"/>
        <w:bottom w:val="none" w:sz="0" w:space="0" w:color="auto"/>
        <w:right w:val="none" w:sz="0" w:space="0" w:color="auto"/>
      </w:divBdr>
    </w:div>
    <w:div w:id="388656216">
      <w:bodyDiv w:val="1"/>
      <w:marLeft w:val="0"/>
      <w:marRight w:val="0"/>
      <w:marTop w:val="0"/>
      <w:marBottom w:val="0"/>
      <w:divBdr>
        <w:top w:val="none" w:sz="0" w:space="0" w:color="auto"/>
        <w:left w:val="none" w:sz="0" w:space="0" w:color="auto"/>
        <w:bottom w:val="none" w:sz="0" w:space="0" w:color="auto"/>
        <w:right w:val="none" w:sz="0" w:space="0" w:color="auto"/>
      </w:divBdr>
    </w:div>
    <w:div w:id="544685571">
      <w:bodyDiv w:val="1"/>
      <w:marLeft w:val="0"/>
      <w:marRight w:val="0"/>
      <w:marTop w:val="0"/>
      <w:marBottom w:val="0"/>
      <w:divBdr>
        <w:top w:val="none" w:sz="0" w:space="0" w:color="auto"/>
        <w:left w:val="none" w:sz="0" w:space="0" w:color="auto"/>
        <w:bottom w:val="none" w:sz="0" w:space="0" w:color="auto"/>
        <w:right w:val="none" w:sz="0" w:space="0" w:color="auto"/>
      </w:divBdr>
    </w:div>
    <w:div w:id="680163017">
      <w:bodyDiv w:val="1"/>
      <w:marLeft w:val="0"/>
      <w:marRight w:val="0"/>
      <w:marTop w:val="0"/>
      <w:marBottom w:val="0"/>
      <w:divBdr>
        <w:top w:val="none" w:sz="0" w:space="0" w:color="auto"/>
        <w:left w:val="none" w:sz="0" w:space="0" w:color="auto"/>
        <w:bottom w:val="none" w:sz="0" w:space="0" w:color="auto"/>
        <w:right w:val="none" w:sz="0" w:space="0" w:color="auto"/>
      </w:divBdr>
    </w:div>
    <w:div w:id="721104085">
      <w:bodyDiv w:val="1"/>
      <w:marLeft w:val="0"/>
      <w:marRight w:val="0"/>
      <w:marTop w:val="0"/>
      <w:marBottom w:val="0"/>
      <w:divBdr>
        <w:top w:val="none" w:sz="0" w:space="0" w:color="auto"/>
        <w:left w:val="none" w:sz="0" w:space="0" w:color="auto"/>
        <w:bottom w:val="none" w:sz="0" w:space="0" w:color="auto"/>
        <w:right w:val="none" w:sz="0" w:space="0" w:color="auto"/>
      </w:divBdr>
    </w:div>
    <w:div w:id="809830417">
      <w:bodyDiv w:val="1"/>
      <w:marLeft w:val="0"/>
      <w:marRight w:val="0"/>
      <w:marTop w:val="0"/>
      <w:marBottom w:val="0"/>
      <w:divBdr>
        <w:top w:val="none" w:sz="0" w:space="0" w:color="auto"/>
        <w:left w:val="none" w:sz="0" w:space="0" w:color="auto"/>
        <w:bottom w:val="none" w:sz="0" w:space="0" w:color="auto"/>
        <w:right w:val="none" w:sz="0" w:space="0" w:color="auto"/>
      </w:divBdr>
    </w:div>
    <w:div w:id="1059598244">
      <w:bodyDiv w:val="1"/>
      <w:marLeft w:val="0"/>
      <w:marRight w:val="0"/>
      <w:marTop w:val="0"/>
      <w:marBottom w:val="0"/>
      <w:divBdr>
        <w:top w:val="none" w:sz="0" w:space="0" w:color="auto"/>
        <w:left w:val="none" w:sz="0" w:space="0" w:color="auto"/>
        <w:bottom w:val="none" w:sz="0" w:space="0" w:color="auto"/>
        <w:right w:val="none" w:sz="0" w:space="0" w:color="auto"/>
      </w:divBdr>
    </w:div>
    <w:div w:id="1321271613">
      <w:bodyDiv w:val="1"/>
      <w:marLeft w:val="0"/>
      <w:marRight w:val="0"/>
      <w:marTop w:val="0"/>
      <w:marBottom w:val="0"/>
      <w:divBdr>
        <w:top w:val="none" w:sz="0" w:space="0" w:color="auto"/>
        <w:left w:val="none" w:sz="0" w:space="0" w:color="auto"/>
        <w:bottom w:val="none" w:sz="0" w:space="0" w:color="auto"/>
        <w:right w:val="none" w:sz="0" w:space="0" w:color="auto"/>
      </w:divBdr>
    </w:div>
    <w:div w:id="137503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lin.Caughey@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ilis.Haughey@nihr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nihrc.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hrc.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32012L0029" TargetMode="External"/><Relationship Id="rId3" Type="http://schemas.openxmlformats.org/officeDocument/2006/relationships/hyperlink" Target="https://www.socialchangeinitiative.com/human-rights-and-equality-in-northern-ireland-under-the-protocol-a-practical-guide" TargetMode="External"/><Relationship Id="rId7" Type="http://schemas.openxmlformats.org/officeDocument/2006/relationships/hyperlink" Target="https://nihrc.org/publication/detail/table-of-eu-directives-which-underpin-the-rights-safeguards-and-equality-of-opportunity-provisions-included-in-the-chapter-of-the-belfast-good-friday-agreement-of-the-same-name-and-implementing-domestic-legislation" TargetMode="External"/><Relationship Id="rId2" Type="http://schemas.openxmlformats.org/officeDocument/2006/relationships/hyperlink" Target="https://www.gov.uk/government/publications/protocol-on-irelandnorthern-ireland-article-2" TargetMode="External"/><Relationship Id="rId1" Type="http://schemas.openxmlformats.org/officeDocument/2006/relationships/hyperlink" Target="https://www.gov.uk/government/publications/protocol-on-irelandnorthern-ireland-article-2" TargetMode="External"/><Relationship Id="rId6" Type="http://schemas.openxmlformats.org/officeDocument/2006/relationships/hyperlink" Target="https://www.gov.uk/government/publications/protocol-on-irelandnorthern-ireland-article-2" TargetMode="External"/><Relationship Id="rId5" Type="http://schemas.openxmlformats.org/officeDocument/2006/relationships/hyperlink" Target="https://btcwarwick.files.wordpress.com/2018/03/draft-withdrawal-agreement-commentary-final.pdf" TargetMode="External"/><Relationship Id="rId4" Type="http://schemas.openxmlformats.org/officeDocument/2006/relationships/hyperlink" Target="https://committees.parliament.uk/writtenevidence/10145/default/" TargetMode="External"/><Relationship Id="rId9" Type="http://schemas.openxmlformats.org/officeDocument/2006/relationships/hyperlink" Target="https://eur-lex.europa.eu/legal-content/en/TXT/?uri=CELEX%3A32011L0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6" ma:contentTypeDescription="Create a new document." ma:contentTypeScope="" ma:versionID="3ba56c4172e140a3b08fad018e3f479d">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40395f25741d40b7fffcfa094237fac8"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5A65C-3503-40CE-8C79-8A4F79E96FEB}">
  <ds:schemaRefs>
    <ds:schemaRef ds:uri="http://schemas.microsoft.com/sharepoint/v3/contenttype/forms"/>
  </ds:schemaRefs>
</ds:datastoreItem>
</file>

<file path=customXml/itemProps2.xml><?xml version="1.0" encoding="utf-8"?>
<ds:datastoreItem xmlns:ds="http://schemas.openxmlformats.org/officeDocument/2006/customXml" ds:itemID="{1A4AC149-06AA-4504-A789-AC6EAB319B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22CC3A-34DA-4DF1-9435-ECF68735EE8E}">
  <ds:schemaRefs>
    <ds:schemaRef ds:uri="http://schemas.openxmlformats.org/officeDocument/2006/bibliography"/>
  </ds:schemaRefs>
</ds:datastoreItem>
</file>

<file path=customXml/itemProps4.xml><?xml version="1.0" encoding="utf-8"?>
<ds:datastoreItem xmlns:ds="http://schemas.openxmlformats.org/officeDocument/2006/customXml" ds:itemID="{7731AE39-DD01-45E9-A12A-5F6D8C253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4296</Words>
  <Characters>24489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28728</CharactersWithSpaces>
  <SharedDoc>false</SharedDoc>
  <HLinks>
    <vt:vector size="174" baseType="variant">
      <vt:variant>
        <vt:i4>6946881</vt:i4>
      </vt:variant>
      <vt:variant>
        <vt:i4>108</vt:i4>
      </vt:variant>
      <vt:variant>
        <vt:i4>0</vt:i4>
      </vt:variant>
      <vt:variant>
        <vt:i4>5</vt:i4>
      </vt:variant>
      <vt:variant>
        <vt:lpwstr>mailto:info@nihrc.org</vt:lpwstr>
      </vt:variant>
      <vt:variant>
        <vt:lpwstr/>
      </vt:variant>
      <vt:variant>
        <vt:i4>4587543</vt:i4>
      </vt:variant>
      <vt:variant>
        <vt:i4>105</vt:i4>
      </vt:variant>
      <vt:variant>
        <vt:i4>0</vt:i4>
      </vt:variant>
      <vt:variant>
        <vt:i4>5</vt:i4>
      </vt:variant>
      <vt:variant>
        <vt:lpwstr>http://www.nihrc.org/</vt:lpwstr>
      </vt:variant>
      <vt:variant>
        <vt:lpwstr/>
      </vt:variant>
      <vt:variant>
        <vt:i4>6881286</vt:i4>
      </vt:variant>
      <vt:variant>
        <vt:i4>102</vt:i4>
      </vt:variant>
      <vt:variant>
        <vt:i4>0</vt:i4>
      </vt:variant>
      <vt:variant>
        <vt:i4>5</vt:i4>
      </vt:variant>
      <vt:variant>
        <vt:lpwstr>mailto:Colin.Caughey@nihrc.org</vt:lpwstr>
      </vt:variant>
      <vt:variant>
        <vt:lpwstr/>
      </vt:variant>
      <vt:variant>
        <vt:i4>7929856</vt:i4>
      </vt:variant>
      <vt:variant>
        <vt:i4>99</vt:i4>
      </vt:variant>
      <vt:variant>
        <vt:i4>0</vt:i4>
      </vt:variant>
      <vt:variant>
        <vt:i4>5</vt:i4>
      </vt:variant>
      <vt:variant>
        <vt:lpwstr>mailto:Eilis.Haughey@nihrc.org</vt:lpwstr>
      </vt:variant>
      <vt:variant>
        <vt:lpwstr/>
      </vt:variant>
      <vt:variant>
        <vt:i4>1900599</vt:i4>
      </vt:variant>
      <vt:variant>
        <vt:i4>92</vt:i4>
      </vt:variant>
      <vt:variant>
        <vt:i4>0</vt:i4>
      </vt:variant>
      <vt:variant>
        <vt:i4>5</vt:i4>
      </vt:variant>
      <vt:variant>
        <vt:lpwstr/>
      </vt:variant>
      <vt:variant>
        <vt:lpwstr>_Toc131676096</vt:lpwstr>
      </vt:variant>
      <vt:variant>
        <vt:i4>1900599</vt:i4>
      </vt:variant>
      <vt:variant>
        <vt:i4>86</vt:i4>
      </vt:variant>
      <vt:variant>
        <vt:i4>0</vt:i4>
      </vt:variant>
      <vt:variant>
        <vt:i4>5</vt:i4>
      </vt:variant>
      <vt:variant>
        <vt:lpwstr/>
      </vt:variant>
      <vt:variant>
        <vt:lpwstr>_Toc131676095</vt:lpwstr>
      </vt:variant>
      <vt:variant>
        <vt:i4>1900599</vt:i4>
      </vt:variant>
      <vt:variant>
        <vt:i4>80</vt:i4>
      </vt:variant>
      <vt:variant>
        <vt:i4>0</vt:i4>
      </vt:variant>
      <vt:variant>
        <vt:i4>5</vt:i4>
      </vt:variant>
      <vt:variant>
        <vt:lpwstr/>
      </vt:variant>
      <vt:variant>
        <vt:lpwstr>_Toc131676094</vt:lpwstr>
      </vt:variant>
      <vt:variant>
        <vt:i4>1900599</vt:i4>
      </vt:variant>
      <vt:variant>
        <vt:i4>74</vt:i4>
      </vt:variant>
      <vt:variant>
        <vt:i4>0</vt:i4>
      </vt:variant>
      <vt:variant>
        <vt:i4>5</vt:i4>
      </vt:variant>
      <vt:variant>
        <vt:lpwstr/>
      </vt:variant>
      <vt:variant>
        <vt:lpwstr>_Toc131676093</vt:lpwstr>
      </vt:variant>
      <vt:variant>
        <vt:i4>1900599</vt:i4>
      </vt:variant>
      <vt:variant>
        <vt:i4>68</vt:i4>
      </vt:variant>
      <vt:variant>
        <vt:i4>0</vt:i4>
      </vt:variant>
      <vt:variant>
        <vt:i4>5</vt:i4>
      </vt:variant>
      <vt:variant>
        <vt:lpwstr/>
      </vt:variant>
      <vt:variant>
        <vt:lpwstr>_Toc131676092</vt:lpwstr>
      </vt:variant>
      <vt:variant>
        <vt:i4>1900599</vt:i4>
      </vt:variant>
      <vt:variant>
        <vt:i4>62</vt:i4>
      </vt:variant>
      <vt:variant>
        <vt:i4>0</vt:i4>
      </vt:variant>
      <vt:variant>
        <vt:i4>5</vt:i4>
      </vt:variant>
      <vt:variant>
        <vt:lpwstr/>
      </vt:variant>
      <vt:variant>
        <vt:lpwstr>_Toc131676091</vt:lpwstr>
      </vt:variant>
      <vt:variant>
        <vt:i4>1900599</vt:i4>
      </vt:variant>
      <vt:variant>
        <vt:i4>56</vt:i4>
      </vt:variant>
      <vt:variant>
        <vt:i4>0</vt:i4>
      </vt:variant>
      <vt:variant>
        <vt:i4>5</vt:i4>
      </vt:variant>
      <vt:variant>
        <vt:lpwstr/>
      </vt:variant>
      <vt:variant>
        <vt:lpwstr>_Toc131676090</vt:lpwstr>
      </vt:variant>
      <vt:variant>
        <vt:i4>1835063</vt:i4>
      </vt:variant>
      <vt:variant>
        <vt:i4>50</vt:i4>
      </vt:variant>
      <vt:variant>
        <vt:i4>0</vt:i4>
      </vt:variant>
      <vt:variant>
        <vt:i4>5</vt:i4>
      </vt:variant>
      <vt:variant>
        <vt:lpwstr/>
      </vt:variant>
      <vt:variant>
        <vt:lpwstr>_Toc131676089</vt:lpwstr>
      </vt:variant>
      <vt:variant>
        <vt:i4>1835063</vt:i4>
      </vt:variant>
      <vt:variant>
        <vt:i4>44</vt:i4>
      </vt:variant>
      <vt:variant>
        <vt:i4>0</vt:i4>
      </vt:variant>
      <vt:variant>
        <vt:i4>5</vt:i4>
      </vt:variant>
      <vt:variant>
        <vt:lpwstr/>
      </vt:variant>
      <vt:variant>
        <vt:lpwstr>_Toc131676088</vt:lpwstr>
      </vt:variant>
      <vt:variant>
        <vt:i4>1835063</vt:i4>
      </vt:variant>
      <vt:variant>
        <vt:i4>38</vt:i4>
      </vt:variant>
      <vt:variant>
        <vt:i4>0</vt:i4>
      </vt:variant>
      <vt:variant>
        <vt:i4>5</vt:i4>
      </vt:variant>
      <vt:variant>
        <vt:lpwstr/>
      </vt:variant>
      <vt:variant>
        <vt:lpwstr>_Toc131676087</vt:lpwstr>
      </vt:variant>
      <vt:variant>
        <vt:i4>1835063</vt:i4>
      </vt:variant>
      <vt:variant>
        <vt:i4>32</vt:i4>
      </vt:variant>
      <vt:variant>
        <vt:i4>0</vt:i4>
      </vt:variant>
      <vt:variant>
        <vt:i4>5</vt:i4>
      </vt:variant>
      <vt:variant>
        <vt:lpwstr/>
      </vt:variant>
      <vt:variant>
        <vt:lpwstr>_Toc131676086</vt:lpwstr>
      </vt:variant>
      <vt:variant>
        <vt:i4>1835063</vt:i4>
      </vt:variant>
      <vt:variant>
        <vt:i4>26</vt:i4>
      </vt:variant>
      <vt:variant>
        <vt:i4>0</vt:i4>
      </vt:variant>
      <vt:variant>
        <vt:i4>5</vt:i4>
      </vt:variant>
      <vt:variant>
        <vt:lpwstr/>
      </vt:variant>
      <vt:variant>
        <vt:lpwstr>_Toc131676085</vt:lpwstr>
      </vt:variant>
      <vt:variant>
        <vt:i4>1835063</vt:i4>
      </vt:variant>
      <vt:variant>
        <vt:i4>20</vt:i4>
      </vt:variant>
      <vt:variant>
        <vt:i4>0</vt:i4>
      </vt:variant>
      <vt:variant>
        <vt:i4>5</vt:i4>
      </vt:variant>
      <vt:variant>
        <vt:lpwstr/>
      </vt:variant>
      <vt:variant>
        <vt:lpwstr>_Toc131676084</vt:lpwstr>
      </vt:variant>
      <vt:variant>
        <vt:i4>1835063</vt:i4>
      </vt:variant>
      <vt:variant>
        <vt:i4>14</vt:i4>
      </vt:variant>
      <vt:variant>
        <vt:i4>0</vt:i4>
      </vt:variant>
      <vt:variant>
        <vt:i4>5</vt:i4>
      </vt:variant>
      <vt:variant>
        <vt:lpwstr/>
      </vt:variant>
      <vt:variant>
        <vt:lpwstr>_Toc131676083</vt:lpwstr>
      </vt:variant>
      <vt:variant>
        <vt:i4>1835063</vt:i4>
      </vt:variant>
      <vt:variant>
        <vt:i4>8</vt:i4>
      </vt:variant>
      <vt:variant>
        <vt:i4>0</vt:i4>
      </vt:variant>
      <vt:variant>
        <vt:i4>5</vt:i4>
      </vt:variant>
      <vt:variant>
        <vt:lpwstr/>
      </vt:variant>
      <vt:variant>
        <vt:lpwstr>_Toc131676082</vt:lpwstr>
      </vt:variant>
      <vt:variant>
        <vt:i4>1835063</vt:i4>
      </vt:variant>
      <vt:variant>
        <vt:i4>2</vt:i4>
      </vt:variant>
      <vt:variant>
        <vt:i4>0</vt:i4>
      </vt:variant>
      <vt:variant>
        <vt:i4>5</vt:i4>
      </vt:variant>
      <vt:variant>
        <vt:lpwstr/>
      </vt:variant>
      <vt:variant>
        <vt:lpwstr>_Toc131676081</vt:lpwstr>
      </vt:variant>
      <vt:variant>
        <vt:i4>7536752</vt:i4>
      </vt:variant>
      <vt:variant>
        <vt:i4>24</vt:i4>
      </vt:variant>
      <vt:variant>
        <vt:i4>0</vt:i4>
      </vt:variant>
      <vt:variant>
        <vt:i4>5</vt:i4>
      </vt:variant>
      <vt:variant>
        <vt:lpwstr>https://eur-lex.europa.eu/legal-content/en/TXT/?uri=CELEX%3A32011L0036</vt:lpwstr>
      </vt:variant>
      <vt:variant>
        <vt:lpwstr/>
      </vt:variant>
      <vt:variant>
        <vt:i4>8126578</vt:i4>
      </vt:variant>
      <vt:variant>
        <vt:i4>21</vt:i4>
      </vt:variant>
      <vt:variant>
        <vt:i4>0</vt:i4>
      </vt:variant>
      <vt:variant>
        <vt:i4>5</vt:i4>
      </vt:variant>
      <vt:variant>
        <vt:lpwstr>https://eur-lex.europa.eu/legal-content/EN/TXT/?uri=celex%3A32012L0029</vt:lpwstr>
      </vt:variant>
      <vt:variant>
        <vt:lpwstr/>
      </vt:variant>
      <vt:variant>
        <vt:i4>7733355</vt:i4>
      </vt:variant>
      <vt:variant>
        <vt:i4>18</vt:i4>
      </vt:variant>
      <vt:variant>
        <vt:i4>0</vt:i4>
      </vt:variant>
      <vt:variant>
        <vt:i4>5</vt:i4>
      </vt:variant>
      <vt:variant>
        <vt:lpwstr>https://nihrc.org/publication/detail/table-of-eu-directives-which-underpin-the-rights-safeguards-and-equality-of-opportunity-provisions-included-in-the-chapter-of-the-belfast-good-friday-agreement-of-the-same-name-and-implementing-domestic-legislation</vt:lpwstr>
      </vt:variant>
      <vt:variant>
        <vt:lpwstr/>
      </vt:variant>
      <vt:variant>
        <vt:i4>5374043</vt:i4>
      </vt:variant>
      <vt:variant>
        <vt:i4>15</vt:i4>
      </vt:variant>
      <vt:variant>
        <vt:i4>0</vt:i4>
      </vt:variant>
      <vt:variant>
        <vt:i4>5</vt:i4>
      </vt:variant>
      <vt:variant>
        <vt:lpwstr>https://www.gov.uk/government/publications/protocol-on-irelandnorthern-ireland-article-2</vt:lpwstr>
      </vt:variant>
      <vt:variant>
        <vt:lpwstr/>
      </vt:variant>
      <vt:variant>
        <vt:i4>7864447</vt:i4>
      </vt:variant>
      <vt:variant>
        <vt:i4>12</vt:i4>
      </vt:variant>
      <vt:variant>
        <vt:i4>0</vt:i4>
      </vt:variant>
      <vt:variant>
        <vt:i4>5</vt:i4>
      </vt:variant>
      <vt:variant>
        <vt:lpwstr>https://btcwarwick.files.wordpress.com/2018/03/draft-withdrawal-agreement-commentary-final.pdf</vt:lpwstr>
      </vt:variant>
      <vt:variant>
        <vt:lpwstr/>
      </vt:variant>
      <vt:variant>
        <vt:i4>7798842</vt:i4>
      </vt:variant>
      <vt:variant>
        <vt:i4>9</vt:i4>
      </vt:variant>
      <vt:variant>
        <vt:i4>0</vt:i4>
      </vt:variant>
      <vt:variant>
        <vt:i4>5</vt:i4>
      </vt:variant>
      <vt:variant>
        <vt:lpwstr>https://committees.parliament.uk/writtenevidence/10145/default/</vt:lpwstr>
      </vt:variant>
      <vt:variant>
        <vt:lpwstr/>
      </vt:variant>
      <vt:variant>
        <vt:i4>4784205</vt:i4>
      </vt:variant>
      <vt:variant>
        <vt:i4>6</vt:i4>
      </vt:variant>
      <vt:variant>
        <vt:i4>0</vt:i4>
      </vt:variant>
      <vt:variant>
        <vt:i4>5</vt:i4>
      </vt:variant>
      <vt:variant>
        <vt:lpwstr>https://www.socialchangeinitiative.com/human-rights-and-equality-in-northern-ireland-under-the-protocol-a-practical-guide</vt:lpwstr>
      </vt:variant>
      <vt:variant>
        <vt:lpwstr/>
      </vt:variant>
      <vt:variant>
        <vt:i4>5374043</vt:i4>
      </vt:variant>
      <vt:variant>
        <vt:i4>3</vt:i4>
      </vt:variant>
      <vt:variant>
        <vt:i4>0</vt:i4>
      </vt:variant>
      <vt:variant>
        <vt:i4>5</vt:i4>
      </vt:variant>
      <vt:variant>
        <vt:lpwstr>https://www.gov.uk/government/publications/protocol-on-irelandnorthern-ireland-article-2</vt:lpwstr>
      </vt:variant>
      <vt:variant>
        <vt:lpwstr/>
      </vt:variant>
      <vt:variant>
        <vt:i4>5374043</vt:i4>
      </vt:variant>
      <vt:variant>
        <vt:i4>0</vt:i4>
      </vt:variant>
      <vt:variant>
        <vt:i4>0</vt:i4>
      </vt:variant>
      <vt:variant>
        <vt:i4>5</vt:i4>
      </vt:variant>
      <vt:variant>
        <vt:lpwstr>https://www.gov.uk/government/publications/protocol-on-irelandnorthern-ireland-article-2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Nada Ahmed</cp:lastModifiedBy>
  <cp:revision>4</cp:revision>
  <cp:lastPrinted>2023-04-24T10:19:00Z</cp:lastPrinted>
  <dcterms:created xsi:type="dcterms:W3CDTF">2023-04-24T10:18:00Z</dcterms:created>
  <dcterms:modified xsi:type="dcterms:W3CDTF">2023-04-24T10:19:00Z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ies>
</file>