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1750" w14:textId="7792415C" w:rsidR="00F31387" w:rsidRPr="00292922" w:rsidRDefault="00F31387" w:rsidP="003B7D0E">
      <w:pPr>
        <w:pStyle w:val="BasicParagraph"/>
        <w:suppressAutoHyphens/>
        <w:jc w:val="center"/>
        <w:rPr>
          <w:rFonts w:ascii="Verdana" w:hAnsi="Verdana" w:cs="Arial"/>
          <w:b/>
          <w:bCs/>
          <w:color w:val="734791"/>
        </w:rPr>
      </w:pPr>
    </w:p>
    <w:p w14:paraId="0A23FE81" w14:textId="6CE94276" w:rsidR="003B7D0E" w:rsidRPr="00292922" w:rsidRDefault="003B7D0E" w:rsidP="003B7D0E">
      <w:pPr>
        <w:pStyle w:val="BasicParagraph"/>
        <w:suppressAutoHyphens/>
        <w:jc w:val="center"/>
        <w:rPr>
          <w:rFonts w:ascii="Verdana" w:hAnsi="Verdana" w:cs="Arial"/>
          <w:b/>
          <w:bCs/>
          <w:color w:val="734791"/>
        </w:rPr>
      </w:pPr>
    </w:p>
    <w:p w14:paraId="505264D5" w14:textId="483C2465" w:rsidR="00AD2EED" w:rsidRDefault="00AD2EED" w:rsidP="00202A5B">
      <w:pPr>
        <w:jc w:val="center"/>
        <w:rPr>
          <w:rFonts w:ascii="Verdana" w:hAnsi="Verdana" w:cs="Arial"/>
          <w:b/>
          <w:bCs/>
          <w:color w:val="77328A"/>
        </w:rPr>
      </w:pPr>
    </w:p>
    <w:p w14:paraId="20E481F7" w14:textId="4C94EC18" w:rsidR="00AD2EED" w:rsidRDefault="00AD2EED" w:rsidP="00202A5B">
      <w:pPr>
        <w:jc w:val="center"/>
        <w:rPr>
          <w:rFonts w:ascii="Verdana" w:hAnsi="Verdana" w:cs="Arial"/>
          <w:b/>
          <w:bCs/>
          <w:color w:val="77328A"/>
        </w:rPr>
      </w:pPr>
    </w:p>
    <w:p w14:paraId="25A667E4" w14:textId="4F7014C1" w:rsidR="00AD2EED" w:rsidRDefault="009E024F" w:rsidP="00202A5B">
      <w:pPr>
        <w:jc w:val="center"/>
        <w:rPr>
          <w:rFonts w:ascii="Verdana" w:hAnsi="Verdana" w:cs="Arial"/>
          <w:b/>
          <w:bCs/>
          <w:color w:val="77328A"/>
        </w:rPr>
      </w:pPr>
      <w:r>
        <w:rPr>
          <w:rFonts w:ascii="Arial" w:hAnsi="Arial" w:cs="Arial"/>
          <w:noProof/>
          <w:sz w:val="28"/>
          <w:szCs w:val="28"/>
          <w:lang w:eastAsia="en-GB"/>
        </w:rPr>
        <w:drawing>
          <wp:anchor distT="0" distB="0" distL="114300" distR="114300" simplePos="0" relativeHeight="251660288" behindDoc="0" locked="0" layoutInCell="1" allowOverlap="1" wp14:anchorId="0A0674E2" wp14:editId="3D7F94EA">
            <wp:simplePos x="0" y="0"/>
            <wp:positionH relativeFrom="column">
              <wp:posOffset>304165</wp:posOffset>
            </wp:positionH>
            <wp:positionV relativeFrom="paragraph">
              <wp:posOffset>13335</wp:posOffset>
            </wp:positionV>
            <wp:extent cx="2943225" cy="756211"/>
            <wp:effectExtent l="0" t="0" r="0" b="635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49776" cy="75789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1312" behindDoc="0" locked="0" layoutInCell="1" allowOverlap="1" wp14:anchorId="7B660227" wp14:editId="63C597A2">
            <wp:simplePos x="0" y="0"/>
            <wp:positionH relativeFrom="column">
              <wp:posOffset>3570605</wp:posOffset>
            </wp:positionH>
            <wp:positionV relativeFrom="paragraph">
              <wp:posOffset>27305</wp:posOffset>
            </wp:positionV>
            <wp:extent cx="2144395" cy="793750"/>
            <wp:effectExtent l="0" t="0" r="8255" b="635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l="11811" t="20472" r="11024" b="18110"/>
                    <a:stretch/>
                  </pic:blipFill>
                  <pic:spPr bwMode="auto">
                    <a:xfrm>
                      <a:off x="0" y="0"/>
                      <a:ext cx="2144395"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912FC3" w14:textId="18A7815C" w:rsidR="00AD2EED" w:rsidRDefault="00AD2EED" w:rsidP="00202A5B">
      <w:pPr>
        <w:jc w:val="center"/>
        <w:rPr>
          <w:rFonts w:ascii="Verdana" w:hAnsi="Verdana" w:cs="Arial"/>
          <w:b/>
          <w:bCs/>
          <w:color w:val="77328A"/>
        </w:rPr>
      </w:pPr>
    </w:p>
    <w:p w14:paraId="4FB1F484" w14:textId="77777777" w:rsidR="00AD2EED" w:rsidRDefault="00AD2EED" w:rsidP="00202A5B">
      <w:pPr>
        <w:jc w:val="center"/>
        <w:rPr>
          <w:rFonts w:ascii="Verdana" w:hAnsi="Verdana" w:cs="Arial"/>
          <w:b/>
          <w:bCs/>
          <w:color w:val="77328A"/>
        </w:rPr>
      </w:pPr>
    </w:p>
    <w:p w14:paraId="4F5ABC50" w14:textId="77777777" w:rsidR="00AD2EED" w:rsidRDefault="00AD2EED" w:rsidP="00202A5B">
      <w:pPr>
        <w:jc w:val="center"/>
        <w:rPr>
          <w:rFonts w:ascii="Verdana" w:hAnsi="Verdana" w:cs="Arial"/>
          <w:b/>
          <w:bCs/>
          <w:color w:val="77328A"/>
        </w:rPr>
      </w:pPr>
    </w:p>
    <w:p w14:paraId="31BDCCB2" w14:textId="77777777" w:rsidR="00AD2EED" w:rsidRDefault="00AD2EED" w:rsidP="00202A5B">
      <w:pPr>
        <w:jc w:val="center"/>
        <w:rPr>
          <w:rFonts w:ascii="Verdana" w:hAnsi="Verdana" w:cs="Arial"/>
          <w:b/>
          <w:bCs/>
          <w:color w:val="77328A"/>
        </w:rPr>
      </w:pPr>
    </w:p>
    <w:p w14:paraId="2D6EC347" w14:textId="77777777" w:rsidR="00AD2EED" w:rsidRDefault="00AD2EED" w:rsidP="00202A5B">
      <w:pPr>
        <w:jc w:val="center"/>
        <w:rPr>
          <w:rFonts w:ascii="Verdana" w:hAnsi="Verdana" w:cs="Arial"/>
          <w:b/>
          <w:bCs/>
          <w:color w:val="77328A"/>
        </w:rPr>
      </w:pPr>
    </w:p>
    <w:p w14:paraId="5A89264B" w14:textId="77777777" w:rsidR="00AD2EED" w:rsidRDefault="00AD2EED" w:rsidP="00202A5B">
      <w:pPr>
        <w:jc w:val="center"/>
        <w:rPr>
          <w:rFonts w:ascii="Verdana" w:hAnsi="Verdana" w:cs="Arial"/>
          <w:b/>
          <w:bCs/>
          <w:color w:val="77328A"/>
        </w:rPr>
      </w:pPr>
    </w:p>
    <w:p w14:paraId="330ECE68" w14:textId="77777777" w:rsidR="00AD2EED" w:rsidRDefault="00AD2EED" w:rsidP="00202A5B">
      <w:pPr>
        <w:jc w:val="center"/>
        <w:rPr>
          <w:rFonts w:ascii="Verdana" w:hAnsi="Verdana" w:cs="Arial"/>
          <w:b/>
          <w:bCs/>
          <w:color w:val="77328A"/>
        </w:rPr>
      </w:pPr>
    </w:p>
    <w:p w14:paraId="5F252A6C" w14:textId="77777777" w:rsidR="00AD2EED" w:rsidRDefault="00AD2EED" w:rsidP="00202A5B">
      <w:pPr>
        <w:jc w:val="center"/>
        <w:rPr>
          <w:rFonts w:ascii="Verdana" w:hAnsi="Verdana" w:cs="Arial"/>
          <w:b/>
          <w:bCs/>
          <w:color w:val="77328A"/>
        </w:rPr>
      </w:pPr>
    </w:p>
    <w:p w14:paraId="79B9696F" w14:textId="77777777" w:rsidR="00AD2EED" w:rsidRDefault="00AD2EED" w:rsidP="00202A5B">
      <w:pPr>
        <w:jc w:val="center"/>
        <w:rPr>
          <w:rFonts w:ascii="Verdana" w:hAnsi="Verdana" w:cs="Arial"/>
          <w:b/>
          <w:bCs/>
          <w:color w:val="77328A"/>
        </w:rPr>
      </w:pPr>
    </w:p>
    <w:p w14:paraId="3F52B10C" w14:textId="77777777" w:rsidR="00DB712F" w:rsidRDefault="00DB712F" w:rsidP="00202A5B">
      <w:pPr>
        <w:jc w:val="center"/>
        <w:rPr>
          <w:rFonts w:asciiTheme="majorHAnsi" w:hAnsiTheme="majorHAnsi" w:cstheme="majorHAnsi"/>
          <w:b/>
          <w:bCs/>
          <w:sz w:val="56"/>
          <w:szCs w:val="56"/>
        </w:rPr>
      </w:pPr>
    </w:p>
    <w:p w14:paraId="7028F73F" w14:textId="77777777" w:rsidR="00DB712F" w:rsidRDefault="00DB712F" w:rsidP="00202A5B">
      <w:pPr>
        <w:jc w:val="center"/>
        <w:rPr>
          <w:rFonts w:asciiTheme="majorHAnsi" w:hAnsiTheme="majorHAnsi" w:cstheme="majorHAnsi"/>
          <w:b/>
          <w:bCs/>
          <w:sz w:val="56"/>
          <w:szCs w:val="56"/>
        </w:rPr>
      </w:pPr>
    </w:p>
    <w:p w14:paraId="21E760D0" w14:textId="18590E67" w:rsidR="00202A5B" w:rsidRPr="00AD2EED" w:rsidRDefault="00402A10" w:rsidP="00202A5B">
      <w:pPr>
        <w:jc w:val="center"/>
        <w:rPr>
          <w:rFonts w:asciiTheme="majorHAnsi" w:hAnsiTheme="majorHAnsi" w:cstheme="majorHAnsi"/>
          <w:bCs/>
          <w:sz w:val="56"/>
          <w:szCs w:val="56"/>
        </w:rPr>
      </w:pPr>
      <w:r>
        <w:rPr>
          <w:rFonts w:asciiTheme="majorHAnsi" w:hAnsiTheme="majorHAnsi" w:cstheme="majorHAnsi"/>
          <w:b/>
          <w:bCs/>
          <w:sz w:val="56"/>
          <w:szCs w:val="56"/>
        </w:rPr>
        <w:t xml:space="preserve">Joint </w:t>
      </w:r>
      <w:r w:rsidR="00202A5B" w:rsidRPr="00AD2EED">
        <w:rPr>
          <w:rFonts w:asciiTheme="majorHAnsi" w:hAnsiTheme="majorHAnsi" w:cstheme="majorHAnsi"/>
          <w:b/>
          <w:bCs/>
          <w:sz w:val="56"/>
          <w:szCs w:val="56"/>
        </w:rPr>
        <w:t xml:space="preserve">NIHRC </w:t>
      </w:r>
      <w:r w:rsidR="00DE6566">
        <w:rPr>
          <w:rFonts w:asciiTheme="majorHAnsi" w:hAnsiTheme="majorHAnsi" w:cstheme="majorHAnsi"/>
          <w:b/>
          <w:bCs/>
          <w:sz w:val="56"/>
          <w:szCs w:val="56"/>
        </w:rPr>
        <w:t xml:space="preserve">/ </w:t>
      </w:r>
      <w:r>
        <w:rPr>
          <w:rFonts w:asciiTheme="majorHAnsi" w:hAnsiTheme="majorHAnsi" w:cstheme="majorHAnsi"/>
          <w:b/>
          <w:bCs/>
          <w:sz w:val="56"/>
          <w:szCs w:val="56"/>
        </w:rPr>
        <w:t xml:space="preserve">ECNI </w:t>
      </w:r>
      <w:r w:rsidR="00202A5B" w:rsidRPr="00AD2EED">
        <w:rPr>
          <w:rFonts w:asciiTheme="majorHAnsi" w:hAnsiTheme="majorHAnsi" w:cstheme="majorHAnsi"/>
          <w:b/>
          <w:bCs/>
          <w:sz w:val="56"/>
          <w:szCs w:val="56"/>
        </w:rPr>
        <w:t xml:space="preserve">Briefing Paper </w:t>
      </w:r>
      <w:r>
        <w:rPr>
          <w:rFonts w:asciiTheme="majorHAnsi" w:hAnsiTheme="majorHAnsi" w:cstheme="majorHAnsi"/>
          <w:b/>
          <w:bCs/>
          <w:sz w:val="56"/>
          <w:szCs w:val="56"/>
        </w:rPr>
        <w:t xml:space="preserve">on the </w:t>
      </w:r>
      <w:r w:rsidR="00202A5B" w:rsidRPr="00AD2EED">
        <w:rPr>
          <w:rFonts w:asciiTheme="majorHAnsi" w:hAnsiTheme="majorHAnsi" w:cstheme="majorHAnsi"/>
          <w:b/>
          <w:bCs/>
          <w:sz w:val="56"/>
          <w:szCs w:val="56"/>
        </w:rPr>
        <w:t xml:space="preserve">Modern Slavery and Human Trafficking and Electronic Travel Authorisation </w:t>
      </w:r>
      <w:r w:rsidR="009E024F">
        <w:rPr>
          <w:rFonts w:asciiTheme="majorHAnsi" w:hAnsiTheme="majorHAnsi" w:cstheme="majorHAnsi"/>
          <w:b/>
          <w:bCs/>
          <w:sz w:val="56"/>
          <w:szCs w:val="56"/>
        </w:rPr>
        <w:t>p</w:t>
      </w:r>
      <w:r w:rsidR="00202A5B" w:rsidRPr="00AD2EED">
        <w:rPr>
          <w:rFonts w:asciiTheme="majorHAnsi" w:hAnsiTheme="majorHAnsi" w:cstheme="majorHAnsi"/>
          <w:b/>
          <w:bCs/>
          <w:sz w:val="56"/>
          <w:szCs w:val="56"/>
        </w:rPr>
        <w:t xml:space="preserve">rovisions in the </w:t>
      </w:r>
      <w:r w:rsidR="009E024F">
        <w:rPr>
          <w:rFonts w:asciiTheme="majorHAnsi" w:hAnsiTheme="majorHAnsi" w:cstheme="majorHAnsi"/>
          <w:b/>
          <w:bCs/>
          <w:sz w:val="56"/>
          <w:szCs w:val="56"/>
        </w:rPr>
        <w:br/>
      </w:r>
      <w:r w:rsidR="00202A5B" w:rsidRPr="00AD2EED">
        <w:rPr>
          <w:rFonts w:asciiTheme="majorHAnsi" w:hAnsiTheme="majorHAnsi" w:cstheme="majorHAnsi"/>
          <w:b/>
          <w:bCs/>
          <w:sz w:val="56"/>
          <w:szCs w:val="56"/>
        </w:rPr>
        <w:t>Nationality and Borders Bill</w:t>
      </w:r>
    </w:p>
    <w:p w14:paraId="4479C166" w14:textId="77777777" w:rsidR="0096459E" w:rsidRPr="00292922" w:rsidRDefault="0096459E" w:rsidP="003B7D0E">
      <w:pPr>
        <w:pStyle w:val="BasicParagraph"/>
        <w:suppressAutoHyphens/>
        <w:jc w:val="center"/>
        <w:rPr>
          <w:rFonts w:ascii="Verdana" w:hAnsi="Verdana" w:cs="Arial"/>
          <w:b/>
          <w:color w:val="77328A"/>
        </w:rPr>
      </w:pPr>
    </w:p>
    <w:p w14:paraId="0DFD403C" w14:textId="77777777" w:rsidR="00F31387" w:rsidRPr="00292922" w:rsidRDefault="00F31387" w:rsidP="003B7D0E">
      <w:pPr>
        <w:pStyle w:val="Default"/>
        <w:spacing w:line="288" w:lineRule="auto"/>
        <w:jc w:val="center"/>
        <w:rPr>
          <w:rFonts w:cs="Arial"/>
          <w:color w:val="232120"/>
        </w:rPr>
      </w:pPr>
    </w:p>
    <w:p w14:paraId="4795F53E" w14:textId="25919E1A" w:rsidR="008159E8" w:rsidRPr="00AD2EED" w:rsidRDefault="00474E4B" w:rsidP="003B7D0E">
      <w:pPr>
        <w:spacing w:line="288" w:lineRule="auto"/>
        <w:jc w:val="center"/>
        <w:rPr>
          <w:rFonts w:asciiTheme="majorHAnsi" w:hAnsiTheme="majorHAnsi" w:cstheme="majorHAnsi"/>
          <w:b/>
          <w:color w:val="232120"/>
          <w:sz w:val="36"/>
          <w:szCs w:val="36"/>
        </w:rPr>
      </w:pPr>
      <w:r w:rsidRPr="00AD2EED">
        <w:rPr>
          <w:rFonts w:asciiTheme="majorHAnsi" w:hAnsiTheme="majorHAnsi" w:cstheme="majorHAnsi"/>
          <w:b/>
          <w:color w:val="232120"/>
          <w:sz w:val="36"/>
          <w:szCs w:val="36"/>
        </w:rPr>
        <w:t>2</w:t>
      </w:r>
      <w:r w:rsidR="005D224A">
        <w:rPr>
          <w:rFonts w:asciiTheme="majorHAnsi" w:hAnsiTheme="majorHAnsi" w:cstheme="majorHAnsi"/>
          <w:b/>
          <w:color w:val="232120"/>
          <w:sz w:val="36"/>
          <w:szCs w:val="36"/>
        </w:rPr>
        <w:t>7</w:t>
      </w:r>
      <w:r w:rsidR="00F31387" w:rsidRPr="00AD2EED">
        <w:rPr>
          <w:rFonts w:asciiTheme="majorHAnsi" w:hAnsiTheme="majorHAnsi" w:cstheme="majorHAnsi"/>
          <w:b/>
          <w:color w:val="232120"/>
          <w:sz w:val="36"/>
          <w:szCs w:val="36"/>
        </w:rPr>
        <w:t xml:space="preserve"> </w:t>
      </w:r>
      <w:r w:rsidR="00202A5B" w:rsidRPr="00AD2EED">
        <w:rPr>
          <w:rFonts w:asciiTheme="majorHAnsi" w:hAnsiTheme="majorHAnsi" w:cstheme="majorHAnsi"/>
          <w:b/>
          <w:color w:val="232120"/>
          <w:sz w:val="36"/>
          <w:szCs w:val="36"/>
        </w:rPr>
        <w:t>January</w:t>
      </w:r>
      <w:r w:rsidR="00F31387" w:rsidRPr="00AD2EED">
        <w:rPr>
          <w:rFonts w:asciiTheme="majorHAnsi" w:hAnsiTheme="majorHAnsi" w:cstheme="majorHAnsi"/>
          <w:b/>
          <w:color w:val="232120"/>
          <w:sz w:val="36"/>
          <w:szCs w:val="36"/>
        </w:rPr>
        <w:t xml:space="preserve"> </w:t>
      </w:r>
      <w:r w:rsidR="00202A5B" w:rsidRPr="00AD2EED">
        <w:rPr>
          <w:rFonts w:asciiTheme="majorHAnsi" w:hAnsiTheme="majorHAnsi" w:cstheme="majorHAnsi"/>
          <w:b/>
          <w:color w:val="232120"/>
          <w:sz w:val="36"/>
          <w:szCs w:val="36"/>
        </w:rPr>
        <w:t>2022</w:t>
      </w:r>
    </w:p>
    <w:p w14:paraId="5EEE353F" w14:textId="77777777" w:rsidR="00046705" w:rsidRPr="00292922" w:rsidRDefault="00046705" w:rsidP="003B7D0E">
      <w:pPr>
        <w:spacing w:line="288" w:lineRule="auto"/>
        <w:jc w:val="center"/>
        <w:rPr>
          <w:rFonts w:ascii="Verdana" w:hAnsi="Verdana" w:cs="Arial"/>
          <w:b/>
          <w:color w:val="232120"/>
        </w:rPr>
      </w:pPr>
    </w:p>
    <w:p w14:paraId="737D9709" w14:textId="77777777" w:rsidR="00046705" w:rsidRPr="00292922" w:rsidRDefault="00046705" w:rsidP="003B7D0E">
      <w:pPr>
        <w:spacing w:line="288" w:lineRule="auto"/>
        <w:jc w:val="center"/>
        <w:rPr>
          <w:rFonts w:ascii="Verdana" w:hAnsi="Verdana" w:cs="Arial"/>
          <w:b/>
          <w:color w:val="232120"/>
        </w:rPr>
      </w:pPr>
    </w:p>
    <w:p w14:paraId="34183CB7" w14:textId="77777777" w:rsidR="00EA12CE" w:rsidRPr="00292922" w:rsidRDefault="00EA12CE" w:rsidP="003B7D0E">
      <w:pPr>
        <w:pStyle w:val="Default"/>
        <w:spacing w:line="288" w:lineRule="auto"/>
        <w:jc w:val="center"/>
        <w:rPr>
          <w:rFonts w:cs="Arial"/>
          <w:b/>
          <w:color w:val="232120"/>
          <w:lang w:val="en-GB"/>
        </w:rPr>
      </w:pPr>
    </w:p>
    <w:p w14:paraId="20DE097B" w14:textId="77777777" w:rsidR="003B7D0E" w:rsidRPr="00292922" w:rsidRDefault="003B7D0E" w:rsidP="003B7D0E">
      <w:pPr>
        <w:pStyle w:val="Default"/>
        <w:spacing w:line="480" w:lineRule="auto"/>
        <w:jc w:val="center"/>
        <w:rPr>
          <w:rFonts w:cs="Arial"/>
          <w:b/>
          <w:color w:val="232120"/>
        </w:rPr>
      </w:pPr>
    </w:p>
    <w:p w14:paraId="011E74BA" w14:textId="77777777" w:rsidR="003B7D0E" w:rsidRPr="00292922" w:rsidRDefault="003B7D0E" w:rsidP="003B7D0E">
      <w:pPr>
        <w:pStyle w:val="Default"/>
        <w:spacing w:line="480" w:lineRule="auto"/>
        <w:jc w:val="center"/>
        <w:rPr>
          <w:rFonts w:cs="Arial"/>
          <w:b/>
          <w:color w:val="232120"/>
        </w:rPr>
      </w:pPr>
    </w:p>
    <w:p w14:paraId="0870AA29" w14:textId="075909C9" w:rsidR="0096459E" w:rsidRDefault="0096459E" w:rsidP="003B7D0E">
      <w:pPr>
        <w:pStyle w:val="Default"/>
        <w:spacing w:line="480" w:lineRule="auto"/>
        <w:jc w:val="center"/>
        <w:rPr>
          <w:rFonts w:cs="Arial"/>
          <w:b/>
          <w:color w:val="232120"/>
        </w:rPr>
      </w:pPr>
    </w:p>
    <w:p w14:paraId="7DD92222" w14:textId="380E246D" w:rsidR="000019D8" w:rsidRDefault="000019D8" w:rsidP="003B7D0E">
      <w:pPr>
        <w:pStyle w:val="Default"/>
        <w:spacing w:line="480" w:lineRule="auto"/>
        <w:jc w:val="center"/>
        <w:rPr>
          <w:rFonts w:cs="Arial"/>
          <w:b/>
          <w:color w:val="232120"/>
        </w:rPr>
      </w:pPr>
    </w:p>
    <w:p w14:paraId="11982B76" w14:textId="3F2501A2" w:rsidR="000019D8" w:rsidRDefault="000019D8" w:rsidP="003B7D0E">
      <w:pPr>
        <w:pStyle w:val="Default"/>
        <w:spacing w:line="480" w:lineRule="auto"/>
        <w:jc w:val="center"/>
        <w:rPr>
          <w:rFonts w:cs="Arial"/>
          <w:b/>
          <w:color w:val="232120"/>
        </w:rPr>
      </w:pPr>
    </w:p>
    <w:p w14:paraId="09BC6CC3" w14:textId="77777777" w:rsidR="000019D8" w:rsidRPr="00292922" w:rsidRDefault="000019D8" w:rsidP="003B7D0E">
      <w:pPr>
        <w:pStyle w:val="Default"/>
        <w:spacing w:line="480" w:lineRule="auto"/>
        <w:jc w:val="center"/>
        <w:rPr>
          <w:rFonts w:cs="Arial"/>
          <w:b/>
          <w:color w:val="232120"/>
        </w:rPr>
      </w:pPr>
    </w:p>
    <w:p w14:paraId="653CAF46" w14:textId="77777777" w:rsidR="003B7D0E" w:rsidRPr="00292922" w:rsidRDefault="003B7D0E" w:rsidP="003B7D0E">
      <w:pPr>
        <w:pStyle w:val="Default"/>
        <w:spacing w:line="480" w:lineRule="auto"/>
        <w:jc w:val="center"/>
        <w:rPr>
          <w:rFonts w:cs="Arial"/>
          <w:b/>
          <w:color w:val="232120"/>
        </w:rPr>
      </w:pPr>
    </w:p>
    <w:sdt>
      <w:sdtPr>
        <w:rPr>
          <w:rFonts w:ascii="Verdana" w:eastAsiaTheme="minorEastAsia" w:hAnsi="Verdana" w:cstheme="minorBidi"/>
          <w:color w:val="auto"/>
          <w:sz w:val="24"/>
          <w:szCs w:val="24"/>
          <w:lang w:val="en-GB"/>
        </w:rPr>
        <w:id w:val="-1637332217"/>
        <w:docPartObj>
          <w:docPartGallery w:val="Table of Contents"/>
          <w:docPartUnique/>
        </w:docPartObj>
      </w:sdtPr>
      <w:sdtEndPr>
        <w:rPr>
          <w:b/>
          <w:bCs/>
          <w:noProof/>
        </w:rPr>
      </w:sdtEndPr>
      <w:sdtContent>
        <w:p w14:paraId="641D079A" w14:textId="1CE6DEEA" w:rsidR="00202A5B" w:rsidRPr="00AD2EED" w:rsidRDefault="00202A5B">
          <w:pPr>
            <w:pStyle w:val="TOCHeading"/>
            <w:rPr>
              <w:rFonts w:eastAsiaTheme="minorEastAsia" w:cstheme="majorHAnsi"/>
              <w:color w:val="auto"/>
              <w:sz w:val="40"/>
              <w:szCs w:val="40"/>
              <w:lang w:val="en-GB"/>
            </w:rPr>
          </w:pPr>
          <w:r w:rsidRPr="00AD2EED">
            <w:rPr>
              <w:rFonts w:cstheme="majorHAnsi"/>
              <w:b/>
              <w:color w:val="auto"/>
              <w:sz w:val="40"/>
              <w:szCs w:val="40"/>
            </w:rPr>
            <w:t>Table of Contents</w:t>
          </w:r>
        </w:p>
        <w:p w14:paraId="2AD1473D" w14:textId="74B2E618" w:rsidR="00AD2EED" w:rsidRPr="00AD2EED" w:rsidRDefault="00202A5B">
          <w:pPr>
            <w:pStyle w:val="TOC1"/>
            <w:tabs>
              <w:tab w:val="right" w:leader="dot" w:pos="9848"/>
            </w:tabs>
            <w:rPr>
              <w:rFonts w:asciiTheme="majorHAnsi" w:hAnsiTheme="majorHAnsi" w:cstheme="majorHAnsi"/>
              <w:noProof/>
              <w:sz w:val="32"/>
              <w:szCs w:val="32"/>
              <w:lang w:eastAsia="en-GB"/>
            </w:rPr>
          </w:pPr>
          <w:r w:rsidRPr="00AD2EED">
            <w:rPr>
              <w:rFonts w:asciiTheme="majorHAnsi" w:hAnsiTheme="majorHAnsi" w:cstheme="majorHAnsi"/>
              <w:sz w:val="32"/>
              <w:szCs w:val="32"/>
            </w:rPr>
            <w:fldChar w:fldCharType="begin"/>
          </w:r>
          <w:r w:rsidRPr="00AD2EED">
            <w:rPr>
              <w:rFonts w:asciiTheme="majorHAnsi" w:hAnsiTheme="majorHAnsi" w:cstheme="majorHAnsi"/>
              <w:sz w:val="32"/>
              <w:szCs w:val="32"/>
            </w:rPr>
            <w:instrText xml:space="preserve"> TOC \o "1-3" \h \z \u </w:instrText>
          </w:r>
          <w:r w:rsidRPr="00AD2EED">
            <w:rPr>
              <w:rFonts w:asciiTheme="majorHAnsi" w:hAnsiTheme="majorHAnsi" w:cstheme="majorHAnsi"/>
              <w:sz w:val="32"/>
              <w:szCs w:val="32"/>
            </w:rPr>
            <w:fldChar w:fldCharType="separate"/>
          </w:r>
          <w:hyperlink w:anchor="_Toc94079994" w:history="1">
            <w:r w:rsidR="00AD2EED" w:rsidRPr="00AD2EED">
              <w:rPr>
                <w:rStyle w:val="Hyperlink"/>
                <w:rFonts w:asciiTheme="majorHAnsi" w:hAnsiTheme="majorHAnsi" w:cstheme="majorHAnsi"/>
                <w:noProof/>
                <w:sz w:val="32"/>
                <w:szCs w:val="32"/>
              </w:rPr>
              <w:t>Recommendations</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_Toc94079994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3</w:t>
            </w:r>
            <w:r w:rsidR="00AD2EED" w:rsidRPr="00AD2EED">
              <w:rPr>
                <w:rFonts w:asciiTheme="majorHAnsi" w:hAnsiTheme="majorHAnsi" w:cstheme="majorHAnsi"/>
                <w:noProof/>
                <w:webHidden/>
                <w:sz w:val="32"/>
                <w:szCs w:val="32"/>
              </w:rPr>
              <w:fldChar w:fldCharType="end"/>
            </w:r>
          </w:hyperlink>
        </w:p>
        <w:p w14:paraId="39A6CBB3" w14:textId="60A6E270" w:rsidR="00AD2EED" w:rsidRPr="00AD2EED" w:rsidRDefault="009D4F85">
          <w:pPr>
            <w:pStyle w:val="TOC1"/>
            <w:tabs>
              <w:tab w:val="right" w:leader="dot" w:pos="9848"/>
            </w:tabs>
            <w:rPr>
              <w:rFonts w:asciiTheme="majorHAnsi" w:hAnsiTheme="majorHAnsi" w:cstheme="majorHAnsi"/>
              <w:noProof/>
              <w:sz w:val="32"/>
              <w:szCs w:val="32"/>
              <w:lang w:eastAsia="en-GB"/>
            </w:rPr>
          </w:pPr>
          <w:hyperlink w:anchor="_Toc94079995" w:history="1">
            <w:r w:rsidR="00AD2EED" w:rsidRPr="00AD2EED">
              <w:rPr>
                <w:rStyle w:val="Hyperlink"/>
                <w:rFonts w:asciiTheme="majorHAnsi" w:hAnsiTheme="majorHAnsi" w:cstheme="majorHAnsi"/>
                <w:noProof/>
                <w:sz w:val="32"/>
                <w:szCs w:val="32"/>
              </w:rPr>
              <w:t>Introduction</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_Toc94079995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4</w:t>
            </w:r>
            <w:r w:rsidR="00AD2EED" w:rsidRPr="00AD2EED">
              <w:rPr>
                <w:rFonts w:asciiTheme="majorHAnsi" w:hAnsiTheme="majorHAnsi" w:cstheme="majorHAnsi"/>
                <w:noProof/>
                <w:webHidden/>
                <w:sz w:val="32"/>
                <w:szCs w:val="32"/>
              </w:rPr>
              <w:fldChar w:fldCharType="end"/>
            </w:r>
          </w:hyperlink>
        </w:p>
        <w:p w14:paraId="4EE15204" w14:textId="6B256DB2" w:rsidR="00AD2EED" w:rsidRPr="00AD2EED" w:rsidRDefault="009D4F85">
          <w:pPr>
            <w:pStyle w:val="TOC1"/>
            <w:tabs>
              <w:tab w:val="left" w:pos="660"/>
              <w:tab w:val="right" w:leader="dot" w:pos="9848"/>
            </w:tabs>
            <w:rPr>
              <w:rFonts w:asciiTheme="majorHAnsi" w:hAnsiTheme="majorHAnsi" w:cstheme="majorHAnsi"/>
              <w:noProof/>
              <w:sz w:val="32"/>
              <w:szCs w:val="32"/>
              <w:lang w:eastAsia="en-GB"/>
            </w:rPr>
          </w:pPr>
          <w:hyperlink w:anchor="_Toc94079996" w:history="1">
            <w:r w:rsidR="00AD2EED" w:rsidRPr="00AD2EED">
              <w:rPr>
                <w:rStyle w:val="Hyperlink"/>
                <w:rFonts w:asciiTheme="majorHAnsi" w:hAnsiTheme="majorHAnsi" w:cstheme="majorHAnsi"/>
                <w:noProof/>
                <w:sz w:val="32"/>
                <w:szCs w:val="32"/>
              </w:rPr>
              <w:t>2.0</w:t>
            </w:r>
            <w:r w:rsidR="00AD2EED" w:rsidRPr="00AD2EED">
              <w:rPr>
                <w:rFonts w:asciiTheme="majorHAnsi" w:hAnsiTheme="majorHAnsi" w:cstheme="majorHAnsi"/>
                <w:noProof/>
                <w:sz w:val="32"/>
                <w:szCs w:val="32"/>
                <w:lang w:eastAsia="en-GB"/>
              </w:rPr>
              <w:tab/>
            </w:r>
            <w:r w:rsidR="00AD2EED" w:rsidRPr="00AD2EED">
              <w:rPr>
                <w:rStyle w:val="Hyperlink"/>
                <w:rFonts w:asciiTheme="majorHAnsi" w:hAnsiTheme="majorHAnsi" w:cstheme="majorHAnsi"/>
                <w:noProof/>
                <w:sz w:val="32"/>
                <w:szCs w:val="32"/>
              </w:rPr>
              <w:t>Protocol Article 2</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_Toc94079996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4</w:t>
            </w:r>
            <w:r w:rsidR="00AD2EED" w:rsidRPr="00AD2EED">
              <w:rPr>
                <w:rFonts w:asciiTheme="majorHAnsi" w:hAnsiTheme="majorHAnsi" w:cstheme="majorHAnsi"/>
                <w:noProof/>
                <w:webHidden/>
                <w:sz w:val="32"/>
                <w:szCs w:val="32"/>
              </w:rPr>
              <w:fldChar w:fldCharType="end"/>
            </w:r>
          </w:hyperlink>
        </w:p>
        <w:p w14:paraId="351441F0" w14:textId="109E91D6" w:rsidR="00AD2EED" w:rsidRPr="00AD2EED" w:rsidRDefault="009D4F85">
          <w:pPr>
            <w:pStyle w:val="TOC1"/>
            <w:tabs>
              <w:tab w:val="left" w:pos="660"/>
              <w:tab w:val="right" w:leader="dot" w:pos="9848"/>
            </w:tabs>
            <w:rPr>
              <w:rFonts w:asciiTheme="majorHAnsi" w:hAnsiTheme="majorHAnsi" w:cstheme="majorHAnsi"/>
              <w:noProof/>
              <w:sz w:val="32"/>
              <w:szCs w:val="32"/>
              <w:lang w:eastAsia="en-GB"/>
            </w:rPr>
          </w:pPr>
          <w:hyperlink w:anchor="_Toc94079997" w:history="1">
            <w:r w:rsidR="00AD2EED" w:rsidRPr="00AD2EED">
              <w:rPr>
                <w:rStyle w:val="Hyperlink"/>
                <w:rFonts w:asciiTheme="majorHAnsi" w:hAnsiTheme="majorHAnsi" w:cstheme="majorHAnsi"/>
                <w:noProof/>
                <w:sz w:val="32"/>
                <w:szCs w:val="32"/>
              </w:rPr>
              <w:t>3.0</w:t>
            </w:r>
            <w:r w:rsidR="00AD2EED" w:rsidRPr="00AD2EED">
              <w:rPr>
                <w:rFonts w:asciiTheme="majorHAnsi" w:hAnsiTheme="majorHAnsi" w:cstheme="majorHAnsi"/>
                <w:noProof/>
                <w:sz w:val="32"/>
                <w:szCs w:val="32"/>
                <w:lang w:eastAsia="en-GB"/>
              </w:rPr>
              <w:tab/>
            </w:r>
            <w:r w:rsidR="00AD2EED" w:rsidRPr="00AD2EED">
              <w:rPr>
                <w:rStyle w:val="Hyperlink"/>
                <w:rFonts w:asciiTheme="majorHAnsi" w:hAnsiTheme="majorHAnsi" w:cstheme="majorHAnsi"/>
                <w:noProof/>
                <w:sz w:val="32"/>
                <w:szCs w:val="32"/>
              </w:rPr>
              <w:t>The Trafficking Directive</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_Toc94079997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6</w:t>
            </w:r>
            <w:r w:rsidR="00AD2EED" w:rsidRPr="00AD2EED">
              <w:rPr>
                <w:rFonts w:asciiTheme="majorHAnsi" w:hAnsiTheme="majorHAnsi" w:cstheme="majorHAnsi"/>
                <w:noProof/>
                <w:webHidden/>
                <w:sz w:val="32"/>
                <w:szCs w:val="32"/>
              </w:rPr>
              <w:fldChar w:fldCharType="end"/>
            </w:r>
          </w:hyperlink>
        </w:p>
        <w:p w14:paraId="65326FE6" w14:textId="11C0EA14" w:rsidR="00AD2EED" w:rsidRPr="00AD2EED" w:rsidRDefault="009D4F85">
          <w:pPr>
            <w:pStyle w:val="TOC1"/>
            <w:tabs>
              <w:tab w:val="left" w:pos="660"/>
              <w:tab w:val="right" w:leader="dot" w:pos="9848"/>
            </w:tabs>
            <w:rPr>
              <w:rFonts w:asciiTheme="majorHAnsi" w:hAnsiTheme="majorHAnsi" w:cstheme="majorHAnsi"/>
              <w:noProof/>
              <w:sz w:val="32"/>
              <w:szCs w:val="32"/>
              <w:lang w:eastAsia="en-GB"/>
            </w:rPr>
          </w:pPr>
          <w:hyperlink w:anchor="_Toc94079998" w:history="1">
            <w:r w:rsidR="00AD2EED" w:rsidRPr="00AD2EED">
              <w:rPr>
                <w:rStyle w:val="Hyperlink"/>
                <w:rFonts w:asciiTheme="majorHAnsi" w:hAnsiTheme="majorHAnsi" w:cstheme="majorHAnsi"/>
                <w:noProof/>
                <w:sz w:val="32"/>
                <w:szCs w:val="32"/>
              </w:rPr>
              <w:t>4.0</w:t>
            </w:r>
            <w:r w:rsidR="00AD2EED" w:rsidRPr="00AD2EED">
              <w:rPr>
                <w:rFonts w:asciiTheme="majorHAnsi" w:hAnsiTheme="majorHAnsi" w:cstheme="majorHAnsi"/>
                <w:noProof/>
                <w:sz w:val="32"/>
                <w:szCs w:val="32"/>
                <w:lang w:eastAsia="en-GB"/>
              </w:rPr>
              <w:tab/>
            </w:r>
            <w:r w:rsidR="00AD2EED" w:rsidRPr="00AD2EED">
              <w:rPr>
                <w:rStyle w:val="Hyperlink"/>
                <w:rFonts w:asciiTheme="majorHAnsi" w:hAnsiTheme="majorHAnsi" w:cstheme="majorHAnsi"/>
                <w:noProof/>
                <w:sz w:val="32"/>
                <w:szCs w:val="32"/>
              </w:rPr>
              <w:t>Trafficking Directive and protections available under NI legislation</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_Toc94079998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7</w:t>
            </w:r>
            <w:r w:rsidR="00AD2EED" w:rsidRPr="00AD2EED">
              <w:rPr>
                <w:rFonts w:asciiTheme="majorHAnsi" w:hAnsiTheme="majorHAnsi" w:cstheme="majorHAnsi"/>
                <w:noProof/>
                <w:webHidden/>
                <w:sz w:val="32"/>
                <w:szCs w:val="32"/>
              </w:rPr>
              <w:fldChar w:fldCharType="end"/>
            </w:r>
          </w:hyperlink>
        </w:p>
        <w:p w14:paraId="5AFBB0FB" w14:textId="0157FE10" w:rsidR="00AD2EED" w:rsidRPr="00AD2EED" w:rsidRDefault="009D4F85">
          <w:pPr>
            <w:pStyle w:val="TOC1"/>
            <w:tabs>
              <w:tab w:val="left" w:pos="660"/>
              <w:tab w:val="right" w:leader="dot" w:pos="9848"/>
            </w:tabs>
            <w:rPr>
              <w:rFonts w:asciiTheme="majorHAnsi" w:hAnsiTheme="majorHAnsi" w:cstheme="majorHAnsi"/>
              <w:noProof/>
              <w:sz w:val="32"/>
              <w:szCs w:val="32"/>
              <w:lang w:eastAsia="en-GB"/>
            </w:rPr>
          </w:pPr>
          <w:hyperlink w:anchor="_Toc94079999" w:history="1">
            <w:r w:rsidR="00AD2EED" w:rsidRPr="00AD2EED">
              <w:rPr>
                <w:rStyle w:val="Hyperlink"/>
                <w:rFonts w:asciiTheme="majorHAnsi" w:hAnsiTheme="majorHAnsi" w:cstheme="majorHAnsi"/>
                <w:noProof/>
                <w:sz w:val="32"/>
                <w:szCs w:val="32"/>
              </w:rPr>
              <w:t>5.0</w:t>
            </w:r>
            <w:r w:rsidR="00AD2EED" w:rsidRPr="00AD2EED">
              <w:rPr>
                <w:rFonts w:asciiTheme="majorHAnsi" w:hAnsiTheme="majorHAnsi" w:cstheme="majorHAnsi"/>
                <w:noProof/>
                <w:sz w:val="32"/>
                <w:szCs w:val="32"/>
                <w:lang w:eastAsia="en-GB"/>
              </w:rPr>
              <w:tab/>
            </w:r>
            <w:r w:rsidR="00AD2EED" w:rsidRPr="00AD2EED">
              <w:rPr>
                <w:rStyle w:val="Hyperlink"/>
                <w:rFonts w:asciiTheme="majorHAnsi" w:hAnsiTheme="majorHAnsi" w:cstheme="majorHAnsi"/>
                <w:noProof/>
                <w:sz w:val="32"/>
                <w:szCs w:val="32"/>
              </w:rPr>
              <w:t>Electronic Travel Authorisations: Clause 71</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_Toc94079999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11</w:t>
            </w:r>
            <w:r w:rsidR="00AD2EED" w:rsidRPr="00AD2EED">
              <w:rPr>
                <w:rFonts w:asciiTheme="majorHAnsi" w:hAnsiTheme="majorHAnsi" w:cstheme="majorHAnsi"/>
                <w:noProof/>
                <w:webHidden/>
                <w:sz w:val="32"/>
                <w:szCs w:val="32"/>
              </w:rPr>
              <w:fldChar w:fldCharType="end"/>
            </w:r>
          </w:hyperlink>
        </w:p>
        <w:p w14:paraId="04C172A4" w14:textId="5892D8B7" w:rsidR="00AD2EED" w:rsidRPr="00AD2EED" w:rsidRDefault="009D4F85">
          <w:pPr>
            <w:pStyle w:val="TOC1"/>
            <w:tabs>
              <w:tab w:val="left" w:pos="660"/>
              <w:tab w:val="right" w:leader="dot" w:pos="9848"/>
            </w:tabs>
            <w:rPr>
              <w:rFonts w:asciiTheme="majorHAnsi" w:hAnsiTheme="majorHAnsi" w:cstheme="majorHAnsi"/>
              <w:noProof/>
              <w:sz w:val="32"/>
              <w:szCs w:val="32"/>
              <w:lang w:eastAsia="en-GB"/>
            </w:rPr>
          </w:pPr>
          <w:hyperlink w:anchor="_Toc94080000" w:history="1">
            <w:r w:rsidR="00AD2EED" w:rsidRPr="00AD2EED">
              <w:rPr>
                <w:rStyle w:val="Hyperlink"/>
                <w:rFonts w:asciiTheme="majorHAnsi" w:hAnsiTheme="majorHAnsi" w:cstheme="majorHAnsi"/>
                <w:noProof/>
                <w:sz w:val="32"/>
                <w:szCs w:val="32"/>
              </w:rPr>
              <w:t>6.0</w:t>
            </w:r>
            <w:r w:rsidR="00AD2EED" w:rsidRPr="00AD2EED">
              <w:rPr>
                <w:rFonts w:asciiTheme="majorHAnsi" w:hAnsiTheme="majorHAnsi" w:cstheme="majorHAnsi"/>
                <w:noProof/>
                <w:sz w:val="32"/>
                <w:szCs w:val="32"/>
                <w:lang w:eastAsia="en-GB"/>
              </w:rPr>
              <w:tab/>
            </w:r>
            <w:r w:rsidR="00AD2EED" w:rsidRPr="00AD2EED">
              <w:rPr>
                <w:rStyle w:val="Hyperlink"/>
                <w:rFonts w:asciiTheme="majorHAnsi" w:hAnsiTheme="majorHAnsi" w:cstheme="majorHAnsi"/>
                <w:noProof/>
                <w:sz w:val="32"/>
                <w:szCs w:val="32"/>
              </w:rPr>
              <w:t>Over-arching recommendations and conclusion</w:t>
            </w:r>
            <w:r w:rsidR="00AD2EED" w:rsidRPr="00AD2EED">
              <w:rPr>
                <w:rFonts w:asciiTheme="majorHAnsi" w:hAnsiTheme="majorHAnsi" w:cstheme="majorHAnsi"/>
                <w:noProof/>
                <w:webHidden/>
                <w:sz w:val="32"/>
                <w:szCs w:val="32"/>
              </w:rPr>
              <w:tab/>
            </w:r>
            <w:r w:rsidR="00AD2EED" w:rsidRPr="00AD2EED">
              <w:rPr>
                <w:rFonts w:asciiTheme="majorHAnsi" w:hAnsiTheme="majorHAnsi" w:cstheme="majorHAnsi"/>
                <w:noProof/>
                <w:webHidden/>
                <w:sz w:val="32"/>
                <w:szCs w:val="32"/>
              </w:rPr>
              <w:fldChar w:fldCharType="begin"/>
            </w:r>
            <w:r w:rsidR="00AD2EED" w:rsidRPr="00AD2EED">
              <w:rPr>
                <w:rFonts w:asciiTheme="majorHAnsi" w:hAnsiTheme="majorHAnsi" w:cstheme="majorHAnsi"/>
                <w:noProof/>
                <w:webHidden/>
                <w:sz w:val="32"/>
                <w:szCs w:val="32"/>
              </w:rPr>
              <w:instrText xml:space="preserve"> PAGEREF _Toc94080000 \h </w:instrText>
            </w:r>
            <w:r w:rsidR="00AD2EED" w:rsidRPr="00AD2EED">
              <w:rPr>
                <w:rFonts w:asciiTheme="majorHAnsi" w:hAnsiTheme="majorHAnsi" w:cstheme="majorHAnsi"/>
                <w:noProof/>
                <w:webHidden/>
                <w:sz w:val="32"/>
                <w:szCs w:val="32"/>
              </w:rPr>
            </w:r>
            <w:r w:rsidR="00AD2EED" w:rsidRPr="00AD2EED">
              <w:rPr>
                <w:rFonts w:asciiTheme="majorHAnsi" w:hAnsiTheme="majorHAnsi" w:cstheme="majorHAnsi"/>
                <w:noProof/>
                <w:webHidden/>
                <w:sz w:val="32"/>
                <w:szCs w:val="32"/>
              </w:rPr>
              <w:fldChar w:fldCharType="separate"/>
            </w:r>
            <w:r w:rsidR="00AD2EED" w:rsidRPr="00AD2EED">
              <w:rPr>
                <w:rFonts w:asciiTheme="majorHAnsi" w:hAnsiTheme="majorHAnsi" w:cstheme="majorHAnsi"/>
                <w:noProof/>
                <w:webHidden/>
                <w:sz w:val="32"/>
                <w:szCs w:val="32"/>
              </w:rPr>
              <w:t>14</w:t>
            </w:r>
            <w:r w:rsidR="00AD2EED" w:rsidRPr="00AD2EED">
              <w:rPr>
                <w:rFonts w:asciiTheme="majorHAnsi" w:hAnsiTheme="majorHAnsi" w:cstheme="majorHAnsi"/>
                <w:noProof/>
                <w:webHidden/>
                <w:sz w:val="32"/>
                <w:szCs w:val="32"/>
              </w:rPr>
              <w:fldChar w:fldCharType="end"/>
            </w:r>
          </w:hyperlink>
        </w:p>
        <w:p w14:paraId="6901A352" w14:textId="11FA5D2D" w:rsidR="000B718B" w:rsidRPr="00292922" w:rsidRDefault="00202A5B" w:rsidP="000B718B">
          <w:pPr>
            <w:rPr>
              <w:rFonts w:ascii="Verdana" w:hAnsi="Verdana"/>
            </w:rPr>
          </w:pPr>
          <w:r w:rsidRPr="00AD2EED">
            <w:rPr>
              <w:rFonts w:asciiTheme="majorHAnsi" w:hAnsiTheme="majorHAnsi" w:cstheme="majorHAnsi"/>
              <w:b/>
              <w:bCs/>
              <w:noProof/>
              <w:sz w:val="32"/>
              <w:szCs w:val="32"/>
            </w:rPr>
            <w:fldChar w:fldCharType="end"/>
          </w:r>
        </w:p>
      </w:sdtContent>
    </w:sdt>
    <w:p w14:paraId="29EB7F3D" w14:textId="77777777" w:rsidR="00474E4B" w:rsidRPr="00292922" w:rsidRDefault="00474E4B">
      <w:pPr>
        <w:rPr>
          <w:rFonts w:ascii="Verdana" w:eastAsiaTheme="majorEastAsia" w:hAnsi="Verdana" w:cstheme="majorBidi"/>
          <w:b/>
          <w:color w:val="77328A"/>
        </w:rPr>
      </w:pPr>
      <w:r w:rsidRPr="00292922">
        <w:rPr>
          <w:rFonts w:ascii="Verdana" w:hAnsi="Verdana"/>
        </w:rPr>
        <w:br w:type="page"/>
      </w:r>
    </w:p>
    <w:bookmarkStart w:id="0" w:name="_Toc94079994"/>
    <w:p w14:paraId="54E26C73" w14:textId="34D81896" w:rsidR="00EA12CE" w:rsidRPr="00AD2EED" w:rsidRDefault="00474E4B" w:rsidP="00770E20">
      <w:pPr>
        <w:pStyle w:val="Heading1"/>
        <w:rPr>
          <w:rFonts w:asciiTheme="majorHAnsi" w:hAnsiTheme="majorHAnsi" w:cstheme="majorHAnsi"/>
          <w:szCs w:val="40"/>
        </w:rPr>
      </w:pPr>
      <w:r w:rsidRPr="00AD2EED">
        <w:rPr>
          <w:rFonts w:asciiTheme="majorHAnsi" w:hAnsiTheme="majorHAnsi" w:cstheme="majorHAnsi"/>
          <w:noProof/>
          <w:szCs w:val="40"/>
          <w:lang w:eastAsia="en-GB"/>
        </w:rPr>
        <w:lastRenderedPageBreak/>
        <mc:AlternateContent>
          <mc:Choice Requires="wps">
            <w:drawing>
              <wp:anchor distT="0" distB="0" distL="114300" distR="114300" simplePos="0" relativeHeight="251659264" behindDoc="0" locked="0" layoutInCell="1" allowOverlap="1" wp14:anchorId="613411CD" wp14:editId="29F17993">
                <wp:simplePos x="0" y="0"/>
                <wp:positionH relativeFrom="column">
                  <wp:posOffset>-148272</wp:posOffset>
                </wp:positionH>
                <wp:positionV relativeFrom="paragraph">
                  <wp:posOffset>-81597</wp:posOffset>
                </wp:positionV>
                <wp:extent cx="6524625" cy="887730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6524625" cy="8877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882F8" id="Rectangle 1" o:spid="_x0000_s1026" style="position:absolute;margin-left:-11.65pt;margin-top:-6.4pt;width:513.75pt;height:6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" filled="f" strokecolor="black [3213]">
                <v:shadow on="t" color="black" opacity="22937f" origin=",.5" offset="0,.63889mm"/>
              </v:rect>
            </w:pict>
          </mc:Fallback>
        </mc:AlternateContent>
      </w:r>
      <w:r w:rsidR="00770E20" w:rsidRPr="00AD2EED">
        <w:rPr>
          <w:rFonts w:asciiTheme="majorHAnsi" w:hAnsiTheme="majorHAnsi" w:cstheme="majorHAnsi"/>
          <w:szCs w:val="40"/>
        </w:rPr>
        <w:t>Recommendations</w:t>
      </w:r>
      <w:bookmarkEnd w:id="0"/>
    </w:p>
    <w:p w14:paraId="2C62EE71" w14:textId="77777777" w:rsidR="00770E20" w:rsidRPr="00AD2EED" w:rsidRDefault="00770E20" w:rsidP="00770E20">
      <w:pPr>
        <w:rPr>
          <w:rFonts w:asciiTheme="majorHAnsi" w:hAnsiTheme="majorHAnsi" w:cstheme="majorHAnsi"/>
          <w:sz w:val="28"/>
          <w:szCs w:val="28"/>
        </w:rPr>
      </w:pPr>
    </w:p>
    <w:p w14:paraId="12961556" w14:textId="0B566784" w:rsidR="000019D8" w:rsidRPr="00AD2EED" w:rsidRDefault="00633C30" w:rsidP="00E27C8F">
      <w:pPr>
        <w:ind w:left="709" w:hanging="709"/>
        <w:rPr>
          <w:rFonts w:asciiTheme="majorHAnsi" w:hAnsiTheme="majorHAnsi" w:cstheme="majorHAnsi"/>
          <w:b/>
          <w:sz w:val="28"/>
          <w:szCs w:val="28"/>
        </w:rPr>
      </w:pPr>
      <w:r w:rsidRPr="00AD2EED">
        <w:rPr>
          <w:rFonts w:asciiTheme="majorHAnsi" w:hAnsiTheme="majorHAnsi" w:cstheme="majorHAnsi"/>
          <w:b/>
          <w:sz w:val="28"/>
          <w:szCs w:val="28"/>
        </w:rPr>
        <w:t>3.</w:t>
      </w:r>
      <w:r w:rsidR="00C44DC2" w:rsidRPr="00AD2EED">
        <w:rPr>
          <w:rFonts w:asciiTheme="majorHAnsi" w:hAnsiTheme="majorHAnsi" w:cstheme="majorHAnsi"/>
          <w:b/>
          <w:sz w:val="28"/>
          <w:szCs w:val="28"/>
        </w:rPr>
        <w:t>6</w:t>
      </w:r>
      <w:r w:rsidRPr="00AD2EED">
        <w:rPr>
          <w:rFonts w:asciiTheme="majorHAnsi" w:hAnsiTheme="majorHAnsi" w:cstheme="majorHAnsi"/>
          <w:b/>
          <w:sz w:val="28"/>
          <w:szCs w:val="28"/>
        </w:rPr>
        <w:tab/>
        <w:t>The Commission</w:t>
      </w:r>
      <w:r w:rsidR="00AA2A4C" w:rsidRPr="00AD2EED">
        <w:rPr>
          <w:rFonts w:asciiTheme="majorHAnsi" w:hAnsiTheme="majorHAnsi" w:cstheme="majorHAnsi"/>
          <w:b/>
          <w:sz w:val="28"/>
          <w:szCs w:val="28"/>
        </w:rPr>
        <w:t>s</w:t>
      </w:r>
      <w:r w:rsidRPr="00AD2EED">
        <w:rPr>
          <w:rFonts w:asciiTheme="majorHAnsi" w:hAnsiTheme="majorHAnsi" w:cstheme="majorHAnsi"/>
          <w:b/>
          <w:sz w:val="28"/>
          <w:szCs w:val="28"/>
        </w:rPr>
        <w:t xml:space="preserve"> recommend that the House of Lords amend the Nationality and Borders Bill to remove Northern Ireland from the extent of Clause 67, to </w:t>
      </w:r>
      <w:r w:rsidR="008922E2" w:rsidRPr="00AD2EED">
        <w:rPr>
          <w:rFonts w:asciiTheme="majorHAnsi" w:hAnsiTheme="majorHAnsi" w:cstheme="majorHAnsi"/>
          <w:b/>
          <w:sz w:val="28"/>
          <w:szCs w:val="28"/>
        </w:rPr>
        <w:t>avoid potential breach of</w:t>
      </w:r>
      <w:r w:rsidRPr="00AD2EED">
        <w:rPr>
          <w:rFonts w:asciiTheme="majorHAnsi" w:hAnsiTheme="majorHAnsi" w:cstheme="majorHAnsi"/>
          <w:b/>
          <w:sz w:val="28"/>
          <w:szCs w:val="28"/>
        </w:rPr>
        <w:t xml:space="preserve"> the “no-diminution” commitment under Article 2 of the Ireland/Northern Ireland Protocol.</w:t>
      </w:r>
      <w:r w:rsidR="000019D8" w:rsidRPr="00AD2EED">
        <w:rPr>
          <w:rFonts w:asciiTheme="majorHAnsi" w:hAnsiTheme="majorHAnsi" w:cstheme="majorHAnsi"/>
          <w:b/>
          <w:sz w:val="28"/>
          <w:szCs w:val="28"/>
        </w:rPr>
        <w:t xml:space="preserve"> </w:t>
      </w:r>
    </w:p>
    <w:p w14:paraId="4E18EDD1" w14:textId="35E43DAC" w:rsidR="000019D8" w:rsidRPr="00AD2EED" w:rsidRDefault="000019D8" w:rsidP="00292922">
      <w:pPr>
        <w:ind w:left="709" w:hanging="709"/>
        <w:rPr>
          <w:rFonts w:asciiTheme="majorHAnsi" w:hAnsiTheme="majorHAnsi" w:cstheme="majorHAnsi"/>
          <w:sz w:val="28"/>
          <w:szCs w:val="28"/>
        </w:rPr>
      </w:pPr>
    </w:p>
    <w:p w14:paraId="45E5D92F" w14:textId="12CFB886" w:rsidR="00633C30" w:rsidRPr="00AD2EED" w:rsidRDefault="00633C30" w:rsidP="00605CB8">
      <w:pPr>
        <w:pStyle w:val="ListParagraph"/>
        <w:numPr>
          <w:ilvl w:val="1"/>
          <w:numId w:val="24"/>
        </w:numPr>
        <w:rPr>
          <w:rFonts w:asciiTheme="majorHAnsi" w:hAnsiTheme="majorHAnsi" w:cstheme="majorHAnsi"/>
          <w:sz w:val="28"/>
          <w:szCs w:val="28"/>
        </w:rPr>
      </w:pPr>
      <w:r w:rsidRPr="00AD2EED">
        <w:rPr>
          <w:rFonts w:asciiTheme="majorHAnsi" w:hAnsiTheme="majorHAnsi" w:cstheme="majorHAnsi"/>
          <w:b/>
          <w:sz w:val="28"/>
          <w:szCs w:val="28"/>
        </w:rPr>
        <w:t>The Commission</w:t>
      </w:r>
      <w:r w:rsidR="00AA2A4C" w:rsidRPr="00AD2EED">
        <w:rPr>
          <w:rFonts w:asciiTheme="majorHAnsi" w:hAnsiTheme="majorHAnsi" w:cstheme="majorHAnsi"/>
          <w:b/>
          <w:sz w:val="28"/>
          <w:szCs w:val="28"/>
        </w:rPr>
        <w:t>s</w:t>
      </w:r>
      <w:r w:rsidRPr="00AD2EED">
        <w:rPr>
          <w:rFonts w:asciiTheme="majorHAnsi" w:hAnsiTheme="majorHAnsi" w:cstheme="majorHAnsi"/>
          <w:b/>
          <w:sz w:val="28"/>
          <w:szCs w:val="28"/>
        </w:rPr>
        <w:t xml:space="preserve"> recommend that the ‘extent’ provisions </w:t>
      </w:r>
      <w:r w:rsidR="008922E2" w:rsidRPr="00AD2EED">
        <w:rPr>
          <w:rFonts w:asciiTheme="majorHAnsi" w:hAnsiTheme="majorHAnsi" w:cstheme="majorHAnsi"/>
          <w:b/>
          <w:sz w:val="28"/>
          <w:szCs w:val="28"/>
        </w:rPr>
        <w:t xml:space="preserve">at Clause 82 </w:t>
      </w:r>
      <w:r w:rsidRPr="00AD2EED">
        <w:rPr>
          <w:rFonts w:asciiTheme="majorHAnsi" w:hAnsiTheme="majorHAnsi" w:cstheme="majorHAnsi"/>
          <w:b/>
          <w:sz w:val="28"/>
          <w:szCs w:val="28"/>
        </w:rPr>
        <w:t xml:space="preserve">in the Bill be amended to exclude Northern Ireland from the operation of Clauses 57, 58, 60, 61, 62 and 67, in order to ensure no diminution of the rights of victims of trafficking in Northern Ireland and to </w:t>
      </w:r>
      <w:r w:rsidR="008922E2" w:rsidRPr="00AD2EED">
        <w:rPr>
          <w:rFonts w:asciiTheme="majorHAnsi" w:hAnsiTheme="majorHAnsi" w:cstheme="majorHAnsi"/>
          <w:b/>
          <w:sz w:val="28"/>
          <w:szCs w:val="28"/>
        </w:rPr>
        <w:t>avoid potential breach of</w:t>
      </w:r>
      <w:r w:rsidRPr="00AD2EED">
        <w:rPr>
          <w:rFonts w:asciiTheme="majorHAnsi" w:hAnsiTheme="majorHAnsi" w:cstheme="majorHAnsi"/>
          <w:b/>
          <w:sz w:val="28"/>
          <w:szCs w:val="28"/>
        </w:rPr>
        <w:t xml:space="preserve"> Protocol Article 2 in this regard.</w:t>
      </w:r>
    </w:p>
    <w:p w14:paraId="31947092" w14:textId="150AA933" w:rsidR="000B718B" w:rsidRPr="00AD2EED" w:rsidRDefault="000B718B" w:rsidP="000B718B">
      <w:pPr>
        <w:rPr>
          <w:rFonts w:asciiTheme="majorHAnsi" w:hAnsiTheme="majorHAnsi" w:cstheme="majorHAnsi"/>
          <w:sz w:val="28"/>
          <w:szCs w:val="28"/>
        </w:rPr>
      </w:pPr>
    </w:p>
    <w:p w14:paraId="33938664" w14:textId="5F79A5FB" w:rsidR="000B718B" w:rsidRPr="00AD2EED" w:rsidRDefault="0077172D" w:rsidP="00605CB8">
      <w:pPr>
        <w:pStyle w:val="ListParagraph"/>
        <w:numPr>
          <w:ilvl w:val="1"/>
          <w:numId w:val="25"/>
        </w:numPr>
        <w:rPr>
          <w:rFonts w:asciiTheme="majorHAnsi" w:hAnsiTheme="majorHAnsi" w:cstheme="majorHAnsi"/>
          <w:b/>
          <w:sz w:val="28"/>
          <w:szCs w:val="28"/>
        </w:rPr>
      </w:pPr>
      <w:r w:rsidRPr="00AD2EED">
        <w:rPr>
          <w:rFonts w:asciiTheme="majorHAnsi" w:hAnsiTheme="majorHAnsi" w:cstheme="majorHAnsi"/>
          <w:b/>
          <w:sz w:val="28"/>
          <w:szCs w:val="28"/>
        </w:rPr>
        <w:t xml:space="preserve">The </w:t>
      </w:r>
      <w:r w:rsidR="000D6EC4" w:rsidRPr="00AD2EED">
        <w:rPr>
          <w:rFonts w:asciiTheme="majorHAnsi" w:hAnsiTheme="majorHAnsi" w:cstheme="majorHAnsi"/>
          <w:b/>
          <w:sz w:val="28"/>
          <w:szCs w:val="28"/>
        </w:rPr>
        <w:t xml:space="preserve">NIHRC </w:t>
      </w:r>
      <w:r w:rsidRPr="00AD2EED">
        <w:rPr>
          <w:rFonts w:asciiTheme="majorHAnsi" w:hAnsiTheme="majorHAnsi" w:cstheme="majorHAnsi"/>
          <w:b/>
          <w:sz w:val="28"/>
          <w:szCs w:val="28"/>
        </w:rPr>
        <w:t>recommends that the House of Lords enquire what consideration was given to the needs of child victims of modern slavery and human trafficking and how the best interests principle will be ensured.</w:t>
      </w:r>
    </w:p>
    <w:p w14:paraId="19CB463D" w14:textId="77777777" w:rsidR="005E7585" w:rsidRPr="00AD2EED" w:rsidRDefault="005E7585" w:rsidP="005E7585">
      <w:pPr>
        <w:pStyle w:val="ListParagraph"/>
        <w:rPr>
          <w:rFonts w:asciiTheme="majorHAnsi" w:hAnsiTheme="majorHAnsi" w:cstheme="majorHAnsi"/>
          <w:sz w:val="28"/>
          <w:szCs w:val="28"/>
        </w:rPr>
      </w:pPr>
    </w:p>
    <w:p w14:paraId="072790B2" w14:textId="6909DA5B" w:rsidR="005E7585" w:rsidRPr="00AD2EED" w:rsidRDefault="00605CB8" w:rsidP="005E7585">
      <w:pPr>
        <w:ind w:left="709" w:hanging="709"/>
        <w:rPr>
          <w:rFonts w:asciiTheme="majorHAnsi" w:hAnsiTheme="majorHAnsi" w:cstheme="majorHAnsi"/>
          <w:sz w:val="28"/>
          <w:szCs w:val="28"/>
        </w:rPr>
      </w:pPr>
      <w:r w:rsidRPr="00AD2EED">
        <w:rPr>
          <w:rFonts w:asciiTheme="majorHAnsi" w:hAnsiTheme="majorHAnsi" w:cstheme="majorHAnsi"/>
          <w:b/>
          <w:sz w:val="28"/>
          <w:szCs w:val="28"/>
        </w:rPr>
        <w:t>5.</w:t>
      </w:r>
      <w:r w:rsidR="008922E2" w:rsidRPr="00AD2EED">
        <w:rPr>
          <w:rFonts w:asciiTheme="majorHAnsi" w:hAnsiTheme="majorHAnsi" w:cstheme="majorHAnsi"/>
          <w:b/>
          <w:sz w:val="28"/>
          <w:szCs w:val="28"/>
        </w:rPr>
        <w:t>9</w:t>
      </w:r>
      <w:r w:rsidR="005E7585" w:rsidRPr="00AD2EED">
        <w:rPr>
          <w:rFonts w:asciiTheme="majorHAnsi" w:hAnsiTheme="majorHAnsi" w:cstheme="majorHAnsi"/>
          <w:sz w:val="28"/>
          <w:szCs w:val="28"/>
        </w:rPr>
        <w:tab/>
      </w:r>
      <w:r w:rsidR="00314818" w:rsidRPr="00AD2EED">
        <w:rPr>
          <w:rFonts w:asciiTheme="majorHAnsi" w:hAnsiTheme="majorHAnsi" w:cstheme="majorHAnsi"/>
          <w:b/>
          <w:bCs/>
          <w:sz w:val="28"/>
          <w:szCs w:val="28"/>
        </w:rPr>
        <w:t xml:space="preserve">The </w:t>
      </w:r>
      <w:r w:rsidR="000D6EC4" w:rsidRPr="00AD2EED">
        <w:rPr>
          <w:rFonts w:asciiTheme="majorHAnsi" w:hAnsiTheme="majorHAnsi" w:cstheme="majorHAnsi"/>
          <w:b/>
          <w:bCs/>
          <w:sz w:val="28"/>
          <w:szCs w:val="28"/>
        </w:rPr>
        <w:t xml:space="preserve">NIHRC </w:t>
      </w:r>
      <w:r w:rsidR="00314818" w:rsidRPr="00AD2EED">
        <w:rPr>
          <w:rFonts w:asciiTheme="majorHAnsi" w:hAnsiTheme="majorHAnsi" w:cstheme="majorHAnsi"/>
          <w:b/>
          <w:bCs/>
          <w:sz w:val="28"/>
          <w:szCs w:val="28"/>
        </w:rPr>
        <w:t xml:space="preserve">recommends that </w:t>
      </w:r>
      <w:r w:rsidRPr="00AD2EED">
        <w:rPr>
          <w:rFonts w:asciiTheme="majorHAnsi" w:hAnsiTheme="majorHAnsi" w:cstheme="majorHAnsi"/>
          <w:b/>
          <w:bCs/>
          <w:sz w:val="28"/>
          <w:szCs w:val="28"/>
        </w:rPr>
        <w:t>Clause 71 (Electronic Travel Authorisation)</w:t>
      </w:r>
      <w:r w:rsidR="00314818" w:rsidRPr="00AD2EED">
        <w:rPr>
          <w:rFonts w:asciiTheme="majorHAnsi" w:hAnsiTheme="majorHAnsi" w:cstheme="majorHAnsi"/>
          <w:b/>
          <w:bCs/>
          <w:sz w:val="28"/>
          <w:szCs w:val="28"/>
        </w:rPr>
        <w:t xml:space="preserve"> is amended to provide a mechanism for </w:t>
      </w:r>
      <w:r w:rsidR="00402A10">
        <w:rPr>
          <w:rFonts w:asciiTheme="majorHAnsi" w:hAnsiTheme="majorHAnsi" w:cstheme="majorHAnsi"/>
          <w:b/>
          <w:bCs/>
          <w:sz w:val="28"/>
          <w:szCs w:val="28"/>
        </w:rPr>
        <w:t xml:space="preserve">timely </w:t>
      </w:r>
      <w:r w:rsidR="00314818" w:rsidRPr="00AD2EED">
        <w:rPr>
          <w:rFonts w:asciiTheme="majorHAnsi" w:hAnsiTheme="majorHAnsi" w:cstheme="majorHAnsi"/>
          <w:b/>
          <w:bCs/>
          <w:sz w:val="28"/>
          <w:szCs w:val="28"/>
        </w:rPr>
        <w:t>review and/or appeal.</w:t>
      </w:r>
    </w:p>
    <w:p w14:paraId="5509BB21" w14:textId="4090AFBF" w:rsidR="000B718B" w:rsidRPr="00AD2EED" w:rsidRDefault="000B718B" w:rsidP="000B718B">
      <w:pPr>
        <w:rPr>
          <w:rFonts w:asciiTheme="majorHAnsi" w:hAnsiTheme="majorHAnsi" w:cstheme="majorHAnsi"/>
          <w:sz w:val="28"/>
          <w:szCs w:val="28"/>
        </w:rPr>
      </w:pPr>
    </w:p>
    <w:p w14:paraId="47B556CB" w14:textId="1571C8DD" w:rsidR="000B718B" w:rsidRPr="00AD2EED" w:rsidRDefault="00605CB8" w:rsidP="000B718B">
      <w:pPr>
        <w:ind w:left="709" w:hanging="709"/>
        <w:rPr>
          <w:rFonts w:asciiTheme="majorHAnsi" w:hAnsiTheme="majorHAnsi" w:cstheme="majorHAnsi"/>
          <w:sz w:val="28"/>
          <w:szCs w:val="28"/>
        </w:rPr>
      </w:pPr>
      <w:r w:rsidRPr="00AD2EED">
        <w:rPr>
          <w:rFonts w:asciiTheme="majorHAnsi" w:hAnsiTheme="majorHAnsi" w:cstheme="majorHAnsi"/>
          <w:b/>
          <w:sz w:val="28"/>
          <w:szCs w:val="28"/>
        </w:rPr>
        <w:t>5</w:t>
      </w:r>
      <w:r w:rsidR="000B718B" w:rsidRPr="00AD2EED">
        <w:rPr>
          <w:rFonts w:asciiTheme="majorHAnsi" w:hAnsiTheme="majorHAnsi" w:cstheme="majorHAnsi"/>
          <w:b/>
          <w:sz w:val="28"/>
          <w:szCs w:val="28"/>
        </w:rPr>
        <w:t>.</w:t>
      </w:r>
      <w:r w:rsidR="008922E2" w:rsidRPr="00AD2EED">
        <w:rPr>
          <w:rFonts w:asciiTheme="majorHAnsi" w:hAnsiTheme="majorHAnsi" w:cstheme="majorHAnsi"/>
          <w:b/>
          <w:sz w:val="28"/>
          <w:szCs w:val="28"/>
        </w:rPr>
        <w:t>10</w:t>
      </w:r>
      <w:r w:rsidR="000B718B" w:rsidRPr="00AD2EED">
        <w:rPr>
          <w:rFonts w:asciiTheme="majorHAnsi" w:hAnsiTheme="majorHAnsi" w:cstheme="majorHAnsi"/>
          <w:sz w:val="28"/>
          <w:szCs w:val="28"/>
        </w:rPr>
        <w:tab/>
      </w:r>
      <w:r w:rsidR="00314818" w:rsidRPr="00AD2EED">
        <w:rPr>
          <w:rFonts w:asciiTheme="majorHAnsi" w:hAnsiTheme="majorHAnsi" w:cstheme="majorHAnsi"/>
          <w:b/>
          <w:bCs/>
          <w:sz w:val="28"/>
          <w:szCs w:val="28"/>
        </w:rPr>
        <w:t xml:space="preserve">The </w:t>
      </w:r>
      <w:r w:rsidR="000D6EC4" w:rsidRPr="00AD2EED">
        <w:rPr>
          <w:rFonts w:asciiTheme="majorHAnsi" w:hAnsiTheme="majorHAnsi" w:cstheme="majorHAnsi"/>
          <w:b/>
          <w:bCs/>
          <w:sz w:val="28"/>
          <w:szCs w:val="28"/>
        </w:rPr>
        <w:t xml:space="preserve">NIHRC </w:t>
      </w:r>
      <w:r w:rsidR="00314818" w:rsidRPr="00AD2EED">
        <w:rPr>
          <w:rFonts w:asciiTheme="majorHAnsi" w:hAnsiTheme="majorHAnsi" w:cstheme="majorHAnsi"/>
          <w:b/>
          <w:bCs/>
          <w:sz w:val="28"/>
          <w:szCs w:val="28"/>
        </w:rPr>
        <w:t>recommends that that all journeys into Northern Ireland, that originate from Ireland, should be exempt from ETA requirements.</w:t>
      </w:r>
      <w:r w:rsidR="00314818" w:rsidRPr="00AD2EED">
        <w:rPr>
          <w:rFonts w:asciiTheme="majorHAnsi" w:hAnsiTheme="majorHAnsi" w:cstheme="majorHAnsi"/>
          <w:sz w:val="28"/>
          <w:szCs w:val="28"/>
        </w:rPr>
        <w:t xml:space="preserve"> </w:t>
      </w:r>
    </w:p>
    <w:p w14:paraId="419EC034" w14:textId="7AFB4D34" w:rsidR="000B718B" w:rsidRPr="00AD2EED" w:rsidRDefault="000B718B" w:rsidP="000B718B">
      <w:pPr>
        <w:rPr>
          <w:rFonts w:asciiTheme="majorHAnsi" w:hAnsiTheme="majorHAnsi" w:cstheme="majorHAnsi"/>
          <w:b/>
          <w:bCs/>
          <w:sz w:val="28"/>
          <w:szCs w:val="28"/>
        </w:rPr>
      </w:pPr>
    </w:p>
    <w:p w14:paraId="7664F3B6" w14:textId="247B6E6E" w:rsidR="00952FA3" w:rsidRPr="00AD2EED" w:rsidRDefault="00605CB8" w:rsidP="00292922">
      <w:pPr>
        <w:ind w:left="709" w:hanging="709"/>
        <w:rPr>
          <w:rFonts w:asciiTheme="majorHAnsi" w:hAnsiTheme="majorHAnsi" w:cstheme="majorHAnsi"/>
          <w:sz w:val="28"/>
          <w:szCs w:val="28"/>
        </w:rPr>
      </w:pPr>
      <w:r w:rsidRPr="00AD2EED">
        <w:rPr>
          <w:rFonts w:asciiTheme="majorHAnsi" w:hAnsiTheme="majorHAnsi" w:cstheme="majorHAnsi"/>
          <w:b/>
          <w:bCs/>
          <w:sz w:val="28"/>
          <w:szCs w:val="28"/>
        </w:rPr>
        <w:t>6</w:t>
      </w:r>
      <w:r w:rsidR="000B718B" w:rsidRPr="00AD2EED">
        <w:rPr>
          <w:rFonts w:asciiTheme="majorHAnsi" w:hAnsiTheme="majorHAnsi" w:cstheme="majorHAnsi"/>
          <w:b/>
          <w:bCs/>
          <w:sz w:val="28"/>
          <w:szCs w:val="28"/>
        </w:rPr>
        <w:t>.</w:t>
      </w:r>
      <w:r w:rsidR="00952FA3" w:rsidRPr="00AD2EED">
        <w:rPr>
          <w:rFonts w:asciiTheme="majorHAnsi" w:hAnsiTheme="majorHAnsi" w:cstheme="majorHAnsi"/>
          <w:b/>
          <w:bCs/>
          <w:sz w:val="28"/>
          <w:szCs w:val="28"/>
        </w:rPr>
        <w:t>2</w:t>
      </w:r>
      <w:r w:rsidR="000B718B" w:rsidRPr="00AD2EED">
        <w:rPr>
          <w:rFonts w:asciiTheme="majorHAnsi" w:hAnsiTheme="majorHAnsi" w:cstheme="majorHAnsi"/>
          <w:b/>
          <w:bCs/>
          <w:sz w:val="28"/>
          <w:szCs w:val="28"/>
        </w:rPr>
        <w:tab/>
      </w:r>
      <w:r w:rsidR="00952FA3" w:rsidRPr="00AD2EED">
        <w:rPr>
          <w:rFonts w:asciiTheme="majorHAnsi" w:hAnsiTheme="majorHAnsi" w:cstheme="majorHAnsi"/>
          <w:b/>
          <w:bCs/>
          <w:sz w:val="28"/>
          <w:szCs w:val="28"/>
        </w:rPr>
        <w:t>The Commission</w:t>
      </w:r>
      <w:r w:rsidR="000D6EC4" w:rsidRPr="00AD2EED">
        <w:rPr>
          <w:rFonts w:asciiTheme="majorHAnsi" w:hAnsiTheme="majorHAnsi" w:cstheme="majorHAnsi"/>
          <w:b/>
          <w:bCs/>
          <w:sz w:val="28"/>
          <w:szCs w:val="28"/>
        </w:rPr>
        <w:t>s</w:t>
      </w:r>
      <w:r w:rsidR="00952FA3" w:rsidRPr="00AD2EED">
        <w:rPr>
          <w:rFonts w:asciiTheme="majorHAnsi" w:hAnsiTheme="majorHAnsi" w:cstheme="majorHAnsi"/>
          <w:b/>
          <w:bCs/>
          <w:sz w:val="28"/>
          <w:szCs w:val="28"/>
        </w:rPr>
        <w:t xml:space="preserve"> recommend that the House of Lords enquire what consideration was given to Protocol Article 2 in the development of this legislation, and </w:t>
      </w:r>
      <w:r w:rsidR="00DE6566">
        <w:rPr>
          <w:rFonts w:asciiTheme="majorHAnsi" w:hAnsiTheme="majorHAnsi" w:cstheme="majorHAnsi"/>
          <w:b/>
          <w:bCs/>
          <w:sz w:val="28"/>
          <w:szCs w:val="28"/>
        </w:rPr>
        <w:t>recommend</w:t>
      </w:r>
      <w:r w:rsidR="00DE6566" w:rsidRPr="00AD2EED">
        <w:rPr>
          <w:rFonts w:asciiTheme="majorHAnsi" w:hAnsiTheme="majorHAnsi" w:cstheme="majorHAnsi"/>
          <w:b/>
          <w:bCs/>
          <w:sz w:val="28"/>
          <w:szCs w:val="28"/>
        </w:rPr>
        <w:t xml:space="preserve"> </w:t>
      </w:r>
      <w:r w:rsidR="00952FA3" w:rsidRPr="00AD2EED">
        <w:rPr>
          <w:rFonts w:asciiTheme="majorHAnsi" w:hAnsiTheme="majorHAnsi" w:cstheme="majorHAnsi"/>
          <w:b/>
          <w:bCs/>
          <w:sz w:val="28"/>
          <w:szCs w:val="28"/>
        </w:rPr>
        <w:t xml:space="preserve">that Article 2 should be considered </w:t>
      </w:r>
      <w:r w:rsidR="008922E2" w:rsidRPr="00AD2EED">
        <w:rPr>
          <w:rFonts w:asciiTheme="majorHAnsi" w:hAnsiTheme="majorHAnsi" w:cstheme="majorHAnsi"/>
          <w:b/>
          <w:bCs/>
          <w:sz w:val="28"/>
          <w:szCs w:val="28"/>
        </w:rPr>
        <w:t xml:space="preserve">and complied with </w:t>
      </w:r>
      <w:r w:rsidR="00952FA3" w:rsidRPr="00AD2EED">
        <w:rPr>
          <w:rFonts w:asciiTheme="majorHAnsi" w:hAnsiTheme="majorHAnsi" w:cstheme="majorHAnsi"/>
          <w:b/>
          <w:bCs/>
          <w:sz w:val="28"/>
          <w:szCs w:val="28"/>
        </w:rPr>
        <w:t xml:space="preserve">throughout its implementation and the development of regulations and guidance. </w:t>
      </w:r>
    </w:p>
    <w:p w14:paraId="5F36D459" w14:textId="77777777" w:rsidR="000B718B" w:rsidRPr="00AD2EED" w:rsidRDefault="000B718B" w:rsidP="00292922">
      <w:pPr>
        <w:ind w:left="709" w:hanging="709"/>
        <w:rPr>
          <w:rFonts w:asciiTheme="majorHAnsi" w:hAnsiTheme="majorHAnsi" w:cstheme="majorHAnsi"/>
          <w:b/>
          <w:bCs/>
          <w:sz w:val="28"/>
          <w:szCs w:val="28"/>
        </w:rPr>
      </w:pPr>
    </w:p>
    <w:p w14:paraId="557D415C" w14:textId="2868E6AE" w:rsidR="000B718B" w:rsidRPr="00AD2EED" w:rsidRDefault="00605CB8" w:rsidP="000B718B">
      <w:pPr>
        <w:ind w:left="709" w:hanging="709"/>
        <w:rPr>
          <w:rFonts w:asciiTheme="majorHAnsi" w:hAnsiTheme="majorHAnsi" w:cstheme="majorHAnsi"/>
          <w:sz w:val="28"/>
          <w:szCs w:val="28"/>
        </w:rPr>
      </w:pPr>
      <w:r w:rsidRPr="00AD2EED">
        <w:rPr>
          <w:rFonts w:asciiTheme="majorHAnsi" w:hAnsiTheme="majorHAnsi" w:cstheme="majorHAnsi"/>
          <w:b/>
          <w:bCs/>
          <w:sz w:val="28"/>
          <w:szCs w:val="28"/>
        </w:rPr>
        <w:t>6</w:t>
      </w:r>
      <w:r w:rsidR="000B718B" w:rsidRPr="00AD2EED">
        <w:rPr>
          <w:rFonts w:asciiTheme="majorHAnsi" w:hAnsiTheme="majorHAnsi" w:cstheme="majorHAnsi"/>
          <w:b/>
          <w:bCs/>
          <w:sz w:val="28"/>
          <w:szCs w:val="28"/>
        </w:rPr>
        <w:t>.</w:t>
      </w:r>
      <w:r w:rsidR="00952FA3" w:rsidRPr="00AD2EED">
        <w:rPr>
          <w:rFonts w:asciiTheme="majorHAnsi" w:hAnsiTheme="majorHAnsi" w:cstheme="majorHAnsi"/>
          <w:b/>
          <w:bCs/>
          <w:sz w:val="28"/>
          <w:szCs w:val="28"/>
        </w:rPr>
        <w:t>3</w:t>
      </w:r>
      <w:r w:rsidR="000B718B" w:rsidRPr="00AD2EED">
        <w:rPr>
          <w:rFonts w:asciiTheme="majorHAnsi" w:hAnsiTheme="majorHAnsi" w:cstheme="majorHAnsi"/>
          <w:b/>
          <w:bCs/>
          <w:sz w:val="28"/>
          <w:szCs w:val="28"/>
        </w:rPr>
        <w:tab/>
      </w:r>
      <w:r w:rsidR="00952FA3" w:rsidRPr="00AD2EED">
        <w:rPr>
          <w:rFonts w:asciiTheme="majorHAnsi" w:hAnsiTheme="majorHAnsi" w:cstheme="majorHAnsi"/>
          <w:b/>
          <w:bCs/>
          <w:sz w:val="28"/>
          <w:szCs w:val="28"/>
        </w:rPr>
        <w:t>The Commission</w:t>
      </w:r>
      <w:r w:rsidR="000D6EC4" w:rsidRPr="00AD2EED">
        <w:rPr>
          <w:rFonts w:asciiTheme="majorHAnsi" w:hAnsiTheme="majorHAnsi" w:cstheme="majorHAnsi"/>
          <w:b/>
          <w:bCs/>
          <w:sz w:val="28"/>
          <w:szCs w:val="28"/>
        </w:rPr>
        <w:t>s</w:t>
      </w:r>
      <w:r w:rsidR="00952FA3" w:rsidRPr="00AD2EED">
        <w:rPr>
          <w:rFonts w:asciiTheme="majorHAnsi" w:hAnsiTheme="majorHAnsi" w:cstheme="majorHAnsi"/>
          <w:b/>
          <w:bCs/>
          <w:sz w:val="28"/>
          <w:szCs w:val="28"/>
        </w:rPr>
        <w:t xml:space="preserve"> recommend that no provision made in or under the Bill, insofar as it extends to Northern Ireland, should be inconsistent with Protocol Article 2</w:t>
      </w:r>
      <w:r w:rsidR="008922E2" w:rsidRPr="00AD2EED">
        <w:rPr>
          <w:rFonts w:asciiTheme="majorHAnsi" w:hAnsiTheme="majorHAnsi" w:cstheme="majorHAnsi"/>
          <w:b/>
          <w:bCs/>
          <w:sz w:val="28"/>
          <w:szCs w:val="28"/>
        </w:rPr>
        <w:t>.</w:t>
      </w:r>
    </w:p>
    <w:p w14:paraId="414136E5" w14:textId="6C9C8C03" w:rsidR="000B718B" w:rsidRPr="00AD2EED" w:rsidRDefault="000B718B" w:rsidP="000B718B">
      <w:pPr>
        <w:pStyle w:val="ListParagraph"/>
        <w:rPr>
          <w:rFonts w:asciiTheme="majorHAnsi" w:hAnsiTheme="majorHAnsi" w:cstheme="majorHAnsi"/>
          <w:b/>
          <w:bCs/>
          <w:sz w:val="28"/>
          <w:szCs w:val="28"/>
        </w:rPr>
      </w:pPr>
    </w:p>
    <w:p w14:paraId="7DE3CC2D" w14:textId="2E4830AD" w:rsidR="000B718B" w:rsidRPr="00AD2EED" w:rsidRDefault="00605CB8" w:rsidP="000B718B">
      <w:pPr>
        <w:ind w:left="709" w:hanging="709"/>
        <w:rPr>
          <w:rFonts w:asciiTheme="majorHAnsi" w:hAnsiTheme="majorHAnsi" w:cstheme="majorHAnsi"/>
          <w:sz w:val="28"/>
          <w:szCs w:val="28"/>
        </w:rPr>
      </w:pPr>
      <w:r w:rsidRPr="00AD2EED">
        <w:rPr>
          <w:rFonts w:asciiTheme="majorHAnsi" w:hAnsiTheme="majorHAnsi" w:cstheme="majorHAnsi"/>
          <w:b/>
          <w:bCs/>
          <w:sz w:val="28"/>
          <w:szCs w:val="28"/>
        </w:rPr>
        <w:t>6</w:t>
      </w:r>
      <w:r w:rsidR="000B718B" w:rsidRPr="00AD2EED">
        <w:rPr>
          <w:rFonts w:asciiTheme="majorHAnsi" w:hAnsiTheme="majorHAnsi" w:cstheme="majorHAnsi"/>
          <w:b/>
          <w:bCs/>
          <w:sz w:val="28"/>
          <w:szCs w:val="28"/>
        </w:rPr>
        <w:t>.</w:t>
      </w:r>
      <w:r w:rsidR="00952FA3" w:rsidRPr="00AD2EED">
        <w:rPr>
          <w:rFonts w:asciiTheme="majorHAnsi" w:hAnsiTheme="majorHAnsi" w:cstheme="majorHAnsi"/>
          <w:b/>
          <w:bCs/>
          <w:sz w:val="28"/>
          <w:szCs w:val="28"/>
        </w:rPr>
        <w:t>4</w:t>
      </w:r>
      <w:r w:rsidR="000B718B" w:rsidRPr="00AD2EED">
        <w:rPr>
          <w:rFonts w:asciiTheme="majorHAnsi" w:hAnsiTheme="majorHAnsi" w:cstheme="majorHAnsi"/>
          <w:b/>
          <w:bCs/>
          <w:sz w:val="28"/>
          <w:szCs w:val="28"/>
        </w:rPr>
        <w:tab/>
      </w:r>
      <w:r w:rsidR="00952FA3" w:rsidRPr="00AD2EED">
        <w:rPr>
          <w:rFonts w:asciiTheme="majorHAnsi" w:hAnsiTheme="majorHAnsi" w:cstheme="majorHAnsi"/>
          <w:b/>
          <w:bCs/>
          <w:sz w:val="28"/>
          <w:szCs w:val="28"/>
        </w:rPr>
        <w:t>The Commission</w:t>
      </w:r>
      <w:r w:rsidR="000D6EC4" w:rsidRPr="00AD2EED">
        <w:rPr>
          <w:rFonts w:asciiTheme="majorHAnsi" w:hAnsiTheme="majorHAnsi" w:cstheme="majorHAnsi"/>
          <w:b/>
          <w:bCs/>
          <w:sz w:val="28"/>
          <w:szCs w:val="28"/>
        </w:rPr>
        <w:t>s</w:t>
      </w:r>
      <w:r w:rsidR="00952FA3" w:rsidRPr="00AD2EED">
        <w:rPr>
          <w:rFonts w:asciiTheme="majorHAnsi" w:hAnsiTheme="majorHAnsi" w:cstheme="majorHAnsi"/>
          <w:b/>
          <w:bCs/>
          <w:sz w:val="28"/>
          <w:szCs w:val="28"/>
        </w:rPr>
        <w:t xml:space="preserve"> recommend that the House of Lords </w:t>
      </w:r>
      <w:r w:rsidR="00BB3ED8">
        <w:rPr>
          <w:rFonts w:asciiTheme="majorHAnsi" w:hAnsiTheme="majorHAnsi" w:cstheme="majorHAnsi"/>
          <w:b/>
          <w:bCs/>
          <w:sz w:val="28"/>
          <w:szCs w:val="28"/>
        </w:rPr>
        <w:t>request</w:t>
      </w:r>
      <w:r w:rsidR="00DE6566">
        <w:rPr>
          <w:rFonts w:asciiTheme="majorHAnsi" w:hAnsiTheme="majorHAnsi" w:cstheme="majorHAnsi"/>
          <w:b/>
          <w:bCs/>
          <w:sz w:val="28"/>
          <w:szCs w:val="28"/>
        </w:rPr>
        <w:t xml:space="preserve"> </w:t>
      </w:r>
      <w:r w:rsidR="00952FA3" w:rsidRPr="00AD2EED">
        <w:rPr>
          <w:rFonts w:asciiTheme="majorHAnsi" w:hAnsiTheme="majorHAnsi" w:cstheme="majorHAnsi"/>
          <w:b/>
          <w:bCs/>
          <w:sz w:val="28"/>
          <w:szCs w:val="28"/>
        </w:rPr>
        <w:t xml:space="preserve">that Explanatory Notes accompanying the Nationality and Borders Bill </w:t>
      </w:r>
      <w:r w:rsidR="008922E2" w:rsidRPr="00AD2EED">
        <w:rPr>
          <w:rFonts w:asciiTheme="majorHAnsi" w:hAnsiTheme="majorHAnsi" w:cstheme="majorHAnsi"/>
          <w:b/>
          <w:bCs/>
          <w:sz w:val="28"/>
          <w:szCs w:val="28"/>
        </w:rPr>
        <w:t>indicate what consideration has been given to compliance with</w:t>
      </w:r>
      <w:r w:rsidR="00952FA3" w:rsidRPr="00AD2EED">
        <w:rPr>
          <w:rFonts w:asciiTheme="majorHAnsi" w:hAnsiTheme="majorHAnsi" w:cstheme="majorHAnsi"/>
          <w:b/>
          <w:bCs/>
          <w:sz w:val="28"/>
          <w:szCs w:val="28"/>
        </w:rPr>
        <w:t xml:space="preserve"> Protocol Article 2 and provisions which engage it</w:t>
      </w:r>
      <w:r w:rsidR="000B718B" w:rsidRPr="00AD2EED">
        <w:rPr>
          <w:rFonts w:asciiTheme="majorHAnsi" w:hAnsiTheme="majorHAnsi" w:cstheme="majorHAnsi"/>
          <w:b/>
          <w:bCs/>
          <w:sz w:val="28"/>
          <w:szCs w:val="28"/>
        </w:rPr>
        <w:t>.</w:t>
      </w:r>
    </w:p>
    <w:p w14:paraId="09B2FE71" w14:textId="3A531B1A" w:rsidR="000B718B" w:rsidRPr="00AD2EED" w:rsidRDefault="000B718B" w:rsidP="000B718B">
      <w:pPr>
        <w:rPr>
          <w:rFonts w:asciiTheme="majorHAnsi" w:hAnsiTheme="majorHAnsi" w:cstheme="majorHAnsi"/>
          <w:sz w:val="28"/>
          <w:szCs w:val="28"/>
        </w:rPr>
      </w:pPr>
    </w:p>
    <w:p w14:paraId="218A3FCD" w14:textId="2512CD1A" w:rsidR="000B718B" w:rsidRPr="00AD2EED" w:rsidRDefault="000B718B" w:rsidP="00331C61">
      <w:pPr>
        <w:pStyle w:val="Default"/>
        <w:spacing w:line="288" w:lineRule="auto"/>
        <w:rPr>
          <w:rFonts w:asciiTheme="majorHAnsi" w:hAnsiTheme="majorHAnsi" w:cstheme="majorHAnsi"/>
          <w:b/>
          <w:color w:val="232120"/>
          <w:sz w:val="28"/>
          <w:szCs w:val="28"/>
        </w:rPr>
      </w:pPr>
    </w:p>
    <w:p w14:paraId="32369807" w14:textId="77777777" w:rsidR="00605CB8" w:rsidRPr="00AD2EED" w:rsidRDefault="00605CB8">
      <w:pPr>
        <w:rPr>
          <w:rFonts w:asciiTheme="majorHAnsi" w:eastAsiaTheme="majorEastAsia" w:hAnsiTheme="majorHAnsi" w:cstheme="majorHAnsi"/>
          <w:b/>
          <w:color w:val="77328A"/>
          <w:sz w:val="28"/>
          <w:szCs w:val="28"/>
        </w:rPr>
      </w:pPr>
      <w:r w:rsidRPr="00AD2EED">
        <w:rPr>
          <w:rFonts w:asciiTheme="majorHAnsi" w:hAnsiTheme="majorHAnsi" w:cstheme="majorHAnsi"/>
          <w:sz w:val="28"/>
          <w:szCs w:val="28"/>
        </w:rPr>
        <w:br w:type="page"/>
      </w:r>
    </w:p>
    <w:p w14:paraId="6D5C1818" w14:textId="16A0CF1F" w:rsidR="00202A5B" w:rsidRPr="00AD2EED" w:rsidRDefault="00ED40E9" w:rsidP="000B718B">
      <w:pPr>
        <w:pStyle w:val="Heading1"/>
        <w:ind w:left="426" w:hanging="426"/>
        <w:rPr>
          <w:rFonts w:asciiTheme="majorHAnsi" w:hAnsiTheme="majorHAnsi" w:cstheme="majorHAnsi"/>
          <w:szCs w:val="40"/>
        </w:rPr>
      </w:pPr>
      <w:bookmarkStart w:id="1" w:name="_Toc94079995"/>
      <w:r w:rsidRPr="00AD2EED">
        <w:rPr>
          <w:rFonts w:asciiTheme="majorHAnsi" w:hAnsiTheme="majorHAnsi" w:cstheme="majorHAnsi"/>
          <w:szCs w:val="40"/>
        </w:rPr>
        <w:t>Introduction</w:t>
      </w:r>
      <w:bookmarkEnd w:id="1"/>
    </w:p>
    <w:p w14:paraId="01153A72" w14:textId="77777777" w:rsidR="00202A5B" w:rsidRPr="00AD2EED" w:rsidRDefault="00202A5B" w:rsidP="00202A5B">
      <w:pPr>
        <w:pStyle w:val="BasicParagraph"/>
        <w:suppressAutoHyphens/>
        <w:ind w:left="720"/>
        <w:rPr>
          <w:rFonts w:asciiTheme="majorHAnsi" w:hAnsiTheme="majorHAnsi" w:cstheme="majorHAnsi"/>
          <w:color w:val="77328A"/>
          <w:sz w:val="28"/>
          <w:szCs w:val="28"/>
        </w:rPr>
      </w:pPr>
    </w:p>
    <w:p w14:paraId="0A537D07" w14:textId="2300C959" w:rsidR="00202A5B" w:rsidRPr="00AD2EED" w:rsidRDefault="00202A5B" w:rsidP="00D9053C">
      <w:pPr>
        <w:pStyle w:val="BasicParagraph"/>
        <w:numPr>
          <w:ilvl w:val="1"/>
          <w:numId w:val="9"/>
        </w:numPr>
        <w:suppressAutoHyphens/>
        <w:ind w:left="709"/>
        <w:rPr>
          <w:rFonts w:asciiTheme="majorHAnsi" w:hAnsiTheme="majorHAnsi" w:cstheme="majorHAnsi"/>
          <w:sz w:val="28"/>
          <w:szCs w:val="28"/>
        </w:rPr>
      </w:pPr>
      <w:r w:rsidRPr="00AD2EED">
        <w:rPr>
          <w:rFonts w:asciiTheme="majorHAnsi" w:hAnsiTheme="majorHAnsi" w:cstheme="majorHAnsi"/>
          <w:sz w:val="28"/>
          <w:szCs w:val="28"/>
        </w:rPr>
        <w:t xml:space="preserve">The Northern Ireland Human Rights Commission (the </w:t>
      </w:r>
      <w:r w:rsidR="00D270F2" w:rsidRPr="00AD2EED">
        <w:rPr>
          <w:rFonts w:asciiTheme="majorHAnsi" w:hAnsiTheme="majorHAnsi" w:cstheme="majorHAnsi"/>
          <w:sz w:val="28"/>
          <w:szCs w:val="28"/>
        </w:rPr>
        <w:t>NIHRC</w:t>
      </w:r>
      <w:r w:rsidRPr="00AD2EED">
        <w:rPr>
          <w:rFonts w:asciiTheme="majorHAnsi" w:hAnsiTheme="majorHAnsi" w:cstheme="majorHAnsi"/>
          <w:sz w:val="28"/>
          <w:szCs w:val="28"/>
        </w:rPr>
        <w:t xml:space="preserve">) pursuant to Section 69(1) of the Northern Ireland Act 1998, reviews the adequacy and effectiveness of law and practice relating to the protection of human rights in Northern Ireland (NI). </w:t>
      </w:r>
      <w:r w:rsidR="00D270F2" w:rsidRPr="00AD2EED">
        <w:rPr>
          <w:rFonts w:asciiTheme="majorHAnsi" w:hAnsiTheme="majorHAnsi" w:cstheme="majorHAnsi"/>
          <w:sz w:val="28"/>
          <w:szCs w:val="28"/>
        </w:rPr>
        <w:t>The</w:t>
      </w:r>
      <w:r w:rsidRPr="00AD2EED">
        <w:rPr>
          <w:rFonts w:asciiTheme="majorHAnsi" w:hAnsiTheme="majorHAnsi" w:cstheme="majorHAnsi"/>
          <w:sz w:val="28"/>
          <w:szCs w:val="28"/>
        </w:rPr>
        <w:t xml:space="preserve"> </w:t>
      </w:r>
      <w:r w:rsidR="00D270F2" w:rsidRPr="00AD2EED">
        <w:rPr>
          <w:rFonts w:asciiTheme="majorHAnsi" w:hAnsiTheme="majorHAnsi" w:cstheme="majorHAnsi"/>
          <w:sz w:val="28"/>
          <w:szCs w:val="28"/>
        </w:rPr>
        <w:t>NIHRC</w:t>
      </w:r>
      <w:r w:rsidRPr="00AD2EED">
        <w:rPr>
          <w:rFonts w:asciiTheme="majorHAnsi" w:hAnsiTheme="majorHAnsi" w:cstheme="majorHAnsi"/>
          <w:sz w:val="28"/>
          <w:szCs w:val="28"/>
        </w:rPr>
        <w:t xml:space="preserve">, </w:t>
      </w:r>
      <w:r w:rsidR="00D270F2" w:rsidRPr="00AD2EED">
        <w:rPr>
          <w:rFonts w:asciiTheme="majorHAnsi" w:hAnsiTheme="majorHAnsi" w:cstheme="majorHAnsi"/>
          <w:sz w:val="28"/>
          <w:szCs w:val="28"/>
        </w:rPr>
        <w:t xml:space="preserve">in partnership with the Equality Commission of Northern Ireland (ECNI), </w:t>
      </w:r>
      <w:r w:rsidRPr="00AD2EED">
        <w:rPr>
          <w:rFonts w:asciiTheme="majorHAnsi" w:hAnsiTheme="majorHAnsi" w:cstheme="majorHAnsi"/>
          <w:sz w:val="28"/>
          <w:szCs w:val="28"/>
        </w:rPr>
        <w:t xml:space="preserve">pursuant to section 78A(1) </w:t>
      </w:r>
      <w:r w:rsidR="00D270F2" w:rsidRPr="00AD2EED">
        <w:rPr>
          <w:rFonts w:asciiTheme="majorHAnsi" w:hAnsiTheme="majorHAnsi" w:cstheme="majorHAnsi"/>
          <w:sz w:val="28"/>
          <w:szCs w:val="28"/>
        </w:rPr>
        <w:t xml:space="preserve">and 79B(1) </w:t>
      </w:r>
      <w:r w:rsidRPr="00AD2EED">
        <w:rPr>
          <w:rFonts w:asciiTheme="majorHAnsi" w:hAnsiTheme="majorHAnsi" w:cstheme="majorHAnsi"/>
          <w:sz w:val="28"/>
          <w:szCs w:val="28"/>
        </w:rPr>
        <w:t xml:space="preserve">of the Northern Ireland Act 1998, monitors the implementation of Article 2(1) of the Protocol on Ireland/Northern Ireland (Protocol Article 2) in the EU Withdrawal Agreement. </w:t>
      </w:r>
    </w:p>
    <w:p w14:paraId="385F6BA9" w14:textId="77777777" w:rsidR="00D9053C" w:rsidRPr="00AD2EED" w:rsidRDefault="00D9053C" w:rsidP="00292922">
      <w:pPr>
        <w:pStyle w:val="BasicParagraph"/>
        <w:suppressAutoHyphens/>
        <w:ind w:left="709"/>
        <w:rPr>
          <w:rFonts w:asciiTheme="majorHAnsi" w:hAnsiTheme="majorHAnsi" w:cstheme="majorHAnsi"/>
          <w:sz w:val="28"/>
          <w:szCs w:val="28"/>
        </w:rPr>
      </w:pPr>
    </w:p>
    <w:p w14:paraId="3FF01D1B" w14:textId="3AD5E422" w:rsidR="00202A5B" w:rsidRPr="00AD2EED" w:rsidRDefault="00202A5B" w:rsidP="00202A5B">
      <w:pPr>
        <w:pStyle w:val="BasicParagraph"/>
        <w:numPr>
          <w:ilvl w:val="1"/>
          <w:numId w:val="9"/>
        </w:numPr>
        <w:suppressAutoHyphens/>
        <w:ind w:left="709"/>
        <w:rPr>
          <w:rFonts w:asciiTheme="majorHAnsi" w:hAnsiTheme="majorHAnsi" w:cstheme="majorHAnsi"/>
          <w:color w:val="77328A"/>
          <w:sz w:val="28"/>
          <w:szCs w:val="28"/>
        </w:rPr>
      </w:pPr>
      <w:r w:rsidRPr="00AD2EED">
        <w:rPr>
          <w:rFonts w:asciiTheme="majorHAnsi" w:hAnsiTheme="majorHAnsi" w:cstheme="majorHAnsi"/>
          <w:sz w:val="28"/>
          <w:szCs w:val="28"/>
        </w:rPr>
        <w:t xml:space="preserve">The </w:t>
      </w:r>
      <w:r w:rsidR="00D270F2" w:rsidRPr="00AD2EED">
        <w:rPr>
          <w:rFonts w:asciiTheme="majorHAnsi" w:hAnsiTheme="majorHAnsi" w:cstheme="majorHAnsi"/>
          <w:sz w:val="28"/>
          <w:szCs w:val="28"/>
        </w:rPr>
        <w:t xml:space="preserve">NIHRC </w:t>
      </w:r>
      <w:r w:rsidR="00D9053C" w:rsidRPr="00AD2EED">
        <w:rPr>
          <w:rFonts w:asciiTheme="majorHAnsi" w:hAnsiTheme="majorHAnsi" w:cstheme="majorHAnsi"/>
          <w:sz w:val="28"/>
          <w:szCs w:val="28"/>
        </w:rPr>
        <w:t xml:space="preserve">has </w:t>
      </w:r>
      <w:r w:rsidRPr="00AD2EED">
        <w:rPr>
          <w:rFonts w:asciiTheme="majorHAnsi" w:hAnsiTheme="majorHAnsi" w:cstheme="majorHAnsi"/>
          <w:sz w:val="28"/>
          <w:szCs w:val="28"/>
        </w:rPr>
        <w:t xml:space="preserve">responded to the </w:t>
      </w:r>
      <w:r w:rsidR="008A18B5" w:rsidRPr="00AD2EED">
        <w:rPr>
          <w:rFonts w:asciiTheme="majorHAnsi" w:hAnsiTheme="majorHAnsi" w:cstheme="majorHAnsi"/>
          <w:sz w:val="28"/>
          <w:szCs w:val="28"/>
        </w:rPr>
        <w:t xml:space="preserve">call for evidence by the </w:t>
      </w:r>
      <w:r w:rsidRPr="00AD2EED">
        <w:rPr>
          <w:rFonts w:asciiTheme="majorHAnsi" w:hAnsiTheme="majorHAnsi" w:cstheme="majorHAnsi"/>
          <w:sz w:val="28"/>
          <w:szCs w:val="28"/>
        </w:rPr>
        <w:t>Joint Committee on Human Rights</w:t>
      </w:r>
      <w:r w:rsidR="00D9053C" w:rsidRPr="00AD2EED">
        <w:rPr>
          <w:rFonts w:asciiTheme="majorHAnsi" w:hAnsiTheme="majorHAnsi" w:cstheme="majorHAnsi"/>
          <w:sz w:val="28"/>
          <w:szCs w:val="28"/>
        </w:rPr>
        <w:t xml:space="preserve"> (the JCHR)</w:t>
      </w:r>
      <w:r w:rsidR="008A18B5" w:rsidRPr="00AD2EED">
        <w:rPr>
          <w:rFonts w:asciiTheme="majorHAnsi" w:hAnsiTheme="majorHAnsi" w:cstheme="majorHAnsi"/>
          <w:sz w:val="28"/>
          <w:szCs w:val="28"/>
        </w:rPr>
        <w:t>,</w:t>
      </w:r>
      <w:r w:rsidRPr="00AD2EED">
        <w:rPr>
          <w:rFonts w:asciiTheme="majorHAnsi" w:hAnsiTheme="majorHAnsi" w:cstheme="majorHAnsi"/>
          <w:sz w:val="28"/>
          <w:szCs w:val="28"/>
        </w:rPr>
        <w:t xml:space="preserve"> </w:t>
      </w:r>
      <w:r w:rsidR="008A18B5" w:rsidRPr="00AD2EED">
        <w:rPr>
          <w:rFonts w:asciiTheme="majorHAnsi" w:hAnsiTheme="majorHAnsi" w:cstheme="majorHAnsi"/>
          <w:sz w:val="28"/>
          <w:szCs w:val="28"/>
        </w:rPr>
        <w:t xml:space="preserve">by submission which </w:t>
      </w:r>
      <w:r w:rsidRPr="00AD2EED">
        <w:rPr>
          <w:rFonts w:asciiTheme="majorHAnsi" w:hAnsiTheme="majorHAnsi" w:cstheme="majorHAnsi"/>
          <w:sz w:val="28"/>
          <w:szCs w:val="28"/>
        </w:rPr>
        <w:t>identif</w:t>
      </w:r>
      <w:r w:rsidR="008A18B5" w:rsidRPr="00AD2EED">
        <w:rPr>
          <w:rFonts w:asciiTheme="majorHAnsi" w:hAnsiTheme="majorHAnsi" w:cstheme="majorHAnsi"/>
          <w:sz w:val="28"/>
          <w:szCs w:val="28"/>
        </w:rPr>
        <w:t>ied</w:t>
      </w:r>
      <w:r w:rsidRPr="00AD2EED">
        <w:rPr>
          <w:rFonts w:asciiTheme="majorHAnsi" w:hAnsiTheme="majorHAnsi" w:cstheme="majorHAnsi"/>
          <w:sz w:val="28"/>
          <w:szCs w:val="28"/>
        </w:rPr>
        <w:t xml:space="preserve"> </w:t>
      </w:r>
      <w:r w:rsidR="008A18B5" w:rsidRPr="00AD2EED">
        <w:rPr>
          <w:rFonts w:asciiTheme="majorHAnsi" w:hAnsiTheme="majorHAnsi" w:cstheme="majorHAnsi"/>
          <w:sz w:val="28"/>
          <w:szCs w:val="28"/>
        </w:rPr>
        <w:t xml:space="preserve">a number </w:t>
      </w:r>
      <w:r w:rsidRPr="00AD2EED">
        <w:rPr>
          <w:rFonts w:asciiTheme="majorHAnsi" w:hAnsiTheme="majorHAnsi" w:cstheme="majorHAnsi"/>
          <w:sz w:val="28"/>
          <w:szCs w:val="28"/>
        </w:rPr>
        <w:t xml:space="preserve">of concerns </w:t>
      </w:r>
      <w:r w:rsidR="008A18B5" w:rsidRPr="00AD2EED">
        <w:rPr>
          <w:rFonts w:asciiTheme="majorHAnsi" w:hAnsiTheme="majorHAnsi" w:cstheme="majorHAnsi"/>
          <w:sz w:val="28"/>
          <w:szCs w:val="28"/>
        </w:rPr>
        <w:t xml:space="preserve">about the provisions of </w:t>
      </w:r>
      <w:r w:rsidRPr="00AD2EED">
        <w:rPr>
          <w:rFonts w:asciiTheme="majorHAnsi" w:hAnsiTheme="majorHAnsi" w:cstheme="majorHAnsi"/>
          <w:sz w:val="28"/>
          <w:szCs w:val="28"/>
        </w:rPr>
        <w:t>the Bill.</w:t>
      </w:r>
      <w:r w:rsidRPr="00AD2EED">
        <w:rPr>
          <w:rStyle w:val="FootnoteReference"/>
          <w:rFonts w:asciiTheme="majorHAnsi" w:hAnsiTheme="majorHAnsi" w:cstheme="majorHAnsi"/>
          <w:sz w:val="28"/>
          <w:szCs w:val="28"/>
        </w:rPr>
        <w:footnoteReference w:id="2"/>
      </w:r>
      <w:r w:rsidRPr="00AD2EED">
        <w:rPr>
          <w:rFonts w:asciiTheme="majorHAnsi" w:hAnsiTheme="majorHAnsi" w:cstheme="majorHAnsi"/>
          <w:sz w:val="28"/>
          <w:szCs w:val="28"/>
        </w:rPr>
        <w:t xml:space="preserve"> </w:t>
      </w:r>
      <w:r w:rsidR="008A18B5" w:rsidRPr="00AD2EED">
        <w:rPr>
          <w:rFonts w:asciiTheme="majorHAnsi" w:hAnsiTheme="majorHAnsi" w:cstheme="majorHAnsi"/>
          <w:sz w:val="28"/>
          <w:szCs w:val="28"/>
        </w:rPr>
        <w:t xml:space="preserve">Those concerns extended beyond Northern Ireland. </w:t>
      </w:r>
      <w:r w:rsidR="004936B1" w:rsidRPr="00AD2EED">
        <w:rPr>
          <w:rFonts w:asciiTheme="majorHAnsi" w:hAnsiTheme="majorHAnsi" w:cstheme="majorHAnsi"/>
          <w:sz w:val="28"/>
          <w:szCs w:val="28"/>
        </w:rPr>
        <w:t>T</w:t>
      </w:r>
      <w:r w:rsidR="008A18B5" w:rsidRPr="00AD2EED">
        <w:rPr>
          <w:rFonts w:asciiTheme="majorHAnsi" w:hAnsiTheme="majorHAnsi" w:cstheme="majorHAnsi"/>
          <w:sz w:val="28"/>
          <w:szCs w:val="28"/>
        </w:rPr>
        <w:t xml:space="preserve">his </w:t>
      </w:r>
      <w:r w:rsidRPr="00AD2EED">
        <w:rPr>
          <w:rFonts w:asciiTheme="majorHAnsi" w:hAnsiTheme="majorHAnsi" w:cstheme="majorHAnsi"/>
          <w:sz w:val="28"/>
          <w:szCs w:val="28"/>
        </w:rPr>
        <w:t>briefing</w:t>
      </w:r>
      <w:r w:rsidR="008A18B5" w:rsidRPr="00AD2EED">
        <w:rPr>
          <w:rFonts w:asciiTheme="majorHAnsi" w:hAnsiTheme="majorHAnsi" w:cstheme="majorHAnsi"/>
          <w:sz w:val="28"/>
          <w:szCs w:val="28"/>
        </w:rPr>
        <w:t xml:space="preserve"> </w:t>
      </w:r>
      <w:r w:rsidRPr="00AD2EED">
        <w:rPr>
          <w:rFonts w:asciiTheme="majorHAnsi" w:hAnsiTheme="majorHAnsi" w:cstheme="majorHAnsi"/>
          <w:sz w:val="28"/>
          <w:szCs w:val="28"/>
        </w:rPr>
        <w:t xml:space="preserve">focuses on </w:t>
      </w:r>
      <w:r w:rsidR="008A18B5" w:rsidRPr="00AD2EED">
        <w:rPr>
          <w:rFonts w:asciiTheme="majorHAnsi" w:hAnsiTheme="majorHAnsi" w:cstheme="majorHAnsi"/>
          <w:sz w:val="28"/>
          <w:szCs w:val="28"/>
        </w:rPr>
        <w:t xml:space="preserve">those issues that affect </w:t>
      </w:r>
      <w:r w:rsidRPr="00AD2EED">
        <w:rPr>
          <w:rFonts w:asciiTheme="majorHAnsi" w:hAnsiTheme="majorHAnsi" w:cstheme="majorHAnsi"/>
          <w:sz w:val="28"/>
          <w:szCs w:val="28"/>
        </w:rPr>
        <w:t>Northern Ireland</w:t>
      </w:r>
      <w:r w:rsidR="008A18B5" w:rsidRPr="00AD2EED">
        <w:rPr>
          <w:rFonts w:asciiTheme="majorHAnsi" w:hAnsiTheme="majorHAnsi" w:cstheme="majorHAnsi"/>
          <w:sz w:val="28"/>
          <w:szCs w:val="28"/>
        </w:rPr>
        <w:t xml:space="preserve"> </w:t>
      </w:r>
      <w:r w:rsidRPr="00AD2EED">
        <w:rPr>
          <w:rFonts w:asciiTheme="majorHAnsi" w:hAnsiTheme="majorHAnsi" w:cstheme="majorHAnsi"/>
          <w:sz w:val="28"/>
          <w:szCs w:val="28"/>
        </w:rPr>
        <w:t>specific</w:t>
      </w:r>
      <w:r w:rsidR="008A18B5" w:rsidRPr="00AD2EED">
        <w:rPr>
          <w:rFonts w:asciiTheme="majorHAnsi" w:hAnsiTheme="majorHAnsi" w:cstheme="majorHAnsi"/>
          <w:sz w:val="28"/>
          <w:szCs w:val="28"/>
        </w:rPr>
        <w:t>ally.</w:t>
      </w:r>
      <w:r w:rsidR="00D9053C" w:rsidRPr="00AD2EED">
        <w:rPr>
          <w:rFonts w:asciiTheme="majorHAnsi" w:hAnsiTheme="majorHAnsi" w:cstheme="majorHAnsi"/>
          <w:sz w:val="28"/>
          <w:szCs w:val="28"/>
        </w:rPr>
        <w:t xml:space="preserve"> </w:t>
      </w:r>
      <w:r w:rsidR="00025A92" w:rsidRPr="00AD2EED">
        <w:rPr>
          <w:rFonts w:asciiTheme="majorHAnsi" w:hAnsiTheme="majorHAnsi" w:cstheme="majorHAnsi"/>
          <w:sz w:val="28"/>
          <w:szCs w:val="28"/>
        </w:rPr>
        <w:t>This submission is made jointly between the NIHRC and ECNI (the Commissions), with some recommendations being made specifically by NIHRC in line with the Commissions’ respective remits.</w:t>
      </w:r>
    </w:p>
    <w:p w14:paraId="79996B0C" w14:textId="77777777" w:rsidR="00202A5B" w:rsidRPr="00AD2EED" w:rsidRDefault="00202A5B" w:rsidP="00202A5B">
      <w:pPr>
        <w:pStyle w:val="ListParagraph"/>
        <w:rPr>
          <w:rFonts w:asciiTheme="majorHAnsi" w:hAnsiTheme="majorHAnsi" w:cstheme="majorHAnsi"/>
          <w:color w:val="77328A"/>
          <w:sz w:val="28"/>
          <w:szCs w:val="28"/>
        </w:rPr>
      </w:pPr>
    </w:p>
    <w:p w14:paraId="0DACAE30" w14:textId="77777777" w:rsidR="00202A5B" w:rsidRPr="00AD2EED" w:rsidRDefault="00202A5B" w:rsidP="00202A5B">
      <w:pPr>
        <w:pStyle w:val="Heading1"/>
        <w:numPr>
          <w:ilvl w:val="0"/>
          <w:numId w:val="9"/>
        </w:numPr>
        <w:rPr>
          <w:rFonts w:asciiTheme="majorHAnsi" w:hAnsiTheme="majorHAnsi" w:cstheme="majorHAnsi"/>
          <w:szCs w:val="40"/>
        </w:rPr>
      </w:pPr>
      <w:bookmarkStart w:id="2" w:name="_Toc94079996"/>
      <w:r w:rsidRPr="00AD2EED">
        <w:rPr>
          <w:rFonts w:asciiTheme="majorHAnsi" w:hAnsiTheme="majorHAnsi" w:cstheme="majorHAnsi"/>
          <w:szCs w:val="40"/>
        </w:rPr>
        <w:t>Protocol Article 2</w:t>
      </w:r>
      <w:bookmarkEnd w:id="2"/>
    </w:p>
    <w:p w14:paraId="34A3209C" w14:textId="77777777" w:rsidR="00202A5B" w:rsidRPr="00AD2EED" w:rsidRDefault="00202A5B" w:rsidP="00202A5B">
      <w:pPr>
        <w:rPr>
          <w:rFonts w:asciiTheme="majorHAnsi" w:hAnsiTheme="majorHAnsi" w:cstheme="majorHAnsi"/>
          <w:sz w:val="28"/>
          <w:szCs w:val="28"/>
        </w:rPr>
      </w:pPr>
    </w:p>
    <w:p w14:paraId="7126CAD9" w14:textId="33645EA9" w:rsidR="00202A5B" w:rsidRPr="00AD2EED" w:rsidRDefault="00202A5B" w:rsidP="00202A5B">
      <w:pPr>
        <w:pStyle w:val="ListParagraph"/>
        <w:numPr>
          <w:ilvl w:val="1"/>
          <w:numId w:val="9"/>
        </w:numPr>
        <w:ind w:left="709"/>
        <w:rPr>
          <w:rFonts w:asciiTheme="majorHAnsi" w:hAnsiTheme="majorHAnsi" w:cstheme="majorHAnsi"/>
          <w:sz w:val="28"/>
          <w:szCs w:val="28"/>
        </w:rPr>
      </w:pPr>
      <w:r w:rsidRPr="00AD2EED">
        <w:rPr>
          <w:rFonts w:asciiTheme="majorHAnsi" w:hAnsiTheme="majorHAnsi" w:cstheme="majorHAnsi"/>
          <w:sz w:val="28"/>
          <w:szCs w:val="28"/>
        </w:rPr>
        <w:t>Protocol Article 2(1) states:</w:t>
      </w:r>
    </w:p>
    <w:p w14:paraId="7840E04A" w14:textId="77777777" w:rsidR="00202A5B" w:rsidRPr="00AD2EED" w:rsidRDefault="00202A5B" w:rsidP="00202A5B">
      <w:pPr>
        <w:pStyle w:val="ListParagraph"/>
        <w:ind w:left="709"/>
        <w:rPr>
          <w:rFonts w:asciiTheme="majorHAnsi" w:hAnsiTheme="majorHAnsi" w:cstheme="majorHAnsi"/>
          <w:sz w:val="28"/>
          <w:szCs w:val="28"/>
        </w:rPr>
      </w:pPr>
    </w:p>
    <w:p w14:paraId="6BE961A7" w14:textId="703B7EDF" w:rsidR="00202A5B" w:rsidRPr="00AD2EED" w:rsidRDefault="009F2D36" w:rsidP="00292922">
      <w:pPr>
        <w:ind w:left="709"/>
        <w:rPr>
          <w:rFonts w:asciiTheme="majorHAnsi" w:hAnsiTheme="majorHAnsi" w:cstheme="majorHAnsi"/>
          <w:sz w:val="28"/>
          <w:szCs w:val="28"/>
        </w:rPr>
      </w:pPr>
      <w:r w:rsidRPr="00AD2EED">
        <w:rPr>
          <w:rFonts w:asciiTheme="majorHAnsi" w:hAnsiTheme="majorHAnsi" w:cstheme="majorHAnsi"/>
          <w:sz w:val="28"/>
          <w:szCs w:val="28"/>
        </w:rPr>
        <w:t>“</w:t>
      </w:r>
      <w:r w:rsidR="00202A5B" w:rsidRPr="00AD2EED">
        <w:rPr>
          <w:rFonts w:asciiTheme="majorHAnsi" w:hAnsiTheme="majorHAnsi" w:cstheme="majorHAnsi"/>
          <w:sz w:val="28"/>
          <w:szCs w:val="28"/>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r w:rsidRPr="00AD2EED">
        <w:rPr>
          <w:rFonts w:asciiTheme="majorHAnsi" w:hAnsiTheme="majorHAnsi" w:cstheme="majorHAnsi"/>
          <w:sz w:val="28"/>
          <w:szCs w:val="28"/>
        </w:rPr>
        <w:t>”</w:t>
      </w:r>
      <w:r w:rsidR="00202A5B" w:rsidRPr="00AD2EED">
        <w:rPr>
          <w:rFonts w:asciiTheme="majorHAnsi" w:hAnsiTheme="majorHAnsi" w:cstheme="majorHAnsi"/>
          <w:sz w:val="28"/>
          <w:szCs w:val="28"/>
        </w:rPr>
        <w:t xml:space="preserve"> </w:t>
      </w:r>
    </w:p>
    <w:p w14:paraId="73543DB9" w14:textId="77777777" w:rsidR="007464D0" w:rsidRPr="00AD2EED" w:rsidRDefault="007464D0" w:rsidP="00202A5B">
      <w:pPr>
        <w:pStyle w:val="ListParagraph"/>
        <w:ind w:left="1440"/>
        <w:rPr>
          <w:rFonts w:asciiTheme="majorHAnsi" w:hAnsiTheme="majorHAnsi" w:cstheme="majorHAnsi"/>
          <w:sz w:val="28"/>
          <w:szCs w:val="28"/>
        </w:rPr>
      </w:pPr>
    </w:p>
    <w:p w14:paraId="01D0DE5E" w14:textId="34A78A4F" w:rsidR="007464D0" w:rsidRPr="00AD2EED" w:rsidRDefault="009F2D36" w:rsidP="00292922">
      <w:pPr>
        <w:ind w:left="709" w:hanging="709"/>
        <w:rPr>
          <w:rFonts w:asciiTheme="majorHAnsi" w:hAnsiTheme="majorHAnsi" w:cstheme="majorHAnsi"/>
          <w:sz w:val="28"/>
          <w:szCs w:val="28"/>
        </w:rPr>
      </w:pPr>
      <w:r w:rsidRPr="00AD2EED">
        <w:rPr>
          <w:rFonts w:asciiTheme="majorHAnsi" w:hAnsiTheme="majorHAnsi" w:cstheme="majorHAnsi"/>
          <w:sz w:val="28"/>
          <w:szCs w:val="28"/>
        </w:rPr>
        <w:t>2.2</w:t>
      </w:r>
      <w:r w:rsidRPr="00AD2EED">
        <w:rPr>
          <w:rFonts w:asciiTheme="majorHAnsi" w:hAnsiTheme="majorHAnsi" w:cstheme="majorHAnsi"/>
          <w:sz w:val="28"/>
          <w:szCs w:val="28"/>
        </w:rPr>
        <w:tab/>
        <w:t>Protocol Article 2 means that t</w:t>
      </w:r>
      <w:r w:rsidR="007464D0" w:rsidRPr="00AD2EED">
        <w:rPr>
          <w:rFonts w:asciiTheme="majorHAnsi" w:hAnsiTheme="majorHAnsi" w:cstheme="majorHAnsi"/>
          <w:sz w:val="28"/>
          <w:szCs w:val="28"/>
        </w:rPr>
        <w:t xml:space="preserve">he UK Government </w:t>
      </w:r>
      <w:r w:rsidRPr="00AD2EED">
        <w:rPr>
          <w:rFonts w:asciiTheme="majorHAnsi" w:hAnsiTheme="majorHAnsi" w:cstheme="majorHAnsi"/>
          <w:sz w:val="28"/>
          <w:szCs w:val="28"/>
        </w:rPr>
        <w:t xml:space="preserve">must </w:t>
      </w:r>
      <w:r w:rsidR="007464D0" w:rsidRPr="00AD2EED">
        <w:rPr>
          <w:rFonts w:asciiTheme="majorHAnsi" w:hAnsiTheme="majorHAnsi" w:cstheme="majorHAnsi"/>
          <w:sz w:val="28"/>
          <w:szCs w:val="28"/>
        </w:rPr>
        <w:t xml:space="preserve">ensure </w:t>
      </w:r>
      <w:r w:rsidRPr="00AD2EED">
        <w:rPr>
          <w:rFonts w:asciiTheme="majorHAnsi" w:hAnsiTheme="majorHAnsi" w:cstheme="majorHAnsi"/>
          <w:sz w:val="28"/>
          <w:szCs w:val="28"/>
        </w:rPr>
        <w:t xml:space="preserve">there is </w:t>
      </w:r>
      <w:r w:rsidR="007464D0" w:rsidRPr="00AD2EED">
        <w:rPr>
          <w:rFonts w:asciiTheme="majorHAnsi" w:hAnsiTheme="majorHAnsi" w:cstheme="majorHAnsi"/>
          <w:sz w:val="28"/>
          <w:szCs w:val="28"/>
        </w:rPr>
        <w:t xml:space="preserve">no diminution of rights, safeguards and equality of opportunity, as set out in </w:t>
      </w:r>
      <w:r w:rsidR="004936B1" w:rsidRPr="00AD2EED">
        <w:rPr>
          <w:rFonts w:asciiTheme="majorHAnsi" w:hAnsiTheme="majorHAnsi" w:cstheme="majorHAnsi"/>
          <w:sz w:val="28"/>
          <w:szCs w:val="28"/>
        </w:rPr>
        <w:t xml:space="preserve">the relevant chapter of </w:t>
      </w:r>
      <w:r w:rsidR="007464D0" w:rsidRPr="00AD2EED">
        <w:rPr>
          <w:rFonts w:asciiTheme="majorHAnsi" w:hAnsiTheme="majorHAnsi" w:cstheme="majorHAnsi"/>
          <w:sz w:val="28"/>
          <w:szCs w:val="28"/>
        </w:rPr>
        <w:t xml:space="preserve">the Belfast (Good Friday) Agreement 1998, </w:t>
      </w:r>
      <w:r w:rsidRPr="00AD2EED">
        <w:rPr>
          <w:rFonts w:asciiTheme="majorHAnsi" w:hAnsiTheme="majorHAnsi" w:cstheme="majorHAnsi"/>
          <w:sz w:val="28"/>
          <w:szCs w:val="28"/>
        </w:rPr>
        <w:t xml:space="preserve">resulting </w:t>
      </w:r>
      <w:r w:rsidR="007464D0" w:rsidRPr="00AD2EED">
        <w:rPr>
          <w:rFonts w:asciiTheme="majorHAnsi" w:hAnsiTheme="majorHAnsi" w:cstheme="majorHAnsi"/>
          <w:sz w:val="28"/>
          <w:szCs w:val="28"/>
        </w:rPr>
        <w:t>from the UK’s withdrawal from the EU. Th</w:t>
      </w:r>
      <w:r w:rsidR="000446DE" w:rsidRPr="00AD2EED">
        <w:rPr>
          <w:rFonts w:asciiTheme="majorHAnsi" w:hAnsiTheme="majorHAnsi" w:cstheme="majorHAnsi"/>
          <w:sz w:val="28"/>
          <w:szCs w:val="28"/>
        </w:rPr>
        <w:t>at</w:t>
      </w:r>
      <w:r w:rsidR="007464D0" w:rsidRPr="00AD2EED">
        <w:rPr>
          <w:rFonts w:asciiTheme="majorHAnsi" w:hAnsiTheme="majorHAnsi" w:cstheme="majorHAnsi"/>
          <w:sz w:val="28"/>
          <w:szCs w:val="28"/>
        </w:rPr>
        <w:t xml:space="preserve"> is a non-exhaustive list of rights, which includes the right of victims to remember</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as well as to contribute to</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a changed society.</w:t>
      </w:r>
      <w:r w:rsidR="007464D0" w:rsidRPr="00AD2EED">
        <w:rPr>
          <w:rStyle w:val="FootnoteReference"/>
          <w:rFonts w:asciiTheme="majorHAnsi" w:hAnsiTheme="majorHAnsi" w:cstheme="majorHAnsi"/>
          <w:sz w:val="28"/>
          <w:szCs w:val="28"/>
        </w:rPr>
        <w:footnoteReference w:id="3"/>
      </w:r>
    </w:p>
    <w:p w14:paraId="44EF6EE0" w14:textId="77777777" w:rsidR="00202A5B" w:rsidRPr="00AD2EED" w:rsidRDefault="00202A5B" w:rsidP="007464D0">
      <w:pPr>
        <w:rPr>
          <w:rFonts w:asciiTheme="majorHAnsi" w:hAnsiTheme="majorHAnsi" w:cstheme="majorHAnsi"/>
          <w:sz w:val="28"/>
          <w:szCs w:val="28"/>
        </w:rPr>
      </w:pPr>
    </w:p>
    <w:p w14:paraId="307D6018" w14:textId="08B4D128" w:rsidR="003B7D0E" w:rsidRPr="00AD2EED" w:rsidRDefault="00202A5B" w:rsidP="00292922">
      <w:pPr>
        <w:pStyle w:val="ListParagraph"/>
        <w:numPr>
          <w:ilvl w:val="1"/>
          <w:numId w:val="21"/>
        </w:numPr>
        <w:rPr>
          <w:rFonts w:asciiTheme="majorHAnsi" w:hAnsiTheme="majorHAnsi" w:cstheme="majorHAnsi"/>
          <w:sz w:val="28"/>
          <w:szCs w:val="28"/>
        </w:rPr>
      </w:pPr>
      <w:r w:rsidRPr="00AD2EED">
        <w:rPr>
          <w:rFonts w:asciiTheme="majorHAnsi" w:hAnsiTheme="majorHAnsi" w:cstheme="majorHAnsi"/>
          <w:sz w:val="28"/>
          <w:szCs w:val="28"/>
        </w:rPr>
        <w:t xml:space="preserve">Protocol Article 2 includes a commitment to </w:t>
      </w:r>
      <w:r w:rsidR="009F2D36" w:rsidRPr="00AD2EED">
        <w:rPr>
          <w:rFonts w:asciiTheme="majorHAnsi" w:hAnsiTheme="majorHAnsi" w:cstheme="majorHAnsi"/>
          <w:sz w:val="28"/>
          <w:szCs w:val="28"/>
        </w:rPr>
        <w:t>‘</w:t>
      </w:r>
      <w:r w:rsidRPr="00AD2EED">
        <w:rPr>
          <w:rFonts w:asciiTheme="majorHAnsi" w:hAnsiTheme="majorHAnsi" w:cstheme="majorHAnsi"/>
          <w:sz w:val="28"/>
          <w:szCs w:val="28"/>
        </w:rPr>
        <w:t>keep pace</w:t>
      </w:r>
      <w:r w:rsidR="009F2D36" w:rsidRPr="00AD2EED">
        <w:rPr>
          <w:rFonts w:asciiTheme="majorHAnsi" w:hAnsiTheme="majorHAnsi" w:cstheme="majorHAnsi"/>
          <w:sz w:val="28"/>
          <w:szCs w:val="28"/>
        </w:rPr>
        <w:t>’</w:t>
      </w:r>
      <w:r w:rsidRPr="00AD2EED">
        <w:rPr>
          <w:rFonts w:asciiTheme="majorHAnsi" w:hAnsiTheme="majorHAnsi" w:cstheme="majorHAnsi"/>
          <w:sz w:val="28"/>
          <w:szCs w:val="28"/>
        </w:rPr>
        <w:t xml:space="preserve"> with EU law developments </w:t>
      </w:r>
      <w:r w:rsidR="009F2D36" w:rsidRPr="00AD2EED">
        <w:rPr>
          <w:rFonts w:asciiTheme="majorHAnsi" w:hAnsiTheme="majorHAnsi" w:cstheme="majorHAnsi"/>
          <w:sz w:val="28"/>
          <w:szCs w:val="28"/>
        </w:rPr>
        <w:t xml:space="preserve">falling within the </w:t>
      </w:r>
      <w:r w:rsidRPr="00AD2EED">
        <w:rPr>
          <w:rFonts w:asciiTheme="majorHAnsi" w:hAnsiTheme="majorHAnsi" w:cstheme="majorHAnsi"/>
          <w:sz w:val="28"/>
          <w:szCs w:val="28"/>
        </w:rPr>
        <w:t xml:space="preserve">six EU Equality Directives listed in Annex 1 </w:t>
      </w:r>
      <w:r w:rsidR="000446DE" w:rsidRPr="00AD2EED">
        <w:rPr>
          <w:rFonts w:asciiTheme="majorHAnsi" w:hAnsiTheme="majorHAnsi" w:cstheme="majorHAnsi"/>
          <w:sz w:val="28"/>
          <w:szCs w:val="28"/>
        </w:rPr>
        <w:t xml:space="preserve">to </w:t>
      </w:r>
      <w:r w:rsidRPr="00AD2EED">
        <w:rPr>
          <w:rFonts w:asciiTheme="majorHAnsi" w:hAnsiTheme="majorHAnsi" w:cstheme="majorHAnsi"/>
          <w:sz w:val="28"/>
          <w:szCs w:val="28"/>
        </w:rPr>
        <w:t>the Protocol.</w:t>
      </w:r>
      <w:r w:rsidRPr="00AD2EED">
        <w:rPr>
          <w:rStyle w:val="FootnoteReference"/>
          <w:rFonts w:asciiTheme="majorHAnsi" w:hAnsiTheme="majorHAnsi" w:cstheme="majorHAnsi"/>
          <w:sz w:val="28"/>
          <w:szCs w:val="28"/>
        </w:rPr>
        <w:footnoteReference w:id="4"/>
      </w:r>
      <w:r w:rsidRPr="00AD2EED">
        <w:rPr>
          <w:rFonts w:asciiTheme="majorHAnsi" w:hAnsiTheme="majorHAnsi" w:cstheme="majorHAnsi"/>
          <w:sz w:val="28"/>
          <w:szCs w:val="28"/>
        </w:rPr>
        <w:t xml:space="preserve"> </w:t>
      </w:r>
      <w:r w:rsidR="009F2D36" w:rsidRPr="00AD2EED">
        <w:rPr>
          <w:rFonts w:asciiTheme="majorHAnsi" w:hAnsiTheme="majorHAnsi" w:cstheme="majorHAnsi"/>
          <w:sz w:val="28"/>
          <w:szCs w:val="28"/>
        </w:rPr>
        <w:t xml:space="preserve">That means that if </w:t>
      </w:r>
      <w:r w:rsidRPr="00AD2EED">
        <w:rPr>
          <w:rFonts w:asciiTheme="majorHAnsi" w:hAnsiTheme="majorHAnsi" w:cstheme="majorHAnsi"/>
          <w:sz w:val="28"/>
          <w:szCs w:val="28"/>
        </w:rPr>
        <w:t xml:space="preserve">the minimum standards in </w:t>
      </w:r>
      <w:r w:rsidR="009F2D36" w:rsidRPr="00AD2EED">
        <w:rPr>
          <w:rFonts w:asciiTheme="majorHAnsi" w:hAnsiTheme="majorHAnsi" w:cstheme="majorHAnsi"/>
          <w:sz w:val="28"/>
          <w:szCs w:val="28"/>
        </w:rPr>
        <w:t xml:space="preserve">the </w:t>
      </w:r>
      <w:r w:rsidRPr="00AD2EED">
        <w:rPr>
          <w:rFonts w:asciiTheme="majorHAnsi" w:hAnsiTheme="majorHAnsi" w:cstheme="majorHAnsi"/>
          <w:sz w:val="28"/>
          <w:szCs w:val="28"/>
        </w:rPr>
        <w:t xml:space="preserve">Annex 1 Directives </w:t>
      </w:r>
      <w:r w:rsidR="009F2D36" w:rsidRPr="00AD2EED">
        <w:rPr>
          <w:rFonts w:asciiTheme="majorHAnsi" w:hAnsiTheme="majorHAnsi" w:cstheme="majorHAnsi"/>
          <w:sz w:val="28"/>
          <w:szCs w:val="28"/>
        </w:rPr>
        <w:t xml:space="preserve">are </w:t>
      </w:r>
      <w:r w:rsidRPr="00AD2EED">
        <w:rPr>
          <w:rFonts w:asciiTheme="majorHAnsi" w:hAnsiTheme="majorHAnsi" w:cstheme="majorHAnsi"/>
          <w:sz w:val="28"/>
          <w:szCs w:val="28"/>
        </w:rPr>
        <w:t xml:space="preserve">updated or replaced, the UK Government </w:t>
      </w:r>
      <w:r w:rsidR="009F2D36" w:rsidRPr="00AD2EED">
        <w:rPr>
          <w:rFonts w:asciiTheme="majorHAnsi" w:hAnsiTheme="majorHAnsi" w:cstheme="majorHAnsi"/>
          <w:sz w:val="28"/>
          <w:szCs w:val="28"/>
        </w:rPr>
        <w:t>must</w:t>
      </w:r>
      <w:r w:rsidRPr="00AD2EED">
        <w:rPr>
          <w:rFonts w:asciiTheme="majorHAnsi" w:hAnsiTheme="majorHAnsi" w:cstheme="majorHAnsi"/>
          <w:sz w:val="28"/>
          <w:szCs w:val="28"/>
        </w:rPr>
        <w:t xml:space="preserve"> ensure that domestic legislation in N</w:t>
      </w:r>
      <w:r w:rsidR="00F14271" w:rsidRPr="00AD2EED">
        <w:rPr>
          <w:rFonts w:asciiTheme="majorHAnsi" w:hAnsiTheme="majorHAnsi" w:cstheme="majorHAnsi"/>
          <w:sz w:val="28"/>
          <w:szCs w:val="28"/>
        </w:rPr>
        <w:t xml:space="preserve">orthern </w:t>
      </w:r>
      <w:r w:rsidRPr="00AD2EED">
        <w:rPr>
          <w:rFonts w:asciiTheme="majorHAnsi" w:hAnsiTheme="majorHAnsi" w:cstheme="majorHAnsi"/>
          <w:sz w:val="28"/>
          <w:szCs w:val="28"/>
        </w:rPr>
        <w:t>I</w:t>
      </w:r>
      <w:r w:rsidR="00F14271" w:rsidRPr="00AD2EED">
        <w:rPr>
          <w:rFonts w:asciiTheme="majorHAnsi" w:hAnsiTheme="majorHAnsi" w:cstheme="majorHAnsi"/>
          <w:sz w:val="28"/>
          <w:szCs w:val="28"/>
        </w:rPr>
        <w:t>reland</w:t>
      </w:r>
      <w:r w:rsidRPr="00AD2EED">
        <w:rPr>
          <w:rFonts w:asciiTheme="majorHAnsi" w:hAnsiTheme="majorHAnsi" w:cstheme="majorHAnsi"/>
          <w:sz w:val="28"/>
          <w:szCs w:val="28"/>
        </w:rPr>
        <w:t xml:space="preserve"> reflect</w:t>
      </w:r>
      <w:r w:rsidR="000446DE" w:rsidRPr="00AD2EED">
        <w:rPr>
          <w:rFonts w:asciiTheme="majorHAnsi" w:hAnsiTheme="majorHAnsi" w:cstheme="majorHAnsi"/>
          <w:sz w:val="28"/>
          <w:szCs w:val="28"/>
        </w:rPr>
        <w:t>s</w:t>
      </w:r>
      <w:r w:rsidRPr="00AD2EED">
        <w:rPr>
          <w:rFonts w:asciiTheme="majorHAnsi" w:hAnsiTheme="majorHAnsi" w:cstheme="majorHAnsi"/>
          <w:sz w:val="28"/>
          <w:szCs w:val="28"/>
        </w:rPr>
        <w:t xml:space="preserve"> any substantive enhancements in </w:t>
      </w:r>
      <w:r w:rsidR="00F14271" w:rsidRPr="00AD2EED">
        <w:rPr>
          <w:rFonts w:asciiTheme="majorHAnsi" w:hAnsiTheme="majorHAnsi" w:cstheme="majorHAnsi"/>
          <w:sz w:val="28"/>
          <w:szCs w:val="28"/>
        </w:rPr>
        <w:t xml:space="preserve">relevant </w:t>
      </w:r>
      <w:r w:rsidRPr="00AD2EED">
        <w:rPr>
          <w:rFonts w:asciiTheme="majorHAnsi" w:hAnsiTheme="majorHAnsi" w:cstheme="majorHAnsi"/>
          <w:sz w:val="28"/>
          <w:szCs w:val="28"/>
        </w:rPr>
        <w:t>protections.</w:t>
      </w:r>
      <w:r w:rsidRPr="00AD2EED">
        <w:rPr>
          <w:rStyle w:val="FootnoteReference"/>
          <w:rFonts w:asciiTheme="majorHAnsi" w:hAnsiTheme="majorHAnsi" w:cstheme="majorHAnsi"/>
          <w:sz w:val="28"/>
          <w:szCs w:val="28"/>
        </w:rPr>
        <w:footnoteReference w:id="5"/>
      </w:r>
    </w:p>
    <w:p w14:paraId="54DC4598" w14:textId="77777777" w:rsidR="007464D0" w:rsidRPr="00AD2EED" w:rsidRDefault="007464D0" w:rsidP="007464D0">
      <w:pPr>
        <w:pStyle w:val="ListParagraph"/>
        <w:ind w:left="709"/>
        <w:rPr>
          <w:rFonts w:asciiTheme="majorHAnsi" w:hAnsiTheme="majorHAnsi" w:cstheme="majorHAnsi"/>
          <w:sz w:val="28"/>
          <w:szCs w:val="28"/>
        </w:rPr>
      </w:pPr>
    </w:p>
    <w:p w14:paraId="2166BFFF" w14:textId="3A9DB110" w:rsidR="007464D0" w:rsidRPr="00AD2EED" w:rsidRDefault="00F14271" w:rsidP="00292922">
      <w:pPr>
        <w:pStyle w:val="ListParagraph"/>
        <w:numPr>
          <w:ilvl w:val="1"/>
          <w:numId w:val="21"/>
        </w:numPr>
        <w:ind w:left="709"/>
        <w:rPr>
          <w:rFonts w:asciiTheme="majorHAnsi" w:hAnsiTheme="majorHAnsi" w:cstheme="majorHAnsi"/>
          <w:sz w:val="28"/>
          <w:szCs w:val="28"/>
        </w:rPr>
      </w:pPr>
      <w:r w:rsidRPr="00AD2EED">
        <w:rPr>
          <w:rFonts w:asciiTheme="majorHAnsi" w:hAnsiTheme="majorHAnsi" w:cstheme="majorHAnsi"/>
          <w:sz w:val="28"/>
          <w:szCs w:val="28"/>
        </w:rPr>
        <w:t>In addition to the six Directives</w:t>
      </w:r>
      <w:r w:rsidR="007464D0" w:rsidRPr="00AD2EED">
        <w:rPr>
          <w:rFonts w:asciiTheme="majorHAnsi" w:hAnsiTheme="majorHAnsi" w:cstheme="majorHAnsi"/>
          <w:sz w:val="28"/>
          <w:szCs w:val="28"/>
        </w:rPr>
        <w:t xml:space="preserve">, there </w:t>
      </w:r>
      <w:r w:rsidRPr="00AD2EED">
        <w:rPr>
          <w:rFonts w:asciiTheme="majorHAnsi" w:hAnsiTheme="majorHAnsi" w:cstheme="majorHAnsi"/>
          <w:sz w:val="28"/>
          <w:szCs w:val="28"/>
        </w:rPr>
        <w:t xml:space="preserve">is </w:t>
      </w:r>
      <w:r w:rsidR="007464D0" w:rsidRPr="00AD2EED">
        <w:rPr>
          <w:rFonts w:asciiTheme="majorHAnsi" w:hAnsiTheme="majorHAnsi" w:cstheme="majorHAnsi"/>
          <w:sz w:val="28"/>
          <w:szCs w:val="28"/>
        </w:rPr>
        <w:t xml:space="preserve">other </w:t>
      </w:r>
      <w:r w:rsidR="000446DE" w:rsidRPr="00AD2EED">
        <w:rPr>
          <w:rFonts w:asciiTheme="majorHAnsi" w:hAnsiTheme="majorHAnsi" w:cstheme="majorHAnsi"/>
          <w:sz w:val="28"/>
          <w:szCs w:val="28"/>
        </w:rPr>
        <w:t xml:space="preserve">relevant </w:t>
      </w:r>
      <w:r w:rsidR="007464D0" w:rsidRPr="00AD2EED">
        <w:rPr>
          <w:rFonts w:asciiTheme="majorHAnsi" w:hAnsiTheme="majorHAnsi" w:cstheme="majorHAnsi"/>
          <w:sz w:val="28"/>
          <w:szCs w:val="28"/>
        </w:rPr>
        <w:t xml:space="preserve">EU law </w:t>
      </w:r>
      <w:r w:rsidR="000446DE" w:rsidRPr="00AD2EED">
        <w:rPr>
          <w:rFonts w:asciiTheme="majorHAnsi" w:hAnsiTheme="majorHAnsi" w:cstheme="majorHAnsi"/>
          <w:sz w:val="28"/>
          <w:szCs w:val="28"/>
        </w:rPr>
        <w:t xml:space="preserve">that </w:t>
      </w:r>
      <w:r w:rsidR="007464D0" w:rsidRPr="00AD2EED">
        <w:rPr>
          <w:rFonts w:asciiTheme="majorHAnsi" w:hAnsiTheme="majorHAnsi" w:cstheme="majorHAnsi"/>
          <w:sz w:val="28"/>
          <w:szCs w:val="28"/>
        </w:rPr>
        <w:t>underpin</w:t>
      </w:r>
      <w:r w:rsidR="00A35EDD" w:rsidRPr="00AD2EED">
        <w:rPr>
          <w:rFonts w:asciiTheme="majorHAnsi" w:hAnsiTheme="majorHAnsi" w:cstheme="majorHAnsi"/>
          <w:sz w:val="28"/>
          <w:szCs w:val="28"/>
        </w:rPr>
        <w:t>s rights set out in the relevant chapter of the Belfast (Good Friday) Agreement</w:t>
      </w:r>
      <w:r w:rsidR="007464D0" w:rsidRPr="00AD2EED">
        <w:rPr>
          <w:rFonts w:asciiTheme="majorHAnsi" w:hAnsiTheme="majorHAnsi" w:cstheme="majorHAnsi"/>
          <w:sz w:val="28"/>
          <w:szCs w:val="28"/>
        </w:rPr>
        <w:t>. The UK Government has identified that these include, but are not limited to, the Victims’ Directive</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the Parental Leave Directive</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and the Pregnant Workers</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Directive. </w:t>
      </w:r>
      <w:r w:rsidRPr="00AD2EED">
        <w:rPr>
          <w:rFonts w:asciiTheme="majorHAnsi" w:hAnsiTheme="majorHAnsi" w:cstheme="majorHAnsi"/>
          <w:sz w:val="28"/>
          <w:szCs w:val="28"/>
        </w:rPr>
        <w:t xml:space="preserve">The </w:t>
      </w:r>
      <w:r w:rsidR="007464D0" w:rsidRPr="00AD2EED">
        <w:rPr>
          <w:rFonts w:asciiTheme="majorHAnsi" w:hAnsiTheme="majorHAnsi" w:cstheme="majorHAnsi"/>
          <w:sz w:val="28"/>
          <w:szCs w:val="28"/>
        </w:rPr>
        <w:t>UK Government has committed to ensuring that there will be no diminution of protections as were contained in relevant EU law on 31 December 2020.</w:t>
      </w:r>
      <w:r w:rsidR="007464D0" w:rsidRPr="00AD2EED">
        <w:rPr>
          <w:rStyle w:val="FootnoteReference"/>
          <w:rFonts w:asciiTheme="majorHAnsi" w:hAnsiTheme="majorHAnsi" w:cstheme="majorHAnsi"/>
          <w:sz w:val="28"/>
          <w:szCs w:val="28"/>
        </w:rPr>
        <w:footnoteReference w:id="6"/>
      </w:r>
    </w:p>
    <w:p w14:paraId="7DE06310" w14:textId="77777777" w:rsidR="007464D0" w:rsidRPr="00AD2EED" w:rsidRDefault="007464D0" w:rsidP="007464D0">
      <w:pPr>
        <w:pStyle w:val="ListParagraph"/>
        <w:rPr>
          <w:rFonts w:asciiTheme="majorHAnsi" w:hAnsiTheme="majorHAnsi" w:cstheme="majorHAnsi"/>
          <w:sz w:val="28"/>
          <w:szCs w:val="28"/>
        </w:rPr>
      </w:pPr>
    </w:p>
    <w:p w14:paraId="24455D51" w14:textId="3105B12E" w:rsidR="007464D0" w:rsidRPr="00AD2EED" w:rsidRDefault="007464D0" w:rsidP="00292922">
      <w:pPr>
        <w:pStyle w:val="ListParagraph"/>
        <w:numPr>
          <w:ilvl w:val="1"/>
          <w:numId w:val="21"/>
        </w:numPr>
        <w:ind w:left="709"/>
        <w:rPr>
          <w:rFonts w:asciiTheme="majorHAnsi" w:hAnsiTheme="majorHAnsi" w:cstheme="majorHAnsi"/>
          <w:sz w:val="28"/>
          <w:szCs w:val="28"/>
        </w:rPr>
      </w:pPr>
      <w:r w:rsidRPr="00AD2EED">
        <w:rPr>
          <w:rFonts w:asciiTheme="majorHAnsi" w:hAnsiTheme="majorHAnsi" w:cstheme="majorHAnsi"/>
          <w:color w:val="000000"/>
          <w:sz w:val="28"/>
          <w:szCs w:val="28"/>
        </w:rPr>
        <w:t>The UK has incorporated the Withdrawal Agreement, including the Protocol, into domestic law through the EU (Withdrawal Agreement) Act 2020.</w:t>
      </w:r>
      <w:r w:rsidRPr="00AD2EED">
        <w:rPr>
          <w:rStyle w:val="FootnoteReference"/>
          <w:rFonts w:asciiTheme="majorHAnsi" w:hAnsiTheme="majorHAnsi" w:cstheme="majorHAnsi"/>
          <w:color w:val="000000"/>
          <w:sz w:val="28"/>
          <w:szCs w:val="28"/>
        </w:rPr>
        <w:footnoteReference w:id="7"/>
      </w:r>
      <w:r w:rsidRPr="00AD2EED">
        <w:rPr>
          <w:rFonts w:asciiTheme="majorHAnsi" w:hAnsiTheme="majorHAnsi" w:cstheme="majorHAnsi"/>
          <w:color w:val="000000"/>
          <w:sz w:val="28"/>
          <w:szCs w:val="28"/>
        </w:rPr>
        <w:t xml:space="preserve"> Section 7A EU (Withdrawal) Act 2018 provides that all rights, obligations and remedies from Withdrawal Agreement, including Protocol Article 2, are recognised and available in domestic law. </w:t>
      </w:r>
      <w:r w:rsidRPr="00AD2EED">
        <w:rPr>
          <w:rFonts w:asciiTheme="majorHAnsi" w:hAnsiTheme="majorHAnsi" w:cstheme="majorHAnsi"/>
          <w:sz w:val="28"/>
          <w:szCs w:val="28"/>
        </w:rPr>
        <w:t>The Commission</w:t>
      </w:r>
      <w:r w:rsidR="004936B1" w:rsidRPr="00AD2EED">
        <w:rPr>
          <w:rFonts w:asciiTheme="majorHAnsi" w:hAnsiTheme="majorHAnsi" w:cstheme="majorHAnsi"/>
          <w:sz w:val="28"/>
          <w:szCs w:val="28"/>
        </w:rPr>
        <w:t>s</w:t>
      </w:r>
      <w:r w:rsidRPr="00AD2EED">
        <w:rPr>
          <w:rFonts w:asciiTheme="majorHAnsi" w:hAnsiTheme="majorHAnsi" w:cstheme="majorHAnsi"/>
          <w:sz w:val="28"/>
          <w:szCs w:val="28"/>
        </w:rPr>
        <w:t xml:space="preserve"> ha</w:t>
      </w:r>
      <w:r w:rsidR="004936B1" w:rsidRPr="00AD2EED">
        <w:rPr>
          <w:rFonts w:asciiTheme="majorHAnsi" w:hAnsiTheme="majorHAnsi" w:cstheme="majorHAnsi"/>
          <w:sz w:val="28"/>
          <w:szCs w:val="28"/>
        </w:rPr>
        <w:t>ve</w:t>
      </w:r>
      <w:r w:rsidRPr="00AD2EED">
        <w:rPr>
          <w:rFonts w:asciiTheme="majorHAnsi" w:hAnsiTheme="majorHAnsi" w:cstheme="majorHAnsi"/>
          <w:sz w:val="28"/>
          <w:szCs w:val="28"/>
        </w:rPr>
        <w:t xml:space="preserve"> been given additional powers to oversee the UK Government’s commitment under Protocol Article 2. The Commission</w:t>
      </w:r>
      <w:r w:rsidR="00D270F2" w:rsidRPr="00AD2EED">
        <w:rPr>
          <w:rFonts w:asciiTheme="majorHAnsi" w:hAnsiTheme="majorHAnsi" w:cstheme="majorHAnsi"/>
          <w:sz w:val="28"/>
          <w:szCs w:val="28"/>
        </w:rPr>
        <w:t>s</w:t>
      </w:r>
      <w:r w:rsidRPr="00AD2EED">
        <w:rPr>
          <w:rFonts w:asciiTheme="majorHAnsi" w:hAnsiTheme="majorHAnsi" w:cstheme="majorHAnsi"/>
          <w:sz w:val="28"/>
          <w:szCs w:val="28"/>
        </w:rPr>
        <w:t xml:space="preserve"> </w:t>
      </w:r>
      <w:r w:rsidR="00D270F2" w:rsidRPr="00AD2EED">
        <w:rPr>
          <w:rFonts w:asciiTheme="majorHAnsi" w:hAnsiTheme="majorHAnsi" w:cstheme="majorHAnsi"/>
          <w:sz w:val="28"/>
          <w:szCs w:val="28"/>
        </w:rPr>
        <w:t>are</w:t>
      </w:r>
      <w:r w:rsidRPr="00AD2EED">
        <w:rPr>
          <w:rFonts w:asciiTheme="majorHAnsi" w:hAnsiTheme="majorHAnsi" w:cstheme="majorHAnsi"/>
          <w:sz w:val="28"/>
          <w:szCs w:val="28"/>
        </w:rPr>
        <w:t xml:space="preserve"> responsible for providing advice to government and monitoring, supervising, enforcing and reporting on the ongoing implementation of this commitment.</w:t>
      </w:r>
      <w:r w:rsidRPr="00AD2EED">
        <w:rPr>
          <w:rStyle w:val="FootnoteReference"/>
          <w:rFonts w:asciiTheme="majorHAnsi" w:hAnsiTheme="majorHAnsi" w:cstheme="majorHAnsi"/>
          <w:sz w:val="28"/>
          <w:szCs w:val="28"/>
        </w:rPr>
        <w:footnoteReference w:id="8"/>
      </w:r>
    </w:p>
    <w:p w14:paraId="1419B3B0" w14:textId="77777777" w:rsidR="007464D0" w:rsidRPr="00AD2EED" w:rsidRDefault="007464D0" w:rsidP="00292922">
      <w:pPr>
        <w:rPr>
          <w:rFonts w:asciiTheme="majorHAnsi" w:hAnsiTheme="majorHAnsi" w:cstheme="majorHAnsi"/>
          <w:sz w:val="28"/>
          <w:szCs w:val="28"/>
        </w:rPr>
      </w:pPr>
    </w:p>
    <w:p w14:paraId="46D3E4B4" w14:textId="77777777" w:rsidR="007464D0" w:rsidRPr="00AD2EED" w:rsidRDefault="007464D0" w:rsidP="007464D0">
      <w:pPr>
        <w:pStyle w:val="ListParagraph"/>
        <w:rPr>
          <w:rFonts w:asciiTheme="majorHAnsi" w:hAnsiTheme="majorHAnsi" w:cstheme="majorHAnsi"/>
          <w:sz w:val="28"/>
          <w:szCs w:val="28"/>
        </w:rPr>
      </w:pPr>
    </w:p>
    <w:p w14:paraId="49F9A129" w14:textId="2583DD81" w:rsidR="007464D0" w:rsidRPr="00AD2EED" w:rsidRDefault="007464D0" w:rsidP="00292922">
      <w:pPr>
        <w:pStyle w:val="Heading1"/>
        <w:numPr>
          <w:ilvl w:val="0"/>
          <w:numId w:val="22"/>
        </w:numPr>
        <w:rPr>
          <w:rFonts w:asciiTheme="majorHAnsi" w:hAnsiTheme="majorHAnsi" w:cstheme="majorHAnsi"/>
          <w:szCs w:val="40"/>
        </w:rPr>
      </w:pPr>
      <w:bookmarkStart w:id="3" w:name="_Toc94079997"/>
      <w:r w:rsidRPr="00AD2EED">
        <w:rPr>
          <w:rFonts w:asciiTheme="majorHAnsi" w:hAnsiTheme="majorHAnsi" w:cstheme="majorHAnsi"/>
          <w:szCs w:val="40"/>
        </w:rPr>
        <w:t>The Trafficking Directive</w:t>
      </w:r>
      <w:bookmarkEnd w:id="3"/>
      <w:r w:rsidRPr="00AD2EED">
        <w:rPr>
          <w:rFonts w:asciiTheme="majorHAnsi" w:hAnsiTheme="majorHAnsi" w:cstheme="majorHAnsi"/>
          <w:szCs w:val="40"/>
        </w:rPr>
        <w:t xml:space="preserve"> </w:t>
      </w:r>
    </w:p>
    <w:p w14:paraId="08A87E96" w14:textId="77777777" w:rsidR="007464D0" w:rsidRPr="00AD2EED" w:rsidRDefault="007464D0" w:rsidP="007464D0">
      <w:pPr>
        <w:rPr>
          <w:rFonts w:asciiTheme="majorHAnsi" w:hAnsiTheme="majorHAnsi" w:cstheme="majorHAnsi"/>
          <w:sz w:val="28"/>
          <w:szCs w:val="28"/>
        </w:rPr>
      </w:pPr>
    </w:p>
    <w:p w14:paraId="430CE80E" w14:textId="7ED8858E" w:rsidR="007464D0" w:rsidRPr="00AD2EED" w:rsidRDefault="007464D0"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The EU Trafficking Directive </w:t>
      </w:r>
      <w:r w:rsidR="00074BB2" w:rsidRPr="00AD2EED">
        <w:rPr>
          <w:rFonts w:asciiTheme="majorHAnsi" w:hAnsiTheme="majorHAnsi" w:cstheme="majorHAnsi"/>
          <w:sz w:val="28"/>
          <w:szCs w:val="28"/>
        </w:rPr>
        <w:t xml:space="preserve">contains </w:t>
      </w:r>
      <w:r w:rsidRPr="00AD2EED">
        <w:rPr>
          <w:rFonts w:asciiTheme="majorHAnsi" w:hAnsiTheme="majorHAnsi" w:cstheme="majorHAnsi"/>
          <w:sz w:val="28"/>
          <w:szCs w:val="28"/>
        </w:rPr>
        <w:t>a number of provisions which are aimed at criminalisation of trafficking offences,</w:t>
      </w:r>
      <w:r w:rsidRPr="00AD2EED">
        <w:rPr>
          <w:rStyle w:val="FootnoteReference"/>
          <w:rFonts w:asciiTheme="majorHAnsi" w:hAnsiTheme="majorHAnsi" w:cstheme="majorHAnsi"/>
          <w:sz w:val="28"/>
          <w:szCs w:val="28"/>
        </w:rPr>
        <w:footnoteReference w:id="9"/>
      </w:r>
      <w:r w:rsidRPr="00AD2EED">
        <w:rPr>
          <w:rFonts w:asciiTheme="majorHAnsi" w:hAnsiTheme="majorHAnsi" w:cstheme="majorHAnsi"/>
          <w:sz w:val="28"/>
          <w:szCs w:val="28"/>
        </w:rPr>
        <w:t xml:space="preserve"> non-prosecution and non-application of penalties to victims,</w:t>
      </w:r>
      <w:r w:rsidRPr="00AD2EED">
        <w:rPr>
          <w:rStyle w:val="FootnoteReference"/>
          <w:rFonts w:asciiTheme="majorHAnsi" w:hAnsiTheme="majorHAnsi" w:cstheme="majorHAnsi"/>
          <w:sz w:val="28"/>
          <w:szCs w:val="28"/>
        </w:rPr>
        <w:footnoteReference w:id="10"/>
      </w:r>
      <w:r w:rsidRPr="00AD2EED">
        <w:rPr>
          <w:rFonts w:asciiTheme="majorHAnsi" w:hAnsiTheme="majorHAnsi" w:cstheme="majorHAnsi"/>
          <w:sz w:val="28"/>
          <w:szCs w:val="28"/>
        </w:rPr>
        <w:t xml:space="preserve"> investigation and prosecution of offences</w:t>
      </w:r>
      <w:r w:rsidRPr="00AD2EED">
        <w:rPr>
          <w:rStyle w:val="FootnoteReference"/>
          <w:rFonts w:asciiTheme="majorHAnsi" w:hAnsiTheme="majorHAnsi" w:cstheme="majorHAnsi"/>
          <w:sz w:val="28"/>
          <w:szCs w:val="28"/>
        </w:rPr>
        <w:footnoteReference w:id="11"/>
      </w:r>
      <w:r w:rsidRPr="00AD2EED">
        <w:rPr>
          <w:rFonts w:asciiTheme="majorHAnsi" w:hAnsiTheme="majorHAnsi" w:cstheme="majorHAnsi"/>
          <w:sz w:val="28"/>
          <w:szCs w:val="28"/>
        </w:rPr>
        <w:t xml:space="preserve"> and supporting victims, including child victims, of trafficking.</w:t>
      </w:r>
      <w:r w:rsidRPr="00AD2EED">
        <w:rPr>
          <w:rStyle w:val="FootnoteReference"/>
          <w:rFonts w:asciiTheme="majorHAnsi" w:hAnsiTheme="majorHAnsi" w:cstheme="majorHAnsi"/>
          <w:sz w:val="28"/>
          <w:szCs w:val="28"/>
        </w:rPr>
        <w:footnoteReference w:id="12"/>
      </w:r>
    </w:p>
    <w:p w14:paraId="612F3754" w14:textId="77777777" w:rsidR="007464D0" w:rsidRPr="00AD2EED" w:rsidRDefault="007464D0" w:rsidP="007464D0">
      <w:pPr>
        <w:pStyle w:val="ListParagraph"/>
        <w:ind w:left="709"/>
        <w:rPr>
          <w:rFonts w:asciiTheme="majorHAnsi" w:hAnsiTheme="majorHAnsi" w:cstheme="majorHAnsi"/>
          <w:sz w:val="28"/>
          <w:szCs w:val="28"/>
        </w:rPr>
      </w:pPr>
    </w:p>
    <w:p w14:paraId="6B6A6DFA" w14:textId="426B0961" w:rsidR="007464D0" w:rsidRPr="00AD2EED" w:rsidRDefault="007464D0"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The</w:t>
      </w:r>
      <w:r w:rsidR="007C3CE1" w:rsidRPr="00AD2EED">
        <w:rPr>
          <w:rFonts w:asciiTheme="majorHAnsi" w:hAnsiTheme="majorHAnsi" w:cstheme="majorHAnsi"/>
          <w:sz w:val="28"/>
          <w:szCs w:val="28"/>
        </w:rPr>
        <w:t xml:space="preserve"> relevant chapter</w:t>
      </w:r>
      <w:r w:rsidR="004936B1" w:rsidRPr="00AD2EED">
        <w:rPr>
          <w:rFonts w:asciiTheme="majorHAnsi" w:hAnsiTheme="majorHAnsi" w:cstheme="majorHAnsi"/>
          <w:sz w:val="28"/>
          <w:szCs w:val="28"/>
        </w:rPr>
        <w:t xml:space="preserve"> of the</w:t>
      </w:r>
      <w:r w:rsidR="007C3CE1" w:rsidRPr="00AD2EED">
        <w:rPr>
          <w:rFonts w:asciiTheme="majorHAnsi" w:hAnsiTheme="majorHAnsi" w:cstheme="majorHAnsi"/>
          <w:sz w:val="28"/>
          <w:szCs w:val="28"/>
        </w:rPr>
        <w:t xml:space="preserve"> </w:t>
      </w:r>
      <w:r w:rsidRPr="00AD2EED">
        <w:rPr>
          <w:rFonts w:asciiTheme="majorHAnsi" w:hAnsiTheme="majorHAnsi" w:cstheme="majorHAnsi"/>
          <w:sz w:val="28"/>
          <w:szCs w:val="28"/>
        </w:rPr>
        <w:t>Belfast (Good Friday) Agreement 1998 protects the rights of victims “to remember as well as to contribute to a changed society.” The UK Government has</w:t>
      </w:r>
      <w:r w:rsidR="00397DBF" w:rsidRPr="00AD2EED">
        <w:rPr>
          <w:rFonts w:asciiTheme="majorHAnsi" w:hAnsiTheme="majorHAnsi" w:cstheme="majorHAnsi"/>
          <w:sz w:val="28"/>
          <w:szCs w:val="28"/>
        </w:rPr>
        <w:t xml:space="preserve"> already accepted that </w:t>
      </w:r>
      <w:r w:rsidRPr="00AD2EED">
        <w:rPr>
          <w:rFonts w:asciiTheme="majorHAnsi" w:hAnsiTheme="majorHAnsi" w:cstheme="majorHAnsi"/>
          <w:sz w:val="28"/>
          <w:szCs w:val="28"/>
        </w:rPr>
        <w:t xml:space="preserve">the no-diminution commitment </w:t>
      </w:r>
      <w:r w:rsidR="00397DBF" w:rsidRPr="00AD2EED">
        <w:rPr>
          <w:rFonts w:asciiTheme="majorHAnsi" w:hAnsiTheme="majorHAnsi" w:cstheme="majorHAnsi"/>
          <w:sz w:val="28"/>
          <w:szCs w:val="28"/>
        </w:rPr>
        <w:t xml:space="preserve">of the Protocol </w:t>
      </w:r>
      <w:r w:rsidRPr="00AD2EED">
        <w:rPr>
          <w:rFonts w:asciiTheme="majorHAnsi" w:hAnsiTheme="majorHAnsi" w:cstheme="majorHAnsi"/>
          <w:sz w:val="28"/>
          <w:szCs w:val="28"/>
        </w:rPr>
        <w:t>includes, but is not limited to, the Victims’ Directive.</w:t>
      </w:r>
      <w:r w:rsidRPr="00AD2EED">
        <w:rPr>
          <w:rStyle w:val="FootnoteReference"/>
          <w:rFonts w:asciiTheme="majorHAnsi" w:hAnsiTheme="majorHAnsi" w:cstheme="majorHAnsi"/>
          <w:sz w:val="28"/>
          <w:szCs w:val="28"/>
        </w:rPr>
        <w:footnoteReference w:id="13"/>
      </w:r>
      <w:r w:rsidRPr="00AD2EED">
        <w:rPr>
          <w:rFonts w:asciiTheme="majorHAnsi" w:hAnsiTheme="majorHAnsi" w:cstheme="majorHAnsi"/>
          <w:sz w:val="28"/>
          <w:szCs w:val="28"/>
        </w:rPr>
        <w:t xml:space="preserve"> </w:t>
      </w:r>
      <w:r w:rsidR="008922E2" w:rsidRPr="00AD2EED">
        <w:rPr>
          <w:rFonts w:asciiTheme="majorHAnsi" w:hAnsiTheme="majorHAnsi" w:cstheme="majorHAnsi"/>
          <w:sz w:val="28"/>
          <w:szCs w:val="28"/>
        </w:rPr>
        <w:t>The Victims’ Directive is closely linked to the Trafficking</w:t>
      </w:r>
      <w:r w:rsidR="00A02794" w:rsidRPr="00AD2EED">
        <w:rPr>
          <w:rFonts w:asciiTheme="majorHAnsi" w:hAnsiTheme="majorHAnsi" w:cstheme="majorHAnsi"/>
          <w:sz w:val="28"/>
          <w:szCs w:val="28"/>
        </w:rPr>
        <w:t xml:space="preserve"> Directive in relation to specific areas of crime and protections afforded to victims.</w:t>
      </w:r>
      <w:r w:rsidR="00A02794" w:rsidRPr="00AD2EED">
        <w:rPr>
          <w:rStyle w:val="FootnoteReference"/>
          <w:rFonts w:asciiTheme="majorHAnsi" w:hAnsiTheme="majorHAnsi" w:cstheme="majorHAnsi"/>
          <w:sz w:val="28"/>
          <w:szCs w:val="28"/>
        </w:rPr>
        <w:footnoteReference w:id="14"/>
      </w:r>
      <w:r w:rsidR="00A02794" w:rsidRPr="00AD2EED">
        <w:rPr>
          <w:rFonts w:asciiTheme="majorHAnsi" w:hAnsiTheme="majorHAnsi" w:cstheme="majorHAnsi"/>
          <w:sz w:val="28"/>
          <w:szCs w:val="28"/>
        </w:rPr>
        <w:t xml:space="preserve"> </w:t>
      </w:r>
      <w:r w:rsidR="00397DBF" w:rsidRPr="00AD2EED">
        <w:rPr>
          <w:rFonts w:asciiTheme="majorHAnsi" w:hAnsiTheme="majorHAnsi" w:cstheme="majorHAnsi"/>
          <w:sz w:val="28"/>
          <w:szCs w:val="28"/>
        </w:rPr>
        <w:t>Because t</w:t>
      </w:r>
      <w:r w:rsidRPr="00AD2EED">
        <w:rPr>
          <w:rFonts w:asciiTheme="majorHAnsi" w:hAnsiTheme="majorHAnsi" w:cstheme="majorHAnsi"/>
          <w:sz w:val="28"/>
          <w:szCs w:val="28"/>
        </w:rPr>
        <w:t>he Trafficking Directive protect</w:t>
      </w:r>
      <w:r w:rsidR="00397DBF" w:rsidRPr="00AD2EED">
        <w:rPr>
          <w:rFonts w:asciiTheme="majorHAnsi" w:hAnsiTheme="majorHAnsi" w:cstheme="majorHAnsi"/>
          <w:sz w:val="28"/>
          <w:szCs w:val="28"/>
        </w:rPr>
        <w:t>s</w:t>
      </w:r>
      <w:r w:rsidRPr="00AD2EED">
        <w:rPr>
          <w:rFonts w:asciiTheme="majorHAnsi" w:hAnsiTheme="majorHAnsi" w:cstheme="majorHAnsi"/>
          <w:sz w:val="28"/>
          <w:szCs w:val="28"/>
        </w:rPr>
        <w:t xml:space="preserve"> a subset of </w:t>
      </w:r>
      <w:r w:rsidR="00397DBF" w:rsidRPr="00AD2EED">
        <w:rPr>
          <w:rFonts w:asciiTheme="majorHAnsi" w:hAnsiTheme="majorHAnsi" w:cstheme="majorHAnsi"/>
          <w:sz w:val="28"/>
          <w:szCs w:val="28"/>
        </w:rPr>
        <w:t>‘</w:t>
      </w:r>
      <w:r w:rsidRPr="00AD2EED">
        <w:rPr>
          <w:rFonts w:asciiTheme="majorHAnsi" w:hAnsiTheme="majorHAnsi" w:cstheme="majorHAnsi"/>
          <w:sz w:val="28"/>
          <w:szCs w:val="28"/>
        </w:rPr>
        <w:t>victims</w:t>
      </w:r>
      <w:r w:rsidR="00397DBF" w:rsidRPr="00AD2EED">
        <w:rPr>
          <w:rFonts w:asciiTheme="majorHAnsi" w:hAnsiTheme="majorHAnsi" w:cstheme="majorHAnsi"/>
          <w:sz w:val="28"/>
          <w:szCs w:val="28"/>
        </w:rPr>
        <w:t>’</w:t>
      </w:r>
      <w:r w:rsidRPr="00AD2EED">
        <w:rPr>
          <w:rFonts w:asciiTheme="majorHAnsi" w:hAnsiTheme="majorHAnsi" w:cstheme="majorHAnsi"/>
          <w:sz w:val="28"/>
          <w:szCs w:val="28"/>
        </w:rPr>
        <w:t xml:space="preserve"> in N</w:t>
      </w:r>
      <w:r w:rsidR="00397DBF" w:rsidRPr="00AD2EED">
        <w:rPr>
          <w:rFonts w:asciiTheme="majorHAnsi" w:hAnsiTheme="majorHAnsi" w:cstheme="majorHAnsi"/>
          <w:sz w:val="28"/>
          <w:szCs w:val="28"/>
        </w:rPr>
        <w:t xml:space="preserve">orthern </w:t>
      </w:r>
      <w:r w:rsidRPr="00AD2EED">
        <w:rPr>
          <w:rFonts w:asciiTheme="majorHAnsi" w:hAnsiTheme="majorHAnsi" w:cstheme="majorHAnsi"/>
          <w:sz w:val="28"/>
          <w:szCs w:val="28"/>
        </w:rPr>
        <w:t>I</w:t>
      </w:r>
      <w:r w:rsidR="00397DBF" w:rsidRPr="00AD2EED">
        <w:rPr>
          <w:rFonts w:asciiTheme="majorHAnsi" w:hAnsiTheme="majorHAnsi" w:cstheme="majorHAnsi"/>
          <w:sz w:val="28"/>
          <w:szCs w:val="28"/>
        </w:rPr>
        <w:t>reland,</w:t>
      </w:r>
      <w:r w:rsidRPr="00AD2EED">
        <w:rPr>
          <w:rFonts w:asciiTheme="majorHAnsi" w:hAnsiTheme="majorHAnsi" w:cstheme="majorHAnsi"/>
          <w:sz w:val="28"/>
          <w:szCs w:val="28"/>
        </w:rPr>
        <w:t xml:space="preserve"> the </w:t>
      </w:r>
      <w:r w:rsidR="00397DBF" w:rsidRPr="00AD2EED">
        <w:rPr>
          <w:rFonts w:asciiTheme="majorHAnsi" w:hAnsiTheme="majorHAnsi" w:cstheme="majorHAnsi"/>
          <w:sz w:val="28"/>
          <w:szCs w:val="28"/>
        </w:rPr>
        <w:t xml:space="preserve">Trafficking </w:t>
      </w:r>
      <w:r w:rsidRPr="00AD2EED">
        <w:rPr>
          <w:rFonts w:asciiTheme="majorHAnsi" w:hAnsiTheme="majorHAnsi" w:cstheme="majorHAnsi"/>
          <w:sz w:val="28"/>
          <w:szCs w:val="28"/>
        </w:rPr>
        <w:t xml:space="preserve">Directive </w:t>
      </w:r>
      <w:r w:rsidR="00397DBF" w:rsidRPr="00AD2EED">
        <w:rPr>
          <w:rFonts w:asciiTheme="majorHAnsi" w:hAnsiTheme="majorHAnsi" w:cstheme="majorHAnsi"/>
          <w:sz w:val="28"/>
          <w:szCs w:val="28"/>
        </w:rPr>
        <w:t xml:space="preserve">should also fall </w:t>
      </w:r>
      <w:r w:rsidRPr="00AD2EED">
        <w:rPr>
          <w:rFonts w:asciiTheme="majorHAnsi" w:hAnsiTheme="majorHAnsi" w:cstheme="majorHAnsi"/>
          <w:sz w:val="28"/>
          <w:szCs w:val="28"/>
        </w:rPr>
        <w:t>within the scope of Protocol Article 2.</w:t>
      </w:r>
    </w:p>
    <w:p w14:paraId="6D09EF34" w14:textId="77777777" w:rsidR="007464D0" w:rsidRPr="00AD2EED" w:rsidRDefault="007464D0" w:rsidP="007464D0">
      <w:pPr>
        <w:pStyle w:val="ListParagraph"/>
        <w:rPr>
          <w:rFonts w:asciiTheme="majorHAnsi" w:hAnsiTheme="majorHAnsi" w:cstheme="majorHAnsi"/>
          <w:sz w:val="28"/>
          <w:szCs w:val="28"/>
        </w:rPr>
      </w:pPr>
    </w:p>
    <w:p w14:paraId="3DB7A5F7" w14:textId="1E688A57" w:rsidR="00A451F7" w:rsidRPr="00AD2EED" w:rsidRDefault="007464D0"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Clause 67 of the Nationality and Borders Bill disapplies retained EU law deriving from the Trafficking Directive to the extent that other measures within Part 5 of the Bill are inconsistent with it. </w:t>
      </w:r>
      <w:r w:rsidR="00A6623E" w:rsidRPr="00AD2EED">
        <w:rPr>
          <w:rFonts w:asciiTheme="majorHAnsi" w:hAnsiTheme="majorHAnsi" w:cstheme="majorHAnsi"/>
          <w:sz w:val="28"/>
          <w:szCs w:val="28"/>
        </w:rPr>
        <w:t xml:space="preserve">There is confusion which requires remedy. </w:t>
      </w:r>
    </w:p>
    <w:p w14:paraId="364D1F3E" w14:textId="77777777" w:rsidR="00A451F7" w:rsidRPr="00AD2EED" w:rsidRDefault="00A451F7" w:rsidP="00292922">
      <w:pPr>
        <w:pStyle w:val="ListParagraph"/>
        <w:ind w:left="709"/>
        <w:rPr>
          <w:rFonts w:asciiTheme="majorHAnsi" w:hAnsiTheme="majorHAnsi" w:cstheme="majorHAnsi"/>
          <w:sz w:val="28"/>
          <w:szCs w:val="28"/>
        </w:rPr>
      </w:pPr>
    </w:p>
    <w:p w14:paraId="1A8E4CAB" w14:textId="72C0B03E" w:rsidR="007464D0" w:rsidRPr="00AD2EED" w:rsidRDefault="007464D0"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The Explanatory Notes </w:t>
      </w:r>
      <w:r w:rsidR="00A6623E" w:rsidRPr="00AD2EED">
        <w:rPr>
          <w:rFonts w:asciiTheme="majorHAnsi" w:hAnsiTheme="majorHAnsi" w:cstheme="majorHAnsi"/>
          <w:sz w:val="28"/>
          <w:szCs w:val="28"/>
        </w:rPr>
        <w:t>to the Bill state</w:t>
      </w:r>
      <w:r w:rsidRPr="00AD2EED">
        <w:rPr>
          <w:rFonts w:asciiTheme="majorHAnsi" w:hAnsiTheme="majorHAnsi" w:cstheme="majorHAnsi"/>
          <w:sz w:val="28"/>
          <w:szCs w:val="28"/>
        </w:rPr>
        <w:t>:</w:t>
      </w:r>
    </w:p>
    <w:p w14:paraId="60200C11" w14:textId="77777777" w:rsidR="007464D0" w:rsidRPr="00AD2EED" w:rsidRDefault="007464D0" w:rsidP="007464D0">
      <w:pPr>
        <w:pStyle w:val="ListParagraph"/>
        <w:rPr>
          <w:rFonts w:asciiTheme="majorHAnsi" w:hAnsiTheme="majorHAnsi" w:cstheme="majorHAnsi"/>
          <w:sz w:val="28"/>
          <w:szCs w:val="28"/>
        </w:rPr>
      </w:pPr>
    </w:p>
    <w:p w14:paraId="48B955DE" w14:textId="65363135" w:rsidR="00865580" w:rsidRPr="00AD2EED" w:rsidRDefault="00A6623E" w:rsidP="00292922">
      <w:pPr>
        <w:ind w:left="709"/>
        <w:rPr>
          <w:rFonts w:asciiTheme="majorHAnsi" w:hAnsiTheme="majorHAnsi" w:cstheme="majorHAnsi"/>
          <w:sz w:val="28"/>
          <w:szCs w:val="28"/>
        </w:rPr>
      </w:pPr>
      <w:r w:rsidRPr="00AD2EED">
        <w:rPr>
          <w:rFonts w:asciiTheme="majorHAnsi" w:hAnsiTheme="majorHAnsi" w:cstheme="majorHAnsi"/>
          <w:sz w:val="28"/>
          <w:szCs w:val="28"/>
        </w:rPr>
        <w:t>“</w:t>
      </w:r>
      <w:r w:rsidR="007464D0" w:rsidRPr="00AD2EED">
        <w:rPr>
          <w:rFonts w:asciiTheme="majorHAnsi" w:hAnsiTheme="majorHAnsi" w:cstheme="majorHAnsi"/>
          <w:sz w:val="28"/>
          <w:szCs w:val="28"/>
        </w:rPr>
        <w:t>Clause 67 makes provision for the disapplication of retained EU law deriving from the Trafficking Directive insofar as its continued existence would be incompatible with provision made by or under the Bill. This Clause extends UK-wide insofar as any incompatibility is between the Directive and a provision that is reserved and extends across the UK. It does not extend to Scotland, Wales or Northern Ireland insofar as any incompatibility is between the Directive and a provision that is devolved in Scotland, Wales or Northern Ireland.</w:t>
      </w:r>
      <w:r w:rsidRPr="00AD2EED">
        <w:rPr>
          <w:rFonts w:asciiTheme="majorHAnsi" w:hAnsiTheme="majorHAnsi" w:cstheme="majorHAnsi"/>
          <w:sz w:val="28"/>
          <w:szCs w:val="28"/>
        </w:rPr>
        <w:t>”</w:t>
      </w:r>
      <w:r w:rsidR="007464D0" w:rsidRPr="00AD2EED">
        <w:rPr>
          <w:rStyle w:val="FootnoteReference"/>
          <w:rFonts w:asciiTheme="majorHAnsi" w:hAnsiTheme="majorHAnsi" w:cstheme="majorHAnsi"/>
          <w:sz w:val="28"/>
          <w:szCs w:val="28"/>
        </w:rPr>
        <w:footnoteReference w:id="15"/>
      </w:r>
    </w:p>
    <w:p w14:paraId="2BC57C79" w14:textId="77777777" w:rsidR="00865580" w:rsidRPr="00AD2EED" w:rsidRDefault="00865580" w:rsidP="007464D0">
      <w:pPr>
        <w:pStyle w:val="ListParagraph"/>
        <w:rPr>
          <w:rFonts w:asciiTheme="majorHAnsi" w:hAnsiTheme="majorHAnsi" w:cstheme="majorHAnsi"/>
          <w:sz w:val="28"/>
          <w:szCs w:val="28"/>
        </w:rPr>
      </w:pPr>
    </w:p>
    <w:p w14:paraId="62A6BFD5" w14:textId="64A0B8C0" w:rsidR="007754AE" w:rsidRPr="00AD2EED" w:rsidRDefault="00865580" w:rsidP="00292922">
      <w:pPr>
        <w:ind w:left="709" w:hanging="709"/>
        <w:rPr>
          <w:rFonts w:asciiTheme="majorHAnsi" w:hAnsiTheme="majorHAnsi" w:cstheme="majorHAnsi"/>
          <w:sz w:val="28"/>
          <w:szCs w:val="28"/>
        </w:rPr>
      </w:pPr>
      <w:r w:rsidRPr="00AD2EED">
        <w:rPr>
          <w:rFonts w:asciiTheme="majorHAnsi" w:hAnsiTheme="majorHAnsi" w:cstheme="majorHAnsi"/>
          <w:sz w:val="28"/>
          <w:szCs w:val="28"/>
        </w:rPr>
        <w:t>3.5</w:t>
      </w:r>
      <w:r w:rsidRPr="00AD2EED">
        <w:rPr>
          <w:rFonts w:asciiTheme="majorHAnsi" w:hAnsiTheme="majorHAnsi" w:cstheme="majorHAnsi"/>
          <w:sz w:val="28"/>
          <w:szCs w:val="28"/>
        </w:rPr>
        <w:tab/>
      </w:r>
      <w:r w:rsidR="00A6623E" w:rsidRPr="00AD2EED">
        <w:rPr>
          <w:rFonts w:asciiTheme="majorHAnsi" w:hAnsiTheme="majorHAnsi" w:cstheme="majorHAnsi"/>
          <w:sz w:val="28"/>
          <w:szCs w:val="28"/>
        </w:rPr>
        <w:t>The Commissions</w:t>
      </w:r>
      <w:r w:rsidR="0031217F" w:rsidRPr="00AD2EED">
        <w:rPr>
          <w:rFonts w:asciiTheme="majorHAnsi" w:hAnsiTheme="majorHAnsi" w:cstheme="majorHAnsi"/>
          <w:sz w:val="28"/>
          <w:szCs w:val="28"/>
        </w:rPr>
        <w:t>’</w:t>
      </w:r>
      <w:r w:rsidR="00A6623E" w:rsidRPr="00AD2EED">
        <w:rPr>
          <w:rFonts w:asciiTheme="majorHAnsi" w:hAnsiTheme="majorHAnsi" w:cstheme="majorHAnsi"/>
          <w:sz w:val="28"/>
          <w:szCs w:val="28"/>
        </w:rPr>
        <w:t xml:space="preserve"> reading of this suggests </w:t>
      </w:r>
      <w:r w:rsidR="007464D0" w:rsidRPr="00AD2EED">
        <w:rPr>
          <w:rFonts w:asciiTheme="majorHAnsi" w:hAnsiTheme="majorHAnsi" w:cstheme="majorHAnsi"/>
          <w:sz w:val="28"/>
          <w:szCs w:val="28"/>
        </w:rPr>
        <w:t xml:space="preserve">that where a </w:t>
      </w:r>
      <w:r w:rsidR="007464D0" w:rsidRPr="00AD2EED">
        <w:rPr>
          <w:rFonts w:asciiTheme="majorHAnsi" w:hAnsiTheme="majorHAnsi" w:cstheme="majorHAnsi"/>
          <w:i/>
          <w:iCs/>
          <w:sz w:val="28"/>
          <w:szCs w:val="28"/>
        </w:rPr>
        <w:t>reserved</w:t>
      </w:r>
      <w:r w:rsidR="007464D0" w:rsidRPr="00AD2EED">
        <w:rPr>
          <w:rFonts w:asciiTheme="majorHAnsi" w:hAnsiTheme="majorHAnsi" w:cstheme="majorHAnsi"/>
          <w:sz w:val="28"/>
          <w:szCs w:val="28"/>
        </w:rPr>
        <w:t xml:space="preserve"> matter is at odds with the Trafficking Directive, Clause 67 applies, </w:t>
      </w:r>
      <w:r w:rsidR="00A6623E" w:rsidRPr="00AD2EED">
        <w:rPr>
          <w:rFonts w:asciiTheme="majorHAnsi" w:hAnsiTheme="majorHAnsi" w:cstheme="majorHAnsi"/>
          <w:sz w:val="28"/>
          <w:szCs w:val="28"/>
        </w:rPr>
        <w:t xml:space="preserve">but </w:t>
      </w:r>
      <w:r w:rsidR="007464D0" w:rsidRPr="00AD2EED">
        <w:rPr>
          <w:rFonts w:asciiTheme="majorHAnsi" w:hAnsiTheme="majorHAnsi" w:cstheme="majorHAnsi"/>
          <w:sz w:val="28"/>
          <w:szCs w:val="28"/>
        </w:rPr>
        <w:t xml:space="preserve">where a </w:t>
      </w:r>
      <w:r w:rsidR="007464D0" w:rsidRPr="00AD2EED">
        <w:rPr>
          <w:rFonts w:asciiTheme="majorHAnsi" w:hAnsiTheme="majorHAnsi" w:cstheme="majorHAnsi"/>
          <w:i/>
          <w:iCs/>
          <w:sz w:val="28"/>
          <w:szCs w:val="28"/>
        </w:rPr>
        <w:t>devolved</w:t>
      </w:r>
      <w:r w:rsidR="007464D0" w:rsidRPr="00AD2EED">
        <w:rPr>
          <w:rFonts w:asciiTheme="majorHAnsi" w:hAnsiTheme="majorHAnsi" w:cstheme="majorHAnsi"/>
          <w:sz w:val="28"/>
          <w:szCs w:val="28"/>
        </w:rPr>
        <w:t xml:space="preserve"> matter is at odds with the Directive, Clause 67 may not apply. </w:t>
      </w:r>
      <w:r w:rsidR="00A6623E" w:rsidRPr="00AD2EED">
        <w:rPr>
          <w:rFonts w:asciiTheme="majorHAnsi" w:hAnsiTheme="majorHAnsi" w:cstheme="majorHAnsi"/>
          <w:sz w:val="28"/>
          <w:szCs w:val="28"/>
        </w:rPr>
        <w:t>This</w:t>
      </w:r>
      <w:r w:rsidR="007464D0" w:rsidRPr="00AD2EED">
        <w:rPr>
          <w:rFonts w:asciiTheme="majorHAnsi" w:hAnsiTheme="majorHAnsi" w:cstheme="majorHAnsi"/>
          <w:sz w:val="28"/>
          <w:szCs w:val="28"/>
        </w:rPr>
        <w:t xml:space="preserve"> distinction </w:t>
      </w:r>
      <w:r w:rsidR="00A6623E" w:rsidRPr="00AD2EED">
        <w:rPr>
          <w:rFonts w:asciiTheme="majorHAnsi" w:hAnsiTheme="majorHAnsi" w:cstheme="majorHAnsi"/>
          <w:sz w:val="28"/>
          <w:szCs w:val="28"/>
        </w:rPr>
        <w:t xml:space="preserve">does not appear </w:t>
      </w:r>
      <w:r w:rsidR="007464D0" w:rsidRPr="00AD2EED">
        <w:rPr>
          <w:rFonts w:asciiTheme="majorHAnsi" w:hAnsiTheme="majorHAnsi" w:cstheme="majorHAnsi"/>
          <w:sz w:val="28"/>
          <w:szCs w:val="28"/>
        </w:rPr>
        <w:t>on the face of the Bill. In contradiction</w:t>
      </w:r>
      <w:r w:rsidR="00A6623E"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Annex B of the Explanatory Notes suggests that Clause 67 does </w:t>
      </w:r>
      <w:r w:rsidR="007464D0" w:rsidRPr="00AD2EED">
        <w:rPr>
          <w:rFonts w:asciiTheme="majorHAnsi" w:hAnsiTheme="majorHAnsi" w:cstheme="majorHAnsi"/>
          <w:i/>
          <w:iCs/>
          <w:sz w:val="28"/>
          <w:szCs w:val="28"/>
        </w:rPr>
        <w:t>not</w:t>
      </w:r>
      <w:r w:rsidR="007464D0" w:rsidRPr="00AD2EED">
        <w:rPr>
          <w:rFonts w:asciiTheme="majorHAnsi" w:hAnsiTheme="majorHAnsi" w:cstheme="majorHAnsi"/>
          <w:sz w:val="28"/>
          <w:szCs w:val="28"/>
        </w:rPr>
        <w:t xml:space="preserve"> extend to NI</w:t>
      </w:r>
      <w:r w:rsidR="00A6623E" w:rsidRPr="00AD2EED">
        <w:rPr>
          <w:rFonts w:asciiTheme="majorHAnsi" w:hAnsiTheme="majorHAnsi" w:cstheme="majorHAnsi"/>
          <w:sz w:val="28"/>
          <w:szCs w:val="28"/>
        </w:rPr>
        <w:t>.</w:t>
      </w:r>
      <w:r w:rsidR="007464D0" w:rsidRPr="00AD2EED">
        <w:rPr>
          <w:rStyle w:val="FootnoteReference"/>
          <w:rFonts w:asciiTheme="majorHAnsi" w:hAnsiTheme="majorHAnsi" w:cstheme="majorHAnsi"/>
          <w:sz w:val="28"/>
          <w:szCs w:val="28"/>
        </w:rPr>
        <w:footnoteReference w:id="16"/>
      </w:r>
      <w:r w:rsidR="007464D0" w:rsidRPr="00AD2EED">
        <w:rPr>
          <w:rFonts w:asciiTheme="majorHAnsi" w:hAnsiTheme="majorHAnsi" w:cstheme="majorHAnsi"/>
          <w:sz w:val="28"/>
          <w:szCs w:val="28"/>
        </w:rPr>
        <w:t xml:space="preserve"> </w:t>
      </w:r>
      <w:r w:rsidR="007754AE" w:rsidRPr="00AD2EED">
        <w:rPr>
          <w:rFonts w:asciiTheme="majorHAnsi" w:hAnsiTheme="majorHAnsi" w:cstheme="majorHAnsi"/>
          <w:sz w:val="28"/>
          <w:szCs w:val="28"/>
        </w:rPr>
        <w:t>In the Commissions</w:t>
      </w:r>
      <w:r w:rsidR="0031217F" w:rsidRPr="00AD2EED">
        <w:rPr>
          <w:rFonts w:asciiTheme="majorHAnsi" w:hAnsiTheme="majorHAnsi" w:cstheme="majorHAnsi"/>
          <w:sz w:val="28"/>
          <w:szCs w:val="28"/>
        </w:rPr>
        <w:t>’</w:t>
      </w:r>
      <w:r w:rsidR="007754AE" w:rsidRPr="00AD2EED">
        <w:rPr>
          <w:rFonts w:asciiTheme="majorHAnsi" w:hAnsiTheme="majorHAnsi" w:cstheme="majorHAnsi"/>
          <w:sz w:val="28"/>
          <w:szCs w:val="28"/>
        </w:rPr>
        <w:t xml:space="preserve"> view,</w:t>
      </w:r>
      <w:r w:rsidR="007464D0" w:rsidRPr="00AD2EED">
        <w:rPr>
          <w:rFonts w:asciiTheme="majorHAnsi" w:hAnsiTheme="majorHAnsi" w:cstheme="majorHAnsi"/>
          <w:sz w:val="28"/>
          <w:szCs w:val="28"/>
        </w:rPr>
        <w:t xml:space="preserve"> if Clause 67 </w:t>
      </w:r>
      <w:r w:rsidR="007754AE" w:rsidRPr="00AD2EED">
        <w:rPr>
          <w:rFonts w:asciiTheme="majorHAnsi" w:hAnsiTheme="majorHAnsi" w:cstheme="majorHAnsi"/>
          <w:sz w:val="28"/>
          <w:szCs w:val="28"/>
        </w:rPr>
        <w:t xml:space="preserve">does apply </w:t>
      </w:r>
      <w:r w:rsidR="007464D0" w:rsidRPr="00AD2EED">
        <w:rPr>
          <w:rFonts w:asciiTheme="majorHAnsi" w:hAnsiTheme="majorHAnsi" w:cstheme="majorHAnsi"/>
          <w:sz w:val="28"/>
          <w:szCs w:val="28"/>
        </w:rPr>
        <w:t>to NI in respect of reserved matters, provisions in this field must be compliant with Protocol Article 2</w:t>
      </w:r>
      <w:r w:rsidR="007754AE"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w:t>
      </w:r>
      <w:r w:rsidR="007754AE" w:rsidRPr="00AD2EED">
        <w:rPr>
          <w:rFonts w:asciiTheme="majorHAnsi" w:hAnsiTheme="majorHAnsi" w:cstheme="majorHAnsi"/>
          <w:sz w:val="28"/>
          <w:szCs w:val="28"/>
        </w:rPr>
        <w:t>The</w:t>
      </w:r>
      <w:r w:rsidR="007464D0" w:rsidRPr="00AD2EED">
        <w:rPr>
          <w:rFonts w:asciiTheme="majorHAnsi" w:hAnsiTheme="majorHAnsi" w:cstheme="majorHAnsi"/>
          <w:sz w:val="28"/>
          <w:szCs w:val="28"/>
        </w:rPr>
        <w:t xml:space="preserve"> accompanying guidance to the Bill does not reference Protocol Article 2 at all.</w:t>
      </w:r>
      <w:r w:rsidR="007754AE" w:rsidRPr="00AD2EED">
        <w:rPr>
          <w:rFonts w:asciiTheme="majorHAnsi" w:hAnsiTheme="majorHAnsi" w:cstheme="majorHAnsi"/>
          <w:sz w:val="28"/>
          <w:szCs w:val="28"/>
        </w:rPr>
        <w:t xml:space="preserve"> Moreover, parts of the Bill have implications for matters devolved to and legislated for already in NI, as outlined below</w:t>
      </w:r>
      <w:r w:rsidRPr="00AD2EED">
        <w:rPr>
          <w:rFonts w:asciiTheme="majorHAnsi" w:hAnsiTheme="majorHAnsi" w:cstheme="majorHAnsi"/>
          <w:sz w:val="28"/>
          <w:szCs w:val="28"/>
        </w:rPr>
        <w:t xml:space="preserve"> (paragraph 4 et seq.)</w:t>
      </w:r>
      <w:r w:rsidR="007754AE" w:rsidRPr="00AD2EED">
        <w:rPr>
          <w:rFonts w:asciiTheme="majorHAnsi" w:hAnsiTheme="majorHAnsi" w:cstheme="majorHAnsi"/>
          <w:sz w:val="28"/>
          <w:szCs w:val="28"/>
        </w:rPr>
        <w:t>.</w:t>
      </w:r>
    </w:p>
    <w:p w14:paraId="5043BACF" w14:textId="321A3781" w:rsidR="007464D0" w:rsidRPr="00AD2EED" w:rsidRDefault="007464D0" w:rsidP="00292922">
      <w:pPr>
        <w:pStyle w:val="ListParagraph"/>
        <w:ind w:left="709"/>
        <w:rPr>
          <w:rFonts w:asciiTheme="majorHAnsi" w:hAnsiTheme="majorHAnsi" w:cstheme="majorHAnsi"/>
          <w:sz w:val="28"/>
          <w:szCs w:val="28"/>
        </w:rPr>
      </w:pPr>
    </w:p>
    <w:p w14:paraId="4BD618EE" w14:textId="6A319E40" w:rsidR="007464D0" w:rsidRPr="00AD2EED" w:rsidRDefault="00C44DC2" w:rsidP="00292922">
      <w:pPr>
        <w:ind w:left="720" w:hanging="720"/>
        <w:rPr>
          <w:rFonts w:asciiTheme="majorHAnsi" w:hAnsiTheme="majorHAnsi" w:cstheme="majorHAnsi"/>
          <w:b/>
          <w:sz w:val="28"/>
          <w:szCs w:val="28"/>
        </w:rPr>
      </w:pPr>
      <w:r w:rsidRPr="00AD2EED">
        <w:rPr>
          <w:rFonts w:asciiTheme="majorHAnsi" w:hAnsiTheme="majorHAnsi" w:cstheme="majorHAnsi"/>
          <w:bCs/>
          <w:sz w:val="28"/>
          <w:szCs w:val="28"/>
        </w:rPr>
        <w:t>3.6</w:t>
      </w:r>
      <w:r w:rsidRPr="00AD2EED">
        <w:rPr>
          <w:rFonts w:asciiTheme="majorHAnsi" w:hAnsiTheme="majorHAnsi" w:cstheme="majorHAnsi"/>
          <w:bCs/>
          <w:sz w:val="28"/>
          <w:szCs w:val="28"/>
        </w:rPr>
        <w:tab/>
      </w:r>
      <w:r w:rsidR="007464D0" w:rsidRPr="00AD2EED">
        <w:rPr>
          <w:rFonts w:asciiTheme="majorHAnsi" w:hAnsiTheme="majorHAnsi" w:cstheme="majorHAnsi"/>
          <w:b/>
          <w:sz w:val="28"/>
          <w:szCs w:val="28"/>
        </w:rPr>
        <w:t>The Commission</w:t>
      </w:r>
      <w:r w:rsidR="0031217F" w:rsidRPr="00AD2EED">
        <w:rPr>
          <w:rFonts w:asciiTheme="majorHAnsi" w:hAnsiTheme="majorHAnsi" w:cstheme="majorHAnsi"/>
          <w:b/>
          <w:sz w:val="28"/>
          <w:szCs w:val="28"/>
        </w:rPr>
        <w:t>s</w:t>
      </w:r>
      <w:r w:rsidR="007464D0" w:rsidRPr="00AD2EED">
        <w:rPr>
          <w:rFonts w:asciiTheme="majorHAnsi" w:hAnsiTheme="majorHAnsi" w:cstheme="majorHAnsi"/>
          <w:b/>
          <w:sz w:val="28"/>
          <w:szCs w:val="28"/>
        </w:rPr>
        <w:t xml:space="preserve"> recommend that the House of Lords amend the Nationality and Borders Bill to remove Northern Ireland from the extent of Clause 67, to </w:t>
      </w:r>
      <w:r w:rsidR="007C3CE1" w:rsidRPr="00AD2EED">
        <w:rPr>
          <w:rFonts w:asciiTheme="majorHAnsi" w:hAnsiTheme="majorHAnsi" w:cstheme="majorHAnsi"/>
          <w:b/>
          <w:sz w:val="28"/>
          <w:szCs w:val="28"/>
        </w:rPr>
        <w:t>avoid potential breach of</w:t>
      </w:r>
      <w:r w:rsidR="007464D0" w:rsidRPr="00AD2EED">
        <w:rPr>
          <w:rFonts w:asciiTheme="majorHAnsi" w:hAnsiTheme="majorHAnsi" w:cstheme="majorHAnsi"/>
          <w:b/>
          <w:sz w:val="28"/>
          <w:szCs w:val="28"/>
        </w:rPr>
        <w:t xml:space="preserve"> the “no-diminution” commitment under Article 2 of the Ireland/Northern Ireland Protocol.</w:t>
      </w:r>
    </w:p>
    <w:p w14:paraId="14C9A78D" w14:textId="3365F583" w:rsidR="00646E92" w:rsidRPr="00AD2EED" w:rsidRDefault="00646E92" w:rsidP="00292922">
      <w:pPr>
        <w:pStyle w:val="Heading1"/>
        <w:numPr>
          <w:ilvl w:val="0"/>
          <w:numId w:val="22"/>
        </w:numPr>
        <w:rPr>
          <w:rFonts w:asciiTheme="majorHAnsi" w:hAnsiTheme="majorHAnsi" w:cstheme="majorHAnsi"/>
          <w:szCs w:val="40"/>
        </w:rPr>
      </w:pPr>
      <w:bookmarkStart w:id="4" w:name="_Toc94079998"/>
      <w:r w:rsidRPr="00AD2EED">
        <w:rPr>
          <w:rFonts w:asciiTheme="majorHAnsi" w:hAnsiTheme="majorHAnsi" w:cstheme="majorHAnsi"/>
          <w:szCs w:val="40"/>
        </w:rPr>
        <w:t>Trafficking</w:t>
      </w:r>
      <w:r w:rsidR="00A35EDD" w:rsidRPr="00AD2EED">
        <w:rPr>
          <w:rFonts w:asciiTheme="majorHAnsi" w:hAnsiTheme="majorHAnsi" w:cstheme="majorHAnsi"/>
          <w:szCs w:val="40"/>
        </w:rPr>
        <w:t xml:space="preserve"> Directive and protections available under NI legislation</w:t>
      </w:r>
      <w:bookmarkEnd w:id="4"/>
    </w:p>
    <w:p w14:paraId="599F689F" w14:textId="77777777" w:rsidR="00646E92" w:rsidRPr="00AD2EED" w:rsidRDefault="00646E92" w:rsidP="00646E92">
      <w:pPr>
        <w:rPr>
          <w:rFonts w:asciiTheme="majorHAnsi" w:hAnsiTheme="majorHAnsi" w:cstheme="majorHAnsi"/>
          <w:sz w:val="28"/>
          <w:szCs w:val="28"/>
        </w:rPr>
      </w:pPr>
    </w:p>
    <w:p w14:paraId="4F503896" w14:textId="1A7A787B"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The Nationality and Borders Bill extends to Northern Ireland with the exception of seven clauses </w:t>
      </w:r>
      <w:r w:rsidR="00865580" w:rsidRPr="00AD2EED">
        <w:rPr>
          <w:rFonts w:asciiTheme="majorHAnsi" w:hAnsiTheme="majorHAnsi" w:cstheme="majorHAnsi"/>
          <w:sz w:val="28"/>
          <w:szCs w:val="28"/>
        </w:rPr>
        <w:t xml:space="preserve">that </w:t>
      </w:r>
      <w:r w:rsidRPr="00AD2EED">
        <w:rPr>
          <w:rFonts w:asciiTheme="majorHAnsi" w:hAnsiTheme="majorHAnsi" w:cstheme="majorHAnsi"/>
          <w:sz w:val="28"/>
          <w:szCs w:val="28"/>
        </w:rPr>
        <w:t>only apply to England and Wales</w:t>
      </w:r>
      <w:r w:rsidRPr="00AD2EED">
        <w:rPr>
          <w:rStyle w:val="FootnoteReference"/>
          <w:rFonts w:asciiTheme="majorHAnsi" w:hAnsiTheme="majorHAnsi" w:cstheme="majorHAnsi"/>
          <w:sz w:val="28"/>
          <w:szCs w:val="28"/>
        </w:rPr>
        <w:footnoteReference w:id="17"/>
      </w:r>
      <w:r w:rsidRPr="00AD2EED">
        <w:rPr>
          <w:rFonts w:asciiTheme="majorHAnsi" w:hAnsiTheme="majorHAnsi" w:cstheme="majorHAnsi"/>
          <w:sz w:val="28"/>
          <w:szCs w:val="28"/>
        </w:rPr>
        <w:t>. While immigration remains a reserved matter, modern slavery and human trafficking is a devolved matter.</w:t>
      </w:r>
      <w:r w:rsidRPr="00AD2EED">
        <w:rPr>
          <w:rStyle w:val="FootnoteReference"/>
          <w:rFonts w:asciiTheme="majorHAnsi" w:hAnsiTheme="majorHAnsi" w:cstheme="majorHAnsi"/>
          <w:sz w:val="28"/>
          <w:szCs w:val="28"/>
        </w:rPr>
        <w:footnoteReference w:id="18"/>
      </w:r>
      <w:r w:rsidRPr="00AD2EED">
        <w:rPr>
          <w:rFonts w:asciiTheme="majorHAnsi" w:hAnsiTheme="majorHAnsi" w:cstheme="majorHAnsi"/>
          <w:sz w:val="28"/>
          <w:szCs w:val="28"/>
        </w:rPr>
        <w:t xml:space="preserve"> There are provisions within the Bill that diverge from the Human Trafficking and Exploitation (Criminal Justice and Support for Victims) Act (Northern Ireland) 2015, that makes provision relating to human trafficking in NI.</w:t>
      </w:r>
    </w:p>
    <w:p w14:paraId="0D7D1D6F" w14:textId="77777777" w:rsidR="00646E92" w:rsidRPr="00AD2EED" w:rsidRDefault="00646E92" w:rsidP="00646E92">
      <w:pPr>
        <w:pStyle w:val="ListParagraph"/>
        <w:ind w:left="709"/>
        <w:rPr>
          <w:rFonts w:asciiTheme="majorHAnsi" w:hAnsiTheme="majorHAnsi" w:cstheme="majorHAnsi"/>
          <w:sz w:val="28"/>
          <w:szCs w:val="28"/>
        </w:rPr>
      </w:pPr>
    </w:p>
    <w:p w14:paraId="78F363E4" w14:textId="0C90F48A"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Consequential provisions at Clause 80 of the Bill allow the Secretary of State to make regulations that amend, repeal or revoke any enactment, including Northern Ireland legislation.</w:t>
      </w:r>
      <w:r w:rsidRPr="00AD2EED">
        <w:rPr>
          <w:rStyle w:val="FootnoteReference"/>
          <w:rFonts w:asciiTheme="majorHAnsi" w:hAnsiTheme="majorHAnsi" w:cstheme="majorHAnsi"/>
          <w:sz w:val="28"/>
          <w:szCs w:val="28"/>
        </w:rPr>
        <w:footnoteReference w:id="19"/>
      </w:r>
      <w:r w:rsidRPr="00AD2EED">
        <w:rPr>
          <w:rFonts w:asciiTheme="majorHAnsi" w:hAnsiTheme="majorHAnsi" w:cstheme="majorHAnsi"/>
          <w:sz w:val="28"/>
          <w:szCs w:val="28"/>
        </w:rPr>
        <w:t xml:space="preserve"> The Explanatory Notes </w:t>
      </w:r>
      <w:r w:rsidR="00865580" w:rsidRPr="00AD2EED">
        <w:rPr>
          <w:rFonts w:asciiTheme="majorHAnsi" w:hAnsiTheme="majorHAnsi" w:cstheme="majorHAnsi"/>
          <w:sz w:val="28"/>
          <w:szCs w:val="28"/>
        </w:rPr>
        <w:t>suggest</w:t>
      </w:r>
      <w:r w:rsidRPr="00AD2EED">
        <w:rPr>
          <w:rFonts w:asciiTheme="majorHAnsi" w:hAnsiTheme="majorHAnsi" w:cstheme="majorHAnsi"/>
          <w:sz w:val="28"/>
          <w:szCs w:val="28"/>
        </w:rPr>
        <w:t xml:space="preserve"> these powers would only be </w:t>
      </w:r>
      <w:r w:rsidR="00865580" w:rsidRPr="00AD2EED">
        <w:rPr>
          <w:rFonts w:asciiTheme="majorHAnsi" w:hAnsiTheme="majorHAnsi" w:cstheme="majorHAnsi"/>
          <w:sz w:val="28"/>
          <w:szCs w:val="28"/>
        </w:rPr>
        <w:t xml:space="preserve">exercised </w:t>
      </w:r>
      <w:r w:rsidRPr="00AD2EED">
        <w:rPr>
          <w:rFonts w:asciiTheme="majorHAnsi" w:hAnsiTheme="majorHAnsi" w:cstheme="majorHAnsi"/>
          <w:sz w:val="28"/>
          <w:szCs w:val="28"/>
        </w:rPr>
        <w:t xml:space="preserve">in consequence of provisions in the Bill which are reserved matters or </w:t>
      </w:r>
      <w:r w:rsidR="00865580" w:rsidRPr="00AD2EED">
        <w:rPr>
          <w:rFonts w:asciiTheme="majorHAnsi" w:hAnsiTheme="majorHAnsi" w:cstheme="majorHAnsi"/>
          <w:sz w:val="28"/>
          <w:szCs w:val="28"/>
        </w:rPr>
        <w:t xml:space="preserve">which </w:t>
      </w:r>
      <w:r w:rsidRPr="00AD2EED">
        <w:rPr>
          <w:rFonts w:asciiTheme="majorHAnsi" w:hAnsiTheme="majorHAnsi" w:cstheme="majorHAnsi"/>
          <w:sz w:val="28"/>
          <w:szCs w:val="28"/>
        </w:rPr>
        <w:t>only extend to England and Wales.</w:t>
      </w:r>
      <w:r w:rsidRPr="00AD2EED">
        <w:rPr>
          <w:rStyle w:val="FootnoteReference"/>
          <w:rFonts w:asciiTheme="majorHAnsi" w:hAnsiTheme="majorHAnsi" w:cstheme="majorHAnsi"/>
          <w:sz w:val="28"/>
          <w:szCs w:val="28"/>
        </w:rPr>
        <w:footnoteReference w:id="20"/>
      </w:r>
      <w:r w:rsidRPr="00AD2EED">
        <w:rPr>
          <w:rFonts w:asciiTheme="majorHAnsi" w:hAnsiTheme="majorHAnsi" w:cstheme="majorHAnsi"/>
          <w:sz w:val="28"/>
          <w:szCs w:val="28"/>
        </w:rPr>
        <w:t xml:space="preserve"> The Explanatory Notes identify that “none of the provisions within the Bill involve the UK Parliament legislating on a matter that is within the legislative competence of a devolved legislature” and therefore the UK Government does not need to seek consent from devolved legislatures under the terms of the Sewel Convention.</w:t>
      </w:r>
      <w:r w:rsidRPr="00AD2EED">
        <w:rPr>
          <w:rStyle w:val="FootnoteReference"/>
          <w:rFonts w:asciiTheme="majorHAnsi" w:hAnsiTheme="majorHAnsi" w:cstheme="majorHAnsi"/>
          <w:sz w:val="28"/>
          <w:szCs w:val="28"/>
        </w:rPr>
        <w:footnoteReference w:id="21"/>
      </w:r>
      <w:r w:rsidR="00E06E71" w:rsidRPr="00AD2EED">
        <w:rPr>
          <w:rFonts w:asciiTheme="majorHAnsi" w:hAnsiTheme="majorHAnsi" w:cstheme="majorHAnsi"/>
          <w:sz w:val="28"/>
          <w:szCs w:val="28"/>
        </w:rPr>
        <w:t xml:space="preserve"> The NI Department of Justice identifies in its Modern Slavery Strategy that, while immigration and asylum are reserved matters, there may be overlap with modern slavery and human trafficking, which remains mainly devolved</w:t>
      </w:r>
      <w:r w:rsidRPr="00AD2EED">
        <w:rPr>
          <w:rFonts w:asciiTheme="majorHAnsi" w:hAnsiTheme="majorHAnsi" w:cstheme="majorHAnsi"/>
          <w:sz w:val="28"/>
          <w:szCs w:val="28"/>
        </w:rPr>
        <w:t>.</w:t>
      </w:r>
      <w:r w:rsidRPr="00AD2EED">
        <w:rPr>
          <w:rStyle w:val="FootnoteReference"/>
          <w:rFonts w:asciiTheme="majorHAnsi" w:hAnsiTheme="majorHAnsi" w:cstheme="majorHAnsi"/>
          <w:sz w:val="28"/>
          <w:szCs w:val="28"/>
        </w:rPr>
        <w:footnoteReference w:id="22"/>
      </w:r>
      <w:r w:rsidR="00E06E71" w:rsidRPr="00AD2EED">
        <w:rPr>
          <w:rFonts w:asciiTheme="majorHAnsi" w:hAnsiTheme="majorHAnsi" w:cstheme="majorHAnsi"/>
          <w:sz w:val="28"/>
          <w:szCs w:val="28"/>
        </w:rPr>
        <w:t xml:space="preserve"> As discussed below, there are clauses within the Bill extending to NI which would encroach on provisions within devolved legislation, primarily around support for victims of human trafficking.</w:t>
      </w:r>
      <w:r w:rsidR="00473BC7" w:rsidRPr="00AD2EED">
        <w:rPr>
          <w:rFonts w:asciiTheme="majorHAnsi" w:hAnsiTheme="majorHAnsi" w:cstheme="majorHAnsi"/>
          <w:sz w:val="28"/>
          <w:szCs w:val="28"/>
        </w:rPr>
        <w:t xml:space="preserve"> The Commission</w:t>
      </w:r>
      <w:r w:rsidR="0031217F" w:rsidRPr="00AD2EED">
        <w:rPr>
          <w:rFonts w:asciiTheme="majorHAnsi" w:hAnsiTheme="majorHAnsi" w:cstheme="majorHAnsi"/>
          <w:sz w:val="28"/>
          <w:szCs w:val="28"/>
        </w:rPr>
        <w:t>s</w:t>
      </w:r>
      <w:r w:rsidR="00473BC7" w:rsidRPr="00AD2EED">
        <w:rPr>
          <w:rFonts w:asciiTheme="majorHAnsi" w:hAnsiTheme="majorHAnsi" w:cstheme="majorHAnsi"/>
          <w:sz w:val="28"/>
          <w:szCs w:val="28"/>
        </w:rPr>
        <w:t xml:space="preserve"> note that it would be appropriate under the Sewel Convention to seek consent from the devolved nations where provisions relate to devolved matters.</w:t>
      </w:r>
    </w:p>
    <w:p w14:paraId="2B195012" w14:textId="77777777" w:rsidR="00E06E71" w:rsidRPr="00AD2EED" w:rsidRDefault="00E06E71" w:rsidP="000019D8">
      <w:pPr>
        <w:pStyle w:val="ListParagraph"/>
        <w:ind w:left="709"/>
        <w:rPr>
          <w:rFonts w:asciiTheme="majorHAnsi" w:hAnsiTheme="majorHAnsi" w:cstheme="majorHAnsi"/>
          <w:sz w:val="28"/>
          <w:szCs w:val="28"/>
        </w:rPr>
      </w:pPr>
    </w:p>
    <w:p w14:paraId="33B2CDFB" w14:textId="30020C34"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Clause 57 of the Bill </w:t>
      </w:r>
      <w:r w:rsidR="00C85A9E" w:rsidRPr="00AD2EED">
        <w:rPr>
          <w:rFonts w:asciiTheme="majorHAnsi" w:hAnsiTheme="majorHAnsi" w:cstheme="majorHAnsi"/>
          <w:sz w:val="28"/>
          <w:szCs w:val="28"/>
        </w:rPr>
        <w:t>provides power for</w:t>
      </w:r>
      <w:r w:rsidRPr="00AD2EED">
        <w:rPr>
          <w:rFonts w:asciiTheme="majorHAnsi" w:hAnsiTheme="majorHAnsi" w:cstheme="majorHAnsi"/>
          <w:sz w:val="28"/>
          <w:szCs w:val="28"/>
        </w:rPr>
        <w:t xml:space="preserve"> the Secretary of State to require information through Trafficking Information Notices. Clause 58(2) requires that late compliance with </w:t>
      </w:r>
      <w:r w:rsidR="00C85A9E" w:rsidRPr="00AD2EED">
        <w:rPr>
          <w:rFonts w:asciiTheme="majorHAnsi" w:hAnsiTheme="majorHAnsi" w:cstheme="majorHAnsi"/>
          <w:sz w:val="28"/>
          <w:szCs w:val="28"/>
        </w:rPr>
        <w:t xml:space="preserve">such </w:t>
      </w:r>
      <w:r w:rsidRPr="00AD2EED">
        <w:rPr>
          <w:rFonts w:asciiTheme="majorHAnsi" w:hAnsiTheme="majorHAnsi" w:cstheme="majorHAnsi"/>
          <w:sz w:val="28"/>
          <w:szCs w:val="28"/>
        </w:rPr>
        <w:t xml:space="preserve">a notice, without good reason, must be considered as </w:t>
      </w:r>
      <w:r w:rsidR="00C85A9E" w:rsidRPr="00AD2EED">
        <w:rPr>
          <w:rFonts w:asciiTheme="majorHAnsi" w:hAnsiTheme="majorHAnsi" w:cstheme="majorHAnsi"/>
          <w:sz w:val="28"/>
          <w:szCs w:val="28"/>
        </w:rPr>
        <w:t xml:space="preserve">a factor </w:t>
      </w:r>
      <w:r w:rsidRPr="00AD2EED">
        <w:rPr>
          <w:rFonts w:asciiTheme="majorHAnsi" w:hAnsiTheme="majorHAnsi" w:cstheme="majorHAnsi"/>
          <w:sz w:val="28"/>
          <w:szCs w:val="28"/>
        </w:rPr>
        <w:t xml:space="preserve">damaging a person’s credibility. </w:t>
      </w:r>
      <w:r w:rsidR="00C85A9E" w:rsidRPr="00AD2EED">
        <w:rPr>
          <w:rFonts w:asciiTheme="majorHAnsi" w:hAnsiTheme="majorHAnsi" w:cstheme="majorHAnsi"/>
          <w:sz w:val="28"/>
          <w:szCs w:val="28"/>
        </w:rPr>
        <w:t>The Commission</w:t>
      </w:r>
      <w:r w:rsidR="0031217F" w:rsidRPr="00AD2EED">
        <w:rPr>
          <w:rFonts w:asciiTheme="majorHAnsi" w:hAnsiTheme="majorHAnsi" w:cstheme="majorHAnsi"/>
          <w:sz w:val="28"/>
          <w:szCs w:val="28"/>
        </w:rPr>
        <w:t>s</w:t>
      </w:r>
      <w:r w:rsidR="00C85A9E" w:rsidRPr="00AD2EED">
        <w:rPr>
          <w:rFonts w:asciiTheme="majorHAnsi" w:hAnsiTheme="majorHAnsi" w:cstheme="majorHAnsi"/>
          <w:sz w:val="28"/>
          <w:szCs w:val="28"/>
        </w:rPr>
        <w:t xml:space="preserve"> believe this fails to </w:t>
      </w:r>
      <w:r w:rsidRPr="00AD2EED">
        <w:rPr>
          <w:rFonts w:asciiTheme="majorHAnsi" w:hAnsiTheme="majorHAnsi" w:cstheme="majorHAnsi"/>
          <w:sz w:val="28"/>
          <w:szCs w:val="28"/>
        </w:rPr>
        <w:t>recognise the impact of trauma experienced by a victim. Victims can be affected by memory loss, which can lead to difficulty recalling their experiences</w:t>
      </w:r>
      <w:r w:rsidR="00C85A9E" w:rsidRPr="00AD2EED">
        <w:rPr>
          <w:rFonts w:asciiTheme="majorHAnsi" w:hAnsiTheme="majorHAnsi" w:cstheme="majorHAnsi"/>
          <w:sz w:val="28"/>
          <w:szCs w:val="28"/>
        </w:rPr>
        <w:t xml:space="preserve">. It </w:t>
      </w:r>
      <w:r w:rsidRPr="00AD2EED">
        <w:rPr>
          <w:rFonts w:asciiTheme="majorHAnsi" w:hAnsiTheme="majorHAnsi" w:cstheme="majorHAnsi"/>
          <w:sz w:val="28"/>
          <w:szCs w:val="28"/>
        </w:rPr>
        <w:t>can often take a considerable amount of time before a victim is ready to disclose what happened to them</w:t>
      </w:r>
      <w:r w:rsidR="00C85A9E" w:rsidRPr="00AD2EED">
        <w:rPr>
          <w:rFonts w:asciiTheme="majorHAnsi" w:hAnsiTheme="majorHAnsi" w:cstheme="majorHAnsi"/>
          <w:sz w:val="28"/>
          <w:szCs w:val="28"/>
        </w:rPr>
        <w:t xml:space="preserve"> and there may be </w:t>
      </w:r>
      <w:r w:rsidRPr="00AD2EED">
        <w:rPr>
          <w:rFonts w:asciiTheme="majorHAnsi" w:hAnsiTheme="majorHAnsi" w:cstheme="majorHAnsi"/>
          <w:sz w:val="28"/>
          <w:szCs w:val="28"/>
        </w:rPr>
        <w:t>communicative</w:t>
      </w:r>
      <w:r w:rsidR="00C85A9E" w:rsidRPr="00AD2EED">
        <w:rPr>
          <w:rFonts w:asciiTheme="majorHAnsi" w:hAnsiTheme="majorHAnsi" w:cstheme="majorHAnsi"/>
          <w:sz w:val="28"/>
          <w:szCs w:val="28"/>
        </w:rPr>
        <w:t>/language</w:t>
      </w:r>
      <w:r w:rsidRPr="00AD2EED">
        <w:rPr>
          <w:rFonts w:asciiTheme="majorHAnsi" w:hAnsiTheme="majorHAnsi" w:cstheme="majorHAnsi"/>
          <w:sz w:val="28"/>
          <w:szCs w:val="28"/>
        </w:rPr>
        <w:t xml:space="preserve"> barriers</w:t>
      </w:r>
      <w:r w:rsidR="00C85A9E" w:rsidRPr="00AD2EED">
        <w:rPr>
          <w:rFonts w:asciiTheme="majorHAnsi" w:hAnsiTheme="majorHAnsi" w:cstheme="majorHAnsi"/>
          <w:sz w:val="28"/>
          <w:szCs w:val="28"/>
        </w:rPr>
        <w:t>.</w:t>
      </w:r>
      <w:r w:rsidRPr="00AD2EED">
        <w:rPr>
          <w:rStyle w:val="FootnoteReference"/>
          <w:rFonts w:asciiTheme="majorHAnsi" w:hAnsiTheme="majorHAnsi" w:cstheme="majorHAnsi"/>
          <w:sz w:val="28"/>
          <w:szCs w:val="28"/>
        </w:rPr>
        <w:footnoteReference w:id="23"/>
      </w:r>
      <w:r w:rsidRPr="00AD2EED">
        <w:rPr>
          <w:rFonts w:asciiTheme="majorHAnsi" w:hAnsiTheme="majorHAnsi" w:cstheme="majorHAnsi"/>
          <w:sz w:val="28"/>
          <w:szCs w:val="28"/>
        </w:rPr>
        <w:t xml:space="preserve"> </w:t>
      </w:r>
    </w:p>
    <w:p w14:paraId="5EE3CBB6" w14:textId="77777777" w:rsidR="00646E92" w:rsidRPr="00AD2EED" w:rsidRDefault="00646E92" w:rsidP="00646E92">
      <w:pPr>
        <w:pStyle w:val="ListParagraph"/>
        <w:ind w:left="709"/>
        <w:rPr>
          <w:rFonts w:asciiTheme="majorHAnsi" w:hAnsiTheme="majorHAnsi" w:cstheme="majorHAnsi"/>
          <w:sz w:val="28"/>
          <w:szCs w:val="28"/>
        </w:rPr>
      </w:pPr>
    </w:p>
    <w:p w14:paraId="0F7DCB3D" w14:textId="599AF7F6"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Th</w:t>
      </w:r>
      <w:r w:rsidR="00C85A9E" w:rsidRPr="00AD2EED">
        <w:rPr>
          <w:rFonts w:asciiTheme="majorHAnsi" w:hAnsiTheme="majorHAnsi" w:cstheme="majorHAnsi"/>
          <w:sz w:val="28"/>
          <w:szCs w:val="28"/>
        </w:rPr>
        <w:t>is</w:t>
      </w:r>
      <w:r w:rsidRPr="00AD2EED">
        <w:rPr>
          <w:rFonts w:asciiTheme="majorHAnsi" w:hAnsiTheme="majorHAnsi" w:cstheme="majorHAnsi"/>
          <w:sz w:val="28"/>
          <w:szCs w:val="28"/>
        </w:rPr>
        <w:t xml:space="preserve"> mandatory consideration </w:t>
      </w:r>
      <w:r w:rsidR="00C85A9E" w:rsidRPr="00AD2EED">
        <w:rPr>
          <w:rFonts w:asciiTheme="majorHAnsi" w:hAnsiTheme="majorHAnsi" w:cstheme="majorHAnsi"/>
          <w:sz w:val="28"/>
          <w:szCs w:val="28"/>
        </w:rPr>
        <w:t xml:space="preserve">relating to </w:t>
      </w:r>
      <w:r w:rsidRPr="00AD2EED">
        <w:rPr>
          <w:rFonts w:asciiTheme="majorHAnsi" w:hAnsiTheme="majorHAnsi" w:cstheme="majorHAnsi"/>
          <w:sz w:val="28"/>
          <w:szCs w:val="28"/>
        </w:rPr>
        <w:t xml:space="preserve">credibility </w:t>
      </w:r>
      <w:r w:rsidR="00C85A9E" w:rsidRPr="00AD2EED">
        <w:rPr>
          <w:rFonts w:asciiTheme="majorHAnsi" w:hAnsiTheme="majorHAnsi" w:cstheme="majorHAnsi"/>
          <w:sz w:val="28"/>
          <w:szCs w:val="28"/>
        </w:rPr>
        <w:t xml:space="preserve">has </w:t>
      </w:r>
      <w:r w:rsidR="00373C73" w:rsidRPr="00AD2EED">
        <w:rPr>
          <w:rFonts w:asciiTheme="majorHAnsi" w:hAnsiTheme="majorHAnsi" w:cstheme="majorHAnsi"/>
          <w:sz w:val="28"/>
          <w:szCs w:val="28"/>
        </w:rPr>
        <w:t xml:space="preserve">the </w:t>
      </w:r>
      <w:r w:rsidR="00C85A9E" w:rsidRPr="00AD2EED">
        <w:rPr>
          <w:rFonts w:asciiTheme="majorHAnsi" w:hAnsiTheme="majorHAnsi" w:cstheme="majorHAnsi"/>
          <w:sz w:val="28"/>
          <w:szCs w:val="28"/>
        </w:rPr>
        <w:t xml:space="preserve">potential to engage and infringe </w:t>
      </w:r>
      <w:r w:rsidRPr="00AD2EED">
        <w:rPr>
          <w:rFonts w:asciiTheme="majorHAnsi" w:hAnsiTheme="majorHAnsi" w:cstheme="majorHAnsi"/>
          <w:sz w:val="28"/>
          <w:szCs w:val="28"/>
        </w:rPr>
        <w:t>Article 8 of the Trafficking Directive</w:t>
      </w:r>
      <w:r w:rsidR="00373C73" w:rsidRPr="00AD2EED">
        <w:rPr>
          <w:rFonts w:asciiTheme="majorHAnsi" w:hAnsiTheme="majorHAnsi" w:cstheme="majorHAnsi"/>
          <w:sz w:val="28"/>
          <w:szCs w:val="28"/>
        </w:rPr>
        <w:t xml:space="preserve">. Article 8 </w:t>
      </w:r>
      <w:r w:rsidRPr="00AD2EED">
        <w:rPr>
          <w:rFonts w:asciiTheme="majorHAnsi" w:hAnsiTheme="majorHAnsi" w:cstheme="majorHAnsi"/>
          <w:sz w:val="28"/>
          <w:szCs w:val="28"/>
        </w:rPr>
        <w:t xml:space="preserve">requires </w:t>
      </w:r>
      <w:r w:rsidR="00373C73" w:rsidRPr="00AD2EED">
        <w:rPr>
          <w:rFonts w:asciiTheme="majorHAnsi" w:hAnsiTheme="majorHAnsi" w:cstheme="majorHAnsi"/>
          <w:sz w:val="28"/>
          <w:szCs w:val="28"/>
        </w:rPr>
        <w:t>that</w:t>
      </w:r>
      <w:r w:rsidRPr="00AD2EED">
        <w:rPr>
          <w:rFonts w:asciiTheme="majorHAnsi" w:hAnsiTheme="majorHAnsi" w:cstheme="majorHAnsi"/>
          <w:sz w:val="28"/>
          <w:szCs w:val="28"/>
        </w:rPr>
        <w:t xml:space="preserve"> authorities are entitled </w:t>
      </w:r>
      <w:r w:rsidRPr="00AD2EED">
        <w:rPr>
          <w:rFonts w:asciiTheme="majorHAnsi" w:hAnsiTheme="majorHAnsi" w:cstheme="majorHAnsi"/>
          <w:i/>
          <w:iCs/>
          <w:sz w:val="28"/>
          <w:szCs w:val="28"/>
        </w:rPr>
        <w:t>not</w:t>
      </w:r>
      <w:r w:rsidRPr="00AD2EED">
        <w:rPr>
          <w:rFonts w:asciiTheme="majorHAnsi" w:hAnsiTheme="majorHAnsi" w:cstheme="majorHAnsi"/>
          <w:sz w:val="28"/>
          <w:szCs w:val="28"/>
        </w:rPr>
        <w:t xml:space="preserve"> to prosecute victims of human trafficking for crimes they were compelled to commit as a consequence of being trafficked.</w:t>
      </w:r>
      <w:r w:rsidRPr="00AD2EED">
        <w:rPr>
          <w:rStyle w:val="FootnoteReference"/>
          <w:rFonts w:asciiTheme="majorHAnsi" w:hAnsiTheme="majorHAnsi" w:cstheme="majorHAnsi"/>
          <w:sz w:val="28"/>
          <w:szCs w:val="28"/>
        </w:rPr>
        <w:footnoteReference w:id="24"/>
      </w:r>
      <w:r w:rsidRPr="00AD2EED">
        <w:rPr>
          <w:rFonts w:asciiTheme="majorHAnsi" w:hAnsiTheme="majorHAnsi" w:cstheme="majorHAnsi"/>
          <w:sz w:val="28"/>
          <w:szCs w:val="28"/>
        </w:rPr>
        <w:t xml:space="preserve"> </w:t>
      </w:r>
      <w:r w:rsidR="00373C73" w:rsidRPr="00AD2EED">
        <w:rPr>
          <w:rFonts w:asciiTheme="majorHAnsi" w:hAnsiTheme="majorHAnsi" w:cstheme="majorHAnsi"/>
          <w:sz w:val="28"/>
          <w:szCs w:val="28"/>
        </w:rPr>
        <w:t>Moreover</w:t>
      </w:r>
      <w:r w:rsidRPr="00AD2EED">
        <w:rPr>
          <w:rFonts w:asciiTheme="majorHAnsi" w:hAnsiTheme="majorHAnsi" w:cstheme="majorHAnsi"/>
          <w:sz w:val="28"/>
          <w:szCs w:val="28"/>
        </w:rPr>
        <w:t xml:space="preserve">, </w:t>
      </w:r>
      <w:r w:rsidR="00373C73" w:rsidRPr="00AD2EED">
        <w:rPr>
          <w:rFonts w:asciiTheme="majorHAnsi" w:hAnsiTheme="majorHAnsi" w:cstheme="majorHAnsi"/>
          <w:sz w:val="28"/>
          <w:szCs w:val="28"/>
        </w:rPr>
        <w:t>the Commission</w:t>
      </w:r>
      <w:r w:rsidR="0031217F" w:rsidRPr="00AD2EED">
        <w:rPr>
          <w:rFonts w:asciiTheme="majorHAnsi" w:hAnsiTheme="majorHAnsi" w:cstheme="majorHAnsi"/>
          <w:sz w:val="28"/>
          <w:szCs w:val="28"/>
        </w:rPr>
        <w:t>s</w:t>
      </w:r>
      <w:r w:rsidR="00373C73" w:rsidRPr="00AD2EED">
        <w:rPr>
          <w:rFonts w:asciiTheme="majorHAnsi" w:hAnsiTheme="majorHAnsi" w:cstheme="majorHAnsi"/>
          <w:sz w:val="28"/>
          <w:szCs w:val="28"/>
        </w:rPr>
        <w:t xml:space="preserve"> </w:t>
      </w:r>
      <w:r w:rsidR="0031217F" w:rsidRPr="00AD2EED">
        <w:rPr>
          <w:rFonts w:asciiTheme="majorHAnsi" w:hAnsiTheme="majorHAnsi" w:cstheme="majorHAnsi"/>
          <w:sz w:val="28"/>
          <w:szCs w:val="28"/>
        </w:rPr>
        <w:t>are</w:t>
      </w:r>
      <w:r w:rsidR="00373C73" w:rsidRPr="00AD2EED">
        <w:rPr>
          <w:rFonts w:asciiTheme="majorHAnsi" w:hAnsiTheme="majorHAnsi" w:cstheme="majorHAnsi"/>
          <w:sz w:val="28"/>
          <w:szCs w:val="28"/>
        </w:rPr>
        <w:t xml:space="preserve"> concerned that this clause</w:t>
      </w:r>
      <w:r w:rsidRPr="00AD2EED">
        <w:rPr>
          <w:rFonts w:asciiTheme="majorHAnsi" w:hAnsiTheme="majorHAnsi" w:cstheme="majorHAnsi"/>
          <w:sz w:val="28"/>
          <w:szCs w:val="28"/>
        </w:rPr>
        <w:t xml:space="preserve"> may reverse the obligation on States to identify victims of human trafficking under Article 9 of the Directive.</w:t>
      </w:r>
      <w:r w:rsidRPr="00AD2EED">
        <w:rPr>
          <w:rStyle w:val="FootnoteReference"/>
          <w:rFonts w:asciiTheme="majorHAnsi" w:hAnsiTheme="majorHAnsi" w:cstheme="majorHAnsi"/>
          <w:sz w:val="28"/>
          <w:szCs w:val="28"/>
        </w:rPr>
        <w:footnoteReference w:id="25"/>
      </w:r>
      <w:r w:rsidRPr="00AD2EED">
        <w:rPr>
          <w:rFonts w:asciiTheme="majorHAnsi" w:hAnsiTheme="majorHAnsi" w:cstheme="majorHAnsi"/>
          <w:sz w:val="28"/>
          <w:szCs w:val="28"/>
        </w:rPr>
        <w:t xml:space="preserve"> </w:t>
      </w:r>
      <w:r w:rsidR="00373C73" w:rsidRPr="00AD2EED">
        <w:rPr>
          <w:rFonts w:asciiTheme="majorHAnsi" w:hAnsiTheme="majorHAnsi" w:cstheme="majorHAnsi"/>
          <w:sz w:val="28"/>
          <w:szCs w:val="28"/>
        </w:rPr>
        <w:t xml:space="preserve">It also sits uneasily alongside the </w:t>
      </w:r>
      <w:r w:rsidRPr="00AD2EED">
        <w:rPr>
          <w:rFonts w:asciiTheme="majorHAnsi" w:hAnsiTheme="majorHAnsi" w:cstheme="majorHAnsi"/>
          <w:sz w:val="28"/>
          <w:szCs w:val="28"/>
        </w:rPr>
        <w:t xml:space="preserve">requirement under Article 11 to provide assistance and support “as soon as the competent authorities have a reasonable-grounds indication” that an individual has been trafficked. </w:t>
      </w:r>
      <w:r w:rsidR="00373C73" w:rsidRPr="00AD2EED">
        <w:rPr>
          <w:rFonts w:asciiTheme="majorHAnsi" w:hAnsiTheme="majorHAnsi" w:cstheme="majorHAnsi"/>
          <w:sz w:val="28"/>
          <w:szCs w:val="28"/>
        </w:rPr>
        <w:t xml:space="preserve">See for example, </w:t>
      </w:r>
      <w:r w:rsidRPr="00AD2EED">
        <w:rPr>
          <w:rFonts w:asciiTheme="majorHAnsi" w:hAnsiTheme="majorHAnsi" w:cstheme="majorHAnsi"/>
          <w:sz w:val="28"/>
          <w:szCs w:val="28"/>
        </w:rPr>
        <w:t xml:space="preserve">a joint letter on the Nationality and Borders Bill, </w:t>
      </w:r>
      <w:r w:rsidR="00373C73" w:rsidRPr="00AD2EED">
        <w:rPr>
          <w:rFonts w:asciiTheme="majorHAnsi" w:hAnsiTheme="majorHAnsi" w:cstheme="majorHAnsi"/>
          <w:sz w:val="28"/>
          <w:szCs w:val="28"/>
        </w:rPr>
        <w:t xml:space="preserve">in which </w:t>
      </w:r>
      <w:r w:rsidRPr="00AD2EED">
        <w:rPr>
          <w:rFonts w:asciiTheme="majorHAnsi" w:hAnsiTheme="majorHAnsi" w:cstheme="majorHAnsi"/>
          <w:sz w:val="28"/>
          <w:szCs w:val="28"/>
        </w:rPr>
        <w:t xml:space="preserve">three UN Special Rapporteurs </w:t>
      </w:r>
      <w:r w:rsidR="00373C73" w:rsidRPr="00AD2EED">
        <w:rPr>
          <w:rFonts w:asciiTheme="majorHAnsi" w:hAnsiTheme="majorHAnsi" w:cstheme="majorHAnsi"/>
          <w:sz w:val="28"/>
          <w:szCs w:val="28"/>
        </w:rPr>
        <w:t xml:space="preserve">observed </w:t>
      </w:r>
      <w:r w:rsidRPr="00AD2EED">
        <w:rPr>
          <w:rFonts w:asciiTheme="majorHAnsi" w:hAnsiTheme="majorHAnsi" w:cstheme="majorHAnsi"/>
          <w:sz w:val="28"/>
          <w:szCs w:val="28"/>
        </w:rPr>
        <w:t>that to view late provision of information as damaging to credibility would “fail to acknowledge the positive obligation on the State to identify victims of trafficking and contemporary forms of slavery”.</w:t>
      </w:r>
      <w:r w:rsidRPr="00AD2EED">
        <w:rPr>
          <w:rStyle w:val="FootnoteReference"/>
          <w:rFonts w:asciiTheme="majorHAnsi" w:hAnsiTheme="majorHAnsi" w:cstheme="majorHAnsi"/>
          <w:sz w:val="28"/>
          <w:szCs w:val="28"/>
        </w:rPr>
        <w:footnoteReference w:id="26"/>
      </w:r>
    </w:p>
    <w:p w14:paraId="2661A1B8" w14:textId="77777777" w:rsidR="00646E92" w:rsidRPr="00AD2EED" w:rsidRDefault="00646E92" w:rsidP="00646E92">
      <w:pPr>
        <w:pStyle w:val="ListParagraph"/>
        <w:rPr>
          <w:rFonts w:asciiTheme="majorHAnsi" w:hAnsiTheme="majorHAnsi" w:cstheme="majorHAnsi"/>
          <w:sz w:val="28"/>
          <w:szCs w:val="28"/>
        </w:rPr>
      </w:pPr>
    </w:p>
    <w:p w14:paraId="2028FFE1" w14:textId="50689F2F"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It is widely recognised that victims of modern slavery </w:t>
      </w:r>
      <w:r w:rsidR="00373C73" w:rsidRPr="00AD2EED">
        <w:rPr>
          <w:rFonts w:asciiTheme="majorHAnsi" w:hAnsiTheme="majorHAnsi" w:cstheme="majorHAnsi"/>
          <w:sz w:val="28"/>
          <w:szCs w:val="28"/>
        </w:rPr>
        <w:t xml:space="preserve">may fail to </w:t>
      </w:r>
      <w:r w:rsidRPr="00AD2EED">
        <w:rPr>
          <w:rFonts w:asciiTheme="majorHAnsi" w:hAnsiTheme="majorHAnsi" w:cstheme="majorHAnsi"/>
          <w:sz w:val="28"/>
          <w:szCs w:val="28"/>
        </w:rPr>
        <w:t xml:space="preserve">identify themselves </w:t>
      </w:r>
      <w:r w:rsidR="00373C73" w:rsidRPr="00AD2EED">
        <w:rPr>
          <w:rFonts w:asciiTheme="majorHAnsi" w:hAnsiTheme="majorHAnsi" w:cstheme="majorHAnsi"/>
          <w:sz w:val="28"/>
          <w:szCs w:val="28"/>
        </w:rPr>
        <w:t xml:space="preserve">immediately and that there can be </w:t>
      </w:r>
      <w:r w:rsidRPr="00AD2EED">
        <w:rPr>
          <w:rFonts w:asciiTheme="majorHAnsi" w:hAnsiTheme="majorHAnsi" w:cstheme="majorHAnsi"/>
          <w:sz w:val="28"/>
          <w:szCs w:val="28"/>
        </w:rPr>
        <w:t>numerous reasons</w:t>
      </w:r>
      <w:r w:rsidR="00373C73" w:rsidRPr="00AD2EED">
        <w:rPr>
          <w:rFonts w:asciiTheme="majorHAnsi" w:hAnsiTheme="majorHAnsi" w:cstheme="majorHAnsi"/>
          <w:sz w:val="28"/>
          <w:szCs w:val="28"/>
        </w:rPr>
        <w:t xml:space="preserve"> for failing to do so</w:t>
      </w:r>
      <w:r w:rsidRPr="00AD2EED">
        <w:rPr>
          <w:rFonts w:asciiTheme="majorHAnsi" w:hAnsiTheme="majorHAnsi" w:cstheme="majorHAnsi"/>
          <w:sz w:val="28"/>
          <w:szCs w:val="28"/>
        </w:rPr>
        <w:t xml:space="preserve">, including </w:t>
      </w:r>
      <w:r w:rsidR="00373C73" w:rsidRPr="00AD2EED">
        <w:rPr>
          <w:rFonts w:asciiTheme="majorHAnsi" w:hAnsiTheme="majorHAnsi" w:cstheme="majorHAnsi"/>
          <w:sz w:val="28"/>
          <w:szCs w:val="28"/>
        </w:rPr>
        <w:t xml:space="preserve">a failure to </w:t>
      </w:r>
      <w:r w:rsidRPr="00AD2EED">
        <w:rPr>
          <w:rFonts w:asciiTheme="majorHAnsi" w:hAnsiTheme="majorHAnsi" w:cstheme="majorHAnsi"/>
          <w:sz w:val="28"/>
          <w:szCs w:val="28"/>
        </w:rPr>
        <w:t>recognis</w:t>
      </w:r>
      <w:r w:rsidR="00373C73" w:rsidRPr="00AD2EED">
        <w:rPr>
          <w:rFonts w:asciiTheme="majorHAnsi" w:hAnsiTheme="majorHAnsi" w:cstheme="majorHAnsi"/>
          <w:sz w:val="28"/>
          <w:szCs w:val="28"/>
        </w:rPr>
        <w:t>e</w:t>
      </w:r>
      <w:r w:rsidRPr="00AD2EED">
        <w:rPr>
          <w:rFonts w:asciiTheme="majorHAnsi" w:hAnsiTheme="majorHAnsi" w:cstheme="majorHAnsi"/>
          <w:sz w:val="28"/>
          <w:szCs w:val="28"/>
        </w:rPr>
        <w:t xml:space="preserve"> their situation as exploitation.</w:t>
      </w:r>
      <w:r w:rsidRPr="00AD2EED">
        <w:rPr>
          <w:rStyle w:val="FootnoteReference"/>
          <w:rFonts w:asciiTheme="majorHAnsi" w:hAnsiTheme="majorHAnsi" w:cstheme="majorHAnsi"/>
          <w:sz w:val="28"/>
          <w:szCs w:val="28"/>
        </w:rPr>
        <w:footnoteReference w:id="27"/>
      </w:r>
      <w:r w:rsidRPr="00AD2EED">
        <w:rPr>
          <w:rFonts w:asciiTheme="majorHAnsi" w:hAnsiTheme="majorHAnsi" w:cstheme="majorHAnsi"/>
          <w:sz w:val="28"/>
          <w:szCs w:val="28"/>
        </w:rPr>
        <w:t xml:space="preserve"> Article 11(5) of the Trafficking Directive identifies that assistance and support will be provided to victims on a “consensual and informed basis”.</w:t>
      </w:r>
      <w:r w:rsidRPr="00AD2EED">
        <w:rPr>
          <w:rStyle w:val="FootnoteReference"/>
          <w:rFonts w:asciiTheme="majorHAnsi" w:hAnsiTheme="majorHAnsi" w:cstheme="majorHAnsi"/>
          <w:sz w:val="28"/>
          <w:szCs w:val="28"/>
        </w:rPr>
        <w:footnoteReference w:id="28"/>
      </w:r>
      <w:r w:rsidRPr="00AD2EED">
        <w:rPr>
          <w:rFonts w:asciiTheme="majorHAnsi" w:hAnsiTheme="majorHAnsi" w:cstheme="majorHAnsi"/>
          <w:sz w:val="28"/>
          <w:szCs w:val="28"/>
        </w:rPr>
        <w:t xml:space="preserve"> The nature of these Trafficking Information Notices and the mandatory treatment of late information as damaging credibility, arguably sits in conflict with the principle of consensual and informed </w:t>
      </w:r>
      <w:r w:rsidRPr="00AD2EED">
        <w:rPr>
          <w:rFonts w:asciiTheme="majorHAnsi" w:hAnsiTheme="majorHAnsi" w:cstheme="majorHAnsi"/>
          <w:bCs/>
          <w:sz w:val="28"/>
          <w:szCs w:val="28"/>
        </w:rPr>
        <w:t>support</w:t>
      </w:r>
      <w:r w:rsidRPr="00AD2EED">
        <w:rPr>
          <w:rFonts w:asciiTheme="majorHAnsi" w:hAnsiTheme="majorHAnsi" w:cstheme="majorHAnsi"/>
          <w:sz w:val="28"/>
          <w:szCs w:val="28"/>
        </w:rPr>
        <w:t>. Being made to recall experiences before ready could be retraumatising</w:t>
      </w:r>
      <w:r w:rsidR="006E6E5D" w:rsidRPr="00AD2EED">
        <w:rPr>
          <w:rFonts w:asciiTheme="majorHAnsi" w:hAnsiTheme="majorHAnsi" w:cstheme="majorHAnsi"/>
          <w:sz w:val="28"/>
          <w:szCs w:val="28"/>
        </w:rPr>
        <w:t xml:space="preserve"> for a victim. That could amount to breach of </w:t>
      </w:r>
      <w:r w:rsidRPr="00AD2EED">
        <w:rPr>
          <w:rFonts w:asciiTheme="majorHAnsi" w:hAnsiTheme="majorHAnsi" w:cstheme="majorHAnsi"/>
          <w:sz w:val="28"/>
          <w:szCs w:val="28"/>
        </w:rPr>
        <w:t>Article 12 of the Trafficking Directive that “</w:t>
      </w:r>
      <w:r w:rsidRPr="00AD2EED">
        <w:rPr>
          <w:rFonts w:asciiTheme="majorHAnsi" w:hAnsiTheme="majorHAnsi" w:cstheme="majorHAnsi"/>
          <w:sz w:val="28"/>
          <w:szCs w:val="28"/>
          <w:shd w:val="clear" w:color="auto" w:fill="FFFFFF"/>
        </w:rPr>
        <w:t>Member States shall ensure that victims of trafficking in human beings receive specific treatment aimed at preventing secondary victimisation</w:t>
      </w:r>
      <w:r w:rsidRPr="00AD2EED">
        <w:rPr>
          <w:rFonts w:asciiTheme="majorHAnsi" w:hAnsiTheme="majorHAnsi" w:cstheme="majorHAnsi"/>
          <w:sz w:val="28"/>
          <w:szCs w:val="28"/>
        </w:rPr>
        <w:t>”.</w:t>
      </w:r>
      <w:r w:rsidRPr="00AD2EED">
        <w:rPr>
          <w:rStyle w:val="FootnoteReference"/>
          <w:rFonts w:asciiTheme="majorHAnsi" w:hAnsiTheme="majorHAnsi" w:cstheme="majorHAnsi"/>
          <w:sz w:val="28"/>
          <w:szCs w:val="28"/>
        </w:rPr>
        <w:footnoteReference w:id="29"/>
      </w:r>
      <w:r w:rsidRPr="00AD2EED">
        <w:rPr>
          <w:rFonts w:asciiTheme="majorHAnsi" w:hAnsiTheme="majorHAnsi" w:cstheme="majorHAnsi"/>
          <w:sz w:val="28"/>
          <w:szCs w:val="28"/>
        </w:rPr>
        <w:t xml:space="preserve"> </w:t>
      </w:r>
    </w:p>
    <w:p w14:paraId="46028081" w14:textId="77777777" w:rsidR="00646E92" w:rsidRPr="00AD2EED" w:rsidRDefault="00646E92" w:rsidP="00646E92">
      <w:pPr>
        <w:pStyle w:val="ListParagraph"/>
        <w:rPr>
          <w:rFonts w:asciiTheme="majorHAnsi" w:hAnsiTheme="majorHAnsi" w:cstheme="majorHAnsi"/>
          <w:sz w:val="28"/>
          <w:szCs w:val="28"/>
        </w:rPr>
      </w:pPr>
    </w:p>
    <w:p w14:paraId="723A5B2F" w14:textId="292786BD"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Clauses 60 and 61 of the Bill </w:t>
      </w:r>
      <w:r w:rsidR="00B21B23" w:rsidRPr="00AD2EED">
        <w:rPr>
          <w:rFonts w:asciiTheme="majorHAnsi" w:hAnsiTheme="majorHAnsi" w:cstheme="majorHAnsi"/>
          <w:sz w:val="28"/>
          <w:szCs w:val="28"/>
        </w:rPr>
        <w:t xml:space="preserve">reduce protections for victims by reducing to </w:t>
      </w:r>
      <w:r w:rsidRPr="00AD2EED">
        <w:rPr>
          <w:rFonts w:asciiTheme="majorHAnsi" w:hAnsiTheme="majorHAnsi" w:cstheme="majorHAnsi"/>
          <w:sz w:val="28"/>
          <w:szCs w:val="28"/>
        </w:rPr>
        <w:t>30 day</w:t>
      </w:r>
      <w:r w:rsidR="00B21B23" w:rsidRPr="00AD2EED">
        <w:rPr>
          <w:rFonts w:asciiTheme="majorHAnsi" w:hAnsiTheme="majorHAnsi" w:cstheme="majorHAnsi"/>
          <w:sz w:val="28"/>
          <w:szCs w:val="28"/>
        </w:rPr>
        <w:t>s the</w:t>
      </w:r>
      <w:r w:rsidRPr="00AD2EED">
        <w:rPr>
          <w:rFonts w:asciiTheme="majorHAnsi" w:hAnsiTheme="majorHAnsi" w:cstheme="majorHAnsi"/>
          <w:sz w:val="28"/>
          <w:szCs w:val="28"/>
        </w:rPr>
        <w:t xml:space="preserve"> period of recovery for victims</w:t>
      </w:r>
      <w:r w:rsidR="00B21B23" w:rsidRPr="00AD2EED">
        <w:rPr>
          <w:rFonts w:asciiTheme="majorHAnsi" w:hAnsiTheme="majorHAnsi" w:cstheme="majorHAnsi"/>
          <w:sz w:val="28"/>
          <w:szCs w:val="28"/>
        </w:rPr>
        <w:t>.</w:t>
      </w:r>
      <w:r w:rsidRPr="00AD2EED">
        <w:rPr>
          <w:rFonts w:asciiTheme="majorHAnsi" w:hAnsiTheme="majorHAnsi" w:cstheme="majorHAnsi"/>
          <w:sz w:val="28"/>
          <w:szCs w:val="28"/>
        </w:rPr>
        <w:t xml:space="preserve"> The Human Trafficking and Exploitation (NI) Act 2015 currently </w:t>
      </w:r>
      <w:r w:rsidR="00B21B23" w:rsidRPr="00AD2EED">
        <w:rPr>
          <w:rFonts w:asciiTheme="majorHAnsi" w:hAnsiTheme="majorHAnsi" w:cstheme="majorHAnsi"/>
          <w:sz w:val="28"/>
          <w:szCs w:val="28"/>
        </w:rPr>
        <w:t>provides</w:t>
      </w:r>
      <w:r w:rsidR="00E27C8F" w:rsidRPr="00AD2EED">
        <w:rPr>
          <w:rFonts w:asciiTheme="majorHAnsi" w:hAnsiTheme="majorHAnsi" w:cstheme="majorHAnsi"/>
          <w:sz w:val="28"/>
          <w:szCs w:val="28"/>
        </w:rPr>
        <w:t xml:space="preserve"> for </w:t>
      </w:r>
      <w:r w:rsidRPr="00AD2EED">
        <w:rPr>
          <w:rFonts w:asciiTheme="majorHAnsi" w:hAnsiTheme="majorHAnsi" w:cstheme="majorHAnsi"/>
          <w:sz w:val="28"/>
          <w:szCs w:val="28"/>
        </w:rPr>
        <w:t>45</w:t>
      </w:r>
      <w:r w:rsidR="00B21B23" w:rsidRPr="00AD2EED">
        <w:rPr>
          <w:rFonts w:asciiTheme="majorHAnsi" w:hAnsiTheme="majorHAnsi" w:cstheme="majorHAnsi"/>
          <w:sz w:val="28"/>
          <w:szCs w:val="28"/>
        </w:rPr>
        <w:t xml:space="preserve"> </w:t>
      </w:r>
      <w:r w:rsidRPr="00AD2EED">
        <w:rPr>
          <w:rFonts w:asciiTheme="majorHAnsi" w:hAnsiTheme="majorHAnsi" w:cstheme="majorHAnsi"/>
          <w:sz w:val="28"/>
          <w:szCs w:val="28"/>
        </w:rPr>
        <w:t>day</w:t>
      </w:r>
      <w:r w:rsidR="00B21B23" w:rsidRPr="00AD2EED">
        <w:rPr>
          <w:rFonts w:asciiTheme="majorHAnsi" w:hAnsiTheme="majorHAnsi" w:cstheme="majorHAnsi"/>
          <w:sz w:val="28"/>
          <w:szCs w:val="28"/>
        </w:rPr>
        <w:t>s</w:t>
      </w:r>
      <w:r w:rsidRPr="00AD2EED">
        <w:rPr>
          <w:rFonts w:asciiTheme="majorHAnsi" w:hAnsiTheme="majorHAnsi" w:cstheme="majorHAnsi"/>
          <w:sz w:val="28"/>
          <w:szCs w:val="28"/>
        </w:rPr>
        <w:t xml:space="preserve"> of recovery for potential victims referred to the National Referral Mechanism (NRM).</w:t>
      </w:r>
      <w:r w:rsidRPr="00AD2EED">
        <w:rPr>
          <w:rStyle w:val="FootnoteReference"/>
          <w:rFonts w:asciiTheme="majorHAnsi" w:hAnsiTheme="majorHAnsi" w:cstheme="majorHAnsi"/>
          <w:sz w:val="28"/>
          <w:szCs w:val="28"/>
        </w:rPr>
        <w:footnoteReference w:id="30"/>
      </w:r>
      <w:r w:rsidRPr="00AD2EED">
        <w:rPr>
          <w:rFonts w:asciiTheme="majorHAnsi" w:hAnsiTheme="majorHAnsi" w:cstheme="majorHAnsi"/>
          <w:sz w:val="28"/>
          <w:szCs w:val="28"/>
        </w:rPr>
        <w:t xml:space="preserve"> Clause 61 </w:t>
      </w:r>
      <w:r w:rsidR="00B21B23" w:rsidRPr="00AD2EED">
        <w:rPr>
          <w:rFonts w:asciiTheme="majorHAnsi" w:hAnsiTheme="majorHAnsi" w:cstheme="majorHAnsi"/>
          <w:sz w:val="28"/>
          <w:szCs w:val="28"/>
        </w:rPr>
        <w:t xml:space="preserve">limits </w:t>
      </w:r>
      <w:r w:rsidRPr="00AD2EED">
        <w:rPr>
          <w:rFonts w:asciiTheme="majorHAnsi" w:hAnsiTheme="majorHAnsi" w:cstheme="majorHAnsi"/>
          <w:sz w:val="28"/>
          <w:szCs w:val="28"/>
        </w:rPr>
        <w:t>entitlement to only one period of recovery unless the Secretary of State considers it appropriate to provide a further period in a particular circumstance</w:t>
      </w:r>
      <w:r w:rsidR="00B21B23" w:rsidRPr="00AD2EED">
        <w:rPr>
          <w:rFonts w:asciiTheme="majorHAnsi" w:hAnsiTheme="majorHAnsi" w:cstheme="majorHAnsi"/>
          <w:sz w:val="28"/>
          <w:szCs w:val="28"/>
        </w:rPr>
        <w:t xml:space="preserve"> whereas the NI Act has no such limitation. </w:t>
      </w:r>
    </w:p>
    <w:p w14:paraId="20D8AF0E" w14:textId="77777777" w:rsidR="00646E92" w:rsidRPr="00AD2EED" w:rsidRDefault="00646E92" w:rsidP="00646E92">
      <w:pPr>
        <w:pStyle w:val="ListParagraph"/>
        <w:rPr>
          <w:rFonts w:asciiTheme="majorHAnsi" w:hAnsiTheme="majorHAnsi" w:cstheme="majorHAnsi"/>
          <w:sz w:val="28"/>
          <w:szCs w:val="28"/>
        </w:rPr>
      </w:pPr>
    </w:p>
    <w:p w14:paraId="320503A2" w14:textId="6C68C97D"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Clause 62 of the Bill provides for </w:t>
      </w:r>
      <w:r w:rsidR="00B21B23" w:rsidRPr="00AD2EED">
        <w:rPr>
          <w:rFonts w:asciiTheme="majorHAnsi" w:hAnsiTheme="majorHAnsi" w:cstheme="majorHAnsi"/>
          <w:sz w:val="28"/>
          <w:szCs w:val="28"/>
        </w:rPr>
        <w:t xml:space="preserve">the </w:t>
      </w:r>
      <w:r w:rsidRPr="00AD2EED">
        <w:rPr>
          <w:rFonts w:asciiTheme="majorHAnsi" w:hAnsiTheme="majorHAnsi" w:cstheme="majorHAnsi"/>
          <w:sz w:val="28"/>
          <w:szCs w:val="28"/>
        </w:rPr>
        <w:t xml:space="preserve">automatic loss of entitlement to a period of recovery </w:t>
      </w:r>
      <w:r w:rsidR="00B21B23" w:rsidRPr="00AD2EED">
        <w:rPr>
          <w:rFonts w:asciiTheme="majorHAnsi" w:hAnsiTheme="majorHAnsi" w:cstheme="majorHAnsi"/>
          <w:sz w:val="28"/>
          <w:szCs w:val="28"/>
        </w:rPr>
        <w:t xml:space="preserve">for </w:t>
      </w:r>
      <w:r w:rsidRPr="00AD2EED">
        <w:rPr>
          <w:rFonts w:asciiTheme="majorHAnsi" w:hAnsiTheme="majorHAnsi" w:cstheme="majorHAnsi"/>
          <w:sz w:val="28"/>
          <w:szCs w:val="28"/>
        </w:rPr>
        <w:t xml:space="preserve">a victim </w:t>
      </w:r>
      <w:r w:rsidR="00B21B23" w:rsidRPr="00AD2EED">
        <w:rPr>
          <w:rFonts w:asciiTheme="majorHAnsi" w:hAnsiTheme="majorHAnsi" w:cstheme="majorHAnsi"/>
          <w:sz w:val="28"/>
          <w:szCs w:val="28"/>
        </w:rPr>
        <w:t xml:space="preserve">if he or she </w:t>
      </w:r>
      <w:r w:rsidRPr="00AD2EED">
        <w:rPr>
          <w:rFonts w:asciiTheme="majorHAnsi" w:hAnsiTheme="majorHAnsi" w:cstheme="majorHAnsi"/>
          <w:sz w:val="28"/>
          <w:szCs w:val="28"/>
        </w:rPr>
        <w:t xml:space="preserve">is “a threat to public order”. Clause 62(3) </w:t>
      </w:r>
      <w:r w:rsidR="006206E7" w:rsidRPr="00AD2EED">
        <w:rPr>
          <w:rFonts w:asciiTheme="majorHAnsi" w:hAnsiTheme="majorHAnsi" w:cstheme="majorHAnsi"/>
          <w:sz w:val="28"/>
          <w:szCs w:val="28"/>
        </w:rPr>
        <w:t xml:space="preserve">provides that a person is </w:t>
      </w:r>
      <w:r w:rsidR="00B21B23" w:rsidRPr="00AD2EED">
        <w:rPr>
          <w:rFonts w:asciiTheme="majorHAnsi" w:hAnsiTheme="majorHAnsi" w:cstheme="majorHAnsi"/>
          <w:sz w:val="28"/>
          <w:szCs w:val="28"/>
        </w:rPr>
        <w:t xml:space="preserve">such a threat if </w:t>
      </w:r>
      <w:r w:rsidR="006206E7" w:rsidRPr="00AD2EED">
        <w:rPr>
          <w:rFonts w:asciiTheme="majorHAnsi" w:hAnsiTheme="majorHAnsi" w:cstheme="majorHAnsi"/>
          <w:sz w:val="28"/>
          <w:szCs w:val="28"/>
        </w:rPr>
        <w:t>he or she</w:t>
      </w:r>
      <w:r w:rsidR="00B21B23" w:rsidRPr="00AD2EED">
        <w:rPr>
          <w:rFonts w:asciiTheme="majorHAnsi" w:hAnsiTheme="majorHAnsi" w:cstheme="majorHAnsi"/>
          <w:sz w:val="28"/>
          <w:szCs w:val="28"/>
        </w:rPr>
        <w:t xml:space="preserve"> has been </w:t>
      </w:r>
      <w:r w:rsidRPr="00AD2EED">
        <w:rPr>
          <w:rFonts w:asciiTheme="majorHAnsi" w:hAnsiTheme="majorHAnsi" w:cstheme="majorHAnsi"/>
          <w:sz w:val="28"/>
          <w:szCs w:val="28"/>
        </w:rPr>
        <w:t xml:space="preserve">convicted of </w:t>
      </w:r>
      <w:r w:rsidR="006206E7" w:rsidRPr="00AD2EED">
        <w:rPr>
          <w:rFonts w:asciiTheme="majorHAnsi" w:hAnsiTheme="majorHAnsi" w:cstheme="majorHAnsi"/>
          <w:sz w:val="28"/>
          <w:szCs w:val="28"/>
        </w:rPr>
        <w:t xml:space="preserve">one of the </w:t>
      </w:r>
      <w:r w:rsidR="00B21B23" w:rsidRPr="00AD2EED">
        <w:rPr>
          <w:rFonts w:asciiTheme="majorHAnsi" w:hAnsiTheme="majorHAnsi" w:cstheme="majorHAnsi"/>
          <w:sz w:val="28"/>
          <w:szCs w:val="28"/>
        </w:rPr>
        <w:t>offence</w:t>
      </w:r>
      <w:r w:rsidR="006206E7" w:rsidRPr="00AD2EED">
        <w:rPr>
          <w:rFonts w:asciiTheme="majorHAnsi" w:hAnsiTheme="majorHAnsi" w:cstheme="majorHAnsi"/>
          <w:sz w:val="28"/>
          <w:szCs w:val="28"/>
        </w:rPr>
        <w:t>s</w:t>
      </w:r>
      <w:r w:rsidR="00B21B23" w:rsidRPr="00AD2EED">
        <w:rPr>
          <w:rFonts w:asciiTheme="majorHAnsi" w:hAnsiTheme="majorHAnsi" w:cstheme="majorHAnsi"/>
          <w:sz w:val="28"/>
          <w:szCs w:val="28"/>
        </w:rPr>
        <w:t xml:space="preserve"> listed</w:t>
      </w:r>
      <w:r w:rsidR="006206E7" w:rsidRPr="00AD2EED">
        <w:rPr>
          <w:rFonts w:asciiTheme="majorHAnsi" w:hAnsiTheme="majorHAnsi" w:cstheme="majorHAnsi"/>
          <w:sz w:val="28"/>
          <w:szCs w:val="28"/>
        </w:rPr>
        <w:t xml:space="preserve"> there</w:t>
      </w:r>
      <w:r w:rsidR="00B21B23" w:rsidRPr="00AD2EED">
        <w:rPr>
          <w:rFonts w:asciiTheme="majorHAnsi" w:hAnsiTheme="majorHAnsi" w:cstheme="majorHAnsi"/>
          <w:sz w:val="28"/>
          <w:szCs w:val="28"/>
        </w:rPr>
        <w:t xml:space="preserve">. </w:t>
      </w:r>
      <w:r w:rsidR="006206E7" w:rsidRPr="00AD2EED">
        <w:rPr>
          <w:rFonts w:asciiTheme="majorHAnsi" w:hAnsiTheme="majorHAnsi" w:cstheme="majorHAnsi"/>
          <w:sz w:val="28"/>
          <w:szCs w:val="28"/>
        </w:rPr>
        <w:t xml:space="preserve">The Human Trafficking and Exploitation (NI) Act does not make any corresponding provisions for disqualification. </w:t>
      </w:r>
      <w:r w:rsidRPr="00AD2EED">
        <w:rPr>
          <w:rFonts w:asciiTheme="majorHAnsi" w:hAnsiTheme="majorHAnsi" w:cstheme="majorHAnsi"/>
          <w:sz w:val="28"/>
          <w:szCs w:val="28"/>
        </w:rPr>
        <w:t xml:space="preserve">The Independent Anti-Slavery Commissioner has </w:t>
      </w:r>
      <w:r w:rsidR="006206E7" w:rsidRPr="00AD2EED">
        <w:rPr>
          <w:rFonts w:asciiTheme="majorHAnsi" w:hAnsiTheme="majorHAnsi" w:cstheme="majorHAnsi"/>
          <w:sz w:val="28"/>
          <w:szCs w:val="28"/>
        </w:rPr>
        <w:t xml:space="preserve">raised </w:t>
      </w:r>
      <w:r w:rsidRPr="00AD2EED">
        <w:rPr>
          <w:rFonts w:asciiTheme="majorHAnsi" w:hAnsiTheme="majorHAnsi" w:cstheme="majorHAnsi"/>
          <w:sz w:val="28"/>
          <w:szCs w:val="28"/>
        </w:rPr>
        <w:t>concerns that this “casts a wide net”, potentially preventing a considerable number of potential victims from being able to access a recovery period.</w:t>
      </w:r>
      <w:r w:rsidRPr="00AD2EED">
        <w:rPr>
          <w:rStyle w:val="FootnoteReference"/>
          <w:rFonts w:asciiTheme="majorHAnsi" w:hAnsiTheme="majorHAnsi" w:cstheme="majorHAnsi"/>
          <w:sz w:val="28"/>
          <w:szCs w:val="28"/>
        </w:rPr>
        <w:footnoteReference w:id="31"/>
      </w:r>
      <w:r w:rsidRPr="00AD2EED">
        <w:rPr>
          <w:rFonts w:asciiTheme="majorHAnsi" w:hAnsiTheme="majorHAnsi" w:cstheme="majorHAnsi"/>
          <w:sz w:val="28"/>
          <w:szCs w:val="28"/>
        </w:rPr>
        <w:t xml:space="preserve"> </w:t>
      </w:r>
      <w:r w:rsidR="006206E7" w:rsidRPr="00AD2EED">
        <w:rPr>
          <w:rFonts w:asciiTheme="majorHAnsi" w:hAnsiTheme="majorHAnsi" w:cstheme="majorHAnsi"/>
          <w:sz w:val="28"/>
          <w:szCs w:val="28"/>
        </w:rPr>
        <w:t>Furthermore, i</w:t>
      </w:r>
      <w:r w:rsidRPr="00AD2EED">
        <w:rPr>
          <w:rFonts w:asciiTheme="majorHAnsi" w:hAnsiTheme="majorHAnsi" w:cstheme="majorHAnsi"/>
          <w:sz w:val="28"/>
          <w:szCs w:val="28"/>
        </w:rPr>
        <w:t xml:space="preserve">n </w:t>
      </w:r>
      <w:r w:rsidR="006206E7" w:rsidRPr="00AD2EED">
        <w:rPr>
          <w:rFonts w:asciiTheme="majorHAnsi" w:hAnsiTheme="majorHAnsi" w:cstheme="majorHAnsi"/>
          <w:sz w:val="28"/>
          <w:szCs w:val="28"/>
        </w:rPr>
        <w:t>a joint letter</w:t>
      </w:r>
      <w:r w:rsidRPr="00AD2EED">
        <w:rPr>
          <w:rFonts w:asciiTheme="majorHAnsi" w:hAnsiTheme="majorHAnsi" w:cstheme="majorHAnsi"/>
          <w:sz w:val="28"/>
          <w:szCs w:val="28"/>
        </w:rPr>
        <w:t xml:space="preserve"> on the Bill, three UN Special Rapporteurs </w:t>
      </w:r>
      <w:r w:rsidR="006206E7" w:rsidRPr="00AD2EED">
        <w:rPr>
          <w:rFonts w:asciiTheme="majorHAnsi" w:hAnsiTheme="majorHAnsi" w:cstheme="majorHAnsi"/>
          <w:sz w:val="28"/>
          <w:szCs w:val="28"/>
        </w:rPr>
        <w:t xml:space="preserve">raised </w:t>
      </w:r>
      <w:r w:rsidRPr="00AD2EED">
        <w:rPr>
          <w:rFonts w:asciiTheme="majorHAnsi" w:hAnsiTheme="majorHAnsi" w:cstheme="majorHAnsi"/>
          <w:sz w:val="28"/>
          <w:szCs w:val="28"/>
        </w:rPr>
        <w:t xml:space="preserve">concerns that Clause 62 </w:t>
      </w:r>
      <w:r w:rsidR="006206E7" w:rsidRPr="00AD2EED">
        <w:rPr>
          <w:rFonts w:asciiTheme="majorHAnsi" w:hAnsiTheme="majorHAnsi" w:cstheme="majorHAnsi"/>
          <w:sz w:val="28"/>
          <w:szCs w:val="28"/>
        </w:rPr>
        <w:t>is</w:t>
      </w:r>
      <w:r w:rsidRPr="00AD2EED">
        <w:rPr>
          <w:rFonts w:asciiTheme="majorHAnsi" w:hAnsiTheme="majorHAnsi" w:cstheme="majorHAnsi"/>
          <w:sz w:val="28"/>
          <w:szCs w:val="28"/>
        </w:rPr>
        <w:t xml:space="preserve"> in breach of the State’s international obligation to identify, assist and protect all victims of trafficking… without discrimination or exception.</w:t>
      </w:r>
      <w:r w:rsidRPr="00AD2EED">
        <w:rPr>
          <w:rStyle w:val="FootnoteReference"/>
          <w:rFonts w:asciiTheme="majorHAnsi" w:hAnsiTheme="majorHAnsi" w:cstheme="majorHAnsi"/>
          <w:sz w:val="28"/>
          <w:szCs w:val="28"/>
        </w:rPr>
        <w:footnoteReference w:id="32"/>
      </w:r>
      <w:r w:rsidRPr="00AD2EED">
        <w:rPr>
          <w:rFonts w:asciiTheme="majorHAnsi" w:hAnsiTheme="majorHAnsi" w:cstheme="majorHAnsi"/>
          <w:sz w:val="28"/>
          <w:szCs w:val="28"/>
        </w:rPr>
        <w:t xml:space="preserve"> Moreover, </w:t>
      </w:r>
      <w:r w:rsidR="006206E7" w:rsidRPr="00AD2EED">
        <w:rPr>
          <w:rFonts w:asciiTheme="majorHAnsi" w:hAnsiTheme="majorHAnsi" w:cstheme="majorHAnsi"/>
          <w:sz w:val="28"/>
          <w:szCs w:val="28"/>
        </w:rPr>
        <w:t>the Commission</w:t>
      </w:r>
      <w:r w:rsidR="003A5F2F" w:rsidRPr="00AD2EED">
        <w:rPr>
          <w:rFonts w:asciiTheme="majorHAnsi" w:hAnsiTheme="majorHAnsi" w:cstheme="majorHAnsi"/>
          <w:sz w:val="28"/>
          <w:szCs w:val="28"/>
        </w:rPr>
        <w:t>s</w:t>
      </w:r>
      <w:r w:rsidR="006206E7" w:rsidRPr="00AD2EED">
        <w:rPr>
          <w:rFonts w:asciiTheme="majorHAnsi" w:hAnsiTheme="majorHAnsi" w:cstheme="majorHAnsi"/>
          <w:sz w:val="28"/>
          <w:szCs w:val="28"/>
        </w:rPr>
        <w:t xml:space="preserve"> believe disqualification may amount to </w:t>
      </w:r>
      <w:r w:rsidRPr="00AD2EED">
        <w:rPr>
          <w:rFonts w:asciiTheme="majorHAnsi" w:hAnsiTheme="majorHAnsi" w:cstheme="majorHAnsi"/>
          <w:sz w:val="28"/>
          <w:szCs w:val="28"/>
        </w:rPr>
        <w:t xml:space="preserve">a penalty </w:t>
      </w:r>
      <w:r w:rsidR="006206E7" w:rsidRPr="00AD2EED">
        <w:rPr>
          <w:rFonts w:asciiTheme="majorHAnsi" w:hAnsiTheme="majorHAnsi" w:cstheme="majorHAnsi"/>
          <w:sz w:val="28"/>
          <w:szCs w:val="28"/>
        </w:rPr>
        <w:t xml:space="preserve">which would </w:t>
      </w:r>
      <w:r w:rsidRPr="00AD2EED">
        <w:rPr>
          <w:rFonts w:asciiTheme="majorHAnsi" w:hAnsiTheme="majorHAnsi" w:cstheme="majorHAnsi"/>
          <w:sz w:val="28"/>
          <w:szCs w:val="28"/>
        </w:rPr>
        <w:t xml:space="preserve">engage </w:t>
      </w:r>
      <w:r w:rsidR="006206E7" w:rsidRPr="00AD2EED">
        <w:rPr>
          <w:rFonts w:asciiTheme="majorHAnsi" w:hAnsiTheme="majorHAnsi" w:cstheme="majorHAnsi"/>
          <w:sz w:val="28"/>
          <w:szCs w:val="28"/>
        </w:rPr>
        <w:t xml:space="preserve">and arguably infringe </w:t>
      </w:r>
      <w:r w:rsidRPr="00AD2EED">
        <w:rPr>
          <w:rFonts w:asciiTheme="majorHAnsi" w:hAnsiTheme="majorHAnsi" w:cstheme="majorHAnsi"/>
          <w:sz w:val="28"/>
          <w:szCs w:val="28"/>
        </w:rPr>
        <w:t>Article 8 of the Trafficking Directive</w:t>
      </w:r>
      <w:r w:rsidR="006206E7" w:rsidRPr="00AD2EED">
        <w:rPr>
          <w:rFonts w:asciiTheme="majorHAnsi" w:hAnsiTheme="majorHAnsi" w:cstheme="majorHAnsi"/>
          <w:sz w:val="28"/>
          <w:szCs w:val="28"/>
        </w:rPr>
        <w:t xml:space="preserve">; </w:t>
      </w:r>
      <w:r w:rsidRPr="00AD2EED">
        <w:rPr>
          <w:rFonts w:asciiTheme="majorHAnsi" w:hAnsiTheme="majorHAnsi" w:cstheme="majorHAnsi"/>
          <w:sz w:val="28"/>
          <w:szCs w:val="28"/>
        </w:rPr>
        <w:t>on non-prosecution of the victim relating to crimes they were compelled to commit as a consequence of being trafficked.</w:t>
      </w:r>
      <w:r w:rsidRPr="00AD2EED">
        <w:rPr>
          <w:rStyle w:val="FootnoteReference"/>
          <w:rFonts w:asciiTheme="majorHAnsi" w:hAnsiTheme="majorHAnsi" w:cstheme="majorHAnsi"/>
          <w:sz w:val="28"/>
          <w:szCs w:val="28"/>
        </w:rPr>
        <w:footnoteReference w:id="33"/>
      </w:r>
    </w:p>
    <w:p w14:paraId="5064A3F6" w14:textId="77777777" w:rsidR="00646E92" w:rsidRPr="00AD2EED" w:rsidRDefault="00646E92" w:rsidP="00646E92">
      <w:pPr>
        <w:pStyle w:val="ListParagraph"/>
        <w:rPr>
          <w:rFonts w:asciiTheme="majorHAnsi" w:hAnsiTheme="majorHAnsi" w:cstheme="majorHAnsi"/>
          <w:b/>
          <w:sz w:val="28"/>
          <w:szCs w:val="28"/>
        </w:rPr>
      </w:pPr>
    </w:p>
    <w:p w14:paraId="78F6FC4E" w14:textId="09C541F2"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b/>
          <w:sz w:val="28"/>
          <w:szCs w:val="28"/>
        </w:rPr>
        <w:t>The Commission</w:t>
      </w:r>
      <w:r w:rsidR="003A5F2F" w:rsidRPr="00AD2EED">
        <w:rPr>
          <w:rFonts w:asciiTheme="majorHAnsi" w:hAnsiTheme="majorHAnsi" w:cstheme="majorHAnsi"/>
          <w:b/>
          <w:sz w:val="28"/>
          <w:szCs w:val="28"/>
        </w:rPr>
        <w:t>s</w:t>
      </w:r>
      <w:r w:rsidRPr="00AD2EED">
        <w:rPr>
          <w:rFonts w:asciiTheme="majorHAnsi" w:hAnsiTheme="majorHAnsi" w:cstheme="majorHAnsi"/>
          <w:b/>
          <w:sz w:val="28"/>
          <w:szCs w:val="28"/>
        </w:rPr>
        <w:t xml:space="preserve"> recommend that the </w:t>
      </w:r>
      <w:r w:rsidR="006206E7" w:rsidRPr="00AD2EED">
        <w:rPr>
          <w:rFonts w:asciiTheme="majorHAnsi" w:hAnsiTheme="majorHAnsi" w:cstheme="majorHAnsi"/>
          <w:b/>
          <w:sz w:val="28"/>
          <w:szCs w:val="28"/>
        </w:rPr>
        <w:t>‘</w:t>
      </w:r>
      <w:r w:rsidRPr="00AD2EED">
        <w:rPr>
          <w:rFonts w:asciiTheme="majorHAnsi" w:hAnsiTheme="majorHAnsi" w:cstheme="majorHAnsi"/>
          <w:b/>
          <w:sz w:val="28"/>
          <w:szCs w:val="28"/>
        </w:rPr>
        <w:t>extent</w:t>
      </w:r>
      <w:r w:rsidR="006206E7" w:rsidRPr="00AD2EED">
        <w:rPr>
          <w:rFonts w:asciiTheme="majorHAnsi" w:hAnsiTheme="majorHAnsi" w:cstheme="majorHAnsi"/>
          <w:b/>
          <w:sz w:val="28"/>
          <w:szCs w:val="28"/>
        </w:rPr>
        <w:t>’</w:t>
      </w:r>
      <w:r w:rsidRPr="00AD2EED">
        <w:rPr>
          <w:rFonts w:asciiTheme="majorHAnsi" w:hAnsiTheme="majorHAnsi" w:cstheme="majorHAnsi"/>
          <w:b/>
          <w:sz w:val="28"/>
          <w:szCs w:val="28"/>
        </w:rPr>
        <w:t xml:space="preserve"> provisions </w:t>
      </w:r>
      <w:r w:rsidR="000D6EC4" w:rsidRPr="00AD2EED">
        <w:rPr>
          <w:rFonts w:asciiTheme="majorHAnsi" w:hAnsiTheme="majorHAnsi" w:cstheme="majorHAnsi"/>
          <w:b/>
          <w:sz w:val="28"/>
          <w:szCs w:val="28"/>
        </w:rPr>
        <w:t>at Clause 82</w:t>
      </w:r>
      <w:r w:rsidR="003A5F2F" w:rsidRPr="00AD2EED">
        <w:rPr>
          <w:rFonts w:asciiTheme="majorHAnsi" w:hAnsiTheme="majorHAnsi" w:cstheme="majorHAnsi"/>
          <w:b/>
          <w:sz w:val="28"/>
          <w:szCs w:val="28"/>
        </w:rPr>
        <w:t xml:space="preserve"> </w:t>
      </w:r>
      <w:r w:rsidRPr="00AD2EED">
        <w:rPr>
          <w:rFonts w:asciiTheme="majorHAnsi" w:hAnsiTheme="majorHAnsi" w:cstheme="majorHAnsi"/>
          <w:b/>
          <w:sz w:val="28"/>
          <w:szCs w:val="28"/>
        </w:rPr>
        <w:t xml:space="preserve">in the Bill be amended to exclude Northern Ireland from the operation of Clauses 57, 58, 60, 61, 62 and 67, in order to ensure no diminution of the rights of victims of trafficking in Northern Ireland and to </w:t>
      </w:r>
      <w:r w:rsidR="007C3CE1" w:rsidRPr="00AD2EED">
        <w:rPr>
          <w:rFonts w:asciiTheme="majorHAnsi" w:hAnsiTheme="majorHAnsi" w:cstheme="majorHAnsi"/>
          <w:b/>
          <w:sz w:val="28"/>
          <w:szCs w:val="28"/>
        </w:rPr>
        <w:t xml:space="preserve">avoid potential breach </w:t>
      </w:r>
      <w:r w:rsidRPr="00AD2EED">
        <w:rPr>
          <w:rFonts w:asciiTheme="majorHAnsi" w:hAnsiTheme="majorHAnsi" w:cstheme="majorHAnsi"/>
          <w:b/>
          <w:sz w:val="28"/>
          <w:szCs w:val="28"/>
        </w:rPr>
        <w:t>with Protocol Article 2 in this regard.</w:t>
      </w:r>
    </w:p>
    <w:p w14:paraId="7F13D5DB" w14:textId="77777777" w:rsidR="00646E92" w:rsidRPr="00AD2EED" w:rsidRDefault="00646E92" w:rsidP="00646E92">
      <w:pPr>
        <w:pStyle w:val="ListParagraph"/>
        <w:rPr>
          <w:rFonts w:asciiTheme="majorHAnsi" w:hAnsiTheme="majorHAnsi" w:cstheme="majorHAnsi"/>
          <w:sz w:val="28"/>
          <w:szCs w:val="28"/>
        </w:rPr>
      </w:pPr>
    </w:p>
    <w:p w14:paraId="7A067CFB" w14:textId="6F7FA253"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 xml:space="preserve">The </w:t>
      </w:r>
      <w:r w:rsidR="003A5F2F" w:rsidRPr="00AD2EED">
        <w:rPr>
          <w:rFonts w:asciiTheme="majorHAnsi" w:hAnsiTheme="majorHAnsi" w:cstheme="majorHAnsi"/>
          <w:sz w:val="28"/>
          <w:szCs w:val="28"/>
        </w:rPr>
        <w:t xml:space="preserve">NIHRC </w:t>
      </w:r>
      <w:r w:rsidR="00723FC8" w:rsidRPr="00AD2EED">
        <w:rPr>
          <w:rFonts w:asciiTheme="majorHAnsi" w:hAnsiTheme="majorHAnsi" w:cstheme="majorHAnsi"/>
          <w:sz w:val="28"/>
          <w:szCs w:val="28"/>
        </w:rPr>
        <w:t xml:space="preserve">observes that there is no </w:t>
      </w:r>
      <w:r w:rsidRPr="00AD2EED">
        <w:rPr>
          <w:rFonts w:asciiTheme="majorHAnsi" w:hAnsiTheme="majorHAnsi" w:cstheme="majorHAnsi"/>
          <w:sz w:val="28"/>
          <w:szCs w:val="28"/>
        </w:rPr>
        <w:t>specific provision</w:t>
      </w:r>
      <w:r w:rsidR="00723FC8" w:rsidRPr="00AD2EED">
        <w:rPr>
          <w:rFonts w:asciiTheme="majorHAnsi" w:hAnsiTheme="majorHAnsi" w:cstheme="majorHAnsi"/>
          <w:sz w:val="28"/>
          <w:szCs w:val="28"/>
        </w:rPr>
        <w:t>, guidance</w:t>
      </w:r>
      <w:r w:rsidRPr="00AD2EED">
        <w:rPr>
          <w:rFonts w:asciiTheme="majorHAnsi" w:hAnsiTheme="majorHAnsi" w:cstheme="majorHAnsi"/>
          <w:sz w:val="28"/>
          <w:szCs w:val="28"/>
        </w:rPr>
        <w:t xml:space="preserve"> or information </w:t>
      </w:r>
      <w:r w:rsidR="00723FC8" w:rsidRPr="00AD2EED">
        <w:rPr>
          <w:rFonts w:asciiTheme="majorHAnsi" w:hAnsiTheme="majorHAnsi" w:cstheme="majorHAnsi"/>
          <w:sz w:val="28"/>
          <w:szCs w:val="28"/>
        </w:rPr>
        <w:t xml:space="preserve">on </w:t>
      </w:r>
      <w:r w:rsidRPr="00AD2EED">
        <w:rPr>
          <w:rFonts w:asciiTheme="majorHAnsi" w:hAnsiTheme="majorHAnsi" w:cstheme="majorHAnsi"/>
          <w:sz w:val="28"/>
          <w:szCs w:val="28"/>
        </w:rPr>
        <w:t>how these provisions will impact upon child</w:t>
      </w:r>
      <w:r w:rsidR="00723FC8" w:rsidRPr="00AD2EED">
        <w:rPr>
          <w:rFonts w:asciiTheme="majorHAnsi" w:hAnsiTheme="majorHAnsi" w:cstheme="majorHAnsi"/>
          <w:sz w:val="28"/>
          <w:szCs w:val="28"/>
        </w:rPr>
        <w:t>ren.</w:t>
      </w:r>
      <w:r w:rsidRPr="00AD2EED">
        <w:rPr>
          <w:rFonts w:asciiTheme="majorHAnsi" w:hAnsiTheme="majorHAnsi" w:cstheme="majorHAnsi"/>
          <w:sz w:val="28"/>
          <w:szCs w:val="28"/>
        </w:rPr>
        <w:t xml:space="preserve"> In accordance with the Trafficking Directive </w:t>
      </w:r>
      <w:r w:rsidR="00FE7FD4" w:rsidRPr="00AD2EED">
        <w:rPr>
          <w:rFonts w:asciiTheme="majorHAnsi" w:hAnsiTheme="majorHAnsi" w:cstheme="majorHAnsi"/>
          <w:sz w:val="28"/>
          <w:szCs w:val="28"/>
        </w:rPr>
        <w:t xml:space="preserve">read with </w:t>
      </w:r>
      <w:r w:rsidRPr="00AD2EED">
        <w:rPr>
          <w:rFonts w:asciiTheme="majorHAnsi" w:hAnsiTheme="majorHAnsi" w:cstheme="majorHAnsi"/>
          <w:sz w:val="28"/>
          <w:szCs w:val="28"/>
        </w:rPr>
        <w:t xml:space="preserve">other international obligations, including the UN Convention on the Rights of the Child, the child’s best interest must </w:t>
      </w:r>
      <w:r w:rsidR="00FE7FD4" w:rsidRPr="00AD2EED">
        <w:rPr>
          <w:rFonts w:asciiTheme="majorHAnsi" w:hAnsiTheme="majorHAnsi" w:cstheme="majorHAnsi"/>
          <w:sz w:val="28"/>
          <w:szCs w:val="28"/>
        </w:rPr>
        <w:t xml:space="preserve">always be the </w:t>
      </w:r>
      <w:r w:rsidRPr="00AD2EED">
        <w:rPr>
          <w:rFonts w:asciiTheme="majorHAnsi" w:hAnsiTheme="majorHAnsi" w:cstheme="majorHAnsi"/>
          <w:sz w:val="28"/>
          <w:szCs w:val="28"/>
        </w:rPr>
        <w:t>primary consideration</w:t>
      </w:r>
      <w:r w:rsidR="00FE7FD4" w:rsidRPr="00AD2EED">
        <w:rPr>
          <w:rFonts w:asciiTheme="majorHAnsi" w:hAnsiTheme="majorHAnsi" w:cstheme="majorHAnsi"/>
          <w:sz w:val="28"/>
          <w:szCs w:val="28"/>
        </w:rPr>
        <w:t xml:space="preserve"> in any decision or action</w:t>
      </w:r>
      <w:r w:rsidRPr="00AD2EED">
        <w:rPr>
          <w:rFonts w:asciiTheme="majorHAnsi" w:hAnsiTheme="majorHAnsi" w:cstheme="majorHAnsi"/>
          <w:sz w:val="28"/>
          <w:szCs w:val="28"/>
        </w:rPr>
        <w:t>.</w:t>
      </w:r>
      <w:r w:rsidRPr="00AD2EED">
        <w:rPr>
          <w:rStyle w:val="FootnoteReference"/>
          <w:rFonts w:asciiTheme="majorHAnsi" w:hAnsiTheme="majorHAnsi" w:cstheme="majorHAnsi"/>
          <w:sz w:val="28"/>
          <w:szCs w:val="28"/>
        </w:rPr>
        <w:footnoteReference w:id="34"/>
      </w:r>
      <w:r w:rsidRPr="00AD2EED">
        <w:rPr>
          <w:rFonts w:asciiTheme="majorHAnsi" w:hAnsiTheme="majorHAnsi" w:cstheme="majorHAnsi"/>
          <w:sz w:val="28"/>
          <w:szCs w:val="28"/>
        </w:rPr>
        <w:t xml:space="preserve"> There is no reference </w:t>
      </w:r>
      <w:r w:rsidR="00FE7FD4" w:rsidRPr="00AD2EED">
        <w:rPr>
          <w:rFonts w:asciiTheme="majorHAnsi" w:hAnsiTheme="majorHAnsi" w:cstheme="majorHAnsi"/>
          <w:sz w:val="28"/>
          <w:szCs w:val="28"/>
        </w:rPr>
        <w:t xml:space="preserve">in the Bill </w:t>
      </w:r>
      <w:r w:rsidRPr="00AD2EED">
        <w:rPr>
          <w:rFonts w:asciiTheme="majorHAnsi" w:hAnsiTheme="majorHAnsi" w:cstheme="majorHAnsi"/>
          <w:sz w:val="28"/>
          <w:szCs w:val="28"/>
        </w:rPr>
        <w:t xml:space="preserve">to child victims of human trafficking </w:t>
      </w:r>
      <w:r w:rsidR="00723FC8" w:rsidRPr="00AD2EED">
        <w:rPr>
          <w:rFonts w:asciiTheme="majorHAnsi" w:hAnsiTheme="majorHAnsi" w:cstheme="majorHAnsi"/>
          <w:sz w:val="28"/>
          <w:szCs w:val="28"/>
        </w:rPr>
        <w:t>or modern slavery</w:t>
      </w:r>
      <w:r w:rsidR="00A52C97" w:rsidRPr="00AD2EED">
        <w:rPr>
          <w:rFonts w:asciiTheme="majorHAnsi" w:hAnsiTheme="majorHAnsi" w:cstheme="majorHAnsi"/>
          <w:sz w:val="28"/>
          <w:szCs w:val="28"/>
        </w:rPr>
        <w:t>.</w:t>
      </w:r>
      <w:r w:rsidR="00FE7FD4" w:rsidRPr="00AD2EED">
        <w:rPr>
          <w:rFonts w:asciiTheme="majorHAnsi" w:hAnsiTheme="majorHAnsi" w:cstheme="majorHAnsi"/>
          <w:sz w:val="28"/>
          <w:szCs w:val="28"/>
        </w:rPr>
        <w:t xml:space="preserve"> It is impossible to know if they were considered or how they will be affected</w:t>
      </w:r>
      <w:r w:rsidRPr="00AD2EED">
        <w:rPr>
          <w:rFonts w:asciiTheme="majorHAnsi" w:hAnsiTheme="majorHAnsi" w:cstheme="majorHAnsi"/>
          <w:sz w:val="28"/>
          <w:szCs w:val="28"/>
        </w:rPr>
        <w:t xml:space="preserve"> </w:t>
      </w:r>
    </w:p>
    <w:p w14:paraId="179E7714" w14:textId="77777777" w:rsidR="00646E92" w:rsidRPr="00AD2EED" w:rsidRDefault="00646E92" w:rsidP="00646E92">
      <w:pPr>
        <w:pStyle w:val="ListParagraph"/>
        <w:rPr>
          <w:rFonts w:asciiTheme="majorHAnsi" w:hAnsiTheme="majorHAnsi" w:cstheme="majorHAnsi"/>
          <w:b/>
          <w:sz w:val="28"/>
          <w:szCs w:val="28"/>
        </w:rPr>
      </w:pPr>
    </w:p>
    <w:p w14:paraId="065A6A83" w14:textId="0E8339F3" w:rsidR="00646E92" w:rsidRPr="00AD2EED" w:rsidRDefault="00646E92" w:rsidP="00292922">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b/>
          <w:sz w:val="28"/>
          <w:szCs w:val="28"/>
        </w:rPr>
        <w:t xml:space="preserve">The </w:t>
      </w:r>
      <w:r w:rsidR="00DF6213" w:rsidRPr="00AD2EED">
        <w:rPr>
          <w:rFonts w:asciiTheme="majorHAnsi" w:hAnsiTheme="majorHAnsi" w:cstheme="majorHAnsi"/>
          <w:b/>
          <w:sz w:val="28"/>
          <w:szCs w:val="28"/>
        </w:rPr>
        <w:t xml:space="preserve">NIHRC </w:t>
      </w:r>
      <w:r w:rsidRPr="00AD2EED">
        <w:rPr>
          <w:rFonts w:asciiTheme="majorHAnsi" w:hAnsiTheme="majorHAnsi" w:cstheme="majorHAnsi"/>
          <w:b/>
          <w:sz w:val="28"/>
          <w:szCs w:val="28"/>
        </w:rPr>
        <w:t>recommends that the House of Lords enquire what consideration was given to the needs of child victims of modern slavery and human trafficking</w:t>
      </w:r>
      <w:r w:rsidR="00FE7FD4" w:rsidRPr="00AD2EED">
        <w:rPr>
          <w:rFonts w:asciiTheme="majorHAnsi" w:hAnsiTheme="majorHAnsi" w:cstheme="majorHAnsi"/>
          <w:b/>
          <w:sz w:val="28"/>
          <w:szCs w:val="28"/>
        </w:rPr>
        <w:t xml:space="preserve"> and</w:t>
      </w:r>
      <w:r w:rsidRPr="00AD2EED">
        <w:rPr>
          <w:rFonts w:asciiTheme="majorHAnsi" w:hAnsiTheme="majorHAnsi" w:cstheme="majorHAnsi"/>
          <w:b/>
          <w:sz w:val="28"/>
          <w:szCs w:val="28"/>
        </w:rPr>
        <w:t xml:space="preserve"> how the best interests principle will be </w:t>
      </w:r>
      <w:r w:rsidR="00FE7FD4" w:rsidRPr="00AD2EED">
        <w:rPr>
          <w:rFonts w:asciiTheme="majorHAnsi" w:hAnsiTheme="majorHAnsi" w:cstheme="majorHAnsi"/>
          <w:b/>
          <w:sz w:val="28"/>
          <w:szCs w:val="28"/>
        </w:rPr>
        <w:t>ensured.</w:t>
      </w:r>
    </w:p>
    <w:p w14:paraId="55B4DE8F" w14:textId="77777777" w:rsidR="00646E92" w:rsidRPr="00AD2EED" w:rsidRDefault="00646E92" w:rsidP="00646E92">
      <w:pPr>
        <w:rPr>
          <w:rFonts w:asciiTheme="majorHAnsi" w:hAnsiTheme="majorHAnsi" w:cstheme="majorHAnsi"/>
          <w:b/>
          <w:sz w:val="28"/>
          <w:szCs w:val="28"/>
        </w:rPr>
      </w:pPr>
    </w:p>
    <w:p w14:paraId="01C9534B" w14:textId="047683A4" w:rsidR="00646E92" w:rsidRPr="00AD2EED" w:rsidRDefault="00646E92" w:rsidP="00646E92">
      <w:pPr>
        <w:rPr>
          <w:rFonts w:asciiTheme="majorHAnsi" w:hAnsiTheme="majorHAnsi" w:cstheme="majorHAnsi"/>
          <w:sz w:val="28"/>
          <w:szCs w:val="28"/>
          <w:u w:val="single"/>
        </w:rPr>
      </w:pPr>
    </w:p>
    <w:p w14:paraId="40469F33" w14:textId="6E7C1848" w:rsidR="00E27C8F" w:rsidRPr="00AD2EED" w:rsidRDefault="00646E92" w:rsidP="00E27C8F">
      <w:pPr>
        <w:pStyle w:val="Heading1"/>
        <w:numPr>
          <w:ilvl w:val="0"/>
          <w:numId w:val="22"/>
        </w:numPr>
        <w:rPr>
          <w:rFonts w:asciiTheme="majorHAnsi" w:hAnsiTheme="majorHAnsi" w:cstheme="majorHAnsi"/>
          <w:szCs w:val="40"/>
        </w:rPr>
      </w:pPr>
      <w:bookmarkStart w:id="5" w:name="_Toc94079999"/>
      <w:r w:rsidRPr="00AD2EED">
        <w:rPr>
          <w:rFonts w:asciiTheme="majorHAnsi" w:hAnsiTheme="majorHAnsi" w:cstheme="majorHAnsi"/>
          <w:szCs w:val="40"/>
        </w:rPr>
        <w:t>Electronic Travel Authorisations: Clause 71</w:t>
      </w:r>
      <w:bookmarkEnd w:id="5"/>
    </w:p>
    <w:p w14:paraId="29BC6690" w14:textId="77777777" w:rsidR="00E27C8F" w:rsidRPr="00AD2EED" w:rsidRDefault="00E27C8F" w:rsidP="00E27C8F">
      <w:pPr>
        <w:rPr>
          <w:rFonts w:asciiTheme="majorHAnsi" w:hAnsiTheme="majorHAnsi" w:cstheme="majorHAnsi"/>
          <w:sz w:val="28"/>
          <w:szCs w:val="28"/>
        </w:rPr>
      </w:pPr>
    </w:p>
    <w:p w14:paraId="0724B113" w14:textId="7FEB9842" w:rsidR="00DF6213" w:rsidRPr="00AD2EED" w:rsidRDefault="00DF6213"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The Commissions have received specific concerns from equality and human rights stakeholders in Northern Ireland about the potential impact of the ETA requirement on certain people</w:t>
      </w:r>
      <w:r w:rsidR="0065028B" w:rsidRPr="00AD2EED">
        <w:rPr>
          <w:rFonts w:asciiTheme="majorHAnsi" w:hAnsiTheme="majorHAnsi" w:cstheme="majorHAnsi"/>
          <w:sz w:val="28"/>
          <w:szCs w:val="28"/>
        </w:rPr>
        <w:t>, particularly those</w:t>
      </w:r>
      <w:r w:rsidRPr="00AD2EED">
        <w:rPr>
          <w:rFonts w:asciiTheme="majorHAnsi" w:hAnsiTheme="majorHAnsi" w:cstheme="majorHAnsi"/>
          <w:sz w:val="28"/>
          <w:szCs w:val="28"/>
        </w:rPr>
        <w:t xml:space="preserve"> living in border communities</w:t>
      </w:r>
      <w:r w:rsidR="008A32CB" w:rsidRPr="00AD2EED">
        <w:rPr>
          <w:rFonts w:asciiTheme="majorHAnsi" w:hAnsiTheme="majorHAnsi" w:cstheme="majorHAnsi"/>
          <w:sz w:val="28"/>
          <w:szCs w:val="28"/>
        </w:rPr>
        <w:t>.</w:t>
      </w:r>
      <w:r w:rsidR="00972502" w:rsidRPr="00AD2EED">
        <w:rPr>
          <w:rFonts w:asciiTheme="majorHAnsi" w:hAnsiTheme="majorHAnsi" w:cstheme="majorHAnsi"/>
          <w:sz w:val="28"/>
          <w:szCs w:val="28"/>
        </w:rPr>
        <w:t xml:space="preserve"> In keeping with the Commissions’ respective remits, some comments and recommendations in this section are made solely by NIHRC.</w:t>
      </w:r>
    </w:p>
    <w:p w14:paraId="0FD06FE5" w14:textId="77777777" w:rsidR="00DF6213" w:rsidRPr="00AD2EED" w:rsidRDefault="00DF6213" w:rsidP="0009024D">
      <w:pPr>
        <w:pStyle w:val="ListParagraph"/>
        <w:rPr>
          <w:rFonts w:asciiTheme="majorHAnsi" w:hAnsiTheme="majorHAnsi" w:cstheme="majorHAnsi"/>
          <w:sz w:val="28"/>
          <w:szCs w:val="28"/>
        </w:rPr>
      </w:pPr>
    </w:p>
    <w:p w14:paraId="36F29E45" w14:textId="5B52D30D" w:rsidR="00E27C8F" w:rsidRPr="00AD2EED" w:rsidRDefault="00AA4455"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The Commission</w:t>
      </w:r>
      <w:r w:rsidR="001A6F17" w:rsidRPr="00AD2EED">
        <w:rPr>
          <w:rFonts w:asciiTheme="majorHAnsi" w:hAnsiTheme="majorHAnsi" w:cstheme="majorHAnsi"/>
          <w:sz w:val="28"/>
          <w:szCs w:val="28"/>
        </w:rPr>
        <w:t>s</w:t>
      </w:r>
      <w:r w:rsidRPr="00AD2EED">
        <w:rPr>
          <w:rFonts w:asciiTheme="majorHAnsi" w:hAnsiTheme="majorHAnsi" w:cstheme="majorHAnsi"/>
          <w:sz w:val="28"/>
          <w:szCs w:val="28"/>
        </w:rPr>
        <w:t xml:space="preserve"> </w:t>
      </w:r>
      <w:r w:rsidR="0065028B" w:rsidRPr="00AD2EED">
        <w:rPr>
          <w:rFonts w:asciiTheme="majorHAnsi" w:hAnsiTheme="majorHAnsi" w:cstheme="majorHAnsi"/>
          <w:sz w:val="28"/>
          <w:szCs w:val="28"/>
        </w:rPr>
        <w:t>are</w:t>
      </w:r>
      <w:r w:rsidR="0059223A" w:rsidRPr="00AD2EED">
        <w:rPr>
          <w:rFonts w:asciiTheme="majorHAnsi" w:hAnsiTheme="majorHAnsi" w:cstheme="majorHAnsi"/>
          <w:sz w:val="28"/>
          <w:szCs w:val="28"/>
        </w:rPr>
        <w:t xml:space="preserve"> concerned at the potential impact for Northern Ireland of </w:t>
      </w:r>
      <w:r w:rsidRPr="00AD2EED">
        <w:rPr>
          <w:rFonts w:asciiTheme="majorHAnsi" w:hAnsiTheme="majorHAnsi" w:cstheme="majorHAnsi"/>
          <w:sz w:val="28"/>
          <w:szCs w:val="28"/>
        </w:rPr>
        <w:t>the proposed Electronic Travel Authorisation (ETA)</w:t>
      </w:r>
      <w:r w:rsidR="0059223A" w:rsidRPr="00AD2EED">
        <w:rPr>
          <w:rFonts w:asciiTheme="majorHAnsi" w:hAnsiTheme="majorHAnsi" w:cstheme="majorHAnsi"/>
          <w:sz w:val="28"/>
          <w:szCs w:val="28"/>
        </w:rPr>
        <w:t>.</w:t>
      </w:r>
      <w:r w:rsidR="00400E0E" w:rsidRPr="00AD2EED">
        <w:rPr>
          <w:rFonts w:asciiTheme="majorHAnsi" w:hAnsiTheme="majorHAnsi" w:cstheme="majorHAnsi"/>
          <w:sz w:val="28"/>
          <w:szCs w:val="28"/>
        </w:rPr>
        <w:t xml:space="preserve"> </w:t>
      </w:r>
      <w:r w:rsidRPr="00AD2EED">
        <w:rPr>
          <w:rFonts w:asciiTheme="majorHAnsi" w:hAnsiTheme="majorHAnsi" w:cstheme="majorHAnsi"/>
          <w:sz w:val="28"/>
          <w:szCs w:val="28"/>
        </w:rPr>
        <w:t>Clause 71 requires an ETA for all non-British citizens who require leave to enter the UK</w:t>
      </w:r>
      <w:r w:rsidR="0059223A" w:rsidRPr="00AD2EED">
        <w:rPr>
          <w:rFonts w:asciiTheme="majorHAnsi" w:hAnsiTheme="majorHAnsi" w:cstheme="majorHAnsi"/>
          <w:sz w:val="28"/>
          <w:szCs w:val="28"/>
        </w:rPr>
        <w:t>,</w:t>
      </w:r>
      <w:r w:rsidRPr="00AD2EED">
        <w:rPr>
          <w:rFonts w:asciiTheme="majorHAnsi" w:hAnsiTheme="majorHAnsi" w:cstheme="majorHAnsi"/>
          <w:sz w:val="28"/>
          <w:szCs w:val="28"/>
        </w:rPr>
        <w:t xml:space="preserve"> when travelling from Ireland to the UK.  Although Irish citizens</w:t>
      </w:r>
      <w:r w:rsidR="0059223A" w:rsidRPr="00AD2EED">
        <w:rPr>
          <w:rFonts w:asciiTheme="majorHAnsi" w:hAnsiTheme="majorHAnsi" w:cstheme="majorHAnsi"/>
          <w:sz w:val="28"/>
          <w:szCs w:val="28"/>
        </w:rPr>
        <w:t>,</w:t>
      </w:r>
      <w:r w:rsidRPr="00AD2EED">
        <w:rPr>
          <w:rFonts w:asciiTheme="majorHAnsi" w:hAnsiTheme="majorHAnsi" w:cstheme="majorHAnsi"/>
          <w:sz w:val="28"/>
          <w:szCs w:val="28"/>
        </w:rPr>
        <w:t xml:space="preserve"> by virtue of s3ZA of the Immigration Act 1971</w:t>
      </w:r>
      <w:r w:rsidR="0059223A" w:rsidRPr="00AD2EED">
        <w:rPr>
          <w:rFonts w:asciiTheme="majorHAnsi" w:hAnsiTheme="majorHAnsi" w:cstheme="majorHAnsi"/>
          <w:sz w:val="28"/>
          <w:szCs w:val="28"/>
        </w:rPr>
        <w:t>,</w:t>
      </w:r>
      <w:r w:rsidRPr="00AD2EED">
        <w:rPr>
          <w:rFonts w:asciiTheme="majorHAnsi" w:hAnsiTheme="majorHAnsi" w:cstheme="majorHAnsi"/>
          <w:sz w:val="28"/>
          <w:szCs w:val="28"/>
        </w:rPr>
        <w:t xml:space="preserve"> are excluded as individuals not requiring leave to enter the UK, a significant number of individuals who do not hold a recognised UK immigration status will be affected, despite free travel </w:t>
      </w:r>
      <w:r w:rsidR="0059223A" w:rsidRPr="00AD2EED">
        <w:rPr>
          <w:rFonts w:asciiTheme="majorHAnsi" w:hAnsiTheme="majorHAnsi" w:cstheme="majorHAnsi"/>
          <w:sz w:val="28"/>
          <w:szCs w:val="28"/>
        </w:rPr>
        <w:t xml:space="preserve">being available to them </w:t>
      </w:r>
      <w:r w:rsidRPr="00AD2EED">
        <w:rPr>
          <w:rFonts w:asciiTheme="majorHAnsi" w:hAnsiTheme="majorHAnsi" w:cstheme="majorHAnsi"/>
          <w:sz w:val="28"/>
          <w:szCs w:val="28"/>
        </w:rPr>
        <w:t>on the island of Ireland under the current system</w:t>
      </w:r>
      <w:r w:rsidR="00E27C8F" w:rsidRPr="00AD2EED">
        <w:rPr>
          <w:rFonts w:asciiTheme="majorHAnsi" w:hAnsiTheme="majorHAnsi" w:cstheme="majorHAnsi"/>
          <w:sz w:val="28"/>
          <w:szCs w:val="28"/>
        </w:rPr>
        <w:t>.</w:t>
      </w:r>
    </w:p>
    <w:p w14:paraId="4B366BBB" w14:textId="77777777" w:rsidR="00E27C8F" w:rsidRPr="00AD2EED" w:rsidRDefault="00E27C8F" w:rsidP="00E27C8F">
      <w:pPr>
        <w:pStyle w:val="ListParagraph"/>
        <w:rPr>
          <w:rFonts w:asciiTheme="majorHAnsi" w:hAnsiTheme="majorHAnsi" w:cstheme="majorHAnsi"/>
          <w:sz w:val="28"/>
          <w:szCs w:val="28"/>
        </w:rPr>
      </w:pPr>
    </w:p>
    <w:p w14:paraId="1A22D782" w14:textId="13778745" w:rsidR="00E27C8F" w:rsidRPr="00AD2EED" w:rsidRDefault="00400E0E"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While</w:t>
      </w:r>
      <w:r w:rsidR="00AA4455" w:rsidRPr="00AD2EED">
        <w:rPr>
          <w:rFonts w:asciiTheme="majorHAnsi" w:hAnsiTheme="majorHAnsi" w:cstheme="majorHAnsi"/>
          <w:sz w:val="28"/>
          <w:szCs w:val="28"/>
        </w:rPr>
        <w:t xml:space="preserve"> the </w:t>
      </w:r>
      <w:r w:rsidR="0059223A" w:rsidRPr="00AD2EED">
        <w:rPr>
          <w:rFonts w:asciiTheme="majorHAnsi" w:hAnsiTheme="majorHAnsi" w:cstheme="majorHAnsi"/>
          <w:sz w:val="28"/>
          <w:szCs w:val="28"/>
        </w:rPr>
        <w:t>E</w:t>
      </w:r>
      <w:r w:rsidR="00AA4455" w:rsidRPr="00AD2EED">
        <w:rPr>
          <w:rFonts w:asciiTheme="majorHAnsi" w:hAnsiTheme="majorHAnsi" w:cstheme="majorHAnsi"/>
          <w:sz w:val="28"/>
          <w:szCs w:val="28"/>
        </w:rPr>
        <w:t xml:space="preserve">xplanatory </w:t>
      </w:r>
      <w:r w:rsidR="0059223A" w:rsidRPr="00AD2EED">
        <w:rPr>
          <w:rFonts w:asciiTheme="majorHAnsi" w:hAnsiTheme="majorHAnsi" w:cstheme="majorHAnsi"/>
          <w:sz w:val="28"/>
          <w:szCs w:val="28"/>
        </w:rPr>
        <w:t>N</w:t>
      </w:r>
      <w:r w:rsidR="00AA4455" w:rsidRPr="00AD2EED">
        <w:rPr>
          <w:rFonts w:asciiTheme="majorHAnsi" w:hAnsiTheme="majorHAnsi" w:cstheme="majorHAnsi"/>
          <w:sz w:val="28"/>
          <w:szCs w:val="28"/>
        </w:rPr>
        <w:t>otes confirm that British and Irish citizens do not require an ETA</w:t>
      </w:r>
      <w:r w:rsidR="00101002" w:rsidRPr="00AD2EED">
        <w:rPr>
          <w:rFonts w:asciiTheme="majorHAnsi" w:hAnsiTheme="majorHAnsi" w:cstheme="majorHAnsi"/>
          <w:sz w:val="28"/>
          <w:szCs w:val="28"/>
        </w:rPr>
        <w:t>,</w:t>
      </w:r>
      <w:r w:rsidR="00AA4455" w:rsidRPr="00AD2EED">
        <w:rPr>
          <w:rFonts w:asciiTheme="majorHAnsi" w:hAnsiTheme="majorHAnsi" w:cstheme="majorHAnsi"/>
          <w:sz w:val="28"/>
          <w:szCs w:val="28"/>
        </w:rPr>
        <w:t xml:space="preserve"> their permission to travel </w:t>
      </w:r>
      <w:r w:rsidR="0059223A" w:rsidRPr="00AD2EED">
        <w:rPr>
          <w:rFonts w:asciiTheme="majorHAnsi" w:hAnsiTheme="majorHAnsi" w:cstheme="majorHAnsi"/>
          <w:sz w:val="28"/>
          <w:szCs w:val="28"/>
        </w:rPr>
        <w:t>will</w:t>
      </w:r>
      <w:r w:rsidR="00AA4455" w:rsidRPr="00AD2EED">
        <w:rPr>
          <w:rFonts w:asciiTheme="majorHAnsi" w:hAnsiTheme="majorHAnsi" w:cstheme="majorHAnsi"/>
          <w:sz w:val="28"/>
          <w:szCs w:val="28"/>
        </w:rPr>
        <w:t xml:space="preserve"> </w:t>
      </w:r>
      <w:r w:rsidR="0059223A" w:rsidRPr="00AD2EED">
        <w:rPr>
          <w:rFonts w:asciiTheme="majorHAnsi" w:hAnsiTheme="majorHAnsi" w:cstheme="majorHAnsi"/>
          <w:sz w:val="28"/>
          <w:szCs w:val="28"/>
        </w:rPr>
        <w:t xml:space="preserve">require </w:t>
      </w:r>
      <w:r w:rsidR="00AA4455" w:rsidRPr="00AD2EED">
        <w:rPr>
          <w:rFonts w:asciiTheme="majorHAnsi" w:hAnsiTheme="majorHAnsi" w:cstheme="majorHAnsi"/>
          <w:sz w:val="28"/>
          <w:szCs w:val="28"/>
        </w:rPr>
        <w:t xml:space="preserve">evidence </w:t>
      </w:r>
      <w:r w:rsidR="0059223A" w:rsidRPr="00AD2EED">
        <w:rPr>
          <w:rFonts w:asciiTheme="majorHAnsi" w:hAnsiTheme="majorHAnsi" w:cstheme="majorHAnsi"/>
          <w:sz w:val="28"/>
          <w:szCs w:val="28"/>
        </w:rPr>
        <w:t xml:space="preserve">of </w:t>
      </w:r>
      <w:r w:rsidR="00AA4455" w:rsidRPr="00AD2EED">
        <w:rPr>
          <w:rFonts w:asciiTheme="majorHAnsi" w:hAnsiTheme="majorHAnsi" w:cstheme="majorHAnsi"/>
          <w:sz w:val="28"/>
          <w:szCs w:val="28"/>
        </w:rPr>
        <w:t>their nationality, as ‘demonstrated by their passports’.</w:t>
      </w:r>
      <w:r w:rsidRPr="00AD2EED">
        <w:rPr>
          <w:rStyle w:val="FootnoteReference"/>
          <w:rFonts w:asciiTheme="majorHAnsi" w:hAnsiTheme="majorHAnsi" w:cstheme="majorHAnsi"/>
          <w:sz w:val="28"/>
          <w:szCs w:val="28"/>
        </w:rPr>
        <w:footnoteReference w:id="35"/>
      </w:r>
      <w:r w:rsidRPr="00AD2EED">
        <w:rPr>
          <w:rFonts w:asciiTheme="majorHAnsi" w:hAnsiTheme="majorHAnsi" w:cstheme="majorHAnsi"/>
          <w:sz w:val="28"/>
          <w:szCs w:val="28"/>
        </w:rPr>
        <w:t xml:space="preserve">  It is not known what measures are in place to decide which individuals will be required to ‘demonstrate’ that permission to travel. </w:t>
      </w:r>
      <w:r w:rsidR="0059223A" w:rsidRPr="00AD2EED">
        <w:rPr>
          <w:rFonts w:asciiTheme="majorHAnsi" w:hAnsiTheme="majorHAnsi" w:cstheme="majorHAnsi"/>
          <w:sz w:val="28"/>
          <w:szCs w:val="28"/>
        </w:rPr>
        <w:t xml:space="preserve">Currently, </w:t>
      </w:r>
      <w:r w:rsidR="00AA4455" w:rsidRPr="00AD2EED">
        <w:rPr>
          <w:rFonts w:asciiTheme="majorHAnsi" w:hAnsiTheme="majorHAnsi" w:cstheme="majorHAnsi"/>
          <w:sz w:val="28"/>
          <w:szCs w:val="28"/>
        </w:rPr>
        <w:t>a passport is not required for British and Irish citizens to travel across the borde</w:t>
      </w:r>
      <w:r w:rsidR="00101002" w:rsidRPr="00AD2EED">
        <w:rPr>
          <w:rFonts w:asciiTheme="majorHAnsi" w:hAnsiTheme="majorHAnsi" w:cstheme="majorHAnsi"/>
          <w:sz w:val="28"/>
          <w:szCs w:val="28"/>
        </w:rPr>
        <w:t>r</w:t>
      </w:r>
      <w:r w:rsidR="00AA4455" w:rsidRPr="00AD2EED">
        <w:rPr>
          <w:rFonts w:asciiTheme="majorHAnsi" w:hAnsiTheme="majorHAnsi" w:cstheme="majorHAnsi"/>
          <w:sz w:val="28"/>
          <w:szCs w:val="28"/>
        </w:rPr>
        <w:t>.</w:t>
      </w:r>
      <w:r w:rsidR="0059223A" w:rsidRPr="00AD2EED">
        <w:rPr>
          <w:rFonts w:asciiTheme="majorHAnsi" w:hAnsiTheme="majorHAnsi" w:cstheme="majorHAnsi"/>
          <w:sz w:val="28"/>
          <w:szCs w:val="28"/>
        </w:rPr>
        <w:t xml:space="preserve"> Therefore, British and Irish citizens may feel the need to start carrying passports when crossing the border, even if not required to go through immigration control. </w:t>
      </w:r>
      <w:r w:rsidR="003A5F2F" w:rsidRPr="00AD2EED">
        <w:rPr>
          <w:rFonts w:asciiTheme="majorHAnsi" w:hAnsiTheme="majorHAnsi" w:cstheme="majorHAnsi"/>
          <w:sz w:val="28"/>
          <w:szCs w:val="28"/>
        </w:rPr>
        <w:t>Both Commissions are</w:t>
      </w:r>
      <w:r w:rsidR="0059223A" w:rsidRPr="00AD2EED">
        <w:rPr>
          <w:rFonts w:asciiTheme="majorHAnsi" w:hAnsiTheme="majorHAnsi" w:cstheme="majorHAnsi"/>
          <w:sz w:val="28"/>
          <w:szCs w:val="28"/>
        </w:rPr>
        <w:t xml:space="preserve"> </w:t>
      </w:r>
      <w:r w:rsidRPr="00AD2EED">
        <w:rPr>
          <w:rFonts w:asciiTheme="majorHAnsi" w:hAnsiTheme="majorHAnsi" w:cstheme="majorHAnsi"/>
          <w:sz w:val="28"/>
          <w:szCs w:val="28"/>
        </w:rPr>
        <w:t xml:space="preserve">particularly </w:t>
      </w:r>
      <w:r w:rsidR="0059223A" w:rsidRPr="00AD2EED">
        <w:rPr>
          <w:rFonts w:asciiTheme="majorHAnsi" w:hAnsiTheme="majorHAnsi" w:cstheme="majorHAnsi"/>
          <w:sz w:val="28"/>
          <w:szCs w:val="28"/>
        </w:rPr>
        <w:t xml:space="preserve">concerned at the potential for </w:t>
      </w:r>
      <w:r w:rsidR="00AA4455" w:rsidRPr="00AD2EED">
        <w:rPr>
          <w:rFonts w:asciiTheme="majorHAnsi" w:hAnsiTheme="majorHAnsi" w:cstheme="majorHAnsi"/>
          <w:sz w:val="28"/>
          <w:szCs w:val="28"/>
        </w:rPr>
        <w:t>racial profiling</w:t>
      </w:r>
      <w:r w:rsidR="00632907" w:rsidRPr="00AD2EED">
        <w:rPr>
          <w:rFonts w:asciiTheme="majorHAnsi" w:hAnsiTheme="majorHAnsi" w:cstheme="majorHAnsi"/>
          <w:sz w:val="28"/>
          <w:szCs w:val="28"/>
        </w:rPr>
        <w:t>.</w:t>
      </w:r>
      <w:r w:rsidR="00DF6213" w:rsidRPr="00AD2EED">
        <w:rPr>
          <w:rStyle w:val="FootnoteReference"/>
          <w:rFonts w:asciiTheme="majorHAnsi" w:hAnsiTheme="majorHAnsi" w:cstheme="majorHAnsi"/>
          <w:sz w:val="28"/>
          <w:szCs w:val="28"/>
        </w:rPr>
        <w:footnoteReference w:id="36"/>
      </w:r>
      <w:r w:rsidR="00632907" w:rsidRPr="00AD2EED">
        <w:rPr>
          <w:rFonts w:asciiTheme="majorHAnsi" w:hAnsiTheme="majorHAnsi" w:cstheme="majorHAnsi"/>
          <w:sz w:val="28"/>
          <w:szCs w:val="28"/>
        </w:rPr>
        <w:t xml:space="preserve"> </w:t>
      </w:r>
    </w:p>
    <w:p w14:paraId="15B8E368" w14:textId="77777777" w:rsidR="00E27C8F" w:rsidRPr="00AD2EED" w:rsidRDefault="00E27C8F" w:rsidP="00E27C8F">
      <w:pPr>
        <w:pStyle w:val="ListParagraph"/>
        <w:rPr>
          <w:rFonts w:asciiTheme="majorHAnsi" w:hAnsiTheme="majorHAnsi" w:cstheme="majorHAnsi"/>
          <w:sz w:val="28"/>
          <w:szCs w:val="28"/>
        </w:rPr>
      </w:pPr>
    </w:p>
    <w:p w14:paraId="135313E9" w14:textId="06321359" w:rsidR="00E27C8F" w:rsidRPr="00AD2EED" w:rsidRDefault="00400E0E"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 xml:space="preserve">In the </w:t>
      </w:r>
      <w:r w:rsidR="001A6F17" w:rsidRPr="00AD2EED">
        <w:rPr>
          <w:rFonts w:asciiTheme="majorHAnsi" w:hAnsiTheme="majorHAnsi" w:cstheme="majorHAnsi"/>
          <w:sz w:val="28"/>
          <w:szCs w:val="28"/>
        </w:rPr>
        <w:t xml:space="preserve">Commissions’ </w:t>
      </w:r>
      <w:r w:rsidRPr="00AD2EED">
        <w:rPr>
          <w:rFonts w:asciiTheme="majorHAnsi" w:hAnsiTheme="majorHAnsi" w:cstheme="majorHAnsi"/>
          <w:sz w:val="28"/>
          <w:szCs w:val="28"/>
        </w:rPr>
        <w:t xml:space="preserve">view further </w:t>
      </w:r>
      <w:r w:rsidR="00AA4455" w:rsidRPr="00AD2EED">
        <w:rPr>
          <w:rFonts w:asciiTheme="majorHAnsi" w:hAnsiTheme="majorHAnsi" w:cstheme="majorHAnsi"/>
          <w:sz w:val="28"/>
          <w:szCs w:val="28"/>
        </w:rPr>
        <w:t xml:space="preserve">consideration </w:t>
      </w:r>
      <w:r w:rsidRPr="00AD2EED">
        <w:rPr>
          <w:rFonts w:asciiTheme="majorHAnsi" w:hAnsiTheme="majorHAnsi" w:cstheme="majorHAnsi"/>
          <w:sz w:val="28"/>
          <w:szCs w:val="28"/>
        </w:rPr>
        <w:t xml:space="preserve">is required, including specifically </w:t>
      </w:r>
      <w:r w:rsidR="00AA4455" w:rsidRPr="00AD2EED">
        <w:rPr>
          <w:rFonts w:asciiTheme="majorHAnsi" w:hAnsiTheme="majorHAnsi" w:cstheme="majorHAnsi"/>
          <w:sz w:val="28"/>
          <w:szCs w:val="28"/>
        </w:rPr>
        <w:t xml:space="preserve">Protocol </w:t>
      </w:r>
      <w:r w:rsidR="00474E4B" w:rsidRPr="00AD2EED">
        <w:rPr>
          <w:rFonts w:asciiTheme="majorHAnsi" w:hAnsiTheme="majorHAnsi" w:cstheme="majorHAnsi"/>
          <w:sz w:val="28"/>
          <w:szCs w:val="28"/>
        </w:rPr>
        <w:t>Article 2</w:t>
      </w:r>
      <w:r w:rsidRPr="00AD2EED">
        <w:rPr>
          <w:rFonts w:asciiTheme="majorHAnsi" w:hAnsiTheme="majorHAnsi" w:cstheme="majorHAnsi"/>
          <w:sz w:val="28"/>
          <w:szCs w:val="28"/>
        </w:rPr>
        <w:t>’s</w:t>
      </w:r>
      <w:r w:rsidR="00474E4B" w:rsidRPr="00AD2EED">
        <w:rPr>
          <w:rFonts w:asciiTheme="majorHAnsi" w:hAnsiTheme="majorHAnsi" w:cstheme="majorHAnsi"/>
          <w:sz w:val="28"/>
          <w:szCs w:val="28"/>
        </w:rPr>
        <w:t xml:space="preserve"> </w:t>
      </w:r>
      <w:r w:rsidR="00AA4455" w:rsidRPr="00AD2EED">
        <w:rPr>
          <w:rFonts w:asciiTheme="majorHAnsi" w:hAnsiTheme="majorHAnsi" w:cstheme="majorHAnsi"/>
          <w:sz w:val="28"/>
          <w:szCs w:val="28"/>
        </w:rPr>
        <w:t>‘non-diminution’ guarantee</w:t>
      </w:r>
      <w:r w:rsidR="00632907" w:rsidRPr="00AD2EED">
        <w:rPr>
          <w:rFonts w:asciiTheme="majorHAnsi" w:hAnsiTheme="majorHAnsi" w:cstheme="majorHAnsi"/>
          <w:sz w:val="28"/>
          <w:szCs w:val="28"/>
        </w:rPr>
        <w:t xml:space="preserve">, which </w:t>
      </w:r>
      <w:r w:rsidR="00AA4455" w:rsidRPr="00AD2EED">
        <w:rPr>
          <w:rFonts w:asciiTheme="majorHAnsi" w:hAnsiTheme="majorHAnsi" w:cstheme="majorHAnsi"/>
          <w:sz w:val="28"/>
          <w:szCs w:val="28"/>
        </w:rPr>
        <w:t>include</w:t>
      </w:r>
      <w:r w:rsidR="00632907" w:rsidRPr="00AD2EED">
        <w:rPr>
          <w:rFonts w:asciiTheme="majorHAnsi" w:hAnsiTheme="majorHAnsi" w:cstheme="majorHAnsi"/>
          <w:sz w:val="28"/>
          <w:szCs w:val="28"/>
        </w:rPr>
        <w:t>s</w:t>
      </w:r>
      <w:r w:rsidR="00AA4455" w:rsidRPr="00AD2EED">
        <w:rPr>
          <w:rFonts w:asciiTheme="majorHAnsi" w:hAnsiTheme="majorHAnsi" w:cstheme="majorHAnsi"/>
          <w:sz w:val="28"/>
          <w:szCs w:val="28"/>
        </w:rPr>
        <w:t xml:space="preserve"> the right to ‘equal opportunity in all social and economic activity.’</w:t>
      </w:r>
      <w:r w:rsidR="00AA4455" w:rsidRPr="00AD2EED">
        <w:rPr>
          <w:rStyle w:val="FootnoteReference"/>
          <w:rFonts w:asciiTheme="majorHAnsi" w:hAnsiTheme="majorHAnsi" w:cstheme="majorHAnsi"/>
          <w:sz w:val="28"/>
          <w:szCs w:val="28"/>
        </w:rPr>
        <w:footnoteReference w:id="37"/>
      </w:r>
      <w:r w:rsidR="00632907" w:rsidRPr="00AD2EED">
        <w:rPr>
          <w:rFonts w:asciiTheme="majorHAnsi" w:hAnsiTheme="majorHAnsi" w:cstheme="majorHAnsi"/>
          <w:sz w:val="28"/>
          <w:szCs w:val="28"/>
        </w:rPr>
        <w:t xml:space="preserve"> </w:t>
      </w:r>
      <w:r w:rsidR="00DA0AC2" w:rsidRPr="00AD2EED">
        <w:rPr>
          <w:rFonts w:asciiTheme="majorHAnsi" w:hAnsiTheme="majorHAnsi" w:cstheme="majorHAnsi"/>
          <w:sz w:val="28"/>
          <w:szCs w:val="28"/>
        </w:rPr>
        <w:t xml:space="preserve">Protocol Article 3 </w:t>
      </w:r>
      <w:r w:rsidR="00DA0AC2" w:rsidRPr="00AD2EED">
        <w:rPr>
          <w:rFonts w:asciiTheme="majorHAnsi" w:hAnsiTheme="majorHAnsi" w:cstheme="majorHAnsi"/>
          <w:spacing w:val="3"/>
          <w:sz w:val="28"/>
          <w:szCs w:val="28"/>
        </w:rPr>
        <w:t>provides for the continued operation of the Common Travel Area (‘CTA’), “while fully respecting the rights of natural persons conferred by Union law.”</w:t>
      </w:r>
      <w:r w:rsidR="00DA0AC2" w:rsidRPr="00AD2EED">
        <w:rPr>
          <w:rStyle w:val="FootnoteReference"/>
          <w:rFonts w:asciiTheme="majorHAnsi" w:hAnsiTheme="majorHAnsi" w:cstheme="majorHAnsi"/>
          <w:spacing w:val="3"/>
          <w:sz w:val="28"/>
          <w:szCs w:val="28"/>
        </w:rPr>
        <w:footnoteReference w:id="38"/>
      </w:r>
    </w:p>
    <w:p w14:paraId="45EFFC50" w14:textId="77777777" w:rsidR="00E27C8F" w:rsidRPr="00AD2EED" w:rsidRDefault="00E27C8F" w:rsidP="00E27C8F">
      <w:pPr>
        <w:pStyle w:val="ListParagraph"/>
        <w:rPr>
          <w:rFonts w:asciiTheme="majorHAnsi" w:hAnsiTheme="majorHAnsi" w:cstheme="majorHAnsi"/>
          <w:sz w:val="28"/>
          <w:szCs w:val="28"/>
        </w:rPr>
      </w:pPr>
    </w:p>
    <w:p w14:paraId="5E91F500" w14:textId="2A718D20" w:rsidR="00E27C8F" w:rsidRPr="00AD2EED" w:rsidRDefault="00632907"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 xml:space="preserve">Moreover, </w:t>
      </w:r>
      <w:r w:rsidR="0065028B" w:rsidRPr="00AD2EED">
        <w:rPr>
          <w:rFonts w:asciiTheme="majorHAnsi" w:hAnsiTheme="majorHAnsi" w:cstheme="majorHAnsi"/>
          <w:sz w:val="28"/>
          <w:szCs w:val="28"/>
        </w:rPr>
        <w:t xml:space="preserve">NIHRC considers that </w:t>
      </w:r>
      <w:r w:rsidRPr="00AD2EED">
        <w:rPr>
          <w:rFonts w:asciiTheme="majorHAnsi" w:hAnsiTheme="majorHAnsi" w:cstheme="majorHAnsi"/>
          <w:sz w:val="28"/>
          <w:szCs w:val="28"/>
        </w:rPr>
        <w:t>t</w:t>
      </w:r>
      <w:r w:rsidR="00AA4455" w:rsidRPr="00AD2EED">
        <w:rPr>
          <w:rFonts w:asciiTheme="majorHAnsi" w:hAnsiTheme="majorHAnsi" w:cstheme="majorHAnsi"/>
          <w:sz w:val="28"/>
          <w:szCs w:val="28"/>
        </w:rPr>
        <w:t xml:space="preserve">he imposition of </w:t>
      </w:r>
      <w:r w:rsidRPr="00AD2EED">
        <w:rPr>
          <w:rFonts w:asciiTheme="majorHAnsi" w:hAnsiTheme="majorHAnsi" w:cstheme="majorHAnsi"/>
          <w:sz w:val="28"/>
          <w:szCs w:val="28"/>
        </w:rPr>
        <w:t xml:space="preserve">any additional </w:t>
      </w:r>
      <w:r w:rsidR="00AA4455" w:rsidRPr="00AD2EED">
        <w:rPr>
          <w:rFonts w:asciiTheme="majorHAnsi" w:hAnsiTheme="majorHAnsi" w:cstheme="majorHAnsi"/>
          <w:sz w:val="28"/>
          <w:szCs w:val="28"/>
        </w:rPr>
        <w:t xml:space="preserve">restrictions </w:t>
      </w:r>
      <w:r w:rsidRPr="00AD2EED">
        <w:rPr>
          <w:rFonts w:asciiTheme="majorHAnsi" w:hAnsiTheme="majorHAnsi" w:cstheme="majorHAnsi"/>
          <w:sz w:val="28"/>
          <w:szCs w:val="28"/>
        </w:rPr>
        <w:t xml:space="preserve">or </w:t>
      </w:r>
      <w:r w:rsidR="00AA4455" w:rsidRPr="00AD2EED">
        <w:rPr>
          <w:rFonts w:asciiTheme="majorHAnsi" w:hAnsiTheme="majorHAnsi" w:cstheme="majorHAnsi"/>
          <w:sz w:val="28"/>
          <w:szCs w:val="28"/>
        </w:rPr>
        <w:t xml:space="preserve">checks </w:t>
      </w:r>
      <w:r w:rsidRPr="00AD2EED">
        <w:rPr>
          <w:rFonts w:asciiTheme="majorHAnsi" w:hAnsiTheme="majorHAnsi" w:cstheme="majorHAnsi"/>
          <w:sz w:val="28"/>
          <w:szCs w:val="28"/>
        </w:rPr>
        <w:t xml:space="preserve">likely </w:t>
      </w:r>
      <w:r w:rsidR="00AA4455" w:rsidRPr="00AD2EED">
        <w:rPr>
          <w:rFonts w:asciiTheme="majorHAnsi" w:hAnsiTheme="majorHAnsi" w:cstheme="majorHAnsi"/>
          <w:sz w:val="28"/>
          <w:szCs w:val="28"/>
        </w:rPr>
        <w:t xml:space="preserve">engages </w:t>
      </w:r>
      <w:r w:rsidRPr="00AD2EED">
        <w:rPr>
          <w:rFonts w:asciiTheme="majorHAnsi" w:hAnsiTheme="majorHAnsi" w:cstheme="majorHAnsi"/>
          <w:sz w:val="28"/>
          <w:szCs w:val="28"/>
        </w:rPr>
        <w:t xml:space="preserve">the </w:t>
      </w:r>
      <w:r w:rsidR="00AA4455" w:rsidRPr="00AD2EED">
        <w:rPr>
          <w:rFonts w:asciiTheme="majorHAnsi" w:hAnsiTheme="majorHAnsi" w:cstheme="majorHAnsi"/>
          <w:sz w:val="28"/>
          <w:szCs w:val="28"/>
        </w:rPr>
        <w:t xml:space="preserve">Article 8 ECHR </w:t>
      </w:r>
      <w:r w:rsidRPr="00AD2EED">
        <w:rPr>
          <w:rFonts w:asciiTheme="majorHAnsi" w:hAnsiTheme="majorHAnsi" w:cstheme="majorHAnsi"/>
          <w:sz w:val="28"/>
          <w:szCs w:val="28"/>
        </w:rPr>
        <w:t xml:space="preserve">right </w:t>
      </w:r>
      <w:r w:rsidR="00AA4455" w:rsidRPr="00AD2EED">
        <w:rPr>
          <w:rFonts w:asciiTheme="majorHAnsi" w:hAnsiTheme="majorHAnsi" w:cstheme="majorHAnsi"/>
          <w:sz w:val="28"/>
          <w:szCs w:val="28"/>
        </w:rPr>
        <w:t xml:space="preserve">(to private and family life), particularly of those who cross the border to shop, work, access services or visit family. Those are daily activities for many living in border communities. </w:t>
      </w:r>
      <w:r w:rsidRPr="00AD2EED">
        <w:rPr>
          <w:rFonts w:asciiTheme="majorHAnsi" w:hAnsiTheme="majorHAnsi" w:cstheme="majorHAnsi"/>
          <w:sz w:val="28"/>
          <w:szCs w:val="28"/>
        </w:rPr>
        <w:t>It</w:t>
      </w:r>
      <w:r w:rsidR="00AA4455" w:rsidRPr="00AD2EED">
        <w:rPr>
          <w:rFonts w:asciiTheme="majorHAnsi" w:hAnsiTheme="majorHAnsi" w:cstheme="majorHAnsi"/>
          <w:sz w:val="28"/>
          <w:szCs w:val="28"/>
        </w:rPr>
        <w:t xml:space="preserve"> is estimated that over 30,000 such journeys </w:t>
      </w:r>
      <w:r w:rsidRPr="00AD2EED">
        <w:rPr>
          <w:rFonts w:asciiTheme="majorHAnsi" w:hAnsiTheme="majorHAnsi" w:cstheme="majorHAnsi"/>
          <w:sz w:val="28"/>
          <w:szCs w:val="28"/>
        </w:rPr>
        <w:t xml:space="preserve">are made </w:t>
      </w:r>
      <w:r w:rsidR="00AA4455" w:rsidRPr="00AD2EED">
        <w:rPr>
          <w:rFonts w:asciiTheme="majorHAnsi" w:hAnsiTheme="majorHAnsi" w:cstheme="majorHAnsi"/>
          <w:sz w:val="28"/>
          <w:szCs w:val="28"/>
        </w:rPr>
        <w:t>daily.</w:t>
      </w:r>
      <w:r w:rsidR="00AA4455" w:rsidRPr="00AD2EED">
        <w:rPr>
          <w:rStyle w:val="FootnoteReference"/>
          <w:rFonts w:asciiTheme="majorHAnsi" w:hAnsiTheme="majorHAnsi" w:cstheme="majorHAnsi"/>
          <w:sz w:val="28"/>
          <w:szCs w:val="28"/>
        </w:rPr>
        <w:footnoteReference w:id="39"/>
      </w:r>
      <w:r w:rsidR="00AA4455" w:rsidRPr="00AD2EED">
        <w:rPr>
          <w:rFonts w:asciiTheme="majorHAnsi" w:hAnsiTheme="majorHAnsi" w:cstheme="majorHAnsi"/>
          <w:sz w:val="28"/>
          <w:szCs w:val="28"/>
        </w:rPr>
        <w:t xml:space="preserve"> Any increase in the nature or scale of restrictions and checks is likely to impact </w:t>
      </w:r>
      <w:r w:rsidRPr="00AD2EED">
        <w:rPr>
          <w:rFonts w:asciiTheme="majorHAnsi" w:hAnsiTheme="majorHAnsi" w:cstheme="majorHAnsi"/>
          <w:sz w:val="28"/>
          <w:szCs w:val="28"/>
        </w:rPr>
        <w:t xml:space="preserve">adversely </w:t>
      </w:r>
      <w:r w:rsidR="00AA4455" w:rsidRPr="00AD2EED">
        <w:rPr>
          <w:rFonts w:asciiTheme="majorHAnsi" w:hAnsiTheme="majorHAnsi" w:cstheme="majorHAnsi"/>
          <w:sz w:val="28"/>
          <w:szCs w:val="28"/>
        </w:rPr>
        <w:t>upon the Article 8 rights of a significant number of people.</w:t>
      </w:r>
    </w:p>
    <w:p w14:paraId="6810FAB0" w14:textId="77777777" w:rsidR="00E27C8F" w:rsidRPr="00AD2EED" w:rsidRDefault="00E27C8F" w:rsidP="00E27C8F">
      <w:pPr>
        <w:pStyle w:val="ListParagraph"/>
        <w:rPr>
          <w:rFonts w:asciiTheme="majorHAnsi" w:hAnsiTheme="majorHAnsi" w:cstheme="majorHAnsi"/>
          <w:sz w:val="28"/>
          <w:szCs w:val="28"/>
        </w:rPr>
      </w:pPr>
    </w:p>
    <w:p w14:paraId="172EE5E6" w14:textId="77777777" w:rsidR="00E27C8F" w:rsidRPr="00AD2EED" w:rsidRDefault="00AA4455"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 xml:space="preserve">We </w:t>
      </w:r>
      <w:r w:rsidR="00632907" w:rsidRPr="00AD2EED">
        <w:rPr>
          <w:rFonts w:asciiTheme="majorHAnsi" w:hAnsiTheme="majorHAnsi" w:cstheme="majorHAnsi"/>
          <w:sz w:val="28"/>
          <w:szCs w:val="28"/>
        </w:rPr>
        <w:t>note</w:t>
      </w:r>
      <w:r w:rsidRPr="00AD2EED">
        <w:rPr>
          <w:rFonts w:asciiTheme="majorHAnsi" w:hAnsiTheme="majorHAnsi" w:cstheme="majorHAnsi"/>
          <w:sz w:val="28"/>
          <w:szCs w:val="28"/>
        </w:rPr>
        <w:t xml:space="preserve"> that in order to protect the Belfast (Good Friday) Agreement, the UK Government committed under the Protocol, to avoiding a hard border “including…related checks and controls”</w:t>
      </w:r>
      <w:r w:rsidRPr="00AD2EED">
        <w:rPr>
          <w:rStyle w:val="FootnoteReference"/>
          <w:rFonts w:asciiTheme="majorHAnsi" w:hAnsiTheme="majorHAnsi" w:cstheme="majorHAnsi"/>
          <w:sz w:val="28"/>
          <w:szCs w:val="28"/>
        </w:rPr>
        <w:footnoteReference w:id="40"/>
      </w:r>
      <w:r w:rsidRPr="00AD2EED">
        <w:rPr>
          <w:rFonts w:asciiTheme="majorHAnsi" w:hAnsiTheme="majorHAnsi" w:cstheme="majorHAnsi"/>
          <w:sz w:val="28"/>
          <w:szCs w:val="28"/>
        </w:rPr>
        <w:t xml:space="preserve"> and gave undertakings in respect of protecting North-South co-operation and the </w:t>
      </w:r>
      <w:r w:rsidR="00DA0AC2" w:rsidRPr="00AD2EED">
        <w:rPr>
          <w:rFonts w:asciiTheme="majorHAnsi" w:hAnsiTheme="majorHAnsi" w:cstheme="majorHAnsi"/>
          <w:sz w:val="28"/>
          <w:szCs w:val="28"/>
        </w:rPr>
        <w:t>CT</w:t>
      </w:r>
      <w:r w:rsidRPr="00AD2EED">
        <w:rPr>
          <w:rFonts w:asciiTheme="majorHAnsi" w:hAnsiTheme="majorHAnsi" w:cstheme="majorHAnsi"/>
          <w:sz w:val="28"/>
          <w:szCs w:val="28"/>
        </w:rPr>
        <w:t>A</w:t>
      </w:r>
      <w:r w:rsidR="003E13AA" w:rsidRPr="00AD2EED">
        <w:rPr>
          <w:rFonts w:asciiTheme="majorHAnsi" w:hAnsiTheme="majorHAnsi" w:cstheme="majorHAnsi"/>
          <w:sz w:val="28"/>
          <w:szCs w:val="28"/>
        </w:rPr>
        <w:t>,</w:t>
      </w:r>
      <w:r w:rsidR="00DA0AC2" w:rsidRPr="00AD2EED">
        <w:rPr>
          <w:rFonts w:asciiTheme="majorHAnsi" w:hAnsiTheme="majorHAnsi" w:cstheme="majorHAnsi"/>
          <w:sz w:val="28"/>
          <w:szCs w:val="28"/>
        </w:rPr>
        <w:t xml:space="preserve"> all of which contribute to the enjoyment of private and family life</w:t>
      </w:r>
      <w:r w:rsidRPr="00AD2EED">
        <w:rPr>
          <w:rFonts w:asciiTheme="majorHAnsi" w:hAnsiTheme="majorHAnsi" w:cstheme="majorHAnsi"/>
          <w:sz w:val="28"/>
          <w:szCs w:val="28"/>
        </w:rPr>
        <w:t>.</w:t>
      </w:r>
      <w:r w:rsidRPr="00AD2EED">
        <w:rPr>
          <w:rStyle w:val="FootnoteReference"/>
          <w:rFonts w:asciiTheme="majorHAnsi" w:hAnsiTheme="majorHAnsi" w:cstheme="majorHAnsi"/>
          <w:sz w:val="28"/>
          <w:szCs w:val="28"/>
        </w:rPr>
        <w:footnoteReference w:id="41"/>
      </w:r>
      <w:r w:rsidRPr="00AD2EED">
        <w:rPr>
          <w:rFonts w:asciiTheme="majorHAnsi" w:hAnsiTheme="majorHAnsi" w:cstheme="majorHAnsi"/>
          <w:sz w:val="28"/>
          <w:szCs w:val="28"/>
        </w:rPr>
        <w:t xml:space="preserve"> </w:t>
      </w:r>
    </w:p>
    <w:p w14:paraId="1B12B90C" w14:textId="77777777" w:rsidR="00E27C8F" w:rsidRPr="00AD2EED" w:rsidRDefault="00E27C8F" w:rsidP="00E27C8F">
      <w:pPr>
        <w:pStyle w:val="ListParagraph"/>
        <w:rPr>
          <w:rFonts w:asciiTheme="majorHAnsi" w:hAnsiTheme="majorHAnsi" w:cstheme="majorHAnsi"/>
          <w:sz w:val="28"/>
          <w:szCs w:val="28"/>
        </w:rPr>
      </w:pPr>
    </w:p>
    <w:p w14:paraId="5F49DD4C" w14:textId="18BE6DDD" w:rsidR="00E27C8F" w:rsidRPr="00AD2EED" w:rsidRDefault="00632907"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 xml:space="preserve">In respect of the </w:t>
      </w:r>
      <w:r w:rsidR="00AA4455" w:rsidRPr="00AD2EED">
        <w:rPr>
          <w:rFonts w:asciiTheme="majorHAnsi" w:hAnsiTheme="majorHAnsi" w:cstheme="majorHAnsi"/>
          <w:sz w:val="28"/>
          <w:szCs w:val="28"/>
        </w:rPr>
        <w:t xml:space="preserve">proposed </w:t>
      </w:r>
      <w:r w:rsidRPr="00AD2EED">
        <w:rPr>
          <w:rFonts w:asciiTheme="majorHAnsi" w:hAnsiTheme="majorHAnsi" w:cstheme="majorHAnsi"/>
          <w:sz w:val="28"/>
          <w:szCs w:val="28"/>
        </w:rPr>
        <w:t xml:space="preserve">Clause 71 </w:t>
      </w:r>
      <w:r w:rsidR="00AA4455" w:rsidRPr="00AD2EED">
        <w:rPr>
          <w:rFonts w:asciiTheme="majorHAnsi" w:hAnsiTheme="majorHAnsi" w:cstheme="majorHAnsi"/>
          <w:sz w:val="28"/>
          <w:szCs w:val="28"/>
        </w:rPr>
        <w:t>rules</w:t>
      </w:r>
      <w:r w:rsidRPr="00AD2EED">
        <w:rPr>
          <w:rFonts w:asciiTheme="majorHAnsi" w:hAnsiTheme="majorHAnsi" w:cstheme="majorHAnsi"/>
          <w:sz w:val="28"/>
          <w:szCs w:val="28"/>
        </w:rPr>
        <w:t xml:space="preserve">, the </w:t>
      </w:r>
      <w:r w:rsidR="003A5F2F" w:rsidRPr="00AD2EED">
        <w:rPr>
          <w:rFonts w:asciiTheme="majorHAnsi" w:hAnsiTheme="majorHAnsi" w:cstheme="majorHAnsi"/>
          <w:sz w:val="28"/>
          <w:szCs w:val="28"/>
        </w:rPr>
        <w:t xml:space="preserve">NIHRC </w:t>
      </w:r>
      <w:r w:rsidRPr="00AD2EED">
        <w:rPr>
          <w:rFonts w:asciiTheme="majorHAnsi" w:hAnsiTheme="majorHAnsi" w:cstheme="majorHAnsi"/>
          <w:sz w:val="28"/>
          <w:szCs w:val="28"/>
        </w:rPr>
        <w:t>appreciates that further consideration will be required when the exact text is available but, in the meantime,</w:t>
      </w:r>
      <w:r w:rsidR="00AA4455" w:rsidRPr="00AD2EED">
        <w:rPr>
          <w:rFonts w:asciiTheme="majorHAnsi" w:hAnsiTheme="majorHAnsi" w:cstheme="majorHAnsi"/>
          <w:sz w:val="28"/>
          <w:szCs w:val="28"/>
        </w:rPr>
        <w:t xml:space="preserve"> the Commission notes that Clause 71(6) of the Bill states:</w:t>
      </w:r>
    </w:p>
    <w:p w14:paraId="6B9254EA" w14:textId="77777777" w:rsidR="00E27C8F" w:rsidRPr="00AD2EED" w:rsidRDefault="00E27C8F" w:rsidP="00E27C8F">
      <w:pPr>
        <w:pStyle w:val="ListParagraph"/>
        <w:rPr>
          <w:rFonts w:asciiTheme="majorHAnsi" w:hAnsiTheme="majorHAnsi" w:cstheme="majorHAnsi"/>
          <w:sz w:val="28"/>
          <w:szCs w:val="28"/>
        </w:rPr>
      </w:pPr>
    </w:p>
    <w:p w14:paraId="519996F8" w14:textId="77777777" w:rsidR="00E27C8F" w:rsidRPr="00AD2EED" w:rsidRDefault="00E27C8F" w:rsidP="00E27C8F">
      <w:pPr>
        <w:spacing w:line="288" w:lineRule="auto"/>
        <w:ind w:firstLine="709"/>
        <w:jc w:val="both"/>
        <w:rPr>
          <w:rFonts w:asciiTheme="majorHAnsi" w:hAnsiTheme="majorHAnsi" w:cstheme="majorHAnsi"/>
          <w:sz w:val="28"/>
          <w:szCs w:val="28"/>
        </w:rPr>
      </w:pPr>
      <w:r w:rsidRPr="00AD2EED">
        <w:rPr>
          <w:rFonts w:asciiTheme="majorHAnsi" w:hAnsiTheme="majorHAnsi" w:cstheme="majorHAnsi"/>
          <w:sz w:val="28"/>
          <w:szCs w:val="28"/>
        </w:rPr>
        <w:t xml:space="preserve">“The rules must— </w:t>
      </w:r>
    </w:p>
    <w:p w14:paraId="0C419BDD"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 xml:space="preserve">(a) provide for the form or manner in which an application for an ETA may be made, granted or refused; </w:t>
      </w:r>
    </w:p>
    <w:p w14:paraId="4C0512C0"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 xml:space="preserve">(b) specify the conditions (if any) which must be met before an application for an ETA may be granted; </w:t>
      </w:r>
    </w:p>
    <w:p w14:paraId="79AD22B1"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 xml:space="preserve">(c) specify the grounds on which an application for an ETA must or may be refused; </w:t>
      </w:r>
    </w:p>
    <w:p w14:paraId="0218E36E"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(d) specify the criteria to be applied in determining— (</w:t>
      </w:r>
      <w:proofErr w:type="spellStart"/>
      <w:r w:rsidRPr="00AD2EED">
        <w:rPr>
          <w:rFonts w:asciiTheme="majorHAnsi" w:hAnsiTheme="majorHAnsi" w:cstheme="majorHAnsi"/>
          <w:sz w:val="28"/>
          <w:szCs w:val="28"/>
        </w:rPr>
        <w:t>i</w:t>
      </w:r>
      <w:proofErr w:type="spellEnd"/>
      <w:r w:rsidRPr="00AD2EED">
        <w:rPr>
          <w:rFonts w:asciiTheme="majorHAnsi" w:hAnsiTheme="majorHAnsi" w:cstheme="majorHAnsi"/>
          <w:sz w:val="28"/>
          <w:szCs w:val="28"/>
        </w:rPr>
        <w:t xml:space="preserve">) the period for which an ETA is valid; (ii) the number of journeys to the United Kingdom during that period for which it is valid (which may be unlimited); </w:t>
      </w:r>
    </w:p>
    <w:p w14:paraId="0FD9A1A5"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(e) require an ETA to include provision setting out the matters mentioned in paragraph (d)(</w:t>
      </w:r>
      <w:proofErr w:type="spellStart"/>
      <w:r w:rsidRPr="00AD2EED">
        <w:rPr>
          <w:rFonts w:asciiTheme="majorHAnsi" w:hAnsiTheme="majorHAnsi" w:cstheme="majorHAnsi"/>
          <w:sz w:val="28"/>
          <w:szCs w:val="28"/>
        </w:rPr>
        <w:t>i</w:t>
      </w:r>
      <w:proofErr w:type="spellEnd"/>
      <w:r w:rsidRPr="00AD2EED">
        <w:rPr>
          <w:rFonts w:asciiTheme="majorHAnsi" w:hAnsiTheme="majorHAnsi" w:cstheme="majorHAnsi"/>
          <w:sz w:val="28"/>
          <w:szCs w:val="28"/>
        </w:rPr>
        <w:t xml:space="preserve">) and (ii); </w:t>
      </w:r>
    </w:p>
    <w:p w14:paraId="2B1AF0A4"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 xml:space="preserve">(f) provide for the form or manner in which an ETA may be varied or cancelled; </w:t>
      </w:r>
    </w:p>
    <w:p w14:paraId="438E88D0" w14:textId="77777777" w:rsidR="00E27C8F" w:rsidRPr="00AD2EED" w:rsidRDefault="00E27C8F" w:rsidP="00E27C8F">
      <w:pPr>
        <w:spacing w:line="288" w:lineRule="auto"/>
        <w:ind w:left="709"/>
        <w:jc w:val="both"/>
        <w:rPr>
          <w:rFonts w:asciiTheme="majorHAnsi" w:hAnsiTheme="majorHAnsi" w:cstheme="majorHAnsi"/>
          <w:sz w:val="28"/>
          <w:szCs w:val="28"/>
        </w:rPr>
      </w:pPr>
      <w:r w:rsidRPr="00AD2EED">
        <w:rPr>
          <w:rFonts w:asciiTheme="majorHAnsi" w:hAnsiTheme="majorHAnsi" w:cstheme="majorHAnsi"/>
          <w:sz w:val="28"/>
          <w:szCs w:val="28"/>
        </w:rPr>
        <w:t>(g) specify the grounds on which an ETA must or may be varied or cancelled.”</w:t>
      </w:r>
    </w:p>
    <w:p w14:paraId="626E14FB" w14:textId="77777777" w:rsidR="00E27C8F" w:rsidRPr="00AD2EED" w:rsidRDefault="00E27C8F" w:rsidP="00E27C8F">
      <w:pPr>
        <w:pStyle w:val="ListParagraph"/>
        <w:rPr>
          <w:rFonts w:asciiTheme="majorHAnsi" w:hAnsiTheme="majorHAnsi" w:cstheme="majorHAnsi"/>
          <w:sz w:val="28"/>
          <w:szCs w:val="28"/>
        </w:rPr>
      </w:pPr>
    </w:p>
    <w:p w14:paraId="12E402EC" w14:textId="5C8979AC" w:rsidR="00E27C8F" w:rsidRPr="00AD2EED" w:rsidRDefault="00AA4455"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sz w:val="28"/>
          <w:szCs w:val="28"/>
        </w:rPr>
        <w:t xml:space="preserve">The </w:t>
      </w:r>
      <w:r w:rsidR="003A5F2F" w:rsidRPr="00AD2EED">
        <w:rPr>
          <w:rFonts w:asciiTheme="majorHAnsi" w:hAnsiTheme="majorHAnsi" w:cstheme="majorHAnsi"/>
          <w:sz w:val="28"/>
          <w:szCs w:val="28"/>
        </w:rPr>
        <w:t xml:space="preserve">NIHRC </w:t>
      </w:r>
      <w:r w:rsidRPr="00AD2EED">
        <w:rPr>
          <w:rFonts w:asciiTheme="majorHAnsi" w:hAnsiTheme="majorHAnsi" w:cstheme="majorHAnsi"/>
          <w:sz w:val="28"/>
          <w:szCs w:val="28"/>
        </w:rPr>
        <w:t>notes that although there are grounds for refusal, there is no mechanism for review or appeal</w:t>
      </w:r>
      <w:r w:rsidR="00C2292D" w:rsidRPr="00AD2EED">
        <w:rPr>
          <w:rFonts w:asciiTheme="majorHAnsi" w:hAnsiTheme="majorHAnsi" w:cstheme="majorHAnsi"/>
          <w:sz w:val="28"/>
          <w:szCs w:val="28"/>
        </w:rPr>
        <w:t>.</w:t>
      </w:r>
    </w:p>
    <w:p w14:paraId="41D6A993" w14:textId="77777777" w:rsidR="00E27C8F" w:rsidRPr="00AD2EED" w:rsidRDefault="00E27C8F" w:rsidP="00E27C8F">
      <w:pPr>
        <w:pStyle w:val="ListParagraph"/>
        <w:rPr>
          <w:rFonts w:asciiTheme="majorHAnsi" w:hAnsiTheme="majorHAnsi" w:cstheme="majorHAnsi"/>
          <w:sz w:val="28"/>
          <w:szCs w:val="28"/>
        </w:rPr>
      </w:pPr>
    </w:p>
    <w:p w14:paraId="507C86FF" w14:textId="4936B9C6" w:rsidR="00E27C8F" w:rsidRPr="00AD2EED" w:rsidRDefault="00C2292D"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b/>
          <w:bCs/>
          <w:sz w:val="28"/>
          <w:szCs w:val="28"/>
        </w:rPr>
        <w:t xml:space="preserve">The </w:t>
      </w:r>
      <w:r w:rsidR="003A5F2F" w:rsidRPr="00AD2EED">
        <w:rPr>
          <w:rFonts w:asciiTheme="majorHAnsi" w:hAnsiTheme="majorHAnsi" w:cstheme="majorHAnsi"/>
          <w:b/>
          <w:bCs/>
          <w:sz w:val="28"/>
          <w:szCs w:val="28"/>
        </w:rPr>
        <w:t xml:space="preserve">NIHRC </w:t>
      </w:r>
      <w:r w:rsidRPr="00AD2EED">
        <w:rPr>
          <w:rFonts w:asciiTheme="majorHAnsi" w:hAnsiTheme="majorHAnsi" w:cstheme="majorHAnsi"/>
          <w:b/>
          <w:bCs/>
          <w:sz w:val="28"/>
          <w:szCs w:val="28"/>
        </w:rPr>
        <w:t xml:space="preserve">recommends that </w:t>
      </w:r>
      <w:r w:rsidR="00E27C8F" w:rsidRPr="00AD2EED">
        <w:rPr>
          <w:rFonts w:asciiTheme="majorHAnsi" w:hAnsiTheme="majorHAnsi" w:cstheme="majorHAnsi"/>
          <w:b/>
          <w:bCs/>
          <w:sz w:val="28"/>
          <w:szCs w:val="28"/>
        </w:rPr>
        <w:t>Clause 71 (Electronic Travel Authorisation)</w:t>
      </w:r>
      <w:r w:rsidR="00AA4455" w:rsidRPr="00AD2EED">
        <w:rPr>
          <w:rFonts w:asciiTheme="majorHAnsi" w:hAnsiTheme="majorHAnsi" w:cstheme="majorHAnsi"/>
          <w:b/>
          <w:bCs/>
          <w:sz w:val="28"/>
          <w:szCs w:val="28"/>
        </w:rPr>
        <w:t xml:space="preserve"> </w:t>
      </w:r>
      <w:r w:rsidRPr="00AD2EED">
        <w:rPr>
          <w:rFonts w:asciiTheme="majorHAnsi" w:hAnsiTheme="majorHAnsi" w:cstheme="majorHAnsi"/>
          <w:b/>
          <w:bCs/>
          <w:sz w:val="28"/>
          <w:szCs w:val="28"/>
        </w:rPr>
        <w:t xml:space="preserve">is </w:t>
      </w:r>
      <w:r w:rsidR="00AA4455" w:rsidRPr="00AD2EED">
        <w:rPr>
          <w:rFonts w:asciiTheme="majorHAnsi" w:hAnsiTheme="majorHAnsi" w:cstheme="majorHAnsi"/>
          <w:b/>
          <w:bCs/>
          <w:sz w:val="28"/>
          <w:szCs w:val="28"/>
        </w:rPr>
        <w:t xml:space="preserve">amended to </w:t>
      </w:r>
      <w:r w:rsidRPr="00AD2EED">
        <w:rPr>
          <w:rFonts w:asciiTheme="majorHAnsi" w:hAnsiTheme="majorHAnsi" w:cstheme="majorHAnsi"/>
          <w:b/>
          <w:bCs/>
          <w:sz w:val="28"/>
          <w:szCs w:val="28"/>
        </w:rPr>
        <w:t xml:space="preserve">provide a mechanism for </w:t>
      </w:r>
      <w:r w:rsidR="00E45C84">
        <w:rPr>
          <w:rFonts w:asciiTheme="majorHAnsi" w:hAnsiTheme="majorHAnsi" w:cstheme="majorHAnsi"/>
          <w:b/>
          <w:bCs/>
          <w:sz w:val="28"/>
          <w:szCs w:val="28"/>
        </w:rPr>
        <w:t xml:space="preserve">timely </w:t>
      </w:r>
      <w:r w:rsidRPr="00AD2EED">
        <w:rPr>
          <w:rFonts w:asciiTheme="majorHAnsi" w:hAnsiTheme="majorHAnsi" w:cstheme="majorHAnsi"/>
          <w:b/>
          <w:bCs/>
          <w:sz w:val="28"/>
          <w:szCs w:val="28"/>
        </w:rPr>
        <w:t>review and/or appeal.</w:t>
      </w:r>
    </w:p>
    <w:p w14:paraId="14EA0896" w14:textId="77777777" w:rsidR="00E27C8F" w:rsidRPr="00AD2EED" w:rsidRDefault="00E27C8F" w:rsidP="00E27C8F">
      <w:pPr>
        <w:pStyle w:val="ListParagraph"/>
        <w:rPr>
          <w:rFonts w:asciiTheme="majorHAnsi" w:hAnsiTheme="majorHAnsi" w:cstheme="majorHAnsi"/>
          <w:b/>
          <w:bCs/>
          <w:sz w:val="28"/>
          <w:szCs w:val="28"/>
        </w:rPr>
      </w:pPr>
    </w:p>
    <w:p w14:paraId="47B9732E" w14:textId="20C4A739" w:rsidR="00AA4455" w:rsidRPr="00AD2EED" w:rsidRDefault="00C2292D" w:rsidP="00E27C8F">
      <w:pPr>
        <w:pStyle w:val="ListParagraph"/>
        <w:numPr>
          <w:ilvl w:val="1"/>
          <w:numId w:val="23"/>
        </w:numPr>
        <w:rPr>
          <w:rFonts w:asciiTheme="majorHAnsi" w:hAnsiTheme="majorHAnsi" w:cstheme="majorHAnsi"/>
          <w:sz w:val="28"/>
          <w:szCs w:val="28"/>
        </w:rPr>
      </w:pPr>
      <w:r w:rsidRPr="00AD2EED">
        <w:rPr>
          <w:rFonts w:asciiTheme="majorHAnsi" w:hAnsiTheme="majorHAnsi" w:cstheme="majorHAnsi"/>
          <w:b/>
          <w:bCs/>
          <w:sz w:val="28"/>
          <w:szCs w:val="28"/>
        </w:rPr>
        <w:t>The</w:t>
      </w:r>
      <w:r w:rsidR="00AA4455" w:rsidRPr="00AD2EED">
        <w:rPr>
          <w:rFonts w:asciiTheme="majorHAnsi" w:hAnsiTheme="majorHAnsi" w:cstheme="majorHAnsi"/>
          <w:b/>
          <w:bCs/>
          <w:sz w:val="28"/>
          <w:szCs w:val="28"/>
        </w:rPr>
        <w:t xml:space="preserve"> </w:t>
      </w:r>
      <w:r w:rsidR="003A5F2F" w:rsidRPr="00AD2EED">
        <w:rPr>
          <w:rFonts w:asciiTheme="majorHAnsi" w:hAnsiTheme="majorHAnsi" w:cstheme="majorHAnsi"/>
          <w:b/>
          <w:bCs/>
          <w:sz w:val="28"/>
          <w:szCs w:val="28"/>
        </w:rPr>
        <w:t xml:space="preserve">NIHRC </w:t>
      </w:r>
      <w:r w:rsidR="00AA4455" w:rsidRPr="00AD2EED">
        <w:rPr>
          <w:rFonts w:asciiTheme="majorHAnsi" w:hAnsiTheme="majorHAnsi" w:cstheme="majorHAnsi"/>
          <w:b/>
          <w:bCs/>
          <w:sz w:val="28"/>
          <w:szCs w:val="28"/>
        </w:rPr>
        <w:t>recommends that that all journeys into Northern Ireland</w:t>
      </w:r>
      <w:r w:rsidRPr="00AD2EED">
        <w:rPr>
          <w:rFonts w:asciiTheme="majorHAnsi" w:hAnsiTheme="majorHAnsi" w:cstheme="majorHAnsi"/>
          <w:b/>
          <w:bCs/>
          <w:sz w:val="28"/>
          <w:szCs w:val="28"/>
        </w:rPr>
        <w:t>,</w:t>
      </w:r>
      <w:r w:rsidR="00AA4455" w:rsidRPr="00AD2EED">
        <w:rPr>
          <w:rFonts w:asciiTheme="majorHAnsi" w:hAnsiTheme="majorHAnsi" w:cstheme="majorHAnsi"/>
          <w:b/>
          <w:bCs/>
          <w:sz w:val="28"/>
          <w:szCs w:val="28"/>
        </w:rPr>
        <w:t xml:space="preserve"> that originate from Ireland</w:t>
      </w:r>
      <w:r w:rsidRPr="00AD2EED">
        <w:rPr>
          <w:rFonts w:asciiTheme="majorHAnsi" w:hAnsiTheme="majorHAnsi" w:cstheme="majorHAnsi"/>
          <w:b/>
          <w:bCs/>
          <w:sz w:val="28"/>
          <w:szCs w:val="28"/>
        </w:rPr>
        <w:t>,</w:t>
      </w:r>
      <w:r w:rsidR="00AA4455" w:rsidRPr="00AD2EED">
        <w:rPr>
          <w:rFonts w:asciiTheme="majorHAnsi" w:hAnsiTheme="majorHAnsi" w:cstheme="majorHAnsi"/>
          <w:b/>
          <w:bCs/>
          <w:sz w:val="28"/>
          <w:szCs w:val="28"/>
        </w:rPr>
        <w:t xml:space="preserve"> should be exempt from ETA requirements.</w:t>
      </w:r>
      <w:r w:rsidR="00AA4455" w:rsidRPr="00AD2EED">
        <w:rPr>
          <w:rFonts w:asciiTheme="majorHAnsi" w:hAnsiTheme="majorHAnsi" w:cstheme="majorHAnsi"/>
          <w:sz w:val="28"/>
          <w:szCs w:val="28"/>
        </w:rPr>
        <w:t xml:space="preserve"> </w:t>
      </w:r>
    </w:p>
    <w:p w14:paraId="55E828CC" w14:textId="4DF67C50" w:rsidR="00646E92" w:rsidRPr="00AD2EED" w:rsidRDefault="00AA4455" w:rsidP="00E27C8F">
      <w:pPr>
        <w:pStyle w:val="Heading1"/>
        <w:numPr>
          <w:ilvl w:val="0"/>
          <w:numId w:val="22"/>
        </w:numPr>
        <w:rPr>
          <w:rFonts w:asciiTheme="majorHAnsi" w:hAnsiTheme="majorHAnsi" w:cstheme="majorHAnsi"/>
          <w:szCs w:val="40"/>
        </w:rPr>
      </w:pPr>
      <w:bookmarkStart w:id="6" w:name="_Toc94080000"/>
      <w:r w:rsidRPr="00AD2EED">
        <w:rPr>
          <w:rFonts w:asciiTheme="majorHAnsi" w:hAnsiTheme="majorHAnsi" w:cstheme="majorHAnsi"/>
          <w:szCs w:val="40"/>
        </w:rPr>
        <w:t>Over-arching recommendations and conclusion</w:t>
      </w:r>
      <w:bookmarkEnd w:id="6"/>
    </w:p>
    <w:p w14:paraId="36956775" w14:textId="77777777" w:rsidR="00AA4455" w:rsidRPr="00AD2EED" w:rsidRDefault="00AA4455" w:rsidP="00AA4455">
      <w:pPr>
        <w:rPr>
          <w:rFonts w:asciiTheme="majorHAnsi" w:hAnsiTheme="majorHAnsi" w:cstheme="majorHAnsi"/>
          <w:sz w:val="28"/>
          <w:szCs w:val="28"/>
        </w:rPr>
      </w:pPr>
    </w:p>
    <w:p w14:paraId="4D9FD9F0" w14:textId="1F605754" w:rsidR="00AA4455" w:rsidRPr="00AD2EED" w:rsidRDefault="0065028B" w:rsidP="00E27C8F">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sz w:val="28"/>
          <w:szCs w:val="28"/>
        </w:rPr>
        <w:t>NIHRC</w:t>
      </w:r>
      <w:r w:rsidR="003A5F2F" w:rsidRPr="00AD2EED">
        <w:rPr>
          <w:rFonts w:asciiTheme="majorHAnsi" w:hAnsiTheme="majorHAnsi" w:cstheme="majorHAnsi"/>
          <w:sz w:val="28"/>
          <w:szCs w:val="28"/>
        </w:rPr>
        <w:t>’</w:t>
      </w:r>
      <w:r w:rsidRPr="00AD2EED">
        <w:rPr>
          <w:rFonts w:asciiTheme="majorHAnsi" w:hAnsiTheme="majorHAnsi" w:cstheme="majorHAnsi"/>
          <w:sz w:val="28"/>
          <w:szCs w:val="28"/>
        </w:rPr>
        <w:t>s</w:t>
      </w:r>
      <w:r w:rsidR="00646E92" w:rsidRPr="00AD2EED">
        <w:rPr>
          <w:rFonts w:asciiTheme="majorHAnsi" w:hAnsiTheme="majorHAnsi" w:cstheme="majorHAnsi"/>
          <w:sz w:val="28"/>
          <w:szCs w:val="28"/>
        </w:rPr>
        <w:t xml:space="preserve"> </w:t>
      </w:r>
      <w:r w:rsidR="00C2292D" w:rsidRPr="00AD2EED">
        <w:rPr>
          <w:rFonts w:asciiTheme="majorHAnsi" w:hAnsiTheme="majorHAnsi" w:cstheme="majorHAnsi"/>
          <w:sz w:val="28"/>
          <w:szCs w:val="28"/>
        </w:rPr>
        <w:t>broader observations</w:t>
      </w:r>
      <w:r w:rsidR="00646E92" w:rsidRPr="00AD2EED">
        <w:rPr>
          <w:rFonts w:asciiTheme="majorHAnsi" w:hAnsiTheme="majorHAnsi" w:cstheme="majorHAnsi"/>
          <w:sz w:val="28"/>
          <w:szCs w:val="28"/>
        </w:rPr>
        <w:t xml:space="preserve"> are set out in </w:t>
      </w:r>
      <w:r w:rsidR="0004558C" w:rsidRPr="00AD2EED">
        <w:rPr>
          <w:rFonts w:asciiTheme="majorHAnsi" w:hAnsiTheme="majorHAnsi" w:cstheme="majorHAnsi"/>
          <w:sz w:val="28"/>
          <w:szCs w:val="28"/>
        </w:rPr>
        <w:t xml:space="preserve">its </w:t>
      </w:r>
      <w:r w:rsidR="00646E92" w:rsidRPr="00AD2EED">
        <w:rPr>
          <w:rFonts w:asciiTheme="majorHAnsi" w:hAnsiTheme="majorHAnsi" w:cstheme="majorHAnsi"/>
          <w:sz w:val="28"/>
          <w:szCs w:val="28"/>
        </w:rPr>
        <w:t>submission to the Joint Committ</w:t>
      </w:r>
      <w:r w:rsidR="00770E20" w:rsidRPr="00AD2EED">
        <w:rPr>
          <w:rFonts w:asciiTheme="majorHAnsi" w:hAnsiTheme="majorHAnsi" w:cstheme="majorHAnsi"/>
          <w:sz w:val="28"/>
          <w:szCs w:val="28"/>
        </w:rPr>
        <w:t>ee on Human Rights</w:t>
      </w:r>
      <w:r w:rsidR="0004558C" w:rsidRPr="00AD2EED">
        <w:rPr>
          <w:rFonts w:asciiTheme="majorHAnsi" w:hAnsiTheme="majorHAnsi" w:cstheme="majorHAnsi"/>
          <w:sz w:val="28"/>
          <w:szCs w:val="28"/>
        </w:rPr>
        <w:t>, which are supplemented by this briefing</w:t>
      </w:r>
      <w:r w:rsidR="00646E92" w:rsidRPr="00AD2EED">
        <w:rPr>
          <w:rFonts w:asciiTheme="majorHAnsi" w:hAnsiTheme="majorHAnsi" w:cstheme="majorHAnsi"/>
          <w:sz w:val="28"/>
          <w:szCs w:val="28"/>
        </w:rPr>
        <w:t>.</w:t>
      </w:r>
      <w:r w:rsidR="00770E20" w:rsidRPr="00AD2EED">
        <w:rPr>
          <w:rStyle w:val="FootnoteReference"/>
          <w:rFonts w:asciiTheme="majorHAnsi" w:hAnsiTheme="majorHAnsi" w:cstheme="majorHAnsi"/>
          <w:sz w:val="28"/>
          <w:szCs w:val="28"/>
        </w:rPr>
        <w:footnoteReference w:id="42"/>
      </w:r>
      <w:r w:rsidR="00646E92" w:rsidRPr="00AD2EED">
        <w:rPr>
          <w:rFonts w:asciiTheme="majorHAnsi" w:hAnsiTheme="majorHAnsi" w:cstheme="majorHAnsi"/>
          <w:sz w:val="28"/>
          <w:szCs w:val="28"/>
        </w:rPr>
        <w:t xml:space="preserve"> In this </w:t>
      </w:r>
      <w:r w:rsidR="0004558C" w:rsidRPr="00AD2EED">
        <w:rPr>
          <w:rFonts w:asciiTheme="majorHAnsi" w:hAnsiTheme="majorHAnsi" w:cstheme="majorHAnsi"/>
          <w:sz w:val="28"/>
          <w:szCs w:val="28"/>
        </w:rPr>
        <w:t>briefing</w:t>
      </w:r>
      <w:r w:rsidR="00646E92" w:rsidRPr="00AD2EED">
        <w:rPr>
          <w:rFonts w:asciiTheme="majorHAnsi" w:hAnsiTheme="majorHAnsi" w:cstheme="majorHAnsi"/>
          <w:sz w:val="28"/>
          <w:szCs w:val="28"/>
        </w:rPr>
        <w:t xml:space="preserve"> we draw out the particular issues affecting Northern Ireland</w:t>
      </w:r>
      <w:r w:rsidR="0004558C" w:rsidRPr="00AD2EED">
        <w:rPr>
          <w:rFonts w:asciiTheme="majorHAnsi" w:hAnsiTheme="majorHAnsi" w:cstheme="majorHAnsi"/>
          <w:sz w:val="28"/>
          <w:szCs w:val="28"/>
        </w:rPr>
        <w:t>. The Commission</w:t>
      </w:r>
      <w:r w:rsidR="003A5F2F" w:rsidRPr="00AD2EED">
        <w:rPr>
          <w:rFonts w:asciiTheme="majorHAnsi" w:hAnsiTheme="majorHAnsi" w:cstheme="majorHAnsi"/>
          <w:sz w:val="28"/>
          <w:szCs w:val="28"/>
        </w:rPr>
        <w:t>s</w:t>
      </w:r>
      <w:r w:rsidR="0004558C" w:rsidRPr="00AD2EED">
        <w:rPr>
          <w:rFonts w:asciiTheme="majorHAnsi" w:hAnsiTheme="majorHAnsi" w:cstheme="majorHAnsi"/>
          <w:sz w:val="28"/>
          <w:szCs w:val="28"/>
        </w:rPr>
        <w:t xml:space="preserve"> make the </w:t>
      </w:r>
      <w:r w:rsidR="00646E92" w:rsidRPr="00AD2EED">
        <w:rPr>
          <w:rFonts w:asciiTheme="majorHAnsi" w:hAnsiTheme="majorHAnsi" w:cstheme="majorHAnsi"/>
          <w:sz w:val="28"/>
          <w:szCs w:val="28"/>
        </w:rPr>
        <w:t>following over-arching recommendations</w:t>
      </w:r>
      <w:r w:rsidR="00621731" w:rsidRPr="00AD2EED">
        <w:rPr>
          <w:rFonts w:asciiTheme="majorHAnsi" w:hAnsiTheme="majorHAnsi" w:cstheme="majorHAnsi"/>
          <w:sz w:val="28"/>
          <w:szCs w:val="28"/>
        </w:rPr>
        <w:t xml:space="preserve"> for Northern Ireland</w:t>
      </w:r>
      <w:r w:rsidR="0004558C" w:rsidRPr="00AD2EED">
        <w:rPr>
          <w:rFonts w:asciiTheme="majorHAnsi" w:hAnsiTheme="majorHAnsi" w:cstheme="majorHAnsi"/>
          <w:sz w:val="28"/>
          <w:szCs w:val="28"/>
        </w:rPr>
        <w:t>.</w:t>
      </w:r>
      <w:r w:rsidR="00646E92" w:rsidRPr="00AD2EED">
        <w:rPr>
          <w:rFonts w:asciiTheme="majorHAnsi" w:hAnsiTheme="majorHAnsi" w:cstheme="majorHAnsi"/>
          <w:sz w:val="28"/>
          <w:szCs w:val="28"/>
        </w:rPr>
        <w:t xml:space="preserve"> </w:t>
      </w:r>
    </w:p>
    <w:p w14:paraId="438B7352" w14:textId="77777777" w:rsidR="00AA4455" w:rsidRPr="00AD2EED" w:rsidRDefault="00AA4455" w:rsidP="00AA4455">
      <w:pPr>
        <w:pStyle w:val="ListParagraph"/>
        <w:rPr>
          <w:rFonts w:asciiTheme="majorHAnsi" w:hAnsiTheme="majorHAnsi" w:cstheme="majorHAnsi"/>
          <w:b/>
          <w:bCs/>
          <w:sz w:val="28"/>
          <w:szCs w:val="28"/>
        </w:rPr>
      </w:pPr>
    </w:p>
    <w:p w14:paraId="6C88FFE2" w14:textId="3FE1E029" w:rsidR="00AA4455" w:rsidRPr="00AD2EED" w:rsidRDefault="00646E92" w:rsidP="00E27C8F">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b/>
          <w:bCs/>
          <w:sz w:val="28"/>
          <w:szCs w:val="28"/>
        </w:rPr>
        <w:t>The Commission</w:t>
      </w:r>
      <w:r w:rsidR="003A5F2F" w:rsidRPr="00AD2EED">
        <w:rPr>
          <w:rFonts w:asciiTheme="majorHAnsi" w:hAnsiTheme="majorHAnsi" w:cstheme="majorHAnsi"/>
          <w:b/>
          <w:bCs/>
          <w:sz w:val="28"/>
          <w:szCs w:val="28"/>
        </w:rPr>
        <w:t>s</w:t>
      </w:r>
      <w:r w:rsidRPr="00AD2EED">
        <w:rPr>
          <w:rFonts w:asciiTheme="majorHAnsi" w:hAnsiTheme="majorHAnsi" w:cstheme="majorHAnsi"/>
          <w:b/>
          <w:bCs/>
          <w:sz w:val="28"/>
          <w:szCs w:val="28"/>
        </w:rPr>
        <w:t xml:space="preserve"> recommend that </w:t>
      </w:r>
      <w:r w:rsidR="00621731" w:rsidRPr="00AD2EED">
        <w:rPr>
          <w:rFonts w:asciiTheme="majorHAnsi" w:hAnsiTheme="majorHAnsi" w:cstheme="majorHAnsi"/>
          <w:b/>
          <w:bCs/>
          <w:sz w:val="28"/>
          <w:szCs w:val="28"/>
        </w:rPr>
        <w:t xml:space="preserve">the House of </w:t>
      </w:r>
      <w:r w:rsidRPr="00AD2EED">
        <w:rPr>
          <w:rFonts w:asciiTheme="majorHAnsi" w:hAnsiTheme="majorHAnsi" w:cstheme="majorHAnsi"/>
          <w:b/>
          <w:bCs/>
          <w:sz w:val="28"/>
          <w:szCs w:val="28"/>
        </w:rPr>
        <w:t xml:space="preserve">Lords enquire what consideration was given to Protocol Article 2 in the development of this legislation, and </w:t>
      </w:r>
      <w:r w:rsidR="00DE6566">
        <w:rPr>
          <w:rFonts w:asciiTheme="majorHAnsi" w:hAnsiTheme="majorHAnsi" w:cstheme="majorHAnsi"/>
          <w:b/>
          <w:bCs/>
          <w:sz w:val="28"/>
          <w:szCs w:val="28"/>
        </w:rPr>
        <w:t>recommend</w:t>
      </w:r>
      <w:r w:rsidR="00DE6566" w:rsidRPr="00AD2EED">
        <w:rPr>
          <w:rFonts w:asciiTheme="majorHAnsi" w:hAnsiTheme="majorHAnsi" w:cstheme="majorHAnsi"/>
          <w:b/>
          <w:bCs/>
          <w:sz w:val="28"/>
          <w:szCs w:val="28"/>
        </w:rPr>
        <w:t xml:space="preserve"> </w:t>
      </w:r>
      <w:r w:rsidRPr="00AD2EED">
        <w:rPr>
          <w:rFonts w:asciiTheme="majorHAnsi" w:hAnsiTheme="majorHAnsi" w:cstheme="majorHAnsi"/>
          <w:b/>
          <w:bCs/>
          <w:sz w:val="28"/>
          <w:szCs w:val="28"/>
        </w:rPr>
        <w:t xml:space="preserve">that Article 2 should be considered </w:t>
      </w:r>
      <w:r w:rsidR="008A32CB" w:rsidRPr="00AD2EED">
        <w:rPr>
          <w:rFonts w:asciiTheme="majorHAnsi" w:hAnsiTheme="majorHAnsi" w:cstheme="majorHAnsi"/>
          <w:b/>
          <w:bCs/>
          <w:sz w:val="28"/>
          <w:szCs w:val="28"/>
        </w:rPr>
        <w:t xml:space="preserve">and complied with </w:t>
      </w:r>
      <w:r w:rsidRPr="00AD2EED">
        <w:rPr>
          <w:rFonts w:asciiTheme="majorHAnsi" w:hAnsiTheme="majorHAnsi" w:cstheme="majorHAnsi"/>
          <w:b/>
          <w:bCs/>
          <w:sz w:val="28"/>
          <w:szCs w:val="28"/>
        </w:rPr>
        <w:t xml:space="preserve">throughout its implementation and the development of regulations and guidance. </w:t>
      </w:r>
    </w:p>
    <w:p w14:paraId="2830C89E" w14:textId="77777777" w:rsidR="00AA4455" w:rsidRPr="00AD2EED" w:rsidRDefault="00AA4455" w:rsidP="00AA4455">
      <w:pPr>
        <w:pStyle w:val="ListParagraph"/>
        <w:rPr>
          <w:rFonts w:asciiTheme="majorHAnsi" w:hAnsiTheme="majorHAnsi" w:cstheme="majorHAnsi"/>
          <w:b/>
          <w:bCs/>
          <w:sz w:val="28"/>
          <w:szCs w:val="28"/>
        </w:rPr>
      </w:pPr>
    </w:p>
    <w:p w14:paraId="32803F7C" w14:textId="76660AB4" w:rsidR="00AA4455" w:rsidRPr="00AD2EED" w:rsidRDefault="00646E92" w:rsidP="00E27C8F">
      <w:pPr>
        <w:pStyle w:val="ListParagraph"/>
        <w:numPr>
          <w:ilvl w:val="1"/>
          <w:numId w:val="22"/>
        </w:numPr>
        <w:ind w:left="709"/>
        <w:rPr>
          <w:rFonts w:asciiTheme="majorHAnsi" w:hAnsiTheme="majorHAnsi" w:cstheme="majorHAnsi"/>
          <w:sz w:val="28"/>
          <w:szCs w:val="28"/>
        </w:rPr>
      </w:pPr>
      <w:bookmarkStart w:id="7" w:name="_Hlk93673927"/>
      <w:r w:rsidRPr="00AD2EED">
        <w:rPr>
          <w:rFonts w:asciiTheme="majorHAnsi" w:hAnsiTheme="majorHAnsi" w:cstheme="majorHAnsi"/>
          <w:b/>
          <w:bCs/>
          <w:sz w:val="28"/>
          <w:szCs w:val="28"/>
        </w:rPr>
        <w:t>The Commission</w:t>
      </w:r>
      <w:r w:rsidR="003A5F2F" w:rsidRPr="00AD2EED">
        <w:rPr>
          <w:rFonts w:asciiTheme="majorHAnsi" w:hAnsiTheme="majorHAnsi" w:cstheme="majorHAnsi"/>
          <w:b/>
          <w:bCs/>
          <w:sz w:val="28"/>
          <w:szCs w:val="28"/>
        </w:rPr>
        <w:t>s</w:t>
      </w:r>
      <w:r w:rsidRPr="00AD2EED">
        <w:rPr>
          <w:rFonts w:asciiTheme="majorHAnsi" w:hAnsiTheme="majorHAnsi" w:cstheme="majorHAnsi"/>
          <w:b/>
          <w:bCs/>
          <w:sz w:val="28"/>
          <w:szCs w:val="28"/>
        </w:rPr>
        <w:t xml:space="preserve"> recommend that no provision made in or under the Bill, insofar as it extends to Northern Ireland, should be inconsistent with Protocol Article 2</w:t>
      </w:r>
      <w:bookmarkEnd w:id="7"/>
      <w:r w:rsidRPr="00AD2EED">
        <w:rPr>
          <w:rFonts w:asciiTheme="majorHAnsi" w:hAnsiTheme="majorHAnsi" w:cstheme="majorHAnsi"/>
          <w:b/>
          <w:bCs/>
          <w:sz w:val="28"/>
          <w:szCs w:val="28"/>
        </w:rPr>
        <w:t>.</w:t>
      </w:r>
    </w:p>
    <w:p w14:paraId="56FE1C96" w14:textId="77777777" w:rsidR="00AA4455" w:rsidRPr="00AD2EED" w:rsidRDefault="00AA4455" w:rsidP="00AA4455">
      <w:pPr>
        <w:pStyle w:val="ListParagraph"/>
        <w:rPr>
          <w:rFonts w:asciiTheme="majorHAnsi" w:hAnsiTheme="majorHAnsi" w:cstheme="majorHAnsi"/>
          <w:b/>
          <w:bCs/>
          <w:sz w:val="28"/>
          <w:szCs w:val="28"/>
        </w:rPr>
      </w:pPr>
    </w:p>
    <w:p w14:paraId="5D89872F" w14:textId="660CD54D" w:rsidR="00646E92" w:rsidRPr="00AD2EED" w:rsidRDefault="00646E92" w:rsidP="00E27C8F">
      <w:pPr>
        <w:pStyle w:val="ListParagraph"/>
        <w:numPr>
          <w:ilvl w:val="1"/>
          <w:numId w:val="22"/>
        </w:numPr>
        <w:ind w:left="709"/>
        <w:rPr>
          <w:rFonts w:asciiTheme="majorHAnsi" w:hAnsiTheme="majorHAnsi" w:cstheme="majorHAnsi"/>
          <w:sz w:val="28"/>
          <w:szCs w:val="28"/>
        </w:rPr>
      </w:pPr>
      <w:r w:rsidRPr="00AD2EED">
        <w:rPr>
          <w:rFonts w:asciiTheme="majorHAnsi" w:hAnsiTheme="majorHAnsi" w:cstheme="majorHAnsi"/>
          <w:b/>
          <w:bCs/>
          <w:sz w:val="28"/>
          <w:szCs w:val="28"/>
        </w:rPr>
        <w:t>The Commission</w:t>
      </w:r>
      <w:r w:rsidR="003A5F2F" w:rsidRPr="00AD2EED">
        <w:rPr>
          <w:rFonts w:asciiTheme="majorHAnsi" w:hAnsiTheme="majorHAnsi" w:cstheme="majorHAnsi"/>
          <w:b/>
          <w:bCs/>
          <w:sz w:val="28"/>
          <w:szCs w:val="28"/>
        </w:rPr>
        <w:t>s</w:t>
      </w:r>
      <w:r w:rsidRPr="00AD2EED">
        <w:rPr>
          <w:rFonts w:asciiTheme="majorHAnsi" w:hAnsiTheme="majorHAnsi" w:cstheme="majorHAnsi"/>
          <w:b/>
          <w:bCs/>
          <w:sz w:val="28"/>
          <w:szCs w:val="28"/>
        </w:rPr>
        <w:t xml:space="preserve"> recommend that the House of Lords </w:t>
      </w:r>
      <w:r w:rsidR="00BB3ED8">
        <w:rPr>
          <w:rFonts w:asciiTheme="majorHAnsi" w:hAnsiTheme="majorHAnsi" w:cstheme="majorHAnsi"/>
          <w:b/>
          <w:bCs/>
          <w:sz w:val="28"/>
          <w:szCs w:val="28"/>
        </w:rPr>
        <w:t>request</w:t>
      </w:r>
      <w:r w:rsidR="00BB3ED8" w:rsidRPr="00AD2EED">
        <w:rPr>
          <w:rFonts w:asciiTheme="majorHAnsi" w:hAnsiTheme="majorHAnsi" w:cstheme="majorHAnsi"/>
          <w:b/>
          <w:bCs/>
          <w:sz w:val="28"/>
          <w:szCs w:val="28"/>
        </w:rPr>
        <w:t xml:space="preserve"> </w:t>
      </w:r>
      <w:r w:rsidRPr="00AD2EED">
        <w:rPr>
          <w:rFonts w:asciiTheme="majorHAnsi" w:hAnsiTheme="majorHAnsi" w:cstheme="majorHAnsi"/>
          <w:b/>
          <w:bCs/>
          <w:sz w:val="28"/>
          <w:szCs w:val="28"/>
        </w:rPr>
        <w:t xml:space="preserve">that Explanatory Notes accompanying the Nationality and Borders Bill </w:t>
      </w:r>
      <w:r w:rsidR="008A32CB" w:rsidRPr="00AD2EED">
        <w:rPr>
          <w:rFonts w:asciiTheme="majorHAnsi" w:hAnsiTheme="majorHAnsi" w:cstheme="majorHAnsi"/>
          <w:b/>
          <w:bCs/>
          <w:sz w:val="28"/>
          <w:szCs w:val="28"/>
        </w:rPr>
        <w:t>indicate what consideration has been given to compliance with</w:t>
      </w:r>
      <w:r w:rsidRPr="00AD2EED">
        <w:rPr>
          <w:rFonts w:asciiTheme="majorHAnsi" w:hAnsiTheme="majorHAnsi" w:cstheme="majorHAnsi"/>
          <w:b/>
          <w:bCs/>
          <w:sz w:val="28"/>
          <w:szCs w:val="28"/>
        </w:rPr>
        <w:t xml:space="preserve"> Protocol Article 2 and provisions which engage it.</w:t>
      </w:r>
    </w:p>
    <w:p w14:paraId="46E41035" w14:textId="77777777" w:rsidR="003B7D0E" w:rsidRPr="00292922" w:rsidRDefault="003B7D0E" w:rsidP="00646E92">
      <w:pPr>
        <w:pStyle w:val="BasicParagraph"/>
        <w:suppressAutoHyphens/>
        <w:rPr>
          <w:rFonts w:ascii="Verdana" w:hAnsi="Verdana" w:cs="Arial"/>
          <w:color w:val="3C3C3B"/>
        </w:rPr>
      </w:pPr>
    </w:p>
    <w:p w14:paraId="364E8EA8" w14:textId="77777777" w:rsidR="003B7D0E" w:rsidRPr="00292922" w:rsidRDefault="003B7D0E" w:rsidP="003B7D0E">
      <w:pPr>
        <w:pStyle w:val="BasicParagraph"/>
        <w:suppressAutoHyphens/>
        <w:jc w:val="center"/>
        <w:rPr>
          <w:rFonts w:ascii="Verdana" w:hAnsi="Verdana" w:cs="Arial"/>
          <w:color w:val="3C3C3B"/>
        </w:rPr>
      </w:pPr>
    </w:p>
    <w:p w14:paraId="7EC38EDB" w14:textId="77777777" w:rsidR="003B7D0E" w:rsidRPr="00292922" w:rsidRDefault="003B7D0E" w:rsidP="003B7D0E">
      <w:pPr>
        <w:pStyle w:val="BasicParagraph"/>
        <w:suppressAutoHyphens/>
        <w:jc w:val="center"/>
        <w:rPr>
          <w:rFonts w:ascii="Verdana" w:hAnsi="Verdana" w:cs="Arial"/>
          <w:color w:val="3C3C3B"/>
        </w:rPr>
      </w:pPr>
    </w:p>
    <w:p w14:paraId="2F4C60DE" w14:textId="77777777" w:rsidR="003B7D0E" w:rsidRPr="00292922" w:rsidRDefault="003B7D0E" w:rsidP="003B7D0E">
      <w:pPr>
        <w:pStyle w:val="BasicParagraph"/>
        <w:suppressAutoHyphens/>
        <w:jc w:val="center"/>
        <w:rPr>
          <w:rFonts w:ascii="Verdana" w:hAnsi="Verdana" w:cs="Arial"/>
          <w:color w:val="3C3C3B"/>
        </w:rPr>
      </w:pPr>
    </w:p>
    <w:p w14:paraId="202D017D" w14:textId="185133E6" w:rsidR="003B7D0E" w:rsidRPr="00292922" w:rsidRDefault="003B7D0E" w:rsidP="003B7D0E">
      <w:pPr>
        <w:pStyle w:val="BasicParagraph"/>
        <w:suppressAutoHyphens/>
        <w:jc w:val="center"/>
        <w:rPr>
          <w:rFonts w:ascii="Verdana" w:hAnsi="Verdana" w:cs="Arial"/>
          <w:color w:val="3C3C3B"/>
        </w:rPr>
      </w:pPr>
    </w:p>
    <w:p w14:paraId="7E40BACB" w14:textId="012570E0" w:rsidR="00AA4455" w:rsidRPr="00292922" w:rsidRDefault="00AA4455" w:rsidP="003B7D0E">
      <w:pPr>
        <w:pStyle w:val="BasicParagraph"/>
        <w:suppressAutoHyphens/>
        <w:jc w:val="center"/>
        <w:rPr>
          <w:rFonts w:ascii="Verdana" w:hAnsi="Verdana" w:cs="Arial"/>
          <w:color w:val="3C3C3B"/>
        </w:rPr>
      </w:pPr>
    </w:p>
    <w:p w14:paraId="1467E678" w14:textId="6DF764DA" w:rsidR="00AA4455" w:rsidRPr="00292922" w:rsidRDefault="00AA4455" w:rsidP="003B7D0E">
      <w:pPr>
        <w:pStyle w:val="BasicParagraph"/>
        <w:suppressAutoHyphens/>
        <w:jc w:val="center"/>
        <w:rPr>
          <w:rFonts w:ascii="Verdana" w:hAnsi="Verdana" w:cs="Arial"/>
          <w:color w:val="3C3C3B"/>
        </w:rPr>
      </w:pPr>
    </w:p>
    <w:p w14:paraId="46E503BE" w14:textId="4D1F62DC" w:rsidR="00AA4455" w:rsidRPr="00292922" w:rsidRDefault="00AA4455" w:rsidP="003B7D0E">
      <w:pPr>
        <w:pStyle w:val="BasicParagraph"/>
        <w:suppressAutoHyphens/>
        <w:jc w:val="center"/>
        <w:rPr>
          <w:rFonts w:ascii="Verdana" w:hAnsi="Verdana" w:cs="Arial"/>
          <w:color w:val="3C3C3B"/>
        </w:rPr>
      </w:pPr>
    </w:p>
    <w:p w14:paraId="48207F2B" w14:textId="647A04E8" w:rsidR="00AA4455" w:rsidRPr="00292922" w:rsidRDefault="00AA4455" w:rsidP="003B7D0E">
      <w:pPr>
        <w:pStyle w:val="BasicParagraph"/>
        <w:suppressAutoHyphens/>
        <w:jc w:val="center"/>
        <w:rPr>
          <w:rFonts w:ascii="Verdana" w:hAnsi="Verdana" w:cs="Arial"/>
          <w:color w:val="3C3C3B"/>
        </w:rPr>
      </w:pPr>
    </w:p>
    <w:p w14:paraId="381B327D" w14:textId="045471F0" w:rsidR="00AA4455" w:rsidRPr="00292922" w:rsidRDefault="00AA4455" w:rsidP="003B7D0E">
      <w:pPr>
        <w:pStyle w:val="BasicParagraph"/>
        <w:suppressAutoHyphens/>
        <w:jc w:val="center"/>
        <w:rPr>
          <w:rFonts w:ascii="Verdana" w:hAnsi="Verdana" w:cs="Arial"/>
          <w:color w:val="3C3C3B"/>
        </w:rPr>
      </w:pPr>
    </w:p>
    <w:p w14:paraId="36A3A41C" w14:textId="15E68565" w:rsidR="00AA4455" w:rsidRPr="00292922" w:rsidRDefault="00AA4455" w:rsidP="003B7D0E">
      <w:pPr>
        <w:pStyle w:val="BasicParagraph"/>
        <w:suppressAutoHyphens/>
        <w:jc w:val="center"/>
        <w:rPr>
          <w:rFonts w:ascii="Verdana" w:hAnsi="Verdana" w:cs="Arial"/>
          <w:color w:val="3C3C3B"/>
        </w:rPr>
      </w:pPr>
    </w:p>
    <w:p w14:paraId="4F51FA26" w14:textId="77777777" w:rsidR="00474E4B" w:rsidRPr="00292922" w:rsidRDefault="00474E4B" w:rsidP="00331C61">
      <w:pPr>
        <w:pStyle w:val="BasicParagraph"/>
        <w:suppressAutoHyphens/>
        <w:jc w:val="center"/>
        <w:rPr>
          <w:rFonts w:ascii="Verdana" w:hAnsi="Verdana" w:cs="Arial"/>
          <w:b/>
          <w:bCs/>
          <w:color w:val="77328A"/>
        </w:rPr>
      </w:pPr>
    </w:p>
    <w:p w14:paraId="5875A6A3" w14:textId="77777777" w:rsidR="00474E4B" w:rsidRPr="00292922" w:rsidRDefault="00474E4B" w:rsidP="00331C61">
      <w:pPr>
        <w:pStyle w:val="BasicParagraph"/>
        <w:suppressAutoHyphens/>
        <w:jc w:val="center"/>
        <w:rPr>
          <w:rFonts w:ascii="Verdana" w:hAnsi="Verdana" w:cs="Arial"/>
          <w:b/>
          <w:bCs/>
          <w:color w:val="77328A"/>
        </w:rPr>
      </w:pPr>
    </w:p>
    <w:p w14:paraId="499F0F40" w14:textId="77777777" w:rsidR="009E024F" w:rsidRDefault="009E024F">
      <w:pPr>
        <w:rPr>
          <w:rFonts w:asciiTheme="majorHAnsi" w:hAnsiTheme="majorHAnsi" w:cstheme="majorHAnsi"/>
          <w:b/>
          <w:bCs/>
          <w:sz w:val="44"/>
          <w:szCs w:val="44"/>
        </w:rPr>
      </w:pPr>
      <w:r>
        <w:rPr>
          <w:rFonts w:asciiTheme="majorHAnsi" w:hAnsiTheme="majorHAnsi" w:cstheme="majorHAnsi"/>
          <w:b/>
          <w:bCs/>
          <w:sz w:val="44"/>
          <w:szCs w:val="44"/>
        </w:rPr>
        <w:br w:type="page"/>
      </w:r>
    </w:p>
    <w:p w14:paraId="35F5A0E1"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782F9C36"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7B571AD3"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2580927A"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5DDDAD14"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38DCE6D6"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776D5F23"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0C06FA89" w14:textId="77777777" w:rsidR="009E024F" w:rsidRDefault="009E024F" w:rsidP="005E7585">
      <w:pPr>
        <w:pStyle w:val="BasicParagraph"/>
        <w:suppressAutoHyphens/>
        <w:jc w:val="center"/>
        <w:rPr>
          <w:rFonts w:asciiTheme="majorHAnsi" w:hAnsiTheme="majorHAnsi" w:cstheme="majorHAnsi"/>
          <w:b/>
          <w:bCs/>
          <w:color w:val="auto"/>
          <w:sz w:val="44"/>
          <w:szCs w:val="44"/>
        </w:rPr>
      </w:pPr>
    </w:p>
    <w:p w14:paraId="4EB8E461" w14:textId="39E7C896" w:rsidR="004672AC" w:rsidRPr="007119A6" w:rsidRDefault="00705833" w:rsidP="005E7585">
      <w:pPr>
        <w:pStyle w:val="BasicParagraph"/>
        <w:suppressAutoHyphens/>
        <w:jc w:val="center"/>
        <w:rPr>
          <w:rFonts w:asciiTheme="majorHAnsi" w:hAnsiTheme="majorHAnsi" w:cstheme="majorHAnsi"/>
          <w:b/>
          <w:color w:val="auto"/>
          <w:sz w:val="44"/>
          <w:szCs w:val="44"/>
        </w:rPr>
      </w:pPr>
      <w:r w:rsidRPr="007119A6">
        <w:rPr>
          <w:rFonts w:asciiTheme="majorHAnsi" w:hAnsiTheme="majorHAnsi" w:cstheme="majorHAnsi"/>
          <w:b/>
          <w:bCs/>
          <w:color w:val="auto"/>
          <w:sz w:val="44"/>
          <w:szCs w:val="44"/>
        </w:rPr>
        <w:t>Co</w:t>
      </w:r>
      <w:r w:rsidR="0096459E" w:rsidRPr="007119A6">
        <w:rPr>
          <w:rFonts w:asciiTheme="majorHAnsi" w:hAnsiTheme="majorHAnsi" w:cstheme="majorHAnsi"/>
          <w:b/>
          <w:bCs/>
          <w:color w:val="auto"/>
          <w:sz w:val="44"/>
          <w:szCs w:val="44"/>
        </w:rPr>
        <w:t xml:space="preserve">ntact us </w:t>
      </w:r>
    </w:p>
    <w:p w14:paraId="261E38E1" w14:textId="77777777" w:rsidR="00331C61" w:rsidRPr="00AD2EED" w:rsidRDefault="00331C61" w:rsidP="003B7D0E">
      <w:pPr>
        <w:spacing w:line="288" w:lineRule="auto"/>
        <w:jc w:val="center"/>
        <w:rPr>
          <w:rFonts w:asciiTheme="majorHAnsi" w:hAnsiTheme="majorHAnsi" w:cstheme="majorHAnsi"/>
          <w:b/>
          <w:color w:val="232120"/>
        </w:rPr>
      </w:pPr>
    </w:p>
    <w:p w14:paraId="083ABC98" w14:textId="1C6246C0" w:rsidR="00AD2EED" w:rsidRPr="00AD2EED" w:rsidRDefault="00AD2EED" w:rsidP="002401EC">
      <w:pPr>
        <w:pStyle w:val="BasicParagraph"/>
        <w:suppressAutoHyphens/>
        <w:spacing w:line="276" w:lineRule="auto"/>
        <w:jc w:val="center"/>
        <w:rPr>
          <w:rFonts w:asciiTheme="majorHAnsi" w:hAnsiTheme="majorHAnsi" w:cstheme="majorHAnsi"/>
          <w:b/>
          <w:bCs/>
          <w:color w:val="auto"/>
          <w:sz w:val="32"/>
          <w:szCs w:val="32"/>
        </w:rPr>
      </w:pPr>
      <w:r w:rsidRPr="00AD2EED">
        <w:rPr>
          <w:rFonts w:asciiTheme="majorHAnsi" w:hAnsiTheme="majorHAnsi" w:cstheme="majorHAnsi"/>
          <w:b/>
          <w:bCs/>
          <w:color w:val="auto"/>
          <w:sz w:val="32"/>
          <w:szCs w:val="32"/>
        </w:rPr>
        <w:t>For queries, please contact:</w:t>
      </w:r>
    </w:p>
    <w:p w14:paraId="5061C87E" w14:textId="77777777" w:rsidR="00AD2EED" w:rsidRPr="00AD2EED" w:rsidRDefault="009D4F85" w:rsidP="002401EC">
      <w:pPr>
        <w:pStyle w:val="BasicParagraph"/>
        <w:suppressAutoHyphens/>
        <w:spacing w:line="276" w:lineRule="auto"/>
        <w:jc w:val="center"/>
        <w:rPr>
          <w:rStyle w:val="Hyperlink"/>
          <w:rFonts w:asciiTheme="majorHAnsi" w:hAnsiTheme="majorHAnsi" w:cstheme="majorHAnsi"/>
          <w:bCs/>
          <w:sz w:val="32"/>
          <w:szCs w:val="32"/>
        </w:rPr>
      </w:pPr>
      <w:hyperlink r:id="rId10" w:history="1">
        <w:r w:rsidR="00AD2EED" w:rsidRPr="00AD2EED">
          <w:rPr>
            <w:rStyle w:val="Hyperlink"/>
            <w:rFonts w:asciiTheme="majorHAnsi" w:hAnsiTheme="majorHAnsi" w:cstheme="majorHAnsi"/>
            <w:bCs/>
            <w:sz w:val="32"/>
            <w:szCs w:val="32"/>
          </w:rPr>
          <w:t>Eilis.Haughey@nihrc.org</w:t>
        </w:r>
      </w:hyperlink>
    </w:p>
    <w:p w14:paraId="784B7EB9" w14:textId="0140FFBB" w:rsidR="002401EC" w:rsidRPr="002401EC" w:rsidRDefault="009D4F85" w:rsidP="002401EC">
      <w:pPr>
        <w:jc w:val="center"/>
        <w:rPr>
          <w:rFonts w:asciiTheme="majorHAnsi" w:hAnsiTheme="majorHAnsi"/>
          <w:sz w:val="32"/>
          <w:szCs w:val="32"/>
        </w:rPr>
      </w:pPr>
      <w:hyperlink r:id="rId11" w:history="1">
        <w:r w:rsidR="002401EC" w:rsidRPr="002401EC">
          <w:rPr>
            <w:rStyle w:val="Hyperlink"/>
            <w:rFonts w:asciiTheme="majorHAnsi" w:hAnsiTheme="majorHAnsi" w:cs="Calibri"/>
            <w:sz w:val="32"/>
            <w:szCs w:val="32"/>
            <w:lang w:val="en-US" w:eastAsia="en-GB"/>
          </w:rPr>
          <w:t>RMallon@equalityni.org</w:t>
        </w:r>
      </w:hyperlink>
    </w:p>
    <w:p w14:paraId="614AE2D8" w14:textId="77777777" w:rsidR="00DE6566" w:rsidRPr="00DE6566" w:rsidRDefault="00DE6566" w:rsidP="003B7D0E">
      <w:pPr>
        <w:spacing w:line="288" w:lineRule="auto"/>
        <w:jc w:val="center"/>
        <w:rPr>
          <w:rFonts w:ascii="Verdana" w:hAnsi="Verdana" w:cs="Arial"/>
          <w:bCs/>
          <w:color w:val="232120"/>
        </w:rPr>
      </w:pPr>
    </w:p>
    <w:sectPr w:rsidR="00DE6566" w:rsidRPr="00DE6566" w:rsidSect="00474E4B">
      <w:headerReference w:type="default" r:id="rId12"/>
      <w:footerReference w:type="default" r:id="rId13"/>
      <w:footerReference w:type="first" r:id="rId14"/>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BACB" w14:textId="77777777" w:rsidR="00624846" w:rsidRDefault="00624846" w:rsidP="00962B2B">
      <w:r>
        <w:separator/>
      </w:r>
    </w:p>
  </w:endnote>
  <w:endnote w:type="continuationSeparator" w:id="0">
    <w:p w14:paraId="1EC19F17" w14:textId="77777777" w:rsidR="00624846" w:rsidRDefault="00624846"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8038"/>
      <w:docPartObj>
        <w:docPartGallery w:val="Page Numbers (Bottom of Page)"/>
        <w:docPartUnique/>
      </w:docPartObj>
    </w:sdtPr>
    <w:sdtEndPr>
      <w:rPr>
        <w:noProof/>
      </w:rPr>
    </w:sdtEndPr>
    <w:sdtContent>
      <w:p w14:paraId="1BF40024" w14:textId="494EE066" w:rsidR="00474E4B" w:rsidRDefault="00474E4B">
        <w:pPr>
          <w:pStyle w:val="Footer"/>
          <w:jc w:val="right"/>
        </w:pPr>
        <w:r>
          <w:fldChar w:fldCharType="begin"/>
        </w:r>
        <w:r>
          <w:instrText xml:space="preserve"> PAGE   \* MERGEFORMAT </w:instrText>
        </w:r>
        <w:r>
          <w:fldChar w:fldCharType="separate"/>
        </w:r>
        <w:r w:rsidR="002401EC">
          <w:rPr>
            <w:noProof/>
          </w:rPr>
          <w:t>15</w:t>
        </w:r>
        <w:r>
          <w:rPr>
            <w:noProof/>
          </w:rPr>
          <w:fldChar w:fldCharType="end"/>
        </w:r>
      </w:p>
    </w:sdtContent>
  </w:sdt>
  <w:p w14:paraId="1AC91690" w14:textId="7074DDB1" w:rsidR="00D2770F" w:rsidRPr="007569C1" w:rsidRDefault="00D2770F" w:rsidP="00656ECD">
    <w:pPr>
      <w:pStyle w:val="Footer"/>
      <w:jc w:val="right"/>
      <w:rPr>
        <w:rFonts w:ascii="Arial" w:hAnsi="Arial" w:cs="Arial"/>
        <w:b/>
        <w:color w:val="77328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0D27" w14:textId="77777777" w:rsidR="00D2770F" w:rsidRDefault="00D2770F" w:rsidP="00046705">
    <w:pPr>
      <w:pStyle w:val="Footer"/>
      <w:jc w:val="right"/>
      <w:rPr>
        <w:rStyle w:val="PageNumber"/>
        <w:rFonts w:ascii="Arial" w:hAnsi="Arial" w:cs="Arial"/>
        <w:b/>
        <w:sz w:val="16"/>
        <w:szCs w:val="16"/>
      </w:rPr>
    </w:pPr>
  </w:p>
  <w:p w14:paraId="4EC883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CF9C" w14:textId="77777777" w:rsidR="00624846" w:rsidRDefault="00624846" w:rsidP="00B96D34">
      <w:r>
        <w:continuationSeparator/>
      </w:r>
    </w:p>
    <w:p w14:paraId="32F0700F" w14:textId="77777777" w:rsidR="00624846" w:rsidRPr="00B96D34" w:rsidRDefault="00624846" w:rsidP="00B96D34">
      <w:pPr>
        <w:pStyle w:val="Footer"/>
      </w:pPr>
    </w:p>
  </w:footnote>
  <w:footnote w:type="continuationSeparator" w:id="0">
    <w:p w14:paraId="3E8B5003" w14:textId="77777777" w:rsidR="00624846" w:rsidRDefault="00624846" w:rsidP="00962B2B">
      <w:r>
        <w:continuationSeparator/>
      </w:r>
    </w:p>
  </w:footnote>
  <w:footnote w:type="continuationNotice" w:id="1">
    <w:p w14:paraId="0DEA0632" w14:textId="77777777" w:rsidR="00624846" w:rsidRDefault="00624846"/>
  </w:footnote>
  <w:footnote w:id="2">
    <w:p w14:paraId="34E3694E" w14:textId="77777777" w:rsidR="00202A5B" w:rsidRPr="00AD2EED" w:rsidRDefault="00202A5B" w:rsidP="00202A5B">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NI Human Rights Commission, ‘Response to Call for Evidence by the Joint Committee on Human Rights on the Nationality and Borders Bill’, (NIHRC, 2021), at 22.</w:t>
      </w:r>
    </w:p>
  </w:footnote>
  <w:footnote w:id="3">
    <w:p w14:paraId="558CD10F"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Belfast (Good Friday) Agreement 1998.</w:t>
      </w:r>
    </w:p>
  </w:footnote>
  <w:footnote w:id="4">
    <w:p w14:paraId="3F7A474B" w14:textId="77777777" w:rsidR="00202A5B" w:rsidRPr="00AD2EED" w:rsidRDefault="00202A5B" w:rsidP="00202A5B">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Council Directive 2004/113/EC of 13 December 2004 implementing the principle of equal treatment between men and women in the access to and supply of goods and services; Directive 2006/54/EC of the European Parliament and of the Council of 5 July 2006 on the implementation of the principle of equal opportunities and equal treatment of men and women in matters of employment and occupation; Council Directive 2000/43/EC of 29 June 2000 implementing the principle of equal treatment between persons irrespective of racial or ethnic origin; Council Directive 2000/78/EC of 27 November 2000 establishing a general framework for equal treatment in employment and occupation; Directive 2010/41/EU of the European Parliament and of the Council of 7 July 2010 on the application of the principle of equal treatment between men and women engaged in an activity in a self-employed capacity and repealing Council Directive 86/613/EEC; Council Directive 79/7/EEC of 19 December 1978 on the progressive implementation of the principle of equal treatment for men and women in matters of social security.</w:t>
      </w:r>
    </w:p>
  </w:footnote>
  <w:footnote w:id="5">
    <w:p w14:paraId="510DEE13" w14:textId="77777777" w:rsidR="00202A5B" w:rsidRPr="00AD2EED" w:rsidRDefault="00202A5B" w:rsidP="00202A5B">
      <w:pPr>
        <w:pStyle w:val="FootnoteText"/>
        <w:rPr>
          <w:rFonts w:ascii="Verdana" w:hAnsi="Verdana"/>
          <w:sz w:val="20"/>
          <w:szCs w:val="20"/>
        </w:rPr>
      </w:pPr>
      <w:r w:rsidRPr="00AD2EED">
        <w:rPr>
          <w:rStyle w:val="FootnoteReference"/>
          <w:rFonts w:ascii="Verdana" w:hAnsi="Verdana"/>
          <w:sz w:val="20"/>
          <w:szCs w:val="20"/>
        </w:rPr>
        <w:footnoteRef/>
      </w:r>
      <w:hyperlink r:id="rId1" w:history="1"/>
      <w:r w:rsidRPr="00AD2EED">
        <w:rPr>
          <w:rStyle w:val="Hyperlink"/>
          <w:rFonts w:ascii="Verdana" w:hAnsi="Verdana"/>
          <w:color w:val="auto"/>
          <w:sz w:val="20"/>
          <w:szCs w:val="20"/>
          <w:u w:val="none"/>
        </w:rPr>
        <w:t xml:space="preserve"> Northern Ireland Office, ‘UK Government Commitment to “no diminution of rights, safeguards and equality of opportunity” in Northern Ireland: What does it mean and how will it be implemented?’, (NIO, 2020), at para 13.</w:t>
      </w:r>
    </w:p>
  </w:footnote>
  <w:footnote w:id="6">
    <w:p w14:paraId="1E7322F9"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Ibid.</w:t>
      </w:r>
    </w:p>
  </w:footnote>
  <w:footnote w:id="7">
    <w:p w14:paraId="42117CA7"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Sections 6(2)(ca) and 24(1)(aa) of the Northern Ireland Act 1998 limit the competence of the NI Assembly and Executive and proscribe making any law which is incompatible with Protocol Article 2.</w:t>
      </w:r>
    </w:p>
  </w:footnote>
  <w:footnote w:id="8">
    <w:p w14:paraId="33E7F679" w14:textId="77777777" w:rsidR="007464D0" w:rsidRPr="00AD2EED" w:rsidRDefault="007464D0" w:rsidP="007464D0">
      <w:pPr>
        <w:pStyle w:val="FootnoteText"/>
        <w:rPr>
          <w:rFonts w:ascii="Verdana" w:hAnsi="Verdana" w:cstheme="minorHAnsi"/>
          <w:sz w:val="20"/>
          <w:szCs w:val="20"/>
        </w:rPr>
      </w:pPr>
      <w:r w:rsidRPr="00AD2EED">
        <w:rPr>
          <w:rStyle w:val="FootnoteReference"/>
          <w:rFonts w:ascii="Verdana" w:hAnsi="Verdana" w:cstheme="minorHAnsi"/>
          <w:sz w:val="20"/>
          <w:szCs w:val="20"/>
        </w:rPr>
        <w:footnoteRef/>
      </w:r>
      <w:r w:rsidRPr="00AD2EED">
        <w:rPr>
          <w:rFonts w:ascii="Verdana" w:hAnsi="Verdana" w:cstheme="minorHAnsi"/>
          <w:sz w:val="20"/>
          <w:szCs w:val="20"/>
        </w:rPr>
        <w:t xml:space="preserve"> Sections 78A-78E, Northern Ireland Act 1998.</w:t>
      </w:r>
    </w:p>
  </w:footnote>
  <w:footnote w:id="9">
    <w:p w14:paraId="1A1C3C68"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Articles 2-7, Council Directive 2011/36/EU on preventing and combating trafficking in human beings and protecting its victims, 5 April 2011.</w:t>
      </w:r>
    </w:p>
  </w:footnote>
  <w:footnote w:id="10">
    <w:p w14:paraId="4846151B"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 8, Council Directive 2011/36/EU on preventing and combating trafficking in human beings and protecting its victims, 5 April 2011.</w:t>
      </w:r>
    </w:p>
  </w:footnote>
  <w:footnote w:id="11">
    <w:p w14:paraId="43A496E8"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Articles 9-10, Council Directive 2011/36/EU on preventing and combating trafficking in human beings and protecting its victims, 5 April 2011.</w:t>
      </w:r>
    </w:p>
  </w:footnote>
  <w:footnote w:id="12">
    <w:p w14:paraId="1C3E23EA"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Articles 11-17, Council Directive 2011/36/EU on preventing and combating trafficking in human beings and protecting its victims, 5 April 2011.</w:t>
      </w:r>
    </w:p>
  </w:footnote>
  <w:footnote w:id="13">
    <w:p w14:paraId="16F4957D"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w:t>
      </w:r>
      <w:r w:rsidRPr="00AD2EED">
        <w:rPr>
          <w:rStyle w:val="Hyperlink"/>
          <w:rFonts w:ascii="Verdana" w:hAnsi="Verdana"/>
          <w:color w:val="auto"/>
          <w:sz w:val="20"/>
          <w:szCs w:val="20"/>
        </w:rPr>
        <w:t>Northern Ireland Office, ‘UK Government Commitment to “no diminution of rights, safeguards and equality of opportunity” in Northern Ireland: What does it mean and how will it be implemented?’, (NIO, 2020), at 13.</w:t>
      </w:r>
    </w:p>
  </w:footnote>
  <w:footnote w:id="14">
    <w:p w14:paraId="06DEC44C" w14:textId="206DC137" w:rsidR="00A02794" w:rsidRPr="00AD2EED" w:rsidRDefault="00A02794">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European Parliament, ‘The Victims’ Rights Directive: European Implementation Assessment’, (EPRS 2017), at p 97: ‘In relation to external coherence, i.e. consistency with other relevant legal acts and with overall EU policy / priorities, the Victims' Rights Directive is closely linked to other EU legislation … It is also directly connected to directives in specific areas of crime, such as Directive 2011/36/EU on prevention and combating of trafficking in human bei</w:t>
      </w:r>
      <w:r w:rsidR="00E45C84">
        <w:rPr>
          <w:rFonts w:ascii="Verdana" w:hAnsi="Verdana"/>
          <w:sz w:val="20"/>
          <w:szCs w:val="20"/>
        </w:rPr>
        <w:t>ngs and protecting its victims’: See also Recital 17, Directive 2012</w:t>
      </w:r>
      <w:r w:rsidR="00E45C84" w:rsidRPr="00AD2EED">
        <w:rPr>
          <w:rFonts w:ascii="Verdana" w:hAnsi="Verdana"/>
          <w:sz w:val="20"/>
          <w:szCs w:val="20"/>
        </w:rPr>
        <w:t>/</w:t>
      </w:r>
      <w:r w:rsidR="00E45C84">
        <w:rPr>
          <w:rFonts w:ascii="Verdana" w:hAnsi="Verdana"/>
          <w:sz w:val="20"/>
          <w:szCs w:val="20"/>
        </w:rPr>
        <w:t>29</w:t>
      </w:r>
      <w:r w:rsidR="00E45C84" w:rsidRPr="00AD2EED">
        <w:rPr>
          <w:rFonts w:ascii="Verdana" w:hAnsi="Verdana"/>
          <w:sz w:val="20"/>
          <w:szCs w:val="20"/>
        </w:rPr>
        <w:t>/</w:t>
      </w:r>
      <w:r w:rsidR="00E45C84">
        <w:rPr>
          <w:rFonts w:ascii="Verdana" w:hAnsi="Verdana"/>
          <w:sz w:val="20"/>
          <w:szCs w:val="20"/>
        </w:rPr>
        <w:t>EU</w:t>
      </w:r>
      <w:r w:rsidR="00E45C84" w:rsidRPr="00AD2EED">
        <w:rPr>
          <w:rFonts w:ascii="Verdana" w:hAnsi="Verdana"/>
          <w:sz w:val="20"/>
          <w:szCs w:val="20"/>
        </w:rPr>
        <w:t xml:space="preserve"> of </w:t>
      </w:r>
      <w:r w:rsidR="00E45C84">
        <w:rPr>
          <w:rFonts w:ascii="Verdana" w:hAnsi="Verdana"/>
          <w:sz w:val="20"/>
          <w:szCs w:val="20"/>
        </w:rPr>
        <w:t>the Council of 25 October 2012 establishing</w:t>
      </w:r>
      <w:r w:rsidR="00E45C84" w:rsidRPr="00AD2EED">
        <w:rPr>
          <w:rFonts w:ascii="Verdana" w:hAnsi="Verdana"/>
          <w:sz w:val="20"/>
          <w:szCs w:val="20"/>
        </w:rPr>
        <w:t xml:space="preserve"> </w:t>
      </w:r>
      <w:r w:rsidR="00E45C84">
        <w:rPr>
          <w:rFonts w:ascii="Verdana" w:hAnsi="Verdana"/>
          <w:sz w:val="20"/>
          <w:szCs w:val="20"/>
        </w:rPr>
        <w:t xml:space="preserve">minimum standards on the rights, support and protection of victims of </w:t>
      </w:r>
      <w:r w:rsidR="00E45C84" w:rsidRPr="00E45C84">
        <w:rPr>
          <w:rFonts w:ascii="Verdana" w:hAnsi="Verdana"/>
          <w:sz w:val="20"/>
          <w:szCs w:val="20"/>
        </w:rPr>
        <w:t xml:space="preserve">crime: </w:t>
      </w:r>
      <w:r w:rsidR="00E45C84">
        <w:rPr>
          <w:rFonts w:ascii="Verdana" w:hAnsi="Verdana"/>
          <w:sz w:val="20"/>
          <w:szCs w:val="20"/>
        </w:rPr>
        <w:t>“</w:t>
      </w:r>
      <w:r w:rsidR="00E45C84" w:rsidRPr="00E45C84">
        <w:rPr>
          <w:rFonts w:ascii="Verdana" w:hAnsi="Verdana"/>
          <w:sz w:val="20"/>
          <w:szCs w:val="20"/>
        </w:rPr>
        <w:t>Gender-based violence is understood to be a form of discrimination and a violation of the fundamental freedoms of the victim and includes …trafficking in human beings</w:t>
      </w:r>
      <w:r w:rsidR="00E45C84">
        <w:rPr>
          <w:rFonts w:ascii="Verdana" w:hAnsi="Verdana"/>
          <w:sz w:val="20"/>
          <w:szCs w:val="20"/>
        </w:rPr>
        <w:t>”.</w:t>
      </w:r>
    </w:p>
  </w:footnote>
  <w:footnote w:id="15">
    <w:p w14:paraId="051FEFFA"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Nationality and Borders Bill: Explanatory Notes, at para 865.</w:t>
      </w:r>
    </w:p>
  </w:footnote>
  <w:footnote w:id="16">
    <w:p w14:paraId="35460756" w14:textId="77777777" w:rsidR="007464D0" w:rsidRPr="00AD2EED" w:rsidRDefault="007464D0" w:rsidP="007464D0">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Nationality and Borders Bill: Explanatory Notes, at Annex B.</w:t>
      </w:r>
    </w:p>
  </w:footnote>
  <w:footnote w:id="17">
    <w:p w14:paraId="20EDCCAE"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Clauses 24, 46, 56, 59, 63, 65 and 66 extend to England and Wales only. See discussion above about clarity as regards Clause 67.</w:t>
      </w:r>
    </w:p>
  </w:footnote>
  <w:footnote w:id="18">
    <w:p w14:paraId="5DD1FFFB" w14:textId="7190B973"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Department of Justice Northern Ireland Organised Crime Task Force Modern Slavery Strategy 2021-2022: 1.31</w:t>
      </w:r>
    </w:p>
  </w:footnote>
  <w:footnote w:id="19">
    <w:p w14:paraId="5C56390B"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Clause 80(4)(d), Nationality and Borders Bill.</w:t>
      </w:r>
    </w:p>
  </w:footnote>
  <w:footnote w:id="20">
    <w:p w14:paraId="72D7344F"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Nationality and Borders Bill: Explanatory notes, at para 86.</w:t>
      </w:r>
    </w:p>
  </w:footnote>
  <w:footnote w:id="21">
    <w:p w14:paraId="44FEA852"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Explanatory notes at para 88; Under the terms of the Sewel Convention, the UK Parliament will not normally legislate with regard to matters within the legislative competence of the Scottish, Welsh or Northern Irish legislatures without the consent of the legislatures concerned.</w:t>
      </w:r>
    </w:p>
  </w:footnote>
  <w:footnote w:id="22">
    <w:p w14:paraId="788C21BC" w14:textId="361C68DA"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0089409B" w:rsidRPr="00AD2EED">
        <w:rPr>
          <w:rFonts w:ascii="Verdana" w:hAnsi="Verdana"/>
          <w:sz w:val="20"/>
          <w:szCs w:val="20"/>
        </w:rPr>
        <w:t xml:space="preserve"> See note </w:t>
      </w:r>
      <w:r w:rsidR="00E06E71" w:rsidRPr="00AD2EED">
        <w:rPr>
          <w:rFonts w:ascii="Verdana" w:hAnsi="Verdana"/>
          <w:sz w:val="20"/>
          <w:szCs w:val="20"/>
        </w:rPr>
        <w:t>16</w:t>
      </w:r>
      <w:r w:rsidR="0089409B" w:rsidRPr="00AD2EED">
        <w:rPr>
          <w:rFonts w:ascii="Verdana" w:hAnsi="Verdana"/>
          <w:sz w:val="20"/>
          <w:szCs w:val="20"/>
        </w:rPr>
        <w:t>.</w:t>
      </w:r>
    </w:p>
  </w:footnote>
  <w:footnote w:id="23">
    <w:p w14:paraId="32F7223B"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Independent Anti-Slavery Commissioner, ‘IASC response to the Nationality and Borders Bill’. Available at: </w:t>
      </w:r>
      <w:hyperlink r:id="rId2" w:history="1">
        <w:r w:rsidRPr="00AD2EED">
          <w:rPr>
            <w:rStyle w:val="Hyperlink"/>
            <w:rFonts w:ascii="Verdana" w:hAnsi="Verdana"/>
            <w:color w:val="auto"/>
            <w:sz w:val="20"/>
            <w:szCs w:val="20"/>
          </w:rPr>
          <w:t>Independent Anti-Slavery Commissioner - Home (antislaverycommissioner.co.uk)</w:t>
        </w:r>
      </w:hyperlink>
    </w:p>
  </w:footnote>
  <w:footnote w:id="24">
    <w:p w14:paraId="4DE911DE"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 8 of Directive 2011/36/EU ‘Council Directive on preventing and combating trafficking in human beings and protecting its victims’, 5 April 2011.</w:t>
      </w:r>
    </w:p>
  </w:footnote>
  <w:footnote w:id="25">
    <w:p w14:paraId="015F42BA"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 9 of Directive 2011/36/EU ‘Council Directive on preventing and combating trafficking in human beings and protecting its victims’, 5 April 2011.</w:t>
      </w:r>
    </w:p>
  </w:footnote>
  <w:footnote w:id="26">
    <w:p w14:paraId="3E8F7B37"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OL GBR 11/2021, Mandates of the Special Rapporteur on trafficking in persons, especially women and children; the Special Rapporteur on the human rights of migrants; the Special Rapporteur on contemporary forms of slavery, including its causes and consequences and the Special Rapporteur on the promotion and protection of human rights and fundamental freedoms while countering terrorism, 5 November 2021, at 4.</w:t>
      </w:r>
    </w:p>
  </w:footnote>
  <w:footnote w:id="27">
    <w:p w14:paraId="2176B5D0"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OL GBR 11/2021, Mandates of the Special Rapporteur on trafficking in persons, especially women and children; the Special Rapporteur on the human rights of migrants; the Special Rapporteur on contemporary forms of slavery, including its causes and consequences and the Special Rapporteur on the promotion and protection of human rights and fundamental freedoms while countering terrorism, 5 November 2021.</w:t>
      </w:r>
    </w:p>
  </w:footnote>
  <w:footnote w:id="28">
    <w:p w14:paraId="6229C0C8"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 11(5) of Directive 2011/36/EU ‘Council Directive on preventing and combating trafficking in human beings and protecting its victims’, 5 April 2011.</w:t>
      </w:r>
    </w:p>
  </w:footnote>
  <w:footnote w:id="29">
    <w:p w14:paraId="76D598C9"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 12 of Directive 2011/36/EU ‘Council Directive on preventing and combating trafficking in human beings and protecting its victims’, 5 April 2011.</w:t>
      </w:r>
    </w:p>
  </w:footnote>
  <w:footnote w:id="30">
    <w:p w14:paraId="4788148E"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Section 18, the Human Trafficking and Exploitation (Criminal Justice and Support for Victims) Act (Northern Ireland) 2015.</w:t>
      </w:r>
    </w:p>
  </w:footnote>
  <w:footnote w:id="31">
    <w:p w14:paraId="13586008"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Independent Anti-Slavery Commissioner, ‘IASC response to the Nationality and Borders Bill’. Available at: </w:t>
      </w:r>
      <w:hyperlink r:id="rId3" w:history="1">
        <w:r w:rsidRPr="00AD2EED">
          <w:rPr>
            <w:rStyle w:val="Hyperlink"/>
            <w:rFonts w:ascii="Verdana" w:hAnsi="Verdana"/>
            <w:color w:val="auto"/>
            <w:sz w:val="20"/>
            <w:szCs w:val="20"/>
          </w:rPr>
          <w:t>Independent Anti-Slavery Commissioner - Home (antislaverycommissioner.co.uk)</w:t>
        </w:r>
      </w:hyperlink>
    </w:p>
  </w:footnote>
  <w:footnote w:id="32">
    <w:p w14:paraId="4068D704"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OL GBR 11/2021, Mandates of the Special Rapporteur on trafficking in persons, especially women and children; the Special Rapporteur on the human rights of migrants; the Special Rapporteur on contemporary forms of slavery, including its causes and consequences and the Special Rapporteur on the promotion and protection of human rights and fundamental freedoms while countering terrorism, 5 November 2021, at 8; see also Article 11(4) of the Trafficking Directive requiring Member States to establish mechanisms to identify, assist and support victims of trafficking</w:t>
      </w:r>
    </w:p>
  </w:footnote>
  <w:footnote w:id="33">
    <w:p w14:paraId="110D9291"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Article 8 of Directive 2011/36/EU ‘Council Directive on preventing and combating trafficking in human beings and protecting its victims’, 5 April 2011.</w:t>
      </w:r>
    </w:p>
  </w:footnote>
  <w:footnote w:id="34">
    <w:p w14:paraId="50BC7D8C" w14:textId="77777777" w:rsidR="00646E92" w:rsidRPr="00AD2EED" w:rsidRDefault="00646E92" w:rsidP="00646E92">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Recital 8 of Directive 2011/36/EU ‘Council Directive on preventing and combating trafficking in human beings and protecting its victims’, 5 April 2011; Article 3 UN CRC.</w:t>
      </w:r>
    </w:p>
  </w:footnote>
  <w:footnote w:id="35">
    <w:p w14:paraId="18B9B4C7" w14:textId="77777777" w:rsidR="00400E0E" w:rsidRPr="00AD2EED" w:rsidRDefault="00400E0E" w:rsidP="00400E0E">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Paragraph 676, </w:t>
      </w:r>
      <w:hyperlink r:id="rId4" w:history="1">
        <w:r w:rsidRPr="00AD2EED">
          <w:rPr>
            <w:rStyle w:val="Hyperlink"/>
            <w:rFonts w:ascii="Verdana" w:hAnsi="Verdana"/>
            <w:color w:val="auto"/>
            <w:sz w:val="20"/>
            <w:szCs w:val="20"/>
          </w:rPr>
          <w:t>Explanatory Notes</w:t>
        </w:r>
      </w:hyperlink>
    </w:p>
  </w:footnote>
  <w:footnote w:id="36">
    <w:p w14:paraId="0F255DDA" w14:textId="155FD73F" w:rsidR="00DF6213" w:rsidRPr="00EA6BB8" w:rsidRDefault="00DF6213">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w:t>
      </w:r>
      <w:r w:rsidRPr="00AD2EED">
        <w:rPr>
          <w:rFonts w:ascii="Verdana" w:hAnsi="Verdana" w:cs="Arial"/>
          <w:sz w:val="20"/>
          <w:szCs w:val="20"/>
        </w:rPr>
        <w:t>ECNI has previously supported a claim of racial discrimination against the Home Office arising from racial profiling by UK immigration officers. This resulted in the settlement of the claim of alleged racial discrimination against a black British woman, arising from the actions of an immigration officer at Belfast City Airport</w:t>
      </w:r>
      <w:r w:rsidRPr="00EA6BB8">
        <w:rPr>
          <w:rFonts w:ascii="Verdana" w:hAnsi="Verdana" w:cs="Arial"/>
          <w:sz w:val="20"/>
          <w:szCs w:val="20"/>
        </w:rPr>
        <w:t>.</w:t>
      </w:r>
      <w:r w:rsidR="00EA6BB8" w:rsidRPr="00EA6BB8">
        <w:rPr>
          <w:rFonts w:ascii="Verdana" w:hAnsi="Verdana" w:cs="Arial"/>
          <w:sz w:val="20"/>
          <w:szCs w:val="20"/>
        </w:rPr>
        <w:t xml:space="preserve"> </w:t>
      </w:r>
      <w:r w:rsidR="00EA6BB8" w:rsidRPr="005D224A">
        <w:rPr>
          <w:rFonts w:ascii="Verdana" w:hAnsi="Verdana"/>
          <w:sz w:val="20"/>
          <w:szCs w:val="20"/>
        </w:rPr>
        <w:t xml:space="preserve">ECNI, Race case supported by Commission settled with Home Office, 20 July 2016  </w:t>
      </w:r>
    </w:p>
  </w:footnote>
  <w:footnote w:id="37">
    <w:p w14:paraId="71559AF5" w14:textId="6FB8048A" w:rsidR="00AA4455" w:rsidRPr="00AD2EED" w:rsidRDefault="00AA4455" w:rsidP="00972502">
      <w:pPr>
        <w:pStyle w:val="FootnoteText"/>
        <w:jc w:val="both"/>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w:t>
      </w:r>
      <w:hyperlink r:id="rId5" w:history="1">
        <w:r w:rsidRPr="00AD2EED">
          <w:rPr>
            <w:rStyle w:val="Hyperlink"/>
            <w:rFonts w:ascii="Verdana" w:hAnsi="Verdana"/>
            <w:color w:val="auto"/>
            <w:sz w:val="20"/>
            <w:szCs w:val="20"/>
          </w:rPr>
          <w:t>The Belfast Agreement</w:t>
        </w:r>
      </w:hyperlink>
      <w:r w:rsidRPr="00AD2EED">
        <w:rPr>
          <w:rFonts w:ascii="Verdana" w:hAnsi="Verdana"/>
          <w:sz w:val="20"/>
          <w:szCs w:val="20"/>
        </w:rPr>
        <w:t>, Rights, Safeguards and Equality of Opportunity, page 16</w:t>
      </w:r>
      <w:r w:rsidR="00972502" w:rsidRPr="00AD2EED">
        <w:rPr>
          <w:rFonts w:ascii="Verdana" w:hAnsi="Verdana"/>
          <w:sz w:val="20"/>
          <w:szCs w:val="20"/>
        </w:rPr>
        <w:t xml:space="preserve"> references “the right to equal opportunity in all social and economic activity, regardless of class, creed, disability, gender or ethnicity”</w:t>
      </w:r>
    </w:p>
  </w:footnote>
  <w:footnote w:id="38">
    <w:p w14:paraId="30453E57" w14:textId="77777777" w:rsidR="00DA0AC2" w:rsidRPr="00AD2EED" w:rsidRDefault="00DA0AC2" w:rsidP="00DA0AC2">
      <w:pPr>
        <w:pStyle w:val="FootnoteText"/>
        <w:jc w:val="both"/>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w:t>
      </w:r>
      <w:hyperlink r:id="rId6" w:history="1">
        <w:r w:rsidRPr="00AD2EED">
          <w:rPr>
            <w:rStyle w:val="Hyperlink"/>
            <w:rFonts w:ascii="Verdana" w:hAnsi="Verdana"/>
            <w:color w:val="auto"/>
            <w:sz w:val="20"/>
            <w:szCs w:val="20"/>
          </w:rPr>
          <w:t>Article 3(1) of the Ireland/Northern Ireland Protocol</w:t>
        </w:r>
      </w:hyperlink>
    </w:p>
  </w:footnote>
  <w:footnote w:id="39">
    <w:p w14:paraId="7C26AA1A" w14:textId="77777777" w:rsidR="00AA4455" w:rsidRPr="00AD2EED" w:rsidRDefault="00AA4455" w:rsidP="00AA4455">
      <w:pPr>
        <w:pStyle w:val="EndnoteText"/>
        <w:contextualSpacing/>
        <w:jc w:val="both"/>
      </w:pPr>
      <w:r w:rsidRPr="00AD2EED">
        <w:rPr>
          <w:rStyle w:val="FootnoteReference"/>
        </w:rPr>
        <w:footnoteRef/>
      </w:r>
      <w:r w:rsidRPr="00AD2EED">
        <w:t xml:space="preserve"> </w:t>
      </w:r>
      <w:hyperlink r:id="rId7" w:history="1">
        <w:r w:rsidRPr="00AD2EED">
          <w:rPr>
            <w:rStyle w:val="Hyperlink"/>
            <w:color w:val="auto"/>
          </w:rPr>
          <w:t xml:space="preserve">Do 30,000 people cross Ireland-Northern Ireland border daily? – </w:t>
        </w:r>
        <w:r w:rsidRPr="00AD2EED">
          <w:rPr>
            <w:rStyle w:val="Hyperlink"/>
            <w:color w:val="auto"/>
          </w:rPr>
          <w:t>FactCheckNI</w:t>
        </w:r>
      </w:hyperlink>
    </w:p>
  </w:footnote>
  <w:footnote w:id="40">
    <w:p w14:paraId="7258A672" w14:textId="77777777" w:rsidR="00AA4455" w:rsidRPr="00AD2EED" w:rsidRDefault="00AA4455" w:rsidP="00AA4455">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UK EU Withdrawal Agreement 2019, Protocol on Ireland/ Northern Ireland, Recital paragraph 9 and Article 1</w:t>
      </w:r>
    </w:p>
  </w:footnote>
  <w:footnote w:id="41">
    <w:p w14:paraId="4DF65F1F" w14:textId="77777777" w:rsidR="00AA4455" w:rsidRPr="00AD2EED" w:rsidRDefault="00AA4455" w:rsidP="00AA4455">
      <w:pPr>
        <w:pStyle w:val="FootnoteText"/>
        <w:rPr>
          <w:rFonts w:ascii="Verdana" w:hAnsi="Verdana"/>
          <w:sz w:val="20"/>
          <w:szCs w:val="20"/>
        </w:rPr>
      </w:pPr>
      <w:r w:rsidRPr="00AD2EED">
        <w:rPr>
          <w:rStyle w:val="FootnoteReference"/>
          <w:rFonts w:ascii="Verdana" w:hAnsi="Verdana"/>
          <w:sz w:val="20"/>
          <w:szCs w:val="20"/>
        </w:rPr>
        <w:footnoteRef/>
      </w:r>
      <w:r w:rsidRPr="00AD2EED">
        <w:rPr>
          <w:rFonts w:ascii="Verdana" w:hAnsi="Verdana"/>
          <w:sz w:val="20"/>
          <w:szCs w:val="20"/>
        </w:rPr>
        <w:t xml:space="preserve"> UK EU Withdrawal Agreement 2019, Protocol on Ireland/ Northern Ireland, Articles 1, 3, 11</w:t>
      </w:r>
    </w:p>
  </w:footnote>
  <w:footnote w:id="42">
    <w:p w14:paraId="52686CD1" w14:textId="74167D03" w:rsidR="00770E20" w:rsidRPr="00AD2EED" w:rsidRDefault="00770E20">
      <w:pPr>
        <w:pStyle w:val="FootnoteText"/>
        <w:rPr>
          <w:rFonts w:ascii="Verdana" w:hAnsi="Verdana"/>
          <w:sz w:val="16"/>
          <w:szCs w:val="16"/>
        </w:rPr>
      </w:pPr>
      <w:r w:rsidRPr="00AD2EED">
        <w:rPr>
          <w:rStyle w:val="FootnoteReference"/>
          <w:rFonts w:ascii="Verdana" w:hAnsi="Verdana"/>
          <w:sz w:val="20"/>
          <w:szCs w:val="20"/>
        </w:rPr>
        <w:footnoteRef/>
      </w:r>
      <w:r w:rsidRPr="00AD2EED">
        <w:rPr>
          <w:rFonts w:ascii="Verdana" w:hAnsi="Verdana"/>
          <w:sz w:val="20"/>
          <w:szCs w:val="20"/>
        </w:rPr>
        <w:t xml:space="preserve"> NI Human Rights Commission, ‘Response to Call for Evidence by the Joint Committee on Human Rights on the Nationality and Borders Bill’, (NIHRC, 2021), at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5E7B" w14:textId="7D20612E" w:rsidR="00FE56F6" w:rsidRDefault="00FE5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972"/>
    <w:multiLevelType w:val="multilevel"/>
    <w:tmpl w:val="A672EB3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AE0627E"/>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103274B9"/>
    <w:multiLevelType w:val="multilevel"/>
    <w:tmpl w:val="401A71D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17FD7D5C"/>
    <w:multiLevelType w:val="multilevel"/>
    <w:tmpl w:val="20B40A0A"/>
    <w:lvl w:ilvl="0">
      <w:start w:val="5"/>
      <w:numFmt w:val="decimal"/>
      <w:lvlText w:val="%1"/>
      <w:lvlJc w:val="left"/>
      <w:pPr>
        <w:ind w:left="435" w:hanging="435"/>
      </w:pPr>
      <w:rPr>
        <w:rFonts w:ascii="Verdana" w:hAnsi="Verdana" w:hint="default"/>
        <w:b/>
      </w:rPr>
    </w:lvl>
    <w:lvl w:ilvl="1">
      <w:start w:val="6"/>
      <w:numFmt w:val="decimal"/>
      <w:lvlText w:val="%1.%2"/>
      <w:lvlJc w:val="left"/>
      <w:pPr>
        <w:ind w:left="435" w:hanging="435"/>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440" w:hanging="144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800" w:hanging="180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C6165"/>
    <w:multiLevelType w:val="hybridMultilevel"/>
    <w:tmpl w:val="786421BE"/>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F4D0F"/>
    <w:multiLevelType w:val="multilevel"/>
    <w:tmpl w:val="EBCEC0FC"/>
    <w:lvl w:ilvl="0">
      <w:start w:val="4"/>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C55728C"/>
    <w:multiLevelType w:val="multilevel"/>
    <w:tmpl w:val="905E1014"/>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3028D"/>
    <w:multiLevelType w:val="multilevel"/>
    <w:tmpl w:val="DF14AD36"/>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F3F34"/>
    <w:multiLevelType w:val="hybridMultilevel"/>
    <w:tmpl w:val="C4546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9D025E"/>
    <w:multiLevelType w:val="multilevel"/>
    <w:tmpl w:val="B022A838"/>
    <w:lvl w:ilvl="0">
      <w:start w:val="5"/>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44360A21"/>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46E7434B"/>
    <w:multiLevelType w:val="multilevel"/>
    <w:tmpl w:val="0816AE10"/>
    <w:lvl w:ilvl="0">
      <w:start w:val="7"/>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A32653"/>
    <w:multiLevelType w:val="multilevel"/>
    <w:tmpl w:val="11C64EB2"/>
    <w:lvl w:ilvl="0">
      <w:start w:val="5"/>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66D4103C"/>
    <w:multiLevelType w:val="hybridMultilevel"/>
    <w:tmpl w:val="A5202F28"/>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895271"/>
    <w:multiLevelType w:val="multilevel"/>
    <w:tmpl w:val="FF5054B2"/>
    <w:lvl w:ilvl="0">
      <w:start w:val="4"/>
      <w:numFmt w:val="decimal"/>
      <w:lvlText w:val="%1"/>
      <w:lvlJc w:val="left"/>
      <w:pPr>
        <w:ind w:left="435" w:hanging="43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77CC18A8"/>
    <w:multiLevelType w:val="multilevel"/>
    <w:tmpl w:val="69FE999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3"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3"/>
  </w:num>
  <w:num w:numId="3">
    <w:abstractNumId w:val="4"/>
  </w:num>
  <w:num w:numId="4">
    <w:abstractNumId w:val="11"/>
  </w:num>
  <w:num w:numId="5">
    <w:abstractNumId w:val="20"/>
  </w:num>
  <w:num w:numId="6">
    <w:abstractNumId w:val="6"/>
  </w:num>
  <w:num w:numId="7">
    <w:abstractNumId w:val="13"/>
  </w:num>
  <w:num w:numId="8">
    <w:abstractNumId w:val="9"/>
  </w:num>
  <w:num w:numId="9">
    <w:abstractNumId w:val="15"/>
  </w:num>
  <w:num w:numId="10">
    <w:abstractNumId w:val="19"/>
  </w:num>
  <w:num w:numId="11">
    <w:abstractNumId w:val="12"/>
  </w:num>
  <w:num w:numId="12">
    <w:abstractNumId w:val="5"/>
  </w:num>
  <w:num w:numId="13">
    <w:abstractNumId w:val="22"/>
  </w:num>
  <w:num w:numId="14">
    <w:abstractNumId w:val="1"/>
  </w:num>
  <w:num w:numId="15">
    <w:abstractNumId w:val="3"/>
  </w:num>
  <w:num w:numId="16">
    <w:abstractNumId w:val="10"/>
  </w:num>
  <w:num w:numId="17">
    <w:abstractNumId w:val="16"/>
  </w:num>
  <w:num w:numId="18">
    <w:abstractNumId w:val="19"/>
    <w:lvlOverride w:ilvl="0">
      <w:startOverride w:val="7"/>
    </w:lvlOverride>
  </w:num>
  <w:num w:numId="19">
    <w:abstractNumId w:val="18"/>
  </w:num>
  <w:num w:numId="20">
    <w:abstractNumId w:val="8"/>
  </w:num>
  <w:num w:numId="21">
    <w:abstractNumId w:val="0"/>
  </w:num>
  <w:num w:numId="22">
    <w:abstractNumId w:val="2"/>
  </w:num>
  <w:num w:numId="23">
    <w:abstractNumId w:val="14"/>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9D8"/>
    <w:rsid w:val="00014757"/>
    <w:rsid w:val="00025A92"/>
    <w:rsid w:val="000446DE"/>
    <w:rsid w:val="0004558C"/>
    <w:rsid w:val="00046705"/>
    <w:rsid w:val="0005379E"/>
    <w:rsid w:val="00074BB2"/>
    <w:rsid w:val="0009024D"/>
    <w:rsid w:val="000B718B"/>
    <w:rsid w:val="000D4AC3"/>
    <w:rsid w:val="000D6EC4"/>
    <w:rsid w:val="000E1F61"/>
    <w:rsid w:val="000E7F0C"/>
    <w:rsid w:val="00101002"/>
    <w:rsid w:val="001A6F17"/>
    <w:rsid w:val="001E79A9"/>
    <w:rsid w:val="00201D23"/>
    <w:rsid w:val="00202A5B"/>
    <w:rsid w:val="00203281"/>
    <w:rsid w:val="00210D01"/>
    <w:rsid w:val="00213B8A"/>
    <w:rsid w:val="00224140"/>
    <w:rsid w:val="002351CB"/>
    <w:rsid w:val="002401EC"/>
    <w:rsid w:val="002428EC"/>
    <w:rsid w:val="00245151"/>
    <w:rsid w:val="00250397"/>
    <w:rsid w:val="00272ADE"/>
    <w:rsid w:val="00292922"/>
    <w:rsid w:val="002B1272"/>
    <w:rsid w:val="00306317"/>
    <w:rsid w:val="0031217F"/>
    <w:rsid w:val="00314818"/>
    <w:rsid w:val="00331C61"/>
    <w:rsid w:val="00341BFE"/>
    <w:rsid w:val="00367CCA"/>
    <w:rsid w:val="00373C73"/>
    <w:rsid w:val="00397DBF"/>
    <w:rsid w:val="003A5F2F"/>
    <w:rsid w:val="003B7D0E"/>
    <w:rsid w:val="003D09D2"/>
    <w:rsid w:val="003E13AA"/>
    <w:rsid w:val="003E4F6A"/>
    <w:rsid w:val="00400E0E"/>
    <w:rsid w:val="00402467"/>
    <w:rsid w:val="00402A10"/>
    <w:rsid w:val="0044682C"/>
    <w:rsid w:val="004508BC"/>
    <w:rsid w:val="00463D6B"/>
    <w:rsid w:val="00466A2E"/>
    <w:rsid w:val="004672AC"/>
    <w:rsid w:val="00473BC7"/>
    <w:rsid w:val="00474E4B"/>
    <w:rsid w:val="004936B1"/>
    <w:rsid w:val="004B12FA"/>
    <w:rsid w:val="004D1975"/>
    <w:rsid w:val="00552293"/>
    <w:rsid w:val="005651FC"/>
    <w:rsid w:val="00566574"/>
    <w:rsid w:val="00582777"/>
    <w:rsid w:val="0059223A"/>
    <w:rsid w:val="005B723E"/>
    <w:rsid w:val="005C19FA"/>
    <w:rsid w:val="005D224A"/>
    <w:rsid w:val="005E1121"/>
    <w:rsid w:val="005E7585"/>
    <w:rsid w:val="00603BDA"/>
    <w:rsid w:val="00605CB8"/>
    <w:rsid w:val="006206E7"/>
    <w:rsid w:val="00621731"/>
    <w:rsid w:val="00624846"/>
    <w:rsid w:val="00632907"/>
    <w:rsid w:val="00633C30"/>
    <w:rsid w:val="00646E92"/>
    <w:rsid w:val="0065028B"/>
    <w:rsid w:val="00656ECD"/>
    <w:rsid w:val="006E19D9"/>
    <w:rsid w:val="006E6E5D"/>
    <w:rsid w:val="00705833"/>
    <w:rsid w:val="007119A6"/>
    <w:rsid w:val="00723FC8"/>
    <w:rsid w:val="007464D0"/>
    <w:rsid w:val="007569C1"/>
    <w:rsid w:val="00767869"/>
    <w:rsid w:val="00770E20"/>
    <w:rsid w:val="0077172D"/>
    <w:rsid w:val="007754AE"/>
    <w:rsid w:val="007C3CE1"/>
    <w:rsid w:val="007D66F2"/>
    <w:rsid w:val="007F0150"/>
    <w:rsid w:val="007F266D"/>
    <w:rsid w:val="00801600"/>
    <w:rsid w:val="00812D47"/>
    <w:rsid w:val="008159E8"/>
    <w:rsid w:val="00823095"/>
    <w:rsid w:val="00865580"/>
    <w:rsid w:val="0087161B"/>
    <w:rsid w:val="00872187"/>
    <w:rsid w:val="00875E68"/>
    <w:rsid w:val="008922E2"/>
    <w:rsid w:val="0089409B"/>
    <w:rsid w:val="008A18B5"/>
    <w:rsid w:val="008A32CB"/>
    <w:rsid w:val="008A4C43"/>
    <w:rsid w:val="008D7C32"/>
    <w:rsid w:val="008F1972"/>
    <w:rsid w:val="00932857"/>
    <w:rsid w:val="00952FA3"/>
    <w:rsid w:val="00962B2B"/>
    <w:rsid w:val="0096459E"/>
    <w:rsid w:val="00972502"/>
    <w:rsid w:val="00991F97"/>
    <w:rsid w:val="009D4F85"/>
    <w:rsid w:val="009E024F"/>
    <w:rsid w:val="009F2D36"/>
    <w:rsid w:val="00A02794"/>
    <w:rsid w:val="00A33337"/>
    <w:rsid w:val="00A349F7"/>
    <w:rsid w:val="00A35EDD"/>
    <w:rsid w:val="00A451F7"/>
    <w:rsid w:val="00A52C97"/>
    <w:rsid w:val="00A62002"/>
    <w:rsid w:val="00A6623E"/>
    <w:rsid w:val="00AA2A4C"/>
    <w:rsid w:val="00AA4455"/>
    <w:rsid w:val="00AD2EED"/>
    <w:rsid w:val="00B21B23"/>
    <w:rsid w:val="00B96D34"/>
    <w:rsid w:val="00BB3ED8"/>
    <w:rsid w:val="00BE5849"/>
    <w:rsid w:val="00C2292D"/>
    <w:rsid w:val="00C23E08"/>
    <w:rsid w:val="00C2725D"/>
    <w:rsid w:val="00C44DC2"/>
    <w:rsid w:val="00C64416"/>
    <w:rsid w:val="00C76E49"/>
    <w:rsid w:val="00C85A9E"/>
    <w:rsid w:val="00CD0015"/>
    <w:rsid w:val="00CE3039"/>
    <w:rsid w:val="00CF0261"/>
    <w:rsid w:val="00D12EF8"/>
    <w:rsid w:val="00D16532"/>
    <w:rsid w:val="00D27013"/>
    <w:rsid w:val="00D270F2"/>
    <w:rsid w:val="00D2770F"/>
    <w:rsid w:val="00D37857"/>
    <w:rsid w:val="00D5269D"/>
    <w:rsid w:val="00D9053C"/>
    <w:rsid w:val="00DA0AC2"/>
    <w:rsid w:val="00DB1373"/>
    <w:rsid w:val="00DB712F"/>
    <w:rsid w:val="00DE6566"/>
    <w:rsid w:val="00DF6213"/>
    <w:rsid w:val="00E06E71"/>
    <w:rsid w:val="00E27C8F"/>
    <w:rsid w:val="00E27FC2"/>
    <w:rsid w:val="00E45C84"/>
    <w:rsid w:val="00EA12CE"/>
    <w:rsid w:val="00EA2EB7"/>
    <w:rsid w:val="00EA6BB8"/>
    <w:rsid w:val="00EC4AFB"/>
    <w:rsid w:val="00ED40E9"/>
    <w:rsid w:val="00F14271"/>
    <w:rsid w:val="00F31387"/>
    <w:rsid w:val="00F41A2B"/>
    <w:rsid w:val="00F43CE4"/>
    <w:rsid w:val="00F56C78"/>
    <w:rsid w:val="00FA459D"/>
    <w:rsid w:val="00FB2C9E"/>
    <w:rsid w:val="00FE56F6"/>
    <w:rsid w:val="00FE7FD4"/>
    <w:rsid w:val="00FF3CBA"/>
    <w:rsid w:val="00FF71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C53911"/>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EED"/>
    <w:pPr>
      <w:keepNext/>
      <w:keepLines/>
      <w:spacing w:before="240"/>
      <w:outlineLvl w:val="0"/>
    </w:pPr>
    <w:rPr>
      <w:rFonts w:eastAsiaTheme="majorEastAsia" w:cstheme="majorBidi"/>
      <w:b/>
      <w:sz w:val="40"/>
      <w:szCs w:val="32"/>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AD2EED"/>
    <w:rPr>
      <w:rFonts w:eastAsiaTheme="majorEastAsia" w:cstheme="majorBidi"/>
      <w:b/>
      <w:sz w:val="40"/>
      <w:szCs w:val="32"/>
    </w:rPr>
  </w:style>
  <w:style w:type="paragraph" w:styleId="TOCHeading">
    <w:name w:val="TOC Heading"/>
    <w:basedOn w:val="Heading1"/>
    <w:next w:val="Normal"/>
    <w:uiPriority w:val="39"/>
    <w:unhideWhenUsed/>
    <w:qFormat/>
    <w:rsid w:val="00202A5B"/>
    <w:pPr>
      <w:spacing w:line="259" w:lineRule="auto"/>
      <w:outlineLvl w:val="9"/>
    </w:pPr>
    <w:rPr>
      <w:rFonts w:asciiTheme="majorHAnsi" w:hAnsiTheme="majorHAnsi"/>
      <w:b w:val="0"/>
      <w:color w:val="365F91" w:themeColor="accent1" w:themeShade="BF"/>
      <w:sz w:val="32"/>
      <w:lang w:val="en-US"/>
    </w:rPr>
  </w:style>
  <w:style w:type="character" w:styleId="CommentReference">
    <w:name w:val="annotation reference"/>
    <w:basedOn w:val="DefaultParagraphFont"/>
    <w:uiPriority w:val="99"/>
    <w:semiHidden/>
    <w:unhideWhenUsed/>
    <w:rsid w:val="00202A5B"/>
    <w:rPr>
      <w:sz w:val="16"/>
      <w:szCs w:val="16"/>
    </w:rPr>
  </w:style>
  <w:style w:type="paragraph" w:styleId="CommentText">
    <w:name w:val="annotation text"/>
    <w:basedOn w:val="Normal"/>
    <w:link w:val="CommentTextChar"/>
    <w:uiPriority w:val="99"/>
    <w:unhideWhenUsed/>
    <w:rsid w:val="00202A5B"/>
    <w:rPr>
      <w:sz w:val="20"/>
      <w:szCs w:val="20"/>
    </w:rPr>
  </w:style>
  <w:style w:type="character" w:customStyle="1" w:styleId="CommentTextChar">
    <w:name w:val="Comment Text Char"/>
    <w:basedOn w:val="DefaultParagraphFont"/>
    <w:link w:val="CommentText"/>
    <w:uiPriority w:val="99"/>
    <w:rsid w:val="00202A5B"/>
    <w:rPr>
      <w:sz w:val="20"/>
      <w:szCs w:val="20"/>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202A5B"/>
    <w:pPr>
      <w:spacing w:after="160" w:line="240" w:lineRule="exact"/>
      <w:jc w:val="both"/>
    </w:pPr>
    <w:rPr>
      <w:vertAlign w:val="superscript"/>
    </w:rPr>
  </w:style>
  <w:style w:type="paragraph" w:styleId="EndnoteText">
    <w:name w:val="endnote text"/>
    <w:basedOn w:val="Normal"/>
    <w:link w:val="EndnoteTextChar"/>
    <w:uiPriority w:val="99"/>
    <w:unhideWhenUsed/>
    <w:rsid w:val="00AA4455"/>
    <w:rPr>
      <w:rFonts w:ascii="Verdana" w:eastAsiaTheme="minorHAnsi" w:hAnsi="Verdana"/>
      <w:sz w:val="20"/>
      <w:szCs w:val="20"/>
    </w:rPr>
  </w:style>
  <w:style w:type="character" w:customStyle="1" w:styleId="EndnoteTextChar">
    <w:name w:val="Endnote Text Char"/>
    <w:basedOn w:val="DefaultParagraphFont"/>
    <w:link w:val="EndnoteText"/>
    <w:uiPriority w:val="99"/>
    <w:rsid w:val="00AA4455"/>
    <w:rPr>
      <w:rFonts w:ascii="Verdana" w:eastAsiaTheme="minorHAnsi" w:hAnsi="Verdana"/>
      <w:sz w:val="20"/>
      <w:szCs w:val="20"/>
    </w:rPr>
  </w:style>
  <w:style w:type="paragraph" w:styleId="TOC1">
    <w:name w:val="toc 1"/>
    <w:basedOn w:val="Normal"/>
    <w:next w:val="Normal"/>
    <w:autoRedefine/>
    <w:uiPriority w:val="39"/>
    <w:unhideWhenUsed/>
    <w:rsid w:val="00770E20"/>
    <w:pPr>
      <w:spacing w:after="100"/>
    </w:pPr>
  </w:style>
  <w:style w:type="paragraph" w:styleId="CommentSubject">
    <w:name w:val="annotation subject"/>
    <w:basedOn w:val="CommentText"/>
    <w:next w:val="CommentText"/>
    <w:link w:val="CommentSubjectChar"/>
    <w:uiPriority w:val="99"/>
    <w:semiHidden/>
    <w:unhideWhenUsed/>
    <w:rsid w:val="007D66F2"/>
    <w:rPr>
      <w:b/>
      <w:bCs/>
    </w:rPr>
  </w:style>
  <w:style w:type="character" w:customStyle="1" w:styleId="CommentSubjectChar">
    <w:name w:val="Comment Subject Char"/>
    <w:basedOn w:val="CommentTextChar"/>
    <w:link w:val="CommentSubject"/>
    <w:uiPriority w:val="99"/>
    <w:semiHidden/>
    <w:rsid w:val="007D66F2"/>
    <w:rPr>
      <w:b/>
      <w:bCs/>
      <w:sz w:val="20"/>
      <w:szCs w:val="20"/>
    </w:rPr>
  </w:style>
  <w:style w:type="paragraph" w:styleId="Revision">
    <w:name w:val="Revision"/>
    <w:hidden/>
    <w:uiPriority w:val="99"/>
    <w:semiHidden/>
    <w:rsid w:val="00FE56F6"/>
  </w:style>
  <w:style w:type="character" w:customStyle="1" w:styleId="UnresolvedMention1">
    <w:name w:val="Unresolved Mention1"/>
    <w:basedOn w:val="DefaultParagraphFont"/>
    <w:uiPriority w:val="99"/>
    <w:semiHidden/>
    <w:unhideWhenUsed/>
    <w:rsid w:val="00DE6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6239">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llon@equalityn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1;ilis.Haughey@nihrc.org" TargetMode="Externa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ntislaverycommissioner.co.uk/" TargetMode="External"/><Relationship Id="rId7" Type="http://schemas.openxmlformats.org/officeDocument/2006/relationships/hyperlink" Target="https://factcheckni.org/articles/do-30000-people-cross-ireland-northern-ireland-border-daily/" TargetMode="External"/><Relationship Id="rId2" Type="http://schemas.openxmlformats.org/officeDocument/2006/relationships/hyperlink" Target="https://www.antislaverycommissioner.co.uk/" TargetMode="External"/><Relationship Id="rId1"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6" Type="http://schemas.openxmlformats.org/officeDocument/2006/relationships/hyperlink" Target="https://assets.publishing.service.gov.uk/government/uploads/system/uploads/attachment_data/file/840230/Revised_Protocol_to_the_Withdrawal_Agreement.pdf" TargetMode="External"/><Relationship Id="rId5" Type="http://schemas.openxmlformats.org/officeDocument/2006/relationships/hyperlink" Target="https://assets.publishing.service.gov.uk/government/uploads/system/uploads/attachment_data/file/1034123/The_Belfast_Agreement_An_Agreement_Reached_at_the_Multi-Party_Talks_on_Northern_Ireland.pdf" TargetMode="External"/><Relationship Id="rId4" Type="http://schemas.openxmlformats.org/officeDocument/2006/relationships/hyperlink" Target="https://bills.parliament.uk/publications/44460/documents/1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AB3E-3B56-4A57-AD15-8E21FDE7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3242</Words>
  <Characters>18484</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2022-01-27T16:47:00Z</dcterms:created>
  <dcterms:modified xsi:type="dcterms:W3CDTF">2022-01-27T16:47:00Z</dcterms:modified>
</cp:coreProperties>
</file>