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1AC5"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6DCC1832" wp14:editId="49C9388A">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40D1CA96"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33BC1B7B" w14:textId="314FEFDD" w:rsidR="0096459E" w:rsidRPr="003B7D0E" w:rsidRDefault="00AE38BC"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Submission to the Committee for Education </w:t>
      </w:r>
      <w:r w:rsidR="00D13CB7">
        <w:rPr>
          <w:rFonts w:ascii="Verdana" w:hAnsi="Verdana" w:cs="Arial"/>
          <w:b/>
          <w:bCs/>
          <w:color w:val="77328A"/>
          <w:sz w:val="36"/>
          <w:szCs w:val="36"/>
        </w:rPr>
        <w:t>on</w:t>
      </w:r>
      <w:r>
        <w:rPr>
          <w:rFonts w:ascii="Verdana" w:hAnsi="Verdana" w:cs="Arial"/>
          <w:b/>
          <w:bCs/>
          <w:color w:val="77328A"/>
          <w:sz w:val="36"/>
          <w:szCs w:val="36"/>
        </w:rPr>
        <w:t xml:space="preserve"> </w:t>
      </w:r>
      <w:r w:rsidR="00BA18B7">
        <w:rPr>
          <w:rFonts w:ascii="Verdana" w:hAnsi="Verdana" w:cs="Arial"/>
          <w:b/>
          <w:bCs/>
          <w:color w:val="77328A"/>
          <w:sz w:val="36"/>
          <w:szCs w:val="36"/>
        </w:rPr>
        <w:t xml:space="preserve">the </w:t>
      </w:r>
      <w:r>
        <w:rPr>
          <w:rFonts w:ascii="Verdana" w:hAnsi="Verdana" w:cs="Arial"/>
          <w:b/>
          <w:bCs/>
          <w:color w:val="77328A"/>
          <w:sz w:val="36"/>
          <w:szCs w:val="36"/>
        </w:rPr>
        <w:t>Integrated Education Bill</w:t>
      </w:r>
    </w:p>
    <w:p w14:paraId="5277102E" w14:textId="77777777" w:rsidR="00F31387" w:rsidRPr="00331C61" w:rsidRDefault="00F31387" w:rsidP="003B7D0E">
      <w:pPr>
        <w:pStyle w:val="Default"/>
        <w:spacing w:line="288" w:lineRule="auto"/>
        <w:jc w:val="center"/>
        <w:rPr>
          <w:rFonts w:cs="Arial"/>
          <w:color w:val="232120"/>
          <w:sz w:val="36"/>
          <w:szCs w:val="36"/>
        </w:rPr>
      </w:pPr>
    </w:p>
    <w:p w14:paraId="3CB48E07" w14:textId="1A57EEBA" w:rsidR="008159E8" w:rsidRPr="00331C61" w:rsidRDefault="00AE38BC" w:rsidP="003B7D0E">
      <w:pPr>
        <w:spacing w:line="288" w:lineRule="auto"/>
        <w:jc w:val="center"/>
        <w:rPr>
          <w:rFonts w:ascii="Verdana" w:hAnsi="Verdana" w:cs="Arial"/>
          <w:b/>
          <w:color w:val="232120"/>
          <w:sz w:val="30"/>
          <w:szCs w:val="30"/>
        </w:rPr>
      </w:pPr>
      <w:r>
        <w:rPr>
          <w:rFonts w:ascii="Verdana" w:hAnsi="Verdana" w:cs="Arial"/>
          <w:b/>
          <w:color w:val="232120"/>
          <w:sz w:val="30"/>
          <w:szCs w:val="30"/>
        </w:rPr>
        <w:t>October</w:t>
      </w:r>
      <w:r w:rsidR="00F31387" w:rsidRPr="00331C61">
        <w:rPr>
          <w:rFonts w:ascii="Verdana" w:hAnsi="Verdana" w:cs="Arial"/>
          <w:b/>
          <w:color w:val="232120"/>
          <w:sz w:val="30"/>
          <w:szCs w:val="30"/>
        </w:rPr>
        <w:t xml:space="preserve"> </w:t>
      </w:r>
      <w:r>
        <w:rPr>
          <w:rFonts w:ascii="Verdana" w:hAnsi="Verdana" w:cs="Arial"/>
          <w:b/>
          <w:color w:val="232120"/>
          <w:sz w:val="30"/>
          <w:szCs w:val="30"/>
        </w:rPr>
        <w:t>2021</w:t>
      </w:r>
    </w:p>
    <w:p w14:paraId="75B969CC" w14:textId="77777777" w:rsidR="00046705" w:rsidRPr="00331C61" w:rsidRDefault="00046705" w:rsidP="003B7D0E">
      <w:pPr>
        <w:spacing w:line="288" w:lineRule="auto"/>
        <w:jc w:val="center"/>
        <w:rPr>
          <w:rFonts w:ascii="Verdana" w:hAnsi="Verdana" w:cs="Arial"/>
          <w:b/>
          <w:color w:val="232120"/>
          <w:sz w:val="28"/>
          <w:szCs w:val="28"/>
        </w:rPr>
      </w:pPr>
    </w:p>
    <w:p w14:paraId="651CAD58" w14:textId="77777777" w:rsidR="00046705" w:rsidRPr="00331C61" w:rsidRDefault="00046705" w:rsidP="003B7D0E">
      <w:pPr>
        <w:spacing w:line="288" w:lineRule="auto"/>
        <w:jc w:val="center"/>
        <w:rPr>
          <w:rFonts w:ascii="Verdana" w:hAnsi="Verdana" w:cs="Arial"/>
          <w:b/>
          <w:color w:val="232120"/>
          <w:sz w:val="28"/>
          <w:szCs w:val="28"/>
        </w:rPr>
      </w:pPr>
    </w:p>
    <w:p w14:paraId="1832FB16" w14:textId="77777777" w:rsidR="00EA12CE" w:rsidRPr="00331C61" w:rsidRDefault="00EA12CE" w:rsidP="003B7D0E">
      <w:pPr>
        <w:pStyle w:val="Default"/>
        <w:spacing w:line="288" w:lineRule="auto"/>
        <w:jc w:val="center"/>
        <w:rPr>
          <w:rFonts w:cs="Arial"/>
          <w:b/>
          <w:color w:val="232120"/>
          <w:sz w:val="28"/>
          <w:szCs w:val="28"/>
          <w:lang w:val="en-GB"/>
        </w:rPr>
      </w:pPr>
    </w:p>
    <w:p w14:paraId="76D746F7" w14:textId="77777777" w:rsidR="003B7D0E" w:rsidRPr="00331C61" w:rsidRDefault="003B7D0E" w:rsidP="003B7D0E">
      <w:pPr>
        <w:pStyle w:val="Default"/>
        <w:spacing w:line="480" w:lineRule="auto"/>
        <w:jc w:val="center"/>
        <w:rPr>
          <w:rFonts w:cs="Arial"/>
          <w:b/>
          <w:color w:val="232120"/>
          <w:sz w:val="36"/>
          <w:szCs w:val="36"/>
        </w:rPr>
      </w:pPr>
    </w:p>
    <w:p w14:paraId="3BCA78FA" w14:textId="77777777" w:rsidR="003B7D0E" w:rsidRDefault="003B7D0E" w:rsidP="003B7D0E">
      <w:pPr>
        <w:pStyle w:val="Default"/>
        <w:spacing w:line="480" w:lineRule="auto"/>
        <w:jc w:val="center"/>
        <w:rPr>
          <w:rFonts w:cs="Arial"/>
          <w:b/>
          <w:color w:val="232120"/>
          <w:sz w:val="36"/>
          <w:szCs w:val="36"/>
        </w:rPr>
      </w:pPr>
    </w:p>
    <w:p w14:paraId="618FE36A" w14:textId="77777777" w:rsidR="0096459E" w:rsidRPr="00331C61" w:rsidRDefault="0096459E" w:rsidP="003B7D0E">
      <w:pPr>
        <w:pStyle w:val="Default"/>
        <w:spacing w:line="480" w:lineRule="auto"/>
        <w:jc w:val="center"/>
        <w:rPr>
          <w:rFonts w:cs="Arial"/>
          <w:b/>
          <w:color w:val="232120"/>
          <w:sz w:val="36"/>
          <w:szCs w:val="36"/>
        </w:rPr>
      </w:pPr>
    </w:p>
    <w:p w14:paraId="6814361E" w14:textId="126088D7" w:rsidR="003B7D0E" w:rsidRDefault="003B7D0E" w:rsidP="003B7D0E">
      <w:pPr>
        <w:pStyle w:val="Default"/>
        <w:spacing w:line="480" w:lineRule="auto"/>
        <w:jc w:val="center"/>
        <w:rPr>
          <w:rFonts w:cs="Arial"/>
          <w:b/>
          <w:color w:val="232120"/>
          <w:sz w:val="36"/>
          <w:szCs w:val="36"/>
        </w:rPr>
      </w:pPr>
    </w:p>
    <w:p w14:paraId="1C6E6E68" w14:textId="77777777" w:rsidR="00AE38BC" w:rsidRPr="00331C61" w:rsidRDefault="00AE38BC" w:rsidP="003B7D0E">
      <w:pPr>
        <w:pStyle w:val="Default"/>
        <w:spacing w:line="480" w:lineRule="auto"/>
        <w:jc w:val="center"/>
        <w:rPr>
          <w:rFonts w:cs="Arial"/>
          <w:b/>
          <w:color w:val="232120"/>
          <w:sz w:val="36"/>
          <w:szCs w:val="36"/>
        </w:rPr>
      </w:pPr>
    </w:p>
    <w:p w14:paraId="6A6D0A37" w14:textId="77777777" w:rsidR="00EA12CE" w:rsidRPr="003B7D0E" w:rsidRDefault="00EA12CE" w:rsidP="00331C61">
      <w:pPr>
        <w:pStyle w:val="Default"/>
        <w:spacing w:line="480" w:lineRule="auto"/>
        <w:rPr>
          <w:rFonts w:cs="Arial"/>
          <w:b/>
          <w:color w:val="3C3C3B"/>
          <w:sz w:val="36"/>
          <w:szCs w:val="36"/>
        </w:rPr>
      </w:pPr>
      <w:r w:rsidRPr="003B7D0E">
        <w:rPr>
          <w:rFonts w:cs="Arial"/>
          <w:b/>
          <w:color w:val="77328A"/>
          <w:sz w:val="36"/>
          <w:szCs w:val="36"/>
        </w:rPr>
        <w:lastRenderedPageBreak/>
        <w:t>Table of Contents</w:t>
      </w:r>
    </w:p>
    <w:p w14:paraId="742DE0B4" w14:textId="0E68E97B" w:rsidR="003B7D0E" w:rsidRPr="00331C61" w:rsidRDefault="00572623" w:rsidP="00331C61">
      <w:pPr>
        <w:pStyle w:val="Default"/>
        <w:spacing w:line="480" w:lineRule="auto"/>
        <w:rPr>
          <w:rFonts w:cs="Arial"/>
          <w:b/>
          <w:color w:val="232120"/>
        </w:rPr>
      </w:pPr>
      <w:r>
        <w:rPr>
          <w:rFonts w:cs="Arial"/>
          <w:b/>
          <w:color w:val="232120"/>
        </w:rPr>
        <w:t>Summary</w:t>
      </w:r>
      <w:r w:rsidR="00E44A30">
        <w:rPr>
          <w:rFonts w:cs="Arial"/>
          <w:b/>
          <w:color w:val="232120"/>
        </w:rPr>
        <w:tab/>
      </w:r>
      <w:r w:rsidR="00E44A30">
        <w:rPr>
          <w:rFonts w:cs="Arial"/>
          <w:b/>
          <w:color w:val="232120"/>
        </w:rPr>
        <w:tab/>
      </w:r>
      <w:r w:rsidR="00E44A30">
        <w:rPr>
          <w:rFonts w:cs="Arial"/>
          <w:b/>
          <w:color w:val="232120"/>
        </w:rPr>
        <w:tab/>
      </w:r>
      <w:r w:rsidR="00E44A30">
        <w:rPr>
          <w:rFonts w:cs="Arial"/>
          <w:b/>
          <w:color w:val="232120"/>
        </w:rPr>
        <w:tab/>
      </w:r>
      <w:r w:rsidR="00E44A30">
        <w:rPr>
          <w:rFonts w:cs="Arial"/>
          <w:b/>
          <w:color w:val="232120"/>
        </w:rPr>
        <w:tab/>
      </w:r>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1E79A9" w:rsidRPr="00331C61">
        <w:rPr>
          <w:rFonts w:cs="Arial"/>
          <w:b/>
          <w:color w:val="232120"/>
        </w:rPr>
        <w:tab/>
      </w:r>
      <w:r w:rsidR="001E79A9" w:rsidRPr="00331C61">
        <w:rPr>
          <w:rFonts w:cs="Arial"/>
          <w:b/>
          <w:color w:val="232120"/>
        </w:rPr>
        <w:tab/>
      </w:r>
      <w:r w:rsidR="00EA12CE" w:rsidRPr="00331C61">
        <w:rPr>
          <w:rFonts w:cs="Arial"/>
          <w:b/>
          <w:color w:val="232120"/>
        </w:rPr>
        <w:t>0</w:t>
      </w:r>
      <w:r w:rsidR="00A87ABC">
        <w:rPr>
          <w:rFonts w:cs="Arial"/>
          <w:b/>
          <w:color w:val="232120"/>
        </w:rPr>
        <w:t>3</w:t>
      </w:r>
    </w:p>
    <w:p w14:paraId="1F125BD8" w14:textId="21549620" w:rsidR="003B7D0E" w:rsidRPr="00331C61" w:rsidRDefault="00572623" w:rsidP="00331C61">
      <w:pPr>
        <w:pStyle w:val="Default"/>
        <w:spacing w:line="480" w:lineRule="auto"/>
        <w:rPr>
          <w:rFonts w:cs="Arial"/>
          <w:b/>
          <w:color w:val="232120"/>
        </w:rPr>
      </w:pPr>
      <w:r>
        <w:rPr>
          <w:rFonts w:cs="Arial"/>
          <w:b/>
          <w:color w:val="232120"/>
        </w:rPr>
        <w:t>Introduction</w:t>
      </w:r>
      <w:r>
        <w:rPr>
          <w:rFonts w:cs="Arial"/>
          <w:b/>
          <w:color w:val="232120"/>
        </w:rPr>
        <w:tab/>
      </w:r>
      <w:r>
        <w:rPr>
          <w:rFonts w:cs="Arial"/>
          <w:b/>
          <w:color w:val="232120"/>
        </w:rPr>
        <w:tab/>
      </w:r>
      <w:r>
        <w:rPr>
          <w:rFonts w:cs="Arial"/>
          <w:b/>
          <w:color w:val="232120"/>
        </w:rPr>
        <w:tab/>
      </w:r>
      <w:r>
        <w:rPr>
          <w:rFonts w:cs="Arial"/>
          <w:b/>
          <w:color w:val="232120"/>
        </w:rPr>
        <w:tab/>
      </w:r>
      <w:r w:rsidR="001E79A9" w:rsidRPr="00331C61">
        <w:rPr>
          <w:rFonts w:cs="Arial"/>
          <w:b/>
          <w:color w:val="232120"/>
        </w:rPr>
        <w:t xml:space="preserve">  </w:t>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t>0</w:t>
      </w:r>
      <w:r w:rsidR="00FA32B5">
        <w:rPr>
          <w:rFonts w:cs="Arial"/>
          <w:b/>
          <w:color w:val="232120"/>
        </w:rPr>
        <w:t>4</w:t>
      </w:r>
    </w:p>
    <w:p w14:paraId="0D4A3539" w14:textId="156CF214" w:rsidR="00FA4F0E" w:rsidRDefault="00572623" w:rsidP="00FA4F0E">
      <w:pPr>
        <w:pStyle w:val="Default"/>
        <w:spacing w:line="480" w:lineRule="auto"/>
        <w:rPr>
          <w:rFonts w:cs="Arial"/>
          <w:b/>
          <w:color w:val="232120"/>
        </w:rPr>
      </w:pPr>
      <w:r>
        <w:rPr>
          <w:rFonts w:cs="Arial"/>
          <w:b/>
          <w:color w:val="232120"/>
        </w:rPr>
        <w:t xml:space="preserve">International </w:t>
      </w:r>
      <w:r w:rsidR="001F74C6">
        <w:rPr>
          <w:rFonts w:cs="Arial"/>
          <w:b/>
          <w:color w:val="232120"/>
        </w:rPr>
        <w:t xml:space="preserve">Human Rights </w:t>
      </w:r>
      <w:r>
        <w:rPr>
          <w:rFonts w:cs="Arial"/>
          <w:b/>
          <w:color w:val="232120"/>
        </w:rPr>
        <w:t>Standards</w:t>
      </w:r>
      <w:r w:rsidR="001F74C6">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FA32B5">
        <w:rPr>
          <w:rFonts w:cs="Arial"/>
          <w:b/>
          <w:color w:val="232120"/>
        </w:rPr>
        <w:tab/>
        <w:t>05</w:t>
      </w:r>
    </w:p>
    <w:p w14:paraId="20CC5634" w14:textId="4B2FA9BD" w:rsidR="002E244F" w:rsidRPr="00FA4F0E" w:rsidRDefault="002E244F" w:rsidP="00FA4F0E">
      <w:pPr>
        <w:pStyle w:val="Default"/>
        <w:spacing w:line="480" w:lineRule="auto"/>
        <w:rPr>
          <w:rFonts w:cs="Arial"/>
          <w:b/>
          <w:color w:val="232120"/>
        </w:rPr>
      </w:pPr>
      <w:r w:rsidRPr="00FA4F0E">
        <w:rPr>
          <w:rFonts w:cs="Arial"/>
          <w:b/>
          <w:bCs/>
          <w:color w:val="232120"/>
        </w:rPr>
        <w:t xml:space="preserve">Clauses 1 </w:t>
      </w:r>
      <w:r w:rsidR="004553F0">
        <w:rPr>
          <w:rFonts w:cs="Arial"/>
          <w:b/>
          <w:bCs/>
          <w:color w:val="232120"/>
        </w:rPr>
        <w:t>and 2</w:t>
      </w:r>
      <w:r w:rsidRPr="00FA4F0E">
        <w:rPr>
          <w:rFonts w:cs="Arial"/>
          <w:b/>
          <w:bCs/>
          <w:color w:val="232120"/>
        </w:rPr>
        <w:t xml:space="preserve">: </w:t>
      </w:r>
      <w:r w:rsidR="00E44A30" w:rsidRPr="00FA4F0E">
        <w:rPr>
          <w:rFonts w:cs="Arial"/>
          <w:b/>
          <w:bCs/>
          <w:color w:val="232120"/>
        </w:rPr>
        <w:t>Definitions and p</w:t>
      </w:r>
      <w:r w:rsidRPr="00FA4F0E">
        <w:rPr>
          <w:rFonts w:cs="Arial"/>
          <w:b/>
          <w:bCs/>
          <w:color w:val="232120"/>
        </w:rPr>
        <w:t>urpose</w:t>
      </w:r>
      <w:r w:rsidR="008D06C3" w:rsidRPr="00FA4F0E">
        <w:rPr>
          <w:rFonts w:cs="Arial"/>
          <w:b/>
          <w:bCs/>
          <w:color w:val="232120"/>
        </w:rPr>
        <w:tab/>
      </w:r>
      <w:r w:rsidR="003B7D0E" w:rsidRPr="00FA4F0E">
        <w:rPr>
          <w:rFonts w:cs="Arial"/>
          <w:b/>
          <w:bCs/>
          <w:color w:val="232120"/>
        </w:rPr>
        <w:tab/>
      </w:r>
      <w:r w:rsidR="00FA32B5">
        <w:rPr>
          <w:rFonts w:cs="Arial"/>
          <w:b/>
          <w:bCs/>
          <w:color w:val="232120"/>
        </w:rPr>
        <w:tab/>
      </w:r>
      <w:r w:rsidR="00FA32B5">
        <w:rPr>
          <w:rFonts w:cs="Arial"/>
          <w:b/>
          <w:bCs/>
          <w:color w:val="232120"/>
        </w:rPr>
        <w:tab/>
      </w:r>
      <w:r w:rsidR="00FA32B5">
        <w:rPr>
          <w:rFonts w:cs="Arial"/>
          <w:b/>
          <w:bCs/>
          <w:color w:val="232120"/>
        </w:rPr>
        <w:tab/>
      </w:r>
      <w:r w:rsidR="00FA32B5">
        <w:rPr>
          <w:rFonts w:cs="Arial"/>
          <w:b/>
          <w:bCs/>
          <w:color w:val="232120"/>
        </w:rPr>
        <w:tab/>
        <w:t>0</w:t>
      </w:r>
      <w:r w:rsidR="004C0D9D">
        <w:rPr>
          <w:rFonts w:cs="Arial"/>
          <w:b/>
          <w:bCs/>
          <w:color w:val="232120"/>
        </w:rPr>
        <w:t>8</w:t>
      </w:r>
    </w:p>
    <w:p w14:paraId="11078B8C" w14:textId="04A4EB02" w:rsidR="003B7D0E" w:rsidRPr="00FA4F0E" w:rsidRDefault="002E244F" w:rsidP="00FA4F0E">
      <w:pPr>
        <w:pStyle w:val="Default"/>
        <w:spacing w:line="480" w:lineRule="auto"/>
        <w:rPr>
          <w:rFonts w:cs="Arial"/>
          <w:b/>
          <w:bCs/>
          <w:color w:val="232120"/>
        </w:rPr>
      </w:pPr>
      <w:r w:rsidRPr="00FA4F0E">
        <w:rPr>
          <w:rFonts w:cs="Arial"/>
          <w:b/>
          <w:bCs/>
          <w:color w:val="232120"/>
        </w:rPr>
        <w:t xml:space="preserve">Clauses 4 </w:t>
      </w:r>
      <w:r w:rsidR="003B26E8" w:rsidRPr="00FA4F0E">
        <w:rPr>
          <w:rFonts w:cs="Arial"/>
          <w:b/>
          <w:bCs/>
          <w:color w:val="232120"/>
        </w:rPr>
        <w:t>and</w:t>
      </w:r>
      <w:r w:rsidR="006F2C42" w:rsidRPr="00FA4F0E">
        <w:rPr>
          <w:rFonts w:cs="Arial"/>
          <w:b/>
          <w:bCs/>
          <w:color w:val="232120"/>
        </w:rPr>
        <w:t xml:space="preserve"> 5</w:t>
      </w:r>
      <w:r w:rsidRPr="00FA4F0E">
        <w:rPr>
          <w:rFonts w:cs="Arial"/>
          <w:b/>
          <w:bCs/>
          <w:color w:val="232120"/>
        </w:rPr>
        <w:t xml:space="preserve">: </w:t>
      </w:r>
      <w:r w:rsidR="00C74F69" w:rsidRPr="00FA4F0E">
        <w:rPr>
          <w:rFonts w:cs="Arial"/>
          <w:b/>
          <w:bCs/>
          <w:color w:val="232120"/>
        </w:rPr>
        <w:t>Duty to promote</w:t>
      </w:r>
      <w:r w:rsidR="00C74F69" w:rsidRPr="00FA4F0E">
        <w:rPr>
          <w:rFonts w:cs="Arial"/>
          <w:b/>
          <w:bCs/>
          <w:color w:val="232120"/>
        </w:rPr>
        <w:tab/>
      </w:r>
      <w:r w:rsidR="00C74F69" w:rsidRPr="00FA4F0E">
        <w:rPr>
          <w:rFonts w:cs="Arial"/>
          <w:b/>
          <w:bCs/>
          <w:color w:val="232120"/>
        </w:rPr>
        <w:tab/>
      </w:r>
      <w:r w:rsidR="00C74F69" w:rsidRPr="00FA4F0E">
        <w:rPr>
          <w:rFonts w:cs="Arial"/>
          <w:b/>
          <w:bCs/>
          <w:color w:val="232120"/>
        </w:rPr>
        <w:tab/>
      </w:r>
      <w:r w:rsidR="00C74F69" w:rsidRPr="00FA4F0E">
        <w:rPr>
          <w:rFonts w:cs="Arial"/>
          <w:b/>
          <w:bCs/>
          <w:color w:val="232120"/>
        </w:rPr>
        <w:tab/>
      </w:r>
      <w:r w:rsidR="003B7D0E" w:rsidRPr="00FA4F0E">
        <w:rPr>
          <w:rFonts w:cs="Arial"/>
          <w:b/>
          <w:bCs/>
          <w:color w:val="232120"/>
        </w:rPr>
        <w:tab/>
      </w:r>
      <w:r w:rsidR="003B7D0E" w:rsidRPr="00FA4F0E">
        <w:rPr>
          <w:rFonts w:cs="Arial"/>
          <w:b/>
          <w:bCs/>
          <w:color w:val="232120"/>
        </w:rPr>
        <w:tab/>
      </w:r>
      <w:r w:rsidR="00B74D9B" w:rsidRPr="00FA4F0E">
        <w:rPr>
          <w:rFonts w:cs="Arial"/>
          <w:b/>
          <w:bCs/>
          <w:color w:val="232120"/>
        </w:rPr>
        <w:tab/>
      </w:r>
      <w:r w:rsidR="00FA32B5">
        <w:rPr>
          <w:rFonts w:cs="Arial"/>
          <w:b/>
          <w:bCs/>
          <w:color w:val="232120"/>
        </w:rPr>
        <w:t>1</w:t>
      </w:r>
      <w:r w:rsidR="007F5837">
        <w:rPr>
          <w:rFonts w:cs="Arial"/>
          <w:b/>
          <w:bCs/>
          <w:color w:val="232120"/>
        </w:rPr>
        <w:t>0</w:t>
      </w:r>
    </w:p>
    <w:p w14:paraId="238569C2" w14:textId="66041F34" w:rsidR="002E244F" w:rsidRPr="00FA4F0E" w:rsidRDefault="002E244F" w:rsidP="00FA32B5">
      <w:pPr>
        <w:pStyle w:val="Default"/>
        <w:tabs>
          <w:tab w:val="left" w:pos="8864"/>
        </w:tabs>
        <w:spacing w:line="480" w:lineRule="auto"/>
        <w:rPr>
          <w:rFonts w:cs="Arial"/>
          <w:b/>
          <w:bCs/>
          <w:color w:val="232120"/>
        </w:rPr>
      </w:pPr>
      <w:r w:rsidRPr="00FA4F0E">
        <w:rPr>
          <w:rFonts w:cs="Arial"/>
          <w:b/>
          <w:bCs/>
          <w:color w:val="232120"/>
        </w:rPr>
        <w:t>Clause</w:t>
      </w:r>
      <w:r w:rsidR="00906212">
        <w:rPr>
          <w:rFonts w:cs="Arial"/>
          <w:b/>
          <w:bCs/>
          <w:color w:val="232120"/>
        </w:rPr>
        <w:t xml:space="preserve"> 7</w:t>
      </w:r>
      <w:r w:rsidRPr="00FA4F0E">
        <w:rPr>
          <w:rFonts w:cs="Arial"/>
          <w:b/>
          <w:bCs/>
          <w:color w:val="232120"/>
        </w:rPr>
        <w:t xml:space="preserve">: </w:t>
      </w:r>
      <w:r w:rsidR="00906212">
        <w:rPr>
          <w:rFonts w:cs="Arial"/>
          <w:b/>
          <w:bCs/>
          <w:color w:val="232120"/>
        </w:rPr>
        <w:t>New schools</w:t>
      </w:r>
      <w:r w:rsidR="00FA32B5">
        <w:rPr>
          <w:rFonts w:cs="Arial"/>
          <w:b/>
          <w:bCs/>
          <w:color w:val="232120"/>
        </w:rPr>
        <w:tab/>
      </w:r>
      <w:r w:rsidR="00FA32B5">
        <w:rPr>
          <w:rFonts w:cs="Arial"/>
          <w:b/>
          <w:bCs/>
          <w:color w:val="232120"/>
        </w:rPr>
        <w:tab/>
        <w:t>1</w:t>
      </w:r>
      <w:r w:rsidR="004C0D9D">
        <w:rPr>
          <w:rFonts w:cs="Arial"/>
          <w:b/>
          <w:bCs/>
          <w:color w:val="232120"/>
        </w:rPr>
        <w:t>2</w:t>
      </w:r>
    </w:p>
    <w:p w14:paraId="6573F311" w14:textId="495EA8BD" w:rsidR="00B74D9B" w:rsidRPr="00FA4F0E" w:rsidRDefault="002E244F" w:rsidP="00AD7414">
      <w:pPr>
        <w:pStyle w:val="BasicParagraph"/>
        <w:suppressAutoHyphens/>
        <w:spacing w:line="480" w:lineRule="auto"/>
        <w:ind w:left="720" w:hanging="720"/>
        <w:rPr>
          <w:rFonts w:ascii="Verdana" w:hAnsi="Verdana" w:cs="Arial"/>
          <w:b/>
          <w:bCs/>
          <w:color w:val="232120"/>
        </w:rPr>
      </w:pPr>
      <w:r w:rsidRPr="00FA4F0E">
        <w:rPr>
          <w:rFonts w:ascii="Verdana" w:hAnsi="Verdana" w:cs="Arial"/>
          <w:b/>
          <w:bCs/>
          <w:color w:val="232120"/>
        </w:rPr>
        <w:t xml:space="preserve">Clauses </w:t>
      </w:r>
      <w:r w:rsidR="00906212">
        <w:rPr>
          <w:rFonts w:ascii="Verdana" w:hAnsi="Verdana" w:cs="Arial"/>
          <w:b/>
          <w:bCs/>
          <w:color w:val="232120"/>
        </w:rPr>
        <w:t>8</w:t>
      </w:r>
      <w:r w:rsidRPr="00FA4F0E">
        <w:rPr>
          <w:rFonts w:ascii="Verdana" w:hAnsi="Verdana" w:cs="Arial"/>
          <w:b/>
          <w:bCs/>
          <w:color w:val="232120"/>
        </w:rPr>
        <w:t xml:space="preserve"> </w:t>
      </w:r>
      <w:r w:rsidR="00AD7414" w:rsidRPr="00FA4F0E">
        <w:rPr>
          <w:rFonts w:ascii="Verdana" w:hAnsi="Verdana" w:cs="Arial"/>
          <w:b/>
          <w:bCs/>
          <w:color w:val="232120"/>
        </w:rPr>
        <w:t xml:space="preserve">– </w:t>
      </w:r>
      <w:r w:rsidR="00906212">
        <w:rPr>
          <w:rFonts w:ascii="Verdana" w:hAnsi="Verdana" w:cs="Arial"/>
          <w:b/>
          <w:bCs/>
          <w:color w:val="232120"/>
        </w:rPr>
        <w:t>11</w:t>
      </w:r>
      <w:r w:rsidR="00AD7414" w:rsidRPr="00FA4F0E">
        <w:rPr>
          <w:rFonts w:ascii="Verdana" w:hAnsi="Verdana" w:cs="Arial"/>
          <w:b/>
          <w:bCs/>
          <w:color w:val="232120"/>
        </w:rPr>
        <w:t xml:space="preserve">: </w:t>
      </w:r>
      <w:r w:rsidR="00F81190">
        <w:rPr>
          <w:rFonts w:ascii="Verdana" w:hAnsi="Verdana" w:cs="Arial"/>
          <w:b/>
          <w:bCs/>
          <w:color w:val="232120"/>
        </w:rPr>
        <w:t>Monitoring</w:t>
      </w:r>
      <w:r w:rsidR="00FA32B5">
        <w:rPr>
          <w:rFonts w:ascii="Verdana" w:hAnsi="Verdana" w:cs="Arial"/>
          <w:b/>
          <w:bCs/>
          <w:color w:val="232120"/>
        </w:rPr>
        <w:t xml:space="preserve"> </w:t>
      </w:r>
      <w:r w:rsidR="00FA32B5">
        <w:rPr>
          <w:rFonts w:ascii="Verdana" w:hAnsi="Verdana" w:cs="Arial"/>
          <w:b/>
          <w:bCs/>
          <w:color w:val="232120"/>
        </w:rPr>
        <w:tab/>
      </w:r>
      <w:r w:rsidR="00FA32B5">
        <w:rPr>
          <w:rFonts w:ascii="Verdana" w:hAnsi="Verdana" w:cs="Arial"/>
          <w:b/>
          <w:bCs/>
          <w:color w:val="232120"/>
        </w:rPr>
        <w:tab/>
      </w:r>
      <w:r w:rsidR="00FA32B5">
        <w:rPr>
          <w:rFonts w:ascii="Verdana" w:hAnsi="Verdana" w:cs="Arial"/>
          <w:b/>
          <w:bCs/>
          <w:color w:val="232120"/>
        </w:rPr>
        <w:tab/>
      </w:r>
      <w:r w:rsidR="00FA32B5">
        <w:rPr>
          <w:rFonts w:ascii="Verdana" w:hAnsi="Verdana" w:cs="Arial"/>
          <w:b/>
          <w:bCs/>
          <w:color w:val="232120"/>
        </w:rPr>
        <w:tab/>
      </w:r>
      <w:r w:rsidR="00FA32B5">
        <w:rPr>
          <w:rFonts w:ascii="Verdana" w:hAnsi="Verdana" w:cs="Arial"/>
          <w:b/>
          <w:bCs/>
          <w:color w:val="232120"/>
        </w:rPr>
        <w:tab/>
      </w:r>
      <w:r w:rsidR="00FA32B5">
        <w:rPr>
          <w:rFonts w:ascii="Verdana" w:hAnsi="Verdana" w:cs="Arial"/>
          <w:b/>
          <w:bCs/>
          <w:color w:val="232120"/>
        </w:rPr>
        <w:tab/>
      </w:r>
      <w:r w:rsidR="00FA32B5">
        <w:rPr>
          <w:rFonts w:ascii="Verdana" w:hAnsi="Verdana" w:cs="Arial"/>
          <w:b/>
          <w:bCs/>
          <w:color w:val="232120"/>
        </w:rPr>
        <w:tab/>
      </w:r>
      <w:r w:rsidR="00FA32B5">
        <w:rPr>
          <w:rFonts w:ascii="Verdana" w:hAnsi="Verdana" w:cs="Arial"/>
          <w:b/>
          <w:bCs/>
          <w:color w:val="232120"/>
        </w:rPr>
        <w:tab/>
        <w:t>1</w:t>
      </w:r>
      <w:r w:rsidR="004C0D9D">
        <w:rPr>
          <w:rFonts w:ascii="Verdana" w:hAnsi="Verdana" w:cs="Arial"/>
          <w:b/>
          <w:bCs/>
          <w:color w:val="232120"/>
        </w:rPr>
        <w:t>4</w:t>
      </w:r>
    </w:p>
    <w:p w14:paraId="42583D32" w14:textId="2C40B123" w:rsidR="00B74D9B" w:rsidRDefault="00B74D9B" w:rsidP="00B74D9B">
      <w:pPr>
        <w:pStyle w:val="BasicParagraph"/>
        <w:suppressAutoHyphens/>
        <w:spacing w:line="480" w:lineRule="auto"/>
        <w:ind w:left="720" w:hanging="720"/>
        <w:rPr>
          <w:rFonts w:ascii="Verdana" w:hAnsi="Verdana" w:cs="Arial"/>
          <w:b/>
          <w:bCs/>
          <w:color w:val="232120"/>
        </w:rPr>
      </w:pPr>
    </w:p>
    <w:p w14:paraId="1F40551F" w14:textId="77777777" w:rsidR="00B74D9B" w:rsidRDefault="00B74D9B" w:rsidP="002E244F">
      <w:pPr>
        <w:pStyle w:val="BasicParagraph"/>
        <w:suppressAutoHyphens/>
        <w:ind w:left="720" w:hanging="720"/>
        <w:rPr>
          <w:rFonts w:ascii="Verdana" w:hAnsi="Verdana" w:cs="Arial"/>
          <w:b/>
          <w:bCs/>
          <w:color w:val="232120"/>
        </w:rPr>
      </w:pPr>
    </w:p>
    <w:p w14:paraId="44B58E1D" w14:textId="367F826C" w:rsidR="002E244F" w:rsidRDefault="002E244F" w:rsidP="002A4459">
      <w:pPr>
        <w:pStyle w:val="Default"/>
        <w:spacing w:line="480" w:lineRule="auto"/>
        <w:rPr>
          <w:rFonts w:cs="Arial"/>
          <w:bCs/>
          <w:color w:val="232120"/>
        </w:rPr>
      </w:pPr>
    </w:p>
    <w:p w14:paraId="557BF4C6" w14:textId="0F6A29A9" w:rsidR="002A4459" w:rsidRPr="00C74F69" w:rsidRDefault="002A4459" w:rsidP="002A4459">
      <w:pPr>
        <w:pStyle w:val="Default"/>
        <w:spacing w:line="480" w:lineRule="auto"/>
        <w:rPr>
          <w:rFonts w:cs="Arial"/>
          <w:bCs/>
          <w:color w:val="232120"/>
        </w:rPr>
      </w:pPr>
      <w:r>
        <w:rPr>
          <w:rFonts w:cs="Arial"/>
          <w:bCs/>
          <w:color w:val="232120"/>
        </w:rPr>
        <w:tab/>
      </w:r>
    </w:p>
    <w:p w14:paraId="27F7F7F4" w14:textId="77777777" w:rsidR="00EA12CE" w:rsidRPr="00331C61" w:rsidRDefault="00EA12CE" w:rsidP="00331C61">
      <w:pPr>
        <w:pStyle w:val="Default"/>
        <w:spacing w:line="288" w:lineRule="auto"/>
        <w:rPr>
          <w:rFonts w:cs="Arial"/>
          <w:b/>
          <w:color w:val="232120"/>
        </w:rPr>
      </w:pPr>
    </w:p>
    <w:p w14:paraId="6EF00FE6" w14:textId="77777777" w:rsidR="00EA12CE" w:rsidRPr="00331C61" w:rsidRDefault="00EA12CE" w:rsidP="00331C61">
      <w:pPr>
        <w:pStyle w:val="Default"/>
        <w:spacing w:line="288" w:lineRule="auto"/>
        <w:rPr>
          <w:rFonts w:cs="Arial"/>
          <w:b/>
          <w:color w:val="232120"/>
        </w:rPr>
      </w:pPr>
    </w:p>
    <w:p w14:paraId="0A9ED69B" w14:textId="77777777" w:rsidR="00EA12CE" w:rsidRPr="00331C61" w:rsidRDefault="00EA12CE" w:rsidP="00331C61">
      <w:pPr>
        <w:pStyle w:val="Default"/>
        <w:spacing w:line="288" w:lineRule="auto"/>
        <w:rPr>
          <w:rFonts w:cs="Arial"/>
          <w:b/>
          <w:color w:val="232120"/>
        </w:rPr>
      </w:pPr>
    </w:p>
    <w:p w14:paraId="0A9BA917" w14:textId="77777777" w:rsidR="00EA12CE" w:rsidRPr="00331C61" w:rsidRDefault="00EA12CE" w:rsidP="00331C61">
      <w:pPr>
        <w:pStyle w:val="Default"/>
        <w:spacing w:line="288" w:lineRule="auto"/>
        <w:rPr>
          <w:rFonts w:cs="Arial"/>
          <w:b/>
          <w:color w:val="232120"/>
        </w:rPr>
      </w:pPr>
    </w:p>
    <w:p w14:paraId="10B2945A" w14:textId="77777777" w:rsidR="00EA12CE" w:rsidRPr="00331C61" w:rsidRDefault="00EA12CE" w:rsidP="00331C61">
      <w:pPr>
        <w:pStyle w:val="Default"/>
        <w:spacing w:line="288" w:lineRule="auto"/>
        <w:rPr>
          <w:rFonts w:cs="Arial"/>
          <w:b/>
          <w:color w:val="232120"/>
        </w:rPr>
      </w:pPr>
    </w:p>
    <w:p w14:paraId="2DF1EEA1" w14:textId="77777777" w:rsidR="00EA12CE" w:rsidRPr="00331C61" w:rsidRDefault="00EA12CE" w:rsidP="00331C61">
      <w:pPr>
        <w:pStyle w:val="Default"/>
        <w:spacing w:line="288" w:lineRule="auto"/>
        <w:rPr>
          <w:rFonts w:cs="Arial"/>
          <w:b/>
          <w:color w:val="232120"/>
        </w:rPr>
      </w:pPr>
    </w:p>
    <w:p w14:paraId="355C573A" w14:textId="77777777" w:rsidR="00EA12CE" w:rsidRPr="00331C61" w:rsidRDefault="00EA12CE" w:rsidP="00331C61">
      <w:pPr>
        <w:pStyle w:val="Default"/>
        <w:spacing w:line="288" w:lineRule="auto"/>
        <w:rPr>
          <w:rFonts w:cs="Arial"/>
          <w:b/>
          <w:color w:val="232120"/>
        </w:rPr>
      </w:pPr>
    </w:p>
    <w:p w14:paraId="328B2383" w14:textId="77777777" w:rsidR="00EA12CE" w:rsidRPr="00331C61" w:rsidRDefault="00EA12CE" w:rsidP="00331C61">
      <w:pPr>
        <w:pStyle w:val="Default"/>
        <w:spacing w:line="288" w:lineRule="auto"/>
        <w:rPr>
          <w:rFonts w:cs="Arial"/>
          <w:b/>
          <w:color w:val="232120"/>
        </w:rPr>
      </w:pPr>
    </w:p>
    <w:p w14:paraId="1EDE3175" w14:textId="77777777" w:rsidR="00EA12CE" w:rsidRPr="00331C61" w:rsidRDefault="00EA12CE" w:rsidP="00331C61">
      <w:pPr>
        <w:pStyle w:val="Default"/>
        <w:spacing w:line="288" w:lineRule="auto"/>
        <w:rPr>
          <w:rFonts w:cs="Arial"/>
          <w:b/>
          <w:color w:val="232120"/>
        </w:rPr>
      </w:pPr>
    </w:p>
    <w:p w14:paraId="4D1C1950" w14:textId="77777777" w:rsidR="00EA12CE" w:rsidRPr="00331C61" w:rsidRDefault="00EA12CE" w:rsidP="00331C61">
      <w:pPr>
        <w:pStyle w:val="Default"/>
        <w:spacing w:line="288" w:lineRule="auto"/>
        <w:rPr>
          <w:rFonts w:cs="Arial"/>
          <w:b/>
          <w:color w:val="232120"/>
        </w:rPr>
      </w:pPr>
    </w:p>
    <w:p w14:paraId="4A03FAA9" w14:textId="77777777" w:rsidR="00EA12CE" w:rsidRPr="00331C61" w:rsidRDefault="00EA12CE" w:rsidP="00331C61">
      <w:pPr>
        <w:pStyle w:val="Default"/>
        <w:spacing w:line="288" w:lineRule="auto"/>
        <w:rPr>
          <w:rFonts w:cs="Arial"/>
          <w:b/>
          <w:color w:val="232120"/>
        </w:rPr>
      </w:pPr>
    </w:p>
    <w:p w14:paraId="15B4151E" w14:textId="77777777" w:rsidR="00EA12CE" w:rsidRPr="00331C61" w:rsidRDefault="00EA12CE" w:rsidP="00331C61">
      <w:pPr>
        <w:pStyle w:val="Default"/>
        <w:spacing w:line="288" w:lineRule="auto"/>
        <w:rPr>
          <w:rFonts w:cs="Arial"/>
          <w:b/>
          <w:color w:val="232120"/>
        </w:rPr>
      </w:pPr>
    </w:p>
    <w:p w14:paraId="389ACCB5" w14:textId="77777777" w:rsidR="00EA12CE" w:rsidRPr="00331C61" w:rsidRDefault="00EA12CE" w:rsidP="00331C61">
      <w:pPr>
        <w:pStyle w:val="Default"/>
        <w:spacing w:line="288" w:lineRule="auto"/>
        <w:rPr>
          <w:rFonts w:cs="Arial"/>
          <w:b/>
          <w:color w:val="232120"/>
        </w:rPr>
      </w:pPr>
    </w:p>
    <w:p w14:paraId="25AC070F" w14:textId="77777777" w:rsidR="00EA12CE" w:rsidRPr="00331C61" w:rsidRDefault="00EA12CE" w:rsidP="00331C61">
      <w:pPr>
        <w:pStyle w:val="Default"/>
        <w:spacing w:line="288" w:lineRule="auto"/>
        <w:rPr>
          <w:rFonts w:cs="Arial"/>
          <w:b/>
          <w:color w:val="232120"/>
        </w:rPr>
      </w:pPr>
    </w:p>
    <w:p w14:paraId="539792FB" w14:textId="77777777" w:rsidR="00EA12CE" w:rsidRPr="00331C61" w:rsidRDefault="00EA12CE" w:rsidP="00331C61">
      <w:pPr>
        <w:pStyle w:val="Default"/>
        <w:spacing w:line="288" w:lineRule="auto"/>
        <w:rPr>
          <w:rFonts w:cs="Arial"/>
          <w:b/>
          <w:color w:val="232120"/>
        </w:rPr>
      </w:pPr>
    </w:p>
    <w:p w14:paraId="78EE7A6D" w14:textId="77777777" w:rsidR="00EA12CE" w:rsidRPr="00331C61" w:rsidRDefault="00EA12CE" w:rsidP="00331C61">
      <w:pPr>
        <w:pStyle w:val="Default"/>
        <w:spacing w:line="288" w:lineRule="auto"/>
        <w:rPr>
          <w:rFonts w:cs="Arial"/>
          <w:b/>
          <w:color w:val="232120"/>
        </w:rPr>
      </w:pPr>
    </w:p>
    <w:p w14:paraId="6B11183A" w14:textId="09DB6501" w:rsidR="005E0694" w:rsidRDefault="005E0694" w:rsidP="00331C61">
      <w:pPr>
        <w:pStyle w:val="Default"/>
        <w:spacing w:line="288" w:lineRule="auto"/>
        <w:rPr>
          <w:rFonts w:cs="Arial"/>
          <w:b/>
          <w:color w:val="232120"/>
        </w:rPr>
      </w:pPr>
    </w:p>
    <w:p w14:paraId="40BE9BA0" w14:textId="6B650ECE" w:rsidR="005E0694" w:rsidRDefault="005E0694" w:rsidP="00331C61">
      <w:pPr>
        <w:pStyle w:val="Default"/>
        <w:spacing w:line="288" w:lineRule="auto"/>
        <w:rPr>
          <w:rFonts w:cs="Arial"/>
          <w:b/>
          <w:color w:val="232120"/>
        </w:rPr>
      </w:pPr>
    </w:p>
    <w:p w14:paraId="60DF7BC0" w14:textId="77777777" w:rsidR="005E0694" w:rsidRPr="00331C61" w:rsidRDefault="005E0694" w:rsidP="00331C61">
      <w:pPr>
        <w:pStyle w:val="Default"/>
        <w:spacing w:line="288" w:lineRule="auto"/>
        <w:rPr>
          <w:rFonts w:cs="Arial"/>
          <w:b/>
          <w:color w:val="232120"/>
        </w:rPr>
      </w:pPr>
    </w:p>
    <w:p w14:paraId="425FD7C5" w14:textId="77777777" w:rsidR="00A970CD" w:rsidRDefault="00A970CD" w:rsidP="00AE38BC">
      <w:pPr>
        <w:pStyle w:val="BasicParagraph"/>
        <w:suppressAutoHyphens/>
        <w:rPr>
          <w:rFonts w:ascii="Verdana" w:hAnsi="Verdana" w:cs="Arial"/>
          <w:b/>
          <w:bCs/>
          <w:color w:val="7030A0"/>
          <w:sz w:val="30"/>
          <w:szCs w:val="30"/>
        </w:rPr>
      </w:pPr>
    </w:p>
    <w:p w14:paraId="232EA27C" w14:textId="04E0E28C" w:rsidR="00AE38BC" w:rsidRPr="009A4666" w:rsidRDefault="00AE38BC" w:rsidP="00AE38BC">
      <w:pPr>
        <w:pStyle w:val="BasicParagraph"/>
        <w:suppressAutoHyphens/>
        <w:rPr>
          <w:rFonts w:ascii="Verdana" w:hAnsi="Verdana" w:cs="Arial"/>
          <w:b/>
          <w:bCs/>
          <w:color w:val="7030A0"/>
          <w:sz w:val="30"/>
          <w:szCs w:val="30"/>
        </w:rPr>
      </w:pPr>
      <w:r w:rsidRPr="009A4666">
        <w:rPr>
          <w:rFonts w:ascii="Verdana" w:hAnsi="Verdana" w:cs="Arial"/>
          <w:b/>
          <w:bCs/>
          <w:color w:val="7030A0"/>
          <w:sz w:val="30"/>
          <w:szCs w:val="30"/>
        </w:rPr>
        <w:lastRenderedPageBreak/>
        <w:t>Summary</w:t>
      </w:r>
    </w:p>
    <w:p w14:paraId="5CFB83FF" w14:textId="77777777" w:rsidR="00AE38BC" w:rsidRPr="00AE38BC" w:rsidRDefault="00AE38BC" w:rsidP="00AE38BC">
      <w:pPr>
        <w:pStyle w:val="BasicParagraph"/>
        <w:suppressAutoHyphens/>
        <w:rPr>
          <w:rFonts w:ascii="Verdana" w:hAnsi="Verdana" w:cs="Arial"/>
          <w:color w:val="232120"/>
        </w:rPr>
      </w:pPr>
    </w:p>
    <w:p w14:paraId="6693A46C" w14:textId="10693154" w:rsidR="007569C1" w:rsidRPr="00A970CD" w:rsidRDefault="00AE38BC" w:rsidP="00AE38BC">
      <w:pPr>
        <w:pStyle w:val="BasicParagraph"/>
        <w:suppressAutoHyphens/>
        <w:rPr>
          <w:rFonts w:ascii="Verdana" w:hAnsi="Verdana" w:cs="Arial"/>
          <w:b/>
          <w:bCs/>
          <w:color w:val="auto"/>
        </w:rPr>
      </w:pPr>
      <w:r w:rsidRPr="00A970CD">
        <w:rPr>
          <w:rFonts w:ascii="Verdana" w:hAnsi="Verdana" w:cs="Arial"/>
          <w:b/>
          <w:bCs/>
          <w:color w:val="auto"/>
        </w:rPr>
        <w:t xml:space="preserve">The Northern Ireland Human Rights Commission (NIHRC): </w:t>
      </w:r>
    </w:p>
    <w:p w14:paraId="0490E5B6" w14:textId="45C9213A" w:rsidR="00845680" w:rsidRPr="00BD5DE4" w:rsidRDefault="00845680" w:rsidP="00901B9D">
      <w:pPr>
        <w:spacing w:line="276" w:lineRule="auto"/>
        <w:rPr>
          <w:rFonts w:ascii="Verdana" w:hAnsi="Verdana"/>
          <w:b/>
          <w:bCs/>
        </w:rPr>
      </w:pPr>
    </w:p>
    <w:p w14:paraId="2ADE5B6C" w14:textId="4966F945" w:rsidR="00BD5DE4" w:rsidRPr="00BD5DE4" w:rsidRDefault="00845680" w:rsidP="00BD5DE4">
      <w:pPr>
        <w:pStyle w:val="BasicParagraph"/>
        <w:suppressAutoHyphens/>
        <w:ind w:left="720" w:hanging="720"/>
        <w:rPr>
          <w:rFonts w:ascii="Verdana" w:hAnsi="Verdana" w:cs="Arial"/>
          <w:b/>
          <w:color w:val="auto"/>
        </w:rPr>
      </w:pPr>
      <w:r w:rsidRPr="00BD5DE4">
        <w:rPr>
          <w:rFonts w:ascii="Verdana" w:hAnsi="Verdana"/>
          <w:b/>
          <w:bCs/>
          <w:color w:val="auto"/>
          <w:shd w:val="clear" w:color="auto" w:fill="FFFFFF"/>
        </w:rPr>
        <w:t>3.</w:t>
      </w:r>
      <w:r w:rsidR="008D4BE6">
        <w:rPr>
          <w:rFonts w:ascii="Verdana" w:hAnsi="Verdana"/>
          <w:b/>
          <w:bCs/>
          <w:color w:val="auto"/>
          <w:shd w:val="clear" w:color="auto" w:fill="FFFFFF"/>
        </w:rPr>
        <w:t>8</w:t>
      </w:r>
      <w:r w:rsidRPr="00BD5DE4">
        <w:rPr>
          <w:rFonts w:ascii="Verdana" w:hAnsi="Verdana"/>
          <w:color w:val="auto"/>
          <w:shd w:val="clear" w:color="auto" w:fill="FFFFFF"/>
        </w:rPr>
        <w:tab/>
      </w:r>
      <w:r w:rsidR="006D48F8">
        <w:rPr>
          <w:rFonts w:ascii="Verdana" w:hAnsi="Verdana"/>
          <w:b/>
          <w:bCs/>
          <w:color w:val="auto"/>
          <w:shd w:val="clear" w:color="auto" w:fill="FFFFFF"/>
        </w:rPr>
        <w:t>W</w:t>
      </w:r>
      <w:r w:rsidR="00BD5DE4" w:rsidRPr="00BD5DE4">
        <w:rPr>
          <w:rFonts w:ascii="Verdana" w:hAnsi="Verdana"/>
          <w:b/>
          <w:bCs/>
          <w:color w:val="auto"/>
          <w:shd w:val="clear" w:color="auto" w:fill="FFFFFF"/>
        </w:rPr>
        <w:t>elcomes</w:t>
      </w:r>
      <w:r w:rsidR="00BD5DE4" w:rsidRPr="00BD5DE4">
        <w:rPr>
          <w:rFonts w:ascii="Verdana" w:hAnsi="Verdana" w:cs="Arial"/>
          <w:b/>
          <w:color w:val="auto"/>
        </w:rPr>
        <w:t xml:space="preserve"> Clause 1 </w:t>
      </w:r>
      <w:r w:rsidR="006D48F8">
        <w:rPr>
          <w:rFonts w:ascii="Verdana" w:hAnsi="Verdana" w:cs="Arial"/>
          <w:b/>
          <w:color w:val="auto"/>
        </w:rPr>
        <w:t xml:space="preserve">which widens </w:t>
      </w:r>
      <w:r w:rsidR="00BD5DE4" w:rsidRPr="00BD5DE4">
        <w:rPr>
          <w:rFonts w:ascii="Verdana" w:hAnsi="Verdana" w:cs="Arial"/>
          <w:b/>
          <w:color w:val="auto"/>
        </w:rPr>
        <w:t xml:space="preserve">the statutory definition of integrated education to recognise all cultures and religious beliefs, including non-religious beliefs, and different abilities. </w:t>
      </w:r>
    </w:p>
    <w:p w14:paraId="2F65F947" w14:textId="77777777" w:rsidR="00BD5DE4" w:rsidRPr="00BD5DE4" w:rsidRDefault="00BD5DE4" w:rsidP="00BD5DE4">
      <w:pPr>
        <w:pStyle w:val="BasicParagraph"/>
        <w:suppressAutoHyphens/>
        <w:ind w:left="720" w:hanging="720"/>
        <w:rPr>
          <w:rFonts w:ascii="Verdana" w:hAnsi="Verdana" w:cs="Arial"/>
          <w:b/>
          <w:color w:val="auto"/>
        </w:rPr>
      </w:pPr>
    </w:p>
    <w:p w14:paraId="7618F7B9" w14:textId="11B96759" w:rsidR="00BD5DE4" w:rsidRPr="00BD5DE4" w:rsidRDefault="00BD5DE4" w:rsidP="00BD5DE4">
      <w:pPr>
        <w:pStyle w:val="BasicParagraph"/>
        <w:suppressAutoHyphens/>
        <w:ind w:left="720" w:hanging="720"/>
        <w:rPr>
          <w:rFonts w:ascii="Verdana" w:hAnsi="Verdana"/>
          <w:color w:val="auto"/>
          <w:shd w:val="clear" w:color="auto" w:fill="FFFFFF"/>
        </w:rPr>
      </w:pPr>
      <w:r w:rsidRPr="00BD5DE4">
        <w:rPr>
          <w:rFonts w:ascii="Verdana" w:hAnsi="Verdana" w:cs="Arial"/>
          <w:b/>
          <w:color w:val="auto"/>
        </w:rPr>
        <w:t>3.</w:t>
      </w:r>
      <w:r w:rsidR="008D4BE6">
        <w:rPr>
          <w:rFonts w:ascii="Verdana" w:hAnsi="Verdana" w:cs="Arial"/>
          <w:b/>
          <w:color w:val="auto"/>
        </w:rPr>
        <w:t>9</w:t>
      </w:r>
      <w:r w:rsidRPr="00BD5DE4">
        <w:rPr>
          <w:rFonts w:ascii="Verdana" w:hAnsi="Verdana" w:cs="Arial"/>
          <w:b/>
          <w:color w:val="auto"/>
        </w:rPr>
        <w:tab/>
      </w:r>
      <w:r w:rsidR="006D48F8">
        <w:rPr>
          <w:rFonts w:ascii="Verdana" w:hAnsi="Verdana" w:cs="Arial"/>
          <w:b/>
          <w:color w:val="auto"/>
        </w:rPr>
        <w:t>W</w:t>
      </w:r>
      <w:r w:rsidRPr="00BD5DE4">
        <w:rPr>
          <w:rFonts w:ascii="Verdana" w:hAnsi="Verdana" w:cs="Arial"/>
          <w:b/>
          <w:color w:val="auto"/>
        </w:rPr>
        <w:t xml:space="preserve">elcomes Clause 1(2) </w:t>
      </w:r>
      <w:r w:rsidR="006D48F8">
        <w:rPr>
          <w:rFonts w:ascii="Verdana" w:hAnsi="Verdana" w:cs="Arial"/>
          <w:b/>
          <w:color w:val="auto"/>
        </w:rPr>
        <w:t xml:space="preserve">which places the ethos for </w:t>
      </w:r>
      <w:r w:rsidRPr="00BD5DE4">
        <w:rPr>
          <w:rFonts w:ascii="Verdana" w:hAnsi="Verdana" w:cs="Arial"/>
          <w:b/>
          <w:color w:val="auto"/>
        </w:rPr>
        <w:t>integrat</w:t>
      </w:r>
      <w:r w:rsidR="006D48F8">
        <w:rPr>
          <w:rFonts w:ascii="Verdana" w:hAnsi="Verdana" w:cs="Arial"/>
          <w:b/>
          <w:color w:val="auto"/>
        </w:rPr>
        <w:t>ion</w:t>
      </w:r>
      <w:r w:rsidRPr="00BD5DE4">
        <w:rPr>
          <w:rFonts w:ascii="Verdana" w:hAnsi="Verdana" w:cs="Arial"/>
          <w:b/>
          <w:color w:val="auto"/>
        </w:rPr>
        <w:t xml:space="preserve"> on a statutory footing. </w:t>
      </w:r>
    </w:p>
    <w:p w14:paraId="500C8B0E" w14:textId="77777777" w:rsidR="00845680" w:rsidRPr="00BD5DE4" w:rsidRDefault="00845680" w:rsidP="00BD5DE4">
      <w:pPr>
        <w:spacing w:line="276" w:lineRule="auto"/>
        <w:rPr>
          <w:rFonts w:ascii="Verdana" w:hAnsi="Verdana"/>
        </w:rPr>
      </w:pPr>
    </w:p>
    <w:p w14:paraId="2C2A13AB" w14:textId="4B37BFCC" w:rsidR="00845680" w:rsidRPr="00BD5DE4" w:rsidRDefault="00845680" w:rsidP="00332DE9">
      <w:pPr>
        <w:pStyle w:val="BasicParagraph"/>
        <w:suppressAutoHyphens/>
        <w:ind w:left="720" w:hanging="720"/>
        <w:rPr>
          <w:rFonts w:ascii="Verdana" w:hAnsi="Verdana"/>
          <w:b/>
          <w:bCs/>
          <w:color w:val="auto"/>
        </w:rPr>
      </w:pPr>
      <w:r w:rsidRPr="00BD5DE4">
        <w:rPr>
          <w:rFonts w:ascii="Verdana" w:hAnsi="Verdana" w:cs="Arial"/>
          <w:b/>
          <w:bCs/>
          <w:color w:val="auto"/>
        </w:rPr>
        <w:t>4.</w:t>
      </w:r>
      <w:r w:rsidR="00E001B5">
        <w:rPr>
          <w:rFonts w:ascii="Verdana" w:hAnsi="Verdana" w:cs="Arial"/>
          <w:b/>
          <w:bCs/>
          <w:color w:val="auto"/>
        </w:rPr>
        <w:t>1</w:t>
      </w:r>
      <w:r w:rsidR="00C02BE3">
        <w:rPr>
          <w:rFonts w:ascii="Verdana" w:hAnsi="Verdana" w:cs="Arial"/>
          <w:b/>
          <w:bCs/>
          <w:color w:val="auto"/>
        </w:rPr>
        <w:t>0</w:t>
      </w:r>
      <w:r w:rsidRPr="00BD5DE4">
        <w:rPr>
          <w:rFonts w:ascii="Verdana" w:hAnsi="Verdana" w:cs="Arial"/>
          <w:b/>
          <w:bCs/>
          <w:color w:val="auto"/>
        </w:rPr>
        <w:tab/>
      </w:r>
      <w:r w:rsidR="006D48F8">
        <w:rPr>
          <w:rFonts w:ascii="Verdana" w:hAnsi="Verdana" w:cs="Arial"/>
          <w:b/>
          <w:bCs/>
          <w:color w:val="auto"/>
        </w:rPr>
        <w:t>S</w:t>
      </w:r>
      <w:r w:rsidRPr="00BD5DE4">
        <w:rPr>
          <w:rFonts w:ascii="Verdana" w:hAnsi="Verdana" w:cs="Arial"/>
          <w:b/>
          <w:bCs/>
          <w:color w:val="auto"/>
        </w:rPr>
        <w:t xml:space="preserve">upports Clause 4 </w:t>
      </w:r>
      <w:r w:rsidR="006D48F8">
        <w:rPr>
          <w:rFonts w:ascii="Verdana" w:hAnsi="Verdana"/>
          <w:b/>
          <w:bCs/>
          <w:color w:val="auto"/>
        </w:rPr>
        <w:t>which requires</w:t>
      </w:r>
      <w:r w:rsidRPr="00BD5DE4">
        <w:rPr>
          <w:rFonts w:ascii="Verdana" w:hAnsi="Verdana"/>
          <w:b/>
          <w:bCs/>
          <w:color w:val="auto"/>
        </w:rPr>
        <w:t xml:space="preserve"> the Department of Education to actively promote an integrated education system</w:t>
      </w:r>
      <w:r w:rsidR="006D48F8">
        <w:rPr>
          <w:rFonts w:ascii="Verdana" w:hAnsi="Verdana"/>
          <w:b/>
          <w:bCs/>
          <w:color w:val="auto"/>
        </w:rPr>
        <w:t xml:space="preserve">. </w:t>
      </w:r>
    </w:p>
    <w:p w14:paraId="25A6C012" w14:textId="2B1EF036" w:rsidR="004523F5" w:rsidRPr="00BD5DE4" w:rsidRDefault="004523F5" w:rsidP="00331C61">
      <w:pPr>
        <w:pStyle w:val="BasicParagraph"/>
        <w:suppressAutoHyphens/>
        <w:rPr>
          <w:rFonts w:ascii="Verdana" w:hAnsi="Verdana" w:cs="Arial"/>
          <w:color w:val="auto"/>
        </w:rPr>
      </w:pPr>
    </w:p>
    <w:p w14:paraId="5C25FC25" w14:textId="6BFE28FB" w:rsidR="00E05652" w:rsidRPr="00BD5DE4" w:rsidRDefault="00E05652" w:rsidP="00E05652">
      <w:pPr>
        <w:pStyle w:val="BasicParagraph"/>
        <w:suppressAutoHyphens/>
        <w:ind w:left="720" w:hanging="720"/>
        <w:rPr>
          <w:rFonts w:ascii="Verdana" w:hAnsi="Verdana" w:cs="Arial"/>
          <w:bCs/>
          <w:color w:val="auto"/>
        </w:rPr>
      </w:pPr>
      <w:r w:rsidRPr="00BD5DE4">
        <w:rPr>
          <w:rFonts w:ascii="Verdana" w:hAnsi="Verdana"/>
          <w:b/>
          <w:bCs/>
          <w:color w:val="auto"/>
        </w:rPr>
        <w:t>5.</w:t>
      </w:r>
      <w:r w:rsidR="00C02BE3">
        <w:rPr>
          <w:rFonts w:ascii="Verdana" w:hAnsi="Verdana"/>
          <w:b/>
          <w:bCs/>
          <w:color w:val="auto"/>
        </w:rPr>
        <w:t>7</w:t>
      </w:r>
      <w:r w:rsidRPr="00BD5DE4">
        <w:rPr>
          <w:rFonts w:ascii="Verdana" w:hAnsi="Verdana"/>
          <w:b/>
          <w:bCs/>
          <w:color w:val="auto"/>
        </w:rPr>
        <w:tab/>
      </w:r>
      <w:r w:rsidR="006D48F8">
        <w:rPr>
          <w:rFonts w:ascii="Verdana" w:hAnsi="Verdana"/>
          <w:b/>
          <w:bCs/>
          <w:color w:val="auto"/>
        </w:rPr>
        <w:t>W</w:t>
      </w:r>
      <w:r w:rsidRPr="00BD5DE4">
        <w:rPr>
          <w:rFonts w:ascii="Verdana" w:hAnsi="Verdana"/>
          <w:b/>
          <w:bCs/>
          <w:color w:val="auto"/>
        </w:rPr>
        <w:t xml:space="preserve">elcomes Clause 7 which </w:t>
      </w:r>
      <w:r w:rsidR="006D48F8">
        <w:rPr>
          <w:rFonts w:ascii="Verdana" w:hAnsi="Verdana"/>
          <w:b/>
          <w:bCs/>
          <w:color w:val="auto"/>
        </w:rPr>
        <w:t xml:space="preserve">introduces a rebuttable presumption of </w:t>
      </w:r>
      <w:r w:rsidRPr="00BD5DE4">
        <w:rPr>
          <w:rFonts w:ascii="Verdana" w:hAnsi="Verdana"/>
          <w:b/>
          <w:bCs/>
          <w:color w:val="auto"/>
        </w:rPr>
        <w:t>integrated education</w:t>
      </w:r>
      <w:r w:rsidR="006D48F8">
        <w:rPr>
          <w:rFonts w:ascii="Verdana" w:hAnsi="Verdana"/>
          <w:b/>
          <w:bCs/>
          <w:color w:val="auto"/>
        </w:rPr>
        <w:t>,</w:t>
      </w:r>
      <w:r w:rsidR="000D4101" w:rsidRPr="00BD5DE4">
        <w:rPr>
          <w:rFonts w:ascii="Verdana" w:hAnsi="Verdana"/>
          <w:b/>
          <w:bCs/>
          <w:color w:val="auto"/>
        </w:rPr>
        <w:t xml:space="preserve"> in accordance with </w:t>
      </w:r>
      <w:r w:rsidR="00332DE9" w:rsidRPr="00BD5DE4">
        <w:rPr>
          <w:rFonts w:ascii="Verdana" w:hAnsi="Verdana"/>
          <w:b/>
          <w:bCs/>
          <w:color w:val="auto"/>
        </w:rPr>
        <w:t>recommendations from the U</w:t>
      </w:r>
      <w:r w:rsidR="006D48F8">
        <w:rPr>
          <w:rFonts w:ascii="Verdana" w:hAnsi="Verdana"/>
          <w:b/>
          <w:bCs/>
          <w:color w:val="auto"/>
        </w:rPr>
        <w:t xml:space="preserve">nited Nations </w:t>
      </w:r>
      <w:r w:rsidR="00332DE9" w:rsidRPr="00BD5DE4">
        <w:rPr>
          <w:rFonts w:ascii="Verdana" w:hAnsi="Verdana"/>
          <w:b/>
          <w:bCs/>
          <w:color w:val="auto"/>
        </w:rPr>
        <w:t>C</w:t>
      </w:r>
      <w:r w:rsidR="006D48F8">
        <w:rPr>
          <w:rFonts w:ascii="Verdana" w:hAnsi="Verdana"/>
          <w:b/>
          <w:bCs/>
          <w:color w:val="auto"/>
        </w:rPr>
        <w:t xml:space="preserve">onvention on the </w:t>
      </w:r>
      <w:r w:rsidR="00332DE9" w:rsidRPr="00BD5DE4">
        <w:rPr>
          <w:rFonts w:ascii="Verdana" w:hAnsi="Verdana"/>
          <w:b/>
          <w:bCs/>
          <w:color w:val="auto"/>
        </w:rPr>
        <w:t>R</w:t>
      </w:r>
      <w:r w:rsidR="006D48F8">
        <w:rPr>
          <w:rFonts w:ascii="Verdana" w:hAnsi="Verdana"/>
          <w:b/>
          <w:bCs/>
          <w:color w:val="auto"/>
        </w:rPr>
        <w:t xml:space="preserve">ights of the </w:t>
      </w:r>
      <w:r w:rsidR="00332DE9" w:rsidRPr="00BD5DE4">
        <w:rPr>
          <w:rFonts w:ascii="Verdana" w:hAnsi="Verdana"/>
          <w:b/>
          <w:bCs/>
          <w:color w:val="auto"/>
        </w:rPr>
        <w:t>C</w:t>
      </w:r>
      <w:r w:rsidR="006D48F8">
        <w:rPr>
          <w:rFonts w:ascii="Verdana" w:hAnsi="Verdana"/>
          <w:b/>
          <w:bCs/>
          <w:color w:val="auto"/>
        </w:rPr>
        <w:t>hild (UNCRC)</w:t>
      </w:r>
      <w:r w:rsidR="00332DE9" w:rsidRPr="00BD5DE4">
        <w:rPr>
          <w:rFonts w:ascii="Verdana" w:hAnsi="Verdana"/>
          <w:b/>
          <w:bCs/>
          <w:color w:val="auto"/>
        </w:rPr>
        <w:t xml:space="preserve"> Committee. </w:t>
      </w:r>
    </w:p>
    <w:p w14:paraId="271F7A7A" w14:textId="7CB4405F" w:rsidR="004523F5" w:rsidRDefault="004523F5" w:rsidP="00331C61">
      <w:pPr>
        <w:pStyle w:val="BasicParagraph"/>
        <w:suppressAutoHyphens/>
        <w:rPr>
          <w:rFonts w:ascii="Verdana" w:hAnsi="Verdana" w:cs="Arial"/>
          <w:color w:val="232120"/>
        </w:rPr>
      </w:pPr>
    </w:p>
    <w:p w14:paraId="55AA2FD0" w14:textId="6F228243" w:rsidR="00FA32B5" w:rsidRPr="00287D07" w:rsidRDefault="00FA32B5" w:rsidP="00FA32B5">
      <w:pPr>
        <w:pStyle w:val="BasicParagraph"/>
        <w:suppressAutoHyphens/>
        <w:ind w:left="720" w:hanging="720"/>
        <w:rPr>
          <w:rFonts w:ascii="Verdana" w:hAnsi="Verdana"/>
          <w:b/>
          <w:bCs/>
        </w:rPr>
      </w:pPr>
      <w:r w:rsidRPr="00EE225B">
        <w:rPr>
          <w:rFonts w:ascii="Verdana" w:hAnsi="Verdana"/>
          <w:b/>
          <w:bCs/>
        </w:rPr>
        <w:t>6.</w:t>
      </w:r>
      <w:r w:rsidR="00C02BE3">
        <w:rPr>
          <w:rFonts w:ascii="Verdana" w:hAnsi="Verdana"/>
          <w:b/>
          <w:bCs/>
        </w:rPr>
        <w:t>4</w:t>
      </w:r>
      <w:r w:rsidRPr="00EE225B">
        <w:rPr>
          <w:rFonts w:ascii="Verdana" w:hAnsi="Verdana"/>
          <w:b/>
          <w:bCs/>
        </w:rPr>
        <w:tab/>
      </w:r>
      <w:r w:rsidR="006D48F8">
        <w:rPr>
          <w:rFonts w:ascii="Verdana" w:hAnsi="Verdana"/>
          <w:b/>
          <w:bCs/>
        </w:rPr>
        <w:t>W</w:t>
      </w:r>
      <w:r>
        <w:rPr>
          <w:rFonts w:ascii="Verdana" w:hAnsi="Verdana"/>
          <w:b/>
          <w:bCs/>
        </w:rPr>
        <w:t>elcomes</w:t>
      </w:r>
      <w:r w:rsidRPr="00287D07">
        <w:rPr>
          <w:rFonts w:ascii="Verdana" w:hAnsi="Verdana"/>
          <w:b/>
          <w:bCs/>
        </w:rPr>
        <w:t xml:space="preserve"> </w:t>
      </w:r>
      <w:bookmarkStart w:id="0" w:name="_Hlk83994466"/>
      <w:r w:rsidR="006D48F8">
        <w:rPr>
          <w:rFonts w:ascii="Verdana" w:hAnsi="Verdana"/>
          <w:b/>
          <w:bCs/>
        </w:rPr>
        <w:t xml:space="preserve">Clauses 8 to 11 which provides for </w:t>
      </w:r>
      <w:r w:rsidRPr="00287D07">
        <w:rPr>
          <w:rFonts w:ascii="Verdana" w:hAnsi="Verdana"/>
          <w:b/>
          <w:bCs/>
        </w:rPr>
        <w:t>monitoring and governance</w:t>
      </w:r>
      <w:r>
        <w:rPr>
          <w:rFonts w:ascii="Verdana" w:hAnsi="Verdana"/>
          <w:b/>
          <w:bCs/>
        </w:rPr>
        <w:t xml:space="preserve"> </w:t>
      </w:r>
      <w:r w:rsidRPr="00287D07">
        <w:rPr>
          <w:rFonts w:ascii="Verdana" w:hAnsi="Verdana"/>
          <w:b/>
          <w:bCs/>
        </w:rPr>
        <w:t>arrangements</w:t>
      </w:r>
      <w:r w:rsidR="006D48F8">
        <w:rPr>
          <w:rFonts w:ascii="Verdana" w:hAnsi="Verdana"/>
          <w:b/>
          <w:bCs/>
        </w:rPr>
        <w:t>.</w:t>
      </w:r>
      <w:r>
        <w:rPr>
          <w:rFonts w:ascii="Verdana" w:hAnsi="Verdana"/>
          <w:b/>
          <w:bCs/>
        </w:rPr>
        <w:t xml:space="preserve"> In particular, the Commission </w:t>
      </w:r>
      <w:r w:rsidR="006D48F8">
        <w:rPr>
          <w:rFonts w:ascii="Verdana" w:hAnsi="Verdana"/>
          <w:b/>
          <w:bCs/>
        </w:rPr>
        <w:t xml:space="preserve">welcomes </w:t>
      </w:r>
      <w:r>
        <w:rPr>
          <w:rFonts w:ascii="Verdana" w:hAnsi="Verdana"/>
          <w:b/>
          <w:bCs/>
        </w:rPr>
        <w:t xml:space="preserve">the </w:t>
      </w:r>
      <w:r w:rsidR="00910781">
        <w:rPr>
          <w:rFonts w:ascii="Verdana" w:hAnsi="Verdana"/>
          <w:b/>
          <w:bCs/>
        </w:rPr>
        <w:t xml:space="preserve">inclusion of </w:t>
      </w:r>
      <w:r>
        <w:rPr>
          <w:rFonts w:ascii="Verdana" w:hAnsi="Verdana"/>
          <w:b/>
          <w:bCs/>
        </w:rPr>
        <w:t>mandatory training for teach</w:t>
      </w:r>
      <w:r w:rsidR="00910781">
        <w:rPr>
          <w:rFonts w:ascii="Verdana" w:hAnsi="Verdana"/>
          <w:b/>
          <w:bCs/>
        </w:rPr>
        <w:t xml:space="preserve">ers and advises that should be developed in </w:t>
      </w:r>
      <w:r>
        <w:rPr>
          <w:rFonts w:ascii="Verdana" w:hAnsi="Verdana"/>
          <w:b/>
          <w:bCs/>
        </w:rPr>
        <w:t xml:space="preserve">consultation with children and young people and </w:t>
      </w:r>
      <w:r w:rsidR="00910781">
        <w:rPr>
          <w:rFonts w:ascii="Verdana" w:hAnsi="Verdana"/>
          <w:b/>
          <w:bCs/>
        </w:rPr>
        <w:t xml:space="preserve">their </w:t>
      </w:r>
      <w:r>
        <w:rPr>
          <w:rFonts w:ascii="Verdana" w:hAnsi="Verdana"/>
          <w:b/>
          <w:bCs/>
        </w:rPr>
        <w:t xml:space="preserve">representative organisations. </w:t>
      </w:r>
      <w:bookmarkEnd w:id="0"/>
    </w:p>
    <w:p w14:paraId="490F7BCE" w14:textId="3FC06C66" w:rsidR="004523F5" w:rsidRDefault="004523F5" w:rsidP="00331C61">
      <w:pPr>
        <w:pStyle w:val="BasicParagraph"/>
        <w:suppressAutoHyphens/>
        <w:rPr>
          <w:rFonts w:ascii="Verdana" w:hAnsi="Verdana" w:cs="Arial"/>
          <w:color w:val="232120"/>
        </w:rPr>
      </w:pPr>
    </w:p>
    <w:p w14:paraId="540B6064" w14:textId="77777777" w:rsidR="00FA32B5" w:rsidRDefault="00FA32B5" w:rsidP="00331C61">
      <w:pPr>
        <w:pStyle w:val="BasicParagraph"/>
        <w:suppressAutoHyphens/>
        <w:rPr>
          <w:rFonts w:ascii="Verdana" w:hAnsi="Verdana" w:cs="Arial"/>
          <w:color w:val="232120"/>
        </w:rPr>
      </w:pPr>
    </w:p>
    <w:p w14:paraId="05388194" w14:textId="63CFBD0A" w:rsidR="004523F5" w:rsidRDefault="004523F5" w:rsidP="00331C61">
      <w:pPr>
        <w:pStyle w:val="BasicParagraph"/>
        <w:suppressAutoHyphens/>
        <w:rPr>
          <w:rFonts w:ascii="Verdana" w:hAnsi="Verdana" w:cs="Arial"/>
          <w:color w:val="232120"/>
        </w:rPr>
      </w:pPr>
    </w:p>
    <w:p w14:paraId="33942444" w14:textId="5540134D" w:rsidR="004523F5" w:rsidRDefault="004523F5" w:rsidP="00331C61">
      <w:pPr>
        <w:pStyle w:val="BasicParagraph"/>
        <w:suppressAutoHyphens/>
        <w:rPr>
          <w:rFonts w:ascii="Verdana" w:hAnsi="Verdana" w:cs="Arial"/>
          <w:color w:val="232120"/>
        </w:rPr>
      </w:pPr>
    </w:p>
    <w:p w14:paraId="16315F92" w14:textId="7F2C1B68" w:rsidR="004523F5" w:rsidRDefault="004523F5" w:rsidP="00331C61">
      <w:pPr>
        <w:pStyle w:val="BasicParagraph"/>
        <w:suppressAutoHyphens/>
        <w:rPr>
          <w:rFonts w:ascii="Verdana" w:hAnsi="Verdana" w:cs="Arial"/>
          <w:color w:val="232120"/>
        </w:rPr>
      </w:pPr>
    </w:p>
    <w:p w14:paraId="5A246DE6" w14:textId="4298F9FB" w:rsidR="004523F5" w:rsidRDefault="004523F5" w:rsidP="00331C61">
      <w:pPr>
        <w:pStyle w:val="BasicParagraph"/>
        <w:suppressAutoHyphens/>
        <w:rPr>
          <w:rFonts w:ascii="Verdana" w:hAnsi="Verdana" w:cs="Arial"/>
          <w:color w:val="232120"/>
        </w:rPr>
      </w:pPr>
    </w:p>
    <w:p w14:paraId="60960A67" w14:textId="3F4EAE57" w:rsidR="00845680" w:rsidRDefault="00845680" w:rsidP="00331C61">
      <w:pPr>
        <w:pStyle w:val="BasicParagraph"/>
        <w:suppressAutoHyphens/>
        <w:rPr>
          <w:rFonts w:ascii="Verdana" w:hAnsi="Verdana" w:cs="Arial"/>
          <w:color w:val="232120"/>
        </w:rPr>
      </w:pPr>
    </w:p>
    <w:p w14:paraId="48830583" w14:textId="7C112F0B" w:rsidR="00E05652" w:rsidRDefault="00E05652" w:rsidP="00331C61">
      <w:pPr>
        <w:pStyle w:val="BasicParagraph"/>
        <w:suppressAutoHyphens/>
        <w:rPr>
          <w:rFonts w:ascii="Verdana" w:hAnsi="Verdana" w:cs="Arial"/>
          <w:color w:val="232120"/>
        </w:rPr>
      </w:pPr>
    </w:p>
    <w:p w14:paraId="3A46BA9F" w14:textId="0C397CEB" w:rsidR="004846B8" w:rsidRDefault="004846B8" w:rsidP="00331C61">
      <w:pPr>
        <w:pStyle w:val="BasicParagraph"/>
        <w:suppressAutoHyphens/>
        <w:rPr>
          <w:rFonts w:ascii="Verdana" w:hAnsi="Verdana" w:cs="Arial"/>
          <w:color w:val="232120"/>
        </w:rPr>
      </w:pPr>
    </w:p>
    <w:p w14:paraId="147A0B15" w14:textId="2907D196" w:rsidR="008D4BE6" w:rsidRDefault="008D4BE6" w:rsidP="00331C61">
      <w:pPr>
        <w:pStyle w:val="BasicParagraph"/>
        <w:suppressAutoHyphens/>
        <w:rPr>
          <w:rFonts w:ascii="Verdana" w:hAnsi="Verdana" w:cs="Arial"/>
          <w:color w:val="232120"/>
        </w:rPr>
      </w:pPr>
    </w:p>
    <w:p w14:paraId="2C0040BC" w14:textId="20C02C96" w:rsidR="008D4BE6" w:rsidRDefault="008D4BE6" w:rsidP="00331C61">
      <w:pPr>
        <w:pStyle w:val="BasicParagraph"/>
        <w:suppressAutoHyphens/>
        <w:rPr>
          <w:rFonts w:ascii="Verdana" w:hAnsi="Verdana" w:cs="Arial"/>
          <w:color w:val="232120"/>
        </w:rPr>
      </w:pPr>
    </w:p>
    <w:p w14:paraId="077B4A7E" w14:textId="1FE568A4" w:rsidR="008D4BE6" w:rsidRDefault="008D4BE6" w:rsidP="00331C61">
      <w:pPr>
        <w:pStyle w:val="BasicParagraph"/>
        <w:suppressAutoHyphens/>
        <w:rPr>
          <w:rFonts w:ascii="Verdana" w:hAnsi="Verdana" w:cs="Arial"/>
          <w:color w:val="232120"/>
        </w:rPr>
      </w:pPr>
    </w:p>
    <w:p w14:paraId="3EEC1D24" w14:textId="0326C573" w:rsidR="008D4BE6" w:rsidRDefault="008D4BE6" w:rsidP="00331C61">
      <w:pPr>
        <w:pStyle w:val="BasicParagraph"/>
        <w:suppressAutoHyphens/>
        <w:rPr>
          <w:rFonts w:ascii="Verdana" w:hAnsi="Verdana" w:cs="Arial"/>
          <w:color w:val="232120"/>
        </w:rPr>
      </w:pPr>
    </w:p>
    <w:p w14:paraId="01717851" w14:textId="27F916BE" w:rsidR="008D4BE6" w:rsidRDefault="008D4BE6" w:rsidP="00331C61">
      <w:pPr>
        <w:pStyle w:val="BasicParagraph"/>
        <w:suppressAutoHyphens/>
        <w:rPr>
          <w:rFonts w:ascii="Verdana" w:hAnsi="Verdana" w:cs="Arial"/>
          <w:color w:val="232120"/>
        </w:rPr>
      </w:pPr>
    </w:p>
    <w:p w14:paraId="19EA3225" w14:textId="489274FB" w:rsidR="00C02BE3" w:rsidRDefault="00C02BE3" w:rsidP="00331C61">
      <w:pPr>
        <w:pStyle w:val="BasicParagraph"/>
        <w:suppressAutoHyphens/>
        <w:rPr>
          <w:rFonts w:ascii="Verdana" w:hAnsi="Verdana" w:cs="Arial"/>
          <w:color w:val="232120"/>
        </w:rPr>
      </w:pPr>
    </w:p>
    <w:p w14:paraId="359E9C39" w14:textId="77777777" w:rsidR="00C02BE3" w:rsidRPr="00331C61" w:rsidRDefault="00C02BE3" w:rsidP="00331C61">
      <w:pPr>
        <w:pStyle w:val="BasicParagraph"/>
        <w:suppressAutoHyphens/>
        <w:rPr>
          <w:rFonts w:ascii="Verdana" w:hAnsi="Verdana" w:cs="Arial"/>
          <w:color w:val="232120"/>
        </w:rPr>
      </w:pPr>
    </w:p>
    <w:p w14:paraId="51C2CB64" w14:textId="493E27DC" w:rsidR="00AE38BC" w:rsidRPr="00AE38BC" w:rsidRDefault="00AE38BC" w:rsidP="00AE38BC">
      <w:pPr>
        <w:pStyle w:val="BasicParagraph"/>
        <w:numPr>
          <w:ilvl w:val="0"/>
          <w:numId w:val="8"/>
        </w:numPr>
        <w:suppressAutoHyphens/>
        <w:rPr>
          <w:rFonts w:ascii="Verdana" w:hAnsi="Verdana" w:cs="Arial"/>
          <w:b/>
          <w:color w:val="77328A"/>
          <w:sz w:val="30"/>
          <w:szCs w:val="30"/>
        </w:rPr>
      </w:pPr>
      <w:r>
        <w:rPr>
          <w:rFonts w:ascii="Verdana" w:hAnsi="Verdana" w:cs="Arial"/>
          <w:b/>
          <w:color w:val="77328A"/>
          <w:sz w:val="30"/>
          <w:szCs w:val="30"/>
        </w:rPr>
        <w:lastRenderedPageBreak/>
        <w:t>Introduction</w:t>
      </w:r>
    </w:p>
    <w:p w14:paraId="52AF0C26" w14:textId="54C081C9" w:rsidR="00AE38BC" w:rsidRPr="00331C61" w:rsidRDefault="00AE38BC" w:rsidP="00AE38BC">
      <w:pPr>
        <w:pStyle w:val="BasicParagraph"/>
        <w:suppressAutoHyphens/>
        <w:ind w:left="720" w:hanging="720"/>
        <w:rPr>
          <w:rFonts w:ascii="Verdana" w:hAnsi="Verdana" w:cs="Arial"/>
          <w:color w:val="232120"/>
        </w:rPr>
      </w:pPr>
      <w:r>
        <w:rPr>
          <w:rFonts w:ascii="Verdana" w:hAnsi="Verdana" w:cs="Arial"/>
          <w:color w:val="232120"/>
        </w:rPr>
        <w:t>1</w:t>
      </w:r>
      <w:r w:rsidRPr="00331C61">
        <w:rPr>
          <w:rFonts w:ascii="Verdana" w:hAnsi="Verdana" w:cs="Arial"/>
          <w:color w:val="232120"/>
        </w:rPr>
        <w:t>.</w:t>
      </w:r>
      <w:r>
        <w:rPr>
          <w:rFonts w:ascii="Verdana" w:hAnsi="Verdana" w:cs="Arial"/>
          <w:color w:val="232120"/>
        </w:rPr>
        <w:t>1</w:t>
      </w:r>
      <w:r>
        <w:rPr>
          <w:rFonts w:ascii="Verdana" w:hAnsi="Verdana" w:cs="Arial"/>
          <w:color w:val="232120"/>
        </w:rPr>
        <w:tab/>
      </w:r>
      <w:r w:rsidRPr="00AE38BC">
        <w:rPr>
          <w:rFonts w:ascii="Verdana" w:hAnsi="Verdana" w:cs="Arial"/>
          <w:color w:val="232120"/>
        </w:rPr>
        <w:t>The Northern Ireland Human Rights Commission (NIHRC), pursuant to section 69(</w:t>
      </w:r>
      <w:r w:rsidR="002467AA">
        <w:rPr>
          <w:rFonts w:ascii="Verdana" w:hAnsi="Verdana" w:cs="Arial"/>
          <w:color w:val="232120"/>
        </w:rPr>
        <w:t>4</w:t>
      </w:r>
      <w:r w:rsidRPr="00AE38BC">
        <w:rPr>
          <w:rFonts w:ascii="Verdana" w:hAnsi="Verdana" w:cs="Arial"/>
          <w:color w:val="232120"/>
        </w:rPr>
        <w:t>) of the Northern Ireland Act 1998,</w:t>
      </w:r>
      <w:r w:rsidR="002467AA" w:rsidRPr="002467AA">
        <w:rPr>
          <w:rFonts w:ascii="Arial" w:hAnsi="Arial" w:cs="Arial"/>
          <w:sz w:val="18"/>
          <w:szCs w:val="18"/>
          <w:shd w:val="clear" w:color="auto" w:fill="FFFFFF"/>
        </w:rPr>
        <w:t xml:space="preserve"> </w:t>
      </w:r>
      <w:r w:rsidR="002467AA" w:rsidRPr="002467AA">
        <w:rPr>
          <w:rFonts w:ascii="Verdana" w:hAnsi="Verdana" w:cs="Arial"/>
          <w:color w:val="232120"/>
        </w:rPr>
        <w:t>advises the Northern Ireland (NI) Assembly whether a Bill is compatible with human rights</w:t>
      </w:r>
      <w:r w:rsidRPr="00AE38BC">
        <w:rPr>
          <w:rFonts w:ascii="Verdana" w:hAnsi="Verdana" w:cs="Arial"/>
          <w:color w:val="232120"/>
        </w:rPr>
        <w:t>. In accordance with this function, the following advice is submitted to the</w:t>
      </w:r>
      <w:r w:rsidR="00380DC3">
        <w:rPr>
          <w:rFonts w:ascii="Verdana" w:hAnsi="Verdana" w:cs="Arial"/>
          <w:color w:val="232120"/>
        </w:rPr>
        <w:t xml:space="preserve"> Committee for Education </w:t>
      </w:r>
      <w:r w:rsidR="00786287">
        <w:rPr>
          <w:rFonts w:ascii="Verdana" w:hAnsi="Verdana" w:cs="Arial"/>
          <w:color w:val="232120"/>
        </w:rPr>
        <w:t>to assist the inquiry into the Integrated Education Bill</w:t>
      </w:r>
      <w:r w:rsidR="00494F6A">
        <w:rPr>
          <w:rFonts w:ascii="Verdana" w:hAnsi="Verdana" w:cs="Arial"/>
          <w:color w:val="232120"/>
        </w:rPr>
        <w:t xml:space="preserve"> and </w:t>
      </w:r>
      <w:r w:rsidR="005816AB">
        <w:rPr>
          <w:rFonts w:ascii="Verdana" w:hAnsi="Verdana" w:cs="Arial"/>
          <w:color w:val="232120"/>
        </w:rPr>
        <w:t xml:space="preserve">promote </w:t>
      </w:r>
      <w:r w:rsidR="005816AB" w:rsidRPr="005816AB">
        <w:rPr>
          <w:rFonts w:ascii="Verdana" w:hAnsi="Verdana" w:cs="Arial"/>
          <w:color w:val="232120"/>
        </w:rPr>
        <w:t>the reform and the expansion of integrated education.</w:t>
      </w:r>
    </w:p>
    <w:p w14:paraId="5CDE9F77" w14:textId="5C127F88" w:rsidR="00AE38BC" w:rsidRPr="00AE38BC" w:rsidRDefault="00AE38BC" w:rsidP="00331C61">
      <w:pPr>
        <w:pStyle w:val="BasicParagraph"/>
        <w:suppressAutoHyphens/>
        <w:rPr>
          <w:rFonts w:ascii="Verdana" w:hAnsi="Verdana" w:cs="Arial"/>
          <w:b/>
          <w:color w:val="734791"/>
        </w:rPr>
      </w:pPr>
    </w:p>
    <w:p w14:paraId="5138167D" w14:textId="0AA39C6F" w:rsidR="00947F3D" w:rsidRDefault="00AE38BC" w:rsidP="00947F3D">
      <w:pPr>
        <w:pStyle w:val="BasicParagraph"/>
        <w:suppressAutoHyphens/>
        <w:spacing w:after="240"/>
        <w:ind w:left="720" w:hanging="720"/>
        <w:rPr>
          <w:rFonts w:ascii="Verdana" w:hAnsi="Verdana"/>
        </w:rPr>
      </w:pPr>
      <w:r w:rsidRPr="00AE38BC">
        <w:rPr>
          <w:rFonts w:ascii="Verdana" w:hAnsi="Verdana"/>
        </w:rPr>
        <w:t xml:space="preserve">1.2 </w:t>
      </w:r>
      <w:r>
        <w:rPr>
          <w:rFonts w:ascii="Verdana" w:hAnsi="Verdana"/>
        </w:rPr>
        <w:tab/>
      </w:r>
      <w:r w:rsidRPr="00AE38BC">
        <w:rPr>
          <w:rFonts w:ascii="Verdana" w:hAnsi="Verdana"/>
        </w:rPr>
        <w:t>The NIHRC bases its advice on the full range of internationally accepted</w:t>
      </w:r>
      <w:r>
        <w:rPr>
          <w:rFonts w:ascii="Verdana" w:hAnsi="Verdana"/>
        </w:rPr>
        <w:t xml:space="preserve"> </w:t>
      </w:r>
      <w:r w:rsidRPr="00AE38BC">
        <w:rPr>
          <w:rFonts w:ascii="Verdana" w:hAnsi="Verdana"/>
        </w:rPr>
        <w:t xml:space="preserve">human rights standards, including the European Convention on Human Rights, as incorporated by the Human Rights Act 1998, and the treaty obligations of the Council of Europe (CoE) and United Nations (UN). The relevant regional and international treaties in this context include: </w:t>
      </w:r>
    </w:p>
    <w:p w14:paraId="3924B60B" w14:textId="5942832E" w:rsidR="00B5278A" w:rsidRDefault="00315996" w:rsidP="00B5278A">
      <w:pPr>
        <w:pStyle w:val="BasicParagraph"/>
        <w:numPr>
          <w:ilvl w:val="0"/>
          <w:numId w:val="9"/>
        </w:numPr>
        <w:suppressAutoHyphens/>
        <w:spacing w:line="276" w:lineRule="auto"/>
        <w:ind w:left="1434" w:hanging="357"/>
        <w:rPr>
          <w:rFonts w:ascii="Verdana" w:hAnsi="Verdana"/>
        </w:rPr>
      </w:pPr>
      <w:r w:rsidRPr="005E154F">
        <w:rPr>
          <w:rFonts w:ascii="Verdana" w:hAnsi="Verdana"/>
        </w:rPr>
        <w:t>The European Convention on Human Rights</w:t>
      </w:r>
      <w:r>
        <w:rPr>
          <w:rFonts w:ascii="Verdana" w:hAnsi="Verdana"/>
        </w:rPr>
        <w:t xml:space="preserve"> 1950</w:t>
      </w:r>
      <w:r w:rsidR="005A4BBE">
        <w:rPr>
          <w:rFonts w:ascii="Verdana" w:hAnsi="Verdana"/>
        </w:rPr>
        <w:t xml:space="preserve"> (ECHR)</w:t>
      </w:r>
      <w:r>
        <w:rPr>
          <w:rStyle w:val="FootnoteReference"/>
          <w:rFonts w:ascii="Verdana" w:hAnsi="Verdana"/>
        </w:rPr>
        <w:footnoteReference w:id="2"/>
      </w:r>
    </w:p>
    <w:p w14:paraId="7AEB2C2F" w14:textId="17811E7F" w:rsidR="00B5278A" w:rsidRDefault="00B5278A" w:rsidP="00B5278A">
      <w:pPr>
        <w:pStyle w:val="BasicParagraph"/>
        <w:numPr>
          <w:ilvl w:val="0"/>
          <w:numId w:val="9"/>
        </w:numPr>
        <w:suppressAutoHyphens/>
        <w:spacing w:line="276" w:lineRule="auto"/>
        <w:ind w:left="1434" w:hanging="357"/>
        <w:rPr>
          <w:rFonts w:ascii="Verdana" w:hAnsi="Verdana"/>
        </w:rPr>
      </w:pPr>
      <w:r>
        <w:rPr>
          <w:rFonts w:ascii="Verdana" w:hAnsi="Verdana"/>
        </w:rPr>
        <w:t xml:space="preserve">International </w:t>
      </w:r>
      <w:r w:rsidR="00096B6B">
        <w:rPr>
          <w:rFonts w:ascii="Verdana" w:hAnsi="Verdana"/>
        </w:rPr>
        <w:t>Covenant</w:t>
      </w:r>
      <w:r>
        <w:rPr>
          <w:rFonts w:ascii="Verdana" w:hAnsi="Verdana"/>
        </w:rPr>
        <w:t xml:space="preserve"> on Civil and Political Rights</w:t>
      </w:r>
      <w:r w:rsidR="005A4BBE">
        <w:rPr>
          <w:rFonts w:ascii="Verdana" w:hAnsi="Verdana"/>
        </w:rPr>
        <w:t xml:space="preserve"> </w:t>
      </w:r>
      <w:r w:rsidR="004F3EA8">
        <w:rPr>
          <w:rFonts w:ascii="Verdana" w:hAnsi="Verdana"/>
        </w:rPr>
        <w:t xml:space="preserve">1966 </w:t>
      </w:r>
      <w:r w:rsidR="005A4BBE">
        <w:rPr>
          <w:rFonts w:ascii="Verdana" w:hAnsi="Verdana"/>
        </w:rPr>
        <w:t>(ICCPR)</w:t>
      </w:r>
      <w:r w:rsidR="00096B6B">
        <w:rPr>
          <w:rStyle w:val="FootnoteReference"/>
          <w:rFonts w:ascii="Verdana" w:hAnsi="Verdana"/>
        </w:rPr>
        <w:footnoteReference w:id="3"/>
      </w:r>
    </w:p>
    <w:p w14:paraId="2DEC25AF" w14:textId="07BF74F5" w:rsidR="00096B6B" w:rsidRPr="00D65204" w:rsidRDefault="00096B6B" w:rsidP="00096B6B">
      <w:pPr>
        <w:pStyle w:val="BasicParagraph"/>
        <w:numPr>
          <w:ilvl w:val="0"/>
          <w:numId w:val="9"/>
        </w:numPr>
        <w:suppressAutoHyphens/>
        <w:spacing w:line="276" w:lineRule="auto"/>
        <w:rPr>
          <w:rFonts w:ascii="Verdana" w:hAnsi="Verdana"/>
        </w:rPr>
      </w:pPr>
      <w:r w:rsidRPr="00D65204">
        <w:rPr>
          <w:rFonts w:ascii="Verdana" w:hAnsi="Verdana"/>
        </w:rPr>
        <w:t>International Covenant on Economic, Social and Cultural Rights 1966</w:t>
      </w:r>
      <w:r w:rsidR="005A4BBE">
        <w:rPr>
          <w:rFonts w:ascii="Verdana" w:hAnsi="Verdana"/>
        </w:rPr>
        <w:t xml:space="preserve"> (</w:t>
      </w:r>
      <w:r w:rsidR="00700EA8">
        <w:rPr>
          <w:rFonts w:ascii="Verdana" w:hAnsi="Verdana"/>
        </w:rPr>
        <w:t>ICESCR)</w:t>
      </w:r>
      <w:r w:rsidR="00700EA8">
        <w:rPr>
          <w:rStyle w:val="FootnoteReference"/>
          <w:rFonts w:ascii="Verdana" w:hAnsi="Verdana"/>
        </w:rPr>
        <w:footnoteReference w:id="4"/>
      </w:r>
    </w:p>
    <w:p w14:paraId="598A6907" w14:textId="0EDE6027" w:rsidR="00096B6B" w:rsidRPr="00096B6B" w:rsidRDefault="00096B6B" w:rsidP="00096B6B">
      <w:pPr>
        <w:pStyle w:val="BasicParagraph"/>
        <w:numPr>
          <w:ilvl w:val="0"/>
          <w:numId w:val="9"/>
        </w:numPr>
        <w:suppressAutoHyphens/>
        <w:spacing w:line="276" w:lineRule="auto"/>
        <w:rPr>
          <w:rFonts w:ascii="Verdana" w:hAnsi="Verdana"/>
        </w:rPr>
      </w:pPr>
      <w:r w:rsidRPr="00D65204">
        <w:rPr>
          <w:rFonts w:ascii="Verdana" w:hAnsi="Verdana"/>
        </w:rPr>
        <w:t>International Convention on the Elimination of All Forms of Racial Discrimination 1965</w:t>
      </w:r>
      <w:r w:rsidR="00700EA8">
        <w:rPr>
          <w:rFonts w:ascii="Verdana" w:hAnsi="Verdana"/>
        </w:rPr>
        <w:t xml:space="preserve"> (CERD)</w:t>
      </w:r>
      <w:r w:rsidR="00700EA8">
        <w:rPr>
          <w:rStyle w:val="FootnoteReference"/>
          <w:rFonts w:ascii="Verdana" w:hAnsi="Verdana"/>
        </w:rPr>
        <w:footnoteReference w:id="5"/>
      </w:r>
    </w:p>
    <w:p w14:paraId="4546E73A" w14:textId="6871392B" w:rsidR="00F757EF" w:rsidRDefault="00F757EF" w:rsidP="00F757EF">
      <w:pPr>
        <w:pStyle w:val="BasicParagraph"/>
        <w:numPr>
          <w:ilvl w:val="0"/>
          <w:numId w:val="9"/>
        </w:numPr>
        <w:suppressAutoHyphens/>
        <w:spacing w:line="276" w:lineRule="auto"/>
        <w:ind w:left="1434" w:hanging="357"/>
        <w:rPr>
          <w:rFonts w:ascii="Verdana" w:hAnsi="Verdana"/>
        </w:rPr>
      </w:pPr>
      <w:r>
        <w:rPr>
          <w:rFonts w:ascii="Verdana" w:hAnsi="Verdana"/>
        </w:rPr>
        <w:t>UN Convention on the Rights of the Child 1989</w:t>
      </w:r>
      <w:r w:rsidR="004E58C8">
        <w:rPr>
          <w:rFonts w:ascii="Verdana" w:hAnsi="Verdana"/>
        </w:rPr>
        <w:t xml:space="preserve"> (CRC)</w:t>
      </w:r>
      <w:r>
        <w:rPr>
          <w:rStyle w:val="FootnoteReference"/>
          <w:rFonts w:ascii="Verdana" w:hAnsi="Verdana"/>
        </w:rPr>
        <w:footnoteReference w:id="6"/>
      </w:r>
    </w:p>
    <w:p w14:paraId="07042688" w14:textId="35FC5054" w:rsidR="00F757EF" w:rsidRPr="00F757EF" w:rsidRDefault="00F757EF" w:rsidP="00F757EF">
      <w:pPr>
        <w:pStyle w:val="BasicParagraph"/>
        <w:numPr>
          <w:ilvl w:val="0"/>
          <w:numId w:val="9"/>
        </w:numPr>
        <w:suppressAutoHyphens/>
        <w:spacing w:line="276" w:lineRule="auto"/>
        <w:ind w:left="1434" w:hanging="357"/>
        <w:rPr>
          <w:rFonts w:ascii="Verdana" w:hAnsi="Verdana"/>
        </w:rPr>
      </w:pPr>
      <w:r>
        <w:rPr>
          <w:rFonts w:ascii="Verdana" w:hAnsi="Verdana"/>
        </w:rPr>
        <w:t>UN Convention on the Rights of Persons with Disabilities 2006</w:t>
      </w:r>
      <w:r w:rsidR="004E58C8">
        <w:rPr>
          <w:rFonts w:ascii="Verdana" w:hAnsi="Verdana"/>
        </w:rPr>
        <w:t xml:space="preserve"> (CRPD)</w:t>
      </w:r>
      <w:r>
        <w:rPr>
          <w:rStyle w:val="FootnoteReference"/>
          <w:rFonts w:ascii="Verdana" w:hAnsi="Verdana"/>
        </w:rPr>
        <w:footnoteReference w:id="7"/>
      </w:r>
    </w:p>
    <w:p w14:paraId="546902A4" w14:textId="77209C21" w:rsidR="009A4666" w:rsidRDefault="007B6CE0" w:rsidP="007B6CE0">
      <w:pPr>
        <w:pStyle w:val="BasicParagraph"/>
        <w:numPr>
          <w:ilvl w:val="0"/>
          <w:numId w:val="9"/>
        </w:numPr>
        <w:suppressAutoHyphens/>
        <w:spacing w:line="276" w:lineRule="auto"/>
        <w:rPr>
          <w:rFonts w:ascii="Verdana" w:hAnsi="Verdana"/>
        </w:rPr>
      </w:pPr>
      <w:r w:rsidRPr="007B6CE0">
        <w:rPr>
          <w:rFonts w:ascii="Verdana" w:hAnsi="Verdana"/>
        </w:rPr>
        <w:t xml:space="preserve">UN Educational, Scientific and Cultural Organisation </w:t>
      </w:r>
      <w:r w:rsidR="00920266" w:rsidRPr="007B6CE0">
        <w:rPr>
          <w:rFonts w:ascii="Verdana" w:hAnsi="Verdana"/>
        </w:rPr>
        <w:t>(</w:t>
      </w:r>
      <w:r w:rsidR="00D65204" w:rsidRPr="007B6CE0">
        <w:rPr>
          <w:rFonts w:ascii="Verdana" w:hAnsi="Verdana"/>
        </w:rPr>
        <w:t>UNESCO</w:t>
      </w:r>
      <w:r w:rsidR="00920266" w:rsidRPr="007B6CE0">
        <w:rPr>
          <w:rFonts w:ascii="Verdana" w:hAnsi="Verdana"/>
        </w:rPr>
        <w:t xml:space="preserve">) </w:t>
      </w:r>
      <w:r w:rsidRPr="007B6CE0">
        <w:rPr>
          <w:rFonts w:ascii="Verdana" w:hAnsi="Verdana"/>
        </w:rPr>
        <w:t>Convention on the Protection and Promotion of the Diversity of Cultural Expressions</w:t>
      </w:r>
      <w:r w:rsidR="00C7622A">
        <w:rPr>
          <w:rFonts w:ascii="Verdana" w:hAnsi="Verdana"/>
        </w:rPr>
        <w:t xml:space="preserve"> 1990</w:t>
      </w:r>
      <w:r w:rsidR="009B7473">
        <w:rPr>
          <w:rStyle w:val="FootnoteReference"/>
          <w:rFonts w:ascii="Verdana" w:hAnsi="Verdana"/>
        </w:rPr>
        <w:footnoteReference w:id="8"/>
      </w:r>
    </w:p>
    <w:p w14:paraId="4101E7CD" w14:textId="6888BA9B" w:rsidR="00E3014A" w:rsidRDefault="00E3014A" w:rsidP="007B6CE0">
      <w:pPr>
        <w:pStyle w:val="BasicParagraph"/>
        <w:numPr>
          <w:ilvl w:val="0"/>
          <w:numId w:val="9"/>
        </w:numPr>
        <w:suppressAutoHyphens/>
        <w:spacing w:line="276" w:lineRule="auto"/>
        <w:rPr>
          <w:rFonts w:ascii="Verdana" w:hAnsi="Verdana"/>
        </w:rPr>
      </w:pPr>
      <w:r>
        <w:rPr>
          <w:rFonts w:ascii="Verdana" w:hAnsi="Verdana"/>
        </w:rPr>
        <w:t>UNESCO Conve</w:t>
      </w:r>
      <w:r w:rsidR="00C764EE">
        <w:rPr>
          <w:rFonts w:ascii="Verdana" w:hAnsi="Verdana"/>
        </w:rPr>
        <w:t>ntion against Discrimination in Education</w:t>
      </w:r>
      <w:r w:rsidR="00C7622A">
        <w:rPr>
          <w:rFonts w:ascii="Verdana" w:hAnsi="Verdana"/>
        </w:rPr>
        <w:t xml:space="preserve"> 1960</w:t>
      </w:r>
      <w:r w:rsidR="00C7622A">
        <w:rPr>
          <w:rStyle w:val="FootnoteReference"/>
          <w:rFonts w:ascii="Verdana" w:hAnsi="Verdana"/>
        </w:rPr>
        <w:footnoteReference w:id="9"/>
      </w:r>
    </w:p>
    <w:p w14:paraId="14AD6431" w14:textId="77777777" w:rsidR="00FD1DFE" w:rsidRPr="007B6CE0" w:rsidRDefault="00FD1DFE" w:rsidP="00FD1DFE">
      <w:pPr>
        <w:pStyle w:val="BasicParagraph"/>
        <w:suppressAutoHyphens/>
        <w:spacing w:line="276" w:lineRule="auto"/>
        <w:ind w:left="1440"/>
        <w:rPr>
          <w:rFonts w:ascii="Verdana" w:hAnsi="Verdana"/>
        </w:rPr>
      </w:pPr>
    </w:p>
    <w:p w14:paraId="4CB35B19" w14:textId="1C885A33" w:rsidR="00AE38BC" w:rsidRDefault="00AE38BC" w:rsidP="00947F3D">
      <w:pPr>
        <w:pStyle w:val="BasicParagraph"/>
        <w:suppressAutoHyphens/>
        <w:spacing w:after="240"/>
        <w:ind w:left="720" w:hanging="720"/>
        <w:rPr>
          <w:rFonts w:ascii="Verdana" w:hAnsi="Verdana"/>
        </w:rPr>
      </w:pPr>
      <w:r w:rsidRPr="00AE38BC">
        <w:rPr>
          <w:rFonts w:ascii="Verdana" w:hAnsi="Verdana"/>
        </w:rPr>
        <w:t xml:space="preserve">1.3 </w:t>
      </w:r>
      <w:r w:rsidR="009A4666">
        <w:rPr>
          <w:rFonts w:ascii="Verdana" w:hAnsi="Verdana"/>
        </w:rPr>
        <w:tab/>
      </w:r>
      <w:r w:rsidRPr="00AE38BC">
        <w:rPr>
          <w:rFonts w:ascii="Verdana" w:hAnsi="Verdana"/>
        </w:rPr>
        <w:t>In addition to these treaty standards, there exists a body of ‘soft law’ developed by the human rights bodies of the CoE and UN. These declarations and principles are non-binding but provide further guidance in respect of specific areas. The relevant standards in this context include:</w:t>
      </w:r>
    </w:p>
    <w:p w14:paraId="7433D61F" w14:textId="6F422D15" w:rsidR="0037516A" w:rsidRPr="0037516A" w:rsidRDefault="0037516A" w:rsidP="0037516A">
      <w:pPr>
        <w:pStyle w:val="BasicParagraph"/>
        <w:numPr>
          <w:ilvl w:val="0"/>
          <w:numId w:val="11"/>
        </w:numPr>
        <w:suppressAutoHyphens/>
        <w:rPr>
          <w:rFonts w:ascii="Verdana" w:hAnsi="Verdana" w:cs="Arial"/>
          <w:bCs/>
          <w:color w:val="auto"/>
        </w:rPr>
      </w:pPr>
      <w:r w:rsidRPr="0037516A">
        <w:rPr>
          <w:rFonts w:ascii="Verdana" w:hAnsi="Verdana" w:cs="Arial"/>
          <w:bCs/>
          <w:color w:val="auto"/>
        </w:rPr>
        <w:t>UN Human Rights Council Resolution 6/37 on the elimination of</w:t>
      </w:r>
      <w:r>
        <w:rPr>
          <w:rFonts w:ascii="Verdana" w:hAnsi="Verdana" w:cs="Arial"/>
          <w:bCs/>
          <w:color w:val="auto"/>
        </w:rPr>
        <w:t xml:space="preserve"> </w:t>
      </w:r>
      <w:r w:rsidRPr="0037516A">
        <w:rPr>
          <w:rFonts w:ascii="Verdana" w:hAnsi="Verdana" w:cs="Arial"/>
          <w:bCs/>
          <w:color w:val="auto"/>
        </w:rPr>
        <w:t>intolerance and of discrimination based on religion or belief</w:t>
      </w:r>
      <w:r w:rsidR="0005743E">
        <w:rPr>
          <w:rFonts w:ascii="Verdana" w:hAnsi="Verdana" w:cs="Arial"/>
          <w:bCs/>
          <w:color w:val="auto"/>
        </w:rPr>
        <w:t xml:space="preserve"> 2007</w:t>
      </w:r>
    </w:p>
    <w:p w14:paraId="03AA5F92" w14:textId="308A71FC" w:rsidR="0037516A" w:rsidRPr="0037516A" w:rsidRDefault="0037516A" w:rsidP="0037516A">
      <w:pPr>
        <w:pStyle w:val="BasicParagraph"/>
        <w:numPr>
          <w:ilvl w:val="0"/>
          <w:numId w:val="11"/>
        </w:numPr>
        <w:suppressAutoHyphens/>
        <w:rPr>
          <w:rFonts w:ascii="Verdana" w:hAnsi="Verdana" w:cs="Arial"/>
          <w:bCs/>
          <w:color w:val="auto"/>
        </w:rPr>
      </w:pPr>
      <w:r w:rsidRPr="0037516A">
        <w:rPr>
          <w:rFonts w:ascii="Verdana" w:hAnsi="Verdana" w:cs="Arial"/>
          <w:bCs/>
          <w:color w:val="auto"/>
        </w:rPr>
        <w:t>UN Declaration on a Culture of Peace</w:t>
      </w:r>
      <w:r w:rsidR="0005743E">
        <w:rPr>
          <w:rFonts w:ascii="Verdana" w:hAnsi="Verdana" w:cs="Arial"/>
          <w:bCs/>
          <w:color w:val="auto"/>
        </w:rPr>
        <w:t xml:space="preserve"> 1999</w:t>
      </w:r>
    </w:p>
    <w:p w14:paraId="2489DDDE" w14:textId="3E552696" w:rsidR="0037516A" w:rsidRPr="0037516A" w:rsidRDefault="0037516A" w:rsidP="0037516A">
      <w:pPr>
        <w:pStyle w:val="BasicParagraph"/>
        <w:numPr>
          <w:ilvl w:val="0"/>
          <w:numId w:val="11"/>
        </w:numPr>
        <w:suppressAutoHyphens/>
        <w:rPr>
          <w:rFonts w:ascii="Verdana" w:hAnsi="Verdana" w:cs="Arial"/>
          <w:bCs/>
          <w:color w:val="auto"/>
        </w:rPr>
      </w:pPr>
      <w:r w:rsidRPr="0037516A">
        <w:rPr>
          <w:rFonts w:ascii="Verdana" w:hAnsi="Verdana" w:cs="Arial"/>
          <w:bCs/>
          <w:color w:val="auto"/>
        </w:rPr>
        <w:lastRenderedPageBreak/>
        <w:t>Faro Declaration on the Council of Europe’s Strategy for Developing Intercultural Dialogue</w:t>
      </w:r>
      <w:r w:rsidR="0005743E">
        <w:rPr>
          <w:rFonts w:ascii="Verdana" w:hAnsi="Verdana" w:cs="Arial"/>
          <w:bCs/>
          <w:color w:val="auto"/>
        </w:rPr>
        <w:t xml:space="preserve"> 2005</w:t>
      </w:r>
    </w:p>
    <w:p w14:paraId="2974F4DE" w14:textId="5C1211FA" w:rsidR="0037516A" w:rsidRPr="0037516A" w:rsidRDefault="0037516A" w:rsidP="0037516A">
      <w:pPr>
        <w:pStyle w:val="BasicParagraph"/>
        <w:numPr>
          <w:ilvl w:val="0"/>
          <w:numId w:val="11"/>
        </w:numPr>
        <w:suppressAutoHyphens/>
        <w:rPr>
          <w:rFonts w:ascii="Verdana" w:hAnsi="Verdana" w:cs="Arial"/>
          <w:bCs/>
          <w:color w:val="auto"/>
        </w:rPr>
      </w:pPr>
      <w:r w:rsidRPr="0037516A">
        <w:rPr>
          <w:rFonts w:ascii="Verdana" w:hAnsi="Verdana" w:cs="Arial"/>
          <w:bCs/>
          <w:color w:val="auto"/>
        </w:rPr>
        <w:t>Yogyakarta Principles on the application of international human</w:t>
      </w:r>
      <w:r>
        <w:rPr>
          <w:rFonts w:ascii="Verdana" w:hAnsi="Verdana" w:cs="Arial"/>
          <w:bCs/>
          <w:color w:val="auto"/>
        </w:rPr>
        <w:t xml:space="preserve"> </w:t>
      </w:r>
      <w:r w:rsidRPr="0037516A">
        <w:rPr>
          <w:rFonts w:ascii="Verdana" w:hAnsi="Verdana" w:cs="Arial"/>
          <w:bCs/>
          <w:color w:val="auto"/>
        </w:rPr>
        <w:t>rights law in relation to sexual orientation and gender identity</w:t>
      </w:r>
      <w:r w:rsidR="0005743E">
        <w:rPr>
          <w:rFonts w:ascii="Verdana" w:hAnsi="Verdana" w:cs="Arial"/>
          <w:bCs/>
          <w:color w:val="auto"/>
        </w:rPr>
        <w:t xml:space="preserve"> 2006</w:t>
      </w:r>
    </w:p>
    <w:p w14:paraId="4149A9BE" w14:textId="39B625F0" w:rsidR="0037516A" w:rsidRPr="0037516A" w:rsidRDefault="0037516A" w:rsidP="0037516A">
      <w:pPr>
        <w:pStyle w:val="BasicParagraph"/>
        <w:numPr>
          <w:ilvl w:val="0"/>
          <w:numId w:val="11"/>
        </w:numPr>
        <w:suppressAutoHyphens/>
        <w:rPr>
          <w:rFonts w:ascii="Verdana" w:hAnsi="Verdana" w:cs="Arial"/>
          <w:bCs/>
          <w:color w:val="auto"/>
        </w:rPr>
      </w:pPr>
      <w:r w:rsidRPr="0037516A">
        <w:rPr>
          <w:rFonts w:ascii="Verdana" w:hAnsi="Verdana" w:cs="Arial"/>
          <w:bCs/>
          <w:color w:val="auto"/>
        </w:rPr>
        <w:t>UN Declaration on the Rights of Persons Belonging to National or Ethnic, Religious and Linguistic Minorities</w:t>
      </w:r>
      <w:r w:rsidR="0005743E">
        <w:rPr>
          <w:rFonts w:ascii="Verdana" w:hAnsi="Verdana" w:cs="Arial"/>
          <w:bCs/>
          <w:color w:val="auto"/>
        </w:rPr>
        <w:t xml:space="preserve"> 1992</w:t>
      </w:r>
    </w:p>
    <w:p w14:paraId="4201AF52" w14:textId="184E6AFC" w:rsidR="0037516A" w:rsidRDefault="0037516A" w:rsidP="0037516A">
      <w:pPr>
        <w:pStyle w:val="BasicParagraph"/>
        <w:numPr>
          <w:ilvl w:val="0"/>
          <w:numId w:val="11"/>
        </w:numPr>
        <w:suppressAutoHyphens/>
        <w:rPr>
          <w:rFonts w:ascii="Verdana" w:hAnsi="Verdana" w:cs="Arial"/>
          <w:bCs/>
          <w:color w:val="auto"/>
        </w:rPr>
      </w:pPr>
      <w:r w:rsidRPr="0037516A">
        <w:rPr>
          <w:rFonts w:ascii="Verdana" w:hAnsi="Verdana" w:cs="Arial"/>
          <w:bCs/>
          <w:color w:val="auto"/>
        </w:rPr>
        <w:t>UN Durban Declaration and Programme of Action</w:t>
      </w:r>
      <w:r w:rsidR="0005743E">
        <w:rPr>
          <w:rFonts w:ascii="Verdana" w:hAnsi="Verdana" w:cs="Arial"/>
          <w:bCs/>
          <w:color w:val="auto"/>
        </w:rPr>
        <w:t xml:space="preserve"> 2002</w:t>
      </w:r>
    </w:p>
    <w:p w14:paraId="500983E0" w14:textId="66101453" w:rsidR="00A60B10" w:rsidRDefault="00A60B10" w:rsidP="0037516A">
      <w:pPr>
        <w:pStyle w:val="BasicParagraph"/>
        <w:numPr>
          <w:ilvl w:val="0"/>
          <w:numId w:val="11"/>
        </w:numPr>
        <w:suppressAutoHyphens/>
        <w:rPr>
          <w:rFonts w:ascii="Verdana" w:hAnsi="Verdana" w:cs="Arial"/>
          <w:bCs/>
          <w:color w:val="auto"/>
        </w:rPr>
      </w:pPr>
      <w:r>
        <w:rPr>
          <w:rFonts w:ascii="Verdana" w:hAnsi="Verdana" w:cs="Arial"/>
          <w:bCs/>
          <w:color w:val="auto"/>
        </w:rPr>
        <w:t xml:space="preserve">UNESCO </w:t>
      </w:r>
      <w:r w:rsidR="000D7859" w:rsidRPr="000D7859">
        <w:rPr>
          <w:rFonts w:ascii="Verdana" w:hAnsi="Verdana" w:cs="Arial"/>
          <w:bCs/>
          <w:color w:val="auto"/>
        </w:rPr>
        <w:t>Convention against Discrimination in Education 1960</w:t>
      </w:r>
      <w:r w:rsidR="000D7859">
        <w:rPr>
          <w:rStyle w:val="FootnoteReference"/>
          <w:rFonts w:ascii="Verdana" w:hAnsi="Verdana" w:cs="Arial"/>
          <w:bCs/>
          <w:color w:val="auto"/>
        </w:rPr>
        <w:footnoteReference w:id="10"/>
      </w:r>
    </w:p>
    <w:p w14:paraId="72529D6B" w14:textId="682BDB4A" w:rsidR="00A316B7" w:rsidRDefault="00A316B7" w:rsidP="00A316B7">
      <w:pPr>
        <w:pStyle w:val="BasicParagraph"/>
        <w:numPr>
          <w:ilvl w:val="0"/>
          <w:numId w:val="11"/>
        </w:numPr>
        <w:suppressAutoHyphens/>
        <w:spacing w:line="276" w:lineRule="auto"/>
        <w:rPr>
          <w:rFonts w:ascii="Verdana" w:hAnsi="Verdana"/>
        </w:rPr>
      </w:pPr>
      <w:r w:rsidRPr="00F831C1">
        <w:rPr>
          <w:rFonts w:ascii="Verdana" w:hAnsi="Verdana"/>
        </w:rPr>
        <w:t>UNESCO Salamanca Statement and Framework for Action 1994</w:t>
      </w:r>
    </w:p>
    <w:p w14:paraId="7588A4A9" w14:textId="6FA5FD61" w:rsidR="00A316B7" w:rsidRPr="00A316B7" w:rsidRDefault="00A316B7" w:rsidP="00A316B7">
      <w:pPr>
        <w:pStyle w:val="BasicParagraph"/>
        <w:numPr>
          <w:ilvl w:val="0"/>
          <w:numId w:val="11"/>
        </w:numPr>
        <w:suppressAutoHyphens/>
        <w:spacing w:line="276" w:lineRule="auto"/>
        <w:rPr>
          <w:rFonts w:ascii="Verdana" w:hAnsi="Verdana"/>
        </w:rPr>
      </w:pPr>
      <w:r w:rsidRPr="00F831C1">
        <w:rPr>
          <w:rFonts w:ascii="Verdana" w:hAnsi="Verdana"/>
        </w:rPr>
        <w:t>UN Standard Rules on the Equalisation of Opportunities for Persons with Disabilities 1993</w:t>
      </w:r>
    </w:p>
    <w:p w14:paraId="35F90C07" w14:textId="05736CE9" w:rsidR="00330843" w:rsidRDefault="0037516A" w:rsidP="0037516A">
      <w:pPr>
        <w:pStyle w:val="BasicParagraph"/>
        <w:numPr>
          <w:ilvl w:val="0"/>
          <w:numId w:val="11"/>
        </w:numPr>
        <w:suppressAutoHyphens/>
        <w:rPr>
          <w:rFonts w:ascii="Verdana" w:hAnsi="Verdana" w:cs="Arial"/>
          <w:bCs/>
          <w:color w:val="auto"/>
        </w:rPr>
      </w:pPr>
      <w:r w:rsidRPr="0037516A">
        <w:rPr>
          <w:rFonts w:ascii="Verdana" w:hAnsi="Verdana" w:cs="Arial"/>
          <w:bCs/>
          <w:color w:val="auto"/>
        </w:rPr>
        <w:t>CoE European Commission against Racism and Intolerance (ECRI) General Policy Recommendation 10 on Combatting racism and racial discrimination in and through school</w:t>
      </w:r>
      <w:r w:rsidR="0005743E">
        <w:rPr>
          <w:rFonts w:ascii="Verdana" w:hAnsi="Verdana" w:cs="Arial"/>
          <w:bCs/>
          <w:color w:val="auto"/>
        </w:rPr>
        <w:t xml:space="preserve"> 2006</w:t>
      </w:r>
    </w:p>
    <w:p w14:paraId="34A7BFB4" w14:textId="1E75B136" w:rsidR="00E107D2" w:rsidRDefault="001D37A2" w:rsidP="00331C61">
      <w:pPr>
        <w:pStyle w:val="BasicParagraph"/>
        <w:numPr>
          <w:ilvl w:val="0"/>
          <w:numId w:val="11"/>
        </w:numPr>
        <w:suppressAutoHyphens/>
        <w:rPr>
          <w:rFonts w:ascii="Verdana" w:hAnsi="Verdana" w:cs="Arial"/>
          <w:bCs/>
          <w:color w:val="auto"/>
        </w:rPr>
      </w:pPr>
      <w:r>
        <w:rPr>
          <w:rFonts w:ascii="Verdana" w:hAnsi="Verdana" w:cs="Arial"/>
          <w:bCs/>
          <w:color w:val="auto"/>
        </w:rPr>
        <w:t xml:space="preserve">UN CRPD, </w:t>
      </w:r>
      <w:r w:rsidR="004D7DCA">
        <w:rPr>
          <w:rFonts w:ascii="Verdana" w:hAnsi="Verdana" w:cs="Arial"/>
          <w:bCs/>
          <w:color w:val="auto"/>
        </w:rPr>
        <w:t>General Comment No.4</w:t>
      </w:r>
      <w:r w:rsidR="00FF62D9">
        <w:rPr>
          <w:rFonts w:ascii="Verdana" w:hAnsi="Verdana" w:cs="Arial"/>
          <w:bCs/>
          <w:color w:val="auto"/>
        </w:rPr>
        <w:t xml:space="preserve"> </w:t>
      </w:r>
      <w:r w:rsidR="00A316B7">
        <w:rPr>
          <w:rFonts w:ascii="Verdana" w:hAnsi="Verdana" w:cs="Arial"/>
          <w:bCs/>
          <w:color w:val="auto"/>
        </w:rPr>
        <w:t>on Article 24:</w:t>
      </w:r>
      <w:r w:rsidR="004D5EE8">
        <w:rPr>
          <w:rFonts w:ascii="Verdana" w:hAnsi="Verdana" w:cs="Arial"/>
          <w:bCs/>
          <w:color w:val="auto"/>
        </w:rPr>
        <w:t xml:space="preserve"> Rights to inclusive education </w:t>
      </w:r>
      <w:r w:rsidR="00FF62D9">
        <w:rPr>
          <w:rFonts w:ascii="Verdana" w:hAnsi="Verdana" w:cs="Arial"/>
          <w:bCs/>
          <w:color w:val="auto"/>
        </w:rPr>
        <w:t>2016</w:t>
      </w:r>
      <w:r w:rsidR="00DF7C6B">
        <w:rPr>
          <w:rStyle w:val="FootnoteReference"/>
          <w:rFonts w:ascii="Verdana" w:hAnsi="Verdana" w:cs="Arial"/>
          <w:bCs/>
          <w:color w:val="auto"/>
        </w:rPr>
        <w:footnoteReference w:id="11"/>
      </w:r>
    </w:p>
    <w:p w14:paraId="3DD72916" w14:textId="6167FC1E" w:rsidR="00E107D2" w:rsidRDefault="00E107D2" w:rsidP="00E107D2">
      <w:pPr>
        <w:pStyle w:val="BasicParagraph"/>
        <w:suppressAutoHyphens/>
        <w:rPr>
          <w:rFonts w:ascii="Verdana" w:hAnsi="Verdana" w:cs="Arial"/>
          <w:bCs/>
          <w:color w:val="auto"/>
        </w:rPr>
      </w:pPr>
    </w:p>
    <w:p w14:paraId="6D3FF7B1" w14:textId="3E8BD479" w:rsidR="00E107D2" w:rsidRDefault="00E107D2" w:rsidP="002D4497">
      <w:pPr>
        <w:pStyle w:val="BasicParagraph"/>
        <w:suppressAutoHyphens/>
        <w:ind w:left="720" w:hanging="720"/>
        <w:rPr>
          <w:rFonts w:ascii="Verdana" w:hAnsi="Verdana"/>
        </w:rPr>
      </w:pPr>
      <w:r>
        <w:rPr>
          <w:rFonts w:ascii="Verdana" w:hAnsi="Verdana" w:cs="Arial"/>
          <w:bCs/>
          <w:color w:val="auto"/>
        </w:rPr>
        <w:t>1.4</w:t>
      </w:r>
      <w:r>
        <w:rPr>
          <w:rFonts w:ascii="Verdana" w:hAnsi="Verdana" w:cs="Arial"/>
          <w:bCs/>
          <w:color w:val="auto"/>
        </w:rPr>
        <w:tab/>
      </w:r>
      <w:r w:rsidR="002D4497" w:rsidRPr="002D4497">
        <w:rPr>
          <w:rFonts w:ascii="Verdana" w:hAnsi="Verdana"/>
        </w:rPr>
        <w:t xml:space="preserve">The NIHRC welcomes the opportunity to respond to the </w:t>
      </w:r>
      <w:r w:rsidR="002D4497">
        <w:rPr>
          <w:rFonts w:ascii="Verdana" w:hAnsi="Verdana"/>
        </w:rPr>
        <w:t>Committee for Education’s Inquiry into the Integrated Education Bill</w:t>
      </w:r>
      <w:r w:rsidR="002D4497" w:rsidRPr="002D4497">
        <w:rPr>
          <w:rFonts w:ascii="Verdana" w:hAnsi="Verdana"/>
        </w:rPr>
        <w:t xml:space="preserve">. </w:t>
      </w:r>
      <w:r w:rsidR="00F63F93">
        <w:rPr>
          <w:rFonts w:ascii="Verdana" w:hAnsi="Verdana"/>
        </w:rPr>
        <w:t>The Commission</w:t>
      </w:r>
      <w:r w:rsidR="002D4497" w:rsidRPr="002D4497">
        <w:rPr>
          <w:rFonts w:ascii="Verdana" w:hAnsi="Verdana"/>
        </w:rPr>
        <w:t xml:space="preserve"> has sought to highlight relevant human rights standards and principles where they may be of assistance in informing </w:t>
      </w:r>
      <w:r w:rsidR="002B32C5">
        <w:rPr>
          <w:rFonts w:ascii="Verdana" w:hAnsi="Verdana"/>
        </w:rPr>
        <w:t>the development of legislation and policy in this area</w:t>
      </w:r>
      <w:r w:rsidR="002D4497" w:rsidRPr="002D4497">
        <w:rPr>
          <w:rFonts w:ascii="Verdana" w:hAnsi="Verdana"/>
        </w:rPr>
        <w:t>. The structure of this response is largely aligned to the structure of the</w:t>
      </w:r>
      <w:r w:rsidR="00BD7D7B">
        <w:rPr>
          <w:rFonts w:ascii="Verdana" w:hAnsi="Verdana"/>
        </w:rPr>
        <w:t xml:space="preserve"> Bill</w:t>
      </w:r>
      <w:r w:rsidR="002D4497" w:rsidRPr="002D4497">
        <w:rPr>
          <w:rFonts w:ascii="Verdana" w:hAnsi="Verdana"/>
        </w:rPr>
        <w:t xml:space="preserve"> save where</w:t>
      </w:r>
      <w:r w:rsidR="008A482F">
        <w:rPr>
          <w:rFonts w:ascii="Verdana" w:hAnsi="Verdana"/>
        </w:rPr>
        <w:t>,</w:t>
      </w:r>
      <w:r w:rsidR="002D4497" w:rsidRPr="002D4497">
        <w:rPr>
          <w:rFonts w:ascii="Verdana" w:hAnsi="Verdana"/>
        </w:rPr>
        <w:t xml:space="preserve"> to avoid repetition, the issues have been grouped together.</w:t>
      </w:r>
    </w:p>
    <w:p w14:paraId="39339ED3" w14:textId="0C60DCEC" w:rsidR="00E51845" w:rsidRDefault="00E51845" w:rsidP="002D4497">
      <w:pPr>
        <w:pStyle w:val="BasicParagraph"/>
        <w:suppressAutoHyphens/>
        <w:ind w:left="720" w:hanging="720"/>
        <w:rPr>
          <w:rFonts w:ascii="Verdana" w:hAnsi="Verdana"/>
        </w:rPr>
      </w:pPr>
    </w:p>
    <w:p w14:paraId="1BB8B005" w14:textId="7FCD15EC" w:rsidR="00E51845" w:rsidRPr="00530065" w:rsidRDefault="00E51845" w:rsidP="00530065">
      <w:pPr>
        <w:pStyle w:val="BasicParagraph"/>
        <w:suppressAutoHyphens/>
        <w:ind w:left="720" w:hanging="720"/>
        <w:rPr>
          <w:rFonts w:ascii="Verdana" w:hAnsi="Verdana"/>
        </w:rPr>
      </w:pPr>
      <w:r>
        <w:rPr>
          <w:rFonts w:ascii="Verdana" w:hAnsi="Verdana"/>
        </w:rPr>
        <w:t>1.5</w:t>
      </w:r>
      <w:r>
        <w:rPr>
          <w:rFonts w:ascii="Verdana" w:hAnsi="Verdana"/>
        </w:rPr>
        <w:tab/>
        <w:t xml:space="preserve">The Commission notes </w:t>
      </w:r>
      <w:r w:rsidR="00541C0C">
        <w:rPr>
          <w:rFonts w:ascii="Verdana" w:hAnsi="Verdana"/>
        </w:rPr>
        <w:t xml:space="preserve">the </w:t>
      </w:r>
      <w:r>
        <w:rPr>
          <w:rFonts w:ascii="Verdana" w:hAnsi="Verdana"/>
        </w:rPr>
        <w:t xml:space="preserve">forthcoming </w:t>
      </w:r>
      <w:r w:rsidR="00A96CC2">
        <w:rPr>
          <w:rFonts w:ascii="Verdana" w:hAnsi="Verdana"/>
        </w:rPr>
        <w:t>Independent R</w:t>
      </w:r>
      <w:r>
        <w:rPr>
          <w:rFonts w:ascii="Verdana" w:hAnsi="Verdana"/>
        </w:rPr>
        <w:t xml:space="preserve">eview of </w:t>
      </w:r>
      <w:r w:rsidR="00A96CC2">
        <w:rPr>
          <w:rFonts w:ascii="Verdana" w:hAnsi="Verdana"/>
        </w:rPr>
        <w:t>E</w:t>
      </w:r>
      <w:r>
        <w:rPr>
          <w:rFonts w:ascii="Verdana" w:hAnsi="Verdana"/>
        </w:rPr>
        <w:t>ducation</w:t>
      </w:r>
      <w:r w:rsidR="000D4FA8">
        <w:rPr>
          <w:rFonts w:ascii="Verdana" w:hAnsi="Verdana"/>
        </w:rPr>
        <w:t xml:space="preserve"> (as outlined in</w:t>
      </w:r>
      <w:r>
        <w:rPr>
          <w:rFonts w:ascii="Verdana" w:hAnsi="Verdana"/>
        </w:rPr>
        <w:t xml:space="preserve"> </w:t>
      </w:r>
      <w:r w:rsidR="008A482F">
        <w:rPr>
          <w:rFonts w:ascii="Verdana" w:hAnsi="Verdana"/>
        </w:rPr>
        <w:t xml:space="preserve">the </w:t>
      </w:r>
      <w:r>
        <w:rPr>
          <w:rFonts w:ascii="Verdana" w:hAnsi="Verdana"/>
        </w:rPr>
        <w:t>New Decade, New Approach</w:t>
      </w:r>
      <w:r w:rsidR="008A482F">
        <w:rPr>
          <w:rFonts w:ascii="Verdana" w:hAnsi="Verdana"/>
        </w:rPr>
        <w:t xml:space="preserve"> agreement</w:t>
      </w:r>
      <w:r w:rsidR="000D4FA8">
        <w:rPr>
          <w:rFonts w:ascii="Verdana" w:hAnsi="Verdana"/>
        </w:rPr>
        <w:t>)</w:t>
      </w:r>
      <w:r>
        <w:rPr>
          <w:rFonts w:ascii="Verdana" w:hAnsi="Verdana"/>
        </w:rPr>
        <w:t>,</w:t>
      </w:r>
      <w:r w:rsidR="008A482F">
        <w:rPr>
          <w:rStyle w:val="FootnoteReference"/>
          <w:rFonts w:ascii="Verdana" w:hAnsi="Verdana"/>
        </w:rPr>
        <w:footnoteReference w:id="12"/>
      </w:r>
      <w:r>
        <w:rPr>
          <w:rFonts w:ascii="Verdana" w:hAnsi="Verdana"/>
        </w:rPr>
        <w:t xml:space="preserve"> which is focussing </w:t>
      </w:r>
      <w:r w:rsidRPr="009F3783">
        <w:rPr>
          <w:rFonts w:ascii="Verdana" w:hAnsi="Verdana"/>
        </w:rPr>
        <w:t xml:space="preserve">on </w:t>
      </w:r>
      <w:r>
        <w:rPr>
          <w:rFonts w:ascii="Verdana" w:hAnsi="Verdana"/>
        </w:rPr>
        <w:t>“</w:t>
      </w:r>
      <w:r w:rsidRPr="009F3783">
        <w:rPr>
          <w:rFonts w:ascii="Verdana" w:hAnsi="Verdana"/>
        </w:rPr>
        <w:t>securing greater efficiency in delivery costs, raising standards, access to the curriculum for all pupils, and the prospects of moving towards a single education system</w:t>
      </w:r>
      <w:r>
        <w:rPr>
          <w:rFonts w:ascii="Verdana" w:hAnsi="Verdana"/>
        </w:rPr>
        <w:t>”.</w:t>
      </w:r>
      <w:r w:rsidR="006C0EC2">
        <w:rPr>
          <w:rStyle w:val="FootnoteReference"/>
          <w:rFonts w:ascii="Verdana" w:hAnsi="Verdana"/>
        </w:rPr>
        <w:footnoteReference w:id="13"/>
      </w:r>
      <w:r>
        <w:rPr>
          <w:rFonts w:ascii="Verdana" w:hAnsi="Verdana"/>
        </w:rPr>
        <w:t xml:space="preserve"> </w:t>
      </w:r>
      <w:r w:rsidR="000D4FA8">
        <w:rPr>
          <w:rFonts w:ascii="Verdana" w:hAnsi="Verdana"/>
        </w:rPr>
        <w:t>There will necessarily be a degree of overlap between the review and the Bill but the Commission welcomes the opportunity presented by this Bill to address, as an</w:t>
      </w:r>
      <w:r w:rsidR="00D52E33">
        <w:rPr>
          <w:rFonts w:ascii="Verdana" w:hAnsi="Verdana"/>
        </w:rPr>
        <w:t xml:space="preserve"> interim measure</w:t>
      </w:r>
      <w:r w:rsidR="000D4FA8">
        <w:rPr>
          <w:rFonts w:ascii="Verdana" w:hAnsi="Verdana"/>
        </w:rPr>
        <w:t xml:space="preserve">, issues </w:t>
      </w:r>
      <w:r w:rsidR="004F01E3">
        <w:rPr>
          <w:rFonts w:ascii="Verdana" w:hAnsi="Verdana"/>
        </w:rPr>
        <w:t>raised by</w:t>
      </w:r>
      <w:r w:rsidR="00530065">
        <w:rPr>
          <w:rFonts w:ascii="Verdana" w:hAnsi="Verdana"/>
        </w:rPr>
        <w:t xml:space="preserve"> </w:t>
      </w:r>
      <w:r w:rsidR="00565DF2">
        <w:rPr>
          <w:rFonts w:ascii="Verdana" w:hAnsi="Verdana"/>
        </w:rPr>
        <w:t xml:space="preserve">the UN Committee on the Rights of the Child. </w:t>
      </w:r>
      <w:r w:rsidR="009D207C">
        <w:rPr>
          <w:rFonts w:ascii="Verdana" w:hAnsi="Verdana"/>
        </w:rPr>
        <w:t xml:space="preserve"> </w:t>
      </w:r>
    </w:p>
    <w:p w14:paraId="5D3DAD26" w14:textId="77777777" w:rsidR="00E107D2" w:rsidRPr="00E107D2" w:rsidRDefault="00E107D2" w:rsidP="00E107D2">
      <w:pPr>
        <w:pStyle w:val="BasicParagraph"/>
        <w:suppressAutoHyphens/>
        <w:rPr>
          <w:rFonts w:ascii="Verdana" w:hAnsi="Verdana" w:cs="Arial"/>
          <w:bCs/>
          <w:color w:val="auto"/>
        </w:rPr>
      </w:pPr>
    </w:p>
    <w:p w14:paraId="68399D50" w14:textId="224B90C7" w:rsidR="00AC4149" w:rsidRPr="002D347B" w:rsidRDefault="00AE38BC" w:rsidP="00AC4149">
      <w:pPr>
        <w:pStyle w:val="BasicParagraph"/>
        <w:numPr>
          <w:ilvl w:val="0"/>
          <w:numId w:val="8"/>
        </w:numPr>
        <w:suppressAutoHyphens/>
        <w:rPr>
          <w:rFonts w:ascii="Verdana" w:hAnsi="Verdana" w:cs="Arial"/>
          <w:b/>
          <w:color w:val="77328A"/>
          <w:sz w:val="30"/>
          <w:szCs w:val="30"/>
        </w:rPr>
      </w:pPr>
      <w:r>
        <w:rPr>
          <w:rFonts w:ascii="Verdana" w:hAnsi="Verdana" w:cs="Arial"/>
          <w:b/>
          <w:color w:val="77328A"/>
          <w:sz w:val="30"/>
          <w:szCs w:val="30"/>
        </w:rPr>
        <w:t>International</w:t>
      </w:r>
      <w:r w:rsidR="001F74C6">
        <w:rPr>
          <w:rFonts w:ascii="Verdana" w:hAnsi="Verdana" w:cs="Arial"/>
          <w:b/>
          <w:color w:val="77328A"/>
          <w:sz w:val="30"/>
          <w:szCs w:val="30"/>
        </w:rPr>
        <w:t xml:space="preserve"> Human Rights</w:t>
      </w:r>
      <w:r>
        <w:rPr>
          <w:rFonts w:ascii="Verdana" w:hAnsi="Verdana" w:cs="Arial"/>
          <w:b/>
          <w:color w:val="77328A"/>
          <w:sz w:val="30"/>
          <w:szCs w:val="30"/>
        </w:rPr>
        <w:t xml:space="preserve"> Standards</w:t>
      </w:r>
    </w:p>
    <w:p w14:paraId="17F65C23" w14:textId="31759B63" w:rsidR="004672AC" w:rsidRDefault="00365510" w:rsidP="00904418">
      <w:pPr>
        <w:pStyle w:val="BasicParagraph"/>
        <w:suppressAutoHyphens/>
        <w:ind w:left="720" w:hanging="720"/>
        <w:rPr>
          <w:rFonts w:ascii="Verdana" w:hAnsi="Verdana" w:cs="Arial"/>
          <w:bCs/>
          <w:color w:val="232120"/>
        </w:rPr>
      </w:pPr>
      <w:r w:rsidRPr="00365510">
        <w:rPr>
          <w:rFonts w:ascii="Verdana" w:hAnsi="Verdana" w:cs="Arial"/>
          <w:bCs/>
          <w:color w:val="232120"/>
        </w:rPr>
        <w:t>2.</w:t>
      </w:r>
      <w:r w:rsidR="004B3BD4">
        <w:rPr>
          <w:rFonts w:ascii="Verdana" w:hAnsi="Verdana" w:cs="Arial"/>
          <w:bCs/>
          <w:color w:val="232120"/>
        </w:rPr>
        <w:t>1</w:t>
      </w:r>
      <w:r>
        <w:rPr>
          <w:rFonts w:ascii="Verdana" w:hAnsi="Verdana" w:cs="Arial"/>
          <w:bCs/>
          <w:color w:val="232120"/>
        </w:rPr>
        <w:tab/>
      </w:r>
      <w:r w:rsidR="00850C5C">
        <w:rPr>
          <w:rFonts w:ascii="Verdana" w:hAnsi="Verdana" w:cs="Arial"/>
          <w:bCs/>
          <w:color w:val="232120"/>
        </w:rPr>
        <w:t>International h</w:t>
      </w:r>
      <w:r w:rsidRPr="00365510">
        <w:rPr>
          <w:rFonts w:ascii="Verdana" w:hAnsi="Verdana" w:cs="Arial"/>
          <w:bCs/>
          <w:color w:val="232120"/>
        </w:rPr>
        <w:t xml:space="preserve">uman rights standards </w:t>
      </w:r>
      <w:r w:rsidR="00C75E03">
        <w:rPr>
          <w:rFonts w:ascii="Verdana" w:hAnsi="Verdana" w:cs="Arial"/>
          <w:bCs/>
          <w:color w:val="232120"/>
        </w:rPr>
        <w:t xml:space="preserve">require the </w:t>
      </w:r>
      <w:r w:rsidRPr="00365510">
        <w:rPr>
          <w:rFonts w:ascii="Verdana" w:hAnsi="Verdana" w:cs="Arial"/>
          <w:bCs/>
          <w:color w:val="232120"/>
        </w:rPr>
        <w:t>NI Executive to</w:t>
      </w:r>
      <w:r>
        <w:rPr>
          <w:rFonts w:ascii="Verdana" w:hAnsi="Verdana" w:cs="Arial"/>
          <w:bCs/>
          <w:color w:val="232120"/>
        </w:rPr>
        <w:t xml:space="preserve"> </w:t>
      </w:r>
      <w:r w:rsidRPr="00365510">
        <w:rPr>
          <w:rFonts w:ascii="Verdana" w:hAnsi="Verdana" w:cs="Arial"/>
          <w:bCs/>
          <w:color w:val="232120"/>
        </w:rPr>
        <w:t xml:space="preserve">promote </w:t>
      </w:r>
      <w:r w:rsidRPr="00365510">
        <w:rPr>
          <w:rFonts w:ascii="Verdana" w:hAnsi="Verdana" w:cs="Arial"/>
          <w:bCs/>
          <w:color w:val="232120"/>
        </w:rPr>
        <w:lastRenderedPageBreak/>
        <w:t>inclusion, tolerance and respect for diversity in and through education</w:t>
      </w:r>
      <w:r w:rsidR="00C75E03">
        <w:rPr>
          <w:rFonts w:ascii="Verdana" w:hAnsi="Verdana" w:cs="Arial"/>
          <w:bCs/>
          <w:color w:val="232120"/>
        </w:rPr>
        <w:t xml:space="preserve">. </w:t>
      </w:r>
    </w:p>
    <w:p w14:paraId="2CE7E106" w14:textId="32B9B7CD" w:rsidR="00194B52" w:rsidRDefault="00194B52" w:rsidP="00904418">
      <w:pPr>
        <w:pStyle w:val="BasicParagraph"/>
        <w:suppressAutoHyphens/>
        <w:ind w:left="720" w:hanging="720"/>
        <w:rPr>
          <w:rFonts w:ascii="Verdana" w:hAnsi="Verdana" w:cs="Arial"/>
          <w:bCs/>
          <w:color w:val="232120"/>
        </w:rPr>
      </w:pPr>
    </w:p>
    <w:p w14:paraId="62527547" w14:textId="07D704A7" w:rsidR="00194B52" w:rsidRDefault="00194B52" w:rsidP="00904418">
      <w:pPr>
        <w:pStyle w:val="BasicParagraph"/>
        <w:suppressAutoHyphens/>
        <w:ind w:left="720" w:hanging="720"/>
        <w:rPr>
          <w:rFonts w:ascii="Verdana" w:hAnsi="Verdana"/>
        </w:rPr>
      </w:pPr>
      <w:r w:rsidRPr="00194B52">
        <w:rPr>
          <w:rFonts w:ascii="Verdana" w:hAnsi="Verdana"/>
        </w:rPr>
        <w:t xml:space="preserve">2.2 </w:t>
      </w:r>
      <w:r w:rsidRPr="00194B52">
        <w:rPr>
          <w:rFonts w:ascii="Verdana" w:hAnsi="Verdana"/>
        </w:rPr>
        <w:tab/>
        <w:t>The I</w:t>
      </w:r>
      <w:r w:rsidR="00C75E03">
        <w:rPr>
          <w:rFonts w:ascii="Verdana" w:hAnsi="Verdana"/>
        </w:rPr>
        <w:t xml:space="preserve">nternational Covenant on Economic, </w:t>
      </w:r>
      <w:r w:rsidR="00CC54E8">
        <w:rPr>
          <w:rFonts w:ascii="Verdana" w:hAnsi="Verdana"/>
        </w:rPr>
        <w:t>Social and Cultural Rights (I</w:t>
      </w:r>
      <w:r w:rsidRPr="00194B52">
        <w:rPr>
          <w:rFonts w:ascii="Verdana" w:hAnsi="Verdana"/>
        </w:rPr>
        <w:t>CESCR</w:t>
      </w:r>
      <w:r w:rsidR="00CC54E8">
        <w:rPr>
          <w:rFonts w:ascii="Verdana" w:hAnsi="Verdana"/>
        </w:rPr>
        <w:t>), at</w:t>
      </w:r>
      <w:r w:rsidRPr="00194B52">
        <w:rPr>
          <w:rFonts w:ascii="Verdana" w:hAnsi="Verdana"/>
        </w:rPr>
        <w:t xml:space="preserve"> Article 13(1)</w:t>
      </w:r>
      <w:r w:rsidR="00CC54E8">
        <w:rPr>
          <w:rFonts w:ascii="Verdana" w:hAnsi="Verdana"/>
        </w:rPr>
        <w:t>,</w:t>
      </w:r>
      <w:r w:rsidRPr="00194B52">
        <w:rPr>
          <w:rFonts w:ascii="Verdana" w:hAnsi="Verdana"/>
        </w:rPr>
        <w:t xml:space="preserve"> </w:t>
      </w:r>
      <w:r w:rsidR="00CC54E8">
        <w:rPr>
          <w:rFonts w:ascii="Verdana" w:hAnsi="Verdana"/>
        </w:rPr>
        <w:t xml:space="preserve">notes that one important purpose of education is to </w:t>
      </w:r>
      <w:r w:rsidRPr="00194B52">
        <w:rPr>
          <w:rFonts w:ascii="Verdana" w:hAnsi="Verdana"/>
        </w:rPr>
        <w:t xml:space="preserve">enable all persons to </w:t>
      </w:r>
      <w:r w:rsidR="009F7690">
        <w:rPr>
          <w:rFonts w:ascii="Verdana" w:hAnsi="Verdana"/>
        </w:rPr>
        <w:t>“</w:t>
      </w:r>
      <w:r w:rsidRPr="00194B52">
        <w:rPr>
          <w:rFonts w:ascii="Verdana" w:hAnsi="Verdana"/>
        </w:rPr>
        <w:t>participate effectively in a free society, [and] promote understanding, tolerance and friendship among all nations and all racial, ethnic or religious groups</w:t>
      </w:r>
      <w:r w:rsidR="009F7690">
        <w:rPr>
          <w:rFonts w:ascii="Verdana" w:hAnsi="Verdana"/>
        </w:rPr>
        <w:t>”</w:t>
      </w:r>
      <w:r w:rsidRPr="00194B52">
        <w:rPr>
          <w:rFonts w:ascii="Verdana" w:hAnsi="Verdana"/>
        </w:rPr>
        <w:t>.</w:t>
      </w:r>
    </w:p>
    <w:p w14:paraId="4E5FF2C1" w14:textId="77777777" w:rsidR="00194B52" w:rsidRDefault="00194B52" w:rsidP="00904418">
      <w:pPr>
        <w:pStyle w:val="BasicParagraph"/>
        <w:suppressAutoHyphens/>
        <w:ind w:left="720" w:hanging="720"/>
        <w:rPr>
          <w:rFonts w:ascii="Verdana" w:hAnsi="Verdana"/>
        </w:rPr>
      </w:pPr>
    </w:p>
    <w:p w14:paraId="5CBCED88" w14:textId="04BEAA32" w:rsidR="00194B52" w:rsidRDefault="00194B52" w:rsidP="00904418">
      <w:pPr>
        <w:pStyle w:val="BasicParagraph"/>
        <w:suppressAutoHyphens/>
        <w:ind w:left="720" w:hanging="720"/>
        <w:rPr>
          <w:rFonts w:ascii="Verdana" w:hAnsi="Verdana"/>
        </w:rPr>
      </w:pPr>
      <w:r w:rsidRPr="00194B52">
        <w:rPr>
          <w:rFonts w:ascii="Verdana" w:hAnsi="Verdana"/>
        </w:rPr>
        <w:t xml:space="preserve">2.3 </w:t>
      </w:r>
      <w:r>
        <w:rPr>
          <w:rFonts w:ascii="Verdana" w:hAnsi="Verdana"/>
        </w:rPr>
        <w:tab/>
      </w:r>
      <w:r w:rsidRPr="00194B52">
        <w:rPr>
          <w:rFonts w:ascii="Verdana" w:hAnsi="Verdana"/>
        </w:rPr>
        <w:t>The UNCRC</w:t>
      </w:r>
      <w:r w:rsidR="00CC54E8">
        <w:rPr>
          <w:rFonts w:ascii="Verdana" w:hAnsi="Verdana"/>
        </w:rPr>
        <w:t>, at</w:t>
      </w:r>
      <w:r w:rsidRPr="00194B52">
        <w:rPr>
          <w:rFonts w:ascii="Verdana" w:hAnsi="Verdana"/>
        </w:rPr>
        <w:t xml:space="preserve"> Article 29</w:t>
      </w:r>
      <w:r w:rsidR="00CC54E8">
        <w:rPr>
          <w:rFonts w:ascii="Verdana" w:hAnsi="Verdana"/>
        </w:rPr>
        <w:t>,</w:t>
      </w:r>
      <w:r w:rsidRPr="00194B52">
        <w:rPr>
          <w:rFonts w:ascii="Verdana" w:hAnsi="Verdana"/>
        </w:rPr>
        <w:t xml:space="preserve"> </w:t>
      </w:r>
      <w:r w:rsidR="00CC54E8">
        <w:rPr>
          <w:rFonts w:ascii="Verdana" w:hAnsi="Verdana"/>
        </w:rPr>
        <w:t xml:space="preserve">notes </w:t>
      </w:r>
      <w:r w:rsidRPr="00194B52">
        <w:rPr>
          <w:rFonts w:ascii="Verdana" w:hAnsi="Verdana"/>
        </w:rPr>
        <w:t xml:space="preserve">that </w:t>
      </w:r>
      <w:r w:rsidR="00CC54E8">
        <w:rPr>
          <w:rFonts w:ascii="Verdana" w:hAnsi="Verdana"/>
        </w:rPr>
        <w:t xml:space="preserve">children’s </w:t>
      </w:r>
      <w:r w:rsidRPr="00194B52">
        <w:rPr>
          <w:rFonts w:ascii="Verdana" w:hAnsi="Verdana"/>
        </w:rPr>
        <w:t xml:space="preserve">education should </w:t>
      </w:r>
      <w:r w:rsidR="00CC54E8">
        <w:rPr>
          <w:rFonts w:ascii="Verdana" w:hAnsi="Verdana"/>
        </w:rPr>
        <w:t xml:space="preserve">enable respect </w:t>
      </w:r>
      <w:r w:rsidRPr="00194B52">
        <w:rPr>
          <w:rFonts w:ascii="Verdana" w:hAnsi="Verdana"/>
        </w:rPr>
        <w:t xml:space="preserve">for the child’s parents, </w:t>
      </w:r>
      <w:r w:rsidR="000032C3" w:rsidRPr="000032C3">
        <w:rPr>
          <w:rFonts w:ascii="Verdana" w:hAnsi="Verdana"/>
        </w:rPr>
        <w:t>his or her own</w:t>
      </w:r>
      <w:r w:rsidR="000032C3">
        <w:t xml:space="preserve"> </w:t>
      </w:r>
      <w:r w:rsidRPr="00194B52">
        <w:rPr>
          <w:rFonts w:ascii="Verdana" w:hAnsi="Verdana"/>
        </w:rPr>
        <w:t>cultural identify, language</w:t>
      </w:r>
      <w:r w:rsidR="000032C3">
        <w:rPr>
          <w:rFonts w:ascii="Verdana" w:hAnsi="Verdana"/>
        </w:rPr>
        <w:t xml:space="preserve"> and values, the national values of</w:t>
      </w:r>
      <w:r w:rsidRPr="00194B52">
        <w:rPr>
          <w:rFonts w:ascii="Verdana" w:hAnsi="Verdana"/>
        </w:rPr>
        <w:t xml:space="preserve"> the country in which the child is living and from where he/she originates, </w:t>
      </w:r>
      <w:r w:rsidR="00CC54E8">
        <w:rPr>
          <w:rFonts w:ascii="Verdana" w:hAnsi="Verdana"/>
        </w:rPr>
        <w:t xml:space="preserve">and </w:t>
      </w:r>
      <w:r w:rsidRPr="00194B52">
        <w:rPr>
          <w:rFonts w:ascii="Verdana" w:hAnsi="Verdana"/>
        </w:rPr>
        <w:t xml:space="preserve">for </w:t>
      </w:r>
      <w:r w:rsidR="009F7690">
        <w:rPr>
          <w:rFonts w:ascii="Verdana" w:hAnsi="Verdana"/>
        </w:rPr>
        <w:t>“</w:t>
      </w:r>
      <w:r w:rsidRPr="00194B52">
        <w:rPr>
          <w:rFonts w:ascii="Verdana" w:hAnsi="Verdana"/>
        </w:rPr>
        <w:t>civilisations different from his or her own</w:t>
      </w:r>
      <w:r w:rsidR="009F7690">
        <w:rPr>
          <w:rFonts w:ascii="Verdana" w:hAnsi="Verdana"/>
        </w:rPr>
        <w:t>”</w:t>
      </w:r>
      <w:r w:rsidRPr="00194B52">
        <w:rPr>
          <w:rFonts w:ascii="Verdana" w:hAnsi="Verdana"/>
        </w:rPr>
        <w:t>.</w:t>
      </w:r>
    </w:p>
    <w:p w14:paraId="079AD420" w14:textId="77777777" w:rsidR="00194B52" w:rsidRDefault="00194B52" w:rsidP="00904418">
      <w:pPr>
        <w:pStyle w:val="BasicParagraph"/>
        <w:suppressAutoHyphens/>
        <w:ind w:left="720" w:hanging="720"/>
        <w:rPr>
          <w:rFonts w:ascii="Verdana" w:hAnsi="Verdana"/>
        </w:rPr>
      </w:pPr>
    </w:p>
    <w:p w14:paraId="14CFFE91" w14:textId="45C8C6C2" w:rsidR="001C5306" w:rsidRPr="002D347B" w:rsidRDefault="00194B52" w:rsidP="00904418">
      <w:pPr>
        <w:pStyle w:val="BasicParagraph"/>
        <w:suppressAutoHyphens/>
        <w:ind w:left="720" w:hanging="720"/>
        <w:rPr>
          <w:rFonts w:ascii="Verdana" w:hAnsi="Verdana"/>
        </w:rPr>
      </w:pPr>
      <w:r w:rsidRPr="00194B52">
        <w:rPr>
          <w:rFonts w:ascii="Verdana" w:hAnsi="Verdana"/>
        </w:rPr>
        <w:t xml:space="preserve">2.4 </w:t>
      </w:r>
      <w:r>
        <w:rPr>
          <w:rFonts w:ascii="Verdana" w:hAnsi="Verdana"/>
        </w:rPr>
        <w:tab/>
      </w:r>
      <w:r w:rsidRPr="00194B52">
        <w:rPr>
          <w:rFonts w:ascii="Verdana" w:hAnsi="Verdana"/>
        </w:rPr>
        <w:t xml:space="preserve">The UN Committee on the Rights of the Child has highlighted the links between Article 29(1) and the struggle against racism, racial discrimination, xenophobia and related intolerance. It notes that racism </w:t>
      </w:r>
      <w:r w:rsidR="009F7690">
        <w:rPr>
          <w:rFonts w:ascii="Verdana" w:hAnsi="Verdana"/>
        </w:rPr>
        <w:t>“</w:t>
      </w:r>
      <w:r w:rsidRPr="00194B52">
        <w:rPr>
          <w:rFonts w:ascii="Verdana" w:hAnsi="Verdana"/>
        </w:rPr>
        <w:t>thrives where there is ignorance, unfounded fears of racial, ethnic, religious, cultural and linguistic or other forms of difference, the exploitation of prejudices, or the teaching or dissemination of distorted values</w:t>
      </w:r>
      <w:r w:rsidR="009F7690">
        <w:rPr>
          <w:rFonts w:ascii="Verdana" w:hAnsi="Verdana"/>
        </w:rPr>
        <w:t>”</w:t>
      </w:r>
      <w:r w:rsidRPr="00194B52">
        <w:rPr>
          <w:rFonts w:ascii="Verdana" w:hAnsi="Verdana"/>
        </w:rPr>
        <w:t>.</w:t>
      </w:r>
      <w:r w:rsidR="006D0790">
        <w:rPr>
          <w:rStyle w:val="FootnoteReference"/>
          <w:rFonts w:ascii="Verdana" w:hAnsi="Verdana"/>
        </w:rPr>
        <w:footnoteReference w:id="14"/>
      </w:r>
      <w:r w:rsidR="00CC54E8">
        <w:rPr>
          <w:rFonts w:ascii="Verdana" w:hAnsi="Verdana"/>
        </w:rPr>
        <w:t xml:space="preserve"> The</w:t>
      </w:r>
      <w:r w:rsidRPr="00194B52">
        <w:rPr>
          <w:rFonts w:ascii="Verdana" w:hAnsi="Verdana"/>
        </w:rPr>
        <w:t xml:space="preserve"> Committee recognises the need for a </w:t>
      </w:r>
      <w:r w:rsidR="009F7690">
        <w:rPr>
          <w:rFonts w:ascii="Verdana" w:hAnsi="Verdana"/>
        </w:rPr>
        <w:t>“</w:t>
      </w:r>
      <w:r w:rsidRPr="00194B52">
        <w:rPr>
          <w:rFonts w:ascii="Verdana" w:hAnsi="Verdana"/>
        </w:rPr>
        <w:t>balanced approach to education…which succeeds in reconciling diverse values through dialogue and respect for difference</w:t>
      </w:r>
      <w:r w:rsidR="009F7690">
        <w:rPr>
          <w:rFonts w:ascii="Verdana" w:hAnsi="Verdana"/>
        </w:rPr>
        <w:t>”</w:t>
      </w:r>
      <w:r w:rsidRPr="00194B52">
        <w:rPr>
          <w:rFonts w:ascii="Verdana" w:hAnsi="Verdana"/>
        </w:rPr>
        <w:t>. Moreover</w:t>
      </w:r>
      <w:r w:rsidR="002829A8">
        <w:rPr>
          <w:rFonts w:ascii="Verdana" w:hAnsi="Verdana"/>
        </w:rPr>
        <w:t>,</w:t>
      </w:r>
      <w:r w:rsidRPr="00194B52">
        <w:rPr>
          <w:rFonts w:ascii="Verdana" w:hAnsi="Verdana"/>
        </w:rPr>
        <w:t xml:space="preserve"> it advises that children are </w:t>
      </w:r>
      <w:r w:rsidR="009F7690">
        <w:rPr>
          <w:rFonts w:ascii="Verdana" w:hAnsi="Verdana"/>
        </w:rPr>
        <w:t>“</w:t>
      </w:r>
      <w:r w:rsidRPr="00194B52">
        <w:rPr>
          <w:rFonts w:ascii="Verdana" w:hAnsi="Verdana"/>
        </w:rPr>
        <w:t>capable of playing a unique role in bridging many of the</w:t>
      </w:r>
      <w:r w:rsidR="001C5306">
        <w:rPr>
          <w:rFonts w:ascii="Verdana" w:hAnsi="Verdana"/>
        </w:rPr>
        <w:t xml:space="preserve"> </w:t>
      </w:r>
      <w:r w:rsidR="001C5306" w:rsidRPr="002D347B">
        <w:rPr>
          <w:rFonts w:ascii="Verdana" w:hAnsi="Verdana"/>
        </w:rPr>
        <w:t>differences that have historically separated groups of people from one another</w:t>
      </w:r>
      <w:r w:rsidR="009F7690">
        <w:rPr>
          <w:rFonts w:ascii="Verdana" w:hAnsi="Verdana"/>
        </w:rPr>
        <w:t>”</w:t>
      </w:r>
      <w:r w:rsidR="001C5306" w:rsidRPr="002D347B">
        <w:rPr>
          <w:rFonts w:ascii="Verdana" w:hAnsi="Verdana"/>
        </w:rPr>
        <w:t>.</w:t>
      </w:r>
      <w:r w:rsidR="00A5064D">
        <w:rPr>
          <w:rStyle w:val="FootnoteReference"/>
          <w:rFonts w:ascii="Verdana" w:hAnsi="Verdana"/>
        </w:rPr>
        <w:footnoteReference w:id="15"/>
      </w:r>
    </w:p>
    <w:p w14:paraId="7AA04F21" w14:textId="77777777" w:rsidR="001C5306" w:rsidRPr="002D347B" w:rsidRDefault="001C5306" w:rsidP="00904418">
      <w:pPr>
        <w:pStyle w:val="BasicParagraph"/>
        <w:suppressAutoHyphens/>
        <w:ind w:left="720" w:hanging="720"/>
        <w:rPr>
          <w:rFonts w:ascii="Verdana" w:hAnsi="Verdana"/>
        </w:rPr>
      </w:pPr>
    </w:p>
    <w:p w14:paraId="0B907A07" w14:textId="30C4C36B" w:rsidR="001C5306" w:rsidRPr="002D347B" w:rsidRDefault="001C5306" w:rsidP="001C5306">
      <w:pPr>
        <w:pStyle w:val="BasicParagraph"/>
        <w:suppressAutoHyphens/>
        <w:ind w:left="720" w:hanging="720"/>
        <w:rPr>
          <w:rFonts w:ascii="Verdana" w:hAnsi="Verdana"/>
        </w:rPr>
      </w:pPr>
      <w:r w:rsidRPr="002D347B">
        <w:rPr>
          <w:rFonts w:ascii="Verdana" w:hAnsi="Verdana"/>
        </w:rPr>
        <w:t xml:space="preserve">2.6 </w:t>
      </w:r>
      <w:r w:rsidRPr="002D347B">
        <w:rPr>
          <w:rFonts w:ascii="Verdana" w:hAnsi="Verdana"/>
        </w:rPr>
        <w:tab/>
        <w:t>The I</w:t>
      </w:r>
      <w:r w:rsidR="00CC54E8">
        <w:rPr>
          <w:rFonts w:ascii="Verdana" w:hAnsi="Verdana"/>
        </w:rPr>
        <w:t xml:space="preserve">nternational </w:t>
      </w:r>
      <w:r w:rsidRPr="002D347B">
        <w:rPr>
          <w:rFonts w:ascii="Verdana" w:hAnsi="Verdana"/>
        </w:rPr>
        <w:t>C</w:t>
      </w:r>
      <w:r w:rsidR="00CC54E8">
        <w:rPr>
          <w:rFonts w:ascii="Verdana" w:hAnsi="Verdana"/>
        </w:rPr>
        <w:t xml:space="preserve">onvention on the </w:t>
      </w:r>
      <w:r w:rsidRPr="002D347B">
        <w:rPr>
          <w:rFonts w:ascii="Verdana" w:hAnsi="Verdana"/>
        </w:rPr>
        <w:t>E</w:t>
      </w:r>
      <w:r w:rsidR="00CC54E8">
        <w:rPr>
          <w:rFonts w:ascii="Verdana" w:hAnsi="Verdana"/>
        </w:rPr>
        <w:t xml:space="preserve">limination of all forms of </w:t>
      </w:r>
      <w:r w:rsidRPr="002D347B">
        <w:rPr>
          <w:rFonts w:ascii="Verdana" w:hAnsi="Verdana"/>
        </w:rPr>
        <w:t>R</w:t>
      </w:r>
      <w:r w:rsidR="00CC54E8">
        <w:rPr>
          <w:rFonts w:ascii="Verdana" w:hAnsi="Verdana"/>
        </w:rPr>
        <w:t xml:space="preserve">acial </w:t>
      </w:r>
      <w:r w:rsidRPr="002D347B">
        <w:rPr>
          <w:rFonts w:ascii="Verdana" w:hAnsi="Verdana"/>
        </w:rPr>
        <w:t>D</w:t>
      </w:r>
      <w:r w:rsidR="00CC54E8">
        <w:rPr>
          <w:rFonts w:ascii="Verdana" w:hAnsi="Verdana"/>
        </w:rPr>
        <w:t>iscrimination (ICERD), at</w:t>
      </w:r>
      <w:r w:rsidRPr="002D347B">
        <w:rPr>
          <w:rFonts w:ascii="Verdana" w:hAnsi="Verdana"/>
        </w:rPr>
        <w:t xml:space="preserve"> Article 7</w:t>
      </w:r>
      <w:r w:rsidR="00CF10BA">
        <w:rPr>
          <w:rFonts w:ascii="Verdana" w:hAnsi="Verdana"/>
        </w:rPr>
        <w:t>,</w:t>
      </w:r>
      <w:r w:rsidRPr="002D347B">
        <w:rPr>
          <w:rFonts w:ascii="Verdana" w:hAnsi="Verdana"/>
        </w:rPr>
        <w:t xml:space="preserve"> requires the adoption of </w:t>
      </w:r>
      <w:r w:rsidR="009F7690">
        <w:rPr>
          <w:rFonts w:ascii="Verdana" w:hAnsi="Verdana"/>
        </w:rPr>
        <w:t>“</w:t>
      </w:r>
      <w:r w:rsidRPr="002D347B">
        <w:rPr>
          <w:rFonts w:ascii="Verdana" w:hAnsi="Verdana"/>
        </w:rPr>
        <w:t>immediate and effective measures, particularly in the fields of teaching, education, culture and information, with a view to combating prejudices which lead to racial discrimination and to promoting understanding, tolerance and friendship among nations and racial or ethnical groups.</w:t>
      </w:r>
      <w:r w:rsidR="009F7690">
        <w:rPr>
          <w:rFonts w:ascii="Verdana" w:hAnsi="Verdana"/>
        </w:rPr>
        <w:t>”</w:t>
      </w:r>
      <w:r w:rsidRPr="002D347B">
        <w:rPr>
          <w:rFonts w:ascii="Verdana" w:hAnsi="Verdana"/>
        </w:rPr>
        <w:t xml:space="preserve"> The U</w:t>
      </w:r>
      <w:r w:rsidR="00CF10BA">
        <w:rPr>
          <w:rFonts w:ascii="Verdana" w:hAnsi="Verdana"/>
        </w:rPr>
        <w:t xml:space="preserve">nited </w:t>
      </w:r>
      <w:r w:rsidRPr="002D347B">
        <w:rPr>
          <w:rFonts w:ascii="Verdana" w:hAnsi="Verdana"/>
        </w:rPr>
        <w:t>N</w:t>
      </w:r>
      <w:r w:rsidR="00CF10BA">
        <w:rPr>
          <w:rFonts w:ascii="Verdana" w:hAnsi="Verdana"/>
        </w:rPr>
        <w:t xml:space="preserve">ations Educational, Scientific and Cultural Organisation (UNESCO) </w:t>
      </w:r>
      <w:r w:rsidRPr="002D347B">
        <w:rPr>
          <w:rFonts w:ascii="Verdana" w:hAnsi="Verdana"/>
        </w:rPr>
        <w:t>Convention on the Protection and Promotion of the Diversity of Cultural Expressions has similarly recommended</w:t>
      </w:r>
      <w:r w:rsidR="00CF10BA">
        <w:rPr>
          <w:rFonts w:ascii="Verdana" w:hAnsi="Verdana"/>
        </w:rPr>
        <w:t>, at Article 10,</w:t>
      </w:r>
      <w:r w:rsidRPr="002D347B">
        <w:rPr>
          <w:rFonts w:ascii="Verdana" w:hAnsi="Verdana"/>
        </w:rPr>
        <w:t xml:space="preserve"> that governments </w:t>
      </w:r>
      <w:r w:rsidR="00CF10BA">
        <w:rPr>
          <w:rFonts w:ascii="Verdana" w:hAnsi="Verdana"/>
        </w:rPr>
        <w:t xml:space="preserve">should </w:t>
      </w:r>
      <w:r w:rsidRPr="002D347B">
        <w:rPr>
          <w:rFonts w:ascii="Verdana" w:hAnsi="Verdana"/>
        </w:rPr>
        <w:t xml:space="preserve">educate the population at large by requiring that they </w:t>
      </w:r>
      <w:r w:rsidR="009F7690">
        <w:rPr>
          <w:rFonts w:ascii="Verdana" w:hAnsi="Verdana"/>
        </w:rPr>
        <w:t>“</w:t>
      </w:r>
      <w:r w:rsidRPr="002D347B">
        <w:rPr>
          <w:rFonts w:ascii="Verdana" w:hAnsi="Verdana"/>
        </w:rPr>
        <w:t xml:space="preserve">encourage and promote understanding of the importance of the protection and </w:t>
      </w:r>
      <w:r w:rsidRPr="002D347B">
        <w:rPr>
          <w:rFonts w:ascii="Verdana" w:hAnsi="Verdana"/>
        </w:rPr>
        <w:lastRenderedPageBreak/>
        <w:t>promotion of the diversity of cultural expressions, inter alia, through educational and greater public awareness programmes.</w:t>
      </w:r>
      <w:r w:rsidR="009F7690">
        <w:rPr>
          <w:rFonts w:ascii="Verdana" w:hAnsi="Verdana"/>
        </w:rPr>
        <w:t>”</w:t>
      </w:r>
      <w:r w:rsidR="00CF10BA">
        <w:rPr>
          <w:rStyle w:val="FootnoteReference"/>
          <w:rFonts w:ascii="Verdana" w:hAnsi="Verdana"/>
        </w:rPr>
        <w:footnoteReference w:id="16"/>
      </w:r>
    </w:p>
    <w:p w14:paraId="4132F747" w14:textId="77777777" w:rsidR="001C5306" w:rsidRPr="002D347B" w:rsidRDefault="001C5306" w:rsidP="001C5306">
      <w:pPr>
        <w:pStyle w:val="BasicParagraph"/>
        <w:suppressAutoHyphens/>
        <w:ind w:left="720" w:hanging="720"/>
        <w:rPr>
          <w:rFonts w:ascii="Verdana" w:hAnsi="Verdana"/>
        </w:rPr>
      </w:pPr>
    </w:p>
    <w:p w14:paraId="3A08A8F6" w14:textId="0FC84B47" w:rsidR="001C5306" w:rsidRPr="002D347B" w:rsidRDefault="001C5306" w:rsidP="001C5306">
      <w:pPr>
        <w:pStyle w:val="BasicParagraph"/>
        <w:suppressAutoHyphens/>
        <w:ind w:left="720" w:hanging="720"/>
        <w:rPr>
          <w:rFonts w:ascii="Verdana" w:hAnsi="Verdana"/>
        </w:rPr>
      </w:pPr>
      <w:r w:rsidRPr="002D347B">
        <w:rPr>
          <w:rFonts w:ascii="Verdana" w:hAnsi="Verdana"/>
        </w:rPr>
        <w:t xml:space="preserve">2.7 </w:t>
      </w:r>
      <w:r w:rsidRPr="002D347B">
        <w:rPr>
          <w:rFonts w:ascii="Verdana" w:hAnsi="Verdana"/>
        </w:rPr>
        <w:tab/>
        <w:t xml:space="preserve">The </w:t>
      </w:r>
      <w:r w:rsidR="00145B31">
        <w:rPr>
          <w:rFonts w:ascii="Verdana" w:hAnsi="Verdana"/>
        </w:rPr>
        <w:t>Council of Europe Framework Convention for the Protection of National Minorities (</w:t>
      </w:r>
      <w:r w:rsidRPr="002D347B">
        <w:rPr>
          <w:rFonts w:ascii="Verdana" w:hAnsi="Verdana"/>
        </w:rPr>
        <w:t>FCNM</w:t>
      </w:r>
      <w:r w:rsidR="00145B31">
        <w:rPr>
          <w:rFonts w:ascii="Verdana" w:hAnsi="Verdana"/>
        </w:rPr>
        <w:t>), at</w:t>
      </w:r>
      <w:r w:rsidRPr="002D347B">
        <w:rPr>
          <w:rFonts w:ascii="Verdana" w:hAnsi="Verdana"/>
        </w:rPr>
        <w:t xml:space="preserve"> Article 6</w:t>
      </w:r>
      <w:r w:rsidR="00145B31">
        <w:rPr>
          <w:rFonts w:ascii="Verdana" w:hAnsi="Verdana"/>
        </w:rPr>
        <w:t>,</w:t>
      </w:r>
      <w:r w:rsidRPr="002D347B">
        <w:rPr>
          <w:rFonts w:ascii="Verdana" w:hAnsi="Verdana"/>
        </w:rPr>
        <w:t xml:space="preserve"> requires States Parties </w:t>
      </w:r>
      <w:r w:rsidR="00145B31">
        <w:rPr>
          <w:rFonts w:ascii="Verdana" w:hAnsi="Verdana"/>
        </w:rPr>
        <w:t xml:space="preserve">to </w:t>
      </w:r>
      <w:r w:rsidRPr="002D347B">
        <w:rPr>
          <w:rFonts w:ascii="Verdana" w:hAnsi="Verdana"/>
        </w:rPr>
        <w:t xml:space="preserve">take </w:t>
      </w:r>
      <w:r w:rsidR="000625DB">
        <w:rPr>
          <w:rFonts w:ascii="Verdana" w:hAnsi="Verdana"/>
        </w:rPr>
        <w:t>“</w:t>
      </w:r>
      <w:r w:rsidRPr="002D347B">
        <w:rPr>
          <w:rFonts w:ascii="Verdana" w:hAnsi="Verdana"/>
        </w:rPr>
        <w:t>effective measures to promote mutual respect and understanding and co-operation among all persons living on their territory.</w:t>
      </w:r>
      <w:r w:rsidR="000625DB">
        <w:rPr>
          <w:rFonts w:ascii="Verdana" w:hAnsi="Verdana"/>
        </w:rPr>
        <w:t>”</w:t>
      </w:r>
      <w:r w:rsidR="000625DB">
        <w:rPr>
          <w:rStyle w:val="FootnoteReference"/>
          <w:rFonts w:ascii="Verdana" w:hAnsi="Verdana"/>
        </w:rPr>
        <w:footnoteReference w:id="17"/>
      </w:r>
      <w:r w:rsidRPr="002D347B">
        <w:rPr>
          <w:rFonts w:ascii="Verdana" w:hAnsi="Verdana"/>
        </w:rPr>
        <w:t xml:space="preserve"> The </w:t>
      </w:r>
      <w:r w:rsidR="008F705A">
        <w:rPr>
          <w:rFonts w:ascii="Verdana" w:hAnsi="Verdana"/>
        </w:rPr>
        <w:t>Commission</w:t>
      </w:r>
      <w:r w:rsidRPr="002D347B">
        <w:rPr>
          <w:rFonts w:ascii="Verdana" w:hAnsi="Verdana"/>
        </w:rPr>
        <w:t xml:space="preserve"> notes that Section 75(2) of the Northern Ireland Act 1998 </w:t>
      </w:r>
      <w:r w:rsidR="00746753">
        <w:rPr>
          <w:rFonts w:ascii="Verdana" w:hAnsi="Verdana"/>
        </w:rPr>
        <w:t>requires</w:t>
      </w:r>
      <w:r w:rsidR="00746753" w:rsidRPr="00746753">
        <w:rPr>
          <w:rFonts w:ascii="Arial" w:hAnsi="Arial" w:cs="Arial"/>
          <w:sz w:val="18"/>
          <w:szCs w:val="18"/>
          <w:shd w:val="clear" w:color="auto" w:fill="FFFFFF"/>
        </w:rPr>
        <w:t xml:space="preserve"> </w:t>
      </w:r>
      <w:r w:rsidR="00746753" w:rsidRPr="00662341">
        <w:rPr>
          <w:rFonts w:ascii="Verdana" w:hAnsi="Verdana" w:cs="Arial"/>
          <w:shd w:val="clear" w:color="auto" w:fill="FFFFFF"/>
        </w:rPr>
        <w:t>all public authorities, in carrying out their functions, to “have regard to the desirability of promoting good relations between persons of different religious belief, political opinion or racial group.”</w:t>
      </w:r>
      <w:r w:rsidR="00AC7C94" w:rsidRPr="00662341">
        <w:rPr>
          <w:rStyle w:val="FootnoteReference"/>
          <w:rFonts w:ascii="Verdana" w:hAnsi="Verdana"/>
        </w:rPr>
        <w:footnoteReference w:id="18"/>
      </w:r>
      <w:r w:rsidRPr="002D347B">
        <w:rPr>
          <w:rFonts w:ascii="Verdana" w:hAnsi="Verdana"/>
        </w:rPr>
        <w:t xml:space="preserve"> </w:t>
      </w:r>
    </w:p>
    <w:p w14:paraId="29FCC79C" w14:textId="77777777" w:rsidR="001C5306" w:rsidRPr="002D347B" w:rsidRDefault="001C5306" w:rsidP="001C5306">
      <w:pPr>
        <w:pStyle w:val="BasicParagraph"/>
        <w:suppressAutoHyphens/>
        <w:ind w:left="720" w:hanging="720"/>
        <w:rPr>
          <w:rFonts w:ascii="Verdana" w:hAnsi="Verdana"/>
        </w:rPr>
      </w:pPr>
    </w:p>
    <w:p w14:paraId="2B403610" w14:textId="7005DBD4" w:rsidR="001C5306" w:rsidRDefault="001C5306" w:rsidP="001C5306">
      <w:pPr>
        <w:pStyle w:val="BasicParagraph"/>
        <w:suppressAutoHyphens/>
        <w:ind w:left="720" w:hanging="720"/>
        <w:rPr>
          <w:rFonts w:ascii="Verdana" w:hAnsi="Verdana"/>
        </w:rPr>
      </w:pPr>
      <w:r w:rsidRPr="002D347B">
        <w:rPr>
          <w:rFonts w:ascii="Verdana" w:hAnsi="Verdana"/>
        </w:rPr>
        <w:t xml:space="preserve">2.8 </w:t>
      </w:r>
      <w:r w:rsidRPr="002D347B">
        <w:rPr>
          <w:rFonts w:ascii="Verdana" w:hAnsi="Verdana"/>
        </w:rPr>
        <w:tab/>
      </w:r>
      <w:r w:rsidR="00746753">
        <w:rPr>
          <w:rFonts w:ascii="Verdana" w:hAnsi="Verdana"/>
        </w:rPr>
        <w:t>The Convention on the Elimination of all forms of Discrimination against Women (CEDAW), at</w:t>
      </w:r>
      <w:r w:rsidR="00746753" w:rsidRPr="002D347B">
        <w:rPr>
          <w:rFonts w:ascii="Verdana" w:hAnsi="Verdana"/>
        </w:rPr>
        <w:t xml:space="preserve"> </w:t>
      </w:r>
      <w:r w:rsidRPr="002D347B">
        <w:rPr>
          <w:rFonts w:ascii="Verdana" w:hAnsi="Verdana"/>
        </w:rPr>
        <w:t>Article 5</w:t>
      </w:r>
      <w:r w:rsidR="00C26BB2">
        <w:rPr>
          <w:rFonts w:ascii="Verdana" w:hAnsi="Verdana"/>
        </w:rPr>
        <w:t>,</w:t>
      </w:r>
      <w:r w:rsidRPr="002D347B">
        <w:rPr>
          <w:rFonts w:ascii="Verdana" w:hAnsi="Verdana"/>
        </w:rPr>
        <w:t xml:space="preserve"> </w:t>
      </w:r>
      <w:r w:rsidR="00746753">
        <w:rPr>
          <w:rFonts w:ascii="Verdana" w:hAnsi="Verdana"/>
        </w:rPr>
        <w:t xml:space="preserve">requires States </w:t>
      </w:r>
      <w:r w:rsidRPr="002D347B">
        <w:rPr>
          <w:rFonts w:ascii="Verdana" w:hAnsi="Verdana"/>
        </w:rPr>
        <w:t>to take appropriate measures to achiev</w:t>
      </w:r>
      <w:r w:rsidR="008A5244">
        <w:rPr>
          <w:rFonts w:ascii="Verdana" w:hAnsi="Verdana"/>
        </w:rPr>
        <w:t>e</w:t>
      </w:r>
      <w:r w:rsidRPr="002D347B">
        <w:rPr>
          <w:rFonts w:ascii="Verdana" w:hAnsi="Verdana"/>
        </w:rPr>
        <w:t xml:space="preserve"> the </w:t>
      </w:r>
      <w:r w:rsidR="004C07D9">
        <w:rPr>
          <w:rFonts w:ascii="Verdana" w:hAnsi="Verdana"/>
        </w:rPr>
        <w:t>“</w:t>
      </w:r>
      <w:r w:rsidRPr="002D347B">
        <w:rPr>
          <w:rFonts w:ascii="Verdana" w:hAnsi="Verdana"/>
        </w:rPr>
        <w:t>elimination of prejudices and customary and all other practices which are based on the idea of the inferiority or the superiority of either of the sexes or on stereotyped roles for men and women.</w:t>
      </w:r>
      <w:r w:rsidR="004C07D9">
        <w:rPr>
          <w:rFonts w:ascii="Verdana" w:hAnsi="Verdana"/>
        </w:rPr>
        <w:t>”</w:t>
      </w:r>
      <w:r w:rsidRPr="002D347B">
        <w:rPr>
          <w:rFonts w:ascii="Verdana" w:hAnsi="Verdana"/>
        </w:rPr>
        <w:t xml:space="preserve"> </w:t>
      </w:r>
    </w:p>
    <w:p w14:paraId="202F557E" w14:textId="77777777" w:rsidR="002D347B" w:rsidRPr="002D347B" w:rsidRDefault="002D347B" w:rsidP="001C5306">
      <w:pPr>
        <w:pStyle w:val="BasicParagraph"/>
        <w:suppressAutoHyphens/>
        <w:ind w:left="720" w:hanging="720"/>
        <w:rPr>
          <w:rFonts w:ascii="Verdana" w:hAnsi="Verdana"/>
        </w:rPr>
      </w:pPr>
    </w:p>
    <w:p w14:paraId="720385CD" w14:textId="4AD645FD" w:rsidR="002D1F06" w:rsidRDefault="001C5306" w:rsidP="001C5306">
      <w:pPr>
        <w:pStyle w:val="BasicParagraph"/>
        <w:suppressAutoHyphens/>
        <w:ind w:left="720" w:hanging="720"/>
        <w:rPr>
          <w:rFonts w:ascii="Verdana" w:hAnsi="Verdana"/>
        </w:rPr>
      </w:pPr>
      <w:r w:rsidRPr="002D347B">
        <w:rPr>
          <w:rFonts w:ascii="Verdana" w:hAnsi="Verdana"/>
        </w:rPr>
        <w:t xml:space="preserve">2.9 </w:t>
      </w:r>
      <w:r w:rsidRPr="002D347B">
        <w:rPr>
          <w:rFonts w:ascii="Verdana" w:hAnsi="Verdana"/>
        </w:rPr>
        <w:tab/>
        <w:t>The C</w:t>
      </w:r>
      <w:r w:rsidR="00746753">
        <w:rPr>
          <w:rFonts w:ascii="Verdana" w:hAnsi="Verdana"/>
        </w:rPr>
        <w:t>onvention on the rights of Person with Disabilities (C</w:t>
      </w:r>
      <w:r w:rsidRPr="002D347B">
        <w:rPr>
          <w:rFonts w:ascii="Verdana" w:hAnsi="Verdana"/>
        </w:rPr>
        <w:t>RPD</w:t>
      </w:r>
      <w:r w:rsidR="00746753">
        <w:rPr>
          <w:rFonts w:ascii="Verdana" w:hAnsi="Verdana"/>
        </w:rPr>
        <w:t xml:space="preserve">), at </w:t>
      </w:r>
      <w:r w:rsidRPr="002D347B">
        <w:rPr>
          <w:rFonts w:ascii="Verdana" w:hAnsi="Verdana"/>
        </w:rPr>
        <w:t>Article 8</w:t>
      </w:r>
      <w:r w:rsidR="00746753">
        <w:rPr>
          <w:rFonts w:ascii="Verdana" w:hAnsi="Verdana"/>
        </w:rPr>
        <w:t xml:space="preserve">, requires States </w:t>
      </w:r>
      <w:r w:rsidR="00891D0C">
        <w:rPr>
          <w:rFonts w:ascii="Verdana" w:hAnsi="Verdana"/>
        </w:rPr>
        <w:t>“</w:t>
      </w:r>
      <w:r w:rsidRPr="002D347B">
        <w:rPr>
          <w:rFonts w:ascii="Verdana" w:hAnsi="Verdana"/>
        </w:rPr>
        <w:t>raise awareness…and to foster respect for the rights and dignity of persons with disabilities</w:t>
      </w:r>
      <w:r w:rsidR="00891D0C">
        <w:rPr>
          <w:rFonts w:ascii="Verdana" w:hAnsi="Verdana"/>
        </w:rPr>
        <w:t>”</w:t>
      </w:r>
      <w:r w:rsidRPr="002D347B">
        <w:rPr>
          <w:rFonts w:ascii="Verdana" w:hAnsi="Verdana"/>
        </w:rPr>
        <w:t xml:space="preserve"> which includes an obligation to </w:t>
      </w:r>
      <w:r w:rsidR="00891D0C">
        <w:rPr>
          <w:rFonts w:ascii="Verdana" w:hAnsi="Verdana"/>
        </w:rPr>
        <w:t>“</w:t>
      </w:r>
      <w:r w:rsidRPr="002D347B">
        <w:rPr>
          <w:rFonts w:ascii="Verdana" w:hAnsi="Verdana"/>
        </w:rPr>
        <w:t>combat stereotypes</w:t>
      </w:r>
      <w:r w:rsidR="00891D0C">
        <w:rPr>
          <w:rFonts w:ascii="Verdana" w:hAnsi="Verdana"/>
        </w:rPr>
        <w:t>”</w:t>
      </w:r>
      <w:r w:rsidRPr="002D347B">
        <w:rPr>
          <w:rFonts w:ascii="Verdana" w:hAnsi="Verdana"/>
        </w:rPr>
        <w:t xml:space="preserve">. One of the measures required is to foster </w:t>
      </w:r>
      <w:r w:rsidR="00891D0C">
        <w:rPr>
          <w:rFonts w:ascii="Verdana" w:hAnsi="Verdana"/>
        </w:rPr>
        <w:t>“</w:t>
      </w:r>
      <w:r w:rsidRPr="002D347B">
        <w:rPr>
          <w:rFonts w:ascii="Verdana" w:hAnsi="Verdana"/>
        </w:rPr>
        <w:t>at all levels of the education system, including in all</w:t>
      </w:r>
      <w:r w:rsidR="002D347B" w:rsidRPr="002D347B">
        <w:rPr>
          <w:rFonts w:ascii="Verdana" w:hAnsi="Verdana"/>
        </w:rPr>
        <w:t xml:space="preserve"> children from an early age, an attitude of respect for the rights of persons with disabilities</w:t>
      </w:r>
      <w:r w:rsidR="00891D0C">
        <w:rPr>
          <w:rFonts w:ascii="Verdana" w:hAnsi="Verdana"/>
        </w:rPr>
        <w:t>”</w:t>
      </w:r>
      <w:r w:rsidR="002D347B" w:rsidRPr="002D347B">
        <w:rPr>
          <w:rFonts w:ascii="Verdana" w:hAnsi="Verdana"/>
        </w:rPr>
        <w:t xml:space="preserve">. </w:t>
      </w:r>
    </w:p>
    <w:p w14:paraId="4C2B3330" w14:textId="77777777" w:rsidR="002D1F06" w:rsidRDefault="002D1F06" w:rsidP="001C5306">
      <w:pPr>
        <w:pStyle w:val="BasicParagraph"/>
        <w:suppressAutoHyphens/>
        <w:ind w:left="720" w:hanging="720"/>
        <w:rPr>
          <w:rFonts w:ascii="Verdana" w:hAnsi="Verdana"/>
        </w:rPr>
      </w:pPr>
    </w:p>
    <w:p w14:paraId="6E309429" w14:textId="2EF101B4" w:rsidR="007C2F3B" w:rsidRDefault="002D1F06" w:rsidP="00C02BE3">
      <w:pPr>
        <w:pStyle w:val="BasicParagraph"/>
        <w:suppressAutoHyphens/>
        <w:ind w:left="720" w:hanging="720"/>
        <w:rPr>
          <w:rFonts w:ascii="Verdana" w:hAnsi="Verdana" w:cs="Times"/>
          <w:bCs/>
          <w:color w:val="auto"/>
          <w:lang w:eastAsia="zh-CN"/>
        </w:rPr>
      </w:pPr>
      <w:r>
        <w:rPr>
          <w:rFonts w:ascii="Verdana" w:hAnsi="Verdana"/>
        </w:rPr>
        <w:t>2.10</w:t>
      </w:r>
      <w:r>
        <w:rPr>
          <w:rFonts w:ascii="Verdana" w:hAnsi="Verdana"/>
        </w:rPr>
        <w:tab/>
      </w:r>
      <w:r w:rsidR="001533A5" w:rsidRPr="001533A5">
        <w:rPr>
          <w:rFonts w:ascii="Verdana" w:hAnsi="Verdana"/>
        </w:rPr>
        <w:t xml:space="preserve">Article 24 of the CRPD </w:t>
      </w:r>
      <w:r w:rsidR="001460DF">
        <w:rPr>
          <w:rFonts w:ascii="Verdana" w:hAnsi="Verdana"/>
        </w:rPr>
        <w:t xml:space="preserve">not only protects children with disabilities from discrimination it </w:t>
      </w:r>
      <w:r w:rsidR="001533A5" w:rsidRPr="001533A5">
        <w:rPr>
          <w:rFonts w:ascii="Verdana" w:hAnsi="Verdana"/>
        </w:rPr>
        <w:t>provides</w:t>
      </w:r>
      <w:r w:rsidR="001460DF">
        <w:rPr>
          <w:rFonts w:ascii="Verdana" w:hAnsi="Verdana"/>
        </w:rPr>
        <w:t xml:space="preserve"> a positive obligation on States to enable them to </w:t>
      </w:r>
      <w:r w:rsidR="001533A5" w:rsidRPr="001533A5">
        <w:rPr>
          <w:rFonts w:ascii="Verdana" w:hAnsi="Verdana"/>
        </w:rPr>
        <w:t>participate in the general education system.</w:t>
      </w:r>
      <w:r w:rsidR="00B713D7">
        <w:rPr>
          <w:rFonts w:ascii="Verdana" w:hAnsi="Verdana"/>
        </w:rPr>
        <w:t xml:space="preserve"> </w:t>
      </w:r>
      <w:r w:rsidR="00FD79D5">
        <w:rPr>
          <w:rFonts w:ascii="Verdana" w:hAnsi="Verdana"/>
        </w:rPr>
        <w:t xml:space="preserve">The </w:t>
      </w:r>
      <w:r w:rsidR="00516929">
        <w:rPr>
          <w:rFonts w:ascii="Verdana" w:hAnsi="Verdana"/>
        </w:rPr>
        <w:t xml:space="preserve">CRPD </w:t>
      </w:r>
      <w:r w:rsidR="00FD79D5">
        <w:rPr>
          <w:rFonts w:ascii="Verdana" w:hAnsi="Verdana"/>
        </w:rPr>
        <w:t>Committee</w:t>
      </w:r>
      <w:r w:rsidR="00516929">
        <w:rPr>
          <w:rFonts w:ascii="Verdana" w:hAnsi="Verdana"/>
        </w:rPr>
        <w:t xml:space="preserve"> </w:t>
      </w:r>
      <w:r w:rsidR="001460DF">
        <w:rPr>
          <w:rFonts w:ascii="Verdana" w:hAnsi="Verdana"/>
        </w:rPr>
        <w:t xml:space="preserve">describes </w:t>
      </w:r>
      <w:r w:rsidR="00516929">
        <w:rPr>
          <w:rFonts w:ascii="Verdana" w:hAnsi="Verdana"/>
        </w:rPr>
        <w:t xml:space="preserve">an inclusive education system </w:t>
      </w:r>
      <w:r w:rsidR="001460DF">
        <w:rPr>
          <w:rFonts w:ascii="Verdana" w:hAnsi="Verdana"/>
        </w:rPr>
        <w:t xml:space="preserve">as one which respects and  </w:t>
      </w:r>
      <w:r w:rsidR="00516929">
        <w:rPr>
          <w:rFonts w:ascii="Verdana" w:hAnsi="Verdana"/>
        </w:rPr>
        <w:t>respect</w:t>
      </w:r>
      <w:r w:rsidR="001460DF">
        <w:rPr>
          <w:rFonts w:ascii="Verdana" w:hAnsi="Verdana"/>
        </w:rPr>
        <w:t xml:space="preserve">s and values </w:t>
      </w:r>
      <w:r w:rsidR="00516929">
        <w:rPr>
          <w:rFonts w:ascii="Verdana" w:hAnsi="Verdana"/>
        </w:rPr>
        <w:t xml:space="preserve">diversity, </w:t>
      </w:r>
      <w:r w:rsidR="009F4F41">
        <w:rPr>
          <w:rFonts w:ascii="Verdana" w:hAnsi="Verdana"/>
        </w:rPr>
        <w:t xml:space="preserve">where </w:t>
      </w:r>
      <w:r w:rsidR="00891D0C">
        <w:rPr>
          <w:rFonts w:ascii="Verdana" w:hAnsi="Verdana"/>
        </w:rPr>
        <w:t>“</w:t>
      </w:r>
      <w:r w:rsidR="009F4F41">
        <w:rPr>
          <w:rFonts w:ascii="Verdana" w:hAnsi="Verdana"/>
        </w:rPr>
        <w:t xml:space="preserve">all </w:t>
      </w:r>
      <w:r w:rsidR="00516929" w:rsidRPr="009F4F41">
        <w:rPr>
          <w:rFonts w:ascii="Verdana" w:hAnsi="Verdana" w:cs="Times New Roman"/>
          <w:bCs/>
          <w:color w:val="auto"/>
        </w:rPr>
        <w:t xml:space="preserve">members of the learning community are welcomed equally, with respect for diversity </w:t>
      </w:r>
      <w:r w:rsidR="00516929" w:rsidRPr="009F4F41">
        <w:rPr>
          <w:rFonts w:ascii="Verdana" w:hAnsi="Verdana" w:cs="Times"/>
          <w:bCs/>
          <w:color w:val="auto"/>
          <w:lang w:eastAsia="zh-CN"/>
        </w:rPr>
        <w:t xml:space="preserve">according to, inter alia, disability, </w:t>
      </w:r>
      <w:r w:rsidR="00516929" w:rsidRPr="009F4F41">
        <w:rPr>
          <w:rFonts w:ascii="Verdana" w:eastAsia="Arial Bold" w:hAnsi="Verdana" w:cs="Times New Roman"/>
          <w:color w:val="auto"/>
        </w:rPr>
        <w:t xml:space="preserve">race, colour, sex, language, linguistic culture, religion, political or other opinion, national, ethnic, indigenous or social origin, </w:t>
      </w:r>
      <w:r w:rsidR="00516929" w:rsidRPr="009F4F41">
        <w:rPr>
          <w:rFonts w:ascii="Verdana" w:eastAsia="Arial Bold" w:hAnsi="Verdana" w:cs="Times New Roman"/>
          <w:color w:val="auto"/>
        </w:rPr>
        <w:lastRenderedPageBreak/>
        <w:t>property, birth, age or other status</w:t>
      </w:r>
      <w:r w:rsidR="00A0082E">
        <w:rPr>
          <w:rFonts w:ascii="Verdana" w:hAnsi="Verdana" w:cs="Times"/>
          <w:bCs/>
          <w:color w:val="auto"/>
          <w:lang w:eastAsia="zh-CN"/>
        </w:rPr>
        <w:t>.</w:t>
      </w:r>
      <w:r w:rsidR="00891D0C">
        <w:rPr>
          <w:rFonts w:ascii="Verdana" w:hAnsi="Verdana" w:cs="Times"/>
          <w:bCs/>
          <w:color w:val="auto"/>
          <w:lang w:eastAsia="zh-CN"/>
        </w:rPr>
        <w:t>”</w:t>
      </w:r>
      <w:r w:rsidR="00891D0C">
        <w:rPr>
          <w:rStyle w:val="FootnoteReference"/>
          <w:rFonts w:ascii="Verdana" w:hAnsi="Verdana" w:cs="Times"/>
          <w:bCs/>
          <w:color w:val="auto"/>
          <w:lang w:eastAsia="zh-CN"/>
        </w:rPr>
        <w:footnoteReference w:id="19"/>
      </w:r>
    </w:p>
    <w:p w14:paraId="6EDB2E94" w14:textId="77777777" w:rsidR="00662341" w:rsidRPr="00C02BE3" w:rsidRDefault="00662341" w:rsidP="00C02BE3">
      <w:pPr>
        <w:pStyle w:val="BasicParagraph"/>
        <w:suppressAutoHyphens/>
        <w:ind w:left="720" w:hanging="720"/>
        <w:rPr>
          <w:rFonts w:ascii="Verdana" w:hAnsi="Verdana"/>
        </w:rPr>
      </w:pPr>
    </w:p>
    <w:p w14:paraId="77F73CE0" w14:textId="03CFA0E2" w:rsidR="009A4666" w:rsidRPr="003B7D0E" w:rsidRDefault="009A4666" w:rsidP="009A4666">
      <w:pPr>
        <w:pStyle w:val="BasicParagraph"/>
        <w:suppressAutoHyphens/>
        <w:rPr>
          <w:rFonts w:ascii="Verdana" w:hAnsi="Verdana" w:cs="Arial"/>
          <w:color w:val="77328A"/>
          <w:sz w:val="30"/>
          <w:szCs w:val="30"/>
        </w:rPr>
      </w:pPr>
      <w:r>
        <w:rPr>
          <w:rFonts w:ascii="Verdana" w:hAnsi="Verdana" w:cs="Arial"/>
          <w:b/>
          <w:color w:val="77328A"/>
          <w:sz w:val="30"/>
          <w:szCs w:val="30"/>
        </w:rPr>
        <w:t>3</w:t>
      </w:r>
      <w:r w:rsidRPr="003B7D0E">
        <w:rPr>
          <w:rFonts w:ascii="Verdana" w:hAnsi="Verdana" w:cs="Arial"/>
          <w:b/>
          <w:color w:val="77328A"/>
          <w:sz w:val="30"/>
          <w:szCs w:val="30"/>
        </w:rPr>
        <w:t>.0</w:t>
      </w:r>
      <w:r w:rsidRPr="003B7D0E">
        <w:rPr>
          <w:rFonts w:ascii="Verdana" w:hAnsi="Verdana" w:cs="Arial"/>
          <w:b/>
          <w:color w:val="77328A"/>
          <w:sz w:val="30"/>
          <w:szCs w:val="30"/>
        </w:rPr>
        <w:tab/>
      </w:r>
      <w:r w:rsidR="00FA4F0E" w:rsidRPr="00FA4F0E">
        <w:rPr>
          <w:rFonts w:ascii="Verdana" w:hAnsi="Verdana" w:cs="Arial"/>
          <w:b/>
          <w:color w:val="7030A0"/>
          <w:sz w:val="30"/>
          <w:szCs w:val="30"/>
        </w:rPr>
        <w:t xml:space="preserve">Clauses 1 </w:t>
      </w:r>
      <w:r w:rsidR="004553F0">
        <w:rPr>
          <w:rFonts w:ascii="Verdana" w:hAnsi="Verdana" w:cs="Arial"/>
          <w:b/>
          <w:color w:val="7030A0"/>
          <w:sz w:val="30"/>
          <w:szCs w:val="30"/>
        </w:rPr>
        <w:t>and 2</w:t>
      </w:r>
      <w:r w:rsidR="00FA4F0E" w:rsidRPr="00FA4F0E">
        <w:rPr>
          <w:rFonts w:ascii="Verdana" w:hAnsi="Verdana" w:cs="Arial"/>
          <w:b/>
          <w:color w:val="7030A0"/>
          <w:sz w:val="30"/>
          <w:szCs w:val="30"/>
        </w:rPr>
        <w:t>: Definitions and purpose</w:t>
      </w:r>
    </w:p>
    <w:p w14:paraId="2948ACAB" w14:textId="3845E4B6" w:rsidR="000917C0" w:rsidRPr="00822092" w:rsidRDefault="00AB28CD" w:rsidP="00FA4F0E">
      <w:pPr>
        <w:pStyle w:val="BasicParagraph"/>
        <w:suppressAutoHyphens/>
        <w:ind w:left="720" w:hanging="720"/>
        <w:rPr>
          <w:rFonts w:ascii="Verdana" w:hAnsi="Verdana" w:cs="Arial"/>
          <w:bCs/>
          <w:color w:val="auto"/>
        </w:rPr>
      </w:pPr>
      <w:r w:rsidRPr="00822092">
        <w:rPr>
          <w:rFonts w:ascii="Verdana" w:hAnsi="Verdana" w:cs="Arial"/>
          <w:bCs/>
          <w:color w:val="auto"/>
        </w:rPr>
        <w:t>3.1</w:t>
      </w:r>
      <w:r w:rsidRPr="00822092">
        <w:rPr>
          <w:rFonts w:ascii="Verdana" w:hAnsi="Verdana" w:cs="Arial"/>
          <w:bCs/>
          <w:color w:val="auto"/>
        </w:rPr>
        <w:tab/>
      </w:r>
      <w:r w:rsidR="00132E4A" w:rsidRPr="00822092">
        <w:rPr>
          <w:rFonts w:ascii="Verdana" w:hAnsi="Verdana" w:cs="Arial"/>
          <w:bCs/>
          <w:color w:val="auto"/>
        </w:rPr>
        <w:t>Clause 1</w:t>
      </w:r>
      <w:r w:rsidR="003C2AC9" w:rsidRPr="00822092">
        <w:rPr>
          <w:rFonts w:ascii="Verdana" w:hAnsi="Verdana" w:cs="Arial"/>
          <w:bCs/>
          <w:color w:val="auto"/>
        </w:rPr>
        <w:t>(1)</w:t>
      </w:r>
      <w:r w:rsidR="00BC268E" w:rsidRPr="00822092">
        <w:rPr>
          <w:rFonts w:ascii="Verdana" w:hAnsi="Verdana" w:cs="Arial"/>
          <w:bCs/>
          <w:color w:val="auto"/>
        </w:rPr>
        <w:t xml:space="preserve"> </w:t>
      </w:r>
      <w:r w:rsidR="00132E4A" w:rsidRPr="00822092">
        <w:rPr>
          <w:rFonts w:ascii="Verdana" w:hAnsi="Verdana" w:cs="Arial"/>
          <w:bCs/>
          <w:color w:val="auto"/>
        </w:rPr>
        <w:t xml:space="preserve">of the Bill </w:t>
      </w:r>
      <w:r w:rsidR="00BE0FDC">
        <w:rPr>
          <w:rFonts w:ascii="Verdana" w:hAnsi="Verdana" w:cs="Arial"/>
          <w:bCs/>
          <w:color w:val="auto"/>
        </w:rPr>
        <w:t>defines</w:t>
      </w:r>
      <w:r w:rsidR="00BC268E" w:rsidRPr="00822092">
        <w:rPr>
          <w:rFonts w:ascii="Verdana" w:hAnsi="Verdana" w:cs="Arial"/>
          <w:bCs/>
          <w:color w:val="auto"/>
        </w:rPr>
        <w:t xml:space="preserve"> integrated education</w:t>
      </w:r>
      <w:r w:rsidR="00BE0FDC">
        <w:rPr>
          <w:rFonts w:ascii="Verdana" w:hAnsi="Verdana" w:cs="Arial"/>
          <w:bCs/>
          <w:color w:val="auto"/>
        </w:rPr>
        <w:t xml:space="preserve"> more widely,</w:t>
      </w:r>
      <w:r w:rsidR="00EF070E" w:rsidRPr="00822092">
        <w:rPr>
          <w:rStyle w:val="FootnoteReference"/>
          <w:rFonts w:ascii="Verdana" w:hAnsi="Verdana" w:cs="Arial"/>
          <w:bCs/>
          <w:color w:val="auto"/>
        </w:rPr>
        <w:footnoteReference w:id="20"/>
      </w:r>
      <w:r w:rsidR="00C87345" w:rsidRPr="00822092">
        <w:rPr>
          <w:rFonts w:ascii="Verdana" w:hAnsi="Verdana" w:cs="Arial"/>
          <w:bCs/>
          <w:color w:val="auto"/>
        </w:rPr>
        <w:t xml:space="preserve"> to include</w:t>
      </w:r>
      <w:r w:rsidR="000917C0" w:rsidRPr="00822092">
        <w:rPr>
          <w:rFonts w:ascii="Verdana" w:hAnsi="Verdana" w:cs="Arial"/>
          <w:bCs/>
          <w:color w:val="auto"/>
        </w:rPr>
        <w:t xml:space="preserve"> –</w:t>
      </w:r>
      <w:r w:rsidR="00C87345" w:rsidRPr="00822092">
        <w:rPr>
          <w:rFonts w:ascii="Verdana" w:hAnsi="Verdana" w:cs="Arial"/>
          <w:bCs/>
          <w:color w:val="auto"/>
        </w:rPr>
        <w:t xml:space="preserve"> </w:t>
      </w:r>
    </w:p>
    <w:p w14:paraId="35EC22C0" w14:textId="77777777" w:rsidR="000917C0" w:rsidRPr="00822092" w:rsidRDefault="000917C0" w:rsidP="009A4666">
      <w:pPr>
        <w:pStyle w:val="BasicParagraph"/>
        <w:suppressAutoHyphens/>
        <w:rPr>
          <w:rFonts w:ascii="Verdana" w:hAnsi="Verdana" w:cs="Arial"/>
          <w:bCs/>
          <w:color w:val="auto"/>
        </w:rPr>
      </w:pPr>
    </w:p>
    <w:p w14:paraId="5370BA32" w14:textId="6144FFD9" w:rsidR="00C87345" w:rsidRPr="00822092" w:rsidRDefault="008E0298" w:rsidP="000917C0">
      <w:pPr>
        <w:pStyle w:val="BasicParagraph"/>
        <w:suppressAutoHyphens/>
        <w:ind w:left="1440"/>
        <w:rPr>
          <w:rFonts w:ascii="Verdana" w:hAnsi="Verdana"/>
          <w:color w:val="auto"/>
        </w:rPr>
      </w:pPr>
      <w:r w:rsidRPr="00822092">
        <w:rPr>
          <w:rFonts w:ascii="Verdana" w:hAnsi="Verdana" w:cs="Arial"/>
          <w:bCs/>
          <w:color w:val="auto"/>
        </w:rPr>
        <w:t>“</w:t>
      </w:r>
      <w:r w:rsidR="00C87345" w:rsidRPr="00822092">
        <w:rPr>
          <w:rFonts w:ascii="Verdana" w:hAnsi="Verdana"/>
          <w:color w:val="auto"/>
        </w:rPr>
        <w:t>(a) those of different cultures and religious beliefs and of none, including reasonable numbers of both Protestant and Roman Catholic children or young persons; (b) those who are experiencing socio-economic deprivation and those who are not; and (c) those of different abilities</w:t>
      </w:r>
      <w:r w:rsidR="000917C0" w:rsidRPr="00822092">
        <w:rPr>
          <w:rFonts w:ascii="Verdana" w:hAnsi="Verdana"/>
          <w:color w:val="auto"/>
        </w:rPr>
        <w:t>.</w:t>
      </w:r>
      <w:r w:rsidRPr="00822092">
        <w:rPr>
          <w:rFonts w:ascii="Verdana" w:hAnsi="Verdana"/>
          <w:color w:val="auto"/>
        </w:rPr>
        <w:t>”</w:t>
      </w:r>
    </w:p>
    <w:p w14:paraId="2F181A40" w14:textId="2D7E6678" w:rsidR="00CF5CDB" w:rsidRPr="00822092" w:rsidRDefault="00CF5CDB" w:rsidP="000917C0">
      <w:pPr>
        <w:pStyle w:val="BasicParagraph"/>
        <w:suppressAutoHyphens/>
        <w:ind w:left="1440"/>
        <w:rPr>
          <w:rFonts w:ascii="Verdana" w:hAnsi="Verdana"/>
          <w:color w:val="auto"/>
        </w:rPr>
      </w:pPr>
    </w:p>
    <w:p w14:paraId="5FE21563" w14:textId="28C2525A" w:rsidR="008C2DBE" w:rsidRPr="00854536" w:rsidRDefault="00CF5CDB" w:rsidP="00854536">
      <w:pPr>
        <w:pStyle w:val="BasicParagraph"/>
        <w:suppressAutoHyphens/>
        <w:ind w:left="720" w:hanging="720"/>
        <w:rPr>
          <w:rFonts w:ascii="Verdana" w:hAnsi="Verdana"/>
          <w:color w:val="auto"/>
          <w:shd w:val="clear" w:color="auto" w:fill="FFFFFF"/>
        </w:rPr>
      </w:pPr>
      <w:r w:rsidRPr="00822092">
        <w:rPr>
          <w:rFonts w:ascii="Verdana" w:hAnsi="Verdana" w:cs="Arial"/>
          <w:bCs/>
          <w:color w:val="auto"/>
        </w:rPr>
        <w:t>3.2</w:t>
      </w:r>
      <w:r w:rsidRPr="00822092">
        <w:rPr>
          <w:rFonts w:ascii="Verdana" w:hAnsi="Verdana" w:cs="Arial"/>
          <w:bCs/>
          <w:color w:val="auto"/>
        </w:rPr>
        <w:tab/>
      </w:r>
      <w:r w:rsidR="00162DAD" w:rsidRPr="00822092">
        <w:rPr>
          <w:rFonts w:ascii="Verdana" w:hAnsi="Verdana" w:cs="Arial"/>
          <w:bCs/>
          <w:color w:val="auto"/>
        </w:rPr>
        <w:t xml:space="preserve">The Commission welcomes </w:t>
      </w:r>
      <w:r w:rsidR="00BE0FDC">
        <w:rPr>
          <w:rFonts w:ascii="Verdana" w:hAnsi="Verdana" w:cs="Arial"/>
          <w:bCs/>
          <w:color w:val="auto"/>
        </w:rPr>
        <w:t>this</w:t>
      </w:r>
      <w:r w:rsidR="00E4217B">
        <w:rPr>
          <w:rFonts w:ascii="Verdana" w:hAnsi="Verdana" w:cs="Arial"/>
          <w:bCs/>
          <w:color w:val="auto"/>
        </w:rPr>
        <w:t xml:space="preserve">; it is </w:t>
      </w:r>
      <w:r w:rsidR="00162DAD" w:rsidRPr="00822092">
        <w:rPr>
          <w:rFonts w:ascii="Verdana" w:hAnsi="Verdana" w:cs="Arial"/>
          <w:bCs/>
          <w:color w:val="auto"/>
        </w:rPr>
        <w:t>consisten</w:t>
      </w:r>
      <w:r w:rsidR="00BE0FDC">
        <w:rPr>
          <w:rFonts w:ascii="Verdana" w:hAnsi="Verdana" w:cs="Arial"/>
          <w:bCs/>
          <w:color w:val="auto"/>
        </w:rPr>
        <w:t>t</w:t>
      </w:r>
      <w:r w:rsidR="00162DAD" w:rsidRPr="00822092">
        <w:rPr>
          <w:rFonts w:ascii="Verdana" w:hAnsi="Verdana" w:cs="Arial"/>
          <w:bCs/>
          <w:color w:val="auto"/>
        </w:rPr>
        <w:t xml:space="preserve"> with international human rights standards set out </w:t>
      </w:r>
      <w:r w:rsidR="00BE0FDC">
        <w:rPr>
          <w:rFonts w:ascii="Verdana" w:hAnsi="Verdana" w:cs="Arial"/>
          <w:bCs/>
          <w:color w:val="auto"/>
        </w:rPr>
        <w:t xml:space="preserve">above. </w:t>
      </w:r>
      <w:r w:rsidR="00E4217B">
        <w:rPr>
          <w:rFonts w:ascii="Verdana" w:hAnsi="Verdana" w:cs="Arial"/>
          <w:bCs/>
          <w:color w:val="auto"/>
        </w:rPr>
        <w:t>It</w:t>
      </w:r>
      <w:r w:rsidR="00DB7B9E">
        <w:rPr>
          <w:rFonts w:ascii="Verdana" w:hAnsi="Verdana" w:cs="Arial"/>
          <w:bCs/>
          <w:color w:val="auto"/>
        </w:rPr>
        <w:t xml:space="preserve"> is necessary to </w:t>
      </w:r>
      <w:r w:rsidR="00F170C6">
        <w:rPr>
          <w:rFonts w:ascii="Verdana" w:hAnsi="Verdana"/>
          <w:color w:val="auto"/>
          <w:shd w:val="clear" w:color="auto" w:fill="FFFFFF"/>
        </w:rPr>
        <w:t xml:space="preserve">reflect the </w:t>
      </w:r>
      <w:r w:rsidR="00F170C6" w:rsidRPr="00CB1694">
        <w:rPr>
          <w:rFonts w:ascii="Verdana" w:hAnsi="Verdana"/>
          <w:color w:val="auto"/>
          <w:shd w:val="clear" w:color="auto" w:fill="FFFFFF"/>
        </w:rPr>
        <w:t>social</w:t>
      </w:r>
      <w:r w:rsidR="00D91B0D">
        <w:rPr>
          <w:rFonts w:ascii="Verdana" w:hAnsi="Verdana"/>
          <w:color w:val="auto"/>
          <w:shd w:val="clear" w:color="auto" w:fill="FFFFFF"/>
        </w:rPr>
        <w:t xml:space="preserve"> </w:t>
      </w:r>
      <w:r w:rsidR="00F170C6" w:rsidRPr="00CB1694">
        <w:rPr>
          <w:rFonts w:ascii="Verdana" w:hAnsi="Verdana"/>
          <w:color w:val="auto"/>
          <w:shd w:val="clear" w:color="auto" w:fill="FFFFFF"/>
        </w:rPr>
        <w:t xml:space="preserve">diversification </w:t>
      </w:r>
      <w:r w:rsidR="00DB7B9E">
        <w:rPr>
          <w:rFonts w:ascii="Verdana" w:hAnsi="Verdana"/>
          <w:color w:val="auto"/>
          <w:shd w:val="clear" w:color="auto" w:fill="FFFFFF"/>
        </w:rPr>
        <w:t>in</w:t>
      </w:r>
      <w:r w:rsidR="00F170C6" w:rsidRPr="00CB1694">
        <w:rPr>
          <w:rFonts w:ascii="Verdana" w:hAnsi="Verdana"/>
          <w:color w:val="auto"/>
          <w:shd w:val="clear" w:color="auto" w:fill="FFFFFF"/>
        </w:rPr>
        <w:t xml:space="preserve"> contemporary society</w:t>
      </w:r>
      <w:r w:rsidR="00514057">
        <w:rPr>
          <w:rFonts w:ascii="Verdana" w:hAnsi="Verdana"/>
          <w:color w:val="auto"/>
          <w:shd w:val="clear" w:color="auto" w:fill="FFFFFF"/>
        </w:rPr>
        <w:t xml:space="preserve"> and </w:t>
      </w:r>
      <w:r w:rsidR="008370BF">
        <w:rPr>
          <w:rFonts w:ascii="Verdana" w:hAnsi="Verdana"/>
          <w:color w:val="auto"/>
          <w:shd w:val="clear" w:color="auto" w:fill="FFFFFF"/>
        </w:rPr>
        <w:t>provide</w:t>
      </w:r>
      <w:r w:rsidR="00CB7D8A" w:rsidRPr="00CB7D8A">
        <w:rPr>
          <w:rFonts w:ascii="Verdana" w:hAnsi="Verdana"/>
          <w:color w:val="auto"/>
          <w:shd w:val="clear" w:color="auto" w:fill="FFFFFF"/>
        </w:rPr>
        <w:t xml:space="preserve"> an environment in which all identities</w:t>
      </w:r>
      <w:r w:rsidR="00854536">
        <w:rPr>
          <w:rFonts w:ascii="Verdana" w:hAnsi="Verdana"/>
          <w:color w:val="auto"/>
          <w:shd w:val="clear" w:color="auto" w:fill="FFFFFF"/>
        </w:rPr>
        <w:t xml:space="preserve"> </w:t>
      </w:r>
      <w:r w:rsidR="00CB7D8A" w:rsidRPr="00CB7D8A">
        <w:rPr>
          <w:rFonts w:ascii="Verdana" w:hAnsi="Verdana"/>
          <w:color w:val="auto"/>
          <w:shd w:val="clear" w:color="auto" w:fill="FFFFFF"/>
        </w:rPr>
        <w:t xml:space="preserve">are </w:t>
      </w:r>
      <w:r w:rsidR="003C1AD8">
        <w:rPr>
          <w:rFonts w:ascii="Verdana" w:hAnsi="Verdana"/>
          <w:color w:val="auto"/>
          <w:shd w:val="clear" w:color="auto" w:fill="FFFFFF"/>
        </w:rPr>
        <w:t>supported</w:t>
      </w:r>
      <w:r w:rsidR="00DB7B9E">
        <w:rPr>
          <w:rFonts w:ascii="Verdana" w:hAnsi="Verdana"/>
          <w:color w:val="auto"/>
          <w:shd w:val="clear" w:color="auto" w:fill="FFFFFF"/>
        </w:rPr>
        <w:t xml:space="preserve"> equally</w:t>
      </w:r>
      <w:r w:rsidR="00854536">
        <w:rPr>
          <w:rFonts w:ascii="Verdana" w:hAnsi="Verdana"/>
          <w:color w:val="auto"/>
          <w:shd w:val="clear" w:color="auto" w:fill="FFFFFF"/>
        </w:rPr>
        <w:t xml:space="preserve">. </w:t>
      </w:r>
    </w:p>
    <w:p w14:paraId="3F91D0C9" w14:textId="77777777" w:rsidR="00162DAD" w:rsidRDefault="00162DAD" w:rsidP="007E690F">
      <w:pPr>
        <w:pStyle w:val="BasicParagraph"/>
        <w:suppressAutoHyphens/>
        <w:rPr>
          <w:rFonts w:ascii="Verdana" w:hAnsi="Verdana" w:cs="Arial"/>
          <w:bCs/>
          <w:color w:val="auto"/>
        </w:rPr>
      </w:pPr>
    </w:p>
    <w:p w14:paraId="6ED4D8B2" w14:textId="3880B4FB" w:rsidR="007E690F" w:rsidRPr="00822092" w:rsidRDefault="00162DAD" w:rsidP="007E690F">
      <w:pPr>
        <w:pStyle w:val="BasicParagraph"/>
        <w:suppressAutoHyphens/>
        <w:rPr>
          <w:rFonts w:ascii="Verdana" w:hAnsi="Verdana" w:cs="Arial"/>
          <w:bCs/>
          <w:color w:val="auto"/>
        </w:rPr>
      </w:pPr>
      <w:r>
        <w:rPr>
          <w:rFonts w:ascii="Verdana" w:hAnsi="Verdana" w:cs="Arial"/>
          <w:bCs/>
          <w:color w:val="auto"/>
        </w:rPr>
        <w:t>3.3.</w:t>
      </w:r>
      <w:r>
        <w:rPr>
          <w:rFonts w:ascii="Verdana" w:hAnsi="Verdana" w:cs="Arial"/>
          <w:bCs/>
          <w:color w:val="auto"/>
        </w:rPr>
        <w:tab/>
      </w:r>
      <w:r w:rsidR="007E690F" w:rsidRPr="00822092">
        <w:rPr>
          <w:rFonts w:ascii="Verdana" w:hAnsi="Verdana" w:cs="Arial"/>
          <w:bCs/>
          <w:color w:val="auto"/>
        </w:rPr>
        <w:t xml:space="preserve">Clause 2 </w:t>
      </w:r>
      <w:r w:rsidR="00E4217B">
        <w:rPr>
          <w:rFonts w:ascii="Verdana" w:hAnsi="Verdana" w:cs="Arial"/>
          <w:bCs/>
          <w:color w:val="auto"/>
        </w:rPr>
        <w:t>defines</w:t>
      </w:r>
      <w:r w:rsidR="00E4217B" w:rsidRPr="00822092">
        <w:rPr>
          <w:rFonts w:ascii="Verdana" w:hAnsi="Verdana" w:cs="Arial"/>
          <w:bCs/>
          <w:color w:val="auto"/>
        </w:rPr>
        <w:t xml:space="preserve"> </w:t>
      </w:r>
      <w:r w:rsidR="007E690F" w:rsidRPr="00822092">
        <w:rPr>
          <w:rFonts w:ascii="Verdana" w:hAnsi="Verdana" w:cs="Arial"/>
          <w:bCs/>
          <w:color w:val="auto"/>
        </w:rPr>
        <w:t xml:space="preserve">the purpose of </w:t>
      </w:r>
      <w:r w:rsidR="00F06679">
        <w:rPr>
          <w:rFonts w:ascii="Verdana" w:hAnsi="Verdana" w:cs="Arial"/>
          <w:bCs/>
          <w:color w:val="auto"/>
        </w:rPr>
        <w:t xml:space="preserve">integrated </w:t>
      </w:r>
      <w:r w:rsidR="007E690F" w:rsidRPr="00822092">
        <w:rPr>
          <w:rFonts w:ascii="Verdana" w:hAnsi="Verdana" w:cs="Arial"/>
          <w:bCs/>
          <w:color w:val="auto"/>
        </w:rPr>
        <w:t>education</w:t>
      </w:r>
      <w:r w:rsidR="00E4217B">
        <w:rPr>
          <w:rFonts w:ascii="Verdana" w:hAnsi="Verdana" w:cs="Arial"/>
          <w:bCs/>
          <w:color w:val="auto"/>
        </w:rPr>
        <w:t xml:space="preserve"> </w:t>
      </w:r>
      <w:r w:rsidR="007E690F" w:rsidRPr="00822092">
        <w:rPr>
          <w:rFonts w:ascii="Verdana" w:hAnsi="Verdana" w:cs="Arial"/>
          <w:bCs/>
          <w:color w:val="auto"/>
        </w:rPr>
        <w:t>as</w:t>
      </w:r>
      <w:r w:rsidR="00E4217B">
        <w:rPr>
          <w:rFonts w:ascii="Verdana" w:hAnsi="Verdana" w:cs="Arial"/>
          <w:bCs/>
          <w:color w:val="auto"/>
        </w:rPr>
        <w:t>:</w:t>
      </w:r>
      <w:r w:rsidR="007E690F" w:rsidRPr="00822092">
        <w:rPr>
          <w:rFonts w:ascii="Verdana" w:hAnsi="Verdana" w:cs="Arial"/>
          <w:bCs/>
          <w:color w:val="auto"/>
        </w:rPr>
        <w:t xml:space="preserve"> </w:t>
      </w:r>
    </w:p>
    <w:p w14:paraId="768A2503" w14:textId="77777777" w:rsidR="007E690F" w:rsidRPr="00822092" w:rsidRDefault="007E690F" w:rsidP="007E690F">
      <w:pPr>
        <w:pStyle w:val="BasicParagraph"/>
        <w:suppressAutoHyphens/>
        <w:rPr>
          <w:rFonts w:ascii="Verdana" w:hAnsi="Verdana" w:cs="Arial"/>
          <w:bCs/>
          <w:color w:val="auto"/>
        </w:rPr>
      </w:pPr>
    </w:p>
    <w:p w14:paraId="2CBAEA23" w14:textId="77777777" w:rsidR="007E690F" w:rsidRPr="00822092" w:rsidRDefault="007E690F" w:rsidP="007E690F">
      <w:pPr>
        <w:pStyle w:val="BasicParagraph"/>
        <w:suppressAutoHyphens/>
        <w:ind w:left="1440"/>
        <w:rPr>
          <w:rFonts w:ascii="Verdana" w:hAnsi="Verdana"/>
          <w:color w:val="auto"/>
        </w:rPr>
      </w:pPr>
      <w:r w:rsidRPr="00822092">
        <w:rPr>
          <w:rFonts w:ascii="Verdana" w:hAnsi="Verdana"/>
          <w:color w:val="auto"/>
        </w:rPr>
        <w:t xml:space="preserve">(a) to deliver educational benefits to children and young persons; </w:t>
      </w:r>
    </w:p>
    <w:p w14:paraId="19B518E8" w14:textId="77777777" w:rsidR="007E690F" w:rsidRPr="00822092" w:rsidRDefault="007E690F" w:rsidP="007E690F">
      <w:pPr>
        <w:pStyle w:val="BasicParagraph"/>
        <w:suppressAutoHyphens/>
        <w:ind w:left="1440"/>
        <w:rPr>
          <w:rFonts w:ascii="Verdana" w:hAnsi="Verdana"/>
          <w:color w:val="auto"/>
        </w:rPr>
      </w:pPr>
      <w:r w:rsidRPr="00822092">
        <w:rPr>
          <w:rFonts w:ascii="Verdana" w:hAnsi="Verdana"/>
          <w:color w:val="auto"/>
        </w:rPr>
        <w:t xml:space="preserve">(b) to promote the efficient and effective use of resources; </w:t>
      </w:r>
    </w:p>
    <w:p w14:paraId="53894E1A" w14:textId="77777777" w:rsidR="007E690F" w:rsidRPr="00822092" w:rsidRDefault="007E690F" w:rsidP="007E690F">
      <w:pPr>
        <w:pStyle w:val="BasicParagraph"/>
        <w:suppressAutoHyphens/>
        <w:ind w:left="1440"/>
        <w:rPr>
          <w:rFonts w:ascii="Verdana" w:hAnsi="Verdana"/>
          <w:color w:val="auto"/>
        </w:rPr>
      </w:pPr>
      <w:r w:rsidRPr="00822092">
        <w:rPr>
          <w:rFonts w:ascii="Verdana" w:hAnsi="Verdana"/>
          <w:color w:val="auto"/>
        </w:rPr>
        <w:t xml:space="preserve">(c) to promote equality of opportunity; </w:t>
      </w:r>
    </w:p>
    <w:p w14:paraId="558622C5" w14:textId="77777777" w:rsidR="007E690F" w:rsidRPr="00822092" w:rsidRDefault="007E690F" w:rsidP="007E690F">
      <w:pPr>
        <w:pStyle w:val="BasicParagraph"/>
        <w:suppressAutoHyphens/>
        <w:ind w:left="1440"/>
        <w:rPr>
          <w:rFonts w:ascii="Verdana" w:hAnsi="Verdana"/>
          <w:color w:val="auto"/>
        </w:rPr>
      </w:pPr>
      <w:r w:rsidRPr="00822092">
        <w:rPr>
          <w:rFonts w:ascii="Verdana" w:hAnsi="Verdana"/>
          <w:color w:val="auto"/>
        </w:rPr>
        <w:t xml:space="preserve">(d) to promote good relations; and </w:t>
      </w:r>
    </w:p>
    <w:p w14:paraId="2D81F34B" w14:textId="6AA450BE" w:rsidR="00CF5CDB" w:rsidRPr="00822092" w:rsidRDefault="007E690F" w:rsidP="007E690F">
      <w:pPr>
        <w:pStyle w:val="BasicParagraph"/>
        <w:suppressAutoHyphens/>
        <w:ind w:left="1440"/>
        <w:rPr>
          <w:rFonts w:ascii="Verdana" w:hAnsi="Verdana" w:cs="Arial"/>
          <w:bCs/>
          <w:color w:val="auto"/>
        </w:rPr>
      </w:pPr>
      <w:r w:rsidRPr="00822092">
        <w:rPr>
          <w:rFonts w:ascii="Verdana" w:hAnsi="Verdana"/>
          <w:color w:val="auto"/>
        </w:rPr>
        <w:t>(e) to promote respect for identity, diversity and community cohesion.</w:t>
      </w:r>
    </w:p>
    <w:p w14:paraId="6377C469" w14:textId="77777777" w:rsidR="00162DAD" w:rsidRDefault="00162DAD" w:rsidP="00162DAD">
      <w:pPr>
        <w:pStyle w:val="BasicParagraph"/>
        <w:suppressAutoHyphens/>
        <w:rPr>
          <w:rFonts w:ascii="Verdana" w:hAnsi="Verdana" w:cs="Arial"/>
          <w:bCs/>
          <w:color w:val="auto"/>
        </w:rPr>
      </w:pPr>
    </w:p>
    <w:p w14:paraId="547FF751" w14:textId="34D67F8E" w:rsidR="00162DAD" w:rsidRPr="00822092" w:rsidRDefault="00162DAD">
      <w:pPr>
        <w:pStyle w:val="BasicParagraph"/>
        <w:suppressAutoHyphens/>
        <w:ind w:left="720" w:hanging="720"/>
        <w:rPr>
          <w:rFonts w:ascii="Verdana" w:hAnsi="Verdana" w:cs="Arial"/>
          <w:bCs/>
          <w:color w:val="auto"/>
        </w:rPr>
      </w:pPr>
      <w:r>
        <w:rPr>
          <w:rFonts w:ascii="Verdana" w:hAnsi="Verdana" w:cs="Arial"/>
          <w:bCs/>
          <w:color w:val="auto"/>
        </w:rPr>
        <w:t>3.4</w:t>
      </w:r>
      <w:r>
        <w:rPr>
          <w:rFonts w:ascii="Verdana" w:hAnsi="Verdana" w:cs="Arial"/>
          <w:bCs/>
          <w:color w:val="auto"/>
        </w:rPr>
        <w:tab/>
      </w:r>
      <w:r w:rsidRPr="00252E18">
        <w:rPr>
          <w:rFonts w:ascii="Verdana" w:hAnsi="Verdana" w:cs="Arial"/>
          <w:bCs/>
          <w:color w:val="auto"/>
        </w:rPr>
        <w:t xml:space="preserve">The </w:t>
      </w:r>
      <w:r>
        <w:rPr>
          <w:rFonts w:ascii="Verdana" w:hAnsi="Verdana" w:cs="Arial"/>
          <w:bCs/>
          <w:color w:val="auto"/>
        </w:rPr>
        <w:t xml:space="preserve">Commission welcomes Clause 2 </w:t>
      </w:r>
      <w:r w:rsidR="00E4217B">
        <w:rPr>
          <w:rFonts w:ascii="Verdana" w:hAnsi="Verdana" w:cs="Arial"/>
          <w:bCs/>
          <w:color w:val="auto"/>
        </w:rPr>
        <w:t xml:space="preserve">which incorporates expressly the </w:t>
      </w:r>
      <w:r w:rsidRPr="00252E18">
        <w:rPr>
          <w:rFonts w:ascii="Verdana" w:hAnsi="Verdana" w:cs="Arial"/>
          <w:bCs/>
          <w:color w:val="auto"/>
        </w:rPr>
        <w:t xml:space="preserve">equality and good relations duties </w:t>
      </w:r>
      <w:r w:rsidR="00E4217B">
        <w:rPr>
          <w:rFonts w:ascii="Verdana" w:hAnsi="Verdana" w:cs="Arial"/>
          <w:bCs/>
          <w:color w:val="auto"/>
        </w:rPr>
        <w:t xml:space="preserve">into </w:t>
      </w:r>
      <w:r w:rsidR="001A3C5B">
        <w:rPr>
          <w:rFonts w:ascii="Verdana" w:hAnsi="Verdana" w:cs="Arial"/>
          <w:bCs/>
          <w:color w:val="auto"/>
        </w:rPr>
        <w:t xml:space="preserve">integrated </w:t>
      </w:r>
      <w:r w:rsidR="00E4217B">
        <w:rPr>
          <w:rFonts w:ascii="Verdana" w:hAnsi="Verdana" w:cs="Arial"/>
          <w:bCs/>
          <w:color w:val="auto"/>
        </w:rPr>
        <w:t>education</w:t>
      </w:r>
      <w:r w:rsidR="00C030FA">
        <w:rPr>
          <w:rFonts w:ascii="Verdana" w:hAnsi="Verdana" w:cs="Arial"/>
          <w:bCs/>
          <w:color w:val="auto"/>
        </w:rPr>
        <w:t xml:space="preserve">, including for </w:t>
      </w:r>
      <w:r w:rsidR="00E4217B">
        <w:rPr>
          <w:rFonts w:ascii="Verdana" w:hAnsi="Verdana" w:cs="Arial"/>
          <w:bCs/>
          <w:color w:val="auto"/>
        </w:rPr>
        <w:t>schools.</w:t>
      </w:r>
      <w:r w:rsidR="00294321">
        <w:rPr>
          <w:rFonts w:ascii="Verdana" w:hAnsi="Verdana" w:cs="Arial"/>
          <w:bCs/>
          <w:color w:val="auto"/>
        </w:rPr>
        <w:t xml:space="preserve"> </w:t>
      </w:r>
      <w:r w:rsidR="00E4217B">
        <w:rPr>
          <w:rFonts w:ascii="Verdana" w:hAnsi="Verdana" w:cs="Arial"/>
          <w:bCs/>
          <w:color w:val="auto"/>
        </w:rPr>
        <w:t xml:space="preserve">Note, schools in Northern Ireland </w:t>
      </w:r>
      <w:r w:rsidRPr="008F7239">
        <w:rPr>
          <w:rFonts w:ascii="Verdana" w:hAnsi="Verdana" w:cs="Arial"/>
          <w:bCs/>
          <w:color w:val="auto"/>
        </w:rPr>
        <w:t>are not designated as public authorities for the purpose of the good relations duty in Section 75 of the Northern Ireland Act</w:t>
      </w:r>
      <w:r w:rsidR="00E4217B">
        <w:rPr>
          <w:rFonts w:ascii="Verdana" w:hAnsi="Verdana" w:cs="Arial"/>
          <w:bCs/>
          <w:color w:val="auto"/>
        </w:rPr>
        <w:t xml:space="preserve">. In </w:t>
      </w:r>
      <w:r w:rsidRPr="008F7239">
        <w:rPr>
          <w:rFonts w:ascii="Verdana" w:hAnsi="Verdana" w:cs="Arial"/>
          <w:bCs/>
          <w:color w:val="auto"/>
        </w:rPr>
        <w:t>England and Wales</w:t>
      </w:r>
      <w:r w:rsidR="00E4217B">
        <w:rPr>
          <w:rFonts w:ascii="Verdana" w:hAnsi="Verdana" w:cs="Arial"/>
          <w:bCs/>
          <w:color w:val="auto"/>
        </w:rPr>
        <w:t xml:space="preserve"> however</w:t>
      </w:r>
      <w:r w:rsidRPr="008F7239">
        <w:rPr>
          <w:rFonts w:ascii="Verdana" w:hAnsi="Verdana" w:cs="Arial"/>
          <w:bCs/>
          <w:color w:val="auto"/>
        </w:rPr>
        <w:t xml:space="preserve"> the Equality Act 2010 </w:t>
      </w:r>
      <w:r w:rsidR="007E6F81">
        <w:rPr>
          <w:rFonts w:ascii="Verdana" w:hAnsi="Verdana" w:cs="Arial"/>
          <w:bCs/>
          <w:color w:val="auto"/>
        </w:rPr>
        <w:t xml:space="preserve">makes it clear that </w:t>
      </w:r>
      <w:r w:rsidRPr="008F7239">
        <w:rPr>
          <w:rFonts w:ascii="Verdana" w:hAnsi="Verdana" w:cs="Arial"/>
          <w:bCs/>
          <w:color w:val="auto"/>
        </w:rPr>
        <w:t>the public authority duty is</w:t>
      </w:r>
      <w:r>
        <w:rPr>
          <w:rFonts w:ascii="Verdana" w:hAnsi="Verdana" w:cs="Arial"/>
          <w:bCs/>
          <w:color w:val="auto"/>
        </w:rPr>
        <w:t xml:space="preserve"> </w:t>
      </w:r>
      <w:r w:rsidRPr="008F7239">
        <w:rPr>
          <w:rFonts w:ascii="Verdana" w:hAnsi="Verdana" w:cs="Arial"/>
          <w:bCs/>
          <w:color w:val="auto"/>
        </w:rPr>
        <w:t xml:space="preserve">applicable to </w:t>
      </w:r>
      <w:r w:rsidR="00D52E50">
        <w:rPr>
          <w:rFonts w:ascii="Verdana" w:hAnsi="Verdana" w:cs="Arial"/>
          <w:bCs/>
          <w:color w:val="auto"/>
        </w:rPr>
        <w:t>those educational bodies listed</w:t>
      </w:r>
      <w:r w:rsidRPr="008F7239">
        <w:rPr>
          <w:rFonts w:ascii="Verdana" w:hAnsi="Verdana" w:cs="Arial"/>
          <w:bCs/>
          <w:color w:val="auto"/>
        </w:rPr>
        <w:t xml:space="preserve"> in Schedule 19</w:t>
      </w:r>
      <w:r w:rsidR="007E6F81">
        <w:rPr>
          <w:rFonts w:ascii="Verdana" w:hAnsi="Verdana" w:cs="Arial"/>
          <w:bCs/>
          <w:color w:val="auto"/>
        </w:rPr>
        <w:t xml:space="preserve"> to the 2010 Act</w:t>
      </w:r>
      <w:r w:rsidRPr="008F7239">
        <w:rPr>
          <w:rFonts w:ascii="Verdana" w:hAnsi="Verdana" w:cs="Arial"/>
          <w:bCs/>
          <w:color w:val="auto"/>
        </w:rPr>
        <w:t>.</w:t>
      </w:r>
      <w:r w:rsidR="003D567E">
        <w:rPr>
          <w:rStyle w:val="FootnoteReference"/>
          <w:rFonts w:ascii="Verdana" w:hAnsi="Verdana" w:cs="Arial"/>
          <w:bCs/>
          <w:color w:val="auto"/>
        </w:rPr>
        <w:footnoteReference w:id="21"/>
      </w:r>
      <w:r w:rsidR="00DA6160">
        <w:rPr>
          <w:rFonts w:ascii="Verdana" w:hAnsi="Verdana" w:cs="Arial"/>
          <w:bCs/>
          <w:color w:val="auto"/>
        </w:rPr>
        <w:t xml:space="preserve"> </w:t>
      </w:r>
      <w:r w:rsidR="007445AE">
        <w:rPr>
          <w:rFonts w:ascii="Verdana" w:hAnsi="Verdana" w:cs="Arial"/>
          <w:bCs/>
          <w:color w:val="auto"/>
        </w:rPr>
        <w:t xml:space="preserve">As Clause 2 </w:t>
      </w:r>
      <w:r w:rsidR="00A16A6E">
        <w:rPr>
          <w:rFonts w:ascii="Verdana" w:hAnsi="Verdana" w:cs="Arial"/>
          <w:bCs/>
          <w:color w:val="auto"/>
        </w:rPr>
        <w:t xml:space="preserve">of the Bill </w:t>
      </w:r>
      <w:r w:rsidR="007445AE">
        <w:rPr>
          <w:rFonts w:ascii="Verdana" w:hAnsi="Verdana" w:cs="Arial"/>
          <w:bCs/>
          <w:color w:val="auto"/>
        </w:rPr>
        <w:t>relates to integrated education only, t</w:t>
      </w:r>
      <w:r w:rsidR="006C4720">
        <w:rPr>
          <w:rFonts w:ascii="Verdana" w:hAnsi="Verdana" w:cs="Arial"/>
          <w:bCs/>
          <w:color w:val="auto"/>
        </w:rPr>
        <w:t xml:space="preserve">he </w:t>
      </w:r>
      <w:r w:rsidR="00A16A6E">
        <w:rPr>
          <w:rFonts w:ascii="Verdana" w:hAnsi="Verdana" w:cs="Arial"/>
          <w:bCs/>
          <w:color w:val="auto"/>
        </w:rPr>
        <w:t xml:space="preserve">Commission reminds the </w:t>
      </w:r>
      <w:r w:rsidR="00A16A6E">
        <w:rPr>
          <w:rFonts w:ascii="Verdana" w:hAnsi="Verdana" w:cs="Arial"/>
          <w:bCs/>
          <w:color w:val="auto"/>
        </w:rPr>
        <w:lastRenderedPageBreak/>
        <w:t xml:space="preserve">Committee of its previous recommendation that </w:t>
      </w:r>
      <w:r w:rsidR="00BF4B89">
        <w:rPr>
          <w:rFonts w:ascii="Verdana" w:hAnsi="Verdana" w:cs="Arial"/>
          <w:bCs/>
          <w:color w:val="auto"/>
        </w:rPr>
        <w:t xml:space="preserve">all </w:t>
      </w:r>
      <w:r w:rsidR="00A16A6E">
        <w:rPr>
          <w:rFonts w:ascii="Verdana" w:hAnsi="Verdana" w:cs="Arial"/>
          <w:bCs/>
          <w:color w:val="auto"/>
        </w:rPr>
        <w:t>schools should be included</w:t>
      </w:r>
      <w:r w:rsidR="00A16A6E" w:rsidRPr="00252E18">
        <w:rPr>
          <w:rFonts w:ascii="Verdana" w:hAnsi="Verdana" w:cs="Arial"/>
          <w:bCs/>
          <w:color w:val="auto"/>
        </w:rPr>
        <w:t xml:space="preserve"> </w:t>
      </w:r>
      <w:r w:rsidR="00A16A6E">
        <w:rPr>
          <w:rFonts w:ascii="Verdana" w:hAnsi="Verdana" w:cs="Arial"/>
          <w:bCs/>
          <w:color w:val="auto"/>
        </w:rPr>
        <w:t xml:space="preserve">in </w:t>
      </w:r>
      <w:r w:rsidR="00A16A6E" w:rsidRPr="00252E18">
        <w:rPr>
          <w:rFonts w:ascii="Verdana" w:hAnsi="Verdana" w:cs="Arial"/>
          <w:bCs/>
          <w:color w:val="auto"/>
        </w:rPr>
        <w:t>Section 75 of the Northern Ireland Act.</w:t>
      </w:r>
      <w:r w:rsidR="00A16A6E">
        <w:rPr>
          <w:rStyle w:val="FootnoteReference"/>
          <w:rFonts w:ascii="Verdana" w:hAnsi="Verdana" w:cs="Arial"/>
          <w:bCs/>
          <w:color w:val="auto"/>
        </w:rPr>
        <w:footnoteReference w:id="22"/>
      </w:r>
      <w:r w:rsidR="00A16A6E">
        <w:rPr>
          <w:rFonts w:ascii="Verdana" w:hAnsi="Verdana" w:cs="Arial"/>
          <w:bCs/>
          <w:color w:val="auto"/>
        </w:rPr>
        <w:t xml:space="preserve"> </w:t>
      </w:r>
    </w:p>
    <w:p w14:paraId="45DF4141" w14:textId="4F11BF32" w:rsidR="00834C2C" w:rsidRPr="00822092" w:rsidRDefault="00834C2C" w:rsidP="007E690F">
      <w:pPr>
        <w:pStyle w:val="BasicParagraph"/>
        <w:suppressAutoHyphens/>
        <w:rPr>
          <w:rFonts w:ascii="Verdana" w:hAnsi="Verdana" w:cs="Arial"/>
          <w:bCs/>
          <w:color w:val="auto"/>
        </w:rPr>
      </w:pPr>
    </w:p>
    <w:p w14:paraId="047E8B38" w14:textId="72A070D8" w:rsidR="007E690F" w:rsidRPr="00822092" w:rsidRDefault="007E690F" w:rsidP="007E690F">
      <w:pPr>
        <w:pStyle w:val="BasicParagraph"/>
        <w:suppressAutoHyphens/>
        <w:ind w:left="720" w:hanging="720"/>
        <w:rPr>
          <w:rFonts w:ascii="Verdana" w:hAnsi="Verdana" w:cs="Arial"/>
          <w:bCs/>
          <w:color w:val="auto"/>
        </w:rPr>
      </w:pPr>
      <w:r w:rsidRPr="00822092">
        <w:rPr>
          <w:rFonts w:ascii="Verdana" w:hAnsi="Verdana" w:cs="Arial"/>
          <w:bCs/>
          <w:color w:val="auto"/>
        </w:rPr>
        <w:t>3.</w:t>
      </w:r>
      <w:r w:rsidR="00162DAD">
        <w:rPr>
          <w:rFonts w:ascii="Verdana" w:hAnsi="Verdana" w:cs="Arial"/>
          <w:bCs/>
          <w:color w:val="auto"/>
        </w:rPr>
        <w:t>5</w:t>
      </w:r>
      <w:r w:rsidRPr="00822092">
        <w:rPr>
          <w:rFonts w:ascii="Verdana" w:hAnsi="Verdana" w:cs="Arial"/>
          <w:bCs/>
          <w:color w:val="auto"/>
        </w:rPr>
        <w:tab/>
        <w:t xml:space="preserve">Clause 1(2) </w:t>
      </w:r>
      <w:r w:rsidR="00C030FA">
        <w:rPr>
          <w:rFonts w:ascii="Verdana" w:hAnsi="Verdana" w:cs="Arial"/>
          <w:bCs/>
          <w:color w:val="auto"/>
        </w:rPr>
        <w:t xml:space="preserve">of the Bill </w:t>
      </w:r>
      <w:r w:rsidRPr="00822092">
        <w:rPr>
          <w:rFonts w:ascii="Verdana" w:hAnsi="Verdana" w:cs="Arial"/>
          <w:bCs/>
          <w:color w:val="auto"/>
        </w:rPr>
        <w:t xml:space="preserve">defines an integrated school as - </w:t>
      </w:r>
    </w:p>
    <w:p w14:paraId="05AFA7FC" w14:textId="77777777" w:rsidR="007E690F" w:rsidRPr="00822092" w:rsidRDefault="007E690F" w:rsidP="007E690F">
      <w:pPr>
        <w:pStyle w:val="BasicParagraph"/>
        <w:suppressAutoHyphens/>
        <w:rPr>
          <w:rFonts w:ascii="Verdana" w:hAnsi="Verdana" w:cs="Arial"/>
          <w:bCs/>
          <w:color w:val="auto"/>
        </w:rPr>
      </w:pPr>
    </w:p>
    <w:p w14:paraId="3ECC2157" w14:textId="77777777" w:rsidR="007E690F" w:rsidRPr="00822092" w:rsidRDefault="007E690F" w:rsidP="007E690F">
      <w:pPr>
        <w:pStyle w:val="BasicParagraph"/>
        <w:suppressAutoHyphens/>
        <w:ind w:left="1440"/>
        <w:rPr>
          <w:rFonts w:ascii="Verdana" w:hAnsi="Verdana" w:cs="Arial"/>
          <w:bCs/>
          <w:color w:val="auto"/>
        </w:rPr>
      </w:pPr>
      <w:r w:rsidRPr="00822092">
        <w:rPr>
          <w:rFonts w:ascii="Verdana" w:hAnsi="Verdana" w:cs="Arial"/>
          <w:bCs/>
          <w:color w:val="auto"/>
        </w:rPr>
        <w:t>"a school which intentionally promotes, protects and improves an ethos of diversity, respect and understanding between those of different cultures and religious beliefs and of none, between those of different socio-economic backgrounds and between those of different abilities."</w:t>
      </w:r>
    </w:p>
    <w:p w14:paraId="4857EE1A" w14:textId="475CFA98" w:rsidR="00D334EB" w:rsidRPr="00822092" w:rsidRDefault="00D334EB" w:rsidP="00834C2C">
      <w:pPr>
        <w:pStyle w:val="BasicParagraph"/>
        <w:suppressAutoHyphens/>
        <w:rPr>
          <w:rFonts w:ascii="Verdana" w:hAnsi="Verdana" w:cs="Arial"/>
          <w:bCs/>
          <w:color w:val="auto"/>
        </w:rPr>
      </w:pPr>
    </w:p>
    <w:p w14:paraId="550679A7" w14:textId="064A1768" w:rsidR="00D334EB" w:rsidRPr="00822092" w:rsidRDefault="00D334EB" w:rsidP="00F90D06">
      <w:pPr>
        <w:pStyle w:val="BasicParagraph"/>
        <w:suppressAutoHyphens/>
        <w:ind w:left="720" w:hanging="720"/>
        <w:rPr>
          <w:rFonts w:ascii="Verdana" w:hAnsi="Verdana" w:cs="Arial"/>
          <w:bCs/>
          <w:color w:val="auto"/>
        </w:rPr>
      </w:pPr>
      <w:r w:rsidRPr="00822092">
        <w:rPr>
          <w:rFonts w:ascii="Verdana" w:hAnsi="Verdana" w:cs="Arial"/>
          <w:bCs/>
          <w:color w:val="auto"/>
        </w:rPr>
        <w:t>3.</w:t>
      </w:r>
      <w:r w:rsidR="00162DAD">
        <w:rPr>
          <w:rFonts w:ascii="Verdana" w:hAnsi="Verdana" w:cs="Arial"/>
          <w:bCs/>
          <w:color w:val="auto"/>
        </w:rPr>
        <w:t>6</w:t>
      </w:r>
      <w:r w:rsidRPr="00822092">
        <w:rPr>
          <w:rFonts w:ascii="Verdana" w:hAnsi="Verdana" w:cs="Arial"/>
          <w:bCs/>
          <w:color w:val="auto"/>
        </w:rPr>
        <w:tab/>
      </w:r>
      <w:r w:rsidR="00963BA4" w:rsidRPr="00822092">
        <w:rPr>
          <w:rFonts w:ascii="Verdana" w:hAnsi="Verdana" w:cs="Arial"/>
          <w:bCs/>
          <w:color w:val="auto"/>
        </w:rPr>
        <w:t xml:space="preserve">Human rights law is not prescriptive about how </w:t>
      </w:r>
      <w:r w:rsidR="009139D1" w:rsidRPr="00822092">
        <w:rPr>
          <w:rFonts w:ascii="Verdana" w:hAnsi="Verdana" w:cs="Arial"/>
          <w:bCs/>
          <w:color w:val="auto"/>
        </w:rPr>
        <w:t xml:space="preserve">this </w:t>
      </w:r>
      <w:r w:rsidR="00963BA4" w:rsidRPr="00822092">
        <w:rPr>
          <w:rFonts w:ascii="Verdana" w:hAnsi="Verdana" w:cs="Arial"/>
          <w:bCs/>
          <w:color w:val="auto"/>
        </w:rPr>
        <w:t>should be delivered</w:t>
      </w:r>
      <w:r w:rsidR="00B80517" w:rsidRPr="00822092">
        <w:rPr>
          <w:rFonts w:ascii="Verdana" w:hAnsi="Verdana" w:cs="Arial"/>
          <w:bCs/>
          <w:color w:val="auto"/>
        </w:rPr>
        <w:t xml:space="preserve">, rather </w:t>
      </w:r>
      <w:r w:rsidR="00AB34FA" w:rsidRPr="00822092">
        <w:rPr>
          <w:rFonts w:ascii="Verdana" w:hAnsi="Verdana" w:cs="Arial"/>
          <w:bCs/>
          <w:color w:val="auto"/>
        </w:rPr>
        <w:t xml:space="preserve">focussing on outcomes. However, </w:t>
      </w:r>
      <w:r w:rsidR="00F90D06" w:rsidRPr="00822092">
        <w:rPr>
          <w:rFonts w:ascii="Verdana" w:hAnsi="Verdana" w:cs="Arial"/>
          <w:bCs/>
          <w:color w:val="auto"/>
        </w:rPr>
        <w:t>in respect of inclusive education, t</w:t>
      </w:r>
      <w:r w:rsidR="00EC4E25" w:rsidRPr="00822092">
        <w:rPr>
          <w:rFonts w:ascii="Verdana" w:hAnsi="Verdana" w:cs="Arial"/>
          <w:bCs/>
          <w:color w:val="auto"/>
        </w:rPr>
        <w:t>he U</w:t>
      </w:r>
      <w:r w:rsidRPr="00822092">
        <w:rPr>
          <w:rFonts w:ascii="Verdana" w:hAnsi="Verdana" w:cs="Arial"/>
          <w:bCs/>
          <w:color w:val="auto"/>
        </w:rPr>
        <w:t xml:space="preserve">NCRPD Committee highlights that </w:t>
      </w:r>
      <w:r w:rsidR="0015273D">
        <w:rPr>
          <w:rFonts w:ascii="Verdana" w:hAnsi="Verdana" w:cs="Arial"/>
          <w:bCs/>
          <w:color w:val="auto"/>
        </w:rPr>
        <w:t>“</w:t>
      </w:r>
      <w:r w:rsidRPr="00822092">
        <w:rPr>
          <w:rFonts w:ascii="Verdana" w:hAnsi="Verdana" w:cs="Arial"/>
          <w:bCs/>
          <w:color w:val="auto"/>
        </w:rPr>
        <w:t>the right to education is a matter of access as well as content</w:t>
      </w:r>
      <w:r w:rsidR="0015273D">
        <w:rPr>
          <w:rFonts w:ascii="Verdana" w:hAnsi="Verdana" w:cs="Arial"/>
          <w:bCs/>
          <w:color w:val="auto"/>
        </w:rPr>
        <w:t>”</w:t>
      </w:r>
      <w:r w:rsidRPr="00822092">
        <w:rPr>
          <w:rFonts w:ascii="Verdana" w:hAnsi="Verdana" w:cs="Arial"/>
          <w:bCs/>
          <w:color w:val="auto"/>
        </w:rPr>
        <w:t xml:space="preserve"> and should be directed to a wide range of values, including understanding and tolerance. It </w:t>
      </w:r>
      <w:r w:rsidR="0015273D">
        <w:rPr>
          <w:rFonts w:ascii="Verdana" w:hAnsi="Verdana" w:cs="Arial"/>
          <w:bCs/>
          <w:color w:val="auto"/>
        </w:rPr>
        <w:t xml:space="preserve">further </w:t>
      </w:r>
      <w:r w:rsidR="00CB4C4B" w:rsidRPr="00822092">
        <w:rPr>
          <w:rFonts w:ascii="Verdana" w:hAnsi="Verdana" w:cs="Arial"/>
          <w:bCs/>
          <w:color w:val="auto"/>
        </w:rPr>
        <w:t xml:space="preserve">advises </w:t>
      </w:r>
      <w:r w:rsidR="0015273D">
        <w:rPr>
          <w:rFonts w:ascii="Verdana" w:hAnsi="Verdana" w:cs="Arial"/>
          <w:bCs/>
          <w:color w:val="auto"/>
        </w:rPr>
        <w:t xml:space="preserve">that </w:t>
      </w:r>
      <w:r w:rsidR="00CB4C4B" w:rsidRPr="00822092">
        <w:rPr>
          <w:rFonts w:ascii="Verdana" w:hAnsi="Verdana" w:cs="Arial"/>
          <w:bCs/>
          <w:color w:val="auto"/>
        </w:rPr>
        <w:t xml:space="preserve">building </w:t>
      </w:r>
      <w:r w:rsidRPr="00822092">
        <w:rPr>
          <w:rFonts w:ascii="Verdana" w:hAnsi="Verdana" w:cs="Arial"/>
          <w:bCs/>
          <w:color w:val="auto"/>
        </w:rPr>
        <w:t xml:space="preserve">inclusivity in educational environments </w:t>
      </w:r>
      <w:r w:rsidR="00EC3261" w:rsidRPr="00822092">
        <w:rPr>
          <w:rFonts w:ascii="Verdana" w:hAnsi="Verdana" w:cs="Arial"/>
          <w:bCs/>
          <w:color w:val="auto"/>
        </w:rPr>
        <w:t>requires</w:t>
      </w:r>
      <w:r w:rsidRPr="00822092">
        <w:rPr>
          <w:rFonts w:ascii="Verdana" w:hAnsi="Verdana" w:cs="Arial"/>
          <w:bCs/>
          <w:color w:val="auto"/>
        </w:rPr>
        <w:t xml:space="preserve"> “</w:t>
      </w:r>
      <w:r w:rsidRPr="00822092">
        <w:rPr>
          <w:rFonts w:ascii="Verdana" w:hAnsi="Verdana"/>
          <w:bCs/>
          <w:color w:val="auto"/>
          <w:lang w:eastAsia="zh-CN"/>
        </w:rPr>
        <w:t xml:space="preserve">the approach to learning, the culture of the educational institution, and the curriculum itself, </w:t>
      </w:r>
      <w:r w:rsidR="00EC3261" w:rsidRPr="00822092">
        <w:rPr>
          <w:rFonts w:ascii="Verdana" w:hAnsi="Verdana"/>
          <w:bCs/>
          <w:color w:val="auto"/>
          <w:lang w:eastAsia="zh-CN"/>
        </w:rPr>
        <w:t xml:space="preserve">[to] </w:t>
      </w:r>
      <w:r w:rsidRPr="00822092">
        <w:rPr>
          <w:rFonts w:ascii="Verdana" w:hAnsi="Verdana"/>
          <w:bCs/>
          <w:color w:val="auto"/>
          <w:lang w:eastAsia="zh-CN"/>
        </w:rPr>
        <w:t>reflect the value of diversity”.</w:t>
      </w:r>
      <w:r w:rsidRPr="00822092">
        <w:rPr>
          <w:rStyle w:val="FootnoteReference"/>
          <w:rFonts w:ascii="Verdana" w:hAnsi="Verdana"/>
          <w:bCs/>
          <w:color w:val="auto"/>
          <w:lang w:eastAsia="zh-CN"/>
        </w:rPr>
        <w:footnoteReference w:id="23"/>
      </w:r>
    </w:p>
    <w:p w14:paraId="51BA09F9" w14:textId="16093BD4" w:rsidR="00D334EB" w:rsidRPr="00822092" w:rsidRDefault="00D334EB" w:rsidP="00D560E0">
      <w:pPr>
        <w:pStyle w:val="BasicParagraph"/>
        <w:suppressAutoHyphens/>
        <w:ind w:left="720" w:hanging="720"/>
        <w:rPr>
          <w:rFonts w:ascii="Verdana" w:hAnsi="Verdana"/>
          <w:bCs/>
          <w:color w:val="auto"/>
          <w:lang w:eastAsia="zh-CN"/>
        </w:rPr>
      </w:pPr>
    </w:p>
    <w:p w14:paraId="6303267A" w14:textId="0709A3A6" w:rsidR="0015753F" w:rsidRDefault="001841E8" w:rsidP="00874DF6">
      <w:pPr>
        <w:pStyle w:val="BasicParagraph"/>
        <w:suppressAutoHyphens/>
        <w:ind w:left="720" w:hanging="720"/>
        <w:rPr>
          <w:rFonts w:ascii="Verdana" w:hAnsi="Verdana"/>
          <w:bCs/>
          <w:color w:val="auto"/>
          <w:lang w:eastAsia="zh-CN"/>
        </w:rPr>
      </w:pPr>
      <w:r w:rsidRPr="00822092">
        <w:rPr>
          <w:rFonts w:ascii="Verdana" w:hAnsi="Verdana"/>
          <w:bCs/>
          <w:color w:val="auto"/>
          <w:lang w:eastAsia="zh-CN"/>
        </w:rPr>
        <w:t>3.</w:t>
      </w:r>
      <w:r w:rsidR="00162DAD">
        <w:rPr>
          <w:rFonts w:ascii="Verdana" w:hAnsi="Verdana"/>
          <w:bCs/>
          <w:color w:val="auto"/>
          <w:lang w:eastAsia="zh-CN"/>
        </w:rPr>
        <w:t>7</w:t>
      </w:r>
      <w:r w:rsidRPr="00822092">
        <w:rPr>
          <w:rFonts w:ascii="Verdana" w:hAnsi="Verdana"/>
          <w:bCs/>
          <w:color w:val="auto"/>
          <w:lang w:eastAsia="zh-CN"/>
        </w:rPr>
        <w:t xml:space="preserve"> </w:t>
      </w:r>
      <w:r w:rsidR="00E70105" w:rsidRPr="00822092">
        <w:rPr>
          <w:rFonts w:ascii="Verdana" w:hAnsi="Verdana"/>
          <w:bCs/>
          <w:color w:val="auto"/>
          <w:lang w:eastAsia="zh-CN"/>
        </w:rPr>
        <w:tab/>
      </w:r>
      <w:r w:rsidR="00A04DD1">
        <w:rPr>
          <w:rFonts w:ascii="Verdana" w:hAnsi="Verdana" w:cs="Arial"/>
          <w:bCs/>
          <w:color w:val="auto"/>
        </w:rPr>
        <w:t>I</w:t>
      </w:r>
      <w:r w:rsidR="00C922CC" w:rsidRPr="00822092">
        <w:rPr>
          <w:rFonts w:ascii="Verdana" w:hAnsi="Verdana" w:cs="Arial"/>
          <w:bCs/>
          <w:color w:val="auto"/>
        </w:rPr>
        <w:t>n the judicial review application by Drumragh Integrated College</w:t>
      </w:r>
      <w:r w:rsidR="00C030FA">
        <w:rPr>
          <w:rFonts w:ascii="Verdana" w:hAnsi="Verdana" w:cs="Arial"/>
          <w:bCs/>
          <w:color w:val="auto"/>
        </w:rPr>
        <w:t>,</w:t>
      </w:r>
      <w:r w:rsidR="00E95B54">
        <w:rPr>
          <w:rFonts w:ascii="Verdana" w:hAnsi="Verdana" w:cs="Arial"/>
          <w:bCs/>
          <w:color w:val="auto"/>
        </w:rPr>
        <w:t xml:space="preserve"> in 2014, </w:t>
      </w:r>
      <w:r w:rsidR="00E95B54">
        <w:rPr>
          <w:rFonts w:ascii="Verdana" w:hAnsi="Verdana"/>
          <w:bCs/>
          <w:color w:val="auto"/>
          <w:lang w:eastAsia="zh-CN"/>
        </w:rPr>
        <w:t xml:space="preserve">the High Court </w:t>
      </w:r>
      <w:r w:rsidR="00C030FA">
        <w:rPr>
          <w:rFonts w:ascii="Verdana" w:hAnsi="Verdana"/>
          <w:bCs/>
          <w:color w:val="auto"/>
          <w:lang w:eastAsia="zh-CN"/>
        </w:rPr>
        <w:t>in Belfast held</w:t>
      </w:r>
      <w:r w:rsidR="00DC5283">
        <w:rPr>
          <w:rFonts w:ascii="Verdana" w:hAnsi="Verdana"/>
          <w:bCs/>
          <w:color w:val="auto"/>
          <w:lang w:eastAsia="zh-CN"/>
        </w:rPr>
        <w:t xml:space="preserve"> that </w:t>
      </w:r>
      <w:r w:rsidR="00DC5283" w:rsidRPr="00DC5283">
        <w:rPr>
          <w:rFonts w:ascii="Verdana" w:hAnsi="Verdana"/>
          <w:bCs/>
          <w:color w:val="auto"/>
          <w:lang w:eastAsia="zh-CN"/>
        </w:rPr>
        <w:t>a constitution and governance structure that reflects integration must be present for a school to be defined as integrated:</w:t>
      </w:r>
    </w:p>
    <w:p w14:paraId="78D8D54D" w14:textId="77777777" w:rsidR="00874DF6" w:rsidRPr="00874DF6" w:rsidRDefault="00874DF6" w:rsidP="00874DF6">
      <w:pPr>
        <w:pStyle w:val="BasicParagraph"/>
        <w:suppressAutoHyphens/>
        <w:ind w:left="720" w:hanging="720"/>
        <w:rPr>
          <w:rFonts w:ascii="Verdana" w:hAnsi="Verdana"/>
          <w:bCs/>
          <w:color w:val="auto"/>
          <w:lang w:eastAsia="zh-CN"/>
        </w:rPr>
      </w:pPr>
    </w:p>
    <w:p w14:paraId="33EC41A3" w14:textId="317BE435" w:rsidR="0019697A" w:rsidRPr="00822092" w:rsidRDefault="00304F69" w:rsidP="0015753F">
      <w:pPr>
        <w:pStyle w:val="BasicParagraph"/>
        <w:suppressAutoHyphens/>
        <w:ind w:left="1440"/>
        <w:rPr>
          <w:rFonts w:ascii="Verdana" w:hAnsi="Verdana"/>
          <w:color w:val="auto"/>
        </w:rPr>
      </w:pPr>
      <w:r>
        <w:rPr>
          <w:rFonts w:ascii="Verdana" w:hAnsi="Verdana"/>
          <w:color w:val="auto"/>
        </w:rPr>
        <w:t>“…</w:t>
      </w:r>
      <w:r w:rsidR="0019697A" w:rsidRPr="00822092">
        <w:rPr>
          <w:rFonts w:ascii="Verdana" w:hAnsi="Verdana"/>
          <w:color w:val="auto"/>
        </w:rPr>
        <w:t>an integrated school strives to achieve an equal balance in relation to worship, celebration and exposure to both faiths. This is reflected in its constitution and the board must strive in its ethos to achieve this. For these reasons it must be the case that the integrated education referred to in the article is education that is integrated throughout and not education that is delivered by a partisan board.</w:t>
      </w:r>
      <w:r>
        <w:rPr>
          <w:rFonts w:ascii="Verdana" w:hAnsi="Verdana"/>
          <w:color w:val="auto"/>
        </w:rPr>
        <w:t>”</w:t>
      </w:r>
      <w:r w:rsidR="00874DF6">
        <w:rPr>
          <w:rStyle w:val="FootnoteReference"/>
          <w:rFonts w:ascii="Verdana" w:hAnsi="Verdana"/>
          <w:color w:val="auto"/>
        </w:rPr>
        <w:footnoteReference w:id="24"/>
      </w:r>
    </w:p>
    <w:p w14:paraId="45025C22" w14:textId="3763B828" w:rsidR="00AB0723" w:rsidRDefault="00AB0723" w:rsidP="002D2369">
      <w:pPr>
        <w:pStyle w:val="BasicParagraph"/>
        <w:suppressAutoHyphens/>
        <w:rPr>
          <w:rFonts w:ascii="Verdana" w:hAnsi="Verdana"/>
          <w:color w:val="auto"/>
          <w:shd w:val="clear" w:color="auto" w:fill="FFFFFF"/>
        </w:rPr>
      </w:pPr>
    </w:p>
    <w:p w14:paraId="021EF7AC" w14:textId="4F7C47D4" w:rsidR="00721F17" w:rsidRDefault="006C4A7A" w:rsidP="00662341">
      <w:pPr>
        <w:pStyle w:val="BasicParagraph"/>
        <w:suppressAutoHyphens/>
        <w:ind w:left="720" w:hanging="720"/>
        <w:rPr>
          <w:rFonts w:ascii="Verdana" w:hAnsi="Verdana" w:cs="Arial"/>
          <w:b/>
          <w:color w:val="auto"/>
        </w:rPr>
      </w:pPr>
      <w:r w:rsidRPr="00833216">
        <w:rPr>
          <w:rFonts w:ascii="Verdana" w:hAnsi="Verdana"/>
          <w:b/>
          <w:bCs/>
          <w:color w:val="auto"/>
          <w:shd w:val="clear" w:color="auto" w:fill="FFFFFF"/>
        </w:rPr>
        <w:t>3.</w:t>
      </w:r>
      <w:r w:rsidR="007D6419">
        <w:rPr>
          <w:rFonts w:ascii="Verdana" w:hAnsi="Verdana"/>
          <w:b/>
          <w:bCs/>
          <w:color w:val="auto"/>
          <w:shd w:val="clear" w:color="auto" w:fill="FFFFFF"/>
        </w:rPr>
        <w:t>8</w:t>
      </w:r>
      <w:r w:rsidR="00E079E4">
        <w:rPr>
          <w:rFonts w:ascii="Verdana" w:hAnsi="Verdana"/>
          <w:color w:val="auto"/>
          <w:shd w:val="clear" w:color="auto" w:fill="FFFFFF"/>
        </w:rPr>
        <w:tab/>
      </w:r>
      <w:r w:rsidR="00CF3D15" w:rsidRPr="00822092">
        <w:rPr>
          <w:rFonts w:ascii="Verdana" w:hAnsi="Verdana" w:cs="Arial"/>
          <w:b/>
          <w:color w:val="auto"/>
        </w:rPr>
        <w:t>The Commission</w:t>
      </w:r>
      <w:r w:rsidR="00450F55">
        <w:rPr>
          <w:rFonts w:ascii="Verdana" w:hAnsi="Verdana" w:cs="Arial"/>
          <w:b/>
          <w:color w:val="auto"/>
        </w:rPr>
        <w:t xml:space="preserve"> welcomes</w:t>
      </w:r>
      <w:r w:rsidR="00D3583E">
        <w:rPr>
          <w:rFonts w:ascii="Verdana" w:hAnsi="Verdana" w:cs="Arial"/>
          <w:b/>
          <w:color w:val="auto"/>
        </w:rPr>
        <w:t xml:space="preserve"> </w:t>
      </w:r>
      <w:r w:rsidR="0007231D" w:rsidRPr="00BD5DE4">
        <w:rPr>
          <w:rFonts w:ascii="Verdana" w:hAnsi="Verdana" w:cs="Arial"/>
          <w:b/>
          <w:color w:val="auto"/>
        </w:rPr>
        <w:t>Clause 1</w:t>
      </w:r>
      <w:r w:rsidR="0007231D">
        <w:rPr>
          <w:rFonts w:ascii="Verdana" w:hAnsi="Verdana" w:cs="Arial"/>
          <w:b/>
          <w:color w:val="auto"/>
        </w:rPr>
        <w:t>,</w:t>
      </w:r>
      <w:r w:rsidR="0007231D" w:rsidRPr="00BD5DE4">
        <w:rPr>
          <w:rFonts w:ascii="Verdana" w:hAnsi="Verdana" w:cs="Arial"/>
          <w:b/>
          <w:color w:val="auto"/>
        </w:rPr>
        <w:t xml:space="preserve"> </w:t>
      </w:r>
      <w:r w:rsidR="0007231D">
        <w:rPr>
          <w:rFonts w:ascii="Verdana" w:hAnsi="Verdana" w:cs="Arial"/>
          <w:b/>
          <w:color w:val="auto"/>
        </w:rPr>
        <w:t xml:space="preserve">which widens </w:t>
      </w:r>
      <w:r w:rsidR="0007231D" w:rsidRPr="00BD5DE4">
        <w:rPr>
          <w:rFonts w:ascii="Verdana" w:hAnsi="Verdana" w:cs="Arial"/>
          <w:b/>
          <w:color w:val="auto"/>
        </w:rPr>
        <w:t xml:space="preserve">the statutory definition of integrated education to recognise all cultures and religious beliefs, including non-religious beliefs, and different </w:t>
      </w:r>
      <w:r w:rsidR="0007231D" w:rsidRPr="00BD5DE4">
        <w:rPr>
          <w:rFonts w:ascii="Verdana" w:hAnsi="Verdana" w:cs="Arial"/>
          <w:b/>
          <w:color w:val="auto"/>
        </w:rPr>
        <w:lastRenderedPageBreak/>
        <w:t xml:space="preserve">abilities. </w:t>
      </w:r>
    </w:p>
    <w:p w14:paraId="6DDC82CE" w14:textId="77777777" w:rsidR="004C0D9D" w:rsidRDefault="004C0D9D" w:rsidP="00662341">
      <w:pPr>
        <w:pStyle w:val="BasicParagraph"/>
        <w:suppressAutoHyphens/>
        <w:ind w:left="720" w:hanging="720"/>
        <w:rPr>
          <w:rFonts w:ascii="Verdana" w:hAnsi="Verdana" w:cs="Arial"/>
          <w:b/>
          <w:color w:val="auto"/>
        </w:rPr>
      </w:pPr>
    </w:p>
    <w:p w14:paraId="79299164" w14:textId="5332374A" w:rsidR="00E91D3A" w:rsidRPr="00DD3055" w:rsidRDefault="00B1347B" w:rsidP="00B1347B">
      <w:pPr>
        <w:pStyle w:val="BasicParagraph"/>
        <w:suppressAutoHyphens/>
        <w:ind w:left="720" w:hanging="720"/>
        <w:rPr>
          <w:rFonts w:ascii="Verdana" w:hAnsi="Verdana"/>
          <w:color w:val="auto"/>
          <w:shd w:val="clear" w:color="auto" w:fill="FFFFFF"/>
        </w:rPr>
      </w:pPr>
      <w:r>
        <w:rPr>
          <w:rFonts w:ascii="Verdana" w:hAnsi="Verdana" w:cs="Arial"/>
          <w:b/>
          <w:color w:val="auto"/>
        </w:rPr>
        <w:t>3.</w:t>
      </w:r>
      <w:r w:rsidR="009803F3">
        <w:rPr>
          <w:rFonts w:ascii="Verdana" w:hAnsi="Verdana" w:cs="Arial"/>
          <w:b/>
          <w:color w:val="auto"/>
        </w:rPr>
        <w:t>9</w:t>
      </w:r>
      <w:r>
        <w:rPr>
          <w:rFonts w:ascii="Verdana" w:hAnsi="Verdana" w:cs="Arial"/>
          <w:b/>
          <w:color w:val="auto"/>
        </w:rPr>
        <w:tab/>
      </w:r>
      <w:r w:rsidR="00EA528C">
        <w:rPr>
          <w:rFonts w:ascii="Verdana" w:hAnsi="Verdana" w:cs="Arial"/>
          <w:b/>
          <w:color w:val="auto"/>
        </w:rPr>
        <w:t>The Commission welcomes Clause 1(2)</w:t>
      </w:r>
      <w:r w:rsidR="0007231D">
        <w:rPr>
          <w:rFonts w:ascii="Verdana" w:hAnsi="Verdana" w:cs="Arial"/>
          <w:b/>
          <w:color w:val="auto"/>
        </w:rPr>
        <w:t>,</w:t>
      </w:r>
      <w:r w:rsidR="00EA528C">
        <w:rPr>
          <w:rFonts w:ascii="Verdana" w:hAnsi="Verdana" w:cs="Arial"/>
          <w:b/>
          <w:color w:val="auto"/>
        </w:rPr>
        <w:t xml:space="preserve"> </w:t>
      </w:r>
      <w:r w:rsidR="0007231D">
        <w:rPr>
          <w:rFonts w:ascii="Verdana" w:hAnsi="Verdana" w:cs="Arial"/>
          <w:b/>
          <w:color w:val="auto"/>
        </w:rPr>
        <w:t xml:space="preserve">which places the ethos for </w:t>
      </w:r>
      <w:r w:rsidR="0007231D" w:rsidRPr="00BD5DE4">
        <w:rPr>
          <w:rFonts w:ascii="Verdana" w:hAnsi="Verdana" w:cs="Arial"/>
          <w:b/>
          <w:color w:val="auto"/>
        </w:rPr>
        <w:t>integrat</w:t>
      </w:r>
      <w:r w:rsidR="0007231D">
        <w:rPr>
          <w:rFonts w:ascii="Verdana" w:hAnsi="Verdana" w:cs="Arial"/>
          <w:b/>
          <w:color w:val="auto"/>
        </w:rPr>
        <w:t>ion</w:t>
      </w:r>
      <w:r w:rsidR="0007231D" w:rsidRPr="00BD5DE4">
        <w:rPr>
          <w:rFonts w:ascii="Verdana" w:hAnsi="Verdana" w:cs="Arial"/>
          <w:b/>
          <w:color w:val="auto"/>
        </w:rPr>
        <w:t xml:space="preserve"> on a statutory footing. </w:t>
      </w:r>
    </w:p>
    <w:p w14:paraId="10B8C78E" w14:textId="1BCC4F0E" w:rsidR="00FA4F0E" w:rsidRDefault="00FA4F0E" w:rsidP="009A4666">
      <w:pPr>
        <w:pStyle w:val="BasicParagraph"/>
        <w:suppressAutoHyphens/>
        <w:rPr>
          <w:rFonts w:ascii="Verdana" w:hAnsi="Verdana" w:cs="Arial"/>
          <w:b/>
          <w:color w:val="232120"/>
        </w:rPr>
      </w:pPr>
    </w:p>
    <w:p w14:paraId="3FE30251" w14:textId="3ECBA4FA" w:rsidR="00FA4F0E" w:rsidRPr="003B7D0E" w:rsidRDefault="00FA4F0E" w:rsidP="00FA4F0E">
      <w:pPr>
        <w:pStyle w:val="BasicParagraph"/>
        <w:suppressAutoHyphens/>
        <w:rPr>
          <w:rFonts w:ascii="Verdana" w:hAnsi="Verdana" w:cs="Arial"/>
          <w:color w:val="77328A"/>
          <w:sz w:val="30"/>
          <w:szCs w:val="30"/>
        </w:rPr>
      </w:pPr>
      <w:r>
        <w:rPr>
          <w:rFonts w:ascii="Verdana" w:hAnsi="Verdana" w:cs="Arial"/>
          <w:b/>
          <w:color w:val="77328A"/>
          <w:sz w:val="30"/>
          <w:szCs w:val="30"/>
        </w:rPr>
        <w:t>4</w:t>
      </w:r>
      <w:r w:rsidRPr="003B7D0E">
        <w:rPr>
          <w:rFonts w:ascii="Verdana" w:hAnsi="Verdana" w:cs="Arial"/>
          <w:b/>
          <w:color w:val="77328A"/>
          <w:sz w:val="30"/>
          <w:szCs w:val="30"/>
        </w:rPr>
        <w:t>.0</w:t>
      </w:r>
      <w:r w:rsidRPr="003B7D0E">
        <w:rPr>
          <w:rFonts w:ascii="Verdana" w:hAnsi="Verdana" w:cs="Arial"/>
          <w:b/>
          <w:color w:val="77328A"/>
          <w:sz w:val="30"/>
          <w:szCs w:val="30"/>
        </w:rPr>
        <w:tab/>
      </w:r>
      <w:r w:rsidRPr="00FA4F0E">
        <w:rPr>
          <w:rFonts w:ascii="Verdana" w:hAnsi="Verdana" w:cs="Arial"/>
          <w:b/>
          <w:color w:val="7030A0"/>
          <w:sz w:val="30"/>
          <w:szCs w:val="30"/>
        </w:rPr>
        <w:t xml:space="preserve">Clauses </w:t>
      </w:r>
      <w:r>
        <w:rPr>
          <w:rFonts w:ascii="Verdana" w:hAnsi="Verdana" w:cs="Arial"/>
          <w:b/>
          <w:color w:val="7030A0"/>
          <w:sz w:val="30"/>
          <w:szCs w:val="30"/>
        </w:rPr>
        <w:t>4</w:t>
      </w:r>
      <w:r w:rsidRPr="00FA4F0E">
        <w:rPr>
          <w:rFonts w:ascii="Verdana" w:hAnsi="Verdana" w:cs="Arial"/>
          <w:b/>
          <w:color w:val="7030A0"/>
          <w:sz w:val="30"/>
          <w:szCs w:val="30"/>
        </w:rPr>
        <w:t xml:space="preserve"> </w:t>
      </w:r>
      <w:r>
        <w:rPr>
          <w:rFonts w:ascii="Verdana" w:hAnsi="Verdana" w:cs="Arial"/>
          <w:b/>
          <w:color w:val="7030A0"/>
          <w:sz w:val="30"/>
          <w:szCs w:val="30"/>
        </w:rPr>
        <w:t>and 5</w:t>
      </w:r>
      <w:r w:rsidRPr="00FA4F0E">
        <w:rPr>
          <w:rFonts w:ascii="Verdana" w:hAnsi="Verdana" w:cs="Arial"/>
          <w:b/>
          <w:color w:val="7030A0"/>
          <w:sz w:val="30"/>
          <w:szCs w:val="30"/>
        </w:rPr>
        <w:t xml:space="preserve">: </w:t>
      </w:r>
      <w:r>
        <w:rPr>
          <w:rFonts w:ascii="Verdana" w:hAnsi="Verdana" w:cs="Arial"/>
          <w:b/>
          <w:color w:val="7030A0"/>
          <w:sz w:val="30"/>
          <w:szCs w:val="30"/>
        </w:rPr>
        <w:t>Duty to promote</w:t>
      </w:r>
    </w:p>
    <w:p w14:paraId="1A7371CA" w14:textId="497BC3B9" w:rsidR="00C625F4" w:rsidRDefault="00FA4F0E" w:rsidP="006D47CD">
      <w:pPr>
        <w:pStyle w:val="BasicParagraph"/>
        <w:suppressAutoHyphens/>
        <w:ind w:left="720" w:hanging="720"/>
        <w:rPr>
          <w:rFonts w:ascii="Verdana" w:hAnsi="Verdana" w:cs="Arial"/>
          <w:color w:val="232120"/>
        </w:rPr>
      </w:pPr>
      <w:r>
        <w:rPr>
          <w:rFonts w:ascii="Verdana" w:hAnsi="Verdana" w:cs="Arial"/>
          <w:color w:val="232120"/>
        </w:rPr>
        <w:t>4</w:t>
      </w:r>
      <w:r w:rsidR="009A4666" w:rsidRPr="00331C61">
        <w:rPr>
          <w:rFonts w:ascii="Verdana" w:hAnsi="Verdana" w:cs="Arial"/>
          <w:color w:val="232120"/>
        </w:rPr>
        <w:t>.</w:t>
      </w:r>
      <w:r w:rsidR="009A4666">
        <w:rPr>
          <w:rFonts w:ascii="Verdana" w:hAnsi="Verdana" w:cs="Arial"/>
          <w:color w:val="232120"/>
        </w:rPr>
        <w:t>1</w:t>
      </w:r>
      <w:r w:rsidR="009A4666" w:rsidRPr="00331C61">
        <w:rPr>
          <w:rFonts w:ascii="Verdana" w:hAnsi="Verdana" w:cs="Arial"/>
          <w:color w:val="232120"/>
        </w:rPr>
        <w:t xml:space="preserve"> </w:t>
      </w:r>
      <w:r>
        <w:rPr>
          <w:rFonts w:ascii="Verdana" w:hAnsi="Verdana" w:cs="Arial"/>
          <w:color w:val="232120"/>
        </w:rPr>
        <w:tab/>
      </w:r>
      <w:r w:rsidR="00C625F4">
        <w:rPr>
          <w:rFonts w:ascii="Verdana" w:hAnsi="Verdana" w:cs="Arial"/>
          <w:color w:val="232120"/>
        </w:rPr>
        <w:t xml:space="preserve">The Commission </w:t>
      </w:r>
      <w:r w:rsidR="00B404EA">
        <w:rPr>
          <w:rFonts w:ascii="Verdana" w:hAnsi="Verdana" w:cs="Arial"/>
          <w:color w:val="232120"/>
        </w:rPr>
        <w:t>has concerns about</w:t>
      </w:r>
      <w:r w:rsidR="00802BEE">
        <w:rPr>
          <w:rFonts w:ascii="Verdana" w:hAnsi="Verdana" w:cs="Arial"/>
          <w:color w:val="232120"/>
        </w:rPr>
        <w:t xml:space="preserve"> </w:t>
      </w:r>
      <w:r w:rsidR="003F1211">
        <w:rPr>
          <w:rFonts w:ascii="Verdana" w:hAnsi="Verdana" w:cs="Arial"/>
          <w:color w:val="232120"/>
        </w:rPr>
        <w:t xml:space="preserve">the </w:t>
      </w:r>
      <w:r w:rsidR="0007231D">
        <w:rPr>
          <w:rFonts w:ascii="Verdana" w:hAnsi="Verdana" w:cs="Arial"/>
          <w:color w:val="232120"/>
        </w:rPr>
        <w:t xml:space="preserve">slow progress in the </w:t>
      </w:r>
      <w:r w:rsidR="003F1211">
        <w:rPr>
          <w:rFonts w:ascii="Verdana" w:hAnsi="Verdana" w:cs="Arial"/>
          <w:color w:val="232120"/>
        </w:rPr>
        <w:t>provision of integrated education</w:t>
      </w:r>
      <w:r w:rsidR="00D4736E">
        <w:rPr>
          <w:rFonts w:ascii="Verdana" w:hAnsi="Verdana" w:cs="Arial"/>
          <w:color w:val="232120"/>
        </w:rPr>
        <w:t xml:space="preserve"> across</w:t>
      </w:r>
      <w:r w:rsidR="00206783">
        <w:rPr>
          <w:rFonts w:ascii="Verdana" w:hAnsi="Verdana" w:cs="Arial"/>
          <w:color w:val="232120"/>
        </w:rPr>
        <w:t xml:space="preserve"> N</w:t>
      </w:r>
      <w:r w:rsidR="0007231D">
        <w:rPr>
          <w:rFonts w:ascii="Verdana" w:hAnsi="Verdana" w:cs="Arial"/>
          <w:color w:val="232120"/>
        </w:rPr>
        <w:t xml:space="preserve">orthern </w:t>
      </w:r>
      <w:r w:rsidR="00206783">
        <w:rPr>
          <w:rFonts w:ascii="Verdana" w:hAnsi="Verdana" w:cs="Arial"/>
          <w:color w:val="232120"/>
        </w:rPr>
        <w:t>I</w:t>
      </w:r>
      <w:r w:rsidR="0007231D">
        <w:rPr>
          <w:rFonts w:ascii="Verdana" w:hAnsi="Verdana" w:cs="Arial"/>
          <w:color w:val="232120"/>
        </w:rPr>
        <w:t>reland</w:t>
      </w:r>
      <w:r w:rsidR="00206783">
        <w:rPr>
          <w:rFonts w:ascii="Verdana" w:hAnsi="Verdana" w:cs="Arial"/>
          <w:color w:val="232120"/>
        </w:rPr>
        <w:t>.</w:t>
      </w:r>
      <w:r w:rsidR="00AF4CFD">
        <w:rPr>
          <w:rFonts w:ascii="Verdana" w:hAnsi="Verdana" w:cs="Arial"/>
          <w:color w:val="232120"/>
        </w:rPr>
        <w:t xml:space="preserve"> </w:t>
      </w:r>
      <w:r w:rsidR="0007231D">
        <w:rPr>
          <w:rFonts w:ascii="Verdana" w:hAnsi="Verdana" w:cs="Arial"/>
          <w:color w:val="232120"/>
        </w:rPr>
        <w:t xml:space="preserve">In 2020/2021, </w:t>
      </w:r>
      <w:r w:rsidR="00A52F9E">
        <w:rPr>
          <w:rFonts w:ascii="Verdana" w:hAnsi="Verdana"/>
        </w:rPr>
        <w:t>only 7% of all primary and post-primary school enrolments</w:t>
      </w:r>
      <w:r w:rsidR="0007231D">
        <w:rPr>
          <w:rFonts w:ascii="Verdana" w:hAnsi="Verdana"/>
        </w:rPr>
        <w:t xml:space="preserve"> are in schools within the definition of integrated</w:t>
      </w:r>
      <w:r w:rsidR="00A52F9E">
        <w:rPr>
          <w:rFonts w:ascii="Verdana" w:hAnsi="Verdana"/>
        </w:rPr>
        <w:t>.</w:t>
      </w:r>
      <w:r w:rsidR="00CB2C4D">
        <w:rPr>
          <w:rStyle w:val="FootnoteReference"/>
          <w:rFonts w:ascii="Verdana" w:hAnsi="Verdana"/>
        </w:rPr>
        <w:footnoteReference w:id="25"/>
      </w:r>
      <w:r w:rsidR="00B92EAB">
        <w:rPr>
          <w:rFonts w:ascii="Verdana" w:hAnsi="Verdana"/>
        </w:rPr>
        <w:t xml:space="preserve"> </w:t>
      </w:r>
    </w:p>
    <w:p w14:paraId="295FB273" w14:textId="77777777" w:rsidR="00C625F4" w:rsidRDefault="00C625F4" w:rsidP="006D47CD">
      <w:pPr>
        <w:pStyle w:val="BasicParagraph"/>
        <w:suppressAutoHyphens/>
        <w:ind w:left="720" w:hanging="720"/>
        <w:rPr>
          <w:rFonts w:ascii="Verdana" w:hAnsi="Verdana" w:cs="Arial"/>
          <w:color w:val="232120"/>
        </w:rPr>
      </w:pPr>
    </w:p>
    <w:p w14:paraId="6BB2F67D" w14:textId="2C106F5E" w:rsidR="004C0E1F" w:rsidRDefault="00FA4F0E" w:rsidP="004C0E1F">
      <w:pPr>
        <w:spacing w:line="276" w:lineRule="auto"/>
        <w:ind w:left="720" w:hanging="720"/>
        <w:rPr>
          <w:rFonts w:ascii="Verdana" w:hAnsi="Verdana"/>
        </w:rPr>
      </w:pPr>
      <w:r>
        <w:rPr>
          <w:rFonts w:ascii="Verdana" w:hAnsi="Verdana" w:cs="Arial"/>
          <w:color w:val="232120"/>
        </w:rPr>
        <w:t>4.</w:t>
      </w:r>
      <w:r w:rsidR="00D83BFC">
        <w:rPr>
          <w:rFonts w:ascii="Verdana" w:hAnsi="Verdana" w:cs="Arial"/>
          <w:color w:val="232120"/>
        </w:rPr>
        <w:t>2</w:t>
      </w:r>
      <w:r w:rsidR="00D83BFC">
        <w:rPr>
          <w:rFonts w:ascii="Verdana" w:hAnsi="Verdana" w:cs="Arial"/>
          <w:color w:val="232120"/>
        </w:rPr>
        <w:tab/>
      </w:r>
      <w:r w:rsidR="004C0E1F">
        <w:rPr>
          <w:rFonts w:ascii="Verdana" w:hAnsi="Verdana"/>
        </w:rPr>
        <w:t>In 1997, the</w:t>
      </w:r>
      <w:r w:rsidR="004C0E1F" w:rsidRPr="00D67970">
        <w:rPr>
          <w:rFonts w:ascii="Verdana" w:hAnsi="Verdana"/>
        </w:rPr>
        <w:t xml:space="preserve"> </w:t>
      </w:r>
      <w:r w:rsidR="004C0E1F">
        <w:rPr>
          <w:rFonts w:ascii="Verdana" w:hAnsi="Verdana"/>
        </w:rPr>
        <w:t xml:space="preserve">UN </w:t>
      </w:r>
      <w:r w:rsidR="004C0E1F" w:rsidRPr="00D67970">
        <w:rPr>
          <w:rFonts w:ascii="Verdana" w:hAnsi="Verdana"/>
        </w:rPr>
        <w:t>Committee on Economic, Social and Cultural Rights</w:t>
      </w:r>
      <w:r w:rsidR="004C0E1F">
        <w:rPr>
          <w:rFonts w:ascii="Verdana" w:hAnsi="Verdana"/>
        </w:rPr>
        <w:t xml:space="preserve"> </w:t>
      </w:r>
      <w:r w:rsidR="004C0E1F" w:rsidRPr="00D67970">
        <w:rPr>
          <w:rFonts w:ascii="Verdana" w:hAnsi="Verdana"/>
        </w:rPr>
        <w:t xml:space="preserve">recommended that the State </w:t>
      </w:r>
      <w:r w:rsidR="004C0E1F">
        <w:rPr>
          <w:rFonts w:ascii="Verdana" w:hAnsi="Verdana"/>
        </w:rPr>
        <w:t>P</w:t>
      </w:r>
      <w:r w:rsidR="004C0E1F" w:rsidRPr="00D67970">
        <w:rPr>
          <w:rFonts w:ascii="Verdana" w:hAnsi="Verdana"/>
        </w:rPr>
        <w:t xml:space="preserve">arty </w:t>
      </w:r>
      <w:r w:rsidR="004C0E1F">
        <w:rPr>
          <w:rFonts w:ascii="Verdana" w:hAnsi="Verdana"/>
        </w:rPr>
        <w:t>“</w:t>
      </w:r>
      <w:r w:rsidR="004C0E1F" w:rsidRPr="00D67970">
        <w:rPr>
          <w:rFonts w:ascii="Verdana" w:hAnsi="Verdana"/>
        </w:rPr>
        <w:t>consider appropriate measures in Northern Ireland to facilitate the establishment of additional integrated schools in areas where a significant number of parents have indicated their desire to have their children enrolled in such schools.</w:t>
      </w:r>
      <w:r w:rsidR="004C0E1F">
        <w:rPr>
          <w:rFonts w:ascii="Verdana" w:hAnsi="Verdana"/>
        </w:rPr>
        <w:t>”</w:t>
      </w:r>
      <w:r w:rsidR="004C0E1F">
        <w:rPr>
          <w:rStyle w:val="FootnoteReference"/>
          <w:rFonts w:ascii="Verdana" w:hAnsi="Verdana"/>
        </w:rPr>
        <w:footnoteReference w:id="26"/>
      </w:r>
      <w:r w:rsidR="004C0E1F">
        <w:rPr>
          <w:rFonts w:ascii="Verdana" w:hAnsi="Verdana"/>
        </w:rPr>
        <w:t xml:space="preserve"> It </w:t>
      </w:r>
      <w:r w:rsidR="0007231D">
        <w:rPr>
          <w:rFonts w:ascii="Verdana" w:hAnsi="Verdana"/>
        </w:rPr>
        <w:t xml:space="preserve">commented </w:t>
      </w:r>
      <w:r w:rsidR="004C0E1F">
        <w:rPr>
          <w:rFonts w:ascii="Verdana" w:hAnsi="Verdana"/>
        </w:rPr>
        <w:t xml:space="preserve">that </w:t>
      </w:r>
      <w:r w:rsidR="004C0E1F" w:rsidRPr="00BC5351">
        <w:rPr>
          <w:rFonts w:ascii="Verdana" w:hAnsi="Verdana"/>
        </w:rPr>
        <w:t>integrated education</w:t>
      </w:r>
      <w:r w:rsidR="0007231D">
        <w:rPr>
          <w:rFonts w:ascii="Verdana" w:hAnsi="Verdana"/>
        </w:rPr>
        <w:t>,</w:t>
      </w:r>
      <w:r w:rsidR="004C0E1F" w:rsidRPr="00BC5351">
        <w:rPr>
          <w:rFonts w:ascii="Verdana" w:hAnsi="Verdana"/>
        </w:rPr>
        <w:t xml:space="preserve"> developed through</w:t>
      </w:r>
      <w:r w:rsidR="004C0E1F">
        <w:rPr>
          <w:rFonts w:ascii="Verdana" w:hAnsi="Verdana"/>
        </w:rPr>
        <w:t xml:space="preserve"> the process of</w:t>
      </w:r>
      <w:r w:rsidR="004C0E1F" w:rsidRPr="00BC5351">
        <w:rPr>
          <w:rFonts w:ascii="Verdana" w:hAnsi="Verdana"/>
        </w:rPr>
        <w:t xml:space="preserve"> transformation</w:t>
      </w:r>
      <w:r w:rsidR="0007231D">
        <w:rPr>
          <w:rFonts w:ascii="Verdana" w:hAnsi="Verdana"/>
        </w:rPr>
        <w:t>,</w:t>
      </w:r>
      <w:r w:rsidR="004C0E1F" w:rsidRPr="00BC5351">
        <w:rPr>
          <w:rFonts w:ascii="Verdana" w:hAnsi="Verdana"/>
        </w:rPr>
        <w:t xml:space="preserve"> was </w:t>
      </w:r>
      <w:r w:rsidR="004C0E1F">
        <w:rPr>
          <w:rFonts w:ascii="Verdana" w:hAnsi="Verdana"/>
        </w:rPr>
        <w:t>“</w:t>
      </w:r>
      <w:r w:rsidR="004C0E1F" w:rsidRPr="00BC5351">
        <w:rPr>
          <w:rFonts w:ascii="Verdana" w:hAnsi="Verdana"/>
        </w:rPr>
        <w:t>ineffective</w:t>
      </w:r>
      <w:r w:rsidR="004C0E1F">
        <w:rPr>
          <w:rFonts w:ascii="Verdana" w:hAnsi="Verdana"/>
        </w:rPr>
        <w:t xml:space="preserve"> </w:t>
      </w:r>
      <w:r w:rsidR="004C0E1F" w:rsidRPr="00BC5351">
        <w:rPr>
          <w:rFonts w:ascii="Verdana" w:hAnsi="Verdana"/>
        </w:rPr>
        <w:t>and likely to preserve the status quo</w:t>
      </w:r>
      <w:r w:rsidR="004C0E1F">
        <w:rPr>
          <w:rFonts w:ascii="Verdana" w:hAnsi="Verdana"/>
        </w:rPr>
        <w:t>”.</w:t>
      </w:r>
      <w:r w:rsidR="004C0E1F">
        <w:rPr>
          <w:rStyle w:val="FootnoteReference"/>
          <w:rFonts w:ascii="Verdana" w:hAnsi="Verdana"/>
        </w:rPr>
        <w:footnoteReference w:id="27"/>
      </w:r>
    </w:p>
    <w:p w14:paraId="4BA716EA" w14:textId="77777777" w:rsidR="004C0E1F" w:rsidRDefault="004C0E1F" w:rsidP="004C0E1F">
      <w:pPr>
        <w:spacing w:line="276" w:lineRule="auto"/>
        <w:ind w:left="720" w:hanging="720"/>
        <w:rPr>
          <w:rFonts w:ascii="Verdana" w:hAnsi="Verdana"/>
        </w:rPr>
      </w:pPr>
    </w:p>
    <w:p w14:paraId="6426F270" w14:textId="08DAD86E" w:rsidR="004C0E1F" w:rsidRDefault="004C0E1F" w:rsidP="004C0E1F">
      <w:pPr>
        <w:spacing w:line="276" w:lineRule="auto"/>
        <w:ind w:left="720" w:hanging="720"/>
        <w:rPr>
          <w:rFonts w:ascii="Verdana" w:hAnsi="Verdana"/>
        </w:rPr>
      </w:pPr>
      <w:r>
        <w:rPr>
          <w:rFonts w:ascii="Verdana" w:hAnsi="Verdana"/>
        </w:rPr>
        <w:t>4.3</w:t>
      </w:r>
      <w:r>
        <w:rPr>
          <w:rFonts w:ascii="Verdana" w:hAnsi="Verdana"/>
        </w:rPr>
        <w:tab/>
        <w:t>In</w:t>
      </w:r>
      <w:r w:rsidRPr="00D67970">
        <w:rPr>
          <w:rFonts w:ascii="Verdana" w:hAnsi="Verdana"/>
        </w:rPr>
        <w:t xml:space="preserve"> 2002, the UN Committee on the Rights of the Child </w:t>
      </w:r>
      <w:r w:rsidR="00B91E05">
        <w:rPr>
          <w:rFonts w:ascii="Verdana" w:hAnsi="Verdana"/>
        </w:rPr>
        <w:t xml:space="preserve">highlighted the </w:t>
      </w:r>
      <w:r w:rsidRPr="00D67970">
        <w:rPr>
          <w:rFonts w:ascii="Verdana" w:hAnsi="Verdana"/>
        </w:rPr>
        <w:t xml:space="preserve">need to accelerate integration of education, noting </w:t>
      </w:r>
      <w:r w:rsidR="00B91E05">
        <w:rPr>
          <w:rFonts w:ascii="Verdana" w:hAnsi="Verdana"/>
        </w:rPr>
        <w:t>that</w:t>
      </w:r>
      <w:r w:rsidR="00B91E05" w:rsidRPr="00D67970">
        <w:rPr>
          <w:rFonts w:ascii="Verdana" w:hAnsi="Verdana"/>
        </w:rPr>
        <w:t xml:space="preserve"> </w:t>
      </w:r>
      <w:r w:rsidRPr="00D67970">
        <w:rPr>
          <w:rFonts w:ascii="Verdana" w:hAnsi="Verdana"/>
        </w:rPr>
        <w:t>only 4% of schools were integrated</w:t>
      </w:r>
      <w:r w:rsidR="00B91E05">
        <w:rPr>
          <w:rFonts w:ascii="Verdana" w:hAnsi="Verdana"/>
        </w:rPr>
        <w:t xml:space="preserve">. It recommended </w:t>
      </w:r>
      <w:r>
        <w:rPr>
          <w:rFonts w:ascii="Verdana" w:hAnsi="Verdana"/>
        </w:rPr>
        <w:t>that the UK government</w:t>
      </w:r>
      <w:r w:rsidRPr="00D67970">
        <w:rPr>
          <w:rFonts w:ascii="Verdana" w:hAnsi="Verdana"/>
        </w:rPr>
        <w:t xml:space="preserve">, </w:t>
      </w:r>
      <w:r>
        <w:rPr>
          <w:rFonts w:ascii="Verdana" w:hAnsi="Verdana"/>
        </w:rPr>
        <w:t>“</w:t>
      </w:r>
      <w:r w:rsidRPr="00D67970">
        <w:rPr>
          <w:rFonts w:ascii="Verdana" w:hAnsi="Verdana"/>
        </w:rPr>
        <w:t>[i]ncrease the budget for and take appropriate measures and incentives to facilitate the establishment of additional integrated schools in Northern Ireland to meet the demand of a significant number of parents.</w:t>
      </w:r>
      <w:r>
        <w:rPr>
          <w:rFonts w:ascii="Verdana" w:hAnsi="Verdana"/>
        </w:rPr>
        <w:t>”</w:t>
      </w:r>
      <w:r>
        <w:rPr>
          <w:rStyle w:val="FootnoteReference"/>
          <w:rFonts w:ascii="Verdana" w:hAnsi="Verdana"/>
        </w:rPr>
        <w:footnoteReference w:id="28"/>
      </w:r>
      <w:r w:rsidRPr="00D67970">
        <w:rPr>
          <w:rFonts w:ascii="Verdana" w:hAnsi="Verdana"/>
        </w:rPr>
        <w:t xml:space="preserve"> </w:t>
      </w:r>
    </w:p>
    <w:p w14:paraId="37E0BEAF" w14:textId="77777777" w:rsidR="004C0E1F" w:rsidRPr="00D67970" w:rsidRDefault="004C0E1F" w:rsidP="004C0E1F">
      <w:pPr>
        <w:spacing w:line="276" w:lineRule="auto"/>
        <w:ind w:left="720" w:hanging="720"/>
        <w:rPr>
          <w:rFonts w:ascii="Verdana" w:hAnsi="Verdana"/>
        </w:rPr>
      </w:pPr>
    </w:p>
    <w:p w14:paraId="79978B29" w14:textId="59AFE9E5" w:rsidR="00B113B7" w:rsidRDefault="004C0E1F" w:rsidP="00C02BE3">
      <w:pPr>
        <w:pStyle w:val="BasicParagraph"/>
        <w:suppressAutoHyphens/>
        <w:ind w:left="720" w:hanging="720"/>
        <w:rPr>
          <w:rFonts w:ascii="Verdana" w:hAnsi="Verdana"/>
        </w:rPr>
      </w:pPr>
      <w:r>
        <w:rPr>
          <w:rFonts w:ascii="Verdana" w:hAnsi="Verdana" w:cs="Arial"/>
          <w:color w:val="232120"/>
        </w:rPr>
        <w:t>4.4</w:t>
      </w:r>
      <w:r>
        <w:rPr>
          <w:rFonts w:ascii="Verdana" w:hAnsi="Verdana" w:cs="Arial"/>
          <w:color w:val="232120"/>
        </w:rPr>
        <w:tab/>
      </w:r>
      <w:r w:rsidR="00642CDD">
        <w:rPr>
          <w:rFonts w:ascii="Verdana" w:hAnsi="Verdana" w:cs="Arial"/>
          <w:color w:val="232120"/>
        </w:rPr>
        <w:t xml:space="preserve">The Commission </w:t>
      </w:r>
      <w:r w:rsidR="005D7813">
        <w:rPr>
          <w:rFonts w:ascii="Verdana" w:hAnsi="Verdana" w:cs="Arial"/>
          <w:color w:val="232120"/>
        </w:rPr>
        <w:t xml:space="preserve">acknowledges the </w:t>
      </w:r>
      <w:r w:rsidR="00B139F8">
        <w:rPr>
          <w:rFonts w:ascii="Verdana" w:hAnsi="Verdana" w:cs="Arial"/>
          <w:color w:val="232120"/>
        </w:rPr>
        <w:t xml:space="preserve">capacity building </w:t>
      </w:r>
      <w:r w:rsidR="00B91E05">
        <w:rPr>
          <w:rFonts w:ascii="Verdana" w:hAnsi="Verdana" w:cs="Arial"/>
          <w:color w:val="232120"/>
        </w:rPr>
        <w:t xml:space="preserve">work </w:t>
      </w:r>
      <w:r w:rsidR="003D38A7">
        <w:rPr>
          <w:rFonts w:ascii="Verdana" w:hAnsi="Verdana" w:cs="Arial"/>
          <w:color w:val="232120"/>
        </w:rPr>
        <w:t xml:space="preserve">reported </w:t>
      </w:r>
      <w:r w:rsidR="00C82BC9">
        <w:rPr>
          <w:rFonts w:ascii="Verdana" w:hAnsi="Verdana" w:cs="Arial"/>
          <w:color w:val="232120"/>
        </w:rPr>
        <w:t>during</w:t>
      </w:r>
      <w:r w:rsidR="003D38A7">
        <w:rPr>
          <w:rFonts w:ascii="Verdana" w:hAnsi="Verdana" w:cs="Arial"/>
          <w:color w:val="232120"/>
        </w:rPr>
        <w:t xml:space="preserve"> the </w:t>
      </w:r>
      <w:r w:rsidR="00537C44">
        <w:rPr>
          <w:rFonts w:ascii="Verdana" w:hAnsi="Verdana" w:cs="Arial"/>
          <w:color w:val="232120"/>
        </w:rPr>
        <w:t xml:space="preserve">2019/20 financial year from the </w:t>
      </w:r>
      <w:r w:rsidR="003D38A7">
        <w:rPr>
          <w:rFonts w:ascii="Verdana" w:hAnsi="Verdana" w:cs="Arial"/>
          <w:color w:val="232120"/>
        </w:rPr>
        <w:t>Northern Ireland Council for Integrated Education (NICIE)</w:t>
      </w:r>
      <w:r w:rsidR="00B91E05">
        <w:rPr>
          <w:rFonts w:ascii="Verdana" w:hAnsi="Verdana" w:cs="Arial"/>
          <w:color w:val="232120"/>
        </w:rPr>
        <w:t>.</w:t>
      </w:r>
      <w:r w:rsidR="00F849AB">
        <w:rPr>
          <w:rStyle w:val="FootnoteReference"/>
          <w:rFonts w:ascii="Verdana" w:hAnsi="Verdana" w:cs="Arial"/>
          <w:color w:val="232120"/>
        </w:rPr>
        <w:footnoteReference w:id="29"/>
      </w:r>
      <w:r w:rsidR="00F16E1E">
        <w:rPr>
          <w:rFonts w:ascii="Verdana" w:hAnsi="Verdana" w:cs="Arial"/>
          <w:color w:val="232120"/>
        </w:rPr>
        <w:t xml:space="preserve"> </w:t>
      </w:r>
      <w:r w:rsidR="00B91E05">
        <w:rPr>
          <w:rFonts w:ascii="Verdana" w:hAnsi="Verdana" w:cs="Arial"/>
          <w:color w:val="232120"/>
        </w:rPr>
        <w:t xml:space="preserve">NICIE, however, </w:t>
      </w:r>
      <w:r w:rsidR="00F849AB">
        <w:rPr>
          <w:rFonts w:ascii="Verdana" w:hAnsi="Verdana" w:cs="Arial"/>
          <w:color w:val="232120"/>
        </w:rPr>
        <w:t xml:space="preserve">continue to </w:t>
      </w:r>
      <w:r w:rsidR="00211702">
        <w:rPr>
          <w:rFonts w:ascii="Verdana" w:hAnsi="Verdana"/>
        </w:rPr>
        <w:t xml:space="preserve">advise </w:t>
      </w:r>
      <w:r w:rsidR="00B91E05">
        <w:rPr>
          <w:rFonts w:ascii="Verdana" w:hAnsi="Verdana"/>
        </w:rPr>
        <w:t xml:space="preserve">that </w:t>
      </w:r>
      <w:r w:rsidR="00DC2303" w:rsidRPr="00C45FEA">
        <w:rPr>
          <w:rFonts w:ascii="Verdana" w:hAnsi="Verdana"/>
        </w:rPr>
        <w:t>parental demand</w:t>
      </w:r>
      <w:r w:rsidR="00B91E05">
        <w:rPr>
          <w:rFonts w:ascii="Verdana" w:hAnsi="Verdana"/>
        </w:rPr>
        <w:t xml:space="preserve"> is not being met</w:t>
      </w:r>
      <w:r w:rsidR="00F849AB">
        <w:rPr>
          <w:rFonts w:ascii="Verdana" w:hAnsi="Verdana"/>
        </w:rPr>
        <w:t xml:space="preserve">. </w:t>
      </w:r>
      <w:r w:rsidR="00B91E05">
        <w:rPr>
          <w:rFonts w:ascii="Verdana" w:hAnsi="Verdana"/>
        </w:rPr>
        <w:t>D</w:t>
      </w:r>
      <w:r w:rsidR="00F70FA6">
        <w:rPr>
          <w:rFonts w:ascii="Verdana" w:hAnsi="Verdana"/>
        </w:rPr>
        <w:t xml:space="preserve">uring 2019/20 </w:t>
      </w:r>
      <w:r w:rsidR="006B0C89">
        <w:rPr>
          <w:rFonts w:ascii="Verdana" w:hAnsi="Verdana"/>
        </w:rPr>
        <w:t xml:space="preserve">almost a quarter of applicants were not offered a place </w:t>
      </w:r>
      <w:r w:rsidR="00DC2303" w:rsidRPr="00C45FEA">
        <w:rPr>
          <w:rFonts w:ascii="Verdana" w:hAnsi="Verdana"/>
        </w:rPr>
        <w:t xml:space="preserve">in an </w:t>
      </w:r>
      <w:r w:rsidR="00B91E05">
        <w:rPr>
          <w:rFonts w:ascii="Verdana" w:hAnsi="Verdana"/>
        </w:rPr>
        <w:t>i</w:t>
      </w:r>
      <w:r w:rsidR="00DC2303" w:rsidRPr="00C45FEA">
        <w:rPr>
          <w:rFonts w:ascii="Verdana" w:hAnsi="Verdana"/>
        </w:rPr>
        <w:t>ntegrated post-primary school</w:t>
      </w:r>
      <w:r w:rsidR="00B91E05">
        <w:rPr>
          <w:rFonts w:ascii="Verdana" w:hAnsi="Verdana"/>
        </w:rPr>
        <w:t>.</w:t>
      </w:r>
      <w:r w:rsidR="00E414F3">
        <w:rPr>
          <w:rStyle w:val="FootnoteReference"/>
          <w:rFonts w:ascii="Verdana" w:hAnsi="Verdana"/>
        </w:rPr>
        <w:footnoteReference w:id="30"/>
      </w:r>
      <w:r w:rsidR="00DC2303" w:rsidRPr="00C45FEA">
        <w:rPr>
          <w:rFonts w:ascii="Verdana" w:hAnsi="Verdana"/>
        </w:rPr>
        <w:t xml:space="preserve"> </w:t>
      </w:r>
      <w:r w:rsidR="000A6291">
        <w:rPr>
          <w:rFonts w:ascii="Verdana" w:hAnsi="Verdana"/>
        </w:rPr>
        <w:t>In August 2021, an attitudinal survey</w:t>
      </w:r>
      <w:r w:rsidR="000A6291" w:rsidRPr="00AC13FB">
        <w:rPr>
          <w:rFonts w:ascii="Verdana" w:hAnsi="Verdana"/>
        </w:rPr>
        <w:t xml:space="preserve"> commissioned by the Integrated Education Fund (IEF) </w:t>
      </w:r>
      <w:r w:rsidR="000A6291">
        <w:rPr>
          <w:rFonts w:ascii="Verdana" w:hAnsi="Verdana"/>
        </w:rPr>
        <w:t xml:space="preserve">revealed </w:t>
      </w:r>
      <w:r w:rsidR="000A6291" w:rsidRPr="00AC13FB">
        <w:rPr>
          <w:rFonts w:ascii="Verdana" w:hAnsi="Verdana"/>
        </w:rPr>
        <w:t xml:space="preserve">that 71 per cent of </w:t>
      </w:r>
      <w:r w:rsidR="000A6291">
        <w:rPr>
          <w:rFonts w:ascii="Verdana" w:hAnsi="Verdana"/>
        </w:rPr>
        <w:t xml:space="preserve">2,001 respondents </w:t>
      </w:r>
      <w:r w:rsidR="000A6291">
        <w:rPr>
          <w:rFonts w:ascii="Verdana" w:hAnsi="Verdana"/>
        </w:rPr>
        <w:lastRenderedPageBreak/>
        <w:t>across NI believe</w:t>
      </w:r>
      <w:r w:rsidR="000A6291" w:rsidRPr="00FE54EB">
        <w:rPr>
          <w:rFonts w:ascii="Verdana" w:hAnsi="Verdana"/>
        </w:rPr>
        <w:t xml:space="preserve"> integrated education</w:t>
      </w:r>
      <w:r w:rsidR="000A6291">
        <w:rPr>
          <w:rFonts w:ascii="Verdana" w:hAnsi="Verdana"/>
        </w:rPr>
        <w:t xml:space="preserve"> </w:t>
      </w:r>
      <w:r w:rsidR="000A6291" w:rsidRPr="00FE54EB">
        <w:rPr>
          <w:rFonts w:ascii="Verdana" w:hAnsi="Verdana"/>
        </w:rPr>
        <w:t xml:space="preserve">should be </w:t>
      </w:r>
      <w:r w:rsidR="000A6291">
        <w:rPr>
          <w:rFonts w:ascii="Verdana" w:hAnsi="Verdana"/>
        </w:rPr>
        <w:t>the</w:t>
      </w:r>
      <w:r w:rsidR="000A6291" w:rsidRPr="00FE54EB">
        <w:rPr>
          <w:rFonts w:ascii="Verdana" w:hAnsi="Verdana"/>
        </w:rPr>
        <w:t xml:space="preserve"> main model of education,</w:t>
      </w:r>
      <w:r w:rsidR="000A6291">
        <w:rPr>
          <w:rFonts w:ascii="Verdana" w:hAnsi="Verdana"/>
        </w:rPr>
        <w:t xml:space="preserve"> </w:t>
      </w:r>
      <w:r w:rsidR="000A6291" w:rsidRPr="00FE54EB">
        <w:rPr>
          <w:rFonts w:ascii="Verdana" w:hAnsi="Verdana"/>
        </w:rPr>
        <w:t>an increase of 5</w:t>
      </w:r>
      <w:r w:rsidR="000A6291">
        <w:rPr>
          <w:rFonts w:ascii="Verdana" w:hAnsi="Verdana"/>
        </w:rPr>
        <w:t xml:space="preserve"> per cent</w:t>
      </w:r>
      <w:r w:rsidR="000A6291" w:rsidRPr="00FE54EB">
        <w:rPr>
          <w:rFonts w:ascii="Verdana" w:hAnsi="Verdana"/>
        </w:rPr>
        <w:t xml:space="preserve"> on the last poll conducted in 2013.</w:t>
      </w:r>
      <w:r w:rsidR="00E414F3">
        <w:rPr>
          <w:rStyle w:val="FootnoteReference"/>
          <w:rFonts w:ascii="Verdana" w:hAnsi="Verdana"/>
        </w:rPr>
        <w:footnoteReference w:id="31"/>
      </w:r>
      <w:r w:rsidR="00E414F3">
        <w:rPr>
          <w:rFonts w:ascii="Verdana" w:hAnsi="Verdana"/>
        </w:rPr>
        <w:t xml:space="preserve"> </w:t>
      </w:r>
      <w:r w:rsidR="000A6291">
        <w:rPr>
          <w:rFonts w:ascii="Verdana" w:hAnsi="Verdana"/>
        </w:rPr>
        <w:t xml:space="preserve">The survey also recorded that </w:t>
      </w:r>
      <w:r w:rsidR="000A6291" w:rsidRPr="00665583">
        <w:rPr>
          <w:rFonts w:ascii="Verdana" w:hAnsi="Verdana"/>
        </w:rPr>
        <w:t>73</w:t>
      </w:r>
      <w:r w:rsidR="000A6291">
        <w:rPr>
          <w:rFonts w:ascii="Verdana" w:hAnsi="Verdana"/>
        </w:rPr>
        <w:t xml:space="preserve"> per cent</w:t>
      </w:r>
      <w:r w:rsidR="000A6291" w:rsidRPr="00665583">
        <w:rPr>
          <w:rFonts w:ascii="Verdana" w:hAnsi="Verdana"/>
        </w:rPr>
        <w:t xml:space="preserve"> of </w:t>
      </w:r>
      <w:r w:rsidR="000A6291">
        <w:rPr>
          <w:rFonts w:ascii="Verdana" w:hAnsi="Verdana"/>
        </w:rPr>
        <w:t>respondents</w:t>
      </w:r>
      <w:r w:rsidR="000A6291" w:rsidRPr="00665583">
        <w:rPr>
          <w:rFonts w:ascii="Verdana" w:hAnsi="Verdana"/>
        </w:rPr>
        <w:t xml:space="preserve"> would support their child’s school becoming integrated.</w:t>
      </w:r>
      <w:r w:rsidR="000A6291">
        <w:rPr>
          <w:rFonts w:ascii="Verdana" w:hAnsi="Verdana"/>
        </w:rPr>
        <w:t xml:space="preserve"> </w:t>
      </w:r>
    </w:p>
    <w:p w14:paraId="4CACD6BC" w14:textId="77777777" w:rsidR="00662341" w:rsidRDefault="00662341" w:rsidP="00C02BE3">
      <w:pPr>
        <w:pStyle w:val="BasicParagraph"/>
        <w:suppressAutoHyphens/>
        <w:ind w:left="720" w:hanging="720"/>
        <w:rPr>
          <w:rFonts w:ascii="Verdana" w:hAnsi="Verdana"/>
        </w:rPr>
      </w:pPr>
    </w:p>
    <w:p w14:paraId="2E2CE025" w14:textId="309D2266" w:rsidR="007602C2" w:rsidRDefault="00A07CD1" w:rsidP="0042575A">
      <w:pPr>
        <w:pStyle w:val="BasicParagraph"/>
        <w:suppressAutoHyphens/>
        <w:ind w:left="720" w:hanging="720"/>
        <w:rPr>
          <w:rFonts w:ascii="Verdana" w:hAnsi="Verdana"/>
        </w:rPr>
      </w:pPr>
      <w:r>
        <w:rPr>
          <w:rFonts w:ascii="Verdana" w:hAnsi="Verdana"/>
        </w:rPr>
        <w:t>4.</w:t>
      </w:r>
      <w:r w:rsidR="00C02BE3">
        <w:rPr>
          <w:rFonts w:ascii="Verdana" w:hAnsi="Verdana"/>
        </w:rPr>
        <w:t>5</w:t>
      </w:r>
      <w:r>
        <w:rPr>
          <w:rFonts w:ascii="Verdana" w:hAnsi="Verdana"/>
        </w:rPr>
        <w:tab/>
      </w:r>
      <w:r w:rsidR="00A00117">
        <w:rPr>
          <w:rFonts w:ascii="Verdana" w:hAnsi="Verdana"/>
        </w:rPr>
        <w:t>The</w:t>
      </w:r>
      <w:r w:rsidR="00B9571C">
        <w:rPr>
          <w:rFonts w:ascii="Verdana" w:hAnsi="Verdana"/>
        </w:rPr>
        <w:t xml:space="preserve"> duty to promote</w:t>
      </w:r>
      <w:r w:rsidR="004F5F59">
        <w:rPr>
          <w:rFonts w:ascii="Verdana" w:hAnsi="Verdana"/>
        </w:rPr>
        <w:t xml:space="preserve"> aligns with concluding observations of the </w:t>
      </w:r>
      <w:r w:rsidR="007602C2" w:rsidRPr="00D67970">
        <w:rPr>
          <w:rFonts w:ascii="Verdana" w:hAnsi="Verdana"/>
        </w:rPr>
        <w:t>UN Committee on the Rights of the Child</w:t>
      </w:r>
      <w:r w:rsidR="006F7864">
        <w:rPr>
          <w:rFonts w:ascii="Verdana" w:hAnsi="Verdana"/>
        </w:rPr>
        <w:t>.</w:t>
      </w:r>
      <w:r w:rsidR="007602C2">
        <w:rPr>
          <w:rStyle w:val="FootnoteReference"/>
          <w:rFonts w:ascii="Verdana" w:hAnsi="Verdana"/>
        </w:rPr>
        <w:footnoteReference w:id="32"/>
      </w:r>
      <w:r w:rsidR="007602C2" w:rsidRPr="00FD297D">
        <w:rPr>
          <w:rFonts w:ascii="Verdana" w:hAnsi="Verdana"/>
        </w:rPr>
        <w:t xml:space="preserve"> </w:t>
      </w:r>
      <w:r w:rsidR="0042575A">
        <w:rPr>
          <w:rFonts w:ascii="Verdana" w:hAnsi="Verdana"/>
        </w:rPr>
        <w:t>Significantly, in 2016</w:t>
      </w:r>
      <w:r w:rsidR="00DD21A8">
        <w:rPr>
          <w:rFonts w:ascii="Verdana" w:hAnsi="Verdana"/>
        </w:rPr>
        <w:t>,</w:t>
      </w:r>
      <w:r w:rsidR="0042575A">
        <w:rPr>
          <w:rFonts w:ascii="Verdana" w:hAnsi="Verdana"/>
        </w:rPr>
        <w:t xml:space="preserve"> t</w:t>
      </w:r>
      <w:r w:rsidR="007602C2">
        <w:rPr>
          <w:rFonts w:ascii="Verdana" w:hAnsi="Verdana"/>
        </w:rPr>
        <w:t xml:space="preserve">he Committee </w:t>
      </w:r>
      <w:r w:rsidR="007602C2" w:rsidRPr="00D67970">
        <w:rPr>
          <w:rFonts w:ascii="Verdana" w:hAnsi="Verdana"/>
        </w:rPr>
        <w:t>recommend</w:t>
      </w:r>
      <w:r w:rsidR="007602C2">
        <w:rPr>
          <w:rFonts w:ascii="Verdana" w:hAnsi="Verdana"/>
        </w:rPr>
        <w:t>ed that “</w:t>
      </w:r>
      <w:r w:rsidR="007602C2" w:rsidRPr="00D67970">
        <w:rPr>
          <w:rFonts w:ascii="Verdana" w:hAnsi="Verdana"/>
        </w:rPr>
        <w:t>Northern Ireland actively promote a fully integrated education system</w:t>
      </w:r>
      <w:r w:rsidR="007602C2">
        <w:rPr>
          <w:rFonts w:ascii="Verdana" w:hAnsi="Verdana"/>
        </w:rPr>
        <w:t>.”</w:t>
      </w:r>
      <w:r w:rsidR="007602C2">
        <w:rPr>
          <w:rStyle w:val="FootnoteReference"/>
          <w:rFonts w:ascii="Verdana" w:hAnsi="Verdana"/>
        </w:rPr>
        <w:footnoteReference w:id="33"/>
      </w:r>
    </w:p>
    <w:p w14:paraId="5897C207" w14:textId="50FB79DB" w:rsidR="001B0A54" w:rsidRDefault="001B0A54" w:rsidP="0042575A">
      <w:pPr>
        <w:pStyle w:val="BasicParagraph"/>
        <w:suppressAutoHyphens/>
        <w:ind w:left="720" w:hanging="720"/>
        <w:rPr>
          <w:rFonts w:ascii="Verdana" w:hAnsi="Verdana"/>
        </w:rPr>
      </w:pPr>
    </w:p>
    <w:p w14:paraId="7E80AA6A" w14:textId="2CDCC0AA" w:rsidR="00B238A0" w:rsidRPr="00DD21A8" w:rsidRDefault="00A42347" w:rsidP="00C02BE3">
      <w:pPr>
        <w:pStyle w:val="BasicParagraph"/>
        <w:numPr>
          <w:ilvl w:val="1"/>
          <w:numId w:val="19"/>
        </w:numPr>
        <w:suppressAutoHyphens/>
        <w:spacing w:after="240"/>
        <w:rPr>
          <w:rFonts w:ascii="Verdana" w:hAnsi="Verdana"/>
        </w:rPr>
      </w:pPr>
      <w:r w:rsidRPr="00DD21A8">
        <w:rPr>
          <w:rFonts w:ascii="Verdana" w:hAnsi="Verdana"/>
        </w:rPr>
        <w:t>It is acknowledged that</w:t>
      </w:r>
      <w:r w:rsidR="00F862AC" w:rsidRPr="00DD21A8">
        <w:rPr>
          <w:rFonts w:ascii="Verdana" w:hAnsi="Verdana"/>
        </w:rPr>
        <w:t>,</w:t>
      </w:r>
      <w:r w:rsidR="00895990" w:rsidRPr="00DD21A8">
        <w:rPr>
          <w:rFonts w:ascii="Verdana" w:hAnsi="Verdana"/>
        </w:rPr>
        <w:t xml:space="preserve"> </w:t>
      </w:r>
      <w:r w:rsidR="0075720C" w:rsidRPr="00DD21A8">
        <w:rPr>
          <w:rFonts w:ascii="Verdana" w:hAnsi="Verdana"/>
        </w:rPr>
        <w:t>if enacted</w:t>
      </w:r>
      <w:r w:rsidR="009651B3" w:rsidRPr="00DD21A8">
        <w:rPr>
          <w:rFonts w:ascii="Verdana" w:hAnsi="Verdana"/>
        </w:rPr>
        <w:t>,</w:t>
      </w:r>
      <w:r w:rsidR="00F862AC" w:rsidRPr="00DD21A8">
        <w:rPr>
          <w:rFonts w:ascii="Verdana" w:hAnsi="Verdana"/>
        </w:rPr>
        <w:t xml:space="preserve"> </w:t>
      </w:r>
      <w:r w:rsidR="005C68BE" w:rsidRPr="00DD21A8">
        <w:rPr>
          <w:rFonts w:ascii="Verdana" w:hAnsi="Verdana"/>
        </w:rPr>
        <w:t xml:space="preserve">Clause 4 </w:t>
      </w:r>
      <w:r w:rsidR="00895990" w:rsidRPr="00DD21A8">
        <w:rPr>
          <w:rFonts w:ascii="Verdana" w:hAnsi="Verdana"/>
        </w:rPr>
        <w:t xml:space="preserve">would </w:t>
      </w:r>
      <w:r w:rsidR="00CF387E" w:rsidRPr="00DD21A8">
        <w:rPr>
          <w:rFonts w:ascii="Verdana" w:hAnsi="Verdana"/>
        </w:rPr>
        <w:t xml:space="preserve">place </w:t>
      </w:r>
      <w:r w:rsidR="0075720C" w:rsidRPr="00DD21A8">
        <w:rPr>
          <w:rFonts w:ascii="Verdana" w:hAnsi="Verdana"/>
        </w:rPr>
        <w:t xml:space="preserve">a </w:t>
      </w:r>
      <w:r w:rsidR="00CF387E" w:rsidRPr="00DD21A8">
        <w:rPr>
          <w:rFonts w:ascii="Verdana" w:hAnsi="Verdana"/>
        </w:rPr>
        <w:t>stronger legislative responsibili</w:t>
      </w:r>
      <w:r w:rsidR="0075720C" w:rsidRPr="00DD21A8">
        <w:rPr>
          <w:rFonts w:ascii="Verdana" w:hAnsi="Verdana"/>
        </w:rPr>
        <w:t>ty</w:t>
      </w:r>
      <w:r w:rsidR="00CF387E" w:rsidRPr="00DD21A8">
        <w:rPr>
          <w:rFonts w:ascii="Verdana" w:hAnsi="Verdana"/>
        </w:rPr>
        <w:t xml:space="preserve"> </w:t>
      </w:r>
      <w:r w:rsidR="00AF5A88" w:rsidRPr="00DD21A8">
        <w:rPr>
          <w:rFonts w:ascii="Verdana" w:hAnsi="Verdana"/>
        </w:rPr>
        <w:t xml:space="preserve">on the Department </w:t>
      </w:r>
      <w:r w:rsidR="00DD21A8" w:rsidRPr="00DD21A8">
        <w:rPr>
          <w:rFonts w:ascii="Verdana" w:hAnsi="Verdana"/>
        </w:rPr>
        <w:t xml:space="preserve">of Education </w:t>
      </w:r>
      <w:r w:rsidR="00CF387E" w:rsidRPr="00DD21A8">
        <w:rPr>
          <w:rFonts w:ascii="Verdana" w:hAnsi="Verdana"/>
        </w:rPr>
        <w:t>than</w:t>
      </w:r>
      <w:r w:rsidR="00555D59" w:rsidRPr="00DD21A8">
        <w:rPr>
          <w:rFonts w:ascii="Verdana" w:hAnsi="Verdana"/>
        </w:rPr>
        <w:t xml:space="preserve"> </w:t>
      </w:r>
      <w:r w:rsidR="00DD21A8" w:rsidRPr="00DD21A8">
        <w:rPr>
          <w:rFonts w:ascii="Verdana" w:hAnsi="Verdana"/>
        </w:rPr>
        <w:t xml:space="preserve">in </w:t>
      </w:r>
      <w:r w:rsidR="00CF387E" w:rsidRPr="00DD21A8">
        <w:rPr>
          <w:rFonts w:ascii="Verdana" w:hAnsi="Verdana"/>
        </w:rPr>
        <w:t xml:space="preserve">other sectors. </w:t>
      </w:r>
      <w:r w:rsidR="007C104D" w:rsidRPr="00DD21A8">
        <w:rPr>
          <w:rFonts w:ascii="Verdana" w:hAnsi="Verdana"/>
        </w:rPr>
        <w:t xml:space="preserve">ECHR </w:t>
      </w:r>
      <w:r w:rsidR="00623302" w:rsidRPr="00DD21A8">
        <w:rPr>
          <w:rFonts w:ascii="Verdana" w:hAnsi="Verdana"/>
        </w:rPr>
        <w:t xml:space="preserve">Article </w:t>
      </w:r>
      <w:r w:rsidR="007C104D" w:rsidRPr="00DD21A8">
        <w:rPr>
          <w:rFonts w:ascii="Verdana" w:hAnsi="Verdana"/>
        </w:rPr>
        <w:t xml:space="preserve">2 of Protocol No.1 </w:t>
      </w:r>
      <w:r w:rsidR="00643C95" w:rsidRPr="00DD21A8">
        <w:rPr>
          <w:rFonts w:ascii="Verdana" w:hAnsi="Verdana"/>
        </w:rPr>
        <w:t xml:space="preserve">and </w:t>
      </w:r>
      <w:r w:rsidR="00253A6F" w:rsidRPr="00DD21A8">
        <w:rPr>
          <w:rFonts w:ascii="Verdana" w:hAnsi="Verdana"/>
        </w:rPr>
        <w:t>jurisprudence</w:t>
      </w:r>
      <w:r w:rsidR="001D78B5" w:rsidRPr="00DD21A8">
        <w:rPr>
          <w:rFonts w:ascii="Verdana" w:hAnsi="Verdana"/>
        </w:rPr>
        <w:t xml:space="preserve"> of </w:t>
      </w:r>
      <w:r w:rsidR="00253A6F" w:rsidRPr="00DD21A8">
        <w:rPr>
          <w:rFonts w:ascii="Verdana" w:hAnsi="Verdana"/>
        </w:rPr>
        <w:t xml:space="preserve">the </w:t>
      </w:r>
      <w:r w:rsidR="005F6403" w:rsidRPr="00DD21A8">
        <w:rPr>
          <w:rFonts w:ascii="Verdana" w:hAnsi="Verdana"/>
        </w:rPr>
        <w:t>European Court of Human Rights (ECtHR)</w:t>
      </w:r>
      <w:r w:rsidR="00DD21A8" w:rsidRPr="00DD21A8">
        <w:rPr>
          <w:rFonts w:ascii="Verdana" w:hAnsi="Verdana"/>
        </w:rPr>
        <w:t xml:space="preserve"> makes clear that </w:t>
      </w:r>
      <w:r w:rsidR="00DD1A4E" w:rsidRPr="00DD21A8">
        <w:rPr>
          <w:rFonts w:ascii="Verdana" w:hAnsi="Verdana"/>
        </w:rPr>
        <w:t xml:space="preserve">Member States </w:t>
      </w:r>
      <w:r w:rsidR="00836D8B" w:rsidRPr="00DD21A8">
        <w:rPr>
          <w:rFonts w:ascii="Verdana" w:hAnsi="Verdana"/>
        </w:rPr>
        <w:t xml:space="preserve">enjoy a </w:t>
      </w:r>
      <w:r w:rsidR="00363E5F" w:rsidRPr="00DD21A8">
        <w:rPr>
          <w:rFonts w:ascii="Verdana" w:hAnsi="Verdana"/>
        </w:rPr>
        <w:t>margin of appreciation</w:t>
      </w:r>
      <w:r w:rsidR="00836D8B" w:rsidRPr="00DD21A8">
        <w:rPr>
          <w:rFonts w:ascii="Verdana" w:hAnsi="Verdana"/>
        </w:rPr>
        <w:t xml:space="preserve"> </w:t>
      </w:r>
      <w:r w:rsidR="009651B3" w:rsidRPr="00DD21A8">
        <w:rPr>
          <w:rFonts w:ascii="Verdana" w:hAnsi="Verdana"/>
        </w:rPr>
        <w:t xml:space="preserve">in </w:t>
      </w:r>
      <w:r w:rsidR="00A10BFE" w:rsidRPr="00DD21A8">
        <w:rPr>
          <w:rFonts w:ascii="Verdana" w:hAnsi="Verdana"/>
        </w:rPr>
        <w:t>educational provision</w:t>
      </w:r>
      <w:r w:rsidR="00B27683" w:rsidRPr="00DD21A8">
        <w:rPr>
          <w:rFonts w:ascii="Verdana" w:hAnsi="Verdana"/>
        </w:rPr>
        <w:t xml:space="preserve">. </w:t>
      </w:r>
      <w:r w:rsidR="00DD21A8">
        <w:rPr>
          <w:rFonts w:ascii="Verdana" w:hAnsi="Verdana" w:cs="Arial"/>
          <w:color w:val="232120"/>
        </w:rPr>
        <w:t>A</w:t>
      </w:r>
      <w:r w:rsidR="0034157F" w:rsidRPr="00DD21A8">
        <w:rPr>
          <w:rFonts w:ascii="Verdana" w:hAnsi="Verdana" w:cs="Arial"/>
          <w:color w:val="232120"/>
        </w:rPr>
        <w:t>rticle 2 of Protocol 1 outlines the State duty to ‘respect the right of parents to ensure such education and teaching in conformity with their own religious and philosophical convictions’.</w:t>
      </w:r>
      <w:r w:rsidR="0034157F">
        <w:rPr>
          <w:rStyle w:val="FootnoteReference"/>
          <w:rFonts w:ascii="Verdana" w:hAnsi="Verdana" w:cs="Arial"/>
          <w:color w:val="232120"/>
        </w:rPr>
        <w:footnoteReference w:id="34"/>
      </w:r>
      <w:r w:rsidR="0034157F" w:rsidRPr="00DD21A8">
        <w:rPr>
          <w:rFonts w:ascii="Verdana" w:hAnsi="Verdana" w:cs="Arial"/>
          <w:color w:val="232120"/>
        </w:rPr>
        <w:t xml:space="preserve"> The Commission notes the UK’s reservation</w:t>
      </w:r>
      <w:r w:rsidR="00DD21A8">
        <w:rPr>
          <w:rFonts w:ascii="Verdana" w:hAnsi="Verdana" w:cs="Arial"/>
          <w:color w:val="232120"/>
        </w:rPr>
        <w:t xml:space="preserve">, which commits to </w:t>
      </w:r>
      <w:r w:rsidR="0034157F" w:rsidRPr="00DD21A8">
        <w:rPr>
          <w:rFonts w:ascii="Verdana" w:hAnsi="Verdana" w:cs="Arial"/>
          <w:color w:val="232120"/>
        </w:rPr>
        <w:t>adher</w:t>
      </w:r>
      <w:r w:rsidR="00DD21A8">
        <w:rPr>
          <w:rFonts w:ascii="Verdana" w:hAnsi="Verdana" w:cs="Arial"/>
          <w:color w:val="232120"/>
        </w:rPr>
        <w:t>ing</w:t>
      </w:r>
      <w:r w:rsidR="0034157F" w:rsidRPr="00DD21A8">
        <w:rPr>
          <w:rFonts w:ascii="Verdana" w:hAnsi="Verdana" w:cs="Arial"/>
          <w:color w:val="232120"/>
        </w:rPr>
        <w:t xml:space="preserve"> to the principle of educating pupils in accordance with parents’ wishes </w:t>
      </w:r>
      <w:r w:rsidR="00DD21A8">
        <w:rPr>
          <w:rFonts w:ascii="Verdana" w:hAnsi="Verdana" w:cs="Arial"/>
          <w:color w:val="232120"/>
        </w:rPr>
        <w:t>“</w:t>
      </w:r>
      <w:r w:rsidR="0034157F" w:rsidRPr="00DD21A8">
        <w:rPr>
          <w:rFonts w:ascii="Verdana" w:hAnsi="Verdana" w:cs="Arial"/>
          <w:color w:val="232120"/>
        </w:rPr>
        <w:t>only so far as it is compatible with the provision of efficient instruction and training, and the avoidance of unreasonable public expenditure</w:t>
      </w:r>
      <w:r w:rsidR="00DD21A8">
        <w:rPr>
          <w:rFonts w:ascii="Verdana" w:hAnsi="Verdana" w:cs="Arial"/>
          <w:color w:val="232120"/>
        </w:rPr>
        <w:t>”.</w:t>
      </w:r>
      <w:r w:rsidR="0034157F">
        <w:rPr>
          <w:rStyle w:val="FootnoteReference"/>
          <w:rFonts w:ascii="Verdana" w:hAnsi="Verdana" w:cs="Arial"/>
          <w:color w:val="232120"/>
        </w:rPr>
        <w:footnoteReference w:id="35"/>
      </w:r>
    </w:p>
    <w:p w14:paraId="49A5CB3F" w14:textId="28ED36D0" w:rsidR="00836D8B" w:rsidRPr="00B238A0" w:rsidRDefault="007429DB" w:rsidP="00C02BE3">
      <w:pPr>
        <w:pStyle w:val="BasicParagraph"/>
        <w:numPr>
          <w:ilvl w:val="1"/>
          <w:numId w:val="18"/>
        </w:numPr>
        <w:suppressAutoHyphens/>
        <w:spacing w:after="240"/>
        <w:rPr>
          <w:rFonts w:ascii="Verdana" w:hAnsi="Verdana"/>
        </w:rPr>
      </w:pPr>
      <w:r w:rsidRPr="00B238A0">
        <w:rPr>
          <w:rFonts w:ascii="Verdana" w:hAnsi="Verdana"/>
        </w:rPr>
        <w:t>Early jurisprudence on</w:t>
      </w:r>
      <w:r w:rsidR="00927F53" w:rsidRPr="00B238A0">
        <w:rPr>
          <w:rFonts w:ascii="Verdana" w:hAnsi="Verdana"/>
        </w:rPr>
        <w:t xml:space="preserve"> Article 2</w:t>
      </w:r>
      <w:r w:rsidR="00782BBC" w:rsidRPr="00B238A0">
        <w:rPr>
          <w:rFonts w:ascii="Verdana" w:hAnsi="Verdana"/>
        </w:rPr>
        <w:t xml:space="preserve"> Protoc</w:t>
      </w:r>
      <w:r w:rsidR="00C34432" w:rsidRPr="00B238A0">
        <w:rPr>
          <w:rFonts w:ascii="Verdana" w:hAnsi="Verdana"/>
        </w:rPr>
        <w:t>o</w:t>
      </w:r>
      <w:r w:rsidR="00782BBC" w:rsidRPr="00B238A0">
        <w:rPr>
          <w:rFonts w:ascii="Verdana" w:hAnsi="Verdana"/>
        </w:rPr>
        <w:t>l 1</w:t>
      </w:r>
      <w:r w:rsidR="00927F53" w:rsidRPr="00B238A0">
        <w:rPr>
          <w:rFonts w:ascii="Verdana" w:hAnsi="Verdana"/>
        </w:rPr>
        <w:t xml:space="preserve"> </w:t>
      </w:r>
      <w:r w:rsidRPr="00B238A0">
        <w:rPr>
          <w:rFonts w:ascii="Verdana" w:hAnsi="Verdana"/>
        </w:rPr>
        <w:t>established that</w:t>
      </w:r>
      <w:r w:rsidR="00927F53" w:rsidRPr="00B238A0">
        <w:rPr>
          <w:rFonts w:ascii="Verdana" w:hAnsi="Verdana"/>
        </w:rPr>
        <w:t xml:space="preserve"> </w:t>
      </w:r>
      <w:r w:rsidR="00B707DF" w:rsidRPr="00B238A0">
        <w:rPr>
          <w:rFonts w:ascii="Verdana" w:hAnsi="Verdana"/>
        </w:rPr>
        <w:t xml:space="preserve">it </w:t>
      </w:r>
      <w:r w:rsidR="005A51FF" w:rsidRPr="00B238A0">
        <w:rPr>
          <w:rFonts w:ascii="Verdana" w:hAnsi="Verdana"/>
        </w:rPr>
        <w:t>“</w:t>
      </w:r>
      <w:r w:rsidR="00ED2A1D" w:rsidRPr="00B238A0">
        <w:rPr>
          <w:rFonts w:ascii="Verdana" w:hAnsi="Verdana"/>
        </w:rPr>
        <w:t xml:space="preserve">aims in short at </w:t>
      </w:r>
      <w:r w:rsidR="005A51FF" w:rsidRPr="00B238A0">
        <w:rPr>
          <w:rFonts w:ascii="Verdana" w:hAnsi="Verdana"/>
        </w:rPr>
        <w:t xml:space="preserve">safeguarding the possibility of pluralism in education which </w:t>
      </w:r>
      <w:r w:rsidR="00ED2A1D" w:rsidRPr="00B238A0">
        <w:rPr>
          <w:rFonts w:ascii="Verdana" w:hAnsi="Verdana"/>
        </w:rPr>
        <w:t>possibility is essential for the preservation of the ‘democratic society’ as conceived by the Convention”</w:t>
      </w:r>
      <w:r w:rsidR="00672D39" w:rsidRPr="00B238A0">
        <w:rPr>
          <w:rFonts w:ascii="Verdana" w:hAnsi="Verdana"/>
        </w:rPr>
        <w:t>.</w:t>
      </w:r>
      <w:r w:rsidR="00544AC5">
        <w:rPr>
          <w:rStyle w:val="FootnoteReference"/>
          <w:rFonts w:ascii="Verdana" w:hAnsi="Verdana"/>
        </w:rPr>
        <w:footnoteReference w:id="36"/>
      </w:r>
      <w:r w:rsidR="00672D39" w:rsidRPr="00B238A0">
        <w:rPr>
          <w:rFonts w:ascii="Verdana" w:hAnsi="Verdana"/>
        </w:rPr>
        <w:t xml:space="preserve"> Further</w:t>
      </w:r>
      <w:r w:rsidR="00B238A0">
        <w:rPr>
          <w:rFonts w:ascii="Verdana" w:hAnsi="Verdana"/>
        </w:rPr>
        <w:t>more</w:t>
      </w:r>
      <w:r w:rsidR="00672D39" w:rsidRPr="00B238A0">
        <w:rPr>
          <w:rFonts w:ascii="Verdana" w:hAnsi="Verdana"/>
        </w:rPr>
        <w:t>,</w:t>
      </w:r>
      <w:r w:rsidR="00B238A0">
        <w:rPr>
          <w:rFonts w:ascii="Verdana" w:hAnsi="Verdana"/>
        </w:rPr>
        <w:t xml:space="preserve"> that </w:t>
      </w:r>
      <w:r w:rsidR="00166988" w:rsidRPr="00B238A0">
        <w:rPr>
          <w:rFonts w:ascii="Verdana" w:hAnsi="Verdana"/>
        </w:rPr>
        <w:t>“the State, in fulfilling the functions assumed by it in regard to education and teaching, must take care that information or knowledge included in the curriculum is conveyed in an objective, critical and pluralistic manner.”</w:t>
      </w:r>
      <w:r w:rsidR="00EA07A8">
        <w:rPr>
          <w:rStyle w:val="FootnoteReference"/>
          <w:rFonts w:ascii="Verdana" w:hAnsi="Verdana"/>
        </w:rPr>
        <w:footnoteReference w:id="37"/>
      </w:r>
      <w:r w:rsidR="002059EF" w:rsidRPr="00B238A0">
        <w:rPr>
          <w:rFonts w:ascii="Verdana" w:hAnsi="Verdana"/>
        </w:rPr>
        <w:t xml:space="preserve"> </w:t>
      </w:r>
    </w:p>
    <w:p w14:paraId="2E82113F" w14:textId="193A7B82" w:rsidR="00804914" w:rsidRPr="00DE049D" w:rsidRDefault="009F6B86" w:rsidP="00DE049D">
      <w:pPr>
        <w:pStyle w:val="ListParagraph"/>
        <w:numPr>
          <w:ilvl w:val="1"/>
          <w:numId w:val="18"/>
        </w:numPr>
        <w:spacing w:line="276" w:lineRule="auto"/>
        <w:jc w:val="both"/>
        <w:rPr>
          <w:rFonts w:ascii="Verdana" w:hAnsi="Verdana"/>
        </w:rPr>
      </w:pPr>
      <w:r w:rsidRPr="00DE049D">
        <w:rPr>
          <w:rFonts w:ascii="Verdana" w:hAnsi="Verdana"/>
        </w:rPr>
        <w:t>In</w:t>
      </w:r>
      <w:r w:rsidR="00B238A0">
        <w:rPr>
          <w:rFonts w:ascii="Verdana" w:hAnsi="Verdana"/>
        </w:rPr>
        <w:t xml:space="preserve"> the case of</w:t>
      </w:r>
      <w:r w:rsidRPr="00DE049D">
        <w:rPr>
          <w:rFonts w:ascii="Verdana" w:hAnsi="Verdana"/>
        </w:rPr>
        <w:t xml:space="preserve"> </w:t>
      </w:r>
      <w:r w:rsidR="006A0205" w:rsidRPr="00DE049D">
        <w:rPr>
          <w:rFonts w:ascii="Verdana" w:hAnsi="Verdana"/>
          <w:i/>
          <w:iCs/>
        </w:rPr>
        <w:t>Osmanoğlu and Kocabaş v. Switzerland,</w:t>
      </w:r>
      <w:r w:rsidR="006A0205">
        <w:rPr>
          <w:rStyle w:val="FootnoteReference"/>
          <w:rFonts w:ascii="Verdana" w:hAnsi="Verdana"/>
          <w:i/>
          <w:iCs/>
        </w:rPr>
        <w:footnoteReference w:id="38"/>
      </w:r>
      <w:r w:rsidR="006A0205" w:rsidRPr="00DE049D">
        <w:rPr>
          <w:rFonts w:ascii="Verdana" w:hAnsi="Verdana"/>
        </w:rPr>
        <w:t xml:space="preserve"> </w:t>
      </w:r>
      <w:r w:rsidR="00B238A0">
        <w:rPr>
          <w:rFonts w:ascii="Verdana" w:hAnsi="Verdana"/>
        </w:rPr>
        <w:t xml:space="preserve">for example, </w:t>
      </w:r>
      <w:r w:rsidR="006A0205" w:rsidRPr="00DE049D">
        <w:rPr>
          <w:rFonts w:ascii="Verdana" w:hAnsi="Verdana"/>
        </w:rPr>
        <w:t xml:space="preserve">the </w:t>
      </w:r>
      <w:r w:rsidR="00804914" w:rsidRPr="00DE049D">
        <w:rPr>
          <w:rFonts w:ascii="Verdana" w:hAnsi="Verdana"/>
        </w:rPr>
        <w:t xml:space="preserve">ECtHR held that the State must refrain from pursuing any aim of </w:t>
      </w:r>
      <w:r w:rsidR="00066725" w:rsidRPr="00DE049D">
        <w:rPr>
          <w:rFonts w:ascii="Verdana" w:hAnsi="Verdana"/>
        </w:rPr>
        <w:t xml:space="preserve">religious </w:t>
      </w:r>
      <w:r w:rsidR="00804914" w:rsidRPr="00DE049D">
        <w:rPr>
          <w:rFonts w:ascii="Verdana" w:hAnsi="Verdana"/>
        </w:rPr>
        <w:lastRenderedPageBreak/>
        <w:t xml:space="preserve">indoctrination, </w:t>
      </w:r>
      <w:r w:rsidR="00B238A0">
        <w:rPr>
          <w:rFonts w:ascii="Verdana" w:hAnsi="Verdana"/>
        </w:rPr>
        <w:t xml:space="preserve">but </w:t>
      </w:r>
      <w:r w:rsidR="00804914" w:rsidRPr="00DE049D">
        <w:rPr>
          <w:rFonts w:ascii="Verdana" w:hAnsi="Verdana"/>
        </w:rPr>
        <w:t>they are nonetheless free to devise their school curricula according to their needs and traditions</w:t>
      </w:r>
      <w:r w:rsidR="003873E6" w:rsidRPr="00DE049D">
        <w:rPr>
          <w:rFonts w:ascii="Verdana" w:hAnsi="Verdana"/>
        </w:rPr>
        <w:t xml:space="preserve">. </w:t>
      </w:r>
      <w:r w:rsidR="003D5AEF" w:rsidRPr="00DE049D">
        <w:rPr>
          <w:rFonts w:ascii="Verdana" w:hAnsi="Verdana"/>
        </w:rPr>
        <w:t xml:space="preserve">In </w:t>
      </w:r>
      <w:r w:rsidR="003D5AEF" w:rsidRPr="00DE049D">
        <w:rPr>
          <w:rFonts w:ascii="Verdana" w:hAnsi="Verdana"/>
          <w:i/>
          <w:iCs/>
        </w:rPr>
        <w:t>Lautsi v. Italy</w:t>
      </w:r>
      <w:r w:rsidR="003D5AEF">
        <w:rPr>
          <w:rStyle w:val="FootnoteReference"/>
          <w:rFonts w:ascii="Verdana" w:hAnsi="Verdana"/>
          <w:i/>
          <w:iCs/>
        </w:rPr>
        <w:footnoteReference w:id="39"/>
      </w:r>
      <w:r w:rsidR="003D5AEF" w:rsidRPr="00DE049D">
        <w:rPr>
          <w:rFonts w:ascii="Verdana" w:hAnsi="Verdana"/>
        </w:rPr>
        <w:t xml:space="preserve"> </w:t>
      </w:r>
      <w:r w:rsidR="00F52925" w:rsidRPr="00DE049D">
        <w:rPr>
          <w:rFonts w:ascii="Verdana" w:hAnsi="Verdana"/>
        </w:rPr>
        <w:t xml:space="preserve">it was held </w:t>
      </w:r>
      <w:r w:rsidR="003D5AEF" w:rsidRPr="00DE049D">
        <w:rPr>
          <w:rFonts w:ascii="Verdana" w:hAnsi="Verdana"/>
        </w:rPr>
        <w:t>that the requirement in Italian law that crucifixes be displayed in classrooms does not violate the ECHR.</w:t>
      </w:r>
      <w:r w:rsidR="00DE049D" w:rsidRPr="00DE049D">
        <w:rPr>
          <w:rFonts w:ascii="Verdana" w:hAnsi="Verdana"/>
        </w:rPr>
        <w:t xml:space="preserve"> </w:t>
      </w:r>
    </w:p>
    <w:p w14:paraId="414B1A68" w14:textId="4B6C87CB" w:rsidR="00F849F9" w:rsidRDefault="00F849F9" w:rsidP="00F849F9">
      <w:pPr>
        <w:pStyle w:val="BasicParagraph"/>
        <w:suppressAutoHyphens/>
        <w:rPr>
          <w:rFonts w:ascii="Verdana" w:hAnsi="Verdana"/>
        </w:rPr>
      </w:pPr>
    </w:p>
    <w:p w14:paraId="1003877B" w14:textId="2F255E0D" w:rsidR="00B3300B" w:rsidRPr="00013D7C" w:rsidRDefault="009C44E3" w:rsidP="00013D7C">
      <w:pPr>
        <w:pStyle w:val="ListParagraph"/>
        <w:numPr>
          <w:ilvl w:val="1"/>
          <w:numId w:val="18"/>
        </w:numPr>
        <w:spacing w:line="276" w:lineRule="auto"/>
        <w:jc w:val="both"/>
        <w:rPr>
          <w:rFonts w:ascii="Verdana" w:hAnsi="Verdana"/>
        </w:rPr>
      </w:pPr>
      <w:r w:rsidRPr="004A2E50">
        <w:rPr>
          <w:rFonts w:ascii="Verdana" w:hAnsi="Verdana"/>
        </w:rPr>
        <w:t>Where</w:t>
      </w:r>
      <w:r w:rsidR="00456653" w:rsidRPr="004A2E50">
        <w:rPr>
          <w:rFonts w:ascii="Verdana" w:hAnsi="Verdana"/>
        </w:rPr>
        <w:t xml:space="preserve"> a State applies different treatment in the implementation of its</w:t>
      </w:r>
      <w:r w:rsidR="006B686D" w:rsidRPr="004A2E50">
        <w:rPr>
          <w:rFonts w:ascii="Verdana" w:hAnsi="Verdana"/>
        </w:rPr>
        <w:t xml:space="preserve"> </w:t>
      </w:r>
      <w:r w:rsidR="00456653" w:rsidRPr="004A2E50">
        <w:rPr>
          <w:rFonts w:ascii="Verdana" w:hAnsi="Verdana"/>
        </w:rPr>
        <w:t>obligations under Article 2 of Protocol No. 1</w:t>
      </w:r>
      <w:r w:rsidR="00B238A0">
        <w:rPr>
          <w:rFonts w:ascii="Verdana" w:hAnsi="Verdana"/>
        </w:rPr>
        <w:t>,</w:t>
      </w:r>
      <w:r w:rsidR="00AB6551" w:rsidRPr="004A2E50">
        <w:rPr>
          <w:rFonts w:ascii="Verdana" w:hAnsi="Verdana"/>
        </w:rPr>
        <w:t xml:space="preserve"> </w:t>
      </w:r>
      <w:r w:rsidR="008257DB" w:rsidRPr="004A2E50">
        <w:rPr>
          <w:rFonts w:ascii="Verdana" w:hAnsi="Verdana"/>
        </w:rPr>
        <w:t>it must be in pursuit of a legitimate aim and be proportionate</w:t>
      </w:r>
      <w:r w:rsidR="006B686D" w:rsidRPr="004A2E50">
        <w:rPr>
          <w:rFonts w:ascii="Verdana" w:hAnsi="Verdana"/>
        </w:rPr>
        <w:t xml:space="preserve"> to that aim.</w:t>
      </w:r>
      <w:r w:rsidR="006B686D">
        <w:rPr>
          <w:rStyle w:val="FootnoteReference"/>
          <w:rFonts w:ascii="Verdana" w:hAnsi="Verdana"/>
        </w:rPr>
        <w:footnoteReference w:id="40"/>
      </w:r>
      <w:r w:rsidR="006B686D" w:rsidRPr="004A2E50">
        <w:rPr>
          <w:rFonts w:ascii="Verdana" w:hAnsi="Verdana"/>
        </w:rPr>
        <w:t xml:space="preserve"> </w:t>
      </w:r>
      <w:r w:rsidR="0079274B" w:rsidRPr="00013D7C">
        <w:rPr>
          <w:rFonts w:ascii="Verdana" w:hAnsi="Verdana"/>
        </w:rPr>
        <w:t>Ultimately,</w:t>
      </w:r>
      <w:r w:rsidR="00B3300B" w:rsidRPr="00013D7C">
        <w:rPr>
          <w:rFonts w:ascii="Verdana" w:hAnsi="Verdana"/>
        </w:rPr>
        <w:t xml:space="preserve"> in the same way the State has maintained a </w:t>
      </w:r>
      <w:r w:rsidR="00E75454" w:rsidRPr="00AB7897">
        <w:rPr>
          <w:rFonts w:ascii="Verdana" w:hAnsi="Verdana"/>
          <w:i/>
          <w:iCs/>
        </w:rPr>
        <w:t>de</w:t>
      </w:r>
      <w:r w:rsidR="00AB7897" w:rsidRPr="00AB7897">
        <w:rPr>
          <w:rFonts w:ascii="Verdana" w:hAnsi="Verdana"/>
          <w:i/>
          <w:iCs/>
        </w:rPr>
        <w:t xml:space="preserve"> </w:t>
      </w:r>
      <w:r w:rsidR="00E75454" w:rsidRPr="00AB7897">
        <w:rPr>
          <w:rFonts w:ascii="Verdana" w:hAnsi="Verdana"/>
          <w:i/>
          <w:iCs/>
        </w:rPr>
        <w:t>facto</w:t>
      </w:r>
      <w:r w:rsidR="00B3300B" w:rsidRPr="00013D7C">
        <w:rPr>
          <w:rFonts w:ascii="Verdana" w:hAnsi="Verdana"/>
        </w:rPr>
        <w:t xml:space="preserve"> </w:t>
      </w:r>
      <w:r w:rsidR="005B1844" w:rsidRPr="00013D7C">
        <w:rPr>
          <w:rFonts w:ascii="Verdana" w:hAnsi="Verdana"/>
        </w:rPr>
        <w:t>faith-based</w:t>
      </w:r>
      <w:r w:rsidR="00B3300B" w:rsidRPr="00013D7C">
        <w:rPr>
          <w:rFonts w:ascii="Verdana" w:hAnsi="Verdana"/>
        </w:rPr>
        <w:t xml:space="preserve"> system to date, </w:t>
      </w:r>
      <w:r w:rsidR="005B1844" w:rsidRPr="00013D7C">
        <w:rPr>
          <w:rFonts w:ascii="Verdana" w:hAnsi="Verdana"/>
        </w:rPr>
        <w:t xml:space="preserve">it is </w:t>
      </w:r>
      <w:r w:rsidR="00F16747" w:rsidRPr="00013D7C">
        <w:rPr>
          <w:rFonts w:ascii="Verdana" w:hAnsi="Verdana"/>
        </w:rPr>
        <w:t xml:space="preserve">similarly within the States </w:t>
      </w:r>
      <w:r w:rsidR="002837FF" w:rsidRPr="00013D7C">
        <w:rPr>
          <w:rFonts w:ascii="Verdana" w:hAnsi="Verdana"/>
        </w:rPr>
        <w:t>discretion</w:t>
      </w:r>
      <w:r w:rsidR="0037433E" w:rsidRPr="00013D7C">
        <w:rPr>
          <w:rFonts w:ascii="Verdana" w:hAnsi="Verdana"/>
        </w:rPr>
        <w:t xml:space="preserve"> to </w:t>
      </w:r>
      <w:r w:rsidR="00726BA0" w:rsidRPr="00013D7C">
        <w:rPr>
          <w:rFonts w:ascii="Verdana" w:hAnsi="Verdana"/>
        </w:rPr>
        <w:t xml:space="preserve">promote </w:t>
      </w:r>
      <w:r w:rsidR="004033F6" w:rsidRPr="00013D7C">
        <w:rPr>
          <w:rFonts w:ascii="Verdana" w:hAnsi="Verdana"/>
        </w:rPr>
        <w:t>integrated education</w:t>
      </w:r>
      <w:r w:rsidR="00243F7C" w:rsidRPr="00013D7C">
        <w:rPr>
          <w:rFonts w:ascii="Verdana" w:hAnsi="Verdana"/>
        </w:rPr>
        <w:t xml:space="preserve"> within </w:t>
      </w:r>
      <w:r w:rsidR="00C83684" w:rsidRPr="00013D7C">
        <w:rPr>
          <w:rFonts w:ascii="Verdana" w:hAnsi="Verdana"/>
        </w:rPr>
        <w:t xml:space="preserve">the wider objective of </w:t>
      </w:r>
      <w:r w:rsidR="00914CF2" w:rsidRPr="00013D7C">
        <w:rPr>
          <w:rFonts w:ascii="Verdana" w:hAnsi="Verdana"/>
        </w:rPr>
        <w:t>safeguarding</w:t>
      </w:r>
      <w:r w:rsidR="00183C31" w:rsidRPr="00013D7C">
        <w:rPr>
          <w:rFonts w:ascii="Verdana" w:hAnsi="Verdana"/>
        </w:rPr>
        <w:t xml:space="preserve"> pluralism </w:t>
      </w:r>
      <w:r w:rsidR="008E0B6E" w:rsidRPr="00013D7C">
        <w:rPr>
          <w:rFonts w:ascii="Verdana" w:hAnsi="Verdana"/>
        </w:rPr>
        <w:t>in</w:t>
      </w:r>
      <w:r w:rsidR="00C43BD9" w:rsidRPr="00013D7C">
        <w:rPr>
          <w:rFonts w:ascii="Verdana" w:hAnsi="Verdana"/>
        </w:rPr>
        <w:t xml:space="preserve"> the NI</w:t>
      </w:r>
      <w:r w:rsidR="00914CF2" w:rsidRPr="00013D7C">
        <w:rPr>
          <w:rFonts w:ascii="Verdana" w:hAnsi="Verdana"/>
        </w:rPr>
        <w:t xml:space="preserve"> education</w:t>
      </w:r>
      <w:r w:rsidR="00671368" w:rsidRPr="00013D7C">
        <w:rPr>
          <w:rFonts w:ascii="Verdana" w:hAnsi="Verdana"/>
        </w:rPr>
        <w:t xml:space="preserve"> system as a whole</w:t>
      </w:r>
      <w:r w:rsidR="00C25688" w:rsidRPr="00013D7C">
        <w:rPr>
          <w:rFonts w:ascii="Verdana" w:hAnsi="Verdana"/>
        </w:rPr>
        <w:t xml:space="preserve">. </w:t>
      </w:r>
    </w:p>
    <w:p w14:paraId="77D92CF2" w14:textId="606E5695" w:rsidR="0024119F" w:rsidRDefault="0024119F" w:rsidP="009A4666">
      <w:pPr>
        <w:pStyle w:val="BasicParagraph"/>
        <w:suppressAutoHyphens/>
        <w:rPr>
          <w:rFonts w:ascii="Verdana" w:hAnsi="Verdana" w:cs="Arial"/>
          <w:color w:val="3C3C3B"/>
          <w:sz w:val="20"/>
          <w:szCs w:val="20"/>
        </w:rPr>
      </w:pPr>
    </w:p>
    <w:p w14:paraId="3BFF0BF3" w14:textId="045A3329" w:rsidR="00BD5DE4" w:rsidRPr="00B04F7B" w:rsidRDefault="00FA4F0E" w:rsidP="006F2B9C">
      <w:pPr>
        <w:pStyle w:val="BasicParagraph"/>
        <w:suppressAutoHyphens/>
        <w:ind w:left="720" w:hanging="720"/>
        <w:rPr>
          <w:rFonts w:ascii="Verdana" w:hAnsi="Verdana"/>
          <w:b/>
          <w:bCs/>
          <w:color w:val="auto"/>
        </w:rPr>
      </w:pPr>
      <w:r>
        <w:rPr>
          <w:rFonts w:ascii="Verdana" w:hAnsi="Verdana" w:cs="Arial"/>
          <w:b/>
          <w:bCs/>
          <w:color w:val="auto"/>
        </w:rPr>
        <w:t>4</w:t>
      </w:r>
      <w:r w:rsidR="009F0ACC" w:rsidRPr="006126BE">
        <w:rPr>
          <w:rFonts w:ascii="Verdana" w:hAnsi="Verdana" w:cs="Arial"/>
          <w:b/>
          <w:bCs/>
          <w:color w:val="auto"/>
        </w:rPr>
        <w:t>.</w:t>
      </w:r>
      <w:r w:rsidR="00013D7C">
        <w:rPr>
          <w:rFonts w:ascii="Verdana" w:hAnsi="Verdana" w:cs="Arial"/>
          <w:b/>
          <w:bCs/>
          <w:color w:val="auto"/>
        </w:rPr>
        <w:t>1</w:t>
      </w:r>
      <w:r w:rsidR="00C02BE3">
        <w:rPr>
          <w:rFonts w:ascii="Verdana" w:hAnsi="Verdana" w:cs="Arial"/>
          <w:b/>
          <w:bCs/>
          <w:color w:val="auto"/>
        </w:rPr>
        <w:t>0</w:t>
      </w:r>
      <w:r w:rsidR="009F0ACC" w:rsidRPr="006126BE">
        <w:rPr>
          <w:rFonts w:ascii="Verdana" w:hAnsi="Verdana" w:cs="Arial"/>
          <w:b/>
          <w:bCs/>
          <w:color w:val="auto"/>
        </w:rPr>
        <w:tab/>
        <w:t xml:space="preserve">The </w:t>
      </w:r>
      <w:r w:rsidR="00BD5DE4">
        <w:rPr>
          <w:rFonts w:ascii="Verdana" w:hAnsi="Verdana" w:cs="Arial"/>
          <w:b/>
          <w:bCs/>
          <w:color w:val="auto"/>
        </w:rPr>
        <w:t xml:space="preserve">Commission </w:t>
      </w:r>
      <w:r w:rsidR="0013781D">
        <w:rPr>
          <w:rFonts w:ascii="Verdana" w:hAnsi="Verdana" w:cs="Arial"/>
          <w:b/>
          <w:bCs/>
          <w:color w:val="auto"/>
        </w:rPr>
        <w:t xml:space="preserve">supports </w:t>
      </w:r>
      <w:r w:rsidR="009C3C22">
        <w:rPr>
          <w:rFonts w:ascii="Verdana" w:hAnsi="Verdana" w:cs="Arial"/>
          <w:b/>
          <w:bCs/>
          <w:color w:val="auto"/>
        </w:rPr>
        <w:t>Clause 4</w:t>
      </w:r>
      <w:r w:rsidR="00B238A0">
        <w:rPr>
          <w:rFonts w:ascii="Verdana" w:hAnsi="Verdana" w:cs="Arial"/>
          <w:b/>
          <w:bCs/>
          <w:color w:val="auto"/>
        </w:rPr>
        <w:t>,</w:t>
      </w:r>
      <w:r w:rsidR="009C3C22">
        <w:rPr>
          <w:rFonts w:ascii="Verdana" w:hAnsi="Verdana" w:cs="Arial"/>
          <w:b/>
          <w:bCs/>
          <w:color w:val="auto"/>
        </w:rPr>
        <w:t xml:space="preserve"> </w:t>
      </w:r>
      <w:r w:rsidR="00B238A0">
        <w:rPr>
          <w:rFonts w:ascii="Verdana" w:hAnsi="Verdana"/>
          <w:b/>
          <w:bCs/>
          <w:color w:val="auto"/>
        </w:rPr>
        <w:t>which requires</w:t>
      </w:r>
      <w:r w:rsidR="00B238A0" w:rsidRPr="00BD5DE4">
        <w:rPr>
          <w:rFonts w:ascii="Verdana" w:hAnsi="Verdana"/>
          <w:b/>
          <w:bCs/>
          <w:color w:val="auto"/>
        </w:rPr>
        <w:t xml:space="preserve"> the Department of Education to actively promote an integrated education system</w:t>
      </w:r>
      <w:r w:rsidR="00B238A0">
        <w:rPr>
          <w:rFonts w:ascii="Verdana" w:hAnsi="Verdana"/>
          <w:b/>
          <w:bCs/>
          <w:color w:val="auto"/>
        </w:rPr>
        <w:t xml:space="preserve">. </w:t>
      </w:r>
      <w:r w:rsidR="00BD5DE4" w:rsidRPr="00BD5DE4">
        <w:rPr>
          <w:rFonts w:ascii="Verdana" w:hAnsi="Verdana"/>
          <w:b/>
          <w:bCs/>
          <w:color w:val="auto"/>
        </w:rPr>
        <w:t xml:space="preserve"> </w:t>
      </w:r>
    </w:p>
    <w:p w14:paraId="1F4B8A45" w14:textId="30043649" w:rsidR="00FA4F0E" w:rsidRDefault="00FA4F0E" w:rsidP="009C3C22">
      <w:pPr>
        <w:pStyle w:val="BasicParagraph"/>
        <w:suppressAutoHyphens/>
        <w:rPr>
          <w:rFonts w:ascii="Verdana" w:hAnsi="Verdana" w:cs="Arial"/>
          <w:color w:val="232120"/>
        </w:rPr>
      </w:pPr>
    </w:p>
    <w:p w14:paraId="2CA3515B" w14:textId="12D36D8D" w:rsidR="00FA4F0E" w:rsidRPr="005C27FE" w:rsidRDefault="00FA4F0E" w:rsidP="005C27FE">
      <w:pPr>
        <w:pStyle w:val="BasicParagraph"/>
        <w:suppressAutoHyphens/>
        <w:rPr>
          <w:rFonts w:ascii="Verdana" w:hAnsi="Verdana" w:cs="Arial"/>
          <w:color w:val="77328A"/>
          <w:sz w:val="30"/>
          <w:szCs w:val="30"/>
        </w:rPr>
      </w:pPr>
      <w:r>
        <w:rPr>
          <w:rFonts w:ascii="Verdana" w:hAnsi="Verdana" w:cs="Arial"/>
          <w:b/>
          <w:color w:val="77328A"/>
          <w:sz w:val="30"/>
          <w:szCs w:val="30"/>
        </w:rPr>
        <w:t>5</w:t>
      </w:r>
      <w:r w:rsidRPr="003B7D0E">
        <w:rPr>
          <w:rFonts w:ascii="Verdana" w:hAnsi="Verdana" w:cs="Arial"/>
          <w:b/>
          <w:color w:val="77328A"/>
          <w:sz w:val="30"/>
          <w:szCs w:val="30"/>
        </w:rPr>
        <w:t>.0</w:t>
      </w:r>
      <w:r w:rsidRPr="003B7D0E">
        <w:rPr>
          <w:rFonts w:ascii="Verdana" w:hAnsi="Verdana" w:cs="Arial"/>
          <w:b/>
          <w:color w:val="77328A"/>
          <w:sz w:val="30"/>
          <w:szCs w:val="30"/>
        </w:rPr>
        <w:tab/>
      </w:r>
      <w:r w:rsidRPr="00FA4F0E">
        <w:rPr>
          <w:rFonts w:ascii="Verdana" w:hAnsi="Verdana" w:cs="Arial"/>
          <w:b/>
          <w:color w:val="7030A0"/>
          <w:sz w:val="30"/>
          <w:szCs w:val="30"/>
        </w:rPr>
        <w:t>Clause</w:t>
      </w:r>
      <w:r w:rsidR="006B46A2">
        <w:rPr>
          <w:rFonts w:ascii="Verdana" w:hAnsi="Verdana" w:cs="Arial"/>
          <w:b/>
          <w:color w:val="7030A0"/>
          <w:sz w:val="30"/>
          <w:szCs w:val="30"/>
        </w:rPr>
        <w:t xml:space="preserve"> 7: New schools </w:t>
      </w:r>
    </w:p>
    <w:p w14:paraId="5A29DFF5" w14:textId="4609B807" w:rsidR="00831AB3" w:rsidRDefault="008270AE" w:rsidP="00053901">
      <w:pPr>
        <w:pStyle w:val="BasicParagraph"/>
        <w:suppressAutoHyphens/>
        <w:ind w:left="720" w:hanging="720"/>
        <w:rPr>
          <w:rFonts w:ascii="Verdana" w:hAnsi="Verdana" w:cs="Arial"/>
          <w:color w:val="auto"/>
        </w:rPr>
      </w:pPr>
      <w:r>
        <w:rPr>
          <w:rFonts w:ascii="Verdana" w:hAnsi="Verdana" w:cs="Arial"/>
          <w:color w:val="232120"/>
        </w:rPr>
        <w:t>5.1</w:t>
      </w:r>
      <w:r>
        <w:rPr>
          <w:rFonts w:ascii="Verdana" w:hAnsi="Verdana" w:cs="Arial"/>
          <w:color w:val="232120"/>
        </w:rPr>
        <w:tab/>
      </w:r>
      <w:r w:rsidR="00B87863">
        <w:rPr>
          <w:rFonts w:ascii="Verdana" w:hAnsi="Verdana"/>
          <w:color w:val="auto"/>
        </w:rPr>
        <w:t>T</w:t>
      </w:r>
      <w:r w:rsidR="0071705A" w:rsidRPr="00C6567B">
        <w:rPr>
          <w:rFonts w:ascii="Verdana" w:hAnsi="Verdana"/>
          <w:color w:val="auto"/>
        </w:rPr>
        <w:t xml:space="preserve">he Department </w:t>
      </w:r>
      <w:r w:rsidR="002250A8" w:rsidRPr="00C6567B">
        <w:rPr>
          <w:rFonts w:ascii="Verdana" w:hAnsi="Verdana"/>
          <w:color w:val="auto"/>
        </w:rPr>
        <w:t>of Education (DE) provid</w:t>
      </w:r>
      <w:r w:rsidR="00B615FC">
        <w:rPr>
          <w:rFonts w:ascii="Verdana" w:hAnsi="Verdana"/>
          <w:color w:val="auto"/>
        </w:rPr>
        <w:t>es</w:t>
      </w:r>
      <w:r w:rsidR="002250A8" w:rsidRPr="00C6567B">
        <w:rPr>
          <w:rFonts w:ascii="Verdana" w:hAnsi="Verdana"/>
          <w:color w:val="auto"/>
        </w:rPr>
        <w:t xml:space="preserve"> funding for different types of school</w:t>
      </w:r>
      <w:r w:rsidR="00B615FC">
        <w:rPr>
          <w:rFonts w:ascii="Verdana" w:hAnsi="Verdana"/>
          <w:color w:val="auto"/>
        </w:rPr>
        <w:t>. F</w:t>
      </w:r>
      <w:r w:rsidR="00FE2990" w:rsidRPr="00F45F81">
        <w:rPr>
          <w:rFonts w:ascii="Verdana" w:hAnsi="Verdana"/>
        </w:rPr>
        <w:t xml:space="preserve">unding for integrated education schools </w:t>
      </w:r>
      <w:r w:rsidR="00FE2990">
        <w:rPr>
          <w:rFonts w:ascii="Verdana" w:hAnsi="Verdana"/>
        </w:rPr>
        <w:t xml:space="preserve">is considered </w:t>
      </w:r>
      <w:r w:rsidR="00B87863">
        <w:rPr>
          <w:rFonts w:ascii="Verdana" w:hAnsi="Verdana"/>
        </w:rPr>
        <w:t xml:space="preserve">only </w:t>
      </w:r>
      <w:r w:rsidR="00FE2990">
        <w:rPr>
          <w:rFonts w:ascii="Verdana" w:hAnsi="Verdana"/>
        </w:rPr>
        <w:t>if it c</w:t>
      </w:r>
      <w:r w:rsidR="00FE2990" w:rsidRPr="00F45F81">
        <w:rPr>
          <w:rFonts w:ascii="Verdana" w:hAnsi="Verdana"/>
        </w:rPr>
        <w:t>an be shown that there is a local demand for it</w:t>
      </w:r>
      <w:r w:rsidR="00FA280F">
        <w:rPr>
          <w:rFonts w:ascii="Verdana" w:hAnsi="Verdana"/>
        </w:rPr>
        <w:t xml:space="preserve">. </w:t>
      </w:r>
      <w:r w:rsidR="00B87863">
        <w:rPr>
          <w:rFonts w:ascii="Verdana" w:hAnsi="Verdana" w:cs="Arial"/>
          <w:color w:val="auto"/>
        </w:rPr>
        <w:t>U</w:t>
      </w:r>
      <w:r w:rsidR="00B87863" w:rsidRPr="00C6567B">
        <w:rPr>
          <w:rFonts w:ascii="Verdana" w:hAnsi="Verdana" w:cs="Arial"/>
          <w:color w:val="auto"/>
        </w:rPr>
        <w:t>nlike the controlled or maintained sector, there is no planning or strateg</w:t>
      </w:r>
      <w:r w:rsidR="00B87863">
        <w:rPr>
          <w:rFonts w:ascii="Verdana" w:hAnsi="Verdana" w:cs="Arial"/>
          <w:color w:val="auto"/>
        </w:rPr>
        <w:t xml:space="preserve">ic direction </w:t>
      </w:r>
      <w:r w:rsidR="00B87863" w:rsidRPr="00C6567B">
        <w:rPr>
          <w:rFonts w:ascii="Verdana" w:hAnsi="Verdana" w:cs="Arial"/>
          <w:color w:val="auto"/>
        </w:rPr>
        <w:t>for the provision of integrated education</w:t>
      </w:r>
      <w:r w:rsidR="00B87863">
        <w:rPr>
          <w:rFonts w:ascii="Verdana" w:hAnsi="Verdana" w:cs="Arial"/>
          <w:color w:val="auto"/>
        </w:rPr>
        <w:t xml:space="preserve">. As a result, </w:t>
      </w:r>
      <w:r w:rsidR="00B87863" w:rsidRPr="00C6567B">
        <w:rPr>
          <w:rFonts w:ascii="Verdana" w:hAnsi="Verdana" w:cs="Arial"/>
          <w:bCs/>
          <w:color w:val="auto"/>
        </w:rPr>
        <w:t xml:space="preserve">the availability of integrated education in many areas is limited </w:t>
      </w:r>
      <w:r w:rsidR="00B87863">
        <w:rPr>
          <w:rFonts w:ascii="Verdana" w:hAnsi="Verdana" w:cs="Arial"/>
          <w:bCs/>
          <w:color w:val="auto"/>
        </w:rPr>
        <w:t xml:space="preserve">so parents face a lack of choice in terms of the school they enrol their child. </w:t>
      </w:r>
      <w:r w:rsidR="00B87863">
        <w:rPr>
          <w:rFonts w:ascii="Verdana" w:hAnsi="Verdana"/>
        </w:rPr>
        <w:t xml:space="preserve">Demonstration of local demand might place an onerous burden upon parents seeking integrated education for their children.  </w:t>
      </w:r>
    </w:p>
    <w:p w14:paraId="6CAA1BCB" w14:textId="77777777" w:rsidR="00831AB3" w:rsidRDefault="00831AB3" w:rsidP="00831AB3">
      <w:pPr>
        <w:pStyle w:val="BasicParagraph"/>
        <w:suppressAutoHyphens/>
        <w:ind w:left="720" w:hanging="720"/>
        <w:rPr>
          <w:rFonts w:ascii="Verdana" w:hAnsi="Verdana" w:cs="Arial"/>
          <w:color w:val="auto"/>
        </w:rPr>
      </w:pPr>
    </w:p>
    <w:p w14:paraId="6B684DD0" w14:textId="7DE5CBA4" w:rsidR="009D1DA7" w:rsidRPr="009D1DA7" w:rsidRDefault="009D1DA7" w:rsidP="009D1DA7">
      <w:pPr>
        <w:pStyle w:val="ListParagraph"/>
        <w:numPr>
          <w:ilvl w:val="1"/>
          <w:numId w:val="15"/>
        </w:numPr>
        <w:spacing w:line="276" w:lineRule="auto"/>
        <w:jc w:val="both"/>
        <w:rPr>
          <w:rFonts w:ascii="Verdana" w:hAnsi="Verdana"/>
        </w:rPr>
      </w:pPr>
      <w:r w:rsidRPr="009D1DA7">
        <w:rPr>
          <w:rFonts w:ascii="Verdana" w:hAnsi="Verdana"/>
        </w:rPr>
        <w:t>In 2008</w:t>
      </w:r>
      <w:r w:rsidR="00B87863">
        <w:rPr>
          <w:rFonts w:ascii="Verdana" w:hAnsi="Verdana"/>
        </w:rPr>
        <w:t>,</w:t>
      </w:r>
      <w:r w:rsidRPr="009D1DA7">
        <w:rPr>
          <w:rFonts w:ascii="Verdana" w:hAnsi="Verdana"/>
        </w:rPr>
        <w:t xml:space="preserve"> the UN</w:t>
      </w:r>
      <w:r w:rsidR="00797B00">
        <w:rPr>
          <w:rFonts w:ascii="Verdana" w:hAnsi="Verdana"/>
        </w:rPr>
        <w:t>CRC Committee</w:t>
      </w:r>
      <w:r w:rsidR="00EE3CDA">
        <w:rPr>
          <w:rFonts w:ascii="Verdana" w:hAnsi="Verdana"/>
        </w:rPr>
        <w:t xml:space="preserve"> examined how</w:t>
      </w:r>
      <w:r w:rsidRPr="009D1DA7">
        <w:rPr>
          <w:rFonts w:ascii="Verdana" w:hAnsi="Verdana"/>
        </w:rPr>
        <w:t xml:space="preserve"> the </w:t>
      </w:r>
      <w:r w:rsidR="00EE3CDA">
        <w:rPr>
          <w:rFonts w:ascii="Verdana" w:hAnsi="Verdana"/>
        </w:rPr>
        <w:t xml:space="preserve">lack of choice within the </w:t>
      </w:r>
      <w:r w:rsidRPr="009D1DA7">
        <w:rPr>
          <w:rFonts w:ascii="Verdana" w:hAnsi="Verdana"/>
        </w:rPr>
        <w:t xml:space="preserve">Irish primary school system </w:t>
      </w:r>
      <w:r w:rsidR="008560A2">
        <w:rPr>
          <w:rFonts w:ascii="Verdana" w:hAnsi="Verdana"/>
        </w:rPr>
        <w:t xml:space="preserve">may </w:t>
      </w:r>
      <w:r w:rsidRPr="009D1DA7">
        <w:rPr>
          <w:rFonts w:ascii="Verdana" w:hAnsi="Verdana"/>
        </w:rPr>
        <w:t>raise</w:t>
      </w:r>
      <w:r w:rsidR="008560A2">
        <w:rPr>
          <w:rFonts w:ascii="Verdana" w:hAnsi="Verdana"/>
        </w:rPr>
        <w:t xml:space="preserve"> </w:t>
      </w:r>
      <w:r w:rsidRPr="009D1DA7">
        <w:rPr>
          <w:rFonts w:ascii="Verdana" w:hAnsi="Verdana"/>
        </w:rPr>
        <w:t>concerns under four articles of the I</w:t>
      </w:r>
      <w:r w:rsidR="00B87863">
        <w:rPr>
          <w:rFonts w:ascii="Verdana" w:hAnsi="Verdana"/>
        </w:rPr>
        <w:t xml:space="preserve">nternational </w:t>
      </w:r>
      <w:r w:rsidRPr="009D1DA7">
        <w:rPr>
          <w:rFonts w:ascii="Verdana" w:hAnsi="Verdana"/>
        </w:rPr>
        <w:t>C</w:t>
      </w:r>
      <w:r w:rsidR="00B87863">
        <w:rPr>
          <w:rFonts w:ascii="Verdana" w:hAnsi="Verdana"/>
        </w:rPr>
        <w:t xml:space="preserve">ovenant on </w:t>
      </w:r>
      <w:r w:rsidRPr="009D1DA7">
        <w:rPr>
          <w:rFonts w:ascii="Verdana" w:hAnsi="Verdana"/>
        </w:rPr>
        <w:t>C</w:t>
      </w:r>
      <w:r w:rsidR="00B87863">
        <w:rPr>
          <w:rFonts w:ascii="Verdana" w:hAnsi="Verdana"/>
        </w:rPr>
        <w:t xml:space="preserve">ivil and </w:t>
      </w:r>
      <w:r w:rsidRPr="009D1DA7">
        <w:rPr>
          <w:rFonts w:ascii="Verdana" w:hAnsi="Verdana"/>
        </w:rPr>
        <w:t>P</w:t>
      </w:r>
      <w:r w:rsidR="00B87863">
        <w:rPr>
          <w:rFonts w:ascii="Verdana" w:hAnsi="Verdana"/>
        </w:rPr>
        <w:t xml:space="preserve">olitical </w:t>
      </w:r>
      <w:r w:rsidRPr="009D1DA7">
        <w:rPr>
          <w:rFonts w:ascii="Verdana" w:hAnsi="Verdana"/>
        </w:rPr>
        <w:t>R</w:t>
      </w:r>
      <w:r w:rsidR="00B87863">
        <w:rPr>
          <w:rFonts w:ascii="Verdana" w:hAnsi="Verdana"/>
        </w:rPr>
        <w:t>ights (ICCPR).</w:t>
      </w:r>
      <w:r w:rsidRPr="009D1DA7">
        <w:rPr>
          <w:rFonts w:ascii="Verdana" w:hAnsi="Verdana"/>
        </w:rPr>
        <w:t xml:space="preserve"> </w:t>
      </w:r>
      <w:r w:rsidR="00B87863">
        <w:rPr>
          <w:rFonts w:ascii="Verdana" w:hAnsi="Verdana"/>
        </w:rPr>
        <w:t xml:space="preserve">Those articles are: </w:t>
      </w:r>
      <w:r w:rsidRPr="009D1DA7">
        <w:rPr>
          <w:rFonts w:ascii="Verdana" w:hAnsi="Verdana"/>
        </w:rPr>
        <w:t>Article 2</w:t>
      </w:r>
      <w:r w:rsidR="00B87863">
        <w:rPr>
          <w:rFonts w:ascii="Verdana" w:hAnsi="Verdana"/>
        </w:rPr>
        <w:t>,</w:t>
      </w:r>
      <w:r w:rsidRPr="009D1DA7">
        <w:rPr>
          <w:rFonts w:ascii="Verdana" w:hAnsi="Verdana"/>
        </w:rPr>
        <w:t xml:space="preserve"> which deals with the effective implementation of obligations at the national level on a non-discriminatory basis; Article 18 (the right to freedom of thought, conscience and religion); Article 24 (the rights of the Child); and Article 26 (the right to non-discrimination). The concluding Observation read</w:t>
      </w:r>
      <w:r w:rsidR="00B87863">
        <w:rPr>
          <w:rFonts w:ascii="Verdana" w:hAnsi="Verdana"/>
        </w:rPr>
        <w:t>s</w:t>
      </w:r>
      <w:r w:rsidRPr="009D1DA7">
        <w:rPr>
          <w:rFonts w:ascii="Verdana" w:hAnsi="Verdana"/>
        </w:rPr>
        <w:t xml:space="preserve"> as follows: </w:t>
      </w:r>
    </w:p>
    <w:p w14:paraId="1B7E0646" w14:textId="77777777" w:rsidR="009D1DA7" w:rsidRPr="0090275C" w:rsidRDefault="009D1DA7" w:rsidP="009D1DA7">
      <w:pPr>
        <w:pStyle w:val="ListParagraph"/>
        <w:ind w:left="360"/>
        <w:jc w:val="both"/>
        <w:rPr>
          <w:rFonts w:ascii="Verdana" w:hAnsi="Verdana"/>
        </w:rPr>
      </w:pPr>
    </w:p>
    <w:p w14:paraId="4CC35983" w14:textId="79C40723" w:rsidR="009D1DA7" w:rsidRPr="00053901" w:rsidRDefault="00053901" w:rsidP="00C02BE3">
      <w:pPr>
        <w:pStyle w:val="ListParagraph"/>
        <w:spacing w:line="276" w:lineRule="auto"/>
        <w:ind w:left="1440"/>
        <w:jc w:val="both"/>
        <w:rPr>
          <w:rFonts w:ascii="Verdana" w:hAnsi="Verdana"/>
          <w:iCs/>
        </w:rPr>
      </w:pPr>
      <w:r>
        <w:rPr>
          <w:rFonts w:ascii="Verdana" w:hAnsi="Verdana"/>
          <w:iCs/>
        </w:rPr>
        <w:t>“</w:t>
      </w:r>
      <w:r w:rsidR="009D1DA7" w:rsidRPr="00053901">
        <w:rPr>
          <w:rFonts w:ascii="Verdana" w:hAnsi="Verdana"/>
          <w:iCs/>
        </w:rPr>
        <w:t xml:space="preserve">The Committee notes with concern that the vast majority of Ireland's primary schools are privately run denominational schools that have adopted a religious integrated curriculum thus depriving many parents </w:t>
      </w:r>
      <w:r w:rsidR="009D1DA7" w:rsidRPr="00053901">
        <w:rPr>
          <w:rFonts w:ascii="Verdana" w:hAnsi="Verdana"/>
          <w:iCs/>
        </w:rPr>
        <w:lastRenderedPageBreak/>
        <w:t>and children who so wish to have access to secular primary education. (Articles 2, 18, 24, 26)</w:t>
      </w:r>
      <w:r>
        <w:rPr>
          <w:rFonts w:ascii="Verdana" w:hAnsi="Verdana"/>
          <w:iCs/>
        </w:rPr>
        <w:t>.”</w:t>
      </w:r>
      <w:r w:rsidR="009D1DA7" w:rsidRPr="00053901">
        <w:rPr>
          <w:rStyle w:val="FootnoteReference"/>
          <w:rFonts w:ascii="Verdana" w:hAnsi="Verdana"/>
          <w:iCs/>
        </w:rPr>
        <w:footnoteReference w:id="41"/>
      </w:r>
    </w:p>
    <w:p w14:paraId="7D4DC543" w14:textId="77777777" w:rsidR="009D1DA7" w:rsidRPr="0090275C" w:rsidRDefault="009D1DA7" w:rsidP="008718A6">
      <w:pPr>
        <w:pStyle w:val="ListParagraph"/>
        <w:spacing w:line="276" w:lineRule="auto"/>
        <w:ind w:left="360"/>
        <w:jc w:val="both"/>
        <w:rPr>
          <w:rFonts w:ascii="Verdana" w:hAnsi="Verdana"/>
        </w:rPr>
      </w:pPr>
    </w:p>
    <w:p w14:paraId="7C0211FB" w14:textId="54A9CA14" w:rsidR="009D1DA7" w:rsidRPr="008718A6" w:rsidRDefault="00B87863" w:rsidP="008718A6">
      <w:pPr>
        <w:pStyle w:val="ListParagraph"/>
        <w:numPr>
          <w:ilvl w:val="1"/>
          <w:numId w:val="15"/>
        </w:numPr>
        <w:spacing w:line="276" w:lineRule="auto"/>
        <w:jc w:val="both"/>
        <w:rPr>
          <w:rFonts w:ascii="Verdana" w:hAnsi="Verdana"/>
        </w:rPr>
      </w:pPr>
      <w:r w:rsidRPr="00A62716">
        <w:rPr>
          <w:rFonts w:ascii="Verdana" w:hAnsi="Verdana"/>
        </w:rPr>
        <w:t>T</w:t>
      </w:r>
      <w:r w:rsidR="009D1DA7" w:rsidRPr="00A62716">
        <w:rPr>
          <w:rFonts w:ascii="Verdana" w:hAnsi="Verdana"/>
        </w:rPr>
        <w:t xml:space="preserve">he </w:t>
      </w:r>
      <w:r w:rsidR="00797B00" w:rsidRPr="00A62716">
        <w:rPr>
          <w:rFonts w:ascii="Verdana" w:hAnsi="Verdana"/>
        </w:rPr>
        <w:t>Committee</w:t>
      </w:r>
      <w:r w:rsidRPr="00A62716">
        <w:rPr>
          <w:rFonts w:ascii="Verdana" w:hAnsi="Verdana"/>
        </w:rPr>
        <w:t xml:space="preserve"> recommended that there should be </w:t>
      </w:r>
      <w:r w:rsidR="009D1DA7" w:rsidRPr="00A62716">
        <w:rPr>
          <w:rFonts w:ascii="Verdana" w:hAnsi="Verdana"/>
        </w:rPr>
        <w:t>more non-denominational schools</w:t>
      </w:r>
      <w:r w:rsidR="00A8160C">
        <w:rPr>
          <w:rFonts w:ascii="Verdana" w:hAnsi="Verdana"/>
        </w:rPr>
        <w:t xml:space="preserve"> in Ireland</w:t>
      </w:r>
      <w:r w:rsidRPr="00A62716">
        <w:rPr>
          <w:rFonts w:ascii="Verdana" w:hAnsi="Verdana"/>
        </w:rPr>
        <w:t>.</w:t>
      </w:r>
      <w:r w:rsidR="009D1DA7" w:rsidRPr="0090275C">
        <w:rPr>
          <w:rStyle w:val="FootnoteReference"/>
          <w:rFonts w:ascii="Verdana" w:hAnsi="Verdana"/>
        </w:rPr>
        <w:footnoteReference w:id="42"/>
      </w:r>
      <w:r w:rsidR="00797B00" w:rsidRPr="00A62716">
        <w:rPr>
          <w:rFonts w:ascii="Verdana" w:hAnsi="Verdana"/>
        </w:rPr>
        <w:t xml:space="preserve"> It </w:t>
      </w:r>
      <w:r w:rsidRPr="00A62716">
        <w:rPr>
          <w:rFonts w:ascii="Verdana" w:hAnsi="Verdana"/>
        </w:rPr>
        <w:t xml:space="preserve">observed that </w:t>
      </w:r>
      <w:r w:rsidR="009D1DA7" w:rsidRPr="00A62716">
        <w:rPr>
          <w:rFonts w:ascii="Verdana" w:hAnsi="Verdana"/>
        </w:rPr>
        <w:t xml:space="preserve">such schools </w:t>
      </w:r>
      <w:r w:rsidRPr="00A62716">
        <w:rPr>
          <w:rFonts w:ascii="Verdana" w:hAnsi="Verdana"/>
        </w:rPr>
        <w:t xml:space="preserve">should </w:t>
      </w:r>
      <w:r w:rsidR="009D1DA7" w:rsidRPr="00A62716">
        <w:rPr>
          <w:rFonts w:ascii="Verdana" w:hAnsi="Verdana"/>
        </w:rPr>
        <w:t xml:space="preserve">be widely available across the country and that Ireland must </w:t>
      </w:r>
      <w:r w:rsidR="006D2C6F" w:rsidRPr="00A62716">
        <w:rPr>
          <w:rFonts w:ascii="Verdana" w:hAnsi="Verdana"/>
        </w:rPr>
        <w:t>“</w:t>
      </w:r>
      <w:r w:rsidR="009D1DA7" w:rsidRPr="00A62716">
        <w:rPr>
          <w:rFonts w:ascii="Verdana" w:hAnsi="Verdana"/>
        </w:rPr>
        <w:t>increase its efforts</w:t>
      </w:r>
      <w:r w:rsidR="006D2C6F" w:rsidRPr="00A62716">
        <w:rPr>
          <w:rFonts w:ascii="Verdana" w:hAnsi="Verdana"/>
        </w:rPr>
        <w:t>”</w:t>
      </w:r>
      <w:r w:rsidR="009D1DA7" w:rsidRPr="00A62716">
        <w:rPr>
          <w:rFonts w:ascii="Verdana" w:hAnsi="Verdana"/>
        </w:rPr>
        <w:t xml:space="preserve">. </w:t>
      </w:r>
      <w:r w:rsidR="00A62716" w:rsidRPr="00A62716">
        <w:rPr>
          <w:rFonts w:ascii="Verdana" w:hAnsi="Verdana"/>
        </w:rPr>
        <w:t xml:space="preserve">Such issues clearly engage </w:t>
      </w:r>
      <w:r w:rsidR="009D1DA7" w:rsidRPr="00A62716">
        <w:rPr>
          <w:rFonts w:ascii="Verdana" w:hAnsi="Verdana"/>
        </w:rPr>
        <w:t>the right to freedom of thought, conscience and religion and the right to non-discrimination under the ICCPR.</w:t>
      </w:r>
      <w:r w:rsidR="009D1DA7" w:rsidRPr="0090275C">
        <w:rPr>
          <w:rStyle w:val="FootnoteReference"/>
          <w:rFonts w:ascii="Verdana" w:hAnsi="Verdana"/>
        </w:rPr>
        <w:footnoteReference w:id="43"/>
      </w:r>
      <w:r w:rsidR="00A62716">
        <w:rPr>
          <w:rFonts w:ascii="Verdana" w:hAnsi="Verdana"/>
        </w:rPr>
        <w:t xml:space="preserve"> I</w:t>
      </w:r>
      <w:r w:rsidR="009D1DA7" w:rsidRPr="008718A6">
        <w:rPr>
          <w:rFonts w:ascii="Verdana" w:hAnsi="Verdana"/>
        </w:rPr>
        <w:t xml:space="preserve">n 2014, </w:t>
      </w:r>
      <w:r w:rsidR="009D1DA7" w:rsidRPr="008718A6">
        <w:rPr>
          <w:rFonts w:ascii="Verdana" w:hAnsi="Verdana" w:cs="Times"/>
          <w:color w:val="000000"/>
        </w:rPr>
        <w:t>the Committee noted that it was:</w:t>
      </w:r>
    </w:p>
    <w:p w14:paraId="4DACD812" w14:textId="77777777" w:rsidR="008718A6" w:rsidRPr="008718A6" w:rsidRDefault="008718A6" w:rsidP="008718A6">
      <w:pPr>
        <w:spacing w:line="276" w:lineRule="auto"/>
        <w:jc w:val="both"/>
        <w:rPr>
          <w:rFonts w:ascii="Verdana" w:hAnsi="Verdana"/>
        </w:rPr>
      </w:pPr>
    </w:p>
    <w:p w14:paraId="7678C357" w14:textId="6D7905A2" w:rsidR="009D1DA7" w:rsidRPr="008718A6" w:rsidRDefault="009D1DA7" w:rsidP="00C02BE3">
      <w:pPr>
        <w:spacing w:line="276" w:lineRule="auto"/>
        <w:ind w:left="1440"/>
        <w:jc w:val="both"/>
        <w:rPr>
          <w:rFonts w:ascii="Verdana" w:hAnsi="Verdana" w:cs="Times"/>
          <w:color w:val="000000"/>
        </w:rPr>
      </w:pPr>
      <w:r w:rsidRPr="008718A6">
        <w:rPr>
          <w:rFonts w:ascii="Verdana" w:hAnsi="Verdana" w:cs="Times"/>
          <w:color w:val="000000"/>
        </w:rPr>
        <w:t>“</w:t>
      </w:r>
      <w:r w:rsidR="008718A6">
        <w:rPr>
          <w:rFonts w:ascii="Verdana" w:hAnsi="Verdana" w:cs="Times"/>
          <w:color w:val="000000"/>
        </w:rPr>
        <w:t>…</w:t>
      </w:r>
      <w:r w:rsidRPr="008718A6">
        <w:rPr>
          <w:rFonts w:ascii="Verdana" w:hAnsi="Verdana" w:cs="Times"/>
          <w:color w:val="000000"/>
        </w:rPr>
        <w:t>concerned about the slow progress in increasing access to secular education through the establishment of non-denominational schools, divestment of the patronage of schools and the phasing out of integrated religious curricula in schools accommodating minority faith or non-faith children.”</w:t>
      </w:r>
      <w:r w:rsidRPr="008718A6">
        <w:rPr>
          <w:rStyle w:val="FootnoteReference"/>
          <w:rFonts w:ascii="Verdana" w:hAnsi="Verdana" w:cs="Times"/>
          <w:color w:val="000000"/>
        </w:rPr>
        <w:footnoteReference w:id="44"/>
      </w:r>
    </w:p>
    <w:p w14:paraId="018F589D" w14:textId="77777777" w:rsidR="008718A6" w:rsidRDefault="008718A6" w:rsidP="008718A6">
      <w:pPr>
        <w:spacing w:line="276" w:lineRule="auto"/>
        <w:jc w:val="both"/>
        <w:rPr>
          <w:rFonts w:ascii="Verdana" w:hAnsi="Verdana" w:cs="Times"/>
          <w:color w:val="000000"/>
        </w:rPr>
      </w:pPr>
    </w:p>
    <w:p w14:paraId="791B89D3" w14:textId="245BE98C" w:rsidR="009D1DA7" w:rsidRDefault="008718A6" w:rsidP="008718A6">
      <w:pPr>
        <w:spacing w:line="276" w:lineRule="auto"/>
        <w:jc w:val="both"/>
        <w:rPr>
          <w:rFonts w:ascii="Verdana" w:hAnsi="Verdana" w:cs="Times"/>
          <w:color w:val="000000"/>
        </w:rPr>
      </w:pPr>
      <w:r>
        <w:rPr>
          <w:rFonts w:ascii="Verdana" w:hAnsi="Verdana" w:cs="Times"/>
          <w:color w:val="000000"/>
        </w:rPr>
        <w:t>5.</w:t>
      </w:r>
      <w:r w:rsidR="00C02BE3">
        <w:rPr>
          <w:rFonts w:ascii="Verdana" w:hAnsi="Verdana" w:cs="Times"/>
          <w:color w:val="000000"/>
        </w:rPr>
        <w:t>4</w:t>
      </w:r>
      <w:r>
        <w:rPr>
          <w:rFonts w:ascii="Verdana" w:hAnsi="Verdana" w:cs="Times"/>
          <w:color w:val="000000"/>
        </w:rPr>
        <w:tab/>
      </w:r>
      <w:r w:rsidR="009D1DA7">
        <w:rPr>
          <w:rFonts w:ascii="Verdana" w:hAnsi="Verdana" w:cs="Times"/>
          <w:color w:val="000000"/>
        </w:rPr>
        <w:t>I</w:t>
      </w:r>
      <w:r w:rsidR="009D1DA7" w:rsidRPr="000A0A4D">
        <w:rPr>
          <w:rFonts w:ascii="Verdana" w:hAnsi="Verdana" w:cs="Times"/>
          <w:color w:val="000000"/>
        </w:rPr>
        <w:t xml:space="preserve">t directed the </w:t>
      </w:r>
      <w:r w:rsidR="00A8160C">
        <w:rPr>
          <w:rFonts w:ascii="Verdana" w:hAnsi="Verdana" w:cs="Times"/>
          <w:color w:val="000000"/>
        </w:rPr>
        <w:t xml:space="preserve">Irish </w:t>
      </w:r>
      <w:r w:rsidR="009D1DA7" w:rsidRPr="000A0A4D">
        <w:rPr>
          <w:rFonts w:ascii="Verdana" w:hAnsi="Verdana" w:cs="Times"/>
          <w:color w:val="000000"/>
        </w:rPr>
        <w:t>State to:</w:t>
      </w:r>
    </w:p>
    <w:p w14:paraId="02EE9B7B" w14:textId="77777777" w:rsidR="008718A6" w:rsidRPr="00A937DB" w:rsidRDefault="008718A6" w:rsidP="008718A6">
      <w:pPr>
        <w:spacing w:line="276" w:lineRule="auto"/>
        <w:ind w:left="360"/>
        <w:jc w:val="both"/>
        <w:rPr>
          <w:rFonts w:ascii="Verdana" w:hAnsi="Verdana" w:cs="Times"/>
          <w:i/>
          <w:iCs/>
          <w:color w:val="000000"/>
        </w:rPr>
      </w:pPr>
    </w:p>
    <w:p w14:paraId="30835E3C" w14:textId="2BB7EB7C" w:rsidR="009D1DA7" w:rsidRPr="008718A6" w:rsidRDefault="009D1DA7" w:rsidP="008718A6">
      <w:pPr>
        <w:spacing w:line="276" w:lineRule="auto"/>
        <w:ind w:left="1080"/>
        <w:jc w:val="both"/>
        <w:rPr>
          <w:rFonts w:ascii="Verdana" w:hAnsi="Verdana" w:cs="Times"/>
          <w:iCs/>
          <w:color w:val="000000"/>
        </w:rPr>
      </w:pPr>
      <w:r w:rsidRPr="008718A6">
        <w:rPr>
          <w:rFonts w:ascii="Verdana" w:hAnsi="Verdana" w:cs="Times"/>
          <w:iCs/>
          <w:color w:val="000000"/>
        </w:rPr>
        <w:t>“</w:t>
      </w:r>
      <w:r w:rsidR="008718A6">
        <w:rPr>
          <w:rFonts w:ascii="Verdana" w:hAnsi="Verdana" w:cs="Times"/>
          <w:iCs/>
          <w:color w:val="000000"/>
        </w:rPr>
        <w:t>…</w:t>
      </w:r>
      <w:r w:rsidRPr="008718A6">
        <w:rPr>
          <w:rFonts w:ascii="Verdana" w:hAnsi="Verdana" w:cs="Times"/>
          <w:iCs/>
          <w:color w:val="000000"/>
        </w:rPr>
        <w:t>introduce legislation to prohibit discrimination in access to schools on the grounds of religion, belief or other status, and ensure that there are diverse schools types and curriculum options available throughout the state party to meet the needs of minority or non-faith children. It should also amend Section 37(1) of the Employment Equality Acts in a way that bars all forms of discrimination in employment in the fields of education and health.”</w:t>
      </w:r>
      <w:r w:rsidRPr="008718A6">
        <w:rPr>
          <w:rStyle w:val="FootnoteReference"/>
          <w:rFonts w:ascii="Verdana" w:hAnsi="Verdana" w:cs="Times"/>
          <w:iCs/>
          <w:color w:val="000000"/>
        </w:rPr>
        <w:footnoteReference w:id="45"/>
      </w:r>
    </w:p>
    <w:p w14:paraId="0873656F" w14:textId="4E07024E" w:rsidR="00E351E1" w:rsidRDefault="00E351E1" w:rsidP="00832C2D">
      <w:pPr>
        <w:pStyle w:val="BasicParagraph"/>
        <w:suppressAutoHyphens/>
        <w:rPr>
          <w:rFonts w:ascii="Verdana" w:hAnsi="Verdana" w:cs="Arial"/>
          <w:bCs/>
          <w:color w:val="auto"/>
        </w:rPr>
      </w:pPr>
    </w:p>
    <w:p w14:paraId="10822FC6" w14:textId="34617B87" w:rsidR="0093201F" w:rsidRPr="002E3401" w:rsidRDefault="00E351E1" w:rsidP="009C0581">
      <w:pPr>
        <w:pStyle w:val="BasicParagraph"/>
        <w:suppressAutoHyphens/>
        <w:ind w:left="720" w:hanging="720"/>
        <w:rPr>
          <w:rFonts w:ascii="Verdana" w:hAnsi="Verdana"/>
        </w:rPr>
      </w:pPr>
      <w:r>
        <w:rPr>
          <w:rFonts w:ascii="Verdana" w:hAnsi="Verdana" w:cs="Arial"/>
          <w:bCs/>
          <w:color w:val="auto"/>
        </w:rPr>
        <w:t>5.</w:t>
      </w:r>
      <w:r w:rsidR="00C02BE3">
        <w:rPr>
          <w:rFonts w:ascii="Verdana" w:hAnsi="Verdana" w:cs="Arial"/>
          <w:bCs/>
          <w:color w:val="auto"/>
        </w:rPr>
        <w:t>5</w:t>
      </w:r>
      <w:r>
        <w:rPr>
          <w:rFonts w:ascii="Verdana" w:hAnsi="Verdana" w:cs="Arial"/>
          <w:bCs/>
          <w:color w:val="auto"/>
        </w:rPr>
        <w:tab/>
      </w:r>
      <w:r w:rsidR="00425A1C">
        <w:rPr>
          <w:rFonts w:ascii="Verdana" w:hAnsi="Verdana"/>
        </w:rPr>
        <w:t>T</w:t>
      </w:r>
      <w:r w:rsidR="00425A1C" w:rsidRPr="00425A1C">
        <w:rPr>
          <w:rFonts w:ascii="Verdana" w:hAnsi="Verdana"/>
        </w:rPr>
        <w:t>he question of whether or not integrated education constitutes a philosophical conviction for the purposes of Prot</w:t>
      </w:r>
      <w:r w:rsidR="00425A1C">
        <w:rPr>
          <w:rFonts w:ascii="Verdana" w:hAnsi="Verdana"/>
        </w:rPr>
        <w:t>ocol</w:t>
      </w:r>
      <w:r w:rsidR="00425A1C" w:rsidRPr="00425A1C">
        <w:rPr>
          <w:rFonts w:ascii="Verdana" w:hAnsi="Verdana"/>
        </w:rPr>
        <w:t xml:space="preserve"> 1 Art</w:t>
      </w:r>
      <w:r w:rsidR="00FB1719">
        <w:rPr>
          <w:rFonts w:ascii="Verdana" w:hAnsi="Verdana"/>
        </w:rPr>
        <w:t>icle</w:t>
      </w:r>
      <w:r w:rsidR="00425A1C" w:rsidRPr="00425A1C">
        <w:rPr>
          <w:rFonts w:ascii="Verdana" w:hAnsi="Verdana"/>
        </w:rPr>
        <w:t xml:space="preserve"> 2 of the ECHR remains to be tested in the domestic courts. Whil</w:t>
      </w:r>
      <w:r w:rsidR="00425A1C">
        <w:rPr>
          <w:rFonts w:ascii="Verdana" w:hAnsi="Verdana"/>
        </w:rPr>
        <w:t>e</w:t>
      </w:r>
      <w:r w:rsidR="00425A1C" w:rsidRPr="00425A1C">
        <w:rPr>
          <w:rFonts w:ascii="Verdana" w:hAnsi="Verdana"/>
        </w:rPr>
        <w:t xml:space="preserve"> it was argued in Drumragh Integrated College’s application for judicial review, it was not dealt with in the </w:t>
      </w:r>
      <w:r w:rsidR="00A8160C">
        <w:rPr>
          <w:rFonts w:ascii="Verdana" w:hAnsi="Verdana"/>
        </w:rPr>
        <w:t xml:space="preserve">court’s </w:t>
      </w:r>
      <w:r w:rsidR="00425A1C" w:rsidRPr="00425A1C">
        <w:rPr>
          <w:rFonts w:ascii="Verdana" w:hAnsi="Verdana"/>
        </w:rPr>
        <w:t>judgment</w:t>
      </w:r>
      <w:r w:rsidR="00A8160C">
        <w:rPr>
          <w:rFonts w:ascii="Verdana" w:hAnsi="Verdana"/>
        </w:rPr>
        <w:t>, for technical reasons.</w:t>
      </w:r>
      <w:r w:rsidR="00425A1C" w:rsidRPr="00425A1C">
        <w:rPr>
          <w:rFonts w:ascii="Verdana" w:hAnsi="Verdana"/>
        </w:rPr>
        <w:t xml:space="preserve"> </w:t>
      </w:r>
      <w:r w:rsidR="002E3401" w:rsidRPr="002E3401">
        <w:rPr>
          <w:rFonts w:ascii="Verdana" w:hAnsi="Verdana"/>
        </w:rPr>
        <w:t>Early judgments of the ECtHR did not uphold the argument that integrated education is a philosophical conviction that should be protected under the parental right to choice.</w:t>
      </w:r>
      <w:r w:rsidR="00F77F63">
        <w:rPr>
          <w:rStyle w:val="FootnoteReference"/>
          <w:rFonts w:ascii="Verdana" w:hAnsi="Verdana"/>
        </w:rPr>
        <w:footnoteReference w:id="46"/>
      </w:r>
      <w:r w:rsidR="002E3401" w:rsidRPr="002E3401">
        <w:rPr>
          <w:rFonts w:ascii="Verdana" w:hAnsi="Verdana"/>
        </w:rPr>
        <w:t xml:space="preserve"> However</w:t>
      </w:r>
      <w:r w:rsidR="00FB1719">
        <w:rPr>
          <w:rFonts w:ascii="Verdana" w:hAnsi="Verdana"/>
        </w:rPr>
        <w:t>,</w:t>
      </w:r>
      <w:r w:rsidR="002E3401" w:rsidRPr="002E3401">
        <w:rPr>
          <w:rFonts w:ascii="Verdana" w:hAnsi="Verdana"/>
        </w:rPr>
        <w:t xml:space="preserve"> </w:t>
      </w:r>
      <w:r w:rsidR="00965F19">
        <w:rPr>
          <w:rFonts w:ascii="Verdana" w:hAnsi="Verdana"/>
        </w:rPr>
        <w:t>the</w:t>
      </w:r>
      <w:r w:rsidR="002E3401" w:rsidRPr="002E3401">
        <w:rPr>
          <w:rFonts w:ascii="Verdana" w:hAnsi="Verdana"/>
        </w:rPr>
        <w:t xml:space="preserve"> ECHR is a </w:t>
      </w:r>
      <w:r w:rsidR="00A8160C">
        <w:rPr>
          <w:rFonts w:ascii="Verdana" w:hAnsi="Verdana"/>
        </w:rPr>
        <w:t>“</w:t>
      </w:r>
      <w:r w:rsidR="002E3401" w:rsidRPr="002E3401">
        <w:rPr>
          <w:rFonts w:ascii="Verdana" w:hAnsi="Verdana"/>
        </w:rPr>
        <w:t>living instrument</w:t>
      </w:r>
      <w:r w:rsidR="00A8160C">
        <w:rPr>
          <w:rFonts w:ascii="Verdana" w:hAnsi="Verdana"/>
        </w:rPr>
        <w:t>”</w:t>
      </w:r>
      <w:r w:rsidR="002E3401" w:rsidRPr="002E3401">
        <w:rPr>
          <w:rFonts w:ascii="Verdana" w:hAnsi="Verdana"/>
        </w:rPr>
        <w:t xml:space="preserve"> and subsequent </w:t>
      </w:r>
      <w:r w:rsidR="00A8160C">
        <w:rPr>
          <w:rFonts w:ascii="Verdana" w:hAnsi="Verdana"/>
        </w:rPr>
        <w:t>ECtHR judgments suggest</w:t>
      </w:r>
      <w:r w:rsidR="002E3401" w:rsidRPr="002E3401">
        <w:rPr>
          <w:rFonts w:ascii="Verdana" w:hAnsi="Verdana"/>
        </w:rPr>
        <w:t xml:space="preserve"> a broadening of the interpretation</w:t>
      </w:r>
      <w:r w:rsidR="00A8160C">
        <w:rPr>
          <w:rFonts w:ascii="Verdana" w:hAnsi="Verdana"/>
        </w:rPr>
        <w:t xml:space="preserve">. For example, </w:t>
      </w:r>
      <w:r w:rsidR="00A8160C">
        <w:rPr>
          <w:rFonts w:ascii="Verdana" w:hAnsi="Verdana"/>
        </w:rPr>
        <w:lastRenderedPageBreak/>
        <w:t>that it should</w:t>
      </w:r>
      <w:r w:rsidR="002E3401" w:rsidRPr="002E3401">
        <w:rPr>
          <w:rFonts w:ascii="Verdana" w:hAnsi="Verdana"/>
        </w:rPr>
        <w:t xml:space="preserve"> protect beliefs that are </w:t>
      </w:r>
      <w:r w:rsidR="00A8160C">
        <w:rPr>
          <w:rFonts w:ascii="Verdana" w:hAnsi="Verdana"/>
        </w:rPr>
        <w:t>“</w:t>
      </w:r>
      <w:r w:rsidR="002E3401" w:rsidRPr="002E3401">
        <w:rPr>
          <w:rFonts w:ascii="Verdana" w:hAnsi="Verdana"/>
        </w:rPr>
        <w:t>worthy of respect in a democratic society</w:t>
      </w:r>
      <w:r w:rsidR="00A8160C">
        <w:rPr>
          <w:rFonts w:ascii="Verdana" w:hAnsi="Verdana"/>
        </w:rPr>
        <w:t>”</w:t>
      </w:r>
      <w:r w:rsidR="00F77F63">
        <w:rPr>
          <w:rStyle w:val="FootnoteReference"/>
          <w:rFonts w:ascii="Verdana" w:hAnsi="Verdana"/>
        </w:rPr>
        <w:footnoteReference w:id="47"/>
      </w:r>
      <w:r w:rsidR="002E3401" w:rsidRPr="002E3401">
        <w:rPr>
          <w:rFonts w:ascii="Verdana" w:hAnsi="Verdana"/>
        </w:rPr>
        <w:t xml:space="preserve"> and </w:t>
      </w:r>
      <w:r w:rsidR="00A8160C">
        <w:rPr>
          <w:rFonts w:ascii="Verdana" w:hAnsi="Verdana"/>
        </w:rPr>
        <w:t>“</w:t>
      </w:r>
      <w:r w:rsidR="002E3401" w:rsidRPr="002E3401">
        <w:rPr>
          <w:rFonts w:ascii="Verdana" w:hAnsi="Verdana"/>
        </w:rPr>
        <w:t>attain a certain level of cogency, seriousness, cohesion and importance</w:t>
      </w:r>
      <w:r w:rsidR="00A8160C">
        <w:rPr>
          <w:rFonts w:ascii="Verdana" w:hAnsi="Verdana"/>
        </w:rPr>
        <w:t>”</w:t>
      </w:r>
      <w:r w:rsidR="002E3401" w:rsidRPr="002E3401">
        <w:rPr>
          <w:rFonts w:ascii="Verdana" w:hAnsi="Verdana"/>
        </w:rPr>
        <w:t>.</w:t>
      </w:r>
      <w:r w:rsidR="00F77F63">
        <w:rPr>
          <w:rStyle w:val="FootnoteReference"/>
          <w:rFonts w:ascii="Verdana" w:hAnsi="Verdana"/>
        </w:rPr>
        <w:footnoteReference w:id="48"/>
      </w:r>
      <w:r w:rsidR="002D7C61">
        <w:rPr>
          <w:rFonts w:ascii="Verdana" w:hAnsi="Verdana"/>
        </w:rPr>
        <w:t xml:space="preserve"> </w:t>
      </w:r>
    </w:p>
    <w:p w14:paraId="506B2AB8" w14:textId="77777777" w:rsidR="00D11C59" w:rsidRDefault="00D11C59" w:rsidP="00D11C59">
      <w:pPr>
        <w:pStyle w:val="BasicParagraph"/>
        <w:suppressAutoHyphens/>
        <w:rPr>
          <w:rFonts w:ascii="Verdana" w:hAnsi="Verdana"/>
        </w:rPr>
      </w:pPr>
    </w:p>
    <w:p w14:paraId="306A52D8" w14:textId="3A9ADCC2" w:rsidR="00CD406C" w:rsidRDefault="0051533D" w:rsidP="006968EF">
      <w:pPr>
        <w:pStyle w:val="BasicParagraph"/>
        <w:suppressAutoHyphens/>
        <w:ind w:left="720" w:hanging="720"/>
        <w:rPr>
          <w:rFonts w:ascii="Verdana" w:hAnsi="Verdana" w:cs="Arial"/>
          <w:bCs/>
          <w:color w:val="auto"/>
        </w:rPr>
      </w:pPr>
      <w:r>
        <w:rPr>
          <w:rFonts w:ascii="Verdana" w:hAnsi="Verdana"/>
        </w:rPr>
        <w:t>5.</w:t>
      </w:r>
      <w:r w:rsidR="00C02BE3">
        <w:rPr>
          <w:rFonts w:ascii="Verdana" w:hAnsi="Verdana"/>
        </w:rPr>
        <w:t>6</w:t>
      </w:r>
      <w:r>
        <w:rPr>
          <w:rFonts w:ascii="Verdana" w:hAnsi="Verdana"/>
        </w:rPr>
        <w:tab/>
      </w:r>
      <w:r w:rsidR="008254B9">
        <w:rPr>
          <w:rFonts w:ascii="Verdana" w:hAnsi="Verdana"/>
        </w:rPr>
        <w:t>T</w:t>
      </w:r>
      <w:r w:rsidR="00DA2C3E">
        <w:rPr>
          <w:rFonts w:ascii="Verdana" w:hAnsi="Verdana"/>
        </w:rPr>
        <w:t>he Commission notes the difference between the ethos of integrated education put forward by this Bill, which is fully inclusive of all cultures and religions and of none, and that provided for in NICIE’s Statement of Principles which set out that integrated schools are to be “essentially Christian in character” and would provide “a Christian based rather than a secular approach”.</w:t>
      </w:r>
      <w:r w:rsidR="00F81002">
        <w:rPr>
          <w:rStyle w:val="FootnoteReference"/>
          <w:rFonts w:ascii="Verdana" w:hAnsi="Verdana"/>
        </w:rPr>
        <w:footnoteReference w:id="49"/>
      </w:r>
      <w:r w:rsidR="00DA2C3E">
        <w:rPr>
          <w:rFonts w:ascii="Verdana" w:hAnsi="Verdana"/>
        </w:rPr>
        <w:t xml:space="preserve"> </w:t>
      </w:r>
      <w:r w:rsidR="00112AC8">
        <w:rPr>
          <w:rFonts w:ascii="Verdana" w:hAnsi="Verdana"/>
        </w:rPr>
        <w:t>The Commission welcome</w:t>
      </w:r>
      <w:r w:rsidR="00D8403B">
        <w:rPr>
          <w:rFonts w:ascii="Verdana" w:hAnsi="Verdana"/>
        </w:rPr>
        <w:t>s</w:t>
      </w:r>
      <w:r w:rsidR="009A78C1">
        <w:rPr>
          <w:rFonts w:ascii="Verdana" w:hAnsi="Verdana"/>
        </w:rPr>
        <w:t xml:space="preserve"> </w:t>
      </w:r>
      <w:r w:rsidR="00D8403B">
        <w:rPr>
          <w:rFonts w:ascii="Verdana" w:hAnsi="Verdana"/>
        </w:rPr>
        <w:t>Clause 7 for</w:t>
      </w:r>
      <w:r w:rsidR="00BF1BCB">
        <w:rPr>
          <w:rFonts w:ascii="Verdana" w:hAnsi="Verdana"/>
        </w:rPr>
        <w:t xml:space="preserve"> </w:t>
      </w:r>
      <w:r w:rsidR="00A8160C">
        <w:rPr>
          <w:rFonts w:ascii="Verdana" w:hAnsi="Verdana"/>
        </w:rPr>
        <w:t xml:space="preserve">enabling the State </w:t>
      </w:r>
      <w:r w:rsidR="00A42307">
        <w:rPr>
          <w:rFonts w:ascii="Verdana" w:hAnsi="Verdana"/>
        </w:rPr>
        <w:t xml:space="preserve">to </w:t>
      </w:r>
      <w:r w:rsidR="00156285">
        <w:rPr>
          <w:rFonts w:ascii="Verdana" w:hAnsi="Verdana"/>
        </w:rPr>
        <w:t xml:space="preserve">increase the accessibility of </w:t>
      </w:r>
      <w:r w:rsidR="00A42307">
        <w:rPr>
          <w:rFonts w:ascii="Verdana" w:hAnsi="Verdana"/>
        </w:rPr>
        <w:t xml:space="preserve">alternatives for those </w:t>
      </w:r>
      <w:r w:rsidR="006960A8" w:rsidRPr="006960A8">
        <w:rPr>
          <w:rFonts w:ascii="Verdana" w:hAnsi="Verdana"/>
        </w:rPr>
        <w:t>who do not share the Christian dominated ethos</w:t>
      </w:r>
      <w:r w:rsidR="00A8160C">
        <w:rPr>
          <w:rFonts w:ascii="Verdana" w:hAnsi="Verdana"/>
        </w:rPr>
        <w:t xml:space="preserve">. That will </w:t>
      </w:r>
      <w:r w:rsidR="00A8160C">
        <w:rPr>
          <w:rFonts w:ascii="Verdana" w:hAnsi="Verdana" w:cs="Times"/>
          <w:iCs/>
        </w:rPr>
        <w:t>better</w:t>
      </w:r>
      <w:r w:rsidR="00F04BFB" w:rsidRPr="008718A6">
        <w:rPr>
          <w:rFonts w:ascii="Verdana" w:hAnsi="Verdana" w:cs="Times"/>
          <w:iCs/>
        </w:rPr>
        <w:t xml:space="preserve"> meet the needs of minority or non-faith children.</w:t>
      </w:r>
      <w:r w:rsidR="008A6A71">
        <w:rPr>
          <w:rFonts w:ascii="Verdana" w:hAnsi="Verdana" w:cs="Times"/>
          <w:iCs/>
        </w:rPr>
        <w:t xml:space="preserve"> </w:t>
      </w:r>
    </w:p>
    <w:p w14:paraId="234BB76F" w14:textId="2AC8E063" w:rsidR="00B04F7B" w:rsidRDefault="00B04F7B" w:rsidP="005D325D">
      <w:pPr>
        <w:pStyle w:val="BasicParagraph"/>
        <w:suppressAutoHyphens/>
        <w:rPr>
          <w:rFonts w:ascii="Verdana" w:hAnsi="Verdana" w:cs="Arial"/>
          <w:bCs/>
          <w:color w:val="auto"/>
        </w:rPr>
      </w:pPr>
    </w:p>
    <w:p w14:paraId="7754FF3E" w14:textId="1AC1237B" w:rsidR="00B04F7B" w:rsidRPr="003C076F" w:rsidRDefault="00B04F7B" w:rsidP="00842250">
      <w:pPr>
        <w:pStyle w:val="BasicParagraph"/>
        <w:suppressAutoHyphens/>
        <w:ind w:left="720" w:hanging="720"/>
        <w:rPr>
          <w:rFonts w:ascii="Verdana" w:hAnsi="Verdana" w:cs="Arial"/>
          <w:bCs/>
          <w:color w:val="auto"/>
        </w:rPr>
      </w:pPr>
      <w:r w:rsidRPr="00BD5DE4">
        <w:rPr>
          <w:rFonts w:ascii="Verdana" w:hAnsi="Verdana"/>
          <w:b/>
          <w:bCs/>
          <w:color w:val="auto"/>
        </w:rPr>
        <w:t>5.</w:t>
      </w:r>
      <w:r w:rsidR="00C02BE3">
        <w:rPr>
          <w:rFonts w:ascii="Verdana" w:hAnsi="Verdana"/>
          <w:b/>
          <w:bCs/>
          <w:color w:val="auto"/>
        </w:rPr>
        <w:t>7</w:t>
      </w:r>
      <w:r w:rsidRPr="00BD5DE4">
        <w:rPr>
          <w:rFonts w:ascii="Verdana" w:hAnsi="Verdana"/>
          <w:b/>
          <w:bCs/>
          <w:color w:val="auto"/>
        </w:rPr>
        <w:tab/>
      </w:r>
      <w:r w:rsidR="00E91A15">
        <w:rPr>
          <w:rFonts w:ascii="Verdana" w:hAnsi="Verdana"/>
          <w:b/>
          <w:bCs/>
          <w:color w:val="auto"/>
        </w:rPr>
        <w:t xml:space="preserve">The Commission </w:t>
      </w:r>
      <w:r w:rsidRPr="00BD5DE4">
        <w:rPr>
          <w:rFonts w:ascii="Verdana" w:hAnsi="Verdana"/>
          <w:b/>
          <w:bCs/>
          <w:color w:val="auto"/>
        </w:rPr>
        <w:t>welcomes the rebuttable presumption in Clause 7</w:t>
      </w:r>
      <w:r w:rsidR="00707D01">
        <w:rPr>
          <w:rFonts w:ascii="Verdana" w:hAnsi="Verdana"/>
          <w:b/>
          <w:bCs/>
          <w:color w:val="auto"/>
        </w:rPr>
        <w:t>,</w:t>
      </w:r>
      <w:r w:rsidRPr="00BD5DE4">
        <w:rPr>
          <w:rFonts w:ascii="Verdana" w:hAnsi="Verdana"/>
          <w:b/>
          <w:bCs/>
          <w:color w:val="auto"/>
        </w:rPr>
        <w:t xml:space="preserve"> which aims to enhance the provision of integrated education in accordance with recommendations from the UNCRC Committee. </w:t>
      </w:r>
    </w:p>
    <w:p w14:paraId="639DB6F8" w14:textId="34812408" w:rsidR="00AE38BC" w:rsidRDefault="00AE38BC" w:rsidP="00475B4C">
      <w:pPr>
        <w:pStyle w:val="BasicParagraph"/>
        <w:suppressAutoHyphens/>
        <w:rPr>
          <w:rFonts w:ascii="Verdana" w:hAnsi="Verdana" w:cs="Arial"/>
          <w:color w:val="3C3C3B"/>
          <w:sz w:val="20"/>
          <w:szCs w:val="20"/>
        </w:rPr>
      </w:pPr>
    </w:p>
    <w:p w14:paraId="247CAD6D" w14:textId="3C9B5E8B" w:rsidR="000F7A69" w:rsidRDefault="00C8540E" w:rsidP="00D9464D">
      <w:pPr>
        <w:pStyle w:val="BasicParagraph"/>
        <w:suppressAutoHyphens/>
        <w:rPr>
          <w:rFonts w:ascii="Verdana" w:hAnsi="Verdana" w:cs="Arial"/>
          <w:b/>
          <w:color w:val="7030A0"/>
          <w:sz w:val="30"/>
          <w:szCs w:val="30"/>
        </w:rPr>
      </w:pPr>
      <w:r>
        <w:rPr>
          <w:rFonts w:ascii="Verdana" w:hAnsi="Verdana" w:cs="Arial"/>
          <w:b/>
          <w:color w:val="77328A"/>
          <w:sz w:val="30"/>
          <w:szCs w:val="30"/>
        </w:rPr>
        <w:t>6</w:t>
      </w:r>
      <w:r w:rsidR="00D9464D" w:rsidRPr="003B7D0E">
        <w:rPr>
          <w:rFonts w:ascii="Verdana" w:hAnsi="Verdana" w:cs="Arial"/>
          <w:b/>
          <w:color w:val="77328A"/>
          <w:sz w:val="30"/>
          <w:szCs w:val="30"/>
        </w:rPr>
        <w:t>.0</w:t>
      </w:r>
      <w:r w:rsidR="00D9464D" w:rsidRPr="003B7D0E">
        <w:rPr>
          <w:rFonts w:ascii="Verdana" w:hAnsi="Verdana" w:cs="Arial"/>
          <w:b/>
          <w:color w:val="77328A"/>
          <w:sz w:val="30"/>
          <w:szCs w:val="30"/>
        </w:rPr>
        <w:tab/>
      </w:r>
      <w:r w:rsidR="00D9464D" w:rsidRPr="00FA4F0E">
        <w:rPr>
          <w:rFonts w:ascii="Verdana" w:hAnsi="Verdana" w:cs="Arial"/>
          <w:b/>
          <w:color w:val="7030A0"/>
          <w:sz w:val="30"/>
          <w:szCs w:val="30"/>
        </w:rPr>
        <w:t xml:space="preserve">Clauses </w:t>
      </w:r>
      <w:r w:rsidR="00D9464D">
        <w:rPr>
          <w:rFonts w:ascii="Verdana" w:hAnsi="Verdana" w:cs="Arial"/>
          <w:b/>
          <w:color w:val="7030A0"/>
          <w:sz w:val="30"/>
          <w:szCs w:val="30"/>
        </w:rPr>
        <w:t xml:space="preserve">8 </w:t>
      </w:r>
      <w:r w:rsidR="00C96B08">
        <w:rPr>
          <w:rFonts w:ascii="Verdana" w:hAnsi="Verdana" w:cs="Arial"/>
          <w:b/>
          <w:color w:val="7030A0"/>
          <w:sz w:val="30"/>
          <w:szCs w:val="30"/>
        </w:rPr>
        <w:t>- 11</w:t>
      </w:r>
      <w:r w:rsidR="00D9464D">
        <w:rPr>
          <w:rFonts w:ascii="Verdana" w:hAnsi="Verdana" w:cs="Arial"/>
          <w:b/>
          <w:color w:val="7030A0"/>
          <w:sz w:val="30"/>
          <w:szCs w:val="30"/>
        </w:rPr>
        <w:t xml:space="preserve">: </w:t>
      </w:r>
      <w:r w:rsidR="00F81190">
        <w:rPr>
          <w:rFonts w:ascii="Verdana" w:hAnsi="Verdana" w:cs="Arial"/>
          <w:b/>
          <w:color w:val="7030A0"/>
          <w:sz w:val="30"/>
          <w:szCs w:val="30"/>
        </w:rPr>
        <w:t>Monitoring</w:t>
      </w:r>
      <w:r w:rsidR="00906212">
        <w:rPr>
          <w:rFonts w:ascii="Verdana" w:hAnsi="Verdana" w:cs="Arial"/>
          <w:b/>
          <w:color w:val="7030A0"/>
          <w:sz w:val="30"/>
          <w:szCs w:val="30"/>
        </w:rPr>
        <w:t xml:space="preserve"> </w:t>
      </w:r>
    </w:p>
    <w:p w14:paraId="72CF255D" w14:textId="4FA40773" w:rsidR="00B12651" w:rsidRDefault="00D45D5C" w:rsidP="004F2122">
      <w:pPr>
        <w:pStyle w:val="BasicParagraph"/>
        <w:suppressAutoHyphens/>
        <w:ind w:left="720" w:hanging="720"/>
        <w:rPr>
          <w:rFonts w:ascii="Verdana" w:hAnsi="Verdana"/>
        </w:rPr>
      </w:pPr>
      <w:r w:rsidRPr="00D45D5C">
        <w:rPr>
          <w:rFonts w:ascii="Verdana" w:hAnsi="Verdana" w:cs="Arial"/>
          <w:bCs/>
          <w:color w:val="auto"/>
        </w:rPr>
        <w:t>6.1</w:t>
      </w:r>
      <w:r w:rsidRPr="00D45D5C">
        <w:rPr>
          <w:rFonts w:ascii="Verdana" w:hAnsi="Verdana" w:cs="Arial"/>
          <w:bCs/>
          <w:color w:val="auto"/>
        </w:rPr>
        <w:tab/>
      </w:r>
      <w:r w:rsidR="002257E1">
        <w:rPr>
          <w:rFonts w:ascii="Verdana" w:hAnsi="Verdana"/>
        </w:rPr>
        <w:t xml:space="preserve">The Commission welcomes </w:t>
      </w:r>
      <w:r w:rsidR="00707D01">
        <w:rPr>
          <w:rFonts w:ascii="Verdana" w:hAnsi="Verdana"/>
        </w:rPr>
        <w:t>the requirement on</w:t>
      </w:r>
      <w:r w:rsidR="00C47D6A">
        <w:rPr>
          <w:rFonts w:ascii="Verdana" w:hAnsi="Verdana"/>
        </w:rPr>
        <w:t xml:space="preserve"> the Department to develop an Integrated Education Strategy </w:t>
      </w:r>
      <w:r w:rsidR="002233C8">
        <w:rPr>
          <w:rFonts w:ascii="Verdana" w:hAnsi="Verdana"/>
        </w:rPr>
        <w:t>to monitor</w:t>
      </w:r>
      <w:r w:rsidR="00C47D6A">
        <w:rPr>
          <w:rFonts w:ascii="Verdana" w:hAnsi="Verdana"/>
        </w:rPr>
        <w:t xml:space="preserve"> the implementation of the Act</w:t>
      </w:r>
      <w:r w:rsidR="00707D01">
        <w:rPr>
          <w:rFonts w:ascii="Verdana" w:hAnsi="Verdana"/>
        </w:rPr>
        <w:t xml:space="preserve"> and</w:t>
      </w:r>
      <w:r w:rsidR="009E2C8E">
        <w:rPr>
          <w:rFonts w:ascii="Verdana" w:hAnsi="Verdana"/>
        </w:rPr>
        <w:t xml:space="preserve"> </w:t>
      </w:r>
      <w:r w:rsidR="00C47D6A">
        <w:rPr>
          <w:rFonts w:ascii="Verdana" w:hAnsi="Verdana"/>
        </w:rPr>
        <w:t>biennial reporting</w:t>
      </w:r>
      <w:r w:rsidR="0006177C">
        <w:rPr>
          <w:rFonts w:ascii="Verdana" w:hAnsi="Verdana"/>
        </w:rPr>
        <w:t xml:space="preserve">. </w:t>
      </w:r>
      <w:r w:rsidR="00707D01">
        <w:rPr>
          <w:rFonts w:ascii="Verdana" w:hAnsi="Verdana"/>
        </w:rPr>
        <w:t>T</w:t>
      </w:r>
      <w:r w:rsidR="00646CD5">
        <w:rPr>
          <w:rFonts w:ascii="Verdana" w:hAnsi="Verdana"/>
        </w:rPr>
        <w:t xml:space="preserve">he Bill </w:t>
      </w:r>
      <w:r w:rsidR="00DF0CF6">
        <w:rPr>
          <w:rFonts w:ascii="Verdana" w:hAnsi="Verdana"/>
        </w:rPr>
        <w:t>enhances the role of the</w:t>
      </w:r>
      <w:r w:rsidR="00646CD5">
        <w:rPr>
          <w:rFonts w:ascii="Verdana" w:hAnsi="Verdana"/>
        </w:rPr>
        <w:t xml:space="preserve"> Committee </w:t>
      </w:r>
      <w:r w:rsidR="00DF0CF6">
        <w:rPr>
          <w:rFonts w:ascii="Verdana" w:hAnsi="Verdana"/>
        </w:rPr>
        <w:t xml:space="preserve">in </w:t>
      </w:r>
      <w:r w:rsidR="00D23D52">
        <w:rPr>
          <w:rFonts w:ascii="Verdana" w:hAnsi="Verdana"/>
        </w:rPr>
        <w:t>scrutinising the effectiveness of the Department</w:t>
      </w:r>
      <w:r w:rsidR="00FB3E0B">
        <w:rPr>
          <w:rFonts w:ascii="Verdana" w:hAnsi="Verdana"/>
        </w:rPr>
        <w:t>’</w:t>
      </w:r>
      <w:r w:rsidR="00D23D52">
        <w:rPr>
          <w:rFonts w:ascii="Verdana" w:hAnsi="Verdana"/>
        </w:rPr>
        <w:t xml:space="preserve">s </w:t>
      </w:r>
      <w:r w:rsidR="00F540AD">
        <w:rPr>
          <w:rFonts w:ascii="Verdana" w:hAnsi="Verdana"/>
        </w:rPr>
        <w:t>performance in respect of its integrated education functions</w:t>
      </w:r>
      <w:r w:rsidR="00547354">
        <w:rPr>
          <w:rFonts w:ascii="Verdana" w:hAnsi="Verdana"/>
        </w:rPr>
        <w:t xml:space="preserve"> and the levels of demand for and supply of integrated education</w:t>
      </w:r>
      <w:r w:rsidR="00F540AD">
        <w:rPr>
          <w:rFonts w:ascii="Verdana" w:hAnsi="Verdana"/>
        </w:rPr>
        <w:t xml:space="preserve">. </w:t>
      </w:r>
    </w:p>
    <w:p w14:paraId="04925FC8" w14:textId="77777777" w:rsidR="00B12651" w:rsidRDefault="00B12651" w:rsidP="00F60840">
      <w:pPr>
        <w:pStyle w:val="BasicParagraph"/>
        <w:suppressAutoHyphens/>
        <w:rPr>
          <w:rFonts w:ascii="Verdana" w:hAnsi="Verdana"/>
        </w:rPr>
      </w:pPr>
    </w:p>
    <w:p w14:paraId="1FFE05C3" w14:textId="62BEB046" w:rsidR="00755310" w:rsidRDefault="00CA3569" w:rsidP="00CA3569">
      <w:pPr>
        <w:pStyle w:val="BasicParagraph"/>
        <w:suppressAutoHyphens/>
        <w:ind w:left="720" w:hanging="720"/>
        <w:rPr>
          <w:rFonts w:ascii="Verdana" w:hAnsi="Verdana"/>
        </w:rPr>
      </w:pPr>
      <w:r>
        <w:rPr>
          <w:rFonts w:ascii="Verdana" w:hAnsi="Verdana"/>
        </w:rPr>
        <w:t>6.2</w:t>
      </w:r>
      <w:r>
        <w:rPr>
          <w:rFonts w:ascii="Verdana" w:hAnsi="Verdana"/>
        </w:rPr>
        <w:tab/>
      </w:r>
      <w:r w:rsidR="00095175">
        <w:rPr>
          <w:rFonts w:ascii="Verdana" w:hAnsi="Verdana"/>
        </w:rPr>
        <w:t>If the Bill progresses</w:t>
      </w:r>
      <w:r w:rsidR="00414510">
        <w:rPr>
          <w:rFonts w:ascii="Verdana" w:hAnsi="Verdana"/>
        </w:rPr>
        <w:t xml:space="preserve">, the Commission </w:t>
      </w:r>
      <w:r w:rsidR="00B947C6">
        <w:rPr>
          <w:rFonts w:ascii="Verdana" w:hAnsi="Verdana"/>
        </w:rPr>
        <w:t xml:space="preserve">would </w:t>
      </w:r>
      <w:r w:rsidR="00414510">
        <w:rPr>
          <w:rFonts w:ascii="Verdana" w:hAnsi="Verdana"/>
        </w:rPr>
        <w:t>welcome</w:t>
      </w:r>
      <w:r w:rsidR="00B947C6">
        <w:rPr>
          <w:rFonts w:ascii="Verdana" w:hAnsi="Verdana"/>
        </w:rPr>
        <w:t xml:space="preserve"> </w:t>
      </w:r>
      <w:r w:rsidR="00414510">
        <w:rPr>
          <w:rFonts w:ascii="Verdana" w:hAnsi="Verdana"/>
        </w:rPr>
        <w:t xml:space="preserve">further </w:t>
      </w:r>
      <w:r w:rsidR="00FA5743">
        <w:rPr>
          <w:rFonts w:ascii="Verdana" w:hAnsi="Verdana"/>
        </w:rPr>
        <w:t xml:space="preserve">detail and </w:t>
      </w:r>
      <w:r w:rsidR="00414510">
        <w:rPr>
          <w:rFonts w:ascii="Verdana" w:hAnsi="Verdana"/>
        </w:rPr>
        <w:t xml:space="preserve">consultation on the Regulations and Departmental </w:t>
      </w:r>
      <w:r w:rsidR="00707D01">
        <w:rPr>
          <w:rFonts w:ascii="Verdana" w:hAnsi="Verdana"/>
        </w:rPr>
        <w:t>G</w:t>
      </w:r>
      <w:r w:rsidR="00414510">
        <w:rPr>
          <w:rFonts w:ascii="Verdana" w:hAnsi="Verdana"/>
        </w:rPr>
        <w:t>uidance proposed at Clauses 10 and 11</w:t>
      </w:r>
      <w:r w:rsidR="00CB3CD3">
        <w:rPr>
          <w:rFonts w:ascii="Verdana" w:hAnsi="Verdana"/>
        </w:rPr>
        <w:t>. In particular, the Commission</w:t>
      </w:r>
      <w:r w:rsidR="00F60840">
        <w:rPr>
          <w:rFonts w:ascii="Verdana" w:hAnsi="Verdana"/>
        </w:rPr>
        <w:t xml:space="preserve"> </w:t>
      </w:r>
      <w:r w:rsidR="00937194">
        <w:rPr>
          <w:rFonts w:ascii="Verdana" w:hAnsi="Verdana"/>
        </w:rPr>
        <w:t>support</w:t>
      </w:r>
      <w:r>
        <w:rPr>
          <w:rFonts w:ascii="Verdana" w:hAnsi="Verdana"/>
        </w:rPr>
        <w:t>s</w:t>
      </w:r>
      <w:r w:rsidR="003173BA">
        <w:rPr>
          <w:rFonts w:ascii="Verdana" w:hAnsi="Verdana"/>
        </w:rPr>
        <w:t xml:space="preserve"> the explicit and comprehensive incorporation </w:t>
      </w:r>
      <w:r w:rsidR="00FB3E0B">
        <w:rPr>
          <w:rFonts w:ascii="Verdana" w:hAnsi="Verdana"/>
        </w:rPr>
        <w:t xml:space="preserve">of </w:t>
      </w:r>
      <w:r w:rsidR="003173BA">
        <w:rPr>
          <w:rFonts w:ascii="Verdana" w:hAnsi="Verdana"/>
        </w:rPr>
        <w:t>human rights standards in education</w:t>
      </w:r>
      <w:r w:rsidR="00FB3E0B">
        <w:rPr>
          <w:rFonts w:ascii="Verdana" w:hAnsi="Verdana"/>
        </w:rPr>
        <w:t>,</w:t>
      </w:r>
      <w:r w:rsidR="003173BA">
        <w:rPr>
          <w:rFonts w:ascii="Verdana" w:hAnsi="Verdana"/>
        </w:rPr>
        <w:t xml:space="preserve"> with </w:t>
      </w:r>
      <w:r w:rsidR="00755310" w:rsidRPr="00FB0DAC">
        <w:rPr>
          <w:rFonts w:ascii="Verdana" w:hAnsi="Verdana"/>
        </w:rPr>
        <w:t>particular attention to the duty to promote inclusion, tolerance and mutual understanding.</w:t>
      </w:r>
      <w:r w:rsidR="00F60840">
        <w:rPr>
          <w:rFonts w:ascii="Verdana" w:hAnsi="Verdana"/>
        </w:rPr>
        <w:t xml:space="preserve"> To that end, the </w:t>
      </w:r>
      <w:r w:rsidR="0020133A">
        <w:rPr>
          <w:rFonts w:ascii="Verdana" w:hAnsi="Verdana"/>
        </w:rPr>
        <w:t xml:space="preserve">Commission </w:t>
      </w:r>
      <w:r w:rsidR="00B947C6">
        <w:rPr>
          <w:rFonts w:ascii="Verdana" w:hAnsi="Verdana"/>
        </w:rPr>
        <w:t xml:space="preserve">welcomes </w:t>
      </w:r>
      <w:r w:rsidR="0020133A">
        <w:rPr>
          <w:rFonts w:ascii="Verdana" w:hAnsi="Verdana"/>
        </w:rPr>
        <w:t xml:space="preserve">the intention to require </w:t>
      </w:r>
      <w:r w:rsidR="00AB7AD5">
        <w:rPr>
          <w:rFonts w:ascii="Verdana" w:hAnsi="Verdana"/>
        </w:rPr>
        <w:t>“</w:t>
      </w:r>
      <w:r w:rsidR="00AB7AD5" w:rsidRPr="00AB7AD5">
        <w:rPr>
          <w:rFonts w:ascii="Verdana" w:hAnsi="Verdana"/>
        </w:rPr>
        <w:t>a standardised and accredited diversity and all-inclusive module on how to teach in a truly inclusive and integrated classroom for primary and secondary schools and Postgraduate Certificate in Education for schools</w:t>
      </w:r>
      <w:r w:rsidR="00AB7AD5">
        <w:rPr>
          <w:rFonts w:ascii="Verdana" w:hAnsi="Verdana"/>
        </w:rPr>
        <w:t>”.</w:t>
      </w:r>
      <w:r w:rsidR="00B947C6">
        <w:rPr>
          <w:rStyle w:val="FootnoteReference"/>
          <w:rFonts w:ascii="Verdana" w:hAnsi="Verdana"/>
        </w:rPr>
        <w:footnoteReference w:id="50"/>
      </w:r>
      <w:r w:rsidR="00AB7AD5">
        <w:rPr>
          <w:rFonts w:ascii="Verdana" w:hAnsi="Verdana"/>
        </w:rPr>
        <w:t xml:space="preserve"> </w:t>
      </w:r>
    </w:p>
    <w:p w14:paraId="47EF9112" w14:textId="4C9D3D33" w:rsidR="00D641D2" w:rsidRDefault="00D641D2" w:rsidP="003173BA">
      <w:pPr>
        <w:pStyle w:val="BasicParagraph"/>
        <w:suppressAutoHyphens/>
        <w:ind w:left="720"/>
        <w:rPr>
          <w:rFonts w:ascii="Verdana" w:hAnsi="Verdana"/>
        </w:rPr>
      </w:pPr>
    </w:p>
    <w:p w14:paraId="4741A950" w14:textId="300CEE2D" w:rsidR="00D641D2" w:rsidRPr="009C4E63" w:rsidRDefault="00CA3569" w:rsidP="00CA3569">
      <w:pPr>
        <w:pStyle w:val="BasicParagraph"/>
        <w:suppressAutoHyphens/>
        <w:ind w:left="720" w:hanging="720"/>
        <w:rPr>
          <w:rFonts w:ascii="Verdana" w:hAnsi="Verdana"/>
        </w:rPr>
      </w:pPr>
      <w:r>
        <w:rPr>
          <w:rFonts w:ascii="Verdana" w:hAnsi="Verdana"/>
        </w:rPr>
        <w:t>6.3</w:t>
      </w:r>
      <w:r>
        <w:rPr>
          <w:rFonts w:ascii="Verdana" w:hAnsi="Verdana"/>
        </w:rPr>
        <w:tab/>
      </w:r>
      <w:r w:rsidR="009C4E63">
        <w:rPr>
          <w:rFonts w:ascii="Verdana" w:hAnsi="Verdana"/>
        </w:rPr>
        <w:t>This</w:t>
      </w:r>
      <w:r>
        <w:rPr>
          <w:rFonts w:ascii="Verdana" w:hAnsi="Verdana"/>
        </w:rPr>
        <w:t xml:space="preserve"> requirement</w:t>
      </w:r>
      <w:r w:rsidR="009C4E63">
        <w:rPr>
          <w:rFonts w:ascii="Verdana" w:hAnsi="Verdana"/>
        </w:rPr>
        <w:t xml:space="preserve"> is consistent with </w:t>
      </w:r>
      <w:r w:rsidR="00D641D2" w:rsidRPr="009C4E63">
        <w:rPr>
          <w:rFonts w:ascii="Verdana" w:hAnsi="Verdana"/>
        </w:rPr>
        <w:t xml:space="preserve">General Comment </w:t>
      </w:r>
      <w:r w:rsidR="009C4E63">
        <w:rPr>
          <w:rFonts w:ascii="Verdana" w:hAnsi="Verdana"/>
        </w:rPr>
        <w:t>No.</w:t>
      </w:r>
      <w:r w:rsidR="00D641D2" w:rsidRPr="009C4E63">
        <w:rPr>
          <w:rFonts w:ascii="Verdana" w:hAnsi="Verdana"/>
        </w:rPr>
        <w:t xml:space="preserve">29 of the UN Committee on the Rights of the Child </w:t>
      </w:r>
      <w:r w:rsidR="009C4E63">
        <w:rPr>
          <w:rFonts w:ascii="Verdana" w:hAnsi="Verdana"/>
        </w:rPr>
        <w:t xml:space="preserve">which </w:t>
      </w:r>
      <w:r w:rsidR="009C4E63" w:rsidRPr="009C4E63">
        <w:rPr>
          <w:rFonts w:ascii="Verdana" w:hAnsi="Verdana"/>
        </w:rPr>
        <w:t xml:space="preserve">states, </w:t>
      </w:r>
    </w:p>
    <w:p w14:paraId="058F3F49" w14:textId="637B918F" w:rsidR="009C4E63" w:rsidRPr="009C4E63" w:rsidRDefault="009C4E63" w:rsidP="003173BA">
      <w:pPr>
        <w:pStyle w:val="BasicParagraph"/>
        <w:suppressAutoHyphens/>
        <w:ind w:left="720"/>
        <w:rPr>
          <w:rFonts w:ascii="Verdana" w:hAnsi="Verdana"/>
        </w:rPr>
      </w:pPr>
    </w:p>
    <w:p w14:paraId="168C0414" w14:textId="2EDA27EC" w:rsidR="009C4E63" w:rsidRPr="009C4E63" w:rsidRDefault="00DC485C" w:rsidP="009C4E63">
      <w:pPr>
        <w:pStyle w:val="BasicParagraph"/>
        <w:suppressAutoHyphens/>
        <w:ind w:left="1440"/>
        <w:rPr>
          <w:rFonts w:ascii="Verdana" w:hAnsi="Verdana"/>
        </w:rPr>
      </w:pPr>
      <w:r>
        <w:rPr>
          <w:rFonts w:ascii="Verdana" w:hAnsi="Verdana"/>
        </w:rPr>
        <w:t>“</w:t>
      </w:r>
      <w:r w:rsidR="009C4E63" w:rsidRPr="009C4E63">
        <w:rPr>
          <w:rFonts w:ascii="Verdana" w:hAnsi="Verdana"/>
        </w:rPr>
        <w:t>Every child has the right to receive an education of good quality which in turn requires a focus on the quality of the learning environment, of teaching and learning processes and materials, and of learning outputs. The Committee notes the importance of surveys that may provide an opportunity to assess the progress made, based upon consideration of the views of all actors involved in the process, including children currently in or out of school, teachers and youth leaders, parents, and educational administrators and supervisors. In this respect, the Committee emphasizes the role of national-level monitoring which seeks to ensure that children, parents and teachers can have an input in decisions relevant to education.</w:t>
      </w:r>
      <w:r>
        <w:rPr>
          <w:rFonts w:ascii="Verdana" w:hAnsi="Verdana"/>
        </w:rPr>
        <w:t>”</w:t>
      </w:r>
      <w:r w:rsidR="0030377B">
        <w:rPr>
          <w:rStyle w:val="FootnoteReference"/>
          <w:rFonts w:ascii="Verdana" w:hAnsi="Verdana"/>
        </w:rPr>
        <w:footnoteReference w:id="51"/>
      </w:r>
    </w:p>
    <w:p w14:paraId="0F262FC7" w14:textId="4703A2E2" w:rsidR="00D06DF1" w:rsidRDefault="00D06DF1" w:rsidP="006C40C5">
      <w:pPr>
        <w:pStyle w:val="BasicParagraph"/>
        <w:suppressAutoHyphens/>
        <w:rPr>
          <w:rFonts w:ascii="Verdana" w:hAnsi="Verdana"/>
        </w:rPr>
      </w:pPr>
    </w:p>
    <w:p w14:paraId="13175CF1" w14:textId="499C2F0F" w:rsidR="00EE225B" w:rsidRPr="00287D07" w:rsidRDefault="00EE225B" w:rsidP="00EE225B">
      <w:pPr>
        <w:pStyle w:val="BasicParagraph"/>
        <w:suppressAutoHyphens/>
        <w:ind w:left="720" w:hanging="720"/>
        <w:rPr>
          <w:rFonts w:ascii="Verdana" w:hAnsi="Verdana"/>
          <w:b/>
          <w:bCs/>
        </w:rPr>
      </w:pPr>
      <w:r w:rsidRPr="00EE225B">
        <w:rPr>
          <w:rFonts w:ascii="Verdana" w:hAnsi="Verdana"/>
          <w:b/>
          <w:bCs/>
        </w:rPr>
        <w:t>6.</w:t>
      </w:r>
      <w:r w:rsidR="00C02BE3">
        <w:rPr>
          <w:rFonts w:ascii="Verdana" w:hAnsi="Verdana"/>
          <w:b/>
          <w:bCs/>
        </w:rPr>
        <w:t>4</w:t>
      </w:r>
      <w:r w:rsidRPr="00EE225B">
        <w:rPr>
          <w:rFonts w:ascii="Verdana" w:hAnsi="Verdana"/>
          <w:b/>
          <w:bCs/>
        </w:rPr>
        <w:tab/>
      </w:r>
      <w:r w:rsidRPr="00287D07">
        <w:rPr>
          <w:rFonts w:ascii="Verdana" w:hAnsi="Verdana"/>
          <w:b/>
          <w:bCs/>
        </w:rPr>
        <w:t xml:space="preserve">The Commission </w:t>
      </w:r>
      <w:r w:rsidR="003D7706">
        <w:rPr>
          <w:rFonts w:ascii="Verdana" w:hAnsi="Verdana"/>
          <w:b/>
          <w:bCs/>
        </w:rPr>
        <w:t>welcomes</w:t>
      </w:r>
      <w:r w:rsidRPr="00287D07">
        <w:rPr>
          <w:rFonts w:ascii="Verdana" w:hAnsi="Verdana"/>
          <w:b/>
          <w:bCs/>
        </w:rPr>
        <w:t xml:space="preserve"> </w:t>
      </w:r>
      <w:r w:rsidR="00707D01">
        <w:rPr>
          <w:rFonts w:ascii="Verdana" w:hAnsi="Verdana"/>
          <w:b/>
          <w:bCs/>
        </w:rPr>
        <w:t xml:space="preserve">Clauses 8 to 11 which provide for </w:t>
      </w:r>
      <w:r w:rsidR="00707D01" w:rsidRPr="00287D07">
        <w:rPr>
          <w:rFonts w:ascii="Verdana" w:hAnsi="Verdana"/>
          <w:b/>
          <w:bCs/>
        </w:rPr>
        <w:t>monitoring and governance</w:t>
      </w:r>
      <w:r w:rsidR="00707D01">
        <w:rPr>
          <w:rFonts w:ascii="Verdana" w:hAnsi="Verdana"/>
          <w:b/>
          <w:bCs/>
        </w:rPr>
        <w:t xml:space="preserve"> </w:t>
      </w:r>
      <w:r w:rsidR="00707D01" w:rsidRPr="00287D07">
        <w:rPr>
          <w:rFonts w:ascii="Verdana" w:hAnsi="Verdana"/>
          <w:b/>
          <w:bCs/>
        </w:rPr>
        <w:t>arrangements</w:t>
      </w:r>
      <w:r w:rsidR="00707D01">
        <w:rPr>
          <w:rFonts w:ascii="Verdana" w:hAnsi="Verdana"/>
          <w:b/>
          <w:bCs/>
        </w:rPr>
        <w:t xml:space="preserve">. In particular, the Commission welcomes the inclusion of mandatory training for teachers and advises that it should be developed in consultation with children and young people and their representative organisations. </w:t>
      </w:r>
    </w:p>
    <w:p w14:paraId="1F779D7A" w14:textId="137EB19C" w:rsidR="003D7706" w:rsidRDefault="003D7706" w:rsidP="003D7706">
      <w:pPr>
        <w:pStyle w:val="BasicParagraph"/>
        <w:suppressAutoHyphens/>
        <w:rPr>
          <w:rFonts w:ascii="Verdana" w:hAnsi="Verdana"/>
        </w:rPr>
      </w:pPr>
    </w:p>
    <w:p w14:paraId="787534A5" w14:textId="43718CE9" w:rsidR="00AE38BC" w:rsidRDefault="00AE38BC" w:rsidP="003B7D0E">
      <w:pPr>
        <w:pStyle w:val="BasicParagraph"/>
        <w:suppressAutoHyphens/>
        <w:jc w:val="center"/>
        <w:rPr>
          <w:rFonts w:ascii="Verdana" w:hAnsi="Verdana" w:cs="Arial"/>
          <w:color w:val="3C3C3B"/>
          <w:sz w:val="20"/>
          <w:szCs w:val="20"/>
        </w:rPr>
      </w:pPr>
    </w:p>
    <w:p w14:paraId="7637A0EE" w14:textId="4F25C5F1" w:rsidR="00AE38BC" w:rsidRDefault="00AE38BC" w:rsidP="003B7D0E">
      <w:pPr>
        <w:pStyle w:val="BasicParagraph"/>
        <w:suppressAutoHyphens/>
        <w:jc w:val="center"/>
        <w:rPr>
          <w:rFonts w:ascii="Verdana" w:hAnsi="Verdana" w:cs="Arial"/>
          <w:color w:val="3C3C3B"/>
          <w:sz w:val="20"/>
          <w:szCs w:val="20"/>
        </w:rPr>
      </w:pPr>
    </w:p>
    <w:p w14:paraId="77279593" w14:textId="44A21F3D" w:rsidR="00AE38BC" w:rsidRDefault="00AE38BC" w:rsidP="003B7D0E">
      <w:pPr>
        <w:pStyle w:val="BasicParagraph"/>
        <w:suppressAutoHyphens/>
        <w:jc w:val="center"/>
        <w:rPr>
          <w:rFonts w:ascii="Verdana" w:hAnsi="Verdana" w:cs="Arial"/>
          <w:color w:val="3C3C3B"/>
          <w:sz w:val="20"/>
          <w:szCs w:val="20"/>
        </w:rPr>
      </w:pPr>
    </w:p>
    <w:p w14:paraId="1A95444C" w14:textId="6B69E8FB" w:rsidR="00AE38BC" w:rsidRDefault="00AE38BC" w:rsidP="003B7D0E">
      <w:pPr>
        <w:pStyle w:val="BasicParagraph"/>
        <w:suppressAutoHyphens/>
        <w:jc w:val="center"/>
        <w:rPr>
          <w:rFonts w:ascii="Verdana" w:hAnsi="Verdana" w:cs="Arial"/>
          <w:color w:val="3C3C3B"/>
          <w:sz w:val="20"/>
          <w:szCs w:val="20"/>
        </w:rPr>
      </w:pPr>
    </w:p>
    <w:p w14:paraId="16BE9B75" w14:textId="295E9300" w:rsidR="00BE5A83" w:rsidRDefault="00BE5A83" w:rsidP="006968EF">
      <w:pPr>
        <w:pStyle w:val="BasicParagraph"/>
        <w:suppressAutoHyphens/>
        <w:rPr>
          <w:rFonts w:ascii="Verdana" w:hAnsi="Verdana" w:cs="Arial"/>
          <w:color w:val="3C3C3B"/>
          <w:sz w:val="20"/>
          <w:szCs w:val="20"/>
        </w:rPr>
      </w:pPr>
    </w:p>
    <w:p w14:paraId="2C3A2305" w14:textId="4D5E3D40" w:rsidR="00BE5A83" w:rsidRDefault="00BE5A83" w:rsidP="003B7D0E">
      <w:pPr>
        <w:pStyle w:val="BasicParagraph"/>
        <w:suppressAutoHyphens/>
        <w:jc w:val="center"/>
        <w:rPr>
          <w:rFonts w:ascii="Verdana" w:hAnsi="Verdana" w:cs="Arial"/>
          <w:color w:val="3C3C3B"/>
          <w:sz w:val="20"/>
          <w:szCs w:val="20"/>
        </w:rPr>
      </w:pPr>
    </w:p>
    <w:p w14:paraId="33609033" w14:textId="1A88C71A" w:rsidR="00BE5A83" w:rsidRDefault="00BE5A83" w:rsidP="003B7D0E">
      <w:pPr>
        <w:pStyle w:val="BasicParagraph"/>
        <w:suppressAutoHyphens/>
        <w:jc w:val="center"/>
        <w:rPr>
          <w:rFonts w:ascii="Verdana" w:hAnsi="Verdana" w:cs="Arial"/>
          <w:color w:val="3C3C3B"/>
          <w:sz w:val="20"/>
          <w:szCs w:val="20"/>
        </w:rPr>
      </w:pPr>
    </w:p>
    <w:p w14:paraId="0C4AEA5E" w14:textId="310DDB49" w:rsidR="00BE5A83" w:rsidRDefault="00BE5A83" w:rsidP="003B7D0E">
      <w:pPr>
        <w:pStyle w:val="BasicParagraph"/>
        <w:suppressAutoHyphens/>
        <w:jc w:val="center"/>
        <w:rPr>
          <w:rFonts w:ascii="Verdana" w:hAnsi="Verdana" w:cs="Arial"/>
          <w:color w:val="3C3C3B"/>
          <w:sz w:val="20"/>
          <w:szCs w:val="20"/>
        </w:rPr>
      </w:pPr>
    </w:p>
    <w:p w14:paraId="7BA24FC4" w14:textId="1CDB00A6" w:rsidR="00BE5A83" w:rsidRDefault="00BE5A83" w:rsidP="003B7D0E">
      <w:pPr>
        <w:pStyle w:val="BasicParagraph"/>
        <w:suppressAutoHyphens/>
        <w:jc w:val="center"/>
        <w:rPr>
          <w:rFonts w:ascii="Verdana" w:hAnsi="Verdana" w:cs="Arial"/>
          <w:color w:val="3C3C3B"/>
          <w:sz w:val="20"/>
          <w:szCs w:val="20"/>
        </w:rPr>
      </w:pPr>
    </w:p>
    <w:p w14:paraId="18B4B042" w14:textId="66DA802F" w:rsidR="00BE5A83" w:rsidRDefault="00BE5A83" w:rsidP="003B7D0E">
      <w:pPr>
        <w:pStyle w:val="BasicParagraph"/>
        <w:suppressAutoHyphens/>
        <w:jc w:val="center"/>
        <w:rPr>
          <w:rFonts w:ascii="Verdana" w:hAnsi="Verdana" w:cs="Arial"/>
          <w:color w:val="3C3C3B"/>
          <w:sz w:val="20"/>
          <w:szCs w:val="20"/>
        </w:rPr>
      </w:pPr>
    </w:p>
    <w:p w14:paraId="67746B5B" w14:textId="78476B8E" w:rsidR="00BE5A83" w:rsidRDefault="00BE5A83" w:rsidP="003B7D0E">
      <w:pPr>
        <w:pStyle w:val="BasicParagraph"/>
        <w:suppressAutoHyphens/>
        <w:jc w:val="center"/>
        <w:rPr>
          <w:rFonts w:ascii="Verdana" w:hAnsi="Verdana" w:cs="Arial"/>
          <w:color w:val="3C3C3B"/>
          <w:sz w:val="20"/>
          <w:szCs w:val="20"/>
        </w:rPr>
      </w:pPr>
    </w:p>
    <w:p w14:paraId="66F61D32" w14:textId="0ACAF5B0" w:rsidR="00BE5A83" w:rsidRDefault="00BE5A83" w:rsidP="003B7D0E">
      <w:pPr>
        <w:pStyle w:val="BasicParagraph"/>
        <w:suppressAutoHyphens/>
        <w:jc w:val="center"/>
        <w:rPr>
          <w:rFonts w:ascii="Verdana" w:hAnsi="Verdana" w:cs="Arial"/>
          <w:color w:val="3C3C3B"/>
          <w:sz w:val="20"/>
          <w:szCs w:val="20"/>
        </w:rPr>
      </w:pPr>
    </w:p>
    <w:p w14:paraId="27401158" w14:textId="5FE61D7B" w:rsidR="00BE5A83" w:rsidRDefault="00BE5A83" w:rsidP="003B7D0E">
      <w:pPr>
        <w:pStyle w:val="BasicParagraph"/>
        <w:suppressAutoHyphens/>
        <w:jc w:val="center"/>
        <w:rPr>
          <w:rFonts w:ascii="Verdana" w:hAnsi="Verdana" w:cs="Arial"/>
          <w:color w:val="3C3C3B"/>
          <w:sz w:val="20"/>
          <w:szCs w:val="20"/>
        </w:rPr>
      </w:pPr>
    </w:p>
    <w:p w14:paraId="1A05E096" w14:textId="6E85995B" w:rsidR="00BE5A83" w:rsidRDefault="00BE5A83" w:rsidP="003B7D0E">
      <w:pPr>
        <w:pStyle w:val="BasicParagraph"/>
        <w:suppressAutoHyphens/>
        <w:jc w:val="center"/>
        <w:rPr>
          <w:rFonts w:ascii="Verdana" w:hAnsi="Verdana" w:cs="Arial"/>
          <w:color w:val="3C3C3B"/>
          <w:sz w:val="20"/>
          <w:szCs w:val="20"/>
        </w:rPr>
      </w:pPr>
    </w:p>
    <w:p w14:paraId="1659211C" w14:textId="7457FC1F" w:rsidR="00BE5A83" w:rsidRDefault="00BE5A83" w:rsidP="003B7D0E">
      <w:pPr>
        <w:pStyle w:val="BasicParagraph"/>
        <w:suppressAutoHyphens/>
        <w:jc w:val="center"/>
        <w:rPr>
          <w:rFonts w:ascii="Verdana" w:hAnsi="Verdana" w:cs="Arial"/>
          <w:color w:val="3C3C3B"/>
          <w:sz w:val="20"/>
          <w:szCs w:val="20"/>
        </w:rPr>
      </w:pPr>
    </w:p>
    <w:p w14:paraId="6E702001" w14:textId="5E88B22F" w:rsidR="00BE5A83" w:rsidRDefault="00BE5A83" w:rsidP="003B7D0E">
      <w:pPr>
        <w:pStyle w:val="BasicParagraph"/>
        <w:suppressAutoHyphens/>
        <w:jc w:val="center"/>
        <w:rPr>
          <w:rFonts w:ascii="Verdana" w:hAnsi="Verdana" w:cs="Arial"/>
          <w:color w:val="3C3C3B"/>
          <w:sz w:val="20"/>
          <w:szCs w:val="20"/>
        </w:rPr>
      </w:pPr>
    </w:p>
    <w:p w14:paraId="3D289D9A" w14:textId="5A32DF55" w:rsidR="00BE5A83" w:rsidRDefault="00BE5A83" w:rsidP="003B7D0E">
      <w:pPr>
        <w:pStyle w:val="BasicParagraph"/>
        <w:suppressAutoHyphens/>
        <w:jc w:val="center"/>
        <w:rPr>
          <w:rFonts w:ascii="Verdana" w:hAnsi="Verdana" w:cs="Arial"/>
          <w:color w:val="3C3C3B"/>
          <w:sz w:val="20"/>
          <w:szCs w:val="20"/>
        </w:rPr>
      </w:pPr>
    </w:p>
    <w:p w14:paraId="6CAE972B" w14:textId="00EA3DEB" w:rsidR="00BE5A83" w:rsidRDefault="00BE5A83" w:rsidP="003B7D0E">
      <w:pPr>
        <w:pStyle w:val="BasicParagraph"/>
        <w:suppressAutoHyphens/>
        <w:jc w:val="center"/>
        <w:rPr>
          <w:rFonts w:ascii="Verdana" w:hAnsi="Verdana" w:cs="Arial"/>
          <w:color w:val="3C3C3B"/>
          <w:sz w:val="20"/>
          <w:szCs w:val="20"/>
        </w:rPr>
      </w:pPr>
    </w:p>
    <w:p w14:paraId="35560610" w14:textId="4033554D" w:rsidR="00BE5A83" w:rsidRDefault="00BE5A83" w:rsidP="003B7D0E">
      <w:pPr>
        <w:pStyle w:val="BasicParagraph"/>
        <w:suppressAutoHyphens/>
        <w:jc w:val="center"/>
        <w:rPr>
          <w:rFonts w:ascii="Verdana" w:hAnsi="Verdana" w:cs="Arial"/>
          <w:color w:val="3C3C3B"/>
          <w:sz w:val="20"/>
          <w:szCs w:val="20"/>
        </w:rPr>
      </w:pPr>
    </w:p>
    <w:p w14:paraId="0C5C46E0" w14:textId="4B17BDB7" w:rsidR="00BE5A83" w:rsidRDefault="00BE5A83" w:rsidP="003B7D0E">
      <w:pPr>
        <w:pStyle w:val="BasicParagraph"/>
        <w:suppressAutoHyphens/>
        <w:jc w:val="center"/>
        <w:rPr>
          <w:rFonts w:ascii="Verdana" w:hAnsi="Verdana" w:cs="Arial"/>
          <w:color w:val="3C3C3B"/>
          <w:sz w:val="20"/>
          <w:szCs w:val="20"/>
        </w:rPr>
      </w:pPr>
    </w:p>
    <w:p w14:paraId="68D5F41D" w14:textId="7302E62E" w:rsidR="00BE5A83" w:rsidRDefault="00BE5A83" w:rsidP="003B7D0E">
      <w:pPr>
        <w:pStyle w:val="BasicParagraph"/>
        <w:suppressAutoHyphens/>
        <w:jc w:val="center"/>
        <w:rPr>
          <w:rFonts w:ascii="Verdana" w:hAnsi="Verdana" w:cs="Arial"/>
          <w:color w:val="3C3C3B"/>
          <w:sz w:val="20"/>
          <w:szCs w:val="20"/>
        </w:rPr>
      </w:pPr>
    </w:p>
    <w:p w14:paraId="51457742" w14:textId="70FD0540" w:rsidR="00BE5A83" w:rsidRDefault="00BE5A83" w:rsidP="003B7D0E">
      <w:pPr>
        <w:pStyle w:val="BasicParagraph"/>
        <w:suppressAutoHyphens/>
        <w:jc w:val="center"/>
        <w:rPr>
          <w:rFonts w:ascii="Verdana" w:hAnsi="Verdana" w:cs="Arial"/>
          <w:color w:val="3C3C3B"/>
          <w:sz w:val="20"/>
          <w:szCs w:val="20"/>
        </w:rPr>
      </w:pPr>
    </w:p>
    <w:p w14:paraId="35BF6621" w14:textId="0ABDDFD3" w:rsidR="00BE5A83" w:rsidRDefault="00BE5A83" w:rsidP="003B7D0E">
      <w:pPr>
        <w:pStyle w:val="BasicParagraph"/>
        <w:suppressAutoHyphens/>
        <w:jc w:val="center"/>
        <w:rPr>
          <w:rFonts w:ascii="Verdana" w:hAnsi="Verdana" w:cs="Arial"/>
          <w:color w:val="3C3C3B"/>
          <w:sz w:val="20"/>
          <w:szCs w:val="20"/>
        </w:rPr>
      </w:pPr>
    </w:p>
    <w:p w14:paraId="31406158" w14:textId="0DE32F95" w:rsidR="00BE5A83" w:rsidRDefault="00BE5A83" w:rsidP="003B7D0E">
      <w:pPr>
        <w:pStyle w:val="BasicParagraph"/>
        <w:suppressAutoHyphens/>
        <w:jc w:val="center"/>
        <w:rPr>
          <w:rFonts w:ascii="Verdana" w:hAnsi="Verdana" w:cs="Arial"/>
          <w:color w:val="3C3C3B"/>
          <w:sz w:val="20"/>
          <w:szCs w:val="20"/>
        </w:rPr>
      </w:pPr>
    </w:p>
    <w:p w14:paraId="5FA52CF6" w14:textId="5EBABE4B" w:rsidR="00BE5A83" w:rsidRDefault="00BE5A83" w:rsidP="003B7D0E">
      <w:pPr>
        <w:pStyle w:val="BasicParagraph"/>
        <w:suppressAutoHyphens/>
        <w:jc w:val="center"/>
        <w:rPr>
          <w:rFonts w:ascii="Verdana" w:hAnsi="Verdana" w:cs="Arial"/>
          <w:color w:val="3C3C3B"/>
          <w:sz w:val="20"/>
          <w:szCs w:val="20"/>
        </w:rPr>
      </w:pPr>
    </w:p>
    <w:p w14:paraId="3D2336C9" w14:textId="0AF99A4F" w:rsidR="00BE5A83" w:rsidRDefault="00BE5A83" w:rsidP="003B7D0E">
      <w:pPr>
        <w:pStyle w:val="BasicParagraph"/>
        <w:suppressAutoHyphens/>
        <w:jc w:val="center"/>
        <w:rPr>
          <w:rFonts w:ascii="Verdana" w:hAnsi="Verdana" w:cs="Arial"/>
          <w:color w:val="3C3C3B"/>
          <w:sz w:val="20"/>
          <w:szCs w:val="20"/>
        </w:rPr>
      </w:pPr>
    </w:p>
    <w:p w14:paraId="24A181A6" w14:textId="62F77294" w:rsidR="00BE5A83" w:rsidRDefault="00BE5A83" w:rsidP="003B7D0E">
      <w:pPr>
        <w:pStyle w:val="BasicParagraph"/>
        <w:suppressAutoHyphens/>
        <w:jc w:val="center"/>
        <w:rPr>
          <w:rFonts w:ascii="Verdana" w:hAnsi="Verdana" w:cs="Arial"/>
          <w:color w:val="3C3C3B"/>
          <w:sz w:val="20"/>
          <w:szCs w:val="20"/>
        </w:rPr>
      </w:pPr>
    </w:p>
    <w:p w14:paraId="49F37739" w14:textId="77777777" w:rsidR="00BE5A83" w:rsidRDefault="00BE5A83" w:rsidP="003B7D0E">
      <w:pPr>
        <w:pStyle w:val="BasicParagraph"/>
        <w:suppressAutoHyphens/>
        <w:jc w:val="center"/>
        <w:rPr>
          <w:rFonts w:ascii="Verdana" w:hAnsi="Verdana" w:cs="Arial"/>
          <w:color w:val="3C3C3B"/>
          <w:sz w:val="20"/>
          <w:szCs w:val="20"/>
        </w:rPr>
      </w:pPr>
    </w:p>
    <w:p w14:paraId="3DAC42B9" w14:textId="77777777" w:rsidR="003B7D0E" w:rsidRDefault="003B7D0E" w:rsidP="003B7D0E">
      <w:pPr>
        <w:pStyle w:val="BasicParagraph"/>
        <w:suppressAutoHyphens/>
        <w:jc w:val="center"/>
        <w:rPr>
          <w:rFonts w:ascii="Verdana" w:hAnsi="Verdana" w:cs="Arial"/>
          <w:color w:val="3C3C3B"/>
          <w:sz w:val="20"/>
          <w:szCs w:val="20"/>
        </w:rPr>
      </w:pPr>
    </w:p>
    <w:p w14:paraId="148894EB" w14:textId="77777777" w:rsidR="003B7D0E" w:rsidRDefault="003B7D0E" w:rsidP="003B7D0E">
      <w:pPr>
        <w:pStyle w:val="BasicParagraph"/>
        <w:suppressAutoHyphens/>
        <w:jc w:val="center"/>
        <w:rPr>
          <w:rFonts w:ascii="Verdana" w:hAnsi="Verdana" w:cs="Arial"/>
          <w:color w:val="3C3C3B"/>
          <w:sz w:val="20"/>
          <w:szCs w:val="20"/>
        </w:rPr>
      </w:pPr>
    </w:p>
    <w:p w14:paraId="56C5A973" w14:textId="07C62819" w:rsidR="003B7D0E" w:rsidRDefault="003B7D0E" w:rsidP="003B7D0E">
      <w:pPr>
        <w:pStyle w:val="BasicParagraph"/>
        <w:suppressAutoHyphens/>
        <w:jc w:val="center"/>
        <w:rPr>
          <w:rFonts w:ascii="Verdana" w:hAnsi="Verdana" w:cs="Arial"/>
          <w:color w:val="3C3C3B"/>
          <w:sz w:val="20"/>
          <w:szCs w:val="20"/>
        </w:rPr>
      </w:pPr>
    </w:p>
    <w:p w14:paraId="57FCEBCC" w14:textId="1CEECB1A" w:rsidR="00C02BE3" w:rsidRDefault="00C02BE3" w:rsidP="003B7D0E">
      <w:pPr>
        <w:pStyle w:val="BasicParagraph"/>
        <w:suppressAutoHyphens/>
        <w:jc w:val="center"/>
        <w:rPr>
          <w:rFonts w:ascii="Verdana" w:hAnsi="Verdana" w:cs="Arial"/>
          <w:color w:val="3C3C3B"/>
          <w:sz w:val="20"/>
          <w:szCs w:val="20"/>
        </w:rPr>
      </w:pPr>
    </w:p>
    <w:p w14:paraId="0FF25DB2" w14:textId="60012072" w:rsidR="00C02BE3" w:rsidRDefault="00C02BE3" w:rsidP="003B7D0E">
      <w:pPr>
        <w:pStyle w:val="BasicParagraph"/>
        <w:suppressAutoHyphens/>
        <w:jc w:val="center"/>
        <w:rPr>
          <w:rFonts w:ascii="Verdana" w:hAnsi="Verdana" w:cs="Arial"/>
          <w:color w:val="3C3C3B"/>
          <w:sz w:val="20"/>
          <w:szCs w:val="20"/>
        </w:rPr>
      </w:pPr>
    </w:p>
    <w:p w14:paraId="2646AAC1" w14:textId="001172D4" w:rsidR="00C02BE3" w:rsidRDefault="00C02BE3" w:rsidP="003B7D0E">
      <w:pPr>
        <w:pStyle w:val="BasicParagraph"/>
        <w:suppressAutoHyphens/>
        <w:jc w:val="center"/>
        <w:rPr>
          <w:rFonts w:ascii="Verdana" w:hAnsi="Verdana" w:cs="Arial"/>
          <w:color w:val="3C3C3B"/>
          <w:sz w:val="20"/>
          <w:szCs w:val="20"/>
        </w:rPr>
      </w:pPr>
    </w:p>
    <w:p w14:paraId="386ED1C8" w14:textId="0E72CA4A" w:rsidR="00C02BE3" w:rsidRDefault="00C02BE3" w:rsidP="003B7D0E">
      <w:pPr>
        <w:pStyle w:val="BasicParagraph"/>
        <w:suppressAutoHyphens/>
        <w:jc w:val="center"/>
        <w:rPr>
          <w:rFonts w:ascii="Verdana" w:hAnsi="Verdana" w:cs="Arial"/>
          <w:color w:val="3C3C3B"/>
          <w:sz w:val="20"/>
          <w:szCs w:val="20"/>
        </w:rPr>
      </w:pPr>
    </w:p>
    <w:p w14:paraId="64C737D2" w14:textId="49B5634E" w:rsidR="00C02BE3" w:rsidRDefault="00C02BE3" w:rsidP="003B7D0E">
      <w:pPr>
        <w:pStyle w:val="BasicParagraph"/>
        <w:suppressAutoHyphens/>
        <w:jc w:val="center"/>
        <w:rPr>
          <w:rFonts w:ascii="Verdana" w:hAnsi="Verdana" w:cs="Arial"/>
          <w:color w:val="3C3C3B"/>
          <w:sz w:val="20"/>
          <w:szCs w:val="20"/>
        </w:rPr>
      </w:pPr>
    </w:p>
    <w:p w14:paraId="4EAF9661" w14:textId="4128E86C" w:rsidR="00C02BE3" w:rsidRDefault="00C02BE3" w:rsidP="003B7D0E">
      <w:pPr>
        <w:pStyle w:val="BasicParagraph"/>
        <w:suppressAutoHyphens/>
        <w:jc w:val="center"/>
        <w:rPr>
          <w:rFonts w:ascii="Verdana" w:hAnsi="Verdana" w:cs="Arial"/>
          <w:color w:val="3C3C3B"/>
          <w:sz w:val="20"/>
          <w:szCs w:val="20"/>
        </w:rPr>
      </w:pPr>
    </w:p>
    <w:p w14:paraId="59694143" w14:textId="35F992DD" w:rsidR="00C02BE3" w:rsidRDefault="00C02BE3" w:rsidP="003B7D0E">
      <w:pPr>
        <w:pStyle w:val="BasicParagraph"/>
        <w:suppressAutoHyphens/>
        <w:jc w:val="center"/>
        <w:rPr>
          <w:rFonts w:ascii="Verdana" w:hAnsi="Verdana" w:cs="Arial"/>
          <w:color w:val="3C3C3B"/>
          <w:sz w:val="20"/>
          <w:szCs w:val="20"/>
        </w:rPr>
      </w:pPr>
    </w:p>
    <w:p w14:paraId="4283F4DD" w14:textId="5B558E30" w:rsidR="00C02BE3" w:rsidRDefault="00C02BE3" w:rsidP="003B7D0E">
      <w:pPr>
        <w:pStyle w:val="BasicParagraph"/>
        <w:suppressAutoHyphens/>
        <w:jc w:val="center"/>
        <w:rPr>
          <w:rFonts w:ascii="Verdana" w:hAnsi="Verdana" w:cs="Arial"/>
          <w:color w:val="3C3C3B"/>
          <w:sz w:val="20"/>
          <w:szCs w:val="20"/>
        </w:rPr>
      </w:pPr>
    </w:p>
    <w:p w14:paraId="7C3CA159" w14:textId="3D06D256" w:rsidR="00C02BE3" w:rsidRDefault="00C02BE3" w:rsidP="003B7D0E">
      <w:pPr>
        <w:pStyle w:val="BasicParagraph"/>
        <w:suppressAutoHyphens/>
        <w:jc w:val="center"/>
        <w:rPr>
          <w:rFonts w:ascii="Verdana" w:hAnsi="Verdana" w:cs="Arial"/>
          <w:color w:val="3C3C3B"/>
          <w:sz w:val="20"/>
          <w:szCs w:val="20"/>
        </w:rPr>
      </w:pPr>
    </w:p>
    <w:p w14:paraId="545FA78C" w14:textId="74AB7954" w:rsidR="00C02BE3" w:rsidRDefault="00C02BE3" w:rsidP="003B7D0E">
      <w:pPr>
        <w:pStyle w:val="BasicParagraph"/>
        <w:suppressAutoHyphens/>
        <w:jc w:val="center"/>
        <w:rPr>
          <w:rFonts w:ascii="Verdana" w:hAnsi="Verdana" w:cs="Arial"/>
          <w:color w:val="3C3C3B"/>
          <w:sz w:val="20"/>
          <w:szCs w:val="20"/>
        </w:rPr>
      </w:pPr>
    </w:p>
    <w:p w14:paraId="715A72B0" w14:textId="35EECEC9" w:rsidR="00C02BE3" w:rsidRDefault="00C02BE3" w:rsidP="003B7D0E">
      <w:pPr>
        <w:pStyle w:val="BasicParagraph"/>
        <w:suppressAutoHyphens/>
        <w:jc w:val="center"/>
        <w:rPr>
          <w:rFonts w:ascii="Verdana" w:hAnsi="Verdana" w:cs="Arial"/>
          <w:color w:val="3C3C3B"/>
          <w:sz w:val="20"/>
          <w:szCs w:val="20"/>
        </w:rPr>
      </w:pPr>
    </w:p>
    <w:p w14:paraId="257FD0CF" w14:textId="337A5C3B" w:rsidR="00C02BE3" w:rsidRDefault="00C02BE3" w:rsidP="003B7D0E">
      <w:pPr>
        <w:pStyle w:val="BasicParagraph"/>
        <w:suppressAutoHyphens/>
        <w:jc w:val="center"/>
        <w:rPr>
          <w:rFonts w:ascii="Verdana" w:hAnsi="Verdana" w:cs="Arial"/>
          <w:color w:val="3C3C3B"/>
          <w:sz w:val="20"/>
          <w:szCs w:val="20"/>
        </w:rPr>
      </w:pPr>
    </w:p>
    <w:p w14:paraId="783124C3" w14:textId="105C4B2C" w:rsidR="00C02BE3" w:rsidRDefault="00C02BE3" w:rsidP="003B7D0E">
      <w:pPr>
        <w:pStyle w:val="BasicParagraph"/>
        <w:suppressAutoHyphens/>
        <w:jc w:val="center"/>
        <w:rPr>
          <w:rFonts w:ascii="Verdana" w:hAnsi="Verdana" w:cs="Arial"/>
          <w:color w:val="3C3C3B"/>
          <w:sz w:val="20"/>
          <w:szCs w:val="20"/>
        </w:rPr>
      </w:pPr>
    </w:p>
    <w:p w14:paraId="3FBC940D" w14:textId="408891FC" w:rsidR="00C02BE3" w:rsidRDefault="00C02BE3" w:rsidP="003B7D0E">
      <w:pPr>
        <w:pStyle w:val="BasicParagraph"/>
        <w:suppressAutoHyphens/>
        <w:jc w:val="center"/>
        <w:rPr>
          <w:rFonts w:ascii="Verdana" w:hAnsi="Verdana" w:cs="Arial"/>
          <w:color w:val="3C3C3B"/>
          <w:sz w:val="20"/>
          <w:szCs w:val="20"/>
        </w:rPr>
      </w:pPr>
    </w:p>
    <w:p w14:paraId="52555387" w14:textId="77777777" w:rsidR="00C02BE3" w:rsidRDefault="00C02BE3" w:rsidP="003B7D0E">
      <w:pPr>
        <w:pStyle w:val="BasicParagraph"/>
        <w:suppressAutoHyphens/>
        <w:jc w:val="center"/>
        <w:rPr>
          <w:rFonts w:ascii="Verdana" w:hAnsi="Verdana" w:cs="Arial"/>
          <w:color w:val="3C3C3B"/>
          <w:sz w:val="20"/>
          <w:szCs w:val="20"/>
        </w:rPr>
      </w:pPr>
    </w:p>
    <w:p w14:paraId="780295D0" w14:textId="77777777" w:rsidR="003B7D0E" w:rsidRDefault="003B7D0E" w:rsidP="003B7D0E">
      <w:pPr>
        <w:pStyle w:val="BasicParagraph"/>
        <w:suppressAutoHyphens/>
        <w:jc w:val="center"/>
        <w:rPr>
          <w:rFonts w:ascii="Verdana" w:hAnsi="Verdana" w:cs="Arial"/>
          <w:color w:val="3C3C3B"/>
          <w:sz w:val="20"/>
          <w:szCs w:val="20"/>
        </w:rPr>
      </w:pPr>
    </w:p>
    <w:p w14:paraId="4377AA29" w14:textId="17CC42B9" w:rsidR="004672AC" w:rsidRPr="00331C61" w:rsidRDefault="00705833" w:rsidP="00AE38BC">
      <w:pPr>
        <w:pStyle w:val="BasicParagraph"/>
        <w:suppressAutoHyphens/>
        <w:jc w:val="center"/>
        <w:rPr>
          <w:rFonts w:ascii="Verdana" w:hAnsi="Verdana" w:cs="Arial"/>
          <w:b/>
          <w:color w:val="232120"/>
          <w:sz w:val="30"/>
          <w:szCs w:val="30"/>
        </w:rPr>
      </w:pPr>
      <w:r w:rsidRPr="00331C61">
        <w:rPr>
          <w:rFonts w:ascii="Verdana" w:hAnsi="Verdana" w:cs="Arial"/>
          <w:b/>
          <w:bCs/>
          <w:color w:val="77328A"/>
          <w:sz w:val="36"/>
          <w:szCs w:val="36"/>
        </w:rPr>
        <w:t>Co</w:t>
      </w:r>
      <w:r w:rsidR="0096459E">
        <w:rPr>
          <w:rFonts w:ascii="Verdana" w:hAnsi="Verdana" w:cs="Arial"/>
          <w:b/>
          <w:bCs/>
          <w:color w:val="77328A"/>
          <w:sz w:val="36"/>
          <w:szCs w:val="36"/>
        </w:rPr>
        <w:t>ntact us</w:t>
      </w:r>
    </w:p>
    <w:p w14:paraId="60C7C886" w14:textId="77777777" w:rsidR="00331C61" w:rsidRPr="00331C61" w:rsidRDefault="00331C61" w:rsidP="003B7D0E">
      <w:pPr>
        <w:spacing w:line="288" w:lineRule="auto"/>
        <w:jc w:val="center"/>
        <w:rPr>
          <w:rFonts w:ascii="Verdana" w:hAnsi="Verdana" w:cs="Arial"/>
          <w:b/>
          <w:color w:val="232120"/>
          <w:sz w:val="30"/>
          <w:szCs w:val="30"/>
        </w:rPr>
      </w:pPr>
    </w:p>
    <w:p w14:paraId="6B64B084" w14:textId="77777777" w:rsidR="00331C61" w:rsidRPr="00331C61" w:rsidRDefault="00331C61" w:rsidP="003B7D0E">
      <w:pPr>
        <w:spacing w:line="288" w:lineRule="auto"/>
        <w:jc w:val="center"/>
        <w:rPr>
          <w:rFonts w:ascii="Verdana" w:hAnsi="Verdana" w:cs="Arial"/>
          <w:b/>
          <w:color w:val="232120"/>
          <w:sz w:val="30"/>
          <w:szCs w:val="30"/>
        </w:rPr>
      </w:pPr>
    </w:p>
    <w:p w14:paraId="10D4B11E" w14:textId="77777777" w:rsidR="00331C61" w:rsidRPr="00331C61" w:rsidRDefault="00C77996" w:rsidP="00331C61">
      <w:pPr>
        <w:spacing w:line="288" w:lineRule="auto"/>
        <w:jc w:val="center"/>
        <w:rPr>
          <w:rFonts w:ascii="Verdana" w:hAnsi="Verdana" w:cs="Arial"/>
          <w:color w:val="232120"/>
          <w:sz w:val="28"/>
          <w:szCs w:val="28"/>
        </w:rPr>
      </w:pPr>
      <w:hyperlink r:id="rId9"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0"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4A9B746F"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48CEAA6E" w14:textId="77777777" w:rsidR="00F56C78" w:rsidRPr="00331C61" w:rsidRDefault="00F56C78" w:rsidP="003B7D0E">
      <w:pPr>
        <w:spacing w:line="288" w:lineRule="auto"/>
        <w:jc w:val="center"/>
        <w:rPr>
          <w:rFonts w:ascii="Verdana" w:hAnsi="Verdana" w:cs="Arial"/>
          <w:b/>
          <w:color w:val="232120"/>
          <w:sz w:val="28"/>
          <w:szCs w:val="28"/>
        </w:rPr>
      </w:pPr>
    </w:p>
    <w:p w14:paraId="3B6D0B36" w14:textId="77777777" w:rsidR="00F56C78" w:rsidRPr="00331C61" w:rsidRDefault="00F56C78" w:rsidP="003B7D0E">
      <w:pPr>
        <w:spacing w:line="288" w:lineRule="auto"/>
        <w:jc w:val="center"/>
        <w:rPr>
          <w:rFonts w:ascii="Verdana" w:hAnsi="Verdana" w:cs="Arial"/>
          <w:color w:val="232120"/>
          <w:sz w:val="20"/>
          <w:szCs w:val="20"/>
        </w:rPr>
      </w:pPr>
    </w:p>
    <w:p w14:paraId="6153FADF"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478AE212" wp14:editId="360FA182">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25A0" w14:textId="77777777" w:rsidR="0095108F" w:rsidRDefault="0095108F" w:rsidP="00962B2B">
      <w:r>
        <w:separator/>
      </w:r>
    </w:p>
  </w:endnote>
  <w:endnote w:type="continuationSeparator" w:id="0">
    <w:p w14:paraId="6848B821" w14:textId="77777777" w:rsidR="0095108F" w:rsidRDefault="0095108F"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4D"/>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CFA3" w14:textId="77777777" w:rsidR="00D2770F" w:rsidRDefault="00D2770F" w:rsidP="00656ECD">
    <w:pPr>
      <w:pStyle w:val="Footer"/>
      <w:jc w:val="right"/>
      <w:rPr>
        <w:rStyle w:val="PageNumber"/>
        <w:rFonts w:ascii="Arial" w:hAnsi="Arial" w:cs="Arial"/>
        <w:b/>
        <w:sz w:val="16"/>
        <w:szCs w:val="16"/>
      </w:rPr>
    </w:pPr>
  </w:p>
  <w:p w14:paraId="5CC67003"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FB1851">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4A84" w14:textId="77777777" w:rsidR="00D2770F" w:rsidRDefault="00D2770F" w:rsidP="00046705">
    <w:pPr>
      <w:pStyle w:val="Footer"/>
      <w:jc w:val="right"/>
      <w:rPr>
        <w:rStyle w:val="PageNumber"/>
        <w:rFonts w:ascii="Arial" w:hAnsi="Arial" w:cs="Arial"/>
        <w:b/>
        <w:sz w:val="16"/>
        <w:szCs w:val="16"/>
      </w:rPr>
    </w:pPr>
  </w:p>
  <w:p w14:paraId="3D0092B4"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ACE9" w14:textId="77777777" w:rsidR="0095108F" w:rsidRDefault="0095108F" w:rsidP="00B96D34">
      <w:r>
        <w:continuationSeparator/>
      </w:r>
    </w:p>
    <w:p w14:paraId="71AE5191" w14:textId="77777777" w:rsidR="0095108F" w:rsidRPr="00B96D34" w:rsidRDefault="0095108F" w:rsidP="00B96D34">
      <w:pPr>
        <w:pStyle w:val="Footer"/>
      </w:pPr>
    </w:p>
  </w:footnote>
  <w:footnote w:type="continuationSeparator" w:id="0">
    <w:p w14:paraId="7C7DE93F" w14:textId="77777777" w:rsidR="0095108F" w:rsidRDefault="0095108F" w:rsidP="00962B2B">
      <w:r>
        <w:continuationSeparator/>
      </w:r>
    </w:p>
  </w:footnote>
  <w:footnote w:type="continuationNotice" w:id="1">
    <w:p w14:paraId="51DB624E" w14:textId="77777777" w:rsidR="0095108F" w:rsidRDefault="0095108F"/>
  </w:footnote>
  <w:footnote w:id="2">
    <w:p w14:paraId="2915E8D0" w14:textId="77777777" w:rsidR="00315996" w:rsidRPr="00815438" w:rsidRDefault="00315996" w:rsidP="00315996">
      <w:pPr>
        <w:pStyle w:val="FootnoteText"/>
        <w:rPr>
          <w:rFonts w:ascii="Verdana" w:hAnsi="Verdana"/>
          <w:color w:val="7030A0"/>
          <w:sz w:val="16"/>
          <w:szCs w:val="16"/>
        </w:rPr>
      </w:pPr>
      <w:r w:rsidRPr="00815438">
        <w:rPr>
          <w:rStyle w:val="FootnoteReference"/>
          <w:rFonts w:ascii="Verdana" w:hAnsi="Verdana"/>
          <w:color w:val="7030A0"/>
          <w:sz w:val="16"/>
          <w:szCs w:val="16"/>
        </w:rPr>
        <w:footnoteRef/>
      </w:r>
      <w:r w:rsidRPr="00815438">
        <w:rPr>
          <w:rFonts w:ascii="Verdana" w:hAnsi="Verdana"/>
          <w:color w:val="7030A0"/>
          <w:sz w:val="16"/>
          <w:szCs w:val="16"/>
        </w:rPr>
        <w:t xml:space="preserve"> Ratified by the UK in 1951. </w:t>
      </w:r>
    </w:p>
  </w:footnote>
  <w:footnote w:id="3">
    <w:p w14:paraId="492A2F0F" w14:textId="4CBF5E28" w:rsidR="00096B6B" w:rsidRPr="00815438" w:rsidRDefault="00096B6B">
      <w:pPr>
        <w:pStyle w:val="FootnoteText"/>
        <w:rPr>
          <w:rFonts w:ascii="Verdana" w:hAnsi="Verdana"/>
          <w:color w:val="7030A0"/>
          <w:sz w:val="16"/>
          <w:szCs w:val="16"/>
        </w:rPr>
      </w:pPr>
      <w:r w:rsidRPr="00815438">
        <w:rPr>
          <w:rStyle w:val="FootnoteReference"/>
          <w:rFonts w:ascii="Verdana" w:hAnsi="Verdana"/>
          <w:color w:val="7030A0"/>
          <w:sz w:val="16"/>
          <w:szCs w:val="16"/>
        </w:rPr>
        <w:footnoteRef/>
      </w:r>
      <w:r w:rsidRPr="00815438">
        <w:rPr>
          <w:rFonts w:ascii="Verdana" w:hAnsi="Verdana"/>
          <w:color w:val="7030A0"/>
          <w:sz w:val="16"/>
          <w:szCs w:val="16"/>
        </w:rPr>
        <w:t xml:space="preserve"> Ratified by the UK in 1976.</w:t>
      </w:r>
    </w:p>
  </w:footnote>
  <w:footnote w:id="4">
    <w:p w14:paraId="56F687CF" w14:textId="2FE01D76" w:rsidR="00700EA8" w:rsidRPr="00815438" w:rsidRDefault="00700EA8">
      <w:pPr>
        <w:pStyle w:val="FootnoteText"/>
        <w:rPr>
          <w:rFonts w:ascii="Verdana" w:hAnsi="Verdana"/>
          <w:color w:val="7030A0"/>
          <w:sz w:val="16"/>
          <w:szCs w:val="16"/>
        </w:rPr>
      </w:pPr>
      <w:r w:rsidRPr="00815438">
        <w:rPr>
          <w:rStyle w:val="FootnoteReference"/>
          <w:rFonts w:ascii="Verdana" w:hAnsi="Verdana"/>
          <w:color w:val="7030A0"/>
          <w:sz w:val="16"/>
          <w:szCs w:val="16"/>
        </w:rPr>
        <w:footnoteRef/>
      </w:r>
      <w:r w:rsidRPr="00815438">
        <w:rPr>
          <w:rFonts w:ascii="Verdana" w:hAnsi="Verdana"/>
          <w:color w:val="7030A0"/>
          <w:sz w:val="16"/>
          <w:szCs w:val="16"/>
        </w:rPr>
        <w:t xml:space="preserve"> Ratified by the UK in 1976. </w:t>
      </w:r>
    </w:p>
  </w:footnote>
  <w:footnote w:id="5">
    <w:p w14:paraId="041B6AD3" w14:textId="212F5517" w:rsidR="00700EA8" w:rsidRPr="00815438" w:rsidRDefault="00700EA8">
      <w:pPr>
        <w:pStyle w:val="FootnoteText"/>
        <w:rPr>
          <w:rFonts w:ascii="Verdana" w:hAnsi="Verdana"/>
          <w:color w:val="7030A0"/>
          <w:sz w:val="16"/>
          <w:szCs w:val="16"/>
        </w:rPr>
      </w:pPr>
      <w:r w:rsidRPr="00815438">
        <w:rPr>
          <w:rStyle w:val="FootnoteReference"/>
          <w:rFonts w:ascii="Verdana" w:hAnsi="Verdana"/>
          <w:color w:val="7030A0"/>
          <w:sz w:val="16"/>
          <w:szCs w:val="16"/>
        </w:rPr>
        <w:footnoteRef/>
      </w:r>
      <w:r w:rsidRPr="00815438">
        <w:rPr>
          <w:rFonts w:ascii="Verdana" w:hAnsi="Verdana"/>
          <w:color w:val="7030A0"/>
          <w:sz w:val="16"/>
          <w:szCs w:val="16"/>
        </w:rPr>
        <w:t xml:space="preserve"> Ratified by the UK in 1969.</w:t>
      </w:r>
    </w:p>
  </w:footnote>
  <w:footnote w:id="6">
    <w:p w14:paraId="4C218246" w14:textId="77777777" w:rsidR="00F757EF" w:rsidRPr="00815438" w:rsidRDefault="00F757EF" w:rsidP="00F757EF">
      <w:pPr>
        <w:pStyle w:val="FootnoteText"/>
        <w:rPr>
          <w:rFonts w:ascii="Verdana" w:hAnsi="Verdana"/>
          <w:color w:val="7030A0"/>
          <w:sz w:val="16"/>
          <w:szCs w:val="16"/>
        </w:rPr>
      </w:pPr>
      <w:r w:rsidRPr="00815438">
        <w:rPr>
          <w:rStyle w:val="FootnoteReference"/>
          <w:rFonts w:ascii="Verdana" w:hAnsi="Verdana"/>
          <w:color w:val="7030A0"/>
          <w:sz w:val="16"/>
          <w:szCs w:val="16"/>
        </w:rPr>
        <w:footnoteRef/>
      </w:r>
      <w:r w:rsidRPr="00815438">
        <w:rPr>
          <w:rFonts w:ascii="Verdana" w:hAnsi="Verdana"/>
          <w:color w:val="7030A0"/>
          <w:sz w:val="16"/>
          <w:szCs w:val="16"/>
        </w:rPr>
        <w:t xml:space="preserve"> Ratified by the UK in 1991. </w:t>
      </w:r>
    </w:p>
  </w:footnote>
  <w:footnote w:id="7">
    <w:p w14:paraId="139CD797" w14:textId="77777777" w:rsidR="00F757EF" w:rsidRPr="00815438" w:rsidRDefault="00F757EF" w:rsidP="00F757EF">
      <w:pPr>
        <w:pStyle w:val="FootnoteText"/>
        <w:rPr>
          <w:rFonts w:ascii="Verdana" w:hAnsi="Verdana"/>
          <w:color w:val="7030A0"/>
          <w:sz w:val="16"/>
          <w:szCs w:val="16"/>
        </w:rPr>
      </w:pPr>
      <w:r w:rsidRPr="00815438">
        <w:rPr>
          <w:rStyle w:val="FootnoteReference"/>
          <w:rFonts w:ascii="Verdana" w:hAnsi="Verdana"/>
          <w:color w:val="7030A0"/>
          <w:sz w:val="16"/>
          <w:szCs w:val="16"/>
        </w:rPr>
        <w:footnoteRef/>
      </w:r>
      <w:r w:rsidRPr="00815438">
        <w:rPr>
          <w:rFonts w:ascii="Verdana" w:hAnsi="Verdana"/>
          <w:color w:val="7030A0"/>
          <w:sz w:val="16"/>
          <w:szCs w:val="16"/>
        </w:rPr>
        <w:t xml:space="preserve"> Ratified by the UK in 2009.</w:t>
      </w:r>
    </w:p>
  </w:footnote>
  <w:footnote w:id="8">
    <w:p w14:paraId="36E7CA8F" w14:textId="14856893" w:rsidR="009B7473" w:rsidRPr="00815438" w:rsidRDefault="009B7473">
      <w:pPr>
        <w:pStyle w:val="FootnoteText"/>
        <w:rPr>
          <w:rFonts w:ascii="Verdana" w:hAnsi="Verdana"/>
          <w:color w:val="7030A0"/>
          <w:sz w:val="16"/>
          <w:szCs w:val="16"/>
        </w:rPr>
      </w:pPr>
      <w:r w:rsidRPr="00815438">
        <w:rPr>
          <w:rStyle w:val="FootnoteReference"/>
          <w:rFonts w:ascii="Verdana" w:hAnsi="Verdana"/>
          <w:color w:val="7030A0"/>
          <w:sz w:val="16"/>
          <w:szCs w:val="16"/>
        </w:rPr>
        <w:footnoteRef/>
      </w:r>
      <w:r w:rsidRPr="00815438">
        <w:rPr>
          <w:rFonts w:ascii="Verdana" w:hAnsi="Verdana"/>
          <w:color w:val="7030A0"/>
          <w:sz w:val="16"/>
          <w:szCs w:val="16"/>
        </w:rPr>
        <w:t xml:space="preserve"> Ratified by the UK in 2007. </w:t>
      </w:r>
    </w:p>
  </w:footnote>
  <w:footnote w:id="9">
    <w:p w14:paraId="1A570F08" w14:textId="1F5A7515" w:rsidR="00C7622A" w:rsidRDefault="00C7622A">
      <w:pPr>
        <w:pStyle w:val="FootnoteText"/>
      </w:pPr>
      <w:r w:rsidRPr="00815438">
        <w:rPr>
          <w:rStyle w:val="FootnoteReference"/>
          <w:rFonts w:ascii="Verdana" w:hAnsi="Verdana"/>
          <w:color w:val="7030A0"/>
          <w:sz w:val="16"/>
          <w:szCs w:val="16"/>
        </w:rPr>
        <w:footnoteRef/>
      </w:r>
      <w:r w:rsidRPr="00815438">
        <w:rPr>
          <w:rFonts w:ascii="Verdana" w:hAnsi="Verdana"/>
          <w:color w:val="7030A0"/>
          <w:sz w:val="16"/>
          <w:szCs w:val="16"/>
        </w:rPr>
        <w:t xml:space="preserve"> </w:t>
      </w:r>
      <w:r w:rsidR="003C1BF1" w:rsidRPr="00815438">
        <w:rPr>
          <w:rFonts w:ascii="Verdana" w:hAnsi="Verdana"/>
          <w:color w:val="7030A0"/>
          <w:sz w:val="16"/>
          <w:szCs w:val="16"/>
        </w:rPr>
        <w:t>Ratified by the UK in</w:t>
      </w:r>
      <w:r w:rsidR="00815438" w:rsidRPr="00815438">
        <w:rPr>
          <w:rFonts w:ascii="Verdana" w:hAnsi="Verdana"/>
          <w:color w:val="7030A0"/>
          <w:sz w:val="16"/>
          <w:szCs w:val="16"/>
        </w:rPr>
        <w:t xml:space="preserve"> 1962.</w:t>
      </w:r>
    </w:p>
  </w:footnote>
  <w:footnote w:id="10">
    <w:p w14:paraId="11E8B076" w14:textId="0C0C1B0E" w:rsidR="000D7859" w:rsidRPr="000D7859" w:rsidRDefault="000D7859">
      <w:pPr>
        <w:pStyle w:val="FootnoteText"/>
        <w:rPr>
          <w:rFonts w:ascii="Verdana" w:hAnsi="Verdana"/>
          <w:sz w:val="16"/>
          <w:szCs w:val="16"/>
        </w:rPr>
      </w:pPr>
      <w:r w:rsidRPr="000D7859">
        <w:rPr>
          <w:rStyle w:val="FootnoteReference"/>
          <w:rFonts w:ascii="Verdana" w:hAnsi="Verdana"/>
          <w:color w:val="7030A0"/>
          <w:sz w:val="16"/>
          <w:szCs w:val="16"/>
        </w:rPr>
        <w:footnoteRef/>
      </w:r>
      <w:r w:rsidRPr="000D7859">
        <w:rPr>
          <w:rFonts w:ascii="Verdana" w:hAnsi="Verdana"/>
          <w:color w:val="7030A0"/>
          <w:sz w:val="16"/>
          <w:szCs w:val="16"/>
        </w:rPr>
        <w:t xml:space="preserve"> Ratified by the UK in 1962. </w:t>
      </w:r>
    </w:p>
  </w:footnote>
  <w:footnote w:id="11">
    <w:p w14:paraId="1362C2D9" w14:textId="5FBE77FB" w:rsidR="00DF7C6B" w:rsidRPr="00FA32B5" w:rsidRDefault="00DF7C6B">
      <w:pPr>
        <w:pStyle w:val="FootnoteText"/>
        <w:rPr>
          <w:rFonts w:ascii="Verdana" w:hAnsi="Verdana"/>
          <w:color w:val="7030A0"/>
          <w:sz w:val="16"/>
          <w:szCs w:val="16"/>
        </w:rPr>
      </w:pPr>
      <w:r w:rsidRPr="001B5375">
        <w:rPr>
          <w:rStyle w:val="FootnoteReference"/>
          <w:rFonts w:ascii="Verdana" w:hAnsi="Verdana"/>
          <w:color w:val="7030A0"/>
          <w:sz w:val="16"/>
          <w:szCs w:val="16"/>
        </w:rPr>
        <w:footnoteRef/>
      </w:r>
      <w:r w:rsidRPr="001B5375">
        <w:rPr>
          <w:rFonts w:ascii="Verdana" w:hAnsi="Verdana"/>
          <w:color w:val="7030A0"/>
          <w:sz w:val="16"/>
          <w:szCs w:val="16"/>
        </w:rPr>
        <w:t xml:space="preserve"> </w:t>
      </w:r>
      <w:r w:rsidR="00073282" w:rsidRPr="001B5375">
        <w:rPr>
          <w:rFonts w:ascii="Verdana" w:hAnsi="Verdana"/>
          <w:color w:val="7030A0"/>
          <w:sz w:val="16"/>
          <w:szCs w:val="16"/>
        </w:rPr>
        <w:t>CRPD/C/GC/4 Committee on the Rights of Persons with Disabilities, General Comment No</w:t>
      </w:r>
      <w:r w:rsidR="00BA2183" w:rsidRPr="001B5375">
        <w:rPr>
          <w:rFonts w:ascii="Verdana" w:hAnsi="Verdana"/>
          <w:color w:val="7030A0"/>
          <w:sz w:val="16"/>
          <w:szCs w:val="16"/>
        </w:rPr>
        <w:t xml:space="preserve">.4 on Article 24: Rights to </w:t>
      </w:r>
      <w:r w:rsidR="00BA2183" w:rsidRPr="00FA32B5">
        <w:rPr>
          <w:rFonts w:ascii="Verdana" w:hAnsi="Verdana"/>
          <w:color w:val="7030A0"/>
          <w:sz w:val="16"/>
          <w:szCs w:val="16"/>
        </w:rPr>
        <w:t>inclusive education, 2 September 2016</w:t>
      </w:r>
    </w:p>
  </w:footnote>
  <w:footnote w:id="12">
    <w:p w14:paraId="4DAE2E63" w14:textId="1AFC6A1B" w:rsidR="008A482F" w:rsidRPr="00C02BE3" w:rsidRDefault="008A482F">
      <w:pPr>
        <w:pStyle w:val="FootnoteText"/>
        <w:rPr>
          <w:rFonts w:ascii="Verdana" w:hAnsi="Verdana"/>
          <w:color w:val="7030A0"/>
          <w:sz w:val="16"/>
          <w:szCs w:val="16"/>
        </w:rPr>
      </w:pPr>
      <w:r w:rsidRPr="00C02BE3">
        <w:rPr>
          <w:rStyle w:val="FootnoteReference"/>
          <w:rFonts w:ascii="Verdana" w:hAnsi="Verdana"/>
          <w:color w:val="7030A0"/>
          <w:sz w:val="16"/>
          <w:szCs w:val="16"/>
        </w:rPr>
        <w:footnoteRef/>
      </w:r>
      <w:r w:rsidRPr="00C02BE3">
        <w:rPr>
          <w:rFonts w:ascii="Verdana" w:hAnsi="Verdana"/>
          <w:color w:val="7030A0"/>
          <w:sz w:val="16"/>
          <w:szCs w:val="16"/>
        </w:rPr>
        <w:t xml:space="preserve"> March 2020.</w:t>
      </w:r>
    </w:p>
  </w:footnote>
  <w:footnote w:id="13">
    <w:p w14:paraId="015C5A71" w14:textId="698256FB" w:rsidR="006C0EC2" w:rsidRDefault="006C0EC2">
      <w:pPr>
        <w:pStyle w:val="FootnoteText"/>
      </w:pPr>
      <w:r w:rsidRPr="00FA32B5">
        <w:rPr>
          <w:rStyle w:val="FootnoteReference"/>
          <w:rFonts w:ascii="Verdana" w:hAnsi="Verdana"/>
          <w:color w:val="7030A0"/>
          <w:sz w:val="16"/>
          <w:szCs w:val="16"/>
        </w:rPr>
        <w:footnoteRef/>
      </w:r>
      <w:r w:rsidRPr="00FA32B5">
        <w:rPr>
          <w:rFonts w:ascii="Verdana" w:hAnsi="Verdana"/>
          <w:color w:val="7030A0"/>
          <w:sz w:val="16"/>
          <w:szCs w:val="16"/>
        </w:rPr>
        <w:t xml:space="preserve"> Department of Education,</w:t>
      </w:r>
      <w:r w:rsidR="009E1A6D" w:rsidRPr="00FA32B5">
        <w:rPr>
          <w:rFonts w:ascii="Verdana" w:hAnsi="Verdana"/>
          <w:color w:val="7030A0"/>
          <w:sz w:val="16"/>
          <w:szCs w:val="16"/>
        </w:rPr>
        <w:t xml:space="preserve"> ‘Independent Review of Education’ (DE, 2021)</w:t>
      </w:r>
    </w:p>
  </w:footnote>
  <w:footnote w:id="14">
    <w:p w14:paraId="6F4EDC48" w14:textId="3F6CCB2C" w:rsidR="006D0790" w:rsidRPr="000E762C" w:rsidRDefault="006D0790">
      <w:pPr>
        <w:pStyle w:val="FootnoteText"/>
        <w:rPr>
          <w:rFonts w:ascii="Verdana" w:hAnsi="Verdana"/>
          <w:color w:val="7030A0"/>
          <w:sz w:val="16"/>
          <w:szCs w:val="16"/>
        </w:rPr>
      </w:pPr>
      <w:r w:rsidRPr="000E762C">
        <w:rPr>
          <w:rStyle w:val="FootnoteReference"/>
          <w:rFonts w:ascii="Verdana" w:hAnsi="Verdana"/>
          <w:color w:val="7030A0"/>
          <w:sz w:val="16"/>
          <w:szCs w:val="16"/>
        </w:rPr>
        <w:footnoteRef/>
      </w:r>
      <w:r w:rsidRPr="000E762C">
        <w:rPr>
          <w:rFonts w:ascii="Verdana" w:hAnsi="Verdana"/>
          <w:color w:val="7030A0"/>
          <w:sz w:val="16"/>
          <w:szCs w:val="16"/>
        </w:rPr>
        <w:t xml:space="preserve"> </w:t>
      </w:r>
      <w:r w:rsidRPr="000E762C">
        <w:rPr>
          <w:rStyle w:val="Emphasis"/>
          <w:rFonts w:ascii="Verdana" w:hAnsi="Verdana"/>
          <w:i w:val="0"/>
          <w:iCs w:val="0"/>
          <w:color w:val="7030A0"/>
          <w:sz w:val="16"/>
          <w:szCs w:val="16"/>
          <w:shd w:val="clear" w:color="auto" w:fill="FFFFFF"/>
        </w:rPr>
        <w:t xml:space="preserve">CRC/GC/2001/1 UN Committee on the Rights of the Child, </w:t>
      </w:r>
      <w:r w:rsidR="004A1012" w:rsidRPr="000E762C">
        <w:rPr>
          <w:rStyle w:val="Emphasis"/>
          <w:rFonts w:ascii="Verdana" w:hAnsi="Verdana"/>
          <w:i w:val="0"/>
          <w:iCs w:val="0"/>
          <w:color w:val="7030A0"/>
          <w:sz w:val="16"/>
          <w:szCs w:val="16"/>
          <w:shd w:val="clear" w:color="auto" w:fill="FFFFFF"/>
        </w:rPr>
        <w:t xml:space="preserve">General Comment No.1: The Aims of Education (Article 29) (2001) </w:t>
      </w:r>
      <w:r w:rsidR="00760AFD" w:rsidRPr="000E762C">
        <w:rPr>
          <w:rStyle w:val="Emphasis"/>
          <w:rFonts w:ascii="Verdana" w:hAnsi="Verdana"/>
          <w:i w:val="0"/>
          <w:iCs w:val="0"/>
          <w:color w:val="7030A0"/>
          <w:sz w:val="16"/>
          <w:szCs w:val="16"/>
          <w:shd w:val="clear" w:color="auto" w:fill="FFFFFF"/>
        </w:rPr>
        <w:t>at para.1</w:t>
      </w:r>
      <w:r w:rsidR="007D279F" w:rsidRPr="000E762C">
        <w:rPr>
          <w:rStyle w:val="Emphasis"/>
          <w:rFonts w:ascii="Verdana" w:hAnsi="Verdana"/>
          <w:i w:val="0"/>
          <w:iCs w:val="0"/>
          <w:color w:val="7030A0"/>
          <w:sz w:val="16"/>
          <w:szCs w:val="16"/>
          <w:shd w:val="clear" w:color="auto" w:fill="FFFFFF"/>
        </w:rPr>
        <w:t>1</w:t>
      </w:r>
    </w:p>
  </w:footnote>
  <w:footnote w:id="15">
    <w:p w14:paraId="003964E0" w14:textId="1AE8737D" w:rsidR="00A5064D" w:rsidRDefault="00A5064D">
      <w:pPr>
        <w:pStyle w:val="FootnoteText"/>
      </w:pPr>
      <w:r w:rsidRPr="000E762C">
        <w:rPr>
          <w:rStyle w:val="FootnoteReference"/>
          <w:rFonts w:ascii="Verdana" w:hAnsi="Verdana"/>
          <w:color w:val="7030A0"/>
          <w:sz w:val="16"/>
          <w:szCs w:val="16"/>
        </w:rPr>
        <w:footnoteRef/>
      </w:r>
      <w:r w:rsidRPr="000E762C">
        <w:rPr>
          <w:rFonts w:ascii="Verdana" w:hAnsi="Verdana"/>
          <w:color w:val="7030A0"/>
          <w:sz w:val="16"/>
          <w:szCs w:val="16"/>
        </w:rPr>
        <w:t xml:space="preserve"> </w:t>
      </w:r>
      <w:r w:rsidR="002829A8" w:rsidRPr="000E762C">
        <w:rPr>
          <w:rStyle w:val="Emphasis"/>
          <w:rFonts w:ascii="Verdana" w:hAnsi="Verdana"/>
          <w:i w:val="0"/>
          <w:iCs w:val="0"/>
          <w:color w:val="7030A0"/>
          <w:sz w:val="16"/>
          <w:szCs w:val="16"/>
          <w:shd w:val="clear" w:color="auto" w:fill="FFFFFF"/>
        </w:rPr>
        <w:t>CRC/GC/2001/1 UN Committee on the Rights of the Child, General Comment No.1: The Aims of Education (Article 29) (2001) at para.4</w:t>
      </w:r>
    </w:p>
  </w:footnote>
  <w:footnote w:id="16">
    <w:p w14:paraId="265AFDB0" w14:textId="7E2D4173" w:rsidR="00CF10BA" w:rsidRPr="00C02BE3" w:rsidRDefault="00CF10BA">
      <w:pPr>
        <w:pStyle w:val="FootnoteText"/>
        <w:rPr>
          <w:rFonts w:ascii="Verdana" w:hAnsi="Verdana"/>
          <w:color w:val="7030A0"/>
          <w:sz w:val="16"/>
          <w:szCs w:val="16"/>
        </w:rPr>
      </w:pPr>
      <w:r w:rsidRPr="00C02BE3">
        <w:rPr>
          <w:rStyle w:val="FootnoteReference"/>
          <w:rFonts w:ascii="Verdana" w:hAnsi="Verdana"/>
          <w:color w:val="7030A0"/>
          <w:sz w:val="16"/>
          <w:szCs w:val="16"/>
        </w:rPr>
        <w:footnoteRef/>
      </w:r>
      <w:r w:rsidRPr="00C02BE3">
        <w:rPr>
          <w:rFonts w:ascii="Verdana" w:hAnsi="Verdana"/>
          <w:color w:val="7030A0"/>
          <w:sz w:val="16"/>
          <w:szCs w:val="16"/>
        </w:rPr>
        <w:t xml:space="preserve"> UNESCO</w:t>
      </w:r>
      <w:r w:rsidR="00145B31" w:rsidRPr="00C02BE3">
        <w:rPr>
          <w:rFonts w:ascii="Verdana" w:hAnsi="Verdana"/>
          <w:color w:val="7030A0"/>
          <w:sz w:val="16"/>
          <w:szCs w:val="16"/>
        </w:rPr>
        <w:t xml:space="preserve">, </w:t>
      </w:r>
      <w:r w:rsidRPr="00C02BE3">
        <w:rPr>
          <w:rFonts w:ascii="Verdana" w:hAnsi="Verdana"/>
          <w:color w:val="7030A0"/>
          <w:sz w:val="16"/>
          <w:szCs w:val="16"/>
        </w:rPr>
        <w:t>Paris, 20 October 2005.</w:t>
      </w:r>
      <w:r w:rsidR="00145B31">
        <w:rPr>
          <w:rFonts w:ascii="Verdana" w:hAnsi="Verdana"/>
          <w:color w:val="7030A0"/>
          <w:sz w:val="16"/>
          <w:szCs w:val="16"/>
        </w:rPr>
        <w:t xml:space="preserve"> </w:t>
      </w:r>
    </w:p>
  </w:footnote>
  <w:footnote w:id="17">
    <w:p w14:paraId="22866E72" w14:textId="0856DBAC" w:rsidR="000625DB" w:rsidRPr="00927973" w:rsidRDefault="000625DB">
      <w:pPr>
        <w:pStyle w:val="FootnoteText"/>
        <w:rPr>
          <w:rFonts w:ascii="Verdana" w:hAnsi="Verdana"/>
          <w:color w:val="7030A0"/>
          <w:sz w:val="16"/>
          <w:szCs w:val="16"/>
        </w:rPr>
      </w:pPr>
      <w:r w:rsidRPr="000E762C">
        <w:rPr>
          <w:rStyle w:val="FootnoteReference"/>
          <w:rFonts w:ascii="Verdana" w:hAnsi="Verdana"/>
          <w:color w:val="7030A0"/>
          <w:sz w:val="16"/>
          <w:szCs w:val="16"/>
        </w:rPr>
        <w:footnoteRef/>
      </w:r>
      <w:r w:rsidRPr="000E762C">
        <w:rPr>
          <w:rFonts w:ascii="Verdana" w:hAnsi="Verdana"/>
          <w:color w:val="7030A0"/>
          <w:sz w:val="16"/>
          <w:szCs w:val="16"/>
        </w:rPr>
        <w:t xml:space="preserve"> </w:t>
      </w:r>
      <w:r w:rsidR="00AC7C94" w:rsidRPr="000E762C">
        <w:rPr>
          <w:rFonts w:ascii="Verdana" w:hAnsi="Verdana"/>
          <w:color w:val="7030A0"/>
          <w:sz w:val="16"/>
          <w:szCs w:val="16"/>
        </w:rPr>
        <w:t>Council of Europe Framework Convention for the Protection of National Minorities 1995 Art. 6</w:t>
      </w:r>
    </w:p>
  </w:footnote>
  <w:footnote w:id="18">
    <w:p w14:paraId="2609A24B" w14:textId="0057DD72" w:rsidR="00AC7C94" w:rsidRPr="00927973" w:rsidRDefault="00AC7C94">
      <w:pPr>
        <w:pStyle w:val="FootnoteText"/>
        <w:rPr>
          <w:rFonts w:ascii="Verdana" w:hAnsi="Verdana"/>
          <w:color w:val="7030A0"/>
          <w:sz w:val="16"/>
          <w:szCs w:val="16"/>
        </w:rPr>
      </w:pPr>
      <w:r w:rsidRPr="00C02BE3">
        <w:rPr>
          <w:rStyle w:val="FootnoteReference"/>
          <w:rFonts w:ascii="Verdana" w:hAnsi="Verdana"/>
          <w:color w:val="7030A0"/>
          <w:sz w:val="16"/>
          <w:szCs w:val="16"/>
        </w:rPr>
        <w:footnoteRef/>
      </w:r>
      <w:r w:rsidRPr="00C02BE3">
        <w:rPr>
          <w:rFonts w:ascii="Verdana" w:hAnsi="Verdana"/>
          <w:color w:val="7030A0"/>
          <w:sz w:val="16"/>
          <w:szCs w:val="16"/>
        </w:rPr>
        <w:t xml:space="preserve"> </w:t>
      </w:r>
      <w:r w:rsidR="00145B31" w:rsidRPr="00C02BE3">
        <w:rPr>
          <w:rFonts w:ascii="Verdana" w:hAnsi="Verdana"/>
          <w:color w:val="7030A0"/>
          <w:sz w:val="16"/>
          <w:szCs w:val="16"/>
        </w:rPr>
        <w:t xml:space="preserve">In international human rights law, sectarianism falls within the definition of racism. </w:t>
      </w:r>
      <w:r w:rsidR="004C07D9" w:rsidRPr="00927973">
        <w:rPr>
          <w:rFonts w:ascii="Verdana" w:hAnsi="Verdana"/>
          <w:color w:val="7030A0"/>
          <w:sz w:val="16"/>
          <w:szCs w:val="16"/>
        </w:rPr>
        <w:t>ECRI General Policy Recommendation 7: on national legislation to combat racism and racial discrimination, (2002), para 1(a). See also, ‘Racism, Discrimination and Xenophobia’, a publication prepared by: International Labour Office (ILO), International Organization for Migration (IOM), OHCHR, in consultation with Office of the United Nations High Commissioner for Refugees (UNHCR), (2001), p 2.</w:t>
      </w:r>
    </w:p>
  </w:footnote>
  <w:footnote w:id="19">
    <w:p w14:paraId="0F486310" w14:textId="2FAB74C8" w:rsidR="00891D0C" w:rsidRPr="00927973" w:rsidRDefault="00891D0C">
      <w:pPr>
        <w:pStyle w:val="FootnoteText"/>
        <w:rPr>
          <w:rFonts w:ascii="Verdana" w:hAnsi="Verdana"/>
          <w:color w:val="7030A0"/>
          <w:sz w:val="16"/>
          <w:szCs w:val="16"/>
        </w:rPr>
      </w:pPr>
      <w:r w:rsidRPr="00927973">
        <w:rPr>
          <w:rStyle w:val="FootnoteReference"/>
          <w:rFonts w:ascii="Verdana" w:hAnsi="Verdana"/>
          <w:color w:val="7030A0"/>
          <w:sz w:val="16"/>
          <w:szCs w:val="16"/>
        </w:rPr>
        <w:footnoteRef/>
      </w:r>
      <w:r w:rsidRPr="00927973">
        <w:rPr>
          <w:rFonts w:ascii="Verdana" w:hAnsi="Verdana"/>
          <w:color w:val="7030A0"/>
          <w:sz w:val="16"/>
          <w:szCs w:val="16"/>
        </w:rPr>
        <w:t xml:space="preserve"> </w:t>
      </w:r>
      <w:r w:rsidR="00074D82" w:rsidRPr="00927973">
        <w:rPr>
          <w:rFonts w:ascii="Verdana" w:hAnsi="Verdana"/>
          <w:color w:val="7030A0"/>
          <w:sz w:val="16"/>
          <w:szCs w:val="16"/>
        </w:rPr>
        <w:t>CRPD/C/GC/4</w:t>
      </w:r>
      <w:r w:rsidR="009C1FC0" w:rsidRPr="00927973">
        <w:rPr>
          <w:rFonts w:ascii="Verdana" w:hAnsi="Verdana"/>
          <w:color w:val="7030A0"/>
          <w:sz w:val="16"/>
          <w:szCs w:val="16"/>
        </w:rPr>
        <w:t xml:space="preserve"> UN Committee on the Rights of Persons with Disabilities</w:t>
      </w:r>
      <w:r w:rsidR="003516B5" w:rsidRPr="00927973">
        <w:rPr>
          <w:rFonts w:ascii="Verdana" w:hAnsi="Verdana"/>
          <w:color w:val="7030A0"/>
          <w:sz w:val="16"/>
          <w:szCs w:val="16"/>
        </w:rPr>
        <w:t xml:space="preserve">, General Comment No.4 (2016) Article 24: Right to inclusive education, 2 September 2016, at para. </w:t>
      </w:r>
      <w:r w:rsidR="0061539D" w:rsidRPr="00927973">
        <w:rPr>
          <w:rFonts w:ascii="Verdana" w:hAnsi="Verdana"/>
          <w:color w:val="7030A0"/>
          <w:sz w:val="16"/>
          <w:szCs w:val="16"/>
        </w:rPr>
        <w:t>12 (e)</w:t>
      </w:r>
    </w:p>
  </w:footnote>
  <w:footnote w:id="20">
    <w:p w14:paraId="60F2BFA9" w14:textId="0AB46CBC" w:rsidR="00EF070E" w:rsidRPr="00AA2DCD" w:rsidRDefault="00EF070E" w:rsidP="00395C10">
      <w:pPr>
        <w:pStyle w:val="FootnoteText"/>
        <w:rPr>
          <w:rFonts w:ascii="Verdana" w:hAnsi="Verdana"/>
          <w:sz w:val="16"/>
          <w:szCs w:val="16"/>
        </w:rPr>
      </w:pPr>
      <w:r w:rsidRPr="0098175B">
        <w:rPr>
          <w:rStyle w:val="FootnoteReference"/>
          <w:rFonts w:ascii="Verdana" w:hAnsi="Verdana"/>
          <w:color w:val="7030A0"/>
          <w:sz w:val="16"/>
          <w:szCs w:val="16"/>
        </w:rPr>
        <w:footnoteRef/>
      </w:r>
      <w:r w:rsidRPr="0098175B">
        <w:rPr>
          <w:rFonts w:ascii="Verdana" w:hAnsi="Verdana"/>
          <w:color w:val="7030A0"/>
          <w:sz w:val="16"/>
          <w:szCs w:val="16"/>
        </w:rPr>
        <w:t xml:space="preserve"> </w:t>
      </w:r>
      <w:r w:rsidR="00242832" w:rsidRPr="0098175B">
        <w:rPr>
          <w:rFonts w:ascii="Verdana" w:hAnsi="Verdana"/>
          <w:color w:val="7030A0"/>
          <w:sz w:val="16"/>
          <w:szCs w:val="16"/>
        </w:rPr>
        <w:t xml:space="preserve">The </w:t>
      </w:r>
      <w:r w:rsidR="00946EF7" w:rsidRPr="0098175B">
        <w:rPr>
          <w:rFonts w:ascii="Verdana" w:hAnsi="Verdana"/>
          <w:color w:val="7030A0"/>
          <w:sz w:val="16"/>
          <w:szCs w:val="16"/>
        </w:rPr>
        <w:t xml:space="preserve">Education Reform (NI) Order 1989, s.64(1) defines integrated education as </w:t>
      </w:r>
      <w:r w:rsidR="00FF02F0" w:rsidRPr="0098175B">
        <w:rPr>
          <w:rFonts w:ascii="Verdana" w:hAnsi="Verdana"/>
          <w:color w:val="7030A0"/>
          <w:sz w:val="16"/>
          <w:szCs w:val="16"/>
        </w:rPr>
        <w:t xml:space="preserve">‘the education together at school of Protestant and Roman Catholic pupils’; the Shared Education Act (NI) 2016 defines shared education as </w:t>
      </w:r>
      <w:r w:rsidR="00395C10" w:rsidRPr="0098175B">
        <w:rPr>
          <w:rFonts w:ascii="Verdana" w:hAnsi="Verdana"/>
          <w:color w:val="7030A0"/>
          <w:sz w:val="16"/>
          <w:szCs w:val="16"/>
        </w:rPr>
        <w:t>the education together of ‘(a) those of different religious belief, including reasonable numbers of both Protestant and Roman Catholic children or young persons; and (b)those who are experiencing socio-economic deprivation and those who are not</w:t>
      </w:r>
      <w:r w:rsidR="00AA2DCD" w:rsidRPr="0098175B">
        <w:rPr>
          <w:rFonts w:ascii="Verdana" w:hAnsi="Verdana"/>
          <w:color w:val="7030A0"/>
          <w:sz w:val="16"/>
          <w:szCs w:val="16"/>
        </w:rPr>
        <w:t>’</w:t>
      </w:r>
    </w:p>
  </w:footnote>
  <w:footnote w:id="21">
    <w:p w14:paraId="5B6BF940" w14:textId="6655ECF5" w:rsidR="003D567E" w:rsidRPr="003D567E" w:rsidRDefault="003D567E">
      <w:pPr>
        <w:pStyle w:val="FootnoteText"/>
        <w:rPr>
          <w:rFonts w:ascii="Verdana" w:hAnsi="Verdana"/>
          <w:color w:val="7030A0"/>
          <w:sz w:val="16"/>
          <w:szCs w:val="16"/>
        </w:rPr>
      </w:pPr>
      <w:r w:rsidRPr="003D567E">
        <w:rPr>
          <w:rStyle w:val="FootnoteReference"/>
          <w:rFonts w:ascii="Verdana" w:hAnsi="Verdana"/>
          <w:color w:val="7030A0"/>
          <w:sz w:val="16"/>
          <w:szCs w:val="16"/>
        </w:rPr>
        <w:footnoteRef/>
      </w:r>
      <w:r w:rsidRPr="003D567E">
        <w:rPr>
          <w:rFonts w:ascii="Verdana" w:hAnsi="Verdana"/>
          <w:color w:val="7030A0"/>
          <w:sz w:val="16"/>
          <w:szCs w:val="16"/>
        </w:rPr>
        <w:t xml:space="preserve"> In England and Wales the </w:t>
      </w:r>
      <w:r w:rsidR="001F6D43">
        <w:rPr>
          <w:rFonts w:ascii="Verdana" w:hAnsi="Verdana"/>
          <w:color w:val="7030A0"/>
          <w:sz w:val="16"/>
          <w:szCs w:val="16"/>
        </w:rPr>
        <w:t xml:space="preserve">Equality </w:t>
      </w:r>
      <w:r w:rsidRPr="003D567E">
        <w:rPr>
          <w:rFonts w:ascii="Verdana" w:hAnsi="Verdana"/>
          <w:color w:val="7030A0"/>
          <w:sz w:val="16"/>
          <w:szCs w:val="16"/>
        </w:rPr>
        <w:t>Act applies to all maintained and independent schools, including Academies, and maintained and non-maintained special schools. In Scotland it applies to schools</w:t>
      </w:r>
      <w:r w:rsidRPr="003D567E">
        <w:rPr>
          <w:color w:val="7030A0"/>
        </w:rPr>
        <w:t xml:space="preserve"> </w:t>
      </w:r>
      <w:r w:rsidRPr="003D567E">
        <w:rPr>
          <w:rFonts w:ascii="Verdana" w:hAnsi="Verdana"/>
          <w:color w:val="7030A0"/>
          <w:sz w:val="16"/>
          <w:szCs w:val="16"/>
        </w:rPr>
        <w:t>managed by education authorities, independent schools and schools receiving grants under section 73(c) or (d) of the Education (Scotland) Act 1980.</w:t>
      </w:r>
    </w:p>
  </w:footnote>
  <w:footnote w:id="22">
    <w:p w14:paraId="361D1CE0" w14:textId="77777777" w:rsidR="00A16A6E" w:rsidRPr="001711FF" w:rsidRDefault="00A16A6E" w:rsidP="00A16A6E">
      <w:pPr>
        <w:pStyle w:val="FootnoteText"/>
        <w:rPr>
          <w:rFonts w:ascii="Verdana" w:hAnsi="Verdana"/>
          <w:sz w:val="16"/>
          <w:szCs w:val="16"/>
        </w:rPr>
      </w:pPr>
      <w:r w:rsidRPr="001711FF">
        <w:rPr>
          <w:rStyle w:val="FootnoteReference"/>
          <w:rFonts w:ascii="Verdana" w:hAnsi="Verdana"/>
          <w:color w:val="7030A0"/>
          <w:sz w:val="16"/>
          <w:szCs w:val="16"/>
        </w:rPr>
        <w:footnoteRef/>
      </w:r>
      <w:r w:rsidRPr="001711FF">
        <w:rPr>
          <w:rFonts w:ascii="Verdana" w:hAnsi="Verdana"/>
          <w:color w:val="7030A0"/>
          <w:sz w:val="16"/>
          <w:szCs w:val="16"/>
        </w:rPr>
        <w:t xml:space="preserve"> NIHRC, ‘Submission of the Northern Ireland Human Rights Commission to the Committee for Education Inquiry into Shared and Integrated Education’ (2012)</w:t>
      </w:r>
    </w:p>
  </w:footnote>
  <w:footnote w:id="23">
    <w:p w14:paraId="4429D281" w14:textId="77777777" w:rsidR="00D334EB" w:rsidRPr="00B40334" w:rsidRDefault="00D334EB" w:rsidP="00D334EB">
      <w:pPr>
        <w:pStyle w:val="FootnoteText"/>
        <w:rPr>
          <w:rFonts w:ascii="Verdana" w:hAnsi="Verdana"/>
          <w:color w:val="7030A0"/>
          <w:sz w:val="16"/>
          <w:szCs w:val="16"/>
        </w:rPr>
      </w:pPr>
      <w:r w:rsidRPr="00B40334">
        <w:rPr>
          <w:rStyle w:val="FootnoteReference"/>
          <w:rFonts w:ascii="Verdana" w:hAnsi="Verdana"/>
          <w:color w:val="7030A0"/>
          <w:sz w:val="16"/>
          <w:szCs w:val="16"/>
        </w:rPr>
        <w:footnoteRef/>
      </w:r>
      <w:r w:rsidRPr="00B40334">
        <w:rPr>
          <w:rFonts w:ascii="Verdana" w:hAnsi="Verdana"/>
          <w:color w:val="7030A0"/>
          <w:sz w:val="16"/>
          <w:szCs w:val="16"/>
        </w:rPr>
        <w:t xml:space="preserve"> CRPD/C/GC/4, UN Convention on the Rights of Persons with Disabilities, General Comments No.4 (2016) Article 24: Right to inclusive education’ 2 September 2016 at para.15.</w:t>
      </w:r>
    </w:p>
  </w:footnote>
  <w:footnote w:id="24">
    <w:p w14:paraId="78EE9B32" w14:textId="35D31963" w:rsidR="00874DF6" w:rsidRPr="00B40334" w:rsidRDefault="00874DF6">
      <w:pPr>
        <w:pStyle w:val="FootnoteText"/>
        <w:rPr>
          <w:rFonts w:ascii="Verdana" w:hAnsi="Verdana"/>
          <w:color w:val="7030A0"/>
          <w:sz w:val="16"/>
          <w:szCs w:val="16"/>
        </w:rPr>
      </w:pPr>
      <w:r w:rsidRPr="00B40334">
        <w:rPr>
          <w:rStyle w:val="FootnoteReference"/>
          <w:rFonts w:ascii="Verdana" w:hAnsi="Verdana"/>
          <w:color w:val="7030A0"/>
          <w:sz w:val="16"/>
          <w:szCs w:val="16"/>
        </w:rPr>
        <w:footnoteRef/>
      </w:r>
      <w:r w:rsidRPr="00B40334">
        <w:rPr>
          <w:rFonts w:ascii="Verdana" w:hAnsi="Verdana"/>
          <w:color w:val="7030A0"/>
          <w:sz w:val="16"/>
          <w:szCs w:val="16"/>
        </w:rPr>
        <w:t xml:space="preserve"> </w:t>
      </w:r>
      <w:r w:rsidR="001D4F25" w:rsidRPr="00B40334">
        <w:rPr>
          <w:rFonts w:ascii="Verdana" w:hAnsi="Verdana"/>
          <w:color w:val="7030A0"/>
          <w:sz w:val="16"/>
          <w:szCs w:val="16"/>
        </w:rPr>
        <w:t>Re: Drumragh Integrated College (citation no. [2014] NIQB) (2014) par. 53</w:t>
      </w:r>
    </w:p>
  </w:footnote>
  <w:footnote w:id="25">
    <w:p w14:paraId="3D15F1E3" w14:textId="77777777" w:rsidR="00CB2C4D" w:rsidRDefault="00CB2C4D" w:rsidP="00CB2C4D">
      <w:pPr>
        <w:pStyle w:val="FootnoteText"/>
      </w:pPr>
      <w:r w:rsidRPr="006F2079">
        <w:rPr>
          <w:rStyle w:val="FootnoteReference"/>
          <w:rFonts w:ascii="Verdana" w:hAnsi="Verdana"/>
          <w:color w:val="7030A0"/>
          <w:sz w:val="16"/>
          <w:szCs w:val="16"/>
        </w:rPr>
        <w:footnoteRef/>
      </w:r>
      <w:r w:rsidRPr="006F2079">
        <w:rPr>
          <w:rFonts w:ascii="Verdana" w:hAnsi="Verdana"/>
          <w:color w:val="7030A0"/>
          <w:sz w:val="16"/>
          <w:szCs w:val="16"/>
        </w:rPr>
        <w:t xml:space="preserve"> Northern Ireland Statistics and Research Agency, ‘Integrated education in primary and post-primary schools 2020/21: Key statistics’ (NISRA, 2021), see also: Department of Education, ‘Schools and pupils in Northern Ireland 1991/92 to 2020/21’ 22 March 2021</w:t>
      </w:r>
    </w:p>
  </w:footnote>
  <w:footnote w:id="26">
    <w:p w14:paraId="4C658642" w14:textId="77777777" w:rsidR="004C0E1F" w:rsidRDefault="004C0E1F" w:rsidP="004C0E1F">
      <w:pPr>
        <w:pStyle w:val="FootnoteText"/>
      </w:pPr>
      <w:r w:rsidRPr="00927973">
        <w:rPr>
          <w:rStyle w:val="FootnoteReference"/>
          <w:rFonts w:ascii="Verdana" w:hAnsi="Verdana"/>
          <w:color w:val="7030A0"/>
          <w:sz w:val="16"/>
          <w:szCs w:val="16"/>
        </w:rPr>
        <w:footnoteRef/>
      </w:r>
      <w:r w:rsidRPr="00927973">
        <w:rPr>
          <w:rFonts w:ascii="Verdana" w:hAnsi="Verdana"/>
          <w:color w:val="7030A0"/>
          <w:sz w:val="16"/>
          <w:szCs w:val="16"/>
        </w:rPr>
        <w:t xml:space="preserve"> E/C.12/1/Add.19 Committee on Economic, Social and Cultural Rights, Concluding Observations: United Kingdom of Great Britain and Northern Ireland 12 December 1997</w:t>
      </w:r>
      <w:r>
        <w:rPr>
          <w:rFonts w:ascii="Verdana" w:hAnsi="Verdana"/>
          <w:color w:val="7030A0"/>
          <w:sz w:val="16"/>
          <w:szCs w:val="16"/>
        </w:rPr>
        <w:t xml:space="preserve">, </w:t>
      </w:r>
      <w:r w:rsidRPr="00927973">
        <w:rPr>
          <w:rFonts w:ascii="Verdana" w:hAnsi="Verdana"/>
          <w:color w:val="7030A0"/>
          <w:sz w:val="16"/>
          <w:szCs w:val="16"/>
        </w:rPr>
        <w:t>at para. 29</w:t>
      </w:r>
    </w:p>
  </w:footnote>
  <w:footnote w:id="27">
    <w:p w14:paraId="6DDC69CA" w14:textId="77777777" w:rsidR="004C0E1F" w:rsidRPr="00927973" w:rsidRDefault="004C0E1F" w:rsidP="004C0E1F">
      <w:pPr>
        <w:pStyle w:val="FootnoteText"/>
        <w:rPr>
          <w:rFonts w:ascii="Verdana" w:hAnsi="Verdana"/>
          <w:color w:val="7030A0"/>
          <w:sz w:val="16"/>
          <w:szCs w:val="16"/>
        </w:rPr>
      </w:pPr>
      <w:r w:rsidRPr="00927973">
        <w:rPr>
          <w:rStyle w:val="FootnoteReference"/>
          <w:rFonts w:ascii="Verdana" w:hAnsi="Verdana"/>
          <w:color w:val="7030A0"/>
          <w:sz w:val="16"/>
          <w:szCs w:val="16"/>
        </w:rPr>
        <w:footnoteRef/>
      </w:r>
      <w:r w:rsidRPr="00927973">
        <w:rPr>
          <w:rFonts w:ascii="Verdana" w:hAnsi="Verdana"/>
          <w:color w:val="7030A0"/>
          <w:sz w:val="16"/>
          <w:szCs w:val="16"/>
        </w:rPr>
        <w:t xml:space="preserve"> </w:t>
      </w:r>
      <w:r>
        <w:rPr>
          <w:rFonts w:ascii="Verdana" w:hAnsi="Verdana"/>
          <w:color w:val="7030A0"/>
          <w:sz w:val="16"/>
          <w:szCs w:val="16"/>
        </w:rPr>
        <w:t xml:space="preserve">Ibid </w:t>
      </w:r>
      <w:r w:rsidRPr="00927973">
        <w:rPr>
          <w:rFonts w:ascii="Verdana" w:hAnsi="Verdana"/>
          <w:color w:val="7030A0"/>
          <w:sz w:val="16"/>
          <w:szCs w:val="16"/>
        </w:rPr>
        <w:t>at para. 18</w:t>
      </w:r>
    </w:p>
  </w:footnote>
  <w:footnote w:id="28">
    <w:p w14:paraId="3BD36617" w14:textId="77777777" w:rsidR="004C0E1F" w:rsidRPr="000E762C" w:rsidRDefault="004C0E1F" w:rsidP="004C0E1F">
      <w:pPr>
        <w:pStyle w:val="FootnoteText"/>
        <w:rPr>
          <w:rFonts w:ascii="Verdana" w:hAnsi="Verdana"/>
          <w:sz w:val="16"/>
          <w:szCs w:val="16"/>
        </w:rPr>
      </w:pPr>
      <w:r w:rsidRPr="000E762C">
        <w:rPr>
          <w:rStyle w:val="FootnoteReference"/>
          <w:rFonts w:ascii="Verdana" w:hAnsi="Verdana"/>
          <w:color w:val="7030A0"/>
          <w:sz w:val="16"/>
          <w:szCs w:val="16"/>
        </w:rPr>
        <w:footnoteRef/>
      </w:r>
      <w:r w:rsidRPr="000E762C">
        <w:rPr>
          <w:rFonts w:ascii="Verdana" w:hAnsi="Verdana"/>
          <w:color w:val="7030A0"/>
          <w:sz w:val="16"/>
          <w:szCs w:val="16"/>
        </w:rPr>
        <w:t xml:space="preserve"> </w:t>
      </w:r>
      <w:r>
        <w:rPr>
          <w:rFonts w:ascii="Verdana" w:hAnsi="Verdana"/>
          <w:color w:val="7030A0"/>
          <w:sz w:val="16"/>
          <w:szCs w:val="16"/>
        </w:rPr>
        <w:t xml:space="preserve">CRC/C/15/Add.134 </w:t>
      </w:r>
      <w:r w:rsidRPr="000E762C">
        <w:rPr>
          <w:rFonts w:ascii="Verdana" w:hAnsi="Verdana"/>
          <w:color w:val="7030A0"/>
          <w:sz w:val="16"/>
          <w:szCs w:val="16"/>
        </w:rPr>
        <w:t xml:space="preserve">UN Committee on the Rights of the Child, Concluding Observations: The United Kingdom of Great Britain and Northern Ireland (2002) </w:t>
      </w:r>
      <w:r>
        <w:rPr>
          <w:rFonts w:ascii="Verdana" w:hAnsi="Verdana"/>
          <w:color w:val="7030A0"/>
          <w:sz w:val="16"/>
          <w:szCs w:val="16"/>
        </w:rPr>
        <w:t xml:space="preserve">at </w:t>
      </w:r>
      <w:r w:rsidRPr="000E762C">
        <w:rPr>
          <w:rFonts w:ascii="Verdana" w:hAnsi="Verdana"/>
          <w:color w:val="7030A0"/>
          <w:sz w:val="16"/>
          <w:szCs w:val="16"/>
        </w:rPr>
        <w:t>para 45</w:t>
      </w:r>
    </w:p>
  </w:footnote>
  <w:footnote w:id="29">
    <w:p w14:paraId="21709B21" w14:textId="31C1A458" w:rsidR="00F849AB" w:rsidRPr="006F2079" w:rsidRDefault="00F849AB">
      <w:pPr>
        <w:pStyle w:val="FootnoteText"/>
        <w:rPr>
          <w:rFonts w:ascii="Verdana" w:hAnsi="Verdana"/>
          <w:sz w:val="16"/>
          <w:szCs w:val="16"/>
        </w:rPr>
      </w:pPr>
      <w:r w:rsidRPr="006F2079">
        <w:rPr>
          <w:rStyle w:val="FootnoteReference"/>
          <w:rFonts w:ascii="Verdana" w:hAnsi="Verdana"/>
          <w:color w:val="7030A0"/>
          <w:sz w:val="16"/>
          <w:szCs w:val="16"/>
        </w:rPr>
        <w:footnoteRef/>
      </w:r>
      <w:r w:rsidRPr="006F2079">
        <w:rPr>
          <w:rFonts w:ascii="Verdana" w:hAnsi="Verdana"/>
          <w:color w:val="7030A0"/>
          <w:sz w:val="16"/>
          <w:szCs w:val="16"/>
        </w:rPr>
        <w:t xml:space="preserve"> A total of 637 additional new pupils joined Integrated schools in 2019/20 across all school phases. Post-primary Integrated schools experienced high levels of demand, welcoming 468 new pupils across NI.</w:t>
      </w:r>
    </w:p>
  </w:footnote>
  <w:footnote w:id="30">
    <w:p w14:paraId="22DE15D5" w14:textId="71BA3B38" w:rsidR="00E414F3" w:rsidRPr="003D0BA2" w:rsidRDefault="00E414F3">
      <w:pPr>
        <w:pStyle w:val="FootnoteText"/>
        <w:rPr>
          <w:rFonts w:ascii="Verdana" w:hAnsi="Verdana"/>
          <w:sz w:val="16"/>
          <w:szCs w:val="16"/>
        </w:rPr>
      </w:pPr>
      <w:r w:rsidRPr="003D0BA2">
        <w:rPr>
          <w:rStyle w:val="FootnoteReference"/>
          <w:rFonts w:ascii="Verdana" w:hAnsi="Verdana"/>
          <w:color w:val="7030A0"/>
          <w:sz w:val="16"/>
          <w:szCs w:val="16"/>
        </w:rPr>
        <w:footnoteRef/>
      </w:r>
      <w:r w:rsidRPr="003D0BA2">
        <w:rPr>
          <w:rFonts w:ascii="Verdana" w:hAnsi="Verdana"/>
          <w:color w:val="7030A0"/>
          <w:sz w:val="16"/>
          <w:szCs w:val="16"/>
        </w:rPr>
        <w:t xml:space="preserve"> </w:t>
      </w:r>
      <w:r w:rsidR="003D0BA2" w:rsidRPr="003D0BA2">
        <w:rPr>
          <w:rFonts w:ascii="Verdana" w:hAnsi="Verdana"/>
          <w:color w:val="7030A0"/>
          <w:sz w:val="16"/>
          <w:szCs w:val="16"/>
        </w:rPr>
        <w:t>NI Council for Integrated Education ‘NICIE Impact Report 1st April 2019 – 31st March 2020’ (NICIE, 2021)</w:t>
      </w:r>
    </w:p>
  </w:footnote>
  <w:footnote w:id="31">
    <w:p w14:paraId="3A2B1376" w14:textId="035E83B9" w:rsidR="00E414F3" w:rsidRPr="00E414F3" w:rsidRDefault="00E414F3">
      <w:pPr>
        <w:pStyle w:val="FootnoteText"/>
        <w:rPr>
          <w:rFonts w:ascii="Verdana" w:hAnsi="Verdana"/>
          <w:sz w:val="16"/>
          <w:szCs w:val="16"/>
        </w:rPr>
      </w:pPr>
      <w:r w:rsidRPr="00E414F3">
        <w:rPr>
          <w:rStyle w:val="FootnoteReference"/>
          <w:rFonts w:ascii="Verdana" w:hAnsi="Verdana"/>
          <w:color w:val="7030A0"/>
          <w:sz w:val="16"/>
          <w:szCs w:val="16"/>
        </w:rPr>
        <w:footnoteRef/>
      </w:r>
      <w:r w:rsidRPr="00E414F3">
        <w:rPr>
          <w:rFonts w:ascii="Verdana" w:hAnsi="Verdana"/>
          <w:color w:val="7030A0"/>
          <w:sz w:val="16"/>
          <w:szCs w:val="16"/>
        </w:rPr>
        <w:t xml:space="preserve"> Lucid Talk Attitudinal Poll - Regional and Northern Ireland Wide (June 2021) available at https://view.publitas.com/integrated-education-fund/northern-ireland-attitudinal-poll/page/10-11</w:t>
      </w:r>
    </w:p>
  </w:footnote>
  <w:footnote w:id="32">
    <w:p w14:paraId="1D06EA44" w14:textId="37E46FB4" w:rsidR="007602C2" w:rsidRPr="0098175B" w:rsidRDefault="007602C2" w:rsidP="007602C2">
      <w:pPr>
        <w:pStyle w:val="FootnoteText"/>
        <w:rPr>
          <w:rFonts w:ascii="Verdana" w:hAnsi="Verdana"/>
          <w:color w:val="7030A0"/>
          <w:sz w:val="16"/>
          <w:szCs w:val="16"/>
        </w:rPr>
      </w:pPr>
      <w:r w:rsidRPr="0098175B">
        <w:rPr>
          <w:rStyle w:val="FootnoteReference"/>
          <w:rFonts w:ascii="Verdana" w:hAnsi="Verdana"/>
          <w:color w:val="7030A0"/>
          <w:sz w:val="16"/>
          <w:szCs w:val="16"/>
        </w:rPr>
        <w:footnoteRef/>
      </w:r>
      <w:r w:rsidRPr="0098175B">
        <w:rPr>
          <w:rFonts w:ascii="Verdana" w:hAnsi="Verdana"/>
          <w:color w:val="7030A0"/>
          <w:sz w:val="16"/>
          <w:szCs w:val="16"/>
        </w:rPr>
        <w:t xml:space="preserve"> </w:t>
      </w:r>
      <w:r w:rsidR="00DD21A8">
        <w:rPr>
          <w:rFonts w:ascii="Verdana" w:hAnsi="Verdana"/>
          <w:color w:val="7030A0"/>
          <w:sz w:val="16"/>
          <w:szCs w:val="16"/>
        </w:rPr>
        <w:t xml:space="preserve">See </w:t>
      </w:r>
      <w:r w:rsidR="003C4101">
        <w:rPr>
          <w:rFonts w:ascii="Verdana" w:hAnsi="Verdana"/>
          <w:color w:val="7030A0"/>
          <w:sz w:val="16"/>
          <w:szCs w:val="16"/>
        </w:rPr>
        <w:t>e.g.,</w:t>
      </w:r>
      <w:r w:rsidR="00DD21A8">
        <w:rPr>
          <w:rFonts w:ascii="Verdana" w:hAnsi="Verdana"/>
          <w:color w:val="7030A0"/>
          <w:sz w:val="16"/>
          <w:szCs w:val="16"/>
        </w:rPr>
        <w:t xml:space="preserve"> </w:t>
      </w:r>
      <w:r w:rsidRPr="0098175B">
        <w:rPr>
          <w:rFonts w:ascii="Verdana" w:hAnsi="Verdana"/>
          <w:color w:val="7030A0"/>
          <w:sz w:val="16"/>
          <w:szCs w:val="16"/>
        </w:rPr>
        <w:t xml:space="preserve">CRC/C/GBR/CO/4, UN Committee on the Rights of the Child, Concluding Observations: United Kingdom of Great Britain and Northern Ireland’ (2008) at para. 66. </w:t>
      </w:r>
    </w:p>
  </w:footnote>
  <w:footnote w:id="33">
    <w:p w14:paraId="2D56013B" w14:textId="77777777" w:rsidR="007602C2" w:rsidRPr="0098175B" w:rsidRDefault="007602C2" w:rsidP="007602C2">
      <w:pPr>
        <w:pStyle w:val="FootnoteText"/>
        <w:rPr>
          <w:rFonts w:ascii="Verdana" w:hAnsi="Verdana"/>
          <w:sz w:val="16"/>
          <w:szCs w:val="16"/>
        </w:rPr>
      </w:pPr>
      <w:r w:rsidRPr="0098175B">
        <w:rPr>
          <w:rStyle w:val="FootnoteReference"/>
          <w:rFonts w:ascii="Verdana" w:hAnsi="Verdana"/>
          <w:color w:val="7030A0"/>
          <w:sz w:val="16"/>
          <w:szCs w:val="16"/>
        </w:rPr>
        <w:footnoteRef/>
      </w:r>
      <w:r w:rsidRPr="0098175B">
        <w:rPr>
          <w:rFonts w:ascii="Verdana" w:hAnsi="Verdana"/>
          <w:color w:val="7030A0"/>
          <w:sz w:val="16"/>
          <w:szCs w:val="16"/>
        </w:rPr>
        <w:t xml:space="preserve"> CRC/C/GBR/CO/5, UN Committee on the Rights of the Child, Concluding Observations on the United Kingdom of Great Britain and Northern Ireland (2016) at para. 72(e)</w:t>
      </w:r>
    </w:p>
  </w:footnote>
  <w:footnote w:id="34">
    <w:p w14:paraId="0DF170C1" w14:textId="77777777" w:rsidR="0034157F" w:rsidRPr="006F2079" w:rsidRDefault="0034157F" w:rsidP="0034157F">
      <w:pPr>
        <w:pStyle w:val="FootnoteText"/>
        <w:rPr>
          <w:rFonts w:ascii="Verdana" w:hAnsi="Verdana"/>
          <w:color w:val="7030A0"/>
          <w:sz w:val="16"/>
          <w:szCs w:val="16"/>
        </w:rPr>
      </w:pPr>
      <w:r w:rsidRPr="006F2079">
        <w:rPr>
          <w:rStyle w:val="FootnoteReference"/>
          <w:rFonts w:ascii="Verdana" w:hAnsi="Verdana"/>
          <w:color w:val="7030A0"/>
          <w:sz w:val="16"/>
          <w:szCs w:val="16"/>
        </w:rPr>
        <w:footnoteRef/>
      </w:r>
      <w:r w:rsidRPr="006F2079">
        <w:rPr>
          <w:rFonts w:ascii="Verdana" w:hAnsi="Verdana"/>
          <w:color w:val="7030A0"/>
          <w:sz w:val="16"/>
          <w:szCs w:val="16"/>
        </w:rPr>
        <w:t xml:space="preserve"> European Convention on Human Rights, 1950 Protocol 1, Article 2</w:t>
      </w:r>
    </w:p>
  </w:footnote>
  <w:footnote w:id="35">
    <w:p w14:paraId="027F47E0" w14:textId="77777777" w:rsidR="0034157F" w:rsidRDefault="0034157F" w:rsidP="0034157F">
      <w:pPr>
        <w:pStyle w:val="FootnoteText"/>
      </w:pPr>
      <w:r w:rsidRPr="006F2079">
        <w:rPr>
          <w:rStyle w:val="FootnoteReference"/>
          <w:rFonts w:ascii="Verdana" w:hAnsi="Verdana"/>
          <w:color w:val="7030A0"/>
          <w:sz w:val="16"/>
          <w:szCs w:val="16"/>
        </w:rPr>
        <w:footnoteRef/>
      </w:r>
      <w:r w:rsidRPr="006F2079">
        <w:rPr>
          <w:rFonts w:ascii="Verdana" w:hAnsi="Verdana"/>
          <w:color w:val="7030A0"/>
          <w:sz w:val="16"/>
          <w:szCs w:val="16"/>
        </w:rPr>
        <w:t xml:space="preserve"> Human Rights Act, 1998 Schedule 3, Part II</w:t>
      </w:r>
    </w:p>
  </w:footnote>
  <w:footnote w:id="36">
    <w:p w14:paraId="389B01FB" w14:textId="578B8104" w:rsidR="00544AC5" w:rsidRPr="00BA6572" w:rsidRDefault="00544AC5">
      <w:pPr>
        <w:pStyle w:val="FootnoteText"/>
        <w:rPr>
          <w:rFonts w:ascii="Verdana" w:hAnsi="Verdana"/>
          <w:sz w:val="16"/>
          <w:szCs w:val="16"/>
        </w:rPr>
      </w:pPr>
      <w:r w:rsidRPr="00BA6572">
        <w:rPr>
          <w:rStyle w:val="FootnoteReference"/>
          <w:rFonts w:ascii="Verdana" w:hAnsi="Verdana"/>
          <w:color w:val="7030A0"/>
          <w:sz w:val="16"/>
          <w:szCs w:val="16"/>
        </w:rPr>
        <w:footnoteRef/>
      </w:r>
      <w:r w:rsidRPr="00BA6572">
        <w:rPr>
          <w:rFonts w:ascii="Verdana" w:hAnsi="Verdana"/>
          <w:color w:val="7030A0"/>
          <w:sz w:val="16"/>
          <w:szCs w:val="16"/>
        </w:rPr>
        <w:t xml:space="preserve"> </w:t>
      </w:r>
      <w:r w:rsidR="00BA6572" w:rsidRPr="00BA6572">
        <w:rPr>
          <w:rStyle w:val="Emphasis"/>
          <w:rFonts w:ascii="Verdana" w:hAnsi="Verdana"/>
          <w:i w:val="0"/>
          <w:iCs w:val="0"/>
          <w:color w:val="7030A0"/>
          <w:sz w:val="16"/>
          <w:szCs w:val="16"/>
          <w:shd w:val="clear" w:color="auto" w:fill="FFFFFF"/>
        </w:rPr>
        <w:t>Kjeldsen, Busk, Madsen and Pedersen </w:t>
      </w:r>
      <w:r w:rsidR="00BA6572" w:rsidRPr="00BA6572">
        <w:rPr>
          <w:rFonts w:ascii="Verdana" w:hAnsi="Verdana"/>
          <w:color w:val="7030A0"/>
          <w:sz w:val="16"/>
          <w:szCs w:val="16"/>
          <w:shd w:val="clear" w:color="auto" w:fill="FFFFFF"/>
        </w:rPr>
        <w:t>(judgment of 7 December 1976, Series A no. 23</w:t>
      </w:r>
      <w:r w:rsidR="00BA6572">
        <w:rPr>
          <w:rFonts w:ascii="Verdana" w:hAnsi="Verdana"/>
          <w:color w:val="7030A0"/>
          <w:sz w:val="16"/>
          <w:szCs w:val="16"/>
          <w:shd w:val="clear" w:color="auto" w:fill="FFFFFF"/>
        </w:rPr>
        <w:t xml:space="preserve">) at </w:t>
      </w:r>
      <w:r w:rsidR="00BA6572" w:rsidRPr="00BA6572">
        <w:rPr>
          <w:rFonts w:ascii="Verdana" w:hAnsi="Verdana"/>
          <w:color w:val="7030A0"/>
          <w:sz w:val="16"/>
          <w:szCs w:val="16"/>
          <w:shd w:val="clear" w:color="auto" w:fill="FFFFFF"/>
        </w:rPr>
        <w:t>para. 50</w:t>
      </w:r>
    </w:p>
  </w:footnote>
  <w:footnote w:id="37">
    <w:p w14:paraId="70D9CA37" w14:textId="58FB5B4A" w:rsidR="00EA07A8" w:rsidRPr="006F3CFC" w:rsidRDefault="00EA07A8">
      <w:pPr>
        <w:pStyle w:val="FootnoteText"/>
        <w:rPr>
          <w:rFonts w:ascii="Verdana" w:hAnsi="Verdana"/>
          <w:i/>
          <w:iCs/>
          <w:color w:val="7030A0"/>
          <w:sz w:val="16"/>
          <w:szCs w:val="16"/>
        </w:rPr>
      </w:pPr>
      <w:r w:rsidRPr="006F3CFC">
        <w:rPr>
          <w:rStyle w:val="FootnoteReference"/>
          <w:rFonts w:ascii="Verdana" w:hAnsi="Verdana"/>
          <w:color w:val="7030A0"/>
          <w:sz w:val="16"/>
          <w:szCs w:val="16"/>
        </w:rPr>
        <w:footnoteRef/>
      </w:r>
      <w:r w:rsidRPr="006F3CFC">
        <w:rPr>
          <w:rFonts w:ascii="Verdana" w:hAnsi="Verdana"/>
          <w:color w:val="7030A0"/>
          <w:sz w:val="16"/>
          <w:szCs w:val="16"/>
        </w:rPr>
        <w:t xml:space="preserve"> </w:t>
      </w:r>
      <w:r w:rsidRPr="006F3CFC">
        <w:rPr>
          <w:rStyle w:val="Emphasis"/>
          <w:rFonts w:ascii="Verdana" w:hAnsi="Verdana"/>
          <w:i w:val="0"/>
          <w:iCs w:val="0"/>
          <w:color w:val="7030A0"/>
          <w:sz w:val="16"/>
          <w:szCs w:val="16"/>
          <w:shd w:val="clear" w:color="auto" w:fill="FFFFFF"/>
        </w:rPr>
        <w:t>Kjeldsen, Busk Madsen and Pedersen</w:t>
      </w:r>
      <w:r w:rsidRPr="006F3CFC">
        <w:rPr>
          <w:rFonts w:ascii="Verdana" w:hAnsi="Verdana"/>
          <w:i/>
          <w:iCs/>
          <w:color w:val="7030A0"/>
          <w:sz w:val="16"/>
          <w:szCs w:val="16"/>
          <w:shd w:val="clear" w:color="auto" w:fill="FFFFFF"/>
        </w:rPr>
        <w:t> v. </w:t>
      </w:r>
      <w:r w:rsidRPr="006F3CFC">
        <w:rPr>
          <w:rStyle w:val="Emphasis"/>
          <w:rFonts w:ascii="Verdana" w:hAnsi="Verdana"/>
          <w:i w:val="0"/>
          <w:iCs w:val="0"/>
          <w:color w:val="7030A0"/>
          <w:sz w:val="16"/>
          <w:szCs w:val="16"/>
          <w:shd w:val="clear" w:color="auto" w:fill="FFFFFF"/>
        </w:rPr>
        <w:t>Denmark</w:t>
      </w:r>
      <w:r w:rsidRPr="006F3CFC">
        <w:rPr>
          <w:rFonts w:ascii="Verdana" w:hAnsi="Verdana"/>
          <w:i/>
          <w:iCs/>
          <w:color w:val="7030A0"/>
          <w:sz w:val="16"/>
          <w:szCs w:val="16"/>
          <w:shd w:val="clear" w:color="auto" w:fill="FFFFFF"/>
        </w:rPr>
        <w:t xml:space="preserve">, </w:t>
      </w:r>
      <w:r w:rsidRPr="006F3CFC">
        <w:rPr>
          <w:rFonts w:ascii="Verdana" w:hAnsi="Verdana"/>
          <w:color w:val="7030A0"/>
          <w:sz w:val="16"/>
          <w:szCs w:val="16"/>
          <w:shd w:val="clear" w:color="auto" w:fill="FFFFFF"/>
        </w:rPr>
        <w:t>at para. 53; See also</w:t>
      </w:r>
      <w:r w:rsidRPr="006F3CFC">
        <w:rPr>
          <w:rFonts w:ascii="Verdana" w:hAnsi="Verdana"/>
          <w:i/>
          <w:iCs/>
          <w:color w:val="7030A0"/>
          <w:sz w:val="16"/>
          <w:szCs w:val="16"/>
          <w:shd w:val="clear" w:color="auto" w:fill="FFFFFF"/>
        </w:rPr>
        <w:t> </w:t>
      </w:r>
      <w:r w:rsidRPr="006F3CFC">
        <w:rPr>
          <w:rStyle w:val="Emphasis"/>
          <w:rFonts w:ascii="Verdana" w:hAnsi="Verdana"/>
          <w:i w:val="0"/>
          <w:iCs w:val="0"/>
          <w:color w:val="7030A0"/>
          <w:sz w:val="16"/>
          <w:szCs w:val="16"/>
          <w:shd w:val="clear" w:color="auto" w:fill="FFFFFF"/>
        </w:rPr>
        <w:t>Folgerø and Others</w:t>
      </w:r>
      <w:r w:rsidRPr="006F3CFC">
        <w:rPr>
          <w:rFonts w:ascii="Verdana" w:hAnsi="Verdana"/>
          <w:i/>
          <w:iCs/>
          <w:color w:val="7030A0"/>
          <w:sz w:val="16"/>
          <w:szCs w:val="16"/>
          <w:shd w:val="clear" w:color="auto" w:fill="FFFFFF"/>
        </w:rPr>
        <w:t> v. </w:t>
      </w:r>
      <w:r w:rsidRPr="006F3CFC">
        <w:rPr>
          <w:rStyle w:val="Emphasis"/>
          <w:rFonts w:ascii="Verdana" w:hAnsi="Verdana"/>
          <w:i w:val="0"/>
          <w:iCs w:val="0"/>
          <w:color w:val="7030A0"/>
          <w:sz w:val="16"/>
          <w:szCs w:val="16"/>
          <w:shd w:val="clear" w:color="auto" w:fill="FFFFFF"/>
        </w:rPr>
        <w:t>Norway</w:t>
      </w:r>
      <w:r w:rsidRPr="006F3CFC">
        <w:rPr>
          <w:rFonts w:ascii="Verdana" w:hAnsi="Verdana"/>
          <w:i/>
          <w:iCs/>
          <w:color w:val="7030A0"/>
          <w:sz w:val="16"/>
          <w:szCs w:val="16"/>
          <w:shd w:val="clear" w:color="auto" w:fill="FFFFFF"/>
        </w:rPr>
        <w:t xml:space="preserve">, </w:t>
      </w:r>
      <w:r w:rsidRPr="006F3CFC">
        <w:rPr>
          <w:rFonts w:ascii="Verdana" w:hAnsi="Verdana"/>
          <w:color w:val="7030A0"/>
          <w:sz w:val="16"/>
          <w:szCs w:val="16"/>
          <w:shd w:val="clear" w:color="auto" w:fill="FFFFFF"/>
        </w:rPr>
        <w:t>Application No. 15472/02, Grand Chamber judgement of 29 June 2007, at para. 84(h).</w:t>
      </w:r>
    </w:p>
  </w:footnote>
  <w:footnote w:id="38">
    <w:p w14:paraId="0DE984C2" w14:textId="77777777" w:rsidR="006A0205" w:rsidRPr="00306899" w:rsidRDefault="006A0205" w:rsidP="006A0205">
      <w:pPr>
        <w:pStyle w:val="FootnoteText"/>
        <w:rPr>
          <w:rFonts w:ascii="Verdana" w:hAnsi="Verdana"/>
          <w:sz w:val="20"/>
          <w:szCs w:val="20"/>
        </w:rPr>
      </w:pPr>
      <w:r w:rsidRPr="006F3CFC">
        <w:rPr>
          <w:rStyle w:val="FootnoteReference"/>
          <w:rFonts w:ascii="Verdana" w:hAnsi="Verdana"/>
          <w:color w:val="7030A0"/>
          <w:sz w:val="16"/>
          <w:szCs w:val="16"/>
        </w:rPr>
        <w:footnoteRef/>
      </w:r>
      <w:r w:rsidRPr="006F3CFC">
        <w:rPr>
          <w:rFonts w:ascii="Verdana" w:hAnsi="Verdana"/>
          <w:color w:val="7030A0"/>
          <w:sz w:val="16"/>
          <w:szCs w:val="16"/>
        </w:rPr>
        <w:t xml:space="preserve"> Osmanoğlu and Kocabaş v. Switzerland (29086/12); para 95</w:t>
      </w:r>
    </w:p>
  </w:footnote>
  <w:footnote w:id="39">
    <w:p w14:paraId="2E54C784" w14:textId="77777777" w:rsidR="003D5AEF" w:rsidRPr="00594AC4" w:rsidRDefault="003D5AEF" w:rsidP="003D5AEF">
      <w:pPr>
        <w:pStyle w:val="FootnoteText"/>
        <w:rPr>
          <w:rFonts w:ascii="Verdana" w:hAnsi="Verdana"/>
          <w:sz w:val="16"/>
          <w:szCs w:val="16"/>
        </w:rPr>
      </w:pPr>
      <w:r w:rsidRPr="00594AC4">
        <w:rPr>
          <w:rStyle w:val="FootnoteReference"/>
          <w:rFonts w:ascii="Verdana" w:hAnsi="Verdana"/>
          <w:color w:val="7030A0"/>
          <w:sz w:val="16"/>
          <w:szCs w:val="16"/>
        </w:rPr>
        <w:footnoteRef/>
      </w:r>
      <w:r w:rsidRPr="00594AC4">
        <w:rPr>
          <w:rFonts w:ascii="Verdana" w:hAnsi="Verdana"/>
          <w:color w:val="7030A0"/>
          <w:sz w:val="16"/>
          <w:szCs w:val="16"/>
        </w:rPr>
        <w:t xml:space="preserve"> Lautsi v. Italy (30814/06)</w:t>
      </w:r>
    </w:p>
  </w:footnote>
  <w:footnote w:id="40">
    <w:p w14:paraId="4EC16652" w14:textId="4C2681AE" w:rsidR="006B686D" w:rsidRPr="006B686D" w:rsidRDefault="006B686D">
      <w:pPr>
        <w:pStyle w:val="FootnoteText"/>
        <w:rPr>
          <w:rFonts w:ascii="Verdana" w:hAnsi="Verdana"/>
          <w:sz w:val="16"/>
          <w:szCs w:val="16"/>
        </w:rPr>
      </w:pPr>
      <w:r w:rsidRPr="006B686D">
        <w:rPr>
          <w:rStyle w:val="FootnoteReference"/>
          <w:rFonts w:ascii="Verdana" w:hAnsi="Verdana"/>
          <w:color w:val="7030A0"/>
          <w:sz w:val="16"/>
          <w:szCs w:val="16"/>
        </w:rPr>
        <w:footnoteRef/>
      </w:r>
      <w:r w:rsidRPr="006B686D">
        <w:rPr>
          <w:rFonts w:ascii="Verdana" w:hAnsi="Verdana"/>
          <w:color w:val="7030A0"/>
          <w:sz w:val="16"/>
          <w:szCs w:val="16"/>
        </w:rPr>
        <w:t xml:space="preserve"> ECHR, Article 14 </w:t>
      </w:r>
    </w:p>
  </w:footnote>
  <w:footnote w:id="41">
    <w:p w14:paraId="1886D8D2" w14:textId="78257B8E" w:rsidR="009D1DA7" w:rsidRPr="00CE511E" w:rsidRDefault="009D1DA7" w:rsidP="009D1DA7">
      <w:pPr>
        <w:pStyle w:val="FootnoteText"/>
        <w:rPr>
          <w:rFonts w:ascii="Verdana" w:hAnsi="Verdana"/>
          <w:color w:val="7030A0"/>
          <w:sz w:val="16"/>
          <w:szCs w:val="16"/>
        </w:rPr>
      </w:pPr>
      <w:r w:rsidRPr="00CE511E">
        <w:rPr>
          <w:rStyle w:val="FootnoteReference"/>
          <w:rFonts w:ascii="Verdana" w:hAnsi="Verdana"/>
          <w:color w:val="7030A0"/>
          <w:sz w:val="16"/>
          <w:szCs w:val="16"/>
        </w:rPr>
        <w:footnoteRef/>
      </w:r>
      <w:r w:rsidRPr="00CE511E">
        <w:rPr>
          <w:rFonts w:ascii="Verdana" w:hAnsi="Verdana"/>
          <w:color w:val="7030A0"/>
          <w:sz w:val="16"/>
          <w:szCs w:val="16"/>
        </w:rPr>
        <w:t xml:space="preserve"> </w:t>
      </w:r>
      <w:r w:rsidR="00CE511E" w:rsidRPr="00CE511E">
        <w:rPr>
          <w:rFonts w:ascii="Verdana" w:hAnsi="Verdana"/>
          <w:color w:val="7030A0"/>
          <w:sz w:val="16"/>
          <w:szCs w:val="16"/>
        </w:rPr>
        <w:t xml:space="preserve">CCPR/C/IRL/CO/3 </w:t>
      </w:r>
      <w:r w:rsidRPr="00CE511E">
        <w:rPr>
          <w:rFonts w:ascii="Verdana" w:hAnsi="Verdana"/>
          <w:color w:val="7030A0"/>
          <w:sz w:val="16"/>
          <w:szCs w:val="16"/>
        </w:rPr>
        <w:t>UN</w:t>
      </w:r>
      <w:r w:rsidR="00CE511E">
        <w:rPr>
          <w:rFonts w:ascii="Verdana" w:hAnsi="Verdana"/>
          <w:color w:val="7030A0"/>
          <w:sz w:val="16"/>
          <w:szCs w:val="16"/>
        </w:rPr>
        <w:t xml:space="preserve"> Committee on the Rights of the Child,</w:t>
      </w:r>
      <w:r w:rsidRPr="00CE511E">
        <w:rPr>
          <w:rFonts w:ascii="Verdana" w:hAnsi="Verdana"/>
          <w:color w:val="7030A0"/>
          <w:sz w:val="16"/>
          <w:szCs w:val="16"/>
        </w:rPr>
        <w:t xml:space="preserve"> Concluding observations on the third periodic report of Ireland (2008); para 22</w:t>
      </w:r>
    </w:p>
  </w:footnote>
  <w:footnote w:id="42">
    <w:p w14:paraId="0838A0C5" w14:textId="0CA6BD3B" w:rsidR="009D1DA7" w:rsidRPr="00CE511E" w:rsidRDefault="009D1DA7" w:rsidP="009D1DA7">
      <w:pPr>
        <w:pStyle w:val="FootnoteText"/>
        <w:rPr>
          <w:rFonts w:ascii="Verdana" w:hAnsi="Verdana"/>
          <w:color w:val="7030A0"/>
          <w:sz w:val="16"/>
          <w:szCs w:val="16"/>
        </w:rPr>
      </w:pPr>
      <w:r w:rsidRPr="00CE511E">
        <w:rPr>
          <w:rStyle w:val="FootnoteReference"/>
          <w:rFonts w:ascii="Verdana" w:hAnsi="Verdana"/>
          <w:color w:val="7030A0"/>
          <w:sz w:val="16"/>
          <w:szCs w:val="16"/>
        </w:rPr>
        <w:footnoteRef/>
      </w:r>
      <w:r w:rsidRPr="00CE511E">
        <w:rPr>
          <w:rFonts w:ascii="Verdana" w:hAnsi="Verdana"/>
          <w:color w:val="7030A0"/>
          <w:sz w:val="16"/>
          <w:szCs w:val="16"/>
        </w:rPr>
        <w:t xml:space="preserve"> </w:t>
      </w:r>
      <w:r w:rsidR="00CE511E" w:rsidRPr="00CE511E">
        <w:rPr>
          <w:rFonts w:ascii="Verdana" w:hAnsi="Verdana"/>
          <w:color w:val="7030A0"/>
          <w:sz w:val="16"/>
          <w:szCs w:val="16"/>
        </w:rPr>
        <w:t>CCPR/C/IRL/CO/3</w:t>
      </w:r>
      <w:r w:rsidR="00CE511E">
        <w:rPr>
          <w:rFonts w:ascii="Verdana" w:hAnsi="Verdana"/>
          <w:color w:val="7030A0"/>
          <w:sz w:val="16"/>
          <w:szCs w:val="16"/>
        </w:rPr>
        <w:t xml:space="preserve"> </w:t>
      </w:r>
      <w:r w:rsidRPr="00CE511E">
        <w:rPr>
          <w:rFonts w:ascii="Verdana" w:hAnsi="Verdana"/>
          <w:color w:val="7030A0"/>
          <w:sz w:val="16"/>
          <w:szCs w:val="16"/>
        </w:rPr>
        <w:t>UN</w:t>
      </w:r>
      <w:r w:rsidR="00CE511E">
        <w:rPr>
          <w:rFonts w:ascii="Verdana" w:hAnsi="Verdana"/>
          <w:color w:val="7030A0"/>
          <w:sz w:val="16"/>
          <w:szCs w:val="16"/>
        </w:rPr>
        <w:t xml:space="preserve"> Committee on the Rights of the Child,</w:t>
      </w:r>
      <w:r w:rsidRPr="00CE511E">
        <w:rPr>
          <w:rFonts w:ascii="Verdana" w:hAnsi="Verdana"/>
          <w:color w:val="7030A0"/>
          <w:sz w:val="16"/>
          <w:szCs w:val="16"/>
        </w:rPr>
        <w:t xml:space="preserve"> Concluding observations on the third periodic report of Ireland (2008); para 21</w:t>
      </w:r>
    </w:p>
  </w:footnote>
  <w:footnote w:id="43">
    <w:p w14:paraId="7F7C6D0B" w14:textId="77777777" w:rsidR="009D1DA7" w:rsidRPr="00CE511E" w:rsidRDefault="009D1DA7" w:rsidP="009D1DA7">
      <w:pPr>
        <w:pStyle w:val="FootnoteText"/>
        <w:rPr>
          <w:rFonts w:ascii="Verdana" w:hAnsi="Verdana"/>
          <w:color w:val="7030A0"/>
          <w:sz w:val="16"/>
          <w:szCs w:val="16"/>
        </w:rPr>
      </w:pPr>
      <w:r w:rsidRPr="00CE511E">
        <w:rPr>
          <w:rStyle w:val="FootnoteReference"/>
          <w:rFonts w:ascii="Verdana" w:hAnsi="Verdana"/>
          <w:color w:val="7030A0"/>
          <w:sz w:val="16"/>
          <w:szCs w:val="16"/>
        </w:rPr>
        <w:footnoteRef/>
      </w:r>
      <w:r w:rsidRPr="00CE511E">
        <w:rPr>
          <w:rFonts w:ascii="Verdana" w:hAnsi="Verdana"/>
          <w:color w:val="7030A0"/>
          <w:sz w:val="16"/>
          <w:szCs w:val="16"/>
        </w:rPr>
        <w:t xml:space="preserve"> Ibid.</w:t>
      </w:r>
    </w:p>
  </w:footnote>
  <w:footnote w:id="44">
    <w:p w14:paraId="63704A23" w14:textId="33AD9AF7" w:rsidR="009D1DA7" w:rsidRPr="00CE511E" w:rsidRDefault="009D1DA7" w:rsidP="009D1DA7">
      <w:pPr>
        <w:pStyle w:val="FootnoteText"/>
        <w:rPr>
          <w:rFonts w:ascii="Verdana" w:hAnsi="Verdana"/>
          <w:color w:val="7030A0"/>
          <w:sz w:val="16"/>
          <w:szCs w:val="16"/>
        </w:rPr>
      </w:pPr>
      <w:r w:rsidRPr="00CE511E">
        <w:rPr>
          <w:rStyle w:val="FootnoteReference"/>
          <w:rFonts w:ascii="Verdana" w:hAnsi="Verdana"/>
          <w:color w:val="7030A0"/>
          <w:sz w:val="16"/>
          <w:szCs w:val="16"/>
        </w:rPr>
        <w:footnoteRef/>
      </w:r>
      <w:r w:rsidRPr="00CE511E">
        <w:rPr>
          <w:rFonts w:ascii="Verdana" w:hAnsi="Verdana"/>
          <w:color w:val="7030A0"/>
          <w:sz w:val="16"/>
          <w:szCs w:val="16"/>
        </w:rPr>
        <w:t xml:space="preserve"> </w:t>
      </w:r>
      <w:r w:rsidR="00CE511E" w:rsidRPr="00CE511E">
        <w:rPr>
          <w:rFonts w:ascii="Verdana" w:hAnsi="Verdana"/>
          <w:color w:val="7030A0"/>
          <w:sz w:val="16"/>
          <w:szCs w:val="16"/>
        </w:rPr>
        <w:t xml:space="preserve">CCPR/C/IRL/CO/4 </w:t>
      </w:r>
      <w:r w:rsidRPr="00CE511E">
        <w:rPr>
          <w:rFonts w:ascii="Verdana" w:hAnsi="Verdana"/>
          <w:color w:val="7030A0"/>
          <w:sz w:val="16"/>
          <w:szCs w:val="16"/>
        </w:rPr>
        <w:t>UN</w:t>
      </w:r>
      <w:r w:rsidR="00CE511E">
        <w:rPr>
          <w:rFonts w:ascii="Verdana" w:hAnsi="Verdana"/>
          <w:color w:val="7030A0"/>
          <w:sz w:val="16"/>
          <w:szCs w:val="16"/>
        </w:rPr>
        <w:t xml:space="preserve"> Committee on the Rights of the Child, </w:t>
      </w:r>
      <w:r w:rsidRPr="00CE511E">
        <w:rPr>
          <w:rFonts w:ascii="Verdana" w:hAnsi="Verdana"/>
          <w:color w:val="7030A0"/>
          <w:sz w:val="16"/>
          <w:szCs w:val="16"/>
        </w:rPr>
        <w:t>Concluding observations on the fourth periodic report of Ireland (2014). Para 21</w:t>
      </w:r>
    </w:p>
  </w:footnote>
  <w:footnote w:id="45">
    <w:p w14:paraId="65D90664" w14:textId="77777777" w:rsidR="009D1DA7" w:rsidRPr="00306899" w:rsidRDefault="009D1DA7" w:rsidP="009D1DA7">
      <w:pPr>
        <w:pStyle w:val="FootnoteText"/>
        <w:rPr>
          <w:rFonts w:ascii="Verdana" w:hAnsi="Verdana"/>
          <w:sz w:val="20"/>
          <w:szCs w:val="20"/>
        </w:rPr>
      </w:pPr>
      <w:r w:rsidRPr="00CE511E">
        <w:rPr>
          <w:rStyle w:val="FootnoteReference"/>
          <w:rFonts w:ascii="Verdana" w:hAnsi="Verdana"/>
          <w:color w:val="7030A0"/>
          <w:sz w:val="16"/>
          <w:szCs w:val="16"/>
        </w:rPr>
        <w:footnoteRef/>
      </w:r>
      <w:r w:rsidRPr="00CE511E">
        <w:rPr>
          <w:rFonts w:ascii="Verdana" w:hAnsi="Verdana"/>
          <w:color w:val="7030A0"/>
          <w:sz w:val="16"/>
          <w:szCs w:val="16"/>
        </w:rPr>
        <w:t xml:space="preserve"> Ibid.</w:t>
      </w:r>
    </w:p>
  </w:footnote>
  <w:footnote w:id="46">
    <w:p w14:paraId="41A26533" w14:textId="58F1FBE0" w:rsidR="00F77F63" w:rsidRPr="00A13D9F" w:rsidRDefault="00F77F63">
      <w:pPr>
        <w:pStyle w:val="FootnoteText"/>
        <w:rPr>
          <w:rFonts w:ascii="Verdana" w:hAnsi="Verdana"/>
          <w:color w:val="7030A0"/>
          <w:sz w:val="16"/>
          <w:szCs w:val="16"/>
        </w:rPr>
      </w:pPr>
      <w:r w:rsidRPr="00A13D9F">
        <w:rPr>
          <w:rStyle w:val="FootnoteReference"/>
          <w:rFonts w:ascii="Verdana" w:hAnsi="Verdana"/>
          <w:color w:val="7030A0"/>
          <w:sz w:val="16"/>
          <w:szCs w:val="16"/>
        </w:rPr>
        <w:footnoteRef/>
      </w:r>
      <w:r w:rsidRPr="00A13D9F">
        <w:rPr>
          <w:rFonts w:ascii="Verdana" w:hAnsi="Verdana"/>
          <w:color w:val="7030A0"/>
          <w:sz w:val="16"/>
          <w:szCs w:val="16"/>
        </w:rPr>
        <w:t xml:space="preserve"> </w:t>
      </w:r>
      <w:r w:rsidR="00B40AEF" w:rsidRPr="00A13D9F">
        <w:rPr>
          <w:rFonts w:ascii="Verdana" w:hAnsi="Verdana"/>
          <w:color w:val="7030A0"/>
          <w:sz w:val="16"/>
          <w:szCs w:val="16"/>
        </w:rPr>
        <w:t>X v UK (app no. 7782/77) (1978) ECHR 14 DR 179</w:t>
      </w:r>
    </w:p>
  </w:footnote>
  <w:footnote w:id="47">
    <w:p w14:paraId="68F2AB24" w14:textId="42C0455C" w:rsidR="00F77F63" w:rsidRPr="00A13D9F" w:rsidRDefault="00F77F63">
      <w:pPr>
        <w:pStyle w:val="FootnoteText"/>
        <w:rPr>
          <w:rFonts w:ascii="Verdana" w:hAnsi="Verdana"/>
          <w:color w:val="7030A0"/>
          <w:sz w:val="16"/>
          <w:szCs w:val="16"/>
        </w:rPr>
      </w:pPr>
      <w:r w:rsidRPr="00A13D9F">
        <w:rPr>
          <w:rStyle w:val="FootnoteReference"/>
          <w:rFonts w:ascii="Verdana" w:hAnsi="Verdana"/>
          <w:color w:val="7030A0"/>
          <w:sz w:val="16"/>
          <w:szCs w:val="16"/>
        </w:rPr>
        <w:footnoteRef/>
      </w:r>
      <w:r w:rsidRPr="00A13D9F">
        <w:rPr>
          <w:rFonts w:ascii="Verdana" w:hAnsi="Verdana"/>
          <w:color w:val="7030A0"/>
          <w:sz w:val="16"/>
          <w:szCs w:val="16"/>
        </w:rPr>
        <w:t xml:space="preserve"> </w:t>
      </w:r>
      <w:r w:rsidR="00A13D9F" w:rsidRPr="00A13D9F">
        <w:rPr>
          <w:rFonts w:ascii="Verdana" w:hAnsi="Verdana"/>
          <w:color w:val="7030A0"/>
          <w:sz w:val="16"/>
          <w:szCs w:val="16"/>
        </w:rPr>
        <w:t>Young, James and Webster v UK (app no. 7601/76) (1981) par. 63</w:t>
      </w:r>
    </w:p>
  </w:footnote>
  <w:footnote w:id="48">
    <w:p w14:paraId="0A54E608" w14:textId="41780C97" w:rsidR="00F77F63" w:rsidRDefault="00F77F63">
      <w:pPr>
        <w:pStyle w:val="FootnoteText"/>
      </w:pPr>
      <w:r w:rsidRPr="00A13D9F">
        <w:rPr>
          <w:rStyle w:val="FootnoteReference"/>
          <w:rFonts w:ascii="Verdana" w:hAnsi="Verdana"/>
          <w:color w:val="7030A0"/>
          <w:sz w:val="16"/>
          <w:szCs w:val="16"/>
        </w:rPr>
        <w:footnoteRef/>
      </w:r>
      <w:r w:rsidRPr="00A13D9F">
        <w:rPr>
          <w:rFonts w:ascii="Verdana" w:hAnsi="Verdana"/>
          <w:color w:val="7030A0"/>
          <w:sz w:val="16"/>
          <w:szCs w:val="16"/>
        </w:rPr>
        <w:t xml:space="preserve"> </w:t>
      </w:r>
      <w:r w:rsidR="00A13D9F" w:rsidRPr="00A13D9F">
        <w:rPr>
          <w:rFonts w:ascii="Verdana" w:hAnsi="Verdana"/>
          <w:color w:val="7030A0"/>
          <w:sz w:val="16"/>
          <w:szCs w:val="16"/>
        </w:rPr>
        <w:t>Campbell and Cosans v UK (app no. 7511/76) (1982) par. 36</w:t>
      </w:r>
    </w:p>
  </w:footnote>
  <w:footnote w:id="49">
    <w:p w14:paraId="1D46BB84" w14:textId="291EA08B" w:rsidR="00F81002" w:rsidRPr="0010608F" w:rsidRDefault="00F81002">
      <w:pPr>
        <w:pStyle w:val="FootnoteText"/>
        <w:rPr>
          <w:rFonts w:ascii="Verdana" w:hAnsi="Verdana"/>
          <w:sz w:val="16"/>
          <w:szCs w:val="16"/>
        </w:rPr>
      </w:pPr>
      <w:r w:rsidRPr="0010608F">
        <w:rPr>
          <w:rStyle w:val="FootnoteReference"/>
          <w:rFonts w:ascii="Verdana" w:hAnsi="Verdana"/>
          <w:color w:val="7030A0"/>
          <w:sz w:val="16"/>
          <w:szCs w:val="16"/>
        </w:rPr>
        <w:footnoteRef/>
      </w:r>
      <w:r w:rsidRPr="0010608F">
        <w:rPr>
          <w:rFonts w:ascii="Verdana" w:hAnsi="Verdana"/>
          <w:color w:val="7030A0"/>
          <w:sz w:val="16"/>
          <w:szCs w:val="16"/>
        </w:rPr>
        <w:t xml:space="preserve"> NI Council for Integrated Education, Statement of Principles at </w:t>
      </w:r>
      <w:hyperlink r:id="rId1" w:history="1">
        <w:r w:rsidR="0010608F" w:rsidRPr="0010608F">
          <w:rPr>
            <w:rStyle w:val="Hyperlink"/>
            <w:rFonts w:ascii="Verdana" w:hAnsi="Verdana"/>
            <w:color w:val="7030A0"/>
            <w:sz w:val="16"/>
            <w:szCs w:val="16"/>
          </w:rPr>
          <w:t>https://www.nicie.org/wp-content/uploads/2012/08/Statement-of-Principles.pdf</w:t>
        </w:r>
      </w:hyperlink>
    </w:p>
  </w:footnote>
  <w:footnote w:id="50">
    <w:p w14:paraId="06AB5F78" w14:textId="0A9F91A7" w:rsidR="00B947C6" w:rsidRPr="00263EDE" w:rsidRDefault="00B947C6">
      <w:pPr>
        <w:pStyle w:val="FootnoteText"/>
        <w:rPr>
          <w:rFonts w:ascii="Verdana" w:hAnsi="Verdana"/>
          <w:sz w:val="16"/>
          <w:szCs w:val="16"/>
        </w:rPr>
      </w:pPr>
      <w:r w:rsidRPr="00263EDE">
        <w:rPr>
          <w:rStyle w:val="FootnoteReference"/>
          <w:rFonts w:ascii="Verdana" w:hAnsi="Verdana"/>
          <w:color w:val="7030A0"/>
          <w:sz w:val="16"/>
          <w:szCs w:val="16"/>
        </w:rPr>
        <w:footnoteRef/>
      </w:r>
      <w:r w:rsidRPr="00263EDE">
        <w:rPr>
          <w:rFonts w:ascii="Verdana" w:hAnsi="Verdana"/>
          <w:color w:val="7030A0"/>
          <w:sz w:val="16"/>
          <w:szCs w:val="16"/>
        </w:rPr>
        <w:t xml:space="preserve"> EFM, Integrated Education Bill</w:t>
      </w:r>
      <w:r w:rsidR="00EA16FA" w:rsidRPr="00263EDE">
        <w:rPr>
          <w:rFonts w:ascii="Verdana" w:hAnsi="Verdana"/>
          <w:color w:val="7030A0"/>
          <w:sz w:val="16"/>
          <w:szCs w:val="16"/>
        </w:rPr>
        <w:t xml:space="preserve"> at para. 6(g)</w:t>
      </w:r>
    </w:p>
  </w:footnote>
  <w:footnote w:id="51">
    <w:p w14:paraId="023A498D" w14:textId="0E8EC607" w:rsidR="0030377B" w:rsidRPr="00B67104" w:rsidRDefault="0030377B">
      <w:pPr>
        <w:pStyle w:val="FootnoteText"/>
        <w:rPr>
          <w:rFonts w:ascii="Verdana" w:hAnsi="Verdana"/>
          <w:sz w:val="16"/>
          <w:szCs w:val="16"/>
        </w:rPr>
      </w:pPr>
      <w:r w:rsidRPr="00B67104">
        <w:rPr>
          <w:rStyle w:val="FootnoteReference"/>
          <w:rFonts w:ascii="Verdana" w:hAnsi="Verdana"/>
          <w:color w:val="7030A0"/>
          <w:sz w:val="16"/>
          <w:szCs w:val="16"/>
        </w:rPr>
        <w:footnoteRef/>
      </w:r>
      <w:r w:rsidRPr="00B67104">
        <w:rPr>
          <w:rFonts w:ascii="Verdana" w:hAnsi="Verdana"/>
          <w:color w:val="7030A0"/>
          <w:sz w:val="16"/>
          <w:szCs w:val="16"/>
        </w:rPr>
        <w:t xml:space="preserve"> </w:t>
      </w:r>
      <w:r w:rsidR="00B67104" w:rsidRPr="00B67104">
        <w:rPr>
          <w:rFonts w:ascii="Verdana" w:hAnsi="Verdana"/>
          <w:color w:val="7030A0"/>
          <w:sz w:val="16"/>
          <w:szCs w:val="16"/>
        </w:rPr>
        <w:t>UN Committee on the Rights of the Child, General Comment 29 on the aims of Education (2001) at para.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7491"/>
    <w:multiLevelType w:val="multilevel"/>
    <w:tmpl w:val="5EB81C36"/>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C5E2F7E"/>
    <w:multiLevelType w:val="hybridMultilevel"/>
    <w:tmpl w:val="76F6223E"/>
    <w:lvl w:ilvl="0" w:tplc="04090017">
      <w:start w:val="1"/>
      <w:numFmt w:val="lowerLetter"/>
      <w:lvlText w:val="%1)"/>
      <w:lvlJc w:val="left"/>
      <w:pPr>
        <w:ind w:left="1026" w:hanging="360"/>
      </w:pPr>
    </w:lvl>
    <w:lvl w:ilvl="1" w:tplc="04090019">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CB4617"/>
    <w:multiLevelType w:val="hybridMultilevel"/>
    <w:tmpl w:val="3ABA75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757D64"/>
    <w:multiLevelType w:val="multilevel"/>
    <w:tmpl w:val="917482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BD71780"/>
    <w:multiLevelType w:val="multilevel"/>
    <w:tmpl w:val="889095C2"/>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3EF1A8B"/>
    <w:multiLevelType w:val="multilevel"/>
    <w:tmpl w:val="D6BC98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D262CF"/>
    <w:multiLevelType w:val="hybridMultilevel"/>
    <w:tmpl w:val="EC447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D83681F"/>
    <w:multiLevelType w:val="hybridMultilevel"/>
    <w:tmpl w:val="58BC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D11497"/>
    <w:multiLevelType w:val="hybridMultilevel"/>
    <w:tmpl w:val="42DE8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9ED34EA"/>
    <w:multiLevelType w:val="hybridMultilevel"/>
    <w:tmpl w:val="4C1A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F105B"/>
    <w:multiLevelType w:val="hybridMultilevel"/>
    <w:tmpl w:val="CF9659EC"/>
    <w:lvl w:ilvl="0" w:tplc="06B2385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B23377"/>
    <w:multiLevelType w:val="multilevel"/>
    <w:tmpl w:val="40962F5E"/>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8"/>
  </w:num>
  <w:num w:numId="3">
    <w:abstractNumId w:val="2"/>
  </w:num>
  <w:num w:numId="4">
    <w:abstractNumId w:val="8"/>
  </w:num>
  <w:num w:numId="5">
    <w:abstractNumId w:val="17"/>
  </w:num>
  <w:num w:numId="6">
    <w:abstractNumId w:val="4"/>
  </w:num>
  <w:num w:numId="7">
    <w:abstractNumId w:val="9"/>
  </w:num>
  <w:num w:numId="8">
    <w:abstractNumId w:val="7"/>
  </w:num>
  <w:num w:numId="9">
    <w:abstractNumId w:val="13"/>
  </w:num>
  <w:num w:numId="10">
    <w:abstractNumId w:val="14"/>
  </w:num>
  <w:num w:numId="11">
    <w:abstractNumId w:val="10"/>
  </w:num>
  <w:num w:numId="12">
    <w:abstractNumId w:val="11"/>
  </w:num>
  <w:num w:numId="13">
    <w:abstractNumId w:val="1"/>
  </w:num>
  <w:num w:numId="14">
    <w:abstractNumId w:val="15"/>
  </w:num>
  <w:num w:numId="15">
    <w:abstractNumId w:val="5"/>
  </w:num>
  <w:num w:numId="16">
    <w:abstractNumId w:val="16"/>
  </w:num>
  <w:num w:numId="17">
    <w:abstractNumId w:val="3"/>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32C3"/>
    <w:rsid w:val="00003EA8"/>
    <w:rsid w:val="000041BF"/>
    <w:rsid w:val="000044C0"/>
    <w:rsid w:val="000101AA"/>
    <w:rsid w:val="00013D7C"/>
    <w:rsid w:val="0001708D"/>
    <w:rsid w:val="00020883"/>
    <w:rsid w:val="0002121A"/>
    <w:rsid w:val="00023427"/>
    <w:rsid w:val="000347AC"/>
    <w:rsid w:val="000358B5"/>
    <w:rsid w:val="00035D85"/>
    <w:rsid w:val="0003666D"/>
    <w:rsid w:val="00040C83"/>
    <w:rsid w:val="00042B05"/>
    <w:rsid w:val="00043625"/>
    <w:rsid w:val="0004391A"/>
    <w:rsid w:val="00045133"/>
    <w:rsid w:val="00046705"/>
    <w:rsid w:val="00047F90"/>
    <w:rsid w:val="00050413"/>
    <w:rsid w:val="00051D6A"/>
    <w:rsid w:val="00052270"/>
    <w:rsid w:val="0005379E"/>
    <w:rsid w:val="00053901"/>
    <w:rsid w:val="0005536F"/>
    <w:rsid w:val="00055C66"/>
    <w:rsid w:val="0005743E"/>
    <w:rsid w:val="0006177C"/>
    <w:rsid w:val="000625DB"/>
    <w:rsid w:val="00064B32"/>
    <w:rsid w:val="00066725"/>
    <w:rsid w:val="00070606"/>
    <w:rsid w:val="00070A3F"/>
    <w:rsid w:val="0007231D"/>
    <w:rsid w:val="00073282"/>
    <w:rsid w:val="000738AE"/>
    <w:rsid w:val="00074D82"/>
    <w:rsid w:val="00075D9B"/>
    <w:rsid w:val="00077F44"/>
    <w:rsid w:val="00082431"/>
    <w:rsid w:val="000844F2"/>
    <w:rsid w:val="0008499F"/>
    <w:rsid w:val="00084EE7"/>
    <w:rsid w:val="00090A8B"/>
    <w:rsid w:val="00090B93"/>
    <w:rsid w:val="000917C0"/>
    <w:rsid w:val="00093A35"/>
    <w:rsid w:val="00094D64"/>
    <w:rsid w:val="00095175"/>
    <w:rsid w:val="00095EB2"/>
    <w:rsid w:val="00096B6B"/>
    <w:rsid w:val="00096BEF"/>
    <w:rsid w:val="000971F9"/>
    <w:rsid w:val="000A1866"/>
    <w:rsid w:val="000A6291"/>
    <w:rsid w:val="000B034D"/>
    <w:rsid w:val="000B2FA6"/>
    <w:rsid w:val="000B6FA4"/>
    <w:rsid w:val="000B7419"/>
    <w:rsid w:val="000C0C30"/>
    <w:rsid w:val="000C46F4"/>
    <w:rsid w:val="000C481D"/>
    <w:rsid w:val="000C71CA"/>
    <w:rsid w:val="000D2C2D"/>
    <w:rsid w:val="000D4101"/>
    <w:rsid w:val="000D4FA8"/>
    <w:rsid w:val="000D5B57"/>
    <w:rsid w:val="000D60E8"/>
    <w:rsid w:val="000D63B7"/>
    <w:rsid w:val="000D7859"/>
    <w:rsid w:val="000E1F61"/>
    <w:rsid w:val="000E40E8"/>
    <w:rsid w:val="000E5E90"/>
    <w:rsid w:val="000E70D0"/>
    <w:rsid w:val="000E762C"/>
    <w:rsid w:val="000E7F0C"/>
    <w:rsid w:val="000F1831"/>
    <w:rsid w:val="000F1BC7"/>
    <w:rsid w:val="000F1C4C"/>
    <w:rsid w:val="000F277B"/>
    <w:rsid w:val="000F4DC3"/>
    <w:rsid w:val="000F7199"/>
    <w:rsid w:val="000F7A69"/>
    <w:rsid w:val="0010184F"/>
    <w:rsid w:val="001035EB"/>
    <w:rsid w:val="0010582C"/>
    <w:rsid w:val="0010585E"/>
    <w:rsid w:val="0010608F"/>
    <w:rsid w:val="001062E7"/>
    <w:rsid w:val="00106777"/>
    <w:rsid w:val="00106F9B"/>
    <w:rsid w:val="0011006A"/>
    <w:rsid w:val="00112666"/>
    <w:rsid w:val="001128CB"/>
    <w:rsid w:val="00112AC8"/>
    <w:rsid w:val="0011374F"/>
    <w:rsid w:val="00115973"/>
    <w:rsid w:val="00120143"/>
    <w:rsid w:val="0012283A"/>
    <w:rsid w:val="00123624"/>
    <w:rsid w:val="0012579D"/>
    <w:rsid w:val="001257AF"/>
    <w:rsid w:val="00127FF7"/>
    <w:rsid w:val="00132E4A"/>
    <w:rsid w:val="001345F8"/>
    <w:rsid w:val="00135752"/>
    <w:rsid w:val="00135D8A"/>
    <w:rsid w:val="0013781D"/>
    <w:rsid w:val="00140D82"/>
    <w:rsid w:val="00142022"/>
    <w:rsid w:val="00145B31"/>
    <w:rsid w:val="00145C86"/>
    <w:rsid w:val="001460DF"/>
    <w:rsid w:val="00146F97"/>
    <w:rsid w:val="001474E1"/>
    <w:rsid w:val="00150077"/>
    <w:rsid w:val="00151209"/>
    <w:rsid w:val="0015273D"/>
    <w:rsid w:val="001533A5"/>
    <w:rsid w:val="00153B4E"/>
    <w:rsid w:val="001553CA"/>
    <w:rsid w:val="00156285"/>
    <w:rsid w:val="0015753F"/>
    <w:rsid w:val="00160E3D"/>
    <w:rsid w:val="00161909"/>
    <w:rsid w:val="00161BBC"/>
    <w:rsid w:val="00162DAD"/>
    <w:rsid w:val="00162F2E"/>
    <w:rsid w:val="00166988"/>
    <w:rsid w:val="00167415"/>
    <w:rsid w:val="0016748A"/>
    <w:rsid w:val="00167C17"/>
    <w:rsid w:val="001711FF"/>
    <w:rsid w:val="00171727"/>
    <w:rsid w:val="00173EBE"/>
    <w:rsid w:val="00176B93"/>
    <w:rsid w:val="001773B8"/>
    <w:rsid w:val="00180218"/>
    <w:rsid w:val="00181826"/>
    <w:rsid w:val="00183C31"/>
    <w:rsid w:val="001841E8"/>
    <w:rsid w:val="00186952"/>
    <w:rsid w:val="001921A5"/>
    <w:rsid w:val="00193615"/>
    <w:rsid w:val="00194B52"/>
    <w:rsid w:val="001957CC"/>
    <w:rsid w:val="0019697A"/>
    <w:rsid w:val="00196996"/>
    <w:rsid w:val="001A2A46"/>
    <w:rsid w:val="001A3C5B"/>
    <w:rsid w:val="001A4DD8"/>
    <w:rsid w:val="001A7D78"/>
    <w:rsid w:val="001B0A54"/>
    <w:rsid w:val="001B27DF"/>
    <w:rsid w:val="001B46A0"/>
    <w:rsid w:val="001B5375"/>
    <w:rsid w:val="001C132D"/>
    <w:rsid w:val="001C288C"/>
    <w:rsid w:val="001C2DBE"/>
    <w:rsid w:val="001C5306"/>
    <w:rsid w:val="001C60BC"/>
    <w:rsid w:val="001C79A7"/>
    <w:rsid w:val="001C7E9D"/>
    <w:rsid w:val="001D1618"/>
    <w:rsid w:val="001D20BD"/>
    <w:rsid w:val="001D37A2"/>
    <w:rsid w:val="001D4F25"/>
    <w:rsid w:val="001D73D7"/>
    <w:rsid w:val="001D78B5"/>
    <w:rsid w:val="001E24DA"/>
    <w:rsid w:val="001E2551"/>
    <w:rsid w:val="001E4A05"/>
    <w:rsid w:val="001E79A9"/>
    <w:rsid w:val="001F1E10"/>
    <w:rsid w:val="001F1F0C"/>
    <w:rsid w:val="001F34C6"/>
    <w:rsid w:val="001F440B"/>
    <w:rsid w:val="001F6D43"/>
    <w:rsid w:val="001F7239"/>
    <w:rsid w:val="001F74C6"/>
    <w:rsid w:val="0020133A"/>
    <w:rsid w:val="0020507E"/>
    <w:rsid w:val="002051A5"/>
    <w:rsid w:val="00205367"/>
    <w:rsid w:val="002059EF"/>
    <w:rsid w:val="0020605B"/>
    <w:rsid w:val="00206783"/>
    <w:rsid w:val="00210E61"/>
    <w:rsid w:val="00211702"/>
    <w:rsid w:val="00213658"/>
    <w:rsid w:val="00213B8A"/>
    <w:rsid w:val="00215235"/>
    <w:rsid w:val="00216634"/>
    <w:rsid w:val="002233C8"/>
    <w:rsid w:val="00223C65"/>
    <w:rsid w:val="00224140"/>
    <w:rsid w:val="00224B58"/>
    <w:rsid w:val="002250A8"/>
    <w:rsid w:val="00225675"/>
    <w:rsid w:val="002257E1"/>
    <w:rsid w:val="0022589F"/>
    <w:rsid w:val="00231C4B"/>
    <w:rsid w:val="00231E15"/>
    <w:rsid w:val="00232FB9"/>
    <w:rsid w:val="00233B3A"/>
    <w:rsid w:val="00234EEB"/>
    <w:rsid w:val="002351CB"/>
    <w:rsid w:val="002405BF"/>
    <w:rsid w:val="00241129"/>
    <w:rsid w:val="0024119F"/>
    <w:rsid w:val="00242832"/>
    <w:rsid w:val="002428EC"/>
    <w:rsid w:val="00243F7C"/>
    <w:rsid w:val="002467AA"/>
    <w:rsid w:val="0024685A"/>
    <w:rsid w:val="0024749F"/>
    <w:rsid w:val="00251522"/>
    <w:rsid w:val="00252E18"/>
    <w:rsid w:val="00252F1C"/>
    <w:rsid w:val="00253A6F"/>
    <w:rsid w:val="00254845"/>
    <w:rsid w:val="00260E43"/>
    <w:rsid w:val="00261BCE"/>
    <w:rsid w:val="00262580"/>
    <w:rsid w:val="00263A09"/>
    <w:rsid w:val="00263CA5"/>
    <w:rsid w:val="00263D40"/>
    <w:rsid w:val="00263EDE"/>
    <w:rsid w:val="00264692"/>
    <w:rsid w:val="002652D1"/>
    <w:rsid w:val="00266314"/>
    <w:rsid w:val="002707A6"/>
    <w:rsid w:val="00273130"/>
    <w:rsid w:val="0027519F"/>
    <w:rsid w:val="002757EF"/>
    <w:rsid w:val="002829A8"/>
    <w:rsid w:val="00282FE8"/>
    <w:rsid w:val="002837FF"/>
    <w:rsid w:val="00287D07"/>
    <w:rsid w:val="00287E75"/>
    <w:rsid w:val="002915CB"/>
    <w:rsid w:val="00294321"/>
    <w:rsid w:val="00294547"/>
    <w:rsid w:val="002A4459"/>
    <w:rsid w:val="002A6B1B"/>
    <w:rsid w:val="002A6DE5"/>
    <w:rsid w:val="002A71B7"/>
    <w:rsid w:val="002B1272"/>
    <w:rsid w:val="002B32C5"/>
    <w:rsid w:val="002B3543"/>
    <w:rsid w:val="002B6BFC"/>
    <w:rsid w:val="002B74DB"/>
    <w:rsid w:val="002C32FC"/>
    <w:rsid w:val="002C3419"/>
    <w:rsid w:val="002C4B2F"/>
    <w:rsid w:val="002C5695"/>
    <w:rsid w:val="002D1F06"/>
    <w:rsid w:val="002D2369"/>
    <w:rsid w:val="002D2553"/>
    <w:rsid w:val="002D2F9A"/>
    <w:rsid w:val="002D347B"/>
    <w:rsid w:val="002D4497"/>
    <w:rsid w:val="002D4BD6"/>
    <w:rsid w:val="002D541A"/>
    <w:rsid w:val="002D6F13"/>
    <w:rsid w:val="002D7C61"/>
    <w:rsid w:val="002E244F"/>
    <w:rsid w:val="002E3401"/>
    <w:rsid w:val="002E351F"/>
    <w:rsid w:val="002E530B"/>
    <w:rsid w:val="002E6FCC"/>
    <w:rsid w:val="002F3352"/>
    <w:rsid w:val="002F5F2D"/>
    <w:rsid w:val="002F602D"/>
    <w:rsid w:val="002F6E50"/>
    <w:rsid w:val="002F73EA"/>
    <w:rsid w:val="00301227"/>
    <w:rsid w:val="0030147C"/>
    <w:rsid w:val="0030177C"/>
    <w:rsid w:val="00301A8F"/>
    <w:rsid w:val="00301CD5"/>
    <w:rsid w:val="0030377B"/>
    <w:rsid w:val="003041AD"/>
    <w:rsid w:val="00304F69"/>
    <w:rsid w:val="00306317"/>
    <w:rsid w:val="003101C7"/>
    <w:rsid w:val="00311F93"/>
    <w:rsid w:val="003143FC"/>
    <w:rsid w:val="00314985"/>
    <w:rsid w:val="00315996"/>
    <w:rsid w:val="00316736"/>
    <w:rsid w:val="003173BA"/>
    <w:rsid w:val="0031788E"/>
    <w:rsid w:val="003205EF"/>
    <w:rsid w:val="00322014"/>
    <w:rsid w:val="0032275E"/>
    <w:rsid w:val="00323A3D"/>
    <w:rsid w:val="00326EE3"/>
    <w:rsid w:val="00330843"/>
    <w:rsid w:val="00331C61"/>
    <w:rsid w:val="00332DE9"/>
    <w:rsid w:val="00333905"/>
    <w:rsid w:val="0033469B"/>
    <w:rsid w:val="00335C7F"/>
    <w:rsid w:val="003374CF"/>
    <w:rsid w:val="0034157F"/>
    <w:rsid w:val="00341BFE"/>
    <w:rsid w:val="00342954"/>
    <w:rsid w:val="003439F2"/>
    <w:rsid w:val="00344C86"/>
    <w:rsid w:val="003457E7"/>
    <w:rsid w:val="00347D15"/>
    <w:rsid w:val="00350C4A"/>
    <w:rsid w:val="0035162A"/>
    <w:rsid w:val="003516B5"/>
    <w:rsid w:val="00353273"/>
    <w:rsid w:val="00360BDE"/>
    <w:rsid w:val="00361260"/>
    <w:rsid w:val="00363D74"/>
    <w:rsid w:val="00363E5F"/>
    <w:rsid w:val="00365510"/>
    <w:rsid w:val="00367CCA"/>
    <w:rsid w:val="00371FF8"/>
    <w:rsid w:val="0037433E"/>
    <w:rsid w:val="00374765"/>
    <w:rsid w:val="0037516A"/>
    <w:rsid w:val="00380DC3"/>
    <w:rsid w:val="00380F9F"/>
    <w:rsid w:val="00381783"/>
    <w:rsid w:val="0038295A"/>
    <w:rsid w:val="003852C4"/>
    <w:rsid w:val="003873E6"/>
    <w:rsid w:val="00387B8B"/>
    <w:rsid w:val="00387C59"/>
    <w:rsid w:val="00390A71"/>
    <w:rsid w:val="003915C3"/>
    <w:rsid w:val="00393CB2"/>
    <w:rsid w:val="003949F6"/>
    <w:rsid w:val="00394A46"/>
    <w:rsid w:val="00395C10"/>
    <w:rsid w:val="00395F4E"/>
    <w:rsid w:val="00396634"/>
    <w:rsid w:val="0039750C"/>
    <w:rsid w:val="003A129C"/>
    <w:rsid w:val="003A2589"/>
    <w:rsid w:val="003A4E11"/>
    <w:rsid w:val="003B0266"/>
    <w:rsid w:val="003B116C"/>
    <w:rsid w:val="003B26E8"/>
    <w:rsid w:val="003B273D"/>
    <w:rsid w:val="003B3E6E"/>
    <w:rsid w:val="003B7D0E"/>
    <w:rsid w:val="003C076F"/>
    <w:rsid w:val="003C1AD8"/>
    <w:rsid w:val="003C1BF1"/>
    <w:rsid w:val="003C2AC9"/>
    <w:rsid w:val="003C3C1F"/>
    <w:rsid w:val="003C4101"/>
    <w:rsid w:val="003C5131"/>
    <w:rsid w:val="003C6975"/>
    <w:rsid w:val="003C7DC0"/>
    <w:rsid w:val="003D09D2"/>
    <w:rsid w:val="003D0BA2"/>
    <w:rsid w:val="003D3589"/>
    <w:rsid w:val="003D38A7"/>
    <w:rsid w:val="003D4407"/>
    <w:rsid w:val="003D5491"/>
    <w:rsid w:val="003D567E"/>
    <w:rsid w:val="003D5AEF"/>
    <w:rsid w:val="003D7706"/>
    <w:rsid w:val="003E67C5"/>
    <w:rsid w:val="003F0D74"/>
    <w:rsid w:val="003F1211"/>
    <w:rsid w:val="003F1C13"/>
    <w:rsid w:val="003F321C"/>
    <w:rsid w:val="003F3467"/>
    <w:rsid w:val="003F378A"/>
    <w:rsid w:val="003F712C"/>
    <w:rsid w:val="00400677"/>
    <w:rsid w:val="004029B6"/>
    <w:rsid w:val="004033F6"/>
    <w:rsid w:val="00405B63"/>
    <w:rsid w:val="00405CEA"/>
    <w:rsid w:val="00406E06"/>
    <w:rsid w:val="00412312"/>
    <w:rsid w:val="00414510"/>
    <w:rsid w:val="00420993"/>
    <w:rsid w:val="00422491"/>
    <w:rsid w:val="0042575A"/>
    <w:rsid w:val="00425A1C"/>
    <w:rsid w:val="00425C26"/>
    <w:rsid w:val="004336C6"/>
    <w:rsid w:val="00434132"/>
    <w:rsid w:val="004374C4"/>
    <w:rsid w:val="00442A95"/>
    <w:rsid w:val="0044510C"/>
    <w:rsid w:val="00447E6C"/>
    <w:rsid w:val="00450F55"/>
    <w:rsid w:val="004511BB"/>
    <w:rsid w:val="004523F5"/>
    <w:rsid w:val="004530BC"/>
    <w:rsid w:val="00453256"/>
    <w:rsid w:val="00453C85"/>
    <w:rsid w:val="004553F0"/>
    <w:rsid w:val="0045583D"/>
    <w:rsid w:val="004565F9"/>
    <w:rsid w:val="00456653"/>
    <w:rsid w:val="00457A67"/>
    <w:rsid w:val="00457A86"/>
    <w:rsid w:val="004602E8"/>
    <w:rsid w:val="004626FA"/>
    <w:rsid w:val="00462ACE"/>
    <w:rsid w:val="004639F2"/>
    <w:rsid w:val="00463D56"/>
    <w:rsid w:val="00463D6B"/>
    <w:rsid w:val="00464DB3"/>
    <w:rsid w:val="00466553"/>
    <w:rsid w:val="00466A2E"/>
    <w:rsid w:val="004672AC"/>
    <w:rsid w:val="00475B4C"/>
    <w:rsid w:val="004815E2"/>
    <w:rsid w:val="0048309B"/>
    <w:rsid w:val="004846B8"/>
    <w:rsid w:val="004909CA"/>
    <w:rsid w:val="0049128E"/>
    <w:rsid w:val="00491D6C"/>
    <w:rsid w:val="00494F6A"/>
    <w:rsid w:val="00496048"/>
    <w:rsid w:val="00496CBB"/>
    <w:rsid w:val="004A04A8"/>
    <w:rsid w:val="004A0AFD"/>
    <w:rsid w:val="004A1012"/>
    <w:rsid w:val="004A215F"/>
    <w:rsid w:val="004A236B"/>
    <w:rsid w:val="004A2E50"/>
    <w:rsid w:val="004A4689"/>
    <w:rsid w:val="004A4A3A"/>
    <w:rsid w:val="004A5549"/>
    <w:rsid w:val="004A7188"/>
    <w:rsid w:val="004B2C87"/>
    <w:rsid w:val="004B2DE9"/>
    <w:rsid w:val="004B3BD4"/>
    <w:rsid w:val="004B5142"/>
    <w:rsid w:val="004B63D2"/>
    <w:rsid w:val="004C07D9"/>
    <w:rsid w:val="004C0D9D"/>
    <w:rsid w:val="004C0E1F"/>
    <w:rsid w:val="004C3DBE"/>
    <w:rsid w:val="004C5F3F"/>
    <w:rsid w:val="004C678E"/>
    <w:rsid w:val="004D0558"/>
    <w:rsid w:val="004D1AD9"/>
    <w:rsid w:val="004D1D69"/>
    <w:rsid w:val="004D5EE8"/>
    <w:rsid w:val="004D5FB2"/>
    <w:rsid w:val="004D74EB"/>
    <w:rsid w:val="004D7DCA"/>
    <w:rsid w:val="004E1C36"/>
    <w:rsid w:val="004E2B17"/>
    <w:rsid w:val="004E3368"/>
    <w:rsid w:val="004E4C2F"/>
    <w:rsid w:val="004E58C8"/>
    <w:rsid w:val="004E6C94"/>
    <w:rsid w:val="004E7C61"/>
    <w:rsid w:val="004F01E3"/>
    <w:rsid w:val="004F2122"/>
    <w:rsid w:val="004F3950"/>
    <w:rsid w:val="004F3989"/>
    <w:rsid w:val="004F3EA8"/>
    <w:rsid w:val="004F5AEA"/>
    <w:rsid w:val="004F5F59"/>
    <w:rsid w:val="004F6CB2"/>
    <w:rsid w:val="004F7F64"/>
    <w:rsid w:val="00500C25"/>
    <w:rsid w:val="00500DF1"/>
    <w:rsid w:val="00510C28"/>
    <w:rsid w:val="00514057"/>
    <w:rsid w:val="0051533D"/>
    <w:rsid w:val="00515E71"/>
    <w:rsid w:val="00516336"/>
    <w:rsid w:val="00516929"/>
    <w:rsid w:val="00517F06"/>
    <w:rsid w:val="00520772"/>
    <w:rsid w:val="005225DC"/>
    <w:rsid w:val="0052284A"/>
    <w:rsid w:val="005239A4"/>
    <w:rsid w:val="00525AFC"/>
    <w:rsid w:val="00526113"/>
    <w:rsid w:val="00526516"/>
    <w:rsid w:val="00530065"/>
    <w:rsid w:val="005314C0"/>
    <w:rsid w:val="00531D17"/>
    <w:rsid w:val="005360D4"/>
    <w:rsid w:val="00537C44"/>
    <w:rsid w:val="00540513"/>
    <w:rsid w:val="005418B6"/>
    <w:rsid w:val="00541C0C"/>
    <w:rsid w:val="00542A9E"/>
    <w:rsid w:val="00544AC5"/>
    <w:rsid w:val="00545D72"/>
    <w:rsid w:val="00545F04"/>
    <w:rsid w:val="00547354"/>
    <w:rsid w:val="00550696"/>
    <w:rsid w:val="00552293"/>
    <w:rsid w:val="0055534F"/>
    <w:rsid w:val="0055585E"/>
    <w:rsid w:val="00555D59"/>
    <w:rsid w:val="0055629B"/>
    <w:rsid w:val="00560E37"/>
    <w:rsid w:val="00560F05"/>
    <w:rsid w:val="005622B0"/>
    <w:rsid w:val="00563169"/>
    <w:rsid w:val="005642E3"/>
    <w:rsid w:val="005646FB"/>
    <w:rsid w:val="005651FC"/>
    <w:rsid w:val="00565DF2"/>
    <w:rsid w:val="00566574"/>
    <w:rsid w:val="00571870"/>
    <w:rsid w:val="00572623"/>
    <w:rsid w:val="0057317D"/>
    <w:rsid w:val="0057656F"/>
    <w:rsid w:val="0057780E"/>
    <w:rsid w:val="00577B11"/>
    <w:rsid w:val="005816AB"/>
    <w:rsid w:val="0058767D"/>
    <w:rsid w:val="00590100"/>
    <w:rsid w:val="005917E9"/>
    <w:rsid w:val="00591DDB"/>
    <w:rsid w:val="00592AB5"/>
    <w:rsid w:val="00594878"/>
    <w:rsid w:val="00594AC4"/>
    <w:rsid w:val="00594F42"/>
    <w:rsid w:val="00595A62"/>
    <w:rsid w:val="00596209"/>
    <w:rsid w:val="005A009C"/>
    <w:rsid w:val="005A10CD"/>
    <w:rsid w:val="005A192E"/>
    <w:rsid w:val="005A2403"/>
    <w:rsid w:val="005A2A11"/>
    <w:rsid w:val="005A2CF8"/>
    <w:rsid w:val="005A4BBE"/>
    <w:rsid w:val="005A51FF"/>
    <w:rsid w:val="005A54E6"/>
    <w:rsid w:val="005A64A9"/>
    <w:rsid w:val="005B1844"/>
    <w:rsid w:val="005B2C97"/>
    <w:rsid w:val="005B723E"/>
    <w:rsid w:val="005C0A75"/>
    <w:rsid w:val="005C13DD"/>
    <w:rsid w:val="005C1456"/>
    <w:rsid w:val="005C27FE"/>
    <w:rsid w:val="005C3946"/>
    <w:rsid w:val="005C5DD7"/>
    <w:rsid w:val="005C68BE"/>
    <w:rsid w:val="005D10DA"/>
    <w:rsid w:val="005D17FD"/>
    <w:rsid w:val="005D1CBE"/>
    <w:rsid w:val="005D23BE"/>
    <w:rsid w:val="005D2D3A"/>
    <w:rsid w:val="005D325D"/>
    <w:rsid w:val="005D3DE0"/>
    <w:rsid w:val="005D42E3"/>
    <w:rsid w:val="005D477A"/>
    <w:rsid w:val="005D7813"/>
    <w:rsid w:val="005E0694"/>
    <w:rsid w:val="005E6E91"/>
    <w:rsid w:val="005E753B"/>
    <w:rsid w:val="005F0719"/>
    <w:rsid w:val="005F0752"/>
    <w:rsid w:val="005F0A0D"/>
    <w:rsid w:val="005F27CB"/>
    <w:rsid w:val="005F6403"/>
    <w:rsid w:val="00600BA5"/>
    <w:rsid w:val="00602A62"/>
    <w:rsid w:val="006032CE"/>
    <w:rsid w:val="00603480"/>
    <w:rsid w:val="00604DA1"/>
    <w:rsid w:val="00605513"/>
    <w:rsid w:val="0060600B"/>
    <w:rsid w:val="006077E8"/>
    <w:rsid w:val="00607A83"/>
    <w:rsid w:val="006108E8"/>
    <w:rsid w:val="00610E60"/>
    <w:rsid w:val="006126BE"/>
    <w:rsid w:val="00612A78"/>
    <w:rsid w:val="0061539D"/>
    <w:rsid w:val="006201EF"/>
    <w:rsid w:val="006212CB"/>
    <w:rsid w:val="0062293A"/>
    <w:rsid w:val="00622972"/>
    <w:rsid w:val="00622DA1"/>
    <w:rsid w:val="00623302"/>
    <w:rsid w:val="00624858"/>
    <w:rsid w:val="00625614"/>
    <w:rsid w:val="0062591B"/>
    <w:rsid w:val="0063206B"/>
    <w:rsid w:val="00633C43"/>
    <w:rsid w:val="006344F2"/>
    <w:rsid w:val="006408BD"/>
    <w:rsid w:val="00642CDD"/>
    <w:rsid w:val="00642D1F"/>
    <w:rsid w:val="00643C95"/>
    <w:rsid w:val="006443D6"/>
    <w:rsid w:val="006453B7"/>
    <w:rsid w:val="00646CD5"/>
    <w:rsid w:val="00654D89"/>
    <w:rsid w:val="00655E2C"/>
    <w:rsid w:val="00656ECD"/>
    <w:rsid w:val="00662341"/>
    <w:rsid w:val="006632CA"/>
    <w:rsid w:val="00664F72"/>
    <w:rsid w:val="00665583"/>
    <w:rsid w:val="0066704A"/>
    <w:rsid w:val="0066705F"/>
    <w:rsid w:val="0066746E"/>
    <w:rsid w:val="00670108"/>
    <w:rsid w:val="0067033B"/>
    <w:rsid w:val="00671368"/>
    <w:rsid w:val="00672D39"/>
    <w:rsid w:val="0068011C"/>
    <w:rsid w:val="006824F7"/>
    <w:rsid w:val="0069026F"/>
    <w:rsid w:val="00691035"/>
    <w:rsid w:val="006932CE"/>
    <w:rsid w:val="006960A8"/>
    <w:rsid w:val="00696672"/>
    <w:rsid w:val="006968EF"/>
    <w:rsid w:val="0069761C"/>
    <w:rsid w:val="006A0205"/>
    <w:rsid w:val="006A0490"/>
    <w:rsid w:val="006A1195"/>
    <w:rsid w:val="006A5C34"/>
    <w:rsid w:val="006A66C3"/>
    <w:rsid w:val="006A67B4"/>
    <w:rsid w:val="006A6D3A"/>
    <w:rsid w:val="006B0C89"/>
    <w:rsid w:val="006B294F"/>
    <w:rsid w:val="006B3644"/>
    <w:rsid w:val="006B46A2"/>
    <w:rsid w:val="006B686D"/>
    <w:rsid w:val="006B6EAB"/>
    <w:rsid w:val="006B6FFF"/>
    <w:rsid w:val="006B7340"/>
    <w:rsid w:val="006B7FA5"/>
    <w:rsid w:val="006C0EC2"/>
    <w:rsid w:val="006C288C"/>
    <w:rsid w:val="006C3042"/>
    <w:rsid w:val="006C37C9"/>
    <w:rsid w:val="006C40C5"/>
    <w:rsid w:val="006C4720"/>
    <w:rsid w:val="006C4A7A"/>
    <w:rsid w:val="006C5DA0"/>
    <w:rsid w:val="006C643D"/>
    <w:rsid w:val="006D0790"/>
    <w:rsid w:val="006D21B2"/>
    <w:rsid w:val="006D2C6F"/>
    <w:rsid w:val="006D2DB2"/>
    <w:rsid w:val="006D47CD"/>
    <w:rsid w:val="006D48F8"/>
    <w:rsid w:val="006D65D1"/>
    <w:rsid w:val="006D6B57"/>
    <w:rsid w:val="006D7D50"/>
    <w:rsid w:val="006E0334"/>
    <w:rsid w:val="006E2C1F"/>
    <w:rsid w:val="006E5A0C"/>
    <w:rsid w:val="006E6813"/>
    <w:rsid w:val="006F2079"/>
    <w:rsid w:val="006F2B9C"/>
    <w:rsid w:val="006F2C42"/>
    <w:rsid w:val="006F3CFC"/>
    <w:rsid w:val="006F55FB"/>
    <w:rsid w:val="006F755D"/>
    <w:rsid w:val="006F7864"/>
    <w:rsid w:val="00700EA8"/>
    <w:rsid w:val="007055D6"/>
    <w:rsid w:val="007057C8"/>
    <w:rsid w:val="00705833"/>
    <w:rsid w:val="00707D01"/>
    <w:rsid w:val="007102F8"/>
    <w:rsid w:val="00712A6D"/>
    <w:rsid w:val="00714E8B"/>
    <w:rsid w:val="007155FA"/>
    <w:rsid w:val="0071705A"/>
    <w:rsid w:val="0072117B"/>
    <w:rsid w:val="00721F17"/>
    <w:rsid w:val="00722544"/>
    <w:rsid w:val="0072339E"/>
    <w:rsid w:val="00723ACD"/>
    <w:rsid w:val="00724B2F"/>
    <w:rsid w:val="00725DF8"/>
    <w:rsid w:val="00726BA0"/>
    <w:rsid w:val="00731AD3"/>
    <w:rsid w:val="00733254"/>
    <w:rsid w:val="007429DB"/>
    <w:rsid w:val="007445AE"/>
    <w:rsid w:val="0074511A"/>
    <w:rsid w:val="00746753"/>
    <w:rsid w:val="00751DAA"/>
    <w:rsid w:val="00753EAC"/>
    <w:rsid w:val="00755310"/>
    <w:rsid w:val="007569C1"/>
    <w:rsid w:val="00756C64"/>
    <w:rsid w:val="0075720C"/>
    <w:rsid w:val="00757E21"/>
    <w:rsid w:val="007602C2"/>
    <w:rsid w:val="00760AFD"/>
    <w:rsid w:val="007636F4"/>
    <w:rsid w:val="00766342"/>
    <w:rsid w:val="00766EE7"/>
    <w:rsid w:val="007718ED"/>
    <w:rsid w:val="007743F9"/>
    <w:rsid w:val="0077659E"/>
    <w:rsid w:val="0077702A"/>
    <w:rsid w:val="00777C2C"/>
    <w:rsid w:val="00777CAB"/>
    <w:rsid w:val="00777D8A"/>
    <w:rsid w:val="00780102"/>
    <w:rsid w:val="0078027B"/>
    <w:rsid w:val="00780460"/>
    <w:rsid w:val="00780DB6"/>
    <w:rsid w:val="00782BBC"/>
    <w:rsid w:val="00783776"/>
    <w:rsid w:val="00786287"/>
    <w:rsid w:val="00790563"/>
    <w:rsid w:val="0079274B"/>
    <w:rsid w:val="00792B1B"/>
    <w:rsid w:val="00794F72"/>
    <w:rsid w:val="00797B00"/>
    <w:rsid w:val="007A008F"/>
    <w:rsid w:val="007A06DE"/>
    <w:rsid w:val="007A4F0D"/>
    <w:rsid w:val="007A5198"/>
    <w:rsid w:val="007A74D5"/>
    <w:rsid w:val="007B0192"/>
    <w:rsid w:val="007B2EB7"/>
    <w:rsid w:val="007B3177"/>
    <w:rsid w:val="007B3DAC"/>
    <w:rsid w:val="007B49D0"/>
    <w:rsid w:val="007B6288"/>
    <w:rsid w:val="007B65FB"/>
    <w:rsid w:val="007B6CE0"/>
    <w:rsid w:val="007B7335"/>
    <w:rsid w:val="007B7D0B"/>
    <w:rsid w:val="007C104D"/>
    <w:rsid w:val="007C137C"/>
    <w:rsid w:val="007C1F01"/>
    <w:rsid w:val="007C2F3B"/>
    <w:rsid w:val="007C497C"/>
    <w:rsid w:val="007C4D0F"/>
    <w:rsid w:val="007C59BA"/>
    <w:rsid w:val="007C7792"/>
    <w:rsid w:val="007C7BA2"/>
    <w:rsid w:val="007D17D3"/>
    <w:rsid w:val="007D279F"/>
    <w:rsid w:val="007D2865"/>
    <w:rsid w:val="007D2CF8"/>
    <w:rsid w:val="007D2EA4"/>
    <w:rsid w:val="007D34FD"/>
    <w:rsid w:val="007D6419"/>
    <w:rsid w:val="007E08EF"/>
    <w:rsid w:val="007E1EE0"/>
    <w:rsid w:val="007E58AD"/>
    <w:rsid w:val="007E6571"/>
    <w:rsid w:val="007E690F"/>
    <w:rsid w:val="007E6F81"/>
    <w:rsid w:val="007F04BA"/>
    <w:rsid w:val="007F126A"/>
    <w:rsid w:val="007F1C3D"/>
    <w:rsid w:val="007F266D"/>
    <w:rsid w:val="007F5799"/>
    <w:rsid w:val="007F5837"/>
    <w:rsid w:val="00802B4C"/>
    <w:rsid w:val="00802BEE"/>
    <w:rsid w:val="00804470"/>
    <w:rsid w:val="00804914"/>
    <w:rsid w:val="00812D47"/>
    <w:rsid w:val="00812E5C"/>
    <w:rsid w:val="00814B97"/>
    <w:rsid w:val="00815438"/>
    <w:rsid w:val="00815560"/>
    <w:rsid w:val="0081559F"/>
    <w:rsid w:val="008159E8"/>
    <w:rsid w:val="00816B7D"/>
    <w:rsid w:val="00817B99"/>
    <w:rsid w:val="00822092"/>
    <w:rsid w:val="008232E2"/>
    <w:rsid w:val="008254B9"/>
    <w:rsid w:val="008256CA"/>
    <w:rsid w:val="008257DB"/>
    <w:rsid w:val="0082688D"/>
    <w:rsid w:val="008270AE"/>
    <w:rsid w:val="008279BA"/>
    <w:rsid w:val="00830B69"/>
    <w:rsid w:val="00831AB3"/>
    <w:rsid w:val="00832C2D"/>
    <w:rsid w:val="00833216"/>
    <w:rsid w:val="008349CD"/>
    <w:rsid w:val="00834C2C"/>
    <w:rsid w:val="00836D8B"/>
    <w:rsid w:val="008370BF"/>
    <w:rsid w:val="0084185E"/>
    <w:rsid w:val="00842250"/>
    <w:rsid w:val="0084297A"/>
    <w:rsid w:val="00843A3D"/>
    <w:rsid w:val="00844D23"/>
    <w:rsid w:val="008453D6"/>
    <w:rsid w:val="00845680"/>
    <w:rsid w:val="008504BA"/>
    <w:rsid w:val="00850C5C"/>
    <w:rsid w:val="00850CFC"/>
    <w:rsid w:val="00852621"/>
    <w:rsid w:val="00852A42"/>
    <w:rsid w:val="00854536"/>
    <w:rsid w:val="00856059"/>
    <w:rsid w:val="008560A2"/>
    <w:rsid w:val="00864414"/>
    <w:rsid w:val="00865BF6"/>
    <w:rsid w:val="0086676F"/>
    <w:rsid w:val="00867848"/>
    <w:rsid w:val="0087087A"/>
    <w:rsid w:val="0087161B"/>
    <w:rsid w:val="008718A6"/>
    <w:rsid w:val="00871A07"/>
    <w:rsid w:val="00872187"/>
    <w:rsid w:val="00872237"/>
    <w:rsid w:val="00874DF6"/>
    <w:rsid w:val="00875E68"/>
    <w:rsid w:val="00876B67"/>
    <w:rsid w:val="00881368"/>
    <w:rsid w:val="008834B3"/>
    <w:rsid w:val="0088464B"/>
    <w:rsid w:val="00884B1C"/>
    <w:rsid w:val="00885006"/>
    <w:rsid w:val="008915D7"/>
    <w:rsid w:val="00891D0C"/>
    <w:rsid w:val="00892963"/>
    <w:rsid w:val="008945F3"/>
    <w:rsid w:val="008953B2"/>
    <w:rsid w:val="00895990"/>
    <w:rsid w:val="008A012F"/>
    <w:rsid w:val="008A1FBE"/>
    <w:rsid w:val="008A20B6"/>
    <w:rsid w:val="008A31C7"/>
    <w:rsid w:val="008A3E0C"/>
    <w:rsid w:val="008A482F"/>
    <w:rsid w:val="008A5244"/>
    <w:rsid w:val="008A6A71"/>
    <w:rsid w:val="008B14DE"/>
    <w:rsid w:val="008B16DB"/>
    <w:rsid w:val="008B4358"/>
    <w:rsid w:val="008C0C1D"/>
    <w:rsid w:val="008C2DBE"/>
    <w:rsid w:val="008C45CE"/>
    <w:rsid w:val="008C5A4D"/>
    <w:rsid w:val="008C6E8E"/>
    <w:rsid w:val="008C7DC2"/>
    <w:rsid w:val="008D06C3"/>
    <w:rsid w:val="008D3AAC"/>
    <w:rsid w:val="008D4BE6"/>
    <w:rsid w:val="008D5387"/>
    <w:rsid w:val="008D7C32"/>
    <w:rsid w:val="008D7F32"/>
    <w:rsid w:val="008E0298"/>
    <w:rsid w:val="008E0B6E"/>
    <w:rsid w:val="008E1021"/>
    <w:rsid w:val="008E2877"/>
    <w:rsid w:val="008F0A8D"/>
    <w:rsid w:val="008F3D86"/>
    <w:rsid w:val="008F61AB"/>
    <w:rsid w:val="008F6977"/>
    <w:rsid w:val="008F705A"/>
    <w:rsid w:val="008F7239"/>
    <w:rsid w:val="00901B9D"/>
    <w:rsid w:val="00902BE3"/>
    <w:rsid w:val="009038FA"/>
    <w:rsid w:val="00904418"/>
    <w:rsid w:val="00904AD6"/>
    <w:rsid w:val="00906212"/>
    <w:rsid w:val="0090684E"/>
    <w:rsid w:val="00907EDA"/>
    <w:rsid w:val="00910781"/>
    <w:rsid w:val="00911DB3"/>
    <w:rsid w:val="009139D1"/>
    <w:rsid w:val="00914CF2"/>
    <w:rsid w:val="00916E60"/>
    <w:rsid w:val="00920266"/>
    <w:rsid w:val="00920459"/>
    <w:rsid w:val="00927973"/>
    <w:rsid w:val="00927F53"/>
    <w:rsid w:val="00930787"/>
    <w:rsid w:val="0093201F"/>
    <w:rsid w:val="00932F32"/>
    <w:rsid w:val="00933717"/>
    <w:rsid w:val="009355F5"/>
    <w:rsid w:val="00936BDE"/>
    <w:rsid w:val="00937194"/>
    <w:rsid w:val="0094066B"/>
    <w:rsid w:val="00942B3B"/>
    <w:rsid w:val="00943460"/>
    <w:rsid w:val="00946EF7"/>
    <w:rsid w:val="0094731C"/>
    <w:rsid w:val="00947F3D"/>
    <w:rsid w:val="009507AC"/>
    <w:rsid w:val="0095108F"/>
    <w:rsid w:val="0095187C"/>
    <w:rsid w:val="00955A61"/>
    <w:rsid w:val="00956AAF"/>
    <w:rsid w:val="00957C5E"/>
    <w:rsid w:val="009624D1"/>
    <w:rsid w:val="00962B2B"/>
    <w:rsid w:val="00963BA4"/>
    <w:rsid w:val="0096459E"/>
    <w:rsid w:val="00964C47"/>
    <w:rsid w:val="009651B3"/>
    <w:rsid w:val="009651F8"/>
    <w:rsid w:val="00965F19"/>
    <w:rsid w:val="00970163"/>
    <w:rsid w:val="00975FAB"/>
    <w:rsid w:val="009803F3"/>
    <w:rsid w:val="009813F7"/>
    <w:rsid w:val="0098175B"/>
    <w:rsid w:val="009832A7"/>
    <w:rsid w:val="00984EEE"/>
    <w:rsid w:val="0098542C"/>
    <w:rsid w:val="00985E14"/>
    <w:rsid w:val="00991F97"/>
    <w:rsid w:val="0099208C"/>
    <w:rsid w:val="0099532E"/>
    <w:rsid w:val="009A0F7A"/>
    <w:rsid w:val="009A2313"/>
    <w:rsid w:val="009A25D5"/>
    <w:rsid w:val="009A4166"/>
    <w:rsid w:val="009A4666"/>
    <w:rsid w:val="009A4F20"/>
    <w:rsid w:val="009A78C1"/>
    <w:rsid w:val="009B0C2B"/>
    <w:rsid w:val="009B220F"/>
    <w:rsid w:val="009B33C8"/>
    <w:rsid w:val="009B4A66"/>
    <w:rsid w:val="009B4C40"/>
    <w:rsid w:val="009B7473"/>
    <w:rsid w:val="009B779D"/>
    <w:rsid w:val="009B7FE6"/>
    <w:rsid w:val="009C0581"/>
    <w:rsid w:val="009C1FC0"/>
    <w:rsid w:val="009C2F5A"/>
    <w:rsid w:val="009C3002"/>
    <w:rsid w:val="009C335E"/>
    <w:rsid w:val="009C3C22"/>
    <w:rsid w:val="009C44E3"/>
    <w:rsid w:val="009C4E63"/>
    <w:rsid w:val="009C52F0"/>
    <w:rsid w:val="009C79E4"/>
    <w:rsid w:val="009D1DA7"/>
    <w:rsid w:val="009D207C"/>
    <w:rsid w:val="009D385A"/>
    <w:rsid w:val="009D5807"/>
    <w:rsid w:val="009D77C8"/>
    <w:rsid w:val="009E0D83"/>
    <w:rsid w:val="009E17C7"/>
    <w:rsid w:val="009E1A6D"/>
    <w:rsid w:val="009E2B84"/>
    <w:rsid w:val="009E2C8E"/>
    <w:rsid w:val="009E2DBA"/>
    <w:rsid w:val="009F05F1"/>
    <w:rsid w:val="009F0610"/>
    <w:rsid w:val="009F0ACC"/>
    <w:rsid w:val="009F3783"/>
    <w:rsid w:val="009F4F41"/>
    <w:rsid w:val="009F6B86"/>
    <w:rsid w:val="009F7690"/>
    <w:rsid w:val="00A00117"/>
    <w:rsid w:val="00A0017C"/>
    <w:rsid w:val="00A0082E"/>
    <w:rsid w:val="00A03734"/>
    <w:rsid w:val="00A0479B"/>
    <w:rsid w:val="00A04DB9"/>
    <w:rsid w:val="00A04DD1"/>
    <w:rsid w:val="00A06A19"/>
    <w:rsid w:val="00A07486"/>
    <w:rsid w:val="00A07CD1"/>
    <w:rsid w:val="00A10A3D"/>
    <w:rsid w:val="00A10BFE"/>
    <w:rsid w:val="00A12575"/>
    <w:rsid w:val="00A13D9F"/>
    <w:rsid w:val="00A142BD"/>
    <w:rsid w:val="00A16A6E"/>
    <w:rsid w:val="00A21171"/>
    <w:rsid w:val="00A23F17"/>
    <w:rsid w:val="00A25257"/>
    <w:rsid w:val="00A264D5"/>
    <w:rsid w:val="00A316B7"/>
    <w:rsid w:val="00A326A1"/>
    <w:rsid w:val="00A33337"/>
    <w:rsid w:val="00A34548"/>
    <w:rsid w:val="00A349F7"/>
    <w:rsid w:val="00A34C21"/>
    <w:rsid w:val="00A363D2"/>
    <w:rsid w:val="00A4139D"/>
    <w:rsid w:val="00A419BC"/>
    <w:rsid w:val="00A4201A"/>
    <w:rsid w:val="00A42307"/>
    <w:rsid w:val="00A42347"/>
    <w:rsid w:val="00A4268C"/>
    <w:rsid w:val="00A42BF9"/>
    <w:rsid w:val="00A43CEC"/>
    <w:rsid w:val="00A45C55"/>
    <w:rsid w:val="00A5064D"/>
    <w:rsid w:val="00A5193C"/>
    <w:rsid w:val="00A5195F"/>
    <w:rsid w:val="00A52395"/>
    <w:rsid w:val="00A5284C"/>
    <w:rsid w:val="00A52F9E"/>
    <w:rsid w:val="00A54D63"/>
    <w:rsid w:val="00A60B10"/>
    <w:rsid w:val="00A60DB0"/>
    <w:rsid w:val="00A62716"/>
    <w:rsid w:val="00A63863"/>
    <w:rsid w:val="00A6516B"/>
    <w:rsid w:val="00A66464"/>
    <w:rsid w:val="00A665FD"/>
    <w:rsid w:val="00A66B3E"/>
    <w:rsid w:val="00A66BA1"/>
    <w:rsid w:val="00A66BB6"/>
    <w:rsid w:val="00A66DC1"/>
    <w:rsid w:val="00A66F4D"/>
    <w:rsid w:val="00A6780D"/>
    <w:rsid w:val="00A70201"/>
    <w:rsid w:val="00A70F72"/>
    <w:rsid w:val="00A713C6"/>
    <w:rsid w:val="00A73193"/>
    <w:rsid w:val="00A74AFA"/>
    <w:rsid w:val="00A757A3"/>
    <w:rsid w:val="00A76063"/>
    <w:rsid w:val="00A76C17"/>
    <w:rsid w:val="00A77F2A"/>
    <w:rsid w:val="00A77F2C"/>
    <w:rsid w:val="00A80FFC"/>
    <w:rsid w:val="00A8160C"/>
    <w:rsid w:val="00A820D2"/>
    <w:rsid w:val="00A830E1"/>
    <w:rsid w:val="00A86819"/>
    <w:rsid w:val="00A87ABC"/>
    <w:rsid w:val="00A91A70"/>
    <w:rsid w:val="00A91DD6"/>
    <w:rsid w:val="00A920EA"/>
    <w:rsid w:val="00A93E4B"/>
    <w:rsid w:val="00A95536"/>
    <w:rsid w:val="00A95613"/>
    <w:rsid w:val="00A96CC2"/>
    <w:rsid w:val="00A970CD"/>
    <w:rsid w:val="00A97635"/>
    <w:rsid w:val="00A97896"/>
    <w:rsid w:val="00AA21C1"/>
    <w:rsid w:val="00AA2DCD"/>
    <w:rsid w:val="00AA4CAE"/>
    <w:rsid w:val="00AA54DB"/>
    <w:rsid w:val="00AA556D"/>
    <w:rsid w:val="00AA7A3F"/>
    <w:rsid w:val="00AB0723"/>
    <w:rsid w:val="00AB1747"/>
    <w:rsid w:val="00AB2806"/>
    <w:rsid w:val="00AB28CD"/>
    <w:rsid w:val="00AB2E81"/>
    <w:rsid w:val="00AB34FA"/>
    <w:rsid w:val="00AB3FB7"/>
    <w:rsid w:val="00AB4CF5"/>
    <w:rsid w:val="00AB6551"/>
    <w:rsid w:val="00AB6877"/>
    <w:rsid w:val="00AB6AA7"/>
    <w:rsid w:val="00AB7897"/>
    <w:rsid w:val="00AB7AD5"/>
    <w:rsid w:val="00AC0DAC"/>
    <w:rsid w:val="00AC13FB"/>
    <w:rsid w:val="00AC14BB"/>
    <w:rsid w:val="00AC332D"/>
    <w:rsid w:val="00AC3531"/>
    <w:rsid w:val="00AC4149"/>
    <w:rsid w:val="00AC589F"/>
    <w:rsid w:val="00AC5964"/>
    <w:rsid w:val="00AC5E5C"/>
    <w:rsid w:val="00AC7C94"/>
    <w:rsid w:val="00AD2E99"/>
    <w:rsid w:val="00AD31D4"/>
    <w:rsid w:val="00AD3639"/>
    <w:rsid w:val="00AD43DA"/>
    <w:rsid w:val="00AD4C82"/>
    <w:rsid w:val="00AD552E"/>
    <w:rsid w:val="00AD593E"/>
    <w:rsid w:val="00AD5D3D"/>
    <w:rsid w:val="00AD5E24"/>
    <w:rsid w:val="00AD7414"/>
    <w:rsid w:val="00AD742F"/>
    <w:rsid w:val="00AE28D3"/>
    <w:rsid w:val="00AE38BC"/>
    <w:rsid w:val="00AE3FE2"/>
    <w:rsid w:val="00AE5209"/>
    <w:rsid w:val="00AE5F80"/>
    <w:rsid w:val="00AE6CC0"/>
    <w:rsid w:val="00AE7A53"/>
    <w:rsid w:val="00AF429E"/>
    <w:rsid w:val="00AF4CFD"/>
    <w:rsid w:val="00AF5296"/>
    <w:rsid w:val="00AF5A88"/>
    <w:rsid w:val="00B03D21"/>
    <w:rsid w:val="00B04F7B"/>
    <w:rsid w:val="00B05773"/>
    <w:rsid w:val="00B05786"/>
    <w:rsid w:val="00B0678A"/>
    <w:rsid w:val="00B06F5B"/>
    <w:rsid w:val="00B113B7"/>
    <w:rsid w:val="00B12651"/>
    <w:rsid w:val="00B12BD0"/>
    <w:rsid w:val="00B1347B"/>
    <w:rsid w:val="00B139F8"/>
    <w:rsid w:val="00B15476"/>
    <w:rsid w:val="00B158A9"/>
    <w:rsid w:val="00B16F8F"/>
    <w:rsid w:val="00B17537"/>
    <w:rsid w:val="00B17EFE"/>
    <w:rsid w:val="00B20059"/>
    <w:rsid w:val="00B20847"/>
    <w:rsid w:val="00B20E9E"/>
    <w:rsid w:val="00B21686"/>
    <w:rsid w:val="00B22483"/>
    <w:rsid w:val="00B2343B"/>
    <w:rsid w:val="00B238A0"/>
    <w:rsid w:val="00B2460F"/>
    <w:rsid w:val="00B25C24"/>
    <w:rsid w:val="00B27614"/>
    <w:rsid w:val="00B27683"/>
    <w:rsid w:val="00B3159F"/>
    <w:rsid w:val="00B32027"/>
    <w:rsid w:val="00B32172"/>
    <w:rsid w:val="00B327DD"/>
    <w:rsid w:val="00B3300B"/>
    <w:rsid w:val="00B3417F"/>
    <w:rsid w:val="00B3490D"/>
    <w:rsid w:val="00B35004"/>
    <w:rsid w:val="00B3551A"/>
    <w:rsid w:val="00B36858"/>
    <w:rsid w:val="00B40334"/>
    <w:rsid w:val="00B404EA"/>
    <w:rsid w:val="00B40AEF"/>
    <w:rsid w:val="00B46E44"/>
    <w:rsid w:val="00B4729F"/>
    <w:rsid w:val="00B47FB9"/>
    <w:rsid w:val="00B50591"/>
    <w:rsid w:val="00B511BB"/>
    <w:rsid w:val="00B519C6"/>
    <w:rsid w:val="00B526C5"/>
    <w:rsid w:val="00B5278A"/>
    <w:rsid w:val="00B53A71"/>
    <w:rsid w:val="00B56E58"/>
    <w:rsid w:val="00B601A0"/>
    <w:rsid w:val="00B60305"/>
    <w:rsid w:val="00B60A2C"/>
    <w:rsid w:val="00B615FC"/>
    <w:rsid w:val="00B63587"/>
    <w:rsid w:val="00B67104"/>
    <w:rsid w:val="00B707DF"/>
    <w:rsid w:val="00B713D7"/>
    <w:rsid w:val="00B718A7"/>
    <w:rsid w:val="00B72090"/>
    <w:rsid w:val="00B7221F"/>
    <w:rsid w:val="00B72B38"/>
    <w:rsid w:val="00B73F35"/>
    <w:rsid w:val="00B74D9B"/>
    <w:rsid w:val="00B80517"/>
    <w:rsid w:val="00B83717"/>
    <w:rsid w:val="00B850C8"/>
    <w:rsid w:val="00B86164"/>
    <w:rsid w:val="00B87863"/>
    <w:rsid w:val="00B90CD8"/>
    <w:rsid w:val="00B90E96"/>
    <w:rsid w:val="00B91E05"/>
    <w:rsid w:val="00B92EAB"/>
    <w:rsid w:val="00B92FDF"/>
    <w:rsid w:val="00B9377A"/>
    <w:rsid w:val="00B947C6"/>
    <w:rsid w:val="00B9517B"/>
    <w:rsid w:val="00B9571C"/>
    <w:rsid w:val="00B95A2F"/>
    <w:rsid w:val="00B9689D"/>
    <w:rsid w:val="00B96D34"/>
    <w:rsid w:val="00BA18B7"/>
    <w:rsid w:val="00BA2183"/>
    <w:rsid w:val="00BA6572"/>
    <w:rsid w:val="00BA6E95"/>
    <w:rsid w:val="00BB7B7B"/>
    <w:rsid w:val="00BC0CF1"/>
    <w:rsid w:val="00BC268E"/>
    <w:rsid w:val="00BC4F4E"/>
    <w:rsid w:val="00BC5351"/>
    <w:rsid w:val="00BC5E7D"/>
    <w:rsid w:val="00BC741E"/>
    <w:rsid w:val="00BD50DD"/>
    <w:rsid w:val="00BD5DE4"/>
    <w:rsid w:val="00BD6639"/>
    <w:rsid w:val="00BD7479"/>
    <w:rsid w:val="00BD7A8F"/>
    <w:rsid w:val="00BD7CC8"/>
    <w:rsid w:val="00BD7D7B"/>
    <w:rsid w:val="00BE0FDC"/>
    <w:rsid w:val="00BE2946"/>
    <w:rsid w:val="00BE2E9E"/>
    <w:rsid w:val="00BE5849"/>
    <w:rsid w:val="00BE5A83"/>
    <w:rsid w:val="00BF1BCB"/>
    <w:rsid w:val="00BF3FD3"/>
    <w:rsid w:val="00BF4B89"/>
    <w:rsid w:val="00C02BE3"/>
    <w:rsid w:val="00C02C89"/>
    <w:rsid w:val="00C030FA"/>
    <w:rsid w:val="00C054D3"/>
    <w:rsid w:val="00C064FE"/>
    <w:rsid w:val="00C068DF"/>
    <w:rsid w:val="00C073A4"/>
    <w:rsid w:val="00C10883"/>
    <w:rsid w:val="00C11A5D"/>
    <w:rsid w:val="00C12176"/>
    <w:rsid w:val="00C1349A"/>
    <w:rsid w:val="00C14EF6"/>
    <w:rsid w:val="00C15640"/>
    <w:rsid w:val="00C1697A"/>
    <w:rsid w:val="00C17505"/>
    <w:rsid w:val="00C17CB4"/>
    <w:rsid w:val="00C230E0"/>
    <w:rsid w:val="00C25688"/>
    <w:rsid w:val="00C26BB2"/>
    <w:rsid w:val="00C2725D"/>
    <w:rsid w:val="00C27FA0"/>
    <w:rsid w:val="00C3009F"/>
    <w:rsid w:val="00C318C6"/>
    <w:rsid w:val="00C3237E"/>
    <w:rsid w:val="00C34432"/>
    <w:rsid w:val="00C3467C"/>
    <w:rsid w:val="00C34B66"/>
    <w:rsid w:val="00C34E50"/>
    <w:rsid w:val="00C3576B"/>
    <w:rsid w:val="00C375C2"/>
    <w:rsid w:val="00C37AD1"/>
    <w:rsid w:val="00C37BFB"/>
    <w:rsid w:val="00C43BD9"/>
    <w:rsid w:val="00C4553D"/>
    <w:rsid w:val="00C45FEA"/>
    <w:rsid w:val="00C4645F"/>
    <w:rsid w:val="00C47ACA"/>
    <w:rsid w:val="00C47D6A"/>
    <w:rsid w:val="00C5012C"/>
    <w:rsid w:val="00C51B0C"/>
    <w:rsid w:val="00C52438"/>
    <w:rsid w:val="00C55101"/>
    <w:rsid w:val="00C6250E"/>
    <w:rsid w:val="00C625F4"/>
    <w:rsid w:val="00C6567B"/>
    <w:rsid w:val="00C65C7C"/>
    <w:rsid w:val="00C66AB7"/>
    <w:rsid w:val="00C70938"/>
    <w:rsid w:val="00C71073"/>
    <w:rsid w:val="00C71657"/>
    <w:rsid w:val="00C7300E"/>
    <w:rsid w:val="00C736EF"/>
    <w:rsid w:val="00C741AF"/>
    <w:rsid w:val="00C74DEA"/>
    <w:rsid w:val="00C74F69"/>
    <w:rsid w:val="00C75E03"/>
    <w:rsid w:val="00C7622A"/>
    <w:rsid w:val="00C764EE"/>
    <w:rsid w:val="00C76E49"/>
    <w:rsid w:val="00C7787D"/>
    <w:rsid w:val="00C77996"/>
    <w:rsid w:val="00C80E28"/>
    <w:rsid w:val="00C82BC9"/>
    <w:rsid w:val="00C83684"/>
    <w:rsid w:val="00C8540E"/>
    <w:rsid w:val="00C87345"/>
    <w:rsid w:val="00C9030D"/>
    <w:rsid w:val="00C922CC"/>
    <w:rsid w:val="00C94D5E"/>
    <w:rsid w:val="00C96B08"/>
    <w:rsid w:val="00CA154E"/>
    <w:rsid w:val="00CA3569"/>
    <w:rsid w:val="00CA3BE9"/>
    <w:rsid w:val="00CA3FE6"/>
    <w:rsid w:val="00CA537A"/>
    <w:rsid w:val="00CB0E4E"/>
    <w:rsid w:val="00CB1694"/>
    <w:rsid w:val="00CB2169"/>
    <w:rsid w:val="00CB2C4D"/>
    <w:rsid w:val="00CB3CD3"/>
    <w:rsid w:val="00CB3D13"/>
    <w:rsid w:val="00CB4C4B"/>
    <w:rsid w:val="00CB644A"/>
    <w:rsid w:val="00CB7D8A"/>
    <w:rsid w:val="00CC0D7E"/>
    <w:rsid w:val="00CC33FF"/>
    <w:rsid w:val="00CC4AC8"/>
    <w:rsid w:val="00CC54E8"/>
    <w:rsid w:val="00CD0C38"/>
    <w:rsid w:val="00CD406C"/>
    <w:rsid w:val="00CD7B16"/>
    <w:rsid w:val="00CE1E57"/>
    <w:rsid w:val="00CE2022"/>
    <w:rsid w:val="00CE2C63"/>
    <w:rsid w:val="00CE3039"/>
    <w:rsid w:val="00CE511E"/>
    <w:rsid w:val="00CE67E5"/>
    <w:rsid w:val="00CF0261"/>
    <w:rsid w:val="00CF1015"/>
    <w:rsid w:val="00CF10BA"/>
    <w:rsid w:val="00CF1FFB"/>
    <w:rsid w:val="00CF2D42"/>
    <w:rsid w:val="00CF387E"/>
    <w:rsid w:val="00CF3D15"/>
    <w:rsid w:val="00CF5323"/>
    <w:rsid w:val="00CF5CDB"/>
    <w:rsid w:val="00CF6959"/>
    <w:rsid w:val="00D0124A"/>
    <w:rsid w:val="00D03711"/>
    <w:rsid w:val="00D038AF"/>
    <w:rsid w:val="00D044E1"/>
    <w:rsid w:val="00D04DD9"/>
    <w:rsid w:val="00D06DF1"/>
    <w:rsid w:val="00D07071"/>
    <w:rsid w:val="00D07E11"/>
    <w:rsid w:val="00D07E87"/>
    <w:rsid w:val="00D07F1D"/>
    <w:rsid w:val="00D10254"/>
    <w:rsid w:val="00D103A6"/>
    <w:rsid w:val="00D10FB9"/>
    <w:rsid w:val="00D11006"/>
    <w:rsid w:val="00D11C59"/>
    <w:rsid w:val="00D11DD3"/>
    <w:rsid w:val="00D12EF8"/>
    <w:rsid w:val="00D13CB7"/>
    <w:rsid w:val="00D14811"/>
    <w:rsid w:val="00D16532"/>
    <w:rsid w:val="00D1679B"/>
    <w:rsid w:val="00D168F0"/>
    <w:rsid w:val="00D17C66"/>
    <w:rsid w:val="00D207F6"/>
    <w:rsid w:val="00D22456"/>
    <w:rsid w:val="00D23778"/>
    <w:rsid w:val="00D23D52"/>
    <w:rsid w:val="00D26046"/>
    <w:rsid w:val="00D260BC"/>
    <w:rsid w:val="00D2692A"/>
    <w:rsid w:val="00D276DF"/>
    <w:rsid w:val="00D2770F"/>
    <w:rsid w:val="00D31103"/>
    <w:rsid w:val="00D31DB4"/>
    <w:rsid w:val="00D31E85"/>
    <w:rsid w:val="00D32277"/>
    <w:rsid w:val="00D334EB"/>
    <w:rsid w:val="00D33BE6"/>
    <w:rsid w:val="00D3583E"/>
    <w:rsid w:val="00D37801"/>
    <w:rsid w:val="00D37868"/>
    <w:rsid w:val="00D404AE"/>
    <w:rsid w:val="00D4177B"/>
    <w:rsid w:val="00D451AE"/>
    <w:rsid w:val="00D45A3A"/>
    <w:rsid w:val="00D45D5C"/>
    <w:rsid w:val="00D4736E"/>
    <w:rsid w:val="00D504CD"/>
    <w:rsid w:val="00D5056B"/>
    <w:rsid w:val="00D506D5"/>
    <w:rsid w:val="00D52E33"/>
    <w:rsid w:val="00D52E50"/>
    <w:rsid w:val="00D560E0"/>
    <w:rsid w:val="00D609E5"/>
    <w:rsid w:val="00D641D2"/>
    <w:rsid w:val="00D64C08"/>
    <w:rsid w:val="00D65204"/>
    <w:rsid w:val="00D67970"/>
    <w:rsid w:val="00D71024"/>
    <w:rsid w:val="00D77478"/>
    <w:rsid w:val="00D83BFC"/>
    <w:rsid w:val="00D8403B"/>
    <w:rsid w:val="00D85189"/>
    <w:rsid w:val="00D86F1E"/>
    <w:rsid w:val="00D90400"/>
    <w:rsid w:val="00D90A95"/>
    <w:rsid w:val="00D91B0D"/>
    <w:rsid w:val="00D9464D"/>
    <w:rsid w:val="00D94C00"/>
    <w:rsid w:val="00D94D14"/>
    <w:rsid w:val="00D95536"/>
    <w:rsid w:val="00D9780D"/>
    <w:rsid w:val="00DA0C5F"/>
    <w:rsid w:val="00DA0DEF"/>
    <w:rsid w:val="00DA2975"/>
    <w:rsid w:val="00DA2C3E"/>
    <w:rsid w:val="00DA36C9"/>
    <w:rsid w:val="00DA4407"/>
    <w:rsid w:val="00DA6160"/>
    <w:rsid w:val="00DB157E"/>
    <w:rsid w:val="00DB2B81"/>
    <w:rsid w:val="00DB2F35"/>
    <w:rsid w:val="00DB3799"/>
    <w:rsid w:val="00DB7172"/>
    <w:rsid w:val="00DB7B9E"/>
    <w:rsid w:val="00DC2303"/>
    <w:rsid w:val="00DC3800"/>
    <w:rsid w:val="00DC485C"/>
    <w:rsid w:val="00DC5283"/>
    <w:rsid w:val="00DC5A28"/>
    <w:rsid w:val="00DC7252"/>
    <w:rsid w:val="00DD15FF"/>
    <w:rsid w:val="00DD1A4E"/>
    <w:rsid w:val="00DD21A8"/>
    <w:rsid w:val="00DD3055"/>
    <w:rsid w:val="00DD35AD"/>
    <w:rsid w:val="00DD4753"/>
    <w:rsid w:val="00DD4D33"/>
    <w:rsid w:val="00DD5737"/>
    <w:rsid w:val="00DE049D"/>
    <w:rsid w:val="00DE1431"/>
    <w:rsid w:val="00DE531D"/>
    <w:rsid w:val="00DE5B40"/>
    <w:rsid w:val="00DE717C"/>
    <w:rsid w:val="00DF0CF6"/>
    <w:rsid w:val="00DF4115"/>
    <w:rsid w:val="00DF45FE"/>
    <w:rsid w:val="00DF7C6B"/>
    <w:rsid w:val="00E001B5"/>
    <w:rsid w:val="00E00675"/>
    <w:rsid w:val="00E0180A"/>
    <w:rsid w:val="00E01C58"/>
    <w:rsid w:val="00E025D5"/>
    <w:rsid w:val="00E05270"/>
    <w:rsid w:val="00E05652"/>
    <w:rsid w:val="00E06B4F"/>
    <w:rsid w:val="00E075E7"/>
    <w:rsid w:val="00E079E4"/>
    <w:rsid w:val="00E107D2"/>
    <w:rsid w:val="00E14514"/>
    <w:rsid w:val="00E1458E"/>
    <w:rsid w:val="00E15074"/>
    <w:rsid w:val="00E172CA"/>
    <w:rsid w:val="00E17B34"/>
    <w:rsid w:val="00E21599"/>
    <w:rsid w:val="00E248CF"/>
    <w:rsid w:val="00E266D9"/>
    <w:rsid w:val="00E3014A"/>
    <w:rsid w:val="00E32A71"/>
    <w:rsid w:val="00E351E1"/>
    <w:rsid w:val="00E36108"/>
    <w:rsid w:val="00E36D99"/>
    <w:rsid w:val="00E37333"/>
    <w:rsid w:val="00E404FD"/>
    <w:rsid w:val="00E414F3"/>
    <w:rsid w:val="00E41DA7"/>
    <w:rsid w:val="00E4217B"/>
    <w:rsid w:val="00E44A30"/>
    <w:rsid w:val="00E4684F"/>
    <w:rsid w:val="00E510C1"/>
    <w:rsid w:val="00E5112C"/>
    <w:rsid w:val="00E51845"/>
    <w:rsid w:val="00E51A10"/>
    <w:rsid w:val="00E538D9"/>
    <w:rsid w:val="00E54574"/>
    <w:rsid w:val="00E55098"/>
    <w:rsid w:val="00E567A8"/>
    <w:rsid w:val="00E572B5"/>
    <w:rsid w:val="00E57D81"/>
    <w:rsid w:val="00E60E92"/>
    <w:rsid w:val="00E61A10"/>
    <w:rsid w:val="00E65F53"/>
    <w:rsid w:val="00E67168"/>
    <w:rsid w:val="00E673F9"/>
    <w:rsid w:val="00E679F9"/>
    <w:rsid w:val="00E70105"/>
    <w:rsid w:val="00E70935"/>
    <w:rsid w:val="00E71C9D"/>
    <w:rsid w:val="00E72534"/>
    <w:rsid w:val="00E75454"/>
    <w:rsid w:val="00E81256"/>
    <w:rsid w:val="00E91A15"/>
    <w:rsid w:val="00E91D3A"/>
    <w:rsid w:val="00E953A0"/>
    <w:rsid w:val="00E95B54"/>
    <w:rsid w:val="00E95F0B"/>
    <w:rsid w:val="00E978EF"/>
    <w:rsid w:val="00EA07A8"/>
    <w:rsid w:val="00EA12CE"/>
    <w:rsid w:val="00EA16FA"/>
    <w:rsid w:val="00EA2865"/>
    <w:rsid w:val="00EA2EB7"/>
    <w:rsid w:val="00EA528C"/>
    <w:rsid w:val="00EA53AB"/>
    <w:rsid w:val="00EA66E8"/>
    <w:rsid w:val="00EB1C05"/>
    <w:rsid w:val="00EB28EB"/>
    <w:rsid w:val="00EB3E90"/>
    <w:rsid w:val="00EB43B1"/>
    <w:rsid w:val="00EB5447"/>
    <w:rsid w:val="00EB6F9C"/>
    <w:rsid w:val="00EB7D49"/>
    <w:rsid w:val="00EC3261"/>
    <w:rsid w:val="00EC3438"/>
    <w:rsid w:val="00EC384B"/>
    <w:rsid w:val="00EC3F41"/>
    <w:rsid w:val="00EC4E25"/>
    <w:rsid w:val="00EC73DD"/>
    <w:rsid w:val="00EC7588"/>
    <w:rsid w:val="00ED06CD"/>
    <w:rsid w:val="00ED14B7"/>
    <w:rsid w:val="00ED1D7E"/>
    <w:rsid w:val="00ED2A1D"/>
    <w:rsid w:val="00ED44A3"/>
    <w:rsid w:val="00ED466A"/>
    <w:rsid w:val="00ED5A9C"/>
    <w:rsid w:val="00EE225B"/>
    <w:rsid w:val="00EE2856"/>
    <w:rsid w:val="00EE3CDA"/>
    <w:rsid w:val="00EE52BF"/>
    <w:rsid w:val="00EE5848"/>
    <w:rsid w:val="00EF070E"/>
    <w:rsid w:val="00EF117A"/>
    <w:rsid w:val="00EF11C1"/>
    <w:rsid w:val="00EF25AA"/>
    <w:rsid w:val="00EF3BA4"/>
    <w:rsid w:val="00EF7BE4"/>
    <w:rsid w:val="00F0131A"/>
    <w:rsid w:val="00F04BFB"/>
    <w:rsid w:val="00F04EC5"/>
    <w:rsid w:val="00F06679"/>
    <w:rsid w:val="00F10B8A"/>
    <w:rsid w:val="00F10DEC"/>
    <w:rsid w:val="00F120D6"/>
    <w:rsid w:val="00F14058"/>
    <w:rsid w:val="00F16747"/>
    <w:rsid w:val="00F16E1E"/>
    <w:rsid w:val="00F170C6"/>
    <w:rsid w:val="00F20DD9"/>
    <w:rsid w:val="00F24292"/>
    <w:rsid w:val="00F260BA"/>
    <w:rsid w:val="00F2722F"/>
    <w:rsid w:val="00F31376"/>
    <w:rsid w:val="00F31387"/>
    <w:rsid w:val="00F33673"/>
    <w:rsid w:val="00F3379A"/>
    <w:rsid w:val="00F33816"/>
    <w:rsid w:val="00F342C3"/>
    <w:rsid w:val="00F406CB"/>
    <w:rsid w:val="00F43CE4"/>
    <w:rsid w:val="00F45F9F"/>
    <w:rsid w:val="00F46687"/>
    <w:rsid w:val="00F46D1D"/>
    <w:rsid w:val="00F474C0"/>
    <w:rsid w:val="00F52925"/>
    <w:rsid w:val="00F540AD"/>
    <w:rsid w:val="00F548EB"/>
    <w:rsid w:val="00F54C44"/>
    <w:rsid w:val="00F56C78"/>
    <w:rsid w:val="00F5734A"/>
    <w:rsid w:val="00F60840"/>
    <w:rsid w:val="00F61551"/>
    <w:rsid w:val="00F63F93"/>
    <w:rsid w:val="00F64A1A"/>
    <w:rsid w:val="00F67F45"/>
    <w:rsid w:val="00F70FA6"/>
    <w:rsid w:val="00F71FE7"/>
    <w:rsid w:val="00F722D2"/>
    <w:rsid w:val="00F73127"/>
    <w:rsid w:val="00F7433A"/>
    <w:rsid w:val="00F757EF"/>
    <w:rsid w:val="00F77F63"/>
    <w:rsid w:val="00F81002"/>
    <w:rsid w:val="00F81190"/>
    <w:rsid w:val="00F8279D"/>
    <w:rsid w:val="00F8295C"/>
    <w:rsid w:val="00F83065"/>
    <w:rsid w:val="00F831C1"/>
    <w:rsid w:val="00F849AB"/>
    <w:rsid w:val="00F849F9"/>
    <w:rsid w:val="00F84DB3"/>
    <w:rsid w:val="00F862AC"/>
    <w:rsid w:val="00F868A7"/>
    <w:rsid w:val="00F86F97"/>
    <w:rsid w:val="00F908D9"/>
    <w:rsid w:val="00F90D06"/>
    <w:rsid w:val="00F94A76"/>
    <w:rsid w:val="00F96136"/>
    <w:rsid w:val="00F970A2"/>
    <w:rsid w:val="00FA1E15"/>
    <w:rsid w:val="00FA2039"/>
    <w:rsid w:val="00FA20D3"/>
    <w:rsid w:val="00FA280F"/>
    <w:rsid w:val="00FA32B5"/>
    <w:rsid w:val="00FA3C62"/>
    <w:rsid w:val="00FA4C48"/>
    <w:rsid w:val="00FA4F0E"/>
    <w:rsid w:val="00FA5743"/>
    <w:rsid w:val="00FB04D3"/>
    <w:rsid w:val="00FB0DAC"/>
    <w:rsid w:val="00FB1719"/>
    <w:rsid w:val="00FB1851"/>
    <w:rsid w:val="00FB30BC"/>
    <w:rsid w:val="00FB3E0B"/>
    <w:rsid w:val="00FB56C6"/>
    <w:rsid w:val="00FC1586"/>
    <w:rsid w:val="00FD0A32"/>
    <w:rsid w:val="00FD1DFE"/>
    <w:rsid w:val="00FD275F"/>
    <w:rsid w:val="00FD297D"/>
    <w:rsid w:val="00FD79D5"/>
    <w:rsid w:val="00FE0C97"/>
    <w:rsid w:val="00FE1258"/>
    <w:rsid w:val="00FE2990"/>
    <w:rsid w:val="00FE54EB"/>
    <w:rsid w:val="00FE5B20"/>
    <w:rsid w:val="00FF02F0"/>
    <w:rsid w:val="00FF25DC"/>
    <w:rsid w:val="00FF3CBA"/>
    <w:rsid w:val="00FF48FD"/>
    <w:rsid w:val="00FF496C"/>
    <w:rsid w:val="00FF4A79"/>
    <w:rsid w:val="00FF62D9"/>
    <w:rsid w:val="00FF6A0C"/>
    <w:rsid w:val="00FF7D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ABA437"/>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4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 Refernece,Footnotemark,Footnotemark1,FR,Footnotemark2,FR1,Footnotemark3,FR2,Footnotemark4,FR3,Footnotemark5,FR4,Footnotemark6,Footnotemark7,Footnotemark8,FR5,Footnotemark11,Footnotemark21,FR11,Footnotemark31,FR21,4_G,BVI fn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customStyle="1" w:styleId="4GChar">
    <w:name w:val="4_G Char"/>
    <w:aliases w:val="Footnote Reference1 Char,Footnotes refss Char,ftref Char,BVI fnr Char,BVI fnr Car Car Char,BVI fnr Car Char,BVI fnr Car Car Car Car Char,BVI fnr Char Car Car Car Char,Footnotes refss,ftref,BVI fnr Car Car,BVI fnr Car"/>
    <w:basedOn w:val="Normal"/>
    <w:link w:val="FootnoteReference"/>
    <w:uiPriority w:val="99"/>
    <w:rsid w:val="00956AAF"/>
    <w:pPr>
      <w:spacing w:after="160" w:line="240" w:lineRule="exact"/>
      <w:jc w:val="both"/>
    </w:pPr>
    <w:rPr>
      <w:vertAlign w:val="superscript"/>
    </w:rPr>
  </w:style>
  <w:style w:type="paragraph" w:styleId="ListParagraph">
    <w:name w:val="List Paragraph"/>
    <w:basedOn w:val="Normal"/>
    <w:uiPriority w:val="34"/>
    <w:qFormat/>
    <w:rsid w:val="002652D1"/>
    <w:pPr>
      <w:ind w:left="720"/>
      <w:contextualSpacing/>
    </w:pPr>
  </w:style>
  <w:style w:type="character" w:styleId="Emphasis">
    <w:name w:val="Emphasis"/>
    <w:basedOn w:val="DefaultParagraphFont"/>
    <w:uiPriority w:val="20"/>
    <w:qFormat/>
    <w:rsid w:val="006D0790"/>
    <w:rPr>
      <w:i/>
      <w:iCs/>
    </w:rPr>
  </w:style>
  <w:style w:type="character" w:styleId="FollowedHyperlink">
    <w:name w:val="FollowedHyperlink"/>
    <w:basedOn w:val="DefaultParagraphFont"/>
    <w:uiPriority w:val="99"/>
    <w:semiHidden/>
    <w:unhideWhenUsed/>
    <w:rsid w:val="00927973"/>
    <w:rPr>
      <w:color w:val="800080" w:themeColor="followedHyperlink"/>
      <w:u w:val="single"/>
    </w:rPr>
  </w:style>
  <w:style w:type="character" w:styleId="UnresolvedMention">
    <w:name w:val="Unresolved Mention"/>
    <w:basedOn w:val="DefaultParagraphFont"/>
    <w:uiPriority w:val="99"/>
    <w:semiHidden/>
    <w:unhideWhenUsed/>
    <w:rsid w:val="0068011C"/>
    <w:rPr>
      <w:color w:val="605E5C"/>
      <w:shd w:val="clear" w:color="auto" w:fill="E1DFDD"/>
    </w:rPr>
  </w:style>
  <w:style w:type="paragraph" w:customStyle="1" w:styleId="ColorfulList-Accent11">
    <w:name w:val="Colorful List - Accent 11"/>
    <w:basedOn w:val="Normal"/>
    <w:uiPriority w:val="34"/>
    <w:qFormat/>
    <w:rsid w:val="007C7792"/>
    <w:pPr>
      <w:pBdr>
        <w:top w:val="nil"/>
        <w:left w:val="nil"/>
        <w:bottom w:val="nil"/>
        <w:right w:val="nil"/>
        <w:between w:val="nil"/>
        <w:bar w:val="nil"/>
      </w:pBdr>
      <w:ind w:left="720"/>
      <w:contextualSpacing/>
    </w:pPr>
    <w:rPr>
      <w:rFonts w:ascii="Times Roman" w:eastAsia="Arial Unicode MS" w:hAnsi="Arial Unicode MS" w:cs="Arial Unicode MS"/>
      <w:color w:val="000000"/>
      <w:u w:color="000000"/>
      <w:bdr w:val="nil"/>
      <w:lang w:val="en-US"/>
    </w:rPr>
  </w:style>
  <w:style w:type="character" w:styleId="CommentReference">
    <w:name w:val="annotation reference"/>
    <w:basedOn w:val="DefaultParagraphFont"/>
    <w:uiPriority w:val="99"/>
    <w:semiHidden/>
    <w:unhideWhenUsed/>
    <w:rsid w:val="000D60E8"/>
    <w:rPr>
      <w:sz w:val="16"/>
      <w:szCs w:val="16"/>
    </w:rPr>
  </w:style>
  <w:style w:type="paragraph" w:styleId="CommentText">
    <w:name w:val="annotation text"/>
    <w:basedOn w:val="Normal"/>
    <w:link w:val="CommentTextChar"/>
    <w:uiPriority w:val="99"/>
    <w:semiHidden/>
    <w:unhideWhenUsed/>
    <w:rsid w:val="000D60E8"/>
    <w:rPr>
      <w:sz w:val="20"/>
      <w:szCs w:val="20"/>
    </w:rPr>
  </w:style>
  <w:style w:type="character" w:customStyle="1" w:styleId="CommentTextChar">
    <w:name w:val="Comment Text Char"/>
    <w:basedOn w:val="DefaultParagraphFont"/>
    <w:link w:val="CommentText"/>
    <w:uiPriority w:val="99"/>
    <w:semiHidden/>
    <w:rsid w:val="000D60E8"/>
    <w:rPr>
      <w:sz w:val="20"/>
      <w:szCs w:val="20"/>
    </w:rPr>
  </w:style>
  <w:style w:type="paragraph" w:styleId="CommentSubject">
    <w:name w:val="annotation subject"/>
    <w:basedOn w:val="CommentText"/>
    <w:next w:val="CommentText"/>
    <w:link w:val="CommentSubjectChar"/>
    <w:uiPriority w:val="99"/>
    <w:semiHidden/>
    <w:unhideWhenUsed/>
    <w:rsid w:val="000D60E8"/>
    <w:rPr>
      <w:b/>
      <w:bCs/>
    </w:rPr>
  </w:style>
  <w:style w:type="character" w:customStyle="1" w:styleId="CommentSubjectChar">
    <w:name w:val="Comment Subject Char"/>
    <w:basedOn w:val="CommentTextChar"/>
    <w:link w:val="CommentSubject"/>
    <w:uiPriority w:val="99"/>
    <w:semiHidden/>
    <w:rsid w:val="000D60E8"/>
    <w:rPr>
      <w:b/>
      <w:bCs/>
      <w:sz w:val="20"/>
      <w:szCs w:val="20"/>
    </w:rPr>
  </w:style>
  <w:style w:type="character" w:customStyle="1" w:styleId="Heading1Char">
    <w:name w:val="Heading 1 Char"/>
    <w:basedOn w:val="DefaultParagraphFont"/>
    <w:link w:val="Heading1"/>
    <w:uiPriority w:val="9"/>
    <w:rsid w:val="00E414F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691">
      <w:bodyDiv w:val="1"/>
      <w:marLeft w:val="0"/>
      <w:marRight w:val="0"/>
      <w:marTop w:val="0"/>
      <w:marBottom w:val="0"/>
      <w:divBdr>
        <w:top w:val="none" w:sz="0" w:space="0" w:color="auto"/>
        <w:left w:val="none" w:sz="0" w:space="0" w:color="auto"/>
        <w:bottom w:val="none" w:sz="0" w:space="0" w:color="auto"/>
        <w:right w:val="none" w:sz="0" w:space="0" w:color="auto"/>
      </w:divBdr>
    </w:div>
    <w:div w:id="190384949">
      <w:bodyDiv w:val="1"/>
      <w:marLeft w:val="0"/>
      <w:marRight w:val="0"/>
      <w:marTop w:val="0"/>
      <w:marBottom w:val="0"/>
      <w:divBdr>
        <w:top w:val="none" w:sz="0" w:space="0" w:color="auto"/>
        <w:left w:val="none" w:sz="0" w:space="0" w:color="auto"/>
        <w:bottom w:val="none" w:sz="0" w:space="0" w:color="auto"/>
        <w:right w:val="none" w:sz="0" w:space="0" w:color="auto"/>
      </w:divBdr>
    </w:div>
    <w:div w:id="262541359">
      <w:bodyDiv w:val="1"/>
      <w:marLeft w:val="0"/>
      <w:marRight w:val="0"/>
      <w:marTop w:val="0"/>
      <w:marBottom w:val="0"/>
      <w:divBdr>
        <w:top w:val="none" w:sz="0" w:space="0" w:color="auto"/>
        <w:left w:val="none" w:sz="0" w:space="0" w:color="auto"/>
        <w:bottom w:val="none" w:sz="0" w:space="0" w:color="auto"/>
        <w:right w:val="none" w:sz="0" w:space="0" w:color="auto"/>
      </w:divBdr>
    </w:div>
    <w:div w:id="680932266">
      <w:bodyDiv w:val="1"/>
      <w:marLeft w:val="0"/>
      <w:marRight w:val="0"/>
      <w:marTop w:val="0"/>
      <w:marBottom w:val="0"/>
      <w:divBdr>
        <w:top w:val="none" w:sz="0" w:space="0" w:color="auto"/>
        <w:left w:val="none" w:sz="0" w:space="0" w:color="auto"/>
        <w:bottom w:val="none" w:sz="0" w:space="0" w:color="auto"/>
        <w:right w:val="none" w:sz="0" w:space="0" w:color="auto"/>
      </w:divBdr>
    </w:div>
    <w:div w:id="763036105">
      <w:bodyDiv w:val="1"/>
      <w:marLeft w:val="0"/>
      <w:marRight w:val="0"/>
      <w:marTop w:val="0"/>
      <w:marBottom w:val="0"/>
      <w:divBdr>
        <w:top w:val="none" w:sz="0" w:space="0" w:color="auto"/>
        <w:left w:val="none" w:sz="0" w:space="0" w:color="auto"/>
        <w:bottom w:val="none" w:sz="0" w:space="0" w:color="auto"/>
        <w:right w:val="none" w:sz="0" w:space="0" w:color="auto"/>
      </w:divBdr>
      <w:divsChild>
        <w:div w:id="665402501">
          <w:marLeft w:val="0"/>
          <w:marRight w:val="0"/>
          <w:marTop w:val="0"/>
          <w:marBottom w:val="300"/>
          <w:divBdr>
            <w:top w:val="none" w:sz="0" w:space="0" w:color="auto"/>
            <w:left w:val="none" w:sz="0" w:space="0" w:color="auto"/>
            <w:bottom w:val="none" w:sz="0" w:space="0" w:color="auto"/>
            <w:right w:val="none" w:sz="0" w:space="0" w:color="auto"/>
          </w:divBdr>
        </w:div>
        <w:div w:id="1511136980">
          <w:marLeft w:val="0"/>
          <w:marRight w:val="0"/>
          <w:marTop w:val="0"/>
          <w:marBottom w:val="150"/>
          <w:divBdr>
            <w:top w:val="none" w:sz="0" w:space="0" w:color="auto"/>
            <w:left w:val="none" w:sz="0" w:space="0" w:color="auto"/>
            <w:bottom w:val="none" w:sz="0" w:space="0" w:color="auto"/>
            <w:right w:val="none" w:sz="0" w:space="0" w:color="auto"/>
          </w:divBdr>
        </w:div>
      </w:divsChild>
    </w:div>
    <w:div w:id="841314753">
      <w:bodyDiv w:val="1"/>
      <w:marLeft w:val="0"/>
      <w:marRight w:val="0"/>
      <w:marTop w:val="0"/>
      <w:marBottom w:val="0"/>
      <w:divBdr>
        <w:top w:val="none" w:sz="0" w:space="0" w:color="auto"/>
        <w:left w:val="none" w:sz="0" w:space="0" w:color="auto"/>
        <w:bottom w:val="none" w:sz="0" w:space="0" w:color="auto"/>
        <w:right w:val="none" w:sz="0" w:space="0" w:color="auto"/>
      </w:divBdr>
    </w:div>
    <w:div w:id="1139032605">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23418">
      <w:bodyDiv w:val="1"/>
      <w:marLeft w:val="0"/>
      <w:marRight w:val="0"/>
      <w:marTop w:val="0"/>
      <w:marBottom w:val="0"/>
      <w:divBdr>
        <w:top w:val="none" w:sz="0" w:space="0" w:color="auto"/>
        <w:left w:val="none" w:sz="0" w:space="0" w:color="auto"/>
        <w:bottom w:val="none" w:sz="0" w:space="0" w:color="auto"/>
        <w:right w:val="none" w:sz="0" w:space="0" w:color="auto"/>
      </w:divBdr>
      <w:divsChild>
        <w:div w:id="153298571">
          <w:marLeft w:val="0"/>
          <w:marRight w:val="0"/>
          <w:marTop w:val="0"/>
          <w:marBottom w:val="300"/>
          <w:divBdr>
            <w:top w:val="none" w:sz="0" w:space="0" w:color="auto"/>
            <w:left w:val="none" w:sz="0" w:space="0" w:color="auto"/>
            <w:bottom w:val="none" w:sz="0" w:space="0" w:color="auto"/>
            <w:right w:val="none" w:sz="0" w:space="0" w:color="auto"/>
          </w:divBdr>
        </w:div>
        <w:div w:id="788472319">
          <w:marLeft w:val="0"/>
          <w:marRight w:val="0"/>
          <w:marTop w:val="0"/>
          <w:marBottom w:val="150"/>
          <w:divBdr>
            <w:top w:val="none" w:sz="0" w:space="0" w:color="auto"/>
            <w:left w:val="none" w:sz="0" w:space="0" w:color="auto"/>
            <w:bottom w:val="none" w:sz="0" w:space="0" w:color="auto"/>
            <w:right w:val="none" w:sz="0" w:space="0" w:color="auto"/>
          </w:divBdr>
        </w:div>
      </w:divsChild>
    </w:div>
    <w:div w:id="1258252902">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619332858">
      <w:bodyDiv w:val="1"/>
      <w:marLeft w:val="0"/>
      <w:marRight w:val="0"/>
      <w:marTop w:val="0"/>
      <w:marBottom w:val="0"/>
      <w:divBdr>
        <w:top w:val="none" w:sz="0" w:space="0" w:color="auto"/>
        <w:left w:val="none" w:sz="0" w:space="0" w:color="auto"/>
        <w:bottom w:val="none" w:sz="0" w:space="0" w:color="auto"/>
        <w:right w:val="none" w:sz="0" w:space="0" w:color="auto"/>
      </w:divBdr>
    </w:div>
    <w:div w:id="1805461605">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30177966">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icie.org/wp-content/uploads/2012/08/Statement-of-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2DFE1-B605-4495-9073-5CCE2757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3680</Words>
  <Characters>20976</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2018-04-20T11:30:00Z</cp:lastPrinted>
  <dcterms:created xsi:type="dcterms:W3CDTF">2021-10-13T09:08:00Z</dcterms:created>
  <dcterms:modified xsi:type="dcterms:W3CDTF">2021-10-13T09:08:00Z</dcterms:modified>
</cp:coreProperties>
</file>