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96CB"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19E67CD7" wp14:editId="3A5003A5">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6E9FB0ED"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7F53635D" w14:textId="77777777" w:rsidR="0096459E" w:rsidRPr="003B7D0E" w:rsidRDefault="00830D84"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 to Department of Finance consultation on Marriage Law</w:t>
      </w:r>
    </w:p>
    <w:p w14:paraId="3D17DCF3" w14:textId="77777777" w:rsidR="00F31387" w:rsidRPr="00331C61" w:rsidRDefault="00F31387" w:rsidP="003B7D0E">
      <w:pPr>
        <w:pStyle w:val="Default"/>
        <w:spacing w:line="288" w:lineRule="auto"/>
        <w:jc w:val="center"/>
        <w:rPr>
          <w:rFonts w:cs="Arial"/>
          <w:color w:val="232120"/>
          <w:sz w:val="36"/>
          <w:szCs w:val="36"/>
        </w:rPr>
      </w:pPr>
    </w:p>
    <w:p w14:paraId="57841AFC" w14:textId="77777777" w:rsidR="008159E8" w:rsidRPr="00331C61" w:rsidRDefault="00F31387" w:rsidP="003B7D0E">
      <w:pPr>
        <w:spacing w:line="288" w:lineRule="auto"/>
        <w:jc w:val="center"/>
        <w:rPr>
          <w:rFonts w:ascii="Verdana" w:hAnsi="Verdana" w:cs="Arial"/>
          <w:b/>
          <w:color w:val="232120"/>
          <w:sz w:val="30"/>
          <w:szCs w:val="30"/>
        </w:rPr>
      </w:pPr>
      <w:r w:rsidRPr="00331C61">
        <w:rPr>
          <w:rFonts w:ascii="Verdana" w:hAnsi="Verdana" w:cs="Arial"/>
          <w:b/>
          <w:color w:val="232120"/>
          <w:sz w:val="30"/>
          <w:szCs w:val="30"/>
        </w:rPr>
        <w:t xml:space="preserve"> </w:t>
      </w:r>
      <w:r w:rsidR="00830D84">
        <w:rPr>
          <w:rFonts w:ascii="Verdana" w:hAnsi="Verdana" w:cs="Arial"/>
          <w:b/>
          <w:color w:val="232120"/>
          <w:sz w:val="30"/>
          <w:szCs w:val="30"/>
        </w:rPr>
        <w:t>February</w:t>
      </w:r>
      <w:r w:rsidRPr="00331C61">
        <w:rPr>
          <w:rFonts w:ascii="Verdana" w:hAnsi="Verdana" w:cs="Arial"/>
          <w:b/>
          <w:color w:val="232120"/>
          <w:sz w:val="30"/>
          <w:szCs w:val="30"/>
        </w:rPr>
        <w:t xml:space="preserve"> </w:t>
      </w:r>
      <w:r w:rsidR="00830D84">
        <w:rPr>
          <w:rFonts w:ascii="Verdana" w:hAnsi="Verdana" w:cs="Arial"/>
          <w:b/>
          <w:color w:val="232120"/>
          <w:sz w:val="30"/>
          <w:szCs w:val="30"/>
        </w:rPr>
        <w:t>2022</w:t>
      </w:r>
    </w:p>
    <w:p w14:paraId="020C250B" w14:textId="77777777" w:rsidR="00046705" w:rsidRPr="00331C61" w:rsidRDefault="00046705" w:rsidP="003B7D0E">
      <w:pPr>
        <w:spacing w:line="288" w:lineRule="auto"/>
        <w:jc w:val="center"/>
        <w:rPr>
          <w:rFonts w:ascii="Verdana" w:hAnsi="Verdana" w:cs="Arial"/>
          <w:b/>
          <w:color w:val="232120"/>
          <w:sz w:val="28"/>
          <w:szCs w:val="28"/>
        </w:rPr>
      </w:pPr>
    </w:p>
    <w:p w14:paraId="26F5D543" w14:textId="77777777" w:rsidR="00046705" w:rsidRPr="00331C61" w:rsidRDefault="00046705" w:rsidP="003B7D0E">
      <w:pPr>
        <w:spacing w:line="288" w:lineRule="auto"/>
        <w:jc w:val="center"/>
        <w:rPr>
          <w:rFonts w:ascii="Verdana" w:hAnsi="Verdana" w:cs="Arial"/>
          <w:b/>
          <w:color w:val="232120"/>
          <w:sz w:val="28"/>
          <w:szCs w:val="28"/>
        </w:rPr>
      </w:pPr>
    </w:p>
    <w:p w14:paraId="40034302" w14:textId="77777777" w:rsidR="00EA12CE" w:rsidRPr="00331C61" w:rsidRDefault="00EA12CE" w:rsidP="003B7D0E">
      <w:pPr>
        <w:pStyle w:val="Default"/>
        <w:spacing w:line="288" w:lineRule="auto"/>
        <w:jc w:val="center"/>
        <w:rPr>
          <w:rFonts w:cs="Arial"/>
          <w:b/>
          <w:color w:val="232120"/>
          <w:sz w:val="28"/>
          <w:szCs w:val="28"/>
          <w:lang w:val="en-GB"/>
        </w:rPr>
      </w:pPr>
    </w:p>
    <w:p w14:paraId="582E8223" w14:textId="77777777" w:rsidR="003B7D0E" w:rsidRPr="00331C61" w:rsidRDefault="003B7D0E" w:rsidP="003B7D0E">
      <w:pPr>
        <w:pStyle w:val="Default"/>
        <w:spacing w:line="480" w:lineRule="auto"/>
        <w:jc w:val="center"/>
        <w:rPr>
          <w:rFonts w:cs="Arial"/>
          <w:b/>
          <w:color w:val="232120"/>
          <w:sz w:val="36"/>
          <w:szCs w:val="36"/>
        </w:rPr>
      </w:pPr>
    </w:p>
    <w:p w14:paraId="0B434D76" w14:textId="77777777" w:rsidR="003B7D0E" w:rsidRDefault="003B7D0E" w:rsidP="003B7D0E">
      <w:pPr>
        <w:pStyle w:val="Default"/>
        <w:spacing w:line="480" w:lineRule="auto"/>
        <w:jc w:val="center"/>
        <w:rPr>
          <w:rFonts w:cs="Arial"/>
          <w:b/>
          <w:color w:val="232120"/>
          <w:sz w:val="36"/>
          <w:szCs w:val="36"/>
        </w:rPr>
      </w:pPr>
    </w:p>
    <w:p w14:paraId="2FFF6C0E" w14:textId="77777777" w:rsidR="0096459E" w:rsidRPr="00331C61" w:rsidRDefault="0096459E" w:rsidP="003B7D0E">
      <w:pPr>
        <w:pStyle w:val="Default"/>
        <w:spacing w:line="480" w:lineRule="auto"/>
        <w:jc w:val="center"/>
        <w:rPr>
          <w:rFonts w:cs="Arial"/>
          <w:b/>
          <w:color w:val="232120"/>
          <w:sz w:val="36"/>
          <w:szCs w:val="36"/>
        </w:rPr>
      </w:pPr>
    </w:p>
    <w:p w14:paraId="74E113CC" w14:textId="77777777" w:rsidR="003B7D0E" w:rsidRDefault="003B7D0E" w:rsidP="003B7D0E">
      <w:pPr>
        <w:pStyle w:val="Default"/>
        <w:spacing w:line="480" w:lineRule="auto"/>
        <w:jc w:val="center"/>
        <w:rPr>
          <w:rFonts w:cs="Arial"/>
          <w:b/>
          <w:color w:val="232120"/>
          <w:sz w:val="36"/>
          <w:szCs w:val="36"/>
        </w:rPr>
      </w:pPr>
    </w:p>
    <w:p w14:paraId="79C17A95" w14:textId="77777777" w:rsidR="00830D84" w:rsidRPr="00331C61" w:rsidRDefault="00830D84" w:rsidP="003B7D0E">
      <w:pPr>
        <w:pStyle w:val="Default"/>
        <w:spacing w:line="480" w:lineRule="auto"/>
        <w:jc w:val="center"/>
        <w:rPr>
          <w:rFonts w:cs="Arial"/>
          <w:b/>
          <w:color w:val="232120"/>
          <w:sz w:val="36"/>
          <w:szCs w:val="36"/>
        </w:rPr>
      </w:pPr>
    </w:p>
    <w:p w14:paraId="0E88A18A" w14:textId="77777777" w:rsidR="00EA12CE" w:rsidRPr="003B7D0E" w:rsidRDefault="00EA12CE" w:rsidP="00331C61">
      <w:pPr>
        <w:pStyle w:val="Default"/>
        <w:spacing w:line="480" w:lineRule="auto"/>
        <w:rPr>
          <w:rFonts w:cs="Arial"/>
          <w:b/>
          <w:color w:val="3C3C3B"/>
          <w:sz w:val="36"/>
          <w:szCs w:val="36"/>
        </w:rPr>
      </w:pPr>
      <w:r w:rsidRPr="003B7D0E">
        <w:rPr>
          <w:rFonts w:cs="Arial"/>
          <w:b/>
          <w:color w:val="77328A"/>
          <w:sz w:val="36"/>
          <w:szCs w:val="36"/>
        </w:rPr>
        <w:t>Table of Contents</w:t>
      </w:r>
    </w:p>
    <w:p w14:paraId="2AA9E4E7" w14:textId="77777777" w:rsidR="00571693" w:rsidRDefault="00270C44" w:rsidP="00331C61">
      <w:pPr>
        <w:pStyle w:val="Default"/>
        <w:spacing w:line="480" w:lineRule="auto"/>
        <w:rPr>
          <w:rFonts w:cs="Arial"/>
          <w:b/>
          <w:color w:val="232120"/>
        </w:rPr>
      </w:pPr>
      <w:r>
        <w:rPr>
          <w:rFonts w:cs="Arial"/>
          <w:b/>
          <w:color w:val="232120"/>
        </w:rPr>
        <w:t xml:space="preserve">Summary of Recommendations </w:t>
      </w:r>
      <w:r w:rsidR="00571693">
        <w:rPr>
          <w:rFonts w:cs="Arial"/>
          <w:b/>
          <w:color w:val="232120"/>
        </w:rPr>
        <w:tab/>
      </w:r>
      <w:r w:rsidR="00571693">
        <w:rPr>
          <w:rFonts w:cs="Arial"/>
          <w:b/>
          <w:color w:val="232120"/>
        </w:rPr>
        <w:tab/>
      </w:r>
      <w:r w:rsidR="00571693">
        <w:rPr>
          <w:rFonts w:cs="Arial"/>
          <w:b/>
          <w:color w:val="232120"/>
        </w:rPr>
        <w:tab/>
      </w:r>
      <w:r w:rsidR="00571693">
        <w:rPr>
          <w:rFonts w:cs="Arial"/>
          <w:b/>
          <w:color w:val="232120"/>
        </w:rPr>
        <w:tab/>
      </w:r>
      <w:r w:rsidR="00571693">
        <w:rPr>
          <w:rFonts w:cs="Arial"/>
          <w:b/>
          <w:color w:val="232120"/>
        </w:rPr>
        <w:tab/>
      </w:r>
      <w:r w:rsidR="00571693">
        <w:rPr>
          <w:rFonts w:cs="Arial"/>
          <w:b/>
          <w:color w:val="232120"/>
        </w:rPr>
        <w:tab/>
      </w:r>
      <w:r w:rsidR="00571693">
        <w:rPr>
          <w:rFonts w:cs="Arial"/>
          <w:b/>
          <w:color w:val="232120"/>
        </w:rPr>
        <w:tab/>
      </w:r>
      <w:r w:rsidR="00571693">
        <w:rPr>
          <w:rFonts w:cs="Arial"/>
          <w:b/>
          <w:color w:val="232120"/>
        </w:rPr>
        <w:tab/>
        <w:t>0</w:t>
      </w:r>
      <w:r w:rsidR="003D6770">
        <w:rPr>
          <w:rFonts w:cs="Arial"/>
          <w:b/>
          <w:color w:val="232120"/>
        </w:rPr>
        <w:t>3</w:t>
      </w:r>
    </w:p>
    <w:p w14:paraId="52BF4D7B" w14:textId="0BB21742" w:rsidR="003B7D0E" w:rsidRPr="00331C61" w:rsidRDefault="00615CE2" w:rsidP="00331C61">
      <w:pPr>
        <w:pStyle w:val="Default"/>
        <w:spacing w:line="480" w:lineRule="auto"/>
        <w:rPr>
          <w:rFonts w:cs="Arial"/>
          <w:b/>
          <w:color w:val="232120"/>
        </w:rPr>
      </w:pPr>
      <w:r>
        <w:rPr>
          <w:rFonts w:cs="Arial"/>
          <w:b/>
          <w:color w:val="232120"/>
        </w:rPr>
        <w:t>Introduction</w:t>
      </w:r>
      <w:r>
        <w:rPr>
          <w:rFonts w:cs="Arial"/>
          <w:b/>
          <w:color w:val="232120"/>
        </w:rPr>
        <w:tab/>
      </w:r>
      <w:r>
        <w:rPr>
          <w:rFonts w:cs="Arial"/>
          <w:b/>
          <w:color w:val="232120"/>
        </w:rPr>
        <w:tab/>
      </w:r>
      <w:r>
        <w:rPr>
          <w:rFonts w:cs="Arial"/>
          <w:b/>
          <w:color w:val="232120"/>
        </w:rPr>
        <w:tab/>
      </w:r>
      <w:proofErr w:type="gramStart"/>
      <w:r>
        <w:rPr>
          <w:rFonts w:cs="Arial"/>
          <w:b/>
          <w:color w:val="232120"/>
        </w:rPr>
        <w:tab/>
      </w:r>
      <w:r w:rsidR="00EA12CE" w:rsidRPr="00331C61">
        <w:rPr>
          <w:rFonts w:cs="Arial"/>
          <w:b/>
          <w:color w:val="232120"/>
        </w:rPr>
        <w:t xml:space="preserve">  </w:t>
      </w:r>
      <w:r w:rsidR="00EA12CE" w:rsidRPr="00331C61">
        <w:rPr>
          <w:rFonts w:cs="Arial"/>
          <w:b/>
          <w:color w:val="232120"/>
        </w:rPr>
        <w:tab/>
      </w:r>
      <w:proofErr w:type="gramEnd"/>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1E79A9" w:rsidRPr="00331C61">
        <w:rPr>
          <w:rFonts w:cs="Arial"/>
          <w:b/>
          <w:color w:val="232120"/>
        </w:rPr>
        <w:tab/>
      </w:r>
      <w:r w:rsidR="001E79A9" w:rsidRPr="00331C61">
        <w:rPr>
          <w:rFonts w:cs="Arial"/>
          <w:b/>
          <w:color w:val="232120"/>
        </w:rPr>
        <w:tab/>
      </w:r>
      <w:r w:rsidR="00EA12CE" w:rsidRPr="00331C61">
        <w:rPr>
          <w:rFonts w:cs="Arial"/>
          <w:b/>
          <w:color w:val="232120"/>
        </w:rPr>
        <w:t>0</w:t>
      </w:r>
      <w:r w:rsidR="005025F2">
        <w:rPr>
          <w:rFonts w:cs="Arial"/>
          <w:b/>
          <w:color w:val="232120"/>
        </w:rPr>
        <w:t>5</w:t>
      </w:r>
    </w:p>
    <w:p w14:paraId="100C402D" w14:textId="5724EA44" w:rsidR="003B7D0E" w:rsidRDefault="009A68C5" w:rsidP="00331C61">
      <w:pPr>
        <w:pStyle w:val="Default"/>
        <w:spacing w:line="480" w:lineRule="auto"/>
        <w:rPr>
          <w:rFonts w:cs="Arial"/>
          <w:b/>
          <w:color w:val="232120"/>
        </w:rPr>
      </w:pPr>
      <w:r>
        <w:rPr>
          <w:rFonts w:cs="Arial"/>
          <w:b/>
          <w:color w:val="232120"/>
        </w:rPr>
        <w:t>Non-R</w:t>
      </w:r>
      <w:r w:rsidR="007A5D7A">
        <w:rPr>
          <w:rFonts w:cs="Arial"/>
          <w:b/>
          <w:color w:val="232120"/>
        </w:rPr>
        <w:t xml:space="preserve">eligious </w:t>
      </w:r>
      <w:r>
        <w:rPr>
          <w:rFonts w:cs="Arial"/>
          <w:b/>
          <w:color w:val="232120"/>
        </w:rPr>
        <w:t>‘</w:t>
      </w:r>
      <w:r w:rsidR="00615CE2">
        <w:rPr>
          <w:rFonts w:cs="Arial"/>
          <w:b/>
          <w:color w:val="232120"/>
        </w:rPr>
        <w:t>Belief</w:t>
      </w:r>
      <w:r>
        <w:rPr>
          <w:rFonts w:cs="Arial"/>
          <w:b/>
          <w:color w:val="232120"/>
        </w:rPr>
        <w:t>’</w:t>
      </w:r>
      <w:r w:rsidR="00615CE2">
        <w:rPr>
          <w:rFonts w:cs="Arial"/>
          <w:b/>
          <w:color w:val="232120"/>
        </w:rPr>
        <w:t xml:space="preserve"> </w:t>
      </w:r>
      <w:proofErr w:type="gramStart"/>
      <w:r w:rsidR="00615CE2">
        <w:rPr>
          <w:rFonts w:cs="Arial"/>
          <w:b/>
          <w:color w:val="232120"/>
        </w:rPr>
        <w:t>Marriage</w:t>
      </w:r>
      <w:r w:rsidR="001E79A9" w:rsidRPr="00331C61">
        <w:rPr>
          <w:rFonts w:cs="Arial"/>
          <w:b/>
          <w:color w:val="232120"/>
        </w:rPr>
        <w:t xml:space="preserve">  </w:t>
      </w:r>
      <w:r w:rsidR="001E79A9" w:rsidRPr="00331C61">
        <w:rPr>
          <w:rFonts w:cs="Arial"/>
          <w:b/>
          <w:color w:val="232120"/>
        </w:rPr>
        <w:tab/>
      </w:r>
      <w:proofErr w:type="gramEnd"/>
      <w:r w:rsidR="001E79A9" w:rsidRPr="00331C61">
        <w:rPr>
          <w:rFonts w:cs="Arial"/>
          <w:b/>
          <w:color w:val="232120"/>
        </w:rPr>
        <w:tab/>
      </w:r>
      <w:r>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t>0</w:t>
      </w:r>
      <w:r w:rsidR="005C4B3E">
        <w:rPr>
          <w:rFonts w:cs="Arial"/>
          <w:b/>
          <w:color w:val="232120"/>
        </w:rPr>
        <w:t>7</w:t>
      </w:r>
    </w:p>
    <w:p w14:paraId="4106C5AE" w14:textId="203E67BB" w:rsidR="00615CE2" w:rsidRPr="00615CE2" w:rsidRDefault="00615CE2" w:rsidP="00331C61">
      <w:pPr>
        <w:pStyle w:val="Default"/>
        <w:spacing w:line="480" w:lineRule="auto"/>
        <w:rPr>
          <w:rFonts w:cs="Arial"/>
          <w:bCs/>
          <w:color w:val="232120"/>
        </w:rPr>
      </w:pPr>
      <w:r>
        <w:rPr>
          <w:rFonts w:cs="Arial"/>
          <w:b/>
          <w:color w:val="232120"/>
        </w:rPr>
        <w:tab/>
      </w:r>
      <w:r w:rsidRPr="00615CE2">
        <w:rPr>
          <w:rFonts w:cs="Arial"/>
          <w:bCs/>
          <w:color w:val="232120"/>
        </w:rPr>
        <w:t>Human Rights Standards</w:t>
      </w:r>
      <w:r w:rsidR="003D6770">
        <w:rPr>
          <w:rFonts w:cs="Arial"/>
          <w:bCs/>
          <w:color w:val="232120"/>
        </w:rPr>
        <w:tab/>
      </w:r>
      <w:r w:rsidR="003D6770">
        <w:rPr>
          <w:rFonts w:cs="Arial"/>
          <w:bCs/>
          <w:color w:val="232120"/>
        </w:rPr>
        <w:tab/>
      </w:r>
      <w:r w:rsidR="003D6770">
        <w:rPr>
          <w:rFonts w:cs="Arial"/>
          <w:bCs/>
          <w:color w:val="232120"/>
        </w:rPr>
        <w:tab/>
      </w:r>
      <w:r w:rsidR="003D6770">
        <w:rPr>
          <w:rFonts w:cs="Arial"/>
          <w:bCs/>
          <w:color w:val="232120"/>
        </w:rPr>
        <w:tab/>
      </w:r>
      <w:r w:rsidR="003D6770">
        <w:rPr>
          <w:rFonts w:cs="Arial"/>
          <w:bCs/>
          <w:color w:val="232120"/>
        </w:rPr>
        <w:tab/>
      </w:r>
      <w:r w:rsidR="003D6770">
        <w:rPr>
          <w:rFonts w:cs="Arial"/>
          <w:bCs/>
          <w:color w:val="232120"/>
        </w:rPr>
        <w:tab/>
      </w:r>
      <w:r w:rsidR="003D6770">
        <w:rPr>
          <w:rFonts w:cs="Arial"/>
          <w:bCs/>
          <w:color w:val="232120"/>
        </w:rPr>
        <w:tab/>
      </w:r>
      <w:r w:rsidR="003D6770">
        <w:rPr>
          <w:rFonts w:cs="Arial"/>
          <w:bCs/>
          <w:color w:val="232120"/>
        </w:rPr>
        <w:tab/>
        <w:t>0</w:t>
      </w:r>
      <w:r w:rsidR="005C4B3E">
        <w:rPr>
          <w:rFonts w:cs="Arial"/>
          <w:bCs/>
          <w:color w:val="232120"/>
        </w:rPr>
        <w:t>7</w:t>
      </w:r>
    </w:p>
    <w:p w14:paraId="47AF8F91" w14:textId="708D6B62" w:rsidR="009B7BB1" w:rsidRPr="00400AD2" w:rsidRDefault="00270C44" w:rsidP="00400AD2">
      <w:pPr>
        <w:pStyle w:val="Default"/>
        <w:spacing w:line="480" w:lineRule="auto"/>
        <w:ind w:left="720" w:hanging="720"/>
        <w:rPr>
          <w:rFonts w:cs="Arial"/>
          <w:color w:val="232120"/>
        </w:rPr>
      </w:pPr>
      <w:r>
        <w:rPr>
          <w:rFonts w:cs="Arial"/>
          <w:b/>
          <w:color w:val="232120"/>
        </w:rPr>
        <w:t>Child Marriage</w:t>
      </w:r>
      <w:r w:rsidR="00FF7358">
        <w:rPr>
          <w:rFonts w:cs="Arial"/>
          <w:b/>
          <w:color w:val="232120"/>
        </w:rPr>
        <w:tab/>
      </w:r>
      <w:r w:rsidR="00FF7358">
        <w:rPr>
          <w:rFonts w:cs="Arial"/>
          <w:b/>
          <w:color w:val="232120"/>
        </w:rPr>
        <w:tab/>
      </w:r>
      <w:r w:rsidR="00FF7358">
        <w:rPr>
          <w:rFonts w:cs="Arial"/>
          <w:b/>
          <w:color w:val="232120"/>
        </w:rPr>
        <w:tab/>
      </w:r>
      <w:r w:rsidR="00FF7358">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3D6770">
        <w:rPr>
          <w:rFonts w:cs="Arial"/>
          <w:b/>
          <w:color w:val="232120"/>
        </w:rPr>
        <w:t>1</w:t>
      </w:r>
      <w:r w:rsidR="005025F2">
        <w:rPr>
          <w:rFonts w:cs="Arial"/>
          <w:b/>
          <w:color w:val="232120"/>
        </w:rPr>
        <w:t>2</w:t>
      </w:r>
      <w:r w:rsidR="001E79A9" w:rsidRPr="00331C61">
        <w:rPr>
          <w:rFonts w:cs="Arial"/>
          <w:b/>
          <w:color w:val="232120"/>
        </w:rPr>
        <w:br/>
      </w:r>
      <w:r w:rsidR="00404171">
        <w:rPr>
          <w:rFonts w:cs="Arial"/>
          <w:color w:val="232120"/>
        </w:rPr>
        <w:t>Raising the Minimum Age</w:t>
      </w:r>
      <w:r>
        <w:rPr>
          <w:rFonts w:cs="Arial"/>
          <w:color w:val="232120"/>
        </w:rPr>
        <w:tab/>
      </w:r>
      <w:r>
        <w:rPr>
          <w:rFonts w:cs="Arial"/>
          <w:color w:val="232120"/>
        </w:rPr>
        <w:tab/>
      </w:r>
      <w:r>
        <w:rPr>
          <w:rFonts w:cs="Arial"/>
          <w:color w:val="232120"/>
        </w:rPr>
        <w:tab/>
      </w:r>
      <w:r>
        <w:rPr>
          <w:rFonts w:cs="Arial"/>
          <w:color w:val="232120"/>
        </w:rPr>
        <w:tab/>
      </w:r>
      <w:r w:rsidR="003B7D0E" w:rsidRPr="00331C61">
        <w:rPr>
          <w:rFonts w:cs="Arial"/>
          <w:color w:val="232120"/>
        </w:rPr>
        <w:tab/>
      </w:r>
      <w:r w:rsidR="003B7D0E" w:rsidRPr="00331C61">
        <w:rPr>
          <w:rFonts w:cs="Arial"/>
          <w:color w:val="232120"/>
        </w:rPr>
        <w:tab/>
      </w:r>
      <w:r>
        <w:rPr>
          <w:rFonts w:cs="Arial"/>
          <w:color w:val="232120"/>
        </w:rPr>
        <w:tab/>
      </w:r>
      <w:r w:rsidR="001E79A9" w:rsidRPr="00331C61">
        <w:rPr>
          <w:rFonts w:cs="Arial"/>
          <w:color w:val="232120"/>
        </w:rPr>
        <w:tab/>
      </w:r>
      <w:r w:rsidR="003D6770">
        <w:rPr>
          <w:rFonts w:cs="Arial"/>
          <w:color w:val="232120"/>
        </w:rPr>
        <w:t>1</w:t>
      </w:r>
      <w:r w:rsidR="005025F2">
        <w:rPr>
          <w:rFonts w:cs="Arial"/>
          <w:color w:val="232120"/>
        </w:rPr>
        <w:t>2</w:t>
      </w:r>
    </w:p>
    <w:p w14:paraId="35239275" w14:textId="5E3CC55F" w:rsidR="0094492C" w:rsidRPr="0094492C" w:rsidRDefault="0094492C" w:rsidP="009B7BB1">
      <w:pPr>
        <w:pStyle w:val="Default"/>
        <w:spacing w:line="480" w:lineRule="auto"/>
        <w:ind w:left="720"/>
        <w:rPr>
          <w:rFonts w:cs="Arial"/>
          <w:bCs/>
          <w:color w:val="232120"/>
        </w:rPr>
      </w:pPr>
      <w:r w:rsidRPr="0094492C">
        <w:rPr>
          <w:rFonts w:cs="Arial"/>
          <w:bCs/>
          <w:color w:val="232120"/>
        </w:rPr>
        <w:t>Gender Impact of Child Marriage</w:t>
      </w:r>
      <w:r w:rsidRPr="0094492C">
        <w:rPr>
          <w:rFonts w:cs="Arial"/>
          <w:bCs/>
          <w:color w:val="232120"/>
        </w:rPr>
        <w:tab/>
      </w:r>
      <w:r w:rsidR="009B7BB1">
        <w:rPr>
          <w:rFonts w:cs="Arial"/>
          <w:bCs/>
          <w:color w:val="232120"/>
        </w:rPr>
        <w:tab/>
      </w:r>
      <w:r w:rsidR="009B7BB1">
        <w:rPr>
          <w:rFonts w:cs="Arial"/>
          <w:bCs/>
          <w:color w:val="232120"/>
        </w:rPr>
        <w:tab/>
      </w:r>
      <w:r w:rsidR="009B7BB1">
        <w:rPr>
          <w:rFonts w:cs="Arial"/>
          <w:bCs/>
          <w:color w:val="232120"/>
        </w:rPr>
        <w:tab/>
      </w:r>
      <w:r w:rsidR="009B7BB1">
        <w:rPr>
          <w:rFonts w:cs="Arial"/>
          <w:bCs/>
          <w:color w:val="232120"/>
        </w:rPr>
        <w:tab/>
      </w:r>
      <w:r w:rsidR="009B7BB1">
        <w:rPr>
          <w:rFonts w:cs="Arial"/>
          <w:bCs/>
          <w:color w:val="232120"/>
        </w:rPr>
        <w:tab/>
      </w:r>
      <w:r w:rsidR="009B7BB1">
        <w:rPr>
          <w:rFonts w:cs="Arial"/>
          <w:bCs/>
          <w:color w:val="232120"/>
        </w:rPr>
        <w:tab/>
      </w:r>
      <w:r w:rsidR="003D6770">
        <w:rPr>
          <w:rFonts w:cs="Arial"/>
          <w:bCs/>
          <w:color w:val="232120"/>
        </w:rPr>
        <w:t>1</w:t>
      </w:r>
      <w:r w:rsidR="00400AD2">
        <w:rPr>
          <w:rFonts w:cs="Arial"/>
          <w:bCs/>
          <w:color w:val="232120"/>
        </w:rPr>
        <w:t>3</w:t>
      </w:r>
    </w:p>
    <w:p w14:paraId="30B651BF" w14:textId="541722EC" w:rsidR="003B7D0E" w:rsidRPr="00331C61" w:rsidRDefault="0094492C" w:rsidP="00331C61">
      <w:pPr>
        <w:pStyle w:val="Default"/>
        <w:spacing w:line="480" w:lineRule="auto"/>
        <w:ind w:firstLine="720"/>
        <w:rPr>
          <w:rFonts w:cs="Arial"/>
          <w:color w:val="232120"/>
        </w:rPr>
      </w:pPr>
      <w:r>
        <w:rPr>
          <w:rFonts w:cs="Arial"/>
          <w:color w:val="232120"/>
        </w:rPr>
        <w:t>Forced Marriage</w:t>
      </w:r>
      <w:r>
        <w:rPr>
          <w:rFonts w:cs="Arial"/>
          <w:color w:val="232120"/>
        </w:rPr>
        <w:tab/>
      </w:r>
      <w:r>
        <w:rPr>
          <w:rFonts w:cs="Arial"/>
          <w:color w:val="232120"/>
        </w:rPr>
        <w:tab/>
      </w:r>
      <w:r>
        <w:rPr>
          <w:rFonts w:cs="Arial"/>
          <w:color w:val="232120"/>
        </w:rPr>
        <w:tab/>
      </w:r>
      <w:r>
        <w:rPr>
          <w:rFonts w:cs="Arial"/>
          <w:color w:val="232120"/>
        </w:rPr>
        <w:tab/>
      </w:r>
      <w:r w:rsidR="003B7D0E" w:rsidRPr="00331C61">
        <w:rPr>
          <w:rFonts w:cs="Arial"/>
          <w:color w:val="232120"/>
        </w:rPr>
        <w:tab/>
      </w:r>
      <w:r w:rsidR="003B7D0E"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sidR="003D6770">
        <w:rPr>
          <w:rFonts w:cs="Arial"/>
          <w:color w:val="232120"/>
        </w:rPr>
        <w:t>1</w:t>
      </w:r>
      <w:r w:rsidR="00400AD2">
        <w:rPr>
          <w:rFonts w:cs="Arial"/>
          <w:color w:val="232120"/>
        </w:rPr>
        <w:t>4</w:t>
      </w:r>
    </w:p>
    <w:p w14:paraId="5D6ACB8D" w14:textId="1AB8B5BA" w:rsidR="001E79A9" w:rsidRDefault="00400AD2" w:rsidP="00400AD2">
      <w:pPr>
        <w:pStyle w:val="Default"/>
        <w:spacing w:line="288" w:lineRule="auto"/>
        <w:ind w:firstLine="720"/>
        <w:rPr>
          <w:rFonts w:cs="Arial"/>
          <w:b/>
          <w:color w:val="232120"/>
        </w:rPr>
      </w:pPr>
      <w:r w:rsidRPr="009B7BB1">
        <w:rPr>
          <w:rFonts w:cs="Arial"/>
          <w:bCs/>
          <w:color w:val="232120"/>
        </w:rPr>
        <w:t>Recognition of Foreign Marriages or Civil Partnerships</w:t>
      </w:r>
      <w:r>
        <w:rPr>
          <w:rFonts w:cs="Arial"/>
          <w:bCs/>
          <w:color w:val="232120"/>
        </w:rPr>
        <w:t xml:space="preserve"> </w:t>
      </w:r>
      <w:r>
        <w:rPr>
          <w:rFonts w:cs="Arial"/>
          <w:bCs/>
          <w:color w:val="232120"/>
        </w:rPr>
        <w:tab/>
      </w:r>
      <w:r>
        <w:rPr>
          <w:rFonts w:cs="Arial"/>
          <w:bCs/>
          <w:color w:val="232120"/>
        </w:rPr>
        <w:tab/>
      </w:r>
      <w:r>
        <w:rPr>
          <w:rFonts w:cs="Arial"/>
          <w:bCs/>
          <w:color w:val="232120"/>
        </w:rPr>
        <w:tab/>
        <w:t>19</w:t>
      </w:r>
    </w:p>
    <w:p w14:paraId="650FBEC8" w14:textId="77777777" w:rsidR="00270C44" w:rsidRDefault="00270C44" w:rsidP="00331C61">
      <w:pPr>
        <w:pStyle w:val="Default"/>
        <w:spacing w:line="288" w:lineRule="auto"/>
        <w:rPr>
          <w:rFonts w:cs="Arial"/>
          <w:b/>
          <w:color w:val="232120"/>
        </w:rPr>
      </w:pPr>
    </w:p>
    <w:p w14:paraId="2816E157" w14:textId="77777777" w:rsidR="00270C44" w:rsidRDefault="00270C44" w:rsidP="00331C61">
      <w:pPr>
        <w:pStyle w:val="Default"/>
        <w:spacing w:line="288" w:lineRule="auto"/>
        <w:rPr>
          <w:rFonts w:cs="Arial"/>
          <w:b/>
          <w:color w:val="232120"/>
        </w:rPr>
      </w:pPr>
    </w:p>
    <w:p w14:paraId="10CF828D" w14:textId="77777777" w:rsidR="00270C44" w:rsidRDefault="00270C44" w:rsidP="00331C61">
      <w:pPr>
        <w:pStyle w:val="Default"/>
        <w:spacing w:line="288" w:lineRule="auto"/>
        <w:rPr>
          <w:rFonts w:cs="Arial"/>
          <w:b/>
          <w:color w:val="232120"/>
        </w:rPr>
      </w:pPr>
    </w:p>
    <w:p w14:paraId="03D01AB1" w14:textId="77777777" w:rsidR="00270C44" w:rsidRDefault="00270C44" w:rsidP="00331C61">
      <w:pPr>
        <w:pStyle w:val="Default"/>
        <w:spacing w:line="288" w:lineRule="auto"/>
        <w:rPr>
          <w:rFonts w:cs="Arial"/>
          <w:b/>
          <w:color w:val="232120"/>
        </w:rPr>
      </w:pPr>
    </w:p>
    <w:p w14:paraId="619CA601" w14:textId="77777777" w:rsidR="00270C44" w:rsidRPr="00331C61" w:rsidRDefault="00270C44" w:rsidP="00331C61">
      <w:pPr>
        <w:pStyle w:val="Default"/>
        <w:spacing w:line="288" w:lineRule="auto"/>
        <w:rPr>
          <w:rFonts w:cs="Arial"/>
          <w:b/>
          <w:color w:val="232120"/>
        </w:rPr>
      </w:pPr>
    </w:p>
    <w:p w14:paraId="51996CEC" w14:textId="77777777" w:rsidR="00EA12CE" w:rsidRPr="00331C61" w:rsidRDefault="00EA12CE" w:rsidP="00331C61">
      <w:pPr>
        <w:pStyle w:val="Default"/>
        <w:spacing w:line="288" w:lineRule="auto"/>
        <w:rPr>
          <w:rFonts w:cs="Arial"/>
          <w:b/>
          <w:color w:val="232120"/>
        </w:rPr>
      </w:pPr>
    </w:p>
    <w:p w14:paraId="05F47D8B" w14:textId="77777777" w:rsidR="00EA12CE" w:rsidRPr="00331C61" w:rsidRDefault="00EA12CE" w:rsidP="00331C61">
      <w:pPr>
        <w:pStyle w:val="Default"/>
        <w:spacing w:line="288" w:lineRule="auto"/>
        <w:rPr>
          <w:rFonts w:cs="Arial"/>
          <w:b/>
          <w:color w:val="232120"/>
        </w:rPr>
      </w:pPr>
    </w:p>
    <w:p w14:paraId="0F80EEE1" w14:textId="77777777" w:rsidR="00EA12CE" w:rsidRPr="00331C61" w:rsidRDefault="00EA12CE" w:rsidP="00331C61">
      <w:pPr>
        <w:pStyle w:val="Default"/>
        <w:spacing w:line="288" w:lineRule="auto"/>
        <w:rPr>
          <w:rFonts w:cs="Arial"/>
          <w:b/>
          <w:color w:val="232120"/>
        </w:rPr>
      </w:pPr>
    </w:p>
    <w:p w14:paraId="6058D5C0" w14:textId="77777777" w:rsidR="00EA12CE" w:rsidRPr="00331C61" w:rsidRDefault="00EA12CE" w:rsidP="00331C61">
      <w:pPr>
        <w:pStyle w:val="Default"/>
        <w:spacing w:line="288" w:lineRule="auto"/>
        <w:rPr>
          <w:rFonts w:cs="Arial"/>
          <w:b/>
          <w:color w:val="232120"/>
        </w:rPr>
      </w:pPr>
    </w:p>
    <w:p w14:paraId="4B0D0070" w14:textId="77777777" w:rsidR="00EA12CE" w:rsidRPr="00331C61" w:rsidRDefault="00EA12CE" w:rsidP="00331C61">
      <w:pPr>
        <w:pStyle w:val="Default"/>
        <w:spacing w:line="288" w:lineRule="auto"/>
        <w:rPr>
          <w:rFonts w:cs="Arial"/>
          <w:b/>
          <w:color w:val="232120"/>
        </w:rPr>
      </w:pPr>
    </w:p>
    <w:p w14:paraId="4CD6B2C9" w14:textId="77777777" w:rsidR="00EA12CE" w:rsidRPr="00331C61" w:rsidRDefault="00EA12CE" w:rsidP="00331C61">
      <w:pPr>
        <w:pStyle w:val="Default"/>
        <w:spacing w:line="288" w:lineRule="auto"/>
        <w:rPr>
          <w:rFonts w:cs="Arial"/>
          <w:b/>
          <w:color w:val="232120"/>
        </w:rPr>
      </w:pPr>
    </w:p>
    <w:p w14:paraId="6395AAA6" w14:textId="77777777" w:rsidR="00EA12CE" w:rsidRPr="00331C61" w:rsidRDefault="00EA12CE" w:rsidP="00331C61">
      <w:pPr>
        <w:pStyle w:val="Default"/>
        <w:spacing w:line="288" w:lineRule="auto"/>
        <w:rPr>
          <w:rFonts w:cs="Arial"/>
          <w:b/>
          <w:color w:val="232120"/>
        </w:rPr>
      </w:pPr>
    </w:p>
    <w:p w14:paraId="7FC09624" w14:textId="77777777" w:rsidR="00EA12CE" w:rsidRPr="00331C61" w:rsidRDefault="00EA12CE" w:rsidP="00331C61">
      <w:pPr>
        <w:pStyle w:val="Default"/>
        <w:spacing w:line="288" w:lineRule="auto"/>
        <w:rPr>
          <w:rFonts w:cs="Arial"/>
          <w:b/>
          <w:color w:val="232120"/>
        </w:rPr>
      </w:pPr>
    </w:p>
    <w:p w14:paraId="1A4CDC3D" w14:textId="77777777" w:rsidR="00EA12CE" w:rsidRPr="00331C61" w:rsidRDefault="00EA12CE" w:rsidP="00331C61">
      <w:pPr>
        <w:pStyle w:val="Default"/>
        <w:spacing w:line="288" w:lineRule="auto"/>
        <w:rPr>
          <w:rFonts w:cs="Arial"/>
          <w:b/>
          <w:color w:val="232120"/>
        </w:rPr>
      </w:pPr>
    </w:p>
    <w:p w14:paraId="11A9DF10" w14:textId="77777777" w:rsidR="00EA12CE" w:rsidRPr="00331C61" w:rsidRDefault="00EA12CE" w:rsidP="00331C61">
      <w:pPr>
        <w:pStyle w:val="Default"/>
        <w:spacing w:line="288" w:lineRule="auto"/>
        <w:rPr>
          <w:rFonts w:cs="Arial"/>
          <w:b/>
          <w:color w:val="232120"/>
        </w:rPr>
      </w:pPr>
    </w:p>
    <w:p w14:paraId="3CDF268E" w14:textId="77777777" w:rsidR="00EA12CE" w:rsidRPr="00331C61" w:rsidRDefault="00EA12CE" w:rsidP="00331C61">
      <w:pPr>
        <w:pStyle w:val="Default"/>
        <w:spacing w:line="288" w:lineRule="auto"/>
        <w:rPr>
          <w:rFonts w:cs="Arial"/>
          <w:b/>
          <w:color w:val="232120"/>
        </w:rPr>
      </w:pPr>
    </w:p>
    <w:p w14:paraId="57D6E2D6" w14:textId="77777777" w:rsidR="00EA12CE" w:rsidRPr="00331C61" w:rsidRDefault="00EA12CE" w:rsidP="00331C61">
      <w:pPr>
        <w:pStyle w:val="Default"/>
        <w:spacing w:line="288" w:lineRule="auto"/>
        <w:rPr>
          <w:rFonts w:cs="Arial"/>
          <w:b/>
          <w:color w:val="232120"/>
        </w:rPr>
      </w:pPr>
    </w:p>
    <w:p w14:paraId="69C90FFE" w14:textId="77777777" w:rsidR="00EA12CE" w:rsidRPr="00331C61" w:rsidRDefault="00EA12CE" w:rsidP="00331C61">
      <w:pPr>
        <w:pStyle w:val="Default"/>
        <w:spacing w:line="288" w:lineRule="auto"/>
        <w:rPr>
          <w:rFonts w:cs="Arial"/>
          <w:b/>
          <w:color w:val="232120"/>
        </w:rPr>
      </w:pPr>
    </w:p>
    <w:p w14:paraId="617784D3" w14:textId="77777777" w:rsidR="00EA12CE" w:rsidRPr="00331C61" w:rsidRDefault="00EA12CE" w:rsidP="00331C61">
      <w:pPr>
        <w:pStyle w:val="Default"/>
        <w:spacing w:line="288" w:lineRule="auto"/>
        <w:rPr>
          <w:rFonts w:cs="Arial"/>
          <w:b/>
          <w:color w:val="232120"/>
        </w:rPr>
      </w:pPr>
    </w:p>
    <w:p w14:paraId="412F6EAA" w14:textId="28CCAE28" w:rsidR="00EA12CE" w:rsidRDefault="00EA12CE" w:rsidP="00331C61">
      <w:pPr>
        <w:pStyle w:val="Default"/>
        <w:spacing w:line="288" w:lineRule="auto"/>
        <w:rPr>
          <w:rFonts w:cs="Arial"/>
          <w:b/>
          <w:color w:val="232120"/>
        </w:rPr>
      </w:pPr>
    </w:p>
    <w:p w14:paraId="4F421005" w14:textId="346D6157" w:rsidR="00400AD2" w:rsidRDefault="00400AD2" w:rsidP="00331C61">
      <w:pPr>
        <w:pStyle w:val="Default"/>
        <w:spacing w:line="288" w:lineRule="auto"/>
        <w:rPr>
          <w:rFonts w:cs="Arial"/>
          <w:b/>
          <w:color w:val="232120"/>
        </w:rPr>
      </w:pPr>
    </w:p>
    <w:p w14:paraId="633C120E" w14:textId="77777777" w:rsidR="00400AD2" w:rsidRPr="00331C61" w:rsidRDefault="00400AD2" w:rsidP="00331C61">
      <w:pPr>
        <w:pStyle w:val="Default"/>
        <w:spacing w:line="288" w:lineRule="auto"/>
        <w:rPr>
          <w:rFonts w:cs="Arial"/>
          <w:b/>
          <w:color w:val="232120"/>
        </w:rPr>
      </w:pPr>
    </w:p>
    <w:p w14:paraId="53B54BB2" w14:textId="77777777" w:rsidR="00EA12CE" w:rsidRPr="00331C61" w:rsidRDefault="00EA12CE" w:rsidP="00331C61">
      <w:pPr>
        <w:pStyle w:val="Default"/>
        <w:spacing w:line="288" w:lineRule="auto"/>
        <w:rPr>
          <w:rFonts w:cs="Arial"/>
          <w:b/>
          <w:color w:val="232120"/>
        </w:rPr>
      </w:pPr>
    </w:p>
    <w:p w14:paraId="6D25C0A1" w14:textId="77777777" w:rsidR="007569C1" w:rsidRPr="00331C61" w:rsidRDefault="007569C1" w:rsidP="00331C61">
      <w:pPr>
        <w:pStyle w:val="BasicParagraph"/>
        <w:suppressAutoHyphens/>
        <w:rPr>
          <w:rFonts w:ascii="Verdana" w:hAnsi="Verdana" w:cs="Arial"/>
          <w:color w:val="232120"/>
        </w:rPr>
      </w:pPr>
    </w:p>
    <w:p w14:paraId="5C5BDFF1" w14:textId="77777777" w:rsidR="000C7662" w:rsidRPr="005C4B3E" w:rsidRDefault="000C7662" w:rsidP="00331C61">
      <w:pPr>
        <w:pStyle w:val="BasicParagraph"/>
        <w:suppressAutoHyphens/>
        <w:rPr>
          <w:rFonts w:ascii="Verdana" w:hAnsi="Verdana" w:cs="Arial"/>
          <w:b/>
          <w:color w:val="77328A"/>
          <w:sz w:val="30"/>
          <w:szCs w:val="30"/>
        </w:rPr>
      </w:pPr>
      <w:r w:rsidRPr="005C4B3E">
        <w:rPr>
          <w:rFonts w:ascii="Verdana" w:hAnsi="Verdana" w:cs="Arial"/>
          <w:b/>
          <w:color w:val="77328A"/>
          <w:sz w:val="30"/>
          <w:szCs w:val="30"/>
        </w:rPr>
        <w:t>Summary of Recommendations</w:t>
      </w:r>
    </w:p>
    <w:p w14:paraId="4BAAF957" w14:textId="77777777" w:rsidR="009B7BB1" w:rsidRDefault="009B7BB1" w:rsidP="00331C61">
      <w:pPr>
        <w:pStyle w:val="BasicParagraph"/>
        <w:suppressAutoHyphens/>
        <w:rPr>
          <w:rFonts w:ascii="Verdana" w:hAnsi="Verdana" w:cs="Arial"/>
          <w:b/>
          <w:color w:val="77328A"/>
          <w:sz w:val="30"/>
          <w:szCs w:val="30"/>
        </w:rPr>
      </w:pPr>
    </w:p>
    <w:p w14:paraId="792C61CF" w14:textId="750836CD" w:rsidR="009B7BB1" w:rsidRDefault="009B7BB1" w:rsidP="00331C61">
      <w:pPr>
        <w:pStyle w:val="BasicParagraph"/>
        <w:suppressAutoHyphens/>
        <w:rPr>
          <w:rFonts w:ascii="Verdana" w:hAnsi="Verdana" w:cs="Arial"/>
          <w:bCs/>
          <w:color w:val="auto"/>
        </w:rPr>
      </w:pPr>
      <w:r>
        <w:rPr>
          <w:rFonts w:ascii="Verdana" w:hAnsi="Verdana" w:cs="Arial"/>
          <w:bCs/>
          <w:color w:val="auto"/>
        </w:rPr>
        <w:t xml:space="preserve">The NI Human Rights </w:t>
      </w:r>
      <w:r w:rsidR="00345C07">
        <w:rPr>
          <w:rFonts w:ascii="Verdana" w:hAnsi="Verdana" w:cs="Arial"/>
          <w:bCs/>
          <w:color w:val="auto"/>
        </w:rPr>
        <w:t>Commission</w:t>
      </w:r>
      <w:r>
        <w:rPr>
          <w:rFonts w:ascii="Verdana" w:hAnsi="Verdana" w:cs="Arial"/>
          <w:bCs/>
          <w:color w:val="auto"/>
        </w:rPr>
        <w:t xml:space="preserve"> (NIHRC): </w:t>
      </w:r>
    </w:p>
    <w:p w14:paraId="1A4D2328" w14:textId="77777777" w:rsidR="005025F2" w:rsidRDefault="005025F2" w:rsidP="005025F2">
      <w:pPr>
        <w:rPr>
          <w:b/>
        </w:rPr>
      </w:pPr>
    </w:p>
    <w:p w14:paraId="34B42E9D" w14:textId="4A57DE8D" w:rsidR="005025F2" w:rsidRPr="005025F2" w:rsidRDefault="005025F2" w:rsidP="005025F2">
      <w:pPr>
        <w:ind w:left="720" w:hanging="720"/>
        <w:rPr>
          <w:rFonts w:ascii="Verdana" w:hAnsi="Verdana"/>
          <w:b/>
        </w:rPr>
      </w:pPr>
      <w:r w:rsidRPr="005025F2">
        <w:rPr>
          <w:rFonts w:ascii="Verdana" w:hAnsi="Verdana"/>
          <w:b/>
        </w:rPr>
        <w:t>2.12</w:t>
      </w:r>
      <w:r w:rsidRPr="005025F2">
        <w:rPr>
          <w:rFonts w:ascii="Verdana" w:hAnsi="Verdana"/>
          <w:b/>
        </w:rPr>
        <w:tab/>
        <w:t xml:space="preserve">supports the proposal to amend the Marriage Order 2003 so that belief marriage is placed on an equal statutory footing with religious marriage, in accordance with Article 9 and Article 14 of the ECHR. </w:t>
      </w:r>
    </w:p>
    <w:p w14:paraId="4661DCCA" w14:textId="77777777" w:rsidR="009B7BB1" w:rsidRPr="005025F2" w:rsidRDefault="009B7BB1" w:rsidP="00331C61">
      <w:pPr>
        <w:pStyle w:val="BasicParagraph"/>
        <w:suppressAutoHyphens/>
        <w:rPr>
          <w:rFonts w:ascii="Verdana" w:hAnsi="Verdana" w:cs="Arial"/>
          <w:bCs/>
          <w:color w:val="auto"/>
        </w:rPr>
      </w:pPr>
    </w:p>
    <w:p w14:paraId="659AD6ED" w14:textId="280193CD" w:rsidR="005025F2" w:rsidRPr="005025F2" w:rsidRDefault="005025F2" w:rsidP="005025F2">
      <w:pPr>
        <w:ind w:left="720" w:hanging="720"/>
        <w:rPr>
          <w:rFonts w:ascii="Verdana" w:hAnsi="Verdana"/>
          <w:b/>
        </w:rPr>
      </w:pPr>
      <w:r w:rsidRPr="005025F2">
        <w:rPr>
          <w:rFonts w:ascii="Verdana" w:hAnsi="Verdana"/>
          <w:b/>
        </w:rPr>
        <w:t xml:space="preserve">2.17 </w:t>
      </w:r>
      <w:r w:rsidRPr="005025F2">
        <w:rPr>
          <w:rFonts w:ascii="Verdana" w:hAnsi="Verdana"/>
          <w:b/>
        </w:rPr>
        <w:tab/>
        <w:t>recommends that the Department of Finance develops specific statutory criteria to define belief groups and religious groups. Any guidance produced should be subject to further consultation with key stakeholders.</w:t>
      </w:r>
    </w:p>
    <w:p w14:paraId="00341FE9" w14:textId="77777777" w:rsidR="005025F2" w:rsidRPr="005025F2" w:rsidRDefault="005025F2" w:rsidP="005025F2">
      <w:pPr>
        <w:pStyle w:val="BasicParagraph"/>
        <w:suppressAutoHyphens/>
        <w:rPr>
          <w:rFonts w:ascii="Verdana" w:hAnsi="Verdana"/>
          <w:b/>
          <w:color w:val="auto"/>
        </w:rPr>
      </w:pPr>
    </w:p>
    <w:p w14:paraId="6AB8F101" w14:textId="5F8FEB60" w:rsidR="005025F2" w:rsidRPr="005025F2" w:rsidRDefault="005025F2" w:rsidP="005025F2">
      <w:pPr>
        <w:ind w:left="720" w:hanging="720"/>
        <w:rPr>
          <w:rFonts w:ascii="Verdana" w:hAnsi="Verdana"/>
          <w:b/>
        </w:rPr>
      </w:pPr>
      <w:r w:rsidRPr="005025F2">
        <w:rPr>
          <w:rFonts w:ascii="Verdana" w:hAnsi="Verdana"/>
          <w:b/>
        </w:rPr>
        <w:t>2.18</w:t>
      </w:r>
      <w:r w:rsidRPr="005025F2">
        <w:rPr>
          <w:rFonts w:ascii="Verdana" w:hAnsi="Verdana"/>
          <w:b/>
        </w:rPr>
        <w:tab/>
        <w:t xml:space="preserve">recommends that any new proposal by the Department to amend marriage law and/or policy in NI is subject to a comprehensive human rights impact assessment which outlines any potential interference with Article 9 ECHR, Article 12 </w:t>
      </w:r>
      <w:proofErr w:type="gramStart"/>
      <w:r w:rsidRPr="005025F2">
        <w:rPr>
          <w:rFonts w:ascii="Verdana" w:hAnsi="Verdana"/>
          <w:b/>
        </w:rPr>
        <w:t>ECHR</w:t>
      </w:r>
      <w:proofErr w:type="gramEnd"/>
      <w:r w:rsidRPr="005025F2">
        <w:rPr>
          <w:rFonts w:ascii="Verdana" w:hAnsi="Verdana"/>
          <w:b/>
        </w:rPr>
        <w:t xml:space="preserve"> and Article 14 ECHR in particular. </w:t>
      </w:r>
    </w:p>
    <w:p w14:paraId="54029884" w14:textId="77777777" w:rsidR="005025F2" w:rsidRPr="005025F2" w:rsidRDefault="005025F2" w:rsidP="005025F2">
      <w:pPr>
        <w:pStyle w:val="BasicParagraph"/>
        <w:suppressAutoHyphens/>
        <w:ind w:left="720" w:hanging="720"/>
        <w:rPr>
          <w:rFonts w:ascii="Verdana" w:hAnsi="Verdana" w:cs="Arial"/>
          <w:color w:val="auto"/>
        </w:rPr>
      </w:pPr>
    </w:p>
    <w:p w14:paraId="04A2BB77" w14:textId="273180A2" w:rsidR="005025F2" w:rsidRPr="005025F2" w:rsidRDefault="005025F2" w:rsidP="005025F2">
      <w:pPr>
        <w:pStyle w:val="BasicParagraph"/>
        <w:suppressAutoHyphens/>
        <w:ind w:left="720" w:hanging="720"/>
        <w:rPr>
          <w:rFonts w:ascii="Verdana" w:hAnsi="Verdana" w:cs="Arial"/>
          <w:color w:val="auto"/>
          <w:shd w:val="clear" w:color="auto" w:fill="FFFFFF"/>
        </w:rPr>
      </w:pPr>
      <w:r w:rsidRPr="005025F2">
        <w:rPr>
          <w:rFonts w:ascii="Verdana" w:hAnsi="Verdana" w:cs="Arial"/>
          <w:b/>
          <w:color w:val="auto"/>
        </w:rPr>
        <w:t>3.</w:t>
      </w:r>
      <w:r w:rsidR="00667EA5">
        <w:rPr>
          <w:rFonts w:ascii="Verdana" w:hAnsi="Verdana" w:cs="Arial"/>
          <w:b/>
          <w:color w:val="auto"/>
        </w:rPr>
        <w:t>7</w:t>
      </w:r>
      <w:r w:rsidRPr="005025F2">
        <w:rPr>
          <w:rFonts w:ascii="Verdana" w:hAnsi="Verdana" w:cs="Arial"/>
          <w:b/>
          <w:color w:val="auto"/>
        </w:rPr>
        <w:tab/>
        <w:t xml:space="preserve">recommends </w:t>
      </w:r>
      <w:r w:rsidRPr="005025F2">
        <w:rPr>
          <w:rFonts w:ascii="Verdana" w:hAnsi="Verdana" w:cs="Arial"/>
          <w:b/>
          <w:bCs/>
          <w:color w:val="auto"/>
          <w:shd w:val="clear" w:color="auto" w:fill="FFFFFF"/>
        </w:rPr>
        <w:t>that the Department of Finance introduce legislation to repeal all legal provisions permitting the marriage of children in NI and increase the minimum age for marriage to 18 years, for both girls and boys.</w:t>
      </w:r>
    </w:p>
    <w:p w14:paraId="072DF4C9" w14:textId="77777777" w:rsidR="009B7BB1" w:rsidRPr="005025F2" w:rsidRDefault="009B7BB1" w:rsidP="00331C61">
      <w:pPr>
        <w:pStyle w:val="BasicParagraph"/>
        <w:suppressAutoHyphens/>
        <w:rPr>
          <w:rFonts w:ascii="Verdana" w:hAnsi="Verdana" w:cs="Arial"/>
          <w:b/>
          <w:color w:val="auto"/>
        </w:rPr>
      </w:pPr>
    </w:p>
    <w:p w14:paraId="7ACEDCC7" w14:textId="624E1AB0" w:rsidR="005025F2" w:rsidRPr="005025F2" w:rsidRDefault="005025F2" w:rsidP="005025F2">
      <w:pPr>
        <w:pStyle w:val="BasicParagraph"/>
        <w:suppressAutoHyphens/>
        <w:ind w:left="720" w:hanging="720"/>
        <w:rPr>
          <w:rFonts w:ascii="Verdana" w:hAnsi="Verdana" w:cs="Arial"/>
          <w:b/>
          <w:color w:val="auto"/>
        </w:rPr>
      </w:pPr>
      <w:r w:rsidRPr="005025F2">
        <w:rPr>
          <w:rFonts w:ascii="Verdana" w:hAnsi="Verdana" w:cs="Arial"/>
          <w:b/>
          <w:color w:val="auto"/>
        </w:rPr>
        <w:t>3.</w:t>
      </w:r>
      <w:r w:rsidR="00400AD2">
        <w:rPr>
          <w:rFonts w:ascii="Verdana" w:hAnsi="Verdana" w:cs="Arial"/>
          <w:b/>
          <w:color w:val="auto"/>
        </w:rPr>
        <w:t>19</w:t>
      </w:r>
      <w:r>
        <w:rPr>
          <w:rFonts w:ascii="Verdana" w:hAnsi="Verdana" w:cs="Arial"/>
          <w:b/>
          <w:color w:val="auto"/>
        </w:rPr>
        <w:tab/>
      </w:r>
      <w:r w:rsidRPr="005025F2">
        <w:rPr>
          <w:rFonts w:ascii="Verdana" w:hAnsi="Verdana" w:cs="Arial"/>
          <w:b/>
          <w:color w:val="auto"/>
        </w:rPr>
        <w:t>advises that the Department of Finance is required to screen all legislation for compliance with Protocol Article 2.</w:t>
      </w:r>
    </w:p>
    <w:p w14:paraId="6CF8B43B" w14:textId="77777777" w:rsidR="005025F2" w:rsidRPr="005025F2" w:rsidRDefault="005025F2" w:rsidP="005025F2">
      <w:pPr>
        <w:pStyle w:val="BasicParagraph"/>
        <w:suppressAutoHyphens/>
        <w:rPr>
          <w:rFonts w:ascii="Verdana" w:hAnsi="Verdana" w:cs="Arial"/>
          <w:b/>
          <w:color w:val="auto"/>
        </w:rPr>
      </w:pPr>
    </w:p>
    <w:p w14:paraId="09148A0E" w14:textId="09C67E92" w:rsidR="009B7BB1" w:rsidRDefault="005025F2" w:rsidP="005025F2">
      <w:pPr>
        <w:pStyle w:val="BasicParagraph"/>
        <w:suppressAutoHyphens/>
        <w:ind w:left="720" w:hanging="720"/>
        <w:rPr>
          <w:rFonts w:ascii="Verdana" w:hAnsi="Verdana" w:cs="Arial"/>
          <w:b/>
          <w:color w:val="auto"/>
        </w:rPr>
      </w:pPr>
      <w:r w:rsidRPr="005025F2">
        <w:rPr>
          <w:rFonts w:ascii="Verdana" w:hAnsi="Verdana" w:cs="Arial"/>
          <w:b/>
          <w:color w:val="auto"/>
        </w:rPr>
        <w:t>3.2</w:t>
      </w:r>
      <w:r w:rsidR="00400AD2">
        <w:rPr>
          <w:rFonts w:ascii="Verdana" w:hAnsi="Verdana" w:cs="Arial"/>
          <w:b/>
          <w:color w:val="auto"/>
        </w:rPr>
        <w:t>0</w:t>
      </w:r>
      <w:r w:rsidRPr="005025F2">
        <w:rPr>
          <w:rFonts w:ascii="Verdana" w:hAnsi="Verdana" w:cs="Arial"/>
          <w:b/>
          <w:color w:val="auto"/>
        </w:rPr>
        <w:tab/>
        <w:t>recommends that the Department of Finance ensure that Protocol Article 2 is considered throughout the development and implementation of any subsequent legislation or policy in relation to Marriage Law.</w:t>
      </w:r>
    </w:p>
    <w:p w14:paraId="018854F3" w14:textId="662FA56C" w:rsidR="005025F2" w:rsidRDefault="005025F2" w:rsidP="005025F2">
      <w:pPr>
        <w:pStyle w:val="BasicParagraph"/>
        <w:suppressAutoHyphens/>
        <w:rPr>
          <w:rFonts w:ascii="Verdana" w:hAnsi="Verdana" w:cs="Arial"/>
          <w:b/>
          <w:color w:val="auto"/>
        </w:rPr>
      </w:pPr>
    </w:p>
    <w:p w14:paraId="7400F60D" w14:textId="33BFC948" w:rsidR="009B7BB1" w:rsidRPr="00400AD2" w:rsidRDefault="005025F2" w:rsidP="00400AD2">
      <w:pPr>
        <w:ind w:left="720" w:hanging="720"/>
        <w:rPr>
          <w:rFonts w:ascii="Verdana" w:hAnsi="Verdana"/>
          <w:b/>
        </w:rPr>
      </w:pPr>
      <w:r w:rsidRPr="00890C26">
        <w:rPr>
          <w:rFonts w:ascii="Verdana" w:hAnsi="Verdana" w:cs="Arial"/>
          <w:b/>
        </w:rPr>
        <w:t>3.2</w:t>
      </w:r>
      <w:r w:rsidR="00890C26" w:rsidRPr="00890C26">
        <w:rPr>
          <w:rFonts w:ascii="Verdana" w:hAnsi="Verdana" w:cs="Arial"/>
          <w:b/>
        </w:rPr>
        <w:t>5</w:t>
      </w:r>
      <w:r w:rsidRPr="00890C26">
        <w:rPr>
          <w:rFonts w:ascii="Verdana" w:hAnsi="Verdana" w:cs="Arial"/>
          <w:b/>
        </w:rPr>
        <w:tab/>
      </w:r>
      <w:r w:rsidR="00890C26" w:rsidRPr="00890C26">
        <w:rPr>
          <w:rFonts w:ascii="Verdana" w:hAnsi="Verdana"/>
          <w:b/>
        </w:rPr>
        <w:t>The NIHRC recommends that government departments collaborate with statutory bodies and other relevant actors to improve data collection for monitoring the prevention and elimination of child, early and forced marriage.</w:t>
      </w:r>
    </w:p>
    <w:p w14:paraId="4C0B93F8" w14:textId="77777777" w:rsidR="00890C26" w:rsidRPr="005025F2" w:rsidRDefault="00890C26" w:rsidP="00890C26">
      <w:pPr>
        <w:pStyle w:val="BasicParagraph"/>
        <w:suppressAutoHyphens/>
        <w:ind w:left="720" w:hanging="720"/>
        <w:rPr>
          <w:rFonts w:ascii="Verdana" w:hAnsi="Verdana" w:cs="Arial"/>
          <w:b/>
          <w:color w:val="auto"/>
        </w:rPr>
      </w:pPr>
    </w:p>
    <w:p w14:paraId="63EC4F0D" w14:textId="24D8519B" w:rsidR="009B7BB1" w:rsidRPr="005025F2" w:rsidRDefault="005025F2" w:rsidP="005025F2">
      <w:pPr>
        <w:pStyle w:val="BasicParagraph"/>
        <w:suppressAutoHyphens/>
        <w:ind w:left="720" w:hanging="720"/>
        <w:rPr>
          <w:rFonts w:ascii="Verdana" w:hAnsi="Verdana" w:cs="Arial"/>
          <w:b/>
          <w:color w:val="auto"/>
        </w:rPr>
      </w:pPr>
      <w:r w:rsidRPr="005025F2">
        <w:rPr>
          <w:rFonts w:ascii="Verdana" w:hAnsi="Verdana" w:cs="Arial"/>
          <w:b/>
          <w:color w:val="auto"/>
        </w:rPr>
        <w:t>3.3</w:t>
      </w:r>
      <w:r w:rsidR="00400AD2">
        <w:rPr>
          <w:rFonts w:ascii="Verdana" w:hAnsi="Verdana" w:cs="Arial"/>
          <w:b/>
          <w:color w:val="auto"/>
        </w:rPr>
        <w:t>0</w:t>
      </w:r>
      <w:r w:rsidRPr="005025F2">
        <w:rPr>
          <w:rFonts w:ascii="Verdana" w:hAnsi="Verdana" w:cs="Arial"/>
          <w:b/>
          <w:color w:val="auto"/>
        </w:rPr>
        <w:tab/>
        <w:t>advises that, under current laws, children are particularly vulnerable to forced marriage and recommends that preventative and protection efforts must be strengthened, including by sensitising parents on the need for full and free consent of their daughter or son, to her or his marriage. Other measures should include research, awareness-raising, education, and training of professionals.</w:t>
      </w:r>
    </w:p>
    <w:p w14:paraId="7BA18926" w14:textId="77777777" w:rsidR="009B7BB1" w:rsidRDefault="009B7BB1" w:rsidP="00331C61">
      <w:pPr>
        <w:pStyle w:val="BasicParagraph"/>
        <w:suppressAutoHyphens/>
        <w:rPr>
          <w:rFonts w:ascii="Verdana" w:hAnsi="Verdana" w:cs="Arial"/>
          <w:b/>
          <w:color w:val="77328A"/>
          <w:sz w:val="30"/>
          <w:szCs w:val="30"/>
        </w:rPr>
      </w:pPr>
    </w:p>
    <w:p w14:paraId="19BF5D2F" w14:textId="44DD7631" w:rsidR="00400AD2" w:rsidRPr="005025F2" w:rsidRDefault="00400AD2" w:rsidP="00400AD2">
      <w:pPr>
        <w:pStyle w:val="BasicParagraph"/>
        <w:suppressAutoHyphens/>
        <w:ind w:left="720" w:hanging="720"/>
        <w:rPr>
          <w:rFonts w:ascii="Verdana" w:hAnsi="Verdana" w:cs="Arial"/>
          <w:b/>
          <w:color w:val="auto"/>
          <w:shd w:val="clear" w:color="auto" w:fill="FFFFFF"/>
        </w:rPr>
      </w:pPr>
      <w:r w:rsidRPr="005025F2">
        <w:rPr>
          <w:rStyle w:val="sb8d990e2"/>
          <w:rFonts w:ascii="Verdana" w:hAnsi="Verdana" w:cs="Arial"/>
          <w:b/>
          <w:color w:val="auto"/>
          <w:shd w:val="clear" w:color="auto" w:fill="FFFFFF"/>
        </w:rPr>
        <w:t>3.</w:t>
      </w:r>
      <w:r>
        <w:rPr>
          <w:rStyle w:val="sb8d990e2"/>
          <w:rFonts w:ascii="Verdana" w:hAnsi="Verdana" w:cs="Arial"/>
          <w:b/>
          <w:color w:val="auto"/>
          <w:shd w:val="clear" w:color="auto" w:fill="FFFFFF"/>
        </w:rPr>
        <w:t>33</w:t>
      </w:r>
      <w:r w:rsidRPr="005025F2">
        <w:rPr>
          <w:rStyle w:val="sb8d990e2"/>
          <w:rFonts w:ascii="Verdana" w:hAnsi="Verdana" w:cs="Arial"/>
          <w:b/>
          <w:color w:val="auto"/>
          <w:shd w:val="clear" w:color="auto" w:fill="FFFFFF"/>
        </w:rPr>
        <w:tab/>
        <w:t xml:space="preserve">advises that </w:t>
      </w:r>
      <w:r w:rsidRPr="005025F2">
        <w:rPr>
          <w:rFonts w:ascii="Verdana" w:hAnsi="Verdana"/>
          <w:b/>
          <w:bCs/>
          <w:color w:val="auto"/>
        </w:rPr>
        <w:t>the right to marry under Article 12 ECHR is subject to domestic legislation. ECtHR jurisprudence indicates that an obligation for marriages contracted outside the jurisdiction to respect the legal marriageable age, would not alone amount to a denial of the right to marry.</w:t>
      </w:r>
      <w:r w:rsidRPr="005025F2">
        <w:rPr>
          <w:rFonts w:ascii="Verdana" w:hAnsi="Verdana"/>
          <w:color w:val="auto"/>
        </w:rPr>
        <w:t xml:space="preserve"> </w:t>
      </w:r>
    </w:p>
    <w:p w14:paraId="7F17786D" w14:textId="77777777" w:rsidR="009B7BB1" w:rsidRDefault="009B7BB1" w:rsidP="00331C61">
      <w:pPr>
        <w:pStyle w:val="BasicParagraph"/>
        <w:suppressAutoHyphens/>
        <w:rPr>
          <w:rFonts w:ascii="Verdana" w:hAnsi="Verdana" w:cs="Arial"/>
          <w:b/>
          <w:color w:val="77328A"/>
          <w:sz w:val="30"/>
          <w:szCs w:val="30"/>
        </w:rPr>
      </w:pPr>
    </w:p>
    <w:p w14:paraId="4273F717" w14:textId="77777777" w:rsidR="009B7BB1" w:rsidRDefault="009B7BB1" w:rsidP="00331C61">
      <w:pPr>
        <w:pStyle w:val="BasicParagraph"/>
        <w:suppressAutoHyphens/>
        <w:rPr>
          <w:rFonts w:ascii="Verdana" w:hAnsi="Verdana" w:cs="Arial"/>
          <w:b/>
          <w:color w:val="77328A"/>
          <w:sz w:val="30"/>
          <w:szCs w:val="30"/>
        </w:rPr>
      </w:pPr>
    </w:p>
    <w:p w14:paraId="75DB132E" w14:textId="77777777" w:rsidR="009B7BB1" w:rsidRDefault="009B7BB1" w:rsidP="00331C61">
      <w:pPr>
        <w:pStyle w:val="BasicParagraph"/>
        <w:suppressAutoHyphens/>
        <w:rPr>
          <w:rFonts w:ascii="Verdana" w:hAnsi="Verdana" w:cs="Arial"/>
          <w:b/>
          <w:color w:val="77328A"/>
          <w:sz w:val="30"/>
          <w:szCs w:val="30"/>
        </w:rPr>
      </w:pPr>
    </w:p>
    <w:p w14:paraId="707BC624" w14:textId="77777777" w:rsidR="009B7BB1" w:rsidRDefault="009B7BB1" w:rsidP="00331C61">
      <w:pPr>
        <w:pStyle w:val="BasicParagraph"/>
        <w:suppressAutoHyphens/>
        <w:rPr>
          <w:rFonts w:ascii="Verdana" w:hAnsi="Verdana" w:cs="Arial"/>
          <w:b/>
          <w:color w:val="77328A"/>
          <w:sz w:val="30"/>
          <w:szCs w:val="30"/>
        </w:rPr>
      </w:pPr>
    </w:p>
    <w:p w14:paraId="576D4BC9" w14:textId="77777777" w:rsidR="009B7BB1" w:rsidRDefault="009B7BB1" w:rsidP="00331C61">
      <w:pPr>
        <w:pStyle w:val="BasicParagraph"/>
        <w:suppressAutoHyphens/>
        <w:rPr>
          <w:rFonts w:ascii="Verdana" w:hAnsi="Verdana" w:cs="Arial"/>
          <w:b/>
          <w:color w:val="77328A"/>
          <w:sz w:val="30"/>
          <w:szCs w:val="30"/>
        </w:rPr>
      </w:pPr>
    </w:p>
    <w:p w14:paraId="17014FD7" w14:textId="77777777" w:rsidR="009B7BB1" w:rsidRDefault="009B7BB1" w:rsidP="00331C61">
      <w:pPr>
        <w:pStyle w:val="BasicParagraph"/>
        <w:suppressAutoHyphens/>
        <w:rPr>
          <w:rFonts w:ascii="Verdana" w:hAnsi="Verdana" w:cs="Arial"/>
          <w:b/>
          <w:color w:val="77328A"/>
          <w:sz w:val="30"/>
          <w:szCs w:val="30"/>
        </w:rPr>
      </w:pPr>
    </w:p>
    <w:p w14:paraId="28609B36" w14:textId="77777777" w:rsidR="009B7BB1" w:rsidRDefault="009B7BB1" w:rsidP="00331C61">
      <w:pPr>
        <w:pStyle w:val="BasicParagraph"/>
        <w:suppressAutoHyphens/>
        <w:rPr>
          <w:rFonts w:ascii="Verdana" w:hAnsi="Verdana" w:cs="Arial"/>
          <w:b/>
          <w:color w:val="77328A"/>
          <w:sz w:val="30"/>
          <w:szCs w:val="30"/>
        </w:rPr>
      </w:pPr>
    </w:p>
    <w:p w14:paraId="1D2F319F" w14:textId="77777777" w:rsidR="009B7BB1" w:rsidRDefault="009B7BB1" w:rsidP="00331C61">
      <w:pPr>
        <w:pStyle w:val="BasicParagraph"/>
        <w:suppressAutoHyphens/>
        <w:rPr>
          <w:rFonts w:ascii="Verdana" w:hAnsi="Verdana" w:cs="Arial"/>
          <w:b/>
          <w:color w:val="77328A"/>
          <w:sz w:val="30"/>
          <w:szCs w:val="30"/>
        </w:rPr>
      </w:pPr>
    </w:p>
    <w:p w14:paraId="368F73C8" w14:textId="77777777" w:rsidR="009B7BB1" w:rsidRDefault="009B7BB1" w:rsidP="00331C61">
      <w:pPr>
        <w:pStyle w:val="BasicParagraph"/>
        <w:suppressAutoHyphens/>
        <w:rPr>
          <w:rFonts w:ascii="Verdana" w:hAnsi="Verdana" w:cs="Arial"/>
          <w:b/>
          <w:color w:val="77328A"/>
          <w:sz w:val="30"/>
          <w:szCs w:val="30"/>
        </w:rPr>
      </w:pPr>
    </w:p>
    <w:p w14:paraId="3859A363" w14:textId="77777777" w:rsidR="009B7BB1" w:rsidRDefault="009B7BB1" w:rsidP="00331C61">
      <w:pPr>
        <w:pStyle w:val="BasicParagraph"/>
        <w:suppressAutoHyphens/>
        <w:rPr>
          <w:rFonts w:ascii="Verdana" w:hAnsi="Verdana" w:cs="Arial"/>
          <w:b/>
          <w:color w:val="77328A"/>
          <w:sz w:val="30"/>
          <w:szCs w:val="30"/>
        </w:rPr>
      </w:pPr>
    </w:p>
    <w:p w14:paraId="61DDDDBC" w14:textId="77777777" w:rsidR="009B7BB1" w:rsidRDefault="009B7BB1" w:rsidP="00331C61">
      <w:pPr>
        <w:pStyle w:val="BasicParagraph"/>
        <w:suppressAutoHyphens/>
        <w:rPr>
          <w:rFonts w:ascii="Verdana" w:hAnsi="Verdana" w:cs="Arial"/>
          <w:b/>
          <w:color w:val="77328A"/>
          <w:sz w:val="30"/>
          <w:szCs w:val="30"/>
        </w:rPr>
      </w:pPr>
    </w:p>
    <w:p w14:paraId="17906E29" w14:textId="77777777" w:rsidR="009B7BB1" w:rsidRDefault="009B7BB1" w:rsidP="00331C61">
      <w:pPr>
        <w:pStyle w:val="BasicParagraph"/>
        <w:suppressAutoHyphens/>
        <w:rPr>
          <w:rFonts w:ascii="Verdana" w:hAnsi="Verdana" w:cs="Arial"/>
          <w:b/>
          <w:color w:val="77328A"/>
          <w:sz w:val="30"/>
          <w:szCs w:val="30"/>
        </w:rPr>
      </w:pPr>
    </w:p>
    <w:p w14:paraId="1ADECDD9" w14:textId="77777777" w:rsidR="009B7BB1" w:rsidRDefault="009B7BB1" w:rsidP="00331C61">
      <w:pPr>
        <w:pStyle w:val="BasicParagraph"/>
        <w:suppressAutoHyphens/>
        <w:rPr>
          <w:rFonts w:ascii="Verdana" w:hAnsi="Verdana" w:cs="Arial"/>
          <w:b/>
          <w:color w:val="77328A"/>
          <w:sz w:val="30"/>
          <w:szCs w:val="30"/>
        </w:rPr>
      </w:pPr>
    </w:p>
    <w:p w14:paraId="708BC516" w14:textId="77777777" w:rsidR="009B7BB1" w:rsidRDefault="009B7BB1" w:rsidP="00331C61">
      <w:pPr>
        <w:pStyle w:val="BasicParagraph"/>
        <w:suppressAutoHyphens/>
        <w:rPr>
          <w:rFonts w:ascii="Verdana" w:hAnsi="Verdana" w:cs="Arial"/>
          <w:b/>
          <w:color w:val="77328A"/>
          <w:sz w:val="30"/>
          <w:szCs w:val="30"/>
        </w:rPr>
      </w:pPr>
    </w:p>
    <w:p w14:paraId="3D14D33B" w14:textId="77777777" w:rsidR="009B7BB1" w:rsidRDefault="009B7BB1" w:rsidP="00331C61">
      <w:pPr>
        <w:pStyle w:val="BasicParagraph"/>
        <w:suppressAutoHyphens/>
        <w:rPr>
          <w:rFonts w:ascii="Verdana" w:hAnsi="Verdana" w:cs="Arial"/>
          <w:b/>
          <w:color w:val="77328A"/>
          <w:sz w:val="30"/>
          <w:szCs w:val="30"/>
        </w:rPr>
      </w:pPr>
    </w:p>
    <w:p w14:paraId="62F84A2F" w14:textId="77777777" w:rsidR="009B7BB1" w:rsidRDefault="009B7BB1" w:rsidP="00331C61">
      <w:pPr>
        <w:pStyle w:val="BasicParagraph"/>
        <w:suppressAutoHyphens/>
        <w:rPr>
          <w:rFonts w:ascii="Verdana" w:hAnsi="Verdana" w:cs="Arial"/>
          <w:b/>
          <w:color w:val="77328A"/>
          <w:sz w:val="30"/>
          <w:szCs w:val="30"/>
        </w:rPr>
      </w:pPr>
    </w:p>
    <w:p w14:paraId="6A42DF6A" w14:textId="77777777" w:rsidR="009B7BB1" w:rsidRDefault="009B7BB1" w:rsidP="00331C61">
      <w:pPr>
        <w:pStyle w:val="BasicParagraph"/>
        <w:suppressAutoHyphens/>
        <w:rPr>
          <w:rFonts w:ascii="Verdana" w:hAnsi="Verdana" w:cs="Arial"/>
          <w:b/>
          <w:color w:val="77328A"/>
          <w:sz w:val="30"/>
          <w:szCs w:val="30"/>
        </w:rPr>
      </w:pPr>
    </w:p>
    <w:p w14:paraId="2281C664" w14:textId="77777777" w:rsidR="009B7BB1" w:rsidRDefault="009B7BB1" w:rsidP="00331C61">
      <w:pPr>
        <w:pStyle w:val="BasicParagraph"/>
        <w:suppressAutoHyphens/>
        <w:rPr>
          <w:rFonts w:ascii="Verdana" w:hAnsi="Verdana" w:cs="Arial"/>
          <w:b/>
          <w:color w:val="77328A"/>
          <w:sz w:val="30"/>
          <w:szCs w:val="30"/>
        </w:rPr>
      </w:pPr>
    </w:p>
    <w:p w14:paraId="67A4BED8" w14:textId="31208186" w:rsidR="009B7BB1" w:rsidRDefault="009B7BB1" w:rsidP="00331C61">
      <w:pPr>
        <w:pStyle w:val="BasicParagraph"/>
        <w:suppressAutoHyphens/>
        <w:rPr>
          <w:rFonts w:ascii="Verdana" w:hAnsi="Verdana" w:cs="Arial"/>
          <w:b/>
          <w:color w:val="77328A"/>
          <w:sz w:val="30"/>
          <w:szCs w:val="30"/>
        </w:rPr>
      </w:pPr>
    </w:p>
    <w:p w14:paraId="4715B946" w14:textId="27718E7B" w:rsidR="00667EA5" w:rsidRDefault="00667EA5" w:rsidP="00331C61">
      <w:pPr>
        <w:pStyle w:val="BasicParagraph"/>
        <w:suppressAutoHyphens/>
        <w:rPr>
          <w:rFonts w:ascii="Verdana" w:hAnsi="Verdana" w:cs="Arial"/>
          <w:b/>
          <w:color w:val="77328A"/>
          <w:sz w:val="30"/>
          <w:szCs w:val="30"/>
        </w:rPr>
      </w:pPr>
    </w:p>
    <w:p w14:paraId="4A73D0F6" w14:textId="582443C2" w:rsidR="00667EA5" w:rsidRDefault="00667EA5" w:rsidP="00331C61">
      <w:pPr>
        <w:pStyle w:val="BasicParagraph"/>
        <w:suppressAutoHyphens/>
        <w:rPr>
          <w:rFonts w:ascii="Verdana" w:hAnsi="Verdana" w:cs="Arial"/>
          <w:b/>
          <w:color w:val="77328A"/>
          <w:sz w:val="30"/>
          <w:szCs w:val="30"/>
        </w:rPr>
      </w:pPr>
    </w:p>
    <w:p w14:paraId="024853E1" w14:textId="77777777" w:rsidR="00667EA5" w:rsidRDefault="00667EA5" w:rsidP="00331C61">
      <w:pPr>
        <w:pStyle w:val="BasicParagraph"/>
        <w:suppressAutoHyphens/>
        <w:rPr>
          <w:rFonts w:ascii="Verdana" w:hAnsi="Verdana" w:cs="Arial"/>
          <w:b/>
          <w:color w:val="77328A"/>
          <w:sz w:val="30"/>
          <w:szCs w:val="30"/>
        </w:rPr>
      </w:pPr>
    </w:p>
    <w:p w14:paraId="363A607A" w14:textId="77777777" w:rsidR="009B7BB1" w:rsidRDefault="009B7BB1" w:rsidP="00331C61">
      <w:pPr>
        <w:pStyle w:val="BasicParagraph"/>
        <w:suppressAutoHyphens/>
        <w:rPr>
          <w:rFonts w:ascii="Verdana" w:hAnsi="Verdana" w:cs="Arial"/>
          <w:b/>
          <w:color w:val="77328A"/>
          <w:sz w:val="30"/>
          <w:szCs w:val="30"/>
        </w:rPr>
      </w:pPr>
    </w:p>
    <w:p w14:paraId="7893F365" w14:textId="77777777" w:rsidR="009B7BB1" w:rsidRDefault="009B7BB1" w:rsidP="00331C61">
      <w:pPr>
        <w:pStyle w:val="BasicParagraph"/>
        <w:suppressAutoHyphens/>
        <w:rPr>
          <w:rFonts w:ascii="Verdana" w:hAnsi="Verdana" w:cs="Arial"/>
          <w:b/>
          <w:color w:val="77328A"/>
          <w:sz w:val="30"/>
          <w:szCs w:val="30"/>
        </w:rPr>
      </w:pPr>
    </w:p>
    <w:p w14:paraId="5EED6A0B" w14:textId="1EF26768" w:rsidR="009B7BB1" w:rsidRDefault="009B7BB1" w:rsidP="00331C61">
      <w:pPr>
        <w:pStyle w:val="BasicParagraph"/>
        <w:suppressAutoHyphens/>
        <w:rPr>
          <w:rFonts w:ascii="Verdana" w:hAnsi="Verdana" w:cs="Arial"/>
          <w:b/>
          <w:color w:val="77328A"/>
          <w:sz w:val="30"/>
          <w:szCs w:val="30"/>
        </w:rPr>
      </w:pPr>
    </w:p>
    <w:p w14:paraId="5475B561" w14:textId="77777777" w:rsidR="00400AD2" w:rsidRDefault="00400AD2" w:rsidP="00331C61">
      <w:pPr>
        <w:pStyle w:val="BasicParagraph"/>
        <w:suppressAutoHyphens/>
        <w:rPr>
          <w:rFonts w:ascii="Verdana" w:hAnsi="Verdana" w:cs="Arial"/>
          <w:b/>
          <w:color w:val="77328A"/>
          <w:sz w:val="30"/>
          <w:szCs w:val="30"/>
        </w:rPr>
      </w:pPr>
    </w:p>
    <w:p w14:paraId="550A07AE" w14:textId="42BC37B5" w:rsidR="007569C1" w:rsidRDefault="00830D84" w:rsidP="00C43CD2">
      <w:pPr>
        <w:pStyle w:val="BasicParagraph"/>
        <w:suppressAutoHyphens/>
        <w:rPr>
          <w:rFonts w:ascii="Verdana" w:hAnsi="Verdana" w:cs="Arial"/>
          <w:b/>
          <w:color w:val="77328A"/>
          <w:sz w:val="30"/>
          <w:szCs w:val="30"/>
        </w:rPr>
      </w:pPr>
      <w:r w:rsidRPr="005C4B3E">
        <w:rPr>
          <w:rFonts w:ascii="Verdana" w:hAnsi="Verdana" w:cs="Arial"/>
          <w:b/>
          <w:color w:val="77328A"/>
          <w:sz w:val="30"/>
          <w:szCs w:val="30"/>
        </w:rPr>
        <w:t>1</w:t>
      </w:r>
      <w:r w:rsidR="007569C1" w:rsidRPr="005C4B3E">
        <w:rPr>
          <w:rFonts w:ascii="Verdana" w:hAnsi="Verdana" w:cs="Arial"/>
          <w:b/>
          <w:color w:val="77328A"/>
          <w:sz w:val="30"/>
          <w:szCs w:val="30"/>
        </w:rPr>
        <w:t>.0</w:t>
      </w:r>
      <w:r w:rsidR="007569C1" w:rsidRPr="005C4B3E">
        <w:rPr>
          <w:rFonts w:ascii="Verdana" w:hAnsi="Verdana" w:cs="Arial"/>
          <w:b/>
          <w:color w:val="77328A"/>
          <w:sz w:val="30"/>
          <w:szCs w:val="30"/>
        </w:rPr>
        <w:tab/>
      </w:r>
      <w:r w:rsidRPr="005C4B3E">
        <w:rPr>
          <w:rFonts w:ascii="Verdana" w:hAnsi="Verdana" w:cs="Arial"/>
          <w:b/>
          <w:color w:val="77328A"/>
          <w:sz w:val="30"/>
          <w:szCs w:val="30"/>
        </w:rPr>
        <w:t>Introduction</w:t>
      </w:r>
    </w:p>
    <w:p w14:paraId="49B2030E" w14:textId="77777777" w:rsidR="00400AD2" w:rsidRPr="005C4B3E" w:rsidRDefault="00400AD2" w:rsidP="00C43CD2">
      <w:pPr>
        <w:pStyle w:val="BasicParagraph"/>
        <w:suppressAutoHyphens/>
        <w:rPr>
          <w:rFonts w:ascii="Verdana" w:hAnsi="Verdana" w:cs="Arial"/>
          <w:color w:val="77328A"/>
          <w:sz w:val="30"/>
          <w:szCs w:val="30"/>
        </w:rPr>
      </w:pPr>
    </w:p>
    <w:p w14:paraId="7CD57653" w14:textId="749B5B8B" w:rsidR="000C7662" w:rsidRPr="0096142A" w:rsidRDefault="000C7662" w:rsidP="00C43CD2">
      <w:pPr>
        <w:pStyle w:val="ListParagraph"/>
        <w:jc w:val="left"/>
        <w:rPr>
          <w:rFonts w:cs="Segoe UI"/>
          <w:lang w:val="en" w:eastAsia="en-GB"/>
        </w:rPr>
      </w:pPr>
      <w:r w:rsidRPr="000C7662">
        <w:t xml:space="preserve">The Northern Ireland Human Rights </w:t>
      </w:r>
      <w:r w:rsidR="00345C07">
        <w:t>Commission</w:t>
      </w:r>
      <w:r w:rsidRPr="000C7662">
        <w:t xml:space="preserve"> (NIHRC), pursuant to section 69(1) of the Northern Ireland Act 1998, reviews the adequacy and effectiveness of law and practice relating to the protection of human rights in Northern Ireland (NI).</w:t>
      </w:r>
      <w:r w:rsidR="0096142A">
        <w:t xml:space="preserve"> </w:t>
      </w:r>
      <w:r w:rsidR="00EF249B" w:rsidRPr="005025F2">
        <w:t xml:space="preserve">Further, the </w:t>
      </w:r>
      <w:r w:rsidR="005C4B3E">
        <w:t>NIHRC</w:t>
      </w:r>
      <w:r w:rsidR="00EF249B" w:rsidRPr="005025F2">
        <w:t>, pursuant to section 78</w:t>
      </w:r>
      <w:proofErr w:type="gramStart"/>
      <w:r w:rsidR="00EF249B" w:rsidRPr="005025F2">
        <w:t>A(</w:t>
      </w:r>
      <w:proofErr w:type="gramEnd"/>
      <w:r w:rsidR="00EF249B" w:rsidRPr="005025F2">
        <w:t xml:space="preserve">1), must monitor the implementation of Article 2(1) of the Protocol on Ireland/Northern Ireland in the EU Withdrawal Agreement (rights of individuals).  </w:t>
      </w:r>
      <w:r w:rsidRPr="000C7662">
        <w:t xml:space="preserve">In accordance with </w:t>
      </w:r>
      <w:r w:rsidR="0096142A">
        <w:t>these functions</w:t>
      </w:r>
      <w:r w:rsidRPr="000C7662">
        <w:t xml:space="preserve">, the following advice is submitted in response to Department </w:t>
      </w:r>
      <w:r w:rsidR="00763E1F">
        <w:t>of Finance’s</w:t>
      </w:r>
      <w:r w:rsidRPr="000C7662">
        <w:t xml:space="preserve"> consultation on</w:t>
      </w:r>
      <w:r w:rsidR="00763E1F">
        <w:t xml:space="preserve"> Marriage Law in NI. </w:t>
      </w:r>
    </w:p>
    <w:p w14:paraId="24293F5F" w14:textId="77777777" w:rsidR="000C7662" w:rsidRDefault="000C7662" w:rsidP="00C43CD2">
      <w:pPr>
        <w:pStyle w:val="BasicParagraph"/>
        <w:suppressAutoHyphens/>
        <w:ind w:left="720" w:hanging="720"/>
        <w:rPr>
          <w:rFonts w:ascii="Verdana" w:hAnsi="Verdana"/>
        </w:rPr>
      </w:pPr>
    </w:p>
    <w:p w14:paraId="5D70E4AB" w14:textId="6818DF82" w:rsidR="000C7662" w:rsidRDefault="000C7662" w:rsidP="00C43CD2">
      <w:pPr>
        <w:pStyle w:val="ListParagraph"/>
        <w:jc w:val="left"/>
      </w:pPr>
      <w:r w:rsidRPr="000C7662">
        <w:t>The NIHRC bases its advice on the full range of internationally accepted human rights standards. This includes the European Convention on Human Rights, as incorporated by the Human Rights Act 1998, and other relevant treaty obligations of the Council of Europe (</w:t>
      </w:r>
      <w:proofErr w:type="spellStart"/>
      <w:r w:rsidRPr="000C7662">
        <w:t>CoE</w:t>
      </w:r>
      <w:proofErr w:type="spellEnd"/>
      <w:r w:rsidRPr="000C7662">
        <w:t>) and United Nations (UN). The regional and international treaties that are relevant to this advice include:</w:t>
      </w:r>
    </w:p>
    <w:p w14:paraId="4F01670F" w14:textId="77777777" w:rsidR="000C7662" w:rsidRDefault="000C7662" w:rsidP="00C43CD2">
      <w:pPr>
        <w:pStyle w:val="BasicParagraph"/>
        <w:numPr>
          <w:ilvl w:val="0"/>
          <w:numId w:val="8"/>
        </w:numPr>
        <w:suppressAutoHyphens/>
        <w:rPr>
          <w:rFonts w:ascii="Verdana" w:hAnsi="Verdana"/>
        </w:rPr>
      </w:pPr>
      <w:r w:rsidRPr="000C7662">
        <w:rPr>
          <w:rFonts w:ascii="Verdana" w:hAnsi="Verdana"/>
        </w:rPr>
        <w:t>European Convention on Human Rights (ECHR);</w:t>
      </w:r>
      <w:r w:rsidR="00763E1F">
        <w:rPr>
          <w:rStyle w:val="FootnoteReference"/>
          <w:rFonts w:ascii="Verdana" w:hAnsi="Verdana"/>
        </w:rPr>
        <w:footnoteReference w:id="2"/>
      </w:r>
    </w:p>
    <w:p w14:paraId="03DB9CB8" w14:textId="77777777" w:rsidR="00981844" w:rsidRDefault="00981844" w:rsidP="00C43CD2">
      <w:pPr>
        <w:pStyle w:val="BasicParagraph"/>
        <w:numPr>
          <w:ilvl w:val="0"/>
          <w:numId w:val="8"/>
        </w:numPr>
        <w:suppressAutoHyphens/>
        <w:rPr>
          <w:rFonts w:ascii="Verdana" w:hAnsi="Verdana"/>
        </w:rPr>
      </w:pPr>
      <w:proofErr w:type="spellStart"/>
      <w:r w:rsidRPr="00981844">
        <w:rPr>
          <w:rFonts w:ascii="Verdana" w:hAnsi="Verdana"/>
        </w:rPr>
        <w:t>CoE</w:t>
      </w:r>
      <w:proofErr w:type="spellEnd"/>
      <w:r>
        <w:rPr>
          <w:rFonts w:ascii="Verdana" w:hAnsi="Verdana"/>
        </w:rPr>
        <w:t xml:space="preserve"> </w:t>
      </w:r>
      <w:r w:rsidRPr="00981844">
        <w:rPr>
          <w:rFonts w:ascii="Verdana" w:hAnsi="Verdana"/>
        </w:rPr>
        <w:t>Convention on Preventing and Combating Violence against Women (Istanbul Convention);</w:t>
      </w:r>
      <w:r>
        <w:rPr>
          <w:rStyle w:val="FootnoteReference"/>
          <w:rFonts w:ascii="Verdana" w:hAnsi="Verdana"/>
        </w:rPr>
        <w:footnoteReference w:id="3"/>
      </w:r>
    </w:p>
    <w:p w14:paraId="00BAE556" w14:textId="77777777" w:rsidR="000C7662" w:rsidRPr="00981844" w:rsidRDefault="000C7662" w:rsidP="00C43CD2">
      <w:pPr>
        <w:pStyle w:val="BasicParagraph"/>
        <w:numPr>
          <w:ilvl w:val="0"/>
          <w:numId w:val="8"/>
        </w:numPr>
        <w:suppressAutoHyphens/>
        <w:rPr>
          <w:rFonts w:ascii="Verdana" w:hAnsi="Verdana"/>
        </w:rPr>
      </w:pPr>
      <w:r w:rsidRPr="00981844">
        <w:rPr>
          <w:rFonts w:ascii="Verdana" w:hAnsi="Verdana"/>
        </w:rPr>
        <w:t xml:space="preserve">UN Convention on </w:t>
      </w:r>
      <w:r w:rsidR="00763E1F" w:rsidRPr="00981844">
        <w:rPr>
          <w:rFonts w:ascii="Verdana" w:hAnsi="Verdana"/>
        </w:rPr>
        <w:t>the Rights of the Child</w:t>
      </w:r>
      <w:r w:rsidRPr="00981844">
        <w:rPr>
          <w:rFonts w:ascii="Verdana" w:hAnsi="Verdana"/>
        </w:rPr>
        <w:t xml:space="preserve"> (UN </w:t>
      </w:r>
      <w:r w:rsidR="00763E1F" w:rsidRPr="00981844">
        <w:rPr>
          <w:rFonts w:ascii="Verdana" w:hAnsi="Verdana"/>
        </w:rPr>
        <w:t>CRC</w:t>
      </w:r>
      <w:r w:rsidRPr="00981844">
        <w:rPr>
          <w:rFonts w:ascii="Verdana" w:hAnsi="Verdana"/>
        </w:rPr>
        <w:t>);</w:t>
      </w:r>
      <w:r w:rsidR="00763E1F">
        <w:rPr>
          <w:rStyle w:val="FootnoteReference"/>
          <w:rFonts w:ascii="Verdana" w:hAnsi="Verdana"/>
        </w:rPr>
        <w:footnoteReference w:id="4"/>
      </w:r>
    </w:p>
    <w:p w14:paraId="1CFCC326" w14:textId="77777777" w:rsidR="00763E1F" w:rsidRDefault="00763E1F" w:rsidP="00C43CD2">
      <w:pPr>
        <w:pStyle w:val="BasicParagraph"/>
        <w:numPr>
          <w:ilvl w:val="0"/>
          <w:numId w:val="8"/>
        </w:numPr>
        <w:suppressAutoHyphens/>
        <w:rPr>
          <w:rFonts w:ascii="Verdana" w:hAnsi="Verdana"/>
        </w:rPr>
      </w:pPr>
      <w:r w:rsidRPr="00763E1F">
        <w:rPr>
          <w:rFonts w:ascii="Verdana" w:hAnsi="Verdana"/>
        </w:rPr>
        <w:t>UN International Covenant on Civil and Political Rights (UN ICCPR);</w:t>
      </w:r>
      <w:r>
        <w:rPr>
          <w:rStyle w:val="FootnoteReference"/>
          <w:rFonts w:ascii="Verdana" w:hAnsi="Verdana"/>
        </w:rPr>
        <w:footnoteReference w:id="5"/>
      </w:r>
    </w:p>
    <w:p w14:paraId="27D75768" w14:textId="77777777" w:rsidR="000C7662" w:rsidRDefault="000C7662" w:rsidP="00C43CD2">
      <w:pPr>
        <w:pStyle w:val="BasicParagraph"/>
        <w:numPr>
          <w:ilvl w:val="0"/>
          <w:numId w:val="8"/>
        </w:numPr>
        <w:suppressAutoHyphens/>
        <w:rPr>
          <w:rFonts w:ascii="Verdana" w:hAnsi="Verdana"/>
        </w:rPr>
      </w:pPr>
      <w:r w:rsidRPr="000C7662">
        <w:rPr>
          <w:rFonts w:ascii="Verdana" w:hAnsi="Verdana"/>
        </w:rPr>
        <w:t>UN Convention on Elimination of Discrimination against Women (UN CEDAW)</w:t>
      </w:r>
      <w:r>
        <w:rPr>
          <w:rFonts w:ascii="Verdana" w:hAnsi="Verdana"/>
        </w:rPr>
        <w:t>;</w:t>
      </w:r>
      <w:r w:rsidR="00763E1F">
        <w:rPr>
          <w:rStyle w:val="FootnoteReference"/>
          <w:rFonts w:ascii="Verdana" w:hAnsi="Verdana"/>
        </w:rPr>
        <w:footnoteReference w:id="6"/>
      </w:r>
    </w:p>
    <w:p w14:paraId="0B410484" w14:textId="77777777" w:rsidR="000C25D3" w:rsidRDefault="000C7662" w:rsidP="00C43CD2">
      <w:pPr>
        <w:pStyle w:val="BasicParagraph"/>
        <w:numPr>
          <w:ilvl w:val="0"/>
          <w:numId w:val="8"/>
        </w:numPr>
        <w:suppressAutoHyphens/>
        <w:rPr>
          <w:rFonts w:ascii="Verdana" w:hAnsi="Verdana"/>
        </w:rPr>
      </w:pPr>
      <w:r w:rsidRPr="000C7662">
        <w:rPr>
          <w:rFonts w:ascii="Verdana" w:hAnsi="Verdana"/>
        </w:rPr>
        <w:t>UN Convention against Torture (UN CAT)</w:t>
      </w:r>
      <w:r w:rsidR="000C25D3">
        <w:rPr>
          <w:rFonts w:ascii="Verdana" w:hAnsi="Verdana"/>
        </w:rPr>
        <w:t>;</w:t>
      </w:r>
      <w:r w:rsidR="00763E1F">
        <w:rPr>
          <w:rStyle w:val="FootnoteReference"/>
          <w:rFonts w:ascii="Verdana" w:hAnsi="Verdana"/>
        </w:rPr>
        <w:footnoteReference w:id="7"/>
      </w:r>
    </w:p>
    <w:p w14:paraId="585701F9" w14:textId="77777777" w:rsidR="000C7662" w:rsidRPr="000C25D3" w:rsidRDefault="000C25D3" w:rsidP="00C43CD2">
      <w:pPr>
        <w:pStyle w:val="BasicParagraph"/>
        <w:numPr>
          <w:ilvl w:val="0"/>
          <w:numId w:val="8"/>
        </w:numPr>
        <w:suppressAutoHyphens/>
        <w:rPr>
          <w:rFonts w:ascii="Verdana" w:hAnsi="Verdana"/>
        </w:rPr>
      </w:pPr>
      <w:r>
        <w:rPr>
          <w:rFonts w:ascii="Verdana" w:hAnsi="Verdana"/>
        </w:rPr>
        <w:t>Universal Declaration of Human Rights (UDHR).</w:t>
      </w:r>
      <w:r>
        <w:rPr>
          <w:rStyle w:val="FootnoteReference"/>
          <w:rFonts w:ascii="Verdana" w:hAnsi="Verdana"/>
        </w:rPr>
        <w:footnoteReference w:id="8"/>
      </w:r>
    </w:p>
    <w:p w14:paraId="1CF390A1" w14:textId="77777777" w:rsidR="000C7662" w:rsidRDefault="000C7662" w:rsidP="00C43CD2">
      <w:pPr>
        <w:pStyle w:val="BasicParagraph"/>
        <w:suppressAutoHyphens/>
        <w:ind w:left="720" w:hanging="720"/>
        <w:rPr>
          <w:rFonts w:ascii="Verdana" w:hAnsi="Verdana"/>
        </w:rPr>
      </w:pPr>
    </w:p>
    <w:p w14:paraId="47002024" w14:textId="3D79401F" w:rsidR="007569C1" w:rsidRDefault="000C7662" w:rsidP="00C43CD2">
      <w:pPr>
        <w:pStyle w:val="ListParagraph"/>
        <w:jc w:val="left"/>
      </w:pPr>
      <w:r w:rsidRPr="000C7662">
        <w:t xml:space="preserve">In addition to treaty standards, there exists a body of ‘soft law’ developed by the human rights bodies of the </w:t>
      </w:r>
      <w:proofErr w:type="spellStart"/>
      <w:r w:rsidRPr="000C7662">
        <w:t>CoE</w:t>
      </w:r>
      <w:proofErr w:type="spellEnd"/>
      <w:r w:rsidRPr="000C7662">
        <w:t xml:space="preserve"> and UN. These declarations and principles are non-</w:t>
      </w:r>
      <w:proofErr w:type="gramStart"/>
      <w:r w:rsidRPr="000C7662">
        <w:t>binding, but</w:t>
      </w:r>
      <w:proofErr w:type="gramEnd"/>
      <w:r w:rsidRPr="000C7662">
        <w:t xml:space="preserve"> provide further guidance in respect of specific areas. The relevant standards in this context include:</w:t>
      </w:r>
    </w:p>
    <w:p w14:paraId="6EF635BA" w14:textId="0816C445" w:rsidR="008B7074" w:rsidRPr="008B7074" w:rsidRDefault="008B7074" w:rsidP="00C43CD2">
      <w:pPr>
        <w:pStyle w:val="BasicParagraph"/>
        <w:numPr>
          <w:ilvl w:val="0"/>
          <w:numId w:val="9"/>
        </w:numPr>
        <w:suppressAutoHyphens/>
        <w:rPr>
          <w:rFonts w:ascii="Verdana" w:hAnsi="Verdana"/>
        </w:rPr>
      </w:pPr>
      <w:r>
        <w:rPr>
          <w:rFonts w:ascii="Verdana" w:hAnsi="Verdana" w:cs="Arial"/>
          <w:color w:val="232120"/>
        </w:rPr>
        <w:t>UN Human Rights Committee General Comment No.22;</w:t>
      </w:r>
      <w:r>
        <w:rPr>
          <w:rStyle w:val="FootnoteReference"/>
          <w:rFonts w:ascii="Verdana" w:hAnsi="Verdana" w:cs="Arial"/>
          <w:color w:val="232120"/>
        </w:rPr>
        <w:footnoteReference w:id="9"/>
      </w:r>
    </w:p>
    <w:p w14:paraId="6ADDF2FF" w14:textId="610DF17D" w:rsidR="00763E1F" w:rsidRDefault="00763E1F" w:rsidP="00C43CD2">
      <w:pPr>
        <w:pStyle w:val="BasicParagraph"/>
        <w:numPr>
          <w:ilvl w:val="0"/>
          <w:numId w:val="9"/>
        </w:numPr>
        <w:suppressAutoHyphens/>
        <w:rPr>
          <w:rFonts w:ascii="Verdana" w:hAnsi="Verdana"/>
        </w:rPr>
      </w:pPr>
      <w:r>
        <w:rPr>
          <w:rFonts w:ascii="Verdana" w:hAnsi="Verdana"/>
        </w:rPr>
        <w:t>UN CRC General Comment No.4;</w:t>
      </w:r>
      <w:r>
        <w:rPr>
          <w:rStyle w:val="FootnoteReference"/>
          <w:rFonts w:ascii="Verdana" w:hAnsi="Verdana"/>
        </w:rPr>
        <w:footnoteReference w:id="10"/>
      </w:r>
    </w:p>
    <w:p w14:paraId="5FC00C62" w14:textId="77777777" w:rsidR="00763E1F" w:rsidRDefault="00763E1F" w:rsidP="00C43CD2">
      <w:pPr>
        <w:pStyle w:val="BasicParagraph"/>
        <w:numPr>
          <w:ilvl w:val="0"/>
          <w:numId w:val="9"/>
        </w:numPr>
        <w:suppressAutoHyphens/>
        <w:rPr>
          <w:rFonts w:ascii="Verdana" w:hAnsi="Verdana"/>
        </w:rPr>
      </w:pPr>
      <w:r>
        <w:rPr>
          <w:rFonts w:ascii="Verdana" w:hAnsi="Verdana"/>
        </w:rPr>
        <w:t>UN CRC General Comment No.20;</w:t>
      </w:r>
      <w:r>
        <w:rPr>
          <w:rStyle w:val="FootnoteReference"/>
          <w:rFonts w:ascii="Verdana" w:hAnsi="Verdana"/>
        </w:rPr>
        <w:footnoteReference w:id="11"/>
      </w:r>
    </w:p>
    <w:p w14:paraId="65A7ED3B" w14:textId="77777777" w:rsidR="008708EB" w:rsidRDefault="008708EB" w:rsidP="00C43CD2">
      <w:pPr>
        <w:pStyle w:val="BasicParagraph"/>
        <w:numPr>
          <w:ilvl w:val="0"/>
          <w:numId w:val="9"/>
        </w:numPr>
        <w:suppressAutoHyphens/>
        <w:rPr>
          <w:rFonts w:ascii="Verdana" w:hAnsi="Verdana"/>
        </w:rPr>
      </w:pPr>
      <w:r>
        <w:rPr>
          <w:rFonts w:ascii="Verdana" w:hAnsi="Verdana"/>
        </w:rPr>
        <w:t>UN CEDAW General Comment No.21;</w:t>
      </w:r>
      <w:r>
        <w:rPr>
          <w:rStyle w:val="FootnoteReference"/>
          <w:rFonts w:ascii="Verdana" w:hAnsi="Verdana"/>
        </w:rPr>
        <w:footnoteReference w:id="12"/>
      </w:r>
    </w:p>
    <w:p w14:paraId="7644E445" w14:textId="77777777" w:rsidR="00763E1F" w:rsidRDefault="00763E1F" w:rsidP="00C43CD2">
      <w:pPr>
        <w:pStyle w:val="BasicParagraph"/>
        <w:numPr>
          <w:ilvl w:val="0"/>
          <w:numId w:val="9"/>
        </w:numPr>
        <w:suppressAutoHyphens/>
        <w:rPr>
          <w:rFonts w:ascii="Verdana" w:hAnsi="Verdana"/>
        </w:rPr>
      </w:pPr>
      <w:r>
        <w:rPr>
          <w:rFonts w:ascii="Verdana" w:hAnsi="Verdana"/>
        </w:rPr>
        <w:t>UN CEDAW Committee Concluding Observations 2019;</w:t>
      </w:r>
      <w:r>
        <w:rPr>
          <w:rStyle w:val="FootnoteReference"/>
          <w:rFonts w:ascii="Verdana" w:hAnsi="Verdana"/>
        </w:rPr>
        <w:footnoteReference w:id="13"/>
      </w:r>
    </w:p>
    <w:p w14:paraId="036C1BA0" w14:textId="77777777" w:rsidR="008C2705" w:rsidRDefault="00763E1F" w:rsidP="00C43CD2">
      <w:pPr>
        <w:pStyle w:val="BasicParagraph"/>
        <w:numPr>
          <w:ilvl w:val="0"/>
          <w:numId w:val="9"/>
        </w:numPr>
        <w:suppressAutoHyphens/>
        <w:rPr>
          <w:rFonts w:ascii="Verdana" w:hAnsi="Verdana"/>
        </w:rPr>
      </w:pPr>
      <w:r>
        <w:rPr>
          <w:rFonts w:ascii="Verdana" w:hAnsi="Verdana"/>
        </w:rPr>
        <w:t>UN CAT Committee Concluding Observations 2019</w:t>
      </w:r>
      <w:r w:rsidR="008C2705">
        <w:rPr>
          <w:rFonts w:ascii="Verdana" w:hAnsi="Verdana"/>
        </w:rPr>
        <w:t>;</w:t>
      </w:r>
      <w:r>
        <w:rPr>
          <w:rStyle w:val="FootnoteReference"/>
          <w:rFonts w:ascii="Verdana" w:hAnsi="Verdana"/>
        </w:rPr>
        <w:footnoteReference w:id="14"/>
      </w:r>
    </w:p>
    <w:p w14:paraId="31B78568" w14:textId="63959307" w:rsidR="008B7074" w:rsidRPr="008B7074" w:rsidRDefault="008C2705" w:rsidP="00C43CD2">
      <w:pPr>
        <w:pStyle w:val="BasicParagraph"/>
        <w:numPr>
          <w:ilvl w:val="0"/>
          <w:numId w:val="9"/>
        </w:numPr>
        <w:suppressAutoHyphens/>
        <w:rPr>
          <w:rFonts w:ascii="Verdana" w:hAnsi="Verdana"/>
        </w:rPr>
      </w:pPr>
      <w:r>
        <w:rPr>
          <w:rFonts w:ascii="Verdana" w:hAnsi="Verdana"/>
        </w:rPr>
        <w:t>UN General Assembl</w:t>
      </w:r>
      <w:r w:rsidR="004E700F">
        <w:rPr>
          <w:rFonts w:ascii="Verdana" w:hAnsi="Verdana"/>
        </w:rPr>
        <w:t>y Resolution</w:t>
      </w:r>
      <w:r w:rsidR="007443F7">
        <w:rPr>
          <w:rFonts w:ascii="Verdana" w:hAnsi="Verdana"/>
        </w:rPr>
        <w:t xml:space="preserve"> 75/167</w:t>
      </w:r>
      <w:r w:rsidR="00AE1268">
        <w:rPr>
          <w:rFonts w:ascii="Verdana" w:hAnsi="Verdana"/>
        </w:rPr>
        <w:t xml:space="preserve"> Child, early and forced marriage</w:t>
      </w:r>
      <w:r w:rsidR="009612F5">
        <w:rPr>
          <w:rFonts w:ascii="Verdana" w:hAnsi="Verdana"/>
        </w:rPr>
        <w:t xml:space="preserve"> 2020</w:t>
      </w:r>
      <w:r w:rsidR="00EA5D00">
        <w:rPr>
          <w:rFonts w:ascii="Verdana" w:hAnsi="Verdana"/>
        </w:rPr>
        <w:t>.</w:t>
      </w:r>
      <w:r w:rsidR="009D7214">
        <w:rPr>
          <w:rStyle w:val="FootnoteReference"/>
          <w:rFonts w:ascii="Verdana" w:hAnsi="Verdana"/>
        </w:rPr>
        <w:footnoteReference w:id="15"/>
      </w:r>
    </w:p>
    <w:p w14:paraId="537832BE" w14:textId="77777777" w:rsidR="009166CD" w:rsidRPr="009166CD" w:rsidRDefault="009166CD" w:rsidP="00C43CD2"/>
    <w:p w14:paraId="3B78D754" w14:textId="0F8D6BFE" w:rsidR="009166CD" w:rsidRPr="005025F2" w:rsidRDefault="009166CD" w:rsidP="00C43CD2">
      <w:pPr>
        <w:pStyle w:val="ListParagraph"/>
        <w:jc w:val="left"/>
      </w:pPr>
      <w:r w:rsidRPr="005025F2">
        <w:t xml:space="preserve">The </w:t>
      </w:r>
      <w:r w:rsidR="005C4B3E">
        <w:t xml:space="preserve">NIHRC </w:t>
      </w:r>
      <w:r w:rsidRPr="005025F2">
        <w:t xml:space="preserve">further advises on the UK Government commitment in Protocol Article 2(1) to ensure there is no diminution of rights, </w:t>
      </w:r>
      <w:proofErr w:type="gramStart"/>
      <w:r w:rsidRPr="005025F2">
        <w:t>safeguards</w:t>
      </w:r>
      <w:proofErr w:type="gramEnd"/>
      <w:r w:rsidRPr="005025F2">
        <w:t xml:space="preserve"> and equality of opportunity in the relevant section of the Belfast (Good Friday) Agreement as a result of the UK’s withdrawal from the EU. This is given effect in UK law by section 7A of the EU (Withdrawal) Act 2018. In addition, the NI Assembly is prohibited from making any law where it is incompatible with Protocol Article 2.</w:t>
      </w:r>
      <w:r w:rsidR="007921BE" w:rsidRPr="005025F2">
        <w:rPr>
          <w:rStyle w:val="FootnoteReference"/>
        </w:rPr>
        <w:footnoteReference w:id="16"/>
      </w:r>
      <w:r w:rsidRPr="005025F2">
        <w:t xml:space="preserve"> Section 24(</w:t>
      </w:r>
      <w:proofErr w:type="gramStart"/>
      <w:r w:rsidRPr="005025F2">
        <w:t>1)(</w:t>
      </w:r>
      <w:proofErr w:type="gramEnd"/>
      <w:r w:rsidRPr="005025F2">
        <w:t xml:space="preserve">aa) of the Northern Ireland Act 1998 also </w:t>
      </w:r>
      <w:r w:rsidR="007213E5">
        <w:t>provides</w:t>
      </w:r>
      <w:r w:rsidR="007213E5" w:rsidRPr="005025F2">
        <w:t xml:space="preserve"> </w:t>
      </w:r>
      <w:r w:rsidRPr="005025F2">
        <w:t xml:space="preserve">that all acts of the </w:t>
      </w:r>
      <w:r w:rsidR="007213E5">
        <w:t>Department should be</w:t>
      </w:r>
      <w:r w:rsidRPr="005025F2">
        <w:t xml:space="preserve"> compatible with Protocol Article 2.</w:t>
      </w:r>
    </w:p>
    <w:p w14:paraId="244A56DE" w14:textId="77777777" w:rsidR="009166CD" w:rsidRDefault="009166CD" w:rsidP="00C43CD2">
      <w:pPr>
        <w:pStyle w:val="BasicParagraph"/>
        <w:suppressAutoHyphens/>
        <w:ind w:left="720"/>
        <w:rPr>
          <w:rFonts w:ascii="Verdana" w:hAnsi="Verdana" w:cs="Arial"/>
          <w:color w:val="auto"/>
        </w:rPr>
      </w:pPr>
    </w:p>
    <w:p w14:paraId="5BB17532" w14:textId="190AE107" w:rsidR="00E12052" w:rsidRPr="009166CD" w:rsidRDefault="00763E1F" w:rsidP="00C43CD2">
      <w:pPr>
        <w:pStyle w:val="ListParagraph"/>
        <w:jc w:val="left"/>
      </w:pPr>
      <w:r w:rsidRPr="00EF249B">
        <w:t>The</w:t>
      </w:r>
      <w:r w:rsidRPr="009166CD">
        <w:t xml:space="preserve"> </w:t>
      </w:r>
      <w:r w:rsidR="00877F5A" w:rsidRPr="009166CD">
        <w:t>NIHRC</w:t>
      </w:r>
      <w:r w:rsidRPr="009166CD">
        <w:t xml:space="preserve"> welcomes the Department’s consultation to consider the introduction of legislation to</w:t>
      </w:r>
      <w:r w:rsidR="009B19E5" w:rsidRPr="009166CD">
        <w:t xml:space="preserve"> put belief marriage on an equal footing with religious marriage and </w:t>
      </w:r>
      <w:r w:rsidR="00D74948" w:rsidRPr="009166CD">
        <w:t>raise</w:t>
      </w:r>
      <w:r w:rsidR="009B19E5" w:rsidRPr="009166CD">
        <w:t xml:space="preserve"> the minimum age at which a person can marry or </w:t>
      </w:r>
      <w:proofErr w:type="gramStart"/>
      <w:r w:rsidR="009B19E5" w:rsidRPr="009166CD">
        <w:t>enter into</w:t>
      </w:r>
      <w:proofErr w:type="gramEnd"/>
      <w:r w:rsidR="009B19E5" w:rsidRPr="009166CD">
        <w:t xml:space="preserve"> a civil partnership. </w:t>
      </w:r>
    </w:p>
    <w:p w14:paraId="41E9F2C7" w14:textId="77777777" w:rsidR="00E12052" w:rsidRDefault="00E12052" w:rsidP="00C43CD2">
      <w:pPr>
        <w:pStyle w:val="BasicParagraph"/>
        <w:suppressAutoHyphens/>
        <w:ind w:left="720" w:hanging="720"/>
        <w:rPr>
          <w:rFonts w:ascii="Verdana" w:hAnsi="Verdana" w:cs="Arial"/>
          <w:bCs/>
          <w:color w:val="auto"/>
        </w:rPr>
      </w:pPr>
    </w:p>
    <w:p w14:paraId="4713A08C" w14:textId="3306054A" w:rsidR="00830D84" w:rsidRDefault="00C407EF" w:rsidP="00C43CD2">
      <w:pPr>
        <w:pStyle w:val="ListParagraph"/>
        <w:jc w:val="left"/>
      </w:pPr>
      <w:r w:rsidRPr="00C407EF">
        <w:t xml:space="preserve">The </w:t>
      </w:r>
      <w:r w:rsidR="005C4B3E">
        <w:t>NIHRC</w:t>
      </w:r>
      <w:r w:rsidRPr="00C407EF">
        <w:t xml:space="preserve"> has sought to highlight relevant human rights standards and principles where they may be of assistance in informing the development of legislation and policy in this area. The structure of this response is largely aligned to the </w:t>
      </w:r>
      <w:r>
        <w:t>consultation questions</w:t>
      </w:r>
      <w:r w:rsidRPr="00C407EF">
        <w:t xml:space="preserve"> save where, to avoid repetition, the issues have been grouped together.</w:t>
      </w:r>
    </w:p>
    <w:p w14:paraId="22E45F77" w14:textId="2FB19165" w:rsidR="005025F2" w:rsidRDefault="005025F2" w:rsidP="005C4B3E">
      <w:pPr>
        <w:pStyle w:val="BasicParagraph"/>
        <w:suppressAutoHyphens/>
        <w:rPr>
          <w:rFonts w:ascii="Verdana" w:hAnsi="Verdana" w:cs="Arial"/>
          <w:b/>
          <w:color w:val="734791"/>
        </w:rPr>
      </w:pPr>
    </w:p>
    <w:p w14:paraId="4A23A88F" w14:textId="55064543" w:rsidR="005C4B3E" w:rsidRDefault="005C4B3E" w:rsidP="005C4B3E">
      <w:pPr>
        <w:pStyle w:val="BasicParagraph"/>
        <w:suppressAutoHyphens/>
        <w:rPr>
          <w:rFonts w:ascii="Verdana" w:hAnsi="Verdana" w:cs="Arial"/>
          <w:b/>
          <w:color w:val="734791"/>
        </w:rPr>
      </w:pPr>
    </w:p>
    <w:p w14:paraId="6C9BEC43" w14:textId="34C3A6C6" w:rsidR="005C4B3E" w:rsidRDefault="005C4B3E" w:rsidP="005C4B3E">
      <w:pPr>
        <w:pStyle w:val="BasicParagraph"/>
        <w:suppressAutoHyphens/>
        <w:rPr>
          <w:rFonts w:ascii="Verdana" w:hAnsi="Verdana" w:cs="Arial"/>
          <w:b/>
          <w:color w:val="734791"/>
        </w:rPr>
      </w:pPr>
    </w:p>
    <w:p w14:paraId="50E1CB14" w14:textId="77777777" w:rsidR="005C4B3E" w:rsidRPr="003B7D0E" w:rsidRDefault="005C4B3E" w:rsidP="005C4B3E">
      <w:pPr>
        <w:pStyle w:val="BasicParagraph"/>
        <w:suppressAutoHyphens/>
        <w:rPr>
          <w:rFonts w:ascii="Verdana" w:hAnsi="Verdana" w:cs="Arial"/>
          <w:b/>
          <w:color w:val="734791"/>
        </w:rPr>
      </w:pPr>
    </w:p>
    <w:p w14:paraId="274F4673" w14:textId="603F8C24" w:rsidR="00BD436C" w:rsidRPr="005C4B3E" w:rsidRDefault="00830D84" w:rsidP="00C43CD2">
      <w:pPr>
        <w:pStyle w:val="BasicParagraph"/>
        <w:suppressAutoHyphens/>
        <w:rPr>
          <w:rFonts w:ascii="Verdana" w:hAnsi="Verdana" w:cs="Arial"/>
          <w:color w:val="77328A"/>
          <w:sz w:val="30"/>
          <w:szCs w:val="30"/>
        </w:rPr>
      </w:pPr>
      <w:r w:rsidRPr="005C4B3E">
        <w:rPr>
          <w:rFonts w:ascii="Verdana" w:hAnsi="Verdana" w:cs="Arial"/>
          <w:b/>
          <w:color w:val="77328A"/>
          <w:sz w:val="30"/>
          <w:szCs w:val="30"/>
        </w:rPr>
        <w:t>2</w:t>
      </w:r>
      <w:r w:rsidR="003B7D0E" w:rsidRPr="005C4B3E">
        <w:rPr>
          <w:rFonts w:ascii="Verdana" w:hAnsi="Verdana" w:cs="Arial"/>
          <w:b/>
          <w:color w:val="77328A"/>
          <w:sz w:val="30"/>
          <w:szCs w:val="30"/>
        </w:rPr>
        <w:t>.0</w:t>
      </w:r>
      <w:r w:rsidR="003B7D0E" w:rsidRPr="005C4B3E">
        <w:rPr>
          <w:rFonts w:ascii="Verdana" w:hAnsi="Verdana" w:cs="Arial"/>
          <w:b/>
          <w:color w:val="77328A"/>
          <w:sz w:val="30"/>
          <w:szCs w:val="30"/>
        </w:rPr>
        <w:tab/>
      </w:r>
      <w:r w:rsidR="003D635E" w:rsidRPr="005C4B3E">
        <w:rPr>
          <w:rFonts w:ascii="Verdana" w:hAnsi="Verdana" w:cs="Arial"/>
          <w:b/>
          <w:color w:val="77328A"/>
          <w:sz w:val="30"/>
          <w:szCs w:val="30"/>
        </w:rPr>
        <w:t>Non-</w:t>
      </w:r>
      <w:r w:rsidR="00D323D3" w:rsidRPr="005C4B3E">
        <w:rPr>
          <w:rFonts w:ascii="Verdana" w:hAnsi="Verdana" w:cs="Arial"/>
          <w:b/>
          <w:color w:val="77328A"/>
          <w:sz w:val="30"/>
          <w:szCs w:val="30"/>
        </w:rPr>
        <w:t>Religious</w:t>
      </w:r>
      <w:r w:rsidR="003D635E" w:rsidRPr="005C4B3E">
        <w:rPr>
          <w:rFonts w:ascii="Verdana" w:hAnsi="Verdana" w:cs="Arial"/>
          <w:b/>
          <w:color w:val="77328A"/>
          <w:sz w:val="30"/>
          <w:szCs w:val="30"/>
        </w:rPr>
        <w:t xml:space="preserve"> ‘</w:t>
      </w:r>
      <w:r w:rsidR="009B19E5" w:rsidRPr="005C4B3E">
        <w:rPr>
          <w:rFonts w:ascii="Verdana" w:hAnsi="Verdana" w:cs="Arial"/>
          <w:b/>
          <w:color w:val="77328A"/>
          <w:sz w:val="30"/>
          <w:szCs w:val="30"/>
        </w:rPr>
        <w:t>Belief</w:t>
      </w:r>
      <w:r w:rsidR="003D635E" w:rsidRPr="005C4B3E">
        <w:rPr>
          <w:rFonts w:ascii="Verdana" w:hAnsi="Verdana" w:cs="Arial"/>
          <w:b/>
          <w:color w:val="77328A"/>
          <w:sz w:val="30"/>
          <w:szCs w:val="30"/>
        </w:rPr>
        <w:t>’</w:t>
      </w:r>
      <w:r w:rsidR="009B19E5" w:rsidRPr="005C4B3E">
        <w:rPr>
          <w:rFonts w:ascii="Verdana" w:hAnsi="Verdana" w:cs="Arial"/>
          <w:b/>
          <w:color w:val="77328A"/>
          <w:sz w:val="30"/>
          <w:szCs w:val="30"/>
        </w:rPr>
        <w:t xml:space="preserve"> Marriage</w:t>
      </w:r>
      <w:r w:rsidR="000C7662" w:rsidRPr="005C4B3E">
        <w:rPr>
          <w:rFonts w:ascii="Verdana" w:hAnsi="Verdana" w:cs="Arial"/>
          <w:b/>
          <w:color w:val="77328A"/>
          <w:sz w:val="30"/>
          <w:szCs w:val="30"/>
        </w:rPr>
        <w:t xml:space="preserve"> </w:t>
      </w:r>
    </w:p>
    <w:p w14:paraId="00F01E38" w14:textId="77777777" w:rsidR="005025F2" w:rsidRPr="0072505C" w:rsidRDefault="005025F2" w:rsidP="00C43CD2">
      <w:pPr>
        <w:pStyle w:val="BasicParagraph"/>
        <w:suppressAutoHyphens/>
        <w:rPr>
          <w:rFonts w:ascii="Verdana" w:hAnsi="Verdana" w:cs="Arial"/>
          <w:color w:val="77328A"/>
          <w:sz w:val="30"/>
          <w:szCs w:val="30"/>
        </w:rPr>
      </w:pPr>
    </w:p>
    <w:p w14:paraId="274E7EBF" w14:textId="77777777" w:rsidR="00A206CA" w:rsidRDefault="009B19E5" w:rsidP="00C43CD2">
      <w:pPr>
        <w:pStyle w:val="BasicParagraph"/>
        <w:suppressAutoHyphens/>
        <w:rPr>
          <w:rFonts w:ascii="Verdana" w:hAnsi="Verdana" w:cs="Arial"/>
          <w:b/>
          <w:color w:val="232120"/>
        </w:rPr>
      </w:pPr>
      <w:r>
        <w:rPr>
          <w:rFonts w:ascii="Verdana" w:hAnsi="Verdana" w:cs="Arial"/>
          <w:b/>
          <w:color w:val="232120"/>
        </w:rPr>
        <w:t>Human Rights Standards</w:t>
      </w:r>
    </w:p>
    <w:p w14:paraId="09613E7B" w14:textId="77777777" w:rsidR="002B1F3E" w:rsidRPr="002B1F3E" w:rsidRDefault="009B19E5" w:rsidP="00C43CD2">
      <w:pPr>
        <w:pStyle w:val="BasicParagraph"/>
        <w:suppressAutoHyphens/>
        <w:rPr>
          <w:rFonts w:ascii="Verdana" w:hAnsi="Verdana" w:cs="Arial"/>
          <w:b/>
          <w:color w:val="232120"/>
        </w:rPr>
      </w:pPr>
      <w:r>
        <w:rPr>
          <w:rFonts w:ascii="Verdana" w:hAnsi="Verdana" w:cs="Arial"/>
          <w:b/>
          <w:color w:val="232120"/>
        </w:rPr>
        <w:t xml:space="preserve"> </w:t>
      </w:r>
      <w:r w:rsidR="000C7662">
        <w:rPr>
          <w:rFonts w:ascii="Verdana" w:hAnsi="Verdana" w:cs="Arial"/>
          <w:b/>
          <w:color w:val="232120"/>
        </w:rPr>
        <w:t xml:space="preserve"> </w:t>
      </w:r>
    </w:p>
    <w:p w14:paraId="2C1384FD" w14:textId="77777777" w:rsidR="00EF249B" w:rsidRPr="00EF249B" w:rsidRDefault="00EF249B" w:rsidP="00C43CD2">
      <w:pPr>
        <w:pStyle w:val="ListParagraph"/>
        <w:numPr>
          <w:ilvl w:val="0"/>
          <w:numId w:val="11"/>
        </w:numPr>
        <w:jc w:val="left"/>
        <w:rPr>
          <w:vanish/>
          <w:color w:val="232120"/>
        </w:rPr>
      </w:pPr>
    </w:p>
    <w:p w14:paraId="72A6A708" w14:textId="51934D26" w:rsidR="001253FE" w:rsidRDefault="00B41F3E" w:rsidP="00C43CD2">
      <w:pPr>
        <w:pStyle w:val="ListParagraph"/>
        <w:jc w:val="left"/>
      </w:pPr>
      <w:r w:rsidRPr="00B41F3E">
        <w:t xml:space="preserve">The right to marry is protected in international law </w:t>
      </w:r>
      <w:r w:rsidR="00B267F3">
        <w:t>by</w:t>
      </w:r>
      <w:r w:rsidRPr="00B41F3E">
        <w:t xml:space="preserve"> Article 23(2) ICCPR</w:t>
      </w:r>
      <w:r w:rsidR="00B267F3">
        <w:t xml:space="preserve"> and </w:t>
      </w:r>
      <w:r w:rsidRPr="00B41F3E">
        <w:t>12 ECHR</w:t>
      </w:r>
      <w:r w:rsidR="008B7074">
        <w:t xml:space="preserve">. </w:t>
      </w:r>
      <w:r w:rsidR="000D3D1B">
        <w:t>The</w:t>
      </w:r>
      <w:r w:rsidR="00565E95">
        <w:t xml:space="preserve"> right</w:t>
      </w:r>
      <w:r w:rsidR="008472BB">
        <w:t xml:space="preserve"> is subject to national laws on </w:t>
      </w:r>
      <w:r w:rsidR="00D61C98">
        <w:t>marriage</w:t>
      </w:r>
      <w:r w:rsidR="005E618F">
        <w:t xml:space="preserve"> and </w:t>
      </w:r>
      <w:r w:rsidR="000F7127">
        <w:t xml:space="preserve">the European Court of Human Rights (ECtHR) </w:t>
      </w:r>
      <w:r w:rsidR="00961AA2">
        <w:t xml:space="preserve">has </w:t>
      </w:r>
      <w:r w:rsidR="000F7127">
        <w:t>held that</w:t>
      </w:r>
      <w:r w:rsidR="005E618F">
        <w:t xml:space="preserve"> States enjoy a wide margin of appreciation.</w:t>
      </w:r>
      <w:r w:rsidR="005E618F">
        <w:rPr>
          <w:rStyle w:val="FootnoteReference"/>
        </w:rPr>
        <w:footnoteReference w:id="17"/>
      </w:r>
      <w:r w:rsidR="005E618F">
        <w:t xml:space="preserve"> However</w:t>
      </w:r>
      <w:r w:rsidR="003F5EEE">
        <w:t xml:space="preserve">, </w:t>
      </w:r>
      <w:r w:rsidR="004F5712">
        <w:t xml:space="preserve">any restrictions imposed by </w:t>
      </w:r>
      <w:r w:rsidR="00500844">
        <w:t>the government</w:t>
      </w:r>
      <w:r w:rsidR="00083249">
        <w:t xml:space="preserve"> must not be arbitrary or interfere with the </w:t>
      </w:r>
      <w:r w:rsidR="005A26A5">
        <w:t>very essence</w:t>
      </w:r>
      <w:r w:rsidR="00083249">
        <w:t xml:space="preserve"> of the right.</w:t>
      </w:r>
      <w:r w:rsidR="00084664">
        <w:rPr>
          <w:rStyle w:val="FootnoteReference"/>
        </w:rPr>
        <w:footnoteReference w:id="18"/>
      </w:r>
      <w:r w:rsidR="00083249">
        <w:t xml:space="preserve"> </w:t>
      </w:r>
    </w:p>
    <w:p w14:paraId="7E62E081" w14:textId="77777777" w:rsidR="00AB3100" w:rsidRDefault="00AB3100" w:rsidP="00C43CD2">
      <w:pPr>
        <w:pStyle w:val="BasicParagraph"/>
        <w:suppressAutoHyphens/>
        <w:rPr>
          <w:rFonts w:ascii="Verdana" w:hAnsi="Verdana"/>
        </w:rPr>
      </w:pPr>
    </w:p>
    <w:p w14:paraId="324BA5C8" w14:textId="77781E1B" w:rsidR="00924FB0" w:rsidRDefault="00B8141E" w:rsidP="00C43CD2">
      <w:pPr>
        <w:pStyle w:val="ListParagraph"/>
        <w:jc w:val="left"/>
      </w:pPr>
      <w:r w:rsidRPr="00B8141E">
        <w:t xml:space="preserve">Freedom of thought, conscience and religion is protected by Article 9 ECHR, </w:t>
      </w:r>
      <w:r w:rsidR="00E554C5">
        <w:t xml:space="preserve">Article 18 UDHR, </w:t>
      </w:r>
      <w:r w:rsidRPr="00B8141E">
        <w:t>Article 18 ICCPR</w:t>
      </w:r>
      <w:r w:rsidR="008B7074">
        <w:t xml:space="preserve"> and </w:t>
      </w:r>
      <w:r w:rsidRPr="00B8141E">
        <w:t>Article 14 UNCRC</w:t>
      </w:r>
      <w:r w:rsidR="008B7074">
        <w:t xml:space="preserve">. </w:t>
      </w:r>
      <w:r w:rsidR="006C1849">
        <w:t xml:space="preserve">Article 14 ECHR </w:t>
      </w:r>
      <w:r w:rsidR="006C1849" w:rsidRPr="00F26CAE">
        <w:t>enshrines the protection against discrimination in the enjoyment of the rights set forth in the Convention “on any ground such as sex, race, colour, language, religion, political or other opinion, national or social origin, association with a national minority, property, birth or other status”.</w:t>
      </w:r>
      <w:r w:rsidR="00932624">
        <w:t xml:space="preserve"> </w:t>
      </w:r>
      <w:r w:rsidR="007E23C4">
        <w:t>The ECtHR</w:t>
      </w:r>
      <w:r w:rsidR="007E23C4" w:rsidRPr="005524F3">
        <w:t xml:space="preserve"> </w:t>
      </w:r>
      <w:r w:rsidR="007E23C4">
        <w:t>has established</w:t>
      </w:r>
      <w:r w:rsidR="007E23C4" w:rsidRPr="005524F3">
        <w:t xml:space="preserve"> that a difference of treatment is discriminatory within the meaning of Article 14 if it has no objective and reasonable justificatio</w:t>
      </w:r>
      <w:r w:rsidR="007E23C4">
        <w:t>n.</w:t>
      </w:r>
      <w:r w:rsidR="007E23C4">
        <w:rPr>
          <w:rStyle w:val="FootnoteReference"/>
        </w:rPr>
        <w:footnoteReference w:id="19"/>
      </w:r>
      <w:r w:rsidR="007E23C4">
        <w:t xml:space="preserve"> </w:t>
      </w:r>
    </w:p>
    <w:p w14:paraId="1B23B94F" w14:textId="77777777" w:rsidR="006C1849" w:rsidRDefault="006C1849" w:rsidP="00C43CD2">
      <w:pPr>
        <w:pStyle w:val="BasicParagraph"/>
        <w:suppressAutoHyphens/>
        <w:ind w:left="720" w:hanging="720"/>
        <w:rPr>
          <w:rFonts w:ascii="Verdana" w:hAnsi="Verdana"/>
        </w:rPr>
      </w:pPr>
    </w:p>
    <w:p w14:paraId="535F8A48" w14:textId="5B363869" w:rsidR="00924FB0" w:rsidRDefault="00924FB0" w:rsidP="00C43CD2">
      <w:pPr>
        <w:pStyle w:val="ListParagraph"/>
        <w:jc w:val="left"/>
      </w:pPr>
      <w:r w:rsidRPr="00924FB0">
        <w:t xml:space="preserve">Under </w:t>
      </w:r>
      <w:r w:rsidR="004B77DB">
        <w:t xml:space="preserve">the terms of </w:t>
      </w:r>
      <w:r w:rsidR="00B65C08">
        <w:t>Article 9</w:t>
      </w:r>
      <w:r w:rsidRPr="00924FB0">
        <w:t xml:space="preserve"> ECH</w:t>
      </w:r>
      <w:r w:rsidR="008B7074">
        <w:t>R</w:t>
      </w:r>
      <w:r w:rsidRPr="00924FB0">
        <w:t>,</w:t>
      </w:r>
    </w:p>
    <w:p w14:paraId="3C156A47" w14:textId="1C9AFB83" w:rsidR="004D351C" w:rsidRDefault="004D351C" w:rsidP="00C43CD2">
      <w:pPr>
        <w:pStyle w:val="BasicParagraph"/>
        <w:suppressAutoHyphens/>
        <w:ind w:left="720" w:hanging="720"/>
        <w:rPr>
          <w:rFonts w:ascii="Verdana" w:hAnsi="Verdana"/>
        </w:rPr>
      </w:pPr>
    </w:p>
    <w:p w14:paraId="00AFA2A4" w14:textId="0B8C65E6" w:rsidR="004D351C" w:rsidRPr="004D351C" w:rsidRDefault="004D351C" w:rsidP="00C43CD2">
      <w:pPr>
        <w:pStyle w:val="BasicParagraph"/>
        <w:suppressAutoHyphens/>
        <w:ind w:left="1440"/>
        <w:rPr>
          <w:rFonts w:ascii="Verdana" w:hAnsi="Verdana"/>
        </w:rPr>
      </w:pPr>
      <w:r w:rsidRPr="004D351C">
        <w:rPr>
          <w:rFonts w:ascii="Verdana" w:hAnsi="Verdana"/>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Pr>
          <w:rStyle w:val="FootnoteReference"/>
          <w:rFonts w:ascii="Verdana" w:hAnsi="Verdana"/>
        </w:rPr>
        <w:footnoteReference w:id="20"/>
      </w:r>
    </w:p>
    <w:p w14:paraId="1348CACB" w14:textId="77777777" w:rsidR="00535FE1" w:rsidRDefault="00535FE1" w:rsidP="00C43CD2">
      <w:pPr>
        <w:pStyle w:val="BasicParagraph"/>
        <w:suppressAutoHyphens/>
        <w:spacing w:line="240" w:lineRule="auto"/>
        <w:rPr>
          <w:rFonts w:ascii="Verdana" w:hAnsi="Verdana"/>
        </w:rPr>
      </w:pPr>
    </w:p>
    <w:p w14:paraId="6A989108" w14:textId="3F603043" w:rsidR="00825165" w:rsidRPr="004A5C54" w:rsidRDefault="009939F5" w:rsidP="00C43CD2">
      <w:pPr>
        <w:pStyle w:val="ListParagraph"/>
        <w:jc w:val="left"/>
      </w:pPr>
      <w:r>
        <w:t xml:space="preserve">The </w:t>
      </w:r>
      <w:r w:rsidR="00825165" w:rsidRPr="004A5C54">
        <w:t xml:space="preserve">right to hold and change </w:t>
      </w:r>
      <w:r w:rsidR="004152C9">
        <w:t xml:space="preserve">a </w:t>
      </w:r>
      <w:r w:rsidR="00614B94">
        <w:t>re</w:t>
      </w:r>
      <w:r w:rsidR="005F4B7F">
        <w:t xml:space="preserve">ligion or </w:t>
      </w:r>
      <w:r w:rsidR="00825165" w:rsidRPr="004A5C54">
        <w:t>belief is an absolute right.</w:t>
      </w:r>
      <w:r w:rsidR="003C6260">
        <w:t xml:space="preserve"> </w:t>
      </w:r>
      <w:r w:rsidR="004152C9">
        <w:t>However, t</w:t>
      </w:r>
      <w:r w:rsidR="004152C9" w:rsidRPr="004A5C54">
        <w:t xml:space="preserve">he </w:t>
      </w:r>
      <w:r w:rsidR="00825165" w:rsidRPr="004A5C54">
        <w:t xml:space="preserve">right to manifest </w:t>
      </w:r>
      <w:r w:rsidR="005F4B7F">
        <w:t xml:space="preserve">religion or </w:t>
      </w:r>
      <w:r w:rsidR="00825165" w:rsidRPr="004A5C54">
        <w:t xml:space="preserve">belief is qualified and may be restricted where this is prescribed by law, necessary in a democratic society, </w:t>
      </w:r>
      <w:r w:rsidR="004152C9">
        <w:t>in pursuit of</w:t>
      </w:r>
      <w:r w:rsidR="00825165" w:rsidRPr="004A5C54">
        <w:t xml:space="preserve"> a legitimate aim and where the restriction is proportionate to that aim. The ECtHR has noted that the reason behind the qualification of the right to manifest a belief is the possibility for an individual’s practise of their beliefs to impact on others.</w:t>
      </w:r>
      <w:r w:rsidR="004A5C54">
        <w:rPr>
          <w:rStyle w:val="FootnoteReference"/>
        </w:rPr>
        <w:footnoteReference w:id="21"/>
      </w:r>
    </w:p>
    <w:p w14:paraId="7A00BE17" w14:textId="77777777" w:rsidR="00825165" w:rsidRPr="004A5C54" w:rsidRDefault="00825165" w:rsidP="00C43CD2">
      <w:pPr>
        <w:pStyle w:val="BasicParagraph"/>
        <w:suppressAutoHyphens/>
        <w:spacing w:line="240" w:lineRule="auto"/>
        <w:rPr>
          <w:rFonts w:ascii="Verdana" w:hAnsi="Verdana"/>
        </w:rPr>
      </w:pPr>
    </w:p>
    <w:p w14:paraId="09895E90" w14:textId="60E2F499" w:rsidR="004A5C54" w:rsidRPr="004A5C54" w:rsidRDefault="004A5C54" w:rsidP="00C43CD2">
      <w:pPr>
        <w:pStyle w:val="ListParagraph"/>
        <w:jc w:val="left"/>
      </w:pPr>
      <w:r w:rsidRPr="004A5C54">
        <w:t xml:space="preserve">There is no definition of religion </w:t>
      </w:r>
      <w:r w:rsidR="009F1450">
        <w:t xml:space="preserve">or belief </w:t>
      </w:r>
      <w:r w:rsidRPr="004A5C54">
        <w:t>in the text of the ECHR or the case law of the ECtHR</w:t>
      </w:r>
      <w:r w:rsidR="009C1BF8">
        <w:t>,</w:t>
      </w:r>
      <w:r w:rsidRPr="004A5C54">
        <w:t xml:space="preserve"> although for any personal </w:t>
      </w:r>
      <w:r w:rsidR="009C1BF8">
        <w:t xml:space="preserve">or collective </w:t>
      </w:r>
      <w:r w:rsidRPr="004A5C54">
        <w:t xml:space="preserve">conviction to attract protection by this right, it must have attained a certain level of cogency, seriousness, </w:t>
      </w:r>
      <w:proofErr w:type="gramStart"/>
      <w:r w:rsidRPr="004A5C54">
        <w:t>cohesion</w:t>
      </w:r>
      <w:proofErr w:type="gramEnd"/>
      <w:r w:rsidRPr="004A5C54">
        <w:t xml:space="preserve"> and importance.</w:t>
      </w:r>
      <w:r w:rsidR="00965E19">
        <w:rPr>
          <w:rStyle w:val="FootnoteReference"/>
        </w:rPr>
        <w:footnoteReference w:id="22"/>
      </w:r>
    </w:p>
    <w:p w14:paraId="75FD647F" w14:textId="77777777" w:rsidR="004A5C54" w:rsidRPr="004A5C54" w:rsidRDefault="004A5C54" w:rsidP="00C43CD2">
      <w:pPr>
        <w:pStyle w:val="BasicParagraph"/>
        <w:suppressAutoHyphens/>
        <w:spacing w:line="276" w:lineRule="auto"/>
        <w:rPr>
          <w:rFonts w:ascii="Verdana" w:hAnsi="Verdana"/>
        </w:rPr>
      </w:pPr>
    </w:p>
    <w:p w14:paraId="15054018" w14:textId="78990BD3" w:rsidR="004A5ACD" w:rsidRDefault="004A5C54" w:rsidP="00C43CD2">
      <w:pPr>
        <w:pStyle w:val="ListParagraph"/>
        <w:jc w:val="left"/>
      </w:pPr>
      <w:r w:rsidRPr="004A5C54">
        <w:t xml:space="preserve">The State has a duty of neutrality in respect of religion and must refrain from attempting to assess the legitimacy of religious beliefs or the </w:t>
      </w:r>
      <w:proofErr w:type="gramStart"/>
      <w:r w:rsidRPr="004A5C54">
        <w:t>manner in which</w:t>
      </w:r>
      <w:proofErr w:type="gramEnd"/>
      <w:r w:rsidRPr="004A5C54">
        <w:t xml:space="preserve"> those beliefs are expressed.</w:t>
      </w:r>
      <w:r w:rsidR="00965E19">
        <w:rPr>
          <w:rStyle w:val="FootnoteReference"/>
        </w:rPr>
        <w:footnoteReference w:id="23"/>
      </w:r>
      <w:r w:rsidRPr="004A5C54">
        <w:t xml:space="preserve"> </w:t>
      </w:r>
    </w:p>
    <w:p w14:paraId="05789830" w14:textId="77777777" w:rsidR="004A5ACD" w:rsidRDefault="004A5ACD" w:rsidP="00C43CD2">
      <w:pPr>
        <w:pStyle w:val="BasicParagraph"/>
        <w:suppressAutoHyphens/>
        <w:spacing w:line="276" w:lineRule="auto"/>
        <w:rPr>
          <w:rFonts w:ascii="Verdana" w:hAnsi="Verdana"/>
        </w:rPr>
      </w:pPr>
    </w:p>
    <w:p w14:paraId="7E731724" w14:textId="1D54D032" w:rsidR="00404852" w:rsidRDefault="00404852" w:rsidP="00C43CD2">
      <w:pPr>
        <w:pStyle w:val="ListParagraph"/>
        <w:jc w:val="left"/>
      </w:pPr>
      <w:r w:rsidRPr="003D7D8E">
        <w:t xml:space="preserve">Marriages in Northern Ireland are governed by the </w:t>
      </w:r>
      <w:r w:rsidR="00961AA2">
        <w:t xml:space="preserve">Marriage (NI) Order 2003 (the </w:t>
      </w:r>
      <w:r w:rsidRPr="003D7D8E">
        <w:t>2003 Order</w:t>
      </w:r>
      <w:r w:rsidR="00961AA2">
        <w:t>)</w:t>
      </w:r>
      <w:r>
        <w:t>,</w:t>
      </w:r>
      <w:r>
        <w:rPr>
          <w:rStyle w:val="FootnoteReference"/>
        </w:rPr>
        <w:footnoteReference w:id="24"/>
      </w:r>
      <w:r>
        <w:t xml:space="preserve"> which</w:t>
      </w:r>
      <w:r w:rsidRPr="00DA2E57">
        <w:t xml:space="preserve"> provides for</w:t>
      </w:r>
      <w:r>
        <w:t xml:space="preserve"> both </w:t>
      </w:r>
      <w:r w:rsidRPr="00DA2E57">
        <w:t>religious</w:t>
      </w:r>
      <w:r>
        <w:t xml:space="preserve"> marriages</w:t>
      </w:r>
      <w:r w:rsidRPr="00DA2E57">
        <w:t xml:space="preserve"> and civil</w:t>
      </w:r>
      <w:r>
        <w:t xml:space="preserve"> marriages. </w:t>
      </w:r>
      <w:r w:rsidR="005B5C90" w:rsidRPr="005B5C90">
        <w:t xml:space="preserve">Article 14 of the 2003 Order provides that the Registrar General may grant </w:t>
      </w:r>
      <w:r w:rsidR="0049540A">
        <w:t xml:space="preserve">temporary authorisation to </w:t>
      </w:r>
      <w:r w:rsidR="005B5C90" w:rsidRPr="005B5C90">
        <w:t xml:space="preserve">a member of a religious body to solemnise one or more specified marriages or marriages during a specified period. Article 31 </w:t>
      </w:r>
      <w:r w:rsidR="0049540A">
        <w:t xml:space="preserve">enables the Registrar General to </w:t>
      </w:r>
      <w:r w:rsidR="0049540A" w:rsidRPr="005B5C90">
        <w:t>appoint a registrar of marriages and additional persons to solemnise civil marriages</w:t>
      </w:r>
      <w:r w:rsidR="00401FA8">
        <w:t xml:space="preserve">. In effect, </w:t>
      </w:r>
    </w:p>
    <w:p w14:paraId="204BB8A4" w14:textId="77777777" w:rsidR="006C5DF3" w:rsidRDefault="006C5DF3" w:rsidP="00C43CD2">
      <w:pPr>
        <w:pStyle w:val="BasicParagraph"/>
        <w:suppressAutoHyphens/>
        <w:spacing w:line="276" w:lineRule="auto"/>
        <w:ind w:left="720" w:hanging="720"/>
        <w:rPr>
          <w:rFonts w:ascii="Verdana" w:hAnsi="Verdana"/>
        </w:rPr>
      </w:pPr>
    </w:p>
    <w:p w14:paraId="13F72919" w14:textId="77777777" w:rsidR="00404852" w:rsidRPr="00AB3100" w:rsidRDefault="00404852" w:rsidP="00C43CD2">
      <w:pPr>
        <w:pStyle w:val="BasicParagraph"/>
        <w:suppressAutoHyphens/>
        <w:ind w:left="1440"/>
        <w:rPr>
          <w:rFonts w:ascii="Verdana" w:hAnsi="Verdana"/>
        </w:rPr>
      </w:pPr>
      <w:r>
        <w:rPr>
          <w:rFonts w:ascii="Verdana" w:hAnsi="Verdana"/>
        </w:rPr>
        <w:t>“</w:t>
      </w:r>
      <w:r w:rsidRPr="00AB3100">
        <w:rPr>
          <w:rFonts w:ascii="Verdana" w:hAnsi="Verdana"/>
        </w:rPr>
        <w:t xml:space="preserve">Under the 2003 Order, only religious organisations— organised groups of people that meet regularly for religious worship—have the legal privilege to marry their members in accord with their beliefs. Belief groups, including humanists, do not fall under the definition of religious groups since they do not meet regularly for religious worship. </w:t>
      </w:r>
      <w:proofErr w:type="gramStart"/>
      <w:r w:rsidRPr="00AB3100">
        <w:rPr>
          <w:rFonts w:ascii="Verdana" w:hAnsi="Verdana"/>
        </w:rPr>
        <w:t>Therefore</w:t>
      </w:r>
      <w:proofErr w:type="gramEnd"/>
      <w:r w:rsidRPr="00AB3100">
        <w:rPr>
          <w:rFonts w:ascii="Verdana" w:hAnsi="Verdana"/>
        </w:rPr>
        <w:t xml:space="preserve"> they cannot avail of a legal privilege that the Order restricts to religious groups.</w:t>
      </w:r>
      <w:r>
        <w:rPr>
          <w:rFonts w:ascii="Verdana" w:hAnsi="Verdana"/>
        </w:rPr>
        <w:t>”</w:t>
      </w:r>
      <w:r>
        <w:rPr>
          <w:rStyle w:val="FootnoteReference"/>
          <w:rFonts w:ascii="Verdana" w:hAnsi="Verdana"/>
        </w:rPr>
        <w:footnoteReference w:id="25"/>
      </w:r>
    </w:p>
    <w:p w14:paraId="0BF05C6E" w14:textId="77777777" w:rsidR="00404852" w:rsidRDefault="00404852" w:rsidP="00C43CD2">
      <w:pPr>
        <w:pStyle w:val="BasicParagraph"/>
        <w:suppressAutoHyphens/>
        <w:rPr>
          <w:rFonts w:ascii="Verdana" w:hAnsi="Verdana"/>
        </w:rPr>
      </w:pPr>
    </w:p>
    <w:p w14:paraId="1F16B238" w14:textId="0B753AE6" w:rsidR="006E1FA9" w:rsidRPr="006E1FA9" w:rsidRDefault="00404852" w:rsidP="00C43CD2">
      <w:pPr>
        <w:pStyle w:val="ListParagraph"/>
        <w:jc w:val="left"/>
      </w:pPr>
      <w:r>
        <w:t xml:space="preserve">The NIHRC </w:t>
      </w:r>
      <w:r w:rsidR="00961AA2">
        <w:t xml:space="preserve">notes </w:t>
      </w:r>
      <w:r>
        <w:t xml:space="preserve">the recent </w:t>
      </w:r>
      <w:r w:rsidR="00CB7E3D">
        <w:t xml:space="preserve">NI </w:t>
      </w:r>
      <w:r w:rsidR="00286615">
        <w:t xml:space="preserve">judgments in </w:t>
      </w:r>
      <w:r w:rsidR="00286615" w:rsidRPr="00286615">
        <w:rPr>
          <w:i/>
          <w:iCs/>
        </w:rPr>
        <w:t>Re Smyth</w:t>
      </w:r>
      <w:r w:rsidR="00286615">
        <w:t xml:space="preserve">, </w:t>
      </w:r>
      <w:r w:rsidR="00A07341">
        <w:t>which challenged</w:t>
      </w:r>
      <w:r>
        <w:t xml:space="preserve"> these provisions </w:t>
      </w:r>
      <w:r w:rsidR="003A29E6">
        <w:t xml:space="preserve">on the </w:t>
      </w:r>
      <w:r w:rsidR="001F55E9">
        <w:t xml:space="preserve">grounds that </w:t>
      </w:r>
      <w:r w:rsidR="006E1FA9">
        <w:t xml:space="preserve">they </w:t>
      </w:r>
      <w:r w:rsidR="006E1FA9" w:rsidRPr="006E1FA9">
        <w:t>operate to exclude the possibility</w:t>
      </w:r>
      <w:r w:rsidR="006112E6">
        <w:t xml:space="preserve"> of</w:t>
      </w:r>
      <w:r w:rsidR="006E1FA9" w:rsidRPr="006E1FA9">
        <w:t xml:space="preserve"> legal recognitio</w:t>
      </w:r>
      <w:r w:rsidR="006E1FA9">
        <w:t>n</w:t>
      </w:r>
      <w:r w:rsidR="006E1FA9" w:rsidRPr="006E1FA9">
        <w:t xml:space="preserve"> for a </w:t>
      </w:r>
      <w:r w:rsidR="00CE1FF4">
        <w:t>humanist</w:t>
      </w:r>
      <w:r w:rsidR="006E1FA9" w:rsidRPr="006E1FA9">
        <w:t xml:space="preserve"> marriage ceremony</w:t>
      </w:r>
      <w:r w:rsidR="00427ADB">
        <w:t xml:space="preserve"> on the same footing as a religious marriage,</w:t>
      </w:r>
      <w:r w:rsidR="006E1FA9" w:rsidRPr="006E1FA9">
        <w:t xml:space="preserve"> </w:t>
      </w:r>
      <w:r w:rsidR="006E1FA9">
        <w:t>and</w:t>
      </w:r>
      <w:r w:rsidR="006E1FA9" w:rsidRPr="006E1FA9">
        <w:t xml:space="preserve"> </w:t>
      </w:r>
      <w:r w:rsidR="00660E8C">
        <w:t xml:space="preserve">that this difference in treatment </w:t>
      </w:r>
      <w:r w:rsidR="00727EAC">
        <w:t>is contrary to</w:t>
      </w:r>
      <w:r w:rsidR="006E1FA9" w:rsidRPr="006E1FA9">
        <w:t xml:space="preserve"> Articles 9 and/or 14 of the ECHR.</w:t>
      </w:r>
      <w:r w:rsidR="000769D6" w:rsidRPr="000769D6">
        <w:rPr>
          <w:rStyle w:val="FootnoteReference"/>
        </w:rPr>
        <w:t xml:space="preserve"> </w:t>
      </w:r>
      <w:r w:rsidR="000769D6">
        <w:rPr>
          <w:rStyle w:val="FootnoteReference"/>
        </w:rPr>
        <w:footnoteReference w:id="26"/>
      </w:r>
      <w:r w:rsidR="00474A36">
        <w:t xml:space="preserve"> The </w:t>
      </w:r>
      <w:r w:rsidR="004152C9">
        <w:t xml:space="preserve">NI </w:t>
      </w:r>
      <w:r w:rsidR="00474A36">
        <w:t xml:space="preserve">High Court </w:t>
      </w:r>
      <w:r w:rsidR="00D83BCE">
        <w:t xml:space="preserve">granted: </w:t>
      </w:r>
    </w:p>
    <w:p w14:paraId="44BFC20B" w14:textId="77777777" w:rsidR="00404852" w:rsidRDefault="00404852" w:rsidP="00C43CD2">
      <w:pPr>
        <w:pStyle w:val="BasicParagraph"/>
        <w:suppressAutoHyphens/>
        <w:rPr>
          <w:rFonts w:ascii="Verdana" w:hAnsi="Verdana"/>
        </w:rPr>
      </w:pPr>
    </w:p>
    <w:p w14:paraId="0B840694" w14:textId="622BF953" w:rsidR="004273E9" w:rsidRPr="00696D93" w:rsidRDefault="008B7074" w:rsidP="00C43CD2">
      <w:pPr>
        <w:pStyle w:val="BasicParagraph"/>
        <w:suppressAutoHyphens/>
        <w:ind w:left="1440"/>
        <w:rPr>
          <w:rFonts w:ascii="Verdana" w:hAnsi="Verdana"/>
        </w:rPr>
      </w:pPr>
      <w:r>
        <w:rPr>
          <w:rFonts w:ascii="Verdana" w:hAnsi="Verdana"/>
        </w:rPr>
        <w:t>“</w:t>
      </w:r>
      <w:r w:rsidR="004273E9" w:rsidRPr="00696D93">
        <w:rPr>
          <w:rFonts w:ascii="Verdana" w:hAnsi="Verdana"/>
        </w:rPr>
        <w:t>A declaration that the provisions of the 2003 Order can be read and given effect to in a way that it is compatible with the applicant’s rights under Articles 9 and 14 ECHR pursuant to section 3 of the Human Rights 1998 thereby enabling the GRO to grant the application for temporary authorisation under Article 14 of the 2003 Order by “reading in” the words “or belief” so that all references to “religious marriage” and “religious body” in Articles 14, 15, 16 and 17 of the Order read “religious or belief marriage” and “religious or belief body”</w:t>
      </w:r>
      <w:r>
        <w:rPr>
          <w:rFonts w:ascii="Verdana" w:hAnsi="Verdana"/>
        </w:rPr>
        <w:t>.</w:t>
      </w:r>
      <w:r w:rsidR="004273E9" w:rsidRPr="00696D93">
        <w:rPr>
          <w:rFonts w:ascii="Verdana" w:hAnsi="Verdana"/>
        </w:rPr>
        <w:t xml:space="preserve"> </w:t>
      </w:r>
    </w:p>
    <w:p w14:paraId="62FD026D" w14:textId="77777777" w:rsidR="004273E9" w:rsidRDefault="004273E9" w:rsidP="00C43CD2">
      <w:pPr>
        <w:pStyle w:val="BasicParagraph"/>
        <w:suppressAutoHyphens/>
      </w:pPr>
    </w:p>
    <w:p w14:paraId="1F530550" w14:textId="2B614101" w:rsidR="00696D93" w:rsidRDefault="004273E9" w:rsidP="00C43CD2">
      <w:pPr>
        <w:pStyle w:val="ListParagraph"/>
        <w:jc w:val="left"/>
      </w:pPr>
      <w:proofErr w:type="gramStart"/>
      <w:r w:rsidRPr="007B3C32">
        <w:t>However</w:t>
      </w:r>
      <w:proofErr w:type="gramEnd"/>
      <w:r w:rsidRPr="007B3C32">
        <w:t xml:space="preserve"> this </w:t>
      </w:r>
      <w:r w:rsidR="003E28AE">
        <w:t>declaration</w:t>
      </w:r>
      <w:r w:rsidRPr="007B3C32">
        <w:t xml:space="preserve"> was later </w:t>
      </w:r>
      <w:r w:rsidR="00696D93">
        <w:t>set aside</w:t>
      </w:r>
      <w:r w:rsidRPr="007B3C32">
        <w:t xml:space="preserve"> by the </w:t>
      </w:r>
      <w:r w:rsidR="004152C9">
        <w:t xml:space="preserve">NI </w:t>
      </w:r>
      <w:r w:rsidRPr="007B3C32">
        <w:t>Court of Appeal</w:t>
      </w:r>
      <w:r w:rsidR="004C199D" w:rsidRPr="007B3C32">
        <w:t xml:space="preserve">. </w:t>
      </w:r>
      <w:r w:rsidR="000F44A9">
        <w:t>While</w:t>
      </w:r>
      <w:r w:rsidR="004C199D" w:rsidRPr="007B3C32">
        <w:t xml:space="preserve"> </w:t>
      </w:r>
      <w:r w:rsidR="005122DC" w:rsidRPr="007B3C32">
        <w:t>accept</w:t>
      </w:r>
      <w:r w:rsidR="004C199D" w:rsidRPr="007B3C32">
        <w:t>ing</w:t>
      </w:r>
      <w:r w:rsidR="005122DC" w:rsidRPr="007B3C32">
        <w:t xml:space="preserve"> </w:t>
      </w:r>
      <w:r w:rsidR="004870C7" w:rsidRPr="007B3C32">
        <w:t>that the statutory prohibition of a humanist celebrant as the person solemnising the respondent’s marriage would have constituted discrimination pursuant to Articles 9 and 14 ECHR</w:t>
      </w:r>
      <w:r w:rsidR="004C199D" w:rsidRPr="007B3C32">
        <w:t xml:space="preserve">, the Court </w:t>
      </w:r>
      <w:r w:rsidR="00696D93">
        <w:t xml:space="preserve">held that: </w:t>
      </w:r>
    </w:p>
    <w:p w14:paraId="4EFF8F40" w14:textId="77777777" w:rsidR="00696D93" w:rsidRDefault="00696D93" w:rsidP="00C43CD2">
      <w:pPr>
        <w:pStyle w:val="BasicParagraph"/>
        <w:suppressAutoHyphens/>
        <w:rPr>
          <w:rFonts w:ascii="Verdana" w:hAnsi="Verdana"/>
        </w:rPr>
      </w:pPr>
    </w:p>
    <w:p w14:paraId="3D276523" w14:textId="0F6217CB" w:rsidR="004273E9" w:rsidRPr="00696D93" w:rsidRDefault="008B7074" w:rsidP="00C43CD2">
      <w:pPr>
        <w:pStyle w:val="BasicParagraph"/>
        <w:suppressAutoHyphens/>
        <w:ind w:left="1440"/>
        <w:rPr>
          <w:rFonts w:ascii="Verdana" w:hAnsi="Verdana"/>
        </w:rPr>
      </w:pPr>
      <w:r>
        <w:rPr>
          <w:rFonts w:ascii="Verdana" w:hAnsi="Verdana"/>
        </w:rPr>
        <w:t>“</w:t>
      </w:r>
      <w:r w:rsidR="00696D93" w:rsidRPr="00696D93">
        <w:rPr>
          <w:rFonts w:ascii="Verdana" w:hAnsi="Verdana"/>
        </w:rPr>
        <w:t xml:space="preserve">Article 31 of the 2003 Order provides a basis for avoiding such discrimination by enabling the appointment of </w:t>
      </w:r>
      <w:r w:rsidR="009D43EF">
        <w:rPr>
          <w:rFonts w:ascii="Verdana" w:hAnsi="Verdana"/>
        </w:rPr>
        <w:t>[a humanist celebrant]</w:t>
      </w:r>
      <w:r w:rsidR="00696D93" w:rsidRPr="00696D93">
        <w:rPr>
          <w:rFonts w:ascii="Verdana" w:hAnsi="Verdana"/>
        </w:rPr>
        <w:t xml:space="preserve"> without having to utilise the interpretive tool provided by section 3 of the Human Rights Act 1998 to alter the wording of Article 14 of the 2003 Order. The fact that the person solemnising the marriage is appointed pursuant to Article 31 of the 2003 Order rather than Article 14 of the said Order does not in our view give rise to any difference of treatment.</w:t>
      </w:r>
      <w:r>
        <w:rPr>
          <w:rFonts w:ascii="Verdana" w:hAnsi="Verdana"/>
        </w:rPr>
        <w:t>”</w:t>
      </w:r>
      <w:r w:rsidR="00696D93" w:rsidRPr="00696D93">
        <w:rPr>
          <w:rFonts w:ascii="Verdana" w:hAnsi="Verdana"/>
        </w:rPr>
        <w:t xml:space="preserve"> </w:t>
      </w:r>
    </w:p>
    <w:p w14:paraId="2B5FD638" w14:textId="77777777" w:rsidR="00404852" w:rsidRDefault="00404852" w:rsidP="00C43CD2">
      <w:pPr>
        <w:pStyle w:val="BasicParagraph"/>
        <w:suppressAutoHyphens/>
        <w:spacing w:line="276" w:lineRule="auto"/>
        <w:rPr>
          <w:rFonts w:ascii="Verdana" w:hAnsi="Verdana"/>
        </w:rPr>
      </w:pPr>
    </w:p>
    <w:p w14:paraId="7F39B039" w14:textId="7C46B05C" w:rsidR="00AD7B2C" w:rsidRDefault="00494388" w:rsidP="00C43CD2">
      <w:pPr>
        <w:pStyle w:val="ListParagraph"/>
        <w:jc w:val="left"/>
      </w:pPr>
      <w:r>
        <w:t xml:space="preserve">The NIHRC notes with concern </w:t>
      </w:r>
      <w:r w:rsidR="00C36B0B">
        <w:t>that</w:t>
      </w:r>
      <w:r w:rsidR="00E74A36">
        <w:t>, by setting aside the High Court’s declaration</w:t>
      </w:r>
      <w:r w:rsidR="00055B0D">
        <w:t xml:space="preserve"> despite</w:t>
      </w:r>
      <w:r w:rsidR="00C63ED0">
        <w:t xml:space="preserve"> </w:t>
      </w:r>
      <w:r w:rsidR="006A108D">
        <w:t>otherwise agreeing with the</w:t>
      </w:r>
      <w:r w:rsidR="00C63ED0">
        <w:t xml:space="preserve"> judgment</w:t>
      </w:r>
      <w:r w:rsidR="00E74A36">
        <w:t>,</w:t>
      </w:r>
      <w:r w:rsidR="00BE71C4">
        <w:t xml:space="preserve"> </w:t>
      </w:r>
      <w:r w:rsidR="006A108D">
        <w:t xml:space="preserve">the Court of Appeal decision </w:t>
      </w:r>
      <w:r w:rsidR="00BE71C4">
        <w:t>has only permitted</w:t>
      </w:r>
      <w:r w:rsidR="007D0789">
        <w:t xml:space="preserve"> humanist celebrants to apply to become temporary civil </w:t>
      </w:r>
      <w:r w:rsidR="0038062E">
        <w:t>registrars</w:t>
      </w:r>
      <w:r w:rsidR="007D0789">
        <w:t xml:space="preserve"> </w:t>
      </w:r>
      <w:r w:rsidR="00E36583" w:rsidRPr="00E36583">
        <w:t xml:space="preserve">and as such provide </w:t>
      </w:r>
      <w:r w:rsidR="0039739E">
        <w:t>only</w:t>
      </w:r>
      <w:r w:rsidR="00E36583" w:rsidRPr="00E36583">
        <w:t xml:space="preserve"> civil marriages</w:t>
      </w:r>
      <w:r w:rsidR="00E36583">
        <w:t>.</w:t>
      </w:r>
      <w:r w:rsidR="00E36583">
        <w:rPr>
          <w:rStyle w:val="FootnoteReference"/>
        </w:rPr>
        <w:footnoteReference w:id="27"/>
      </w:r>
      <w:r w:rsidR="00B846A8">
        <w:t xml:space="preserve"> </w:t>
      </w:r>
      <w:r w:rsidR="005C09A7">
        <w:t xml:space="preserve">The </w:t>
      </w:r>
      <w:r w:rsidR="002C1D71">
        <w:t xml:space="preserve">NIHRC </w:t>
      </w:r>
      <w:r w:rsidR="00D90962">
        <w:t>recognises</w:t>
      </w:r>
      <w:r w:rsidR="002C1D71">
        <w:t xml:space="preserve"> that the Article 31 arrangement </w:t>
      </w:r>
      <w:r w:rsidR="006A7417">
        <w:t xml:space="preserve">is not the most effective redress </w:t>
      </w:r>
      <w:r w:rsidR="00CC4D3A">
        <w:t xml:space="preserve">to </w:t>
      </w:r>
      <w:r w:rsidR="00FC3C87">
        <w:t>the</w:t>
      </w:r>
      <w:r w:rsidR="00620004">
        <w:t xml:space="preserve"> trial judge’s</w:t>
      </w:r>
      <w:r w:rsidR="00FC3C87">
        <w:t xml:space="preserve"> decision</w:t>
      </w:r>
      <w:r w:rsidR="002B4D20">
        <w:t xml:space="preserve"> in Re Smyth, which </w:t>
      </w:r>
      <w:r w:rsidR="00620004">
        <w:t>found</w:t>
      </w:r>
      <w:r w:rsidR="002B4D20">
        <w:t xml:space="preserve"> that belief marriage </w:t>
      </w:r>
      <w:r w:rsidR="00820F25">
        <w:t>deserve</w:t>
      </w:r>
      <w:r w:rsidR="00D5598B">
        <w:t>s</w:t>
      </w:r>
      <w:r w:rsidR="00820F25">
        <w:t xml:space="preserve"> </w:t>
      </w:r>
      <w:r w:rsidR="000432C5">
        <w:t>full</w:t>
      </w:r>
      <w:r w:rsidR="00820F25">
        <w:t xml:space="preserve"> </w:t>
      </w:r>
      <w:r w:rsidR="00D5598B">
        <w:t xml:space="preserve">legal recognition </w:t>
      </w:r>
      <w:r w:rsidR="000432C5">
        <w:t xml:space="preserve">on an equal footing with </w:t>
      </w:r>
      <w:r w:rsidR="00D5598B">
        <w:t>religious marriage</w:t>
      </w:r>
      <w:r w:rsidR="00AD7B2C">
        <w:t xml:space="preserve">, </w:t>
      </w:r>
    </w:p>
    <w:p w14:paraId="6CAC3191" w14:textId="77777777" w:rsidR="00AD7B2C" w:rsidRDefault="00AD7B2C" w:rsidP="00C43CD2">
      <w:pPr>
        <w:pStyle w:val="BasicParagraph"/>
        <w:suppressAutoHyphens/>
        <w:spacing w:line="276" w:lineRule="auto"/>
        <w:ind w:left="720" w:hanging="720"/>
        <w:rPr>
          <w:rFonts w:ascii="Verdana" w:hAnsi="Verdana"/>
        </w:rPr>
      </w:pPr>
    </w:p>
    <w:p w14:paraId="2EED3087" w14:textId="73B545E2" w:rsidR="009236FF" w:rsidRDefault="00AD7B2C" w:rsidP="00C43CD2">
      <w:pPr>
        <w:pStyle w:val="BasicParagraph"/>
        <w:suppressAutoHyphens/>
        <w:spacing w:line="276" w:lineRule="auto"/>
        <w:ind w:left="1440"/>
        <w:rPr>
          <w:rFonts w:ascii="Verdana" w:hAnsi="Verdana"/>
        </w:rPr>
      </w:pPr>
      <w:r>
        <w:rPr>
          <w:rFonts w:ascii="Verdana" w:hAnsi="Verdana"/>
        </w:rPr>
        <w:t>“</w:t>
      </w:r>
      <w:r w:rsidR="009236FF">
        <w:rPr>
          <w:rFonts w:ascii="Verdana" w:hAnsi="Verdana"/>
        </w:rPr>
        <w:t xml:space="preserve">[96] </w:t>
      </w:r>
      <w:r w:rsidRPr="00AD7B2C">
        <w:rPr>
          <w:rFonts w:ascii="Verdana" w:hAnsi="Verdana"/>
        </w:rPr>
        <w:t xml:space="preserve">In relation to the solemnisation of marriage the State has chosen to authorise the solemnisation of religious marriage ceremonies in recognition of those bodies’ beliefs. Having done so, in my view it should provide equal recognition to individuals who hold </w:t>
      </w:r>
      <w:proofErr w:type="gramStart"/>
      <w:r w:rsidRPr="00AD7B2C">
        <w:rPr>
          <w:rFonts w:ascii="Verdana" w:hAnsi="Verdana"/>
        </w:rPr>
        <w:t>humanists</w:t>
      </w:r>
      <w:proofErr w:type="gramEnd"/>
      <w:r w:rsidRPr="00AD7B2C">
        <w:rPr>
          <w:rFonts w:ascii="Verdana" w:hAnsi="Verdana"/>
        </w:rPr>
        <w:t xml:space="preserve"> beliefs on the basis of my findings that humanism does meet the test of a belief body and that a wedding ceremony conducted by a humanist constitutes a manifestation of that belie</w:t>
      </w:r>
      <w:r w:rsidR="009236FF">
        <w:rPr>
          <w:rFonts w:ascii="Verdana" w:hAnsi="Verdana"/>
        </w:rPr>
        <w:t>f.</w:t>
      </w:r>
      <w:r w:rsidR="002870C3">
        <w:rPr>
          <w:rFonts w:ascii="Verdana" w:hAnsi="Verdana"/>
        </w:rPr>
        <w:t xml:space="preserve"> </w:t>
      </w:r>
    </w:p>
    <w:p w14:paraId="217FBEAD" w14:textId="77777777" w:rsidR="009236FF" w:rsidRDefault="009236FF" w:rsidP="00C43CD2">
      <w:pPr>
        <w:pStyle w:val="BasicParagraph"/>
        <w:suppressAutoHyphens/>
        <w:spacing w:line="276" w:lineRule="auto"/>
        <w:ind w:left="1440"/>
        <w:rPr>
          <w:rFonts w:ascii="Verdana" w:hAnsi="Verdana"/>
        </w:rPr>
      </w:pPr>
    </w:p>
    <w:p w14:paraId="16A9E868" w14:textId="1A70B943" w:rsidR="005C09A7" w:rsidRPr="00AD7B2C" w:rsidRDefault="009236FF" w:rsidP="00C43CD2">
      <w:pPr>
        <w:pStyle w:val="BasicParagraph"/>
        <w:suppressAutoHyphens/>
        <w:spacing w:line="276" w:lineRule="auto"/>
        <w:ind w:left="1440"/>
        <w:rPr>
          <w:rFonts w:ascii="Verdana" w:hAnsi="Verdana"/>
        </w:rPr>
      </w:pPr>
      <w:r>
        <w:rPr>
          <w:rFonts w:ascii="Verdana" w:hAnsi="Verdana"/>
        </w:rPr>
        <w:t xml:space="preserve">[97] </w:t>
      </w:r>
      <w:r w:rsidR="002870C3" w:rsidRPr="002870C3">
        <w:rPr>
          <w:rFonts w:ascii="Verdana" w:hAnsi="Verdana"/>
        </w:rPr>
        <w:t>I consider that there has been a breach of the applicant’s rights under Articles 9 and 14 of the ECHR.</w:t>
      </w:r>
      <w:r>
        <w:rPr>
          <w:rFonts w:ascii="Verdana" w:hAnsi="Verdana"/>
        </w:rPr>
        <w:t>”</w:t>
      </w:r>
      <w:r w:rsidR="000B2C7E">
        <w:rPr>
          <w:rStyle w:val="FootnoteReference"/>
          <w:rFonts w:ascii="Verdana" w:hAnsi="Verdana"/>
        </w:rPr>
        <w:footnoteReference w:id="28"/>
      </w:r>
      <w:r w:rsidR="00AD7B2C" w:rsidRPr="00AD7B2C">
        <w:rPr>
          <w:rFonts w:ascii="Verdana" w:hAnsi="Verdana"/>
        </w:rPr>
        <w:t xml:space="preserve"> </w:t>
      </w:r>
      <w:r w:rsidR="00D5598B" w:rsidRPr="00AD7B2C">
        <w:rPr>
          <w:rFonts w:ascii="Verdana" w:hAnsi="Verdana"/>
        </w:rPr>
        <w:t xml:space="preserve"> </w:t>
      </w:r>
    </w:p>
    <w:p w14:paraId="0F458AE4" w14:textId="77777777" w:rsidR="005C09A7" w:rsidRDefault="005C09A7" w:rsidP="00C43CD2">
      <w:pPr>
        <w:pStyle w:val="BasicParagraph"/>
        <w:suppressAutoHyphens/>
        <w:spacing w:line="276" w:lineRule="auto"/>
        <w:ind w:left="720" w:hanging="720"/>
        <w:rPr>
          <w:rFonts w:ascii="Verdana" w:hAnsi="Verdana"/>
        </w:rPr>
      </w:pPr>
    </w:p>
    <w:p w14:paraId="79EE0DA3" w14:textId="34C84C5C" w:rsidR="001E0B94" w:rsidRDefault="000432C5" w:rsidP="00C43CD2">
      <w:pPr>
        <w:pStyle w:val="ListParagraph"/>
        <w:jc w:val="left"/>
      </w:pPr>
      <w:r>
        <w:t>Therefore</w:t>
      </w:r>
      <w:r w:rsidR="00972F46">
        <w:t>,</w:t>
      </w:r>
      <w:r>
        <w:t xml:space="preserve"> </w:t>
      </w:r>
      <w:r w:rsidR="005C09A7">
        <w:t xml:space="preserve">the NIHRC welcomes that the </w:t>
      </w:r>
      <w:proofErr w:type="gramStart"/>
      <w:r w:rsidR="005C09A7">
        <w:t>Finance Minister</w:t>
      </w:r>
      <w:proofErr w:type="gramEnd"/>
      <w:r w:rsidR="005C09A7">
        <w:t xml:space="preserve"> has introduced a temporary measure to </w:t>
      </w:r>
      <w:r w:rsidR="008B7617">
        <w:t>‘</w:t>
      </w:r>
      <w:r w:rsidR="005C09A7">
        <w:t>read in</w:t>
      </w:r>
      <w:r w:rsidR="008B7617">
        <w:t>’</w:t>
      </w:r>
      <w:r w:rsidR="005C09A7">
        <w:t xml:space="preserve"> aspects of belief marriage to the 2003 Order. Although</w:t>
      </w:r>
      <w:r w:rsidR="009C7E61">
        <w:t>,</w:t>
      </w:r>
      <w:r w:rsidR="005C09A7">
        <w:t xml:space="preserve"> it is</w:t>
      </w:r>
      <w:r>
        <w:t xml:space="preserve"> </w:t>
      </w:r>
      <w:r w:rsidR="001E0B94">
        <w:t>advise</w:t>
      </w:r>
      <w:r w:rsidR="005C09A7">
        <w:t>d</w:t>
      </w:r>
      <w:r w:rsidR="001E0B94">
        <w:t xml:space="preserve"> that </w:t>
      </w:r>
      <w:r w:rsidR="00611E0D" w:rsidRPr="00E03A96">
        <w:t xml:space="preserve">clearly establishing the position within statute is </w:t>
      </w:r>
      <w:r w:rsidR="001E0B94">
        <w:t xml:space="preserve">not only </w:t>
      </w:r>
      <w:r w:rsidR="00972F46" w:rsidRPr="00E03A96">
        <w:t>preferable</w:t>
      </w:r>
      <w:r w:rsidR="00972F46">
        <w:t xml:space="preserve"> but</w:t>
      </w:r>
      <w:r w:rsidR="001E0B94">
        <w:t xml:space="preserve"> is a significant </w:t>
      </w:r>
      <w:r w:rsidR="004E30C9">
        <w:t xml:space="preserve">and necessary </w:t>
      </w:r>
      <w:r w:rsidR="001E0B94">
        <w:t>safeguard</w:t>
      </w:r>
      <w:r w:rsidR="00961AA2">
        <w:t xml:space="preserve"> of individual rights and</w:t>
      </w:r>
      <w:r w:rsidR="001E0B94">
        <w:t xml:space="preserve"> against any further </w:t>
      </w:r>
      <w:r w:rsidR="00972F46">
        <w:t>legal challenge</w:t>
      </w:r>
      <w:r w:rsidR="00961AA2">
        <w:t xml:space="preserve"> </w:t>
      </w:r>
      <w:proofErr w:type="gramStart"/>
      <w:r w:rsidR="00961AA2">
        <w:t>on the basis of</w:t>
      </w:r>
      <w:proofErr w:type="gramEnd"/>
      <w:r w:rsidR="00961AA2">
        <w:t xml:space="preserve"> Convention rights</w:t>
      </w:r>
      <w:r w:rsidR="00972F46">
        <w:t>.</w:t>
      </w:r>
      <w:r w:rsidR="002C5E3C">
        <w:t xml:space="preserve"> </w:t>
      </w:r>
    </w:p>
    <w:p w14:paraId="3C8E2AFD" w14:textId="77777777" w:rsidR="003B6DE0" w:rsidRPr="003B1EFE" w:rsidRDefault="003B6DE0" w:rsidP="00C43CD2">
      <w:pPr>
        <w:pStyle w:val="BasicParagraph"/>
        <w:suppressAutoHyphens/>
        <w:rPr>
          <w:rFonts w:ascii="Verdana" w:hAnsi="Verdana" w:cs="Arial"/>
          <w:color w:val="232120"/>
          <w:sz w:val="20"/>
          <w:szCs w:val="20"/>
        </w:rPr>
      </w:pPr>
    </w:p>
    <w:p w14:paraId="351400A8" w14:textId="03264782" w:rsidR="00535FE1" w:rsidRPr="00766EED" w:rsidRDefault="00535FE1" w:rsidP="00C43CD2">
      <w:pPr>
        <w:pStyle w:val="ListParagraph"/>
        <w:jc w:val="left"/>
        <w:rPr>
          <w:b/>
        </w:rPr>
      </w:pPr>
      <w:r w:rsidRPr="00766EED">
        <w:rPr>
          <w:b/>
        </w:rPr>
        <w:t xml:space="preserve">The NIHRC </w:t>
      </w:r>
      <w:r w:rsidR="0069397F" w:rsidRPr="00766EED">
        <w:rPr>
          <w:b/>
        </w:rPr>
        <w:t>supports the proposal to amend the Marriage Order 2003 so that belief marriage is placed on an equal</w:t>
      </w:r>
      <w:r w:rsidR="00E876A3" w:rsidRPr="00766EED">
        <w:rPr>
          <w:b/>
        </w:rPr>
        <w:t xml:space="preserve"> </w:t>
      </w:r>
      <w:r w:rsidR="00277BE7" w:rsidRPr="00766EED">
        <w:rPr>
          <w:b/>
        </w:rPr>
        <w:t xml:space="preserve">statutory </w:t>
      </w:r>
      <w:r w:rsidR="0069397F" w:rsidRPr="00766EED">
        <w:rPr>
          <w:b/>
        </w:rPr>
        <w:t>footing with religious marriage</w:t>
      </w:r>
      <w:r w:rsidR="00277BE7" w:rsidRPr="00766EED">
        <w:rPr>
          <w:b/>
        </w:rPr>
        <w:t xml:space="preserve">, </w:t>
      </w:r>
      <w:r w:rsidR="00A611E8" w:rsidRPr="00766EED">
        <w:rPr>
          <w:b/>
        </w:rPr>
        <w:t>in accordance with</w:t>
      </w:r>
      <w:r w:rsidR="007779B4" w:rsidRPr="00766EED">
        <w:rPr>
          <w:b/>
        </w:rPr>
        <w:t xml:space="preserve"> </w:t>
      </w:r>
      <w:r w:rsidR="00A611E8" w:rsidRPr="00766EED">
        <w:rPr>
          <w:b/>
        </w:rPr>
        <w:t>Article 9</w:t>
      </w:r>
      <w:r w:rsidR="007779B4" w:rsidRPr="00766EED">
        <w:rPr>
          <w:b/>
        </w:rPr>
        <w:t xml:space="preserve"> </w:t>
      </w:r>
      <w:r w:rsidR="00277BE7" w:rsidRPr="00766EED">
        <w:rPr>
          <w:b/>
        </w:rPr>
        <w:t xml:space="preserve">and Article 14 </w:t>
      </w:r>
      <w:r w:rsidR="007779B4" w:rsidRPr="00766EED">
        <w:rPr>
          <w:b/>
        </w:rPr>
        <w:t>of the ECHR</w:t>
      </w:r>
      <w:r w:rsidR="000A12EF" w:rsidRPr="00766EED">
        <w:rPr>
          <w:b/>
        </w:rPr>
        <w:t xml:space="preserve">. </w:t>
      </w:r>
    </w:p>
    <w:p w14:paraId="5B69F137" w14:textId="77777777" w:rsidR="00A93761" w:rsidRDefault="00A93761" w:rsidP="00C43CD2">
      <w:pPr>
        <w:pStyle w:val="BasicParagraph"/>
        <w:suppressAutoHyphens/>
        <w:rPr>
          <w:rFonts w:ascii="Verdana" w:hAnsi="Verdana" w:cs="Arial"/>
          <w:b/>
          <w:bCs/>
          <w:color w:val="232120"/>
        </w:rPr>
      </w:pPr>
    </w:p>
    <w:p w14:paraId="0A57B010" w14:textId="6E91F0C9" w:rsidR="00CB3F1C" w:rsidRDefault="00CB3F1C" w:rsidP="00C43CD2">
      <w:pPr>
        <w:pStyle w:val="ListParagraph"/>
        <w:jc w:val="left"/>
      </w:pPr>
      <w:r>
        <w:t xml:space="preserve">The consultation document states, </w:t>
      </w:r>
    </w:p>
    <w:p w14:paraId="610A0A8F" w14:textId="77777777" w:rsidR="00CB3F1C" w:rsidRDefault="00CB3F1C" w:rsidP="00C43CD2">
      <w:pPr>
        <w:pStyle w:val="BasicParagraph"/>
        <w:suppressAutoHyphens/>
        <w:ind w:left="720" w:hanging="720"/>
        <w:rPr>
          <w:rFonts w:ascii="Verdana" w:hAnsi="Verdana" w:cs="Arial"/>
          <w:color w:val="232120"/>
        </w:rPr>
      </w:pPr>
    </w:p>
    <w:p w14:paraId="59440B5B" w14:textId="413788FC" w:rsidR="0078623F" w:rsidRPr="0078623F" w:rsidRDefault="008B7074" w:rsidP="00C43CD2">
      <w:pPr>
        <w:pStyle w:val="BasicParagraph"/>
        <w:suppressAutoHyphens/>
        <w:ind w:left="1440"/>
        <w:rPr>
          <w:rFonts w:ascii="Verdana" w:hAnsi="Verdana"/>
        </w:rPr>
      </w:pPr>
      <w:r>
        <w:rPr>
          <w:rFonts w:ascii="Verdana" w:hAnsi="Verdana"/>
        </w:rPr>
        <w:t>“</w:t>
      </w:r>
      <w:r w:rsidR="00CB3F1C">
        <w:rPr>
          <w:rFonts w:ascii="Verdana" w:hAnsi="Verdana"/>
        </w:rPr>
        <w:t>At present,</w:t>
      </w:r>
      <w:r w:rsidR="0078623F">
        <w:rPr>
          <w:rFonts w:ascii="Verdana" w:hAnsi="Verdana"/>
        </w:rPr>
        <w:t xml:space="preserve"> </w:t>
      </w:r>
      <w:r w:rsidR="0078623F" w:rsidRPr="0078623F">
        <w:rPr>
          <w:rFonts w:ascii="Verdana" w:hAnsi="Verdana"/>
        </w:rPr>
        <w:t>a religious body that wishes to conduct religious marriages must</w:t>
      </w:r>
      <w:r w:rsidR="004B5407">
        <w:rPr>
          <w:rFonts w:ascii="Verdana" w:hAnsi="Verdana"/>
        </w:rPr>
        <w:t>…</w:t>
      </w:r>
      <w:r w:rsidR="0078623F" w:rsidRPr="0078623F">
        <w:rPr>
          <w:rFonts w:ascii="Verdana" w:hAnsi="Verdana"/>
        </w:rPr>
        <w:t xml:space="preserve"> apply to the Registrar General to request officiant status for one or more of its members. The Registrar General can refuse authorisation if, for example, she believes that the applicant body is not a genuine religious </w:t>
      </w:r>
      <w:proofErr w:type="gramStart"/>
      <w:r w:rsidR="0078623F" w:rsidRPr="0078623F">
        <w:rPr>
          <w:rFonts w:ascii="Verdana" w:hAnsi="Verdana"/>
        </w:rPr>
        <w:t>body, or</w:t>
      </w:r>
      <w:proofErr w:type="gramEnd"/>
      <w:r w:rsidR="0078623F" w:rsidRPr="0078623F">
        <w:rPr>
          <w:rFonts w:ascii="Verdana" w:hAnsi="Verdana"/>
        </w:rPr>
        <w:t xml:space="preserve"> does not deem a particular applicant to be a fit and proper person to perform the officiant role or has concerns regarding the content of the marriage ceremony.</w:t>
      </w:r>
      <w:r>
        <w:rPr>
          <w:rFonts w:ascii="Verdana" w:hAnsi="Verdana"/>
        </w:rPr>
        <w:t>”</w:t>
      </w:r>
      <w:r w:rsidR="004B5407">
        <w:rPr>
          <w:rStyle w:val="FootnoteReference"/>
          <w:rFonts w:ascii="Verdana" w:hAnsi="Verdana"/>
        </w:rPr>
        <w:footnoteReference w:id="29"/>
      </w:r>
    </w:p>
    <w:p w14:paraId="2274821E" w14:textId="77777777" w:rsidR="0078623F" w:rsidRDefault="0078623F" w:rsidP="00C43CD2">
      <w:pPr>
        <w:pStyle w:val="BasicParagraph"/>
        <w:suppressAutoHyphens/>
        <w:ind w:left="720" w:hanging="720"/>
        <w:rPr>
          <w:rFonts w:ascii="Verdana" w:hAnsi="Verdana"/>
        </w:rPr>
      </w:pPr>
    </w:p>
    <w:p w14:paraId="6AB08D7D" w14:textId="6FCF2F74" w:rsidR="00820935" w:rsidRDefault="00114D32" w:rsidP="00C43CD2">
      <w:pPr>
        <w:pStyle w:val="ListParagraph"/>
        <w:jc w:val="left"/>
        <w:rPr>
          <w:color w:val="232120"/>
        </w:rPr>
      </w:pPr>
      <w:r>
        <w:t>T</w:t>
      </w:r>
      <w:r w:rsidR="003C3E8F">
        <w:t xml:space="preserve">he NIHRC </w:t>
      </w:r>
      <w:r w:rsidR="00DD053F">
        <w:t>agrees with the</w:t>
      </w:r>
      <w:r w:rsidR="004B3B77">
        <w:t xml:space="preserve"> </w:t>
      </w:r>
      <w:r w:rsidR="007D7955">
        <w:t>Department’s suggestion</w:t>
      </w:r>
      <w:r w:rsidR="00022A5A">
        <w:t xml:space="preserve"> that the Registrar General could</w:t>
      </w:r>
      <w:r w:rsidR="00CE65D8">
        <w:t xml:space="preserve"> </w:t>
      </w:r>
      <w:r w:rsidR="004B3B77">
        <w:t>additionally</w:t>
      </w:r>
      <w:r w:rsidR="003C3E8F">
        <w:t xml:space="preserve"> consider applicants from belief bodies. </w:t>
      </w:r>
      <w:r w:rsidR="009C0CF4">
        <w:t>However, this</w:t>
      </w:r>
      <w:r w:rsidR="004714C8">
        <w:t xml:space="preserve"> will require clear statutory guidance </w:t>
      </w:r>
      <w:r w:rsidR="00FE7DB2">
        <w:t xml:space="preserve">and rights-based </w:t>
      </w:r>
      <w:r w:rsidR="00BC125F">
        <w:t xml:space="preserve">training </w:t>
      </w:r>
      <w:r w:rsidR="00105743">
        <w:t xml:space="preserve">to </w:t>
      </w:r>
      <w:r w:rsidR="00045AB9">
        <w:t xml:space="preserve">assist the Registrar General in making such determinations. </w:t>
      </w:r>
      <w:r w:rsidR="00820935">
        <w:rPr>
          <w:color w:val="232120"/>
        </w:rPr>
        <w:t xml:space="preserve">In </w:t>
      </w:r>
      <w:r w:rsidR="00820935" w:rsidRPr="003B49ED">
        <w:rPr>
          <w:i/>
          <w:iCs/>
          <w:color w:val="232120"/>
        </w:rPr>
        <w:t>Re Smyth</w:t>
      </w:r>
      <w:r w:rsidR="004152C9">
        <w:rPr>
          <w:i/>
          <w:iCs/>
          <w:color w:val="232120"/>
        </w:rPr>
        <w:t>,</w:t>
      </w:r>
      <w:r w:rsidR="004152C9" w:rsidRPr="00207E0F">
        <w:rPr>
          <w:iCs/>
          <w:color w:val="232120"/>
        </w:rPr>
        <w:t xml:space="preserve"> Mr</w:t>
      </w:r>
      <w:r w:rsidR="004152C9">
        <w:rPr>
          <w:i/>
          <w:iCs/>
          <w:color w:val="232120"/>
        </w:rPr>
        <w:t xml:space="preserve"> </w:t>
      </w:r>
      <w:r w:rsidR="004152C9" w:rsidRPr="00207E0F">
        <w:rPr>
          <w:iCs/>
          <w:color w:val="232120"/>
        </w:rPr>
        <w:t>Justice Colton</w:t>
      </w:r>
      <w:r w:rsidR="00820935">
        <w:rPr>
          <w:color w:val="232120"/>
        </w:rPr>
        <w:t xml:space="preserve"> reiterated:</w:t>
      </w:r>
    </w:p>
    <w:p w14:paraId="1230F763" w14:textId="77777777" w:rsidR="00820935" w:rsidRDefault="00820935" w:rsidP="00C43CD2">
      <w:pPr>
        <w:pStyle w:val="BasicParagraph"/>
        <w:suppressAutoHyphens/>
        <w:rPr>
          <w:rFonts w:ascii="Verdana" w:hAnsi="Verdana" w:cs="Arial"/>
          <w:b/>
          <w:bCs/>
          <w:color w:val="232120"/>
        </w:rPr>
      </w:pPr>
    </w:p>
    <w:p w14:paraId="7B8F57EB" w14:textId="0A8EF4E8" w:rsidR="00820935" w:rsidRPr="00E407C6" w:rsidRDefault="00F1554A" w:rsidP="00C43CD2">
      <w:pPr>
        <w:pStyle w:val="BasicParagraph"/>
        <w:suppressAutoHyphens/>
        <w:ind w:left="1440"/>
        <w:rPr>
          <w:rFonts w:ascii="Verdana" w:hAnsi="Verdana"/>
        </w:rPr>
      </w:pPr>
      <w:r>
        <w:rPr>
          <w:rFonts w:ascii="Verdana" w:hAnsi="Verdana"/>
        </w:rPr>
        <w:t>“</w:t>
      </w:r>
      <w:r w:rsidR="00820935" w:rsidRPr="00E407C6">
        <w:rPr>
          <w:rFonts w:ascii="Verdana" w:hAnsi="Verdana"/>
        </w:rPr>
        <w:t xml:space="preserve">[94] The starting point must be that if the law is to protect freedom of religion under Article 9 it must recognise that all religions and beliefs should be treated equally. </w:t>
      </w:r>
    </w:p>
    <w:p w14:paraId="452CD319" w14:textId="77777777" w:rsidR="00820935" w:rsidRPr="00E407C6" w:rsidRDefault="00820935" w:rsidP="00C43CD2">
      <w:pPr>
        <w:pStyle w:val="BasicParagraph"/>
        <w:suppressAutoHyphens/>
        <w:rPr>
          <w:rFonts w:ascii="Verdana" w:hAnsi="Verdana"/>
        </w:rPr>
      </w:pPr>
    </w:p>
    <w:p w14:paraId="63AB4251" w14:textId="29561517" w:rsidR="00820935" w:rsidRPr="00E407C6" w:rsidRDefault="00820935" w:rsidP="00C43CD2">
      <w:pPr>
        <w:pStyle w:val="BasicParagraph"/>
        <w:suppressAutoHyphens/>
        <w:ind w:left="1440"/>
        <w:rPr>
          <w:rFonts w:ascii="Verdana" w:hAnsi="Verdana" w:cs="Arial"/>
          <w:b/>
          <w:bCs/>
          <w:color w:val="232120"/>
        </w:rPr>
      </w:pPr>
      <w:r w:rsidRPr="00E407C6">
        <w:rPr>
          <w:rFonts w:ascii="Verdana" w:hAnsi="Verdana"/>
        </w:rPr>
        <w:t>[95] The State must be neutral and impartial in the arrangement it makes for the exercise of manifestations of various religions and beliefs.</w:t>
      </w:r>
      <w:r w:rsidR="00F1554A">
        <w:rPr>
          <w:rFonts w:ascii="Verdana" w:hAnsi="Verdana"/>
        </w:rPr>
        <w:t>”</w:t>
      </w:r>
      <w:r w:rsidR="003648BB">
        <w:rPr>
          <w:rStyle w:val="FootnoteReference"/>
          <w:rFonts w:ascii="Verdana" w:hAnsi="Verdana"/>
        </w:rPr>
        <w:footnoteReference w:id="30"/>
      </w:r>
    </w:p>
    <w:p w14:paraId="3C1C0E45" w14:textId="77777777" w:rsidR="003C3E8F" w:rsidRPr="00854A11" w:rsidRDefault="003C3E8F" w:rsidP="00C43CD2">
      <w:pPr>
        <w:pStyle w:val="BasicParagraph"/>
        <w:suppressAutoHyphens/>
        <w:ind w:left="720" w:hanging="720"/>
        <w:rPr>
          <w:rFonts w:ascii="Verdana" w:hAnsi="Verdana"/>
        </w:rPr>
      </w:pPr>
    </w:p>
    <w:p w14:paraId="1B5C35AD" w14:textId="3B28561F" w:rsidR="00490660" w:rsidRDefault="00F32198" w:rsidP="00C43CD2">
      <w:pPr>
        <w:pStyle w:val="ListParagraph"/>
        <w:jc w:val="left"/>
      </w:pPr>
      <w:r>
        <w:t>The</w:t>
      </w:r>
      <w:r w:rsidR="00B62C90">
        <w:t xml:space="preserve"> </w:t>
      </w:r>
      <w:r w:rsidR="00961AA2">
        <w:t xml:space="preserve">NI </w:t>
      </w:r>
      <w:r w:rsidR="00B62C90">
        <w:t xml:space="preserve">High Court </w:t>
      </w:r>
      <w:r w:rsidR="00115B84">
        <w:t xml:space="preserve">relied upon </w:t>
      </w:r>
      <w:r w:rsidR="00961AA2">
        <w:t xml:space="preserve">the UN </w:t>
      </w:r>
      <w:r w:rsidR="00207E0F">
        <w:t>Human Ri</w:t>
      </w:r>
      <w:r w:rsidR="00961AA2">
        <w:t xml:space="preserve">ghts Committee’s </w:t>
      </w:r>
      <w:r w:rsidR="00491407">
        <w:t>General Comment No.22 on Article</w:t>
      </w:r>
      <w:r w:rsidR="00F10185">
        <w:t xml:space="preserve"> 18</w:t>
      </w:r>
      <w:r w:rsidR="00491407">
        <w:t xml:space="preserve"> </w:t>
      </w:r>
      <w:r w:rsidR="00F10185">
        <w:t>of the</w:t>
      </w:r>
      <w:r w:rsidR="005F5083">
        <w:t xml:space="preserve"> </w:t>
      </w:r>
      <w:r w:rsidR="00491407">
        <w:t>UDHR</w:t>
      </w:r>
      <w:r w:rsidR="00115B84">
        <w:t xml:space="preserve"> to assist its interpretation of Article 9 ECHR</w:t>
      </w:r>
      <w:r w:rsidR="00961AA2">
        <w:t xml:space="preserve">:  </w:t>
      </w:r>
    </w:p>
    <w:p w14:paraId="3B83E1B3" w14:textId="77777777" w:rsidR="009F7F96" w:rsidRPr="009F7F96" w:rsidRDefault="009F7F96" w:rsidP="00C43CD2">
      <w:pPr>
        <w:pStyle w:val="BasicParagraph"/>
        <w:suppressAutoHyphens/>
        <w:ind w:left="720" w:hanging="720"/>
        <w:rPr>
          <w:rFonts w:ascii="Verdana" w:hAnsi="Verdana" w:cs="Arial"/>
          <w:color w:val="232120"/>
        </w:rPr>
      </w:pPr>
    </w:p>
    <w:p w14:paraId="4D765E2D" w14:textId="6673DEA8" w:rsidR="009F7F96" w:rsidRPr="009F7F96" w:rsidRDefault="008B7074" w:rsidP="00C43CD2">
      <w:pPr>
        <w:pStyle w:val="BasicParagraph"/>
        <w:suppressAutoHyphens/>
        <w:spacing w:line="276" w:lineRule="auto"/>
        <w:ind w:left="1440"/>
        <w:rPr>
          <w:rFonts w:ascii="Verdana" w:hAnsi="Verdana" w:cs="Arial"/>
          <w:color w:val="232120"/>
        </w:rPr>
      </w:pPr>
      <w:r>
        <w:rPr>
          <w:rFonts w:ascii="Verdana" w:hAnsi="Verdana"/>
        </w:rPr>
        <w:t>“</w:t>
      </w:r>
      <w:r w:rsidR="009F7F96" w:rsidRPr="009F7F96">
        <w:rPr>
          <w:rFonts w:ascii="Verdana" w:hAnsi="Verdana"/>
        </w:rPr>
        <w:t xml:space="preserve">Article 18 protects theistic, non-theistic and atheistic beliefs, as well as the right not to profess any religion or belief. The terms ‘belief’ and </w:t>
      </w:r>
      <w:r w:rsidR="008C2B23">
        <w:rPr>
          <w:rFonts w:ascii="Verdana" w:hAnsi="Verdana"/>
        </w:rPr>
        <w:t>‘</w:t>
      </w:r>
      <w:r w:rsidR="009F7F96" w:rsidRPr="009F7F96">
        <w:rPr>
          <w:rFonts w:ascii="Verdana" w:hAnsi="Verdana"/>
        </w:rPr>
        <w:t>religion’ are to be broadly construed. Article 18 is not limited in its application to traditional religions or to religions and beliefs with institutional characteristics or practices analogous to those of traditional religions. The Committee therefore views with concern any tendency to discriminate against any religion or belief for any reason, including the fact that they are newly established, or represent religious minorities that may be the subject of hostility on the part of a predominant religious community.</w:t>
      </w:r>
      <w:r>
        <w:rPr>
          <w:rFonts w:ascii="Verdana" w:hAnsi="Verdana"/>
        </w:rPr>
        <w:t>”</w:t>
      </w:r>
      <w:r w:rsidR="003648BB">
        <w:rPr>
          <w:rStyle w:val="FootnoteReference"/>
          <w:rFonts w:ascii="Verdana" w:hAnsi="Verdana"/>
        </w:rPr>
        <w:footnoteReference w:id="31"/>
      </w:r>
    </w:p>
    <w:p w14:paraId="5107CF7F" w14:textId="77777777" w:rsidR="00DE1ACB" w:rsidRDefault="00DE1ACB" w:rsidP="00C43CD2">
      <w:pPr>
        <w:pStyle w:val="BasicParagraph"/>
        <w:suppressAutoHyphens/>
        <w:rPr>
          <w:rFonts w:ascii="Verdana" w:hAnsi="Verdana" w:cs="Arial"/>
          <w:b/>
          <w:bCs/>
          <w:color w:val="232120"/>
        </w:rPr>
      </w:pPr>
    </w:p>
    <w:p w14:paraId="33B00B3C" w14:textId="1E3E372C" w:rsidR="00E37081" w:rsidRPr="00BC125F" w:rsidRDefault="0057768B" w:rsidP="00C43CD2">
      <w:pPr>
        <w:pStyle w:val="ListParagraph"/>
        <w:jc w:val="left"/>
      </w:pPr>
      <w:r>
        <w:t>The NIHRC notes</w:t>
      </w:r>
      <w:r w:rsidR="00D85DCE">
        <w:t xml:space="preserve"> </w:t>
      </w:r>
      <w:r w:rsidR="00DF7B38">
        <w:t xml:space="preserve">that both Scotland and Ireland have established qualifying criteria </w:t>
      </w:r>
      <w:r w:rsidR="00A36A08">
        <w:t>to define</w:t>
      </w:r>
      <w:r w:rsidR="00DF7B38">
        <w:t xml:space="preserve"> </w:t>
      </w:r>
      <w:r w:rsidR="00A36A08">
        <w:t>belief</w:t>
      </w:r>
      <w:r w:rsidR="009F7849">
        <w:t xml:space="preserve"> </w:t>
      </w:r>
      <w:r w:rsidR="00A36A08">
        <w:t>organisations and bodies</w:t>
      </w:r>
      <w:r w:rsidR="00A23327">
        <w:t xml:space="preserve"> in law</w:t>
      </w:r>
      <w:r w:rsidR="00A36A08">
        <w:t>.</w:t>
      </w:r>
      <w:r w:rsidR="009521DB">
        <w:t xml:space="preserve"> </w:t>
      </w:r>
      <w:r w:rsidR="006D53AD">
        <w:t xml:space="preserve">While Scottish law appears to define a belief body quite broadly, the Irish </w:t>
      </w:r>
      <w:r w:rsidR="009E4EC2">
        <w:t xml:space="preserve">Civil Registration (Amendment) Act 2012 </w:t>
      </w:r>
      <w:r w:rsidR="00CE7014">
        <w:t xml:space="preserve">provides more specific criteria </w:t>
      </w:r>
      <w:r w:rsidR="003F3BF5">
        <w:t>to define</w:t>
      </w:r>
      <w:r w:rsidR="00AB219F">
        <w:t xml:space="preserve"> secular bodies, including </w:t>
      </w:r>
      <w:r w:rsidR="00A31656">
        <w:t xml:space="preserve">the exclusion of </w:t>
      </w:r>
      <w:proofErr w:type="gramStart"/>
      <w:r w:rsidR="00A31656">
        <w:t>particular groups</w:t>
      </w:r>
      <w:proofErr w:type="gramEnd"/>
      <w:r w:rsidR="00A31656">
        <w:t xml:space="preserve"> such as political parties. Given the </w:t>
      </w:r>
      <w:r w:rsidR="009E1EE9">
        <w:t xml:space="preserve">potential for challenges </w:t>
      </w:r>
      <w:r w:rsidR="00DE3F6E">
        <w:t xml:space="preserve">regarding consistency in </w:t>
      </w:r>
      <w:r w:rsidR="009E1EE9">
        <w:t>interpretation</w:t>
      </w:r>
      <w:r w:rsidR="00DE3F6E">
        <w:t xml:space="preserve">, </w:t>
      </w:r>
      <w:r w:rsidR="00DE3F6E" w:rsidRPr="00207E0F">
        <w:t xml:space="preserve">adopting </w:t>
      </w:r>
      <w:r w:rsidR="00363588" w:rsidRPr="00207E0F">
        <w:t>a set of specific criteria</w:t>
      </w:r>
      <w:r w:rsidR="00207E0F" w:rsidRPr="00207E0F">
        <w:t>, for example</w:t>
      </w:r>
      <w:r w:rsidR="00363588" w:rsidRPr="00207E0F">
        <w:t xml:space="preserve"> </w:t>
      </w:r>
      <w:r w:rsidR="00D30FB0" w:rsidRPr="00207E0F">
        <w:t>modelled on the approach taken by the Irish Civil Registration</w:t>
      </w:r>
      <w:r w:rsidR="00AB3688" w:rsidRPr="00207E0F">
        <w:t xml:space="preserve"> </w:t>
      </w:r>
      <w:r w:rsidR="00D30FB0" w:rsidRPr="00207E0F">
        <w:t>(Amendment) Act 2012</w:t>
      </w:r>
      <w:r w:rsidR="00207E0F" w:rsidRPr="00207E0F">
        <w:t>, may provide greater clarity for Registrars</w:t>
      </w:r>
      <w:r w:rsidR="00D30FB0" w:rsidRPr="00207E0F">
        <w:t>.</w:t>
      </w:r>
      <w:r w:rsidR="00D30FB0">
        <w:t xml:space="preserve"> </w:t>
      </w:r>
    </w:p>
    <w:p w14:paraId="03ABDD4F" w14:textId="77777777" w:rsidR="00E37081" w:rsidRDefault="00E37081" w:rsidP="00C43CD2">
      <w:pPr>
        <w:pStyle w:val="BasicParagraph"/>
        <w:suppressAutoHyphens/>
        <w:rPr>
          <w:rFonts w:ascii="Verdana" w:hAnsi="Verdana" w:cs="Arial"/>
          <w:b/>
          <w:bCs/>
          <w:color w:val="232120"/>
        </w:rPr>
      </w:pPr>
    </w:p>
    <w:p w14:paraId="7355D160" w14:textId="4745E2B0" w:rsidR="004A655A" w:rsidRPr="00C70512" w:rsidRDefault="00675D3D" w:rsidP="00C43CD2">
      <w:pPr>
        <w:pStyle w:val="ListParagraph"/>
        <w:jc w:val="left"/>
        <w:rPr>
          <w:b/>
        </w:rPr>
      </w:pPr>
      <w:r w:rsidRPr="00C70512">
        <w:rPr>
          <w:b/>
        </w:rPr>
        <w:t xml:space="preserve">The NIHRC recommends </w:t>
      </w:r>
      <w:r w:rsidR="00F647D7" w:rsidRPr="00C70512">
        <w:rPr>
          <w:b/>
        </w:rPr>
        <w:t xml:space="preserve">that the Department of Finance </w:t>
      </w:r>
      <w:r w:rsidR="00A62FA0" w:rsidRPr="00C70512">
        <w:rPr>
          <w:b/>
        </w:rPr>
        <w:t>develops</w:t>
      </w:r>
      <w:r w:rsidR="00B142D8" w:rsidRPr="00C70512">
        <w:rPr>
          <w:b/>
        </w:rPr>
        <w:t xml:space="preserve"> </w:t>
      </w:r>
      <w:r w:rsidR="00A62FA0" w:rsidRPr="00C70512">
        <w:rPr>
          <w:b/>
        </w:rPr>
        <w:t xml:space="preserve">specific </w:t>
      </w:r>
      <w:r w:rsidR="00B142D8" w:rsidRPr="00C70512">
        <w:rPr>
          <w:b/>
        </w:rPr>
        <w:t xml:space="preserve">statutory </w:t>
      </w:r>
      <w:r w:rsidR="009D31B7" w:rsidRPr="00C70512">
        <w:rPr>
          <w:b/>
        </w:rPr>
        <w:t xml:space="preserve">criteria </w:t>
      </w:r>
      <w:r w:rsidR="00777B51" w:rsidRPr="00C70512">
        <w:rPr>
          <w:b/>
        </w:rPr>
        <w:t xml:space="preserve">to </w:t>
      </w:r>
      <w:r w:rsidR="00826D26" w:rsidRPr="00C70512">
        <w:rPr>
          <w:b/>
        </w:rPr>
        <w:t>define</w:t>
      </w:r>
      <w:r w:rsidR="00AD1A84" w:rsidRPr="00C70512">
        <w:rPr>
          <w:b/>
        </w:rPr>
        <w:t xml:space="preserve"> </w:t>
      </w:r>
      <w:r w:rsidR="009D31B7" w:rsidRPr="00C70512">
        <w:rPr>
          <w:b/>
        </w:rPr>
        <w:t xml:space="preserve">belief groups </w:t>
      </w:r>
      <w:r w:rsidR="00F54158" w:rsidRPr="00C70512">
        <w:rPr>
          <w:b/>
        </w:rPr>
        <w:t>and religious groups</w:t>
      </w:r>
      <w:r w:rsidR="000558A9" w:rsidRPr="00C70512">
        <w:rPr>
          <w:b/>
        </w:rPr>
        <w:t xml:space="preserve">. Any guidance produced should be </w:t>
      </w:r>
      <w:r w:rsidR="00B34C6B" w:rsidRPr="00C70512">
        <w:rPr>
          <w:b/>
        </w:rPr>
        <w:t>subject to further consultation</w:t>
      </w:r>
      <w:r w:rsidR="003648BB" w:rsidRPr="00C70512">
        <w:rPr>
          <w:b/>
        </w:rPr>
        <w:t xml:space="preserve"> with key stakeholders.</w:t>
      </w:r>
    </w:p>
    <w:p w14:paraId="7ECABE5A" w14:textId="77777777" w:rsidR="001C6065" w:rsidRPr="00C70512" w:rsidRDefault="001C6065" w:rsidP="00C43CD2">
      <w:pPr>
        <w:pStyle w:val="BasicParagraph"/>
        <w:suppressAutoHyphens/>
        <w:rPr>
          <w:rFonts w:ascii="Verdana" w:hAnsi="Verdana"/>
          <w:b/>
          <w:color w:val="232120"/>
        </w:rPr>
      </w:pPr>
    </w:p>
    <w:p w14:paraId="42F5745D" w14:textId="2F180BE1" w:rsidR="001C6065" w:rsidRPr="00C70512" w:rsidRDefault="00EF6537" w:rsidP="00C43CD2">
      <w:pPr>
        <w:pStyle w:val="ListParagraph"/>
        <w:jc w:val="left"/>
        <w:rPr>
          <w:b/>
        </w:rPr>
      </w:pPr>
      <w:r w:rsidRPr="00C70512">
        <w:rPr>
          <w:b/>
        </w:rPr>
        <w:t xml:space="preserve">The NIHRC recommends that </w:t>
      </w:r>
      <w:r w:rsidR="007A5EF3" w:rsidRPr="00C70512">
        <w:rPr>
          <w:b/>
        </w:rPr>
        <w:t>a</w:t>
      </w:r>
      <w:r w:rsidR="000B441F" w:rsidRPr="00C70512">
        <w:rPr>
          <w:b/>
        </w:rPr>
        <w:t xml:space="preserve">ny </w:t>
      </w:r>
      <w:r w:rsidR="007A5EF3" w:rsidRPr="00C70512">
        <w:rPr>
          <w:b/>
        </w:rPr>
        <w:t xml:space="preserve">new proposal by the Department </w:t>
      </w:r>
      <w:r w:rsidR="007E34AE" w:rsidRPr="00C70512">
        <w:rPr>
          <w:b/>
        </w:rPr>
        <w:t xml:space="preserve">to amend </w:t>
      </w:r>
      <w:r w:rsidR="002C0B14" w:rsidRPr="00C70512">
        <w:rPr>
          <w:b/>
        </w:rPr>
        <w:t xml:space="preserve">marriage law </w:t>
      </w:r>
      <w:r w:rsidR="007E34AE" w:rsidRPr="00C70512">
        <w:rPr>
          <w:b/>
        </w:rPr>
        <w:t>and/</w:t>
      </w:r>
      <w:r w:rsidR="002C0B14" w:rsidRPr="00C70512">
        <w:rPr>
          <w:b/>
        </w:rPr>
        <w:t xml:space="preserve">or policy in NI is </w:t>
      </w:r>
      <w:r w:rsidR="007A5EF3" w:rsidRPr="00C70512">
        <w:rPr>
          <w:b/>
        </w:rPr>
        <w:t>subject to a comprehensive human rights impact assessment</w:t>
      </w:r>
      <w:r w:rsidR="007F2CFA" w:rsidRPr="00C70512">
        <w:rPr>
          <w:b/>
        </w:rPr>
        <w:t xml:space="preserve"> which outlines</w:t>
      </w:r>
      <w:r w:rsidR="003477D8" w:rsidRPr="00C70512">
        <w:rPr>
          <w:b/>
        </w:rPr>
        <w:t xml:space="preserve"> </w:t>
      </w:r>
      <w:r w:rsidR="00414713" w:rsidRPr="00C70512">
        <w:rPr>
          <w:b/>
        </w:rPr>
        <w:t>any</w:t>
      </w:r>
      <w:r w:rsidR="00161EF6" w:rsidRPr="00C70512">
        <w:rPr>
          <w:b/>
        </w:rPr>
        <w:t xml:space="preserve"> </w:t>
      </w:r>
      <w:r w:rsidR="0024725E" w:rsidRPr="00C70512">
        <w:rPr>
          <w:b/>
        </w:rPr>
        <w:t xml:space="preserve">potential </w:t>
      </w:r>
      <w:r w:rsidR="00414713" w:rsidRPr="00C70512">
        <w:rPr>
          <w:b/>
        </w:rPr>
        <w:t>interference with</w:t>
      </w:r>
      <w:r w:rsidR="00161EF6" w:rsidRPr="00C70512">
        <w:rPr>
          <w:b/>
        </w:rPr>
        <w:t xml:space="preserve"> Article 9 ECHR, Article 12 </w:t>
      </w:r>
      <w:proofErr w:type="gramStart"/>
      <w:r w:rsidR="00161EF6" w:rsidRPr="00C70512">
        <w:rPr>
          <w:b/>
        </w:rPr>
        <w:t>ECHR</w:t>
      </w:r>
      <w:proofErr w:type="gramEnd"/>
      <w:r w:rsidR="00161EF6" w:rsidRPr="00C70512">
        <w:rPr>
          <w:b/>
        </w:rPr>
        <w:t xml:space="preserve"> and Article 14 ECH</w:t>
      </w:r>
      <w:r w:rsidR="003477D8" w:rsidRPr="00C70512">
        <w:rPr>
          <w:b/>
        </w:rPr>
        <w:t xml:space="preserve">R in particular. </w:t>
      </w:r>
    </w:p>
    <w:p w14:paraId="5D7DDC64" w14:textId="671309B5" w:rsidR="00BB2187" w:rsidRDefault="00BB2187" w:rsidP="00C43CD2">
      <w:pPr>
        <w:pStyle w:val="BasicParagraph"/>
        <w:suppressAutoHyphens/>
        <w:ind w:left="720" w:hanging="720"/>
        <w:rPr>
          <w:rFonts w:ascii="Verdana" w:hAnsi="Verdana" w:cs="Arial"/>
          <w:color w:val="232120"/>
        </w:rPr>
      </w:pPr>
    </w:p>
    <w:p w14:paraId="407CC28B" w14:textId="01388D3F" w:rsidR="003B7D0E" w:rsidRDefault="003B7D0E" w:rsidP="00C43CD2">
      <w:pPr>
        <w:pStyle w:val="BasicParagraph"/>
        <w:suppressAutoHyphens/>
        <w:rPr>
          <w:rFonts w:ascii="Verdana" w:hAnsi="Verdana" w:cs="Arial"/>
          <w:color w:val="232120"/>
          <w:sz w:val="20"/>
          <w:szCs w:val="20"/>
        </w:rPr>
      </w:pPr>
    </w:p>
    <w:p w14:paraId="718F483B" w14:textId="77777777" w:rsidR="005C4B3E" w:rsidRPr="00331C61" w:rsidRDefault="005C4B3E" w:rsidP="00C43CD2">
      <w:pPr>
        <w:pStyle w:val="BasicParagraph"/>
        <w:suppressAutoHyphens/>
        <w:rPr>
          <w:rFonts w:ascii="Verdana" w:hAnsi="Verdana" w:cs="Arial"/>
          <w:color w:val="232120"/>
          <w:sz w:val="20"/>
          <w:szCs w:val="20"/>
        </w:rPr>
      </w:pPr>
    </w:p>
    <w:p w14:paraId="0D401CA6" w14:textId="77777777" w:rsidR="00830D84" w:rsidRPr="005C4B3E" w:rsidRDefault="00830D84" w:rsidP="00C43CD2">
      <w:pPr>
        <w:pStyle w:val="BasicParagraph"/>
        <w:suppressAutoHyphens/>
        <w:rPr>
          <w:rFonts w:ascii="Verdana" w:hAnsi="Verdana" w:cs="Arial"/>
          <w:color w:val="77328A"/>
          <w:sz w:val="30"/>
          <w:szCs w:val="30"/>
        </w:rPr>
      </w:pPr>
      <w:r w:rsidRPr="005C4B3E">
        <w:rPr>
          <w:rFonts w:ascii="Verdana" w:hAnsi="Verdana" w:cs="Arial"/>
          <w:b/>
          <w:color w:val="77328A"/>
          <w:sz w:val="30"/>
          <w:szCs w:val="30"/>
        </w:rPr>
        <w:t>3.0</w:t>
      </w:r>
      <w:r w:rsidRPr="005C4B3E">
        <w:rPr>
          <w:rFonts w:ascii="Verdana" w:hAnsi="Verdana" w:cs="Arial"/>
          <w:b/>
          <w:color w:val="77328A"/>
          <w:sz w:val="30"/>
          <w:szCs w:val="30"/>
        </w:rPr>
        <w:tab/>
      </w:r>
      <w:r w:rsidR="00404171" w:rsidRPr="005C4B3E">
        <w:rPr>
          <w:rFonts w:ascii="Verdana" w:hAnsi="Verdana" w:cs="Arial"/>
          <w:b/>
          <w:color w:val="77328A"/>
          <w:sz w:val="30"/>
          <w:szCs w:val="30"/>
        </w:rPr>
        <w:t>Child Marriage</w:t>
      </w:r>
      <w:r w:rsidR="000C7662" w:rsidRPr="005C4B3E">
        <w:rPr>
          <w:rFonts w:ascii="Verdana" w:hAnsi="Verdana" w:cs="Arial"/>
          <w:b/>
          <w:color w:val="77328A"/>
          <w:sz w:val="30"/>
          <w:szCs w:val="30"/>
        </w:rPr>
        <w:t xml:space="preserve"> </w:t>
      </w:r>
    </w:p>
    <w:p w14:paraId="6F97D116" w14:textId="77777777" w:rsidR="00EB7640" w:rsidRDefault="00EB7640" w:rsidP="00C43CD2">
      <w:pPr>
        <w:pStyle w:val="BasicParagraph"/>
        <w:suppressAutoHyphens/>
        <w:rPr>
          <w:rFonts w:ascii="Verdana" w:hAnsi="Verdana" w:cs="Arial"/>
          <w:b/>
          <w:color w:val="232120"/>
        </w:rPr>
      </w:pPr>
    </w:p>
    <w:p w14:paraId="2E3D2F75" w14:textId="77777777" w:rsidR="00830D84" w:rsidRDefault="00877FD0" w:rsidP="00C43CD2">
      <w:pPr>
        <w:pStyle w:val="BasicParagraph"/>
        <w:suppressAutoHyphens/>
        <w:rPr>
          <w:rFonts w:ascii="Verdana" w:hAnsi="Verdana" w:cs="Arial"/>
          <w:b/>
          <w:color w:val="232120"/>
        </w:rPr>
      </w:pPr>
      <w:r>
        <w:rPr>
          <w:rFonts w:ascii="Verdana" w:hAnsi="Verdana" w:cs="Arial"/>
          <w:b/>
          <w:color w:val="232120"/>
        </w:rPr>
        <w:t>Raising the Minimum Age</w:t>
      </w:r>
      <w:r w:rsidR="009B19E5">
        <w:rPr>
          <w:rFonts w:ascii="Verdana" w:hAnsi="Verdana" w:cs="Arial"/>
          <w:b/>
          <w:color w:val="232120"/>
        </w:rPr>
        <w:t xml:space="preserve"> </w:t>
      </w:r>
      <w:r w:rsidR="000C7662">
        <w:rPr>
          <w:rFonts w:ascii="Verdana" w:hAnsi="Verdana" w:cs="Arial"/>
          <w:b/>
          <w:color w:val="232120"/>
        </w:rPr>
        <w:t xml:space="preserve"> </w:t>
      </w:r>
    </w:p>
    <w:p w14:paraId="7C5255B8" w14:textId="77777777" w:rsidR="00E91CED" w:rsidRDefault="00E91CED" w:rsidP="00C43CD2">
      <w:pPr>
        <w:pStyle w:val="BasicParagraph"/>
        <w:suppressAutoHyphens/>
        <w:rPr>
          <w:rFonts w:ascii="Verdana" w:hAnsi="Verdana" w:cs="Arial"/>
          <w:b/>
          <w:color w:val="232120"/>
        </w:rPr>
      </w:pPr>
    </w:p>
    <w:p w14:paraId="4904F51D" w14:textId="77777777" w:rsidR="003F7013" w:rsidRPr="003F7013" w:rsidRDefault="003F7013" w:rsidP="003F7013">
      <w:pPr>
        <w:pStyle w:val="ListParagraph"/>
        <w:numPr>
          <w:ilvl w:val="0"/>
          <w:numId w:val="11"/>
        </w:numPr>
        <w:rPr>
          <w:vanish/>
          <w:color w:val="232120"/>
        </w:rPr>
      </w:pPr>
    </w:p>
    <w:p w14:paraId="7DAF7936" w14:textId="3AD973DB" w:rsidR="001543A0" w:rsidRDefault="007230DD" w:rsidP="003F7013">
      <w:pPr>
        <w:pStyle w:val="ListParagraph"/>
      </w:pPr>
      <w:r w:rsidRPr="00122A44">
        <w:t xml:space="preserve">International human rights </w:t>
      </w:r>
      <w:r w:rsidR="0061423E">
        <w:t xml:space="preserve">law </w:t>
      </w:r>
      <w:r w:rsidR="00087332">
        <w:t>guarantees the right to marry for those of ‘marriageable age’ accor</w:t>
      </w:r>
      <w:r w:rsidR="0061423E">
        <w:t>ding to national laws</w:t>
      </w:r>
      <w:r w:rsidRPr="00122A44">
        <w:t>.</w:t>
      </w:r>
      <w:r w:rsidRPr="00122A44">
        <w:rPr>
          <w:rStyle w:val="FootnoteReference"/>
        </w:rPr>
        <w:footnoteReference w:id="32"/>
      </w:r>
      <w:r w:rsidRPr="00122A44">
        <w:t xml:space="preserve"> The UN </w:t>
      </w:r>
      <w:r w:rsidR="0049037E">
        <w:t xml:space="preserve">CRC </w:t>
      </w:r>
      <w:r w:rsidRPr="00122A44">
        <w:t xml:space="preserve">Committee and the UN </w:t>
      </w:r>
      <w:r w:rsidR="0049037E">
        <w:t xml:space="preserve">CEDAW </w:t>
      </w:r>
      <w:r w:rsidRPr="00122A44">
        <w:t>Committee recommend setting the minimum age for marriage with and without parental consent to 18 years, for both girls and boys.</w:t>
      </w:r>
      <w:r w:rsidRPr="00122A44">
        <w:rPr>
          <w:rStyle w:val="FootnoteReference"/>
        </w:rPr>
        <w:footnoteReference w:id="33"/>
      </w:r>
      <w:r w:rsidR="00C17DE7">
        <w:t xml:space="preserve"> </w:t>
      </w:r>
    </w:p>
    <w:p w14:paraId="4FCA191B" w14:textId="77777777" w:rsidR="001543A0" w:rsidRDefault="001543A0" w:rsidP="00C43CD2">
      <w:pPr>
        <w:pStyle w:val="BasicParagraph"/>
        <w:suppressAutoHyphens/>
        <w:ind w:left="720" w:hanging="720"/>
        <w:rPr>
          <w:rFonts w:ascii="Verdana" w:hAnsi="Verdana"/>
        </w:rPr>
      </w:pPr>
    </w:p>
    <w:p w14:paraId="173210D4" w14:textId="116663D4" w:rsidR="007230DD" w:rsidRPr="00122A44" w:rsidRDefault="001543A0" w:rsidP="003F7013">
      <w:pPr>
        <w:pStyle w:val="ListParagraph"/>
        <w:rPr>
          <w:b/>
          <w:color w:val="232120"/>
        </w:rPr>
      </w:pPr>
      <w:r w:rsidRPr="001543A0">
        <w:t>The Marriage (NI) Order 2003</w:t>
      </w:r>
      <w:r>
        <w:t xml:space="preserve"> </w:t>
      </w:r>
      <w:r w:rsidRPr="001543A0">
        <w:t xml:space="preserve">permits the marriage of a child aged 16 or 17 years with the consent of their parents or legal guardians or the courts. </w:t>
      </w:r>
      <w:r w:rsidR="00DB7321">
        <w:t>In 2016, the UN CRC Committee specifically recommended that the UK Government and the NI Executive raise the minimum age of marriage to 18 years.</w:t>
      </w:r>
      <w:r w:rsidR="00DD7394">
        <w:rPr>
          <w:rStyle w:val="FootnoteReference"/>
        </w:rPr>
        <w:footnoteReference w:id="34"/>
      </w:r>
      <w:r w:rsidR="00DB7321">
        <w:t xml:space="preserve"> </w:t>
      </w:r>
    </w:p>
    <w:p w14:paraId="76BC5DB1" w14:textId="77777777" w:rsidR="007230DD" w:rsidRDefault="007230DD" w:rsidP="00C43CD2">
      <w:pPr>
        <w:pStyle w:val="BasicParagraph"/>
        <w:suppressAutoHyphens/>
        <w:rPr>
          <w:rFonts w:ascii="Verdana" w:hAnsi="Verdana" w:cs="Arial"/>
          <w:b/>
          <w:color w:val="232120"/>
        </w:rPr>
      </w:pPr>
    </w:p>
    <w:p w14:paraId="336356D9" w14:textId="23514DB0" w:rsidR="007437C1" w:rsidRPr="007437C1" w:rsidRDefault="00460DA2" w:rsidP="003F7013">
      <w:pPr>
        <w:pStyle w:val="ListParagraph"/>
      </w:pPr>
      <w:r>
        <w:t>Within its Annual Statemen</w:t>
      </w:r>
      <w:r w:rsidR="00021568">
        <w:t>ts,</w:t>
      </w:r>
      <w:r>
        <w:t xml:space="preserve"> t</w:t>
      </w:r>
      <w:r w:rsidR="007437C1" w:rsidRPr="007437C1">
        <w:t xml:space="preserve">he </w:t>
      </w:r>
      <w:r w:rsidR="00877F5A">
        <w:t>NIHRC</w:t>
      </w:r>
      <w:r w:rsidR="00D93D0F">
        <w:t xml:space="preserve"> </w:t>
      </w:r>
      <w:r w:rsidR="00021568">
        <w:t xml:space="preserve">has </w:t>
      </w:r>
      <w:r w:rsidR="00D93D0F">
        <w:t>continue</w:t>
      </w:r>
      <w:r w:rsidR="00021568">
        <w:t>d</w:t>
      </w:r>
      <w:r w:rsidR="00D93D0F">
        <w:t xml:space="preserve"> to recommend the repeal of all legal provisions permitting the marriage of children in NI</w:t>
      </w:r>
      <w:r w:rsidR="00E64073">
        <w:t xml:space="preserve"> and </w:t>
      </w:r>
      <w:r w:rsidR="007437C1" w:rsidRPr="007437C1">
        <w:t>has</w:t>
      </w:r>
      <w:r w:rsidR="00DE29F7">
        <w:t xml:space="preserve"> </w:t>
      </w:r>
      <w:r w:rsidR="007437C1" w:rsidRPr="007437C1">
        <w:t xml:space="preserve">highlighted </w:t>
      </w:r>
      <w:r w:rsidR="00C15975">
        <w:t>this</w:t>
      </w:r>
      <w:r w:rsidR="007437C1" w:rsidRPr="007437C1">
        <w:t xml:space="preserve"> as an outstanding issue in its</w:t>
      </w:r>
      <w:r w:rsidR="00C15975">
        <w:t xml:space="preserve"> most recent</w:t>
      </w:r>
      <w:r w:rsidR="007437C1" w:rsidRPr="007437C1">
        <w:t xml:space="preserve"> submission to the UN CRC regarding </w:t>
      </w:r>
      <w:r w:rsidR="00C15975">
        <w:t>the</w:t>
      </w:r>
      <w:r w:rsidR="007437C1" w:rsidRPr="007437C1">
        <w:t xml:space="preserve"> Sixth Periodic Report of the UK and NI.</w:t>
      </w:r>
      <w:r w:rsidR="007437C1" w:rsidRPr="007437C1">
        <w:rPr>
          <w:rStyle w:val="FootnoteReference"/>
        </w:rPr>
        <w:footnoteReference w:id="35"/>
      </w:r>
      <w:r w:rsidR="007437C1" w:rsidRPr="007437C1">
        <w:t xml:space="preserve"> </w:t>
      </w:r>
      <w:r w:rsidR="00E64073">
        <w:t>Notably</w:t>
      </w:r>
      <w:r w:rsidR="007437C1" w:rsidRPr="007437C1">
        <w:t xml:space="preserve">, </w:t>
      </w:r>
      <w:r w:rsidR="00C91566">
        <w:t>raising the minimum age of marriage to 18, without exception,</w:t>
      </w:r>
      <w:r w:rsidR="007437C1" w:rsidRPr="007437C1">
        <w:t xml:space="preserve"> has been identified in the UN CRC List of Issues Prior to Reporting and is therefore again likely to be considered at the main examination</w:t>
      </w:r>
      <w:r w:rsidR="00C50B84">
        <w:t>, which is currently scheduled for January 2023</w:t>
      </w:r>
      <w:r w:rsidR="007437C1" w:rsidRPr="007437C1">
        <w:t>.</w:t>
      </w:r>
      <w:r w:rsidR="007437C1" w:rsidRPr="007437C1">
        <w:rPr>
          <w:rStyle w:val="FootnoteReference"/>
        </w:rPr>
        <w:footnoteReference w:id="36"/>
      </w:r>
      <w:r w:rsidR="007437C1" w:rsidRPr="007437C1">
        <w:t xml:space="preserve"> </w:t>
      </w:r>
      <w:r w:rsidR="00C50B84">
        <w:t xml:space="preserve">The NIHRC will be engaging with the UN CRC periodic reporting process and is likely to raise this issue with the Committee. </w:t>
      </w:r>
    </w:p>
    <w:p w14:paraId="05078CF1" w14:textId="77777777" w:rsidR="007437C1" w:rsidRDefault="007437C1" w:rsidP="00C43CD2">
      <w:pPr>
        <w:pStyle w:val="BasicParagraph"/>
        <w:suppressAutoHyphens/>
        <w:rPr>
          <w:rFonts w:ascii="Verdana" w:hAnsi="Verdana" w:cs="Arial"/>
          <w:b/>
          <w:color w:val="232120"/>
        </w:rPr>
      </w:pPr>
    </w:p>
    <w:p w14:paraId="0DB69F51" w14:textId="4B0598D0" w:rsidR="001E1E67" w:rsidRDefault="005D7260" w:rsidP="003F7013">
      <w:pPr>
        <w:pStyle w:val="ListParagraph"/>
      </w:pPr>
      <w:r w:rsidRPr="00807F36">
        <w:t xml:space="preserve">The </w:t>
      </w:r>
      <w:r w:rsidR="00877F5A">
        <w:t>NIHRC</w:t>
      </w:r>
      <w:r w:rsidRPr="00807F36">
        <w:t xml:space="preserve"> </w:t>
      </w:r>
      <w:r w:rsidR="001A7CB7">
        <w:t>notes with interest the</w:t>
      </w:r>
      <w:r w:rsidR="007524B6">
        <w:t xml:space="preserve"> recent developments in England and Wales, where </w:t>
      </w:r>
      <w:r w:rsidR="009A0C18" w:rsidRPr="00807F36">
        <w:t>the Marriage and Civil Partnership (Minimum Age)</w:t>
      </w:r>
      <w:r w:rsidR="007D7135">
        <w:t xml:space="preserve"> </w:t>
      </w:r>
      <w:r w:rsidR="009A0C18" w:rsidRPr="00807F36">
        <w:t>Bill</w:t>
      </w:r>
      <w:r w:rsidR="00334E10">
        <w:t xml:space="preserve"> 2021-22</w:t>
      </w:r>
      <w:r w:rsidR="009A0C18" w:rsidRPr="00807F36">
        <w:t xml:space="preserve"> recently passed its second reading in the House of Commons</w:t>
      </w:r>
      <w:r w:rsidR="007C3C6A" w:rsidRPr="00807F36">
        <w:t>.</w:t>
      </w:r>
      <w:r w:rsidR="0038062A">
        <w:rPr>
          <w:rStyle w:val="FootnoteReference"/>
        </w:rPr>
        <w:footnoteReference w:id="37"/>
      </w:r>
      <w:r w:rsidR="007C3C6A" w:rsidRPr="00807F36">
        <w:t xml:space="preserve"> If enacted, the Bill </w:t>
      </w:r>
      <w:r w:rsidR="00027AFF" w:rsidRPr="00807F36">
        <w:t>w</w:t>
      </w:r>
      <w:r w:rsidR="00027AFF">
        <w:t>ill</w:t>
      </w:r>
      <w:r w:rsidR="00027AFF" w:rsidRPr="00807F36">
        <w:t xml:space="preserve"> </w:t>
      </w:r>
      <w:r w:rsidR="000563E1" w:rsidRPr="00807F36">
        <w:t>revoke parental or judicial consent which permits the marriage or civil partnership of a child</w:t>
      </w:r>
      <w:r w:rsidR="00DF102D">
        <w:t xml:space="preserve"> </w:t>
      </w:r>
      <w:r w:rsidR="000563E1" w:rsidRPr="00807F36">
        <w:t xml:space="preserve">and </w:t>
      </w:r>
      <w:r w:rsidR="00CD51D5">
        <w:t xml:space="preserve">expand the offence of forced marriage to encompass the arranging of </w:t>
      </w:r>
      <w:r w:rsidR="000563E1" w:rsidRPr="00807F36">
        <w:t>marriage</w:t>
      </w:r>
      <w:r w:rsidR="009737E0">
        <w:t>s</w:t>
      </w:r>
      <w:r w:rsidR="000563E1" w:rsidRPr="00807F36">
        <w:t xml:space="preserve"> or civil partnership</w:t>
      </w:r>
      <w:r w:rsidR="009737E0">
        <w:t>s</w:t>
      </w:r>
      <w:r w:rsidR="000563E1" w:rsidRPr="00807F36">
        <w:t xml:space="preserve"> under the age of 18</w:t>
      </w:r>
      <w:r w:rsidR="007C3C6A" w:rsidRPr="00807F36">
        <w:t xml:space="preserve">. </w:t>
      </w:r>
      <w:r w:rsidR="0038062A">
        <w:t>Those found guilty of</w:t>
      </w:r>
      <w:r w:rsidR="00591B4C">
        <w:t xml:space="preserve"> the offence</w:t>
      </w:r>
      <w:r w:rsidR="0087081E">
        <w:t xml:space="preserve"> </w:t>
      </w:r>
      <w:r w:rsidR="00BD0065">
        <w:t>of forced marriage currently</w:t>
      </w:r>
      <w:r w:rsidR="0038062A">
        <w:t xml:space="preserve"> face </w:t>
      </w:r>
      <w:r w:rsidR="00525691">
        <w:t>a maximum of</w:t>
      </w:r>
      <w:r w:rsidR="001E1E67" w:rsidRPr="00807F36">
        <w:t xml:space="preserve"> seven years </w:t>
      </w:r>
      <w:r w:rsidR="00525691">
        <w:t>imprisonment</w:t>
      </w:r>
      <w:r w:rsidR="001E1E67" w:rsidRPr="00807F36">
        <w:t xml:space="preserve"> and a fine.</w:t>
      </w:r>
      <w:r w:rsidR="00177F5E">
        <w:rPr>
          <w:rStyle w:val="FootnoteReference"/>
        </w:rPr>
        <w:footnoteReference w:id="38"/>
      </w:r>
      <w:r w:rsidR="001E1E67" w:rsidRPr="00807F36">
        <w:t xml:space="preserve"> </w:t>
      </w:r>
    </w:p>
    <w:p w14:paraId="320AAEE2" w14:textId="77777777" w:rsidR="00E922CC" w:rsidRDefault="00E922CC" w:rsidP="00534C10">
      <w:pPr>
        <w:pStyle w:val="BasicParagraph"/>
        <w:suppressAutoHyphens/>
        <w:rPr>
          <w:rFonts w:ascii="Verdana" w:hAnsi="Verdana" w:cs="Arial"/>
          <w:b/>
          <w:bCs/>
          <w:color w:val="3C3C3B"/>
        </w:rPr>
      </w:pPr>
    </w:p>
    <w:p w14:paraId="726D5BFE" w14:textId="038E9F9A" w:rsidR="009A4697" w:rsidRDefault="000A6C2D" w:rsidP="00C74A5A">
      <w:pPr>
        <w:pStyle w:val="ListParagraph"/>
      </w:pPr>
      <w:r>
        <w:t xml:space="preserve">The Bill intends to act </w:t>
      </w:r>
      <w:r w:rsidR="006636C4">
        <w:t>as an obstacle to those seeking to take children abroad to marry</w:t>
      </w:r>
      <w:r w:rsidR="00D41FED">
        <w:t xml:space="preserve"> </w:t>
      </w:r>
      <w:r w:rsidR="002A25D1">
        <w:t xml:space="preserve">by </w:t>
      </w:r>
      <w:r w:rsidR="00B20ABF">
        <w:t xml:space="preserve">criminalising </w:t>
      </w:r>
      <w:r w:rsidR="002A25D1" w:rsidRPr="002A25D1">
        <w:t xml:space="preserve">any marriage involving a child </w:t>
      </w:r>
      <w:r w:rsidR="00E22388">
        <w:t>domiciled</w:t>
      </w:r>
      <w:r w:rsidR="002A25D1" w:rsidRPr="002A25D1">
        <w:t xml:space="preserve"> in England and Wales, or who is a UK national, whether or not the actual conduct or marriage takes place in </w:t>
      </w:r>
      <w:r w:rsidR="00603D6F">
        <w:t>England and Wales</w:t>
      </w:r>
      <w:r w:rsidR="00FB7C10">
        <w:t>.</w:t>
      </w:r>
      <w:r w:rsidR="00122E39">
        <w:rPr>
          <w:rStyle w:val="FootnoteReference"/>
        </w:rPr>
        <w:footnoteReference w:id="39"/>
      </w:r>
      <w:r w:rsidR="003B1A9F">
        <w:t xml:space="preserve"> </w:t>
      </w:r>
      <w:r w:rsidR="00A47AB4">
        <w:t>Howeve</w:t>
      </w:r>
      <w:r w:rsidR="00846B8B">
        <w:t>r,</w:t>
      </w:r>
      <w:r w:rsidR="005F2E15">
        <w:t xml:space="preserve"> </w:t>
      </w:r>
      <w:r w:rsidR="00E22388">
        <w:t xml:space="preserve">clause 2(7) contains an </w:t>
      </w:r>
      <w:r w:rsidR="005F2E15">
        <w:t xml:space="preserve">exemption </w:t>
      </w:r>
      <w:r w:rsidR="00E22388">
        <w:t xml:space="preserve">to allow </w:t>
      </w:r>
      <w:r w:rsidR="00FD6A63">
        <w:t xml:space="preserve">the arrangement of child marriages </w:t>
      </w:r>
      <w:r w:rsidR="003B1A9F" w:rsidRPr="003B1A9F">
        <w:t xml:space="preserve">in Scotland </w:t>
      </w:r>
      <w:r w:rsidR="00FD6A63">
        <w:t xml:space="preserve">and </w:t>
      </w:r>
      <w:r w:rsidR="003B1A9F" w:rsidRPr="003B1A9F">
        <w:t xml:space="preserve">Northern Ireland </w:t>
      </w:r>
      <w:r w:rsidR="00AD1C66">
        <w:t>without risk of</w:t>
      </w:r>
      <w:r w:rsidR="00287A20">
        <w:t xml:space="preserve"> </w:t>
      </w:r>
      <w:r w:rsidR="00AD1C66">
        <w:t>prosecution</w:t>
      </w:r>
      <w:r w:rsidR="003B1A9F" w:rsidRPr="003B1A9F">
        <w:t>.</w:t>
      </w:r>
      <w:r w:rsidR="00A26DC7">
        <w:rPr>
          <w:rStyle w:val="FootnoteReference"/>
        </w:rPr>
        <w:footnoteReference w:id="40"/>
      </w:r>
      <w:r w:rsidR="000915E0">
        <w:t xml:space="preserve"> </w:t>
      </w:r>
      <w:r w:rsidR="00B77A3B">
        <w:t xml:space="preserve">While </w:t>
      </w:r>
      <w:r w:rsidR="00140173">
        <w:t>recognising that th</w:t>
      </w:r>
      <w:r w:rsidR="00C90343">
        <w:t xml:space="preserve">is provision </w:t>
      </w:r>
      <w:r w:rsidR="00CB7604">
        <w:t xml:space="preserve">was drafted to respect </w:t>
      </w:r>
      <w:r w:rsidR="00557BFB">
        <w:t>devolution</w:t>
      </w:r>
      <w:r w:rsidR="00AF05B6">
        <w:t xml:space="preserve">, </w:t>
      </w:r>
      <w:r w:rsidR="00E343FC">
        <w:t>if NI retain current laws</w:t>
      </w:r>
      <w:r w:rsidR="001F02AD">
        <w:t xml:space="preserve">, it essentially creates a divergence of child protection laws </w:t>
      </w:r>
      <w:r w:rsidR="00945AAE">
        <w:t>within the UK</w:t>
      </w:r>
      <w:r w:rsidR="006F5731">
        <w:t xml:space="preserve">. </w:t>
      </w:r>
    </w:p>
    <w:p w14:paraId="3CE5A01C" w14:textId="77777777" w:rsidR="00473083" w:rsidRPr="006E0645" w:rsidRDefault="00473083" w:rsidP="004E3AB5"/>
    <w:p w14:paraId="5EE3E061" w14:textId="47C12B71" w:rsidR="00E922CC" w:rsidRPr="00A914C2" w:rsidRDefault="0028379D" w:rsidP="00703788">
      <w:pPr>
        <w:pStyle w:val="ListParagraph"/>
      </w:pPr>
      <w:r>
        <w:t>In addition,</w:t>
      </w:r>
      <w:r w:rsidR="005C3CF9">
        <w:t xml:space="preserve"> </w:t>
      </w:r>
      <w:r w:rsidR="00E07632">
        <w:t xml:space="preserve">Ireland </w:t>
      </w:r>
      <w:r w:rsidR="00027AFF">
        <w:t>has</w:t>
      </w:r>
      <w:r>
        <w:t xml:space="preserve"> already</w:t>
      </w:r>
      <w:r w:rsidR="00027AFF">
        <w:t xml:space="preserve"> </w:t>
      </w:r>
      <w:r w:rsidR="00E922CC" w:rsidRPr="008E6B55">
        <w:t xml:space="preserve">prohibited under-18s from marrying </w:t>
      </w:r>
      <w:r w:rsidR="006C7E88">
        <w:t>and where a person</w:t>
      </w:r>
      <w:r w:rsidR="006B0AC4">
        <w:t xml:space="preserve"> permits </w:t>
      </w:r>
      <w:r w:rsidR="000E2D36">
        <w:t xml:space="preserve">or is party to such </w:t>
      </w:r>
      <w:r w:rsidR="006B0AC4">
        <w:t xml:space="preserve">a </w:t>
      </w:r>
      <w:r w:rsidR="003D02BA">
        <w:t>marriage,</w:t>
      </w:r>
      <w:r w:rsidR="000E2D36">
        <w:t xml:space="preserve"> they </w:t>
      </w:r>
      <w:r w:rsidR="001A0F1F" w:rsidRPr="001A0F1F">
        <w:t>shall be guilty of an offence and shall be liable on summary conviction to a fine not exceeding £500.</w:t>
      </w:r>
      <w:r w:rsidR="001A0F1F">
        <w:rPr>
          <w:rStyle w:val="FootnoteReference"/>
        </w:rPr>
        <w:footnoteReference w:id="41"/>
      </w:r>
      <w:r w:rsidR="00385B58">
        <w:t xml:space="preserve"> </w:t>
      </w:r>
      <w:r w:rsidR="004E7096">
        <w:t xml:space="preserve">Therefore Ireland has a higher level of protection </w:t>
      </w:r>
      <w:r w:rsidR="001A3B0D">
        <w:t xml:space="preserve">for the rights of the child within its </w:t>
      </w:r>
      <w:r w:rsidR="00252900">
        <w:t xml:space="preserve">own </w:t>
      </w:r>
      <w:r w:rsidR="001A3B0D">
        <w:t xml:space="preserve">jurisdiction. However, in the event </w:t>
      </w:r>
      <w:r w:rsidR="007A43F0">
        <w:t>the Marriage and Civil Partnership (Minimum Age) Bill is enacted</w:t>
      </w:r>
      <w:r w:rsidR="005448B2">
        <w:t xml:space="preserve">, a child from Ireland could </w:t>
      </w:r>
      <w:r w:rsidR="00AF2424">
        <w:t xml:space="preserve">be </w:t>
      </w:r>
      <w:r w:rsidR="005448B2">
        <w:t>move</w:t>
      </w:r>
      <w:r w:rsidR="00AF2424">
        <w:t>d</w:t>
      </w:r>
      <w:r w:rsidR="005448B2">
        <w:t xml:space="preserve"> to </w:t>
      </w:r>
      <w:r w:rsidR="006D2C75">
        <w:t xml:space="preserve">NI to marry and have it legally recognised </w:t>
      </w:r>
      <w:r w:rsidR="00DF20CF">
        <w:t>across the UK</w:t>
      </w:r>
      <w:r w:rsidR="00BB69A4">
        <w:t xml:space="preserve">, despite the more progressive legislation of </w:t>
      </w:r>
      <w:r w:rsidR="00B97192">
        <w:t>the other jurisdictions</w:t>
      </w:r>
      <w:r w:rsidR="00703788">
        <w:t xml:space="preserve">. </w:t>
      </w:r>
      <w:r w:rsidR="00574263">
        <w:t xml:space="preserve">The NIHRC </w:t>
      </w:r>
      <w:r w:rsidR="00B97192">
        <w:t xml:space="preserve">highlights its </w:t>
      </w:r>
      <w:r w:rsidR="000C70BA">
        <w:t xml:space="preserve">concern </w:t>
      </w:r>
      <w:r w:rsidR="00A76377">
        <w:t xml:space="preserve">that </w:t>
      </w:r>
      <w:r w:rsidR="00E922CC" w:rsidRPr="008E6B55">
        <w:t xml:space="preserve">the number of </w:t>
      </w:r>
      <w:r w:rsidR="00C42C6E">
        <w:t>children</w:t>
      </w:r>
      <w:r w:rsidR="00E922CC" w:rsidRPr="008E6B55">
        <w:t xml:space="preserve"> coming </w:t>
      </w:r>
      <w:r w:rsidR="00C42C6E">
        <w:t xml:space="preserve">to NI </w:t>
      </w:r>
      <w:r w:rsidR="00E922CC" w:rsidRPr="008E6B55">
        <w:t xml:space="preserve">to </w:t>
      </w:r>
      <w:r w:rsidR="00703788">
        <w:t xml:space="preserve">marry </w:t>
      </w:r>
      <w:r w:rsidR="00A76377">
        <w:t>may</w:t>
      </w:r>
      <w:r w:rsidR="00E922CC" w:rsidRPr="008E6B55">
        <w:t xml:space="preserve"> increase</w:t>
      </w:r>
      <w:r w:rsidR="00C50B84">
        <w:t xml:space="preserve"> </w:t>
      </w:r>
      <w:r w:rsidR="00C50B84" w:rsidRPr="00027AFF">
        <w:t>to take advantage of the lesser degree of rights protection</w:t>
      </w:r>
      <w:r w:rsidR="00E922CC" w:rsidRPr="00027AFF">
        <w:t>.</w:t>
      </w:r>
      <w:r w:rsidR="00E922CC" w:rsidRPr="008E6B55">
        <w:t xml:space="preserve"> </w:t>
      </w:r>
    </w:p>
    <w:p w14:paraId="6723BFA1" w14:textId="77777777" w:rsidR="00BD5204" w:rsidRDefault="00BD5204" w:rsidP="00C43CD2">
      <w:pPr>
        <w:pStyle w:val="BasicParagraph"/>
        <w:suppressAutoHyphens/>
        <w:rPr>
          <w:rFonts w:ascii="Verdana" w:hAnsi="Verdana" w:cs="Arial"/>
          <w:b/>
          <w:color w:val="232120"/>
        </w:rPr>
      </w:pPr>
    </w:p>
    <w:p w14:paraId="617B6DE2" w14:textId="750A466F" w:rsidR="000330CD" w:rsidRPr="003F7013" w:rsidRDefault="0090051D" w:rsidP="003F7013">
      <w:pPr>
        <w:pStyle w:val="ListParagraph"/>
        <w:rPr>
          <w:rFonts w:ascii="Arial" w:hAnsi="Arial"/>
          <w:b/>
          <w:sz w:val="21"/>
          <w:szCs w:val="21"/>
          <w:shd w:val="clear" w:color="auto" w:fill="FFFFFF"/>
        </w:rPr>
      </w:pPr>
      <w:r w:rsidRPr="003F7013">
        <w:rPr>
          <w:b/>
        </w:rPr>
        <w:t xml:space="preserve">The NIHRC </w:t>
      </w:r>
      <w:r w:rsidR="007B6A82" w:rsidRPr="003F7013">
        <w:rPr>
          <w:b/>
        </w:rPr>
        <w:t>recommends</w:t>
      </w:r>
      <w:r w:rsidRPr="003F7013">
        <w:rPr>
          <w:b/>
        </w:rPr>
        <w:t xml:space="preserve"> </w:t>
      </w:r>
      <w:r w:rsidRPr="003F7013">
        <w:rPr>
          <w:b/>
          <w:shd w:val="clear" w:color="auto" w:fill="FFFFFF"/>
        </w:rPr>
        <w:t>that the Department of Finance introduce legislation to repeal all legal provisions permitting the marriage of children in NI and increase the minimum age for marriage to 18 years,</w:t>
      </w:r>
      <w:r w:rsidR="00760443">
        <w:rPr>
          <w:b/>
          <w:shd w:val="clear" w:color="auto" w:fill="FFFFFF"/>
        </w:rPr>
        <w:t xml:space="preserve"> </w:t>
      </w:r>
      <w:r w:rsidRPr="003F7013">
        <w:rPr>
          <w:b/>
          <w:shd w:val="clear" w:color="auto" w:fill="FFFFFF"/>
        </w:rPr>
        <w:t>for both girls and boys.</w:t>
      </w:r>
    </w:p>
    <w:p w14:paraId="539CEB0D" w14:textId="77777777" w:rsidR="00FB72C4" w:rsidRPr="00344E80" w:rsidRDefault="00FB72C4" w:rsidP="00C43CD2">
      <w:pPr>
        <w:pStyle w:val="BasicParagraph"/>
        <w:suppressAutoHyphens/>
        <w:rPr>
          <w:rFonts w:ascii="Verdana" w:hAnsi="Verdana" w:cs="Arial"/>
          <w:b/>
          <w:color w:val="auto"/>
        </w:rPr>
      </w:pPr>
    </w:p>
    <w:p w14:paraId="3FD08FD9" w14:textId="77777777" w:rsidR="004F1A9D" w:rsidRDefault="004F1A9D" w:rsidP="00C43CD2">
      <w:pPr>
        <w:pStyle w:val="BasicParagraph"/>
        <w:suppressAutoHyphens/>
        <w:rPr>
          <w:rFonts w:ascii="Verdana" w:hAnsi="Verdana" w:cs="Arial"/>
          <w:b/>
          <w:color w:val="232120"/>
        </w:rPr>
      </w:pPr>
      <w:r>
        <w:rPr>
          <w:rFonts w:ascii="Verdana" w:hAnsi="Verdana" w:cs="Arial"/>
          <w:b/>
          <w:color w:val="232120"/>
        </w:rPr>
        <w:t xml:space="preserve">Gender Impact </w:t>
      </w:r>
    </w:p>
    <w:p w14:paraId="3F2B4648" w14:textId="77777777" w:rsidR="004F1A9D" w:rsidRPr="00572C00" w:rsidRDefault="004F1A9D" w:rsidP="00C43CD2">
      <w:pPr>
        <w:pStyle w:val="BasicParagraph"/>
        <w:suppressAutoHyphens/>
        <w:rPr>
          <w:rFonts w:ascii="Verdana" w:hAnsi="Verdana" w:cs="Arial"/>
          <w:b/>
          <w:color w:val="auto"/>
        </w:rPr>
      </w:pPr>
    </w:p>
    <w:p w14:paraId="7A3418CF" w14:textId="02D31366" w:rsidR="00410753" w:rsidRPr="00572C00" w:rsidRDefault="00D27EF5" w:rsidP="003F7013">
      <w:pPr>
        <w:pStyle w:val="ListParagraph"/>
      </w:pPr>
      <w:r w:rsidRPr="00572C00">
        <w:t>As</w:t>
      </w:r>
      <w:r w:rsidR="00ED213C" w:rsidRPr="00572C00">
        <w:t xml:space="preserve"> </w:t>
      </w:r>
      <w:r w:rsidR="00A62190" w:rsidRPr="00572C00">
        <w:t>set out</w:t>
      </w:r>
      <w:r w:rsidR="00ED213C" w:rsidRPr="00572C00">
        <w:t xml:space="preserve"> in the</w:t>
      </w:r>
      <w:r w:rsidR="0008475D" w:rsidRPr="00572C00">
        <w:t xml:space="preserve"> </w:t>
      </w:r>
      <w:r w:rsidR="00916412" w:rsidRPr="00572C00">
        <w:t>consultation documentation</w:t>
      </w:r>
      <w:r w:rsidR="00ED213C" w:rsidRPr="00572C00">
        <w:t xml:space="preserve">, </w:t>
      </w:r>
      <w:r w:rsidR="000012A9" w:rsidRPr="00572C00">
        <w:t>a significant</w:t>
      </w:r>
      <w:r w:rsidR="00916412" w:rsidRPr="00572C00">
        <w:t xml:space="preserve"> majority of child marriages in NI i</w:t>
      </w:r>
      <w:r w:rsidR="00460DB5" w:rsidRPr="00572C00">
        <w:t>nvolve girls</w:t>
      </w:r>
      <w:r w:rsidR="00A107D3" w:rsidRPr="00572C00">
        <w:t xml:space="preserve">, although </w:t>
      </w:r>
      <w:r w:rsidR="00524C9B" w:rsidRPr="00572C00">
        <w:t xml:space="preserve">at times </w:t>
      </w:r>
      <w:r w:rsidR="00076B1C" w:rsidRPr="00572C00">
        <w:t>their spouses are also under 18.</w:t>
      </w:r>
      <w:r w:rsidR="00AB1F5A" w:rsidRPr="00572C00">
        <w:t xml:space="preserve"> </w:t>
      </w:r>
      <w:r w:rsidR="002251DB" w:rsidRPr="00572C00">
        <w:t>There</w:t>
      </w:r>
      <w:r w:rsidR="00687557" w:rsidRPr="00572C00">
        <w:t xml:space="preserve"> were 54 girls and 15 boys </w:t>
      </w:r>
      <w:r w:rsidR="001F126B" w:rsidRPr="00572C00">
        <w:t>(</w:t>
      </w:r>
      <w:r w:rsidR="00687557" w:rsidRPr="00572C00">
        <w:t>aged 16-17</w:t>
      </w:r>
      <w:r w:rsidR="001F126B" w:rsidRPr="00572C00">
        <w:t>)</w:t>
      </w:r>
      <w:r w:rsidR="00BC5F2F" w:rsidRPr="00572C00">
        <w:t xml:space="preserve"> married in 2019</w:t>
      </w:r>
      <w:r w:rsidR="00AB7895" w:rsidRPr="00572C00">
        <w:t xml:space="preserve">, and </w:t>
      </w:r>
      <w:r w:rsidR="00410753" w:rsidRPr="00572C00">
        <w:t>11</w:t>
      </w:r>
      <w:r w:rsidR="00097874" w:rsidRPr="00572C00">
        <w:t xml:space="preserve"> </w:t>
      </w:r>
      <w:r w:rsidR="00410753" w:rsidRPr="00572C00">
        <w:t xml:space="preserve">registered marriages where both </w:t>
      </w:r>
      <w:r w:rsidR="00AB7895" w:rsidRPr="00572C00">
        <w:t xml:space="preserve">the </w:t>
      </w:r>
      <w:r w:rsidR="00410753" w:rsidRPr="00572C00">
        <w:t xml:space="preserve">bride and groom were </w:t>
      </w:r>
      <w:r w:rsidR="00687557" w:rsidRPr="00572C00">
        <w:t xml:space="preserve">aged 16-17. </w:t>
      </w:r>
    </w:p>
    <w:p w14:paraId="3BA8C98A" w14:textId="77777777" w:rsidR="00410753" w:rsidRPr="00572C00" w:rsidRDefault="00410753" w:rsidP="00C43CD2">
      <w:pPr>
        <w:pStyle w:val="BasicParagraph"/>
        <w:suppressAutoHyphens/>
        <w:rPr>
          <w:rFonts w:ascii="Verdana" w:hAnsi="Verdana" w:cs="Arial"/>
          <w:bCs/>
          <w:color w:val="auto"/>
        </w:rPr>
      </w:pPr>
    </w:p>
    <w:p w14:paraId="55489537" w14:textId="0745D229" w:rsidR="004F1A9D" w:rsidRPr="00572C00" w:rsidRDefault="00C97B1D" w:rsidP="003F7013">
      <w:pPr>
        <w:pStyle w:val="ListParagraph"/>
      </w:pPr>
      <w:r w:rsidRPr="00572C00">
        <w:t>The UN CRC and UN CEDAW Committees have highlighted</w:t>
      </w:r>
      <w:r w:rsidR="003D7CAB" w:rsidRPr="00572C00">
        <w:t xml:space="preserve"> that child marriage often coincides with </w:t>
      </w:r>
      <w:r w:rsidR="000E73EB" w:rsidRPr="00572C00">
        <w:t>other</w:t>
      </w:r>
      <w:r w:rsidR="000B214A" w:rsidRPr="00572C00">
        <w:t xml:space="preserve"> </w:t>
      </w:r>
      <w:r w:rsidR="000E73EB" w:rsidRPr="00572C00">
        <w:t>rights violations</w:t>
      </w:r>
      <w:r w:rsidR="00C27833" w:rsidRPr="00572C00">
        <w:t xml:space="preserve"> and harmful consequences</w:t>
      </w:r>
      <w:r w:rsidR="00A1217A" w:rsidRPr="00572C00">
        <w:t xml:space="preserve"> </w:t>
      </w:r>
      <w:r w:rsidR="00B553ED" w:rsidRPr="00572C00">
        <w:t>disproportionality affecting</w:t>
      </w:r>
      <w:r w:rsidR="000E73EB" w:rsidRPr="00572C00">
        <w:t xml:space="preserve"> girls:</w:t>
      </w:r>
    </w:p>
    <w:p w14:paraId="5C912FE7" w14:textId="77777777" w:rsidR="001F68FF" w:rsidRDefault="001F68FF" w:rsidP="00C43CD2">
      <w:pPr>
        <w:pStyle w:val="BasicParagraph"/>
        <w:suppressAutoHyphens/>
      </w:pPr>
    </w:p>
    <w:p w14:paraId="48E7915A" w14:textId="38F06647" w:rsidR="004F1A9D" w:rsidRPr="005F1D54" w:rsidRDefault="008B7074" w:rsidP="00C43CD2">
      <w:pPr>
        <w:pStyle w:val="BasicParagraph"/>
        <w:suppressAutoHyphens/>
        <w:ind w:left="1440"/>
        <w:rPr>
          <w:rFonts w:ascii="Verdana" w:hAnsi="Verdana"/>
        </w:rPr>
      </w:pPr>
      <w:r>
        <w:rPr>
          <w:rFonts w:ascii="Verdana" w:hAnsi="Verdana"/>
        </w:rPr>
        <w:t>“</w:t>
      </w:r>
      <w:r w:rsidR="004F1A9D" w:rsidRPr="006D36F2">
        <w:rPr>
          <w:rFonts w:ascii="Verdana" w:hAnsi="Verdana"/>
        </w:rPr>
        <w:t xml:space="preserve">Child marriage is often accompanied by early and frequent pregnancy and childbirth, resulting in </w:t>
      </w:r>
      <w:proofErr w:type="gramStart"/>
      <w:r w:rsidR="004F1A9D" w:rsidRPr="006D36F2">
        <w:rPr>
          <w:rFonts w:ascii="Verdana" w:hAnsi="Verdana"/>
        </w:rPr>
        <w:t>higher than average</w:t>
      </w:r>
      <w:proofErr w:type="gramEnd"/>
      <w:r w:rsidR="004F1A9D" w:rsidRPr="006D36F2">
        <w:rPr>
          <w:rFonts w:ascii="Verdana" w:hAnsi="Verdana"/>
        </w:rPr>
        <w:t xml:space="preserve"> maternal morbidity and mortality rates. Pregnancy-related deaths are the leading cause of mortality for girls between 15 and 19 years of age, whether married or unmarried, around the world. Infant mortality among the children of very young mothers is higher (sometimes as much as two times higher) than among those of older mothers.</w:t>
      </w:r>
      <w:r w:rsidR="005F1D54">
        <w:rPr>
          <w:rFonts w:ascii="Verdana" w:hAnsi="Verdana"/>
        </w:rPr>
        <w:t xml:space="preserve"> </w:t>
      </w:r>
      <w:r w:rsidR="004F1A9D" w:rsidRPr="005F1D54">
        <w:rPr>
          <w:rFonts w:ascii="Verdana" w:hAnsi="Verdana"/>
        </w:rPr>
        <w:t xml:space="preserve">In cases of child and/or forced marriage, </w:t>
      </w:r>
      <w:proofErr w:type="gramStart"/>
      <w:r w:rsidR="004F1A9D" w:rsidRPr="005F1D54">
        <w:rPr>
          <w:rFonts w:ascii="Verdana" w:hAnsi="Verdana"/>
        </w:rPr>
        <w:t>in particular where</w:t>
      </w:r>
      <w:proofErr w:type="gramEnd"/>
      <w:r w:rsidR="004F1A9D" w:rsidRPr="005F1D54">
        <w:rPr>
          <w:rFonts w:ascii="Verdana" w:hAnsi="Verdana"/>
        </w:rPr>
        <w:t xml:space="preserve"> the husband is significantly older than the wife, and where girls have limited education, the girls generally have limited decision-making power in relation to their own lives. Child marriage also contributes to higher rates of school dropout, especially among girls, forced exclusion from school and an increased risk of domestic violence, in addition to limiting the enjoyment of the right to freedom of movement.</w:t>
      </w:r>
      <w:r>
        <w:rPr>
          <w:rFonts w:ascii="Verdana" w:hAnsi="Verdana"/>
        </w:rPr>
        <w:t>”</w:t>
      </w:r>
      <w:r w:rsidR="00C609C3">
        <w:rPr>
          <w:rStyle w:val="FootnoteReference"/>
          <w:rFonts w:ascii="Verdana" w:hAnsi="Verdana"/>
        </w:rPr>
        <w:footnoteReference w:id="42"/>
      </w:r>
    </w:p>
    <w:p w14:paraId="76BFFAC4" w14:textId="77777777" w:rsidR="00FB460B" w:rsidRDefault="00FB460B" w:rsidP="00C43CD2">
      <w:pPr>
        <w:pStyle w:val="BasicParagraph"/>
        <w:suppressAutoHyphens/>
        <w:rPr>
          <w:rFonts w:ascii="Verdana" w:hAnsi="Verdana" w:cs="Arial"/>
          <w:b/>
          <w:color w:val="232120"/>
        </w:rPr>
      </w:pPr>
    </w:p>
    <w:p w14:paraId="1441B24F" w14:textId="09836DD6" w:rsidR="002E011A" w:rsidRDefault="0029029C" w:rsidP="003F7013">
      <w:pPr>
        <w:pStyle w:val="ListParagraph"/>
      </w:pPr>
      <w:r>
        <w:t>The</w:t>
      </w:r>
      <w:r w:rsidR="00176B13">
        <w:t>se</w:t>
      </w:r>
      <w:r>
        <w:t xml:space="preserve"> extensive health and education related consequences</w:t>
      </w:r>
      <w:r w:rsidR="00176B13">
        <w:t xml:space="preserve"> can</w:t>
      </w:r>
      <w:r w:rsidR="00A467F4">
        <w:t xml:space="preserve"> </w:t>
      </w:r>
      <w:r w:rsidR="00176B13">
        <w:t xml:space="preserve">threaten </w:t>
      </w:r>
      <w:r w:rsidR="00A467F4">
        <w:t>the lives and futures of girls and women</w:t>
      </w:r>
      <w:r w:rsidR="00327754">
        <w:t>. W</w:t>
      </w:r>
      <w:r w:rsidR="00327754" w:rsidRPr="00093129">
        <w:t>ithout education, girls and women have fewer opportunities to financially provide for themselves and their families</w:t>
      </w:r>
      <w:r w:rsidR="00327754">
        <w:t>, impacting their personal</w:t>
      </w:r>
      <w:r w:rsidR="002F4825">
        <w:t>, social</w:t>
      </w:r>
      <w:r w:rsidR="0064089C">
        <w:t>,</w:t>
      </w:r>
      <w:r w:rsidR="002F4825">
        <w:t xml:space="preserve"> and</w:t>
      </w:r>
      <w:r w:rsidR="00327754">
        <w:t xml:space="preserve"> economic autonomy. </w:t>
      </w:r>
      <w:r w:rsidR="00245A96">
        <w:t>T</w:t>
      </w:r>
      <w:r w:rsidR="0064089C">
        <w:t xml:space="preserve">his reduced capacity to make decisions about </w:t>
      </w:r>
      <w:r w:rsidR="00766237">
        <w:t>their lives makes them</w:t>
      </w:r>
      <w:r w:rsidR="00CB5BFD">
        <w:t xml:space="preserve"> more</w:t>
      </w:r>
      <w:r w:rsidR="00766237">
        <w:t xml:space="preserve"> vulnerable to domestic violence</w:t>
      </w:r>
      <w:r w:rsidR="00B85661">
        <w:t xml:space="preserve"> and abuse</w:t>
      </w:r>
      <w:r w:rsidR="00CB5BFD">
        <w:t xml:space="preserve">. </w:t>
      </w:r>
    </w:p>
    <w:p w14:paraId="4D41D67A" w14:textId="77777777" w:rsidR="002E011A" w:rsidRDefault="002E011A" w:rsidP="00C43CD2">
      <w:pPr>
        <w:pStyle w:val="BasicParagraph"/>
        <w:suppressAutoHyphens/>
        <w:rPr>
          <w:rFonts w:ascii="Verdana" w:hAnsi="Verdana"/>
        </w:rPr>
      </w:pPr>
    </w:p>
    <w:p w14:paraId="3BC7EF20" w14:textId="32FE97D6" w:rsidR="003C4685" w:rsidRPr="00A47141" w:rsidRDefault="00132955" w:rsidP="003F7013">
      <w:pPr>
        <w:pStyle w:val="ListParagraph"/>
      </w:pPr>
      <w:r>
        <w:t xml:space="preserve">The </w:t>
      </w:r>
      <w:r w:rsidR="00877F5A">
        <w:t>NIHRC</w:t>
      </w:r>
      <w:r>
        <w:t xml:space="preserve"> </w:t>
      </w:r>
      <w:r w:rsidR="002E011A">
        <w:t xml:space="preserve">additionally </w:t>
      </w:r>
      <w:r>
        <w:t>highlights that</w:t>
      </w:r>
      <w:r w:rsidR="006348EB">
        <w:t xml:space="preserve">, </w:t>
      </w:r>
      <w:r w:rsidR="009552F9">
        <w:t xml:space="preserve">through </w:t>
      </w:r>
      <w:r w:rsidR="004F1A9D" w:rsidRPr="00A47141">
        <w:t xml:space="preserve">primary and secondary education </w:t>
      </w:r>
      <w:r w:rsidR="009552F9">
        <w:t xml:space="preserve">there is an opportunity to </w:t>
      </w:r>
      <w:r w:rsidR="004C48D3">
        <w:t>prepare</w:t>
      </w:r>
      <w:r w:rsidR="004F1A9D" w:rsidRPr="00A47141">
        <w:t xml:space="preserve"> women and girls to better claim their right to freedom from violence and increas</w:t>
      </w:r>
      <w:r w:rsidR="009552F9">
        <w:t>e</w:t>
      </w:r>
      <w:r w:rsidR="004F1A9D" w:rsidRPr="00A47141">
        <w:t xml:space="preserve"> their opportunities for effective participation in all spheres of life. </w:t>
      </w:r>
      <w:r w:rsidR="00A41222">
        <w:t>Education and p</w:t>
      </w:r>
      <w:r w:rsidR="00B572E5">
        <w:t xml:space="preserve">revention measures are discussed further below. </w:t>
      </w:r>
    </w:p>
    <w:p w14:paraId="48E74C43" w14:textId="77777777" w:rsidR="004F1A9D" w:rsidRPr="00A47141" w:rsidRDefault="004F1A9D" w:rsidP="00C43CD2">
      <w:pPr>
        <w:pStyle w:val="BasicParagraph"/>
        <w:suppressAutoHyphens/>
        <w:rPr>
          <w:rFonts w:ascii="Verdana" w:hAnsi="Verdana" w:cs="Arial"/>
          <w:b/>
          <w:color w:val="232120"/>
        </w:rPr>
      </w:pPr>
    </w:p>
    <w:p w14:paraId="6C65930F" w14:textId="77777777" w:rsidR="00586C86" w:rsidRDefault="00586C86" w:rsidP="00C43CD2">
      <w:pPr>
        <w:pStyle w:val="BasicParagraph"/>
        <w:suppressAutoHyphens/>
        <w:rPr>
          <w:rFonts w:ascii="Verdana" w:hAnsi="Verdana" w:cs="Arial"/>
          <w:b/>
          <w:color w:val="232120"/>
        </w:rPr>
      </w:pPr>
      <w:r>
        <w:rPr>
          <w:rFonts w:ascii="Verdana" w:hAnsi="Verdana" w:cs="Arial"/>
          <w:b/>
          <w:color w:val="232120"/>
        </w:rPr>
        <w:t>Forc</w:t>
      </w:r>
      <w:r w:rsidR="004130E4">
        <w:rPr>
          <w:rFonts w:ascii="Verdana" w:hAnsi="Verdana" w:cs="Arial"/>
          <w:b/>
          <w:color w:val="232120"/>
        </w:rPr>
        <w:t>e</w:t>
      </w:r>
      <w:r>
        <w:rPr>
          <w:rFonts w:ascii="Verdana" w:hAnsi="Verdana" w:cs="Arial"/>
          <w:b/>
          <w:color w:val="232120"/>
        </w:rPr>
        <w:t>d Marriage</w:t>
      </w:r>
    </w:p>
    <w:p w14:paraId="0FC795CC" w14:textId="77777777" w:rsidR="00E06D7D" w:rsidRDefault="00E06D7D" w:rsidP="00C43CD2">
      <w:pPr>
        <w:pStyle w:val="BasicParagraph"/>
        <w:suppressAutoHyphens/>
        <w:rPr>
          <w:rFonts w:ascii="Verdana" w:hAnsi="Verdana"/>
          <w:color w:val="auto"/>
        </w:rPr>
      </w:pPr>
    </w:p>
    <w:p w14:paraId="76CA6396" w14:textId="6AA5F066" w:rsidR="00E561FB" w:rsidRPr="001C4ACB" w:rsidRDefault="00C060EC" w:rsidP="003F7013">
      <w:pPr>
        <w:pStyle w:val="ListParagraph"/>
        <w:rPr>
          <w:shd w:val="clear" w:color="auto" w:fill="FFFFFF"/>
        </w:rPr>
      </w:pPr>
      <w:r w:rsidRPr="008708EB">
        <w:t xml:space="preserve">Article 19 of the UN </w:t>
      </w:r>
      <w:r>
        <w:t>CRC</w:t>
      </w:r>
      <w:r w:rsidRPr="008708EB">
        <w:t xml:space="preserve"> obliges </w:t>
      </w:r>
      <w:r>
        <w:t>S</w:t>
      </w:r>
      <w:r w:rsidRPr="008708EB">
        <w:t xml:space="preserve">tates to protect children from all forms of physical or mental violence. </w:t>
      </w:r>
      <w:r w:rsidR="00E06D7D">
        <w:rPr>
          <w:shd w:val="clear" w:color="auto" w:fill="FFFFFF"/>
        </w:rPr>
        <w:t xml:space="preserve">In </w:t>
      </w:r>
      <w:r w:rsidR="00E06D7D" w:rsidRPr="008708EB">
        <w:rPr>
          <w:shd w:val="clear" w:color="auto" w:fill="FFFFFF"/>
        </w:rPr>
        <w:t>Joint</w:t>
      </w:r>
      <w:r w:rsidR="00E06D7D">
        <w:rPr>
          <w:shd w:val="clear" w:color="auto" w:fill="FFFFFF"/>
        </w:rPr>
        <w:t xml:space="preserve"> </w:t>
      </w:r>
      <w:r w:rsidR="00E06D7D" w:rsidRPr="008708EB">
        <w:rPr>
          <w:shd w:val="clear" w:color="auto" w:fill="FFFFFF"/>
        </w:rPr>
        <w:t xml:space="preserve">General </w:t>
      </w:r>
      <w:r w:rsidR="00E06D7D">
        <w:rPr>
          <w:shd w:val="clear" w:color="auto" w:fill="FFFFFF"/>
        </w:rPr>
        <w:t xml:space="preserve">Recommendation No.31 and General Comment No.18, the UN CEDAW </w:t>
      </w:r>
      <w:r w:rsidR="00E06D7D" w:rsidRPr="008708EB">
        <w:rPr>
          <w:shd w:val="clear" w:color="auto" w:fill="FFFFFF"/>
        </w:rPr>
        <w:t xml:space="preserve">Committee </w:t>
      </w:r>
      <w:r w:rsidR="00E06D7D">
        <w:rPr>
          <w:shd w:val="clear" w:color="auto" w:fill="FFFFFF"/>
        </w:rPr>
        <w:t xml:space="preserve">and UN CRC Committee </w:t>
      </w:r>
      <w:r w:rsidR="00E06D7D" w:rsidRPr="008708EB">
        <w:rPr>
          <w:shd w:val="clear" w:color="auto" w:fill="FFFFFF"/>
        </w:rPr>
        <w:t>clarif</w:t>
      </w:r>
      <w:r w:rsidR="00E06D7D">
        <w:rPr>
          <w:shd w:val="clear" w:color="auto" w:fill="FFFFFF"/>
        </w:rPr>
        <w:t xml:space="preserve">y </w:t>
      </w:r>
      <w:r w:rsidR="00E06D7D" w:rsidRPr="008708EB">
        <w:rPr>
          <w:shd w:val="clear" w:color="auto" w:fill="FFFFFF"/>
        </w:rPr>
        <w:t>that “child marriage is considered to be a form of forced marriage, given that one or both parties have not expressed full, free and informed consent”</w:t>
      </w:r>
      <w:r w:rsidR="00E06D7D">
        <w:rPr>
          <w:shd w:val="clear" w:color="auto" w:fill="FFFFFF"/>
        </w:rPr>
        <w:t>.</w:t>
      </w:r>
      <w:r w:rsidR="00E06D7D">
        <w:rPr>
          <w:rStyle w:val="FootnoteReference"/>
          <w:shd w:val="clear" w:color="auto" w:fill="FFFFFF"/>
        </w:rPr>
        <w:footnoteReference w:id="43"/>
      </w:r>
      <w:r w:rsidR="001C4ACB">
        <w:rPr>
          <w:shd w:val="clear" w:color="auto" w:fill="FFFFFF"/>
        </w:rPr>
        <w:t xml:space="preserve"> </w:t>
      </w:r>
      <w:r w:rsidR="00E561FB" w:rsidRPr="008708EB">
        <w:t>The Committee noted that given their specific vulnerability to maltreatment</w:t>
      </w:r>
      <w:r w:rsidR="00027AFF">
        <w:t>,</w:t>
      </w:r>
      <w:r w:rsidR="00E561FB" w:rsidRPr="008708EB">
        <w:t xml:space="preserve"> the obligation to protect a child from all forms of violence should continue to apply when children under the age of 18 attain majority or emancipation through early marriage and/or forced marriage.</w:t>
      </w:r>
      <w:r w:rsidR="0046665F">
        <w:rPr>
          <w:rStyle w:val="FootnoteReference"/>
        </w:rPr>
        <w:footnoteReference w:id="44"/>
      </w:r>
    </w:p>
    <w:p w14:paraId="4D5B5F56" w14:textId="77777777" w:rsidR="00FC3006" w:rsidRDefault="00FC3006" w:rsidP="00C43CD2">
      <w:pPr>
        <w:pStyle w:val="BasicParagraph"/>
        <w:suppressAutoHyphens/>
        <w:rPr>
          <w:rFonts w:ascii="Verdana" w:hAnsi="Verdana" w:cs="Arial"/>
          <w:b/>
          <w:color w:val="232120"/>
        </w:rPr>
      </w:pPr>
    </w:p>
    <w:p w14:paraId="45654B2C" w14:textId="3DBA6F77" w:rsidR="00981844" w:rsidRPr="002A5E5D" w:rsidRDefault="00981844" w:rsidP="003F7013">
      <w:pPr>
        <w:pStyle w:val="ListParagraph"/>
      </w:pPr>
      <w:r w:rsidRPr="002A5E5D">
        <w:t xml:space="preserve">The </w:t>
      </w:r>
      <w:proofErr w:type="spellStart"/>
      <w:r w:rsidR="00C75C02" w:rsidRPr="002A5E5D">
        <w:t>CoE</w:t>
      </w:r>
      <w:proofErr w:type="spellEnd"/>
      <w:r w:rsidRPr="002A5E5D">
        <w:t xml:space="preserve"> Convention on preventing and combating violence against women and domestic violence (Istanbul Convention) provides a legal framework at pan-European level to protect women</w:t>
      </w:r>
      <w:r w:rsidR="00586C86" w:rsidRPr="002A5E5D">
        <w:t xml:space="preserve"> and girls</w:t>
      </w:r>
      <w:r w:rsidRPr="002A5E5D">
        <w:t xml:space="preserve"> against all forms of violence, and prevent, prosecute</w:t>
      </w:r>
      <w:r w:rsidR="00586C86" w:rsidRPr="002A5E5D">
        <w:t xml:space="preserve">, </w:t>
      </w:r>
      <w:r w:rsidRPr="002A5E5D">
        <w:t>and eliminate violence against women</w:t>
      </w:r>
      <w:r w:rsidR="00586C86" w:rsidRPr="002A5E5D">
        <w:t xml:space="preserve"> and girls</w:t>
      </w:r>
      <w:r w:rsidRPr="002A5E5D">
        <w:t>. The UK Government has made it clear that it intends to ratify the Istanbul Convention and is currently in the process of addressing existing areas of non-compliance.</w:t>
      </w:r>
      <w:r w:rsidRPr="002A5E5D">
        <w:rPr>
          <w:rStyle w:val="FootnoteReference"/>
        </w:rPr>
        <w:footnoteReference w:id="45"/>
      </w:r>
    </w:p>
    <w:p w14:paraId="5A01A429" w14:textId="77777777" w:rsidR="00981844" w:rsidRPr="002A5E5D" w:rsidRDefault="00981844" w:rsidP="00C43CD2">
      <w:pPr>
        <w:pStyle w:val="BasicParagraph"/>
        <w:suppressAutoHyphens/>
        <w:rPr>
          <w:rFonts w:ascii="Verdana" w:hAnsi="Verdana" w:cs="Arial"/>
          <w:b/>
          <w:color w:val="auto"/>
        </w:rPr>
      </w:pPr>
    </w:p>
    <w:p w14:paraId="0C03962F" w14:textId="5F231F00" w:rsidR="00586C86" w:rsidRDefault="007230DD" w:rsidP="003F7013">
      <w:pPr>
        <w:pStyle w:val="ListParagraph"/>
      </w:pPr>
      <w:r w:rsidRPr="002A5E5D">
        <w:t>The Istanbul Convention considers forced marriage as a serious form of violence to which women and girls are exposed</w:t>
      </w:r>
      <w:r w:rsidR="00C1346B" w:rsidRPr="002A5E5D">
        <w:t xml:space="preserve">. The Convention </w:t>
      </w:r>
      <w:r w:rsidR="00057252" w:rsidRPr="002A5E5D">
        <w:t>promotes</w:t>
      </w:r>
      <w:r w:rsidR="00586C86" w:rsidRPr="002A5E5D">
        <w:t xml:space="preserve"> </w:t>
      </w:r>
      <w:r w:rsidRPr="002A5E5D">
        <w:t xml:space="preserve">the criminalisation of </w:t>
      </w:r>
      <w:r w:rsidR="00586C86" w:rsidRPr="002A5E5D">
        <w:t xml:space="preserve">forcing a child, boy or girl, to </w:t>
      </w:r>
      <w:proofErr w:type="gramStart"/>
      <w:r w:rsidR="00586C86" w:rsidRPr="002A5E5D">
        <w:t>enter into</w:t>
      </w:r>
      <w:proofErr w:type="gramEnd"/>
      <w:r w:rsidR="00586C86" w:rsidRPr="002A5E5D">
        <w:t xml:space="preserve"> a marriage, as well as luring a child to another country with the intention of marrying the child, against his or her will.</w:t>
      </w:r>
      <w:r w:rsidR="00BA2F36" w:rsidRPr="002A5E5D">
        <w:rPr>
          <w:rStyle w:val="FootnoteReference"/>
        </w:rPr>
        <w:footnoteReference w:id="46"/>
      </w:r>
    </w:p>
    <w:p w14:paraId="73281D82" w14:textId="77777777" w:rsidR="00CB2C80" w:rsidRPr="002A5E5D" w:rsidRDefault="00CB2C80" w:rsidP="00C43CD2">
      <w:pPr>
        <w:pStyle w:val="BasicParagraph"/>
        <w:suppressAutoHyphens/>
        <w:ind w:left="720" w:hanging="720"/>
        <w:rPr>
          <w:rFonts w:ascii="Verdana" w:hAnsi="Verdana" w:cs="Arial"/>
          <w:bCs/>
          <w:color w:val="auto"/>
        </w:rPr>
      </w:pPr>
    </w:p>
    <w:p w14:paraId="6BA48EA9" w14:textId="7EE54329" w:rsidR="00CB2C80" w:rsidRPr="005025F2" w:rsidRDefault="00CB2C80" w:rsidP="00C43CD2">
      <w:pPr>
        <w:pStyle w:val="ListParagraph"/>
        <w:jc w:val="left"/>
      </w:pPr>
      <w:r w:rsidRPr="005025F2">
        <w:t xml:space="preserve">Protocol Article 2 requires the UK Government and the NI Executive to ensure that no diminution of rights, safeguards and equality of opportunities contained in the relevant part of the Belfast (Good Friday) Agreement 1998 occurs </w:t>
      </w:r>
      <w:proofErr w:type="gramStart"/>
      <w:r w:rsidRPr="005025F2">
        <w:t>as a result of</w:t>
      </w:r>
      <w:proofErr w:type="gramEnd"/>
      <w:r w:rsidRPr="005025F2">
        <w:t xml:space="preserve"> the UK’s withdrawal from the EU.</w:t>
      </w:r>
      <w:r w:rsidR="00646634" w:rsidRPr="005025F2">
        <w:t xml:space="preserve">  This includes an obligation </w:t>
      </w:r>
      <w:r w:rsidRPr="005025F2">
        <w:t xml:space="preserve">to “keep pace” with any changes made by the </w:t>
      </w:r>
      <w:r w:rsidR="00646634" w:rsidRPr="005025F2">
        <w:t xml:space="preserve">six </w:t>
      </w:r>
      <w:r w:rsidRPr="005025F2">
        <w:t xml:space="preserve">Annex 1 </w:t>
      </w:r>
      <w:r w:rsidR="00646634" w:rsidRPr="005025F2">
        <w:t xml:space="preserve">Equality Directives </w:t>
      </w:r>
      <w:r w:rsidRPr="005025F2">
        <w:t>which improve the minimum levels of protection available, after 1 January 2021.</w:t>
      </w:r>
      <w:r w:rsidRPr="005025F2">
        <w:rPr>
          <w:vertAlign w:val="superscript"/>
        </w:rPr>
        <w:footnoteReference w:id="47"/>
      </w:r>
    </w:p>
    <w:p w14:paraId="2301E63A" w14:textId="77777777" w:rsidR="00CB2C80" w:rsidRPr="005025F2" w:rsidRDefault="00CB2C80" w:rsidP="00C43CD2">
      <w:pPr>
        <w:pStyle w:val="ListParagraph"/>
        <w:numPr>
          <w:ilvl w:val="0"/>
          <w:numId w:val="0"/>
        </w:numPr>
        <w:ind w:left="720"/>
        <w:jc w:val="left"/>
      </w:pPr>
    </w:p>
    <w:p w14:paraId="1AEA0A3A" w14:textId="0E542AFA" w:rsidR="00CB2C80" w:rsidRPr="005025F2" w:rsidRDefault="00CB2C80" w:rsidP="00C43CD2">
      <w:pPr>
        <w:pStyle w:val="ListParagraph"/>
        <w:jc w:val="left"/>
      </w:pPr>
      <w:r w:rsidRPr="005025F2">
        <w:t xml:space="preserve">For other EU obligations which underpin the rights, </w:t>
      </w:r>
      <w:proofErr w:type="gramStart"/>
      <w:r w:rsidRPr="005025F2">
        <w:t>safeguards</w:t>
      </w:r>
      <w:proofErr w:type="gramEnd"/>
      <w:r w:rsidRPr="005025F2">
        <w:t xml:space="preserve"> and equality of opportunity in Article 2, the </w:t>
      </w:r>
      <w:r w:rsidR="00646634" w:rsidRPr="005025F2">
        <w:t xml:space="preserve">UK Government </w:t>
      </w:r>
      <w:r w:rsidRPr="005025F2">
        <w:t>commitment to ensure ‘no diminution’ is measured by the relevant EU standards on 31 December 2020.</w:t>
      </w:r>
      <w:r w:rsidRPr="005025F2">
        <w:rPr>
          <w:vertAlign w:val="superscript"/>
        </w:rPr>
        <w:footnoteReference w:id="48"/>
      </w:r>
    </w:p>
    <w:p w14:paraId="1F970DAB" w14:textId="77777777" w:rsidR="00CB2C80" w:rsidRPr="005025F2" w:rsidRDefault="00CB2C80" w:rsidP="00C43CD2">
      <w:pPr>
        <w:pStyle w:val="BasicParagraph"/>
        <w:suppressAutoHyphens/>
        <w:ind w:left="720" w:hanging="720"/>
        <w:rPr>
          <w:rFonts w:ascii="Verdana" w:hAnsi="Verdana" w:cs="Arial"/>
          <w:color w:val="auto"/>
        </w:rPr>
      </w:pPr>
    </w:p>
    <w:p w14:paraId="00F40E40" w14:textId="0F40EC46" w:rsidR="00CB2C80" w:rsidRPr="005025F2" w:rsidRDefault="00CB2C80" w:rsidP="00C43CD2">
      <w:pPr>
        <w:pStyle w:val="ListParagraph"/>
        <w:jc w:val="left"/>
      </w:pPr>
      <w:r w:rsidRPr="005025F2">
        <w:t xml:space="preserve">The </w:t>
      </w:r>
      <w:r w:rsidR="00646634" w:rsidRPr="005025F2">
        <w:t xml:space="preserve">rights, safeguards and equality of opportunity in the relevant part of </w:t>
      </w:r>
      <w:proofErr w:type="gramStart"/>
      <w:r w:rsidR="00646634" w:rsidRPr="005025F2">
        <w:t xml:space="preserve">the </w:t>
      </w:r>
      <w:r w:rsidRPr="005025F2">
        <w:t xml:space="preserve"> Belfast</w:t>
      </w:r>
      <w:proofErr w:type="gramEnd"/>
      <w:r w:rsidRPr="005025F2">
        <w:t xml:space="preserve"> (Good Friday) Agreement include “the rights of victims to remember as well as to contribute to a changed society”.</w:t>
      </w:r>
      <w:r w:rsidRPr="005025F2">
        <w:rPr>
          <w:vertAlign w:val="superscript"/>
        </w:rPr>
        <w:footnoteReference w:id="49"/>
      </w:r>
      <w:r w:rsidRPr="005025F2">
        <w:t xml:space="preserve"> The UK Government has recognised a non-exhaustive list of relevant measures which fall within scope of the commitment in Protocol Article 2, which include the Victim’s Directive.</w:t>
      </w:r>
      <w:r w:rsidRPr="005025F2">
        <w:rPr>
          <w:vertAlign w:val="superscript"/>
        </w:rPr>
        <w:footnoteReference w:id="50"/>
      </w:r>
      <w:r w:rsidRPr="005025F2">
        <w:t xml:space="preserve">  </w:t>
      </w:r>
    </w:p>
    <w:p w14:paraId="48B4F021" w14:textId="77777777" w:rsidR="00646634" w:rsidRPr="005025F2" w:rsidRDefault="00646634" w:rsidP="00C43CD2"/>
    <w:p w14:paraId="00A54206" w14:textId="2A56496A" w:rsidR="00C03962" w:rsidRPr="005025F2" w:rsidRDefault="00CB2C80" w:rsidP="00C43CD2">
      <w:pPr>
        <w:pStyle w:val="ListParagraph"/>
        <w:jc w:val="left"/>
        <w:rPr>
          <w:shd w:val="clear" w:color="auto" w:fill="FFFFFF"/>
        </w:rPr>
      </w:pPr>
      <w:r w:rsidRPr="005025F2">
        <w:t>The Victim’s Directive recognises forced marriage as a form of gender-based violence.</w:t>
      </w:r>
      <w:r w:rsidRPr="005025F2">
        <w:rPr>
          <w:rStyle w:val="FootnoteReference"/>
        </w:rPr>
        <w:footnoteReference w:id="51"/>
      </w:r>
      <w:r w:rsidRPr="005025F2">
        <w:t xml:space="preserve"> Therefore, </w:t>
      </w:r>
      <w:r w:rsidR="00954D1B" w:rsidRPr="005025F2">
        <w:t xml:space="preserve">while no breach of Protocol Article 2 has been identified, </w:t>
      </w:r>
      <w:r w:rsidRPr="005025F2">
        <w:t>the NIHRC considers that provisions on marriage law engage Protocol Article 2. Any subsequent legislation or policy that may result from this consultation process must consider Protocol Article 2 throughout its development and implementation.</w:t>
      </w:r>
    </w:p>
    <w:p w14:paraId="4A85E621" w14:textId="77777777" w:rsidR="004B2834" w:rsidRPr="005025F2" w:rsidRDefault="004B2834" w:rsidP="00C43CD2">
      <w:pPr>
        <w:pStyle w:val="ListParagraph"/>
        <w:numPr>
          <w:ilvl w:val="0"/>
          <w:numId w:val="0"/>
        </w:numPr>
        <w:ind w:left="720"/>
        <w:jc w:val="left"/>
        <w:rPr>
          <w:shd w:val="clear" w:color="auto" w:fill="FFFFFF"/>
        </w:rPr>
      </w:pPr>
    </w:p>
    <w:p w14:paraId="18F3580F" w14:textId="131C07BF" w:rsidR="004B2834" w:rsidRPr="005025F2" w:rsidRDefault="004B2834" w:rsidP="00C43CD2">
      <w:pPr>
        <w:pStyle w:val="ListParagraph"/>
        <w:jc w:val="left"/>
        <w:rPr>
          <w:b/>
          <w:shd w:val="clear" w:color="auto" w:fill="FFFFFF"/>
        </w:rPr>
      </w:pPr>
      <w:bookmarkStart w:id="0" w:name="_Hlk94521834"/>
      <w:r w:rsidRPr="005025F2">
        <w:rPr>
          <w:b/>
          <w:shd w:val="clear" w:color="auto" w:fill="FFFFFF"/>
        </w:rPr>
        <w:t xml:space="preserve">The NIHRC </w:t>
      </w:r>
      <w:r w:rsidR="006E6B3B" w:rsidRPr="005025F2">
        <w:rPr>
          <w:b/>
          <w:shd w:val="clear" w:color="auto" w:fill="FFFFFF"/>
        </w:rPr>
        <w:t>advises</w:t>
      </w:r>
      <w:r w:rsidRPr="005025F2">
        <w:rPr>
          <w:b/>
          <w:shd w:val="clear" w:color="auto" w:fill="FFFFFF"/>
        </w:rPr>
        <w:t xml:space="preserve"> </w:t>
      </w:r>
      <w:r w:rsidR="00C70512" w:rsidRPr="005025F2">
        <w:rPr>
          <w:b/>
          <w:shd w:val="clear" w:color="auto" w:fill="FFFFFF"/>
        </w:rPr>
        <w:t xml:space="preserve">that the Department of Finance </w:t>
      </w:r>
      <w:r w:rsidR="006E6B3B" w:rsidRPr="005025F2">
        <w:rPr>
          <w:b/>
          <w:shd w:val="clear" w:color="auto" w:fill="FFFFFF"/>
        </w:rPr>
        <w:t>is required to screen all legislation</w:t>
      </w:r>
      <w:r w:rsidR="00C70512" w:rsidRPr="005025F2">
        <w:rPr>
          <w:b/>
          <w:shd w:val="clear" w:color="auto" w:fill="FFFFFF"/>
        </w:rPr>
        <w:t xml:space="preserve"> for compliance with Protocol Article 2.</w:t>
      </w:r>
    </w:p>
    <w:p w14:paraId="5B758EB3" w14:textId="77777777" w:rsidR="00C70512" w:rsidRPr="005025F2" w:rsidRDefault="00C70512" w:rsidP="00C43CD2">
      <w:pPr>
        <w:pStyle w:val="ListParagraph"/>
        <w:numPr>
          <w:ilvl w:val="0"/>
          <w:numId w:val="0"/>
        </w:numPr>
        <w:ind w:left="720"/>
        <w:jc w:val="left"/>
        <w:rPr>
          <w:b/>
          <w:shd w:val="clear" w:color="auto" w:fill="FFFFFF"/>
        </w:rPr>
      </w:pPr>
    </w:p>
    <w:p w14:paraId="53B1601E" w14:textId="35974872" w:rsidR="006E6B3B" w:rsidRPr="005025F2" w:rsidRDefault="006E6B3B" w:rsidP="00C43CD2">
      <w:pPr>
        <w:pStyle w:val="ListParagraph"/>
        <w:jc w:val="left"/>
        <w:rPr>
          <w:b/>
          <w:shd w:val="clear" w:color="auto" w:fill="FFFFFF"/>
        </w:rPr>
      </w:pPr>
      <w:r w:rsidRPr="005025F2">
        <w:rPr>
          <w:b/>
          <w:shd w:val="clear" w:color="auto" w:fill="FFFFFF"/>
        </w:rPr>
        <w:t>The NIHRC recommends that the Department of Finance ensure that Protocol Article 2 is considered throughout the development and implementation of any subsequent legislation</w:t>
      </w:r>
      <w:r w:rsidR="00C9550D" w:rsidRPr="005025F2">
        <w:rPr>
          <w:b/>
          <w:shd w:val="clear" w:color="auto" w:fill="FFFFFF"/>
        </w:rPr>
        <w:t xml:space="preserve"> or policy in relation to Marriage Law</w:t>
      </w:r>
      <w:r w:rsidRPr="005025F2">
        <w:rPr>
          <w:b/>
          <w:shd w:val="clear" w:color="auto" w:fill="FFFFFF"/>
        </w:rPr>
        <w:t>.</w:t>
      </w:r>
    </w:p>
    <w:bookmarkEnd w:id="0"/>
    <w:p w14:paraId="0F9A2605" w14:textId="77777777" w:rsidR="006E6B3B" w:rsidRDefault="006E6B3B" w:rsidP="00C43CD2">
      <w:pPr>
        <w:pStyle w:val="ListParagraph"/>
        <w:numPr>
          <w:ilvl w:val="0"/>
          <w:numId w:val="0"/>
        </w:numPr>
        <w:ind w:left="720"/>
        <w:jc w:val="left"/>
      </w:pPr>
    </w:p>
    <w:p w14:paraId="4C3691F1" w14:textId="77777777" w:rsidR="006E6B3B" w:rsidRPr="006E6B3B" w:rsidRDefault="00677CBA" w:rsidP="00C43CD2">
      <w:pPr>
        <w:pStyle w:val="ListParagraph"/>
        <w:jc w:val="left"/>
        <w:rPr>
          <w:b/>
          <w:color w:val="FF0000"/>
          <w:shd w:val="clear" w:color="auto" w:fill="FFFFFF"/>
        </w:rPr>
      </w:pPr>
      <w:r w:rsidRPr="006E6B3B">
        <w:t xml:space="preserve">While forced marriage </w:t>
      </w:r>
      <w:r w:rsidR="0084199E" w:rsidRPr="006E6B3B">
        <w:t xml:space="preserve">has been criminalised </w:t>
      </w:r>
      <w:r w:rsidR="00016C9A" w:rsidRPr="006E6B3B">
        <w:t>across the UK</w:t>
      </w:r>
      <w:r w:rsidR="005E70A9" w:rsidRPr="006E6B3B">
        <w:t xml:space="preserve"> including NI</w:t>
      </w:r>
      <w:r w:rsidR="0084199E" w:rsidRPr="006E6B3B">
        <w:t xml:space="preserve">, the </w:t>
      </w:r>
      <w:r w:rsidR="00877F5A" w:rsidRPr="006E6B3B">
        <w:t>NIHRC</w:t>
      </w:r>
      <w:r w:rsidR="0084199E" w:rsidRPr="006E6B3B">
        <w:t xml:space="preserve"> </w:t>
      </w:r>
      <w:r w:rsidR="00F850B2" w:rsidRPr="006E6B3B">
        <w:t>notes</w:t>
      </w:r>
      <w:r w:rsidR="0084199E" w:rsidRPr="006E6B3B">
        <w:t xml:space="preserve"> that </w:t>
      </w:r>
      <w:r w:rsidR="0058766A" w:rsidRPr="006E6B3B">
        <w:t xml:space="preserve">legislation which permits the marriage of a child with the consent of their parents or legal guardians </w:t>
      </w:r>
      <w:r w:rsidR="005C60A4" w:rsidRPr="006E6B3B">
        <w:t>can be used to coerce children into</w:t>
      </w:r>
      <w:r w:rsidR="00AC0DB6" w:rsidRPr="006E6B3B">
        <w:t xml:space="preserve"> early</w:t>
      </w:r>
      <w:r w:rsidR="005C60A4" w:rsidRPr="006E6B3B">
        <w:t xml:space="preserve"> marriages.</w:t>
      </w:r>
      <w:r w:rsidR="00703F92" w:rsidRPr="002A5E5D">
        <w:rPr>
          <w:rStyle w:val="FootnoteReference"/>
        </w:rPr>
        <w:footnoteReference w:id="52"/>
      </w:r>
      <w:r w:rsidR="00703F92" w:rsidRPr="006E6B3B">
        <w:t xml:space="preserve"> This would require the child to secure their own protection by speaking out against their own family or community, putting them in a difficult </w:t>
      </w:r>
      <w:r w:rsidR="00C74C8B" w:rsidRPr="006E6B3B">
        <w:t>and/or</w:t>
      </w:r>
      <w:r w:rsidR="00703F92" w:rsidRPr="006E6B3B">
        <w:t xml:space="preserve"> dangerous position.</w:t>
      </w:r>
      <w:r w:rsidR="00592E91" w:rsidRPr="006E6B3B">
        <w:t xml:space="preserve"> The </w:t>
      </w:r>
      <w:r w:rsidR="00877F5A" w:rsidRPr="006E6B3B">
        <w:t>NIHRC</w:t>
      </w:r>
      <w:r w:rsidR="00592E91" w:rsidRPr="006E6B3B">
        <w:t xml:space="preserve"> </w:t>
      </w:r>
      <w:r w:rsidR="002607B0" w:rsidRPr="006E6B3B">
        <w:t>therefore notes with caution</w:t>
      </w:r>
      <w:r w:rsidR="00592E91" w:rsidRPr="006E6B3B">
        <w:t xml:space="preserve"> </w:t>
      </w:r>
      <w:r w:rsidR="002607B0" w:rsidRPr="006E6B3B">
        <w:t>the</w:t>
      </w:r>
      <w:r w:rsidR="00592E91" w:rsidRPr="006E6B3B">
        <w:t xml:space="preserve"> reliance on </w:t>
      </w:r>
      <w:r w:rsidR="00357FD0" w:rsidRPr="006E6B3B">
        <w:t>there being “no evidence that any [NI] marriages involving under-18s were forced marriages”</w:t>
      </w:r>
      <w:r w:rsidR="00B716DD" w:rsidRPr="002A5E5D">
        <w:rPr>
          <w:rStyle w:val="FootnoteReference"/>
        </w:rPr>
        <w:footnoteReference w:id="53"/>
      </w:r>
      <w:r w:rsidR="005C5ECB" w:rsidRPr="006E6B3B">
        <w:t xml:space="preserve"> in the context of the current consultation</w:t>
      </w:r>
      <w:r w:rsidR="00B9676D" w:rsidRPr="006E6B3B">
        <w:t>.</w:t>
      </w:r>
      <w:r w:rsidR="00E34E1B" w:rsidRPr="006E6B3B">
        <w:t xml:space="preserve"> </w:t>
      </w:r>
    </w:p>
    <w:p w14:paraId="61090D20" w14:textId="77777777" w:rsidR="006E6B3B" w:rsidRDefault="006E6B3B" w:rsidP="00C43CD2">
      <w:pPr>
        <w:pStyle w:val="ListParagraph"/>
        <w:numPr>
          <w:ilvl w:val="0"/>
          <w:numId w:val="0"/>
        </w:numPr>
        <w:ind w:left="720"/>
        <w:jc w:val="left"/>
      </w:pPr>
    </w:p>
    <w:p w14:paraId="5AC11696" w14:textId="77777777" w:rsidR="006E6B3B" w:rsidRDefault="004A3837" w:rsidP="00C43CD2">
      <w:pPr>
        <w:pStyle w:val="ListParagraph"/>
        <w:jc w:val="left"/>
      </w:pPr>
      <w:r w:rsidRPr="006E6B3B">
        <w:t xml:space="preserve">Given that the UN CRC Committee and the UN CEDAW consider all child marriage a form of forced marriage, the NIHRC </w:t>
      </w:r>
      <w:r w:rsidR="001B5741" w:rsidRPr="006E6B3B">
        <w:t xml:space="preserve">highlights the </w:t>
      </w:r>
      <w:r w:rsidR="006876DD" w:rsidRPr="006E6B3B">
        <w:t xml:space="preserve">importance of </w:t>
      </w:r>
      <w:r w:rsidR="00F94A2E" w:rsidRPr="006E6B3B">
        <w:t xml:space="preserve">building a robust body of context-specific knowledge and data on </w:t>
      </w:r>
      <w:r w:rsidR="00C73BB5" w:rsidRPr="006E6B3B">
        <w:t xml:space="preserve">the factors leading to child marriage, the decision-making process by families pursuing child marriage, and </w:t>
      </w:r>
      <w:r w:rsidR="00D236C0" w:rsidRPr="006E6B3B">
        <w:t>what are the main health or</w:t>
      </w:r>
      <w:r w:rsidR="006E6B3B">
        <w:t xml:space="preserve"> education related consequences.</w:t>
      </w:r>
    </w:p>
    <w:p w14:paraId="62D8BB37" w14:textId="77777777" w:rsidR="006E6B3B" w:rsidRDefault="006E6B3B" w:rsidP="00C43CD2">
      <w:pPr>
        <w:pStyle w:val="ListParagraph"/>
        <w:numPr>
          <w:ilvl w:val="0"/>
          <w:numId w:val="0"/>
        </w:numPr>
        <w:ind w:left="720"/>
        <w:jc w:val="left"/>
      </w:pPr>
    </w:p>
    <w:p w14:paraId="04DC101C" w14:textId="77777777" w:rsidR="006E6B3B" w:rsidRDefault="00EE5917" w:rsidP="00C43CD2">
      <w:pPr>
        <w:pStyle w:val="ListParagraph"/>
        <w:jc w:val="left"/>
      </w:pPr>
      <w:r w:rsidRPr="006E6B3B">
        <w:t>In December 20</w:t>
      </w:r>
      <w:r w:rsidR="00EE008F" w:rsidRPr="006E6B3B">
        <w:t>20</w:t>
      </w:r>
      <w:r w:rsidRPr="006E6B3B">
        <w:t>, the UN General Assembly passed a resolution that highlighted the:</w:t>
      </w:r>
      <w:r w:rsidR="006E6B3B" w:rsidRPr="006E6B3B">
        <w:t xml:space="preserve"> </w:t>
      </w:r>
    </w:p>
    <w:p w14:paraId="6E91D1C0" w14:textId="77777777" w:rsidR="006E6B3B" w:rsidRDefault="006E6B3B" w:rsidP="00C43CD2">
      <w:pPr>
        <w:pStyle w:val="ListParagraph"/>
        <w:numPr>
          <w:ilvl w:val="0"/>
          <w:numId w:val="0"/>
        </w:numPr>
        <w:ind w:left="720"/>
        <w:jc w:val="left"/>
      </w:pPr>
    </w:p>
    <w:p w14:paraId="0435D857" w14:textId="252E861F" w:rsidR="006E6B3B" w:rsidRPr="006E6B3B" w:rsidRDefault="006E6B3B" w:rsidP="00C43CD2">
      <w:pPr>
        <w:pStyle w:val="ListParagraph"/>
        <w:numPr>
          <w:ilvl w:val="0"/>
          <w:numId w:val="0"/>
        </w:numPr>
        <w:ind w:left="1440"/>
        <w:jc w:val="left"/>
      </w:pPr>
      <w:r w:rsidRPr="006E6B3B">
        <w:t>“the need for States and relevant United Nations entities and agencies to improve the collection and use of quantitative, qualitative and comparable data on violence against women and harmful practices, including in humanitarian settings and in the context of public health emergencies such as COVID-19, disaggregated by sex, age, disability, civil status, race, ethnicity, migratory status, geographical location, socioeconomic status, education level and other key factors, as appropriate, to enhance research and dissemination of evidence-based and good practices relating to the prevention and elimination of child, early and forced marriage and to strengthen monitoring and impact assessment of existing policies and programmes as a means of ensuring their effectiveness and implementation”</w:t>
      </w:r>
      <w:r>
        <w:rPr>
          <w:rStyle w:val="FootnoteReference"/>
        </w:rPr>
        <w:footnoteReference w:id="54"/>
      </w:r>
    </w:p>
    <w:p w14:paraId="3E34665D" w14:textId="77777777" w:rsidR="006E6B3B" w:rsidRDefault="006E6B3B" w:rsidP="00C43CD2">
      <w:pPr>
        <w:pStyle w:val="ListParagraph"/>
        <w:numPr>
          <w:ilvl w:val="0"/>
          <w:numId w:val="0"/>
        </w:numPr>
        <w:ind w:left="720"/>
        <w:jc w:val="left"/>
      </w:pPr>
    </w:p>
    <w:p w14:paraId="27BDA9CB" w14:textId="136A905F" w:rsidR="006E6B3B" w:rsidRDefault="00EE5917" w:rsidP="00C43CD2">
      <w:pPr>
        <w:pStyle w:val="ListParagraph"/>
        <w:jc w:val="left"/>
      </w:pPr>
      <w:r w:rsidRPr="006E6B3B">
        <w:t>The NIHRC notes that the consultation document does not contain the range of disaggregated data identified above</w:t>
      </w:r>
      <w:r w:rsidR="00235982" w:rsidRPr="006E6B3B">
        <w:t xml:space="preserve">. </w:t>
      </w:r>
      <w:r w:rsidRPr="006E6B3B">
        <w:t>Improved data collection or research in this area would assist our understanding of</w:t>
      </w:r>
      <w:r w:rsidR="00235982" w:rsidRPr="006E6B3B">
        <w:t xml:space="preserve"> child marriage</w:t>
      </w:r>
      <w:r w:rsidR="006C376D" w:rsidRPr="006E6B3B">
        <w:t xml:space="preserve"> </w:t>
      </w:r>
      <w:r w:rsidRPr="006E6B3B">
        <w:t>and</w:t>
      </w:r>
      <w:r w:rsidR="00E719E9" w:rsidRPr="006E6B3B">
        <w:t xml:space="preserve"> forced child marriage</w:t>
      </w:r>
      <w:r w:rsidR="00270655" w:rsidRPr="006E6B3B">
        <w:t xml:space="preserve"> in NI</w:t>
      </w:r>
      <w:r w:rsidR="00E719E9" w:rsidRPr="006E6B3B">
        <w:t>, including</w:t>
      </w:r>
      <w:r w:rsidRPr="006E6B3B">
        <w:t xml:space="preserve"> how to anticipate or mitigate against the identifiable risks and vulnerabilities faced by children, particularly girls.</w:t>
      </w:r>
    </w:p>
    <w:p w14:paraId="7A314BF9" w14:textId="77777777" w:rsidR="006E6B3B" w:rsidRDefault="006E6B3B" w:rsidP="00C43CD2">
      <w:pPr>
        <w:pStyle w:val="ListParagraph"/>
        <w:numPr>
          <w:ilvl w:val="0"/>
          <w:numId w:val="0"/>
        </w:numPr>
        <w:ind w:left="720"/>
        <w:jc w:val="left"/>
      </w:pPr>
    </w:p>
    <w:p w14:paraId="0E03058E" w14:textId="322A2EBD" w:rsidR="006E6B3B" w:rsidRPr="006E6B3B" w:rsidRDefault="00500BCC" w:rsidP="00C43CD2">
      <w:pPr>
        <w:pStyle w:val="ListParagraph"/>
        <w:jc w:val="left"/>
      </w:pPr>
      <w:r w:rsidRPr="006E6B3B">
        <w:rPr>
          <w:b/>
        </w:rPr>
        <w:t xml:space="preserve">The NIHRC recommends that </w:t>
      </w:r>
      <w:r w:rsidR="00FC7EAD" w:rsidRPr="006E6B3B">
        <w:rPr>
          <w:b/>
        </w:rPr>
        <w:t xml:space="preserve">government departments collaborate with </w:t>
      </w:r>
      <w:r w:rsidR="00CA6932" w:rsidRPr="006E6B3B">
        <w:rPr>
          <w:b/>
        </w:rPr>
        <w:t>statutory</w:t>
      </w:r>
      <w:r w:rsidR="00E37C41" w:rsidRPr="006E6B3B">
        <w:rPr>
          <w:b/>
        </w:rPr>
        <w:t xml:space="preserve"> </w:t>
      </w:r>
      <w:r w:rsidR="00967B99" w:rsidRPr="006E6B3B">
        <w:rPr>
          <w:b/>
        </w:rPr>
        <w:t>bodies</w:t>
      </w:r>
      <w:r w:rsidR="00E37C41" w:rsidRPr="006E6B3B">
        <w:rPr>
          <w:b/>
        </w:rPr>
        <w:t xml:space="preserve"> and </w:t>
      </w:r>
      <w:r w:rsidR="007103B5" w:rsidRPr="006E6B3B">
        <w:rPr>
          <w:b/>
        </w:rPr>
        <w:t xml:space="preserve">other relevant actors to improve data </w:t>
      </w:r>
      <w:r w:rsidR="008578DE">
        <w:rPr>
          <w:b/>
        </w:rPr>
        <w:t xml:space="preserve">collection </w:t>
      </w:r>
      <w:r w:rsidR="007103B5" w:rsidRPr="006E6B3B">
        <w:rPr>
          <w:b/>
        </w:rPr>
        <w:t xml:space="preserve">for </w:t>
      </w:r>
      <w:r w:rsidR="00890C26">
        <w:rPr>
          <w:b/>
        </w:rPr>
        <w:t xml:space="preserve">monitoring the prevention and elimination of </w:t>
      </w:r>
      <w:r w:rsidR="00967B99" w:rsidRPr="006E6B3B">
        <w:rPr>
          <w:b/>
        </w:rPr>
        <w:t>child, early and forced marriage.</w:t>
      </w:r>
    </w:p>
    <w:p w14:paraId="16D9F05B" w14:textId="77777777" w:rsidR="006E6B3B" w:rsidRPr="006E6B3B" w:rsidRDefault="006E6B3B" w:rsidP="00C43CD2">
      <w:pPr>
        <w:pStyle w:val="ListParagraph"/>
        <w:numPr>
          <w:ilvl w:val="0"/>
          <w:numId w:val="0"/>
        </w:numPr>
        <w:ind w:left="720"/>
        <w:jc w:val="left"/>
      </w:pPr>
    </w:p>
    <w:p w14:paraId="3CE49196" w14:textId="77777777" w:rsidR="00CD715E" w:rsidRDefault="00500BCC" w:rsidP="00C43CD2">
      <w:pPr>
        <w:pStyle w:val="ListParagraph"/>
        <w:jc w:val="left"/>
      </w:pPr>
      <w:r w:rsidRPr="006E6B3B">
        <w:rPr>
          <w:shd w:val="clear" w:color="auto" w:fill="FFFFFF"/>
        </w:rPr>
        <w:t>The</w:t>
      </w:r>
      <w:r w:rsidR="00716CEC" w:rsidRPr="006E6B3B">
        <w:rPr>
          <w:shd w:val="clear" w:color="auto" w:fill="FFFFFF"/>
        </w:rPr>
        <w:t xml:space="preserve"> </w:t>
      </w:r>
      <w:r w:rsidR="00877F5A" w:rsidRPr="006E6B3B">
        <w:rPr>
          <w:shd w:val="clear" w:color="auto" w:fill="FFFFFF"/>
        </w:rPr>
        <w:t>NIHRC</w:t>
      </w:r>
      <w:r w:rsidR="00716CEC" w:rsidRPr="006E6B3B">
        <w:rPr>
          <w:shd w:val="clear" w:color="auto" w:fill="FFFFFF"/>
        </w:rPr>
        <w:t xml:space="preserve"> highlights </w:t>
      </w:r>
      <w:r w:rsidR="002D1723" w:rsidRPr="006E6B3B">
        <w:rPr>
          <w:shd w:val="clear" w:color="auto" w:fill="FFFFFF"/>
        </w:rPr>
        <w:t xml:space="preserve">the importance of shifting attitudes and beliefs around </w:t>
      </w:r>
      <w:r w:rsidR="00775191" w:rsidRPr="006E6B3B">
        <w:rPr>
          <w:shd w:val="clear" w:color="auto" w:fill="FFFFFF"/>
        </w:rPr>
        <w:t>early and</w:t>
      </w:r>
      <w:r w:rsidR="00226876" w:rsidRPr="006E6B3B">
        <w:rPr>
          <w:shd w:val="clear" w:color="auto" w:fill="FFFFFF"/>
        </w:rPr>
        <w:t xml:space="preserve"> forced marriage, which cannot </w:t>
      </w:r>
      <w:r w:rsidR="002D1723" w:rsidRPr="006E6B3B">
        <w:rPr>
          <w:shd w:val="clear" w:color="auto" w:fill="FFFFFF"/>
        </w:rPr>
        <w:t xml:space="preserve">be </w:t>
      </w:r>
      <w:r w:rsidR="00226876" w:rsidRPr="006E6B3B">
        <w:rPr>
          <w:shd w:val="clear" w:color="auto" w:fill="FFFFFF"/>
        </w:rPr>
        <w:t>achieve</w:t>
      </w:r>
      <w:r w:rsidR="002D1723" w:rsidRPr="006E6B3B">
        <w:rPr>
          <w:shd w:val="clear" w:color="auto" w:fill="FFFFFF"/>
        </w:rPr>
        <w:t>d by legislation alone</w:t>
      </w:r>
      <w:r w:rsidR="00F22F19" w:rsidRPr="006E6B3B">
        <w:rPr>
          <w:shd w:val="clear" w:color="auto" w:fill="FFFFFF"/>
        </w:rPr>
        <w:t xml:space="preserve"> and must be supported with educational </w:t>
      </w:r>
      <w:r w:rsidR="00F22F19" w:rsidRPr="006E6B3B">
        <w:rPr>
          <w:color w:val="1F1F1F"/>
          <w:shd w:val="clear" w:color="auto" w:fill="FFFFFF"/>
        </w:rPr>
        <w:t xml:space="preserve">and community outreach programmes. </w:t>
      </w:r>
      <w:r w:rsidR="00D577BD" w:rsidRPr="006E6B3B">
        <w:rPr>
          <w:color w:val="1F1F1F"/>
          <w:shd w:val="clear" w:color="auto" w:fill="FFFFFF"/>
        </w:rPr>
        <w:t>In 2019,</w:t>
      </w:r>
      <w:r w:rsidR="00F850B2" w:rsidRPr="006E6B3B">
        <w:rPr>
          <w:color w:val="1F1F1F"/>
          <w:shd w:val="clear" w:color="auto" w:fill="FFFFFF"/>
        </w:rPr>
        <w:t xml:space="preserve"> </w:t>
      </w:r>
      <w:r w:rsidR="00F850B2" w:rsidRPr="006E6B3B">
        <w:t xml:space="preserve">the </w:t>
      </w:r>
      <w:r w:rsidR="00250C8F" w:rsidRPr="006E6B3B">
        <w:t>UN CEDAW</w:t>
      </w:r>
      <w:r w:rsidR="00F850B2" w:rsidRPr="006E6B3B">
        <w:t xml:space="preserve"> and the UN </w:t>
      </w:r>
      <w:r w:rsidR="00250C8F" w:rsidRPr="006E6B3B">
        <w:t xml:space="preserve">CAT Committee </w:t>
      </w:r>
      <w:r w:rsidR="003154FC" w:rsidRPr="006E6B3B">
        <w:t>in their Concluding Observations on the UK</w:t>
      </w:r>
      <w:r w:rsidR="00250C8F" w:rsidRPr="006E6B3B">
        <w:t xml:space="preserve"> </w:t>
      </w:r>
      <w:r w:rsidR="00F850B2" w:rsidRPr="006E6B3B">
        <w:t>emphasised the need for the UK Government and the NI Executive to strengthen efforts and effectiveness in combating forced marriage, including preventative and protection measures.</w:t>
      </w:r>
      <w:r w:rsidR="00F850B2" w:rsidRPr="00DF66E1">
        <w:rPr>
          <w:rStyle w:val="FootnoteReference"/>
        </w:rPr>
        <w:footnoteReference w:id="55"/>
      </w:r>
    </w:p>
    <w:p w14:paraId="1E8C4344" w14:textId="77777777" w:rsidR="00CD715E" w:rsidRPr="00CD715E" w:rsidRDefault="00CD715E" w:rsidP="00C43CD2">
      <w:pPr>
        <w:pStyle w:val="ListParagraph"/>
        <w:numPr>
          <w:ilvl w:val="0"/>
          <w:numId w:val="0"/>
        </w:numPr>
        <w:ind w:left="720"/>
        <w:jc w:val="left"/>
        <w:rPr>
          <w:color w:val="232120"/>
        </w:rPr>
      </w:pPr>
    </w:p>
    <w:p w14:paraId="09C370CE" w14:textId="77777777" w:rsidR="00CD715E" w:rsidRPr="00CD715E" w:rsidRDefault="00D577BD" w:rsidP="00C43CD2">
      <w:pPr>
        <w:pStyle w:val="ListParagraph"/>
        <w:jc w:val="left"/>
      </w:pPr>
      <w:r w:rsidRPr="00CD715E">
        <w:rPr>
          <w:color w:val="232120"/>
        </w:rPr>
        <w:t>The</w:t>
      </w:r>
      <w:r w:rsidR="00E45616" w:rsidRPr="00CD715E">
        <w:rPr>
          <w:color w:val="232120"/>
        </w:rPr>
        <w:t xml:space="preserve"> Istanbul Convention</w:t>
      </w:r>
      <w:r w:rsidRPr="00CD715E">
        <w:rPr>
          <w:color w:val="232120"/>
        </w:rPr>
        <w:t xml:space="preserve"> </w:t>
      </w:r>
      <w:r w:rsidR="00E45616" w:rsidRPr="00CD715E">
        <w:rPr>
          <w:color w:val="232120"/>
        </w:rPr>
        <w:t xml:space="preserve">outlines </w:t>
      </w:r>
      <w:r w:rsidRPr="00CD715E">
        <w:rPr>
          <w:color w:val="232120"/>
        </w:rPr>
        <w:t>practical</w:t>
      </w:r>
      <w:r w:rsidR="00E45616" w:rsidRPr="00CD715E">
        <w:rPr>
          <w:color w:val="232120"/>
        </w:rPr>
        <w:t xml:space="preserve"> measures </w:t>
      </w:r>
      <w:r w:rsidRPr="00CD715E">
        <w:rPr>
          <w:color w:val="232120"/>
        </w:rPr>
        <w:t xml:space="preserve">for States to take </w:t>
      </w:r>
      <w:r w:rsidR="00E45616" w:rsidRPr="00CD715E">
        <w:rPr>
          <w:color w:val="232120"/>
        </w:rPr>
        <w:t>in relation to</w:t>
      </w:r>
      <w:r w:rsidRPr="00CD715E">
        <w:rPr>
          <w:color w:val="232120"/>
        </w:rPr>
        <w:t xml:space="preserve"> </w:t>
      </w:r>
      <w:r w:rsidR="00E45616" w:rsidRPr="00CD715E">
        <w:rPr>
          <w:color w:val="232120"/>
        </w:rPr>
        <w:t>prevention of violence against women and girls. For instance, Article 13 requires states to:</w:t>
      </w:r>
    </w:p>
    <w:p w14:paraId="06370DC8" w14:textId="77777777" w:rsidR="00CD715E" w:rsidRPr="00CD715E" w:rsidRDefault="00CD715E" w:rsidP="00C43CD2">
      <w:pPr>
        <w:pStyle w:val="ListParagraph"/>
        <w:numPr>
          <w:ilvl w:val="0"/>
          <w:numId w:val="0"/>
        </w:numPr>
        <w:ind w:left="720"/>
        <w:jc w:val="left"/>
        <w:rPr>
          <w:color w:val="232120"/>
        </w:rPr>
      </w:pPr>
    </w:p>
    <w:p w14:paraId="0EA8C5A6" w14:textId="6C99310F" w:rsidR="006E6B3B" w:rsidRPr="00CD715E" w:rsidRDefault="006E6B3B" w:rsidP="00095EE7">
      <w:pPr>
        <w:spacing w:line="276" w:lineRule="auto"/>
        <w:ind w:left="1440"/>
        <w:rPr>
          <w:rFonts w:ascii="Verdana" w:hAnsi="Verdana"/>
        </w:rPr>
      </w:pPr>
      <w:r w:rsidRPr="00CD715E">
        <w:rPr>
          <w:rFonts w:ascii="Verdana" w:hAnsi="Verdana"/>
        </w:rPr>
        <w:t xml:space="preserve">“promote or conduct, on a regular basis and at all levels, awareness-raising campaigns or programmes, including in co-operation with national human rights institutions and equality bodies, civil society and non-governmental organisations, especially women’s organisations, where appropriate, to increase awareness and understanding among the general public of the different manifestations of all forms of violence covered by the scope of this Convention, their consequences on children and the need to prevent such violence. Parties shall ensure the wide dissemination among the </w:t>
      </w:r>
      <w:proofErr w:type="gramStart"/>
      <w:r w:rsidRPr="00CD715E">
        <w:rPr>
          <w:rFonts w:ascii="Verdana" w:hAnsi="Verdana"/>
        </w:rPr>
        <w:t>general public</w:t>
      </w:r>
      <w:proofErr w:type="gramEnd"/>
      <w:r w:rsidRPr="00CD715E">
        <w:rPr>
          <w:rFonts w:ascii="Verdana" w:hAnsi="Verdana"/>
        </w:rPr>
        <w:t xml:space="preserve"> of information on measures available to prevent acts of violence covered by the scope of this Convention.”</w:t>
      </w:r>
    </w:p>
    <w:p w14:paraId="6B210E76" w14:textId="77777777" w:rsidR="006E6B3B" w:rsidRDefault="006E6B3B" w:rsidP="00C43CD2">
      <w:pPr>
        <w:pStyle w:val="ListParagraph"/>
        <w:numPr>
          <w:ilvl w:val="0"/>
          <w:numId w:val="0"/>
        </w:numPr>
        <w:ind w:left="720"/>
        <w:jc w:val="left"/>
      </w:pPr>
    </w:p>
    <w:p w14:paraId="2E08DF11" w14:textId="41225328" w:rsidR="00CD715E" w:rsidRDefault="00E45616" w:rsidP="00C43CD2">
      <w:pPr>
        <w:pStyle w:val="ListParagraph"/>
        <w:jc w:val="left"/>
      </w:pPr>
      <w:r w:rsidRPr="006E6B3B">
        <w:t>Article 14 of the Convention relates to education and requires the state:</w:t>
      </w:r>
    </w:p>
    <w:p w14:paraId="5CDCFED8" w14:textId="4CA4ACC2" w:rsidR="00CD715E" w:rsidRDefault="00CD715E" w:rsidP="00C43CD2">
      <w:pPr>
        <w:pStyle w:val="ListParagraph"/>
        <w:numPr>
          <w:ilvl w:val="0"/>
          <w:numId w:val="0"/>
        </w:numPr>
        <w:ind w:left="720"/>
        <w:jc w:val="left"/>
      </w:pPr>
    </w:p>
    <w:p w14:paraId="70408AC1" w14:textId="77777777" w:rsidR="00CD715E" w:rsidRDefault="00CD715E" w:rsidP="00C43CD2">
      <w:pPr>
        <w:pStyle w:val="BasicParagraph"/>
        <w:suppressAutoHyphens/>
        <w:ind w:left="1440"/>
        <w:rPr>
          <w:rFonts w:ascii="Verdana" w:hAnsi="Verdana"/>
        </w:rPr>
      </w:pPr>
      <w:r>
        <w:rPr>
          <w:rFonts w:ascii="Verdana" w:hAnsi="Verdana"/>
        </w:rPr>
        <w:t>“</w:t>
      </w:r>
      <w:proofErr w:type="gramStart"/>
      <w:r w:rsidRPr="00084344">
        <w:rPr>
          <w:rFonts w:ascii="Verdana" w:hAnsi="Verdana"/>
        </w:rPr>
        <w:t>shall</w:t>
      </w:r>
      <w:proofErr w:type="gramEnd"/>
      <w:r w:rsidRPr="00084344">
        <w:rPr>
          <w:rFonts w:ascii="Verdana" w:hAnsi="Verdana"/>
        </w:rPr>
        <w:t xml:space="preserve"> take, where appropriate, the necessary steps to include teaching material on issues such as equality between women and men, non-stereotyped gender roles, mutual respect, non-violent conflict resolution in interpersonal relationships, gender-based violence against women and the right to personal integrity, adapted to the evolving capacity of learners, in formal curricula and at all levels of education. Parties shall take the necessary steps to promote the principles referred to in paragraph 1 in informal educational facilities, as well as in sports, cultural and leisure facilities and the media.</w:t>
      </w:r>
      <w:r>
        <w:rPr>
          <w:rFonts w:ascii="Verdana" w:hAnsi="Verdana"/>
        </w:rPr>
        <w:t>”</w:t>
      </w:r>
    </w:p>
    <w:p w14:paraId="1C53AB63" w14:textId="77777777" w:rsidR="00CD715E" w:rsidRDefault="00CD715E" w:rsidP="00C43CD2">
      <w:pPr>
        <w:pStyle w:val="ListParagraph"/>
        <w:numPr>
          <w:ilvl w:val="0"/>
          <w:numId w:val="0"/>
        </w:numPr>
        <w:ind w:left="720"/>
        <w:jc w:val="left"/>
      </w:pPr>
    </w:p>
    <w:p w14:paraId="07235DD3" w14:textId="1B086472" w:rsidR="00CD715E" w:rsidRDefault="006B76CA" w:rsidP="00C43CD2">
      <w:pPr>
        <w:pStyle w:val="ListParagraph"/>
        <w:jc w:val="left"/>
      </w:pPr>
      <w:r w:rsidRPr="00CD715E">
        <w:t>Article 15 of the Convention relates to training of</w:t>
      </w:r>
      <w:r w:rsidR="00CD715E">
        <w:t xml:space="preserve"> professionals. It states that:</w:t>
      </w:r>
    </w:p>
    <w:p w14:paraId="2C021E77" w14:textId="77777777" w:rsidR="00CD715E" w:rsidRDefault="00CD715E" w:rsidP="00C43CD2">
      <w:pPr>
        <w:pStyle w:val="ListParagraph"/>
        <w:numPr>
          <w:ilvl w:val="0"/>
          <w:numId w:val="0"/>
        </w:numPr>
        <w:ind w:left="720"/>
        <w:jc w:val="left"/>
      </w:pPr>
    </w:p>
    <w:p w14:paraId="19F77F35" w14:textId="77777777" w:rsidR="00CD715E" w:rsidRPr="00C13C3C" w:rsidRDefault="00CD715E" w:rsidP="00C43CD2">
      <w:pPr>
        <w:pStyle w:val="BasicParagraph"/>
        <w:suppressAutoHyphens/>
        <w:ind w:left="1440"/>
        <w:rPr>
          <w:rFonts w:ascii="Verdana" w:hAnsi="Verdana"/>
        </w:rPr>
      </w:pPr>
      <w:r>
        <w:rPr>
          <w:rFonts w:ascii="Verdana" w:hAnsi="Verdana"/>
        </w:rPr>
        <w:t>“</w:t>
      </w:r>
      <w:r w:rsidRPr="006B76CA">
        <w:rPr>
          <w:rFonts w:ascii="Verdana" w:hAnsi="Verdana"/>
        </w:rPr>
        <w:t>Parties shall provide or strengthen appropriate training for the relevant professionals dealing with victims or perpetrators of all acts of violence covered by the scope of this Convention, on the prevention and detection of such violence, equality between women and men, the needs and rights of victims, as well as on how to prevent secondary victimisation.</w:t>
      </w:r>
      <w:r>
        <w:rPr>
          <w:rFonts w:ascii="Verdana" w:hAnsi="Verdana"/>
        </w:rPr>
        <w:t>”</w:t>
      </w:r>
    </w:p>
    <w:p w14:paraId="4EF10F34" w14:textId="3A7E1595" w:rsidR="00CD715E" w:rsidRDefault="00CD715E" w:rsidP="00C43CD2"/>
    <w:p w14:paraId="66225F95" w14:textId="6B6AF034" w:rsidR="003F7013" w:rsidRPr="003F7013" w:rsidRDefault="005C1379" w:rsidP="003F7013">
      <w:pPr>
        <w:pStyle w:val="ListParagraph"/>
        <w:jc w:val="left"/>
      </w:pPr>
      <w:bookmarkStart w:id="1" w:name="_Hlk94521894"/>
      <w:r w:rsidRPr="00CD715E">
        <w:rPr>
          <w:b/>
          <w:shd w:val="clear" w:color="auto" w:fill="FFFFFF"/>
        </w:rPr>
        <w:t>The</w:t>
      </w:r>
      <w:r w:rsidR="008D2B9F" w:rsidRPr="00CD715E">
        <w:rPr>
          <w:b/>
          <w:shd w:val="clear" w:color="auto" w:fill="FFFFFF"/>
        </w:rPr>
        <w:t xml:space="preserve"> NIHRC </w:t>
      </w:r>
      <w:r w:rsidR="0083578C" w:rsidRPr="00CD715E">
        <w:rPr>
          <w:b/>
          <w:shd w:val="clear" w:color="auto" w:fill="FFFFFF"/>
        </w:rPr>
        <w:t>advises that</w:t>
      </w:r>
      <w:r w:rsidR="008D7038" w:rsidRPr="00CD715E">
        <w:rPr>
          <w:b/>
          <w:shd w:val="clear" w:color="auto" w:fill="FFFFFF"/>
        </w:rPr>
        <w:t>, under current laws, children are particularly vulnerable to forced marriage</w:t>
      </w:r>
      <w:r w:rsidR="00485337" w:rsidRPr="00CD715E">
        <w:rPr>
          <w:b/>
          <w:shd w:val="clear" w:color="auto" w:fill="FFFFFF"/>
        </w:rPr>
        <w:t xml:space="preserve"> and </w:t>
      </w:r>
      <w:r w:rsidR="00027AFF" w:rsidRPr="00CD715E">
        <w:rPr>
          <w:b/>
          <w:shd w:val="clear" w:color="auto" w:fill="FFFFFF"/>
        </w:rPr>
        <w:t xml:space="preserve">recommends that </w:t>
      </w:r>
      <w:r w:rsidR="00BD1350" w:rsidRPr="00CD715E">
        <w:rPr>
          <w:b/>
          <w:shd w:val="clear" w:color="auto" w:fill="FFFFFF"/>
        </w:rPr>
        <w:t xml:space="preserve">preventative and protection </w:t>
      </w:r>
      <w:r w:rsidRPr="00CD715E">
        <w:rPr>
          <w:b/>
          <w:shd w:val="clear" w:color="auto" w:fill="FFFFFF"/>
        </w:rPr>
        <w:t xml:space="preserve">efforts </w:t>
      </w:r>
      <w:r w:rsidR="00485337" w:rsidRPr="00CD715E">
        <w:rPr>
          <w:b/>
          <w:shd w:val="clear" w:color="auto" w:fill="FFFFFF"/>
        </w:rPr>
        <w:t>must be</w:t>
      </w:r>
      <w:r w:rsidRPr="00CD715E">
        <w:rPr>
          <w:b/>
          <w:shd w:val="clear" w:color="auto" w:fill="FFFFFF"/>
        </w:rPr>
        <w:t xml:space="preserve"> strengthened</w:t>
      </w:r>
      <w:r w:rsidR="00000106" w:rsidRPr="00CD715E">
        <w:rPr>
          <w:b/>
          <w:shd w:val="clear" w:color="auto" w:fill="FFFFFF"/>
        </w:rPr>
        <w:t>, including by sensitising parents on the need for full and free consent of their daughter or son, to her or his marriage. Other measures</w:t>
      </w:r>
      <w:r w:rsidR="00C51BBC" w:rsidRPr="00CD715E">
        <w:rPr>
          <w:b/>
          <w:shd w:val="clear" w:color="auto" w:fill="FFFFFF"/>
        </w:rPr>
        <w:t xml:space="preserve"> </w:t>
      </w:r>
      <w:r w:rsidR="00027AFF" w:rsidRPr="00CD715E">
        <w:rPr>
          <w:b/>
          <w:shd w:val="clear" w:color="auto" w:fill="FFFFFF"/>
        </w:rPr>
        <w:t xml:space="preserve">should </w:t>
      </w:r>
      <w:r w:rsidR="00C51BBC" w:rsidRPr="00CD715E">
        <w:rPr>
          <w:b/>
          <w:shd w:val="clear" w:color="auto" w:fill="FFFFFF"/>
        </w:rPr>
        <w:t>include</w:t>
      </w:r>
      <w:r w:rsidR="00BD1350" w:rsidRPr="00CD715E">
        <w:rPr>
          <w:b/>
          <w:shd w:val="clear" w:color="auto" w:fill="FFFFFF"/>
        </w:rPr>
        <w:t xml:space="preserve"> </w:t>
      </w:r>
      <w:r w:rsidR="00C30F95" w:rsidRPr="00CD715E">
        <w:rPr>
          <w:b/>
          <w:shd w:val="clear" w:color="auto" w:fill="FFFFFF"/>
        </w:rPr>
        <w:t>research, awareness-raising, education</w:t>
      </w:r>
      <w:r w:rsidR="00E831F4" w:rsidRPr="00CD715E">
        <w:rPr>
          <w:b/>
          <w:shd w:val="clear" w:color="auto" w:fill="FFFFFF"/>
        </w:rPr>
        <w:t>,</w:t>
      </w:r>
      <w:r w:rsidR="00C30F95" w:rsidRPr="00CD715E">
        <w:rPr>
          <w:b/>
          <w:shd w:val="clear" w:color="auto" w:fill="FFFFFF"/>
        </w:rPr>
        <w:t xml:space="preserve"> and training of professionals</w:t>
      </w:r>
      <w:r w:rsidR="00C51BBC" w:rsidRPr="00CD715E">
        <w:rPr>
          <w:b/>
          <w:shd w:val="clear" w:color="auto" w:fill="FFFFFF"/>
        </w:rPr>
        <w:t xml:space="preserve">. </w:t>
      </w:r>
      <w:bookmarkEnd w:id="1"/>
    </w:p>
    <w:p w14:paraId="51595B4E" w14:textId="71C7A8FE" w:rsidR="00400AD2" w:rsidRDefault="00400AD2" w:rsidP="00400AD2"/>
    <w:p w14:paraId="13AB0DB1" w14:textId="7EE902B8" w:rsidR="00400AD2" w:rsidRPr="00400AD2" w:rsidRDefault="00400AD2" w:rsidP="00400AD2">
      <w:pPr>
        <w:rPr>
          <w:rFonts w:ascii="Verdana" w:hAnsi="Verdana"/>
          <w:b/>
          <w:bCs/>
        </w:rPr>
      </w:pPr>
      <w:r>
        <w:rPr>
          <w:rFonts w:ascii="Verdana" w:hAnsi="Verdana"/>
          <w:b/>
          <w:bCs/>
        </w:rPr>
        <w:t>Recognition of Foreign Marriage</w:t>
      </w:r>
      <w:r w:rsidR="009E4089">
        <w:rPr>
          <w:rFonts w:ascii="Verdana" w:hAnsi="Verdana"/>
          <w:b/>
          <w:bCs/>
        </w:rPr>
        <w:t>s</w:t>
      </w:r>
      <w:r>
        <w:rPr>
          <w:rFonts w:ascii="Verdana" w:hAnsi="Verdana"/>
          <w:b/>
          <w:bCs/>
        </w:rPr>
        <w:t xml:space="preserve"> or Civil Partnership</w:t>
      </w:r>
      <w:r w:rsidR="009E4089">
        <w:rPr>
          <w:rFonts w:ascii="Verdana" w:hAnsi="Verdana"/>
          <w:b/>
          <w:bCs/>
        </w:rPr>
        <w:t>s</w:t>
      </w:r>
    </w:p>
    <w:p w14:paraId="3764D25D" w14:textId="77777777" w:rsidR="00400AD2" w:rsidRPr="003F7013" w:rsidRDefault="00400AD2" w:rsidP="00400AD2"/>
    <w:p w14:paraId="499B2894" w14:textId="77777777" w:rsidR="003F7013" w:rsidRPr="003F7013" w:rsidRDefault="003F7013" w:rsidP="003F7013">
      <w:pPr>
        <w:pStyle w:val="ListParagraph"/>
        <w:jc w:val="left"/>
      </w:pPr>
      <w:r w:rsidRPr="003F7013">
        <w:rPr>
          <w:color w:val="232120"/>
        </w:rPr>
        <w:t>The NIHRC reiterates that the right to marry guaranteed under Article 12 ECHR is subject to domestic legislation governing its exercise. The ECtHR has previously held that the obligation to respect the legal marriageable age does not amount to a denial of the right to marry, even if the individual’s religion permits marriage at a younger age.</w:t>
      </w:r>
      <w:r>
        <w:rPr>
          <w:rStyle w:val="FootnoteReference"/>
          <w:color w:val="232120"/>
        </w:rPr>
        <w:footnoteReference w:id="56"/>
      </w:r>
      <w:r w:rsidRPr="003F7013">
        <w:rPr>
          <w:color w:val="232120"/>
        </w:rPr>
        <w:t xml:space="preserve"> </w:t>
      </w:r>
    </w:p>
    <w:p w14:paraId="35C814BB" w14:textId="77777777" w:rsidR="003F7013" w:rsidRPr="003F7013" w:rsidRDefault="003F7013" w:rsidP="003F7013">
      <w:pPr>
        <w:pStyle w:val="ListParagraph"/>
        <w:numPr>
          <w:ilvl w:val="0"/>
          <w:numId w:val="0"/>
        </w:numPr>
        <w:ind w:left="720"/>
        <w:rPr>
          <w:color w:val="232120"/>
        </w:rPr>
      </w:pPr>
    </w:p>
    <w:p w14:paraId="53F2AB4F" w14:textId="4F581F8B" w:rsidR="003F7013" w:rsidRDefault="003F7013" w:rsidP="003F7013">
      <w:pPr>
        <w:pStyle w:val="ListParagraph"/>
        <w:jc w:val="left"/>
      </w:pPr>
      <w:r w:rsidRPr="003F7013">
        <w:rPr>
          <w:color w:val="232120"/>
        </w:rPr>
        <w:t xml:space="preserve">In </w:t>
      </w:r>
      <w:r w:rsidRPr="003F7013">
        <w:rPr>
          <w:i/>
          <w:iCs/>
          <w:color w:val="232120"/>
        </w:rPr>
        <w:t>Z.H. and R.H. v Switzerland</w:t>
      </w:r>
      <w:r>
        <w:rPr>
          <w:rStyle w:val="FootnoteReference"/>
          <w:color w:val="232120"/>
        </w:rPr>
        <w:footnoteReference w:id="57"/>
      </w:r>
      <w:r w:rsidRPr="003F7013">
        <w:rPr>
          <w:color w:val="232120"/>
        </w:rPr>
        <w:t xml:space="preserve"> the </w:t>
      </w:r>
      <w:r w:rsidRPr="003F7013">
        <w:t xml:space="preserve">applicants sought asylum in Switzerland as a married couple, claiming that they had contracted marriage in a religious ceremony in a third country when the first and second applicants were 14 and 18 years of age, respectively. The ECtHR considered that neither Articles 8 nor 12 of the Convention could be interpreted as imposing on any State party to the Convention an obligation to recognise a marriage, religious or otherwise, contracted by a 14-year-old child: </w:t>
      </w:r>
    </w:p>
    <w:p w14:paraId="02BEF47C" w14:textId="7A3E1AC1" w:rsidR="003F7013" w:rsidRPr="009927D4" w:rsidRDefault="003F7013" w:rsidP="009927D4">
      <w:pPr>
        <w:pStyle w:val="BasicParagraph"/>
        <w:suppressAutoHyphens/>
        <w:ind w:left="1440"/>
        <w:rPr>
          <w:rFonts w:ascii="Verdana" w:hAnsi="Verdana" w:cs="Arial"/>
          <w:bCs/>
          <w:shd w:val="clear" w:color="auto" w:fill="FFFFFF"/>
        </w:rPr>
      </w:pPr>
      <w:r w:rsidRPr="00FB72C4">
        <w:rPr>
          <w:rStyle w:val="sb8d990e2"/>
          <w:rFonts w:ascii="Verdana" w:hAnsi="Verdana" w:cs="Arial"/>
          <w:bCs/>
          <w:shd w:val="clear" w:color="auto" w:fill="FFFFFF"/>
        </w:rPr>
        <w:t>“Article 12 expressly provides for regulation of marriage by national law, and given the sensitive moral choices concerned and the importance to be attached to the protection of children and the fostering of secure family environments, this Court must not rush to substitute its own judgment in place of the authorities who are best placed to assess and respond to the needs of society.”</w:t>
      </w:r>
      <w:r>
        <w:rPr>
          <w:rStyle w:val="FootnoteReference"/>
          <w:rFonts w:ascii="Verdana" w:hAnsi="Verdana" w:cs="Arial"/>
          <w:bCs/>
          <w:shd w:val="clear" w:color="auto" w:fill="FFFFFF"/>
        </w:rPr>
        <w:footnoteReference w:id="58"/>
      </w:r>
    </w:p>
    <w:p w14:paraId="55BD08D5" w14:textId="77777777" w:rsidR="003F7013" w:rsidRPr="003F7013" w:rsidRDefault="003F7013" w:rsidP="003F7013">
      <w:pPr>
        <w:pStyle w:val="ListParagraph"/>
        <w:numPr>
          <w:ilvl w:val="0"/>
          <w:numId w:val="0"/>
        </w:numPr>
        <w:ind w:left="720"/>
        <w:rPr>
          <w:rStyle w:val="sb8d990e2"/>
          <w:b/>
          <w:shd w:val="clear" w:color="auto" w:fill="FFFFFF"/>
        </w:rPr>
      </w:pPr>
    </w:p>
    <w:p w14:paraId="03B83C4C" w14:textId="0BB25850" w:rsidR="003F7013" w:rsidRPr="003F7013" w:rsidRDefault="003F7013" w:rsidP="003F7013">
      <w:pPr>
        <w:pStyle w:val="ListParagraph"/>
        <w:jc w:val="left"/>
      </w:pPr>
      <w:r w:rsidRPr="003F7013">
        <w:rPr>
          <w:rStyle w:val="sb8d990e2"/>
          <w:b/>
          <w:shd w:val="clear" w:color="auto" w:fill="FFFFFF"/>
        </w:rPr>
        <w:t xml:space="preserve">The NIHRC advises that </w:t>
      </w:r>
      <w:r w:rsidRPr="003F7013">
        <w:rPr>
          <w:b/>
        </w:rPr>
        <w:t>the right to marry under Article 12 ECHR is subject to domestic legislation. ECtHR jurisprudence indicates that an obligation for marriages contracted outside the jurisdiction to respect the legal marriageable age, would not alone amount to a denial of the right to marry.</w:t>
      </w:r>
      <w:r>
        <w:t xml:space="preserve"> </w:t>
      </w:r>
    </w:p>
    <w:p w14:paraId="5FD7662A" w14:textId="77777777" w:rsidR="003B7D0E" w:rsidRDefault="003B7D0E" w:rsidP="003F7013">
      <w:pPr>
        <w:pStyle w:val="BasicParagraph"/>
        <w:suppressAutoHyphens/>
        <w:rPr>
          <w:rFonts w:ascii="Verdana" w:hAnsi="Verdana" w:cs="Arial"/>
          <w:color w:val="3C3C3B"/>
          <w:sz w:val="20"/>
          <w:szCs w:val="20"/>
        </w:rPr>
      </w:pPr>
    </w:p>
    <w:p w14:paraId="0C923107" w14:textId="64158B2B" w:rsidR="009617C0" w:rsidRDefault="009617C0" w:rsidP="007213E5">
      <w:pPr>
        <w:pStyle w:val="BasicParagraph"/>
        <w:suppressAutoHyphens/>
      </w:pPr>
    </w:p>
    <w:p w14:paraId="683D7CB1" w14:textId="77777777" w:rsidR="00B14A50" w:rsidRDefault="00B14A50" w:rsidP="003B7D0E">
      <w:pPr>
        <w:pStyle w:val="BasicParagraph"/>
        <w:suppressAutoHyphens/>
        <w:jc w:val="center"/>
        <w:rPr>
          <w:rFonts w:ascii="Verdana" w:hAnsi="Verdana" w:cs="Arial"/>
          <w:color w:val="3C3C3B"/>
          <w:sz w:val="20"/>
          <w:szCs w:val="20"/>
        </w:rPr>
      </w:pPr>
    </w:p>
    <w:p w14:paraId="19E57822" w14:textId="77777777" w:rsidR="00B14A50" w:rsidRDefault="00B14A50" w:rsidP="003B7D0E">
      <w:pPr>
        <w:pStyle w:val="BasicParagraph"/>
        <w:suppressAutoHyphens/>
        <w:jc w:val="center"/>
        <w:rPr>
          <w:rFonts w:ascii="Verdana" w:hAnsi="Verdana" w:cs="Arial"/>
          <w:color w:val="3C3C3B"/>
          <w:sz w:val="20"/>
          <w:szCs w:val="20"/>
        </w:rPr>
      </w:pPr>
    </w:p>
    <w:p w14:paraId="133E5E10" w14:textId="77777777" w:rsidR="00B14A50" w:rsidRDefault="00B14A50" w:rsidP="003B7D0E">
      <w:pPr>
        <w:pStyle w:val="BasicParagraph"/>
        <w:suppressAutoHyphens/>
        <w:jc w:val="center"/>
        <w:rPr>
          <w:rFonts w:ascii="Verdana" w:hAnsi="Verdana" w:cs="Arial"/>
          <w:color w:val="3C3C3B"/>
          <w:sz w:val="20"/>
          <w:szCs w:val="20"/>
        </w:rPr>
      </w:pPr>
    </w:p>
    <w:p w14:paraId="5AAB37A5" w14:textId="77777777" w:rsidR="00B14A50" w:rsidRDefault="00B14A50" w:rsidP="003B7D0E">
      <w:pPr>
        <w:pStyle w:val="BasicParagraph"/>
        <w:suppressAutoHyphens/>
        <w:jc w:val="center"/>
        <w:rPr>
          <w:rFonts w:ascii="Verdana" w:hAnsi="Verdana" w:cs="Arial"/>
          <w:color w:val="3C3C3B"/>
          <w:sz w:val="20"/>
          <w:szCs w:val="20"/>
        </w:rPr>
      </w:pPr>
    </w:p>
    <w:p w14:paraId="758298BE" w14:textId="77777777" w:rsidR="00B14A50" w:rsidRDefault="00B14A50" w:rsidP="003B7D0E">
      <w:pPr>
        <w:pStyle w:val="BasicParagraph"/>
        <w:suppressAutoHyphens/>
        <w:jc w:val="center"/>
        <w:rPr>
          <w:rFonts w:ascii="Verdana" w:hAnsi="Verdana" w:cs="Arial"/>
          <w:color w:val="3C3C3B"/>
          <w:sz w:val="20"/>
          <w:szCs w:val="20"/>
        </w:rPr>
      </w:pPr>
    </w:p>
    <w:p w14:paraId="2E2AAF21" w14:textId="77777777" w:rsidR="00B14A50" w:rsidRDefault="00B14A50" w:rsidP="003B7D0E">
      <w:pPr>
        <w:pStyle w:val="BasicParagraph"/>
        <w:suppressAutoHyphens/>
        <w:jc w:val="center"/>
        <w:rPr>
          <w:rFonts w:ascii="Verdana" w:hAnsi="Verdana" w:cs="Arial"/>
          <w:color w:val="3C3C3B"/>
          <w:sz w:val="20"/>
          <w:szCs w:val="20"/>
        </w:rPr>
      </w:pPr>
    </w:p>
    <w:p w14:paraId="368D5370" w14:textId="77777777" w:rsidR="00B14A50" w:rsidRDefault="00B14A50" w:rsidP="003B7D0E">
      <w:pPr>
        <w:pStyle w:val="BasicParagraph"/>
        <w:suppressAutoHyphens/>
        <w:jc w:val="center"/>
        <w:rPr>
          <w:rFonts w:ascii="Verdana" w:hAnsi="Verdana" w:cs="Arial"/>
          <w:color w:val="3C3C3B"/>
          <w:sz w:val="20"/>
          <w:szCs w:val="20"/>
        </w:rPr>
      </w:pPr>
    </w:p>
    <w:p w14:paraId="66C6D058" w14:textId="77777777" w:rsidR="00B14A50" w:rsidRDefault="00B14A50" w:rsidP="003B7D0E">
      <w:pPr>
        <w:pStyle w:val="BasicParagraph"/>
        <w:suppressAutoHyphens/>
        <w:jc w:val="center"/>
        <w:rPr>
          <w:rFonts w:ascii="Verdana" w:hAnsi="Verdana" w:cs="Arial"/>
          <w:color w:val="3C3C3B"/>
          <w:sz w:val="20"/>
          <w:szCs w:val="20"/>
        </w:rPr>
      </w:pPr>
    </w:p>
    <w:p w14:paraId="7433A5F1" w14:textId="77777777" w:rsidR="00B14A50" w:rsidRDefault="00B14A50" w:rsidP="003B7D0E">
      <w:pPr>
        <w:pStyle w:val="BasicParagraph"/>
        <w:suppressAutoHyphens/>
        <w:jc w:val="center"/>
        <w:rPr>
          <w:rFonts w:ascii="Verdana" w:hAnsi="Verdana" w:cs="Arial"/>
          <w:color w:val="3C3C3B"/>
          <w:sz w:val="20"/>
          <w:szCs w:val="20"/>
        </w:rPr>
      </w:pPr>
    </w:p>
    <w:p w14:paraId="7C7216EB" w14:textId="77777777" w:rsidR="00B14A50" w:rsidRDefault="00B14A50" w:rsidP="003B7D0E">
      <w:pPr>
        <w:pStyle w:val="BasicParagraph"/>
        <w:suppressAutoHyphens/>
        <w:jc w:val="center"/>
        <w:rPr>
          <w:rFonts w:ascii="Verdana" w:hAnsi="Verdana" w:cs="Arial"/>
          <w:color w:val="3C3C3B"/>
          <w:sz w:val="20"/>
          <w:szCs w:val="20"/>
        </w:rPr>
      </w:pPr>
    </w:p>
    <w:p w14:paraId="3FE625B0" w14:textId="77777777" w:rsidR="00B14A50" w:rsidRDefault="00B14A50" w:rsidP="003B7D0E">
      <w:pPr>
        <w:pStyle w:val="BasicParagraph"/>
        <w:suppressAutoHyphens/>
        <w:jc w:val="center"/>
        <w:rPr>
          <w:rFonts w:ascii="Verdana" w:hAnsi="Verdana" w:cs="Arial"/>
          <w:color w:val="3C3C3B"/>
          <w:sz w:val="20"/>
          <w:szCs w:val="20"/>
        </w:rPr>
      </w:pPr>
    </w:p>
    <w:p w14:paraId="7B40B590" w14:textId="77777777" w:rsidR="00B14A50" w:rsidRPr="006D3ECF" w:rsidRDefault="00B14A50" w:rsidP="006D3ECF">
      <w:pPr>
        <w:pStyle w:val="BasicParagraph"/>
        <w:suppressAutoHyphens/>
        <w:rPr>
          <w:rFonts w:ascii="Verdana" w:hAnsi="Verdana" w:cs="Arial"/>
          <w:color w:val="3C3C3B"/>
        </w:rPr>
      </w:pPr>
    </w:p>
    <w:p w14:paraId="7C825357" w14:textId="77777777" w:rsidR="00B14A50" w:rsidRPr="003C3ADC" w:rsidRDefault="00B14A50" w:rsidP="00DA7941">
      <w:pPr>
        <w:pStyle w:val="BasicParagraph"/>
        <w:suppressAutoHyphens/>
        <w:rPr>
          <w:rFonts w:ascii="Verdana" w:hAnsi="Verdana" w:cs="Arial"/>
          <w:color w:val="3C3C3B"/>
          <w:sz w:val="20"/>
          <w:szCs w:val="20"/>
        </w:rPr>
      </w:pPr>
    </w:p>
    <w:p w14:paraId="2EC41E87" w14:textId="77777777" w:rsidR="00B14A50" w:rsidRPr="003C3ADC" w:rsidRDefault="00B14A50" w:rsidP="00DA7941">
      <w:pPr>
        <w:pStyle w:val="BasicParagraph"/>
        <w:suppressAutoHyphens/>
        <w:rPr>
          <w:rFonts w:ascii="Verdana" w:hAnsi="Verdana" w:cs="Arial"/>
          <w:color w:val="3C3C3B"/>
          <w:sz w:val="20"/>
          <w:szCs w:val="20"/>
        </w:rPr>
      </w:pPr>
    </w:p>
    <w:p w14:paraId="62971AFC" w14:textId="5308BD65" w:rsidR="00BA60CC" w:rsidRDefault="00BA60CC" w:rsidP="00DA7941">
      <w:pPr>
        <w:pStyle w:val="BasicParagraph"/>
        <w:suppressAutoHyphens/>
        <w:rPr>
          <w:rFonts w:ascii="Verdana" w:hAnsi="Verdana" w:cs="Arial"/>
          <w:color w:val="3C3C3B"/>
          <w:sz w:val="20"/>
          <w:szCs w:val="20"/>
        </w:rPr>
      </w:pPr>
    </w:p>
    <w:p w14:paraId="1156B33F" w14:textId="46272C69" w:rsidR="007B68BA" w:rsidRDefault="007B68BA" w:rsidP="00DA7941">
      <w:pPr>
        <w:pStyle w:val="BasicParagraph"/>
        <w:suppressAutoHyphens/>
        <w:rPr>
          <w:rFonts w:ascii="Verdana" w:hAnsi="Verdana" w:cs="Arial"/>
          <w:color w:val="3C3C3B"/>
          <w:sz w:val="20"/>
          <w:szCs w:val="20"/>
        </w:rPr>
      </w:pPr>
    </w:p>
    <w:p w14:paraId="67DF9EA5" w14:textId="77777777" w:rsidR="007B68BA" w:rsidRDefault="007B68BA" w:rsidP="00DA7941">
      <w:pPr>
        <w:pStyle w:val="BasicParagraph"/>
        <w:suppressAutoHyphens/>
        <w:rPr>
          <w:rFonts w:ascii="Verdana" w:hAnsi="Verdana" w:cs="Arial"/>
          <w:color w:val="3C3C3B"/>
          <w:sz w:val="20"/>
          <w:szCs w:val="20"/>
        </w:rPr>
      </w:pPr>
    </w:p>
    <w:p w14:paraId="59F31408" w14:textId="77777777" w:rsidR="00BA60CC" w:rsidRDefault="00BA60CC" w:rsidP="003B7D0E">
      <w:pPr>
        <w:pStyle w:val="BasicParagraph"/>
        <w:suppressAutoHyphens/>
        <w:jc w:val="center"/>
        <w:rPr>
          <w:rFonts w:ascii="Verdana" w:hAnsi="Verdana" w:cs="Arial"/>
          <w:color w:val="3C3C3B"/>
          <w:sz w:val="20"/>
          <w:szCs w:val="20"/>
        </w:rPr>
      </w:pPr>
    </w:p>
    <w:p w14:paraId="5D54529E" w14:textId="7A35C706" w:rsidR="00BA60CC" w:rsidRDefault="00BA60CC" w:rsidP="003B7D0E">
      <w:pPr>
        <w:pStyle w:val="BasicParagraph"/>
        <w:suppressAutoHyphens/>
        <w:jc w:val="center"/>
        <w:rPr>
          <w:rFonts w:ascii="Verdana" w:hAnsi="Verdana" w:cs="Arial"/>
          <w:color w:val="3C3C3B"/>
          <w:sz w:val="20"/>
          <w:szCs w:val="20"/>
        </w:rPr>
      </w:pPr>
    </w:p>
    <w:p w14:paraId="7C2118CD" w14:textId="1CC178C5" w:rsidR="003F593B" w:rsidRDefault="003F593B" w:rsidP="003B7D0E">
      <w:pPr>
        <w:pStyle w:val="BasicParagraph"/>
        <w:suppressAutoHyphens/>
        <w:jc w:val="center"/>
        <w:rPr>
          <w:rFonts w:ascii="Verdana" w:hAnsi="Verdana" w:cs="Arial"/>
          <w:color w:val="3C3C3B"/>
          <w:sz w:val="20"/>
          <w:szCs w:val="20"/>
        </w:rPr>
      </w:pPr>
    </w:p>
    <w:p w14:paraId="4542E0A1" w14:textId="31B049C5" w:rsidR="003F593B" w:rsidRDefault="003F593B" w:rsidP="003B7D0E">
      <w:pPr>
        <w:pStyle w:val="BasicParagraph"/>
        <w:suppressAutoHyphens/>
        <w:jc w:val="center"/>
        <w:rPr>
          <w:rFonts w:ascii="Verdana" w:hAnsi="Verdana" w:cs="Arial"/>
          <w:color w:val="3C3C3B"/>
          <w:sz w:val="20"/>
          <w:szCs w:val="20"/>
        </w:rPr>
      </w:pPr>
    </w:p>
    <w:p w14:paraId="530AD6C5" w14:textId="61DE12FD" w:rsidR="003F593B" w:rsidRDefault="003F593B" w:rsidP="003B7D0E">
      <w:pPr>
        <w:pStyle w:val="BasicParagraph"/>
        <w:suppressAutoHyphens/>
        <w:jc w:val="center"/>
        <w:rPr>
          <w:rFonts w:ascii="Verdana" w:hAnsi="Verdana" w:cs="Arial"/>
          <w:color w:val="3C3C3B"/>
          <w:sz w:val="20"/>
          <w:szCs w:val="20"/>
        </w:rPr>
      </w:pPr>
    </w:p>
    <w:p w14:paraId="1F8B626F" w14:textId="414BECBA" w:rsidR="003F593B" w:rsidRDefault="003F593B" w:rsidP="003B7D0E">
      <w:pPr>
        <w:pStyle w:val="BasicParagraph"/>
        <w:suppressAutoHyphens/>
        <w:jc w:val="center"/>
        <w:rPr>
          <w:rFonts w:ascii="Verdana" w:hAnsi="Verdana" w:cs="Arial"/>
          <w:color w:val="3C3C3B"/>
          <w:sz w:val="20"/>
          <w:szCs w:val="20"/>
        </w:rPr>
      </w:pPr>
    </w:p>
    <w:p w14:paraId="18C58273" w14:textId="6C2A3850" w:rsidR="003F593B" w:rsidRDefault="003F593B" w:rsidP="003B7D0E">
      <w:pPr>
        <w:pStyle w:val="BasicParagraph"/>
        <w:suppressAutoHyphens/>
        <w:jc w:val="center"/>
        <w:rPr>
          <w:rFonts w:ascii="Verdana" w:hAnsi="Verdana" w:cs="Arial"/>
          <w:color w:val="3C3C3B"/>
          <w:sz w:val="20"/>
          <w:szCs w:val="20"/>
        </w:rPr>
      </w:pPr>
    </w:p>
    <w:p w14:paraId="2ABF3A4B" w14:textId="052C1203" w:rsidR="003F593B" w:rsidRDefault="003F593B" w:rsidP="003B7D0E">
      <w:pPr>
        <w:pStyle w:val="BasicParagraph"/>
        <w:suppressAutoHyphens/>
        <w:jc w:val="center"/>
        <w:rPr>
          <w:rFonts w:ascii="Verdana" w:hAnsi="Verdana" w:cs="Arial"/>
          <w:color w:val="3C3C3B"/>
          <w:sz w:val="20"/>
          <w:szCs w:val="20"/>
        </w:rPr>
      </w:pPr>
    </w:p>
    <w:p w14:paraId="06BBAA80" w14:textId="6888A6D2" w:rsidR="003F593B" w:rsidRDefault="003F593B" w:rsidP="003B7D0E">
      <w:pPr>
        <w:pStyle w:val="BasicParagraph"/>
        <w:suppressAutoHyphens/>
        <w:jc w:val="center"/>
        <w:rPr>
          <w:rFonts w:ascii="Verdana" w:hAnsi="Verdana" w:cs="Arial"/>
          <w:color w:val="3C3C3B"/>
          <w:sz w:val="20"/>
          <w:szCs w:val="20"/>
        </w:rPr>
      </w:pPr>
    </w:p>
    <w:p w14:paraId="5D74BA94" w14:textId="62269602" w:rsidR="003F593B" w:rsidRDefault="003F593B" w:rsidP="003B7D0E">
      <w:pPr>
        <w:pStyle w:val="BasicParagraph"/>
        <w:suppressAutoHyphens/>
        <w:jc w:val="center"/>
        <w:rPr>
          <w:rFonts w:ascii="Verdana" w:hAnsi="Verdana" w:cs="Arial"/>
          <w:color w:val="3C3C3B"/>
          <w:sz w:val="20"/>
          <w:szCs w:val="20"/>
        </w:rPr>
      </w:pPr>
    </w:p>
    <w:p w14:paraId="7D55A72F" w14:textId="59FBBBD2" w:rsidR="003F593B" w:rsidRDefault="003F593B" w:rsidP="003B7D0E">
      <w:pPr>
        <w:pStyle w:val="BasicParagraph"/>
        <w:suppressAutoHyphens/>
        <w:jc w:val="center"/>
        <w:rPr>
          <w:rFonts w:ascii="Verdana" w:hAnsi="Verdana" w:cs="Arial"/>
          <w:color w:val="3C3C3B"/>
          <w:sz w:val="20"/>
          <w:szCs w:val="20"/>
        </w:rPr>
      </w:pPr>
    </w:p>
    <w:p w14:paraId="296149F9" w14:textId="145F9167" w:rsidR="003F593B" w:rsidRDefault="003F593B" w:rsidP="003B7D0E">
      <w:pPr>
        <w:pStyle w:val="BasicParagraph"/>
        <w:suppressAutoHyphens/>
        <w:jc w:val="center"/>
        <w:rPr>
          <w:rFonts w:ascii="Verdana" w:hAnsi="Verdana" w:cs="Arial"/>
          <w:color w:val="3C3C3B"/>
          <w:sz w:val="20"/>
          <w:szCs w:val="20"/>
        </w:rPr>
      </w:pPr>
    </w:p>
    <w:p w14:paraId="3159DBE2" w14:textId="5F55412B" w:rsidR="003F593B" w:rsidRDefault="003F593B" w:rsidP="003B7D0E">
      <w:pPr>
        <w:pStyle w:val="BasicParagraph"/>
        <w:suppressAutoHyphens/>
        <w:jc w:val="center"/>
        <w:rPr>
          <w:rFonts w:ascii="Verdana" w:hAnsi="Verdana" w:cs="Arial"/>
          <w:color w:val="3C3C3B"/>
          <w:sz w:val="20"/>
          <w:szCs w:val="20"/>
        </w:rPr>
      </w:pPr>
    </w:p>
    <w:p w14:paraId="64B2072E" w14:textId="1CCA5385" w:rsidR="003F593B" w:rsidRDefault="003F593B" w:rsidP="003B7D0E">
      <w:pPr>
        <w:pStyle w:val="BasicParagraph"/>
        <w:suppressAutoHyphens/>
        <w:jc w:val="center"/>
        <w:rPr>
          <w:rFonts w:ascii="Verdana" w:hAnsi="Verdana" w:cs="Arial"/>
          <w:color w:val="3C3C3B"/>
          <w:sz w:val="20"/>
          <w:szCs w:val="20"/>
        </w:rPr>
      </w:pPr>
    </w:p>
    <w:p w14:paraId="18F2C6B2" w14:textId="34BD690A" w:rsidR="003F593B" w:rsidRDefault="003F593B" w:rsidP="003B7D0E">
      <w:pPr>
        <w:pStyle w:val="BasicParagraph"/>
        <w:suppressAutoHyphens/>
        <w:jc w:val="center"/>
        <w:rPr>
          <w:rFonts w:ascii="Verdana" w:hAnsi="Verdana" w:cs="Arial"/>
          <w:color w:val="3C3C3B"/>
          <w:sz w:val="20"/>
          <w:szCs w:val="20"/>
        </w:rPr>
      </w:pPr>
    </w:p>
    <w:p w14:paraId="61737E52" w14:textId="26C1F9E4" w:rsidR="003F593B" w:rsidRDefault="003F593B" w:rsidP="003B7D0E">
      <w:pPr>
        <w:pStyle w:val="BasicParagraph"/>
        <w:suppressAutoHyphens/>
        <w:jc w:val="center"/>
        <w:rPr>
          <w:rFonts w:ascii="Verdana" w:hAnsi="Verdana" w:cs="Arial"/>
          <w:color w:val="3C3C3B"/>
          <w:sz w:val="20"/>
          <w:szCs w:val="20"/>
        </w:rPr>
      </w:pPr>
    </w:p>
    <w:p w14:paraId="7A9C5B18" w14:textId="5B5F9B8E" w:rsidR="003F593B" w:rsidRDefault="003F593B" w:rsidP="003B7D0E">
      <w:pPr>
        <w:pStyle w:val="BasicParagraph"/>
        <w:suppressAutoHyphens/>
        <w:jc w:val="center"/>
        <w:rPr>
          <w:rFonts w:ascii="Verdana" w:hAnsi="Verdana" w:cs="Arial"/>
          <w:color w:val="3C3C3B"/>
          <w:sz w:val="20"/>
          <w:szCs w:val="20"/>
        </w:rPr>
      </w:pPr>
    </w:p>
    <w:p w14:paraId="7DDF8FE4" w14:textId="04A020F5" w:rsidR="003F593B" w:rsidRDefault="003F593B" w:rsidP="003B7D0E">
      <w:pPr>
        <w:pStyle w:val="BasicParagraph"/>
        <w:suppressAutoHyphens/>
        <w:jc w:val="center"/>
        <w:rPr>
          <w:rFonts w:ascii="Verdana" w:hAnsi="Verdana" w:cs="Arial"/>
          <w:color w:val="3C3C3B"/>
          <w:sz w:val="20"/>
          <w:szCs w:val="20"/>
        </w:rPr>
      </w:pPr>
    </w:p>
    <w:p w14:paraId="0E1D05B0" w14:textId="0A6FEAA3" w:rsidR="003F593B" w:rsidRDefault="003F593B" w:rsidP="003B7D0E">
      <w:pPr>
        <w:pStyle w:val="BasicParagraph"/>
        <w:suppressAutoHyphens/>
        <w:jc w:val="center"/>
        <w:rPr>
          <w:rFonts w:ascii="Verdana" w:hAnsi="Verdana" w:cs="Arial"/>
          <w:color w:val="3C3C3B"/>
          <w:sz w:val="20"/>
          <w:szCs w:val="20"/>
        </w:rPr>
      </w:pPr>
    </w:p>
    <w:p w14:paraId="02891D73" w14:textId="613B7B06" w:rsidR="003F593B" w:rsidRDefault="003F593B" w:rsidP="003B7D0E">
      <w:pPr>
        <w:pStyle w:val="BasicParagraph"/>
        <w:suppressAutoHyphens/>
        <w:jc w:val="center"/>
        <w:rPr>
          <w:rFonts w:ascii="Verdana" w:hAnsi="Verdana" w:cs="Arial"/>
          <w:color w:val="3C3C3B"/>
          <w:sz w:val="20"/>
          <w:szCs w:val="20"/>
        </w:rPr>
      </w:pPr>
    </w:p>
    <w:p w14:paraId="41EB8281" w14:textId="02FA59DF" w:rsidR="003F593B" w:rsidRDefault="003F593B" w:rsidP="003B7D0E">
      <w:pPr>
        <w:pStyle w:val="BasicParagraph"/>
        <w:suppressAutoHyphens/>
        <w:jc w:val="center"/>
        <w:rPr>
          <w:rFonts w:ascii="Verdana" w:hAnsi="Verdana" w:cs="Arial"/>
          <w:color w:val="3C3C3B"/>
          <w:sz w:val="20"/>
          <w:szCs w:val="20"/>
        </w:rPr>
      </w:pPr>
    </w:p>
    <w:p w14:paraId="59566CAB" w14:textId="6393BFDA" w:rsidR="003F593B" w:rsidRDefault="003F593B" w:rsidP="003B7D0E">
      <w:pPr>
        <w:pStyle w:val="BasicParagraph"/>
        <w:suppressAutoHyphens/>
        <w:jc w:val="center"/>
        <w:rPr>
          <w:rFonts w:ascii="Verdana" w:hAnsi="Verdana" w:cs="Arial"/>
          <w:color w:val="3C3C3B"/>
          <w:sz w:val="20"/>
          <w:szCs w:val="20"/>
        </w:rPr>
      </w:pPr>
    </w:p>
    <w:p w14:paraId="3633F5F9" w14:textId="02701AE4" w:rsidR="003F593B" w:rsidRDefault="003F593B" w:rsidP="003B7D0E">
      <w:pPr>
        <w:pStyle w:val="BasicParagraph"/>
        <w:suppressAutoHyphens/>
        <w:jc w:val="center"/>
        <w:rPr>
          <w:rFonts w:ascii="Verdana" w:hAnsi="Verdana" w:cs="Arial"/>
          <w:color w:val="3C3C3B"/>
          <w:sz w:val="20"/>
          <w:szCs w:val="20"/>
        </w:rPr>
      </w:pPr>
    </w:p>
    <w:p w14:paraId="21C4509B" w14:textId="0355117F" w:rsidR="003F593B" w:rsidRDefault="003F593B" w:rsidP="003B7D0E">
      <w:pPr>
        <w:pStyle w:val="BasicParagraph"/>
        <w:suppressAutoHyphens/>
        <w:jc w:val="center"/>
        <w:rPr>
          <w:rFonts w:ascii="Verdana" w:hAnsi="Verdana" w:cs="Arial"/>
          <w:color w:val="3C3C3B"/>
          <w:sz w:val="20"/>
          <w:szCs w:val="20"/>
        </w:rPr>
      </w:pPr>
    </w:p>
    <w:p w14:paraId="718CEEAE" w14:textId="46AD763C" w:rsidR="003F593B" w:rsidRDefault="003F593B" w:rsidP="003B7D0E">
      <w:pPr>
        <w:pStyle w:val="BasicParagraph"/>
        <w:suppressAutoHyphens/>
        <w:jc w:val="center"/>
        <w:rPr>
          <w:rFonts w:ascii="Verdana" w:hAnsi="Verdana" w:cs="Arial"/>
          <w:color w:val="3C3C3B"/>
          <w:sz w:val="20"/>
          <w:szCs w:val="20"/>
        </w:rPr>
      </w:pPr>
    </w:p>
    <w:p w14:paraId="079DB14B" w14:textId="47A74763" w:rsidR="003F593B" w:rsidRDefault="003F593B" w:rsidP="003B7D0E">
      <w:pPr>
        <w:pStyle w:val="BasicParagraph"/>
        <w:suppressAutoHyphens/>
        <w:jc w:val="center"/>
        <w:rPr>
          <w:rFonts w:ascii="Verdana" w:hAnsi="Verdana" w:cs="Arial"/>
          <w:color w:val="3C3C3B"/>
          <w:sz w:val="20"/>
          <w:szCs w:val="20"/>
        </w:rPr>
      </w:pPr>
    </w:p>
    <w:p w14:paraId="776A8331" w14:textId="4C37F406" w:rsidR="003F593B" w:rsidRDefault="003F593B" w:rsidP="003B7D0E">
      <w:pPr>
        <w:pStyle w:val="BasicParagraph"/>
        <w:suppressAutoHyphens/>
        <w:jc w:val="center"/>
        <w:rPr>
          <w:rFonts w:ascii="Verdana" w:hAnsi="Verdana" w:cs="Arial"/>
          <w:color w:val="3C3C3B"/>
          <w:sz w:val="20"/>
          <w:szCs w:val="20"/>
        </w:rPr>
      </w:pPr>
    </w:p>
    <w:p w14:paraId="19996286" w14:textId="2C656814" w:rsidR="003F593B" w:rsidRDefault="003F593B" w:rsidP="003B7D0E">
      <w:pPr>
        <w:pStyle w:val="BasicParagraph"/>
        <w:suppressAutoHyphens/>
        <w:jc w:val="center"/>
        <w:rPr>
          <w:rFonts w:ascii="Verdana" w:hAnsi="Verdana" w:cs="Arial"/>
          <w:color w:val="3C3C3B"/>
          <w:sz w:val="20"/>
          <w:szCs w:val="20"/>
        </w:rPr>
      </w:pPr>
    </w:p>
    <w:p w14:paraId="49567FFC" w14:textId="1678D3A5" w:rsidR="003F593B" w:rsidRDefault="003F593B" w:rsidP="003B7D0E">
      <w:pPr>
        <w:pStyle w:val="BasicParagraph"/>
        <w:suppressAutoHyphens/>
        <w:jc w:val="center"/>
        <w:rPr>
          <w:rFonts w:ascii="Verdana" w:hAnsi="Verdana" w:cs="Arial"/>
          <w:color w:val="3C3C3B"/>
          <w:sz w:val="20"/>
          <w:szCs w:val="20"/>
        </w:rPr>
      </w:pPr>
    </w:p>
    <w:p w14:paraId="345C2667" w14:textId="4E39FF81" w:rsidR="003F593B" w:rsidRDefault="003F593B" w:rsidP="003B7D0E">
      <w:pPr>
        <w:pStyle w:val="BasicParagraph"/>
        <w:suppressAutoHyphens/>
        <w:jc w:val="center"/>
        <w:rPr>
          <w:rFonts w:ascii="Verdana" w:hAnsi="Verdana" w:cs="Arial"/>
          <w:color w:val="3C3C3B"/>
          <w:sz w:val="20"/>
          <w:szCs w:val="20"/>
        </w:rPr>
      </w:pPr>
    </w:p>
    <w:p w14:paraId="220BD9A6" w14:textId="3BA96A5B" w:rsidR="003F593B" w:rsidRDefault="003F593B" w:rsidP="003B7D0E">
      <w:pPr>
        <w:pStyle w:val="BasicParagraph"/>
        <w:suppressAutoHyphens/>
        <w:jc w:val="center"/>
        <w:rPr>
          <w:rFonts w:ascii="Verdana" w:hAnsi="Verdana" w:cs="Arial"/>
          <w:color w:val="3C3C3B"/>
          <w:sz w:val="20"/>
          <w:szCs w:val="20"/>
        </w:rPr>
      </w:pPr>
    </w:p>
    <w:p w14:paraId="6D61EF9C" w14:textId="6132299B" w:rsidR="003F593B" w:rsidRDefault="003F593B" w:rsidP="003B7D0E">
      <w:pPr>
        <w:pStyle w:val="BasicParagraph"/>
        <w:suppressAutoHyphens/>
        <w:jc w:val="center"/>
        <w:rPr>
          <w:rFonts w:ascii="Verdana" w:hAnsi="Verdana" w:cs="Arial"/>
          <w:color w:val="3C3C3B"/>
          <w:sz w:val="20"/>
          <w:szCs w:val="20"/>
        </w:rPr>
      </w:pPr>
    </w:p>
    <w:p w14:paraId="5C731BEA" w14:textId="0B3E902D" w:rsidR="003F593B" w:rsidRDefault="003F593B" w:rsidP="003B7D0E">
      <w:pPr>
        <w:pStyle w:val="BasicParagraph"/>
        <w:suppressAutoHyphens/>
        <w:jc w:val="center"/>
        <w:rPr>
          <w:rFonts w:ascii="Verdana" w:hAnsi="Verdana" w:cs="Arial"/>
          <w:color w:val="3C3C3B"/>
          <w:sz w:val="20"/>
          <w:szCs w:val="20"/>
        </w:rPr>
      </w:pPr>
    </w:p>
    <w:p w14:paraId="7A2DC172" w14:textId="48632DF8" w:rsidR="00400AD2" w:rsidRDefault="00400AD2" w:rsidP="003B7D0E">
      <w:pPr>
        <w:pStyle w:val="BasicParagraph"/>
        <w:suppressAutoHyphens/>
        <w:jc w:val="center"/>
        <w:rPr>
          <w:rFonts w:ascii="Verdana" w:hAnsi="Verdana" w:cs="Arial"/>
          <w:color w:val="3C3C3B"/>
          <w:sz w:val="20"/>
          <w:szCs w:val="20"/>
        </w:rPr>
      </w:pPr>
    </w:p>
    <w:p w14:paraId="1FE7712A" w14:textId="0CED2B95" w:rsidR="00400AD2" w:rsidRDefault="00400AD2" w:rsidP="003B7D0E">
      <w:pPr>
        <w:pStyle w:val="BasicParagraph"/>
        <w:suppressAutoHyphens/>
        <w:jc w:val="center"/>
        <w:rPr>
          <w:rFonts w:ascii="Verdana" w:hAnsi="Verdana" w:cs="Arial"/>
          <w:color w:val="3C3C3B"/>
          <w:sz w:val="20"/>
          <w:szCs w:val="20"/>
        </w:rPr>
      </w:pPr>
    </w:p>
    <w:p w14:paraId="01ADA602" w14:textId="7DC65B03" w:rsidR="00400AD2" w:rsidRDefault="00400AD2" w:rsidP="003B7D0E">
      <w:pPr>
        <w:pStyle w:val="BasicParagraph"/>
        <w:suppressAutoHyphens/>
        <w:jc w:val="center"/>
        <w:rPr>
          <w:rFonts w:ascii="Verdana" w:hAnsi="Verdana" w:cs="Arial"/>
          <w:color w:val="3C3C3B"/>
          <w:sz w:val="20"/>
          <w:szCs w:val="20"/>
        </w:rPr>
      </w:pPr>
    </w:p>
    <w:p w14:paraId="3D9E7C73" w14:textId="04192A03" w:rsidR="00400AD2" w:rsidRDefault="00400AD2" w:rsidP="003B7D0E">
      <w:pPr>
        <w:pStyle w:val="BasicParagraph"/>
        <w:suppressAutoHyphens/>
        <w:jc w:val="center"/>
        <w:rPr>
          <w:rFonts w:ascii="Verdana" w:hAnsi="Verdana" w:cs="Arial"/>
          <w:color w:val="3C3C3B"/>
          <w:sz w:val="20"/>
          <w:szCs w:val="20"/>
        </w:rPr>
      </w:pPr>
    </w:p>
    <w:p w14:paraId="546D6D96" w14:textId="0511EBB0" w:rsidR="00400AD2" w:rsidRDefault="00400AD2" w:rsidP="003B7D0E">
      <w:pPr>
        <w:pStyle w:val="BasicParagraph"/>
        <w:suppressAutoHyphens/>
        <w:jc w:val="center"/>
        <w:rPr>
          <w:rFonts w:ascii="Verdana" w:hAnsi="Verdana" w:cs="Arial"/>
          <w:color w:val="3C3C3B"/>
          <w:sz w:val="20"/>
          <w:szCs w:val="20"/>
        </w:rPr>
      </w:pPr>
    </w:p>
    <w:p w14:paraId="1B8B6A66" w14:textId="4E7D8C04" w:rsidR="00400AD2" w:rsidRDefault="00400AD2" w:rsidP="003B7D0E">
      <w:pPr>
        <w:pStyle w:val="BasicParagraph"/>
        <w:suppressAutoHyphens/>
        <w:jc w:val="center"/>
        <w:rPr>
          <w:rFonts w:ascii="Verdana" w:hAnsi="Verdana" w:cs="Arial"/>
          <w:color w:val="3C3C3B"/>
          <w:sz w:val="20"/>
          <w:szCs w:val="20"/>
        </w:rPr>
      </w:pPr>
    </w:p>
    <w:p w14:paraId="417161CD" w14:textId="35C1C1FA" w:rsidR="00400AD2" w:rsidRDefault="00400AD2" w:rsidP="003B7D0E">
      <w:pPr>
        <w:pStyle w:val="BasicParagraph"/>
        <w:suppressAutoHyphens/>
        <w:jc w:val="center"/>
        <w:rPr>
          <w:rFonts w:ascii="Verdana" w:hAnsi="Verdana" w:cs="Arial"/>
          <w:color w:val="3C3C3B"/>
          <w:sz w:val="20"/>
          <w:szCs w:val="20"/>
        </w:rPr>
      </w:pPr>
    </w:p>
    <w:p w14:paraId="653B58C1" w14:textId="30C8C226" w:rsidR="00400AD2" w:rsidRDefault="00400AD2" w:rsidP="003B7D0E">
      <w:pPr>
        <w:pStyle w:val="BasicParagraph"/>
        <w:suppressAutoHyphens/>
        <w:jc w:val="center"/>
        <w:rPr>
          <w:rFonts w:ascii="Verdana" w:hAnsi="Verdana" w:cs="Arial"/>
          <w:color w:val="3C3C3B"/>
          <w:sz w:val="20"/>
          <w:szCs w:val="20"/>
        </w:rPr>
      </w:pPr>
    </w:p>
    <w:p w14:paraId="20CD0413" w14:textId="7421FF54" w:rsidR="00400AD2" w:rsidRDefault="00400AD2" w:rsidP="003B7D0E">
      <w:pPr>
        <w:pStyle w:val="BasicParagraph"/>
        <w:suppressAutoHyphens/>
        <w:jc w:val="center"/>
        <w:rPr>
          <w:rFonts w:ascii="Verdana" w:hAnsi="Verdana" w:cs="Arial"/>
          <w:color w:val="3C3C3B"/>
          <w:sz w:val="20"/>
          <w:szCs w:val="20"/>
        </w:rPr>
      </w:pPr>
    </w:p>
    <w:p w14:paraId="574D1CB8" w14:textId="4453AB91" w:rsidR="00400AD2" w:rsidRDefault="00400AD2" w:rsidP="003B7D0E">
      <w:pPr>
        <w:pStyle w:val="BasicParagraph"/>
        <w:suppressAutoHyphens/>
        <w:jc w:val="center"/>
        <w:rPr>
          <w:rFonts w:ascii="Verdana" w:hAnsi="Verdana" w:cs="Arial"/>
          <w:color w:val="3C3C3B"/>
          <w:sz w:val="20"/>
          <w:szCs w:val="20"/>
        </w:rPr>
      </w:pPr>
    </w:p>
    <w:p w14:paraId="58E9A2A8" w14:textId="1611DDBA" w:rsidR="00400AD2" w:rsidRDefault="00400AD2" w:rsidP="003B7D0E">
      <w:pPr>
        <w:pStyle w:val="BasicParagraph"/>
        <w:suppressAutoHyphens/>
        <w:jc w:val="center"/>
        <w:rPr>
          <w:rFonts w:ascii="Verdana" w:hAnsi="Verdana" w:cs="Arial"/>
          <w:color w:val="3C3C3B"/>
          <w:sz w:val="20"/>
          <w:szCs w:val="20"/>
        </w:rPr>
      </w:pPr>
    </w:p>
    <w:p w14:paraId="4673E21D" w14:textId="66B65F8E" w:rsidR="00400AD2" w:rsidRDefault="00400AD2" w:rsidP="003B7D0E">
      <w:pPr>
        <w:pStyle w:val="BasicParagraph"/>
        <w:suppressAutoHyphens/>
        <w:jc w:val="center"/>
        <w:rPr>
          <w:rFonts w:ascii="Verdana" w:hAnsi="Verdana" w:cs="Arial"/>
          <w:color w:val="3C3C3B"/>
          <w:sz w:val="20"/>
          <w:szCs w:val="20"/>
        </w:rPr>
      </w:pPr>
    </w:p>
    <w:p w14:paraId="7D7CAF70" w14:textId="33634842" w:rsidR="00400AD2" w:rsidRDefault="00400AD2" w:rsidP="003B7D0E">
      <w:pPr>
        <w:pStyle w:val="BasicParagraph"/>
        <w:suppressAutoHyphens/>
        <w:jc w:val="center"/>
        <w:rPr>
          <w:rFonts w:ascii="Verdana" w:hAnsi="Verdana" w:cs="Arial"/>
          <w:color w:val="3C3C3B"/>
          <w:sz w:val="20"/>
          <w:szCs w:val="20"/>
        </w:rPr>
      </w:pPr>
    </w:p>
    <w:p w14:paraId="02D7ED76" w14:textId="30BD8768" w:rsidR="00400AD2" w:rsidRDefault="00400AD2" w:rsidP="003B7D0E">
      <w:pPr>
        <w:pStyle w:val="BasicParagraph"/>
        <w:suppressAutoHyphens/>
        <w:jc w:val="center"/>
        <w:rPr>
          <w:rFonts w:ascii="Verdana" w:hAnsi="Verdana" w:cs="Arial"/>
          <w:color w:val="3C3C3B"/>
          <w:sz w:val="20"/>
          <w:szCs w:val="20"/>
        </w:rPr>
      </w:pPr>
    </w:p>
    <w:p w14:paraId="72007BD2" w14:textId="179B0C5F" w:rsidR="00400AD2" w:rsidRDefault="00400AD2" w:rsidP="003B7D0E">
      <w:pPr>
        <w:pStyle w:val="BasicParagraph"/>
        <w:suppressAutoHyphens/>
        <w:jc w:val="center"/>
        <w:rPr>
          <w:rFonts w:ascii="Verdana" w:hAnsi="Verdana" w:cs="Arial"/>
          <w:color w:val="3C3C3B"/>
          <w:sz w:val="20"/>
          <w:szCs w:val="20"/>
        </w:rPr>
      </w:pPr>
    </w:p>
    <w:p w14:paraId="32364D56" w14:textId="6841B841" w:rsidR="00400AD2" w:rsidRDefault="00400AD2" w:rsidP="003B7D0E">
      <w:pPr>
        <w:pStyle w:val="BasicParagraph"/>
        <w:suppressAutoHyphens/>
        <w:jc w:val="center"/>
        <w:rPr>
          <w:rFonts w:ascii="Verdana" w:hAnsi="Verdana" w:cs="Arial"/>
          <w:color w:val="3C3C3B"/>
          <w:sz w:val="20"/>
          <w:szCs w:val="20"/>
        </w:rPr>
      </w:pPr>
    </w:p>
    <w:p w14:paraId="3C46718D" w14:textId="757F0330" w:rsidR="00400AD2" w:rsidRDefault="00400AD2" w:rsidP="003B7D0E">
      <w:pPr>
        <w:pStyle w:val="BasicParagraph"/>
        <w:suppressAutoHyphens/>
        <w:jc w:val="center"/>
        <w:rPr>
          <w:rFonts w:ascii="Verdana" w:hAnsi="Verdana" w:cs="Arial"/>
          <w:color w:val="3C3C3B"/>
          <w:sz w:val="20"/>
          <w:szCs w:val="20"/>
        </w:rPr>
      </w:pPr>
    </w:p>
    <w:p w14:paraId="24AA47E4" w14:textId="3394CE9F" w:rsidR="00400AD2" w:rsidRDefault="00400AD2" w:rsidP="003B7D0E">
      <w:pPr>
        <w:pStyle w:val="BasicParagraph"/>
        <w:suppressAutoHyphens/>
        <w:jc w:val="center"/>
        <w:rPr>
          <w:rFonts w:ascii="Verdana" w:hAnsi="Verdana" w:cs="Arial"/>
          <w:color w:val="3C3C3B"/>
          <w:sz w:val="20"/>
          <w:szCs w:val="20"/>
        </w:rPr>
      </w:pPr>
    </w:p>
    <w:p w14:paraId="6EC7669A" w14:textId="77777777" w:rsidR="00400AD2" w:rsidRDefault="00400AD2" w:rsidP="003B7D0E">
      <w:pPr>
        <w:pStyle w:val="BasicParagraph"/>
        <w:suppressAutoHyphens/>
        <w:jc w:val="center"/>
        <w:rPr>
          <w:rFonts w:ascii="Verdana" w:hAnsi="Verdana" w:cs="Arial"/>
          <w:color w:val="3C3C3B"/>
          <w:sz w:val="20"/>
          <w:szCs w:val="20"/>
        </w:rPr>
      </w:pPr>
    </w:p>
    <w:p w14:paraId="4F0526FA" w14:textId="77777777" w:rsidR="003F593B" w:rsidRDefault="003F593B" w:rsidP="003B7D0E">
      <w:pPr>
        <w:pStyle w:val="BasicParagraph"/>
        <w:suppressAutoHyphens/>
        <w:jc w:val="center"/>
        <w:rPr>
          <w:rFonts w:ascii="Verdana" w:hAnsi="Verdana" w:cs="Arial"/>
          <w:color w:val="3C3C3B"/>
          <w:sz w:val="20"/>
          <w:szCs w:val="20"/>
        </w:rPr>
      </w:pPr>
    </w:p>
    <w:p w14:paraId="06F25DD4" w14:textId="77777777" w:rsidR="00BA60CC" w:rsidRDefault="00BA60CC" w:rsidP="003B7D0E">
      <w:pPr>
        <w:pStyle w:val="BasicParagraph"/>
        <w:suppressAutoHyphens/>
        <w:jc w:val="center"/>
        <w:rPr>
          <w:rFonts w:ascii="Verdana" w:hAnsi="Verdana" w:cs="Arial"/>
          <w:color w:val="3C3C3B"/>
          <w:sz w:val="20"/>
          <w:szCs w:val="20"/>
        </w:rPr>
      </w:pPr>
    </w:p>
    <w:p w14:paraId="1B064D1C" w14:textId="77777777" w:rsidR="00BA60CC" w:rsidRDefault="00BA60CC" w:rsidP="003B7D0E">
      <w:pPr>
        <w:pStyle w:val="BasicParagraph"/>
        <w:suppressAutoHyphens/>
        <w:jc w:val="center"/>
        <w:rPr>
          <w:rFonts w:ascii="Verdana" w:hAnsi="Verdana" w:cs="Arial"/>
          <w:color w:val="3C3C3B"/>
          <w:sz w:val="20"/>
          <w:szCs w:val="20"/>
        </w:rPr>
      </w:pPr>
    </w:p>
    <w:p w14:paraId="5BC8DC66" w14:textId="77777777" w:rsidR="003B7D0E" w:rsidRDefault="003B7D0E" w:rsidP="003B7D0E">
      <w:pPr>
        <w:pStyle w:val="BasicParagraph"/>
        <w:suppressAutoHyphens/>
        <w:jc w:val="center"/>
        <w:rPr>
          <w:rFonts w:ascii="Verdana" w:hAnsi="Verdana" w:cs="Arial"/>
          <w:color w:val="3C3C3B"/>
          <w:sz w:val="20"/>
          <w:szCs w:val="20"/>
        </w:rPr>
      </w:pPr>
    </w:p>
    <w:p w14:paraId="43BC1BDB"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ntact us</w:t>
      </w:r>
    </w:p>
    <w:p w14:paraId="2285827E" w14:textId="77777777" w:rsidR="00331C61" w:rsidRPr="00331C61" w:rsidRDefault="00331C61" w:rsidP="00830D84">
      <w:pPr>
        <w:spacing w:line="288" w:lineRule="auto"/>
        <w:rPr>
          <w:rFonts w:ascii="Verdana" w:hAnsi="Verdana" w:cs="Arial"/>
          <w:b/>
          <w:color w:val="232120"/>
          <w:sz w:val="30"/>
          <w:szCs w:val="30"/>
        </w:rPr>
      </w:pPr>
    </w:p>
    <w:p w14:paraId="76EBDEC2" w14:textId="77777777" w:rsidR="00331C61" w:rsidRPr="00331C61" w:rsidRDefault="00331C61" w:rsidP="003B7D0E">
      <w:pPr>
        <w:spacing w:line="288" w:lineRule="auto"/>
        <w:jc w:val="center"/>
        <w:rPr>
          <w:rFonts w:ascii="Verdana" w:hAnsi="Verdana" w:cs="Arial"/>
          <w:b/>
          <w:color w:val="232120"/>
          <w:sz w:val="30"/>
          <w:szCs w:val="30"/>
        </w:rPr>
      </w:pPr>
    </w:p>
    <w:p w14:paraId="51CDA127" w14:textId="77777777" w:rsidR="00331C61" w:rsidRPr="00331C61" w:rsidRDefault="003648F5" w:rsidP="00331C61">
      <w:pPr>
        <w:spacing w:line="288"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58AC2591"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5F2A01B1" w14:textId="77777777" w:rsidR="00F56C78" w:rsidRPr="00331C61" w:rsidRDefault="00F56C78" w:rsidP="003B7D0E">
      <w:pPr>
        <w:spacing w:line="288" w:lineRule="auto"/>
        <w:jc w:val="center"/>
        <w:rPr>
          <w:rFonts w:ascii="Verdana" w:hAnsi="Verdana" w:cs="Arial"/>
          <w:b/>
          <w:color w:val="232120"/>
          <w:sz w:val="28"/>
          <w:szCs w:val="28"/>
        </w:rPr>
      </w:pPr>
    </w:p>
    <w:p w14:paraId="698FD138" w14:textId="77777777" w:rsidR="00F56C78" w:rsidRPr="00331C61" w:rsidRDefault="00F56C78" w:rsidP="003B7D0E">
      <w:pPr>
        <w:spacing w:line="288" w:lineRule="auto"/>
        <w:jc w:val="center"/>
        <w:rPr>
          <w:rFonts w:ascii="Verdana" w:hAnsi="Verdana" w:cs="Arial"/>
          <w:color w:val="232120"/>
          <w:sz w:val="20"/>
          <w:szCs w:val="20"/>
        </w:rPr>
      </w:pPr>
    </w:p>
    <w:p w14:paraId="4D5A3D17"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2AA8ABFB" wp14:editId="23DA8A43">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F5A2" w14:textId="77777777" w:rsidR="003648F5" w:rsidRDefault="003648F5" w:rsidP="00962B2B">
      <w:r>
        <w:separator/>
      </w:r>
    </w:p>
  </w:endnote>
  <w:endnote w:type="continuationSeparator" w:id="0">
    <w:p w14:paraId="50700955" w14:textId="77777777" w:rsidR="003648F5" w:rsidRDefault="003648F5" w:rsidP="00962B2B">
      <w:r>
        <w:continuationSeparator/>
      </w:r>
    </w:p>
  </w:endnote>
  <w:endnote w:type="continuationNotice" w:id="1">
    <w:p w14:paraId="572B5E4E" w14:textId="77777777" w:rsidR="003648F5" w:rsidRDefault="00364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70C0" w14:textId="77777777" w:rsidR="00D2770F" w:rsidRDefault="00D2770F" w:rsidP="00656ECD">
    <w:pPr>
      <w:pStyle w:val="Footer"/>
      <w:jc w:val="right"/>
      <w:rPr>
        <w:rStyle w:val="PageNumber"/>
        <w:rFonts w:ascii="Arial" w:hAnsi="Arial" w:cs="Arial"/>
        <w:b/>
        <w:sz w:val="16"/>
        <w:szCs w:val="16"/>
      </w:rPr>
    </w:pPr>
  </w:p>
  <w:p w14:paraId="0A1D4879" w14:textId="483766B6"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7213E5">
      <w:rPr>
        <w:rStyle w:val="PageNumber"/>
        <w:rFonts w:ascii="Arial" w:hAnsi="Arial" w:cs="Arial"/>
        <w:b/>
        <w:noProof/>
        <w:color w:val="77328A"/>
        <w:sz w:val="16"/>
        <w:szCs w:val="16"/>
      </w:rPr>
      <w:t>6</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39D2" w14:textId="77777777" w:rsidR="00D2770F" w:rsidRDefault="00D2770F" w:rsidP="00046705">
    <w:pPr>
      <w:pStyle w:val="Footer"/>
      <w:jc w:val="right"/>
      <w:rPr>
        <w:rStyle w:val="PageNumber"/>
        <w:rFonts w:ascii="Arial" w:hAnsi="Arial" w:cs="Arial"/>
        <w:b/>
        <w:sz w:val="16"/>
        <w:szCs w:val="16"/>
      </w:rPr>
    </w:pPr>
  </w:p>
  <w:p w14:paraId="6310FE49"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017D" w14:textId="77777777" w:rsidR="003648F5" w:rsidRDefault="003648F5" w:rsidP="00B96D34">
      <w:r>
        <w:continuationSeparator/>
      </w:r>
    </w:p>
    <w:p w14:paraId="476ED76D" w14:textId="77777777" w:rsidR="003648F5" w:rsidRPr="00B96D34" w:rsidRDefault="003648F5" w:rsidP="00B96D34">
      <w:pPr>
        <w:pStyle w:val="Footer"/>
      </w:pPr>
    </w:p>
  </w:footnote>
  <w:footnote w:type="continuationSeparator" w:id="0">
    <w:p w14:paraId="1C11EC45" w14:textId="77777777" w:rsidR="003648F5" w:rsidRDefault="003648F5" w:rsidP="00962B2B">
      <w:r>
        <w:continuationSeparator/>
      </w:r>
    </w:p>
  </w:footnote>
  <w:footnote w:type="continuationNotice" w:id="1">
    <w:p w14:paraId="3872BDDA" w14:textId="77777777" w:rsidR="003648F5" w:rsidRDefault="003648F5"/>
  </w:footnote>
  <w:footnote w:id="2">
    <w:p w14:paraId="7A1A2F51" w14:textId="77777777" w:rsidR="00763E1F" w:rsidRPr="005C4B3E" w:rsidRDefault="00763E1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Ratified by the UK 1951. Further guidance is also taken from the body of case law from the European Court of Human Rights (ECtHR).</w:t>
      </w:r>
    </w:p>
  </w:footnote>
  <w:footnote w:id="3">
    <w:p w14:paraId="59962219" w14:textId="04D85F04" w:rsidR="00981844" w:rsidRPr="005C4B3E" w:rsidRDefault="00981844">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Council of Europe Convention on preventing and combating violence against women and domestic violence (Istanbul Convention), 11 April 2011 (Not </w:t>
      </w:r>
      <w:r w:rsidR="00306B13" w:rsidRPr="005C4B3E">
        <w:rPr>
          <w:rFonts w:ascii="Verdana" w:hAnsi="Verdana"/>
          <w:color w:val="77328A"/>
          <w:sz w:val="16"/>
          <w:szCs w:val="16"/>
        </w:rPr>
        <w:t>yet</w:t>
      </w:r>
      <w:r w:rsidRPr="005C4B3E">
        <w:rPr>
          <w:rFonts w:ascii="Verdana" w:hAnsi="Verdana"/>
          <w:color w:val="77328A"/>
          <w:sz w:val="16"/>
          <w:szCs w:val="16"/>
        </w:rPr>
        <w:t xml:space="preserve"> ratified by UK).</w:t>
      </w:r>
    </w:p>
  </w:footnote>
  <w:footnote w:id="4">
    <w:p w14:paraId="72DED81C" w14:textId="77777777" w:rsidR="00763E1F" w:rsidRPr="005C4B3E" w:rsidRDefault="00763E1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Ratified by the UK 1989.</w:t>
      </w:r>
    </w:p>
  </w:footnote>
  <w:footnote w:id="5">
    <w:p w14:paraId="6A15A713" w14:textId="77777777" w:rsidR="00763E1F" w:rsidRPr="005C4B3E" w:rsidRDefault="00763E1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Ratified by the UK 1966.</w:t>
      </w:r>
    </w:p>
  </w:footnote>
  <w:footnote w:id="6">
    <w:p w14:paraId="5BB77C50" w14:textId="77777777" w:rsidR="00763E1F" w:rsidRPr="005C4B3E" w:rsidRDefault="00763E1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Ratified by the UK 1986.</w:t>
      </w:r>
    </w:p>
  </w:footnote>
  <w:footnote w:id="7">
    <w:p w14:paraId="2928DEEF" w14:textId="77777777" w:rsidR="00763E1F" w:rsidRPr="005C4B3E" w:rsidRDefault="00763E1F">
      <w:pPr>
        <w:pStyle w:val="FootnoteText"/>
        <w:rPr>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Ratified by the UK 1988.</w:t>
      </w:r>
    </w:p>
  </w:footnote>
  <w:footnote w:id="8">
    <w:p w14:paraId="1FFD3072" w14:textId="77777777" w:rsidR="000C25D3" w:rsidRPr="005C4B3E" w:rsidRDefault="000C25D3">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D74948" w:rsidRPr="005C4B3E">
        <w:rPr>
          <w:rFonts w:ascii="Verdana" w:hAnsi="Verdana"/>
          <w:color w:val="77328A"/>
          <w:sz w:val="16"/>
          <w:szCs w:val="16"/>
        </w:rPr>
        <w:t>Ratified by the UK 1951.</w:t>
      </w:r>
    </w:p>
  </w:footnote>
  <w:footnote w:id="9">
    <w:p w14:paraId="6C744AFA" w14:textId="01BAD74F" w:rsidR="008B7074" w:rsidRDefault="008B7074">
      <w:pPr>
        <w:pStyle w:val="FootnoteText"/>
      </w:pPr>
      <w:r w:rsidRPr="005C4B3E">
        <w:rPr>
          <w:rStyle w:val="FootnoteReference"/>
          <w:rFonts w:ascii="Verdana" w:hAnsi="Verdana"/>
          <w:color w:val="77328A"/>
          <w:sz w:val="16"/>
          <w:szCs w:val="16"/>
        </w:rPr>
        <w:footnoteRef/>
      </w:r>
      <w:r w:rsidRPr="005C4B3E">
        <w:rPr>
          <w:color w:val="77328A"/>
          <w:sz w:val="16"/>
          <w:szCs w:val="16"/>
        </w:rPr>
        <w:t xml:space="preserve"> </w:t>
      </w:r>
      <w:r w:rsidRPr="005C4B3E">
        <w:rPr>
          <w:rStyle w:val="Strong"/>
          <w:rFonts w:ascii="Verdana" w:hAnsi="Verdana"/>
          <w:b w:val="0"/>
          <w:bCs w:val="0"/>
          <w:color w:val="77328A"/>
          <w:sz w:val="16"/>
          <w:szCs w:val="16"/>
          <w:shd w:val="clear" w:color="auto" w:fill="FFFFFF"/>
        </w:rPr>
        <w:t xml:space="preserve">HRI/GEN/1/Rev.1, </w:t>
      </w:r>
      <w:r w:rsidRPr="005C4B3E">
        <w:rPr>
          <w:rStyle w:val="Strong"/>
          <w:rFonts w:ascii="Verdana" w:hAnsi="Verdana"/>
          <w:color w:val="77328A"/>
          <w:sz w:val="16"/>
          <w:szCs w:val="16"/>
          <w:shd w:val="clear" w:color="auto" w:fill="FFFFFF"/>
        </w:rPr>
        <w:t>‘</w:t>
      </w:r>
      <w:r w:rsidRPr="005C4B3E">
        <w:rPr>
          <w:rFonts w:ascii="Verdana" w:hAnsi="Verdana"/>
          <w:color w:val="77328A"/>
          <w:sz w:val="16"/>
          <w:szCs w:val="16"/>
        </w:rPr>
        <w:t>UN Human Rights Committee General Comment No.22: Article 18’ 1993</w:t>
      </w:r>
    </w:p>
  </w:footnote>
  <w:footnote w:id="10">
    <w:p w14:paraId="4F38530A" w14:textId="77777777" w:rsidR="00763E1F" w:rsidRPr="005C4B3E" w:rsidRDefault="00763E1F">
      <w:pPr>
        <w:pStyle w:val="FootnoteText"/>
        <w:rPr>
          <w:rFonts w:ascii="Verdana" w:hAnsi="Verdana"/>
          <w:color w:val="77328A"/>
          <w:sz w:val="22"/>
          <w:szCs w:val="22"/>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CRC/GC/2003/4 ‘UN CRC General Comment No. 4: Adolescent Health and Development in the Context of the Convention on the Rights of the Child’ 1 July 2003</w:t>
      </w:r>
      <w:r w:rsidR="00961AA2" w:rsidRPr="005C4B3E">
        <w:rPr>
          <w:rFonts w:ascii="Verdana" w:hAnsi="Verdana"/>
          <w:color w:val="77328A"/>
          <w:sz w:val="16"/>
          <w:szCs w:val="16"/>
        </w:rPr>
        <w:t>.</w:t>
      </w:r>
    </w:p>
  </w:footnote>
  <w:footnote w:id="11">
    <w:p w14:paraId="3ED6875E" w14:textId="77777777" w:rsidR="00763E1F" w:rsidRPr="005C4B3E" w:rsidRDefault="00763E1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CRC/C/GC/20, ‘UN CRC General comment No. 20 (2016) on the implementation of the rights of the child during adolescence’ 6 December 2016</w:t>
      </w:r>
      <w:r w:rsidR="00961AA2" w:rsidRPr="005C4B3E">
        <w:rPr>
          <w:rFonts w:ascii="Verdana" w:hAnsi="Verdana"/>
          <w:color w:val="77328A"/>
          <w:sz w:val="16"/>
          <w:szCs w:val="16"/>
        </w:rPr>
        <w:t>.</w:t>
      </w:r>
    </w:p>
  </w:footnote>
  <w:footnote w:id="12">
    <w:p w14:paraId="4713E7BB" w14:textId="77777777" w:rsidR="008708EB" w:rsidRPr="005C4B3E" w:rsidRDefault="008708EB">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A/49/38 ‘UN CEDAW Committee, General Recommendation No. 21: Equality in Marriage and Family Relations’ 13th session, 1994</w:t>
      </w:r>
      <w:r w:rsidR="00961AA2" w:rsidRPr="005C4B3E">
        <w:rPr>
          <w:rFonts w:ascii="Verdana" w:hAnsi="Verdana"/>
          <w:color w:val="77328A"/>
          <w:sz w:val="16"/>
          <w:szCs w:val="16"/>
        </w:rPr>
        <w:t>.</w:t>
      </w:r>
    </w:p>
  </w:footnote>
  <w:footnote w:id="13">
    <w:p w14:paraId="61ADCED1" w14:textId="77777777" w:rsidR="00763E1F" w:rsidRPr="005C4B3E" w:rsidRDefault="00763E1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CEDAW/C/GBR/CO/8, ‘UN CEDAW Committee Concluding Observations on the UK Eighth Periodic Report’, 8 March 2019</w:t>
      </w:r>
      <w:r w:rsidR="00961AA2" w:rsidRPr="005C4B3E">
        <w:rPr>
          <w:rFonts w:ascii="Verdana" w:hAnsi="Verdana"/>
          <w:color w:val="77328A"/>
          <w:sz w:val="16"/>
          <w:szCs w:val="16"/>
        </w:rPr>
        <w:t>.</w:t>
      </w:r>
    </w:p>
  </w:footnote>
  <w:footnote w:id="14">
    <w:p w14:paraId="63E4189E" w14:textId="77777777" w:rsidR="00763E1F" w:rsidRPr="005C4B3E" w:rsidRDefault="00763E1F">
      <w:pPr>
        <w:pStyle w:val="FootnoteText"/>
        <w:rPr>
          <w:color w:val="77328A"/>
          <w:sz w:val="22"/>
          <w:szCs w:val="22"/>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CAT/C/GBR/CO/6, ‘UN CAT Committee Concluding Observations on the Sixth Periodic Report of the UK of Great Britain and NI’, 7 June 2019.</w:t>
      </w:r>
    </w:p>
  </w:footnote>
  <w:footnote w:id="15">
    <w:p w14:paraId="35FE16B3" w14:textId="4432D2E6" w:rsidR="009D7214" w:rsidRPr="005C4B3E" w:rsidRDefault="009D7214">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color w:val="77328A"/>
          <w:sz w:val="22"/>
          <w:szCs w:val="22"/>
        </w:rPr>
        <w:t xml:space="preserve"> </w:t>
      </w:r>
      <w:r w:rsidRPr="005C4B3E">
        <w:rPr>
          <w:rFonts w:ascii="Verdana" w:hAnsi="Verdana"/>
          <w:color w:val="77328A"/>
          <w:sz w:val="16"/>
          <w:szCs w:val="16"/>
        </w:rPr>
        <w:t>A/RES/75/167, ‘UN General Assembly Resolution adopted by the General Assembly on 16 December 2020’, 23 December 2020</w:t>
      </w:r>
    </w:p>
  </w:footnote>
  <w:footnote w:id="16">
    <w:p w14:paraId="533C29C5" w14:textId="2D8B1ADC" w:rsidR="007921BE" w:rsidRPr="00766EED" w:rsidRDefault="007921BE">
      <w:pPr>
        <w:pStyle w:val="FootnoteText"/>
        <w:rPr>
          <w:rFonts w:ascii="Verdana" w:hAnsi="Verdana"/>
          <w:color w:val="77328A"/>
          <w:sz w:val="18"/>
          <w:szCs w:val="18"/>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Section 6(</w:t>
      </w:r>
      <w:proofErr w:type="gramStart"/>
      <w:r w:rsidRPr="005C4B3E">
        <w:rPr>
          <w:rFonts w:ascii="Verdana" w:hAnsi="Verdana"/>
          <w:color w:val="77328A"/>
          <w:sz w:val="16"/>
          <w:szCs w:val="16"/>
        </w:rPr>
        <w:t>2)(</w:t>
      </w:r>
      <w:proofErr w:type="gramEnd"/>
      <w:r w:rsidRPr="005C4B3E">
        <w:rPr>
          <w:rFonts w:ascii="Verdana" w:hAnsi="Verdana"/>
          <w:color w:val="77328A"/>
          <w:sz w:val="16"/>
          <w:szCs w:val="16"/>
        </w:rPr>
        <w:t>ca), Northern Ireland Act 1998.</w:t>
      </w:r>
    </w:p>
  </w:footnote>
  <w:footnote w:id="17">
    <w:p w14:paraId="4091466E" w14:textId="77777777" w:rsidR="005E618F" w:rsidRPr="005C4B3E" w:rsidRDefault="005E618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1A09E6" w:rsidRPr="005C4B3E">
        <w:rPr>
          <w:rFonts w:ascii="Verdana" w:hAnsi="Verdana"/>
          <w:color w:val="77328A"/>
          <w:sz w:val="16"/>
          <w:szCs w:val="16"/>
        </w:rPr>
        <w:t>O’Don</w:t>
      </w:r>
      <w:r w:rsidR="007A503C" w:rsidRPr="005C4B3E">
        <w:rPr>
          <w:rFonts w:ascii="Verdana" w:hAnsi="Verdana"/>
          <w:color w:val="77328A"/>
          <w:sz w:val="16"/>
          <w:szCs w:val="16"/>
        </w:rPr>
        <w:t>o</w:t>
      </w:r>
      <w:r w:rsidR="001A09E6" w:rsidRPr="005C4B3E">
        <w:rPr>
          <w:rFonts w:ascii="Verdana" w:hAnsi="Verdana"/>
          <w:color w:val="77328A"/>
          <w:sz w:val="16"/>
          <w:szCs w:val="16"/>
        </w:rPr>
        <w:t>g</w:t>
      </w:r>
      <w:r w:rsidR="00F83D1D" w:rsidRPr="005C4B3E">
        <w:rPr>
          <w:rFonts w:ascii="Verdana" w:hAnsi="Verdana"/>
          <w:color w:val="77328A"/>
          <w:sz w:val="16"/>
          <w:szCs w:val="16"/>
        </w:rPr>
        <w:t xml:space="preserve">hue and others v </w:t>
      </w:r>
      <w:r w:rsidR="004152C9" w:rsidRPr="005C4B3E">
        <w:rPr>
          <w:rFonts w:ascii="Verdana" w:hAnsi="Verdana"/>
          <w:color w:val="77328A"/>
          <w:sz w:val="16"/>
          <w:szCs w:val="16"/>
        </w:rPr>
        <w:t xml:space="preserve">the </w:t>
      </w:r>
      <w:r w:rsidR="00F83D1D" w:rsidRPr="005C4B3E">
        <w:rPr>
          <w:rFonts w:ascii="Verdana" w:hAnsi="Verdana"/>
          <w:color w:val="77328A"/>
          <w:sz w:val="16"/>
          <w:szCs w:val="16"/>
        </w:rPr>
        <w:t>U</w:t>
      </w:r>
      <w:r w:rsidR="004152C9" w:rsidRPr="005C4B3E">
        <w:rPr>
          <w:rFonts w:ascii="Verdana" w:hAnsi="Verdana"/>
          <w:color w:val="77328A"/>
          <w:sz w:val="16"/>
          <w:szCs w:val="16"/>
        </w:rPr>
        <w:t xml:space="preserve">nited </w:t>
      </w:r>
      <w:r w:rsidR="00F83D1D" w:rsidRPr="005C4B3E">
        <w:rPr>
          <w:rFonts w:ascii="Verdana" w:hAnsi="Verdana"/>
          <w:color w:val="77328A"/>
          <w:sz w:val="16"/>
          <w:szCs w:val="16"/>
        </w:rPr>
        <w:t>K</w:t>
      </w:r>
      <w:r w:rsidR="004152C9" w:rsidRPr="005C4B3E">
        <w:rPr>
          <w:rFonts w:ascii="Verdana" w:hAnsi="Verdana"/>
          <w:color w:val="77328A"/>
          <w:sz w:val="16"/>
          <w:szCs w:val="16"/>
        </w:rPr>
        <w:t>ingdom</w:t>
      </w:r>
      <w:r w:rsidR="00F83D1D" w:rsidRPr="005C4B3E">
        <w:rPr>
          <w:rFonts w:ascii="Verdana" w:hAnsi="Verdana"/>
          <w:color w:val="77328A"/>
          <w:sz w:val="16"/>
          <w:szCs w:val="16"/>
        </w:rPr>
        <w:t>, Application no.34848/07, 14 Decem</w:t>
      </w:r>
      <w:r w:rsidR="007A503C" w:rsidRPr="005C4B3E">
        <w:rPr>
          <w:rFonts w:ascii="Verdana" w:hAnsi="Verdana"/>
          <w:color w:val="77328A"/>
          <w:sz w:val="16"/>
          <w:szCs w:val="16"/>
        </w:rPr>
        <w:t>ber 2010</w:t>
      </w:r>
      <w:r w:rsidR="00961AA2" w:rsidRPr="005C4B3E">
        <w:rPr>
          <w:rFonts w:ascii="Verdana" w:hAnsi="Verdana"/>
          <w:color w:val="77328A"/>
          <w:sz w:val="16"/>
          <w:szCs w:val="16"/>
        </w:rPr>
        <w:t>.</w:t>
      </w:r>
    </w:p>
  </w:footnote>
  <w:footnote w:id="18">
    <w:p w14:paraId="2047CC6B" w14:textId="77777777" w:rsidR="00084664" w:rsidRPr="005C4B3E" w:rsidRDefault="00084664">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proofErr w:type="spellStart"/>
      <w:r w:rsidR="00514E11" w:rsidRPr="005C4B3E">
        <w:rPr>
          <w:rFonts w:ascii="Verdana" w:hAnsi="Verdana"/>
          <w:color w:val="77328A"/>
          <w:sz w:val="16"/>
          <w:szCs w:val="16"/>
        </w:rPr>
        <w:t>Frasik</w:t>
      </w:r>
      <w:proofErr w:type="spellEnd"/>
      <w:r w:rsidR="006A6EB5" w:rsidRPr="005C4B3E">
        <w:rPr>
          <w:rFonts w:ascii="Verdana" w:hAnsi="Verdana"/>
          <w:color w:val="77328A"/>
          <w:sz w:val="16"/>
          <w:szCs w:val="16"/>
        </w:rPr>
        <w:t xml:space="preserve"> v Poland, Application no.22933/02, 5 January 2010</w:t>
      </w:r>
      <w:r w:rsidR="00961AA2" w:rsidRPr="005C4B3E">
        <w:rPr>
          <w:rFonts w:ascii="Verdana" w:hAnsi="Verdana"/>
          <w:color w:val="77328A"/>
          <w:sz w:val="16"/>
          <w:szCs w:val="16"/>
        </w:rPr>
        <w:t>.</w:t>
      </w:r>
    </w:p>
  </w:footnote>
  <w:footnote w:id="19">
    <w:p w14:paraId="7D79F245" w14:textId="77777777" w:rsidR="007E23C4" w:rsidRPr="005C4B3E" w:rsidRDefault="007E23C4" w:rsidP="007E23C4">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proofErr w:type="spellStart"/>
      <w:r w:rsidRPr="005C4B3E">
        <w:rPr>
          <w:rFonts w:ascii="Verdana" w:hAnsi="Verdana"/>
          <w:color w:val="77328A"/>
          <w:sz w:val="16"/>
          <w:szCs w:val="16"/>
        </w:rPr>
        <w:t>Karlheinz</w:t>
      </w:r>
      <w:proofErr w:type="spellEnd"/>
      <w:r w:rsidRPr="005C4B3E">
        <w:rPr>
          <w:rFonts w:ascii="Verdana" w:hAnsi="Verdana"/>
          <w:color w:val="77328A"/>
          <w:sz w:val="16"/>
          <w:szCs w:val="16"/>
        </w:rPr>
        <w:t xml:space="preserve"> Schmidt v. Germany judgment of 18 July 1994, Series A no. 291-B, pp. 32-33, § 24</w:t>
      </w:r>
    </w:p>
  </w:footnote>
  <w:footnote w:id="20">
    <w:p w14:paraId="242DEFBD" w14:textId="35A32E1D" w:rsidR="004D351C" w:rsidRPr="005C4B3E" w:rsidRDefault="004D351C">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ECHR, Article 9</w:t>
      </w:r>
      <w:r w:rsidR="004B77DB" w:rsidRPr="005C4B3E">
        <w:rPr>
          <w:rFonts w:ascii="Verdana" w:hAnsi="Verdana"/>
          <w:color w:val="77328A"/>
          <w:sz w:val="16"/>
          <w:szCs w:val="16"/>
        </w:rPr>
        <w:t>(1)</w:t>
      </w:r>
    </w:p>
  </w:footnote>
  <w:footnote w:id="21">
    <w:p w14:paraId="4A503342" w14:textId="77777777" w:rsidR="004A5C54" w:rsidRPr="00220A6E" w:rsidRDefault="004A5C54">
      <w:pPr>
        <w:pStyle w:val="FootnoteText"/>
        <w:rPr>
          <w:rFonts w:ascii="Verdana" w:hAnsi="Verdana"/>
          <w:color w:val="7030A0"/>
          <w:sz w:val="18"/>
          <w:szCs w:val="18"/>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proofErr w:type="spellStart"/>
      <w:r w:rsidR="00965E19" w:rsidRPr="005C4B3E">
        <w:rPr>
          <w:rFonts w:ascii="Verdana" w:hAnsi="Verdana"/>
          <w:color w:val="77328A"/>
          <w:sz w:val="16"/>
          <w:szCs w:val="16"/>
        </w:rPr>
        <w:t>Eweida</w:t>
      </w:r>
      <w:proofErr w:type="spellEnd"/>
      <w:r w:rsidR="00965E19" w:rsidRPr="005C4B3E">
        <w:rPr>
          <w:rFonts w:ascii="Verdana" w:hAnsi="Verdana"/>
          <w:color w:val="77328A"/>
          <w:sz w:val="16"/>
          <w:szCs w:val="16"/>
        </w:rPr>
        <w:t xml:space="preserve"> and Others v. the United Kingdom, Applications nos. 48420/10, 59842/10, 51671/10 and 36516/10, para 80.</w:t>
      </w:r>
    </w:p>
  </w:footnote>
  <w:footnote w:id="22">
    <w:p w14:paraId="01CB3DED" w14:textId="77777777" w:rsidR="00965E19" w:rsidRPr="005C4B3E" w:rsidRDefault="00965E19">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proofErr w:type="spellStart"/>
      <w:r w:rsidRPr="005C4B3E">
        <w:rPr>
          <w:rFonts w:ascii="Verdana" w:hAnsi="Verdana"/>
          <w:color w:val="77328A"/>
          <w:sz w:val="16"/>
          <w:szCs w:val="16"/>
        </w:rPr>
        <w:t>Bayatyan</w:t>
      </w:r>
      <w:proofErr w:type="spellEnd"/>
      <w:r w:rsidRPr="005C4B3E">
        <w:rPr>
          <w:rFonts w:ascii="Verdana" w:hAnsi="Verdana"/>
          <w:color w:val="77328A"/>
          <w:sz w:val="16"/>
          <w:szCs w:val="16"/>
        </w:rPr>
        <w:t xml:space="preserve"> v. Armenia [GC], Application no. 23459/03, § 110, ECHR 2011.</w:t>
      </w:r>
    </w:p>
  </w:footnote>
  <w:footnote w:id="23">
    <w:p w14:paraId="6D13637E" w14:textId="77777777" w:rsidR="00965E19" w:rsidRPr="005C4B3E" w:rsidRDefault="00965E19">
      <w:pPr>
        <w:pStyle w:val="FootnoteText"/>
        <w:rPr>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proofErr w:type="spellStart"/>
      <w:r w:rsidR="00220A6E" w:rsidRPr="005C4B3E">
        <w:rPr>
          <w:rFonts w:ascii="Verdana" w:hAnsi="Verdana"/>
          <w:color w:val="77328A"/>
          <w:sz w:val="16"/>
          <w:szCs w:val="16"/>
        </w:rPr>
        <w:t>Eweida</w:t>
      </w:r>
      <w:proofErr w:type="spellEnd"/>
      <w:r w:rsidR="00220A6E" w:rsidRPr="005C4B3E">
        <w:rPr>
          <w:rFonts w:ascii="Verdana" w:hAnsi="Verdana"/>
          <w:color w:val="77328A"/>
          <w:sz w:val="16"/>
          <w:szCs w:val="16"/>
        </w:rPr>
        <w:t xml:space="preserve"> and Others v. the United Kingdom, Applications nos. 48420/10, 59842/10, 51671/10 and 36516/10, para 81.</w:t>
      </w:r>
    </w:p>
  </w:footnote>
  <w:footnote w:id="24">
    <w:p w14:paraId="1BDCD409" w14:textId="77777777" w:rsidR="00404852" w:rsidRPr="005C4B3E" w:rsidRDefault="00404852" w:rsidP="00404852">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Marriage (NI) Order 2003</w:t>
      </w:r>
      <w:r w:rsidR="00961AA2" w:rsidRPr="005C4B3E">
        <w:rPr>
          <w:rFonts w:ascii="Verdana" w:hAnsi="Verdana"/>
          <w:color w:val="77328A"/>
          <w:sz w:val="16"/>
          <w:szCs w:val="16"/>
        </w:rPr>
        <w:t>,</w:t>
      </w:r>
    </w:p>
  </w:footnote>
  <w:footnote w:id="25">
    <w:p w14:paraId="01BF2009" w14:textId="77777777" w:rsidR="00404852" w:rsidRPr="005C4B3E" w:rsidRDefault="00404852" w:rsidP="00404852">
      <w:pPr>
        <w:pStyle w:val="FootnoteText"/>
        <w:rPr>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Department of Finance, ‘Belief Marriage and Minimum Age for Marriage or Civil Partnership – a public consultation’ (</w:t>
      </w:r>
      <w:proofErr w:type="spellStart"/>
      <w:r w:rsidRPr="005C4B3E">
        <w:rPr>
          <w:rFonts w:ascii="Verdana" w:hAnsi="Verdana"/>
          <w:color w:val="77328A"/>
          <w:sz w:val="16"/>
          <w:szCs w:val="16"/>
        </w:rPr>
        <w:t>DoF</w:t>
      </w:r>
      <w:proofErr w:type="spellEnd"/>
      <w:r w:rsidRPr="005C4B3E">
        <w:rPr>
          <w:rFonts w:ascii="Verdana" w:hAnsi="Verdana"/>
          <w:color w:val="77328A"/>
          <w:sz w:val="16"/>
          <w:szCs w:val="16"/>
        </w:rPr>
        <w:t xml:space="preserve">, 2021) at para 22 (citing the General Register Office); see also, Marriage (NI) Order 2003, Article </w:t>
      </w:r>
      <w:proofErr w:type="gramStart"/>
      <w:r w:rsidRPr="005C4B3E">
        <w:rPr>
          <w:rFonts w:ascii="Verdana" w:hAnsi="Verdana"/>
          <w:color w:val="77328A"/>
          <w:sz w:val="16"/>
          <w:szCs w:val="16"/>
        </w:rPr>
        <w:t>14</w:t>
      </w:r>
      <w:proofErr w:type="gramEnd"/>
      <w:r w:rsidRPr="005C4B3E">
        <w:rPr>
          <w:rFonts w:ascii="Verdana" w:hAnsi="Verdana"/>
          <w:color w:val="77328A"/>
          <w:sz w:val="16"/>
          <w:szCs w:val="16"/>
        </w:rPr>
        <w:t xml:space="preserve"> and Article 31</w:t>
      </w:r>
      <w:r w:rsidR="004152C9" w:rsidRPr="005C4B3E">
        <w:rPr>
          <w:rFonts w:ascii="Verdana" w:hAnsi="Verdana"/>
          <w:color w:val="77328A"/>
          <w:sz w:val="16"/>
          <w:szCs w:val="16"/>
        </w:rPr>
        <w:t>.</w:t>
      </w:r>
    </w:p>
  </w:footnote>
  <w:footnote w:id="26">
    <w:p w14:paraId="1C3CA6AE" w14:textId="77777777" w:rsidR="000769D6" w:rsidRPr="00012DB9" w:rsidRDefault="000769D6" w:rsidP="000769D6">
      <w:pPr>
        <w:pStyle w:val="FootnoteText"/>
        <w:rPr>
          <w:rFonts w:ascii="Verdana" w:hAnsi="Verdana"/>
          <w:sz w:val="18"/>
          <w:szCs w:val="18"/>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In the matter of an application by Laura Smyth [2017] NIQB 55; and [2018] NICA 25</w:t>
      </w:r>
      <w:r w:rsidR="004152C9">
        <w:rPr>
          <w:rFonts w:ascii="Verdana" w:hAnsi="Verdana"/>
          <w:color w:val="7030A0"/>
          <w:sz w:val="18"/>
          <w:szCs w:val="18"/>
        </w:rPr>
        <w:t>.</w:t>
      </w:r>
    </w:p>
  </w:footnote>
  <w:footnote w:id="27">
    <w:p w14:paraId="5DD31789" w14:textId="77777777" w:rsidR="00E36583" w:rsidRPr="005C4B3E" w:rsidRDefault="00E36583">
      <w:pPr>
        <w:pStyle w:val="FootnoteText"/>
        <w:rPr>
          <w:rFonts w:ascii="Verdana" w:hAnsi="Verdan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proofErr w:type="spellStart"/>
      <w:r w:rsidR="00012DB9" w:rsidRPr="005C4B3E">
        <w:rPr>
          <w:rFonts w:ascii="Verdana" w:hAnsi="Verdana"/>
          <w:color w:val="77328A"/>
          <w:sz w:val="16"/>
          <w:szCs w:val="16"/>
        </w:rPr>
        <w:t>DoF</w:t>
      </w:r>
      <w:proofErr w:type="spellEnd"/>
      <w:r w:rsidR="004152C9" w:rsidRPr="005C4B3E">
        <w:rPr>
          <w:rFonts w:ascii="Verdana" w:hAnsi="Verdana"/>
          <w:color w:val="77328A"/>
          <w:sz w:val="16"/>
          <w:szCs w:val="16"/>
        </w:rPr>
        <w:t>,</w:t>
      </w:r>
      <w:r w:rsidR="00012DB9" w:rsidRPr="005C4B3E">
        <w:rPr>
          <w:rFonts w:ascii="Verdana" w:hAnsi="Verdana"/>
          <w:color w:val="77328A"/>
          <w:sz w:val="16"/>
          <w:szCs w:val="16"/>
        </w:rPr>
        <w:t xml:space="preserve"> Consultation Document 2021, a</w:t>
      </w:r>
      <w:r w:rsidR="00B846A8" w:rsidRPr="005C4B3E">
        <w:rPr>
          <w:rFonts w:ascii="Verdana" w:hAnsi="Verdana"/>
          <w:color w:val="77328A"/>
          <w:sz w:val="16"/>
          <w:szCs w:val="16"/>
        </w:rPr>
        <w:t>t para 30</w:t>
      </w:r>
      <w:r w:rsidR="004152C9" w:rsidRPr="005C4B3E">
        <w:rPr>
          <w:rFonts w:ascii="Verdana" w:hAnsi="Verdana"/>
          <w:color w:val="77328A"/>
          <w:sz w:val="16"/>
          <w:szCs w:val="16"/>
        </w:rPr>
        <w:t>.</w:t>
      </w:r>
    </w:p>
  </w:footnote>
  <w:footnote w:id="28">
    <w:p w14:paraId="71800000" w14:textId="01B9A409" w:rsidR="000B2C7E" w:rsidRPr="005C4B3E" w:rsidRDefault="000B2C7E">
      <w:pPr>
        <w:pStyle w:val="FootnoteText"/>
        <w:rPr>
          <w:color w:val="77328A"/>
          <w:sz w:val="16"/>
          <w:szCs w:val="16"/>
        </w:rPr>
      </w:pPr>
      <w:r w:rsidRPr="005C4B3E">
        <w:rPr>
          <w:rStyle w:val="FootnoteReference"/>
          <w:rFonts w:ascii="Verdana" w:hAnsi="Verdana"/>
          <w:color w:val="77328A"/>
          <w:sz w:val="16"/>
          <w:szCs w:val="16"/>
        </w:rPr>
        <w:footnoteRef/>
      </w:r>
      <w:r w:rsidR="005907D3" w:rsidRPr="005C4B3E">
        <w:rPr>
          <w:rFonts w:ascii="Verdana" w:hAnsi="Verdana"/>
          <w:color w:val="77328A"/>
          <w:sz w:val="16"/>
          <w:szCs w:val="16"/>
        </w:rPr>
        <w:t xml:space="preserve"> [2017] NIQB 55</w:t>
      </w:r>
      <w:r w:rsidRPr="005C4B3E">
        <w:rPr>
          <w:color w:val="77328A"/>
          <w:sz w:val="16"/>
          <w:szCs w:val="16"/>
        </w:rPr>
        <w:t xml:space="preserve"> </w:t>
      </w:r>
    </w:p>
  </w:footnote>
  <w:footnote w:id="29">
    <w:p w14:paraId="063AC7B4" w14:textId="77777777" w:rsidR="004B5407" w:rsidRPr="005C4B3E" w:rsidRDefault="004B5407">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602E91" w:rsidRPr="005C4B3E">
        <w:rPr>
          <w:rFonts w:ascii="Verdana" w:hAnsi="Verdana"/>
          <w:color w:val="77328A"/>
          <w:sz w:val="16"/>
          <w:szCs w:val="16"/>
        </w:rPr>
        <w:t>Ibid</w:t>
      </w:r>
      <w:r w:rsidR="004152C9" w:rsidRPr="005C4B3E">
        <w:rPr>
          <w:rFonts w:ascii="Verdana" w:hAnsi="Verdana"/>
          <w:color w:val="77328A"/>
          <w:sz w:val="16"/>
          <w:szCs w:val="16"/>
        </w:rPr>
        <w:t>,</w:t>
      </w:r>
      <w:r w:rsidR="00602E91" w:rsidRPr="005C4B3E">
        <w:rPr>
          <w:rFonts w:ascii="Verdana" w:hAnsi="Verdana"/>
          <w:color w:val="77328A"/>
          <w:sz w:val="16"/>
          <w:szCs w:val="16"/>
        </w:rPr>
        <w:t xml:space="preserve"> at page 36.</w:t>
      </w:r>
    </w:p>
  </w:footnote>
  <w:footnote w:id="30">
    <w:p w14:paraId="180BEB35" w14:textId="77777777" w:rsidR="003648BB" w:rsidRDefault="003648BB">
      <w:pPr>
        <w:pStyle w:val="FootnoteText"/>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[2017] NIQB 55</w:t>
      </w:r>
      <w:r w:rsidR="00207E0F" w:rsidRPr="005C4B3E">
        <w:rPr>
          <w:rFonts w:ascii="Verdana" w:hAnsi="Verdana"/>
          <w:color w:val="77328A"/>
          <w:sz w:val="16"/>
          <w:szCs w:val="16"/>
        </w:rPr>
        <w:t>.</w:t>
      </w:r>
    </w:p>
  </w:footnote>
  <w:footnote w:id="31">
    <w:p w14:paraId="1C4B072E" w14:textId="77777777" w:rsidR="003648BB" w:rsidRPr="005C4B3E" w:rsidRDefault="003648BB">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2F5C78" w:rsidRPr="005C4B3E">
        <w:rPr>
          <w:rStyle w:val="Strong"/>
          <w:rFonts w:ascii="Verdana" w:hAnsi="Verdana"/>
          <w:b w:val="0"/>
          <w:bCs w:val="0"/>
          <w:color w:val="77328A"/>
          <w:sz w:val="16"/>
          <w:szCs w:val="16"/>
          <w:shd w:val="clear" w:color="auto" w:fill="FFFFFF"/>
        </w:rPr>
        <w:t>HRI/GEN/1/Rev.1</w:t>
      </w:r>
      <w:r w:rsidR="00207E0F" w:rsidRPr="005C4B3E">
        <w:rPr>
          <w:rStyle w:val="Strong"/>
          <w:rFonts w:ascii="Verdana" w:hAnsi="Verdana"/>
          <w:b w:val="0"/>
          <w:bCs w:val="0"/>
          <w:color w:val="77328A"/>
          <w:sz w:val="16"/>
          <w:szCs w:val="16"/>
          <w:shd w:val="clear" w:color="auto" w:fill="FFFFFF"/>
        </w:rPr>
        <w:t>,</w:t>
      </w:r>
      <w:r w:rsidR="002F5C78" w:rsidRPr="005C4B3E">
        <w:rPr>
          <w:rStyle w:val="Strong"/>
          <w:rFonts w:ascii="Verdana" w:hAnsi="Verdana"/>
          <w:b w:val="0"/>
          <w:bCs w:val="0"/>
          <w:color w:val="77328A"/>
          <w:sz w:val="16"/>
          <w:szCs w:val="16"/>
          <w:shd w:val="clear" w:color="auto" w:fill="FFFFFF"/>
        </w:rPr>
        <w:t xml:space="preserve"> </w:t>
      </w:r>
      <w:r w:rsidR="002F5C78" w:rsidRPr="005C4B3E">
        <w:rPr>
          <w:rStyle w:val="Strong"/>
          <w:rFonts w:ascii="Verdana" w:hAnsi="Verdana"/>
          <w:color w:val="77328A"/>
          <w:sz w:val="16"/>
          <w:szCs w:val="16"/>
          <w:shd w:val="clear" w:color="auto" w:fill="FFFFFF"/>
        </w:rPr>
        <w:t>‘</w:t>
      </w:r>
      <w:r w:rsidR="00EA5AA0" w:rsidRPr="005C4B3E">
        <w:rPr>
          <w:rFonts w:ascii="Verdana" w:hAnsi="Verdana"/>
          <w:color w:val="77328A"/>
          <w:sz w:val="16"/>
          <w:szCs w:val="16"/>
        </w:rPr>
        <w:t>UN Human Rights Committee General Comment No.22: Article 18</w:t>
      </w:r>
      <w:r w:rsidR="002F5C78" w:rsidRPr="005C4B3E">
        <w:rPr>
          <w:rFonts w:ascii="Verdana" w:hAnsi="Verdana"/>
          <w:color w:val="77328A"/>
          <w:sz w:val="16"/>
          <w:szCs w:val="16"/>
        </w:rPr>
        <w:t>’</w:t>
      </w:r>
      <w:r w:rsidR="00815187" w:rsidRPr="005C4B3E">
        <w:rPr>
          <w:rFonts w:ascii="Verdana" w:hAnsi="Verdana"/>
          <w:color w:val="77328A"/>
          <w:sz w:val="16"/>
          <w:szCs w:val="16"/>
        </w:rPr>
        <w:t xml:space="preserve"> 1993</w:t>
      </w:r>
      <w:r w:rsidR="00A008E9" w:rsidRPr="005C4B3E">
        <w:rPr>
          <w:rFonts w:ascii="Verdana" w:hAnsi="Verdana"/>
          <w:color w:val="77328A"/>
          <w:sz w:val="16"/>
          <w:szCs w:val="16"/>
        </w:rPr>
        <w:t>, at para 2.</w:t>
      </w:r>
    </w:p>
  </w:footnote>
  <w:footnote w:id="32">
    <w:p w14:paraId="055F28A9" w14:textId="77777777" w:rsidR="007230DD" w:rsidRPr="005C4B3E" w:rsidRDefault="007230DD">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61423E" w:rsidRPr="005C4B3E">
        <w:rPr>
          <w:rFonts w:ascii="Verdana" w:hAnsi="Verdana"/>
          <w:color w:val="77328A"/>
          <w:sz w:val="16"/>
          <w:szCs w:val="16"/>
        </w:rPr>
        <w:t>Article 12, ECHR</w:t>
      </w:r>
      <w:r w:rsidR="00A21B2E" w:rsidRPr="005C4B3E">
        <w:rPr>
          <w:rFonts w:ascii="Verdana" w:hAnsi="Verdana"/>
          <w:color w:val="77328A"/>
          <w:sz w:val="16"/>
          <w:szCs w:val="16"/>
        </w:rPr>
        <w:t xml:space="preserve">; </w:t>
      </w:r>
      <w:r w:rsidR="0061423E" w:rsidRPr="005C4B3E">
        <w:rPr>
          <w:rFonts w:ascii="Verdana" w:hAnsi="Verdana"/>
          <w:color w:val="77328A"/>
          <w:sz w:val="16"/>
          <w:szCs w:val="16"/>
        </w:rPr>
        <w:t>Article 9, CFR</w:t>
      </w:r>
      <w:r w:rsidR="00A21B2E" w:rsidRPr="005C4B3E">
        <w:rPr>
          <w:rFonts w:ascii="Verdana" w:hAnsi="Verdana"/>
          <w:color w:val="77328A"/>
          <w:sz w:val="16"/>
          <w:szCs w:val="16"/>
        </w:rPr>
        <w:t xml:space="preserve">; </w:t>
      </w:r>
      <w:r w:rsidRPr="005C4B3E">
        <w:rPr>
          <w:rFonts w:ascii="Verdana" w:hAnsi="Verdana"/>
          <w:color w:val="77328A"/>
          <w:sz w:val="16"/>
          <w:szCs w:val="16"/>
        </w:rPr>
        <w:t>Article 16(2), UN CEDAW</w:t>
      </w:r>
      <w:r w:rsidR="00A21B2E" w:rsidRPr="005C4B3E">
        <w:rPr>
          <w:rFonts w:ascii="Verdana" w:hAnsi="Verdana"/>
          <w:color w:val="77328A"/>
          <w:sz w:val="16"/>
          <w:szCs w:val="16"/>
        </w:rPr>
        <w:t>; Article 23(2) ICCPR</w:t>
      </w:r>
      <w:r w:rsidR="00C50B84" w:rsidRPr="005C4B3E">
        <w:rPr>
          <w:rFonts w:ascii="Verdana" w:hAnsi="Verdana"/>
          <w:color w:val="77328A"/>
          <w:sz w:val="16"/>
          <w:szCs w:val="16"/>
        </w:rPr>
        <w:t>.</w:t>
      </w:r>
    </w:p>
  </w:footnote>
  <w:footnote w:id="33">
    <w:p w14:paraId="2EA790AC" w14:textId="77777777" w:rsidR="007230DD" w:rsidRPr="005C4B3E" w:rsidRDefault="007230DD">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CRC/GC/2003/4, ‘UN CRC Committee, General Comment No. 4’ 1 July 2003 at para. 20; </w:t>
      </w:r>
      <w:r w:rsidR="008708EB" w:rsidRPr="005C4B3E">
        <w:rPr>
          <w:rFonts w:ascii="Verdana" w:hAnsi="Verdana"/>
          <w:color w:val="77328A"/>
          <w:sz w:val="16"/>
          <w:szCs w:val="16"/>
        </w:rPr>
        <w:t xml:space="preserve">A/49/38 </w:t>
      </w:r>
      <w:r w:rsidR="00122A44" w:rsidRPr="005C4B3E">
        <w:rPr>
          <w:rFonts w:ascii="Verdana" w:hAnsi="Verdana"/>
          <w:color w:val="77328A"/>
          <w:sz w:val="16"/>
          <w:szCs w:val="16"/>
        </w:rPr>
        <w:t>‘</w:t>
      </w:r>
      <w:r w:rsidRPr="005C4B3E">
        <w:rPr>
          <w:rFonts w:ascii="Verdana" w:hAnsi="Verdana"/>
          <w:color w:val="77328A"/>
          <w:sz w:val="16"/>
          <w:szCs w:val="16"/>
        </w:rPr>
        <w:t>UN CEDAW Committee, General Recommendation No. 21</w:t>
      </w:r>
      <w:r w:rsidR="008708EB" w:rsidRPr="005C4B3E">
        <w:rPr>
          <w:rFonts w:ascii="Verdana" w:hAnsi="Verdana"/>
          <w:color w:val="77328A"/>
          <w:sz w:val="16"/>
          <w:szCs w:val="16"/>
        </w:rPr>
        <w:t>: Equality in Marriage and Family Relations</w:t>
      </w:r>
      <w:r w:rsidR="00122A44" w:rsidRPr="005C4B3E">
        <w:rPr>
          <w:rFonts w:ascii="Verdana" w:hAnsi="Verdana"/>
          <w:color w:val="77328A"/>
          <w:sz w:val="16"/>
          <w:szCs w:val="16"/>
        </w:rPr>
        <w:t>’</w:t>
      </w:r>
      <w:r w:rsidRPr="005C4B3E">
        <w:rPr>
          <w:rFonts w:ascii="Verdana" w:hAnsi="Verdana"/>
          <w:color w:val="77328A"/>
          <w:sz w:val="16"/>
          <w:szCs w:val="16"/>
        </w:rPr>
        <w:t xml:space="preserve"> 13th session, 1994</w:t>
      </w:r>
      <w:r w:rsidR="008708EB" w:rsidRPr="005C4B3E">
        <w:rPr>
          <w:rFonts w:ascii="Verdana" w:hAnsi="Verdana"/>
          <w:color w:val="77328A"/>
          <w:sz w:val="16"/>
          <w:szCs w:val="16"/>
        </w:rPr>
        <w:t>, at para. 36.</w:t>
      </w:r>
    </w:p>
  </w:footnote>
  <w:footnote w:id="34">
    <w:p w14:paraId="6D65CF94" w14:textId="77777777" w:rsidR="00DD7394" w:rsidRPr="005C4B3E" w:rsidRDefault="00DD7394">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CRC/C/GBR/CO/5</w:t>
      </w:r>
      <w:r w:rsidR="00321A75" w:rsidRPr="005C4B3E">
        <w:rPr>
          <w:rFonts w:ascii="Verdana" w:hAnsi="Verdana"/>
          <w:color w:val="77328A"/>
          <w:sz w:val="16"/>
          <w:szCs w:val="16"/>
        </w:rPr>
        <w:t>, ‘</w:t>
      </w:r>
      <w:r w:rsidR="004359B7" w:rsidRPr="005C4B3E">
        <w:rPr>
          <w:rFonts w:ascii="Verdana" w:hAnsi="Verdana"/>
          <w:color w:val="77328A"/>
          <w:sz w:val="16"/>
          <w:szCs w:val="16"/>
        </w:rPr>
        <w:t>UN CRC Committee Concluding observations on the fifth periodic report of the United Kingdom of Great Britain and Northern Ireland’ 3 June 2016</w:t>
      </w:r>
      <w:r w:rsidR="00C50B84" w:rsidRPr="005C4B3E">
        <w:rPr>
          <w:rFonts w:ascii="Verdana" w:hAnsi="Verdana"/>
          <w:color w:val="77328A"/>
          <w:sz w:val="16"/>
          <w:szCs w:val="16"/>
        </w:rPr>
        <w:t>.</w:t>
      </w:r>
    </w:p>
  </w:footnote>
  <w:footnote w:id="35">
    <w:p w14:paraId="75D94A56" w14:textId="77777777" w:rsidR="007437C1" w:rsidRPr="005C4B3E" w:rsidRDefault="007437C1" w:rsidP="007437C1">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NI Human Rights Commission, ‘Submission to the UN CRC 88th Session on the Sixth Periodic Report of the United Kingdom of Great Britain and Northern Ireland on compliance with the UN CRC’ December 2020</w:t>
      </w:r>
    </w:p>
  </w:footnote>
  <w:footnote w:id="36">
    <w:p w14:paraId="2C05C2E6" w14:textId="77777777" w:rsidR="007437C1" w:rsidRPr="005C4B3E" w:rsidRDefault="007437C1" w:rsidP="007437C1">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CRC/C/GBR/QPR/6-7, ‘UN Committee on the Rights of the Child List of issues prior to submission of the combined sixth and seventh reports of the United Kingdom of Great Britain and Northern Ireland’ March 2021</w:t>
      </w:r>
      <w:r w:rsidR="00027AFF" w:rsidRPr="005C4B3E">
        <w:rPr>
          <w:rFonts w:ascii="Verdana" w:hAnsi="Verdana"/>
          <w:color w:val="77328A"/>
          <w:sz w:val="16"/>
          <w:szCs w:val="16"/>
        </w:rPr>
        <w:t>.</w:t>
      </w:r>
    </w:p>
  </w:footnote>
  <w:footnote w:id="37">
    <w:p w14:paraId="7412BC8E" w14:textId="4F0D4815" w:rsidR="0038062A" w:rsidRPr="005C4B3E" w:rsidRDefault="0038062A">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7D7135" w:rsidRPr="005C4B3E">
        <w:rPr>
          <w:rFonts w:ascii="Verdana" w:hAnsi="Verdana"/>
          <w:color w:val="77328A"/>
          <w:sz w:val="16"/>
          <w:szCs w:val="16"/>
        </w:rPr>
        <w:t>Marriage and Civil Partnership (Minimum Age) Bill</w:t>
      </w:r>
      <w:r w:rsidR="006623FB" w:rsidRPr="005C4B3E">
        <w:rPr>
          <w:rFonts w:ascii="Verdana" w:hAnsi="Verdana"/>
          <w:color w:val="77328A"/>
          <w:sz w:val="16"/>
          <w:szCs w:val="16"/>
        </w:rPr>
        <w:t xml:space="preserve"> (Bill 1</w:t>
      </w:r>
      <w:r w:rsidR="00395358">
        <w:rPr>
          <w:rFonts w:ascii="Verdana" w:hAnsi="Verdana"/>
          <w:color w:val="77328A"/>
          <w:sz w:val="16"/>
          <w:szCs w:val="16"/>
        </w:rPr>
        <w:t>8</w:t>
      </w:r>
      <w:r w:rsidR="006623FB" w:rsidRPr="005C4B3E">
        <w:rPr>
          <w:rFonts w:ascii="Verdana" w:hAnsi="Verdana"/>
          <w:color w:val="77328A"/>
          <w:sz w:val="16"/>
          <w:szCs w:val="16"/>
        </w:rPr>
        <w:t xml:space="preserve"> </w:t>
      </w:r>
      <w:r w:rsidR="00BF40D0">
        <w:rPr>
          <w:rFonts w:ascii="Verdana" w:hAnsi="Verdana"/>
          <w:color w:val="77328A"/>
          <w:sz w:val="16"/>
          <w:szCs w:val="16"/>
        </w:rPr>
        <w:t>2021-22</w:t>
      </w:r>
      <w:r w:rsidR="006623FB" w:rsidRPr="005C4B3E">
        <w:rPr>
          <w:rFonts w:ascii="Verdana" w:hAnsi="Verdana"/>
          <w:color w:val="77328A"/>
          <w:sz w:val="16"/>
          <w:szCs w:val="16"/>
        </w:rPr>
        <w:t>)</w:t>
      </w:r>
      <w:r w:rsidR="00027AFF" w:rsidRPr="005C4B3E">
        <w:rPr>
          <w:rFonts w:ascii="Verdana" w:hAnsi="Verdana"/>
          <w:color w:val="77328A"/>
          <w:sz w:val="16"/>
          <w:szCs w:val="16"/>
        </w:rPr>
        <w:t>.</w:t>
      </w:r>
      <w:r w:rsidR="006623FB" w:rsidRPr="005C4B3E">
        <w:rPr>
          <w:rFonts w:ascii="Verdana" w:hAnsi="Verdana"/>
          <w:color w:val="77328A"/>
          <w:sz w:val="16"/>
          <w:szCs w:val="16"/>
        </w:rPr>
        <w:t xml:space="preserve"> </w:t>
      </w:r>
    </w:p>
  </w:footnote>
  <w:footnote w:id="38">
    <w:p w14:paraId="0DD88CF9" w14:textId="650436C1" w:rsidR="00177F5E" w:rsidRDefault="00177F5E">
      <w:pPr>
        <w:pStyle w:val="FootnoteText"/>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9A30DB">
        <w:rPr>
          <w:rFonts w:ascii="Verdana" w:hAnsi="Verdana"/>
          <w:color w:val="77328A"/>
          <w:sz w:val="16"/>
          <w:szCs w:val="16"/>
        </w:rPr>
        <w:t xml:space="preserve">Anti-social Behaviour, Crime and Policing </w:t>
      </w:r>
      <w:r w:rsidR="009A30DB" w:rsidRPr="000551C1">
        <w:rPr>
          <w:rFonts w:ascii="Verdana" w:hAnsi="Verdana"/>
          <w:color w:val="77328A"/>
          <w:sz w:val="16"/>
          <w:szCs w:val="16"/>
        </w:rPr>
        <w:t>Act 2014</w:t>
      </w:r>
      <w:r w:rsidR="00B648DA" w:rsidRPr="000551C1">
        <w:rPr>
          <w:rFonts w:ascii="Verdana" w:hAnsi="Verdana"/>
          <w:color w:val="77328A"/>
          <w:sz w:val="16"/>
          <w:szCs w:val="16"/>
        </w:rPr>
        <w:t>, Section 121</w:t>
      </w:r>
    </w:p>
  </w:footnote>
  <w:footnote w:id="39">
    <w:p w14:paraId="1517FCFE" w14:textId="405F8474" w:rsidR="00122E39" w:rsidRPr="00122E39" w:rsidRDefault="00122E39">
      <w:pPr>
        <w:pStyle w:val="FootnoteText"/>
        <w:rPr>
          <w:rFonts w:ascii="Verdana" w:hAnsi="Verdana"/>
          <w:sz w:val="16"/>
          <w:szCs w:val="16"/>
        </w:rPr>
      </w:pPr>
      <w:r w:rsidRPr="00BB7DD7">
        <w:rPr>
          <w:rStyle w:val="FootnoteReference"/>
          <w:rFonts w:ascii="Verdana" w:hAnsi="Verdana"/>
          <w:color w:val="77328A"/>
          <w:sz w:val="16"/>
          <w:szCs w:val="16"/>
        </w:rPr>
        <w:footnoteRef/>
      </w:r>
      <w:r w:rsidRPr="00BB7DD7">
        <w:rPr>
          <w:rFonts w:ascii="Verdana" w:hAnsi="Verdana"/>
          <w:color w:val="77328A"/>
          <w:sz w:val="16"/>
          <w:szCs w:val="16"/>
        </w:rPr>
        <w:t xml:space="preserve"> </w:t>
      </w:r>
      <w:r w:rsidRPr="0098366C">
        <w:rPr>
          <w:rFonts w:ascii="Verdana" w:hAnsi="Verdana"/>
          <w:color w:val="77328A"/>
          <w:sz w:val="16"/>
          <w:szCs w:val="16"/>
        </w:rPr>
        <w:t xml:space="preserve">UK </w:t>
      </w:r>
      <w:r w:rsidRPr="00122E39">
        <w:rPr>
          <w:rFonts w:ascii="Verdana" w:hAnsi="Verdana"/>
          <w:color w:val="77328A"/>
          <w:sz w:val="16"/>
          <w:szCs w:val="16"/>
        </w:rPr>
        <w:t>House of Commons</w:t>
      </w:r>
      <w:r w:rsidRPr="0098366C">
        <w:rPr>
          <w:rFonts w:ascii="Verdana" w:hAnsi="Verdana"/>
          <w:color w:val="77328A"/>
          <w:sz w:val="16"/>
          <w:szCs w:val="16"/>
        </w:rPr>
        <w:t xml:space="preserve"> Hansard, Marriage and Civil Partnership (Minimum Age) Bill: Volume 703: debated on Friday 19 November 2021</w:t>
      </w:r>
    </w:p>
  </w:footnote>
  <w:footnote w:id="40">
    <w:p w14:paraId="36E81C53" w14:textId="11BD6A60" w:rsidR="00A26DC7" w:rsidRPr="0098366C" w:rsidRDefault="00A26DC7">
      <w:pPr>
        <w:pStyle w:val="FootnoteText"/>
        <w:rPr>
          <w:rFonts w:ascii="Verdana" w:hAnsi="Verdana"/>
          <w:sz w:val="16"/>
          <w:szCs w:val="16"/>
        </w:rPr>
      </w:pPr>
      <w:r w:rsidRPr="0098366C">
        <w:rPr>
          <w:rStyle w:val="FootnoteReference"/>
          <w:rFonts w:ascii="Verdana" w:hAnsi="Verdana"/>
          <w:color w:val="77328A"/>
          <w:sz w:val="16"/>
          <w:szCs w:val="16"/>
        </w:rPr>
        <w:footnoteRef/>
      </w:r>
      <w:r w:rsidRPr="0098366C">
        <w:rPr>
          <w:rFonts w:ascii="Verdana" w:hAnsi="Verdana"/>
          <w:color w:val="77328A"/>
          <w:sz w:val="16"/>
          <w:szCs w:val="16"/>
        </w:rPr>
        <w:t xml:space="preserve"> </w:t>
      </w:r>
      <w:r w:rsidR="0072702A" w:rsidRPr="005C4B3E">
        <w:rPr>
          <w:rFonts w:ascii="Verdana" w:hAnsi="Verdana"/>
          <w:color w:val="77328A"/>
          <w:sz w:val="16"/>
          <w:szCs w:val="16"/>
        </w:rPr>
        <w:t>Marriage and Civil Partnership (Minimum Age) Bill (Bill 1</w:t>
      </w:r>
      <w:r w:rsidR="0072702A">
        <w:rPr>
          <w:rFonts w:ascii="Verdana" w:hAnsi="Verdana"/>
          <w:color w:val="77328A"/>
          <w:sz w:val="16"/>
          <w:szCs w:val="16"/>
        </w:rPr>
        <w:t>8</w:t>
      </w:r>
      <w:r w:rsidR="0072702A" w:rsidRPr="005C4B3E">
        <w:rPr>
          <w:rFonts w:ascii="Verdana" w:hAnsi="Verdana"/>
          <w:color w:val="77328A"/>
          <w:sz w:val="16"/>
          <w:szCs w:val="16"/>
        </w:rPr>
        <w:t xml:space="preserve"> </w:t>
      </w:r>
      <w:r w:rsidR="0072702A">
        <w:rPr>
          <w:rFonts w:ascii="Verdana" w:hAnsi="Verdana"/>
          <w:color w:val="77328A"/>
          <w:sz w:val="16"/>
          <w:szCs w:val="16"/>
        </w:rPr>
        <w:t>2021-22</w:t>
      </w:r>
      <w:r w:rsidR="0072702A" w:rsidRPr="005C4B3E">
        <w:rPr>
          <w:rFonts w:ascii="Verdana" w:hAnsi="Verdana"/>
          <w:color w:val="77328A"/>
          <w:sz w:val="16"/>
          <w:szCs w:val="16"/>
        </w:rPr>
        <w:t>)</w:t>
      </w:r>
      <w:r w:rsidR="0072702A">
        <w:rPr>
          <w:rFonts w:ascii="Verdana" w:hAnsi="Verdana"/>
          <w:color w:val="77328A"/>
          <w:sz w:val="16"/>
          <w:szCs w:val="16"/>
        </w:rPr>
        <w:t xml:space="preserve">, Clause 2(7): see also </w:t>
      </w:r>
      <w:r w:rsidR="0098366C" w:rsidRPr="0098366C">
        <w:rPr>
          <w:rFonts w:ascii="Verdana" w:hAnsi="Verdana"/>
          <w:color w:val="77328A"/>
          <w:sz w:val="16"/>
          <w:szCs w:val="16"/>
        </w:rPr>
        <w:t>UK House of Commons Hansard, Marriage and Civil Partnership (Minimum Age) Bill: Volume 703: debated on Friday 19 November 2021</w:t>
      </w:r>
    </w:p>
  </w:footnote>
  <w:footnote w:id="41">
    <w:p w14:paraId="162CA6C5" w14:textId="33A16367" w:rsidR="001A0F1F" w:rsidRPr="000551C1" w:rsidRDefault="001A0F1F">
      <w:pPr>
        <w:pStyle w:val="FootnoteText"/>
        <w:rPr>
          <w:rFonts w:ascii="Verdana" w:hAnsi="Verdana"/>
          <w:sz w:val="16"/>
          <w:szCs w:val="16"/>
        </w:rPr>
      </w:pPr>
      <w:r w:rsidRPr="000551C1">
        <w:rPr>
          <w:rStyle w:val="FootnoteReference"/>
          <w:rFonts w:ascii="Verdana" w:hAnsi="Verdana"/>
          <w:color w:val="77328A"/>
          <w:sz w:val="16"/>
          <w:szCs w:val="16"/>
        </w:rPr>
        <w:footnoteRef/>
      </w:r>
      <w:r w:rsidRPr="000551C1">
        <w:rPr>
          <w:rFonts w:ascii="Verdana" w:hAnsi="Verdana"/>
          <w:color w:val="77328A"/>
          <w:sz w:val="16"/>
          <w:szCs w:val="16"/>
        </w:rPr>
        <w:t xml:space="preserve"> Family Law Act 1995, Section 31</w:t>
      </w:r>
      <w:r w:rsidR="009358BD" w:rsidRPr="000551C1">
        <w:rPr>
          <w:rFonts w:ascii="Verdana" w:hAnsi="Verdana"/>
          <w:color w:val="77328A"/>
          <w:sz w:val="16"/>
          <w:szCs w:val="16"/>
        </w:rPr>
        <w:t xml:space="preserve"> </w:t>
      </w:r>
    </w:p>
  </w:footnote>
  <w:footnote w:id="42">
    <w:p w14:paraId="04AEAE0A" w14:textId="238D3AD3" w:rsidR="00C609C3" w:rsidRDefault="00C609C3">
      <w:pPr>
        <w:pStyle w:val="FootnoteText"/>
      </w:pPr>
      <w:r w:rsidRPr="005C4B3E">
        <w:rPr>
          <w:rStyle w:val="FootnoteReference"/>
          <w:rFonts w:ascii="Verdana" w:hAnsi="Verdana"/>
          <w:color w:val="77328A"/>
          <w:sz w:val="16"/>
          <w:szCs w:val="16"/>
        </w:rPr>
        <w:footnoteRef/>
      </w:r>
      <w:r w:rsidRPr="005C4B3E">
        <w:rPr>
          <w:color w:val="77328A"/>
          <w:sz w:val="16"/>
          <w:szCs w:val="16"/>
        </w:rPr>
        <w:t xml:space="preserve"> </w:t>
      </w:r>
      <w:r w:rsidR="00140DB1" w:rsidRPr="00140DB1">
        <w:rPr>
          <w:rFonts w:ascii="Verdana" w:hAnsi="Verdana"/>
          <w:color w:val="77328A"/>
          <w:sz w:val="16"/>
          <w:szCs w:val="16"/>
        </w:rPr>
        <w:t>CEDAW/C/GC/31/Rev.1–CRC/C/GC/18/Rev.1</w:t>
      </w:r>
      <w:r w:rsidR="00027AFF" w:rsidRPr="005C4B3E">
        <w:rPr>
          <w:rFonts w:ascii="Verdana" w:hAnsi="Verdana"/>
          <w:color w:val="77328A"/>
          <w:sz w:val="16"/>
          <w:szCs w:val="16"/>
        </w:rPr>
        <w:t>,</w:t>
      </w:r>
      <w:r w:rsidR="00805BB4" w:rsidRPr="005C4B3E">
        <w:rPr>
          <w:rFonts w:ascii="Verdana" w:hAnsi="Verdana"/>
          <w:color w:val="77328A"/>
          <w:sz w:val="16"/>
          <w:szCs w:val="16"/>
        </w:rPr>
        <w:t xml:space="preserve"> ‘</w:t>
      </w:r>
      <w:r w:rsidR="00805BB4" w:rsidRPr="005C4B3E">
        <w:rPr>
          <w:rFonts w:ascii="Verdana" w:hAnsi="Verdana" w:cs="Open Sans"/>
          <w:color w:val="77328A"/>
          <w:sz w:val="16"/>
          <w:szCs w:val="16"/>
          <w:shd w:val="clear" w:color="auto" w:fill="FFFFFF"/>
        </w:rPr>
        <w:t xml:space="preserve">Joint general recommendation No. 31 of the Committee on the Elimination of Discrimination against Women/general comment No. 18 of the Committee on the Rights of the Child on harmful practices’ </w:t>
      </w:r>
      <w:r w:rsidR="00140DB1">
        <w:rPr>
          <w:rFonts w:ascii="Verdana" w:hAnsi="Verdana" w:cs="Open Sans"/>
          <w:color w:val="77328A"/>
          <w:sz w:val="16"/>
          <w:szCs w:val="16"/>
          <w:shd w:val="clear" w:color="auto" w:fill="FFFFFF"/>
        </w:rPr>
        <w:t>8 May 2019</w:t>
      </w:r>
      <w:r w:rsidR="00805BB4" w:rsidRPr="005C4B3E">
        <w:rPr>
          <w:rFonts w:ascii="Verdana" w:hAnsi="Verdana" w:cs="Open Sans"/>
          <w:color w:val="77328A"/>
          <w:sz w:val="16"/>
          <w:szCs w:val="16"/>
          <w:shd w:val="clear" w:color="auto" w:fill="FFFFFF"/>
        </w:rPr>
        <w:t xml:space="preserve">, </w:t>
      </w:r>
      <w:r w:rsidR="00805BB4" w:rsidRPr="005C4B3E">
        <w:rPr>
          <w:rFonts w:ascii="Verdana" w:hAnsi="Verdana"/>
          <w:color w:val="77328A"/>
          <w:sz w:val="16"/>
          <w:szCs w:val="16"/>
        </w:rPr>
        <w:t>a</w:t>
      </w:r>
      <w:r w:rsidR="00A1217A" w:rsidRPr="005C4B3E">
        <w:rPr>
          <w:rFonts w:ascii="Verdana" w:hAnsi="Verdana"/>
          <w:color w:val="77328A"/>
          <w:sz w:val="16"/>
          <w:szCs w:val="16"/>
        </w:rPr>
        <w:t>t para 22.</w:t>
      </w:r>
    </w:p>
  </w:footnote>
  <w:footnote w:id="43">
    <w:p w14:paraId="3C575687" w14:textId="7C8F5ECA" w:rsidR="00E06D7D" w:rsidRPr="005C4B3E" w:rsidRDefault="00E06D7D" w:rsidP="00E06D7D">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140DB1" w:rsidRPr="00140DB1">
        <w:rPr>
          <w:rFonts w:ascii="Verdana" w:hAnsi="Verdana"/>
          <w:color w:val="77328A"/>
          <w:sz w:val="16"/>
          <w:szCs w:val="16"/>
        </w:rPr>
        <w:t>CEDAW/C/GC/31/Rev.1–CRC/C/GC/18/Rev.1</w:t>
      </w:r>
      <w:r w:rsidR="00805BB4" w:rsidRPr="005C4B3E">
        <w:rPr>
          <w:rFonts w:ascii="Verdana" w:hAnsi="Verdana"/>
          <w:color w:val="77328A"/>
          <w:sz w:val="16"/>
          <w:szCs w:val="16"/>
        </w:rPr>
        <w:t xml:space="preserve">, </w:t>
      </w:r>
      <w:r w:rsidRPr="005C4B3E">
        <w:rPr>
          <w:rFonts w:ascii="Verdana" w:hAnsi="Verdana"/>
          <w:color w:val="77328A"/>
          <w:sz w:val="16"/>
          <w:szCs w:val="16"/>
          <w:shd w:val="clear" w:color="auto" w:fill="FFFFFF"/>
        </w:rPr>
        <w:t>at para. 20</w:t>
      </w:r>
      <w:r w:rsidR="001E0D30" w:rsidRPr="005C4B3E">
        <w:rPr>
          <w:rFonts w:ascii="Verdana" w:hAnsi="Verdana"/>
          <w:color w:val="77328A"/>
          <w:sz w:val="16"/>
          <w:szCs w:val="16"/>
          <w:shd w:val="clear" w:color="auto" w:fill="FFFFFF"/>
        </w:rPr>
        <w:t xml:space="preserve">; see also, </w:t>
      </w:r>
      <w:r w:rsidR="001E0D30" w:rsidRPr="005C4B3E">
        <w:rPr>
          <w:rFonts w:ascii="Verdana" w:hAnsi="Verdana"/>
          <w:color w:val="77328A"/>
          <w:sz w:val="16"/>
          <w:szCs w:val="16"/>
        </w:rPr>
        <w:t>CRC/C/GC/13, ‘UN CRC Committee General Comment No.13: The right of the child to freedom from all forms of violence’ 18 April 2011, at para.29</w:t>
      </w:r>
    </w:p>
  </w:footnote>
  <w:footnote w:id="44">
    <w:p w14:paraId="7D9F48EA" w14:textId="4E5850F9" w:rsidR="0046665F" w:rsidRPr="005C4B3E" w:rsidRDefault="0046665F">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001E0D30" w:rsidRPr="005C4B3E">
        <w:rPr>
          <w:rFonts w:ascii="Verdana" w:hAnsi="Verdana"/>
          <w:color w:val="77328A"/>
          <w:sz w:val="16"/>
          <w:szCs w:val="16"/>
        </w:rPr>
        <w:t xml:space="preserve">CRC/C/GC/13, </w:t>
      </w:r>
      <w:r w:rsidR="00C07EE6" w:rsidRPr="005C4B3E">
        <w:rPr>
          <w:rFonts w:ascii="Verdana" w:hAnsi="Verdana"/>
          <w:color w:val="77328A"/>
          <w:sz w:val="16"/>
          <w:szCs w:val="16"/>
        </w:rPr>
        <w:t xml:space="preserve">at </w:t>
      </w:r>
      <w:r w:rsidRPr="005C4B3E">
        <w:rPr>
          <w:rFonts w:ascii="Verdana" w:hAnsi="Verdana"/>
          <w:color w:val="77328A"/>
          <w:sz w:val="16"/>
          <w:szCs w:val="16"/>
        </w:rPr>
        <w:t>para</w:t>
      </w:r>
      <w:r w:rsidR="00C07EE6" w:rsidRPr="005C4B3E">
        <w:rPr>
          <w:rFonts w:ascii="Verdana" w:hAnsi="Verdana"/>
          <w:color w:val="77328A"/>
          <w:sz w:val="16"/>
          <w:szCs w:val="16"/>
        </w:rPr>
        <w:t xml:space="preserve"> </w:t>
      </w:r>
      <w:r w:rsidRPr="005C4B3E">
        <w:rPr>
          <w:rFonts w:ascii="Verdana" w:hAnsi="Verdana"/>
          <w:color w:val="77328A"/>
          <w:sz w:val="16"/>
          <w:szCs w:val="16"/>
        </w:rPr>
        <w:t>33</w:t>
      </w:r>
      <w:r w:rsidR="003154FC" w:rsidRPr="005C4B3E">
        <w:rPr>
          <w:rFonts w:ascii="Verdana" w:hAnsi="Verdana"/>
          <w:color w:val="77328A"/>
          <w:sz w:val="16"/>
          <w:szCs w:val="16"/>
        </w:rPr>
        <w:t>.</w:t>
      </w:r>
    </w:p>
  </w:footnote>
  <w:footnote w:id="45">
    <w:p w14:paraId="62BD2AF9" w14:textId="77777777" w:rsidR="00981844" w:rsidRPr="00981844" w:rsidRDefault="00981844">
      <w:pPr>
        <w:pStyle w:val="FootnoteText"/>
        <w:rPr>
          <w:rFonts w:ascii="Verdana" w:hAnsi="Verdana"/>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Preventing and Combating Violence against Women and Domestic Violence (Ratification of Convention) Act 2017; Home Office, ‘Ratification of the </w:t>
      </w:r>
      <w:proofErr w:type="spellStart"/>
      <w:r w:rsidRPr="005C4B3E">
        <w:rPr>
          <w:rFonts w:ascii="Verdana" w:hAnsi="Verdana"/>
          <w:color w:val="77328A"/>
          <w:sz w:val="16"/>
          <w:szCs w:val="16"/>
        </w:rPr>
        <w:t>CoE</w:t>
      </w:r>
      <w:proofErr w:type="spellEnd"/>
      <w:r w:rsidRPr="005C4B3E">
        <w:rPr>
          <w:rFonts w:ascii="Verdana" w:hAnsi="Verdana"/>
          <w:color w:val="77328A"/>
          <w:sz w:val="16"/>
          <w:szCs w:val="16"/>
        </w:rPr>
        <w:t xml:space="preserve"> Convention on Combating Violence against Women and Girls and Domestic Violence (Istanbul Convention) – 2020 Report on progress’ (HO, 2020), at Annex A.</w:t>
      </w:r>
    </w:p>
  </w:footnote>
  <w:footnote w:id="46">
    <w:p w14:paraId="0E2676F0" w14:textId="77777777" w:rsidR="00BA2F36" w:rsidRPr="005C4B3E" w:rsidRDefault="00BA2F36">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Pr="005C4B3E">
        <w:rPr>
          <w:rFonts w:ascii="Verdana" w:hAnsi="Verdana" w:cs="Arial"/>
          <w:bCs/>
          <w:color w:val="77328A"/>
          <w:sz w:val="16"/>
          <w:szCs w:val="16"/>
        </w:rPr>
        <w:t>Article 37</w:t>
      </w:r>
      <w:r w:rsidR="005440EF" w:rsidRPr="005C4B3E">
        <w:rPr>
          <w:rFonts w:ascii="Verdana" w:hAnsi="Verdana" w:cs="Arial"/>
          <w:bCs/>
          <w:color w:val="77328A"/>
          <w:sz w:val="16"/>
          <w:szCs w:val="16"/>
        </w:rPr>
        <w:t>, the Istanbul Convention</w:t>
      </w:r>
      <w:r w:rsidR="003154FC" w:rsidRPr="005C4B3E">
        <w:rPr>
          <w:rFonts w:ascii="Verdana" w:hAnsi="Verdana" w:cs="Arial"/>
          <w:bCs/>
          <w:color w:val="77328A"/>
          <w:sz w:val="16"/>
          <w:szCs w:val="16"/>
        </w:rPr>
        <w:t>.</w:t>
      </w:r>
    </w:p>
  </w:footnote>
  <w:footnote w:id="47">
    <w:p w14:paraId="2DD35869" w14:textId="77777777" w:rsidR="00CB2C80" w:rsidRPr="005C4B3E" w:rsidRDefault="00CB2C80" w:rsidP="00CB2C80">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UK Government, ‘UK Government commitment to no-diminution of rights, safeguards and equality of opportunity in Northern Ireland’, (NIO, 2020), at 13.</w:t>
      </w:r>
    </w:p>
  </w:footnote>
  <w:footnote w:id="48">
    <w:p w14:paraId="1FF37F9A" w14:textId="77777777" w:rsidR="00CB2C80" w:rsidRPr="005C4B3E" w:rsidRDefault="00CB2C80" w:rsidP="00CB2C80">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UK Government, ‘UK Government commitment to no-diminution of rights, safeguards and equality of opportunity in Northern Ireland’, (NIO, 2020), at para 13.</w:t>
      </w:r>
    </w:p>
  </w:footnote>
  <w:footnote w:id="49">
    <w:p w14:paraId="5B72F28D" w14:textId="77777777" w:rsidR="00CB2C80" w:rsidRPr="005C4B3E" w:rsidRDefault="00CB2C80" w:rsidP="00CB2C80">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Belfast (Good Friday) Agreement, 10 April 1998, Part 6 on Rights, Safeguards and Equality of Opportunity.</w:t>
      </w:r>
    </w:p>
  </w:footnote>
  <w:footnote w:id="50">
    <w:p w14:paraId="63CFE4DF" w14:textId="77777777" w:rsidR="00CB2C80" w:rsidRPr="005C4B3E" w:rsidRDefault="00CB2C80" w:rsidP="00CB2C80">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Directive 2012/29/EU, ‘Directive of the European Parliament and of the Council establishing minimum standards on the rights, support and protection of victims of crime’, 25 October 2012.</w:t>
      </w:r>
    </w:p>
  </w:footnote>
  <w:footnote w:id="51">
    <w:p w14:paraId="01C4450D" w14:textId="77777777" w:rsidR="00CB2C80" w:rsidRPr="0090124F" w:rsidRDefault="00CB2C80" w:rsidP="00CB2C80">
      <w:pPr>
        <w:pStyle w:val="FootnoteText"/>
        <w:rPr>
          <w:rFonts w:ascii="Verdana" w:hAnsi="Verdan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Recital 17, Directive 2012/29/EU, ‘Directive of the European Parliament and of the Council establishing minimum standards on the rights, support and protection of victims of crime’, 25 October 2012.</w:t>
      </w:r>
    </w:p>
  </w:footnote>
  <w:footnote w:id="52">
    <w:p w14:paraId="74AD9EEA" w14:textId="50120B8A" w:rsidR="00703F92" w:rsidRPr="005C4B3E" w:rsidRDefault="00703F92" w:rsidP="00703F92">
      <w:pPr>
        <w:pStyle w:val="FootnoteText"/>
        <w:rPr>
          <w:rFonts w:ascii="Verdana" w:hAnsi="Verdan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See: Correspondence from the </w:t>
      </w:r>
      <w:r w:rsidR="008B7074" w:rsidRPr="005C4B3E">
        <w:rPr>
          <w:rFonts w:ascii="Verdana" w:hAnsi="Verdana"/>
          <w:color w:val="77328A"/>
          <w:sz w:val="16"/>
          <w:szCs w:val="16"/>
        </w:rPr>
        <w:t>Karma Nirvana and The Five Foundation</w:t>
      </w:r>
      <w:r w:rsidRPr="005C4B3E">
        <w:rPr>
          <w:rFonts w:ascii="Verdana" w:hAnsi="Verdana"/>
          <w:color w:val="77328A"/>
          <w:sz w:val="16"/>
          <w:szCs w:val="16"/>
        </w:rPr>
        <w:t xml:space="preserve"> to RT Hon Boris Johnson MP, </w:t>
      </w:r>
      <w:r w:rsidR="008B7074" w:rsidRPr="005C4B3E">
        <w:rPr>
          <w:rFonts w:ascii="Verdana" w:hAnsi="Verdana"/>
          <w:color w:val="77328A"/>
          <w:sz w:val="16"/>
          <w:szCs w:val="16"/>
        </w:rPr>
        <w:t>2 March</w:t>
      </w:r>
      <w:r w:rsidRPr="005C4B3E">
        <w:rPr>
          <w:rFonts w:ascii="Verdana" w:hAnsi="Verdana"/>
          <w:color w:val="77328A"/>
          <w:sz w:val="16"/>
          <w:szCs w:val="16"/>
        </w:rPr>
        <w:t xml:space="preserve"> 2021, available at: </w:t>
      </w:r>
      <w:hyperlink r:id="rId1" w:history="1">
        <w:r w:rsidR="007B68BA" w:rsidRPr="005C4B3E">
          <w:rPr>
            <w:rStyle w:val="Hyperlink"/>
            <w:rFonts w:ascii="Verdana" w:hAnsi="Verdana"/>
            <w:sz w:val="16"/>
            <w:szCs w:val="16"/>
          </w:rPr>
          <w:t>Letter-to-UK-PM-on-Child-Marriage-Ban.pdf (thefivefoundation.org)</w:t>
        </w:r>
      </w:hyperlink>
      <w:r w:rsidR="008B7074" w:rsidRPr="005C4B3E">
        <w:rPr>
          <w:rFonts w:ascii="Verdana" w:hAnsi="Verdana"/>
          <w:sz w:val="16"/>
          <w:szCs w:val="16"/>
        </w:rPr>
        <w:t xml:space="preserve">; </w:t>
      </w:r>
      <w:r w:rsidR="008B7074" w:rsidRPr="005C4B3E">
        <w:rPr>
          <w:rFonts w:ascii="Verdana" w:hAnsi="Verdana"/>
          <w:color w:val="7030A0"/>
          <w:sz w:val="16"/>
          <w:szCs w:val="16"/>
        </w:rPr>
        <w:t xml:space="preserve">‘Child </w:t>
      </w:r>
      <w:r w:rsidR="008B7074" w:rsidRPr="005C4B3E">
        <w:rPr>
          <w:rFonts w:ascii="Verdana" w:hAnsi="Verdana"/>
          <w:color w:val="77328A"/>
          <w:sz w:val="16"/>
          <w:szCs w:val="16"/>
        </w:rPr>
        <w:t>Marriage ‘thriving in UK’ due to legal loophole, warn rights groups’ The Guardian, 4 May 2021 a</w:t>
      </w:r>
      <w:r w:rsidR="008B7074" w:rsidRPr="005C4B3E">
        <w:rPr>
          <w:rFonts w:ascii="Verdana" w:hAnsi="Verdana"/>
          <w:color w:val="7030A0"/>
          <w:sz w:val="16"/>
          <w:szCs w:val="16"/>
        </w:rPr>
        <w:t xml:space="preserve">t  </w:t>
      </w:r>
      <w:hyperlink r:id="rId2" w:history="1">
        <w:r w:rsidR="008B7074" w:rsidRPr="005C4B3E">
          <w:rPr>
            <w:rStyle w:val="Hyperlink"/>
            <w:rFonts w:ascii="Verdana" w:hAnsi="Verdana"/>
            <w:sz w:val="16"/>
            <w:szCs w:val="16"/>
          </w:rPr>
          <w:t>Child marriage ‘thriving in UK’ due to legal loophole, warn rights groups | Child marriage | The Guardian</w:t>
        </w:r>
      </w:hyperlink>
    </w:p>
  </w:footnote>
  <w:footnote w:id="53">
    <w:p w14:paraId="43B66D05" w14:textId="2D272D7C" w:rsidR="00B716DD" w:rsidRPr="005C4B3E" w:rsidRDefault="00B716DD">
      <w:pPr>
        <w:pStyle w:val="FootnoteText"/>
        <w:rPr>
          <w:rFonts w:ascii="Verdana" w:hAnsi="Verdan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proofErr w:type="spellStart"/>
      <w:r w:rsidR="00FB4865" w:rsidRPr="005C4B3E">
        <w:rPr>
          <w:rFonts w:ascii="Verdana" w:hAnsi="Verdana"/>
          <w:color w:val="77328A"/>
          <w:sz w:val="16"/>
          <w:szCs w:val="16"/>
        </w:rPr>
        <w:t>DoF</w:t>
      </w:r>
      <w:proofErr w:type="spellEnd"/>
      <w:r w:rsidR="00FB4865" w:rsidRPr="005C4B3E">
        <w:rPr>
          <w:rFonts w:ascii="Verdana" w:hAnsi="Verdana"/>
          <w:color w:val="77328A"/>
          <w:sz w:val="16"/>
          <w:szCs w:val="16"/>
        </w:rPr>
        <w:t>, Consultation document at para 16</w:t>
      </w:r>
      <w:r w:rsidR="003154FC" w:rsidRPr="005C4B3E">
        <w:rPr>
          <w:rFonts w:ascii="Verdana" w:hAnsi="Verdana"/>
          <w:color w:val="77328A"/>
          <w:sz w:val="16"/>
          <w:szCs w:val="16"/>
        </w:rPr>
        <w:t>.</w:t>
      </w:r>
    </w:p>
  </w:footnote>
  <w:footnote w:id="54">
    <w:p w14:paraId="20B9330F" w14:textId="77777777" w:rsidR="006E6B3B" w:rsidRPr="005C4B3E" w:rsidRDefault="006E6B3B" w:rsidP="006E6B3B">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A/RES/75/167, ‘UN General Assembly Resolution adopted by the General Assembly on 16 December 2020’, 23 December 2020</w:t>
      </w:r>
    </w:p>
  </w:footnote>
  <w:footnote w:id="55">
    <w:p w14:paraId="488135F4" w14:textId="77777777" w:rsidR="00F850B2" w:rsidRPr="00E06D7D" w:rsidRDefault="00F850B2" w:rsidP="00F850B2">
      <w:pPr>
        <w:pStyle w:val="FootnoteText"/>
        <w:rPr>
          <w:rFonts w:ascii="Verdana" w:hAnsi="Verdana"/>
          <w:color w:val="7030A0"/>
          <w:sz w:val="18"/>
          <w:szCs w:val="18"/>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Pr="005C4B3E">
        <w:rPr>
          <w:rFonts w:ascii="Verdana" w:hAnsi="Verdana" w:cs="Helvetica"/>
          <w:color w:val="77328A"/>
          <w:sz w:val="16"/>
          <w:szCs w:val="16"/>
          <w:shd w:val="clear" w:color="auto" w:fill="F9F9F9"/>
        </w:rPr>
        <w:t xml:space="preserve">CEDAW/C/GBR/CO/8, 'UN CEDAW Committee Concluding Observations on the Eighth Periodic Report of the UK of Great Britain and NI', 14 March 2019, at para 59(b); and </w:t>
      </w:r>
      <w:r w:rsidRPr="005C4B3E">
        <w:rPr>
          <w:rFonts w:ascii="Verdana" w:hAnsi="Verdana" w:cs="Helvetica"/>
          <w:color w:val="77328A"/>
          <w:sz w:val="16"/>
          <w:szCs w:val="16"/>
          <w:shd w:val="clear" w:color="auto" w:fill="FFFFFF"/>
        </w:rPr>
        <w:t>CAT/C/GBR/CO/6, 'UN CAT Committee Concluding Observations on the Sixth Periodic Report of the UK of Great Britain and NI', 7 June 2019, at para 57(f).</w:t>
      </w:r>
    </w:p>
  </w:footnote>
  <w:footnote w:id="56">
    <w:p w14:paraId="4DEDDEBD" w14:textId="77777777" w:rsidR="003F7013" w:rsidRPr="005C4B3E" w:rsidRDefault="003F7013" w:rsidP="003F7013">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Khan v UK, Application no.11579/85, 7 July 1986.</w:t>
      </w:r>
    </w:p>
  </w:footnote>
  <w:footnote w:id="57">
    <w:p w14:paraId="3986DC2A" w14:textId="77777777" w:rsidR="003F7013" w:rsidRPr="005C4B3E" w:rsidRDefault="003F7013" w:rsidP="003F7013">
      <w:pPr>
        <w:pStyle w:val="FootnoteText"/>
        <w:rPr>
          <w:rFonts w:ascii="Verdana" w:hAnsi="Verdana"/>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w:t>
      </w:r>
      <w:r w:rsidRPr="005C4B3E">
        <w:rPr>
          <w:rFonts w:ascii="Verdana" w:hAnsi="Verdana" w:cs="Arial"/>
          <w:bCs/>
          <w:color w:val="77328A"/>
          <w:sz w:val="16"/>
          <w:szCs w:val="16"/>
        </w:rPr>
        <w:t>Z.H. and R.H. v Switzerland, Application no.60119/12, 8 December 2015.</w:t>
      </w:r>
    </w:p>
  </w:footnote>
  <w:footnote w:id="58">
    <w:p w14:paraId="49B847F6" w14:textId="77777777" w:rsidR="003F7013" w:rsidRPr="005C4B3E" w:rsidRDefault="003F7013" w:rsidP="003F7013">
      <w:pPr>
        <w:pStyle w:val="FootnoteText"/>
        <w:rPr>
          <w:color w:val="77328A"/>
          <w:sz w:val="16"/>
          <w:szCs w:val="16"/>
        </w:rPr>
      </w:pPr>
      <w:r w:rsidRPr="005C4B3E">
        <w:rPr>
          <w:rStyle w:val="FootnoteReference"/>
          <w:rFonts w:ascii="Verdana" w:hAnsi="Verdana"/>
          <w:color w:val="77328A"/>
          <w:sz w:val="16"/>
          <w:szCs w:val="16"/>
        </w:rPr>
        <w:footnoteRef/>
      </w:r>
      <w:r w:rsidRPr="005C4B3E">
        <w:rPr>
          <w:rFonts w:ascii="Verdana" w:hAnsi="Verdana"/>
          <w:color w:val="77328A"/>
          <w:sz w:val="16"/>
          <w:szCs w:val="16"/>
        </w:rPr>
        <w:t xml:space="preserve"> Ibid, at para 44.</w:t>
      </w:r>
      <w:r w:rsidRPr="005C4B3E">
        <w:rPr>
          <w:color w:val="77328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D5558C"/>
    <w:multiLevelType w:val="hybridMultilevel"/>
    <w:tmpl w:val="683EA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E80B21"/>
    <w:multiLevelType w:val="hybridMultilevel"/>
    <w:tmpl w:val="2C448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6B4D60"/>
    <w:multiLevelType w:val="hybridMultilevel"/>
    <w:tmpl w:val="5E60F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FB0C57"/>
    <w:multiLevelType w:val="hybridMultilevel"/>
    <w:tmpl w:val="1E70FB3A"/>
    <w:lvl w:ilvl="0" w:tplc="80B2ABD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01BD"/>
    <w:multiLevelType w:val="multilevel"/>
    <w:tmpl w:val="0ABAC1B6"/>
    <w:lvl w:ilvl="0">
      <w:start w:val="1"/>
      <w:numFmt w:val="decimal"/>
      <w:lvlText w:val="%1"/>
      <w:lvlJc w:val="left"/>
      <w:pPr>
        <w:ind w:left="548" w:hanging="548"/>
      </w:pPr>
      <w:rPr>
        <w:rFonts w:hint="default"/>
      </w:rPr>
    </w:lvl>
    <w:lvl w:ilvl="1">
      <w:start w:val="1"/>
      <w:numFmt w:val="decimal"/>
      <w:pStyle w:val="ListParagraph"/>
      <w:lvlText w:val="%1.%2"/>
      <w:lvlJc w:val="left"/>
      <w:pPr>
        <w:ind w:left="1004" w:hanging="720"/>
      </w:pPr>
      <w:rPr>
        <w:rFonts w:ascii="Verdana" w:hAnsi="Verdana" w:hint="default"/>
        <w:b w:val="0"/>
        <w:color w:val="auto"/>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0"/>
  </w:num>
  <w:num w:numId="4">
    <w:abstractNumId w:val="4"/>
  </w:num>
  <w:num w:numId="5">
    <w:abstractNumId w:val="10"/>
  </w:num>
  <w:num w:numId="6">
    <w:abstractNumId w:val="1"/>
  </w:num>
  <w:num w:numId="7">
    <w:abstractNumId w:val="5"/>
  </w:num>
  <w:num w:numId="8">
    <w:abstractNumId w:val="6"/>
  </w:num>
  <w:num w:numId="9">
    <w:abstractNumId w:val="3"/>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106"/>
    <w:rsid w:val="000012A9"/>
    <w:rsid w:val="0001136E"/>
    <w:rsid w:val="00012DB9"/>
    <w:rsid w:val="000130A3"/>
    <w:rsid w:val="00013647"/>
    <w:rsid w:val="000142FA"/>
    <w:rsid w:val="00015B62"/>
    <w:rsid w:val="00016C9A"/>
    <w:rsid w:val="00021568"/>
    <w:rsid w:val="00022A5A"/>
    <w:rsid w:val="00024A29"/>
    <w:rsid w:val="00024BB8"/>
    <w:rsid w:val="00024BC6"/>
    <w:rsid w:val="00026703"/>
    <w:rsid w:val="00026875"/>
    <w:rsid w:val="0002710B"/>
    <w:rsid w:val="000272AA"/>
    <w:rsid w:val="00027AFF"/>
    <w:rsid w:val="000319B7"/>
    <w:rsid w:val="000330CD"/>
    <w:rsid w:val="00037812"/>
    <w:rsid w:val="00040517"/>
    <w:rsid w:val="00040D33"/>
    <w:rsid w:val="000432C5"/>
    <w:rsid w:val="00044431"/>
    <w:rsid w:val="00045AB9"/>
    <w:rsid w:val="00046705"/>
    <w:rsid w:val="000468F2"/>
    <w:rsid w:val="00046D36"/>
    <w:rsid w:val="00050135"/>
    <w:rsid w:val="0005379E"/>
    <w:rsid w:val="00054CF5"/>
    <w:rsid w:val="000551C1"/>
    <w:rsid w:val="000558A9"/>
    <w:rsid w:val="00055B0D"/>
    <w:rsid w:val="00055E96"/>
    <w:rsid w:val="000563E1"/>
    <w:rsid w:val="00057252"/>
    <w:rsid w:val="00066D39"/>
    <w:rsid w:val="000678C6"/>
    <w:rsid w:val="00074525"/>
    <w:rsid w:val="000769D6"/>
    <w:rsid w:val="00076B1C"/>
    <w:rsid w:val="00076C9D"/>
    <w:rsid w:val="0008184C"/>
    <w:rsid w:val="00083249"/>
    <w:rsid w:val="00084344"/>
    <w:rsid w:val="00084664"/>
    <w:rsid w:val="0008475D"/>
    <w:rsid w:val="00087332"/>
    <w:rsid w:val="000905AE"/>
    <w:rsid w:val="000915E0"/>
    <w:rsid w:val="00093129"/>
    <w:rsid w:val="00095EE7"/>
    <w:rsid w:val="00097874"/>
    <w:rsid w:val="000A12EF"/>
    <w:rsid w:val="000A17F2"/>
    <w:rsid w:val="000A6C2D"/>
    <w:rsid w:val="000B0A2B"/>
    <w:rsid w:val="000B214A"/>
    <w:rsid w:val="000B2C7E"/>
    <w:rsid w:val="000B441F"/>
    <w:rsid w:val="000B4ACC"/>
    <w:rsid w:val="000C1818"/>
    <w:rsid w:val="000C25D3"/>
    <w:rsid w:val="000C70BA"/>
    <w:rsid w:val="000C7662"/>
    <w:rsid w:val="000D3D1B"/>
    <w:rsid w:val="000D419D"/>
    <w:rsid w:val="000D5E26"/>
    <w:rsid w:val="000E1F61"/>
    <w:rsid w:val="000E284E"/>
    <w:rsid w:val="000E2D36"/>
    <w:rsid w:val="000E392C"/>
    <w:rsid w:val="000E6B49"/>
    <w:rsid w:val="000E73DB"/>
    <w:rsid w:val="000E73EB"/>
    <w:rsid w:val="000E76C4"/>
    <w:rsid w:val="000E7F0C"/>
    <w:rsid w:val="000F44A9"/>
    <w:rsid w:val="000F5566"/>
    <w:rsid w:val="000F7127"/>
    <w:rsid w:val="000F75BC"/>
    <w:rsid w:val="001053A8"/>
    <w:rsid w:val="00105743"/>
    <w:rsid w:val="00105D06"/>
    <w:rsid w:val="00107217"/>
    <w:rsid w:val="0011411C"/>
    <w:rsid w:val="00114D32"/>
    <w:rsid w:val="00115B84"/>
    <w:rsid w:val="00120226"/>
    <w:rsid w:val="0012071A"/>
    <w:rsid w:val="00122A44"/>
    <w:rsid w:val="00122E39"/>
    <w:rsid w:val="001251C8"/>
    <w:rsid w:val="001253FE"/>
    <w:rsid w:val="0012796F"/>
    <w:rsid w:val="00132955"/>
    <w:rsid w:val="0013548F"/>
    <w:rsid w:val="00137F3C"/>
    <w:rsid w:val="00140173"/>
    <w:rsid w:val="00140ABA"/>
    <w:rsid w:val="00140DB1"/>
    <w:rsid w:val="0014624D"/>
    <w:rsid w:val="00147338"/>
    <w:rsid w:val="00150413"/>
    <w:rsid w:val="00153458"/>
    <w:rsid w:val="001543A0"/>
    <w:rsid w:val="00154525"/>
    <w:rsid w:val="00156C4C"/>
    <w:rsid w:val="001602B0"/>
    <w:rsid w:val="00161EF6"/>
    <w:rsid w:val="00162E27"/>
    <w:rsid w:val="001658A3"/>
    <w:rsid w:val="0016709B"/>
    <w:rsid w:val="00171BAA"/>
    <w:rsid w:val="001740BA"/>
    <w:rsid w:val="00176B13"/>
    <w:rsid w:val="00177F5E"/>
    <w:rsid w:val="001824AA"/>
    <w:rsid w:val="0018408F"/>
    <w:rsid w:val="00187698"/>
    <w:rsid w:val="001911CC"/>
    <w:rsid w:val="001927C8"/>
    <w:rsid w:val="00193C93"/>
    <w:rsid w:val="0019413B"/>
    <w:rsid w:val="00196AAA"/>
    <w:rsid w:val="00196D42"/>
    <w:rsid w:val="001A09E6"/>
    <w:rsid w:val="001A0F1F"/>
    <w:rsid w:val="001A14CD"/>
    <w:rsid w:val="001A248B"/>
    <w:rsid w:val="001A2596"/>
    <w:rsid w:val="001A3B0D"/>
    <w:rsid w:val="001A7CB7"/>
    <w:rsid w:val="001B13E6"/>
    <w:rsid w:val="001B207A"/>
    <w:rsid w:val="001B288F"/>
    <w:rsid w:val="001B5741"/>
    <w:rsid w:val="001B6387"/>
    <w:rsid w:val="001C090F"/>
    <w:rsid w:val="001C4ACB"/>
    <w:rsid w:val="001C4DE4"/>
    <w:rsid w:val="001C6065"/>
    <w:rsid w:val="001C66E3"/>
    <w:rsid w:val="001C7E0B"/>
    <w:rsid w:val="001D2B37"/>
    <w:rsid w:val="001D3CD4"/>
    <w:rsid w:val="001D5F31"/>
    <w:rsid w:val="001D636B"/>
    <w:rsid w:val="001D7005"/>
    <w:rsid w:val="001E0B94"/>
    <w:rsid w:val="001E0D30"/>
    <w:rsid w:val="001E15F2"/>
    <w:rsid w:val="001E1E67"/>
    <w:rsid w:val="001E3219"/>
    <w:rsid w:val="001E4833"/>
    <w:rsid w:val="001E79A9"/>
    <w:rsid w:val="001E7AD9"/>
    <w:rsid w:val="001F02AD"/>
    <w:rsid w:val="001F1039"/>
    <w:rsid w:val="001F1175"/>
    <w:rsid w:val="001F126B"/>
    <w:rsid w:val="001F25C3"/>
    <w:rsid w:val="001F41D9"/>
    <w:rsid w:val="001F512E"/>
    <w:rsid w:val="001F55E9"/>
    <w:rsid w:val="001F68FF"/>
    <w:rsid w:val="00200861"/>
    <w:rsid w:val="0020420E"/>
    <w:rsid w:val="00206F1E"/>
    <w:rsid w:val="00207E0F"/>
    <w:rsid w:val="0021099C"/>
    <w:rsid w:val="00212552"/>
    <w:rsid w:val="00213AE1"/>
    <w:rsid w:val="00213B30"/>
    <w:rsid w:val="00213B8A"/>
    <w:rsid w:val="002140FE"/>
    <w:rsid w:val="00216AF1"/>
    <w:rsid w:val="0021766F"/>
    <w:rsid w:val="00220A6E"/>
    <w:rsid w:val="00224140"/>
    <w:rsid w:val="002251DB"/>
    <w:rsid w:val="00225276"/>
    <w:rsid w:val="00226876"/>
    <w:rsid w:val="002275EB"/>
    <w:rsid w:val="002308DA"/>
    <w:rsid w:val="002309DD"/>
    <w:rsid w:val="00234973"/>
    <w:rsid w:val="00234B20"/>
    <w:rsid w:val="002351CB"/>
    <w:rsid w:val="00235305"/>
    <w:rsid w:val="0023550B"/>
    <w:rsid w:val="00235982"/>
    <w:rsid w:val="00242744"/>
    <w:rsid w:val="002428EC"/>
    <w:rsid w:val="00245A96"/>
    <w:rsid w:val="00245FDF"/>
    <w:rsid w:val="00246EA6"/>
    <w:rsid w:val="0024725E"/>
    <w:rsid w:val="00250C8F"/>
    <w:rsid w:val="00250E1C"/>
    <w:rsid w:val="00252900"/>
    <w:rsid w:val="00254547"/>
    <w:rsid w:val="002564D3"/>
    <w:rsid w:val="002607B0"/>
    <w:rsid w:val="00261070"/>
    <w:rsid w:val="002635A0"/>
    <w:rsid w:val="00270655"/>
    <w:rsid w:val="00270C44"/>
    <w:rsid w:val="00272559"/>
    <w:rsid w:val="0027413D"/>
    <w:rsid w:val="0027497B"/>
    <w:rsid w:val="00277BE7"/>
    <w:rsid w:val="002832EA"/>
    <w:rsid w:val="0028379D"/>
    <w:rsid w:val="00284EC7"/>
    <w:rsid w:val="00286615"/>
    <w:rsid w:val="00286EAC"/>
    <w:rsid w:val="002870C3"/>
    <w:rsid w:val="00287A20"/>
    <w:rsid w:val="0029029C"/>
    <w:rsid w:val="00290B78"/>
    <w:rsid w:val="002914F0"/>
    <w:rsid w:val="00291E2C"/>
    <w:rsid w:val="00294482"/>
    <w:rsid w:val="0029529C"/>
    <w:rsid w:val="002964D2"/>
    <w:rsid w:val="002A0FA4"/>
    <w:rsid w:val="002A25D1"/>
    <w:rsid w:val="002A3E16"/>
    <w:rsid w:val="002A5148"/>
    <w:rsid w:val="002A5E5D"/>
    <w:rsid w:val="002A6DC3"/>
    <w:rsid w:val="002A7C34"/>
    <w:rsid w:val="002B1272"/>
    <w:rsid w:val="002B19A1"/>
    <w:rsid w:val="002B1C75"/>
    <w:rsid w:val="002B1D03"/>
    <w:rsid w:val="002B1ED5"/>
    <w:rsid w:val="002B1F3E"/>
    <w:rsid w:val="002B4AED"/>
    <w:rsid w:val="002B4D20"/>
    <w:rsid w:val="002C0673"/>
    <w:rsid w:val="002C0B14"/>
    <w:rsid w:val="002C1AB2"/>
    <w:rsid w:val="002C1D71"/>
    <w:rsid w:val="002C295D"/>
    <w:rsid w:val="002C2E0F"/>
    <w:rsid w:val="002C3EC2"/>
    <w:rsid w:val="002C558B"/>
    <w:rsid w:val="002C5E3C"/>
    <w:rsid w:val="002D09F4"/>
    <w:rsid w:val="002D1723"/>
    <w:rsid w:val="002D347F"/>
    <w:rsid w:val="002E011A"/>
    <w:rsid w:val="002E17C9"/>
    <w:rsid w:val="002E433A"/>
    <w:rsid w:val="002F0929"/>
    <w:rsid w:val="002F3D2A"/>
    <w:rsid w:val="002F4825"/>
    <w:rsid w:val="002F54DC"/>
    <w:rsid w:val="002F5C78"/>
    <w:rsid w:val="00303808"/>
    <w:rsid w:val="0030481F"/>
    <w:rsid w:val="0030490F"/>
    <w:rsid w:val="00306317"/>
    <w:rsid w:val="00306B13"/>
    <w:rsid w:val="00306DFC"/>
    <w:rsid w:val="003154FC"/>
    <w:rsid w:val="00321A75"/>
    <w:rsid w:val="0032306B"/>
    <w:rsid w:val="00327754"/>
    <w:rsid w:val="003304DD"/>
    <w:rsid w:val="00331C61"/>
    <w:rsid w:val="00333243"/>
    <w:rsid w:val="00334E10"/>
    <w:rsid w:val="003366AC"/>
    <w:rsid w:val="00341BFE"/>
    <w:rsid w:val="003442DE"/>
    <w:rsid w:val="00344E80"/>
    <w:rsid w:val="00345C07"/>
    <w:rsid w:val="00346584"/>
    <w:rsid w:val="003477D8"/>
    <w:rsid w:val="00350068"/>
    <w:rsid w:val="0035044B"/>
    <w:rsid w:val="00350E42"/>
    <w:rsid w:val="00354009"/>
    <w:rsid w:val="003555AC"/>
    <w:rsid w:val="00355C7C"/>
    <w:rsid w:val="00357FD0"/>
    <w:rsid w:val="003603AC"/>
    <w:rsid w:val="00363588"/>
    <w:rsid w:val="003648BB"/>
    <w:rsid w:val="003648F5"/>
    <w:rsid w:val="0036578A"/>
    <w:rsid w:val="00367A81"/>
    <w:rsid w:val="00367B24"/>
    <w:rsid w:val="00367CCA"/>
    <w:rsid w:val="003700D3"/>
    <w:rsid w:val="00370D87"/>
    <w:rsid w:val="00372530"/>
    <w:rsid w:val="0037439D"/>
    <w:rsid w:val="003757A6"/>
    <w:rsid w:val="003777C6"/>
    <w:rsid w:val="0038062A"/>
    <w:rsid w:val="0038062E"/>
    <w:rsid w:val="00381373"/>
    <w:rsid w:val="003855E6"/>
    <w:rsid w:val="00385B58"/>
    <w:rsid w:val="00390A9B"/>
    <w:rsid w:val="00390EE8"/>
    <w:rsid w:val="00391B9C"/>
    <w:rsid w:val="00395358"/>
    <w:rsid w:val="0039739E"/>
    <w:rsid w:val="003A0D7C"/>
    <w:rsid w:val="003A1C5B"/>
    <w:rsid w:val="003A29E6"/>
    <w:rsid w:val="003A7527"/>
    <w:rsid w:val="003B1A9F"/>
    <w:rsid w:val="003B1EFE"/>
    <w:rsid w:val="003B49ED"/>
    <w:rsid w:val="003B6769"/>
    <w:rsid w:val="003B69B8"/>
    <w:rsid w:val="003B6DE0"/>
    <w:rsid w:val="003B7D0E"/>
    <w:rsid w:val="003C3ADC"/>
    <w:rsid w:val="003C3E8F"/>
    <w:rsid w:val="003C4685"/>
    <w:rsid w:val="003C542A"/>
    <w:rsid w:val="003C6260"/>
    <w:rsid w:val="003C6FA5"/>
    <w:rsid w:val="003C7BB3"/>
    <w:rsid w:val="003C7F47"/>
    <w:rsid w:val="003D02BA"/>
    <w:rsid w:val="003D09D2"/>
    <w:rsid w:val="003D138B"/>
    <w:rsid w:val="003D6252"/>
    <w:rsid w:val="003D635E"/>
    <w:rsid w:val="003D6770"/>
    <w:rsid w:val="003D7828"/>
    <w:rsid w:val="003D7AE6"/>
    <w:rsid w:val="003D7CAB"/>
    <w:rsid w:val="003D7D8E"/>
    <w:rsid w:val="003E17CE"/>
    <w:rsid w:val="003E28AE"/>
    <w:rsid w:val="003E2D0D"/>
    <w:rsid w:val="003E3543"/>
    <w:rsid w:val="003E5DC7"/>
    <w:rsid w:val="003E62BE"/>
    <w:rsid w:val="003F2230"/>
    <w:rsid w:val="003F3BF5"/>
    <w:rsid w:val="003F593B"/>
    <w:rsid w:val="003F5EEE"/>
    <w:rsid w:val="003F61E9"/>
    <w:rsid w:val="003F663B"/>
    <w:rsid w:val="003F7013"/>
    <w:rsid w:val="00400AD2"/>
    <w:rsid w:val="00401FA8"/>
    <w:rsid w:val="00404171"/>
    <w:rsid w:val="00404852"/>
    <w:rsid w:val="00404FFF"/>
    <w:rsid w:val="004055A4"/>
    <w:rsid w:val="00410753"/>
    <w:rsid w:val="004124DE"/>
    <w:rsid w:val="004130E4"/>
    <w:rsid w:val="00414191"/>
    <w:rsid w:val="00414713"/>
    <w:rsid w:val="004152C9"/>
    <w:rsid w:val="00417F93"/>
    <w:rsid w:val="004213B0"/>
    <w:rsid w:val="004214E5"/>
    <w:rsid w:val="00421A20"/>
    <w:rsid w:val="00421FC4"/>
    <w:rsid w:val="004229CD"/>
    <w:rsid w:val="00422C90"/>
    <w:rsid w:val="004273E9"/>
    <w:rsid w:val="00427A3E"/>
    <w:rsid w:val="00427ADB"/>
    <w:rsid w:val="00427F8D"/>
    <w:rsid w:val="00431C7F"/>
    <w:rsid w:val="00434DEB"/>
    <w:rsid w:val="004359B7"/>
    <w:rsid w:val="00435CDD"/>
    <w:rsid w:val="00440057"/>
    <w:rsid w:val="00441B18"/>
    <w:rsid w:val="00441CC6"/>
    <w:rsid w:val="0044201D"/>
    <w:rsid w:val="00443A03"/>
    <w:rsid w:val="004474AB"/>
    <w:rsid w:val="00450707"/>
    <w:rsid w:val="00453A81"/>
    <w:rsid w:val="004546A0"/>
    <w:rsid w:val="00457225"/>
    <w:rsid w:val="00457286"/>
    <w:rsid w:val="00460DA2"/>
    <w:rsid w:val="00460DB5"/>
    <w:rsid w:val="00463847"/>
    <w:rsid w:val="00463D6B"/>
    <w:rsid w:val="0046665F"/>
    <w:rsid w:val="00466A2E"/>
    <w:rsid w:val="0046713C"/>
    <w:rsid w:val="004672AC"/>
    <w:rsid w:val="0047122D"/>
    <w:rsid w:val="004714C8"/>
    <w:rsid w:val="00472978"/>
    <w:rsid w:val="00473083"/>
    <w:rsid w:val="00474A36"/>
    <w:rsid w:val="00475B78"/>
    <w:rsid w:val="004762D6"/>
    <w:rsid w:val="00485337"/>
    <w:rsid w:val="004870C7"/>
    <w:rsid w:val="0049037E"/>
    <w:rsid w:val="00490660"/>
    <w:rsid w:val="00491407"/>
    <w:rsid w:val="00494388"/>
    <w:rsid w:val="004950FE"/>
    <w:rsid w:val="0049540A"/>
    <w:rsid w:val="004A11DD"/>
    <w:rsid w:val="004A1BD8"/>
    <w:rsid w:val="004A3837"/>
    <w:rsid w:val="004A5ACD"/>
    <w:rsid w:val="004A5C54"/>
    <w:rsid w:val="004A655A"/>
    <w:rsid w:val="004B274A"/>
    <w:rsid w:val="004B2834"/>
    <w:rsid w:val="004B292F"/>
    <w:rsid w:val="004B2FDE"/>
    <w:rsid w:val="004B3B77"/>
    <w:rsid w:val="004B3B9C"/>
    <w:rsid w:val="004B5407"/>
    <w:rsid w:val="004B77DB"/>
    <w:rsid w:val="004C0F96"/>
    <w:rsid w:val="004C199D"/>
    <w:rsid w:val="004C48D3"/>
    <w:rsid w:val="004D027A"/>
    <w:rsid w:val="004D13D2"/>
    <w:rsid w:val="004D1461"/>
    <w:rsid w:val="004D351C"/>
    <w:rsid w:val="004D64C3"/>
    <w:rsid w:val="004E2FB1"/>
    <w:rsid w:val="004E30C9"/>
    <w:rsid w:val="004E3AB5"/>
    <w:rsid w:val="004E700F"/>
    <w:rsid w:val="004E7096"/>
    <w:rsid w:val="004F0DFB"/>
    <w:rsid w:val="004F1A36"/>
    <w:rsid w:val="004F1A9D"/>
    <w:rsid w:val="004F5712"/>
    <w:rsid w:val="00500844"/>
    <w:rsid w:val="00500BCC"/>
    <w:rsid w:val="005025F2"/>
    <w:rsid w:val="00503DB6"/>
    <w:rsid w:val="00504673"/>
    <w:rsid w:val="00504CB9"/>
    <w:rsid w:val="00504D29"/>
    <w:rsid w:val="00507B51"/>
    <w:rsid w:val="005100EA"/>
    <w:rsid w:val="0051082D"/>
    <w:rsid w:val="00510F9E"/>
    <w:rsid w:val="005122DC"/>
    <w:rsid w:val="00514E11"/>
    <w:rsid w:val="0052329E"/>
    <w:rsid w:val="00524C9B"/>
    <w:rsid w:val="00525691"/>
    <w:rsid w:val="005315C8"/>
    <w:rsid w:val="00532CEA"/>
    <w:rsid w:val="0053328D"/>
    <w:rsid w:val="00534C10"/>
    <w:rsid w:val="005353A6"/>
    <w:rsid w:val="00535FE1"/>
    <w:rsid w:val="00537932"/>
    <w:rsid w:val="005440EF"/>
    <w:rsid w:val="005441DC"/>
    <w:rsid w:val="005448B2"/>
    <w:rsid w:val="0054799A"/>
    <w:rsid w:val="00550C6A"/>
    <w:rsid w:val="00552293"/>
    <w:rsid w:val="00553D2C"/>
    <w:rsid w:val="005542DE"/>
    <w:rsid w:val="00557BFB"/>
    <w:rsid w:val="005651FC"/>
    <w:rsid w:val="00565E95"/>
    <w:rsid w:val="00566574"/>
    <w:rsid w:val="00571693"/>
    <w:rsid w:val="00572C00"/>
    <w:rsid w:val="00573FAE"/>
    <w:rsid w:val="00574263"/>
    <w:rsid w:val="005765E5"/>
    <w:rsid w:val="0057768B"/>
    <w:rsid w:val="00582A07"/>
    <w:rsid w:val="005837A9"/>
    <w:rsid w:val="00586C86"/>
    <w:rsid w:val="0058766A"/>
    <w:rsid w:val="005907D3"/>
    <w:rsid w:val="00590B15"/>
    <w:rsid w:val="00591B4C"/>
    <w:rsid w:val="00592BFE"/>
    <w:rsid w:val="00592E91"/>
    <w:rsid w:val="00593109"/>
    <w:rsid w:val="005944D8"/>
    <w:rsid w:val="00595A66"/>
    <w:rsid w:val="00595B63"/>
    <w:rsid w:val="0059606F"/>
    <w:rsid w:val="005968C4"/>
    <w:rsid w:val="0059719B"/>
    <w:rsid w:val="005A26A5"/>
    <w:rsid w:val="005A3187"/>
    <w:rsid w:val="005A42C1"/>
    <w:rsid w:val="005A4AC7"/>
    <w:rsid w:val="005A4C50"/>
    <w:rsid w:val="005A6943"/>
    <w:rsid w:val="005B0574"/>
    <w:rsid w:val="005B1BB4"/>
    <w:rsid w:val="005B285D"/>
    <w:rsid w:val="005B550C"/>
    <w:rsid w:val="005B5C90"/>
    <w:rsid w:val="005B5F34"/>
    <w:rsid w:val="005B723E"/>
    <w:rsid w:val="005C09A7"/>
    <w:rsid w:val="005C1379"/>
    <w:rsid w:val="005C3CF9"/>
    <w:rsid w:val="005C42A1"/>
    <w:rsid w:val="005C4B3E"/>
    <w:rsid w:val="005C5CC2"/>
    <w:rsid w:val="005C5ECB"/>
    <w:rsid w:val="005C60A4"/>
    <w:rsid w:val="005D00CE"/>
    <w:rsid w:val="005D0FA5"/>
    <w:rsid w:val="005D184F"/>
    <w:rsid w:val="005D22E9"/>
    <w:rsid w:val="005D5E2E"/>
    <w:rsid w:val="005D7260"/>
    <w:rsid w:val="005D7355"/>
    <w:rsid w:val="005E0B4F"/>
    <w:rsid w:val="005E4B53"/>
    <w:rsid w:val="005E50C0"/>
    <w:rsid w:val="005E618F"/>
    <w:rsid w:val="005E70A9"/>
    <w:rsid w:val="005F1683"/>
    <w:rsid w:val="005F1D54"/>
    <w:rsid w:val="005F2E15"/>
    <w:rsid w:val="005F36E8"/>
    <w:rsid w:val="005F4B7F"/>
    <w:rsid w:val="005F4DD6"/>
    <w:rsid w:val="005F5083"/>
    <w:rsid w:val="0060258A"/>
    <w:rsid w:val="00602E91"/>
    <w:rsid w:val="00603D6F"/>
    <w:rsid w:val="0060706A"/>
    <w:rsid w:val="006112E6"/>
    <w:rsid w:val="00611E0D"/>
    <w:rsid w:val="0061423E"/>
    <w:rsid w:val="00614B94"/>
    <w:rsid w:val="00615CE2"/>
    <w:rsid w:val="006171F7"/>
    <w:rsid w:val="00620004"/>
    <w:rsid w:val="0062442F"/>
    <w:rsid w:val="006313D1"/>
    <w:rsid w:val="006348EB"/>
    <w:rsid w:val="0063787B"/>
    <w:rsid w:val="0064089C"/>
    <w:rsid w:val="00641028"/>
    <w:rsid w:val="00646634"/>
    <w:rsid w:val="00650BBC"/>
    <w:rsid w:val="00651560"/>
    <w:rsid w:val="00655E85"/>
    <w:rsid w:val="006562B0"/>
    <w:rsid w:val="00656ECD"/>
    <w:rsid w:val="00660E8C"/>
    <w:rsid w:val="006623FB"/>
    <w:rsid w:val="006636C4"/>
    <w:rsid w:val="00665EBF"/>
    <w:rsid w:val="00667EA5"/>
    <w:rsid w:val="00675D3D"/>
    <w:rsid w:val="00677CBA"/>
    <w:rsid w:val="00680ABC"/>
    <w:rsid w:val="0068159D"/>
    <w:rsid w:val="00686D16"/>
    <w:rsid w:val="00686EEA"/>
    <w:rsid w:val="00687557"/>
    <w:rsid w:val="006876DD"/>
    <w:rsid w:val="006902B0"/>
    <w:rsid w:val="00691237"/>
    <w:rsid w:val="0069397F"/>
    <w:rsid w:val="00694351"/>
    <w:rsid w:val="00696D93"/>
    <w:rsid w:val="006A108D"/>
    <w:rsid w:val="006A3A38"/>
    <w:rsid w:val="006A6A88"/>
    <w:rsid w:val="006A6EB5"/>
    <w:rsid w:val="006A7417"/>
    <w:rsid w:val="006B0AC4"/>
    <w:rsid w:val="006B13CC"/>
    <w:rsid w:val="006B4426"/>
    <w:rsid w:val="006B76CA"/>
    <w:rsid w:val="006C1849"/>
    <w:rsid w:val="006C376D"/>
    <w:rsid w:val="006C5DF3"/>
    <w:rsid w:val="006C78E2"/>
    <w:rsid w:val="006C7E88"/>
    <w:rsid w:val="006D07B2"/>
    <w:rsid w:val="006D109C"/>
    <w:rsid w:val="006D2C75"/>
    <w:rsid w:val="006D2DDD"/>
    <w:rsid w:val="006D36F2"/>
    <w:rsid w:val="006D39D2"/>
    <w:rsid w:val="006D3ECF"/>
    <w:rsid w:val="006D53AD"/>
    <w:rsid w:val="006D6311"/>
    <w:rsid w:val="006D7E8B"/>
    <w:rsid w:val="006E0645"/>
    <w:rsid w:val="006E1797"/>
    <w:rsid w:val="006E1FA9"/>
    <w:rsid w:val="006E222E"/>
    <w:rsid w:val="006E3CCA"/>
    <w:rsid w:val="006E6B3B"/>
    <w:rsid w:val="006F4631"/>
    <w:rsid w:val="006F5731"/>
    <w:rsid w:val="006F6E1D"/>
    <w:rsid w:val="006F7BB0"/>
    <w:rsid w:val="00701A89"/>
    <w:rsid w:val="00703788"/>
    <w:rsid w:val="00703F92"/>
    <w:rsid w:val="00705372"/>
    <w:rsid w:val="00705833"/>
    <w:rsid w:val="00707055"/>
    <w:rsid w:val="007103B5"/>
    <w:rsid w:val="00714DC7"/>
    <w:rsid w:val="00716CEC"/>
    <w:rsid w:val="00720BB5"/>
    <w:rsid w:val="007213E5"/>
    <w:rsid w:val="007230DD"/>
    <w:rsid w:val="00724C20"/>
    <w:rsid w:val="00724DBA"/>
    <w:rsid w:val="0072505C"/>
    <w:rsid w:val="0072702A"/>
    <w:rsid w:val="00727EAC"/>
    <w:rsid w:val="00730EFA"/>
    <w:rsid w:val="00731013"/>
    <w:rsid w:val="0073196B"/>
    <w:rsid w:val="00732F3C"/>
    <w:rsid w:val="00733F58"/>
    <w:rsid w:val="00740350"/>
    <w:rsid w:val="00741417"/>
    <w:rsid w:val="007427C3"/>
    <w:rsid w:val="007437C1"/>
    <w:rsid w:val="007443F7"/>
    <w:rsid w:val="007449BD"/>
    <w:rsid w:val="007464DD"/>
    <w:rsid w:val="007475D3"/>
    <w:rsid w:val="007524B6"/>
    <w:rsid w:val="007529DB"/>
    <w:rsid w:val="00756949"/>
    <w:rsid w:val="007569C1"/>
    <w:rsid w:val="00760443"/>
    <w:rsid w:val="00763E1F"/>
    <w:rsid w:val="00766237"/>
    <w:rsid w:val="00766D29"/>
    <w:rsid w:val="00766EED"/>
    <w:rsid w:val="00772B53"/>
    <w:rsid w:val="007736FE"/>
    <w:rsid w:val="00773952"/>
    <w:rsid w:val="007739EA"/>
    <w:rsid w:val="00775191"/>
    <w:rsid w:val="007779B4"/>
    <w:rsid w:val="00777B51"/>
    <w:rsid w:val="00780FD8"/>
    <w:rsid w:val="0078427F"/>
    <w:rsid w:val="0078492F"/>
    <w:rsid w:val="0078623F"/>
    <w:rsid w:val="0078704B"/>
    <w:rsid w:val="007921BE"/>
    <w:rsid w:val="007A03F5"/>
    <w:rsid w:val="007A215F"/>
    <w:rsid w:val="007A241C"/>
    <w:rsid w:val="007A43F0"/>
    <w:rsid w:val="007A503C"/>
    <w:rsid w:val="007A5D7A"/>
    <w:rsid w:val="007A5EF3"/>
    <w:rsid w:val="007A7DFD"/>
    <w:rsid w:val="007B1E27"/>
    <w:rsid w:val="007B3C32"/>
    <w:rsid w:val="007B68BA"/>
    <w:rsid w:val="007B6A82"/>
    <w:rsid w:val="007C13D0"/>
    <w:rsid w:val="007C1F03"/>
    <w:rsid w:val="007C3152"/>
    <w:rsid w:val="007C3C6A"/>
    <w:rsid w:val="007C7D45"/>
    <w:rsid w:val="007D0789"/>
    <w:rsid w:val="007D0FD5"/>
    <w:rsid w:val="007D1D7C"/>
    <w:rsid w:val="007D2469"/>
    <w:rsid w:val="007D2810"/>
    <w:rsid w:val="007D3C0B"/>
    <w:rsid w:val="007D5C57"/>
    <w:rsid w:val="007D6545"/>
    <w:rsid w:val="007D6692"/>
    <w:rsid w:val="007D704C"/>
    <w:rsid w:val="007D7135"/>
    <w:rsid w:val="007D7955"/>
    <w:rsid w:val="007E23C4"/>
    <w:rsid w:val="007E2421"/>
    <w:rsid w:val="007E34AE"/>
    <w:rsid w:val="007E4B94"/>
    <w:rsid w:val="007E5036"/>
    <w:rsid w:val="007E5479"/>
    <w:rsid w:val="007F266D"/>
    <w:rsid w:val="007F2CFA"/>
    <w:rsid w:val="007F6553"/>
    <w:rsid w:val="007F752F"/>
    <w:rsid w:val="00803624"/>
    <w:rsid w:val="008048E3"/>
    <w:rsid w:val="0080570F"/>
    <w:rsid w:val="00805BB4"/>
    <w:rsid w:val="00807F36"/>
    <w:rsid w:val="00810B4E"/>
    <w:rsid w:val="00812503"/>
    <w:rsid w:val="00812D47"/>
    <w:rsid w:val="00815187"/>
    <w:rsid w:val="008159E8"/>
    <w:rsid w:val="0081702D"/>
    <w:rsid w:val="00820935"/>
    <w:rsid w:val="00820F25"/>
    <w:rsid w:val="00821383"/>
    <w:rsid w:val="00825165"/>
    <w:rsid w:val="00826D26"/>
    <w:rsid w:val="00830B6D"/>
    <w:rsid w:val="00830D84"/>
    <w:rsid w:val="00831161"/>
    <w:rsid w:val="00833D05"/>
    <w:rsid w:val="0083578C"/>
    <w:rsid w:val="0084199E"/>
    <w:rsid w:val="008449C3"/>
    <w:rsid w:val="0084672D"/>
    <w:rsid w:val="00846B8B"/>
    <w:rsid w:val="008472BB"/>
    <w:rsid w:val="00847549"/>
    <w:rsid w:val="00854564"/>
    <w:rsid w:val="00854A11"/>
    <w:rsid w:val="0085550B"/>
    <w:rsid w:val="0085566F"/>
    <w:rsid w:val="00856235"/>
    <w:rsid w:val="008564ED"/>
    <w:rsid w:val="008578DE"/>
    <w:rsid w:val="00863305"/>
    <w:rsid w:val="00866A56"/>
    <w:rsid w:val="0086746D"/>
    <w:rsid w:val="008677B7"/>
    <w:rsid w:val="0087081E"/>
    <w:rsid w:val="008708EB"/>
    <w:rsid w:val="0087161B"/>
    <w:rsid w:val="00871C6D"/>
    <w:rsid w:val="00872187"/>
    <w:rsid w:val="00872980"/>
    <w:rsid w:val="00873089"/>
    <w:rsid w:val="00874D7D"/>
    <w:rsid w:val="00875DAB"/>
    <w:rsid w:val="00875E68"/>
    <w:rsid w:val="00877F5A"/>
    <w:rsid w:val="00877FD0"/>
    <w:rsid w:val="00880435"/>
    <w:rsid w:val="00880F8E"/>
    <w:rsid w:val="00881A4E"/>
    <w:rsid w:val="0088697E"/>
    <w:rsid w:val="00887581"/>
    <w:rsid w:val="00890C26"/>
    <w:rsid w:val="00892C0C"/>
    <w:rsid w:val="008945A9"/>
    <w:rsid w:val="008968EF"/>
    <w:rsid w:val="00896DC8"/>
    <w:rsid w:val="008A091B"/>
    <w:rsid w:val="008A6D9E"/>
    <w:rsid w:val="008B0C33"/>
    <w:rsid w:val="008B7074"/>
    <w:rsid w:val="008B734E"/>
    <w:rsid w:val="008B7617"/>
    <w:rsid w:val="008C2705"/>
    <w:rsid w:val="008C2B23"/>
    <w:rsid w:val="008C3C6C"/>
    <w:rsid w:val="008C6AFA"/>
    <w:rsid w:val="008D03E6"/>
    <w:rsid w:val="008D2B9F"/>
    <w:rsid w:val="008D4A2D"/>
    <w:rsid w:val="008D57BD"/>
    <w:rsid w:val="008D7038"/>
    <w:rsid w:val="008D7C32"/>
    <w:rsid w:val="008E52BF"/>
    <w:rsid w:val="008E6B55"/>
    <w:rsid w:val="008F341D"/>
    <w:rsid w:val="0090051D"/>
    <w:rsid w:val="0090093E"/>
    <w:rsid w:val="00902516"/>
    <w:rsid w:val="009078BA"/>
    <w:rsid w:val="00916412"/>
    <w:rsid w:val="009166CD"/>
    <w:rsid w:val="00916E79"/>
    <w:rsid w:val="009236FF"/>
    <w:rsid w:val="00924623"/>
    <w:rsid w:val="00924FB0"/>
    <w:rsid w:val="009263CA"/>
    <w:rsid w:val="00930A8F"/>
    <w:rsid w:val="00931213"/>
    <w:rsid w:val="00932624"/>
    <w:rsid w:val="00934926"/>
    <w:rsid w:val="009358BD"/>
    <w:rsid w:val="0093632C"/>
    <w:rsid w:val="0094492C"/>
    <w:rsid w:val="00945AAE"/>
    <w:rsid w:val="00946195"/>
    <w:rsid w:val="00946511"/>
    <w:rsid w:val="009521DB"/>
    <w:rsid w:val="00953B4C"/>
    <w:rsid w:val="00954511"/>
    <w:rsid w:val="00954D1B"/>
    <w:rsid w:val="009552F9"/>
    <w:rsid w:val="00957874"/>
    <w:rsid w:val="009612F5"/>
    <w:rsid w:val="0096142A"/>
    <w:rsid w:val="009617C0"/>
    <w:rsid w:val="00961AA2"/>
    <w:rsid w:val="00961E17"/>
    <w:rsid w:val="00962B2B"/>
    <w:rsid w:val="00962CFD"/>
    <w:rsid w:val="00963162"/>
    <w:rsid w:val="0096459E"/>
    <w:rsid w:val="00964DB8"/>
    <w:rsid w:val="00965672"/>
    <w:rsid w:val="00965E19"/>
    <w:rsid w:val="00967B99"/>
    <w:rsid w:val="009720C1"/>
    <w:rsid w:val="00972F46"/>
    <w:rsid w:val="0097362B"/>
    <w:rsid w:val="009737E0"/>
    <w:rsid w:val="009747BF"/>
    <w:rsid w:val="0097643B"/>
    <w:rsid w:val="00981844"/>
    <w:rsid w:val="00983312"/>
    <w:rsid w:val="0098366C"/>
    <w:rsid w:val="00987799"/>
    <w:rsid w:val="00987F28"/>
    <w:rsid w:val="0099144B"/>
    <w:rsid w:val="0099195B"/>
    <w:rsid w:val="00991F97"/>
    <w:rsid w:val="009927A5"/>
    <w:rsid w:val="009927D4"/>
    <w:rsid w:val="009939F5"/>
    <w:rsid w:val="00993D7A"/>
    <w:rsid w:val="00996C7E"/>
    <w:rsid w:val="009A0C18"/>
    <w:rsid w:val="009A10F0"/>
    <w:rsid w:val="009A30DB"/>
    <w:rsid w:val="009A3E9E"/>
    <w:rsid w:val="009A4697"/>
    <w:rsid w:val="009A4E46"/>
    <w:rsid w:val="009A68C5"/>
    <w:rsid w:val="009A7FFA"/>
    <w:rsid w:val="009B19E5"/>
    <w:rsid w:val="009B2013"/>
    <w:rsid w:val="009B299E"/>
    <w:rsid w:val="009B7BB1"/>
    <w:rsid w:val="009C005A"/>
    <w:rsid w:val="009C0BEA"/>
    <w:rsid w:val="009C0CF4"/>
    <w:rsid w:val="009C1BF8"/>
    <w:rsid w:val="009C201B"/>
    <w:rsid w:val="009C3C8C"/>
    <w:rsid w:val="009C7E61"/>
    <w:rsid w:val="009D1029"/>
    <w:rsid w:val="009D1529"/>
    <w:rsid w:val="009D2C4E"/>
    <w:rsid w:val="009D31B7"/>
    <w:rsid w:val="009D43EF"/>
    <w:rsid w:val="009D7214"/>
    <w:rsid w:val="009E1EE9"/>
    <w:rsid w:val="009E2160"/>
    <w:rsid w:val="009E29F8"/>
    <w:rsid w:val="009E4089"/>
    <w:rsid w:val="009E460E"/>
    <w:rsid w:val="009E4EC2"/>
    <w:rsid w:val="009F02B9"/>
    <w:rsid w:val="009F04D7"/>
    <w:rsid w:val="009F1450"/>
    <w:rsid w:val="009F2867"/>
    <w:rsid w:val="009F4DA3"/>
    <w:rsid w:val="009F576E"/>
    <w:rsid w:val="009F5870"/>
    <w:rsid w:val="009F61FE"/>
    <w:rsid w:val="009F7849"/>
    <w:rsid w:val="009F7F96"/>
    <w:rsid w:val="00A008E9"/>
    <w:rsid w:val="00A03633"/>
    <w:rsid w:val="00A04460"/>
    <w:rsid w:val="00A05C05"/>
    <w:rsid w:val="00A07341"/>
    <w:rsid w:val="00A077FB"/>
    <w:rsid w:val="00A07BD4"/>
    <w:rsid w:val="00A107D3"/>
    <w:rsid w:val="00A1217A"/>
    <w:rsid w:val="00A12185"/>
    <w:rsid w:val="00A12FD9"/>
    <w:rsid w:val="00A13594"/>
    <w:rsid w:val="00A13AD8"/>
    <w:rsid w:val="00A1610E"/>
    <w:rsid w:val="00A16B42"/>
    <w:rsid w:val="00A206CA"/>
    <w:rsid w:val="00A21B2E"/>
    <w:rsid w:val="00A23327"/>
    <w:rsid w:val="00A26DC7"/>
    <w:rsid w:val="00A31656"/>
    <w:rsid w:val="00A32339"/>
    <w:rsid w:val="00A33337"/>
    <w:rsid w:val="00A3440E"/>
    <w:rsid w:val="00A349F7"/>
    <w:rsid w:val="00A36A08"/>
    <w:rsid w:val="00A36A1F"/>
    <w:rsid w:val="00A41222"/>
    <w:rsid w:val="00A421A3"/>
    <w:rsid w:val="00A4553C"/>
    <w:rsid w:val="00A467F4"/>
    <w:rsid w:val="00A47141"/>
    <w:rsid w:val="00A47AB4"/>
    <w:rsid w:val="00A47BEF"/>
    <w:rsid w:val="00A514E3"/>
    <w:rsid w:val="00A52E42"/>
    <w:rsid w:val="00A5438E"/>
    <w:rsid w:val="00A55B6F"/>
    <w:rsid w:val="00A57AA5"/>
    <w:rsid w:val="00A60ED8"/>
    <w:rsid w:val="00A611E8"/>
    <w:rsid w:val="00A6143F"/>
    <w:rsid w:val="00A62190"/>
    <w:rsid w:val="00A62FA0"/>
    <w:rsid w:val="00A6384C"/>
    <w:rsid w:val="00A64DB0"/>
    <w:rsid w:val="00A67849"/>
    <w:rsid w:val="00A67AAD"/>
    <w:rsid w:val="00A7325D"/>
    <w:rsid w:val="00A76377"/>
    <w:rsid w:val="00A77905"/>
    <w:rsid w:val="00A818C8"/>
    <w:rsid w:val="00A822DA"/>
    <w:rsid w:val="00A87624"/>
    <w:rsid w:val="00A87FF4"/>
    <w:rsid w:val="00A914C2"/>
    <w:rsid w:val="00A91A11"/>
    <w:rsid w:val="00A92AA7"/>
    <w:rsid w:val="00A93761"/>
    <w:rsid w:val="00A971F5"/>
    <w:rsid w:val="00AA04CF"/>
    <w:rsid w:val="00AA1CF2"/>
    <w:rsid w:val="00AA521C"/>
    <w:rsid w:val="00AA75EA"/>
    <w:rsid w:val="00AB1B7F"/>
    <w:rsid w:val="00AB1C88"/>
    <w:rsid w:val="00AB1F5A"/>
    <w:rsid w:val="00AB219F"/>
    <w:rsid w:val="00AB3100"/>
    <w:rsid w:val="00AB3688"/>
    <w:rsid w:val="00AB7895"/>
    <w:rsid w:val="00AC0DB6"/>
    <w:rsid w:val="00AC1C57"/>
    <w:rsid w:val="00AD02D3"/>
    <w:rsid w:val="00AD1A2C"/>
    <w:rsid w:val="00AD1A84"/>
    <w:rsid w:val="00AD1C66"/>
    <w:rsid w:val="00AD1F8E"/>
    <w:rsid w:val="00AD7B2C"/>
    <w:rsid w:val="00AE0D56"/>
    <w:rsid w:val="00AE1268"/>
    <w:rsid w:val="00AE3101"/>
    <w:rsid w:val="00AE31F8"/>
    <w:rsid w:val="00AE3EA4"/>
    <w:rsid w:val="00AE62C7"/>
    <w:rsid w:val="00AE796E"/>
    <w:rsid w:val="00AE79A8"/>
    <w:rsid w:val="00AF05B6"/>
    <w:rsid w:val="00AF2424"/>
    <w:rsid w:val="00B10CB6"/>
    <w:rsid w:val="00B11479"/>
    <w:rsid w:val="00B13158"/>
    <w:rsid w:val="00B131C2"/>
    <w:rsid w:val="00B1387A"/>
    <w:rsid w:val="00B142AB"/>
    <w:rsid w:val="00B142D8"/>
    <w:rsid w:val="00B14A50"/>
    <w:rsid w:val="00B1629C"/>
    <w:rsid w:val="00B17DC1"/>
    <w:rsid w:val="00B20ABF"/>
    <w:rsid w:val="00B267F3"/>
    <w:rsid w:val="00B269F3"/>
    <w:rsid w:val="00B279E2"/>
    <w:rsid w:val="00B30B19"/>
    <w:rsid w:val="00B3117C"/>
    <w:rsid w:val="00B3199E"/>
    <w:rsid w:val="00B31A44"/>
    <w:rsid w:val="00B32D9C"/>
    <w:rsid w:val="00B33CB9"/>
    <w:rsid w:val="00B34C6B"/>
    <w:rsid w:val="00B406BD"/>
    <w:rsid w:val="00B41F3E"/>
    <w:rsid w:val="00B42129"/>
    <w:rsid w:val="00B437FD"/>
    <w:rsid w:val="00B5149B"/>
    <w:rsid w:val="00B54CCA"/>
    <w:rsid w:val="00B553ED"/>
    <w:rsid w:val="00B55949"/>
    <w:rsid w:val="00B55A6F"/>
    <w:rsid w:val="00B56E89"/>
    <w:rsid w:val="00B5712C"/>
    <w:rsid w:val="00B572E5"/>
    <w:rsid w:val="00B6006D"/>
    <w:rsid w:val="00B62760"/>
    <w:rsid w:val="00B62C90"/>
    <w:rsid w:val="00B648DA"/>
    <w:rsid w:val="00B65C08"/>
    <w:rsid w:val="00B67DB9"/>
    <w:rsid w:val="00B71482"/>
    <w:rsid w:val="00B716DD"/>
    <w:rsid w:val="00B71DE7"/>
    <w:rsid w:val="00B731A4"/>
    <w:rsid w:val="00B76AC4"/>
    <w:rsid w:val="00B77A3B"/>
    <w:rsid w:val="00B8141E"/>
    <w:rsid w:val="00B82532"/>
    <w:rsid w:val="00B8357B"/>
    <w:rsid w:val="00B84450"/>
    <w:rsid w:val="00B846A8"/>
    <w:rsid w:val="00B854B3"/>
    <w:rsid w:val="00B85661"/>
    <w:rsid w:val="00B85D29"/>
    <w:rsid w:val="00B904EB"/>
    <w:rsid w:val="00B90AA1"/>
    <w:rsid w:val="00B93C6C"/>
    <w:rsid w:val="00B966AD"/>
    <w:rsid w:val="00B9676D"/>
    <w:rsid w:val="00B96D34"/>
    <w:rsid w:val="00B96D97"/>
    <w:rsid w:val="00B97192"/>
    <w:rsid w:val="00BA1A98"/>
    <w:rsid w:val="00BA2F36"/>
    <w:rsid w:val="00BA32E6"/>
    <w:rsid w:val="00BA5C03"/>
    <w:rsid w:val="00BA60CC"/>
    <w:rsid w:val="00BA7B16"/>
    <w:rsid w:val="00BB069A"/>
    <w:rsid w:val="00BB2187"/>
    <w:rsid w:val="00BB562E"/>
    <w:rsid w:val="00BB69A4"/>
    <w:rsid w:val="00BB7059"/>
    <w:rsid w:val="00BB7397"/>
    <w:rsid w:val="00BB7DD7"/>
    <w:rsid w:val="00BC125F"/>
    <w:rsid w:val="00BC583A"/>
    <w:rsid w:val="00BC5F2F"/>
    <w:rsid w:val="00BC60D3"/>
    <w:rsid w:val="00BC6560"/>
    <w:rsid w:val="00BC719E"/>
    <w:rsid w:val="00BD0065"/>
    <w:rsid w:val="00BD1350"/>
    <w:rsid w:val="00BD41EC"/>
    <w:rsid w:val="00BD436C"/>
    <w:rsid w:val="00BD43EB"/>
    <w:rsid w:val="00BD5204"/>
    <w:rsid w:val="00BE03EC"/>
    <w:rsid w:val="00BE0F5F"/>
    <w:rsid w:val="00BE2C28"/>
    <w:rsid w:val="00BE4735"/>
    <w:rsid w:val="00BE5849"/>
    <w:rsid w:val="00BE71C4"/>
    <w:rsid w:val="00BE7EC5"/>
    <w:rsid w:val="00BF0E53"/>
    <w:rsid w:val="00BF170E"/>
    <w:rsid w:val="00BF378A"/>
    <w:rsid w:val="00BF40D0"/>
    <w:rsid w:val="00BF44FC"/>
    <w:rsid w:val="00BF6806"/>
    <w:rsid w:val="00C00FAD"/>
    <w:rsid w:val="00C03962"/>
    <w:rsid w:val="00C060EC"/>
    <w:rsid w:val="00C07EE6"/>
    <w:rsid w:val="00C115AB"/>
    <w:rsid w:val="00C1346B"/>
    <w:rsid w:val="00C13C3C"/>
    <w:rsid w:val="00C14A30"/>
    <w:rsid w:val="00C15975"/>
    <w:rsid w:val="00C17B62"/>
    <w:rsid w:val="00C17DE7"/>
    <w:rsid w:val="00C244BE"/>
    <w:rsid w:val="00C2725D"/>
    <w:rsid w:val="00C27833"/>
    <w:rsid w:val="00C27B14"/>
    <w:rsid w:val="00C30F95"/>
    <w:rsid w:val="00C36B0B"/>
    <w:rsid w:val="00C407EF"/>
    <w:rsid w:val="00C416B5"/>
    <w:rsid w:val="00C42C6E"/>
    <w:rsid w:val="00C4371A"/>
    <w:rsid w:val="00C43CD2"/>
    <w:rsid w:val="00C4535B"/>
    <w:rsid w:val="00C46EED"/>
    <w:rsid w:val="00C50B84"/>
    <w:rsid w:val="00C51BBC"/>
    <w:rsid w:val="00C52698"/>
    <w:rsid w:val="00C53468"/>
    <w:rsid w:val="00C55995"/>
    <w:rsid w:val="00C569CF"/>
    <w:rsid w:val="00C57233"/>
    <w:rsid w:val="00C609C3"/>
    <w:rsid w:val="00C63ED0"/>
    <w:rsid w:val="00C70512"/>
    <w:rsid w:val="00C73BB5"/>
    <w:rsid w:val="00C74C8B"/>
    <w:rsid w:val="00C74CC4"/>
    <w:rsid w:val="00C75C02"/>
    <w:rsid w:val="00C75FFB"/>
    <w:rsid w:val="00C76E23"/>
    <w:rsid w:val="00C76E49"/>
    <w:rsid w:val="00C837ED"/>
    <w:rsid w:val="00C876C1"/>
    <w:rsid w:val="00C90343"/>
    <w:rsid w:val="00C91046"/>
    <w:rsid w:val="00C91566"/>
    <w:rsid w:val="00C92105"/>
    <w:rsid w:val="00C953DD"/>
    <w:rsid w:val="00C9550D"/>
    <w:rsid w:val="00C958E2"/>
    <w:rsid w:val="00C97B1D"/>
    <w:rsid w:val="00CA1E41"/>
    <w:rsid w:val="00CA5869"/>
    <w:rsid w:val="00CA6932"/>
    <w:rsid w:val="00CB0715"/>
    <w:rsid w:val="00CB076C"/>
    <w:rsid w:val="00CB08DB"/>
    <w:rsid w:val="00CB2C80"/>
    <w:rsid w:val="00CB3F1C"/>
    <w:rsid w:val="00CB56B1"/>
    <w:rsid w:val="00CB5BFD"/>
    <w:rsid w:val="00CB7604"/>
    <w:rsid w:val="00CB7E3D"/>
    <w:rsid w:val="00CC1110"/>
    <w:rsid w:val="00CC2EFF"/>
    <w:rsid w:val="00CC4A39"/>
    <w:rsid w:val="00CC4D3A"/>
    <w:rsid w:val="00CD28D6"/>
    <w:rsid w:val="00CD51D5"/>
    <w:rsid w:val="00CD65C2"/>
    <w:rsid w:val="00CD715E"/>
    <w:rsid w:val="00CD7797"/>
    <w:rsid w:val="00CE1FF4"/>
    <w:rsid w:val="00CE3039"/>
    <w:rsid w:val="00CE442B"/>
    <w:rsid w:val="00CE65D8"/>
    <w:rsid w:val="00CE7014"/>
    <w:rsid w:val="00CE7440"/>
    <w:rsid w:val="00CF0261"/>
    <w:rsid w:val="00CF07FD"/>
    <w:rsid w:val="00CF3318"/>
    <w:rsid w:val="00CF4B1C"/>
    <w:rsid w:val="00CF53E9"/>
    <w:rsid w:val="00CF5800"/>
    <w:rsid w:val="00D01C67"/>
    <w:rsid w:val="00D04B04"/>
    <w:rsid w:val="00D05067"/>
    <w:rsid w:val="00D10DC0"/>
    <w:rsid w:val="00D1197D"/>
    <w:rsid w:val="00D1224A"/>
    <w:rsid w:val="00D12EF8"/>
    <w:rsid w:val="00D14420"/>
    <w:rsid w:val="00D15C27"/>
    <w:rsid w:val="00D16328"/>
    <w:rsid w:val="00D16532"/>
    <w:rsid w:val="00D22969"/>
    <w:rsid w:val="00D236C0"/>
    <w:rsid w:val="00D23E1E"/>
    <w:rsid w:val="00D24EF8"/>
    <w:rsid w:val="00D2770F"/>
    <w:rsid w:val="00D27EF5"/>
    <w:rsid w:val="00D30FB0"/>
    <w:rsid w:val="00D31A88"/>
    <w:rsid w:val="00D323D3"/>
    <w:rsid w:val="00D41482"/>
    <w:rsid w:val="00D41FED"/>
    <w:rsid w:val="00D52B13"/>
    <w:rsid w:val="00D549E1"/>
    <w:rsid w:val="00D5598B"/>
    <w:rsid w:val="00D56848"/>
    <w:rsid w:val="00D577BD"/>
    <w:rsid w:val="00D60310"/>
    <w:rsid w:val="00D61C98"/>
    <w:rsid w:val="00D651D9"/>
    <w:rsid w:val="00D70D80"/>
    <w:rsid w:val="00D71D91"/>
    <w:rsid w:val="00D74948"/>
    <w:rsid w:val="00D772ED"/>
    <w:rsid w:val="00D83BCE"/>
    <w:rsid w:val="00D85DCE"/>
    <w:rsid w:val="00D878FE"/>
    <w:rsid w:val="00D90962"/>
    <w:rsid w:val="00D938C4"/>
    <w:rsid w:val="00D93D0F"/>
    <w:rsid w:val="00D96217"/>
    <w:rsid w:val="00D97B1C"/>
    <w:rsid w:val="00DA08CC"/>
    <w:rsid w:val="00DA2E57"/>
    <w:rsid w:val="00DA3DA3"/>
    <w:rsid w:val="00DA5470"/>
    <w:rsid w:val="00DA6D20"/>
    <w:rsid w:val="00DA755D"/>
    <w:rsid w:val="00DA7941"/>
    <w:rsid w:val="00DB56D4"/>
    <w:rsid w:val="00DB7321"/>
    <w:rsid w:val="00DC0F08"/>
    <w:rsid w:val="00DC5484"/>
    <w:rsid w:val="00DD053F"/>
    <w:rsid w:val="00DD12CE"/>
    <w:rsid w:val="00DD5C62"/>
    <w:rsid w:val="00DD7394"/>
    <w:rsid w:val="00DE05DB"/>
    <w:rsid w:val="00DE0FCF"/>
    <w:rsid w:val="00DE1ACB"/>
    <w:rsid w:val="00DE29F7"/>
    <w:rsid w:val="00DE3F6E"/>
    <w:rsid w:val="00DE452A"/>
    <w:rsid w:val="00DE5870"/>
    <w:rsid w:val="00DE780A"/>
    <w:rsid w:val="00DF05A6"/>
    <w:rsid w:val="00DF0BB2"/>
    <w:rsid w:val="00DF102D"/>
    <w:rsid w:val="00DF136E"/>
    <w:rsid w:val="00DF20CF"/>
    <w:rsid w:val="00DF2528"/>
    <w:rsid w:val="00DF41B3"/>
    <w:rsid w:val="00DF5971"/>
    <w:rsid w:val="00DF66E1"/>
    <w:rsid w:val="00DF7B38"/>
    <w:rsid w:val="00DF7DD6"/>
    <w:rsid w:val="00E019D2"/>
    <w:rsid w:val="00E031F6"/>
    <w:rsid w:val="00E036BB"/>
    <w:rsid w:val="00E03A96"/>
    <w:rsid w:val="00E055A0"/>
    <w:rsid w:val="00E06B9B"/>
    <w:rsid w:val="00E06D7D"/>
    <w:rsid w:val="00E07632"/>
    <w:rsid w:val="00E12034"/>
    <w:rsid w:val="00E12052"/>
    <w:rsid w:val="00E167BE"/>
    <w:rsid w:val="00E17070"/>
    <w:rsid w:val="00E21524"/>
    <w:rsid w:val="00E22388"/>
    <w:rsid w:val="00E26488"/>
    <w:rsid w:val="00E314FF"/>
    <w:rsid w:val="00E31539"/>
    <w:rsid w:val="00E343FC"/>
    <w:rsid w:val="00E34E1B"/>
    <w:rsid w:val="00E36583"/>
    <w:rsid w:val="00E36CC5"/>
    <w:rsid w:val="00E37081"/>
    <w:rsid w:val="00E37C41"/>
    <w:rsid w:val="00E407C6"/>
    <w:rsid w:val="00E45616"/>
    <w:rsid w:val="00E47A34"/>
    <w:rsid w:val="00E50B44"/>
    <w:rsid w:val="00E5149E"/>
    <w:rsid w:val="00E554C5"/>
    <w:rsid w:val="00E556D1"/>
    <w:rsid w:val="00E561FB"/>
    <w:rsid w:val="00E56506"/>
    <w:rsid w:val="00E5668D"/>
    <w:rsid w:val="00E5729C"/>
    <w:rsid w:val="00E57DF8"/>
    <w:rsid w:val="00E64073"/>
    <w:rsid w:val="00E65131"/>
    <w:rsid w:val="00E719E9"/>
    <w:rsid w:val="00E74A36"/>
    <w:rsid w:val="00E75AE7"/>
    <w:rsid w:val="00E80B04"/>
    <w:rsid w:val="00E8259C"/>
    <w:rsid w:val="00E83003"/>
    <w:rsid w:val="00E831F4"/>
    <w:rsid w:val="00E84CE0"/>
    <w:rsid w:val="00E876A3"/>
    <w:rsid w:val="00E91C7E"/>
    <w:rsid w:val="00E91CED"/>
    <w:rsid w:val="00E922CC"/>
    <w:rsid w:val="00E93D3A"/>
    <w:rsid w:val="00E96807"/>
    <w:rsid w:val="00EA12CE"/>
    <w:rsid w:val="00EA2EB7"/>
    <w:rsid w:val="00EA5AA0"/>
    <w:rsid w:val="00EA5D00"/>
    <w:rsid w:val="00EA7514"/>
    <w:rsid w:val="00EA77D4"/>
    <w:rsid w:val="00EB23D7"/>
    <w:rsid w:val="00EB6214"/>
    <w:rsid w:val="00EB7640"/>
    <w:rsid w:val="00EB7E6A"/>
    <w:rsid w:val="00EC46AA"/>
    <w:rsid w:val="00EC4D30"/>
    <w:rsid w:val="00ED213C"/>
    <w:rsid w:val="00ED313F"/>
    <w:rsid w:val="00EE008F"/>
    <w:rsid w:val="00EE5917"/>
    <w:rsid w:val="00EE5AD5"/>
    <w:rsid w:val="00EE7204"/>
    <w:rsid w:val="00EE7634"/>
    <w:rsid w:val="00EF249B"/>
    <w:rsid w:val="00EF6537"/>
    <w:rsid w:val="00EF73A1"/>
    <w:rsid w:val="00F03FCB"/>
    <w:rsid w:val="00F069BC"/>
    <w:rsid w:val="00F10185"/>
    <w:rsid w:val="00F10DEC"/>
    <w:rsid w:val="00F1213B"/>
    <w:rsid w:val="00F1554A"/>
    <w:rsid w:val="00F17C54"/>
    <w:rsid w:val="00F17DCB"/>
    <w:rsid w:val="00F22F19"/>
    <w:rsid w:val="00F26A48"/>
    <w:rsid w:val="00F31071"/>
    <w:rsid w:val="00F31387"/>
    <w:rsid w:val="00F32198"/>
    <w:rsid w:val="00F32ECA"/>
    <w:rsid w:val="00F34D66"/>
    <w:rsid w:val="00F4142E"/>
    <w:rsid w:val="00F42C61"/>
    <w:rsid w:val="00F42F19"/>
    <w:rsid w:val="00F43B94"/>
    <w:rsid w:val="00F43CE4"/>
    <w:rsid w:val="00F4572F"/>
    <w:rsid w:val="00F47B70"/>
    <w:rsid w:val="00F50875"/>
    <w:rsid w:val="00F5375B"/>
    <w:rsid w:val="00F54158"/>
    <w:rsid w:val="00F56C78"/>
    <w:rsid w:val="00F609E2"/>
    <w:rsid w:val="00F634ED"/>
    <w:rsid w:val="00F647D7"/>
    <w:rsid w:val="00F65DAA"/>
    <w:rsid w:val="00F71E9E"/>
    <w:rsid w:val="00F733DA"/>
    <w:rsid w:val="00F81331"/>
    <w:rsid w:val="00F83D1D"/>
    <w:rsid w:val="00F850B2"/>
    <w:rsid w:val="00F86832"/>
    <w:rsid w:val="00F905A9"/>
    <w:rsid w:val="00F92CAB"/>
    <w:rsid w:val="00F93782"/>
    <w:rsid w:val="00F93F4C"/>
    <w:rsid w:val="00F94A2E"/>
    <w:rsid w:val="00FA0F1A"/>
    <w:rsid w:val="00FA11CC"/>
    <w:rsid w:val="00FA38DC"/>
    <w:rsid w:val="00FA7A41"/>
    <w:rsid w:val="00FB1851"/>
    <w:rsid w:val="00FB460B"/>
    <w:rsid w:val="00FB4865"/>
    <w:rsid w:val="00FB5B99"/>
    <w:rsid w:val="00FB60AC"/>
    <w:rsid w:val="00FB72C4"/>
    <w:rsid w:val="00FB7353"/>
    <w:rsid w:val="00FB7C10"/>
    <w:rsid w:val="00FC0834"/>
    <w:rsid w:val="00FC1490"/>
    <w:rsid w:val="00FC183D"/>
    <w:rsid w:val="00FC1E42"/>
    <w:rsid w:val="00FC3006"/>
    <w:rsid w:val="00FC3C87"/>
    <w:rsid w:val="00FC403A"/>
    <w:rsid w:val="00FC4FDA"/>
    <w:rsid w:val="00FC6DF4"/>
    <w:rsid w:val="00FC763B"/>
    <w:rsid w:val="00FC7EAD"/>
    <w:rsid w:val="00FD02BC"/>
    <w:rsid w:val="00FD5679"/>
    <w:rsid w:val="00FD6A63"/>
    <w:rsid w:val="00FE02BC"/>
    <w:rsid w:val="00FE7DB2"/>
    <w:rsid w:val="00FF125D"/>
    <w:rsid w:val="00FF1C79"/>
    <w:rsid w:val="00FF28E8"/>
    <w:rsid w:val="00FF3CBA"/>
    <w:rsid w:val="00FF5DB3"/>
    <w:rsid w:val="00FF73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C41CD"/>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styleId="FollowedHyperlink">
    <w:name w:val="FollowedHyperlink"/>
    <w:basedOn w:val="DefaultParagraphFont"/>
    <w:uiPriority w:val="99"/>
    <w:semiHidden/>
    <w:unhideWhenUsed/>
    <w:rsid w:val="00763E1F"/>
    <w:rPr>
      <w:color w:val="800080" w:themeColor="followedHyperlink"/>
      <w:u w:val="single"/>
    </w:rPr>
  </w:style>
  <w:style w:type="character" w:customStyle="1" w:styleId="sb8d990e2">
    <w:name w:val="sb8d990e2"/>
    <w:basedOn w:val="DefaultParagraphFont"/>
    <w:rsid w:val="00FB72C4"/>
  </w:style>
  <w:style w:type="character" w:styleId="CommentReference">
    <w:name w:val="annotation reference"/>
    <w:basedOn w:val="DefaultParagraphFont"/>
    <w:uiPriority w:val="99"/>
    <w:semiHidden/>
    <w:unhideWhenUsed/>
    <w:rsid w:val="004C0F96"/>
    <w:rPr>
      <w:sz w:val="16"/>
      <w:szCs w:val="16"/>
    </w:rPr>
  </w:style>
  <w:style w:type="paragraph" w:styleId="CommentText">
    <w:name w:val="annotation text"/>
    <w:basedOn w:val="Normal"/>
    <w:link w:val="CommentTextChar"/>
    <w:uiPriority w:val="99"/>
    <w:unhideWhenUsed/>
    <w:rsid w:val="004C0F96"/>
    <w:rPr>
      <w:sz w:val="20"/>
      <w:szCs w:val="20"/>
    </w:rPr>
  </w:style>
  <w:style w:type="character" w:customStyle="1" w:styleId="CommentTextChar">
    <w:name w:val="Comment Text Char"/>
    <w:basedOn w:val="DefaultParagraphFont"/>
    <w:link w:val="CommentText"/>
    <w:uiPriority w:val="99"/>
    <w:rsid w:val="004C0F96"/>
    <w:rPr>
      <w:sz w:val="20"/>
      <w:szCs w:val="20"/>
    </w:rPr>
  </w:style>
  <w:style w:type="paragraph" w:styleId="CommentSubject">
    <w:name w:val="annotation subject"/>
    <w:basedOn w:val="CommentText"/>
    <w:next w:val="CommentText"/>
    <w:link w:val="CommentSubjectChar"/>
    <w:uiPriority w:val="99"/>
    <w:semiHidden/>
    <w:unhideWhenUsed/>
    <w:rsid w:val="004C0F96"/>
    <w:rPr>
      <w:b/>
      <w:bCs/>
    </w:rPr>
  </w:style>
  <w:style w:type="character" w:customStyle="1" w:styleId="CommentSubjectChar">
    <w:name w:val="Comment Subject Char"/>
    <w:basedOn w:val="CommentTextChar"/>
    <w:link w:val="CommentSubject"/>
    <w:uiPriority w:val="99"/>
    <w:semiHidden/>
    <w:rsid w:val="004C0F96"/>
    <w:rPr>
      <w:b/>
      <w:bCs/>
      <w:sz w:val="20"/>
      <w:szCs w:val="20"/>
    </w:rPr>
  </w:style>
  <w:style w:type="character" w:styleId="Strong">
    <w:name w:val="Strong"/>
    <w:basedOn w:val="DefaultParagraphFont"/>
    <w:uiPriority w:val="22"/>
    <w:qFormat/>
    <w:rsid w:val="002F5C78"/>
    <w:rPr>
      <w:b/>
      <w:bCs/>
    </w:rPr>
  </w:style>
  <w:style w:type="paragraph" w:styleId="Revision">
    <w:name w:val="Revision"/>
    <w:hidden/>
    <w:uiPriority w:val="99"/>
    <w:semiHidden/>
    <w:rsid w:val="007B68BA"/>
  </w:style>
  <w:style w:type="paragraph" w:styleId="ListParagraph">
    <w:name w:val="List Paragraph"/>
    <w:basedOn w:val="BasicParagraph"/>
    <w:uiPriority w:val="34"/>
    <w:qFormat/>
    <w:rsid w:val="00EF249B"/>
    <w:pPr>
      <w:numPr>
        <w:ilvl w:val="1"/>
        <w:numId w:val="11"/>
      </w:numPr>
      <w:suppressAutoHyphens/>
      <w:ind w:left="720"/>
      <w:jc w:val="both"/>
    </w:pPr>
    <w:rPr>
      <w:rFonts w:ascii="Verdana" w:hAnsi="Verdana" w:cs="Arial"/>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97428">
      <w:bodyDiv w:val="1"/>
      <w:marLeft w:val="0"/>
      <w:marRight w:val="0"/>
      <w:marTop w:val="0"/>
      <w:marBottom w:val="0"/>
      <w:divBdr>
        <w:top w:val="none" w:sz="0" w:space="0" w:color="auto"/>
        <w:left w:val="none" w:sz="0" w:space="0" w:color="auto"/>
        <w:bottom w:val="none" w:sz="0" w:space="0" w:color="auto"/>
        <w:right w:val="none" w:sz="0" w:space="0" w:color="auto"/>
      </w:divBdr>
    </w:div>
    <w:div w:id="625937386">
      <w:bodyDiv w:val="1"/>
      <w:marLeft w:val="0"/>
      <w:marRight w:val="0"/>
      <w:marTop w:val="0"/>
      <w:marBottom w:val="0"/>
      <w:divBdr>
        <w:top w:val="none" w:sz="0" w:space="0" w:color="auto"/>
        <w:left w:val="none" w:sz="0" w:space="0" w:color="auto"/>
        <w:bottom w:val="none" w:sz="0" w:space="0" w:color="auto"/>
        <w:right w:val="none" w:sz="0" w:space="0" w:color="auto"/>
      </w:divBdr>
    </w:div>
    <w:div w:id="730815318">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53726409">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global-development/2021/may/04/child-marriage-thriving-in-uk-due-to-legal-loophole-warn-rights-groups" TargetMode="External"/><Relationship Id="rId1" Type="http://schemas.openxmlformats.org/officeDocument/2006/relationships/hyperlink" Target="http://www.thefivefoundation.org/wp-content/uploads/2021/03/Letter-to-UK-PM-on-Child-Marriage-B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AECB-21C3-40CA-8153-E56876E0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4771</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Emily Mills</cp:lastModifiedBy>
  <cp:revision>2</cp:revision>
  <cp:lastPrinted>2022-02-18T13:55:00Z</cp:lastPrinted>
  <dcterms:created xsi:type="dcterms:W3CDTF">2022-02-18T13:54:00Z</dcterms:created>
  <dcterms:modified xsi:type="dcterms:W3CDTF">2022-02-18T13:55:00Z</dcterms:modified>
</cp:coreProperties>
</file>