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91DD2" w14:textId="77777777" w:rsidR="00F31387" w:rsidRDefault="00F31387" w:rsidP="003B7D0E">
      <w:pPr>
        <w:pStyle w:val="BasicParagraph"/>
        <w:suppressAutoHyphens/>
        <w:jc w:val="center"/>
        <w:rPr>
          <w:rFonts w:ascii="Verdana" w:hAnsi="Verdana" w:cs="Arial"/>
          <w:b/>
          <w:bCs/>
          <w:color w:val="734791"/>
          <w:sz w:val="36"/>
          <w:szCs w:val="36"/>
        </w:rPr>
      </w:pPr>
      <w:r w:rsidRPr="00EA12CE">
        <w:rPr>
          <w:rFonts w:ascii="Verdana" w:hAnsi="Verdana" w:cs="Arial"/>
          <w:b/>
          <w:bCs/>
          <w:noProof/>
          <w:color w:val="734791"/>
          <w:sz w:val="36"/>
          <w:szCs w:val="36"/>
          <w:lang w:eastAsia="en-GB"/>
        </w:rPr>
        <w:drawing>
          <wp:inline distT="0" distB="0" distL="0" distR="0" wp14:anchorId="21D8515D" wp14:editId="02B61091">
            <wp:extent cx="2908485" cy="3886623"/>
            <wp:effectExtent l="0" t="0" r="0" b="0"/>
            <wp:docPr id="7" name="Picture 7" descr="Studio Volume:Corey Watson:Corey Watson CURRENT WORK:27689 - HUMAN RIGHTS Brand Guidelines:PDF:NIHRC LOGOs-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udio Volume:Corey Watson:Corey Watson CURRENT WORK:27689 - HUMAN RIGHTS Brand Guidelines:PDF:NIHRC LOGOs-0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8982" cy="3887287"/>
                    </a:xfrm>
                    <a:prstGeom prst="rect">
                      <a:avLst/>
                    </a:prstGeom>
                    <a:noFill/>
                    <a:ln>
                      <a:noFill/>
                    </a:ln>
                  </pic:spPr>
                </pic:pic>
              </a:graphicData>
            </a:graphic>
          </wp:inline>
        </w:drawing>
      </w:r>
    </w:p>
    <w:p w14:paraId="512A02EA" w14:textId="77777777" w:rsidR="003B7D0E" w:rsidRPr="00EA12CE" w:rsidRDefault="003B7D0E" w:rsidP="003B7D0E">
      <w:pPr>
        <w:pStyle w:val="BasicParagraph"/>
        <w:suppressAutoHyphens/>
        <w:jc w:val="center"/>
        <w:rPr>
          <w:rFonts w:ascii="Verdana" w:hAnsi="Verdana" w:cs="Arial"/>
          <w:b/>
          <w:bCs/>
          <w:color w:val="734791"/>
          <w:sz w:val="36"/>
          <w:szCs w:val="36"/>
        </w:rPr>
      </w:pPr>
    </w:p>
    <w:p w14:paraId="53BEAE23" w14:textId="77777777" w:rsidR="0096459E" w:rsidRPr="00C16D3B" w:rsidRDefault="00C16D3B" w:rsidP="00C16D3B">
      <w:pPr>
        <w:pStyle w:val="BasicParagraph"/>
        <w:suppressAutoHyphens/>
        <w:jc w:val="center"/>
        <w:rPr>
          <w:rFonts w:ascii="Verdana" w:hAnsi="Verdana" w:cs="Arial"/>
          <w:b/>
          <w:bCs/>
          <w:color w:val="77328A"/>
          <w:sz w:val="36"/>
          <w:szCs w:val="36"/>
        </w:rPr>
      </w:pPr>
      <w:r>
        <w:rPr>
          <w:rFonts w:ascii="Verdana" w:hAnsi="Verdana" w:cs="Arial"/>
          <w:b/>
          <w:bCs/>
          <w:color w:val="77328A"/>
          <w:sz w:val="36"/>
          <w:szCs w:val="36"/>
        </w:rPr>
        <w:t xml:space="preserve">Submission to DoH on the </w:t>
      </w:r>
      <w:r w:rsidRPr="00C16D3B">
        <w:rPr>
          <w:rFonts w:ascii="Verdana" w:hAnsi="Verdana" w:cs="Arial"/>
          <w:b/>
          <w:bCs/>
          <w:color w:val="77328A"/>
          <w:sz w:val="36"/>
          <w:szCs w:val="36"/>
        </w:rPr>
        <w:t>Regional Policy on the use of Restrictive Practices in Health and Social Care Settings</w:t>
      </w:r>
    </w:p>
    <w:p w14:paraId="552B5A77" w14:textId="77777777" w:rsidR="00F31387" w:rsidRPr="00331C61" w:rsidRDefault="00F31387" w:rsidP="003B7D0E">
      <w:pPr>
        <w:pStyle w:val="Default"/>
        <w:spacing w:line="288" w:lineRule="auto"/>
        <w:jc w:val="center"/>
        <w:rPr>
          <w:rFonts w:cs="Arial"/>
          <w:color w:val="232120"/>
          <w:sz w:val="36"/>
          <w:szCs w:val="36"/>
        </w:rPr>
      </w:pPr>
    </w:p>
    <w:p w14:paraId="7B3A7AB1" w14:textId="0A3F4E82" w:rsidR="008159E8" w:rsidRPr="00331C61" w:rsidRDefault="00F31387" w:rsidP="003B7D0E">
      <w:pPr>
        <w:spacing w:line="288" w:lineRule="auto"/>
        <w:jc w:val="center"/>
        <w:rPr>
          <w:rFonts w:ascii="Verdana" w:hAnsi="Verdana" w:cs="Arial"/>
          <w:b/>
          <w:color w:val="232120"/>
          <w:sz w:val="30"/>
          <w:szCs w:val="30"/>
        </w:rPr>
      </w:pPr>
      <w:r w:rsidRPr="00331C61">
        <w:rPr>
          <w:rFonts w:ascii="Verdana" w:hAnsi="Verdana" w:cs="Arial"/>
          <w:b/>
          <w:color w:val="232120"/>
          <w:sz w:val="30"/>
          <w:szCs w:val="30"/>
        </w:rPr>
        <w:t xml:space="preserve"> </w:t>
      </w:r>
      <w:r w:rsidR="00B74DF7">
        <w:rPr>
          <w:rFonts w:ascii="Verdana" w:hAnsi="Verdana" w:cs="Arial"/>
          <w:b/>
          <w:color w:val="232120"/>
          <w:sz w:val="30"/>
          <w:szCs w:val="30"/>
        </w:rPr>
        <w:t>8</w:t>
      </w:r>
      <w:r w:rsidR="008208CB">
        <w:rPr>
          <w:rFonts w:ascii="Verdana" w:hAnsi="Verdana" w:cs="Arial"/>
          <w:b/>
          <w:color w:val="232120"/>
          <w:sz w:val="30"/>
          <w:szCs w:val="30"/>
        </w:rPr>
        <w:t xml:space="preserve"> </w:t>
      </w:r>
      <w:r w:rsidR="00C16D3B">
        <w:rPr>
          <w:rFonts w:ascii="Verdana" w:hAnsi="Verdana" w:cs="Arial"/>
          <w:b/>
          <w:color w:val="232120"/>
          <w:sz w:val="30"/>
          <w:szCs w:val="30"/>
        </w:rPr>
        <w:t>October 2021</w:t>
      </w:r>
    </w:p>
    <w:p w14:paraId="0D81D4FC" w14:textId="77777777" w:rsidR="00046705" w:rsidRPr="00331C61" w:rsidRDefault="00046705" w:rsidP="003B7D0E">
      <w:pPr>
        <w:spacing w:line="288" w:lineRule="auto"/>
        <w:jc w:val="center"/>
        <w:rPr>
          <w:rFonts w:ascii="Verdana" w:hAnsi="Verdana" w:cs="Arial"/>
          <w:b/>
          <w:color w:val="232120"/>
          <w:sz w:val="28"/>
          <w:szCs w:val="28"/>
        </w:rPr>
      </w:pPr>
    </w:p>
    <w:p w14:paraId="48D4849D" w14:textId="77777777" w:rsidR="00046705" w:rsidRPr="00331C61" w:rsidRDefault="00046705" w:rsidP="003B7D0E">
      <w:pPr>
        <w:spacing w:line="288" w:lineRule="auto"/>
        <w:jc w:val="center"/>
        <w:rPr>
          <w:rFonts w:ascii="Verdana" w:hAnsi="Verdana" w:cs="Arial"/>
          <w:b/>
          <w:color w:val="232120"/>
          <w:sz w:val="28"/>
          <w:szCs w:val="28"/>
        </w:rPr>
      </w:pPr>
    </w:p>
    <w:p w14:paraId="1BF0564D" w14:textId="77777777" w:rsidR="00EA12CE" w:rsidRPr="00331C61" w:rsidRDefault="00EA12CE" w:rsidP="003B7D0E">
      <w:pPr>
        <w:pStyle w:val="Default"/>
        <w:spacing w:line="288" w:lineRule="auto"/>
        <w:jc w:val="center"/>
        <w:rPr>
          <w:rFonts w:cs="Arial"/>
          <w:b/>
          <w:color w:val="232120"/>
          <w:sz w:val="28"/>
          <w:szCs w:val="28"/>
          <w:lang w:val="en-GB"/>
        </w:rPr>
      </w:pPr>
    </w:p>
    <w:p w14:paraId="6E2B8496" w14:textId="77777777" w:rsidR="003B7D0E" w:rsidRPr="00331C61" w:rsidRDefault="003B7D0E" w:rsidP="003B7D0E">
      <w:pPr>
        <w:pStyle w:val="Default"/>
        <w:spacing w:line="480" w:lineRule="auto"/>
        <w:jc w:val="center"/>
        <w:rPr>
          <w:rFonts w:cs="Arial"/>
          <w:b/>
          <w:color w:val="232120"/>
          <w:sz w:val="36"/>
          <w:szCs w:val="36"/>
        </w:rPr>
      </w:pPr>
    </w:p>
    <w:p w14:paraId="168A6CAD" w14:textId="77777777" w:rsidR="003B7D0E" w:rsidRDefault="003B7D0E" w:rsidP="003B7D0E">
      <w:pPr>
        <w:pStyle w:val="Default"/>
        <w:spacing w:line="480" w:lineRule="auto"/>
        <w:jc w:val="center"/>
        <w:rPr>
          <w:rFonts w:cs="Arial"/>
          <w:b/>
          <w:color w:val="232120"/>
          <w:sz w:val="36"/>
          <w:szCs w:val="36"/>
        </w:rPr>
      </w:pPr>
    </w:p>
    <w:p w14:paraId="5777D7D4" w14:textId="77777777" w:rsidR="0096459E" w:rsidRPr="00331C61" w:rsidRDefault="0096459E" w:rsidP="003B7D0E">
      <w:pPr>
        <w:pStyle w:val="Default"/>
        <w:spacing w:line="480" w:lineRule="auto"/>
        <w:jc w:val="center"/>
        <w:rPr>
          <w:rFonts w:cs="Arial"/>
          <w:b/>
          <w:color w:val="232120"/>
          <w:sz w:val="36"/>
          <w:szCs w:val="36"/>
        </w:rPr>
      </w:pPr>
    </w:p>
    <w:p w14:paraId="2B9FB596" w14:textId="77777777" w:rsidR="003B7D0E" w:rsidRPr="00331C61" w:rsidRDefault="003B7D0E" w:rsidP="003B7D0E">
      <w:pPr>
        <w:pStyle w:val="Default"/>
        <w:spacing w:line="480" w:lineRule="auto"/>
        <w:jc w:val="center"/>
        <w:rPr>
          <w:rFonts w:cs="Arial"/>
          <w:b/>
          <w:color w:val="232120"/>
          <w:sz w:val="36"/>
          <w:szCs w:val="36"/>
        </w:rPr>
      </w:pPr>
    </w:p>
    <w:p w14:paraId="2905FF9B" w14:textId="77777777" w:rsidR="00EA12CE" w:rsidRPr="003B7D0E" w:rsidRDefault="00EA12CE" w:rsidP="00331C61">
      <w:pPr>
        <w:pStyle w:val="Default"/>
        <w:spacing w:line="480" w:lineRule="auto"/>
        <w:rPr>
          <w:rFonts w:cs="Arial"/>
          <w:b/>
          <w:color w:val="3C3C3B"/>
          <w:sz w:val="36"/>
          <w:szCs w:val="36"/>
        </w:rPr>
      </w:pPr>
      <w:r w:rsidRPr="003B7D0E">
        <w:rPr>
          <w:rFonts w:cs="Arial"/>
          <w:b/>
          <w:color w:val="77328A"/>
          <w:sz w:val="36"/>
          <w:szCs w:val="36"/>
        </w:rPr>
        <w:lastRenderedPageBreak/>
        <w:t>Table of Contents</w:t>
      </w:r>
    </w:p>
    <w:p w14:paraId="662B950E" w14:textId="07F18025" w:rsidR="003B7D0E" w:rsidRPr="00331C61" w:rsidRDefault="00C16D3B" w:rsidP="00331C61">
      <w:pPr>
        <w:pStyle w:val="Default"/>
        <w:spacing w:line="480" w:lineRule="auto"/>
        <w:rPr>
          <w:rFonts w:cs="Arial"/>
          <w:b/>
          <w:color w:val="232120"/>
        </w:rPr>
      </w:pPr>
      <w:r>
        <w:rPr>
          <w:rFonts w:cs="Arial"/>
          <w:b/>
          <w:color w:val="232120"/>
        </w:rPr>
        <w:t>Summary of Recommendations</w:t>
      </w:r>
      <w:r w:rsidR="00EA12CE" w:rsidRPr="00331C61">
        <w:rPr>
          <w:rFonts w:cs="Arial"/>
          <w:b/>
          <w:color w:val="232120"/>
        </w:rPr>
        <w:t xml:space="preserve">  </w:t>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EA12CE" w:rsidRPr="00331C61">
        <w:rPr>
          <w:rFonts w:cs="Arial"/>
          <w:b/>
          <w:color w:val="232120"/>
        </w:rPr>
        <w:tab/>
      </w:r>
      <w:r w:rsidR="001E79A9" w:rsidRPr="00331C61">
        <w:rPr>
          <w:rFonts w:cs="Arial"/>
          <w:b/>
          <w:color w:val="232120"/>
        </w:rPr>
        <w:tab/>
      </w:r>
      <w:r w:rsidR="001E79A9" w:rsidRPr="00331C61">
        <w:rPr>
          <w:rFonts w:cs="Arial"/>
          <w:b/>
          <w:color w:val="232120"/>
        </w:rPr>
        <w:tab/>
      </w:r>
      <w:r w:rsidR="00EA12CE" w:rsidRPr="00331C61">
        <w:rPr>
          <w:rFonts w:cs="Arial"/>
          <w:b/>
          <w:color w:val="232120"/>
        </w:rPr>
        <w:t>0</w:t>
      </w:r>
      <w:r w:rsidR="00437584">
        <w:rPr>
          <w:rFonts w:cs="Arial"/>
          <w:b/>
          <w:color w:val="232120"/>
        </w:rPr>
        <w:t>3</w:t>
      </w:r>
    </w:p>
    <w:p w14:paraId="31021952" w14:textId="72BD8092" w:rsidR="003B7D0E" w:rsidRPr="00331C61" w:rsidRDefault="00C16D3B" w:rsidP="00331C61">
      <w:pPr>
        <w:pStyle w:val="Default"/>
        <w:spacing w:line="480" w:lineRule="auto"/>
        <w:rPr>
          <w:rFonts w:cs="Arial"/>
          <w:b/>
          <w:color w:val="232120"/>
        </w:rPr>
      </w:pPr>
      <w:r>
        <w:rPr>
          <w:rFonts w:cs="Arial"/>
          <w:b/>
          <w:color w:val="232120"/>
        </w:rPr>
        <w:t>1.0 Introduction</w:t>
      </w:r>
      <w:r>
        <w:rPr>
          <w:rFonts w:cs="Arial"/>
          <w:b/>
          <w:color w:val="232120"/>
        </w:rPr>
        <w:tab/>
      </w:r>
      <w:r>
        <w:rPr>
          <w:rFonts w:cs="Arial"/>
          <w:b/>
          <w:color w:val="232120"/>
        </w:rPr>
        <w:tab/>
      </w:r>
      <w:r>
        <w:rPr>
          <w:rFonts w:cs="Arial"/>
          <w:b/>
          <w:color w:val="232120"/>
        </w:rPr>
        <w:tab/>
      </w:r>
      <w:r w:rsidR="001E79A9" w:rsidRPr="00331C61">
        <w:rPr>
          <w:rFonts w:cs="Arial"/>
          <w:b/>
          <w:color w:val="232120"/>
        </w:rPr>
        <w:t xml:space="preserve">  </w:t>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t>0</w:t>
      </w:r>
      <w:r w:rsidR="002512BE">
        <w:rPr>
          <w:rFonts w:cs="Arial"/>
          <w:b/>
          <w:color w:val="232120"/>
        </w:rPr>
        <w:t>6</w:t>
      </w:r>
    </w:p>
    <w:p w14:paraId="38923375" w14:textId="1AEF38F2" w:rsidR="001E79A9" w:rsidRPr="00331C61" w:rsidRDefault="00C16D3B" w:rsidP="00331C61">
      <w:pPr>
        <w:pStyle w:val="Default"/>
        <w:spacing w:line="480" w:lineRule="auto"/>
        <w:rPr>
          <w:rFonts w:cs="Arial"/>
          <w:b/>
          <w:color w:val="232120"/>
        </w:rPr>
      </w:pPr>
      <w:r>
        <w:rPr>
          <w:rFonts w:cs="Arial"/>
          <w:b/>
          <w:color w:val="232120"/>
        </w:rPr>
        <w:t xml:space="preserve">2.0 </w:t>
      </w:r>
      <w:r w:rsidR="00372DC7">
        <w:rPr>
          <w:rFonts w:cs="Arial"/>
          <w:b/>
          <w:color w:val="232120"/>
        </w:rPr>
        <w:t>Human Rights Framework</w:t>
      </w:r>
      <w:r w:rsidR="001E79A9" w:rsidRPr="00331C61">
        <w:rPr>
          <w:rFonts w:cs="Arial"/>
          <w:b/>
          <w:color w:val="232120"/>
        </w:rPr>
        <w:t xml:space="preserve">  </w:t>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1E79A9" w:rsidRPr="00331C61">
        <w:rPr>
          <w:rFonts w:cs="Arial"/>
          <w:b/>
          <w:color w:val="232120"/>
        </w:rPr>
        <w:tab/>
      </w:r>
      <w:r w:rsidR="00E31360">
        <w:rPr>
          <w:rFonts w:cs="Arial"/>
          <w:b/>
          <w:color w:val="232120"/>
        </w:rPr>
        <w:tab/>
      </w:r>
      <w:r w:rsidR="00E31360">
        <w:rPr>
          <w:rFonts w:cs="Arial"/>
          <w:b/>
          <w:color w:val="232120"/>
        </w:rPr>
        <w:tab/>
      </w:r>
      <w:r w:rsidR="00E31360">
        <w:rPr>
          <w:rFonts w:cs="Arial"/>
          <w:b/>
          <w:color w:val="232120"/>
        </w:rPr>
        <w:tab/>
      </w:r>
      <w:r w:rsidR="001E79A9" w:rsidRPr="00331C61">
        <w:rPr>
          <w:rFonts w:cs="Arial"/>
          <w:b/>
          <w:color w:val="232120"/>
        </w:rPr>
        <w:t>0</w:t>
      </w:r>
      <w:r w:rsidR="00604FF9">
        <w:rPr>
          <w:rFonts w:cs="Arial"/>
          <w:b/>
          <w:color w:val="232120"/>
        </w:rPr>
        <w:t>7</w:t>
      </w:r>
    </w:p>
    <w:p w14:paraId="5BCCF315" w14:textId="17C80667" w:rsidR="003C4C7D" w:rsidRDefault="00B07F17" w:rsidP="008B1EAD">
      <w:pPr>
        <w:pStyle w:val="Default"/>
        <w:spacing w:line="480" w:lineRule="auto"/>
        <w:rPr>
          <w:rFonts w:cs="Arial"/>
          <w:b/>
          <w:color w:val="232120"/>
        </w:rPr>
      </w:pPr>
      <w:r>
        <w:rPr>
          <w:rFonts w:cs="Arial"/>
          <w:b/>
          <w:color w:val="232120"/>
        </w:rPr>
        <w:t xml:space="preserve">3.0 </w:t>
      </w:r>
      <w:r w:rsidR="0010643C">
        <w:rPr>
          <w:rFonts w:cs="Arial"/>
          <w:b/>
          <w:color w:val="232120"/>
        </w:rPr>
        <w:t>Standard 1: Definitions</w:t>
      </w:r>
      <w:r w:rsidR="0010643C">
        <w:rPr>
          <w:rFonts w:cs="Arial"/>
          <w:b/>
          <w:color w:val="232120"/>
        </w:rPr>
        <w:tab/>
      </w:r>
      <w:r w:rsidR="003C4C7D">
        <w:rPr>
          <w:rFonts w:cs="Arial"/>
          <w:b/>
          <w:color w:val="232120"/>
        </w:rPr>
        <w:t xml:space="preserve"> </w:t>
      </w:r>
      <w:r w:rsidR="0054612B">
        <w:rPr>
          <w:rFonts w:cs="Arial"/>
          <w:b/>
          <w:color w:val="232120"/>
        </w:rPr>
        <w:tab/>
      </w:r>
      <w:r w:rsidR="0054612B">
        <w:rPr>
          <w:rFonts w:cs="Arial"/>
          <w:b/>
          <w:color w:val="232120"/>
        </w:rPr>
        <w:tab/>
      </w:r>
      <w:r w:rsidR="0054612B">
        <w:rPr>
          <w:rFonts w:cs="Arial"/>
          <w:b/>
          <w:color w:val="232120"/>
        </w:rPr>
        <w:tab/>
      </w:r>
      <w:r w:rsidR="0054612B">
        <w:rPr>
          <w:rFonts w:cs="Arial"/>
          <w:b/>
          <w:color w:val="232120"/>
        </w:rPr>
        <w:tab/>
      </w:r>
      <w:r w:rsidR="0054612B">
        <w:rPr>
          <w:rFonts w:cs="Arial"/>
          <w:b/>
          <w:color w:val="232120"/>
        </w:rPr>
        <w:tab/>
      </w:r>
      <w:r w:rsidR="0054612B">
        <w:rPr>
          <w:rFonts w:cs="Arial"/>
          <w:b/>
          <w:color w:val="232120"/>
        </w:rPr>
        <w:tab/>
      </w:r>
      <w:r w:rsidR="0054612B">
        <w:rPr>
          <w:rFonts w:cs="Arial"/>
          <w:b/>
          <w:color w:val="232120"/>
        </w:rPr>
        <w:tab/>
      </w:r>
      <w:r w:rsidR="00A07115">
        <w:rPr>
          <w:rFonts w:cs="Arial"/>
          <w:b/>
          <w:color w:val="232120"/>
        </w:rPr>
        <w:t>1</w:t>
      </w:r>
      <w:r w:rsidR="002512BE">
        <w:rPr>
          <w:rFonts w:cs="Arial"/>
          <w:b/>
          <w:color w:val="232120"/>
        </w:rPr>
        <w:t>4</w:t>
      </w:r>
    </w:p>
    <w:p w14:paraId="609655D4" w14:textId="7B2A8221" w:rsidR="00ED0174" w:rsidRDefault="003C4C7D" w:rsidP="00331C61">
      <w:pPr>
        <w:pStyle w:val="Default"/>
        <w:spacing w:line="480" w:lineRule="auto"/>
        <w:rPr>
          <w:rFonts w:cs="Arial"/>
          <w:b/>
          <w:color w:val="232120"/>
        </w:rPr>
      </w:pPr>
      <w:r>
        <w:rPr>
          <w:rFonts w:cs="Arial"/>
          <w:b/>
          <w:color w:val="232120"/>
        </w:rPr>
        <w:t xml:space="preserve">4.0 </w:t>
      </w:r>
      <w:r w:rsidR="0010643C">
        <w:rPr>
          <w:rFonts w:cs="Arial"/>
          <w:b/>
          <w:color w:val="232120"/>
        </w:rPr>
        <w:t>Standard 2: Three Steps to Positive Practice Framework</w:t>
      </w:r>
      <w:r w:rsidR="0054612B">
        <w:rPr>
          <w:rFonts w:cs="Arial"/>
          <w:b/>
          <w:color w:val="232120"/>
        </w:rPr>
        <w:tab/>
        <w:t xml:space="preserve"> </w:t>
      </w:r>
      <w:r w:rsidR="00ED0174">
        <w:rPr>
          <w:rFonts w:cs="Arial"/>
          <w:b/>
          <w:color w:val="232120"/>
        </w:rPr>
        <w:tab/>
      </w:r>
      <w:r w:rsidR="002512BE">
        <w:rPr>
          <w:rFonts w:cs="Arial"/>
          <w:b/>
          <w:color w:val="232120"/>
        </w:rPr>
        <w:t>1</w:t>
      </w:r>
      <w:r w:rsidR="00B74DF7">
        <w:rPr>
          <w:rFonts w:cs="Arial"/>
          <w:b/>
          <w:color w:val="232120"/>
        </w:rPr>
        <w:t>5</w:t>
      </w:r>
      <w:r w:rsidR="0054612B">
        <w:rPr>
          <w:rFonts w:cs="Arial"/>
          <w:b/>
          <w:color w:val="232120"/>
        </w:rPr>
        <w:t xml:space="preserve"> </w:t>
      </w:r>
    </w:p>
    <w:p w14:paraId="6279010A" w14:textId="4DB3EF9B" w:rsidR="0010643C" w:rsidRDefault="00DE685C" w:rsidP="00331C61">
      <w:pPr>
        <w:pStyle w:val="Default"/>
        <w:spacing w:line="480" w:lineRule="auto"/>
        <w:rPr>
          <w:rFonts w:cs="Arial"/>
          <w:b/>
          <w:color w:val="232120"/>
        </w:rPr>
      </w:pPr>
      <w:r>
        <w:rPr>
          <w:rFonts w:cs="Arial"/>
          <w:b/>
          <w:color w:val="232120"/>
        </w:rPr>
        <w:t>5</w:t>
      </w:r>
      <w:r w:rsidR="00702FA2" w:rsidRPr="00702FA2">
        <w:rPr>
          <w:rFonts w:cs="Arial"/>
          <w:b/>
          <w:color w:val="232120"/>
        </w:rPr>
        <w:t xml:space="preserve">.0 </w:t>
      </w:r>
      <w:r w:rsidR="0010643C">
        <w:rPr>
          <w:rFonts w:cs="Arial"/>
          <w:b/>
          <w:color w:val="232120"/>
        </w:rPr>
        <w:t>Standard</w:t>
      </w:r>
      <w:r w:rsidR="00246247">
        <w:rPr>
          <w:rFonts w:cs="Arial"/>
          <w:b/>
          <w:color w:val="232120"/>
        </w:rPr>
        <w:t>s</w:t>
      </w:r>
      <w:r w:rsidR="0010643C">
        <w:rPr>
          <w:rFonts w:cs="Arial"/>
          <w:b/>
          <w:color w:val="232120"/>
        </w:rPr>
        <w:t xml:space="preserve"> 3</w:t>
      </w:r>
      <w:r w:rsidR="00246247">
        <w:rPr>
          <w:rFonts w:cs="Arial"/>
          <w:b/>
          <w:color w:val="232120"/>
        </w:rPr>
        <w:t xml:space="preserve"> - 5</w:t>
      </w:r>
      <w:r w:rsidR="0010643C">
        <w:rPr>
          <w:rFonts w:cs="Arial"/>
          <w:b/>
          <w:color w:val="232120"/>
        </w:rPr>
        <w:t>: Preventative Strategies</w:t>
      </w:r>
      <w:r w:rsidR="0010643C">
        <w:rPr>
          <w:rFonts w:cs="Arial"/>
          <w:b/>
          <w:color w:val="232120"/>
        </w:rPr>
        <w:tab/>
      </w:r>
      <w:r w:rsidR="0010643C">
        <w:rPr>
          <w:rFonts w:cs="Arial"/>
          <w:b/>
          <w:color w:val="232120"/>
        </w:rPr>
        <w:tab/>
      </w:r>
      <w:r w:rsidR="0010643C">
        <w:rPr>
          <w:rFonts w:cs="Arial"/>
          <w:b/>
          <w:color w:val="232120"/>
        </w:rPr>
        <w:tab/>
      </w:r>
      <w:r w:rsidR="0010643C">
        <w:rPr>
          <w:rFonts w:cs="Arial"/>
          <w:b/>
          <w:color w:val="232120"/>
        </w:rPr>
        <w:tab/>
      </w:r>
      <w:r w:rsidR="0010643C">
        <w:rPr>
          <w:rFonts w:cs="Arial"/>
          <w:b/>
          <w:color w:val="232120"/>
        </w:rPr>
        <w:tab/>
      </w:r>
      <w:r w:rsidR="002512BE">
        <w:rPr>
          <w:rFonts w:cs="Arial"/>
          <w:b/>
          <w:color w:val="232120"/>
        </w:rPr>
        <w:t>1</w:t>
      </w:r>
      <w:r w:rsidR="00B74DF7">
        <w:rPr>
          <w:rFonts w:cs="Arial"/>
          <w:b/>
          <w:color w:val="232120"/>
        </w:rPr>
        <w:t>8</w:t>
      </w:r>
    </w:p>
    <w:p w14:paraId="6E8652DC" w14:textId="44C2B6C6" w:rsidR="0010643C" w:rsidRDefault="0010643C" w:rsidP="00331C61">
      <w:pPr>
        <w:pStyle w:val="Default"/>
        <w:spacing w:line="480" w:lineRule="auto"/>
        <w:rPr>
          <w:rFonts w:cs="Arial"/>
          <w:b/>
          <w:color w:val="232120"/>
        </w:rPr>
      </w:pPr>
      <w:r>
        <w:rPr>
          <w:rFonts w:cs="Arial"/>
          <w:b/>
          <w:color w:val="232120"/>
        </w:rPr>
        <w:t>6.0 Standard 6: Governance</w:t>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sidR="002512BE">
        <w:rPr>
          <w:rFonts w:cs="Arial"/>
          <w:b/>
          <w:color w:val="232120"/>
        </w:rPr>
        <w:t>2</w:t>
      </w:r>
      <w:r w:rsidR="00B74DF7">
        <w:rPr>
          <w:rFonts w:cs="Arial"/>
          <w:b/>
          <w:color w:val="232120"/>
        </w:rPr>
        <w:t>1</w:t>
      </w:r>
      <w:r>
        <w:rPr>
          <w:rFonts w:cs="Arial"/>
          <w:b/>
          <w:color w:val="232120"/>
        </w:rPr>
        <w:t xml:space="preserve"> </w:t>
      </w:r>
    </w:p>
    <w:p w14:paraId="026780C2" w14:textId="7CF26CBD" w:rsidR="001D478F" w:rsidRPr="00702FA2" w:rsidRDefault="0010643C" w:rsidP="00331C61">
      <w:pPr>
        <w:pStyle w:val="Default"/>
        <w:spacing w:line="480" w:lineRule="auto"/>
        <w:rPr>
          <w:rFonts w:cs="Arial"/>
          <w:b/>
          <w:color w:val="232120"/>
        </w:rPr>
      </w:pPr>
      <w:r>
        <w:rPr>
          <w:rFonts w:cs="Arial"/>
          <w:b/>
          <w:color w:val="232120"/>
        </w:rPr>
        <w:t>7.0 Standard 7: Seclusion</w:t>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Pr>
          <w:rFonts w:cs="Arial"/>
          <w:b/>
          <w:color w:val="232120"/>
        </w:rPr>
        <w:tab/>
      </w:r>
      <w:r w:rsidR="002512BE">
        <w:rPr>
          <w:rFonts w:cs="Arial"/>
          <w:b/>
          <w:color w:val="232120"/>
        </w:rPr>
        <w:t>2</w:t>
      </w:r>
      <w:r w:rsidR="00B74DF7">
        <w:rPr>
          <w:rFonts w:cs="Arial"/>
          <w:b/>
          <w:color w:val="232120"/>
        </w:rPr>
        <w:t>2</w:t>
      </w:r>
      <w:r>
        <w:rPr>
          <w:rFonts w:cs="Arial"/>
          <w:b/>
          <w:color w:val="232120"/>
        </w:rPr>
        <w:t xml:space="preserve"> </w:t>
      </w:r>
    </w:p>
    <w:p w14:paraId="57C344AD" w14:textId="77777777" w:rsidR="00EA12CE" w:rsidRPr="00331C61" w:rsidRDefault="00EA12CE" w:rsidP="00331C61">
      <w:pPr>
        <w:pStyle w:val="Default"/>
        <w:spacing w:line="288" w:lineRule="auto"/>
        <w:rPr>
          <w:rFonts w:cs="Arial"/>
          <w:b/>
          <w:color w:val="232120"/>
        </w:rPr>
      </w:pPr>
    </w:p>
    <w:p w14:paraId="792E9583" w14:textId="77777777" w:rsidR="00EA12CE" w:rsidRPr="00331C61" w:rsidRDefault="00EA12CE" w:rsidP="00331C61">
      <w:pPr>
        <w:pStyle w:val="Default"/>
        <w:spacing w:line="288" w:lineRule="auto"/>
        <w:rPr>
          <w:rFonts w:cs="Arial"/>
          <w:b/>
          <w:color w:val="232120"/>
        </w:rPr>
      </w:pPr>
    </w:p>
    <w:p w14:paraId="0B2AAC51" w14:textId="77777777" w:rsidR="00EA12CE" w:rsidRPr="00331C61" w:rsidRDefault="00EA12CE" w:rsidP="00331C61">
      <w:pPr>
        <w:pStyle w:val="Default"/>
        <w:spacing w:line="288" w:lineRule="auto"/>
        <w:rPr>
          <w:rFonts w:cs="Arial"/>
          <w:b/>
          <w:color w:val="232120"/>
        </w:rPr>
      </w:pPr>
    </w:p>
    <w:p w14:paraId="7F215E49" w14:textId="77777777" w:rsidR="00EA12CE" w:rsidRPr="00331C61" w:rsidRDefault="00EA12CE" w:rsidP="00331C61">
      <w:pPr>
        <w:pStyle w:val="Default"/>
        <w:spacing w:line="288" w:lineRule="auto"/>
        <w:rPr>
          <w:rFonts w:cs="Arial"/>
          <w:b/>
          <w:color w:val="232120"/>
        </w:rPr>
      </w:pPr>
    </w:p>
    <w:p w14:paraId="3E2B25EF" w14:textId="77777777" w:rsidR="00EA12CE" w:rsidRPr="00331C61" w:rsidRDefault="00EA12CE" w:rsidP="00331C61">
      <w:pPr>
        <w:pStyle w:val="Default"/>
        <w:spacing w:line="288" w:lineRule="auto"/>
        <w:rPr>
          <w:rFonts w:cs="Arial"/>
          <w:b/>
          <w:color w:val="232120"/>
        </w:rPr>
      </w:pPr>
    </w:p>
    <w:p w14:paraId="185B0EC7" w14:textId="77777777" w:rsidR="00EA12CE" w:rsidRPr="00331C61" w:rsidRDefault="00EA12CE" w:rsidP="00331C61">
      <w:pPr>
        <w:pStyle w:val="Default"/>
        <w:spacing w:line="288" w:lineRule="auto"/>
        <w:rPr>
          <w:rFonts w:cs="Arial"/>
          <w:b/>
          <w:color w:val="232120"/>
        </w:rPr>
      </w:pPr>
    </w:p>
    <w:p w14:paraId="7852B0AC" w14:textId="77777777" w:rsidR="00EA12CE" w:rsidRPr="00331C61" w:rsidRDefault="00EA12CE" w:rsidP="00331C61">
      <w:pPr>
        <w:pStyle w:val="Default"/>
        <w:spacing w:line="288" w:lineRule="auto"/>
        <w:rPr>
          <w:rFonts w:cs="Arial"/>
          <w:b/>
          <w:color w:val="232120"/>
        </w:rPr>
      </w:pPr>
    </w:p>
    <w:p w14:paraId="1750A229" w14:textId="77777777" w:rsidR="00EA12CE" w:rsidRPr="00331C61" w:rsidRDefault="00EA12CE" w:rsidP="00331C61">
      <w:pPr>
        <w:pStyle w:val="Default"/>
        <w:spacing w:line="288" w:lineRule="auto"/>
        <w:rPr>
          <w:rFonts w:cs="Arial"/>
          <w:b/>
          <w:color w:val="232120"/>
        </w:rPr>
      </w:pPr>
    </w:p>
    <w:p w14:paraId="0B69B320" w14:textId="77777777" w:rsidR="00EA12CE" w:rsidRPr="00331C61" w:rsidRDefault="00EA12CE" w:rsidP="00331C61">
      <w:pPr>
        <w:pStyle w:val="Default"/>
        <w:spacing w:line="288" w:lineRule="auto"/>
        <w:rPr>
          <w:rFonts w:cs="Arial"/>
          <w:b/>
          <w:color w:val="232120"/>
        </w:rPr>
      </w:pPr>
    </w:p>
    <w:p w14:paraId="710976E3" w14:textId="77777777" w:rsidR="00EA12CE" w:rsidRPr="00331C61" w:rsidRDefault="00EA12CE" w:rsidP="00331C61">
      <w:pPr>
        <w:pStyle w:val="Default"/>
        <w:spacing w:line="288" w:lineRule="auto"/>
        <w:rPr>
          <w:rFonts w:cs="Arial"/>
          <w:b/>
          <w:color w:val="232120"/>
        </w:rPr>
      </w:pPr>
    </w:p>
    <w:p w14:paraId="1322DF60" w14:textId="77777777" w:rsidR="00EA12CE" w:rsidRPr="00331C61" w:rsidRDefault="00EA12CE" w:rsidP="00331C61">
      <w:pPr>
        <w:pStyle w:val="Default"/>
        <w:spacing w:line="288" w:lineRule="auto"/>
        <w:rPr>
          <w:rFonts w:cs="Arial"/>
          <w:b/>
          <w:color w:val="232120"/>
        </w:rPr>
      </w:pPr>
    </w:p>
    <w:p w14:paraId="3BE0118F" w14:textId="77777777" w:rsidR="00EA12CE" w:rsidRPr="00331C61" w:rsidRDefault="00EA12CE" w:rsidP="00331C61">
      <w:pPr>
        <w:pStyle w:val="Default"/>
        <w:spacing w:line="288" w:lineRule="auto"/>
        <w:rPr>
          <w:rFonts w:cs="Arial"/>
          <w:b/>
          <w:color w:val="232120"/>
        </w:rPr>
      </w:pPr>
    </w:p>
    <w:p w14:paraId="1E0E70D2" w14:textId="77777777" w:rsidR="00EA12CE" w:rsidRPr="00331C61" w:rsidRDefault="00EA12CE" w:rsidP="00331C61">
      <w:pPr>
        <w:pStyle w:val="Default"/>
        <w:spacing w:line="288" w:lineRule="auto"/>
        <w:rPr>
          <w:rFonts w:cs="Arial"/>
          <w:b/>
          <w:color w:val="232120"/>
        </w:rPr>
      </w:pPr>
    </w:p>
    <w:p w14:paraId="2B0AE1E9" w14:textId="77777777" w:rsidR="00EA12CE" w:rsidRPr="00331C61" w:rsidRDefault="00EA12CE" w:rsidP="00331C61">
      <w:pPr>
        <w:pStyle w:val="Default"/>
        <w:spacing w:line="288" w:lineRule="auto"/>
        <w:rPr>
          <w:rFonts w:cs="Arial"/>
          <w:b/>
          <w:color w:val="232120"/>
        </w:rPr>
      </w:pPr>
    </w:p>
    <w:p w14:paraId="5B897545" w14:textId="77777777" w:rsidR="00EA12CE" w:rsidRPr="00331C61" w:rsidRDefault="00EA12CE" w:rsidP="00331C61">
      <w:pPr>
        <w:pStyle w:val="Default"/>
        <w:spacing w:line="288" w:lineRule="auto"/>
        <w:rPr>
          <w:rFonts w:cs="Arial"/>
          <w:b/>
          <w:color w:val="232120"/>
        </w:rPr>
      </w:pPr>
    </w:p>
    <w:p w14:paraId="4364B8CD" w14:textId="77777777" w:rsidR="00EA12CE" w:rsidRPr="00331C61" w:rsidRDefault="00EA12CE" w:rsidP="00331C61">
      <w:pPr>
        <w:pStyle w:val="Default"/>
        <w:spacing w:line="288" w:lineRule="auto"/>
        <w:rPr>
          <w:rFonts w:cs="Arial"/>
          <w:b/>
          <w:color w:val="232120"/>
        </w:rPr>
      </w:pPr>
    </w:p>
    <w:p w14:paraId="0A12570F" w14:textId="77777777" w:rsidR="00EA12CE" w:rsidRPr="00331C61" w:rsidRDefault="00EA12CE" w:rsidP="00331C61">
      <w:pPr>
        <w:pStyle w:val="Default"/>
        <w:spacing w:line="288" w:lineRule="auto"/>
        <w:rPr>
          <w:rFonts w:cs="Arial"/>
          <w:b/>
          <w:color w:val="232120"/>
        </w:rPr>
      </w:pPr>
    </w:p>
    <w:p w14:paraId="7CA291F8" w14:textId="77777777" w:rsidR="00EA12CE" w:rsidRPr="00331C61" w:rsidRDefault="00EA12CE" w:rsidP="00331C61">
      <w:pPr>
        <w:pStyle w:val="Default"/>
        <w:spacing w:line="288" w:lineRule="auto"/>
        <w:rPr>
          <w:rFonts w:cs="Arial"/>
          <w:b/>
          <w:color w:val="232120"/>
        </w:rPr>
      </w:pPr>
    </w:p>
    <w:p w14:paraId="03C6C7CA" w14:textId="77777777" w:rsidR="00EA12CE" w:rsidRPr="00331C61" w:rsidRDefault="00EA12CE" w:rsidP="00331C61">
      <w:pPr>
        <w:pStyle w:val="Default"/>
        <w:spacing w:line="288" w:lineRule="auto"/>
        <w:rPr>
          <w:rFonts w:cs="Arial"/>
          <w:b/>
          <w:color w:val="232120"/>
        </w:rPr>
      </w:pPr>
    </w:p>
    <w:p w14:paraId="7BEB4B0C" w14:textId="77777777" w:rsidR="001E79A9" w:rsidRPr="00331C61" w:rsidRDefault="001E79A9" w:rsidP="00331C61">
      <w:pPr>
        <w:pStyle w:val="Default"/>
        <w:spacing w:line="288" w:lineRule="auto"/>
        <w:rPr>
          <w:rFonts w:cs="Arial"/>
          <w:b/>
          <w:color w:val="232120"/>
        </w:rPr>
      </w:pPr>
    </w:p>
    <w:p w14:paraId="0CAB142F" w14:textId="77777777" w:rsidR="004672AC" w:rsidRDefault="004672AC" w:rsidP="00331C61">
      <w:pPr>
        <w:pStyle w:val="Default"/>
        <w:spacing w:line="288" w:lineRule="auto"/>
        <w:rPr>
          <w:rFonts w:cs="Arial"/>
          <w:b/>
          <w:color w:val="232120"/>
        </w:rPr>
      </w:pPr>
    </w:p>
    <w:p w14:paraId="1A31F644" w14:textId="77777777" w:rsidR="00CD0579" w:rsidRDefault="00CD0579" w:rsidP="00331C61">
      <w:pPr>
        <w:pStyle w:val="Default"/>
        <w:spacing w:line="288" w:lineRule="auto"/>
        <w:rPr>
          <w:rFonts w:cs="Arial"/>
          <w:b/>
          <w:color w:val="232120"/>
        </w:rPr>
      </w:pPr>
    </w:p>
    <w:p w14:paraId="09C1421C" w14:textId="77777777" w:rsidR="00CD0579" w:rsidRPr="00331C61" w:rsidRDefault="00CD0579" w:rsidP="00331C61">
      <w:pPr>
        <w:pStyle w:val="Default"/>
        <w:spacing w:line="288" w:lineRule="auto"/>
        <w:rPr>
          <w:rFonts w:cs="Arial"/>
          <w:b/>
          <w:color w:val="232120"/>
        </w:rPr>
      </w:pPr>
    </w:p>
    <w:p w14:paraId="5611D083" w14:textId="77777777" w:rsidR="00C16D3B" w:rsidRDefault="00C16D3B" w:rsidP="00331C61">
      <w:pPr>
        <w:pStyle w:val="BasicParagraph"/>
        <w:suppressAutoHyphens/>
        <w:rPr>
          <w:rFonts w:ascii="Verdana" w:hAnsi="Verdana" w:cs="Arial"/>
          <w:color w:val="232120"/>
        </w:rPr>
      </w:pPr>
    </w:p>
    <w:p w14:paraId="32BDBEAF" w14:textId="77777777" w:rsidR="002B0122" w:rsidRDefault="002B0122" w:rsidP="00331C61">
      <w:pPr>
        <w:pStyle w:val="BasicParagraph"/>
        <w:suppressAutoHyphens/>
        <w:rPr>
          <w:rFonts w:ascii="Verdana" w:hAnsi="Verdana" w:cs="Arial"/>
          <w:color w:val="232120"/>
        </w:rPr>
      </w:pPr>
    </w:p>
    <w:p w14:paraId="34491EA9" w14:textId="77777777" w:rsidR="00C16D3B" w:rsidRDefault="00C16D3B" w:rsidP="00331C61">
      <w:pPr>
        <w:pStyle w:val="BasicParagraph"/>
        <w:suppressAutoHyphens/>
        <w:rPr>
          <w:rFonts w:ascii="Verdana" w:hAnsi="Verdana" w:cs="Arial"/>
          <w:b/>
          <w:bCs/>
          <w:color w:val="7030A0"/>
          <w:sz w:val="28"/>
          <w:szCs w:val="28"/>
        </w:rPr>
      </w:pPr>
      <w:r w:rsidRPr="00C16D3B">
        <w:rPr>
          <w:rFonts w:ascii="Verdana" w:hAnsi="Verdana" w:cs="Arial"/>
          <w:b/>
          <w:bCs/>
          <w:color w:val="7030A0"/>
          <w:sz w:val="28"/>
          <w:szCs w:val="28"/>
        </w:rPr>
        <w:lastRenderedPageBreak/>
        <w:t>Summary of Recommendations</w:t>
      </w:r>
    </w:p>
    <w:p w14:paraId="0A53B773" w14:textId="77777777" w:rsidR="00D45316" w:rsidRPr="00D45316" w:rsidRDefault="00D45316" w:rsidP="00331C61">
      <w:pPr>
        <w:pStyle w:val="BasicParagraph"/>
        <w:suppressAutoHyphens/>
        <w:rPr>
          <w:rFonts w:ascii="Verdana" w:hAnsi="Verdana" w:cs="Arial"/>
          <w:b/>
          <w:bCs/>
          <w:color w:val="auto"/>
        </w:rPr>
      </w:pPr>
    </w:p>
    <w:p w14:paraId="3B109633" w14:textId="77777777" w:rsidR="0081013E" w:rsidRPr="00BF63AE" w:rsidRDefault="0081013E" w:rsidP="0081013E">
      <w:pPr>
        <w:pStyle w:val="BasicParagraph"/>
        <w:suppressAutoHyphens/>
        <w:ind w:left="720" w:hanging="720"/>
        <w:rPr>
          <w:rFonts w:ascii="Verdana" w:hAnsi="Verdana"/>
          <w:b/>
          <w:bCs/>
        </w:rPr>
      </w:pPr>
      <w:r>
        <w:rPr>
          <w:rFonts w:ascii="Verdana" w:hAnsi="Verdana"/>
          <w:b/>
          <w:bCs/>
        </w:rPr>
        <w:t>3.4</w:t>
      </w:r>
      <w:r>
        <w:rPr>
          <w:rFonts w:ascii="Verdana" w:hAnsi="Verdana"/>
          <w:b/>
          <w:bCs/>
        </w:rPr>
        <w:tab/>
      </w:r>
      <w:r w:rsidRPr="002C3E50">
        <w:rPr>
          <w:rFonts w:ascii="Verdana" w:hAnsi="Verdana"/>
          <w:b/>
          <w:bCs/>
        </w:rPr>
        <w:t xml:space="preserve">The </w:t>
      </w:r>
      <w:r>
        <w:rPr>
          <w:rFonts w:ascii="Verdana" w:hAnsi="Verdana"/>
          <w:b/>
          <w:bCs/>
        </w:rPr>
        <w:t>Commission recommends</w:t>
      </w:r>
      <w:r w:rsidRPr="002C3E50">
        <w:rPr>
          <w:rFonts w:ascii="Verdana" w:hAnsi="Verdana"/>
          <w:b/>
          <w:bCs/>
        </w:rPr>
        <w:t xml:space="preserve"> </w:t>
      </w:r>
      <w:r>
        <w:rPr>
          <w:rFonts w:ascii="Verdana" w:hAnsi="Verdana"/>
          <w:b/>
          <w:bCs/>
        </w:rPr>
        <w:t xml:space="preserve">amending </w:t>
      </w:r>
      <w:r w:rsidRPr="002C3E50">
        <w:rPr>
          <w:rFonts w:ascii="Verdana" w:hAnsi="Verdana"/>
          <w:b/>
          <w:bCs/>
        </w:rPr>
        <w:t xml:space="preserve">the definition of </w:t>
      </w:r>
      <w:r>
        <w:rPr>
          <w:rFonts w:ascii="Verdana" w:hAnsi="Verdana"/>
          <w:b/>
          <w:bCs/>
        </w:rPr>
        <w:t>r</w:t>
      </w:r>
      <w:r w:rsidRPr="002C3E50">
        <w:rPr>
          <w:rFonts w:ascii="Verdana" w:hAnsi="Verdana"/>
          <w:b/>
          <w:bCs/>
        </w:rPr>
        <w:t xml:space="preserve">estrictive </w:t>
      </w:r>
      <w:r>
        <w:rPr>
          <w:rFonts w:ascii="Verdana" w:hAnsi="Verdana"/>
          <w:b/>
          <w:bCs/>
        </w:rPr>
        <w:t>practice</w:t>
      </w:r>
      <w:r w:rsidRPr="002C3E50">
        <w:rPr>
          <w:rFonts w:ascii="Verdana" w:hAnsi="Verdana"/>
          <w:b/>
          <w:bCs/>
        </w:rPr>
        <w:t>s at para</w:t>
      </w:r>
      <w:r>
        <w:rPr>
          <w:rFonts w:ascii="Verdana" w:hAnsi="Verdana"/>
          <w:b/>
          <w:bCs/>
        </w:rPr>
        <w:t>graph</w:t>
      </w:r>
      <w:r w:rsidRPr="002C3E50">
        <w:rPr>
          <w:rFonts w:ascii="Verdana" w:hAnsi="Verdana"/>
          <w:b/>
          <w:bCs/>
        </w:rPr>
        <w:t xml:space="preserve"> 5. </w:t>
      </w:r>
      <w:r>
        <w:rPr>
          <w:rFonts w:ascii="Verdana" w:hAnsi="Verdana"/>
          <w:b/>
          <w:bCs/>
        </w:rPr>
        <w:t xml:space="preserve">from </w:t>
      </w:r>
      <w:r w:rsidRPr="002C3E50">
        <w:rPr>
          <w:rFonts w:ascii="Verdana" w:hAnsi="Verdana"/>
          <w:b/>
          <w:bCs/>
        </w:rPr>
        <w:t>‘those that limit a person’s movement, day to day activity or function’</w:t>
      </w:r>
      <w:r>
        <w:rPr>
          <w:rFonts w:ascii="Verdana" w:hAnsi="Verdana"/>
          <w:b/>
          <w:bCs/>
        </w:rPr>
        <w:t xml:space="preserve"> to</w:t>
      </w:r>
      <w:r w:rsidRPr="002C3E50">
        <w:rPr>
          <w:rFonts w:ascii="Verdana" w:hAnsi="Verdana"/>
          <w:b/>
          <w:bCs/>
        </w:rPr>
        <w:t xml:space="preserve"> ‘</w:t>
      </w:r>
      <w:r>
        <w:rPr>
          <w:rFonts w:ascii="Verdana" w:hAnsi="Verdana"/>
          <w:b/>
          <w:bCs/>
        </w:rPr>
        <w:t>deliberate acts on the part of other person(s) that restrict a person’s</w:t>
      </w:r>
      <w:r w:rsidRPr="002C3E50">
        <w:rPr>
          <w:rFonts w:ascii="Verdana" w:hAnsi="Verdana"/>
          <w:b/>
          <w:bCs/>
        </w:rPr>
        <w:t xml:space="preserve"> movement, liberty and/or freedom to act independently’</w:t>
      </w:r>
      <w:r>
        <w:rPr>
          <w:rFonts w:ascii="Verdana" w:hAnsi="Verdana"/>
          <w:b/>
          <w:bCs/>
        </w:rPr>
        <w:t xml:space="preserve">. </w:t>
      </w:r>
    </w:p>
    <w:p w14:paraId="065EF9F9" w14:textId="77777777" w:rsidR="0081013E" w:rsidRDefault="0081013E" w:rsidP="0081013E">
      <w:pPr>
        <w:pStyle w:val="BasicParagraph"/>
        <w:suppressAutoHyphens/>
        <w:rPr>
          <w:rFonts w:ascii="Verdana" w:hAnsi="Verdana"/>
        </w:rPr>
      </w:pPr>
    </w:p>
    <w:p w14:paraId="04A877F6" w14:textId="77777777" w:rsidR="0081013E" w:rsidRPr="00C16D3B" w:rsidRDefault="0081013E" w:rsidP="0081013E">
      <w:pPr>
        <w:pStyle w:val="BasicParagraph"/>
        <w:suppressAutoHyphens/>
        <w:ind w:left="720" w:hanging="720"/>
        <w:rPr>
          <w:rFonts w:ascii="Verdana" w:hAnsi="Verdana"/>
        </w:rPr>
      </w:pPr>
      <w:r>
        <w:rPr>
          <w:rFonts w:ascii="Verdana" w:hAnsi="Verdana"/>
          <w:b/>
          <w:bCs/>
        </w:rPr>
        <w:t>3.5</w:t>
      </w:r>
      <w:r>
        <w:rPr>
          <w:rFonts w:ascii="Verdana" w:hAnsi="Verdana"/>
          <w:b/>
          <w:bCs/>
        </w:rPr>
        <w:tab/>
      </w:r>
      <w:r w:rsidRPr="0033133E">
        <w:rPr>
          <w:rFonts w:ascii="Verdana" w:hAnsi="Verdana"/>
          <w:b/>
          <w:bCs/>
        </w:rPr>
        <w:t xml:space="preserve">The </w:t>
      </w:r>
      <w:r>
        <w:rPr>
          <w:rFonts w:ascii="Verdana" w:hAnsi="Verdana"/>
          <w:b/>
          <w:bCs/>
        </w:rPr>
        <w:t>Commission</w:t>
      </w:r>
      <w:r w:rsidRPr="0033133E">
        <w:rPr>
          <w:rFonts w:ascii="Verdana" w:hAnsi="Verdana"/>
          <w:b/>
          <w:bCs/>
        </w:rPr>
        <w:t xml:space="preserve"> recommends </w:t>
      </w:r>
      <w:r>
        <w:rPr>
          <w:rFonts w:ascii="Verdana" w:hAnsi="Verdana"/>
          <w:b/>
          <w:bCs/>
        </w:rPr>
        <w:t>it is made explicit that the human rights framework underpinning the lawful and appropriate use of restrictive practises in health and care settings incorporates</w:t>
      </w:r>
      <w:r w:rsidRPr="0033133E">
        <w:rPr>
          <w:rFonts w:ascii="Verdana" w:hAnsi="Verdana"/>
          <w:b/>
          <w:bCs/>
        </w:rPr>
        <w:t xml:space="preserve"> the full range of international</w:t>
      </w:r>
      <w:r>
        <w:rPr>
          <w:rFonts w:ascii="Verdana" w:hAnsi="Verdana"/>
          <w:b/>
          <w:bCs/>
        </w:rPr>
        <w:t xml:space="preserve">ly accepted </w:t>
      </w:r>
      <w:r w:rsidRPr="0033133E">
        <w:rPr>
          <w:rFonts w:ascii="Verdana" w:hAnsi="Verdana"/>
          <w:b/>
          <w:bCs/>
        </w:rPr>
        <w:t>human rights standards ratified by the UK</w:t>
      </w:r>
      <w:r>
        <w:rPr>
          <w:rFonts w:ascii="Verdana" w:hAnsi="Verdana"/>
          <w:b/>
          <w:bCs/>
        </w:rPr>
        <w:t>.</w:t>
      </w:r>
    </w:p>
    <w:p w14:paraId="4E0EDC2D" w14:textId="77777777" w:rsidR="0081013E" w:rsidRDefault="0081013E" w:rsidP="0081013E">
      <w:pPr>
        <w:pStyle w:val="BasicParagraph"/>
        <w:suppressAutoHyphens/>
        <w:rPr>
          <w:rFonts w:ascii="Verdana" w:hAnsi="Verdana"/>
        </w:rPr>
      </w:pPr>
    </w:p>
    <w:p w14:paraId="2B2192F3" w14:textId="77777777" w:rsidR="0081013E" w:rsidRDefault="0081013E" w:rsidP="0081013E">
      <w:pPr>
        <w:pStyle w:val="BasicParagraph"/>
        <w:suppressAutoHyphens/>
        <w:ind w:left="720" w:hanging="720"/>
        <w:rPr>
          <w:rFonts w:ascii="Verdana" w:hAnsi="Verdana"/>
          <w:b/>
          <w:bCs/>
        </w:rPr>
      </w:pPr>
      <w:r>
        <w:rPr>
          <w:rFonts w:ascii="Verdana" w:hAnsi="Verdana"/>
          <w:b/>
          <w:bCs/>
        </w:rPr>
        <w:t>3.6</w:t>
      </w:r>
      <w:r>
        <w:rPr>
          <w:rFonts w:ascii="Verdana" w:hAnsi="Verdana"/>
          <w:b/>
          <w:bCs/>
        </w:rPr>
        <w:tab/>
      </w:r>
      <w:r w:rsidRPr="00386251">
        <w:rPr>
          <w:rFonts w:ascii="Verdana" w:hAnsi="Verdana"/>
          <w:b/>
          <w:bCs/>
        </w:rPr>
        <w:t>The Commission recommends th</w:t>
      </w:r>
      <w:r>
        <w:rPr>
          <w:rFonts w:ascii="Verdana" w:hAnsi="Verdana"/>
          <w:b/>
          <w:bCs/>
        </w:rPr>
        <w:t>e use of practical examples throughout Standard 1 to illustrate how</w:t>
      </w:r>
      <w:r w:rsidRPr="00277318">
        <w:rPr>
          <w:rFonts w:ascii="Verdana" w:hAnsi="Verdana"/>
          <w:b/>
          <w:bCs/>
        </w:rPr>
        <w:t xml:space="preserve"> the actions of health and social care staff </w:t>
      </w:r>
      <w:r>
        <w:rPr>
          <w:rFonts w:ascii="Verdana" w:hAnsi="Verdana"/>
          <w:b/>
          <w:bCs/>
        </w:rPr>
        <w:t xml:space="preserve">might engage ECHR Articles 2, 3, 5 and 8 across the range of restrictive practises identified. </w:t>
      </w:r>
    </w:p>
    <w:p w14:paraId="420F3DA2" w14:textId="77777777" w:rsidR="0081013E" w:rsidRDefault="0081013E" w:rsidP="0081013E">
      <w:pPr>
        <w:pStyle w:val="BasicParagraph"/>
        <w:suppressAutoHyphens/>
        <w:ind w:left="720" w:hanging="720"/>
        <w:rPr>
          <w:rFonts w:ascii="Verdana" w:hAnsi="Verdana"/>
          <w:b/>
          <w:bCs/>
        </w:rPr>
      </w:pPr>
    </w:p>
    <w:p w14:paraId="5DBC4305" w14:textId="77777777" w:rsidR="0081013E" w:rsidRDefault="0081013E" w:rsidP="0081013E">
      <w:pPr>
        <w:pStyle w:val="BasicParagraph"/>
        <w:suppressAutoHyphens/>
        <w:spacing w:after="240"/>
        <w:ind w:left="720" w:hanging="720"/>
        <w:rPr>
          <w:rFonts w:ascii="Verdana" w:hAnsi="Verdana"/>
          <w:b/>
          <w:bCs/>
        </w:rPr>
      </w:pPr>
      <w:r>
        <w:rPr>
          <w:rFonts w:ascii="Verdana" w:hAnsi="Verdana"/>
          <w:b/>
          <w:bCs/>
        </w:rPr>
        <w:t>3.7</w:t>
      </w:r>
      <w:r>
        <w:rPr>
          <w:rFonts w:ascii="Verdana" w:hAnsi="Verdana"/>
          <w:b/>
          <w:bCs/>
        </w:rPr>
        <w:tab/>
        <w:t>The Commission recommends setting</w:t>
      </w:r>
      <w:r w:rsidRPr="00386251">
        <w:rPr>
          <w:rFonts w:ascii="Verdana" w:hAnsi="Verdana"/>
          <w:b/>
          <w:bCs/>
        </w:rPr>
        <w:t xml:space="preserve"> out a </w:t>
      </w:r>
      <w:r>
        <w:rPr>
          <w:rFonts w:ascii="Verdana" w:hAnsi="Verdana"/>
          <w:b/>
          <w:bCs/>
        </w:rPr>
        <w:t xml:space="preserve">clearly defined </w:t>
      </w:r>
      <w:r w:rsidRPr="00386251">
        <w:rPr>
          <w:rFonts w:ascii="Verdana" w:hAnsi="Verdana"/>
          <w:b/>
          <w:bCs/>
        </w:rPr>
        <w:t>list of general principles</w:t>
      </w:r>
      <w:r>
        <w:rPr>
          <w:rFonts w:ascii="Verdana" w:hAnsi="Verdana"/>
          <w:b/>
          <w:bCs/>
        </w:rPr>
        <w:t xml:space="preserve"> that apply to</w:t>
      </w:r>
      <w:r w:rsidRPr="00386251">
        <w:rPr>
          <w:rFonts w:ascii="Verdana" w:hAnsi="Verdana"/>
          <w:b/>
          <w:bCs/>
        </w:rPr>
        <w:t xml:space="preserve"> the use of all restrictive practices</w:t>
      </w:r>
      <w:r>
        <w:rPr>
          <w:rFonts w:ascii="Verdana" w:hAnsi="Verdana"/>
          <w:b/>
          <w:bCs/>
        </w:rPr>
        <w:t xml:space="preserve"> in accordance with human rights standards</w:t>
      </w:r>
      <w:r w:rsidRPr="00386251">
        <w:rPr>
          <w:rFonts w:ascii="Verdana" w:hAnsi="Verdana"/>
          <w:b/>
          <w:bCs/>
        </w:rPr>
        <w:t xml:space="preserve">. This should include: </w:t>
      </w:r>
    </w:p>
    <w:p w14:paraId="1A64087C" w14:textId="77777777" w:rsidR="0081013E" w:rsidRPr="00D80EC1" w:rsidRDefault="0081013E" w:rsidP="0081013E">
      <w:pPr>
        <w:pStyle w:val="BasicParagraph"/>
        <w:numPr>
          <w:ilvl w:val="0"/>
          <w:numId w:val="16"/>
        </w:numPr>
        <w:suppressAutoHyphens/>
        <w:rPr>
          <w:rFonts w:ascii="Verdana" w:hAnsi="Verdana"/>
          <w:b/>
          <w:bCs/>
          <w:color w:val="auto"/>
        </w:rPr>
      </w:pPr>
      <w:r w:rsidRPr="00E308CB">
        <w:rPr>
          <w:rFonts w:ascii="Verdana" w:hAnsi="Verdana"/>
          <w:b/>
          <w:bCs/>
        </w:rPr>
        <w:t xml:space="preserve">Initial attempts </w:t>
      </w:r>
      <w:r>
        <w:rPr>
          <w:rFonts w:ascii="Verdana" w:hAnsi="Verdana"/>
          <w:b/>
          <w:bCs/>
        </w:rPr>
        <w:t>of restraint</w:t>
      </w:r>
      <w:r w:rsidRPr="00E308CB">
        <w:rPr>
          <w:rFonts w:ascii="Verdana" w:hAnsi="Verdana"/>
          <w:b/>
          <w:bCs/>
        </w:rPr>
        <w:t xml:space="preserve"> should as far as possible be non-</w:t>
      </w:r>
      <w:r w:rsidRPr="00D80EC1">
        <w:rPr>
          <w:rFonts w:ascii="Verdana" w:hAnsi="Verdana"/>
          <w:b/>
          <w:bCs/>
          <w:color w:val="auto"/>
        </w:rPr>
        <w:t>physical;</w:t>
      </w:r>
    </w:p>
    <w:p w14:paraId="0AA64595" w14:textId="77777777" w:rsidR="0081013E" w:rsidRPr="00D80EC1" w:rsidRDefault="0081013E" w:rsidP="0081013E">
      <w:pPr>
        <w:pStyle w:val="BasicParagraph"/>
        <w:numPr>
          <w:ilvl w:val="0"/>
          <w:numId w:val="17"/>
        </w:numPr>
        <w:suppressAutoHyphens/>
        <w:rPr>
          <w:rFonts w:ascii="Verdana" w:hAnsi="Verdana"/>
          <w:b/>
          <w:bCs/>
          <w:color w:val="auto"/>
        </w:rPr>
      </w:pPr>
      <w:r w:rsidRPr="00D80EC1">
        <w:rPr>
          <w:rFonts w:ascii="Verdana" w:hAnsi="Verdana"/>
          <w:b/>
          <w:bCs/>
          <w:color w:val="auto"/>
        </w:rPr>
        <w:t xml:space="preserve">Restrictive practices should never be used to punish, to inflict pain or humiliation, or to replace proper care or treatment; </w:t>
      </w:r>
    </w:p>
    <w:p w14:paraId="7F6FFDB5" w14:textId="77777777" w:rsidR="0081013E" w:rsidRDefault="0081013E" w:rsidP="0081013E">
      <w:pPr>
        <w:pStyle w:val="BasicParagraph"/>
        <w:numPr>
          <w:ilvl w:val="0"/>
          <w:numId w:val="17"/>
        </w:numPr>
        <w:suppressAutoHyphens/>
        <w:rPr>
          <w:rFonts w:ascii="Verdana" w:hAnsi="Verdana"/>
          <w:b/>
          <w:bCs/>
          <w:color w:val="auto"/>
        </w:rPr>
      </w:pPr>
      <w:r w:rsidRPr="00D80EC1">
        <w:rPr>
          <w:rFonts w:ascii="Verdana" w:hAnsi="Verdana"/>
          <w:b/>
          <w:bCs/>
          <w:color w:val="auto"/>
        </w:rPr>
        <w:t>There must be a real possibility of harm to the person or to staff, the public or others if no action is undertaken;</w:t>
      </w:r>
    </w:p>
    <w:p w14:paraId="0B7E171C" w14:textId="2DABE66B" w:rsidR="0081013E" w:rsidRDefault="0081013E" w:rsidP="0081013E">
      <w:pPr>
        <w:pStyle w:val="BasicParagraph"/>
        <w:numPr>
          <w:ilvl w:val="0"/>
          <w:numId w:val="17"/>
        </w:numPr>
        <w:suppressAutoHyphens/>
        <w:rPr>
          <w:rFonts w:ascii="Verdana" w:hAnsi="Verdana"/>
          <w:b/>
          <w:bCs/>
          <w:color w:val="auto"/>
        </w:rPr>
      </w:pPr>
      <w:r w:rsidRPr="00B324A5">
        <w:rPr>
          <w:rFonts w:ascii="Verdana" w:hAnsi="Verdana"/>
          <w:b/>
          <w:bCs/>
          <w:color w:val="auto"/>
        </w:rPr>
        <w:t xml:space="preserve">The nature of the technique used </w:t>
      </w:r>
      <w:r w:rsidRPr="0081013E">
        <w:rPr>
          <w:rFonts w:ascii="Verdana" w:hAnsi="Verdana"/>
          <w:b/>
          <w:bCs/>
          <w:color w:val="auto"/>
        </w:rPr>
        <w:t>must be proportionate to the risk of harm and the seriousness of that harm and be the least restrictive option that will meet the need;</w:t>
      </w:r>
    </w:p>
    <w:p w14:paraId="36B36B04" w14:textId="1B99189C" w:rsidR="0081013E" w:rsidRDefault="0081013E" w:rsidP="0081013E">
      <w:pPr>
        <w:pStyle w:val="BasicParagraph"/>
        <w:numPr>
          <w:ilvl w:val="0"/>
          <w:numId w:val="17"/>
        </w:numPr>
        <w:suppressAutoHyphens/>
        <w:rPr>
          <w:rFonts w:ascii="Verdana" w:hAnsi="Verdana"/>
          <w:b/>
          <w:bCs/>
          <w:color w:val="auto"/>
        </w:rPr>
      </w:pPr>
      <w:r w:rsidRPr="001B2FBB">
        <w:rPr>
          <w:rFonts w:ascii="Verdana" w:hAnsi="Verdana"/>
          <w:b/>
          <w:bCs/>
          <w:color w:val="auto"/>
        </w:rPr>
        <w:t>Any restriction should be imposed for no longer than absolutely necessary.</w:t>
      </w:r>
    </w:p>
    <w:p w14:paraId="50482796" w14:textId="77777777" w:rsidR="00BF6048" w:rsidRDefault="00BF6048" w:rsidP="00B74DF7">
      <w:pPr>
        <w:pStyle w:val="BasicParagraph"/>
        <w:suppressAutoHyphens/>
        <w:rPr>
          <w:rFonts w:ascii="Verdana" w:hAnsi="Verdana"/>
          <w:b/>
          <w:bCs/>
        </w:rPr>
      </w:pPr>
    </w:p>
    <w:p w14:paraId="4B1673C7" w14:textId="1B7D5067" w:rsidR="00BF6048" w:rsidRDefault="007600AF" w:rsidP="00C537D7">
      <w:pPr>
        <w:pStyle w:val="BasicParagraph"/>
        <w:suppressAutoHyphens/>
        <w:ind w:left="720" w:hanging="720"/>
        <w:rPr>
          <w:rFonts w:ascii="Verdana" w:hAnsi="Verdana"/>
          <w:b/>
          <w:bCs/>
        </w:rPr>
      </w:pPr>
      <w:r>
        <w:rPr>
          <w:rFonts w:ascii="Verdana" w:hAnsi="Verdana"/>
          <w:b/>
          <w:bCs/>
        </w:rPr>
        <w:t>4.3</w:t>
      </w:r>
      <w:r>
        <w:rPr>
          <w:rFonts w:ascii="Verdana" w:hAnsi="Verdana"/>
          <w:b/>
          <w:bCs/>
        </w:rPr>
        <w:tab/>
      </w:r>
      <w:r w:rsidRPr="00C6681B">
        <w:rPr>
          <w:rFonts w:ascii="Verdana" w:hAnsi="Verdana"/>
          <w:b/>
          <w:bCs/>
        </w:rPr>
        <w:t xml:space="preserve">The Commission advises that, in order to ensure a robust human </w:t>
      </w:r>
      <w:r w:rsidR="004155A0" w:rsidRPr="00C6681B">
        <w:rPr>
          <w:rFonts w:ascii="Verdana" w:hAnsi="Verdana"/>
          <w:b/>
          <w:bCs/>
        </w:rPr>
        <w:t>rights-based</w:t>
      </w:r>
      <w:r w:rsidRPr="00C6681B">
        <w:rPr>
          <w:rFonts w:ascii="Verdana" w:hAnsi="Verdana"/>
          <w:b/>
          <w:bCs/>
        </w:rPr>
        <w:t xml:space="preserve"> approach, the </w:t>
      </w:r>
      <w:r>
        <w:rPr>
          <w:rFonts w:ascii="Verdana" w:hAnsi="Verdana"/>
          <w:b/>
          <w:bCs/>
        </w:rPr>
        <w:t>‘</w:t>
      </w:r>
      <w:r w:rsidRPr="00C6681B">
        <w:rPr>
          <w:rFonts w:ascii="Verdana" w:hAnsi="Verdana"/>
          <w:b/>
          <w:bCs/>
        </w:rPr>
        <w:t xml:space="preserve">Three Steps to Positive Practice Framework’ should explicitly incorporate human rights considerations at each stage. </w:t>
      </w:r>
    </w:p>
    <w:p w14:paraId="5CDB2E65" w14:textId="77777777" w:rsidR="00B324A5" w:rsidRDefault="00B324A5" w:rsidP="00C537D7">
      <w:pPr>
        <w:pStyle w:val="BasicParagraph"/>
        <w:suppressAutoHyphens/>
        <w:ind w:left="720" w:hanging="720"/>
        <w:rPr>
          <w:rFonts w:ascii="Verdana" w:hAnsi="Verdana"/>
          <w:b/>
          <w:bCs/>
        </w:rPr>
      </w:pPr>
    </w:p>
    <w:p w14:paraId="26CF08EA" w14:textId="2983420C" w:rsidR="00756607" w:rsidRDefault="00B324A5" w:rsidP="00C537D7">
      <w:pPr>
        <w:pStyle w:val="BasicParagraph"/>
        <w:suppressAutoHyphens/>
        <w:ind w:left="720" w:hanging="720"/>
        <w:rPr>
          <w:rFonts w:ascii="Verdana" w:hAnsi="Verdana"/>
          <w:b/>
          <w:bCs/>
        </w:rPr>
      </w:pPr>
      <w:r>
        <w:rPr>
          <w:rFonts w:ascii="Verdana" w:hAnsi="Verdana"/>
          <w:b/>
          <w:bCs/>
        </w:rPr>
        <w:t>4.6</w:t>
      </w:r>
      <w:r>
        <w:rPr>
          <w:rFonts w:ascii="Verdana" w:hAnsi="Verdana"/>
          <w:b/>
          <w:bCs/>
        </w:rPr>
        <w:tab/>
      </w:r>
      <w:r w:rsidR="0081013E" w:rsidRPr="008742D9">
        <w:rPr>
          <w:rFonts w:ascii="Verdana" w:hAnsi="Verdana"/>
          <w:b/>
          <w:bCs/>
        </w:rPr>
        <w:t xml:space="preserve">The </w:t>
      </w:r>
      <w:r w:rsidR="0081013E">
        <w:rPr>
          <w:rFonts w:ascii="Verdana" w:hAnsi="Verdana"/>
          <w:b/>
          <w:bCs/>
        </w:rPr>
        <w:t>Commission</w:t>
      </w:r>
      <w:r w:rsidR="0081013E" w:rsidRPr="008742D9">
        <w:rPr>
          <w:rFonts w:ascii="Verdana" w:hAnsi="Verdana"/>
          <w:b/>
          <w:bCs/>
        </w:rPr>
        <w:t xml:space="preserve"> recommends that adequate resources are </w:t>
      </w:r>
      <w:r w:rsidR="0081013E" w:rsidRPr="008742D9">
        <w:rPr>
          <w:rFonts w:ascii="Verdana" w:hAnsi="Verdana"/>
          <w:b/>
          <w:bCs/>
        </w:rPr>
        <w:lastRenderedPageBreak/>
        <w:t xml:space="preserve">allocated to ensure that </w:t>
      </w:r>
      <w:r w:rsidR="0081013E">
        <w:rPr>
          <w:rFonts w:ascii="Verdana" w:hAnsi="Verdana"/>
          <w:b/>
          <w:bCs/>
        </w:rPr>
        <w:t>staff within health and social care settings</w:t>
      </w:r>
      <w:r w:rsidR="0081013E" w:rsidRPr="008742D9">
        <w:rPr>
          <w:rFonts w:ascii="Verdana" w:hAnsi="Verdana"/>
          <w:b/>
          <w:bCs/>
        </w:rPr>
        <w:t xml:space="preserve"> are </w:t>
      </w:r>
      <w:r w:rsidR="0081013E">
        <w:rPr>
          <w:rFonts w:ascii="Verdana" w:hAnsi="Verdana"/>
          <w:b/>
          <w:bCs/>
        </w:rPr>
        <w:t xml:space="preserve">adequately </w:t>
      </w:r>
      <w:r w:rsidR="0081013E" w:rsidRPr="008742D9">
        <w:rPr>
          <w:rFonts w:ascii="Verdana" w:hAnsi="Verdana"/>
          <w:b/>
          <w:bCs/>
        </w:rPr>
        <w:t xml:space="preserve">trained so that they understand the human rights implications of </w:t>
      </w:r>
      <w:r w:rsidR="0081013E">
        <w:rPr>
          <w:rFonts w:ascii="Verdana" w:hAnsi="Verdana"/>
          <w:b/>
          <w:bCs/>
        </w:rPr>
        <w:t>the use of restrictive practices, restraint and seclusion,</w:t>
      </w:r>
      <w:r w:rsidR="0081013E" w:rsidRPr="008742D9">
        <w:rPr>
          <w:rFonts w:ascii="Verdana" w:hAnsi="Verdana"/>
          <w:b/>
          <w:bCs/>
        </w:rPr>
        <w:t xml:space="preserve"> </w:t>
      </w:r>
      <w:r w:rsidR="0081013E">
        <w:rPr>
          <w:rFonts w:ascii="Verdana" w:hAnsi="Verdana"/>
          <w:b/>
          <w:bCs/>
        </w:rPr>
        <w:t>including alternative measures to minimise or avoid their use. This training should be a mandatory and regular requirement.</w:t>
      </w:r>
    </w:p>
    <w:p w14:paraId="37646C77" w14:textId="77777777" w:rsidR="00BF6048" w:rsidRDefault="00BF6048" w:rsidP="00D45316">
      <w:pPr>
        <w:pStyle w:val="BasicParagraph"/>
        <w:suppressAutoHyphens/>
        <w:ind w:left="720" w:hanging="720"/>
        <w:rPr>
          <w:rFonts w:ascii="Verdana" w:hAnsi="Verdana"/>
          <w:b/>
          <w:bCs/>
        </w:rPr>
      </w:pPr>
    </w:p>
    <w:p w14:paraId="7C7D7B41" w14:textId="77777777" w:rsidR="00B324A5" w:rsidRPr="00B8270D" w:rsidRDefault="00B324A5" w:rsidP="00B324A5">
      <w:pPr>
        <w:pStyle w:val="BasicParagraph"/>
        <w:suppressAutoHyphens/>
        <w:ind w:left="720" w:hanging="720"/>
        <w:rPr>
          <w:rFonts w:ascii="Verdana" w:hAnsi="Verdana"/>
          <w:b/>
          <w:bCs/>
          <w:color w:val="auto"/>
        </w:rPr>
      </w:pPr>
      <w:r>
        <w:rPr>
          <w:rFonts w:ascii="Verdana" w:hAnsi="Verdana"/>
          <w:b/>
          <w:bCs/>
          <w:color w:val="auto"/>
        </w:rPr>
        <w:t>4.10</w:t>
      </w:r>
      <w:r>
        <w:rPr>
          <w:rFonts w:ascii="Verdana" w:hAnsi="Verdana"/>
          <w:b/>
          <w:bCs/>
          <w:color w:val="auto"/>
        </w:rPr>
        <w:tab/>
      </w:r>
      <w:r w:rsidRPr="00B8270D">
        <w:rPr>
          <w:rFonts w:ascii="Verdana" w:hAnsi="Verdana"/>
          <w:b/>
          <w:bCs/>
          <w:color w:val="auto"/>
        </w:rPr>
        <w:t>The Commission recommends that the guidance clearly set</w:t>
      </w:r>
      <w:r>
        <w:rPr>
          <w:rFonts w:ascii="Verdana" w:hAnsi="Verdana"/>
          <w:b/>
          <w:bCs/>
          <w:color w:val="auto"/>
        </w:rPr>
        <w:t>s</w:t>
      </w:r>
      <w:r w:rsidRPr="00B8270D">
        <w:rPr>
          <w:rFonts w:ascii="Verdana" w:hAnsi="Verdana"/>
          <w:b/>
          <w:bCs/>
          <w:color w:val="auto"/>
        </w:rPr>
        <w:t xml:space="preserve"> out </w:t>
      </w:r>
      <w:r>
        <w:rPr>
          <w:rFonts w:ascii="Verdana" w:hAnsi="Verdana"/>
          <w:b/>
          <w:bCs/>
          <w:color w:val="auto"/>
        </w:rPr>
        <w:t>how and when</w:t>
      </w:r>
      <w:r w:rsidRPr="00B8270D">
        <w:rPr>
          <w:rFonts w:ascii="Verdana" w:hAnsi="Verdana"/>
          <w:b/>
          <w:bCs/>
          <w:color w:val="auto"/>
        </w:rPr>
        <w:t xml:space="preserve"> input will be proactively sought from the individual</w:t>
      </w:r>
      <w:r>
        <w:rPr>
          <w:rFonts w:ascii="Verdana" w:hAnsi="Verdana"/>
          <w:b/>
          <w:bCs/>
          <w:color w:val="auto"/>
        </w:rPr>
        <w:t xml:space="preserve"> concerned, </w:t>
      </w:r>
      <w:r w:rsidRPr="00B8270D">
        <w:rPr>
          <w:rFonts w:ascii="Verdana" w:hAnsi="Verdana"/>
          <w:b/>
          <w:bCs/>
          <w:color w:val="auto"/>
        </w:rPr>
        <w:t>family</w:t>
      </w:r>
      <w:r>
        <w:rPr>
          <w:rFonts w:ascii="Verdana" w:hAnsi="Verdana"/>
          <w:b/>
          <w:bCs/>
          <w:color w:val="auto"/>
        </w:rPr>
        <w:t xml:space="preserve"> members, </w:t>
      </w:r>
      <w:r w:rsidRPr="00B8270D">
        <w:rPr>
          <w:rFonts w:ascii="Verdana" w:hAnsi="Verdana"/>
          <w:b/>
          <w:bCs/>
          <w:color w:val="auto"/>
        </w:rPr>
        <w:t>care</w:t>
      </w:r>
      <w:r>
        <w:rPr>
          <w:rFonts w:ascii="Verdana" w:hAnsi="Verdana"/>
          <w:b/>
          <w:bCs/>
          <w:color w:val="auto"/>
        </w:rPr>
        <w:t xml:space="preserve">givers or advocates, in all consultation, decision-making and monitoring processes regarding the use and minimisation of restrictive practices. </w:t>
      </w:r>
      <w:r w:rsidRPr="00B8270D">
        <w:rPr>
          <w:rFonts w:ascii="Verdana" w:hAnsi="Verdana"/>
          <w:b/>
          <w:bCs/>
          <w:color w:val="auto"/>
        </w:rPr>
        <w:t xml:space="preserve"> </w:t>
      </w:r>
    </w:p>
    <w:p w14:paraId="36963C4D" w14:textId="77777777" w:rsidR="00BF6048" w:rsidRDefault="00BF6048" w:rsidP="007600AF">
      <w:pPr>
        <w:pStyle w:val="BasicParagraph"/>
        <w:suppressAutoHyphens/>
        <w:rPr>
          <w:rFonts w:ascii="Verdana" w:hAnsi="Verdana"/>
          <w:b/>
          <w:bCs/>
        </w:rPr>
      </w:pPr>
    </w:p>
    <w:p w14:paraId="250936FC" w14:textId="77777777" w:rsidR="003A5192" w:rsidRPr="008F527C" w:rsidRDefault="003A5192" w:rsidP="003A5192">
      <w:pPr>
        <w:pStyle w:val="BasicParagraph"/>
        <w:suppressAutoHyphens/>
        <w:ind w:left="720" w:hanging="720"/>
        <w:rPr>
          <w:rFonts w:ascii="Verdana" w:hAnsi="Verdana"/>
          <w:b/>
          <w:bCs/>
        </w:rPr>
      </w:pPr>
      <w:r>
        <w:rPr>
          <w:rFonts w:ascii="Verdana" w:hAnsi="Verdana"/>
          <w:b/>
          <w:bCs/>
        </w:rPr>
        <w:t>5.6</w:t>
      </w:r>
      <w:r>
        <w:rPr>
          <w:rFonts w:ascii="Verdana" w:hAnsi="Verdana"/>
          <w:b/>
          <w:bCs/>
        </w:rPr>
        <w:tab/>
        <w:t xml:space="preserve">The Commission recommends that, in accordance with Concluding Observations of the UN CRPD Committee, it is made explicit that practices of restraint and seclusion should not be used for reasons related to disability. </w:t>
      </w:r>
    </w:p>
    <w:p w14:paraId="3C942938" w14:textId="77777777" w:rsidR="00BF6048" w:rsidRDefault="00BF6048" w:rsidP="00D45316">
      <w:pPr>
        <w:pStyle w:val="BasicParagraph"/>
        <w:suppressAutoHyphens/>
        <w:ind w:left="720" w:hanging="720"/>
        <w:rPr>
          <w:rFonts w:ascii="Verdana" w:hAnsi="Verdana"/>
          <w:b/>
          <w:bCs/>
        </w:rPr>
      </w:pPr>
    </w:p>
    <w:p w14:paraId="67B1B130" w14:textId="77777777" w:rsidR="00C537D7" w:rsidRPr="00D32897" w:rsidRDefault="00C537D7" w:rsidP="00C537D7">
      <w:pPr>
        <w:pStyle w:val="BasicParagraph"/>
        <w:suppressAutoHyphens/>
        <w:ind w:left="720" w:hanging="720"/>
        <w:rPr>
          <w:rFonts w:ascii="Verdana" w:hAnsi="Verdana"/>
          <w:b/>
          <w:bCs/>
        </w:rPr>
      </w:pPr>
      <w:r>
        <w:rPr>
          <w:rFonts w:ascii="Verdana" w:hAnsi="Verdana"/>
          <w:b/>
          <w:bCs/>
        </w:rPr>
        <w:t>5</w:t>
      </w:r>
      <w:r w:rsidRPr="005A1D09">
        <w:rPr>
          <w:rFonts w:ascii="Verdana" w:hAnsi="Verdana"/>
          <w:b/>
          <w:bCs/>
        </w:rPr>
        <w:t>.1</w:t>
      </w:r>
      <w:r>
        <w:rPr>
          <w:rFonts w:ascii="Verdana" w:hAnsi="Verdana"/>
          <w:b/>
          <w:bCs/>
        </w:rPr>
        <w:t>1</w:t>
      </w:r>
      <w:r w:rsidRPr="005A1D09">
        <w:rPr>
          <w:rFonts w:ascii="Verdana" w:hAnsi="Verdana"/>
          <w:b/>
          <w:bCs/>
        </w:rPr>
        <w:tab/>
      </w:r>
      <w:r>
        <w:rPr>
          <w:rFonts w:ascii="Verdana" w:hAnsi="Verdana"/>
          <w:b/>
          <w:bCs/>
        </w:rPr>
        <w:t xml:space="preserve">The Commission recommends that specialised guidance is produced for the use of restrictive practices for children and young people, which makes it explicit that only techniques proven to be safe for children </w:t>
      </w:r>
      <w:r w:rsidRPr="0024469B">
        <w:rPr>
          <w:rFonts w:ascii="Verdana" w:hAnsi="Verdana"/>
          <w:b/>
          <w:bCs/>
        </w:rPr>
        <w:t>should</w:t>
      </w:r>
      <w:r>
        <w:rPr>
          <w:rFonts w:ascii="Verdana" w:hAnsi="Verdana"/>
          <w:b/>
          <w:bCs/>
        </w:rPr>
        <w:t xml:space="preserve"> </w:t>
      </w:r>
      <w:r w:rsidRPr="0024469B">
        <w:rPr>
          <w:rFonts w:ascii="Verdana" w:hAnsi="Verdana"/>
          <w:b/>
          <w:bCs/>
        </w:rPr>
        <w:t>be used</w:t>
      </w:r>
      <w:r>
        <w:rPr>
          <w:rFonts w:ascii="Verdana" w:hAnsi="Verdana"/>
          <w:b/>
          <w:bCs/>
        </w:rPr>
        <w:t>, and only</w:t>
      </w:r>
      <w:r w:rsidRPr="0024469B">
        <w:rPr>
          <w:rFonts w:ascii="Verdana" w:hAnsi="Verdana"/>
          <w:b/>
          <w:bCs/>
        </w:rPr>
        <w:t xml:space="preserve"> as a matter of last resort</w:t>
      </w:r>
      <w:r>
        <w:rPr>
          <w:rFonts w:ascii="Verdana" w:hAnsi="Verdana"/>
          <w:b/>
          <w:bCs/>
        </w:rPr>
        <w:t xml:space="preserve"> </w:t>
      </w:r>
      <w:r w:rsidRPr="0024469B">
        <w:rPr>
          <w:rFonts w:ascii="Verdana" w:hAnsi="Verdana"/>
          <w:b/>
          <w:bCs/>
        </w:rPr>
        <w:t>in circumstances where a child is at risk of harming themselves or someone else</w:t>
      </w:r>
      <w:r>
        <w:rPr>
          <w:rFonts w:ascii="Verdana" w:hAnsi="Verdana"/>
          <w:b/>
          <w:bCs/>
        </w:rPr>
        <w:t xml:space="preserve">, and never for disciplinary purposes. </w:t>
      </w:r>
    </w:p>
    <w:p w14:paraId="1AFE1B9E" w14:textId="77777777" w:rsidR="00BF6048" w:rsidRDefault="00BF6048" w:rsidP="00D45316">
      <w:pPr>
        <w:pStyle w:val="BasicParagraph"/>
        <w:suppressAutoHyphens/>
        <w:ind w:left="720" w:hanging="720"/>
        <w:rPr>
          <w:rFonts w:ascii="Verdana" w:hAnsi="Verdana"/>
          <w:b/>
          <w:bCs/>
        </w:rPr>
      </w:pPr>
    </w:p>
    <w:p w14:paraId="21922D7F" w14:textId="77777777" w:rsidR="00C537D7" w:rsidRPr="004F4798" w:rsidRDefault="00C537D7" w:rsidP="00C537D7">
      <w:pPr>
        <w:spacing w:after="240" w:line="276" w:lineRule="auto"/>
        <w:ind w:left="720" w:hanging="720"/>
        <w:rPr>
          <w:rFonts w:ascii="Verdana" w:hAnsi="Verdana"/>
          <w:b/>
          <w:bCs/>
        </w:rPr>
      </w:pPr>
      <w:r w:rsidRPr="00CD033E">
        <w:rPr>
          <w:rFonts w:ascii="Verdana" w:hAnsi="Verdana"/>
          <w:b/>
          <w:bCs/>
        </w:rPr>
        <w:t>6.</w:t>
      </w:r>
      <w:r>
        <w:rPr>
          <w:rFonts w:ascii="Verdana" w:hAnsi="Verdana"/>
          <w:b/>
          <w:bCs/>
        </w:rPr>
        <w:t>3</w:t>
      </w:r>
      <w:r w:rsidRPr="00CD033E">
        <w:rPr>
          <w:rFonts w:ascii="Verdana" w:hAnsi="Verdana"/>
          <w:b/>
          <w:bCs/>
        </w:rPr>
        <w:tab/>
        <w:t>The Commission recommends that Standard 6 sets out the minimum reporting requirements for the use of any restrictive practice in health and social care settings in NI. This should include:</w:t>
      </w:r>
    </w:p>
    <w:p w14:paraId="7FE82B03" w14:textId="77777777" w:rsidR="00C537D7" w:rsidRPr="004F4798" w:rsidRDefault="00C537D7" w:rsidP="00C537D7">
      <w:pPr>
        <w:pStyle w:val="ListParagraph"/>
        <w:numPr>
          <w:ilvl w:val="0"/>
          <w:numId w:val="18"/>
        </w:numPr>
        <w:spacing w:line="276" w:lineRule="auto"/>
        <w:rPr>
          <w:b/>
          <w:bCs/>
        </w:rPr>
      </w:pPr>
      <w:r w:rsidRPr="004F4798">
        <w:rPr>
          <w:b/>
          <w:bCs/>
        </w:rPr>
        <w:t xml:space="preserve">the type of restrictive practice employed </w:t>
      </w:r>
    </w:p>
    <w:p w14:paraId="08C7160B" w14:textId="77777777" w:rsidR="00C537D7" w:rsidRPr="004F4798" w:rsidRDefault="00C537D7" w:rsidP="00C537D7">
      <w:pPr>
        <w:pStyle w:val="ListParagraph"/>
        <w:numPr>
          <w:ilvl w:val="0"/>
          <w:numId w:val="18"/>
        </w:numPr>
        <w:spacing w:line="276" w:lineRule="auto"/>
        <w:rPr>
          <w:b/>
          <w:bCs/>
        </w:rPr>
      </w:pPr>
      <w:r w:rsidRPr="004F4798">
        <w:rPr>
          <w:b/>
          <w:bCs/>
        </w:rPr>
        <w:t>the date and the duration of the intervention</w:t>
      </w:r>
    </w:p>
    <w:p w14:paraId="58A55286" w14:textId="77777777" w:rsidR="00C537D7" w:rsidRPr="004F4798" w:rsidRDefault="00C537D7" w:rsidP="00C537D7">
      <w:pPr>
        <w:pStyle w:val="ListParagraph"/>
        <w:numPr>
          <w:ilvl w:val="0"/>
          <w:numId w:val="18"/>
        </w:numPr>
        <w:spacing w:line="276" w:lineRule="auto"/>
        <w:rPr>
          <w:b/>
          <w:bCs/>
        </w:rPr>
      </w:pPr>
      <w:r w:rsidRPr="004F4798">
        <w:rPr>
          <w:b/>
          <w:bCs/>
        </w:rPr>
        <w:t xml:space="preserve">the names of the staff and people involved </w:t>
      </w:r>
    </w:p>
    <w:p w14:paraId="595BD72A" w14:textId="77777777" w:rsidR="00C537D7" w:rsidRPr="004F4798" w:rsidRDefault="00C537D7" w:rsidP="00C537D7">
      <w:pPr>
        <w:pStyle w:val="ListParagraph"/>
        <w:numPr>
          <w:ilvl w:val="0"/>
          <w:numId w:val="18"/>
        </w:numPr>
        <w:spacing w:line="276" w:lineRule="auto"/>
        <w:rPr>
          <w:b/>
          <w:bCs/>
        </w:rPr>
      </w:pPr>
      <w:r w:rsidRPr="004F4798">
        <w:rPr>
          <w:b/>
          <w:bCs/>
        </w:rPr>
        <w:t xml:space="preserve">reasons for using the type of restrictive practice employed (rather than an alternative less restrictive approach) </w:t>
      </w:r>
    </w:p>
    <w:p w14:paraId="335A4318" w14:textId="77777777" w:rsidR="00C537D7" w:rsidRPr="003C4221" w:rsidRDefault="00C537D7" w:rsidP="00C537D7">
      <w:pPr>
        <w:pStyle w:val="ListParagraph"/>
        <w:numPr>
          <w:ilvl w:val="0"/>
          <w:numId w:val="18"/>
        </w:numPr>
        <w:spacing w:line="276" w:lineRule="auto"/>
        <w:rPr>
          <w:rFonts w:cs="Tahoma"/>
          <w:b/>
          <w:bCs/>
        </w:rPr>
      </w:pPr>
      <w:r w:rsidRPr="004F4798">
        <w:rPr>
          <w:b/>
          <w:bCs/>
        </w:rPr>
        <w:t xml:space="preserve">whether the person or anyone else experienced injury or distress </w:t>
      </w:r>
    </w:p>
    <w:p w14:paraId="28CCCB95" w14:textId="77777777" w:rsidR="00C537D7" w:rsidRPr="002F78C4" w:rsidRDefault="00C537D7" w:rsidP="00C537D7">
      <w:pPr>
        <w:pStyle w:val="ListParagraph"/>
        <w:numPr>
          <w:ilvl w:val="0"/>
          <w:numId w:val="18"/>
        </w:numPr>
        <w:spacing w:line="276" w:lineRule="auto"/>
        <w:rPr>
          <w:rFonts w:cs="Tahoma"/>
          <w:b/>
          <w:bCs/>
        </w:rPr>
      </w:pPr>
      <w:r>
        <w:rPr>
          <w:b/>
          <w:bCs/>
        </w:rPr>
        <w:t>the person’s views of the incident (if appropriate, through family, caregiver or advocate)</w:t>
      </w:r>
    </w:p>
    <w:p w14:paraId="217640CF" w14:textId="63CC3DFA" w:rsidR="00BF6048" w:rsidRPr="00C537D7" w:rsidRDefault="00C537D7" w:rsidP="00C537D7">
      <w:pPr>
        <w:pStyle w:val="ListParagraph"/>
        <w:numPr>
          <w:ilvl w:val="0"/>
          <w:numId w:val="18"/>
        </w:numPr>
        <w:spacing w:line="276" w:lineRule="auto"/>
        <w:rPr>
          <w:rFonts w:cs="Tahoma"/>
          <w:b/>
          <w:bCs/>
        </w:rPr>
      </w:pPr>
      <w:r>
        <w:rPr>
          <w:b/>
          <w:bCs/>
        </w:rPr>
        <w:t xml:space="preserve">what follow-up action was taken </w:t>
      </w:r>
    </w:p>
    <w:p w14:paraId="50A118D2" w14:textId="77777777" w:rsidR="00BF6048" w:rsidRDefault="00BF6048" w:rsidP="00D45316">
      <w:pPr>
        <w:pStyle w:val="BasicParagraph"/>
        <w:suppressAutoHyphens/>
        <w:ind w:left="720" w:hanging="720"/>
        <w:rPr>
          <w:rFonts w:ascii="Verdana" w:hAnsi="Verdana"/>
          <w:b/>
          <w:bCs/>
        </w:rPr>
      </w:pPr>
    </w:p>
    <w:p w14:paraId="4D8E58DE" w14:textId="77777777" w:rsidR="00C537D7" w:rsidRDefault="00C537D7" w:rsidP="00C537D7">
      <w:pPr>
        <w:pStyle w:val="BasicParagraph"/>
        <w:suppressAutoHyphens/>
        <w:ind w:left="720" w:hanging="720"/>
        <w:rPr>
          <w:rFonts w:ascii="Verdana" w:hAnsi="Verdana" w:cs="Arial"/>
          <w:b/>
          <w:bCs/>
          <w:color w:val="auto"/>
        </w:rPr>
      </w:pPr>
      <w:r>
        <w:rPr>
          <w:rFonts w:ascii="Verdana" w:hAnsi="Verdana" w:cs="Arial"/>
          <w:b/>
          <w:bCs/>
          <w:color w:val="auto"/>
        </w:rPr>
        <w:t>6.6</w:t>
      </w:r>
      <w:r>
        <w:rPr>
          <w:rFonts w:ascii="Verdana" w:hAnsi="Verdana" w:cs="Arial"/>
          <w:b/>
          <w:bCs/>
          <w:color w:val="auto"/>
        </w:rPr>
        <w:tab/>
      </w:r>
      <w:r w:rsidRPr="004F241C">
        <w:rPr>
          <w:rFonts w:ascii="Verdana" w:hAnsi="Verdana" w:cs="Arial"/>
          <w:b/>
          <w:bCs/>
          <w:color w:val="auto"/>
        </w:rPr>
        <w:t>T</w:t>
      </w:r>
      <w:r>
        <w:rPr>
          <w:rFonts w:ascii="Verdana" w:hAnsi="Verdana" w:cs="Arial"/>
          <w:b/>
          <w:bCs/>
          <w:color w:val="auto"/>
        </w:rPr>
        <w:t xml:space="preserve">he Commission recommends that the Department of Health </w:t>
      </w:r>
      <w:r>
        <w:rPr>
          <w:rFonts w:ascii="Verdana" w:hAnsi="Verdana" w:cs="Arial"/>
          <w:b/>
          <w:bCs/>
          <w:color w:val="auto"/>
        </w:rPr>
        <w:lastRenderedPageBreak/>
        <w:t xml:space="preserve">publishes an annual report on the </w:t>
      </w:r>
      <w:r w:rsidRPr="009121A4">
        <w:rPr>
          <w:rFonts w:ascii="Verdana" w:hAnsi="Verdana"/>
          <w:b/>
          <w:bCs/>
        </w:rPr>
        <w:t xml:space="preserve">use </w:t>
      </w:r>
      <w:r>
        <w:rPr>
          <w:rFonts w:ascii="Verdana" w:hAnsi="Verdana"/>
          <w:b/>
          <w:bCs/>
        </w:rPr>
        <w:t xml:space="preserve">and governance </w:t>
      </w:r>
      <w:r w:rsidRPr="009121A4">
        <w:rPr>
          <w:rFonts w:ascii="Verdana" w:hAnsi="Verdana"/>
          <w:b/>
          <w:bCs/>
        </w:rPr>
        <w:t xml:space="preserve">of </w:t>
      </w:r>
      <w:r>
        <w:rPr>
          <w:rFonts w:ascii="Verdana" w:hAnsi="Verdana"/>
          <w:b/>
          <w:bCs/>
        </w:rPr>
        <w:t xml:space="preserve">restrictive practices, </w:t>
      </w:r>
      <w:r w:rsidRPr="009121A4">
        <w:rPr>
          <w:rFonts w:ascii="Verdana" w:hAnsi="Verdana"/>
          <w:b/>
          <w:bCs/>
        </w:rPr>
        <w:t xml:space="preserve">restraint and seclusion in </w:t>
      </w:r>
      <w:r>
        <w:rPr>
          <w:rFonts w:ascii="Verdana" w:hAnsi="Verdana"/>
          <w:b/>
          <w:bCs/>
        </w:rPr>
        <w:t>health and social care settings</w:t>
      </w:r>
      <w:r w:rsidRPr="009121A4">
        <w:rPr>
          <w:rFonts w:ascii="Verdana" w:hAnsi="Verdana"/>
          <w:b/>
          <w:bCs/>
        </w:rPr>
        <w:t xml:space="preserve"> </w:t>
      </w:r>
      <w:r>
        <w:rPr>
          <w:rFonts w:ascii="Verdana" w:hAnsi="Verdana"/>
          <w:b/>
          <w:bCs/>
        </w:rPr>
        <w:t>across</w:t>
      </w:r>
      <w:r w:rsidRPr="009121A4">
        <w:rPr>
          <w:rFonts w:ascii="Verdana" w:hAnsi="Verdana"/>
          <w:b/>
          <w:bCs/>
        </w:rPr>
        <w:t xml:space="preserve"> NI</w:t>
      </w:r>
      <w:r>
        <w:rPr>
          <w:rFonts w:ascii="Verdana" w:hAnsi="Verdana"/>
          <w:b/>
          <w:bCs/>
        </w:rPr>
        <w:t xml:space="preserve">, which contains disaggregated data on the frequency and impact of the restrictive practices in use and monitors the effectiveness of minimisation strategies. </w:t>
      </w:r>
    </w:p>
    <w:p w14:paraId="4512A5F7" w14:textId="77777777" w:rsidR="00BF6048" w:rsidRDefault="00BF6048" w:rsidP="00C537D7">
      <w:pPr>
        <w:pStyle w:val="BasicParagraph"/>
        <w:suppressAutoHyphens/>
        <w:rPr>
          <w:rFonts w:ascii="Verdana" w:hAnsi="Verdana"/>
          <w:b/>
          <w:bCs/>
        </w:rPr>
      </w:pPr>
    </w:p>
    <w:p w14:paraId="77F2A0DD" w14:textId="77777777" w:rsidR="00C537D7" w:rsidRPr="00FE4B3E" w:rsidRDefault="00C537D7" w:rsidP="00C537D7">
      <w:pPr>
        <w:pStyle w:val="BasicParagraph"/>
        <w:suppressAutoHyphens/>
        <w:ind w:left="720" w:hanging="720"/>
        <w:rPr>
          <w:rFonts w:ascii="Verdana" w:hAnsi="Verdana"/>
          <w:b/>
          <w:bCs/>
        </w:rPr>
      </w:pPr>
      <w:r>
        <w:rPr>
          <w:rFonts w:ascii="Verdana" w:hAnsi="Verdana"/>
          <w:b/>
          <w:bCs/>
        </w:rPr>
        <w:t>7.3</w:t>
      </w:r>
      <w:r>
        <w:rPr>
          <w:rFonts w:ascii="Verdana" w:hAnsi="Verdana"/>
          <w:b/>
          <w:bCs/>
        </w:rPr>
        <w:tab/>
      </w:r>
      <w:r w:rsidRPr="00990BC1">
        <w:rPr>
          <w:rFonts w:ascii="Verdana" w:hAnsi="Verdana"/>
          <w:b/>
          <w:bCs/>
        </w:rPr>
        <w:t xml:space="preserve">The Commission recommends that the </w:t>
      </w:r>
      <w:r>
        <w:rPr>
          <w:rFonts w:ascii="Verdana" w:hAnsi="Verdana"/>
          <w:b/>
          <w:bCs/>
        </w:rPr>
        <w:t xml:space="preserve">guidance clearly sets out at para 11.23 that </w:t>
      </w:r>
      <w:r w:rsidRPr="00FE4B3E">
        <w:rPr>
          <w:rFonts w:ascii="Verdana" w:hAnsi="Verdana"/>
          <w:b/>
          <w:bCs/>
        </w:rPr>
        <w:t xml:space="preserve">the </w:t>
      </w:r>
      <w:r>
        <w:rPr>
          <w:rFonts w:ascii="Verdana" w:hAnsi="Verdana"/>
          <w:b/>
          <w:bCs/>
        </w:rPr>
        <w:t xml:space="preserve">seclusion </w:t>
      </w:r>
      <w:r w:rsidRPr="00FE4B3E">
        <w:rPr>
          <w:rFonts w:ascii="Verdana" w:hAnsi="Verdana"/>
          <w:b/>
          <w:bCs/>
        </w:rPr>
        <w:t xml:space="preserve">room must allow for staff to be able to continuously observe and hear the person within the designated room, and that the latter can fully see the staff member. It should be made explicit that video surveillance cannot replace staff presence. </w:t>
      </w:r>
    </w:p>
    <w:p w14:paraId="7775D83B" w14:textId="77777777" w:rsidR="00BF6048" w:rsidRDefault="00BF6048" w:rsidP="00D45316">
      <w:pPr>
        <w:pStyle w:val="BasicParagraph"/>
        <w:suppressAutoHyphens/>
        <w:ind w:left="720" w:hanging="720"/>
        <w:rPr>
          <w:rFonts w:ascii="Verdana" w:hAnsi="Verdana"/>
          <w:b/>
          <w:bCs/>
        </w:rPr>
      </w:pPr>
    </w:p>
    <w:p w14:paraId="7EF55806" w14:textId="77777777" w:rsidR="00BF6048" w:rsidRDefault="00BF6048" w:rsidP="00D45316">
      <w:pPr>
        <w:pStyle w:val="BasicParagraph"/>
        <w:suppressAutoHyphens/>
        <w:ind w:left="720" w:hanging="720"/>
        <w:rPr>
          <w:rFonts w:ascii="Verdana" w:hAnsi="Verdana"/>
          <w:b/>
          <w:bCs/>
        </w:rPr>
      </w:pPr>
    </w:p>
    <w:p w14:paraId="253EE37B" w14:textId="77777777" w:rsidR="00BF6048" w:rsidRDefault="00BF6048" w:rsidP="00D45316">
      <w:pPr>
        <w:pStyle w:val="BasicParagraph"/>
        <w:suppressAutoHyphens/>
        <w:ind w:left="720" w:hanging="720"/>
        <w:rPr>
          <w:rFonts w:ascii="Verdana" w:hAnsi="Verdana"/>
          <w:b/>
          <w:bCs/>
        </w:rPr>
      </w:pPr>
    </w:p>
    <w:p w14:paraId="78A99E8D" w14:textId="77777777" w:rsidR="00BF6048" w:rsidRDefault="00BF6048" w:rsidP="00D45316">
      <w:pPr>
        <w:pStyle w:val="BasicParagraph"/>
        <w:suppressAutoHyphens/>
        <w:ind w:left="720" w:hanging="720"/>
        <w:rPr>
          <w:rFonts w:ascii="Verdana" w:hAnsi="Verdana"/>
          <w:b/>
          <w:bCs/>
        </w:rPr>
      </w:pPr>
    </w:p>
    <w:p w14:paraId="1E348242" w14:textId="77777777" w:rsidR="00BF6048" w:rsidRDefault="00BF6048" w:rsidP="00D45316">
      <w:pPr>
        <w:pStyle w:val="BasicParagraph"/>
        <w:suppressAutoHyphens/>
        <w:ind w:left="720" w:hanging="720"/>
        <w:rPr>
          <w:rFonts w:ascii="Verdana" w:hAnsi="Verdana"/>
          <w:b/>
          <w:bCs/>
        </w:rPr>
      </w:pPr>
    </w:p>
    <w:p w14:paraId="5F75DB57" w14:textId="77777777" w:rsidR="00BF6048" w:rsidRDefault="00BF6048" w:rsidP="00D45316">
      <w:pPr>
        <w:pStyle w:val="BasicParagraph"/>
        <w:suppressAutoHyphens/>
        <w:ind w:left="720" w:hanging="720"/>
        <w:rPr>
          <w:rFonts w:ascii="Verdana" w:hAnsi="Verdana"/>
          <w:b/>
          <w:bCs/>
        </w:rPr>
      </w:pPr>
    </w:p>
    <w:p w14:paraId="476C8FBE" w14:textId="77777777" w:rsidR="00BF6048" w:rsidRDefault="00BF6048" w:rsidP="00D45316">
      <w:pPr>
        <w:pStyle w:val="BasicParagraph"/>
        <w:suppressAutoHyphens/>
        <w:ind w:left="720" w:hanging="720"/>
        <w:rPr>
          <w:rFonts w:ascii="Verdana" w:hAnsi="Verdana"/>
          <w:b/>
          <w:bCs/>
        </w:rPr>
      </w:pPr>
    </w:p>
    <w:p w14:paraId="2AD33E85" w14:textId="77777777" w:rsidR="00BF6048" w:rsidRDefault="00BF6048" w:rsidP="00D45316">
      <w:pPr>
        <w:pStyle w:val="BasicParagraph"/>
        <w:suppressAutoHyphens/>
        <w:ind w:left="720" w:hanging="720"/>
        <w:rPr>
          <w:rFonts w:ascii="Verdana" w:hAnsi="Verdana"/>
          <w:b/>
          <w:bCs/>
        </w:rPr>
      </w:pPr>
    </w:p>
    <w:p w14:paraId="05124DA3" w14:textId="77777777" w:rsidR="00BF6048" w:rsidRDefault="00BF6048" w:rsidP="00D45316">
      <w:pPr>
        <w:pStyle w:val="BasicParagraph"/>
        <w:suppressAutoHyphens/>
        <w:ind w:left="720" w:hanging="720"/>
        <w:rPr>
          <w:rFonts w:ascii="Verdana" w:hAnsi="Verdana"/>
          <w:b/>
          <w:bCs/>
        </w:rPr>
      </w:pPr>
    </w:p>
    <w:p w14:paraId="2A39071C" w14:textId="77777777" w:rsidR="00BF6048" w:rsidRDefault="00BF6048" w:rsidP="00D45316">
      <w:pPr>
        <w:pStyle w:val="BasicParagraph"/>
        <w:suppressAutoHyphens/>
        <w:ind w:left="720" w:hanging="720"/>
        <w:rPr>
          <w:rFonts w:ascii="Verdana" w:hAnsi="Verdana"/>
          <w:b/>
          <w:bCs/>
        </w:rPr>
      </w:pPr>
    </w:p>
    <w:p w14:paraId="68D28D0B" w14:textId="77777777" w:rsidR="00BF6048" w:rsidRDefault="00BF6048" w:rsidP="00D45316">
      <w:pPr>
        <w:pStyle w:val="BasicParagraph"/>
        <w:suppressAutoHyphens/>
        <w:ind w:left="720" w:hanging="720"/>
        <w:rPr>
          <w:rFonts w:ascii="Verdana" w:hAnsi="Verdana"/>
          <w:b/>
          <w:bCs/>
        </w:rPr>
      </w:pPr>
    </w:p>
    <w:p w14:paraId="7079D0F6" w14:textId="77777777" w:rsidR="00BF6048" w:rsidRDefault="00BF6048" w:rsidP="00D45316">
      <w:pPr>
        <w:pStyle w:val="BasicParagraph"/>
        <w:suppressAutoHyphens/>
        <w:ind w:left="720" w:hanging="720"/>
        <w:rPr>
          <w:rFonts w:ascii="Verdana" w:hAnsi="Verdana"/>
          <w:b/>
          <w:bCs/>
        </w:rPr>
      </w:pPr>
    </w:p>
    <w:p w14:paraId="0C5251C6" w14:textId="77777777" w:rsidR="00BF6048" w:rsidRDefault="00BF6048" w:rsidP="00D45316">
      <w:pPr>
        <w:pStyle w:val="BasicParagraph"/>
        <w:suppressAutoHyphens/>
        <w:ind w:left="720" w:hanging="720"/>
        <w:rPr>
          <w:rFonts w:ascii="Verdana" w:hAnsi="Verdana"/>
          <w:b/>
          <w:bCs/>
        </w:rPr>
      </w:pPr>
    </w:p>
    <w:p w14:paraId="4D17DBB1" w14:textId="77777777" w:rsidR="00BF6048" w:rsidRDefault="00BF6048" w:rsidP="00D45316">
      <w:pPr>
        <w:pStyle w:val="BasicParagraph"/>
        <w:suppressAutoHyphens/>
        <w:ind w:left="720" w:hanging="720"/>
        <w:rPr>
          <w:rFonts w:ascii="Verdana" w:hAnsi="Verdana"/>
          <w:b/>
          <w:bCs/>
        </w:rPr>
      </w:pPr>
    </w:p>
    <w:p w14:paraId="2753E913" w14:textId="77777777" w:rsidR="00BF6048" w:rsidRDefault="00BF6048" w:rsidP="00D45316">
      <w:pPr>
        <w:pStyle w:val="BasicParagraph"/>
        <w:suppressAutoHyphens/>
        <w:ind w:left="720" w:hanging="720"/>
        <w:rPr>
          <w:rFonts w:ascii="Verdana" w:hAnsi="Verdana"/>
          <w:b/>
          <w:bCs/>
        </w:rPr>
      </w:pPr>
    </w:p>
    <w:p w14:paraId="59213439" w14:textId="77777777" w:rsidR="00BF6048" w:rsidRDefault="00BF6048" w:rsidP="00D45316">
      <w:pPr>
        <w:pStyle w:val="BasicParagraph"/>
        <w:suppressAutoHyphens/>
        <w:ind w:left="720" w:hanging="720"/>
        <w:rPr>
          <w:rFonts w:ascii="Verdana" w:hAnsi="Verdana"/>
          <w:b/>
          <w:bCs/>
        </w:rPr>
      </w:pPr>
    </w:p>
    <w:p w14:paraId="69DD62FE" w14:textId="77777777" w:rsidR="00BF6048" w:rsidRDefault="00BF6048" w:rsidP="00D45316">
      <w:pPr>
        <w:pStyle w:val="BasicParagraph"/>
        <w:suppressAutoHyphens/>
        <w:ind w:left="720" w:hanging="720"/>
        <w:rPr>
          <w:rFonts w:ascii="Verdana" w:hAnsi="Verdana"/>
          <w:b/>
          <w:bCs/>
        </w:rPr>
      </w:pPr>
    </w:p>
    <w:p w14:paraId="6D2BA6E0" w14:textId="77777777" w:rsidR="00BF6048" w:rsidRDefault="00BF6048" w:rsidP="00D45316">
      <w:pPr>
        <w:pStyle w:val="BasicParagraph"/>
        <w:suppressAutoHyphens/>
        <w:ind w:left="720" w:hanging="720"/>
        <w:rPr>
          <w:rFonts w:ascii="Verdana" w:hAnsi="Verdana"/>
          <w:b/>
          <w:bCs/>
        </w:rPr>
      </w:pPr>
    </w:p>
    <w:p w14:paraId="3EADE233" w14:textId="77777777" w:rsidR="00E27C56" w:rsidRDefault="00E27C56" w:rsidP="00D45316">
      <w:pPr>
        <w:pStyle w:val="BasicParagraph"/>
        <w:suppressAutoHyphens/>
        <w:ind w:left="720" w:hanging="720"/>
        <w:rPr>
          <w:rFonts w:ascii="Verdana" w:hAnsi="Verdana"/>
          <w:b/>
          <w:bCs/>
        </w:rPr>
      </w:pPr>
    </w:p>
    <w:p w14:paraId="2FCB9E10" w14:textId="77777777" w:rsidR="00E27C56" w:rsidRDefault="00E27C56" w:rsidP="00D45316">
      <w:pPr>
        <w:pStyle w:val="BasicParagraph"/>
        <w:suppressAutoHyphens/>
        <w:ind w:left="720" w:hanging="720"/>
        <w:rPr>
          <w:rFonts w:ascii="Verdana" w:hAnsi="Verdana"/>
          <w:b/>
          <w:bCs/>
        </w:rPr>
      </w:pPr>
    </w:p>
    <w:p w14:paraId="317B95FE" w14:textId="77777777" w:rsidR="00E27C56" w:rsidRDefault="00E27C56" w:rsidP="00D45316">
      <w:pPr>
        <w:pStyle w:val="BasicParagraph"/>
        <w:suppressAutoHyphens/>
        <w:ind w:left="720" w:hanging="720"/>
        <w:rPr>
          <w:rFonts w:ascii="Verdana" w:hAnsi="Verdana"/>
          <w:b/>
          <w:bCs/>
        </w:rPr>
      </w:pPr>
    </w:p>
    <w:p w14:paraId="6D36045E" w14:textId="4F465F0E" w:rsidR="00E27C56" w:rsidRDefault="00E27C56" w:rsidP="00D45316">
      <w:pPr>
        <w:pStyle w:val="BasicParagraph"/>
        <w:suppressAutoHyphens/>
        <w:ind w:left="720" w:hanging="720"/>
        <w:rPr>
          <w:rFonts w:ascii="Verdana" w:hAnsi="Verdana"/>
          <w:b/>
          <w:bCs/>
        </w:rPr>
      </w:pPr>
    </w:p>
    <w:p w14:paraId="59B971A7" w14:textId="3A49FE24" w:rsidR="00C537D7" w:rsidRDefault="00C537D7" w:rsidP="00D45316">
      <w:pPr>
        <w:pStyle w:val="BasicParagraph"/>
        <w:suppressAutoHyphens/>
        <w:ind w:left="720" w:hanging="720"/>
        <w:rPr>
          <w:rFonts w:ascii="Verdana" w:hAnsi="Verdana"/>
          <w:b/>
          <w:bCs/>
        </w:rPr>
      </w:pPr>
    </w:p>
    <w:p w14:paraId="43A78930" w14:textId="0D46D5AD" w:rsidR="00C537D7" w:rsidRDefault="00C537D7" w:rsidP="00D45316">
      <w:pPr>
        <w:pStyle w:val="BasicParagraph"/>
        <w:suppressAutoHyphens/>
        <w:ind w:left="720" w:hanging="720"/>
        <w:rPr>
          <w:rFonts w:ascii="Verdana" w:hAnsi="Verdana"/>
          <w:b/>
          <w:bCs/>
        </w:rPr>
      </w:pPr>
    </w:p>
    <w:p w14:paraId="717FFC27" w14:textId="55F947BF" w:rsidR="00C537D7" w:rsidRDefault="00C537D7" w:rsidP="00D45316">
      <w:pPr>
        <w:pStyle w:val="BasicParagraph"/>
        <w:suppressAutoHyphens/>
        <w:ind w:left="720" w:hanging="720"/>
        <w:rPr>
          <w:rFonts w:ascii="Verdana" w:hAnsi="Verdana"/>
          <w:b/>
          <w:bCs/>
        </w:rPr>
      </w:pPr>
    </w:p>
    <w:p w14:paraId="574253A9" w14:textId="26905C1A" w:rsidR="00C537D7" w:rsidRDefault="00C537D7" w:rsidP="00D45316">
      <w:pPr>
        <w:pStyle w:val="BasicParagraph"/>
        <w:suppressAutoHyphens/>
        <w:ind w:left="720" w:hanging="720"/>
        <w:rPr>
          <w:rFonts w:ascii="Verdana" w:hAnsi="Verdana"/>
          <w:b/>
          <w:bCs/>
        </w:rPr>
      </w:pPr>
    </w:p>
    <w:p w14:paraId="0B2A25E5" w14:textId="6AFC6A80" w:rsidR="00C537D7" w:rsidRDefault="00C537D7" w:rsidP="00D45316">
      <w:pPr>
        <w:pStyle w:val="BasicParagraph"/>
        <w:suppressAutoHyphens/>
        <w:ind w:left="720" w:hanging="720"/>
        <w:rPr>
          <w:rFonts w:ascii="Verdana" w:hAnsi="Verdana"/>
          <w:b/>
          <w:bCs/>
        </w:rPr>
      </w:pPr>
    </w:p>
    <w:p w14:paraId="05EED82E" w14:textId="07E22FBE" w:rsidR="00BF6048" w:rsidRPr="00B74DF7" w:rsidRDefault="00B324A5" w:rsidP="00B74DF7">
      <w:pPr>
        <w:rPr>
          <w:rFonts w:ascii="Verdana" w:hAnsi="Verdana" w:cs="MinionPro-Regular"/>
          <w:b/>
          <w:bCs/>
          <w:color w:val="000000"/>
        </w:rPr>
      </w:pPr>
      <w:r>
        <w:rPr>
          <w:rFonts w:ascii="Verdana" w:hAnsi="Verdana"/>
          <w:b/>
          <w:bCs/>
        </w:rPr>
        <w:br w:type="page"/>
      </w:r>
    </w:p>
    <w:p w14:paraId="18A1EBFB" w14:textId="446932C3" w:rsidR="008208CB" w:rsidRPr="00B74DF7" w:rsidRDefault="00C16D3B" w:rsidP="00B74DF7">
      <w:pPr>
        <w:pStyle w:val="BasicParagraph"/>
        <w:numPr>
          <w:ilvl w:val="0"/>
          <w:numId w:val="19"/>
        </w:numPr>
        <w:suppressAutoHyphens/>
        <w:rPr>
          <w:rFonts w:ascii="Verdana" w:hAnsi="Verdana" w:cs="Arial"/>
          <w:b/>
          <w:color w:val="77328A"/>
          <w:sz w:val="30"/>
          <w:szCs w:val="30"/>
        </w:rPr>
      </w:pPr>
      <w:r>
        <w:rPr>
          <w:rFonts w:ascii="Verdana" w:hAnsi="Verdana" w:cs="Arial"/>
          <w:b/>
          <w:color w:val="77328A"/>
          <w:sz w:val="30"/>
          <w:szCs w:val="30"/>
        </w:rPr>
        <w:lastRenderedPageBreak/>
        <w:t>Introduction</w:t>
      </w:r>
    </w:p>
    <w:p w14:paraId="0CFCE8EC" w14:textId="78A92A49" w:rsidR="00C16D3B" w:rsidRPr="00C16D3B" w:rsidRDefault="00C16D3B" w:rsidP="00B9378E">
      <w:pPr>
        <w:pStyle w:val="BasicParagraph"/>
        <w:suppressAutoHyphens/>
        <w:ind w:left="720" w:hanging="720"/>
        <w:rPr>
          <w:rFonts w:ascii="Verdana" w:hAnsi="Verdana"/>
        </w:rPr>
      </w:pPr>
      <w:r w:rsidRPr="00C16D3B">
        <w:rPr>
          <w:rFonts w:ascii="Verdana" w:hAnsi="Verdana"/>
        </w:rPr>
        <w:t>1.1</w:t>
      </w:r>
      <w:r>
        <w:rPr>
          <w:rFonts w:ascii="Verdana" w:hAnsi="Verdana"/>
        </w:rPr>
        <w:tab/>
      </w:r>
      <w:r w:rsidRPr="00C16D3B">
        <w:rPr>
          <w:rFonts w:ascii="Verdana" w:hAnsi="Verdana"/>
        </w:rPr>
        <w:t xml:space="preserve">The Northern Ireland Human Rights Commission (the </w:t>
      </w:r>
      <w:r w:rsidR="00DA4C97">
        <w:rPr>
          <w:rFonts w:ascii="Verdana" w:hAnsi="Verdana"/>
        </w:rPr>
        <w:t>Commission</w:t>
      </w:r>
      <w:r w:rsidRPr="00C16D3B">
        <w:rPr>
          <w:rFonts w:ascii="Verdana" w:hAnsi="Verdana"/>
        </w:rPr>
        <w:t xml:space="preserve">), pursuant to Section 69(1) the Northern Ireland Act 1998, reviews the adequacy and effectiveness of law and practice relating to the protection of human rights in Northern Ireland (NI). In accordance with this function, the </w:t>
      </w:r>
      <w:r w:rsidR="00931243">
        <w:rPr>
          <w:rFonts w:ascii="Verdana" w:hAnsi="Verdana"/>
        </w:rPr>
        <w:t>Commission</w:t>
      </w:r>
      <w:r w:rsidR="00931243" w:rsidRPr="00C16D3B">
        <w:rPr>
          <w:rFonts w:ascii="Verdana" w:hAnsi="Verdana"/>
        </w:rPr>
        <w:t xml:space="preserve"> </w:t>
      </w:r>
      <w:r w:rsidRPr="00C16D3B">
        <w:rPr>
          <w:rFonts w:ascii="Verdana" w:hAnsi="Verdana"/>
        </w:rPr>
        <w:t xml:space="preserve">provides this submission to the </w:t>
      </w:r>
      <w:r w:rsidR="00B9378E">
        <w:rPr>
          <w:rFonts w:ascii="Verdana" w:hAnsi="Verdana"/>
        </w:rPr>
        <w:t>Department of Health</w:t>
      </w:r>
      <w:r w:rsidRPr="00C16D3B">
        <w:rPr>
          <w:rFonts w:ascii="Verdana" w:hAnsi="Verdana"/>
        </w:rPr>
        <w:t xml:space="preserve"> </w:t>
      </w:r>
      <w:r w:rsidR="00B9378E">
        <w:rPr>
          <w:rFonts w:ascii="Verdana" w:hAnsi="Verdana"/>
        </w:rPr>
        <w:t xml:space="preserve">in relation to the </w:t>
      </w:r>
      <w:r w:rsidR="00B9378E" w:rsidRPr="00B9378E">
        <w:rPr>
          <w:rFonts w:ascii="Verdana" w:hAnsi="Verdana"/>
        </w:rPr>
        <w:t>public consultation on the draft Regional Policy on the Use of Restrictive Practices in Health and Social Care Settings and Regional Operational Procedure for the Use of Seclusion.</w:t>
      </w:r>
      <w:r w:rsidRPr="00C16D3B">
        <w:rPr>
          <w:rFonts w:ascii="Verdana" w:hAnsi="Verdana"/>
        </w:rPr>
        <w:t xml:space="preserve"> </w:t>
      </w:r>
    </w:p>
    <w:p w14:paraId="5D80552A" w14:textId="77777777" w:rsidR="00C16D3B" w:rsidRPr="00C16D3B" w:rsidRDefault="00C16D3B" w:rsidP="00331C61">
      <w:pPr>
        <w:pStyle w:val="BasicParagraph"/>
        <w:suppressAutoHyphens/>
        <w:rPr>
          <w:rFonts w:ascii="Verdana" w:hAnsi="Verdana"/>
        </w:rPr>
      </w:pPr>
    </w:p>
    <w:p w14:paraId="1F500546" w14:textId="0CC8386B" w:rsidR="00C16D3B" w:rsidRDefault="00C16D3B" w:rsidP="00C16D3B">
      <w:pPr>
        <w:pStyle w:val="BasicParagraph"/>
        <w:suppressAutoHyphens/>
        <w:ind w:left="720" w:hanging="720"/>
        <w:rPr>
          <w:rFonts w:ascii="Verdana" w:hAnsi="Verdana"/>
        </w:rPr>
      </w:pPr>
      <w:r w:rsidRPr="00C16D3B">
        <w:rPr>
          <w:rFonts w:ascii="Verdana" w:hAnsi="Verdana"/>
        </w:rPr>
        <w:t>1.2</w:t>
      </w:r>
      <w:r>
        <w:rPr>
          <w:rFonts w:ascii="Verdana" w:hAnsi="Verdana"/>
        </w:rPr>
        <w:tab/>
        <w:t>T</w:t>
      </w:r>
      <w:r w:rsidRPr="00C16D3B">
        <w:rPr>
          <w:rFonts w:ascii="Verdana" w:hAnsi="Verdana"/>
        </w:rPr>
        <w:t xml:space="preserve">he </w:t>
      </w:r>
      <w:r w:rsidR="00BA7E18">
        <w:rPr>
          <w:rFonts w:ascii="Verdana" w:hAnsi="Verdana"/>
        </w:rPr>
        <w:t>Commission</w:t>
      </w:r>
      <w:r w:rsidRPr="00C16D3B">
        <w:rPr>
          <w:rFonts w:ascii="Verdana" w:hAnsi="Verdana"/>
        </w:rPr>
        <w:t xml:space="preserve"> bases its advice on the full range of internationally accepted human rights standards, including the European Convention on Human Rights, as incorporated by the Human Rights Act 1998, and the treaty obligations of the Council of Europe (</w:t>
      </w:r>
      <w:proofErr w:type="spellStart"/>
      <w:r w:rsidRPr="00C16D3B">
        <w:rPr>
          <w:rFonts w:ascii="Verdana" w:hAnsi="Verdana"/>
        </w:rPr>
        <w:t>CoE</w:t>
      </w:r>
      <w:proofErr w:type="spellEnd"/>
      <w:r w:rsidRPr="00C16D3B">
        <w:rPr>
          <w:rFonts w:ascii="Verdana" w:hAnsi="Verdana"/>
        </w:rPr>
        <w:t>) and United Nations (UN). The relevant regional and international treaties in this context include:</w:t>
      </w:r>
    </w:p>
    <w:p w14:paraId="5BE7202D" w14:textId="77777777" w:rsidR="00C16D3B" w:rsidRPr="00C16D3B" w:rsidRDefault="00C16D3B" w:rsidP="00C16D3B">
      <w:pPr>
        <w:pStyle w:val="BasicParagraph"/>
        <w:suppressAutoHyphens/>
        <w:ind w:left="720" w:hanging="720"/>
        <w:rPr>
          <w:rFonts w:ascii="Verdana" w:hAnsi="Verdana"/>
        </w:rPr>
      </w:pPr>
      <w:r w:rsidRPr="00C16D3B">
        <w:rPr>
          <w:rFonts w:ascii="Verdana" w:hAnsi="Verdana"/>
        </w:rPr>
        <w:t xml:space="preserve"> </w:t>
      </w:r>
    </w:p>
    <w:p w14:paraId="4CCA3EB4" w14:textId="77777777" w:rsidR="00C16D3B" w:rsidRPr="00C16D3B" w:rsidRDefault="00C16D3B" w:rsidP="00C16D3B">
      <w:pPr>
        <w:pStyle w:val="BasicParagraph"/>
        <w:numPr>
          <w:ilvl w:val="0"/>
          <w:numId w:val="8"/>
        </w:numPr>
        <w:suppressAutoHyphens/>
        <w:rPr>
          <w:rFonts w:ascii="Verdana" w:hAnsi="Verdana"/>
        </w:rPr>
      </w:pPr>
      <w:r w:rsidRPr="00C16D3B">
        <w:rPr>
          <w:rFonts w:ascii="Verdana" w:hAnsi="Verdana"/>
        </w:rPr>
        <w:t>European Convention on Human Rights 1950 (ECHR);</w:t>
      </w:r>
      <w:r>
        <w:rPr>
          <w:rStyle w:val="FootnoteReference"/>
          <w:rFonts w:ascii="Verdana" w:hAnsi="Verdana"/>
        </w:rPr>
        <w:footnoteReference w:id="2"/>
      </w:r>
      <w:r w:rsidRPr="00C16D3B">
        <w:rPr>
          <w:rFonts w:ascii="Verdana" w:hAnsi="Verdana"/>
        </w:rPr>
        <w:t xml:space="preserve"> </w:t>
      </w:r>
    </w:p>
    <w:p w14:paraId="05D46FDD" w14:textId="77777777" w:rsidR="00C16D3B" w:rsidRPr="00C16D3B" w:rsidRDefault="00C16D3B" w:rsidP="00C16D3B">
      <w:pPr>
        <w:pStyle w:val="BasicParagraph"/>
        <w:numPr>
          <w:ilvl w:val="0"/>
          <w:numId w:val="8"/>
        </w:numPr>
        <w:suppressAutoHyphens/>
        <w:rPr>
          <w:rFonts w:ascii="Verdana" w:hAnsi="Verdana"/>
        </w:rPr>
      </w:pPr>
      <w:r w:rsidRPr="00C16D3B">
        <w:rPr>
          <w:rFonts w:ascii="Verdana" w:hAnsi="Verdana"/>
        </w:rPr>
        <w:t>UN International Covenant on Civil and Political Rights 1966 (UN ICCPR);</w:t>
      </w:r>
      <w:r>
        <w:rPr>
          <w:rStyle w:val="FootnoteReference"/>
          <w:rFonts w:ascii="Verdana" w:hAnsi="Verdana"/>
        </w:rPr>
        <w:footnoteReference w:id="3"/>
      </w:r>
    </w:p>
    <w:p w14:paraId="41D4170D" w14:textId="77777777" w:rsidR="00C16D3B" w:rsidRPr="00C16D3B" w:rsidRDefault="00C16D3B" w:rsidP="00C16D3B">
      <w:pPr>
        <w:pStyle w:val="BasicParagraph"/>
        <w:numPr>
          <w:ilvl w:val="0"/>
          <w:numId w:val="8"/>
        </w:numPr>
        <w:suppressAutoHyphens/>
        <w:rPr>
          <w:rFonts w:ascii="Verdana" w:hAnsi="Verdana"/>
        </w:rPr>
      </w:pPr>
      <w:r w:rsidRPr="00C16D3B">
        <w:rPr>
          <w:rFonts w:ascii="Verdana" w:hAnsi="Verdana"/>
        </w:rPr>
        <w:t>UN International Covenant on Economic, Social and Cultural Rights 1966 (UN ICESCR);</w:t>
      </w:r>
      <w:r>
        <w:rPr>
          <w:rStyle w:val="FootnoteReference"/>
          <w:rFonts w:ascii="Verdana" w:hAnsi="Verdana"/>
        </w:rPr>
        <w:footnoteReference w:id="4"/>
      </w:r>
      <w:r w:rsidRPr="00C16D3B">
        <w:rPr>
          <w:rFonts w:ascii="Verdana" w:hAnsi="Verdana"/>
        </w:rPr>
        <w:t xml:space="preserve"> </w:t>
      </w:r>
    </w:p>
    <w:p w14:paraId="0085162F" w14:textId="77777777" w:rsidR="00C16D3B" w:rsidRPr="00C16D3B" w:rsidRDefault="00C16D3B" w:rsidP="00C16D3B">
      <w:pPr>
        <w:pStyle w:val="BasicParagraph"/>
        <w:numPr>
          <w:ilvl w:val="0"/>
          <w:numId w:val="8"/>
        </w:numPr>
        <w:suppressAutoHyphens/>
        <w:rPr>
          <w:rFonts w:ascii="Verdana" w:hAnsi="Verdana"/>
        </w:rPr>
      </w:pPr>
      <w:r w:rsidRPr="00C16D3B">
        <w:rPr>
          <w:rFonts w:ascii="Verdana" w:hAnsi="Verdana"/>
        </w:rPr>
        <w:t>UN Convention Against Torture 1984 (UN CAT);</w:t>
      </w:r>
      <w:r>
        <w:rPr>
          <w:rStyle w:val="FootnoteReference"/>
          <w:rFonts w:ascii="Verdana" w:hAnsi="Verdana"/>
        </w:rPr>
        <w:footnoteReference w:id="5"/>
      </w:r>
    </w:p>
    <w:p w14:paraId="0CB0AEFE" w14:textId="77777777" w:rsidR="00C16D3B" w:rsidRPr="00C16D3B" w:rsidRDefault="00C16D3B" w:rsidP="00C16D3B">
      <w:pPr>
        <w:pStyle w:val="BasicParagraph"/>
        <w:numPr>
          <w:ilvl w:val="0"/>
          <w:numId w:val="8"/>
        </w:numPr>
        <w:suppressAutoHyphens/>
        <w:rPr>
          <w:rFonts w:ascii="Verdana" w:hAnsi="Verdana"/>
        </w:rPr>
      </w:pPr>
      <w:r w:rsidRPr="00C16D3B">
        <w:rPr>
          <w:rFonts w:ascii="Verdana" w:hAnsi="Verdana"/>
        </w:rPr>
        <w:t>UN Convention on the Rights of the Child 1989 (UN CRC);</w:t>
      </w:r>
      <w:r>
        <w:rPr>
          <w:rStyle w:val="FootnoteReference"/>
          <w:rFonts w:ascii="Verdana" w:hAnsi="Verdana"/>
        </w:rPr>
        <w:footnoteReference w:id="6"/>
      </w:r>
      <w:r w:rsidRPr="00C16D3B">
        <w:rPr>
          <w:rFonts w:ascii="Verdana" w:hAnsi="Verdana"/>
        </w:rPr>
        <w:t xml:space="preserve"> </w:t>
      </w:r>
    </w:p>
    <w:p w14:paraId="7135F64D" w14:textId="77777777" w:rsidR="00C16D3B" w:rsidRPr="00C16D3B" w:rsidRDefault="00C16D3B" w:rsidP="00C16D3B">
      <w:pPr>
        <w:pStyle w:val="BasicParagraph"/>
        <w:numPr>
          <w:ilvl w:val="0"/>
          <w:numId w:val="8"/>
        </w:numPr>
        <w:suppressAutoHyphens/>
        <w:rPr>
          <w:rFonts w:ascii="Verdana" w:hAnsi="Verdana"/>
        </w:rPr>
      </w:pPr>
      <w:r w:rsidRPr="00C16D3B">
        <w:rPr>
          <w:rFonts w:ascii="Verdana" w:hAnsi="Verdana"/>
        </w:rPr>
        <w:t>UN Convention on the Rights of Persons with Disabilities 2006 (UN CRPD);</w:t>
      </w:r>
      <w:r>
        <w:rPr>
          <w:rStyle w:val="FootnoteReference"/>
          <w:rFonts w:ascii="Verdana" w:hAnsi="Verdana"/>
        </w:rPr>
        <w:footnoteReference w:id="7"/>
      </w:r>
    </w:p>
    <w:p w14:paraId="3E36DDDF" w14:textId="77777777" w:rsidR="00C16D3B" w:rsidRPr="00C16D3B" w:rsidRDefault="00C16D3B" w:rsidP="00331C61">
      <w:pPr>
        <w:pStyle w:val="BasicParagraph"/>
        <w:suppressAutoHyphens/>
        <w:rPr>
          <w:rFonts w:ascii="Verdana" w:hAnsi="Verdana"/>
        </w:rPr>
      </w:pPr>
    </w:p>
    <w:p w14:paraId="59EA99D7" w14:textId="77777777" w:rsidR="00C16D3B" w:rsidRDefault="00C16D3B" w:rsidP="00C16D3B">
      <w:pPr>
        <w:pStyle w:val="BasicParagraph"/>
        <w:suppressAutoHyphens/>
        <w:ind w:left="720" w:hanging="720"/>
        <w:rPr>
          <w:rFonts w:ascii="Verdana" w:hAnsi="Verdana"/>
        </w:rPr>
      </w:pPr>
      <w:r w:rsidRPr="00C16D3B">
        <w:rPr>
          <w:rFonts w:ascii="Verdana" w:hAnsi="Verdana"/>
        </w:rPr>
        <w:t>1.3</w:t>
      </w:r>
      <w:r>
        <w:rPr>
          <w:rFonts w:ascii="Verdana" w:hAnsi="Verdana"/>
        </w:rPr>
        <w:tab/>
      </w:r>
      <w:r w:rsidRPr="00C16D3B">
        <w:rPr>
          <w:rFonts w:ascii="Verdana" w:hAnsi="Verdana"/>
        </w:rPr>
        <w:t xml:space="preserve">In addition to these treaty standards, there exists a body of ‘soft law’ developed by the human rights bodies of the </w:t>
      </w:r>
      <w:proofErr w:type="spellStart"/>
      <w:r w:rsidRPr="00C16D3B">
        <w:rPr>
          <w:rFonts w:ascii="Verdana" w:hAnsi="Verdana"/>
        </w:rPr>
        <w:t>CoE</w:t>
      </w:r>
      <w:proofErr w:type="spellEnd"/>
      <w:r w:rsidRPr="00C16D3B">
        <w:rPr>
          <w:rFonts w:ascii="Verdana" w:hAnsi="Verdana"/>
        </w:rPr>
        <w:t xml:space="preserve"> and UN. These declarations and principles are non-binding,</w:t>
      </w:r>
      <w:r w:rsidR="00F241CE">
        <w:rPr>
          <w:rFonts w:ascii="Verdana" w:hAnsi="Verdana"/>
        </w:rPr>
        <w:t xml:space="preserve"> </w:t>
      </w:r>
      <w:r w:rsidRPr="00C16D3B">
        <w:rPr>
          <w:rFonts w:ascii="Verdana" w:hAnsi="Verdana"/>
        </w:rPr>
        <w:t xml:space="preserve">but provide further guidance in respect of specific areas. </w:t>
      </w:r>
      <w:r w:rsidR="007F56FA">
        <w:rPr>
          <w:rFonts w:ascii="Verdana" w:hAnsi="Verdana"/>
        </w:rPr>
        <w:t xml:space="preserve">These include: </w:t>
      </w:r>
    </w:p>
    <w:p w14:paraId="181CA12E" w14:textId="77777777" w:rsidR="00A72E03" w:rsidRDefault="00A72E03" w:rsidP="00454EE9">
      <w:pPr>
        <w:pStyle w:val="BasicParagraph"/>
        <w:suppressAutoHyphens/>
        <w:ind w:left="360"/>
        <w:rPr>
          <w:rFonts w:ascii="Verdana" w:hAnsi="Verdana"/>
        </w:rPr>
      </w:pPr>
    </w:p>
    <w:p w14:paraId="1D600D8C" w14:textId="77777777" w:rsidR="002C02FE" w:rsidRDefault="002C02FE" w:rsidP="00305A97">
      <w:pPr>
        <w:pStyle w:val="BasicParagraph"/>
        <w:numPr>
          <w:ilvl w:val="0"/>
          <w:numId w:val="13"/>
        </w:numPr>
        <w:suppressAutoHyphens/>
        <w:rPr>
          <w:rFonts w:ascii="Verdana" w:hAnsi="Verdana"/>
        </w:rPr>
      </w:pPr>
      <w:r w:rsidRPr="002C02FE">
        <w:rPr>
          <w:rFonts w:ascii="Verdana" w:hAnsi="Verdana"/>
        </w:rPr>
        <w:t>UN Committee on the Rights of Persons with Disabilities (UN CRPD Committee) 2017 Concluding Observations to the UK;</w:t>
      </w:r>
    </w:p>
    <w:p w14:paraId="08F4714E" w14:textId="77777777" w:rsidR="00830344" w:rsidRDefault="00830344" w:rsidP="00305A97">
      <w:pPr>
        <w:pStyle w:val="BasicParagraph"/>
        <w:numPr>
          <w:ilvl w:val="0"/>
          <w:numId w:val="13"/>
        </w:numPr>
        <w:suppressAutoHyphens/>
        <w:rPr>
          <w:rFonts w:ascii="Verdana" w:hAnsi="Verdana"/>
        </w:rPr>
      </w:pPr>
      <w:r>
        <w:rPr>
          <w:rFonts w:ascii="Verdana" w:hAnsi="Verdana"/>
        </w:rPr>
        <w:t>UN Committee on the Rights of the Child (UN CRC Committee) 2016 Concluding Observations to the UK</w:t>
      </w:r>
    </w:p>
    <w:p w14:paraId="24AB6EB7" w14:textId="77777777" w:rsidR="00305A97" w:rsidRDefault="00305A97" w:rsidP="00305A97">
      <w:pPr>
        <w:pStyle w:val="BasicParagraph"/>
        <w:numPr>
          <w:ilvl w:val="0"/>
          <w:numId w:val="13"/>
        </w:numPr>
        <w:suppressAutoHyphens/>
        <w:rPr>
          <w:rFonts w:ascii="Verdana" w:hAnsi="Verdana"/>
        </w:rPr>
      </w:pPr>
      <w:r>
        <w:rPr>
          <w:rFonts w:ascii="Verdana" w:hAnsi="Verdana"/>
        </w:rPr>
        <w:lastRenderedPageBreak/>
        <w:t xml:space="preserve">UN Committee on the Convention Against Torture (UN CAT Committee) 2013 Concluding Observations to the UK; </w:t>
      </w:r>
    </w:p>
    <w:p w14:paraId="5FC330DB" w14:textId="29DE1E32" w:rsidR="007F56FA" w:rsidRDefault="007F56FA" w:rsidP="00305A97">
      <w:pPr>
        <w:pStyle w:val="BasicParagraph"/>
        <w:numPr>
          <w:ilvl w:val="0"/>
          <w:numId w:val="13"/>
        </w:numPr>
        <w:suppressAutoHyphens/>
        <w:rPr>
          <w:rFonts w:ascii="Verdana" w:hAnsi="Verdana"/>
        </w:rPr>
      </w:pPr>
      <w:r>
        <w:rPr>
          <w:rFonts w:ascii="Verdana" w:hAnsi="Verdana"/>
        </w:rPr>
        <w:t>UN</w:t>
      </w:r>
      <w:r w:rsidRPr="007F56FA">
        <w:rPr>
          <w:rFonts w:ascii="Verdana" w:hAnsi="Verdana"/>
        </w:rPr>
        <w:t xml:space="preserve"> Principles for Older Persons</w:t>
      </w:r>
      <w:r w:rsidR="003F1731">
        <w:rPr>
          <w:rFonts w:ascii="Verdana" w:hAnsi="Verdana"/>
        </w:rPr>
        <w:t xml:space="preserve"> 1991</w:t>
      </w:r>
      <w:r w:rsidR="002C02FE">
        <w:rPr>
          <w:rFonts w:ascii="Verdana" w:hAnsi="Verdana"/>
        </w:rPr>
        <w:t>;</w:t>
      </w:r>
      <w:r w:rsidR="002609D6">
        <w:rPr>
          <w:rStyle w:val="FootnoteReference"/>
          <w:rFonts w:ascii="Verdana" w:hAnsi="Verdana"/>
        </w:rPr>
        <w:footnoteReference w:id="8"/>
      </w:r>
    </w:p>
    <w:p w14:paraId="5E361B3F" w14:textId="31CA526A" w:rsidR="002C02FE" w:rsidRDefault="00A72E03" w:rsidP="00305A97">
      <w:pPr>
        <w:pStyle w:val="BasicParagraph"/>
        <w:numPr>
          <w:ilvl w:val="0"/>
          <w:numId w:val="13"/>
        </w:numPr>
        <w:suppressAutoHyphens/>
        <w:rPr>
          <w:rFonts w:ascii="Verdana" w:hAnsi="Verdana"/>
        </w:rPr>
      </w:pPr>
      <w:r w:rsidRPr="00A72E03">
        <w:rPr>
          <w:rFonts w:ascii="Verdana" w:hAnsi="Verdana"/>
        </w:rPr>
        <w:t xml:space="preserve">UN Principles for the Protection of Persons with Mental Illness and </w:t>
      </w:r>
      <w:r w:rsidRPr="005306D6">
        <w:rPr>
          <w:rFonts w:ascii="Verdana" w:hAnsi="Verdana"/>
        </w:rPr>
        <w:t>the Improvement of Mental Health Care</w:t>
      </w:r>
      <w:r w:rsidR="006447B2">
        <w:rPr>
          <w:rFonts w:ascii="Verdana" w:hAnsi="Verdana"/>
        </w:rPr>
        <w:t xml:space="preserve"> 1991</w:t>
      </w:r>
      <w:r w:rsidR="00565C94">
        <w:rPr>
          <w:rFonts w:ascii="Verdana" w:hAnsi="Verdana"/>
        </w:rPr>
        <w:t>;</w:t>
      </w:r>
      <w:r w:rsidR="00210235">
        <w:rPr>
          <w:rStyle w:val="FootnoteReference"/>
          <w:rFonts w:ascii="Verdana" w:hAnsi="Verdana"/>
        </w:rPr>
        <w:footnoteReference w:id="9"/>
      </w:r>
    </w:p>
    <w:p w14:paraId="5CC029FC" w14:textId="296024C6" w:rsidR="00830344" w:rsidRDefault="00830344" w:rsidP="00305A97">
      <w:pPr>
        <w:pStyle w:val="BasicParagraph"/>
        <w:numPr>
          <w:ilvl w:val="0"/>
          <w:numId w:val="13"/>
        </w:numPr>
        <w:suppressAutoHyphens/>
        <w:rPr>
          <w:rFonts w:ascii="Verdana" w:hAnsi="Verdana"/>
        </w:rPr>
      </w:pPr>
      <w:r w:rsidRPr="00355290">
        <w:rPr>
          <w:rFonts w:ascii="Verdana" w:hAnsi="Verdana"/>
        </w:rPr>
        <w:t>Council of Europe Recommendation (2004)10 concerning the protection of the human rights and dignity of persons with mental disorder</w:t>
      </w:r>
      <w:r w:rsidR="00340235">
        <w:rPr>
          <w:rFonts w:ascii="Verdana" w:hAnsi="Verdana"/>
        </w:rPr>
        <w:t>.</w:t>
      </w:r>
      <w:r w:rsidR="00210235">
        <w:rPr>
          <w:rStyle w:val="FootnoteReference"/>
          <w:rFonts w:ascii="Verdana" w:hAnsi="Verdana"/>
        </w:rPr>
        <w:footnoteReference w:id="10"/>
      </w:r>
    </w:p>
    <w:p w14:paraId="15859A03" w14:textId="794F7A1E" w:rsidR="00A3384B" w:rsidRPr="00A3384B" w:rsidRDefault="00A3384B" w:rsidP="00305A97">
      <w:pPr>
        <w:pStyle w:val="BasicParagraph"/>
        <w:numPr>
          <w:ilvl w:val="0"/>
          <w:numId w:val="13"/>
        </w:numPr>
        <w:suppressAutoHyphens/>
        <w:rPr>
          <w:rFonts w:ascii="Verdana" w:hAnsi="Verdana"/>
          <w:color w:val="auto"/>
        </w:rPr>
      </w:pPr>
      <w:r w:rsidRPr="00A3384B">
        <w:rPr>
          <w:rFonts w:ascii="Verdana" w:hAnsi="Verdana"/>
          <w:color w:val="auto"/>
        </w:rPr>
        <w:t>European Committee for the Prevention of Torture and Inhuman or Degrading Treatment or Punishment (CPT)</w:t>
      </w:r>
      <w:r>
        <w:rPr>
          <w:rFonts w:ascii="Verdana" w:hAnsi="Verdana"/>
          <w:color w:val="auto"/>
        </w:rPr>
        <w:t xml:space="preserve">, </w:t>
      </w:r>
      <w:r w:rsidR="00A07115">
        <w:rPr>
          <w:rFonts w:ascii="Verdana" w:hAnsi="Verdana"/>
          <w:color w:val="auto"/>
        </w:rPr>
        <w:t xml:space="preserve">The </w:t>
      </w:r>
      <w:r w:rsidRPr="00A3384B">
        <w:rPr>
          <w:rFonts w:ascii="Verdana" w:hAnsi="Verdana"/>
          <w:color w:val="auto"/>
        </w:rPr>
        <w:t>CPT Standards</w:t>
      </w:r>
      <w:r>
        <w:rPr>
          <w:rFonts w:ascii="Verdana" w:hAnsi="Verdana"/>
          <w:color w:val="auto"/>
        </w:rPr>
        <w:t xml:space="preserve"> </w:t>
      </w:r>
      <w:r w:rsidR="008D08E7">
        <w:rPr>
          <w:rFonts w:ascii="Verdana" w:hAnsi="Verdana"/>
          <w:color w:val="auto"/>
        </w:rPr>
        <w:t>(2002)</w:t>
      </w:r>
      <w:r w:rsidR="00A07115">
        <w:rPr>
          <w:rStyle w:val="FootnoteReference"/>
          <w:rFonts w:ascii="Verdana" w:hAnsi="Verdana"/>
          <w:color w:val="auto"/>
        </w:rPr>
        <w:footnoteReference w:id="11"/>
      </w:r>
    </w:p>
    <w:p w14:paraId="12673689" w14:textId="77777777" w:rsidR="008D08E7" w:rsidRPr="008D08E7" w:rsidRDefault="008D08E7" w:rsidP="008D08E7">
      <w:pPr>
        <w:pStyle w:val="BasicParagraph"/>
        <w:suppressAutoHyphens/>
        <w:ind w:left="1080"/>
        <w:rPr>
          <w:rFonts w:ascii="Verdana" w:hAnsi="Verdana"/>
        </w:rPr>
      </w:pPr>
    </w:p>
    <w:p w14:paraId="1530E6D3" w14:textId="08D6AFDF" w:rsidR="00B321D4" w:rsidRDefault="00C16D3B" w:rsidP="00A54D7A">
      <w:pPr>
        <w:pStyle w:val="BasicParagraph"/>
        <w:suppressAutoHyphens/>
        <w:ind w:left="720" w:hanging="720"/>
        <w:rPr>
          <w:rFonts w:ascii="Verdana" w:hAnsi="Verdana" w:cs="Arial"/>
          <w:bCs/>
          <w:color w:val="auto"/>
        </w:rPr>
      </w:pPr>
      <w:r w:rsidRPr="00C16D3B">
        <w:rPr>
          <w:rFonts w:ascii="Verdana" w:hAnsi="Verdana"/>
        </w:rPr>
        <w:t>1.4</w:t>
      </w:r>
      <w:r>
        <w:rPr>
          <w:rFonts w:ascii="Verdana" w:hAnsi="Verdana"/>
        </w:rPr>
        <w:tab/>
      </w:r>
      <w:r w:rsidRPr="00C16D3B">
        <w:rPr>
          <w:rFonts w:ascii="Verdana" w:hAnsi="Verdana"/>
        </w:rPr>
        <w:t xml:space="preserve">The </w:t>
      </w:r>
      <w:r w:rsidR="00565C94">
        <w:rPr>
          <w:rFonts w:ascii="Verdana" w:hAnsi="Verdana"/>
        </w:rPr>
        <w:t>Commission</w:t>
      </w:r>
      <w:r w:rsidR="00565C94" w:rsidRPr="00C16D3B">
        <w:rPr>
          <w:rFonts w:ascii="Verdana" w:hAnsi="Verdana"/>
        </w:rPr>
        <w:t xml:space="preserve"> </w:t>
      </w:r>
      <w:r w:rsidRPr="00C16D3B">
        <w:rPr>
          <w:rFonts w:ascii="Verdana" w:hAnsi="Verdana"/>
        </w:rPr>
        <w:t xml:space="preserve">welcomes this opportunity to provide evidence on the use of restrictive practices and seclusion in </w:t>
      </w:r>
      <w:r w:rsidR="00B9378E">
        <w:rPr>
          <w:rFonts w:ascii="Verdana" w:hAnsi="Verdana"/>
        </w:rPr>
        <w:t>health and social care</w:t>
      </w:r>
      <w:r w:rsidRPr="00C16D3B">
        <w:rPr>
          <w:rFonts w:ascii="Verdana" w:hAnsi="Verdana"/>
        </w:rPr>
        <w:t xml:space="preserve"> settings</w:t>
      </w:r>
      <w:r w:rsidR="00340235">
        <w:rPr>
          <w:rFonts w:ascii="Verdana" w:hAnsi="Verdana"/>
        </w:rPr>
        <w:t>.</w:t>
      </w:r>
      <w:r w:rsidRPr="00C16D3B">
        <w:rPr>
          <w:rFonts w:ascii="Verdana" w:hAnsi="Verdana"/>
        </w:rPr>
        <w:t xml:space="preserve"> </w:t>
      </w:r>
      <w:r w:rsidR="00323E57" w:rsidRPr="00323E57">
        <w:rPr>
          <w:rFonts w:ascii="Verdana" w:hAnsi="Verdana" w:cs="Arial"/>
          <w:bCs/>
          <w:color w:val="auto"/>
        </w:rPr>
        <w:t>Th</w:t>
      </w:r>
      <w:r w:rsidR="00624B21">
        <w:rPr>
          <w:rFonts w:ascii="Verdana" w:hAnsi="Verdana" w:cs="Arial"/>
          <w:bCs/>
          <w:color w:val="auto"/>
        </w:rPr>
        <w:t xml:space="preserve">is submission highlights </w:t>
      </w:r>
      <w:r w:rsidR="00323E57" w:rsidRPr="00323E57">
        <w:rPr>
          <w:rFonts w:ascii="Verdana" w:hAnsi="Verdana" w:cs="Arial"/>
          <w:bCs/>
          <w:color w:val="auto"/>
        </w:rPr>
        <w:t xml:space="preserve">relevant human rights standards and principles </w:t>
      </w:r>
      <w:r w:rsidR="00866BC0">
        <w:rPr>
          <w:rFonts w:ascii="Verdana" w:hAnsi="Verdana" w:cs="Arial"/>
          <w:bCs/>
          <w:color w:val="auto"/>
        </w:rPr>
        <w:t>underpinning the use of restr</w:t>
      </w:r>
      <w:r w:rsidR="00907EB6">
        <w:rPr>
          <w:rFonts w:ascii="Verdana" w:hAnsi="Verdana" w:cs="Arial"/>
          <w:bCs/>
          <w:color w:val="auto"/>
        </w:rPr>
        <w:t>ictive practices to inform the</w:t>
      </w:r>
      <w:r w:rsidR="00323E57" w:rsidRPr="00323E57">
        <w:rPr>
          <w:rFonts w:ascii="Verdana" w:hAnsi="Verdana" w:cs="Arial"/>
          <w:bCs/>
          <w:color w:val="auto"/>
        </w:rPr>
        <w:t xml:space="preserve"> development of </w:t>
      </w:r>
      <w:r w:rsidR="00323E57">
        <w:rPr>
          <w:rFonts w:ascii="Verdana" w:hAnsi="Verdana" w:cs="Arial"/>
          <w:bCs/>
          <w:color w:val="auto"/>
        </w:rPr>
        <w:t xml:space="preserve">this </w:t>
      </w:r>
      <w:r w:rsidR="00323E57" w:rsidRPr="00323E57">
        <w:rPr>
          <w:rFonts w:ascii="Verdana" w:hAnsi="Verdana" w:cs="Arial"/>
          <w:bCs/>
          <w:color w:val="auto"/>
        </w:rPr>
        <w:t>policy</w:t>
      </w:r>
      <w:r w:rsidR="0081360F">
        <w:rPr>
          <w:rFonts w:ascii="Verdana" w:hAnsi="Verdana" w:cs="Arial"/>
          <w:bCs/>
          <w:color w:val="auto"/>
        </w:rPr>
        <w:t xml:space="preserve">. </w:t>
      </w:r>
      <w:r w:rsidR="00454EE9">
        <w:rPr>
          <w:rFonts w:ascii="Verdana" w:hAnsi="Verdana" w:cs="Arial"/>
          <w:bCs/>
          <w:color w:val="auto"/>
        </w:rPr>
        <w:t xml:space="preserve"> </w:t>
      </w:r>
    </w:p>
    <w:p w14:paraId="645F311C" w14:textId="77777777" w:rsidR="00B321D4" w:rsidRDefault="00B321D4" w:rsidP="00A54D7A">
      <w:pPr>
        <w:pStyle w:val="BasicParagraph"/>
        <w:suppressAutoHyphens/>
        <w:ind w:left="720" w:hanging="720"/>
        <w:rPr>
          <w:rFonts w:ascii="Verdana" w:hAnsi="Verdana" w:cs="Arial"/>
          <w:bCs/>
          <w:color w:val="auto"/>
        </w:rPr>
      </w:pPr>
    </w:p>
    <w:p w14:paraId="7FFE5D31" w14:textId="6CDC4FFD" w:rsidR="00CD36F8" w:rsidRPr="00A54D7A" w:rsidRDefault="00B321D4" w:rsidP="00C537D7">
      <w:pPr>
        <w:pStyle w:val="BasicParagraph"/>
        <w:suppressAutoHyphens/>
        <w:ind w:left="720" w:hanging="720"/>
        <w:rPr>
          <w:rFonts w:ascii="Verdana" w:hAnsi="Verdana"/>
        </w:rPr>
      </w:pPr>
      <w:r>
        <w:rPr>
          <w:rFonts w:ascii="Verdana" w:hAnsi="Verdana" w:cs="Arial"/>
          <w:bCs/>
          <w:color w:val="auto"/>
        </w:rPr>
        <w:t>1.5</w:t>
      </w:r>
      <w:r>
        <w:rPr>
          <w:rFonts w:ascii="Verdana" w:hAnsi="Verdana" w:cs="Arial"/>
          <w:bCs/>
          <w:color w:val="auto"/>
        </w:rPr>
        <w:tab/>
      </w:r>
      <w:r w:rsidR="00CD36F8">
        <w:rPr>
          <w:rFonts w:ascii="Verdana" w:hAnsi="Verdana"/>
        </w:rPr>
        <w:t xml:space="preserve">The Commission notes that the Department of Education </w:t>
      </w:r>
      <w:r w:rsidR="00F65C6B">
        <w:rPr>
          <w:rFonts w:ascii="Verdana" w:hAnsi="Verdana"/>
        </w:rPr>
        <w:t xml:space="preserve">is </w:t>
      </w:r>
      <w:r w:rsidR="00CD36F8">
        <w:rPr>
          <w:rFonts w:ascii="Verdana" w:hAnsi="Verdana"/>
        </w:rPr>
        <w:t xml:space="preserve">currently undertaking a review of </w:t>
      </w:r>
      <w:r w:rsidR="00CD36F8" w:rsidRPr="003E7B4A">
        <w:rPr>
          <w:rFonts w:ascii="Verdana" w:hAnsi="Verdana"/>
        </w:rPr>
        <w:t>the use of restraint and seclusion practi</w:t>
      </w:r>
      <w:r w:rsidR="008208CB">
        <w:rPr>
          <w:rFonts w:ascii="Verdana" w:hAnsi="Verdana"/>
        </w:rPr>
        <w:t>c</w:t>
      </w:r>
      <w:r w:rsidR="00CD36F8" w:rsidRPr="003E7B4A">
        <w:rPr>
          <w:rFonts w:ascii="Verdana" w:hAnsi="Verdana"/>
        </w:rPr>
        <w:t xml:space="preserve">es </w:t>
      </w:r>
      <w:r w:rsidR="00CD36F8">
        <w:rPr>
          <w:rFonts w:ascii="Verdana" w:hAnsi="Verdana"/>
        </w:rPr>
        <w:t xml:space="preserve">in educational settings. The Commission is a member of the Reference Group </w:t>
      </w:r>
      <w:r w:rsidR="00940284">
        <w:rPr>
          <w:rFonts w:ascii="Verdana" w:hAnsi="Verdana"/>
        </w:rPr>
        <w:t>involved in the oversight of</w:t>
      </w:r>
      <w:r w:rsidR="00545547">
        <w:rPr>
          <w:rFonts w:ascii="Verdana" w:hAnsi="Verdana"/>
        </w:rPr>
        <w:t xml:space="preserve"> </w:t>
      </w:r>
      <w:r>
        <w:rPr>
          <w:rFonts w:ascii="Verdana" w:hAnsi="Verdana"/>
        </w:rPr>
        <w:t xml:space="preserve">that </w:t>
      </w:r>
      <w:r w:rsidR="00545547">
        <w:rPr>
          <w:rFonts w:ascii="Verdana" w:hAnsi="Verdana"/>
        </w:rPr>
        <w:t xml:space="preserve">process. </w:t>
      </w:r>
      <w:r w:rsidR="00940284">
        <w:rPr>
          <w:rFonts w:ascii="Verdana" w:hAnsi="Verdana"/>
        </w:rPr>
        <w:t xml:space="preserve">In </w:t>
      </w:r>
      <w:r w:rsidR="00CD36F8" w:rsidRPr="007A004F">
        <w:rPr>
          <w:rFonts w:ascii="Verdana" w:hAnsi="Verdana"/>
        </w:rPr>
        <w:t>February 2021</w:t>
      </w:r>
      <w:r w:rsidR="00CD36F8">
        <w:rPr>
          <w:rFonts w:ascii="Verdana" w:hAnsi="Verdana"/>
        </w:rPr>
        <w:t>,</w:t>
      </w:r>
      <w:r w:rsidR="00940284">
        <w:rPr>
          <w:rFonts w:ascii="Verdana" w:hAnsi="Verdana"/>
        </w:rPr>
        <w:t xml:space="preserve"> the Commission</w:t>
      </w:r>
      <w:r w:rsidR="00CD36F8" w:rsidRPr="007A004F">
        <w:rPr>
          <w:rFonts w:ascii="Verdana" w:hAnsi="Verdana"/>
        </w:rPr>
        <w:t xml:space="preserve"> provided a submission to the Committee for Education on the human rights implications of the guidance relating to restraint and seclusion in education</w:t>
      </w:r>
      <w:r>
        <w:rPr>
          <w:rFonts w:ascii="Verdana" w:hAnsi="Verdana"/>
        </w:rPr>
        <w:t>al</w:t>
      </w:r>
      <w:r w:rsidR="00CD36F8" w:rsidRPr="007A004F">
        <w:rPr>
          <w:rFonts w:ascii="Verdana" w:hAnsi="Verdana"/>
        </w:rPr>
        <w:t xml:space="preserve"> settings, </w:t>
      </w:r>
      <w:r w:rsidR="00CD36F8">
        <w:rPr>
          <w:rFonts w:ascii="Verdana" w:hAnsi="Verdana"/>
        </w:rPr>
        <w:t>making</w:t>
      </w:r>
      <w:r w:rsidR="00CD36F8" w:rsidRPr="007A004F">
        <w:rPr>
          <w:rFonts w:ascii="Verdana" w:hAnsi="Verdana"/>
        </w:rPr>
        <w:t xml:space="preserve"> a number of recommendations for change.</w:t>
      </w:r>
      <w:r w:rsidR="00CD36F8">
        <w:rPr>
          <w:rStyle w:val="FootnoteReference"/>
          <w:rFonts w:ascii="Verdana" w:hAnsi="Verdana"/>
        </w:rPr>
        <w:footnoteReference w:id="12"/>
      </w:r>
      <w:r w:rsidR="00CD36F8">
        <w:rPr>
          <w:rFonts w:ascii="Verdana" w:hAnsi="Verdana"/>
        </w:rPr>
        <w:t xml:space="preserve"> The Commission </w:t>
      </w:r>
      <w:r w:rsidR="00B8235A">
        <w:rPr>
          <w:rFonts w:ascii="Verdana" w:hAnsi="Verdana"/>
        </w:rPr>
        <w:t xml:space="preserve">highlights the overlap </w:t>
      </w:r>
      <w:r w:rsidR="00D856BF">
        <w:rPr>
          <w:rFonts w:ascii="Verdana" w:hAnsi="Verdana"/>
        </w:rPr>
        <w:t xml:space="preserve">between </w:t>
      </w:r>
      <w:r>
        <w:rPr>
          <w:rFonts w:ascii="Verdana" w:hAnsi="Verdana"/>
        </w:rPr>
        <w:t xml:space="preserve">work on this </w:t>
      </w:r>
      <w:r w:rsidR="00A256A1">
        <w:rPr>
          <w:rFonts w:ascii="Verdana" w:hAnsi="Verdana"/>
        </w:rPr>
        <w:t xml:space="preserve">policy </w:t>
      </w:r>
      <w:r w:rsidR="00D856BF">
        <w:rPr>
          <w:rFonts w:ascii="Verdana" w:hAnsi="Verdana"/>
        </w:rPr>
        <w:t>and the Department of Education’s</w:t>
      </w:r>
      <w:r w:rsidR="00C822BC">
        <w:rPr>
          <w:rFonts w:ascii="Verdana" w:hAnsi="Verdana"/>
        </w:rPr>
        <w:t xml:space="preserve"> ongoing review</w:t>
      </w:r>
      <w:r w:rsidR="00A256A1">
        <w:rPr>
          <w:rFonts w:ascii="Verdana" w:hAnsi="Verdana"/>
        </w:rPr>
        <w:t xml:space="preserve"> and encourages </w:t>
      </w:r>
      <w:r w:rsidR="00B02C5F">
        <w:rPr>
          <w:rFonts w:ascii="Verdana" w:hAnsi="Verdana"/>
        </w:rPr>
        <w:t xml:space="preserve">collaboration between the Departments to ensure a degree of consistency </w:t>
      </w:r>
      <w:r>
        <w:rPr>
          <w:rFonts w:ascii="Verdana" w:hAnsi="Verdana"/>
        </w:rPr>
        <w:t xml:space="preserve">across </w:t>
      </w:r>
      <w:r w:rsidR="00B02C5F">
        <w:rPr>
          <w:rFonts w:ascii="Verdana" w:hAnsi="Verdana"/>
        </w:rPr>
        <w:t xml:space="preserve">all settings. </w:t>
      </w:r>
    </w:p>
    <w:p w14:paraId="7205083B" w14:textId="77777777" w:rsidR="000E5BED" w:rsidRPr="003B7D0E" w:rsidRDefault="000E5BED" w:rsidP="00331C61">
      <w:pPr>
        <w:pStyle w:val="BasicParagraph"/>
        <w:suppressAutoHyphens/>
        <w:rPr>
          <w:rFonts w:ascii="Verdana" w:hAnsi="Verdana" w:cs="Arial"/>
          <w:b/>
          <w:color w:val="734791"/>
        </w:rPr>
      </w:pPr>
    </w:p>
    <w:p w14:paraId="4619B49F" w14:textId="362CF549" w:rsidR="00C824F8" w:rsidRPr="00B74DF7" w:rsidRDefault="007539A8" w:rsidP="00B74DF7">
      <w:pPr>
        <w:pStyle w:val="BasicParagraph"/>
        <w:numPr>
          <w:ilvl w:val="0"/>
          <w:numId w:val="19"/>
        </w:numPr>
        <w:suppressAutoHyphens/>
        <w:rPr>
          <w:rFonts w:ascii="Verdana" w:hAnsi="Verdana" w:cs="Arial"/>
          <w:b/>
          <w:color w:val="77328A"/>
          <w:sz w:val="30"/>
          <w:szCs w:val="30"/>
        </w:rPr>
      </w:pPr>
      <w:r>
        <w:rPr>
          <w:rFonts w:ascii="Verdana" w:hAnsi="Verdana" w:cs="Arial"/>
          <w:b/>
          <w:color w:val="77328A"/>
          <w:sz w:val="30"/>
          <w:szCs w:val="30"/>
        </w:rPr>
        <w:t>Human Rights Framework</w:t>
      </w:r>
      <w:r w:rsidRPr="00B74DF7">
        <w:rPr>
          <w:rFonts w:ascii="Verdana" w:hAnsi="Verdana" w:cs="Arial"/>
          <w:b/>
          <w:color w:val="77328A"/>
          <w:sz w:val="30"/>
          <w:szCs w:val="30"/>
        </w:rPr>
        <w:t xml:space="preserve"> </w:t>
      </w:r>
      <w:r w:rsidR="005A542E" w:rsidRPr="00B74DF7">
        <w:rPr>
          <w:rFonts w:ascii="Verdana" w:hAnsi="Verdana" w:cs="Arial"/>
          <w:b/>
          <w:color w:val="77328A"/>
          <w:sz w:val="30"/>
          <w:szCs w:val="30"/>
        </w:rPr>
        <w:t xml:space="preserve"> </w:t>
      </w:r>
      <w:r w:rsidR="000849A4" w:rsidRPr="00B74DF7">
        <w:rPr>
          <w:rFonts w:ascii="Verdana" w:hAnsi="Verdana" w:cs="Arial"/>
          <w:b/>
          <w:color w:val="77328A"/>
          <w:sz w:val="30"/>
          <w:szCs w:val="30"/>
        </w:rPr>
        <w:t xml:space="preserve"> </w:t>
      </w:r>
      <w:r w:rsidR="000D094E" w:rsidRPr="00B74DF7">
        <w:rPr>
          <w:rFonts w:ascii="Verdana" w:hAnsi="Verdana" w:cs="Arial"/>
          <w:b/>
          <w:color w:val="77328A"/>
          <w:sz w:val="30"/>
          <w:szCs w:val="30"/>
        </w:rPr>
        <w:t xml:space="preserve"> </w:t>
      </w:r>
    </w:p>
    <w:p w14:paraId="04EC43FB" w14:textId="093ED43D" w:rsidR="004D0672" w:rsidRDefault="004D0672" w:rsidP="004D0672">
      <w:pPr>
        <w:pStyle w:val="BasicParagraph"/>
        <w:suppressAutoHyphens/>
        <w:ind w:left="720" w:hanging="720"/>
        <w:rPr>
          <w:rFonts w:ascii="Verdana" w:hAnsi="Verdana"/>
        </w:rPr>
      </w:pPr>
      <w:r>
        <w:rPr>
          <w:rFonts w:ascii="Verdana" w:hAnsi="Verdana"/>
        </w:rPr>
        <w:t>2.1</w:t>
      </w:r>
      <w:r>
        <w:rPr>
          <w:rFonts w:ascii="Verdana" w:hAnsi="Verdana"/>
        </w:rPr>
        <w:tab/>
      </w:r>
      <w:r w:rsidRPr="00E05FD6">
        <w:rPr>
          <w:rFonts w:ascii="Verdana" w:hAnsi="Verdana"/>
        </w:rPr>
        <w:t xml:space="preserve">The use of restrictive practices, restraint and seclusion in health and social care settings can interfere substantially with an individual’s human rights. Human rights standards do not prevent all forms of restrictive </w:t>
      </w:r>
      <w:r>
        <w:rPr>
          <w:rFonts w:ascii="Verdana" w:hAnsi="Verdana"/>
        </w:rPr>
        <w:t>i</w:t>
      </w:r>
      <w:r w:rsidRPr="00E05FD6">
        <w:rPr>
          <w:rFonts w:ascii="Verdana" w:hAnsi="Verdana"/>
        </w:rPr>
        <w:t>ntervention</w:t>
      </w:r>
      <w:r>
        <w:rPr>
          <w:rFonts w:ascii="Verdana" w:hAnsi="Verdana"/>
        </w:rPr>
        <w:t>s</w:t>
      </w:r>
      <w:r w:rsidRPr="00E05FD6">
        <w:rPr>
          <w:rFonts w:ascii="Verdana" w:hAnsi="Verdana"/>
        </w:rPr>
        <w:t xml:space="preserve"> in all circumstances</w:t>
      </w:r>
      <w:r w:rsidR="008C0A74">
        <w:rPr>
          <w:rFonts w:ascii="Verdana" w:hAnsi="Verdana"/>
        </w:rPr>
        <w:t xml:space="preserve"> but do require that all </w:t>
      </w:r>
      <w:r w:rsidR="00B321D4">
        <w:rPr>
          <w:rFonts w:ascii="Verdana" w:hAnsi="Verdana"/>
        </w:rPr>
        <w:t>interventions</w:t>
      </w:r>
      <w:r w:rsidR="00B321D4" w:rsidRPr="00E05FD6">
        <w:rPr>
          <w:rFonts w:ascii="Verdana" w:hAnsi="Verdana"/>
        </w:rPr>
        <w:t xml:space="preserve"> </w:t>
      </w:r>
      <w:r w:rsidR="008C0A74">
        <w:rPr>
          <w:rFonts w:ascii="Verdana" w:hAnsi="Verdana"/>
        </w:rPr>
        <w:t xml:space="preserve">are </w:t>
      </w:r>
      <w:r w:rsidRPr="00E05FD6">
        <w:rPr>
          <w:rFonts w:ascii="Verdana" w:hAnsi="Verdana"/>
        </w:rPr>
        <w:t>subject to appropriate procedural safeguards.</w:t>
      </w:r>
      <w:r>
        <w:t xml:space="preserve"> </w:t>
      </w:r>
      <w:r w:rsidR="008C0A74">
        <w:rPr>
          <w:rFonts w:ascii="Verdana" w:hAnsi="Verdana"/>
        </w:rPr>
        <w:t xml:space="preserve">In particular, a fair balance </w:t>
      </w:r>
      <w:r w:rsidR="008C0A74">
        <w:rPr>
          <w:rFonts w:ascii="Verdana" w:hAnsi="Verdana"/>
        </w:rPr>
        <w:lastRenderedPageBreak/>
        <w:t xml:space="preserve">must be struck between </w:t>
      </w:r>
      <w:r w:rsidRPr="003D459E">
        <w:rPr>
          <w:rFonts w:ascii="Verdana" w:hAnsi="Verdana"/>
          <w:color w:val="auto"/>
        </w:rPr>
        <w:t>the severity and consequences of the interference for the individual being restrained and the aim of the restraint</w:t>
      </w:r>
      <w:r>
        <w:rPr>
          <w:rFonts w:ascii="Verdana" w:hAnsi="Verdana"/>
          <w:color w:val="auto"/>
        </w:rPr>
        <w:t xml:space="preserve">, the main purpose of which is to ensure the safety of the individual and others. The relevant standards and principles are examined below.  </w:t>
      </w:r>
    </w:p>
    <w:p w14:paraId="76F8AC87" w14:textId="77777777" w:rsidR="004D0672" w:rsidRDefault="004D0672" w:rsidP="004D0672">
      <w:pPr>
        <w:pStyle w:val="BasicParagraph"/>
        <w:suppressAutoHyphens/>
        <w:rPr>
          <w:rFonts w:ascii="Verdana" w:hAnsi="Verdana"/>
        </w:rPr>
      </w:pPr>
    </w:p>
    <w:p w14:paraId="3CFFA7A9" w14:textId="6930915B" w:rsidR="004D0672" w:rsidRDefault="004D0672" w:rsidP="004D0672">
      <w:pPr>
        <w:pStyle w:val="BasicParagraph"/>
        <w:suppressAutoHyphens/>
        <w:rPr>
          <w:rFonts w:ascii="Verdana" w:hAnsi="Verdana"/>
          <w:b/>
          <w:bCs/>
        </w:rPr>
      </w:pPr>
      <w:r w:rsidRPr="00D5411F">
        <w:rPr>
          <w:rFonts w:ascii="Verdana" w:hAnsi="Verdana"/>
          <w:b/>
          <w:bCs/>
        </w:rPr>
        <w:t xml:space="preserve">Domestic standards </w:t>
      </w:r>
    </w:p>
    <w:p w14:paraId="36CFD889" w14:textId="77777777" w:rsidR="00D836CD" w:rsidRPr="00D5411F" w:rsidRDefault="00D836CD" w:rsidP="004D0672">
      <w:pPr>
        <w:pStyle w:val="BasicParagraph"/>
        <w:suppressAutoHyphens/>
        <w:rPr>
          <w:rFonts w:ascii="Verdana" w:hAnsi="Verdana"/>
          <w:b/>
          <w:bCs/>
        </w:rPr>
      </w:pPr>
    </w:p>
    <w:p w14:paraId="5EB2C6F3" w14:textId="4A60E78D" w:rsidR="004D0672" w:rsidRPr="001F7740" w:rsidRDefault="008208CB" w:rsidP="004D0672">
      <w:pPr>
        <w:pStyle w:val="BasicParagraph"/>
        <w:suppressAutoHyphens/>
        <w:rPr>
          <w:rFonts w:ascii="Verdana" w:hAnsi="Verdana"/>
          <w:i/>
          <w:iCs/>
        </w:rPr>
      </w:pPr>
      <w:r>
        <w:rPr>
          <w:rFonts w:ascii="Verdana" w:hAnsi="Verdana"/>
          <w:i/>
          <w:iCs/>
        </w:rPr>
        <w:t>ECHR r</w:t>
      </w:r>
      <w:r w:rsidR="00570037">
        <w:rPr>
          <w:rFonts w:ascii="Verdana" w:hAnsi="Verdana"/>
          <w:i/>
          <w:iCs/>
        </w:rPr>
        <w:t>ights</w:t>
      </w:r>
      <w:r>
        <w:rPr>
          <w:rFonts w:ascii="Verdana" w:hAnsi="Verdana"/>
          <w:i/>
          <w:iCs/>
        </w:rPr>
        <w:t xml:space="preserve"> overview</w:t>
      </w:r>
      <w:r w:rsidR="00570037">
        <w:rPr>
          <w:rFonts w:ascii="Verdana" w:hAnsi="Verdana"/>
          <w:i/>
          <w:iCs/>
        </w:rPr>
        <w:t xml:space="preserve"> </w:t>
      </w:r>
    </w:p>
    <w:p w14:paraId="5CA6560F" w14:textId="51C04028" w:rsidR="00570037" w:rsidRDefault="004D0672" w:rsidP="00A46166">
      <w:pPr>
        <w:pStyle w:val="BasicParagraph"/>
        <w:suppressAutoHyphens/>
        <w:ind w:left="720" w:hanging="720"/>
        <w:rPr>
          <w:rFonts w:ascii="Verdana" w:hAnsi="Verdana"/>
        </w:rPr>
      </w:pPr>
      <w:r>
        <w:rPr>
          <w:rFonts w:ascii="Verdana" w:hAnsi="Verdana"/>
        </w:rPr>
        <w:t>2.</w:t>
      </w:r>
      <w:r w:rsidR="008C0A74">
        <w:rPr>
          <w:rFonts w:ascii="Verdana" w:hAnsi="Verdana"/>
        </w:rPr>
        <w:t>2</w:t>
      </w:r>
      <w:r>
        <w:rPr>
          <w:rFonts w:ascii="Verdana" w:hAnsi="Verdana"/>
        </w:rPr>
        <w:tab/>
      </w:r>
      <w:r w:rsidRPr="007B64B1">
        <w:rPr>
          <w:rFonts w:ascii="Verdana" w:hAnsi="Verdana"/>
        </w:rPr>
        <w:t xml:space="preserve">In </w:t>
      </w:r>
      <w:r w:rsidR="008C0A74">
        <w:rPr>
          <w:rFonts w:ascii="Verdana" w:hAnsi="Verdana"/>
        </w:rPr>
        <w:t>some</w:t>
      </w:r>
      <w:r w:rsidR="008C0A74" w:rsidRPr="007B64B1">
        <w:rPr>
          <w:rFonts w:ascii="Verdana" w:hAnsi="Verdana"/>
        </w:rPr>
        <w:t xml:space="preserve"> </w:t>
      </w:r>
      <w:r w:rsidRPr="007B64B1">
        <w:rPr>
          <w:rFonts w:ascii="Verdana" w:hAnsi="Verdana"/>
        </w:rPr>
        <w:t xml:space="preserve">circumstances, the use of restraints </w:t>
      </w:r>
      <w:r w:rsidR="008C0A74">
        <w:rPr>
          <w:rFonts w:ascii="Verdana" w:hAnsi="Verdana"/>
        </w:rPr>
        <w:t xml:space="preserve">has the potential to result in </w:t>
      </w:r>
      <w:r w:rsidRPr="007B64B1">
        <w:rPr>
          <w:rFonts w:ascii="Verdana" w:hAnsi="Verdana"/>
        </w:rPr>
        <w:t>injury and death</w:t>
      </w:r>
      <w:r w:rsidR="008C0A74">
        <w:rPr>
          <w:rFonts w:ascii="Verdana" w:hAnsi="Verdana"/>
        </w:rPr>
        <w:t xml:space="preserve">. The use of restraint clearly </w:t>
      </w:r>
      <w:r w:rsidRPr="007B64B1">
        <w:rPr>
          <w:rFonts w:ascii="Verdana" w:hAnsi="Verdana"/>
        </w:rPr>
        <w:t>engag</w:t>
      </w:r>
      <w:r w:rsidR="008C0A74">
        <w:rPr>
          <w:rFonts w:ascii="Verdana" w:hAnsi="Verdana"/>
        </w:rPr>
        <w:t>es</w:t>
      </w:r>
      <w:r w:rsidRPr="007B64B1">
        <w:rPr>
          <w:rFonts w:ascii="Verdana" w:hAnsi="Verdana"/>
        </w:rPr>
        <w:t xml:space="preserve"> </w:t>
      </w:r>
      <w:r w:rsidR="00FE32F1">
        <w:rPr>
          <w:rFonts w:ascii="Verdana" w:hAnsi="Verdana"/>
        </w:rPr>
        <w:t>a number of articles of the ECHR.</w:t>
      </w:r>
      <w:r w:rsidR="00570037">
        <w:rPr>
          <w:rStyle w:val="FootnoteReference"/>
          <w:rFonts w:ascii="Verdana" w:hAnsi="Verdana"/>
        </w:rPr>
        <w:footnoteReference w:id="13"/>
      </w:r>
      <w:r w:rsidR="00FE32F1">
        <w:rPr>
          <w:rFonts w:ascii="Verdana" w:hAnsi="Verdana"/>
        </w:rPr>
        <w:t xml:space="preserve"> In particular: </w:t>
      </w:r>
      <w:r w:rsidR="008C0A74">
        <w:rPr>
          <w:rFonts w:ascii="Verdana" w:hAnsi="Verdana"/>
        </w:rPr>
        <w:t>Article 2 ECHR (</w:t>
      </w:r>
      <w:r w:rsidRPr="007B64B1">
        <w:rPr>
          <w:rFonts w:ascii="Verdana" w:hAnsi="Verdana"/>
        </w:rPr>
        <w:t>the right to life</w:t>
      </w:r>
      <w:r w:rsidR="008C0A74">
        <w:rPr>
          <w:rFonts w:ascii="Verdana" w:hAnsi="Verdana"/>
        </w:rPr>
        <w:t>)</w:t>
      </w:r>
      <w:r w:rsidR="00570037">
        <w:rPr>
          <w:rStyle w:val="FootnoteReference"/>
          <w:rFonts w:ascii="Verdana" w:hAnsi="Verdana"/>
        </w:rPr>
        <w:footnoteReference w:id="14"/>
      </w:r>
      <w:r w:rsidR="00FE32F1">
        <w:rPr>
          <w:rFonts w:ascii="Verdana" w:hAnsi="Verdana"/>
        </w:rPr>
        <w:t>;</w:t>
      </w:r>
      <w:r w:rsidR="008C0A74">
        <w:rPr>
          <w:rFonts w:ascii="Verdana" w:hAnsi="Verdana"/>
        </w:rPr>
        <w:t xml:space="preserve"> Article 3 </w:t>
      </w:r>
      <w:r w:rsidR="00FE32F1">
        <w:rPr>
          <w:rFonts w:ascii="Verdana" w:hAnsi="Verdana"/>
        </w:rPr>
        <w:t xml:space="preserve">ECHR </w:t>
      </w:r>
      <w:r w:rsidR="008C0A74">
        <w:rPr>
          <w:rFonts w:ascii="Verdana" w:hAnsi="Verdana"/>
        </w:rPr>
        <w:t>(the right not to be subjected to torture, inhuman or degrading treatment</w:t>
      </w:r>
      <w:r w:rsidR="00FE32F1">
        <w:rPr>
          <w:rFonts w:ascii="Verdana" w:hAnsi="Verdana"/>
        </w:rPr>
        <w:t xml:space="preserve"> or punishment)</w:t>
      </w:r>
      <w:r w:rsidR="003A3059">
        <w:rPr>
          <w:rStyle w:val="FootnoteReference"/>
          <w:rFonts w:ascii="Verdana" w:hAnsi="Verdana"/>
        </w:rPr>
        <w:footnoteReference w:id="15"/>
      </w:r>
      <w:r w:rsidR="00FE32F1">
        <w:rPr>
          <w:rFonts w:ascii="Verdana" w:hAnsi="Verdana"/>
        </w:rPr>
        <w:t>;</w:t>
      </w:r>
      <w:r w:rsidR="008C0A74">
        <w:rPr>
          <w:rFonts w:ascii="Verdana" w:hAnsi="Verdana"/>
        </w:rPr>
        <w:t xml:space="preserve"> </w:t>
      </w:r>
      <w:r w:rsidR="004535EE">
        <w:rPr>
          <w:rFonts w:ascii="Verdana" w:hAnsi="Verdana"/>
        </w:rPr>
        <w:t xml:space="preserve">Article 5 (the right to liberty and security) </w:t>
      </w:r>
      <w:r w:rsidR="008C0A74">
        <w:rPr>
          <w:rFonts w:ascii="Verdana" w:hAnsi="Verdana"/>
        </w:rPr>
        <w:t>and Article 8 (</w:t>
      </w:r>
      <w:r w:rsidR="004535EE">
        <w:rPr>
          <w:rFonts w:ascii="Verdana" w:hAnsi="Verdana"/>
        </w:rPr>
        <w:t xml:space="preserve">the right to private and family life, </w:t>
      </w:r>
      <w:r w:rsidR="00FE32F1">
        <w:rPr>
          <w:rFonts w:ascii="Verdana" w:hAnsi="Verdana"/>
        </w:rPr>
        <w:t xml:space="preserve">which includes the </w:t>
      </w:r>
      <w:r w:rsidR="008C0A74">
        <w:rPr>
          <w:rFonts w:ascii="Verdana" w:hAnsi="Verdana"/>
        </w:rPr>
        <w:t>right to bodily integrity)</w:t>
      </w:r>
      <w:r w:rsidR="00FE32F1">
        <w:rPr>
          <w:rFonts w:ascii="Verdana" w:hAnsi="Verdana"/>
        </w:rPr>
        <w:t xml:space="preserve"> are engaged </w:t>
      </w:r>
      <w:r w:rsidR="004F09B8">
        <w:rPr>
          <w:rFonts w:ascii="Verdana" w:hAnsi="Verdana"/>
        </w:rPr>
        <w:t xml:space="preserve">but not necessarily breached in all instances of the use of restraint techniques. </w:t>
      </w:r>
      <w:r w:rsidR="00CA261D">
        <w:rPr>
          <w:rFonts w:ascii="Verdana" w:hAnsi="Verdana"/>
        </w:rPr>
        <w:t>Those rights are considered in more detail below.</w:t>
      </w:r>
    </w:p>
    <w:p w14:paraId="674CB66B" w14:textId="34CCF314" w:rsidR="00570037" w:rsidRDefault="00570037" w:rsidP="00A46166">
      <w:pPr>
        <w:pStyle w:val="BasicParagraph"/>
        <w:suppressAutoHyphens/>
        <w:ind w:left="720" w:hanging="720"/>
        <w:rPr>
          <w:rFonts w:ascii="Verdana" w:hAnsi="Verdana"/>
        </w:rPr>
      </w:pPr>
    </w:p>
    <w:p w14:paraId="359622A7" w14:textId="031E4841" w:rsidR="004535EE" w:rsidRPr="00B74DF7" w:rsidRDefault="004535EE" w:rsidP="00A46166">
      <w:pPr>
        <w:pStyle w:val="BasicParagraph"/>
        <w:suppressAutoHyphens/>
        <w:ind w:left="720" w:hanging="720"/>
        <w:rPr>
          <w:rFonts w:ascii="Verdana" w:hAnsi="Verdana"/>
          <w:i/>
          <w:iCs/>
        </w:rPr>
      </w:pPr>
      <w:r w:rsidRPr="00B74DF7">
        <w:rPr>
          <w:rFonts w:ascii="Verdana" w:hAnsi="Verdana"/>
          <w:i/>
          <w:iCs/>
        </w:rPr>
        <w:t>Articles 2 and 3</w:t>
      </w:r>
    </w:p>
    <w:p w14:paraId="28A31832" w14:textId="0F6DDD90" w:rsidR="002F398D" w:rsidRDefault="00570037" w:rsidP="00A46166">
      <w:pPr>
        <w:pStyle w:val="BasicParagraph"/>
        <w:suppressAutoHyphens/>
        <w:ind w:left="720" w:hanging="720"/>
        <w:rPr>
          <w:rFonts w:ascii="Verdana" w:hAnsi="Verdana"/>
        </w:rPr>
      </w:pPr>
      <w:r>
        <w:rPr>
          <w:rFonts w:ascii="Verdana" w:hAnsi="Verdana"/>
        </w:rPr>
        <w:t>2.3</w:t>
      </w:r>
      <w:r>
        <w:rPr>
          <w:rFonts w:ascii="Verdana" w:hAnsi="Verdana"/>
        </w:rPr>
        <w:tab/>
      </w:r>
      <w:r w:rsidR="00FE32F1">
        <w:rPr>
          <w:rFonts w:ascii="Verdana" w:hAnsi="Verdana"/>
        </w:rPr>
        <w:t>The combination of Articles 2 and 3 place</w:t>
      </w:r>
      <w:r w:rsidR="003A3059">
        <w:rPr>
          <w:rFonts w:ascii="Verdana" w:hAnsi="Verdana"/>
        </w:rPr>
        <w:t>s</w:t>
      </w:r>
      <w:r w:rsidR="00FE32F1">
        <w:rPr>
          <w:rFonts w:ascii="Verdana" w:hAnsi="Verdana"/>
        </w:rPr>
        <w:t xml:space="preserve"> upon </w:t>
      </w:r>
      <w:r w:rsidR="004D0672" w:rsidRPr="00FB5BA8">
        <w:rPr>
          <w:rFonts w:ascii="Verdana" w:hAnsi="Verdana"/>
        </w:rPr>
        <w:t xml:space="preserve">public authorities </w:t>
      </w:r>
      <w:r w:rsidR="00FE32F1">
        <w:rPr>
          <w:rFonts w:ascii="Verdana" w:hAnsi="Verdana"/>
        </w:rPr>
        <w:t xml:space="preserve">a strict duty </w:t>
      </w:r>
      <w:r w:rsidR="004D0672" w:rsidRPr="00FB5BA8">
        <w:rPr>
          <w:rFonts w:ascii="Verdana" w:hAnsi="Verdana"/>
        </w:rPr>
        <w:t xml:space="preserve">to refrain from intentional and unlawful </w:t>
      </w:r>
      <w:r w:rsidR="004535EE">
        <w:rPr>
          <w:rFonts w:ascii="Verdana" w:hAnsi="Verdana"/>
        </w:rPr>
        <w:t xml:space="preserve">taking of life and causing </w:t>
      </w:r>
      <w:r w:rsidR="00FE32F1">
        <w:rPr>
          <w:rFonts w:ascii="Verdana" w:hAnsi="Verdana"/>
        </w:rPr>
        <w:t>injury</w:t>
      </w:r>
      <w:r w:rsidR="004535EE">
        <w:rPr>
          <w:rFonts w:ascii="Verdana" w:hAnsi="Verdana"/>
        </w:rPr>
        <w:t xml:space="preserve">, abuse or ill-treatment and </w:t>
      </w:r>
      <w:r w:rsidR="004D0672" w:rsidRPr="00FB5BA8">
        <w:rPr>
          <w:rFonts w:ascii="Verdana" w:hAnsi="Verdana"/>
        </w:rPr>
        <w:t>a positive</w:t>
      </w:r>
      <w:r w:rsidR="004D0672">
        <w:rPr>
          <w:rFonts w:ascii="Verdana" w:hAnsi="Verdana"/>
        </w:rPr>
        <w:t xml:space="preserve"> </w:t>
      </w:r>
      <w:r w:rsidR="004D0672" w:rsidRPr="0060646A">
        <w:rPr>
          <w:rFonts w:ascii="Verdana" w:hAnsi="Verdana"/>
        </w:rPr>
        <w:t xml:space="preserve">obligation on the </w:t>
      </w:r>
      <w:r w:rsidR="00FE32F1">
        <w:rPr>
          <w:rFonts w:ascii="Verdana" w:hAnsi="Verdana"/>
        </w:rPr>
        <w:t>S</w:t>
      </w:r>
      <w:r w:rsidR="004D0672" w:rsidRPr="0060646A">
        <w:rPr>
          <w:rFonts w:ascii="Verdana" w:hAnsi="Verdana"/>
        </w:rPr>
        <w:t>tate and its public authorities “to take appropriate steps to safeguard the lives of those within its jurisdiction”.</w:t>
      </w:r>
      <w:r w:rsidR="004D0672">
        <w:rPr>
          <w:rStyle w:val="FootnoteReference"/>
          <w:rFonts w:ascii="Verdana" w:hAnsi="Verdana"/>
        </w:rPr>
        <w:footnoteReference w:id="16"/>
      </w:r>
      <w:r w:rsidR="004D0672">
        <w:rPr>
          <w:rFonts w:ascii="Verdana" w:hAnsi="Verdana"/>
        </w:rPr>
        <w:t xml:space="preserve"> </w:t>
      </w:r>
      <w:r w:rsidR="00FE32F1">
        <w:rPr>
          <w:rFonts w:ascii="Verdana" w:hAnsi="Verdana"/>
        </w:rPr>
        <w:t xml:space="preserve">Integral to </w:t>
      </w:r>
      <w:r w:rsidR="007B18ED">
        <w:rPr>
          <w:rFonts w:ascii="Verdana" w:hAnsi="Verdana"/>
        </w:rPr>
        <w:t xml:space="preserve">protection of </w:t>
      </w:r>
      <w:r w:rsidR="00FE32F1">
        <w:rPr>
          <w:rFonts w:ascii="Verdana" w:hAnsi="Verdana"/>
        </w:rPr>
        <w:t xml:space="preserve">the </w:t>
      </w:r>
      <w:r w:rsidR="003A3059">
        <w:rPr>
          <w:rFonts w:ascii="Verdana" w:hAnsi="Verdana"/>
        </w:rPr>
        <w:t xml:space="preserve">Articles 2 and 3 </w:t>
      </w:r>
      <w:r w:rsidR="00FE32F1">
        <w:rPr>
          <w:rFonts w:ascii="Verdana" w:hAnsi="Verdana"/>
        </w:rPr>
        <w:t xml:space="preserve">substantive rights, </w:t>
      </w:r>
      <w:r w:rsidR="007B18ED">
        <w:rPr>
          <w:rFonts w:ascii="Verdana" w:hAnsi="Verdana"/>
        </w:rPr>
        <w:t>is the corresponding duty to investigate. T</w:t>
      </w:r>
      <w:r w:rsidR="00FE32F1">
        <w:rPr>
          <w:rFonts w:ascii="Verdana" w:hAnsi="Verdana"/>
        </w:rPr>
        <w:t xml:space="preserve">he State bears an obligation to carry out </w:t>
      </w:r>
      <w:r w:rsidR="00AC587E" w:rsidRPr="00AC587E">
        <w:rPr>
          <w:rFonts w:ascii="Verdana" w:hAnsi="Verdana"/>
        </w:rPr>
        <w:t>an effective investigation into alleged breaches</w:t>
      </w:r>
      <w:r w:rsidR="007B18ED">
        <w:rPr>
          <w:rFonts w:ascii="Verdana" w:hAnsi="Verdana"/>
        </w:rPr>
        <w:t xml:space="preserve">. </w:t>
      </w:r>
    </w:p>
    <w:p w14:paraId="2D91DBB2" w14:textId="77777777" w:rsidR="002F398D" w:rsidRDefault="002F398D" w:rsidP="00A46166">
      <w:pPr>
        <w:pStyle w:val="BasicParagraph"/>
        <w:suppressAutoHyphens/>
        <w:ind w:left="720" w:hanging="720"/>
        <w:rPr>
          <w:rFonts w:ascii="Verdana" w:hAnsi="Verdana"/>
        </w:rPr>
      </w:pPr>
    </w:p>
    <w:p w14:paraId="4C77F080" w14:textId="396E251F" w:rsidR="007B18ED" w:rsidRDefault="004D0672" w:rsidP="007B18ED">
      <w:pPr>
        <w:pStyle w:val="BasicParagraph"/>
        <w:suppressAutoHyphens/>
        <w:ind w:left="720" w:hanging="720"/>
        <w:rPr>
          <w:rFonts w:ascii="Verdana" w:hAnsi="Verdana"/>
        </w:rPr>
      </w:pPr>
      <w:r>
        <w:rPr>
          <w:rFonts w:ascii="Verdana" w:hAnsi="Verdana"/>
        </w:rPr>
        <w:t>2.</w:t>
      </w:r>
      <w:r w:rsidR="004F09B8">
        <w:rPr>
          <w:rFonts w:ascii="Verdana" w:hAnsi="Verdana"/>
        </w:rPr>
        <w:t>4</w:t>
      </w:r>
      <w:r>
        <w:rPr>
          <w:rFonts w:ascii="Verdana" w:hAnsi="Verdana"/>
        </w:rPr>
        <w:tab/>
      </w:r>
      <w:r w:rsidRPr="008B3418">
        <w:rPr>
          <w:rFonts w:ascii="Verdana" w:hAnsi="Verdana"/>
        </w:rPr>
        <w:t>Article 3 ECHR states that, “no one shall be subjected to torture or to inhuman or degrading treatment or punishment”. It is an absolute right from which there can be no derogation.</w:t>
      </w:r>
      <w:r>
        <w:rPr>
          <w:rFonts w:ascii="Verdana" w:hAnsi="Verdana"/>
        </w:rPr>
        <w:t xml:space="preserve"> Jurisprudence from the</w:t>
      </w:r>
      <w:r w:rsidRPr="00947CB0">
        <w:rPr>
          <w:rFonts w:ascii="Verdana" w:hAnsi="Verdana"/>
        </w:rPr>
        <w:t xml:space="preserve"> European Court of Human Rights (ECtHR) identifies a positive obligation on the state to take measures to prevent </w:t>
      </w:r>
      <w:r>
        <w:rPr>
          <w:rFonts w:ascii="Verdana" w:hAnsi="Verdana"/>
        </w:rPr>
        <w:t>breaches and “</w:t>
      </w:r>
      <w:r w:rsidRPr="00A502B9">
        <w:rPr>
          <w:rFonts w:ascii="Verdana" w:hAnsi="Verdana"/>
        </w:rPr>
        <w:t>provide effective protection, in particular, of children and other vulnerable persons</w:t>
      </w:r>
      <w:r>
        <w:rPr>
          <w:rFonts w:ascii="Verdana" w:hAnsi="Verdana"/>
        </w:rPr>
        <w:t>”</w:t>
      </w:r>
      <w:r w:rsidRPr="00A502B9">
        <w:rPr>
          <w:rFonts w:ascii="Verdana" w:hAnsi="Verdana"/>
        </w:rPr>
        <w:t>.</w:t>
      </w:r>
      <w:r>
        <w:rPr>
          <w:rStyle w:val="FootnoteReference"/>
          <w:rFonts w:ascii="Verdana" w:hAnsi="Verdana"/>
        </w:rPr>
        <w:footnoteReference w:id="17"/>
      </w:r>
      <w:r w:rsidR="004F09B8">
        <w:rPr>
          <w:rFonts w:ascii="Verdana" w:hAnsi="Verdana"/>
        </w:rPr>
        <w:t xml:space="preserve"> </w:t>
      </w:r>
      <w:r w:rsidR="007B18ED">
        <w:rPr>
          <w:rFonts w:ascii="Verdana" w:hAnsi="Verdana"/>
        </w:rPr>
        <w:t xml:space="preserve">Moreover, there is required to be in place appropriate procedures to identify and thereafter </w:t>
      </w:r>
      <w:r w:rsidR="007B18ED">
        <w:rPr>
          <w:rFonts w:ascii="Verdana" w:hAnsi="Verdana"/>
        </w:rPr>
        <w:lastRenderedPageBreak/>
        <w:t>address suspected instances of abuse or ill treatment. This duty is more than merely passive.</w:t>
      </w:r>
    </w:p>
    <w:p w14:paraId="4BE0B5BA" w14:textId="77777777" w:rsidR="004535EE" w:rsidRDefault="004535EE" w:rsidP="004D0672">
      <w:pPr>
        <w:pStyle w:val="BasicParagraph"/>
        <w:suppressAutoHyphens/>
        <w:ind w:left="720" w:hanging="720"/>
        <w:rPr>
          <w:rFonts w:ascii="Verdana" w:hAnsi="Verdana"/>
        </w:rPr>
      </w:pPr>
    </w:p>
    <w:p w14:paraId="62F62205" w14:textId="2DADE22A" w:rsidR="004D0672" w:rsidRPr="008B3418" w:rsidRDefault="004535EE" w:rsidP="004D0672">
      <w:pPr>
        <w:pStyle w:val="BasicParagraph"/>
        <w:suppressAutoHyphens/>
        <w:ind w:left="720" w:hanging="720"/>
        <w:rPr>
          <w:rFonts w:ascii="Verdana" w:hAnsi="Verdana"/>
        </w:rPr>
      </w:pPr>
      <w:r>
        <w:rPr>
          <w:rFonts w:ascii="Verdana" w:hAnsi="Verdana"/>
        </w:rPr>
        <w:t>2.5</w:t>
      </w:r>
      <w:r>
        <w:rPr>
          <w:rFonts w:ascii="Verdana" w:hAnsi="Verdana"/>
        </w:rPr>
        <w:tab/>
      </w:r>
      <w:r w:rsidR="00340235">
        <w:rPr>
          <w:rFonts w:ascii="Verdana" w:hAnsi="Verdana"/>
        </w:rPr>
        <w:t xml:space="preserve">A minimum threshold of severity is required </w:t>
      </w:r>
      <w:r w:rsidR="004F09B8">
        <w:rPr>
          <w:rFonts w:ascii="Verdana" w:hAnsi="Verdana"/>
        </w:rPr>
        <w:t xml:space="preserve">before </w:t>
      </w:r>
      <w:r w:rsidR="00340235">
        <w:rPr>
          <w:rFonts w:ascii="Verdana" w:hAnsi="Verdana"/>
        </w:rPr>
        <w:t xml:space="preserve">Article 3 ECHR </w:t>
      </w:r>
      <w:r w:rsidR="004F09B8">
        <w:rPr>
          <w:rFonts w:ascii="Verdana" w:hAnsi="Verdana"/>
        </w:rPr>
        <w:t xml:space="preserve">bites. </w:t>
      </w:r>
      <w:r w:rsidR="004D0672">
        <w:rPr>
          <w:rFonts w:ascii="Verdana" w:hAnsi="Verdana"/>
        </w:rPr>
        <w:t>I</w:t>
      </w:r>
      <w:r w:rsidR="004D0672" w:rsidRPr="00285F92">
        <w:rPr>
          <w:rFonts w:ascii="Verdana" w:hAnsi="Verdana"/>
        </w:rPr>
        <w:t xml:space="preserve">n deciding if treatment reaches the ‘threshold’ of being inhuman or degrading, the court </w:t>
      </w:r>
      <w:r w:rsidR="004560CC">
        <w:rPr>
          <w:rFonts w:ascii="Verdana" w:hAnsi="Verdana"/>
        </w:rPr>
        <w:t xml:space="preserve">has stated </w:t>
      </w:r>
      <w:r w:rsidR="00FB3802">
        <w:rPr>
          <w:rFonts w:ascii="Verdana" w:hAnsi="Verdana"/>
        </w:rPr>
        <w:t>“</w:t>
      </w:r>
      <w:r w:rsidR="00FB3802" w:rsidRPr="00FB3802">
        <w:rPr>
          <w:rFonts w:ascii="Verdana" w:hAnsi="Verdana"/>
        </w:rPr>
        <w:t>it depends on all the circumstances of the case, such as the nature and context of the treatment or punishment, the manner and method of its execution, its duration, its physical or mental effects and, in some instances, the sex, age and state of health of the victim</w:t>
      </w:r>
      <w:r w:rsidR="00FB3802">
        <w:rPr>
          <w:rFonts w:ascii="Verdana" w:hAnsi="Verdana"/>
        </w:rPr>
        <w:t>”.</w:t>
      </w:r>
      <w:r w:rsidR="00C33BC5">
        <w:rPr>
          <w:rStyle w:val="FootnoteReference"/>
          <w:rFonts w:ascii="Verdana" w:hAnsi="Verdana"/>
        </w:rPr>
        <w:footnoteReference w:id="18"/>
      </w:r>
      <w:r>
        <w:rPr>
          <w:rFonts w:ascii="Verdana" w:hAnsi="Verdana"/>
        </w:rPr>
        <w:t xml:space="preserve"> </w:t>
      </w:r>
      <w:r w:rsidR="004F09B8">
        <w:rPr>
          <w:rFonts w:ascii="Verdana" w:hAnsi="Verdana"/>
        </w:rPr>
        <w:t>In other words, in assessing whether treatment comes within Article 3</w:t>
      </w:r>
      <w:r>
        <w:rPr>
          <w:rFonts w:ascii="Verdana" w:hAnsi="Verdana"/>
        </w:rPr>
        <w:t xml:space="preserve"> it is the </w:t>
      </w:r>
      <w:r w:rsidR="004D0672">
        <w:rPr>
          <w:rFonts w:ascii="Verdana" w:hAnsi="Verdana"/>
        </w:rPr>
        <w:t>impact of the treatment on the individual concerned</w:t>
      </w:r>
      <w:r>
        <w:rPr>
          <w:rFonts w:ascii="Verdana" w:hAnsi="Verdana"/>
        </w:rPr>
        <w:t xml:space="preserve"> which is measured</w:t>
      </w:r>
      <w:r w:rsidR="004D0672">
        <w:rPr>
          <w:rFonts w:ascii="Verdana" w:hAnsi="Verdana"/>
        </w:rPr>
        <w:t xml:space="preserve">. </w:t>
      </w:r>
      <w:r>
        <w:rPr>
          <w:rFonts w:ascii="Verdana" w:hAnsi="Verdana"/>
        </w:rPr>
        <w:t xml:space="preserve">For example, the </w:t>
      </w:r>
      <w:r w:rsidR="004D0672">
        <w:rPr>
          <w:rFonts w:ascii="Verdana" w:hAnsi="Verdana"/>
        </w:rPr>
        <w:t>ECtHR</w:t>
      </w:r>
      <w:r w:rsidR="004D0672" w:rsidRPr="00F52370">
        <w:rPr>
          <w:rFonts w:ascii="Verdana" w:hAnsi="Verdana"/>
        </w:rPr>
        <w:t xml:space="preserve"> has held that </w:t>
      </w:r>
      <w:r>
        <w:rPr>
          <w:rFonts w:ascii="Verdana" w:hAnsi="Verdana"/>
        </w:rPr>
        <w:t xml:space="preserve">“degrading treatment” </w:t>
      </w:r>
      <w:r w:rsidR="004D0672" w:rsidRPr="00F52370">
        <w:rPr>
          <w:rFonts w:ascii="Verdana" w:hAnsi="Verdana"/>
        </w:rPr>
        <w:t xml:space="preserve">may well </w:t>
      </w:r>
      <w:r w:rsidR="004F09B8">
        <w:rPr>
          <w:rFonts w:ascii="Verdana" w:hAnsi="Verdana"/>
        </w:rPr>
        <w:t xml:space="preserve">include situations where a person </w:t>
      </w:r>
      <w:r w:rsidR="004D0672" w:rsidRPr="00F52370">
        <w:rPr>
          <w:rFonts w:ascii="Verdana" w:hAnsi="Verdana"/>
        </w:rPr>
        <w:t>is humiliated in his or her own eyes, even if not in the eyes of others.</w:t>
      </w:r>
      <w:r w:rsidR="004D0672">
        <w:rPr>
          <w:rStyle w:val="FootnoteReference"/>
          <w:rFonts w:ascii="Verdana" w:hAnsi="Verdana"/>
        </w:rPr>
        <w:footnoteReference w:id="19"/>
      </w:r>
    </w:p>
    <w:p w14:paraId="1783F95A" w14:textId="77777777" w:rsidR="004D0672" w:rsidRDefault="004D0672" w:rsidP="004D0672">
      <w:pPr>
        <w:pStyle w:val="BasicParagraph"/>
        <w:suppressAutoHyphens/>
        <w:rPr>
          <w:rFonts w:ascii="Verdana" w:hAnsi="Verdana"/>
        </w:rPr>
      </w:pPr>
    </w:p>
    <w:p w14:paraId="3D01BBE0" w14:textId="1E6967D1" w:rsidR="004D0672" w:rsidRPr="001F7740" w:rsidRDefault="004D0672" w:rsidP="004D0672">
      <w:pPr>
        <w:pStyle w:val="BasicParagraph"/>
        <w:suppressAutoHyphens/>
        <w:ind w:left="720" w:hanging="720"/>
        <w:rPr>
          <w:rFonts w:ascii="Verdana" w:hAnsi="Verdana" w:cs="Arial"/>
          <w:i/>
          <w:iCs/>
          <w:color w:val="auto"/>
        </w:rPr>
      </w:pPr>
      <w:r w:rsidRPr="00F9186D">
        <w:rPr>
          <w:rFonts w:ascii="Verdana" w:hAnsi="Verdana" w:cs="Arial"/>
          <w:i/>
          <w:iCs/>
          <w:color w:val="auto"/>
        </w:rPr>
        <w:t>Right to liberty and security of the person</w:t>
      </w:r>
      <w:r w:rsidR="003B6F48">
        <w:rPr>
          <w:rFonts w:ascii="Verdana" w:hAnsi="Verdana" w:cs="Arial"/>
          <w:i/>
          <w:iCs/>
          <w:color w:val="auto"/>
        </w:rPr>
        <w:t>,</w:t>
      </w:r>
      <w:r w:rsidR="007B18ED">
        <w:rPr>
          <w:rFonts w:ascii="Verdana" w:hAnsi="Verdana" w:cs="Arial"/>
          <w:i/>
          <w:iCs/>
          <w:color w:val="auto"/>
        </w:rPr>
        <w:t xml:space="preserve"> Article 5</w:t>
      </w:r>
    </w:p>
    <w:p w14:paraId="2A3CCC80" w14:textId="45B29943" w:rsidR="007B18ED" w:rsidRPr="00F117C0" w:rsidRDefault="004D0672" w:rsidP="007B18ED">
      <w:pPr>
        <w:pStyle w:val="BasicParagraph"/>
        <w:suppressAutoHyphens/>
        <w:ind w:left="720" w:hanging="720"/>
        <w:rPr>
          <w:rFonts w:ascii="Verdana" w:hAnsi="Verdana"/>
        </w:rPr>
      </w:pPr>
      <w:r>
        <w:rPr>
          <w:rFonts w:ascii="Verdana" w:hAnsi="Verdana" w:cs="Arial"/>
          <w:color w:val="232120"/>
        </w:rPr>
        <w:t>2.</w:t>
      </w:r>
      <w:r w:rsidR="00805A53">
        <w:rPr>
          <w:rFonts w:ascii="Verdana" w:hAnsi="Verdana" w:cs="Arial"/>
          <w:color w:val="232120"/>
        </w:rPr>
        <w:t>6</w:t>
      </w:r>
      <w:r>
        <w:rPr>
          <w:rFonts w:ascii="Verdana" w:hAnsi="Verdana" w:cs="Arial"/>
          <w:color w:val="232120"/>
        </w:rPr>
        <w:tab/>
      </w:r>
      <w:r w:rsidRPr="00396124">
        <w:rPr>
          <w:rFonts w:ascii="Verdana" w:hAnsi="Verdana" w:cs="Arial"/>
          <w:color w:val="232120"/>
        </w:rPr>
        <w:t xml:space="preserve">Article 5 ECHR </w:t>
      </w:r>
      <w:r w:rsidRPr="00396124">
        <w:rPr>
          <w:rFonts w:ascii="Verdana" w:hAnsi="Verdana"/>
        </w:rPr>
        <w:t>states that “everyone has the right to liberty and security of person”.</w:t>
      </w:r>
      <w:r w:rsidRPr="00396124">
        <w:rPr>
          <w:rStyle w:val="FootnoteReference"/>
          <w:rFonts w:ascii="Verdana" w:hAnsi="Verdana"/>
        </w:rPr>
        <w:footnoteReference w:id="20"/>
      </w:r>
      <w:r w:rsidRPr="00396124">
        <w:rPr>
          <w:rFonts w:ascii="Verdana" w:hAnsi="Verdana"/>
        </w:rPr>
        <w:t xml:space="preserve"> </w:t>
      </w:r>
      <w:r w:rsidRPr="00D74B92">
        <w:rPr>
          <w:rFonts w:ascii="Verdana" w:hAnsi="Verdana"/>
        </w:rPr>
        <w:t>As a qualified right, limitations are allowed if they are lawful</w:t>
      </w:r>
      <w:r>
        <w:rPr>
          <w:rFonts w:ascii="Verdana" w:hAnsi="Verdana"/>
        </w:rPr>
        <w:t xml:space="preserve">, proportionate, </w:t>
      </w:r>
      <w:r w:rsidRPr="00D74B92">
        <w:rPr>
          <w:rFonts w:ascii="Verdana" w:hAnsi="Verdana"/>
        </w:rPr>
        <w:t xml:space="preserve">and necessary for the protection of one of the objectives set out in </w:t>
      </w:r>
      <w:r w:rsidR="00480A01">
        <w:rPr>
          <w:rFonts w:ascii="Verdana" w:hAnsi="Verdana"/>
        </w:rPr>
        <w:t xml:space="preserve">the text of </w:t>
      </w:r>
      <w:r w:rsidRPr="00D74B92">
        <w:rPr>
          <w:rFonts w:ascii="Verdana" w:hAnsi="Verdana"/>
        </w:rPr>
        <w:t>Article 5(</w:t>
      </w:r>
      <w:r w:rsidR="00353684">
        <w:rPr>
          <w:rFonts w:ascii="Verdana" w:hAnsi="Verdana"/>
        </w:rPr>
        <w:t>1</w:t>
      </w:r>
      <w:r w:rsidRPr="00D74B92">
        <w:rPr>
          <w:rFonts w:ascii="Verdana" w:hAnsi="Verdana"/>
        </w:rPr>
        <w:t>) ECHR.</w:t>
      </w:r>
      <w:r>
        <w:rPr>
          <w:rFonts w:ascii="Verdana" w:hAnsi="Verdana"/>
        </w:rPr>
        <w:t xml:space="preserve"> The </w:t>
      </w:r>
      <w:r w:rsidRPr="00396124">
        <w:rPr>
          <w:rFonts w:ascii="Verdana" w:hAnsi="Verdana"/>
        </w:rPr>
        <w:t xml:space="preserve">ECtHR has identified three </w:t>
      </w:r>
      <w:r w:rsidR="007B18ED">
        <w:rPr>
          <w:rFonts w:ascii="Verdana" w:hAnsi="Verdana"/>
        </w:rPr>
        <w:t xml:space="preserve">essential </w:t>
      </w:r>
      <w:r w:rsidRPr="00396124">
        <w:rPr>
          <w:rFonts w:ascii="Verdana" w:hAnsi="Verdana"/>
        </w:rPr>
        <w:t>components</w:t>
      </w:r>
      <w:r w:rsidR="007B18ED">
        <w:rPr>
          <w:rFonts w:ascii="Verdana" w:hAnsi="Verdana"/>
        </w:rPr>
        <w:t>:</w:t>
      </w:r>
      <w:r w:rsidRPr="00396124">
        <w:rPr>
          <w:rFonts w:ascii="Verdana" w:hAnsi="Verdana"/>
        </w:rPr>
        <w:t xml:space="preserve"> </w:t>
      </w:r>
      <w:r w:rsidR="007B18ED">
        <w:rPr>
          <w:rFonts w:ascii="Verdana" w:hAnsi="Verdana"/>
        </w:rPr>
        <w:t>(</w:t>
      </w:r>
      <w:proofErr w:type="spellStart"/>
      <w:r w:rsidR="007B18ED">
        <w:rPr>
          <w:rFonts w:ascii="Verdana" w:hAnsi="Verdana"/>
        </w:rPr>
        <w:t>i</w:t>
      </w:r>
      <w:proofErr w:type="spellEnd"/>
      <w:r w:rsidR="007B18ED">
        <w:rPr>
          <w:rFonts w:ascii="Verdana" w:hAnsi="Verdana"/>
        </w:rPr>
        <w:t xml:space="preserve">) </w:t>
      </w:r>
      <w:r w:rsidRPr="00396124">
        <w:rPr>
          <w:rFonts w:ascii="Verdana" w:hAnsi="Verdana"/>
        </w:rPr>
        <w:t xml:space="preserve">confinement in a restricted place for a not negligible period of time; </w:t>
      </w:r>
      <w:r w:rsidR="007B18ED">
        <w:rPr>
          <w:rFonts w:ascii="Verdana" w:hAnsi="Verdana"/>
        </w:rPr>
        <w:t xml:space="preserve">(ii) </w:t>
      </w:r>
      <w:r w:rsidRPr="00396124">
        <w:rPr>
          <w:rFonts w:ascii="Verdana" w:hAnsi="Verdana"/>
        </w:rPr>
        <w:t>a lack of valid consent; and</w:t>
      </w:r>
      <w:r w:rsidR="007B18ED">
        <w:rPr>
          <w:rFonts w:ascii="Verdana" w:hAnsi="Verdana"/>
        </w:rPr>
        <w:t xml:space="preserve"> (iii)</w:t>
      </w:r>
      <w:r w:rsidRPr="00396124">
        <w:rPr>
          <w:rFonts w:ascii="Verdana" w:hAnsi="Verdana"/>
        </w:rPr>
        <w:t xml:space="preserve"> the</w:t>
      </w:r>
      <w:r>
        <w:rPr>
          <w:rFonts w:ascii="Verdana" w:hAnsi="Verdana"/>
        </w:rPr>
        <w:t xml:space="preserve"> </w:t>
      </w:r>
      <w:r w:rsidRPr="00396124">
        <w:rPr>
          <w:rFonts w:ascii="Verdana" w:hAnsi="Verdana"/>
        </w:rPr>
        <w:t>confinement is</w:t>
      </w:r>
      <w:r w:rsidRPr="00B72ABB">
        <w:t xml:space="preserve"> </w:t>
      </w:r>
      <w:r w:rsidRPr="00B72ABB">
        <w:rPr>
          <w:rFonts w:ascii="Verdana" w:hAnsi="Verdana"/>
        </w:rPr>
        <w:t>attributable to the state.</w:t>
      </w:r>
      <w:r>
        <w:rPr>
          <w:rStyle w:val="FootnoteReference"/>
          <w:rFonts w:ascii="Verdana" w:hAnsi="Verdana"/>
        </w:rPr>
        <w:footnoteReference w:id="21"/>
      </w:r>
      <w:r>
        <w:rPr>
          <w:rFonts w:ascii="Verdana" w:hAnsi="Verdana"/>
        </w:rPr>
        <w:t xml:space="preserve"> </w:t>
      </w:r>
      <w:r w:rsidRPr="002D4413">
        <w:rPr>
          <w:rFonts w:ascii="Verdana" w:hAnsi="Verdana"/>
        </w:rPr>
        <w:t>The UK Supreme Court has indicated that compliance should not be assumed to be consent.</w:t>
      </w:r>
      <w:r>
        <w:rPr>
          <w:rStyle w:val="FootnoteReference"/>
          <w:rFonts w:ascii="Verdana" w:hAnsi="Verdana"/>
        </w:rPr>
        <w:footnoteReference w:id="22"/>
      </w:r>
      <w:r w:rsidR="007B18ED" w:rsidRPr="007B18ED">
        <w:rPr>
          <w:rFonts w:ascii="Verdana" w:hAnsi="Verdana"/>
        </w:rPr>
        <w:t xml:space="preserve"> </w:t>
      </w:r>
      <w:r w:rsidR="007B18ED" w:rsidRPr="00F117C0">
        <w:rPr>
          <w:rFonts w:ascii="Verdana" w:hAnsi="Verdana"/>
        </w:rPr>
        <w:t>For rights under Article 5 to be engaged it is not necessary for an individual to be held under locked conditions. Preventing their movement</w:t>
      </w:r>
      <w:r w:rsidR="007B18ED">
        <w:rPr>
          <w:rFonts w:ascii="Verdana" w:hAnsi="Verdana"/>
        </w:rPr>
        <w:t xml:space="preserve">, whether by use of physical, chemical or environmental restraints, </w:t>
      </w:r>
      <w:r w:rsidR="007B18ED" w:rsidRPr="00F117C0">
        <w:rPr>
          <w:rFonts w:ascii="Verdana" w:hAnsi="Verdana"/>
        </w:rPr>
        <w:t xml:space="preserve">for a period of time </w:t>
      </w:r>
      <w:r w:rsidR="003B6F48">
        <w:rPr>
          <w:rFonts w:ascii="Verdana" w:hAnsi="Verdana"/>
        </w:rPr>
        <w:t>may</w:t>
      </w:r>
      <w:r w:rsidR="007B18ED" w:rsidRPr="00F117C0">
        <w:rPr>
          <w:rFonts w:ascii="Verdana" w:hAnsi="Verdana"/>
        </w:rPr>
        <w:t xml:space="preserve"> engage an individual’s right to liberty.</w:t>
      </w:r>
      <w:r w:rsidR="007B18ED" w:rsidRPr="00F117C0">
        <w:rPr>
          <w:rStyle w:val="FootnoteReference"/>
          <w:rFonts w:ascii="Verdana" w:hAnsi="Verdana"/>
        </w:rPr>
        <w:footnoteReference w:id="23"/>
      </w:r>
      <w:r w:rsidR="007B18ED">
        <w:rPr>
          <w:rFonts w:ascii="Verdana" w:hAnsi="Verdana"/>
        </w:rPr>
        <w:t xml:space="preserve"> </w:t>
      </w:r>
    </w:p>
    <w:p w14:paraId="6AD6C2E5" w14:textId="797E1919" w:rsidR="004D0672" w:rsidRDefault="004D0672" w:rsidP="004D0672">
      <w:pPr>
        <w:pStyle w:val="BasicParagraph"/>
        <w:suppressAutoHyphens/>
        <w:ind w:left="720" w:hanging="720"/>
        <w:rPr>
          <w:rFonts w:ascii="Verdana" w:hAnsi="Verdana"/>
        </w:rPr>
      </w:pPr>
    </w:p>
    <w:p w14:paraId="3325CD7F" w14:textId="42724D6E" w:rsidR="004D0672" w:rsidRDefault="004D0672" w:rsidP="004D0672">
      <w:pPr>
        <w:pStyle w:val="BasicParagraph"/>
        <w:suppressAutoHyphens/>
        <w:ind w:left="720" w:hanging="720"/>
        <w:rPr>
          <w:rFonts w:ascii="Verdana" w:hAnsi="Verdana"/>
          <w:color w:val="auto"/>
          <w:shd w:val="clear" w:color="auto" w:fill="FFFFFF"/>
        </w:rPr>
      </w:pPr>
      <w:r>
        <w:rPr>
          <w:rFonts w:ascii="Verdana" w:hAnsi="Verdana"/>
          <w:color w:val="auto"/>
          <w:shd w:val="clear" w:color="auto" w:fill="FFFFFF"/>
        </w:rPr>
        <w:t>2.</w:t>
      </w:r>
      <w:r w:rsidR="00805A53">
        <w:rPr>
          <w:rFonts w:ascii="Verdana" w:hAnsi="Verdana"/>
          <w:color w:val="auto"/>
          <w:shd w:val="clear" w:color="auto" w:fill="FFFFFF"/>
        </w:rPr>
        <w:t>7</w:t>
      </w:r>
      <w:r>
        <w:rPr>
          <w:rFonts w:ascii="Verdana" w:hAnsi="Verdana"/>
          <w:color w:val="auto"/>
          <w:shd w:val="clear" w:color="auto" w:fill="FFFFFF"/>
        </w:rPr>
        <w:tab/>
      </w:r>
      <w:r w:rsidR="003B6F48">
        <w:rPr>
          <w:rFonts w:ascii="Verdana" w:hAnsi="Verdana"/>
          <w:color w:val="auto"/>
          <w:shd w:val="clear" w:color="auto" w:fill="FFFFFF"/>
        </w:rPr>
        <w:t xml:space="preserve">There is a difference between </w:t>
      </w:r>
      <w:r w:rsidRPr="00AB3007">
        <w:rPr>
          <w:rFonts w:ascii="Verdana" w:hAnsi="Verdana"/>
          <w:color w:val="auto"/>
          <w:shd w:val="clear" w:color="auto" w:fill="FFFFFF"/>
        </w:rPr>
        <w:t xml:space="preserve">deprivation of </w:t>
      </w:r>
      <w:r>
        <w:rPr>
          <w:rFonts w:ascii="Verdana" w:hAnsi="Verdana"/>
          <w:color w:val="auto"/>
          <w:shd w:val="clear" w:color="auto" w:fill="FFFFFF"/>
        </w:rPr>
        <w:t xml:space="preserve">liberty </w:t>
      </w:r>
      <w:r w:rsidRPr="00AB3007">
        <w:rPr>
          <w:rFonts w:ascii="Verdana" w:hAnsi="Verdana"/>
          <w:color w:val="auto"/>
          <w:shd w:val="clear" w:color="auto" w:fill="FFFFFF"/>
        </w:rPr>
        <w:t>and restriction upon liberty</w:t>
      </w:r>
      <w:r w:rsidR="003B6F48">
        <w:rPr>
          <w:rFonts w:ascii="Verdana" w:hAnsi="Verdana"/>
          <w:color w:val="auto"/>
          <w:shd w:val="clear" w:color="auto" w:fill="FFFFFF"/>
        </w:rPr>
        <w:t>. The ECtHR observed however</w:t>
      </w:r>
      <w:r>
        <w:rPr>
          <w:rFonts w:ascii="Verdana" w:hAnsi="Verdana"/>
          <w:color w:val="auto"/>
          <w:shd w:val="clear" w:color="auto" w:fill="FFFFFF"/>
        </w:rPr>
        <w:t xml:space="preserve"> it is “</w:t>
      </w:r>
      <w:r w:rsidRPr="00AB3007">
        <w:rPr>
          <w:rFonts w:ascii="Verdana" w:hAnsi="Verdana"/>
          <w:color w:val="auto"/>
          <w:shd w:val="clear" w:color="auto" w:fill="FFFFFF"/>
        </w:rPr>
        <w:t>one of degree or intensity" and "account must be taken of a whole range of criteria such as the type, duration, effects and manner of implementation of the measure in question".</w:t>
      </w:r>
      <w:r w:rsidRPr="00AB3007">
        <w:rPr>
          <w:rStyle w:val="FootnoteReference"/>
          <w:rFonts w:ascii="Verdana" w:hAnsi="Verdana"/>
          <w:color w:val="auto"/>
          <w:shd w:val="clear" w:color="auto" w:fill="FFFFFF"/>
        </w:rPr>
        <w:footnoteReference w:id="24"/>
      </w:r>
    </w:p>
    <w:p w14:paraId="4C49623E" w14:textId="77777777" w:rsidR="004D0672" w:rsidRDefault="004D0672" w:rsidP="004D0672">
      <w:pPr>
        <w:pStyle w:val="BasicParagraph"/>
        <w:suppressAutoHyphens/>
        <w:rPr>
          <w:rFonts w:ascii="Verdana" w:hAnsi="Verdana"/>
        </w:rPr>
      </w:pPr>
    </w:p>
    <w:p w14:paraId="364ACDF3" w14:textId="23B2D385" w:rsidR="004D0672" w:rsidRDefault="004D0672" w:rsidP="004D0672">
      <w:pPr>
        <w:pStyle w:val="BasicParagraph"/>
        <w:suppressAutoHyphens/>
        <w:ind w:left="720" w:hanging="720"/>
        <w:rPr>
          <w:rFonts w:ascii="Verdana" w:hAnsi="Verdana"/>
          <w:i/>
          <w:iCs/>
        </w:rPr>
      </w:pPr>
      <w:r>
        <w:rPr>
          <w:rFonts w:ascii="Verdana" w:hAnsi="Verdana"/>
          <w:i/>
          <w:iCs/>
        </w:rPr>
        <w:t>Respect for</w:t>
      </w:r>
      <w:r w:rsidRPr="00D62DF5">
        <w:rPr>
          <w:rFonts w:ascii="Verdana" w:hAnsi="Verdana"/>
          <w:i/>
          <w:iCs/>
        </w:rPr>
        <w:t xml:space="preserve"> private and family life</w:t>
      </w:r>
      <w:r w:rsidR="003B6F48">
        <w:rPr>
          <w:rFonts w:ascii="Verdana" w:hAnsi="Verdana"/>
          <w:i/>
          <w:iCs/>
        </w:rPr>
        <w:t>, Article 8</w:t>
      </w:r>
    </w:p>
    <w:p w14:paraId="6ECBAC8E" w14:textId="534AA626" w:rsidR="004D0672" w:rsidRDefault="004D0672" w:rsidP="004D0672">
      <w:pPr>
        <w:pStyle w:val="BasicParagraph"/>
        <w:suppressAutoHyphens/>
        <w:ind w:left="720" w:hanging="720"/>
        <w:rPr>
          <w:rFonts w:ascii="Verdana" w:hAnsi="Verdana" w:cs="Arial"/>
          <w:color w:val="auto"/>
        </w:rPr>
      </w:pPr>
      <w:r>
        <w:rPr>
          <w:rFonts w:ascii="Verdana" w:hAnsi="Verdana" w:cs="Arial"/>
          <w:color w:val="auto"/>
        </w:rPr>
        <w:t>2.</w:t>
      </w:r>
      <w:r w:rsidR="00805A53">
        <w:rPr>
          <w:rFonts w:ascii="Verdana" w:hAnsi="Verdana" w:cs="Arial"/>
          <w:color w:val="auto"/>
        </w:rPr>
        <w:t>8</w:t>
      </w:r>
      <w:r>
        <w:rPr>
          <w:rFonts w:ascii="Verdana" w:hAnsi="Verdana" w:cs="Arial"/>
          <w:color w:val="auto"/>
        </w:rPr>
        <w:tab/>
        <w:t xml:space="preserve">Article 8 ECHR protects against </w:t>
      </w:r>
      <w:r w:rsidRPr="00EC7944">
        <w:rPr>
          <w:rFonts w:ascii="Verdana" w:hAnsi="Verdana" w:cs="Arial"/>
          <w:color w:val="auto"/>
        </w:rPr>
        <w:t>arbitrary interferences with private and family life, home, and correspondence by a public authority. Article 8</w:t>
      </w:r>
      <w:r>
        <w:rPr>
          <w:rFonts w:ascii="Verdana" w:hAnsi="Verdana" w:cs="Arial"/>
          <w:color w:val="auto"/>
        </w:rPr>
        <w:t xml:space="preserve"> </w:t>
      </w:r>
      <w:r w:rsidRPr="00EC7944">
        <w:rPr>
          <w:rFonts w:ascii="Verdana" w:hAnsi="Verdana" w:cs="Arial"/>
          <w:color w:val="auto"/>
        </w:rPr>
        <w:t>is a qualified right, which means that departure from the strict requirements may be permissible in certain limited circumstances.</w:t>
      </w:r>
    </w:p>
    <w:p w14:paraId="16A7B627" w14:textId="77777777" w:rsidR="004D0672" w:rsidRDefault="004D0672" w:rsidP="004D0672">
      <w:pPr>
        <w:pStyle w:val="BasicParagraph"/>
        <w:suppressAutoHyphens/>
        <w:ind w:left="720" w:hanging="720"/>
        <w:rPr>
          <w:rFonts w:ascii="Verdana" w:hAnsi="Verdana" w:cs="Arial"/>
          <w:color w:val="auto"/>
        </w:rPr>
      </w:pPr>
    </w:p>
    <w:p w14:paraId="3B03C5AB" w14:textId="69409015" w:rsidR="004D0672" w:rsidRDefault="004D0672" w:rsidP="004D0672">
      <w:pPr>
        <w:pStyle w:val="BasicParagraph"/>
        <w:suppressAutoHyphens/>
        <w:ind w:left="720" w:hanging="720"/>
        <w:rPr>
          <w:rFonts w:ascii="Verdana" w:hAnsi="Verdana"/>
        </w:rPr>
      </w:pPr>
      <w:r>
        <w:rPr>
          <w:rFonts w:ascii="Verdana" w:hAnsi="Verdana"/>
        </w:rPr>
        <w:t>2.</w:t>
      </w:r>
      <w:r w:rsidR="00805A53">
        <w:rPr>
          <w:rFonts w:ascii="Verdana" w:hAnsi="Verdana"/>
        </w:rPr>
        <w:t>9</w:t>
      </w:r>
      <w:r>
        <w:rPr>
          <w:rFonts w:ascii="Verdana" w:hAnsi="Verdana"/>
        </w:rPr>
        <w:tab/>
      </w:r>
      <w:r w:rsidRPr="00217A7B">
        <w:rPr>
          <w:rFonts w:ascii="Verdana" w:hAnsi="Verdana"/>
        </w:rPr>
        <w:t>Conditions upon which a State may interfere with the enjoyment of a protected right are set out in Article 8(2) of the ECHR. Limitations are allowed if they are “in accordance with the law” or “prescribed by law” and are “necessary in a democratic society” for the protection of one of the objectives set out in Article 8(2) of the ECHR.</w:t>
      </w:r>
      <w:r>
        <w:rPr>
          <w:rFonts w:ascii="Verdana" w:hAnsi="Verdana"/>
        </w:rPr>
        <w:t xml:space="preserve"> </w:t>
      </w:r>
      <w:r w:rsidRPr="007478F3">
        <w:rPr>
          <w:rFonts w:ascii="Verdana" w:hAnsi="Verdana"/>
        </w:rPr>
        <w:t xml:space="preserve">Even </w:t>
      </w:r>
      <w:r w:rsidR="003B6F48">
        <w:rPr>
          <w:rFonts w:ascii="Verdana" w:hAnsi="Verdana"/>
        </w:rPr>
        <w:t xml:space="preserve">if there is a </w:t>
      </w:r>
      <w:r w:rsidRPr="007478F3">
        <w:rPr>
          <w:rFonts w:ascii="Verdana" w:hAnsi="Verdana"/>
        </w:rPr>
        <w:t xml:space="preserve">legitimate reason for </w:t>
      </w:r>
      <w:r w:rsidR="00CA261D">
        <w:rPr>
          <w:rFonts w:ascii="Verdana" w:hAnsi="Verdana"/>
        </w:rPr>
        <w:t xml:space="preserve">imposing </w:t>
      </w:r>
      <w:r w:rsidRPr="007478F3">
        <w:rPr>
          <w:rFonts w:ascii="Verdana" w:hAnsi="Verdana"/>
        </w:rPr>
        <w:t xml:space="preserve">a restriction, the </w:t>
      </w:r>
      <w:r w:rsidR="00CA261D">
        <w:rPr>
          <w:rFonts w:ascii="Verdana" w:hAnsi="Verdana"/>
        </w:rPr>
        <w:t>restriction must be the l</w:t>
      </w:r>
      <w:r w:rsidRPr="007478F3">
        <w:rPr>
          <w:rFonts w:ascii="Verdana" w:hAnsi="Verdana"/>
        </w:rPr>
        <w:t xml:space="preserve">east restrictive option </w:t>
      </w:r>
      <w:r w:rsidR="00CA261D">
        <w:rPr>
          <w:rFonts w:ascii="Verdana" w:hAnsi="Verdana"/>
        </w:rPr>
        <w:t>available.</w:t>
      </w:r>
      <w:r>
        <w:rPr>
          <w:rStyle w:val="FootnoteReference"/>
          <w:rFonts w:ascii="Verdana" w:hAnsi="Verdana"/>
        </w:rPr>
        <w:footnoteReference w:id="25"/>
      </w:r>
    </w:p>
    <w:p w14:paraId="1AC3003F" w14:textId="77777777" w:rsidR="004D0672" w:rsidRPr="00A42F20" w:rsidRDefault="004D0672" w:rsidP="004D0672">
      <w:pPr>
        <w:pStyle w:val="BasicParagraph"/>
        <w:suppressAutoHyphens/>
        <w:ind w:left="720" w:hanging="720"/>
        <w:rPr>
          <w:rFonts w:ascii="Verdana" w:hAnsi="Verdana"/>
        </w:rPr>
      </w:pPr>
    </w:p>
    <w:p w14:paraId="45ED4388" w14:textId="0EA6D650" w:rsidR="004D0672" w:rsidRDefault="004D0672" w:rsidP="004D0672">
      <w:pPr>
        <w:pStyle w:val="BasicParagraph"/>
        <w:suppressAutoHyphens/>
        <w:ind w:left="720" w:hanging="720"/>
        <w:rPr>
          <w:rFonts w:ascii="Verdana" w:hAnsi="Verdana"/>
        </w:rPr>
      </w:pPr>
      <w:r>
        <w:rPr>
          <w:rFonts w:ascii="Verdana" w:hAnsi="Verdana"/>
        </w:rPr>
        <w:t>2.1</w:t>
      </w:r>
      <w:r w:rsidR="00805A53">
        <w:rPr>
          <w:rFonts w:ascii="Verdana" w:hAnsi="Verdana"/>
        </w:rPr>
        <w:t>0</w:t>
      </w:r>
      <w:r>
        <w:rPr>
          <w:rFonts w:ascii="Verdana" w:hAnsi="Verdana"/>
        </w:rPr>
        <w:tab/>
      </w:r>
      <w:r w:rsidRPr="00A42F20">
        <w:rPr>
          <w:rFonts w:ascii="Verdana" w:hAnsi="Verdana"/>
        </w:rPr>
        <w:t xml:space="preserve">In order to determine whether a particular infringement of Article 8 ECHR is necessary in a democratic society, the ECtHR balances the interests of the State against the right of the </w:t>
      </w:r>
      <w:r w:rsidR="00CA261D">
        <w:rPr>
          <w:rFonts w:ascii="Verdana" w:hAnsi="Verdana"/>
        </w:rPr>
        <w:t>individual</w:t>
      </w:r>
      <w:r w:rsidRPr="00A42F20">
        <w:rPr>
          <w:rFonts w:ascii="Verdana" w:hAnsi="Verdana"/>
        </w:rPr>
        <w:t xml:space="preserve">. The ECtHR has clarified that “necessary” in this context does not have the flexibility of such expressions as </w:t>
      </w:r>
      <w:r>
        <w:rPr>
          <w:rFonts w:ascii="Verdana" w:hAnsi="Verdana"/>
        </w:rPr>
        <w:t>“</w:t>
      </w:r>
      <w:r w:rsidRPr="00A42F20">
        <w:rPr>
          <w:rFonts w:ascii="Verdana" w:hAnsi="Verdana"/>
        </w:rPr>
        <w:t>useful”, “reasonable”, or “desirable”, but implies the existence of a “pressing social need” for the interference in question.</w:t>
      </w:r>
      <w:r>
        <w:rPr>
          <w:rStyle w:val="FootnoteReference"/>
          <w:rFonts w:ascii="Verdana" w:hAnsi="Verdana"/>
        </w:rPr>
        <w:footnoteReference w:id="26"/>
      </w:r>
    </w:p>
    <w:p w14:paraId="3A449FA8" w14:textId="77777777" w:rsidR="004D0672" w:rsidRPr="00D62DF5" w:rsidRDefault="004D0672" w:rsidP="004D0672">
      <w:pPr>
        <w:pStyle w:val="BasicParagraph"/>
        <w:suppressAutoHyphens/>
        <w:ind w:left="720"/>
        <w:rPr>
          <w:rFonts w:ascii="Verdana" w:hAnsi="Verdana"/>
          <w:i/>
          <w:iCs/>
        </w:rPr>
      </w:pPr>
    </w:p>
    <w:p w14:paraId="75ADD568" w14:textId="317863C0" w:rsidR="004D0672" w:rsidRPr="00F7592D" w:rsidRDefault="004D0672" w:rsidP="004D0672">
      <w:pPr>
        <w:pStyle w:val="BasicParagraph"/>
        <w:suppressAutoHyphens/>
        <w:ind w:left="720" w:hanging="720"/>
        <w:rPr>
          <w:rFonts w:ascii="Verdana" w:hAnsi="Verdana" w:cs="Arial"/>
          <w:color w:val="auto"/>
        </w:rPr>
      </w:pPr>
      <w:r>
        <w:rPr>
          <w:rFonts w:ascii="Verdana" w:hAnsi="Verdana"/>
        </w:rPr>
        <w:t>2.1</w:t>
      </w:r>
      <w:r w:rsidR="00805A53">
        <w:rPr>
          <w:rFonts w:ascii="Verdana" w:hAnsi="Verdana"/>
        </w:rPr>
        <w:t>1</w:t>
      </w:r>
      <w:r>
        <w:rPr>
          <w:rFonts w:ascii="Verdana" w:hAnsi="Verdana"/>
        </w:rPr>
        <w:tab/>
        <w:t>It is notable in the current context that, a</w:t>
      </w:r>
      <w:r w:rsidRPr="00022B16">
        <w:rPr>
          <w:rFonts w:ascii="Verdana" w:hAnsi="Verdana"/>
        </w:rPr>
        <w:t>lthough the right to a private life includes a right to privacy, it is much broader</w:t>
      </w:r>
      <w:r>
        <w:rPr>
          <w:rFonts w:ascii="Verdana" w:hAnsi="Verdana"/>
        </w:rPr>
        <w:t xml:space="preserve">. </w:t>
      </w:r>
      <w:r w:rsidRPr="00022B16">
        <w:rPr>
          <w:rFonts w:ascii="Verdana" w:hAnsi="Verdana"/>
        </w:rPr>
        <w:t xml:space="preserve">It also addresses the infringement of the individual’s </w:t>
      </w:r>
      <w:r w:rsidR="00641C31">
        <w:rPr>
          <w:rFonts w:ascii="Verdana" w:hAnsi="Verdana"/>
        </w:rPr>
        <w:t>well-being and dignity;</w:t>
      </w:r>
      <w:r w:rsidR="00641C31">
        <w:rPr>
          <w:rStyle w:val="FootnoteReference"/>
          <w:rFonts w:ascii="Verdana" w:hAnsi="Verdana"/>
        </w:rPr>
        <w:footnoteReference w:id="27"/>
      </w:r>
      <w:r w:rsidR="00641C31">
        <w:rPr>
          <w:rFonts w:ascii="Verdana" w:hAnsi="Verdana"/>
        </w:rPr>
        <w:t xml:space="preserve"> </w:t>
      </w:r>
      <w:r w:rsidRPr="00022B16">
        <w:rPr>
          <w:rFonts w:ascii="Verdana" w:hAnsi="Verdana"/>
        </w:rPr>
        <w:t>moral</w:t>
      </w:r>
      <w:r>
        <w:rPr>
          <w:rFonts w:ascii="Verdana" w:hAnsi="Verdana"/>
        </w:rPr>
        <w:t xml:space="preserve">, </w:t>
      </w:r>
      <w:r w:rsidRPr="00022B16">
        <w:rPr>
          <w:rFonts w:ascii="Verdana" w:hAnsi="Verdana"/>
        </w:rPr>
        <w:t xml:space="preserve">physical </w:t>
      </w:r>
      <w:r>
        <w:rPr>
          <w:rFonts w:ascii="Verdana" w:hAnsi="Verdana"/>
        </w:rPr>
        <w:t xml:space="preserve">and psychological </w:t>
      </w:r>
      <w:r w:rsidRPr="00022B16">
        <w:rPr>
          <w:rFonts w:ascii="Verdana" w:hAnsi="Verdana"/>
        </w:rPr>
        <w:t>integrity;</w:t>
      </w:r>
      <w:r w:rsidRPr="00022B16">
        <w:rPr>
          <w:rStyle w:val="FootnoteReference"/>
          <w:rFonts w:ascii="Verdana" w:hAnsi="Verdana"/>
        </w:rPr>
        <w:footnoteReference w:id="28"/>
      </w:r>
      <w:r w:rsidRPr="00022B16">
        <w:rPr>
          <w:rFonts w:ascii="Verdana" w:hAnsi="Verdana"/>
        </w:rPr>
        <w:t xml:space="preserve"> the circumstances in which it is permissible to provide personal care or medical treatment without an individual’s consent;</w:t>
      </w:r>
      <w:r w:rsidRPr="00022B16">
        <w:rPr>
          <w:rStyle w:val="FootnoteReference"/>
          <w:rFonts w:ascii="Verdana" w:hAnsi="Verdana"/>
        </w:rPr>
        <w:footnoteReference w:id="29"/>
      </w:r>
      <w:r w:rsidRPr="00022B16">
        <w:rPr>
          <w:rFonts w:ascii="Verdana" w:hAnsi="Verdana"/>
        </w:rPr>
        <w:t xml:space="preserve"> and the power of an individual to make decisions as to personal risk.</w:t>
      </w:r>
      <w:r w:rsidRPr="00022B16">
        <w:rPr>
          <w:rStyle w:val="FootnoteReference"/>
          <w:rFonts w:ascii="Verdana" w:hAnsi="Verdana"/>
        </w:rPr>
        <w:footnoteReference w:id="30"/>
      </w:r>
      <w:r>
        <w:rPr>
          <w:rFonts w:ascii="Verdana" w:hAnsi="Verdana"/>
        </w:rPr>
        <w:t xml:space="preserve"> </w:t>
      </w:r>
      <w:r w:rsidRPr="00F7592D">
        <w:rPr>
          <w:rFonts w:ascii="Verdana" w:hAnsi="Verdana"/>
        </w:rPr>
        <w:t>In</w:t>
      </w:r>
      <w:r w:rsidR="00CA261D">
        <w:rPr>
          <w:rFonts w:ascii="Verdana" w:hAnsi="Verdana"/>
        </w:rPr>
        <w:t>, for example,</w:t>
      </w:r>
      <w:r w:rsidRPr="00F7592D">
        <w:rPr>
          <w:rFonts w:ascii="Verdana" w:hAnsi="Verdana"/>
        </w:rPr>
        <w:t xml:space="preserve"> the case of </w:t>
      </w:r>
      <w:r w:rsidRPr="00663091">
        <w:rPr>
          <w:rFonts w:ascii="Verdana" w:hAnsi="Verdana"/>
          <w:i/>
          <w:iCs/>
        </w:rPr>
        <w:t>Pretty v the United Kingdom</w:t>
      </w:r>
      <w:r w:rsidRPr="00F7592D">
        <w:rPr>
          <w:rFonts w:ascii="Verdana" w:hAnsi="Verdana"/>
        </w:rPr>
        <w:t>, the ECtHR</w:t>
      </w:r>
      <w:r>
        <w:rPr>
          <w:rFonts w:ascii="Verdana" w:hAnsi="Verdana"/>
        </w:rPr>
        <w:t xml:space="preserve"> considered “</w:t>
      </w:r>
      <w:r w:rsidRPr="00F7592D">
        <w:rPr>
          <w:rFonts w:ascii="Verdana" w:hAnsi="Verdana"/>
        </w:rPr>
        <w:t xml:space="preserve">that the notion of personal autonomy is an important principle underlying the interpretation of </w:t>
      </w:r>
      <w:r>
        <w:rPr>
          <w:rFonts w:ascii="Verdana" w:hAnsi="Verdana"/>
        </w:rPr>
        <w:t>[Article 8]</w:t>
      </w:r>
      <w:r w:rsidRPr="00F7592D">
        <w:rPr>
          <w:rFonts w:ascii="Verdana" w:hAnsi="Verdana"/>
        </w:rPr>
        <w:t xml:space="preserve"> guarantees”</w:t>
      </w:r>
      <w:r>
        <w:rPr>
          <w:rFonts w:ascii="Verdana" w:hAnsi="Verdana"/>
        </w:rPr>
        <w:t>.</w:t>
      </w:r>
      <w:r>
        <w:rPr>
          <w:rStyle w:val="FootnoteReference"/>
          <w:rFonts w:ascii="Verdana" w:hAnsi="Verdana"/>
        </w:rPr>
        <w:footnoteReference w:id="31"/>
      </w:r>
    </w:p>
    <w:p w14:paraId="2A936A7D" w14:textId="77777777" w:rsidR="00C33BC5" w:rsidRDefault="00C33BC5" w:rsidP="004D0672">
      <w:pPr>
        <w:pStyle w:val="BasicParagraph"/>
        <w:suppressAutoHyphens/>
        <w:rPr>
          <w:rFonts w:ascii="Verdana" w:hAnsi="Verdana"/>
        </w:rPr>
      </w:pPr>
    </w:p>
    <w:p w14:paraId="580E6320" w14:textId="2BB27B9E" w:rsidR="004D0672" w:rsidRPr="001F7740" w:rsidRDefault="004D0672" w:rsidP="004D0672">
      <w:pPr>
        <w:pStyle w:val="BasicParagraph"/>
        <w:suppressAutoHyphens/>
        <w:ind w:left="720" w:hanging="720"/>
        <w:rPr>
          <w:rFonts w:ascii="Verdana" w:hAnsi="Verdana" w:cs="Arial"/>
          <w:i/>
          <w:iCs/>
          <w:color w:val="auto"/>
        </w:rPr>
      </w:pPr>
      <w:r w:rsidRPr="00F9186D">
        <w:rPr>
          <w:rFonts w:ascii="Verdana" w:hAnsi="Verdana" w:cs="Arial"/>
          <w:i/>
          <w:iCs/>
          <w:color w:val="auto"/>
        </w:rPr>
        <w:t>Equality and non-discrimination</w:t>
      </w:r>
      <w:r w:rsidR="00CA261D">
        <w:rPr>
          <w:rFonts w:ascii="Verdana" w:hAnsi="Verdana" w:cs="Arial"/>
          <w:i/>
          <w:iCs/>
          <w:color w:val="auto"/>
        </w:rPr>
        <w:t>, Article 14</w:t>
      </w:r>
      <w:r w:rsidRPr="00F9186D">
        <w:rPr>
          <w:rFonts w:ascii="Verdana" w:hAnsi="Verdana" w:cs="Arial"/>
          <w:i/>
          <w:iCs/>
          <w:color w:val="auto"/>
        </w:rPr>
        <w:t xml:space="preserve"> </w:t>
      </w:r>
    </w:p>
    <w:p w14:paraId="3AFDA42F" w14:textId="3A59A8F8" w:rsidR="004D0672" w:rsidRDefault="004D0672" w:rsidP="004D0672">
      <w:pPr>
        <w:pStyle w:val="BasicParagraph"/>
        <w:suppressAutoHyphens/>
        <w:ind w:left="720" w:hanging="720"/>
        <w:rPr>
          <w:rFonts w:ascii="Verdana" w:hAnsi="Verdana"/>
        </w:rPr>
      </w:pPr>
      <w:r>
        <w:rPr>
          <w:rFonts w:ascii="Verdana" w:hAnsi="Verdana"/>
        </w:rPr>
        <w:t>2.1</w:t>
      </w:r>
      <w:r w:rsidR="00805A53">
        <w:rPr>
          <w:rFonts w:ascii="Verdana" w:hAnsi="Verdana"/>
        </w:rPr>
        <w:t>2</w:t>
      </w:r>
      <w:r>
        <w:rPr>
          <w:rFonts w:ascii="Verdana" w:hAnsi="Verdana"/>
        </w:rPr>
        <w:tab/>
      </w:r>
      <w:r w:rsidRPr="00AB6C83">
        <w:rPr>
          <w:rFonts w:ascii="Verdana" w:hAnsi="Verdana"/>
        </w:rPr>
        <w:t xml:space="preserve">Article 14 of the ECHR provides for the enjoyment of </w:t>
      </w:r>
      <w:r w:rsidR="00CA261D">
        <w:rPr>
          <w:rFonts w:ascii="Verdana" w:hAnsi="Verdana"/>
        </w:rPr>
        <w:t>ECHR</w:t>
      </w:r>
      <w:r w:rsidR="00CA261D" w:rsidRPr="00AB6C83">
        <w:rPr>
          <w:rFonts w:ascii="Verdana" w:hAnsi="Verdana"/>
        </w:rPr>
        <w:t xml:space="preserve"> </w:t>
      </w:r>
      <w:r w:rsidRPr="00AB6C83">
        <w:rPr>
          <w:rFonts w:ascii="Verdana" w:hAnsi="Verdana"/>
        </w:rPr>
        <w:t xml:space="preserve">rights: </w:t>
      </w:r>
    </w:p>
    <w:p w14:paraId="355C4CED" w14:textId="77777777" w:rsidR="00805A53" w:rsidRDefault="00805A53" w:rsidP="004D0672">
      <w:pPr>
        <w:pStyle w:val="BasicParagraph"/>
        <w:suppressAutoHyphens/>
        <w:ind w:left="1440"/>
        <w:rPr>
          <w:rFonts w:ascii="Verdana" w:hAnsi="Verdana"/>
        </w:rPr>
      </w:pPr>
    </w:p>
    <w:p w14:paraId="2F906595" w14:textId="3F9E4225" w:rsidR="004D0672" w:rsidRDefault="004D0672" w:rsidP="004D0672">
      <w:pPr>
        <w:pStyle w:val="BasicParagraph"/>
        <w:suppressAutoHyphens/>
        <w:ind w:left="1440"/>
        <w:rPr>
          <w:rFonts w:ascii="Verdana" w:hAnsi="Verdana"/>
        </w:rPr>
      </w:pPr>
      <w:r>
        <w:rPr>
          <w:rFonts w:ascii="Verdana" w:hAnsi="Verdana"/>
        </w:rPr>
        <w:lastRenderedPageBreak/>
        <w:t>“…</w:t>
      </w:r>
      <w:r w:rsidRPr="00AB6C83">
        <w:rPr>
          <w:rFonts w:ascii="Verdana" w:hAnsi="Verdana"/>
        </w:rPr>
        <w:t>without discrimination on any ground such as sex, race, colour, language, religion, political or other opinion, national or social origin, association with a national minority, property, birth or other status.</w:t>
      </w:r>
      <w:r>
        <w:rPr>
          <w:rFonts w:ascii="Verdana" w:hAnsi="Verdana"/>
        </w:rPr>
        <w:t>”</w:t>
      </w:r>
    </w:p>
    <w:p w14:paraId="5195DC0C" w14:textId="77777777" w:rsidR="004D0672" w:rsidRDefault="004D0672" w:rsidP="004D0672">
      <w:pPr>
        <w:pStyle w:val="BasicParagraph"/>
        <w:suppressAutoHyphens/>
        <w:ind w:left="1440"/>
        <w:rPr>
          <w:rFonts w:ascii="Verdana" w:hAnsi="Verdana"/>
        </w:rPr>
      </w:pPr>
    </w:p>
    <w:p w14:paraId="6A141EAF" w14:textId="72F59D1F" w:rsidR="004D0672" w:rsidRPr="00AB6C83" w:rsidRDefault="004D0672" w:rsidP="00B324A5">
      <w:pPr>
        <w:pStyle w:val="BasicParagraph"/>
        <w:suppressAutoHyphens/>
        <w:ind w:left="720" w:hanging="720"/>
        <w:rPr>
          <w:rFonts w:ascii="Verdana" w:hAnsi="Verdana"/>
        </w:rPr>
      </w:pPr>
      <w:r>
        <w:rPr>
          <w:rFonts w:ascii="Verdana" w:hAnsi="Verdana"/>
        </w:rPr>
        <w:t>2.1</w:t>
      </w:r>
      <w:r w:rsidR="00805A53">
        <w:rPr>
          <w:rFonts w:ascii="Verdana" w:hAnsi="Verdana"/>
        </w:rPr>
        <w:t>3</w:t>
      </w:r>
      <w:r>
        <w:rPr>
          <w:rFonts w:ascii="Verdana" w:hAnsi="Verdana"/>
        </w:rPr>
        <w:tab/>
      </w:r>
      <w:r w:rsidRPr="00AB6C83">
        <w:rPr>
          <w:rFonts w:ascii="Verdana" w:hAnsi="Verdana"/>
        </w:rPr>
        <w:t xml:space="preserve">This </w:t>
      </w:r>
      <w:r w:rsidR="00CA261D">
        <w:rPr>
          <w:rFonts w:ascii="Verdana" w:hAnsi="Verdana"/>
        </w:rPr>
        <w:t>is</w:t>
      </w:r>
      <w:r w:rsidR="00CA261D" w:rsidRPr="00AB6C83">
        <w:rPr>
          <w:rFonts w:ascii="Verdana" w:hAnsi="Verdana"/>
        </w:rPr>
        <w:t xml:space="preserve"> </w:t>
      </w:r>
      <w:r w:rsidRPr="00AB6C83">
        <w:rPr>
          <w:rFonts w:ascii="Verdana" w:hAnsi="Verdana"/>
        </w:rPr>
        <w:t xml:space="preserve">not a freestanding right to protection from discrimination but </w:t>
      </w:r>
      <w:r w:rsidR="00CA261D">
        <w:rPr>
          <w:rFonts w:ascii="Verdana" w:hAnsi="Verdana"/>
        </w:rPr>
        <w:t xml:space="preserve">a right to protection from discrimination in the enjoyment of other ECHR rights. For example, the right not to be discriminated against in the enjoyment of family life. </w:t>
      </w:r>
      <w:r w:rsidRPr="00AB6C83">
        <w:rPr>
          <w:rFonts w:ascii="Verdana" w:hAnsi="Verdana"/>
        </w:rPr>
        <w:t xml:space="preserve">Importantly, the grounds of discrimination </w:t>
      </w:r>
      <w:r w:rsidR="00CA261D">
        <w:rPr>
          <w:rFonts w:ascii="Verdana" w:hAnsi="Verdana"/>
        </w:rPr>
        <w:t>contained in (</w:t>
      </w:r>
      <w:r w:rsidR="0076230A">
        <w:rPr>
          <w:rFonts w:ascii="Verdana" w:hAnsi="Verdana"/>
        </w:rPr>
        <w:t xml:space="preserve">and </w:t>
      </w:r>
      <w:r w:rsidR="00CA261D">
        <w:rPr>
          <w:rFonts w:ascii="Verdana" w:hAnsi="Verdana"/>
        </w:rPr>
        <w:t>prohibited by)</w:t>
      </w:r>
      <w:r w:rsidR="00CA261D" w:rsidRPr="00AB6C83">
        <w:rPr>
          <w:rFonts w:ascii="Verdana" w:hAnsi="Verdana"/>
        </w:rPr>
        <w:t xml:space="preserve"> </w:t>
      </w:r>
      <w:r w:rsidRPr="00AB6C83">
        <w:rPr>
          <w:rFonts w:ascii="Verdana" w:hAnsi="Verdana"/>
        </w:rPr>
        <w:t>Article 14 are not exhaustive</w:t>
      </w:r>
      <w:r w:rsidR="0076230A">
        <w:rPr>
          <w:rFonts w:ascii="Verdana" w:hAnsi="Verdana"/>
        </w:rPr>
        <w:t xml:space="preserve">. Discrimination on other grounds have been found by the ECtHR to be unlawful under Article 14 such as </w:t>
      </w:r>
      <w:r>
        <w:rPr>
          <w:rFonts w:ascii="Verdana" w:hAnsi="Verdana"/>
        </w:rPr>
        <w:t>age</w:t>
      </w:r>
      <w:r>
        <w:rPr>
          <w:rStyle w:val="FootnoteReference"/>
          <w:rFonts w:ascii="Verdana" w:hAnsi="Verdana"/>
        </w:rPr>
        <w:footnoteReference w:id="32"/>
      </w:r>
      <w:r>
        <w:rPr>
          <w:rFonts w:ascii="Verdana" w:hAnsi="Verdana"/>
        </w:rPr>
        <w:t xml:space="preserve"> </w:t>
      </w:r>
      <w:r w:rsidR="0076230A">
        <w:rPr>
          <w:rFonts w:ascii="Verdana" w:hAnsi="Verdana"/>
        </w:rPr>
        <w:t xml:space="preserve">and </w:t>
      </w:r>
      <w:r>
        <w:rPr>
          <w:rFonts w:ascii="Verdana" w:hAnsi="Verdana"/>
        </w:rPr>
        <w:t>disability</w:t>
      </w:r>
      <w:r w:rsidR="0076230A">
        <w:rPr>
          <w:rFonts w:ascii="Verdana" w:hAnsi="Verdana"/>
        </w:rPr>
        <w:t>.</w:t>
      </w:r>
      <w:r>
        <w:rPr>
          <w:rStyle w:val="FootnoteReference"/>
          <w:rFonts w:ascii="Verdana" w:hAnsi="Verdana"/>
        </w:rPr>
        <w:footnoteReference w:id="33"/>
      </w:r>
      <w:r>
        <w:rPr>
          <w:rFonts w:ascii="Verdana" w:hAnsi="Verdana"/>
        </w:rPr>
        <w:t xml:space="preserve"> </w:t>
      </w:r>
      <w:r w:rsidR="0076230A">
        <w:rPr>
          <w:rFonts w:ascii="Verdana" w:hAnsi="Verdana"/>
        </w:rPr>
        <w:t xml:space="preserve">This is because they come within </w:t>
      </w:r>
      <w:r>
        <w:rPr>
          <w:rFonts w:ascii="Verdana" w:hAnsi="Verdana"/>
        </w:rPr>
        <w:t>“other status” for the purposes of Article 14.</w:t>
      </w:r>
    </w:p>
    <w:p w14:paraId="20EA0F98" w14:textId="77777777" w:rsidR="004D0672" w:rsidRDefault="004D0672" w:rsidP="004D0672">
      <w:pPr>
        <w:pStyle w:val="BasicParagraph"/>
        <w:suppressAutoHyphens/>
        <w:rPr>
          <w:rFonts w:ascii="Verdana" w:hAnsi="Verdana"/>
        </w:rPr>
      </w:pPr>
    </w:p>
    <w:p w14:paraId="4E6502E6" w14:textId="5399AACB" w:rsidR="004D0672" w:rsidRDefault="004D0672" w:rsidP="004D0672">
      <w:pPr>
        <w:pStyle w:val="BasicParagraph"/>
        <w:suppressAutoHyphens/>
        <w:ind w:left="720" w:hanging="720"/>
        <w:rPr>
          <w:rFonts w:ascii="Verdana" w:hAnsi="Verdana"/>
        </w:rPr>
      </w:pPr>
      <w:r w:rsidRPr="00547B8B">
        <w:rPr>
          <w:rFonts w:ascii="Verdana" w:hAnsi="Verdana"/>
          <w:b/>
          <w:bCs/>
        </w:rPr>
        <w:t>International standards</w:t>
      </w:r>
      <w:r>
        <w:rPr>
          <w:rFonts w:ascii="Verdana" w:hAnsi="Verdana"/>
        </w:rPr>
        <w:tab/>
      </w:r>
    </w:p>
    <w:p w14:paraId="142D12BD" w14:textId="77777777" w:rsidR="004D0672" w:rsidRPr="001F7740" w:rsidRDefault="004D0672" w:rsidP="004D0672">
      <w:pPr>
        <w:pStyle w:val="BasicParagraph"/>
        <w:suppressAutoHyphens/>
        <w:ind w:left="720" w:hanging="720"/>
        <w:rPr>
          <w:rFonts w:ascii="Verdana" w:hAnsi="Verdana"/>
          <w:b/>
          <w:bCs/>
        </w:rPr>
      </w:pPr>
    </w:p>
    <w:p w14:paraId="2034A6B1" w14:textId="2D3C801D" w:rsidR="004D0672" w:rsidRDefault="004D0672" w:rsidP="004D0672">
      <w:pPr>
        <w:pStyle w:val="BasicParagraph"/>
        <w:suppressAutoHyphens/>
        <w:ind w:left="720" w:hanging="720"/>
        <w:rPr>
          <w:rFonts w:ascii="Verdana" w:hAnsi="Verdana"/>
        </w:rPr>
      </w:pPr>
      <w:r>
        <w:rPr>
          <w:rFonts w:ascii="Verdana" w:hAnsi="Verdana"/>
        </w:rPr>
        <w:t>2.1</w:t>
      </w:r>
      <w:r w:rsidR="00805A53">
        <w:rPr>
          <w:rFonts w:ascii="Verdana" w:hAnsi="Verdana"/>
        </w:rPr>
        <w:t>4</w:t>
      </w:r>
      <w:r>
        <w:rPr>
          <w:rFonts w:ascii="Verdana" w:hAnsi="Verdana"/>
        </w:rPr>
        <w:tab/>
      </w:r>
      <w:r w:rsidRPr="00CE1C13">
        <w:rPr>
          <w:rFonts w:ascii="Verdana" w:hAnsi="Verdana"/>
        </w:rPr>
        <w:t xml:space="preserve">The International Covenant on Civil and Political Rights (ICCPR) guarantees </w:t>
      </w:r>
      <w:r w:rsidR="00B9682E">
        <w:rPr>
          <w:rFonts w:ascii="Verdana" w:hAnsi="Verdana"/>
        </w:rPr>
        <w:t>rights</w:t>
      </w:r>
      <w:r w:rsidR="00B9682E" w:rsidRPr="00CE1C13">
        <w:rPr>
          <w:rFonts w:ascii="Verdana" w:hAnsi="Verdana"/>
        </w:rPr>
        <w:t xml:space="preserve"> </w:t>
      </w:r>
      <w:r w:rsidRPr="00CE1C13">
        <w:rPr>
          <w:rFonts w:ascii="Verdana" w:hAnsi="Verdana"/>
        </w:rPr>
        <w:t xml:space="preserve">to all people within the jurisdiction of a State Party. Many of the human rights contained </w:t>
      </w:r>
      <w:r w:rsidR="00B9682E">
        <w:rPr>
          <w:rFonts w:ascii="Verdana" w:hAnsi="Verdana"/>
        </w:rPr>
        <w:t>i</w:t>
      </w:r>
      <w:r w:rsidRPr="00CE1C13">
        <w:rPr>
          <w:rFonts w:ascii="Verdana" w:hAnsi="Verdana"/>
        </w:rPr>
        <w:t xml:space="preserve">n the ICCPR are </w:t>
      </w:r>
      <w:r>
        <w:rPr>
          <w:rFonts w:ascii="Verdana" w:hAnsi="Verdana"/>
        </w:rPr>
        <w:t xml:space="preserve">particularly </w:t>
      </w:r>
      <w:r w:rsidRPr="00CE1C13">
        <w:rPr>
          <w:rFonts w:ascii="Verdana" w:hAnsi="Verdana"/>
        </w:rPr>
        <w:t xml:space="preserve">relevant </w:t>
      </w:r>
      <w:r w:rsidR="00B9682E">
        <w:rPr>
          <w:rFonts w:ascii="Verdana" w:hAnsi="Verdana"/>
        </w:rPr>
        <w:t xml:space="preserve">to the provision of </w:t>
      </w:r>
      <w:r>
        <w:rPr>
          <w:rFonts w:ascii="Verdana" w:hAnsi="Verdana"/>
        </w:rPr>
        <w:t>health and social care</w:t>
      </w:r>
      <w:r w:rsidR="00B9682E">
        <w:rPr>
          <w:rFonts w:ascii="Verdana" w:hAnsi="Verdana"/>
        </w:rPr>
        <w:t xml:space="preserve">. For </w:t>
      </w:r>
      <w:r w:rsidRPr="00CE1C13">
        <w:rPr>
          <w:rFonts w:ascii="Verdana" w:hAnsi="Verdana"/>
        </w:rPr>
        <w:t xml:space="preserve">example the right to life (Article 6), the right not to be subjected to cruel, inhuman or degrading treatment (Article 7) and the right to private and family life (Article 17). </w:t>
      </w:r>
    </w:p>
    <w:p w14:paraId="1EEB9976" w14:textId="77777777" w:rsidR="004D0672" w:rsidRDefault="004D0672" w:rsidP="004D0672">
      <w:pPr>
        <w:pStyle w:val="BasicParagraph"/>
        <w:suppressAutoHyphens/>
        <w:ind w:left="720"/>
        <w:rPr>
          <w:rFonts w:ascii="Verdana" w:hAnsi="Verdana"/>
        </w:rPr>
      </w:pPr>
    </w:p>
    <w:p w14:paraId="3A394A57" w14:textId="7CC8E456" w:rsidR="004D0672" w:rsidRPr="001E0C6D" w:rsidRDefault="004D0672" w:rsidP="004D0672">
      <w:pPr>
        <w:pStyle w:val="BasicParagraph"/>
        <w:suppressAutoHyphens/>
        <w:ind w:left="720" w:hanging="720"/>
        <w:rPr>
          <w:rFonts w:ascii="Verdana" w:hAnsi="Verdana"/>
        </w:rPr>
      </w:pPr>
      <w:r>
        <w:rPr>
          <w:rFonts w:ascii="Verdana" w:hAnsi="Verdana"/>
        </w:rPr>
        <w:t>2.</w:t>
      </w:r>
      <w:r w:rsidR="00B9682E">
        <w:rPr>
          <w:rFonts w:ascii="Verdana" w:hAnsi="Verdana"/>
        </w:rPr>
        <w:t>1</w:t>
      </w:r>
      <w:r w:rsidR="00805A53">
        <w:rPr>
          <w:rFonts w:ascii="Verdana" w:hAnsi="Verdana"/>
        </w:rPr>
        <w:t>5</w:t>
      </w:r>
      <w:r>
        <w:rPr>
          <w:rFonts w:ascii="Verdana" w:hAnsi="Verdana"/>
        </w:rPr>
        <w:tab/>
        <w:t>The UN Convention on</w:t>
      </w:r>
      <w:r w:rsidR="00EA0440">
        <w:rPr>
          <w:rFonts w:ascii="Verdana" w:hAnsi="Verdana"/>
        </w:rPr>
        <w:t xml:space="preserve"> the Rights of</w:t>
      </w:r>
      <w:r>
        <w:rPr>
          <w:rFonts w:ascii="Verdana" w:hAnsi="Verdana"/>
        </w:rPr>
        <w:t xml:space="preserve"> Persons with Disabilities (UN CRPD) is </w:t>
      </w:r>
      <w:r w:rsidR="00B9682E">
        <w:rPr>
          <w:rFonts w:ascii="Verdana" w:hAnsi="Verdana"/>
        </w:rPr>
        <w:t xml:space="preserve">also </w:t>
      </w:r>
      <w:r>
        <w:rPr>
          <w:rFonts w:ascii="Verdana" w:hAnsi="Verdana"/>
        </w:rPr>
        <w:t xml:space="preserve">relevant in the context of health and social care settings.  </w:t>
      </w:r>
      <w:r w:rsidRPr="00707591">
        <w:rPr>
          <w:rFonts w:ascii="Verdana" w:hAnsi="Verdana"/>
        </w:rPr>
        <w:t xml:space="preserve">Article 1 sets out </w:t>
      </w:r>
      <w:r w:rsidR="00B9682E">
        <w:rPr>
          <w:rFonts w:ascii="Verdana" w:hAnsi="Verdana"/>
        </w:rPr>
        <w:t xml:space="preserve">its </w:t>
      </w:r>
      <w:r w:rsidRPr="00707591">
        <w:rPr>
          <w:rFonts w:ascii="Verdana" w:hAnsi="Verdana"/>
        </w:rPr>
        <w:t>purpose</w:t>
      </w:r>
      <w:r>
        <w:rPr>
          <w:rFonts w:ascii="Verdana" w:hAnsi="Verdana"/>
        </w:rPr>
        <w:t>,</w:t>
      </w:r>
      <w:r w:rsidRPr="00707591">
        <w:rPr>
          <w:rFonts w:ascii="Verdana" w:hAnsi="Verdana"/>
        </w:rPr>
        <w:t xml:space="preserve"> </w:t>
      </w:r>
      <w:r>
        <w:rPr>
          <w:rFonts w:ascii="Verdana" w:hAnsi="Verdana"/>
        </w:rPr>
        <w:t>“</w:t>
      </w:r>
      <w:r w:rsidRPr="00707591">
        <w:rPr>
          <w:rFonts w:ascii="Verdana" w:hAnsi="Verdana"/>
        </w:rPr>
        <w:t>to promote, protect and ensure the full and equal enjoyment of all human rights and fundamental freedoms by all persons with disabilities, and to promote respect for their inherent dignity.</w:t>
      </w:r>
      <w:r>
        <w:rPr>
          <w:rFonts w:ascii="Verdana" w:hAnsi="Verdana"/>
        </w:rPr>
        <w:t>”</w:t>
      </w:r>
      <w:r w:rsidR="00B9682E">
        <w:rPr>
          <w:rFonts w:ascii="Verdana" w:hAnsi="Verdana"/>
        </w:rPr>
        <w:t xml:space="preserve"> </w:t>
      </w:r>
      <w:r w:rsidRPr="007C2953">
        <w:rPr>
          <w:rFonts w:ascii="Verdana" w:hAnsi="Verdana"/>
        </w:rPr>
        <w:t xml:space="preserve">Article </w:t>
      </w:r>
      <w:r>
        <w:rPr>
          <w:rFonts w:ascii="Verdana" w:hAnsi="Verdana"/>
        </w:rPr>
        <w:t>16</w:t>
      </w:r>
      <w:r w:rsidRPr="007C2953">
        <w:rPr>
          <w:rFonts w:ascii="Verdana" w:hAnsi="Verdana"/>
        </w:rPr>
        <w:t xml:space="preserve"> </w:t>
      </w:r>
      <w:r>
        <w:rPr>
          <w:rFonts w:ascii="Verdana" w:hAnsi="Verdana"/>
        </w:rPr>
        <w:t xml:space="preserve">UN CRPD </w:t>
      </w:r>
      <w:r w:rsidRPr="007C2953">
        <w:rPr>
          <w:rFonts w:ascii="Verdana" w:hAnsi="Verdana"/>
        </w:rPr>
        <w:t>requires States to</w:t>
      </w:r>
      <w:r>
        <w:rPr>
          <w:rFonts w:ascii="Verdana" w:hAnsi="Verdana"/>
        </w:rPr>
        <w:t xml:space="preserve"> </w:t>
      </w:r>
      <w:r w:rsidRPr="007C2953">
        <w:rPr>
          <w:rFonts w:ascii="Verdana" w:hAnsi="Verdana"/>
        </w:rPr>
        <w:t>take all appropriate measures to protect people with disabilities from exploitation, violence and abuse.</w:t>
      </w:r>
      <w:r>
        <w:rPr>
          <w:rFonts w:ascii="Verdana" w:hAnsi="Verdana"/>
        </w:rPr>
        <w:t xml:space="preserve"> </w:t>
      </w:r>
      <w:r w:rsidRPr="009A34D5">
        <w:rPr>
          <w:rFonts w:ascii="Verdana" w:hAnsi="Verdana"/>
        </w:rPr>
        <w:t>Other relevant provisions include the right to the highest attainable standard of health without discrimination on the basis of disability (Article 25) and the right to respect for physical and mental integrity on an equal basis with others (Article 17).</w:t>
      </w:r>
    </w:p>
    <w:p w14:paraId="42E5C43F" w14:textId="77777777" w:rsidR="004D0672" w:rsidRDefault="004D0672" w:rsidP="004D0672">
      <w:pPr>
        <w:pStyle w:val="BasicParagraph"/>
        <w:suppressAutoHyphens/>
        <w:ind w:left="720"/>
        <w:rPr>
          <w:rFonts w:ascii="Verdana" w:hAnsi="Verdana" w:cs="Arial"/>
          <w:color w:val="232120"/>
        </w:rPr>
      </w:pPr>
    </w:p>
    <w:p w14:paraId="071C2396" w14:textId="530567E9" w:rsidR="004D0672" w:rsidRDefault="004D0672" w:rsidP="004D0672">
      <w:pPr>
        <w:pStyle w:val="BasicParagraph"/>
        <w:suppressAutoHyphens/>
        <w:ind w:left="720" w:hanging="720"/>
        <w:rPr>
          <w:rFonts w:ascii="Verdana" w:hAnsi="Verdana"/>
        </w:rPr>
      </w:pPr>
      <w:r>
        <w:rPr>
          <w:rFonts w:ascii="Verdana" w:hAnsi="Verdana"/>
        </w:rPr>
        <w:t>2.</w:t>
      </w:r>
      <w:r w:rsidR="00805A53">
        <w:rPr>
          <w:rFonts w:ascii="Verdana" w:hAnsi="Verdana"/>
        </w:rPr>
        <w:t>16</w:t>
      </w:r>
      <w:r>
        <w:rPr>
          <w:rFonts w:ascii="Verdana" w:hAnsi="Verdana"/>
        </w:rPr>
        <w:tab/>
        <w:t>Children and young people</w:t>
      </w:r>
      <w:r w:rsidR="00B9682E">
        <w:rPr>
          <w:rFonts w:ascii="Verdana" w:hAnsi="Verdana"/>
        </w:rPr>
        <w:t>, particularly</w:t>
      </w:r>
      <w:r>
        <w:rPr>
          <w:rFonts w:ascii="Verdana" w:hAnsi="Verdana"/>
        </w:rPr>
        <w:t xml:space="preserve"> in health and social care settings</w:t>
      </w:r>
      <w:r w:rsidR="00B9682E">
        <w:rPr>
          <w:rFonts w:ascii="Verdana" w:hAnsi="Verdana"/>
        </w:rPr>
        <w:t>,</w:t>
      </w:r>
      <w:r>
        <w:rPr>
          <w:rFonts w:ascii="Verdana" w:hAnsi="Verdana"/>
        </w:rPr>
        <w:t xml:space="preserve"> require specific protection and safeguarding in accordance with the UN Convention on the Rights of the Child (UN CRC). Article 3 </w:t>
      </w:r>
      <w:r w:rsidR="00E7647E">
        <w:rPr>
          <w:rFonts w:ascii="Verdana" w:hAnsi="Verdana"/>
        </w:rPr>
        <w:t xml:space="preserve">UN CRC </w:t>
      </w:r>
      <w:r>
        <w:rPr>
          <w:rFonts w:ascii="Verdana" w:hAnsi="Verdana"/>
        </w:rPr>
        <w:t xml:space="preserve">requires that the best interests of the child must be a primary consideration in all </w:t>
      </w:r>
      <w:r>
        <w:rPr>
          <w:rFonts w:ascii="Verdana" w:hAnsi="Verdana"/>
        </w:rPr>
        <w:lastRenderedPageBreak/>
        <w:t xml:space="preserve">matters affecting them. </w:t>
      </w:r>
      <w:r w:rsidR="00E7647E">
        <w:rPr>
          <w:rFonts w:ascii="Verdana" w:hAnsi="Verdana"/>
        </w:rPr>
        <w:t xml:space="preserve">Moreover, </w:t>
      </w:r>
      <w:r w:rsidRPr="002119C2">
        <w:rPr>
          <w:rFonts w:ascii="Verdana" w:hAnsi="Verdana"/>
        </w:rPr>
        <w:t>Article 19 UN</w:t>
      </w:r>
      <w:r w:rsidR="00E7647E">
        <w:rPr>
          <w:rFonts w:ascii="Verdana" w:hAnsi="Verdana"/>
        </w:rPr>
        <w:t xml:space="preserve"> </w:t>
      </w:r>
      <w:r w:rsidRPr="002119C2">
        <w:rPr>
          <w:rFonts w:ascii="Verdana" w:hAnsi="Verdana"/>
        </w:rPr>
        <w:t xml:space="preserve">CRC </w:t>
      </w:r>
      <w:r w:rsidR="00E7647E">
        <w:rPr>
          <w:rFonts w:ascii="Verdana" w:hAnsi="Verdana"/>
        </w:rPr>
        <w:t>provides</w:t>
      </w:r>
      <w:r w:rsidR="00E7647E" w:rsidRPr="002119C2">
        <w:rPr>
          <w:rFonts w:ascii="Verdana" w:hAnsi="Verdana"/>
        </w:rPr>
        <w:t xml:space="preserve"> </w:t>
      </w:r>
      <w:r w:rsidRPr="002119C2">
        <w:rPr>
          <w:rFonts w:ascii="Verdana" w:hAnsi="Verdana"/>
        </w:rPr>
        <w:t xml:space="preserve">that “States Parties shall take all appropriate legislative, administrative, social and educational measures to protect the child from all forms of physical or mental violence, injury or abuse, neglect or negligent treatment, maltreatment or exploitation”. </w:t>
      </w:r>
      <w:r>
        <w:rPr>
          <w:rFonts w:ascii="Verdana" w:hAnsi="Verdana"/>
        </w:rPr>
        <w:t>A</w:t>
      </w:r>
      <w:r w:rsidRPr="002119C2">
        <w:rPr>
          <w:rFonts w:ascii="Verdana" w:hAnsi="Verdana"/>
        </w:rPr>
        <w:t xml:space="preserve">rticle 37 </w:t>
      </w:r>
      <w:r w:rsidR="00E7647E">
        <w:rPr>
          <w:rFonts w:ascii="Verdana" w:hAnsi="Verdana"/>
        </w:rPr>
        <w:t xml:space="preserve">provides that </w:t>
      </w:r>
      <w:r w:rsidRPr="002119C2">
        <w:rPr>
          <w:rFonts w:ascii="Verdana" w:hAnsi="Verdana"/>
        </w:rPr>
        <w:t>“no child shall be subjected to torture or other cruel, inhumane or degrading treatment or punishment”.</w:t>
      </w:r>
      <w:r w:rsidRPr="00EB3016">
        <w:rPr>
          <w:rFonts w:ascii="Verdana" w:hAnsi="Verdana"/>
        </w:rPr>
        <w:t xml:space="preserve"> </w:t>
      </w:r>
    </w:p>
    <w:p w14:paraId="5D8DE8DD" w14:textId="77777777" w:rsidR="004D0672" w:rsidRDefault="004D0672" w:rsidP="004D0672">
      <w:pPr>
        <w:pStyle w:val="BasicParagraph"/>
        <w:suppressAutoHyphens/>
        <w:rPr>
          <w:rFonts w:ascii="Verdana" w:hAnsi="Verdana"/>
        </w:rPr>
      </w:pPr>
    </w:p>
    <w:p w14:paraId="282B490B" w14:textId="1BDE35F9" w:rsidR="004D0672" w:rsidRPr="00355290" w:rsidRDefault="004D0672" w:rsidP="004D0672">
      <w:pPr>
        <w:pStyle w:val="BasicParagraph"/>
        <w:suppressAutoHyphens/>
        <w:ind w:left="720" w:hanging="720"/>
        <w:rPr>
          <w:rFonts w:ascii="Verdana" w:hAnsi="Verdana"/>
        </w:rPr>
      </w:pPr>
      <w:r>
        <w:rPr>
          <w:rFonts w:ascii="Verdana" w:hAnsi="Verdana"/>
        </w:rPr>
        <w:t>2.</w:t>
      </w:r>
      <w:r w:rsidR="00805A53">
        <w:rPr>
          <w:rFonts w:ascii="Verdana" w:hAnsi="Verdana"/>
        </w:rPr>
        <w:t>17</w:t>
      </w:r>
      <w:r>
        <w:rPr>
          <w:rFonts w:ascii="Verdana" w:hAnsi="Verdana"/>
        </w:rPr>
        <w:tab/>
      </w:r>
      <w:r w:rsidRPr="00527B61">
        <w:rPr>
          <w:rFonts w:ascii="Verdana" w:hAnsi="Verdana"/>
        </w:rPr>
        <w:t>Alongside the legal protections contained in the</w:t>
      </w:r>
      <w:r w:rsidR="00BC2830">
        <w:rPr>
          <w:rFonts w:ascii="Verdana" w:hAnsi="Verdana"/>
        </w:rPr>
        <w:t xml:space="preserve"> </w:t>
      </w:r>
      <w:r w:rsidR="00E7647E">
        <w:rPr>
          <w:rFonts w:ascii="Verdana" w:hAnsi="Verdana"/>
        </w:rPr>
        <w:t xml:space="preserve">domestic </w:t>
      </w:r>
      <w:r w:rsidR="004F097F">
        <w:rPr>
          <w:rFonts w:ascii="Verdana" w:hAnsi="Verdana"/>
        </w:rPr>
        <w:t>and</w:t>
      </w:r>
      <w:r w:rsidRPr="00527B61">
        <w:rPr>
          <w:rFonts w:ascii="Verdana" w:hAnsi="Verdana"/>
        </w:rPr>
        <w:t xml:space="preserve"> international human rights </w:t>
      </w:r>
      <w:r w:rsidR="004F097F">
        <w:rPr>
          <w:rFonts w:ascii="Verdana" w:hAnsi="Verdana"/>
        </w:rPr>
        <w:t>frameworks</w:t>
      </w:r>
      <w:r w:rsidRPr="00527B61">
        <w:rPr>
          <w:rFonts w:ascii="Verdana" w:hAnsi="Verdana"/>
        </w:rPr>
        <w:t>,</w:t>
      </w:r>
      <w:r>
        <w:rPr>
          <w:rFonts w:ascii="Verdana" w:hAnsi="Verdana"/>
        </w:rPr>
        <w:t xml:space="preserve"> a</w:t>
      </w:r>
      <w:r w:rsidRPr="00355290">
        <w:rPr>
          <w:rFonts w:ascii="Verdana" w:hAnsi="Verdana"/>
        </w:rPr>
        <w:t xml:space="preserve"> number of soft law standards</w:t>
      </w:r>
      <w:r w:rsidR="00E7647E">
        <w:rPr>
          <w:rFonts w:ascii="Verdana" w:hAnsi="Verdana"/>
        </w:rPr>
        <w:t>, which are often used to aid interpretation of substantive rights,</w:t>
      </w:r>
      <w:r w:rsidRPr="00355290">
        <w:rPr>
          <w:rFonts w:ascii="Verdana" w:hAnsi="Verdana"/>
        </w:rPr>
        <w:t xml:space="preserve"> are relevant</w:t>
      </w:r>
      <w:r w:rsidR="00E7647E">
        <w:rPr>
          <w:rFonts w:ascii="Verdana" w:hAnsi="Verdana"/>
        </w:rPr>
        <w:t>.</w:t>
      </w:r>
      <w:r>
        <w:rPr>
          <w:rFonts w:ascii="Verdana" w:hAnsi="Verdana"/>
        </w:rPr>
        <w:t xml:space="preserve"> While </w:t>
      </w:r>
      <w:r w:rsidR="00E7647E">
        <w:rPr>
          <w:rFonts w:ascii="Verdana" w:hAnsi="Verdana"/>
        </w:rPr>
        <w:t xml:space="preserve">these ‘soft law’ standards are not legally binding in the sense that a person cannot rely on a breach directly in local courts, they are extremely useful in </w:t>
      </w:r>
      <w:r w:rsidRPr="00F5104B">
        <w:rPr>
          <w:rFonts w:ascii="Verdana" w:hAnsi="Verdana"/>
        </w:rPr>
        <w:t>provid</w:t>
      </w:r>
      <w:r w:rsidR="00E7647E">
        <w:rPr>
          <w:rFonts w:ascii="Verdana" w:hAnsi="Verdana"/>
        </w:rPr>
        <w:t>ing</w:t>
      </w:r>
      <w:r w:rsidRPr="00F5104B">
        <w:rPr>
          <w:rFonts w:ascii="Verdana" w:hAnsi="Verdana"/>
        </w:rPr>
        <w:t xml:space="preserve"> clarity on </w:t>
      </w:r>
      <w:r w:rsidR="00E7647E">
        <w:rPr>
          <w:rFonts w:ascii="Verdana" w:hAnsi="Verdana"/>
        </w:rPr>
        <w:t xml:space="preserve">the </w:t>
      </w:r>
      <w:r w:rsidRPr="00F5104B">
        <w:rPr>
          <w:rFonts w:ascii="Verdana" w:hAnsi="Verdana"/>
        </w:rPr>
        <w:t>standards</w:t>
      </w:r>
      <w:r w:rsidR="00E7647E">
        <w:rPr>
          <w:rFonts w:ascii="Verdana" w:hAnsi="Verdana"/>
        </w:rPr>
        <w:t xml:space="preserve"> that are legally binding. They should be </w:t>
      </w:r>
      <w:r w:rsidRPr="00F5104B">
        <w:rPr>
          <w:rFonts w:ascii="Verdana" w:hAnsi="Verdana"/>
        </w:rPr>
        <w:t>considered by States Parties in the development of domestic law, polic</w:t>
      </w:r>
      <w:r w:rsidR="00E7647E">
        <w:rPr>
          <w:rFonts w:ascii="Verdana" w:hAnsi="Verdana"/>
        </w:rPr>
        <w:t>y</w:t>
      </w:r>
      <w:r w:rsidRPr="00F5104B">
        <w:rPr>
          <w:rFonts w:ascii="Verdana" w:hAnsi="Verdana"/>
        </w:rPr>
        <w:t xml:space="preserve"> and practice.</w:t>
      </w:r>
      <w:r w:rsidR="00E7647E">
        <w:rPr>
          <w:rFonts w:ascii="Verdana" w:hAnsi="Verdana"/>
        </w:rPr>
        <w:t xml:space="preserve"> </w:t>
      </w:r>
    </w:p>
    <w:p w14:paraId="1F9DEDE9" w14:textId="77777777" w:rsidR="004D0672" w:rsidRDefault="004D0672" w:rsidP="004D0672">
      <w:pPr>
        <w:pStyle w:val="BasicParagraph"/>
        <w:suppressAutoHyphens/>
        <w:rPr>
          <w:rFonts w:ascii="Verdana" w:hAnsi="Verdana"/>
        </w:rPr>
      </w:pPr>
    </w:p>
    <w:p w14:paraId="08BCBEFE" w14:textId="36C9654E" w:rsidR="004D0672" w:rsidRDefault="004D0672" w:rsidP="004D0672">
      <w:pPr>
        <w:pStyle w:val="BasicParagraph"/>
        <w:suppressAutoHyphens/>
        <w:ind w:left="720" w:hanging="720"/>
        <w:rPr>
          <w:rFonts w:ascii="Verdana" w:hAnsi="Verdana"/>
        </w:rPr>
      </w:pPr>
      <w:r>
        <w:rPr>
          <w:rFonts w:ascii="Verdana" w:hAnsi="Verdana"/>
        </w:rPr>
        <w:t>2.</w:t>
      </w:r>
      <w:r w:rsidR="00805A53">
        <w:rPr>
          <w:rFonts w:ascii="Verdana" w:hAnsi="Verdana"/>
        </w:rPr>
        <w:t>18</w:t>
      </w:r>
      <w:r>
        <w:rPr>
          <w:rFonts w:ascii="Verdana" w:hAnsi="Verdana"/>
        </w:rPr>
        <w:tab/>
        <w:t xml:space="preserve">The </w:t>
      </w:r>
      <w:r w:rsidRPr="002422B7">
        <w:rPr>
          <w:rFonts w:ascii="Verdana" w:hAnsi="Verdana"/>
        </w:rPr>
        <w:t>UN Principles for the Protection of Persons with Mental Illness and the Improvement of Mental Health Care</w:t>
      </w:r>
      <w:r>
        <w:rPr>
          <w:rStyle w:val="FootnoteReference"/>
          <w:rFonts w:ascii="Verdana" w:hAnsi="Verdana"/>
        </w:rPr>
        <w:footnoteReference w:id="34"/>
      </w:r>
      <w:r w:rsidRPr="00753EE4">
        <w:rPr>
          <w:rFonts w:ascii="Verdana" w:hAnsi="Verdana"/>
        </w:rPr>
        <w:t xml:space="preserve"> contain useful guidance for States, including the general principles of least restriction and the requirement for regular review. Principle 9(1) states: </w:t>
      </w:r>
    </w:p>
    <w:p w14:paraId="4BF7C45B" w14:textId="77777777" w:rsidR="004D0672" w:rsidRDefault="004D0672" w:rsidP="004D0672">
      <w:pPr>
        <w:pStyle w:val="BasicParagraph"/>
        <w:suppressAutoHyphens/>
        <w:ind w:left="720"/>
        <w:rPr>
          <w:rFonts w:ascii="Verdana" w:hAnsi="Verdana"/>
        </w:rPr>
      </w:pPr>
    </w:p>
    <w:p w14:paraId="7B34A5BB" w14:textId="7C8EA401" w:rsidR="004D0672" w:rsidRDefault="008208CB" w:rsidP="004D0672">
      <w:pPr>
        <w:pStyle w:val="BasicParagraph"/>
        <w:suppressAutoHyphens/>
        <w:ind w:left="1440"/>
        <w:rPr>
          <w:rFonts w:ascii="Verdana" w:hAnsi="Verdana"/>
        </w:rPr>
      </w:pPr>
      <w:r>
        <w:rPr>
          <w:rFonts w:ascii="Verdana" w:hAnsi="Verdana"/>
        </w:rPr>
        <w:t>“</w:t>
      </w:r>
      <w:r w:rsidR="004D0672" w:rsidRPr="00753EE4">
        <w:rPr>
          <w:rFonts w:ascii="Verdana" w:hAnsi="Verdana"/>
        </w:rPr>
        <w:t>[E]very patient shall have the right to be treated in the least restrictive environment and with the least restrictive or intrusive treatment appropriate to [their] health needs and the need to protect the safety of others.</w:t>
      </w:r>
      <w:r>
        <w:rPr>
          <w:rFonts w:ascii="Verdana" w:hAnsi="Verdana"/>
        </w:rPr>
        <w:t>”</w:t>
      </w:r>
      <w:r w:rsidR="004D0672" w:rsidRPr="00753EE4">
        <w:rPr>
          <w:rFonts w:ascii="Verdana" w:hAnsi="Verdana"/>
        </w:rPr>
        <w:t xml:space="preserve"> </w:t>
      </w:r>
    </w:p>
    <w:p w14:paraId="2DC6EC7F" w14:textId="77777777" w:rsidR="004D0672" w:rsidRDefault="004D0672" w:rsidP="004D0672">
      <w:pPr>
        <w:pStyle w:val="BasicParagraph"/>
        <w:suppressAutoHyphens/>
        <w:rPr>
          <w:rFonts w:ascii="Verdana" w:hAnsi="Verdana"/>
        </w:rPr>
      </w:pPr>
    </w:p>
    <w:p w14:paraId="436B9DD3" w14:textId="054C1069" w:rsidR="004D0672" w:rsidRDefault="004D0672" w:rsidP="004D0672">
      <w:pPr>
        <w:pStyle w:val="BasicParagraph"/>
        <w:suppressAutoHyphens/>
        <w:ind w:left="720" w:hanging="720"/>
        <w:rPr>
          <w:rFonts w:ascii="Verdana" w:hAnsi="Verdana"/>
        </w:rPr>
      </w:pPr>
      <w:r>
        <w:rPr>
          <w:rFonts w:ascii="Verdana" w:hAnsi="Verdana"/>
        </w:rPr>
        <w:t>2.</w:t>
      </w:r>
      <w:r w:rsidR="00805A53">
        <w:rPr>
          <w:rFonts w:ascii="Verdana" w:hAnsi="Verdana"/>
        </w:rPr>
        <w:t>19</w:t>
      </w:r>
      <w:r>
        <w:rPr>
          <w:rFonts w:ascii="Verdana" w:hAnsi="Verdana"/>
        </w:rPr>
        <w:tab/>
      </w:r>
      <w:r w:rsidRPr="00753EE4">
        <w:rPr>
          <w:rFonts w:ascii="Verdana" w:hAnsi="Verdana"/>
        </w:rPr>
        <w:t xml:space="preserve">Principle 9(2) requires that treatment and care </w:t>
      </w:r>
      <w:r w:rsidR="00893BA6">
        <w:rPr>
          <w:rFonts w:ascii="Verdana" w:hAnsi="Verdana"/>
        </w:rPr>
        <w:t>are based upon</w:t>
      </w:r>
      <w:r>
        <w:rPr>
          <w:rFonts w:ascii="Verdana" w:hAnsi="Verdana"/>
        </w:rPr>
        <w:t xml:space="preserve"> </w:t>
      </w:r>
      <w:r w:rsidRPr="00753EE4">
        <w:rPr>
          <w:rFonts w:ascii="Verdana" w:hAnsi="Verdana"/>
        </w:rPr>
        <w:t xml:space="preserve">individually </w:t>
      </w:r>
      <w:r w:rsidR="00893BA6">
        <w:rPr>
          <w:rFonts w:ascii="Verdana" w:hAnsi="Verdana"/>
        </w:rPr>
        <w:t xml:space="preserve">assessed needs and follow a </w:t>
      </w:r>
      <w:r w:rsidRPr="00753EE4">
        <w:rPr>
          <w:rFonts w:ascii="Verdana" w:hAnsi="Verdana"/>
        </w:rPr>
        <w:t>prescribed plan that is reviewed</w:t>
      </w:r>
      <w:r w:rsidR="00893BA6">
        <w:rPr>
          <w:rFonts w:ascii="Verdana" w:hAnsi="Verdana"/>
        </w:rPr>
        <w:t xml:space="preserve"> regularly</w:t>
      </w:r>
      <w:r w:rsidRPr="00753EE4">
        <w:rPr>
          <w:rFonts w:ascii="Verdana" w:hAnsi="Verdana"/>
        </w:rPr>
        <w:t>.</w:t>
      </w:r>
      <w:r>
        <w:rPr>
          <w:rFonts w:ascii="Verdana" w:hAnsi="Verdana"/>
        </w:rPr>
        <w:t xml:space="preserve"> Principle 11(11) requires that physical restraint or involuntary seclusion of a person in care is only applied </w:t>
      </w:r>
      <w:r w:rsidRPr="0073243E">
        <w:rPr>
          <w:rFonts w:ascii="Verdana" w:hAnsi="Verdana"/>
        </w:rPr>
        <w:t>to prevent immediate or imminent harm</w:t>
      </w:r>
      <w:r>
        <w:rPr>
          <w:rFonts w:ascii="Verdana" w:hAnsi="Verdana"/>
        </w:rPr>
        <w:t xml:space="preserve"> and </w:t>
      </w:r>
      <w:r w:rsidRPr="003173A0">
        <w:rPr>
          <w:rFonts w:ascii="Verdana" w:hAnsi="Verdana"/>
        </w:rPr>
        <w:t>shall not be prolonged beyond the period which is strictly necessary for this purpose</w:t>
      </w:r>
      <w:r>
        <w:rPr>
          <w:rFonts w:ascii="Verdana" w:hAnsi="Verdana"/>
        </w:rPr>
        <w:t xml:space="preserve">. </w:t>
      </w:r>
    </w:p>
    <w:p w14:paraId="129291C1" w14:textId="77777777" w:rsidR="004D0672" w:rsidRDefault="004D0672" w:rsidP="004D0672">
      <w:pPr>
        <w:pStyle w:val="BasicParagraph"/>
        <w:suppressAutoHyphens/>
        <w:ind w:left="720" w:hanging="720"/>
        <w:rPr>
          <w:rFonts w:ascii="Verdana" w:hAnsi="Verdana"/>
        </w:rPr>
      </w:pPr>
    </w:p>
    <w:p w14:paraId="1BEE5462" w14:textId="521E2CE3" w:rsidR="004D0672" w:rsidRPr="00C26253" w:rsidRDefault="004D0672" w:rsidP="00BF6048">
      <w:pPr>
        <w:pStyle w:val="BasicParagraph"/>
        <w:suppressAutoHyphens/>
        <w:ind w:left="720" w:hanging="720"/>
        <w:rPr>
          <w:rFonts w:ascii="Verdana" w:hAnsi="Verdana"/>
        </w:rPr>
      </w:pPr>
      <w:r>
        <w:rPr>
          <w:rFonts w:ascii="Verdana" w:hAnsi="Verdana"/>
        </w:rPr>
        <w:t>2.2</w:t>
      </w:r>
      <w:r w:rsidR="00805A53">
        <w:rPr>
          <w:rFonts w:ascii="Verdana" w:hAnsi="Verdana"/>
        </w:rPr>
        <w:t>0</w:t>
      </w:r>
      <w:r>
        <w:rPr>
          <w:rFonts w:ascii="Verdana" w:hAnsi="Verdana"/>
        </w:rPr>
        <w:tab/>
      </w:r>
      <w:r w:rsidRPr="00C26253">
        <w:rPr>
          <w:rFonts w:ascii="Verdana" w:hAnsi="Verdana"/>
        </w:rPr>
        <w:t>The UN Principles for Older Persons</w:t>
      </w:r>
      <w:r>
        <w:rPr>
          <w:rStyle w:val="FootnoteReference"/>
          <w:rFonts w:ascii="Verdana" w:hAnsi="Verdana"/>
        </w:rPr>
        <w:footnoteReference w:id="35"/>
      </w:r>
      <w:r w:rsidRPr="00C26253">
        <w:rPr>
          <w:rFonts w:ascii="Verdana" w:hAnsi="Verdana"/>
        </w:rPr>
        <w:t xml:space="preserve"> provide guidance to States on how the rights of older people can best be protected. The principles are centred on five core areas: independence, participation, care, self-fulfilment and dignity.</w:t>
      </w:r>
      <w:r w:rsidR="00BF6048">
        <w:rPr>
          <w:rFonts w:ascii="Verdana" w:hAnsi="Verdana"/>
        </w:rPr>
        <w:t xml:space="preserve"> </w:t>
      </w:r>
      <w:r w:rsidRPr="00C26253">
        <w:rPr>
          <w:rFonts w:ascii="Verdana" w:hAnsi="Verdana"/>
        </w:rPr>
        <w:t>Principle 14</w:t>
      </w:r>
      <w:r w:rsidR="00BF6048">
        <w:rPr>
          <w:rFonts w:ascii="Verdana" w:hAnsi="Verdana"/>
        </w:rPr>
        <w:t xml:space="preserve"> states,</w:t>
      </w:r>
      <w:r w:rsidRPr="00C26253">
        <w:rPr>
          <w:rFonts w:ascii="Verdana" w:hAnsi="Verdana"/>
        </w:rPr>
        <w:t xml:space="preserve"> </w:t>
      </w:r>
      <w:r w:rsidR="00BF6048">
        <w:rPr>
          <w:rFonts w:ascii="Verdana" w:hAnsi="Verdana"/>
        </w:rPr>
        <w:t>“</w:t>
      </w:r>
      <w:r w:rsidRPr="00C26253">
        <w:rPr>
          <w:rFonts w:ascii="Verdana" w:hAnsi="Verdana"/>
        </w:rPr>
        <w:t xml:space="preserve">Older persons should be able to enjoy human </w:t>
      </w:r>
      <w:r w:rsidRPr="00C26253">
        <w:rPr>
          <w:rFonts w:ascii="Verdana" w:hAnsi="Verdana"/>
        </w:rPr>
        <w:lastRenderedPageBreak/>
        <w:t>rights and fundamental freedoms when residing in any shelter, care or treatment facility, including full respect for their dignity, beliefs, needs and privacy and for the right to make decisions about their care and the quality of their lives.</w:t>
      </w:r>
      <w:r w:rsidR="00BF6048">
        <w:rPr>
          <w:rFonts w:ascii="Verdana" w:hAnsi="Verdana"/>
        </w:rPr>
        <w:t>”</w:t>
      </w:r>
    </w:p>
    <w:p w14:paraId="21280114" w14:textId="77777777" w:rsidR="004D0672" w:rsidRPr="00355290" w:rsidRDefault="004D0672" w:rsidP="004D0672">
      <w:pPr>
        <w:pStyle w:val="BasicParagraph"/>
        <w:suppressAutoHyphens/>
        <w:rPr>
          <w:rFonts w:ascii="Verdana" w:hAnsi="Verdana"/>
        </w:rPr>
      </w:pPr>
    </w:p>
    <w:p w14:paraId="26FD4ECC" w14:textId="2D4D9CF8" w:rsidR="00BF6048" w:rsidRDefault="004D0672" w:rsidP="00EF403B">
      <w:pPr>
        <w:pStyle w:val="BasicParagraph"/>
        <w:suppressAutoHyphens/>
        <w:ind w:left="720" w:hanging="720"/>
        <w:rPr>
          <w:rFonts w:ascii="Verdana" w:hAnsi="Verdana"/>
        </w:rPr>
      </w:pPr>
      <w:r>
        <w:rPr>
          <w:rFonts w:ascii="Verdana" w:hAnsi="Verdana"/>
        </w:rPr>
        <w:t>2.2</w:t>
      </w:r>
      <w:r w:rsidR="00805A53">
        <w:rPr>
          <w:rFonts w:ascii="Verdana" w:hAnsi="Verdana"/>
        </w:rPr>
        <w:t>1</w:t>
      </w:r>
      <w:r>
        <w:rPr>
          <w:rFonts w:ascii="Verdana" w:hAnsi="Verdana"/>
        </w:rPr>
        <w:tab/>
        <w:t xml:space="preserve">Article 8 of the </w:t>
      </w:r>
      <w:r w:rsidRPr="00355290">
        <w:rPr>
          <w:rFonts w:ascii="Verdana" w:hAnsi="Verdana"/>
        </w:rPr>
        <w:t>Council of Europe Recommendation (2004)10</w:t>
      </w:r>
      <w:r w:rsidR="008C482A">
        <w:rPr>
          <w:rStyle w:val="FootnoteReference"/>
          <w:rFonts w:ascii="Verdana" w:hAnsi="Verdana"/>
        </w:rPr>
        <w:footnoteReference w:id="36"/>
      </w:r>
      <w:r w:rsidRPr="00355290">
        <w:rPr>
          <w:rFonts w:ascii="Verdana" w:hAnsi="Verdana"/>
        </w:rPr>
        <w:t xml:space="preserve"> concerning the protection of the human rights and dignity of persons with </w:t>
      </w:r>
      <w:r w:rsidR="00893BA6">
        <w:rPr>
          <w:rFonts w:ascii="Verdana" w:hAnsi="Verdana"/>
        </w:rPr>
        <w:t>‘</w:t>
      </w:r>
      <w:r w:rsidRPr="00355290">
        <w:rPr>
          <w:rFonts w:ascii="Verdana" w:hAnsi="Verdana"/>
        </w:rPr>
        <w:t>mental disorder</w:t>
      </w:r>
      <w:r w:rsidR="00893BA6">
        <w:rPr>
          <w:rFonts w:ascii="Verdana" w:hAnsi="Verdana"/>
        </w:rPr>
        <w:t>’</w:t>
      </w:r>
      <w:r w:rsidRPr="00355290">
        <w:rPr>
          <w:rFonts w:ascii="Verdana" w:hAnsi="Verdana"/>
        </w:rPr>
        <w:t xml:space="preserve"> </w:t>
      </w:r>
      <w:r w:rsidR="00893BA6">
        <w:rPr>
          <w:rFonts w:ascii="Verdana" w:hAnsi="Verdana"/>
        </w:rPr>
        <w:t>applies</w:t>
      </w:r>
      <w:r w:rsidR="00893BA6" w:rsidRPr="005A7369">
        <w:rPr>
          <w:rFonts w:ascii="Verdana" w:hAnsi="Verdana"/>
        </w:rPr>
        <w:t xml:space="preserve"> </w:t>
      </w:r>
      <w:r w:rsidRPr="005A7369">
        <w:rPr>
          <w:rFonts w:ascii="Verdana" w:hAnsi="Verdana"/>
        </w:rPr>
        <w:t xml:space="preserve">the principle of least restriction. </w:t>
      </w:r>
      <w:r>
        <w:rPr>
          <w:rFonts w:ascii="Verdana" w:hAnsi="Verdana"/>
        </w:rPr>
        <w:t>T</w:t>
      </w:r>
      <w:r w:rsidRPr="005A7369">
        <w:rPr>
          <w:rFonts w:ascii="Verdana" w:hAnsi="Verdana"/>
        </w:rPr>
        <w:t>he Recommendation sets out general standards relating to the training of staff involved in the provision of mental health services (Article 11) and general principles regarding treatment, including the requirement for regular review (Article 12).</w:t>
      </w:r>
      <w:r w:rsidR="00893BA6">
        <w:rPr>
          <w:rFonts w:ascii="Verdana" w:hAnsi="Verdana"/>
        </w:rPr>
        <w:t xml:space="preserve"> </w:t>
      </w:r>
      <w:r>
        <w:rPr>
          <w:rFonts w:ascii="Verdana" w:hAnsi="Verdana"/>
        </w:rPr>
        <w:t xml:space="preserve">Article 27 sets out standards for the use of restraint and seclusion, which again </w:t>
      </w:r>
      <w:r w:rsidRPr="00355290">
        <w:rPr>
          <w:rFonts w:ascii="Verdana" w:hAnsi="Verdana"/>
        </w:rPr>
        <w:t>requires compliance with the principle of least restriction, to prevent imminent harm to the person concerned or others, and in proportion to the risks entailed. Measures of restraint should only be used under medical supervision and appropriately documented. In addition, the reasons for and duration of restraint should be recorded in the person’s records. All instances of physical restraint should also be recorded in a register so that the use of restraint can be appropriately monitored. The Explanatory Memorandum notes that there may be higher levels of risk for older people where restraint is used and therefore additional safeguards may be advisable.</w:t>
      </w:r>
    </w:p>
    <w:p w14:paraId="23975DCD" w14:textId="00F63B19" w:rsidR="000319D0" w:rsidRDefault="000319D0" w:rsidP="00EF403B">
      <w:pPr>
        <w:pStyle w:val="BasicParagraph"/>
        <w:suppressAutoHyphens/>
        <w:ind w:left="720" w:hanging="720"/>
        <w:rPr>
          <w:rFonts w:ascii="Verdana" w:hAnsi="Verdana"/>
        </w:rPr>
      </w:pPr>
    </w:p>
    <w:p w14:paraId="67746DE2" w14:textId="158B96C3" w:rsidR="00C71D7C" w:rsidRDefault="000319D0" w:rsidP="00C71D7C">
      <w:pPr>
        <w:pStyle w:val="BasicParagraph"/>
        <w:suppressAutoHyphens/>
        <w:spacing w:after="240"/>
        <w:ind w:left="720" w:hanging="720"/>
        <w:rPr>
          <w:rFonts w:ascii="Verdana" w:hAnsi="Verdana"/>
        </w:rPr>
      </w:pPr>
      <w:r>
        <w:rPr>
          <w:rFonts w:ascii="Verdana" w:hAnsi="Verdana"/>
        </w:rPr>
        <w:t>2.</w:t>
      </w:r>
      <w:r w:rsidR="00805A53">
        <w:rPr>
          <w:rFonts w:ascii="Verdana" w:hAnsi="Verdana"/>
        </w:rPr>
        <w:t>22</w:t>
      </w:r>
      <w:r>
        <w:rPr>
          <w:rFonts w:ascii="Verdana" w:hAnsi="Verdana"/>
        </w:rPr>
        <w:tab/>
        <w:t>T</w:t>
      </w:r>
      <w:r w:rsidRPr="000319D0">
        <w:rPr>
          <w:rFonts w:ascii="Verdana" w:hAnsi="Verdana"/>
        </w:rPr>
        <w:t xml:space="preserve">he European Committee </w:t>
      </w:r>
      <w:r w:rsidR="00D85061">
        <w:rPr>
          <w:rFonts w:ascii="Verdana" w:hAnsi="Verdana"/>
        </w:rPr>
        <w:t>on</w:t>
      </w:r>
      <w:r w:rsidRPr="000319D0">
        <w:rPr>
          <w:rFonts w:ascii="Verdana" w:hAnsi="Verdana"/>
        </w:rPr>
        <w:t xml:space="preserve"> the Prevention of Torture</w:t>
      </w:r>
      <w:r w:rsidR="00D85061">
        <w:rPr>
          <w:rFonts w:ascii="Verdana" w:hAnsi="Verdana"/>
        </w:rPr>
        <w:t xml:space="preserve"> and Inhuman or Degrading </w:t>
      </w:r>
      <w:r w:rsidR="00A26C25">
        <w:rPr>
          <w:rFonts w:ascii="Verdana" w:hAnsi="Verdana"/>
        </w:rPr>
        <w:t>Treatment of Punishment (CPT)</w:t>
      </w:r>
      <w:r w:rsidRPr="000319D0">
        <w:rPr>
          <w:rFonts w:ascii="Verdana" w:hAnsi="Verdana"/>
        </w:rPr>
        <w:t xml:space="preserve"> </w:t>
      </w:r>
      <w:r w:rsidR="00913AF4">
        <w:rPr>
          <w:rFonts w:ascii="Verdana" w:hAnsi="Verdana"/>
        </w:rPr>
        <w:t xml:space="preserve">provides </w:t>
      </w:r>
      <w:r w:rsidR="009B3AAE">
        <w:rPr>
          <w:rFonts w:ascii="Verdana" w:hAnsi="Verdana"/>
        </w:rPr>
        <w:t>specific standards addressing the use of restraint in psychiatric establishments.</w:t>
      </w:r>
      <w:r w:rsidR="00C71D7C">
        <w:rPr>
          <w:rStyle w:val="FootnoteReference"/>
          <w:rFonts w:ascii="Verdana" w:hAnsi="Verdana"/>
        </w:rPr>
        <w:footnoteReference w:id="37"/>
      </w:r>
      <w:r w:rsidR="00C71D7C">
        <w:rPr>
          <w:rFonts w:ascii="Verdana" w:hAnsi="Verdana"/>
        </w:rPr>
        <w:t xml:space="preserve"> </w:t>
      </w:r>
      <w:r w:rsidR="00C71D7C" w:rsidRPr="00C71D7C">
        <w:rPr>
          <w:rFonts w:ascii="Verdana" w:hAnsi="Verdana"/>
        </w:rPr>
        <w:t>The CPT’s standards set out the following requirements:</w:t>
      </w:r>
    </w:p>
    <w:p w14:paraId="388F81D2" w14:textId="77777777" w:rsidR="00C71D7C" w:rsidRDefault="00C71D7C" w:rsidP="00C71D7C">
      <w:pPr>
        <w:pStyle w:val="BasicParagraph"/>
        <w:numPr>
          <w:ilvl w:val="0"/>
          <w:numId w:val="16"/>
        </w:numPr>
        <w:suppressAutoHyphens/>
        <w:rPr>
          <w:rFonts w:ascii="Verdana" w:hAnsi="Verdana"/>
        </w:rPr>
      </w:pPr>
      <w:r w:rsidRPr="00C71D7C">
        <w:rPr>
          <w:rFonts w:ascii="Verdana" w:hAnsi="Verdana"/>
        </w:rPr>
        <w:t>that restraint is subject to a clearly defined policy</w:t>
      </w:r>
    </w:p>
    <w:p w14:paraId="5508EB72" w14:textId="77777777" w:rsidR="00C71D7C" w:rsidRDefault="00C71D7C" w:rsidP="00C71D7C">
      <w:pPr>
        <w:pStyle w:val="BasicParagraph"/>
        <w:numPr>
          <w:ilvl w:val="0"/>
          <w:numId w:val="16"/>
        </w:numPr>
        <w:suppressAutoHyphens/>
        <w:rPr>
          <w:rFonts w:ascii="Verdana" w:hAnsi="Verdana"/>
        </w:rPr>
      </w:pPr>
      <w:r w:rsidRPr="00C71D7C">
        <w:rPr>
          <w:rFonts w:ascii="Verdana" w:hAnsi="Verdana"/>
        </w:rPr>
        <w:t>initial attempts of restraint should as far as possible be non-physical</w:t>
      </w:r>
    </w:p>
    <w:p w14:paraId="711C9159" w14:textId="77777777" w:rsidR="00C71D7C" w:rsidRDefault="00C71D7C" w:rsidP="00C71D7C">
      <w:pPr>
        <w:pStyle w:val="BasicParagraph"/>
        <w:numPr>
          <w:ilvl w:val="0"/>
          <w:numId w:val="16"/>
        </w:numPr>
        <w:suppressAutoHyphens/>
        <w:rPr>
          <w:rFonts w:ascii="Verdana" w:hAnsi="Verdana"/>
        </w:rPr>
      </w:pPr>
      <w:r w:rsidRPr="00C71D7C">
        <w:rPr>
          <w:rFonts w:ascii="Verdana" w:hAnsi="Verdana"/>
        </w:rPr>
        <w:t>physical restraint should in principle be limited to manual control</w:t>
      </w:r>
    </w:p>
    <w:p w14:paraId="6B883BD8" w14:textId="6FBC5157" w:rsidR="00C71D7C" w:rsidRDefault="00C71D7C" w:rsidP="00C71D7C">
      <w:pPr>
        <w:pStyle w:val="BasicParagraph"/>
        <w:numPr>
          <w:ilvl w:val="0"/>
          <w:numId w:val="16"/>
        </w:numPr>
        <w:suppressAutoHyphens/>
        <w:rPr>
          <w:rFonts w:ascii="Verdana" w:hAnsi="Verdana"/>
        </w:rPr>
      </w:pPr>
      <w:r w:rsidRPr="00C71D7C">
        <w:rPr>
          <w:rFonts w:ascii="Verdana" w:hAnsi="Verdana"/>
        </w:rPr>
        <w:t>staff should receive training on the use of non-physical and manual restraint</w:t>
      </w:r>
      <w:r>
        <w:rPr>
          <w:rFonts w:ascii="Verdana" w:hAnsi="Verdana"/>
        </w:rPr>
        <w:t xml:space="preserve">, </w:t>
      </w:r>
      <w:r w:rsidRPr="00C71D7C">
        <w:rPr>
          <w:rFonts w:ascii="Verdana" w:hAnsi="Verdana"/>
        </w:rPr>
        <w:t>and</w:t>
      </w:r>
    </w:p>
    <w:p w14:paraId="7FB7365D" w14:textId="77777777" w:rsidR="00C71D7C" w:rsidRDefault="00C71D7C" w:rsidP="00C71D7C">
      <w:pPr>
        <w:pStyle w:val="BasicParagraph"/>
        <w:numPr>
          <w:ilvl w:val="0"/>
          <w:numId w:val="16"/>
        </w:numPr>
        <w:suppressAutoHyphens/>
        <w:rPr>
          <w:rFonts w:ascii="Verdana" w:hAnsi="Verdana"/>
        </w:rPr>
      </w:pPr>
      <w:r w:rsidRPr="00C71D7C">
        <w:rPr>
          <w:rFonts w:ascii="Verdana" w:hAnsi="Verdana"/>
        </w:rPr>
        <w:t xml:space="preserve">all instances of physical restraint should be recorded in a specific register and in the person’s file. </w:t>
      </w:r>
    </w:p>
    <w:p w14:paraId="46162147" w14:textId="77777777" w:rsidR="00C71D7C" w:rsidRDefault="00C71D7C" w:rsidP="00EF403B">
      <w:pPr>
        <w:pStyle w:val="BasicParagraph"/>
        <w:suppressAutoHyphens/>
        <w:ind w:left="720" w:hanging="720"/>
        <w:rPr>
          <w:rFonts w:ascii="Verdana" w:hAnsi="Verdana"/>
        </w:rPr>
      </w:pPr>
    </w:p>
    <w:p w14:paraId="0145D559" w14:textId="156D6DD7" w:rsidR="000319D0" w:rsidRDefault="00C71D7C" w:rsidP="00EF403B">
      <w:pPr>
        <w:pStyle w:val="BasicParagraph"/>
        <w:suppressAutoHyphens/>
        <w:ind w:left="720" w:hanging="720"/>
        <w:rPr>
          <w:rFonts w:ascii="Verdana" w:hAnsi="Verdana"/>
        </w:rPr>
      </w:pPr>
      <w:r>
        <w:rPr>
          <w:rFonts w:ascii="Verdana" w:hAnsi="Verdana"/>
        </w:rPr>
        <w:t>2.</w:t>
      </w:r>
      <w:r w:rsidR="00805A53">
        <w:rPr>
          <w:rFonts w:ascii="Verdana" w:hAnsi="Verdana"/>
        </w:rPr>
        <w:t>23</w:t>
      </w:r>
      <w:r>
        <w:rPr>
          <w:rFonts w:ascii="Verdana" w:hAnsi="Verdana"/>
        </w:rPr>
        <w:tab/>
      </w:r>
      <w:r w:rsidRPr="00C71D7C">
        <w:rPr>
          <w:rFonts w:ascii="Verdana" w:hAnsi="Verdana"/>
        </w:rPr>
        <w:t xml:space="preserve">In addition, the CPT is clear that the use of physical restraint as a </w:t>
      </w:r>
      <w:r w:rsidRPr="00C71D7C">
        <w:rPr>
          <w:rFonts w:ascii="Verdana" w:hAnsi="Verdana"/>
        </w:rPr>
        <w:lastRenderedPageBreak/>
        <w:t>punishment or for a period of days is likely to constitute ill treatment</w:t>
      </w:r>
      <w:r>
        <w:rPr>
          <w:rFonts w:ascii="Verdana" w:hAnsi="Verdana"/>
        </w:rPr>
        <w:t>.</w:t>
      </w:r>
      <w:r w:rsidR="00A82A79">
        <w:rPr>
          <w:rStyle w:val="FootnoteReference"/>
          <w:rFonts w:ascii="Verdana" w:hAnsi="Verdana"/>
        </w:rPr>
        <w:footnoteReference w:id="38"/>
      </w:r>
      <w:r w:rsidRPr="00C71D7C">
        <w:rPr>
          <w:rFonts w:ascii="Verdana" w:hAnsi="Verdana"/>
        </w:rPr>
        <w:t xml:space="preserve"> The CPT also requires that the use of “chemical restraint”</w:t>
      </w:r>
      <w:r w:rsidR="002530DD">
        <w:rPr>
          <w:rFonts w:ascii="Verdana" w:hAnsi="Verdana"/>
        </w:rPr>
        <w:t xml:space="preserve"> </w:t>
      </w:r>
      <w:r w:rsidR="00FD24BD">
        <w:rPr>
          <w:rFonts w:ascii="Verdana" w:hAnsi="Verdana"/>
        </w:rPr>
        <w:t>i.e.,</w:t>
      </w:r>
      <w:r w:rsidRPr="00C71D7C">
        <w:rPr>
          <w:rFonts w:ascii="Verdana" w:hAnsi="Verdana"/>
        </w:rPr>
        <w:t xml:space="preserve"> sedating </w:t>
      </w:r>
      <w:r w:rsidR="002530DD">
        <w:rPr>
          <w:rFonts w:ascii="Verdana" w:hAnsi="Verdana"/>
        </w:rPr>
        <w:t xml:space="preserve">by </w:t>
      </w:r>
      <w:r w:rsidRPr="00C71D7C">
        <w:rPr>
          <w:rFonts w:ascii="Verdana" w:hAnsi="Verdana"/>
        </w:rPr>
        <w:t>medication, should be governed by clear rules and subject to the same oversight as any other means of restraint.</w:t>
      </w:r>
      <w:r w:rsidR="001B74EB">
        <w:rPr>
          <w:rStyle w:val="FootnoteReference"/>
          <w:rFonts w:ascii="Verdana" w:hAnsi="Verdana"/>
        </w:rPr>
        <w:footnoteReference w:id="39"/>
      </w:r>
    </w:p>
    <w:p w14:paraId="4E773A07" w14:textId="77777777" w:rsidR="007931BF" w:rsidRDefault="007931BF" w:rsidP="00F36E0F">
      <w:pPr>
        <w:pStyle w:val="BasicParagraph"/>
        <w:suppressAutoHyphens/>
        <w:rPr>
          <w:rFonts w:ascii="Verdana" w:hAnsi="Verdana"/>
        </w:rPr>
      </w:pPr>
    </w:p>
    <w:p w14:paraId="78D27BCC" w14:textId="0CD22299" w:rsidR="0081013E" w:rsidRPr="00B74DF7" w:rsidRDefault="00D745F5" w:rsidP="00B74DF7">
      <w:pPr>
        <w:pStyle w:val="BasicParagraph"/>
        <w:numPr>
          <w:ilvl w:val="0"/>
          <w:numId w:val="19"/>
        </w:numPr>
        <w:suppressAutoHyphens/>
        <w:rPr>
          <w:rFonts w:ascii="Verdana" w:hAnsi="Verdana"/>
          <w:b/>
          <w:bCs/>
          <w:color w:val="7030A0"/>
          <w:sz w:val="30"/>
          <w:szCs w:val="30"/>
        </w:rPr>
      </w:pPr>
      <w:r w:rsidRPr="00D745F5">
        <w:rPr>
          <w:rFonts w:ascii="Verdana" w:hAnsi="Verdana"/>
          <w:b/>
          <w:bCs/>
          <w:color w:val="7030A0"/>
          <w:sz w:val="30"/>
          <w:szCs w:val="30"/>
        </w:rPr>
        <w:t xml:space="preserve">Standard 1: </w:t>
      </w:r>
      <w:r>
        <w:rPr>
          <w:rFonts w:ascii="Verdana" w:hAnsi="Verdana"/>
          <w:b/>
          <w:bCs/>
          <w:color w:val="7030A0"/>
          <w:sz w:val="30"/>
          <w:szCs w:val="30"/>
        </w:rPr>
        <w:t>D</w:t>
      </w:r>
      <w:r w:rsidRPr="00D745F5">
        <w:rPr>
          <w:rFonts w:ascii="Verdana" w:hAnsi="Verdana"/>
          <w:b/>
          <w:bCs/>
          <w:color w:val="7030A0"/>
          <w:sz w:val="30"/>
          <w:szCs w:val="30"/>
        </w:rPr>
        <w:t xml:space="preserve">efinitions </w:t>
      </w:r>
    </w:p>
    <w:p w14:paraId="6BDF7507" w14:textId="4A7F4E37" w:rsidR="001127E8" w:rsidRDefault="001127E8" w:rsidP="00AF7F2E">
      <w:pPr>
        <w:pStyle w:val="BasicParagraph"/>
        <w:suppressAutoHyphens/>
        <w:ind w:left="720" w:hanging="720"/>
        <w:rPr>
          <w:rFonts w:ascii="Verdana" w:hAnsi="Verdana"/>
        </w:rPr>
      </w:pPr>
      <w:r>
        <w:rPr>
          <w:rFonts w:ascii="Verdana" w:hAnsi="Verdana"/>
        </w:rPr>
        <w:t>3.</w:t>
      </w:r>
      <w:r w:rsidR="00AF7F2E">
        <w:rPr>
          <w:rFonts w:ascii="Verdana" w:hAnsi="Verdana"/>
        </w:rPr>
        <w:t>1</w:t>
      </w:r>
      <w:r>
        <w:rPr>
          <w:rFonts w:ascii="Verdana" w:hAnsi="Verdana"/>
        </w:rPr>
        <w:tab/>
      </w:r>
      <w:r w:rsidR="00FD24BD">
        <w:rPr>
          <w:rFonts w:ascii="Verdana" w:hAnsi="Verdana"/>
        </w:rPr>
        <w:t xml:space="preserve">Identifying which </w:t>
      </w:r>
      <w:r w:rsidR="008208CB">
        <w:rPr>
          <w:rFonts w:ascii="Verdana" w:hAnsi="Verdana"/>
        </w:rPr>
        <w:t>practice</w:t>
      </w:r>
      <w:r w:rsidR="00FD24BD">
        <w:rPr>
          <w:rFonts w:ascii="Verdana" w:hAnsi="Verdana"/>
        </w:rPr>
        <w:t xml:space="preserve">s amount to </w:t>
      </w:r>
      <w:r>
        <w:rPr>
          <w:rFonts w:ascii="Verdana" w:hAnsi="Verdana"/>
        </w:rPr>
        <w:t>restrictive practi</w:t>
      </w:r>
      <w:r w:rsidR="00FD24BD">
        <w:rPr>
          <w:rFonts w:ascii="Verdana" w:hAnsi="Verdana"/>
        </w:rPr>
        <w:t>s</w:t>
      </w:r>
      <w:r>
        <w:rPr>
          <w:rFonts w:ascii="Verdana" w:hAnsi="Verdana"/>
        </w:rPr>
        <w:t>es, restraint and</w:t>
      </w:r>
      <w:r w:rsidR="00FD24BD">
        <w:rPr>
          <w:rFonts w:ascii="Verdana" w:hAnsi="Verdana"/>
        </w:rPr>
        <w:t>/or</w:t>
      </w:r>
      <w:r>
        <w:rPr>
          <w:rFonts w:ascii="Verdana" w:hAnsi="Verdana"/>
        </w:rPr>
        <w:t xml:space="preserve"> seclusion</w:t>
      </w:r>
      <w:r w:rsidR="00FD24BD">
        <w:rPr>
          <w:rFonts w:ascii="Verdana" w:hAnsi="Verdana"/>
        </w:rPr>
        <w:t>,</w:t>
      </w:r>
      <w:r w:rsidRPr="00C235C7">
        <w:rPr>
          <w:rFonts w:ascii="Verdana" w:hAnsi="Verdana"/>
        </w:rPr>
        <w:t xml:space="preserve"> i</w:t>
      </w:r>
      <w:r w:rsidR="00FD24BD">
        <w:rPr>
          <w:rFonts w:ascii="Verdana" w:hAnsi="Verdana"/>
        </w:rPr>
        <w:t xml:space="preserve">s necessary if </w:t>
      </w:r>
      <w:r>
        <w:rPr>
          <w:rFonts w:ascii="Verdana" w:hAnsi="Verdana"/>
        </w:rPr>
        <w:t xml:space="preserve">health and social care </w:t>
      </w:r>
      <w:r w:rsidRPr="00C235C7">
        <w:rPr>
          <w:rFonts w:ascii="Verdana" w:hAnsi="Verdana"/>
        </w:rPr>
        <w:t xml:space="preserve">staff are to </w:t>
      </w:r>
      <w:r w:rsidR="00FD24BD">
        <w:rPr>
          <w:rFonts w:ascii="Verdana" w:hAnsi="Verdana"/>
        </w:rPr>
        <w:t xml:space="preserve">act lawfully and apply relevant guidance. </w:t>
      </w:r>
      <w:r>
        <w:rPr>
          <w:rFonts w:ascii="Verdana" w:hAnsi="Verdana"/>
        </w:rPr>
        <w:t xml:space="preserve">The Commission welcomes the </w:t>
      </w:r>
      <w:r w:rsidR="00853D32">
        <w:rPr>
          <w:rFonts w:ascii="Verdana" w:hAnsi="Verdana"/>
        </w:rPr>
        <w:t xml:space="preserve">range of </w:t>
      </w:r>
      <w:r>
        <w:rPr>
          <w:rFonts w:ascii="Verdana" w:hAnsi="Verdana"/>
        </w:rPr>
        <w:t>definitions contained within Standard 1</w:t>
      </w:r>
      <w:r w:rsidR="00FD24BD">
        <w:rPr>
          <w:rFonts w:ascii="Verdana" w:hAnsi="Verdana"/>
        </w:rPr>
        <w:t>,</w:t>
      </w:r>
      <w:r>
        <w:rPr>
          <w:rFonts w:ascii="Verdana" w:hAnsi="Verdana"/>
        </w:rPr>
        <w:t xml:space="preserve"> which provide a standardised approach across all health care settings by using consistent language to identify </w:t>
      </w:r>
      <w:r w:rsidR="00FD24BD">
        <w:rPr>
          <w:rFonts w:ascii="Verdana" w:hAnsi="Verdana"/>
        </w:rPr>
        <w:t xml:space="preserve">and describe </w:t>
      </w:r>
      <w:r>
        <w:rPr>
          <w:rFonts w:ascii="Verdana" w:hAnsi="Verdana"/>
        </w:rPr>
        <w:t xml:space="preserve">restrictive practice. </w:t>
      </w:r>
    </w:p>
    <w:p w14:paraId="76997817" w14:textId="5B0535C3" w:rsidR="001127E8" w:rsidRDefault="001127E8" w:rsidP="001127E8">
      <w:pPr>
        <w:pStyle w:val="BasicParagraph"/>
        <w:suppressAutoHyphens/>
        <w:rPr>
          <w:rFonts w:ascii="Verdana" w:hAnsi="Verdana"/>
        </w:rPr>
      </w:pPr>
    </w:p>
    <w:p w14:paraId="38E6D616" w14:textId="389A9422" w:rsidR="00CC4910" w:rsidRDefault="00847577" w:rsidP="00CC4910">
      <w:pPr>
        <w:pStyle w:val="BasicParagraph"/>
        <w:suppressAutoHyphens/>
        <w:ind w:left="720" w:hanging="720"/>
        <w:rPr>
          <w:rFonts w:ascii="Verdana" w:hAnsi="Verdana"/>
        </w:rPr>
      </w:pPr>
      <w:r>
        <w:rPr>
          <w:rFonts w:ascii="Verdana" w:hAnsi="Verdana"/>
        </w:rPr>
        <w:t>3.2</w:t>
      </w:r>
      <w:r>
        <w:rPr>
          <w:rFonts w:ascii="Verdana" w:hAnsi="Verdana"/>
        </w:rPr>
        <w:tab/>
      </w:r>
      <w:r w:rsidR="00296225">
        <w:rPr>
          <w:rFonts w:ascii="Verdana" w:hAnsi="Verdana"/>
        </w:rPr>
        <w:t>While</w:t>
      </w:r>
      <w:r w:rsidR="00A84913">
        <w:rPr>
          <w:rFonts w:ascii="Verdana" w:hAnsi="Verdana"/>
        </w:rPr>
        <w:t xml:space="preserve"> there are no </w:t>
      </w:r>
      <w:r w:rsidR="00A84913" w:rsidRPr="00E90692">
        <w:rPr>
          <w:rFonts w:ascii="Verdana" w:hAnsi="Verdana"/>
        </w:rPr>
        <w:t>international</w:t>
      </w:r>
      <w:r w:rsidR="00963CE6">
        <w:rPr>
          <w:rFonts w:ascii="Verdana" w:hAnsi="Verdana"/>
        </w:rPr>
        <w:t xml:space="preserve">ly </w:t>
      </w:r>
      <w:r w:rsidR="00FD24BD">
        <w:rPr>
          <w:rFonts w:ascii="Verdana" w:hAnsi="Verdana"/>
        </w:rPr>
        <w:t>agreed</w:t>
      </w:r>
      <w:r w:rsidR="00FD24BD" w:rsidRPr="00E90692">
        <w:rPr>
          <w:rFonts w:ascii="Verdana" w:hAnsi="Verdana"/>
        </w:rPr>
        <w:t xml:space="preserve"> </w:t>
      </w:r>
      <w:r w:rsidR="00A84913" w:rsidRPr="00E90692">
        <w:rPr>
          <w:rFonts w:ascii="Verdana" w:hAnsi="Verdana"/>
        </w:rPr>
        <w:t>definitions</w:t>
      </w:r>
      <w:r w:rsidR="00A84913">
        <w:rPr>
          <w:rFonts w:ascii="Verdana" w:hAnsi="Verdana"/>
        </w:rPr>
        <w:t xml:space="preserve"> for restrictive practices and seclusion, the Commission considers it imperative that </w:t>
      </w:r>
      <w:r w:rsidR="00963CE6">
        <w:rPr>
          <w:rFonts w:ascii="Verdana" w:hAnsi="Verdana"/>
        </w:rPr>
        <w:t xml:space="preserve">the </w:t>
      </w:r>
      <w:r w:rsidR="00C46628">
        <w:rPr>
          <w:rFonts w:ascii="Verdana" w:hAnsi="Verdana"/>
        </w:rPr>
        <w:t>guidance is</w:t>
      </w:r>
      <w:r w:rsidR="00A84913">
        <w:rPr>
          <w:rFonts w:ascii="Verdana" w:hAnsi="Verdana"/>
        </w:rPr>
        <w:t xml:space="preserve"> </w:t>
      </w:r>
      <w:r w:rsidR="009C2516">
        <w:rPr>
          <w:rFonts w:ascii="Verdana" w:hAnsi="Verdana"/>
        </w:rPr>
        <w:t xml:space="preserve">firmly </w:t>
      </w:r>
      <w:r w:rsidR="001F38FC">
        <w:rPr>
          <w:rFonts w:ascii="Verdana" w:hAnsi="Verdana"/>
        </w:rPr>
        <w:t>within a</w:t>
      </w:r>
      <w:r w:rsidR="00A84913">
        <w:rPr>
          <w:rFonts w:ascii="Verdana" w:hAnsi="Verdana"/>
        </w:rPr>
        <w:t xml:space="preserve"> </w:t>
      </w:r>
      <w:r w:rsidR="00764914">
        <w:rPr>
          <w:rFonts w:ascii="Verdana" w:hAnsi="Verdana"/>
        </w:rPr>
        <w:t>comprehensive</w:t>
      </w:r>
      <w:r w:rsidR="00F61D1B">
        <w:rPr>
          <w:rFonts w:ascii="Verdana" w:hAnsi="Verdana"/>
        </w:rPr>
        <w:t xml:space="preserve">, </w:t>
      </w:r>
      <w:r w:rsidR="00B904DD">
        <w:rPr>
          <w:rFonts w:ascii="Verdana" w:hAnsi="Verdana"/>
        </w:rPr>
        <w:t xml:space="preserve">international </w:t>
      </w:r>
      <w:r w:rsidR="00A84913">
        <w:rPr>
          <w:rFonts w:ascii="Verdana" w:hAnsi="Verdana"/>
        </w:rPr>
        <w:t>human rights framework</w:t>
      </w:r>
      <w:r w:rsidR="002E3510">
        <w:rPr>
          <w:rFonts w:ascii="Verdana" w:hAnsi="Verdana"/>
        </w:rPr>
        <w:t xml:space="preserve">. </w:t>
      </w:r>
      <w:r w:rsidR="00FD24BD">
        <w:rPr>
          <w:rFonts w:ascii="Verdana" w:hAnsi="Verdana"/>
        </w:rPr>
        <w:t xml:space="preserve">This will help to </w:t>
      </w:r>
      <w:r w:rsidR="002E3510">
        <w:rPr>
          <w:rFonts w:ascii="Verdana" w:hAnsi="Verdana"/>
        </w:rPr>
        <w:t xml:space="preserve">ensure that </w:t>
      </w:r>
      <w:r w:rsidR="00015CE3">
        <w:rPr>
          <w:rFonts w:ascii="Verdana" w:hAnsi="Verdana"/>
        </w:rPr>
        <w:t xml:space="preserve">human rights </w:t>
      </w:r>
      <w:r w:rsidR="007D0704">
        <w:rPr>
          <w:rFonts w:ascii="Verdana" w:hAnsi="Verdana"/>
        </w:rPr>
        <w:t>obligations</w:t>
      </w:r>
      <w:r w:rsidR="00015CE3">
        <w:rPr>
          <w:rFonts w:ascii="Verdana" w:hAnsi="Verdana"/>
        </w:rPr>
        <w:t xml:space="preserve"> translate into practice</w:t>
      </w:r>
      <w:r w:rsidR="00FD24BD">
        <w:rPr>
          <w:rFonts w:ascii="Verdana" w:hAnsi="Verdana"/>
        </w:rPr>
        <w:t>.</w:t>
      </w:r>
      <w:r w:rsidR="00282A78">
        <w:rPr>
          <w:rStyle w:val="FootnoteReference"/>
          <w:rFonts w:ascii="Verdana" w:hAnsi="Verdana"/>
        </w:rPr>
        <w:footnoteReference w:id="40"/>
      </w:r>
      <w:r w:rsidR="009770EA">
        <w:rPr>
          <w:rFonts w:ascii="Verdana" w:hAnsi="Verdana"/>
        </w:rPr>
        <w:t xml:space="preserve"> </w:t>
      </w:r>
      <w:r w:rsidR="00282A78">
        <w:rPr>
          <w:rFonts w:ascii="Verdana" w:hAnsi="Verdana"/>
        </w:rPr>
        <w:t>Furthermore, current UK Government guidance on the use of restrictive interventions in health care</w:t>
      </w:r>
      <w:r w:rsidR="00282A78">
        <w:rPr>
          <w:rStyle w:val="FootnoteReference"/>
          <w:rFonts w:ascii="Verdana" w:hAnsi="Verdana"/>
        </w:rPr>
        <w:footnoteReference w:id="41"/>
      </w:r>
      <w:r w:rsidR="00282A78">
        <w:rPr>
          <w:rFonts w:ascii="Verdana" w:hAnsi="Verdana"/>
        </w:rPr>
        <w:t xml:space="preserve"> and the CPT Standards on means of restraint</w:t>
      </w:r>
      <w:r w:rsidR="00282A78">
        <w:rPr>
          <w:rStyle w:val="FootnoteReference"/>
          <w:rFonts w:ascii="Verdana" w:hAnsi="Verdana"/>
        </w:rPr>
        <w:footnoteReference w:id="42"/>
      </w:r>
      <w:r w:rsidR="00282A78">
        <w:rPr>
          <w:rFonts w:ascii="Verdana" w:hAnsi="Verdana"/>
        </w:rPr>
        <w:t xml:space="preserve"> both establish a set of general principles that apply across all restrictive practices. In doing so, it clarifies appropriate safeguards for the ethical and legal use of such practices in accordance with international human rights obligations. </w:t>
      </w:r>
    </w:p>
    <w:p w14:paraId="19EF269A" w14:textId="77777777" w:rsidR="00CC4910" w:rsidRDefault="00CC4910" w:rsidP="00CC4910">
      <w:pPr>
        <w:pStyle w:val="BasicParagraph"/>
        <w:suppressAutoHyphens/>
        <w:ind w:left="720" w:hanging="720"/>
        <w:rPr>
          <w:rFonts w:ascii="Verdana" w:hAnsi="Verdana"/>
        </w:rPr>
      </w:pPr>
    </w:p>
    <w:p w14:paraId="2269EEEF" w14:textId="6968FDDA" w:rsidR="00CC4910" w:rsidRDefault="00CC4910" w:rsidP="005572D4">
      <w:pPr>
        <w:pStyle w:val="BasicParagraph"/>
        <w:suppressAutoHyphens/>
        <w:ind w:left="720" w:hanging="720"/>
        <w:rPr>
          <w:rFonts w:ascii="Verdana" w:hAnsi="Verdana"/>
        </w:rPr>
      </w:pPr>
      <w:r>
        <w:rPr>
          <w:rFonts w:ascii="Verdana" w:hAnsi="Verdana"/>
        </w:rPr>
        <w:t>3.3</w:t>
      </w:r>
      <w:r>
        <w:rPr>
          <w:rFonts w:ascii="Verdana" w:hAnsi="Verdana"/>
        </w:rPr>
        <w:tab/>
        <w:t xml:space="preserve">The Commission suggests rewording the overall definition provided for restrictive </w:t>
      </w:r>
      <w:r w:rsidR="008208CB">
        <w:rPr>
          <w:rFonts w:ascii="Verdana" w:hAnsi="Verdana"/>
        </w:rPr>
        <w:t>practice</w:t>
      </w:r>
      <w:r>
        <w:rPr>
          <w:rFonts w:ascii="Verdana" w:hAnsi="Verdana"/>
        </w:rPr>
        <w:t xml:space="preserve">s (at para. 5), to align it more accurately with the key human rights implications identified </w:t>
      </w:r>
      <w:r>
        <w:rPr>
          <w:rFonts w:ascii="Verdana" w:hAnsi="Verdana" w:cs="Arial"/>
          <w:color w:val="auto"/>
        </w:rPr>
        <w:t>above</w:t>
      </w:r>
      <w:r>
        <w:rPr>
          <w:rFonts w:ascii="Verdana" w:hAnsi="Verdana"/>
        </w:rPr>
        <w:t>. The definition proposed below is consistent with the definition for ‘acts of restraint’ in the Mental Capacity Act (NI) 2016 and current UK Government guidance.</w:t>
      </w:r>
      <w:r>
        <w:rPr>
          <w:rStyle w:val="FootnoteReference"/>
          <w:rFonts w:ascii="Verdana" w:hAnsi="Verdana"/>
        </w:rPr>
        <w:footnoteReference w:id="43"/>
      </w:r>
      <w:r>
        <w:rPr>
          <w:rFonts w:ascii="Verdana" w:hAnsi="Verdana"/>
        </w:rPr>
        <w:t xml:space="preserve"> </w:t>
      </w:r>
    </w:p>
    <w:p w14:paraId="550006BD" w14:textId="77777777" w:rsidR="00CC4910" w:rsidRDefault="00CC4910" w:rsidP="00CC4910">
      <w:pPr>
        <w:pStyle w:val="BasicParagraph"/>
        <w:suppressAutoHyphens/>
        <w:rPr>
          <w:rFonts w:ascii="Verdana" w:hAnsi="Verdana"/>
        </w:rPr>
      </w:pPr>
    </w:p>
    <w:p w14:paraId="7D0F582C" w14:textId="66C17AB3" w:rsidR="00CC4910" w:rsidRPr="00BF63AE" w:rsidRDefault="00CC4910" w:rsidP="005572D4">
      <w:pPr>
        <w:pStyle w:val="BasicParagraph"/>
        <w:suppressAutoHyphens/>
        <w:ind w:left="720" w:hanging="720"/>
        <w:rPr>
          <w:rFonts w:ascii="Verdana" w:hAnsi="Verdana"/>
          <w:b/>
          <w:bCs/>
        </w:rPr>
      </w:pPr>
      <w:r>
        <w:rPr>
          <w:rFonts w:ascii="Verdana" w:hAnsi="Verdana"/>
          <w:b/>
          <w:bCs/>
        </w:rPr>
        <w:t>3.4</w:t>
      </w:r>
      <w:r>
        <w:rPr>
          <w:rFonts w:ascii="Verdana" w:hAnsi="Verdana"/>
          <w:b/>
          <w:bCs/>
        </w:rPr>
        <w:tab/>
      </w:r>
      <w:r w:rsidRPr="002C3E50">
        <w:rPr>
          <w:rFonts w:ascii="Verdana" w:hAnsi="Verdana"/>
          <w:b/>
          <w:bCs/>
        </w:rPr>
        <w:t xml:space="preserve">The </w:t>
      </w:r>
      <w:r>
        <w:rPr>
          <w:rFonts w:ascii="Verdana" w:hAnsi="Verdana"/>
          <w:b/>
          <w:bCs/>
        </w:rPr>
        <w:t>Commission recommends</w:t>
      </w:r>
      <w:r w:rsidRPr="002C3E50">
        <w:rPr>
          <w:rFonts w:ascii="Verdana" w:hAnsi="Verdana"/>
          <w:b/>
          <w:bCs/>
        </w:rPr>
        <w:t xml:space="preserve"> </w:t>
      </w:r>
      <w:r>
        <w:rPr>
          <w:rFonts w:ascii="Verdana" w:hAnsi="Verdana"/>
          <w:b/>
          <w:bCs/>
        </w:rPr>
        <w:t xml:space="preserve">amending </w:t>
      </w:r>
      <w:r w:rsidRPr="002C3E50">
        <w:rPr>
          <w:rFonts w:ascii="Verdana" w:hAnsi="Verdana"/>
          <w:b/>
          <w:bCs/>
        </w:rPr>
        <w:t xml:space="preserve">the definition of </w:t>
      </w:r>
      <w:r>
        <w:rPr>
          <w:rFonts w:ascii="Verdana" w:hAnsi="Verdana"/>
          <w:b/>
          <w:bCs/>
        </w:rPr>
        <w:t>r</w:t>
      </w:r>
      <w:r w:rsidRPr="002C3E50">
        <w:rPr>
          <w:rFonts w:ascii="Verdana" w:hAnsi="Verdana"/>
          <w:b/>
          <w:bCs/>
        </w:rPr>
        <w:t xml:space="preserve">estrictive </w:t>
      </w:r>
      <w:r w:rsidR="008208CB">
        <w:rPr>
          <w:rFonts w:ascii="Verdana" w:hAnsi="Verdana"/>
          <w:b/>
          <w:bCs/>
        </w:rPr>
        <w:t>practice</w:t>
      </w:r>
      <w:r w:rsidRPr="002C3E50">
        <w:rPr>
          <w:rFonts w:ascii="Verdana" w:hAnsi="Verdana"/>
          <w:b/>
          <w:bCs/>
        </w:rPr>
        <w:t>s at para</w:t>
      </w:r>
      <w:r>
        <w:rPr>
          <w:rFonts w:ascii="Verdana" w:hAnsi="Verdana"/>
          <w:b/>
          <w:bCs/>
        </w:rPr>
        <w:t>graph</w:t>
      </w:r>
      <w:r w:rsidRPr="002C3E50">
        <w:rPr>
          <w:rFonts w:ascii="Verdana" w:hAnsi="Verdana"/>
          <w:b/>
          <w:bCs/>
        </w:rPr>
        <w:t xml:space="preserve"> 5. </w:t>
      </w:r>
      <w:r>
        <w:rPr>
          <w:rFonts w:ascii="Verdana" w:hAnsi="Verdana"/>
          <w:b/>
          <w:bCs/>
        </w:rPr>
        <w:t xml:space="preserve">from </w:t>
      </w:r>
      <w:r w:rsidRPr="002C3E50">
        <w:rPr>
          <w:rFonts w:ascii="Verdana" w:hAnsi="Verdana"/>
          <w:b/>
          <w:bCs/>
        </w:rPr>
        <w:t>‘those that limit a person’s movement, day to day activity or function’</w:t>
      </w:r>
      <w:r>
        <w:rPr>
          <w:rFonts w:ascii="Verdana" w:hAnsi="Verdana"/>
          <w:b/>
          <w:bCs/>
        </w:rPr>
        <w:t xml:space="preserve"> to</w:t>
      </w:r>
      <w:r w:rsidRPr="002C3E50">
        <w:rPr>
          <w:rFonts w:ascii="Verdana" w:hAnsi="Verdana"/>
          <w:b/>
          <w:bCs/>
        </w:rPr>
        <w:t xml:space="preserve"> ‘</w:t>
      </w:r>
      <w:r>
        <w:rPr>
          <w:rFonts w:ascii="Verdana" w:hAnsi="Verdana"/>
          <w:b/>
          <w:bCs/>
        </w:rPr>
        <w:t xml:space="preserve">deliberate </w:t>
      </w:r>
      <w:r>
        <w:rPr>
          <w:rFonts w:ascii="Verdana" w:hAnsi="Verdana"/>
          <w:b/>
          <w:bCs/>
        </w:rPr>
        <w:lastRenderedPageBreak/>
        <w:t>acts on the part of other person(s) that restrict a person’s</w:t>
      </w:r>
      <w:r w:rsidRPr="002C3E50">
        <w:rPr>
          <w:rFonts w:ascii="Verdana" w:hAnsi="Verdana"/>
          <w:b/>
          <w:bCs/>
        </w:rPr>
        <w:t xml:space="preserve"> movement, liberty and/or freedom to act independently’</w:t>
      </w:r>
      <w:r>
        <w:rPr>
          <w:rFonts w:ascii="Verdana" w:hAnsi="Verdana"/>
          <w:b/>
          <w:bCs/>
        </w:rPr>
        <w:t xml:space="preserve">. </w:t>
      </w:r>
    </w:p>
    <w:p w14:paraId="50B6962E" w14:textId="77777777" w:rsidR="00CC4910" w:rsidRDefault="00CC4910" w:rsidP="00CC4910">
      <w:pPr>
        <w:pStyle w:val="BasicParagraph"/>
        <w:suppressAutoHyphens/>
        <w:rPr>
          <w:rFonts w:ascii="Verdana" w:hAnsi="Verdana"/>
        </w:rPr>
      </w:pPr>
    </w:p>
    <w:p w14:paraId="5BF77572" w14:textId="64414F7E" w:rsidR="00F61D1B" w:rsidRPr="00C16D3B" w:rsidRDefault="00BB074D" w:rsidP="00F61D1B">
      <w:pPr>
        <w:pStyle w:val="BasicParagraph"/>
        <w:suppressAutoHyphens/>
        <w:ind w:left="720" w:hanging="720"/>
        <w:rPr>
          <w:rFonts w:ascii="Verdana" w:hAnsi="Verdana"/>
        </w:rPr>
      </w:pPr>
      <w:r>
        <w:rPr>
          <w:rFonts w:ascii="Verdana" w:hAnsi="Verdana"/>
          <w:b/>
          <w:bCs/>
        </w:rPr>
        <w:t>3</w:t>
      </w:r>
      <w:r w:rsidR="00F61D1B">
        <w:rPr>
          <w:rFonts w:ascii="Verdana" w:hAnsi="Verdana"/>
          <w:b/>
          <w:bCs/>
        </w:rPr>
        <w:t>.</w:t>
      </w:r>
      <w:r w:rsidR="00CC4910">
        <w:rPr>
          <w:rFonts w:ascii="Verdana" w:hAnsi="Verdana"/>
          <w:b/>
          <w:bCs/>
        </w:rPr>
        <w:t>5</w:t>
      </w:r>
      <w:r w:rsidR="00F61D1B">
        <w:rPr>
          <w:rFonts w:ascii="Verdana" w:hAnsi="Verdana"/>
          <w:b/>
          <w:bCs/>
        </w:rPr>
        <w:tab/>
      </w:r>
      <w:r w:rsidR="00F61D1B" w:rsidRPr="0033133E">
        <w:rPr>
          <w:rFonts w:ascii="Verdana" w:hAnsi="Verdana"/>
          <w:b/>
          <w:bCs/>
        </w:rPr>
        <w:t xml:space="preserve">The </w:t>
      </w:r>
      <w:r w:rsidR="00F61D1B">
        <w:rPr>
          <w:rFonts w:ascii="Verdana" w:hAnsi="Verdana"/>
          <w:b/>
          <w:bCs/>
        </w:rPr>
        <w:t>Commission</w:t>
      </w:r>
      <w:r w:rsidR="00F61D1B" w:rsidRPr="0033133E">
        <w:rPr>
          <w:rFonts w:ascii="Verdana" w:hAnsi="Verdana"/>
          <w:b/>
          <w:bCs/>
        </w:rPr>
        <w:t xml:space="preserve"> recommends </w:t>
      </w:r>
      <w:r w:rsidR="00F61D1B">
        <w:rPr>
          <w:rFonts w:ascii="Verdana" w:hAnsi="Verdana"/>
          <w:b/>
          <w:bCs/>
        </w:rPr>
        <w:t>it is made explicit that the human rights framework underpinning the lawful and appropriate use of restrictive practi</w:t>
      </w:r>
      <w:r w:rsidR="00282A78">
        <w:rPr>
          <w:rFonts w:ascii="Verdana" w:hAnsi="Verdana"/>
          <w:b/>
          <w:bCs/>
        </w:rPr>
        <w:t>s</w:t>
      </w:r>
      <w:r w:rsidR="00F61D1B">
        <w:rPr>
          <w:rFonts w:ascii="Verdana" w:hAnsi="Verdana"/>
          <w:b/>
          <w:bCs/>
        </w:rPr>
        <w:t xml:space="preserve">es in health </w:t>
      </w:r>
      <w:r w:rsidR="00282A78">
        <w:rPr>
          <w:rFonts w:ascii="Verdana" w:hAnsi="Verdana"/>
          <w:b/>
          <w:bCs/>
        </w:rPr>
        <w:t xml:space="preserve">and </w:t>
      </w:r>
      <w:r w:rsidR="00F61D1B">
        <w:rPr>
          <w:rFonts w:ascii="Verdana" w:hAnsi="Verdana"/>
          <w:b/>
          <w:bCs/>
        </w:rPr>
        <w:t>care settings incorporates</w:t>
      </w:r>
      <w:r w:rsidR="00F61D1B" w:rsidRPr="0033133E">
        <w:rPr>
          <w:rFonts w:ascii="Verdana" w:hAnsi="Verdana"/>
          <w:b/>
          <w:bCs/>
        </w:rPr>
        <w:t xml:space="preserve"> the full range of international</w:t>
      </w:r>
      <w:r w:rsidR="00F61D1B">
        <w:rPr>
          <w:rFonts w:ascii="Verdana" w:hAnsi="Verdana"/>
          <w:b/>
          <w:bCs/>
        </w:rPr>
        <w:t xml:space="preserve">ly accepted </w:t>
      </w:r>
      <w:r w:rsidR="00F61D1B" w:rsidRPr="0033133E">
        <w:rPr>
          <w:rFonts w:ascii="Verdana" w:hAnsi="Verdana"/>
          <w:b/>
          <w:bCs/>
        </w:rPr>
        <w:t>human rights standards ratified by the UK</w:t>
      </w:r>
      <w:r w:rsidR="00F61D1B">
        <w:rPr>
          <w:rFonts w:ascii="Verdana" w:hAnsi="Verdana"/>
          <w:b/>
          <w:bCs/>
        </w:rPr>
        <w:t>.</w:t>
      </w:r>
    </w:p>
    <w:p w14:paraId="3E63D5DF" w14:textId="77777777" w:rsidR="00174896" w:rsidRDefault="00174896" w:rsidP="00EF3DEE">
      <w:pPr>
        <w:pStyle w:val="BasicParagraph"/>
        <w:suppressAutoHyphens/>
        <w:rPr>
          <w:rFonts w:ascii="Verdana" w:hAnsi="Verdana"/>
        </w:rPr>
      </w:pPr>
    </w:p>
    <w:p w14:paraId="4AE9DF3E" w14:textId="3B5B0337" w:rsidR="00BD1445" w:rsidRDefault="004F5777" w:rsidP="005572D4">
      <w:pPr>
        <w:pStyle w:val="BasicParagraph"/>
        <w:suppressAutoHyphens/>
        <w:ind w:left="720" w:hanging="720"/>
        <w:rPr>
          <w:rFonts w:ascii="Verdana" w:hAnsi="Verdana"/>
          <w:b/>
          <w:bCs/>
        </w:rPr>
      </w:pPr>
      <w:r>
        <w:rPr>
          <w:rFonts w:ascii="Verdana" w:hAnsi="Verdana"/>
          <w:b/>
          <w:bCs/>
        </w:rPr>
        <w:t>3.</w:t>
      </w:r>
      <w:r w:rsidR="00CC4910">
        <w:rPr>
          <w:rFonts w:ascii="Verdana" w:hAnsi="Verdana"/>
          <w:b/>
          <w:bCs/>
        </w:rPr>
        <w:t>6</w:t>
      </w:r>
      <w:r>
        <w:rPr>
          <w:rFonts w:ascii="Verdana" w:hAnsi="Verdana"/>
          <w:b/>
          <w:bCs/>
        </w:rPr>
        <w:tab/>
      </w:r>
      <w:r w:rsidR="00B02C62" w:rsidRPr="00386251">
        <w:rPr>
          <w:rFonts w:ascii="Verdana" w:hAnsi="Verdana"/>
          <w:b/>
          <w:bCs/>
        </w:rPr>
        <w:t>T</w:t>
      </w:r>
      <w:r w:rsidR="00F45528" w:rsidRPr="00386251">
        <w:rPr>
          <w:rFonts w:ascii="Verdana" w:hAnsi="Verdana"/>
          <w:b/>
          <w:bCs/>
        </w:rPr>
        <w:t>he Commission recommends th</w:t>
      </w:r>
      <w:r w:rsidR="00BE063A">
        <w:rPr>
          <w:rFonts w:ascii="Verdana" w:hAnsi="Verdana"/>
          <w:b/>
          <w:bCs/>
        </w:rPr>
        <w:t>e use of practical examples throughout Standard 1</w:t>
      </w:r>
      <w:r w:rsidR="005926B2">
        <w:rPr>
          <w:rFonts w:ascii="Verdana" w:hAnsi="Verdana"/>
          <w:b/>
          <w:bCs/>
        </w:rPr>
        <w:t xml:space="preserve"> to </w:t>
      </w:r>
      <w:r w:rsidR="00017688">
        <w:rPr>
          <w:rFonts w:ascii="Verdana" w:hAnsi="Verdana"/>
          <w:b/>
          <w:bCs/>
        </w:rPr>
        <w:t>illustrate</w:t>
      </w:r>
      <w:r w:rsidR="005926B2">
        <w:rPr>
          <w:rFonts w:ascii="Verdana" w:hAnsi="Verdana"/>
          <w:b/>
          <w:bCs/>
        </w:rPr>
        <w:t xml:space="preserve"> how</w:t>
      </w:r>
      <w:r w:rsidR="00277318" w:rsidRPr="00277318">
        <w:rPr>
          <w:rFonts w:ascii="Verdana" w:hAnsi="Verdana"/>
          <w:b/>
          <w:bCs/>
        </w:rPr>
        <w:t xml:space="preserve"> the actions of health and social care staff </w:t>
      </w:r>
      <w:r w:rsidR="00017688">
        <w:rPr>
          <w:rFonts w:ascii="Verdana" w:hAnsi="Verdana"/>
          <w:b/>
          <w:bCs/>
        </w:rPr>
        <w:t xml:space="preserve">might </w:t>
      </w:r>
      <w:r w:rsidR="00F21E8B">
        <w:rPr>
          <w:rFonts w:ascii="Verdana" w:hAnsi="Verdana"/>
          <w:b/>
          <w:bCs/>
        </w:rPr>
        <w:t xml:space="preserve">engage ECHR Articles </w:t>
      </w:r>
      <w:r w:rsidR="004C3660">
        <w:rPr>
          <w:rFonts w:ascii="Verdana" w:hAnsi="Verdana"/>
          <w:b/>
          <w:bCs/>
        </w:rPr>
        <w:t>2, 3, 5 and 8</w:t>
      </w:r>
      <w:r w:rsidR="001A187B">
        <w:rPr>
          <w:rFonts w:ascii="Verdana" w:hAnsi="Verdana"/>
          <w:b/>
          <w:bCs/>
        </w:rPr>
        <w:t xml:space="preserve"> </w:t>
      </w:r>
      <w:r w:rsidR="00B22222">
        <w:rPr>
          <w:rFonts w:ascii="Verdana" w:hAnsi="Verdana"/>
          <w:b/>
          <w:bCs/>
        </w:rPr>
        <w:t xml:space="preserve">across the range of restrictive </w:t>
      </w:r>
      <w:r w:rsidR="00017688">
        <w:rPr>
          <w:rFonts w:ascii="Verdana" w:hAnsi="Verdana"/>
          <w:b/>
          <w:bCs/>
        </w:rPr>
        <w:t>practi</w:t>
      </w:r>
      <w:r w:rsidR="00282A78">
        <w:rPr>
          <w:rFonts w:ascii="Verdana" w:hAnsi="Verdana"/>
          <w:b/>
          <w:bCs/>
        </w:rPr>
        <w:t>s</w:t>
      </w:r>
      <w:r w:rsidR="00017688">
        <w:rPr>
          <w:rFonts w:ascii="Verdana" w:hAnsi="Verdana"/>
          <w:b/>
          <w:bCs/>
        </w:rPr>
        <w:t xml:space="preserve">es identified. </w:t>
      </w:r>
    </w:p>
    <w:p w14:paraId="19C09571" w14:textId="77777777" w:rsidR="00BD1445" w:rsidRDefault="00BD1445" w:rsidP="004F5777">
      <w:pPr>
        <w:pStyle w:val="BasicParagraph"/>
        <w:suppressAutoHyphens/>
        <w:ind w:left="720" w:hanging="720"/>
        <w:rPr>
          <w:rFonts w:ascii="Verdana" w:hAnsi="Verdana"/>
          <w:b/>
          <w:bCs/>
        </w:rPr>
      </w:pPr>
    </w:p>
    <w:p w14:paraId="0A477D77" w14:textId="2D972D9F" w:rsidR="0025653B" w:rsidRDefault="00017688" w:rsidP="00333F07">
      <w:pPr>
        <w:pStyle w:val="BasicParagraph"/>
        <w:suppressAutoHyphens/>
        <w:spacing w:after="240"/>
        <w:ind w:left="720" w:hanging="720"/>
        <w:rPr>
          <w:rFonts w:ascii="Verdana" w:hAnsi="Verdana"/>
          <w:b/>
          <w:bCs/>
        </w:rPr>
      </w:pPr>
      <w:r>
        <w:rPr>
          <w:rFonts w:ascii="Verdana" w:hAnsi="Verdana"/>
          <w:b/>
          <w:bCs/>
        </w:rPr>
        <w:t>3.</w:t>
      </w:r>
      <w:r w:rsidR="00805A53">
        <w:rPr>
          <w:rFonts w:ascii="Verdana" w:hAnsi="Verdana"/>
          <w:b/>
          <w:bCs/>
        </w:rPr>
        <w:t>7</w:t>
      </w:r>
      <w:r>
        <w:rPr>
          <w:rFonts w:ascii="Verdana" w:hAnsi="Verdana"/>
          <w:b/>
          <w:bCs/>
        </w:rPr>
        <w:tab/>
        <w:t xml:space="preserve">The Commission recommends </w:t>
      </w:r>
      <w:r w:rsidR="000632F3">
        <w:rPr>
          <w:rFonts w:ascii="Verdana" w:hAnsi="Verdana"/>
          <w:b/>
          <w:bCs/>
        </w:rPr>
        <w:t>setting</w:t>
      </w:r>
      <w:r w:rsidR="00F45528" w:rsidRPr="00386251">
        <w:rPr>
          <w:rFonts w:ascii="Verdana" w:hAnsi="Verdana"/>
          <w:b/>
          <w:bCs/>
        </w:rPr>
        <w:t xml:space="preserve"> out a </w:t>
      </w:r>
      <w:r w:rsidR="00094685">
        <w:rPr>
          <w:rFonts w:ascii="Verdana" w:hAnsi="Verdana"/>
          <w:b/>
          <w:bCs/>
        </w:rPr>
        <w:t xml:space="preserve">clearly defined </w:t>
      </w:r>
      <w:r w:rsidR="00F45528" w:rsidRPr="00386251">
        <w:rPr>
          <w:rFonts w:ascii="Verdana" w:hAnsi="Verdana"/>
          <w:b/>
          <w:bCs/>
        </w:rPr>
        <w:t>list of general principles</w:t>
      </w:r>
      <w:r w:rsidR="005C1124">
        <w:rPr>
          <w:rFonts w:ascii="Verdana" w:hAnsi="Verdana"/>
          <w:b/>
          <w:bCs/>
        </w:rPr>
        <w:t xml:space="preserve"> that apply </w:t>
      </w:r>
      <w:r w:rsidR="000632F3">
        <w:rPr>
          <w:rFonts w:ascii="Verdana" w:hAnsi="Verdana"/>
          <w:b/>
          <w:bCs/>
        </w:rPr>
        <w:t>to</w:t>
      </w:r>
      <w:r w:rsidR="00B02C62" w:rsidRPr="00386251">
        <w:rPr>
          <w:rFonts w:ascii="Verdana" w:hAnsi="Verdana"/>
          <w:b/>
          <w:bCs/>
        </w:rPr>
        <w:t xml:space="preserve"> the use of all restrictive </w:t>
      </w:r>
      <w:r w:rsidR="00100329" w:rsidRPr="00386251">
        <w:rPr>
          <w:rFonts w:ascii="Verdana" w:hAnsi="Verdana"/>
          <w:b/>
          <w:bCs/>
        </w:rPr>
        <w:t>practices</w:t>
      </w:r>
      <w:r w:rsidR="004E1EB9">
        <w:rPr>
          <w:rFonts w:ascii="Verdana" w:hAnsi="Verdana"/>
          <w:b/>
          <w:bCs/>
        </w:rPr>
        <w:t xml:space="preserve"> in accordance with human rights </w:t>
      </w:r>
      <w:r w:rsidR="008A5C20">
        <w:rPr>
          <w:rFonts w:ascii="Verdana" w:hAnsi="Verdana"/>
          <w:b/>
          <w:bCs/>
        </w:rPr>
        <w:t>standards</w:t>
      </w:r>
      <w:r w:rsidR="00B02C62" w:rsidRPr="00386251">
        <w:rPr>
          <w:rFonts w:ascii="Verdana" w:hAnsi="Verdana"/>
          <w:b/>
          <w:bCs/>
        </w:rPr>
        <w:t xml:space="preserve">. This should include: </w:t>
      </w:r>
    </w:p>
    <w:p w14:paraId="3EB472CD" w14:textId="7CF69C87" w:rsidR="00E308CB" w:rsidRPr="00D80EC1" w:rsidRDefault="00E308CB" w:rsidP="00E308CB">
      <w:pPr>
        <w:pStyle w:val="BasicParagraph"/>
        <w:numPr>
          <w:ilvl w:val="0"/>
          <w:numId w:val="16"/>
        </w:numPr>
        <w:suppressAutoHyphens/>
        <w:rPr>
          <w:rFonts w:ascii="Verdana" w:hAnsi="Verdana"/>
          <w:b/>
          <w:bCs/>
          <w:color w:val="auto"/>
        </w:rPr>
      </w:pPr>
      <w:r w:rsidRPr="00E308CB">
        <w:rPr>
          <w:rFonts w:ascii="Verdana" w:hAnsi="Verdana"/>
          <w:b/>
          <w:bCs/>
        </w:rPr>
        <w:t xml:space="preserve">Initial attempts </w:t>
      </w:r>
      <w:r w:rsidR="00221434">
        <w:rPr>
          <w:rFonts w:ascii="Verdana" w:hAnsi="Verdana"/>
          <w:b/>
          <w:bCs/>
        </w:rPr>
        <w:t>of restraint</w:t>
      </w:r>
      <w:r w:rsidRPr="00E308CB">
        <w:rPr>
          <w:rFonts w:ascii="Verdana" w:hAnsi="Verdana"/>
          <w:b/>
          <w:bCs/>
        </w:rPr>
        <w:t xml:space="preserve"> should as far as possible be non-</w:t>
      </w:r>
      <w:r w:rsidRPr="00D80EC1">
        <w:rPr>
          <w:rFonts w:ascii="Verdana" w:hAnsi="Verdana"/>
          <w:b/>
          <w:bCs/>
          <w:color w:val="auto"/>
        </w:rPr>
        <w:t>physical</w:t>
      </w:r>
      <w:r w:rsidR="00894313" w:rsidRPr="00D80EC1">
        <w:rPr>
          <w:rFonts w:ascii="Verdana" w:hAnsi="Verdana"/>
          <w:b/>
          <w:bCs/>
          <w:color w:val="auto"/>
        </w:rPr>
        <w:t>;</w:t>
      </w:r>
    </w:p>
    <w:p w14:paraId="7F9A8003" w14:textId="76445E63" w:rsidR="00B02C62" w:rsidRPr="00D80EC1" w:rsidRDefault="001A023A" w:rsidP="00100329">
      <w:pPr>
        <w:pStyle w:val="BasicParagraph"/>
        <w:numPr>
          <w:ilvl w:val="0"/>
          <w:numId w:val="17"/>
        </w:numPr>
        <w:suppressAutoHyphens/>
        <w:rPr>
          <w:rFonts w:ascii="Verdana" w:hAnsi="Verdana"/>
          <w:b/>
          <w:bCs/>
          <w:color w:val="auto"/>
        </w:rPr>
      </w:pPr>
      <w:r w:rsidRPr="00D80EC1">
        <w:rPr>
          <w:rFonts w:ascii="Verdana" w:hAnsi="Verdana"/>
          <w:b/>
          <w:bCs/>
          <w:color w:val="auto"/>
        </w:rPr>
        <w:t xml:space="preserve">Restrictive </w:t>
      </w:r>
      <w:r w:rsidR="00100329" w:rsidRPr="00D80EC1">
        <w:rPr>
          <w:rFonts w:ascii="Verdana" w:hAnsi="Verdana"/>
          <w:b/>
          <w:bCs/>
          <w:color w:val="auto"/>
        </w:rPr>
        <w:t>practices</w:t>
      </w:r>
      <w:r w:rsidRPr="00D80EC1">
        <w:rPr>
          <w:rFonts w:ascii="Verdana" w:hAnsi="Verdana"/>
          <w:b/>
          <w:bCs/>
          <w:color w:val="auto"/>
        </w:rPr>
        <w:t xml:space="preserve"> should never be used to punish</w:t>
      </w:r>
      <w:r w:rsidR="006D54C8" w:rsidRPr="00D80EC1">
        <w:rPr>
          <w:rFonts w:ascii="Verdana" w:hAnsi="Verdana"/>
          <w:b/>
          <w:bCs/>
          <w:color w:val="auto"/>
        </w:rPr>
        <w:t>, to inflict pain</w:t>
      </w:r>
      <w:r w:rsidR="00107921" w:rsidRPr="00D80EC1">
        <w:rPr>
          <w:rFonts w:ascii="Verdana" w:hAnsi="Verdana"/>
          <w:b/>
          <w:bCs/>
          <w:color w:val="auto"/>
        </w:rPr>
        <w:t xml:space="preserve"> or humiliation,</w:t>
      </w:r>
      <w:r w:rsidR="006D54C8" w:rsidRPr="00D80EC1">
        <w:rPr>
          <w:rFonts w:ascii="Verdana" w:hAnsi="Verdana"/>
          <w:b/>
          <w:bCs/>
          <w:color w:val="auto"/>
        </w:rPr>
        <w:t xml:space="preserve"> or to</w:t>
      </w:r>
      <w:r w:rsidR="00107921" w:rsidRPr="00D80EC1">
        <w:rPr>
          <w:rFonts w:ascii="Verdana" w:hAnsi="Verdana"/>
          <w:b/>
          <w:bCs/>
          <w:color w:val="auto"/>
        </w:rPr>
        <w:t xml:space="preserve"> replace proper care or treatment</w:t>
      </w:r>
      <w:r w:rsidR="00894313" w:rsidRPr="00D80EC1">
        <w:rPr>
          <w:rFonts w:ascii="Verdana" w:hAnsi="Verdana"/>
          <w:b/>
          <w:bCs/>
          <w:color w:val="auto"/>
        </w:rPr>
        <w:t>;</w:t>
      </w:r>
      <w:r w:rsidR="00107921" w:rsidRPr="00D80EC1">
        <w:rPr>
          <w:rFonts w:ascii="Verdana" w:hAnsi="Verdana"/>
          <w:b/>
          <w:bCs/>
          <w:color w:val="auto"/>
        </w:rPr>
        <w:t xml:space="preserve"> </w:t>
      </w:r>
    </w:p>
    <w:p w14:paraId="1CB86932" w14:textId="0E3B619C" w:rsidR="00E30B78" w:rsidRPr="00D80EC1" w:rsidRDefault="00E30B78" w:rsidP="00100329">
      <w:pPr>
        <w:pStyle w:val="BasicParagraph"/>
        <w:numPr>
          <w:ilvl w:val="0"/>
          <w:numId w:val="17"/>
        </w:numPr>
        <w:suppressAutoHyphens/>
        <w:rPr>
          <w:rFonts w:ascii="Verdana" w:hAnsi="Verdana"/>
          <w:b/>
          <w:bCs/>
          <w:color w:val="auto"/>
        </w:rPr>
      </w:pPr>
      <w:r w:rsidRPr="00D80EC1">
        <w:rPr>
          <w:rFonts w:ascii="Verdana" w:hAnsi="Verdana"/>
          <w:b/>
          <w:bCs/>
          <w:color w:val="auto"/>
        </w:rPr>
        <w:t>There must be a real possibility of harm to the person or to staff, the public or others if no action is undertaken</w:t>
      </w:r>
      <w:r w:rsidR="00894313" w:rsidRPr="00D80EC1">
        <w:rPr>
          <w:rFonts w:ascii="Verdana" w:hAnsi="Verdana"/>
          <w:b/>
          <w:bCs/>
          <w:color w:val="auto"/>
        </w:rPr>
        <w:t>;</w:t>
      </w:r>
    </w:p>
    <w:p w14:paraId="1D127950" w14:textId="339019EB" w:rsidR="0025653B" w:rsidRPr="00D80EC1" w:rsidRDefault="00E30B78" w:rsidP="00AC4BAB">
      <w:pPr>
        <w:pStyle w:val="BasicParagraph"/>
        <w:numPr>
          <w:ilvl w:val="0"/>
          <w:numId w:val="17"/>
        </w:numPr>
        <w:suppressAutoHyphens/>
        <w:rPr>
          <w:rFonts w:ascii="Verdana" w:hAnsi="Verdana"/>
          <w:b/>
          <w:bCs/>
          <w:color w:val="auto"/>
        </w:rPr>
      </w:pPr>
      <w:r w:rsidRPr="00D80EC1">
        <w:rPr>
          <w:rFonts w:ascii="Verdana" w:hAnsi="Verdana"/>
          <w:b/>
          <w:bCs/>
          <w:color w:val="auto"/>
        </w:rPr>
        <w:t xml:space="preserve">The nature of </w:t>
      </w:r>
      <w:r w:rsidR="00146BD3" w:rsidRPr="00D80EC1">
        <w:rPr>
          <w:rFonts w:ascii="Verdana" w:hAnsi="Verdana"/>
          <w:b/>
          <w:bCs/>
          <w:color w:val="auto"/>
        </w:rPr>
        <w:t xml:space="preserve">the </w:t>
      </w:r>
      <w:r w:rsidRPr="00D80EC1">
        <w:rPr>
          <w:rFonts w:ascii="Verdana" w:hAnsi="Verdana"/>
          <w:b/>
          <w:bCs/>
          <w:color w:val="auto"/>
        </w:rPr>
        <w:t xml:space="preserve">technique used must be proportionate to the risk of harm and the seriousness of that </w:t>
      </w:r>
      <w:r w:rsidR="00AD00F7" w:rsidRPr="00D80EC1">
        <w:rPr>
          <w:rFonts w:ascii="Verdana" w:hAnsi="Verdana"/>
          <w:b/>
          <w:bCs/>
          <w:color w:val="auto"/>
        </w:rPr>
        <w:t>harm and</w:t>
      </w:r>
      <w:r w:rsidR="00AC4BAB" w:rsidRPr="00D80EC1">
        <w:rPr>
          <w:rFonts w:ascii="Verdana" w:hAnsi="Verdana"/>
          <w:b/>
          <w:bCs/>
          <w:color w:val="auto"/>
        </w:rPr>
        <w:t xml:space="preserve"> </w:t>
      </w:r>
      <w:r w:rsidR="00E13DB4" w:rsidRPr="00D80EC1">
        <w:rPr>
          <w:rFonts w:ascii="Verdana" w:hAnsi="Verdana"/>
          <w:b/>
          <w:bCs/>
          <w:color w:val="auto"/>
        </w:rPr>
        <w:t xml:space="preserve">be </w:t>
      </w:r>
      <w:r w:rsidR="00203BC1" w:rsidRPr="00D80EC1">
        <w:rPr>
          <w:rFonts w:ascii="Verdana" w:hAnsi="Verdana"/>
          <w:b/>
          <w:bCs/>
          <w:color w:val="auto"/>
        </w:rPr>
        <w:t>the least restrictive option that will meet the need</w:t>
      </w:r>
      <w:r w:rsidR="00894313" w:rsidRPr="00D80EC1">
        <w:rPr>
          <w:rFonts w:ascii="Verdana" w:hAnsi="Verdana"/>
          <w:b/>
          <w:bCs/>
          <w:color w:val="auto"/>
        </w:rPr>
        <w:t>;</w:t>
      </w:r>
      <w:r w:rsidR="00203BC1" w:rsidRPr="00D80EC1">
        <w:rPr>
          <w:rFonts w:ascii="Verdana" w:hAnsi="Verdana"/>
          <w:b/>
          <w:bCs/>
          <w:color w:val="auto"/>
        </w:rPr>
        <w:t xml:space="preserve"> </w:t>
      </w:r>
    </w:p>
    <w:p w14:paraId="3D1FE216" w14:textId="6E24AE2A" w:rsidR="00C9736B" w:rsidRPr="00D80EC1" w:rsidRDefault="00C9736B" w:rsidP="004E4E7A">
      <w:pPr>
        <w:pStyle w:val="BasicParagraph"/>
        <w:numPr>
          <w:ilvl w:val="0"/>
          <w:numId w:val="17"/>
        </w:numPr>
        <w:suppressAutoHyphens/>
        <w:rPr>
          <w:rFonts w:ascii="Verdana" w:hAnsi="Verdana"/>
          <w:b/>
          <w:bCs/>
          <w:color w:val="auto"/>
        </w:rPr>
      </w:pPr>
      <w:r w:rsidRPr="00D80EC1">
        <w:rPr>
          <w:rFonts w:ascii="Verdana" w:hAnsi="Verdana"/>
          <w:b/>
          <w:bCs/>
          <w:color w:val="auto"/>
        </w:rPr>
        <w:t>Any restriction should be imposed for no longer than absolutely necessary</w:t>
      </w:r>
      <w:r w:rsidR="00332CB0" w:rsidRPr="00D80EC1">
        <w:rPr>
          <w:rFonts w:ascii="Verdana" w:hAnsi="Verdana"/>
          <w:b/>
          <w:bCs/>
          <w:color w:val="auto"/>
        </w:rPr>
        <w:t xml:space="preserve">. </w:t>
      </w:r>
    </w:p>
    <w:p w14:paraId="4CF55342" w14:textId="77777777" w:rsidR="0025653B" w:rsidRDefault="0025653B" w:rsidP="00E40838">
      <w:pPr>
        <w:pStyle w:val="BasicParagraph"/>
        <w:suppressAutoHyphens/>
        <w:ind w:left="720" w:hanging="720"/>
        <w:rPr>
          <w:rFonts w:ascii="Verdana" w:hAnsi="Verdana"/>
        </w:rPr>
      </w:pPr>
    </w:p>
    <w:p w14:paraId="5686C21E" w14:textId="748603BF" w:rsidR="008208CB" w:rsidRPr="00256AFF" w:rsidRDefault="00D745F5" w:rsidP="00B74DF7">
      <w:pPr>
        <w:pStyle w:val="BasicParagraph"/>
        <w:suppressAutoHyphens/>
        <w:ind w:left="720" w:hanging="720"/>
        <w:rPr>
          <w:rFonts w:ascii="Verdana" w:hAnsi="Verdana"/>
          <w:b/>
          <w:bCs/>
          <w:color w:val="7030A0"/>
          <w:sz w:val="30"/>
          <w:szCs w:val="30"/>
        </w:rPr>
      </w:pPr>
      <w:r w:rsidRPr="00D745F5">
        <w:rPr>
          <w:rFonts w:ascii="Verdana" w:hAnsi="Verdana"/>
          <w:b/>
          <w:bCs/>
          <w:color w:val="7030A0"/>
          <w:sz w:val="30"/>
          <w:szCs w:val="30"/>
        </w:rPr>
        <w:t>4.0</w:t>
      </w:r>
      <w:r>
        <w:rPr>
          <w:rFonts w:ascii="Verdana" w:hAnsi="Verdana"/>
          <w:b/>
          <w:bCs/>
          <w:color w:val="7030A0"/>
          <w:sz w:val="30"/>
          <w:szCs w:val="30"/>
        </w:rPr>
        <w:tab/>
        <w:t xml:space="preserve">Standard 2: </w:t>
      </w:r>
      <w:r w:rsidRPr="00D745F5">
        <w:rPr>
          <w:rFonts w:ascii="Verdana" w:hAnsi="Verdana"/>
          <w:b/>
          <w:bCs/>
          <w:color w:val="7030A0"/>
          <w:sz w:val="30"/>
          <w:szCs w:val="30"/>
        </w:rPr>
        <w:t>Three Steps to Positive Practice Framework</w:t>
      </w:r>
    </w:p>
    <w:p w14:paraId="5B983268" w14:textId="105AF159" w:rsidR="004D0672" w:rsidRDefault="00915BF2" w:rsidP="00915BF2">
      <w:pPr>
        <w:pStyle w:val="BasicParagraph"/>
        <w:suppressAutoHyphens/>
        <w:ind w:left="720" w:hanging="720"/>
        <w:rPr>
          <w:rFonts w:ascii="Verdana" w:hAnsi="Verdana"/>
        </w:rPr>
      </w:pPr>
      <w:r>
        <w:rPr>
          <w:rFonts w:ascii="Verdana" w:hAnsi="Verdana" w:cs="Arial"/>
          <w:bCs/>
          <w:color w:val="auto"/>
        </w:rPr>
        <w:t>4</w:t>
      </w:r>
      <w:r w:rsidR="004D0672">
        <w:rPr>
          <w:rFonts w:ascii="Verdana" w:hAnsi="Verdana" w:cs="Arial"/>
          <w:bCs/>
          <w:color w:val="auto"/>
        </w:rPr>
        <w:t>.1</w:t>
      </w:r>
      <w:r w:rsidR="004D0672">
        <w:rPr>
          <w:rFonts w:ascii="Verdana" w:hAnsi="Verdana" w:cs="Arial"/>
          <w:bCs/>
          <w:color w:val="auto"/>
        </w:rPr>
        <w:tab/>
        <w:t xml:space="preserve">The </w:t>
      </w:r>
      <w:r w:rsidR="00EB7E03">
        <w:rPr>
          <w:rFonts w:ascii="Verdana" w:hAnsi="Verdana" w:cs="Arial"/>
          <w:bCs/>
          <w:color w:val="auto"/>
        </w:rPr>
        <w:t xml:space="preserve">Commission </w:t>
      </w:r>
      <w:r w:rsidR="004D0672">
        <w:rPr>
          <w:rFonts w:ascii="Verdana" w:hAnsi="Verdana"/>
        </w:rPr>
        <w:t xml:space="preserve">welcomes the explicit commitment to a human </w:t>
      </w:r>
      <w:r w:rsidR="00221528">
        <w:rPr>
          <w:rFonts w:ascii="Verdana" w:hAnsi="Verdana"/>
        </w:rPr>
        <w:t>rights-based</w:t>
      </w:r>
      <w:r w:rsidR="004D0672">
        <w:rPr>
          <w:rFonts w:ascii="Verdana" w:hAnsi="Verdana"/>
        </w:rPr>
        <w:t xml:space="preserve"> approach. In particular, the </w:t>
      </w:r>
      <w:r w:rsidR="002117D5">
        <w:rPr>
          <w:rFonts w:ascii="Verdana" w:hAnsi="Verdana"/>
        </w:rPr>
        <w:t xml:space="preserve">Commission </w:t>
      </w:r>
      <w:r w:rsidR="004D0672">
        <w:rPr>
          <w:rFonts w:ascii="Verdana" w:hAnsi="Verdana"/>
        </w:rPr>
        <w:t>is encouraged by the framing of restrictive practi</w:t>
      </w:r>
      <w:r w:rsidR="00221528">
        <w:rPr>
          <w:rFonts w:ascii="Verdana" w:hAnsi="Verdana"/>
        </w:rPr>
        <w:t>s</w:t>
      </w:r>
      <w:r w:rsidR="004D0672">
        <w:rPr>
          <w:rFonts w:ascii="Verdana" w:hAnsi="Verdana"/>
        </w:rPr>
        <w:t>es in terms of relevant ECHR Articles</w:t>
      </w:r>
      <w:r w:rsidR="004D0672">
        <w:rPr>
          <w:rStyle w:val="FootnoteReference"/>
          <w:rFonts w:ascii="Verdana" w:hAnsi="Verdana"/>
        </w:rPr>
        <w:footnoteReference w:id="44"/>
      </w:r>
      <w:r w:rsidR="004D0672">
        <w:rPr>
          <w:rFonts w:ascii="Verdana" w:hAnsi="Verdana"/>
        </w:rPr>
        <w:t xml:space="preserve"> and </w:t>
      </w:r>
      <w:r w:rsidR="004D0672">
        <w:rPr>
          <w:rFonts w:ascii="Verdana" w:hAnsi="Verdana" w:cs="Arial"/>
          <w:bCs/>
          <w:color w:val="auto"/>
        </w:rPr>
        <w:t>the FREDA principles</w:t>
      </w:r>
      <w:r w:rsidR="004D0672">
        <w:rPr>
          <w:rStyle w:val="FootnoteReference"/>
          <w:rFonts w:ascii="Verdana" w:hAnsi="Verdana" w:cs="Arial"/>
          <w:bCs/>
          <w:color w:val="auto"/>
        </w:rPr>
        <w:footnoteReference w:id="45"/>
      </w:r>
      <w:r w:rsidR="004D0672">
        <w:rPr>
          <w:rFonts w:ascii="Verdana" w:hAnsi="Verdana" w:cs="Arial"/>
          <w:bCs/>
          <w:color w:val="auto"/>
        </w:rPr>
        <w:t xml:space="preserve">, </w:t>
      </w:r>
      <w:r w:rsidR="004D0672">
        <w:rPr>
          <w:rFonts w:ascii="Verdana" w:hAnsi="Verdana"/>
        </w:rPr>
        <w:t xml:space="preserve">which together </w:t>
      </w:r>
      <w:r w:rsidR="00221528">
        <w:rPr>
          <w:rFonts w:ascii="Verdana" w:hAnsi="Verdana"/>
        </w:rPr>
        <w:t>help</w:t>
      </w:r>
      <w:r w:rsidR="004D0672" w:rsidRPr="000A656E">
        <w:rPr>
          <w:rFonts w:ascii="Verdana" w:hAnsi="Verdana"/>
        </w:rPr>
        <w:t xml:space="preserve"> </w:t>
      </w:r>
      <w:r w:rsidR="004D0672">
        <w:rPr>
          <w:rFonts w:ascii="Verdana" w:hAnsi="Verdana"/>
        </w:rPr>
        <w:t>to ensure</w:t>
      </w:r>
      <w:r w:rsidR="004D0672" w:rsidRPr="000A656E">
        <w:rPr>
          <w:rFonts w:ascii="Verdana" w:hAnsi="Verdana"/>
        </w:rPr>
        <w:t xml:space="preserve"> </w:t>
      </w:r>
      <w:r w:rsidR="004D0672">
        <w:rPr>
          <w:rFonts w:ascii="Verdana" w:hAnsi="Verdana"/>
        </w:rPr>
        <w:t>restrictive practices</w:t>
      </w:r>
      <w:r w:rsidR="004D0672" w:rsidRPr="000A656E">
        <w:rPr>
          <w:rFonts w:ascii="Verdana" w:hAnsi="Verdana"/>
        </w:rPr>
        <w:t xml:space="preserve"> are used </w:t>
      </w:r>
      <w:r w:rsidR="004D0672">
        <w:rPr>
          <w:rFonts w:ascii="Verdana" w:hAnsi="Verdana"/>
        </w:rPr>
        <w:t xml:space="preserve">lawfully and </w:t>
      </w:r>
      <w:r w:rsidR="004D0672" w:rsidRPr="000A656E">
        <w:rPr>
          <w:rFonts w:ascii="Verdana" w:hAnsi="Verdana"/>
        </w:rPr>
        <w:t>proportion</w:t>
      </w:r>
      <w:r w:rsidR="004D0672">
        <w:rPr>
          <w:rFonts w:ascii="Verdana" w:hAnsi="Verdana"/>
        </w:rPr>
        <w:t xml:space="preserve">ately with appropriate, person-centred </w:t>
      </w:r>
      <w:r w:rsidR="004D0672">
        <w:rPr>
          <w:rFonts w:ascii="Verdana" w:hAnsi="Verdana"/>
        </w:rPr>
        <w:lastRenderedPageBreak/>
        <w:t xml:space="preserve">safeguards. </w:t>
      </w:r>
      <w:r w:rsidR="004D0672">
        <w:rPr>
          <w:rFonts w:ascii="Verdana" w:hAnsi="Verdana"/>
        </w:rPr>
        <w:tab/>
      </w:r>
      <w:r w:rsidR="004D0672" w:rsidRPr="00355290">
        <w:rPr>
          <w:rFonts w:ascii="Verdana" w:hAnsi="Verdana"/>
        </w:rPr>
        <w:t xml:space="preserve"> </w:t>
      </w:r>
    </w:p>
    <w:p w14:paraId="78D2B32B" w14:textId="77777777" w:rsidR="004D0672" w:rsidRDefault="004D0672" w:rsidP="004D0672">
      <w:pPr>
        <w:pStyle w:val="BasicParagraph"/>
        <w:suppressAutoHyphens/>
        <w:rPr>
          <w:rFonts w:ascii="Verdana" w:hAnsi="Verdana" w:cs="Arial"/>
          <w:color w:val="auto"/>
        </w:rPr>
      </w:pPr>
    </w:p>
    <w:p w14:paraId="461098D6" w14:textId="49BA5D05" w:rsidR="0083604A" w:rsidRDefault="00915BF2" w:rsidP="00E57E62">
      <w:pPr>
        <w:pStyle w:val="BasicParagraph"/>
        <w:suppressAutoHyphens/>
        <w:ind w:left="720" w:hanging="720"/>
        <w:rPr>
          <w:rFonts w:ascii="Verdana" w:hAnsi="Verdana"/>
        </w:rPr>
      </w:pPr>
      <w:r>
        <w:rPr>
          <w:rFonts w:ascii="Verdana" w:hAnsi="Verdana" w:cs="Arial"/>
          <w:color w:val="auto"/>
        </w:rPr>
        <w:t>4</w:t>
      </w:r>
      <w:r w:rsidR="004D0672">
        <w:rPr>
          <w:rFonts w:ascii="Verdana" w:hAnsi="Verdana" w:cs="Arial"/>
          <w:color w:val="auto"/>
        </w:rPr>
        <w:t>.</w:t>
      </w:r>
      <w:r w:rsidR="00E4062F">
        <w:rPr>
          <w:rFonts w:ascii="Verdana" w:hAnsi="Verdana" w:cs="Arial"/>
          <w:color w:val="auto"/>
        </w:rPr>
        <w:t>2</w:t>
      </w:r>
      <w:r w:rsidR="004D0672">
        <w:rPr>
          <w:rFonts w:ascii="Verdana" w:hAnsi="Verdana" w:cs="Arial"/>
          <w:color w:val="auto"/>
        </w:rPr>
        <w:tab/>
      </w:r>
      <w:r w:rsidR="00E605FC">
        <w:rPr>
          <w:rFonts w:ascii="Verdana" w:hAnsi="Verdana" w:cs="Arial"/>
          <w:color w:val="auto"/>
        </w:rPr>
        <w:t xml:space="preserve">However, </w:t>
      </w:r>
      <w:r w:rsidR="00A72D2F">
        <w:rPr>
          <w:rFonts w:ascii="Verdana" w:hAnsi="Verdana" w:cs="Arial"/>
          <w:color w:val="auto"/>
        </w:rPr>
        <w:t xml:space="preserve">it is </w:t>
      </w:r>
      <w:r w:rsidR="00D3783C">
        <w:rPr>
          <w:rFonts w:ascii="Verdana" w:hAnsi="Verdana" w:cs="Arial"/>
          <w:color w:val="auto"/>
        </w:rPr>
        <w:t>notable that the</w:t>
      </w:r>
      <w:r w:rsidR="00A72D2F">
        <w:rPr>
          <w:rFonts w:ascii="Verdana" w:hAnsi="Verdana" w:cs="Arial"/>
          <w:color w:val="auto"/>
        </w:rPr>
        <w:t xml:space="preserve"> </w:t>
      </w:r>
      <w:r w:rsidR="00D3783C">
        <w:rPr>
          <w:rFonts w:ascii="Verdana" w:hAnsi="Verdana"/>
        </w:rPr>
        <w:t>‘</w:t>
      </w:r>
      <w:r w:rsidR="00BF7F65">
        <w:rPr>
          <w:rFonts w:ascii="Verdana" w:hAnsi="Verdana"/>
        </w:rPr>
        <w:t>Three Steps to Positive Practice</w:t>
      </w:r>
      <w:r w:rsidR="00B017A3">
        <w:rPr>
          <w:rFonts w:ascii="Verdana" w:hAnsi="Verdana"/>
        </w:rPr>
        <w:t xml:space="preserve"> </w:t>
      </w:r>
      <w:r w:rsidR="00BF7F65">
        <w:rPr>
          <w:rFonts w:ascii="Verdana" w:hAnsi="Verdana"/>
        </w:rPr>
        <w:t>Framework</w:t>
      </w:r>
      <w:r w:rsidR="00D3783C">
        <w:rPr>
          <w:rFonts w:ascii="Verdana" w:hAnsi="Verdana"/>
        </w:rPr>
        <w:t xml:space="preserve">’ </w:t>
      </w:r>
      <w:r w:rsidR="00BF7F65">
        <w:rPr>
          <w:rFonts w:ascii="Verdana" w:hAnsi="Verdana"/>
        </w:rPr>
        <w:t xml:space="preserve">only </w:t>
      </w:r>
      <w:r w:rsidR="00BA4409">
        <w:rPr>
          <w:rFonts w:ascii="Verdana" w:hAnsi="Verdana"/>
        </w:rPr>
        <w:t xml:space="preserve">applies a human </w:t>
      </w:r>
      <w:r w:rsidR="00221528">
        <w:rPr>
          <w:rFonts w:ascii="Verdana" w:hAnsi="Verdana"/>
        </w:rPr>
        <w:t>rights-based</w:t>
      </w:r>
      <w:r w:rsidR="00BA4409">
        <w:rPr>
          <w:rFonts w:ascii="Verdana" w:hAnsi="Verdana"/>
        </w:rPr>
        <w:t xml:space="preserve"> approach in relation to </w:t>
      </w:r>
      <w:r w:rsidR="00911B73">
        <w:rPr>
          <w:rFonts w:ascii="Verdana" w:hAnsi="Verdana"/>
        </w:rPr>
        <w:t xml:space="preserve">the second step on </w:t>
      </w:r>
      <w:r w:rsidR="00BA4409">
        <w:rPr>
          <w:rFonts w:ascii="Verdana" w:hAnsi="Verdana"/>
        </w:rPr>
        <w:t xml:space="preserve">implementing safeguards. </w:t>
      </w:r>
      <w:r w:rsidR="008659ED">
        <w:rPr>
          <w:rFonts w:ascii="Verdana" w:hAnsi="Verdana"/>
        </w:rPr>
        <w:t xml:space="preserve">As </w:t>
      </w:r>
      <w:r w:rsidR="00221528">
        <w:rPr>
          <w:rFonts w:ascii="Verdana" w:hAnsi="Verdana"/>
        </w:rPr>
        <w:t xml:space="preserve">observed </w:t>
      </w:r>
      <w:r w:rsidR="008659ED">
        <w:rPr>
          <w:rFonts w:ascii="Verdana" w:hAnsi="Verdana"/>
        </w:rPr>
        <w:t xml:space="preserve">above, it is </w:t>
      </w:r>
      <w:r w:rsidR="00221528">
        <w:rPr>
          <w:rFonts w:ascii="Verdana" w:hAnsi="Verdana"/>
        </w:rPr>
        <w:t xml:space="preserve">the Commission’s view </w:t>
      </w:r>
      <w:r w:rsidR="008659ED">
        <w:rPr>
          <w:rFonts w:ascii="Verdana" w:hAnsi="Verdana"/>
        </w:rPr>
        <w:t xml:space="preserve">that the human rights implications of each decision </w:t>
      </w:r>
      <w:r w:rsidR="00221528">
        <w:rPr>
          <w:rFonts w:ascii="Verdana" w:hAnsi="Verdana"/>
        </w:rPr>
        <w:t xml:space="preserve">must be </w:t>
      </w:r>
      <w:r w:rsidR="00282BF2">
        <w:rPr>
          <w:rFonts w:ascii="Verdana" w:hAnsi="Verdana"/>
        </w:rPr>
        <w:t xml:space="preserve">fully considered and </w:t>
      </w:r>
      <w:r w:rsidR="00596495">
        <w:rPr>
          <w:rFonts w:ascii="Verdana" w:hAnsi="Verdana"/>
        </w:rPr>
        <w:t xml:space="preserve">justified before </w:t>
      </w:r>
      <w:r w:rsidR="00E57E62">
        <w:rPr>
          <w:rFonts w:ascii="Verdana" w:hAnsi="Verdana"/>
        </w:rPr>
        <w:t>applying a</w:t>
      </w:r>
      <w:r w:rsidR="0011419D">
        <w:rPr>
          <w:rFonts w:ascii="Verdana" w:hAnsi="Verdana"/>
        </w:rPr>
        <w:t xml:space="preserve"> potentially</w:t>
      </w:r>
      <w:r w:rsidR="00596495">
        <w:rPr>
          <w:rFonts w:ascii="Verdana" w:hAnsi="Verdana"/>
        </w:rPr>
        <w:t xml:space="preserve"> restrictive practice</w:t>
      </w:r>
      <w:r w:rsidR="00423850">
        <w:rPr>
          <w:rFonts w:ascii="Verdana" w:hAnsi="Verdana"/>
        </w:rPr>
        <w:t>.</w:t>
      </w:r>
      <w:r w:rsidR="00E57E62">
        <w:rPr>
          <w:rFonts w:ascii="Verdana" w:hAnsi="Verdana"/>
        </w:rPr>
        <w:t xml:space="preserve"> </w:t>
      </w:r>
      <w:r w:rsidR="00D235DE" w:rsidRPr="00001042">
        <w:rPr>
          <w:rFonts w:ascii="Verdana" w:hAnsi="Verdana"/>
        </w:rPr>
        <w:t xml:space="preserve">Judgements as to </w:t>
      </w:r>
      <w:r w:rsidR="004F3CD3">
        <w:rPr>
          <w:rFonts w:ascii="Verdana" w:hAnsi="Verdana"/>
        </w:rPr>
        <w:t>the</w:t>
      </w:r>
      <w:r w:rsidR="00D235DE" w:rsidRPr="00001042">
        <w:rPr>
          <w:rFonts w:ascii="Verdana" w:hAnsi="Verdana"/>
        </w:rPr>
        <w:t xml:space="preserve"> legitimacy of </w:t>
      </w:r>
      <w:r w:rsidR="008D3D2F">
        <w:rPr>
          <w:rFonts w:ascii="Verdana" w:hAnsi="Verdana"/>
        </w:rPr>
        <w:t xml:space="preserve">an interference with a person’s </w:t>
      </w:r>
      <w:r w:rsidR="00221528">
        <w:rPr>
          <w:rFonts w:ascii="Verdana" w:hAnsi="Verdana"/>
        </w:rPr>
        <w:t xml:space="preserve">ECHR </w:t>
      </w:r>
      <w:r w:rsidR="00CC0CEB">
        <w:rPr>
          <w:rFonts w:ascii="Verdana" w:hAnsi="Verdana"/>
        </w:rPr>
        <w:t xml:space="preserve">rights </w:t>
      </w:r>
      <w:r w:rsidR="00D235DE" w:rsidRPr="00001042">
        <w:rPr>
          <w:rFonts w:ascii="Verdana" w:hAnsi="Verdana"/>
        </w:rPr>
        <w:t>will be based on all presenting circumstances.</w:t>
      </w:r>
      <w:r w:rsidR="003C750F">
        <w:rPr>
          <w:rStyle w:val="FootnoteReference"/>
          <w:rFonts w:ascii="Verdana" w:hAnsi="Verdana"/>
        </w:rPr>
        <w:footnoteReference w:id="46"/>
      </w:r>
      <w:r w:rsidR="000C569D">
        <w:rPr>
          <w:rFonts w:ascii="Verdana" w:hAnsi="Verdana"/>
        </w:rPr>
        <w:t xml:space="preserve"> Therefore, acknowledging </w:t>
      </w:r>
      <w:r w:rsidR="00F07161">
        <w:rPr>
          <w:rFonts w:ascii="Verdana" w:hAnsi="Verdana"/>
        </w:rPr>
        <w:t xml:space="preserve">human rights considerations during the ‘review and reflect’ stage </w:t>
      </w:r>
      <w:r w:rsidR="000C76E2">
        <w:rPr>
          <w:rFonts w:ascii="Verdana" w:hAnsi="Verdana"/>
        </w:rPr>
        <w:t>is important</w:t>
      </w:r>
      <w:r w:rsidR="00AA140D">
        <w:rPr>
          <w:rFonts w:ascii="Verdana" w:hAnsi="Verdana"/>
        </w:rPr>
        <w:t>.</w:t>
      </w:r>
      <w:r w:rsidR="00F07161">
        <w:rPr>
          <w:rFonts w:ascii="Verdana" w:hAnsi="Verdana"/>
        </w:rPr>
        <w:t xml:space="preserve"> </w:t>
      </w:r>
    </w:p>
    <w:p w14:paraId="4EC393A4" w14:textId="21967048" w:rsidR="00915BF2" w:rsidRDefault="00915BF2" w:rsidP="001127E8">
      <w:pPr>
        <w:pStyle w:val="BasicParagraph"/>
        <w:suppressAutoHyphens/>
        <w:rPr>
          <w:rFonts w:ascii="Verdana" w:hAnsi="Verdana"/>
        </w:rPr>
      </w:pPr>
    </w:p>
    <w:p w14:paraId="235E2C10" w14:textId="0D8F5D44" w:rsidR="00D82766" w:rsidRPr="00C6681B" w:rsidRDefault="00C6681B" w:rsidP="00C6681B">
      <w:pPr>
        <w:pStyle w:val="BasicParagraph"/>
        <w:suppressAutoHyphens/>
        <w:ind w:left="720" w:hanging="720"/>
        <w:rPr>
          <w:rFonts w:ascii="Verdana" w:hAnsi="Verdana"/>
          <w:b/>
          <w:bCs/>
        </w:rPr>
      </w:pPr>
      <w:r>
        <w:rPr>
          <w:rFonts w:ascii="Verdana" w:hAnsi="Verdana"/>
          <w:b/>
          <w:bCs/>
        </w:rPr>
        <w:t>4.3</w:t>
      </w:r>
      <w:r>
        <w:rPr>
          <w:rFonts w:ascii="Verdana" w:hAnsi="Verdana"/>
          <w:b/>
          <w:bCs/>
        </w:rPr>
        <w:tab/>
      </w:r>
      <w:r w:rsidR="00D82766" w:rsidRPr="00C6681B">
        <w:rPr>
          <w:rFonts w:ascii="Verdana" w:hAnsi="Verdana"/>
          <w:b/>
          <w:bCs/>
        </w:rPr>
        <w:t>The Commission advises that</w:t>
      </w:r>
      <w:r w:rsidR="000A6EE3" w:rsidRPr="00C6681B">
        <w:rPr>
          <w:rFonts w:ascii="Verdana" w:hAnsi="Verdana"/>
          <w:b/>
          <w:bCs/>
        </w:rPr>
        <w:t xml:space="preserve">, in order to ensure a robust human </w:t>
      </w:r>
      <w:r w:rsidR="00AA140D" w:rsidRPr="00C6681B">
        <w:rPr>
          <w:rFonts w:ascii="Verdana" w:hAnsi="Verdana"/>
          <w:b/>
          <w:bCs/>
        </w:rPr>
        <w:t>rights-based</w:t>
      </w:r>
      <w:r w:rsidR="000A6EE3" w:rsidRPr="00C6681B">
        <w:rPr>
          <w:rFonts w:ascii="Verdana" w:hAnsi="Verdana"/>
          <w:b/>
          <w:bCs/>
        </w:rPr>
        <w:t xml:space="preserve"> approach, </w:t>
      </w:r>
      <w:r w:rsidR="00DF509B" w:rsidRPr="00C6681B">
        <w:rPr>
          <w:rFonts w:ascii="Verdana" w:hAnsi="Verdana"/>
          <w:b/>
          <w:bCs/>
        </w:rPr>
        <w:t xml:space="preserve">the </w:t>
      </w:r>
      <w:r w:rsidR="000E62FC">
        <w:rPr>
          <w:rFonts w:ascii="Verdana" w:hAnsi="Verdana"/>
          <w:b/>
          <w:bCs/>
        </w:rPr>
        <w:t>‘</w:t>
      </w:r>
      <w:r w:rsidR="00DF509B" w:rsidRPr="00C6681B">
        <w:rPr>
          <w:rFonts w:ascii="Verdana" w:hAnsi="Verdana"/>
          <w:b/>
          <w:bCs/>
        </w:rPr>
        <w:t xml:space="preserve">Three Steps to Positive Practice Framework’ should explicitly incorporate human rights </w:t>
      </w:r>
      <w:r w:rsidR="00C343D0" w:rsidRPr="00C6681B">
        <w:rPr>
          <w:rFonts w:ascii="Verdana" w:hAnsi="Verdana"/>
          <w:b/>
          <w:bCs/>
        </w:rPr>
        <w:t xml:space="preserve">considerations at </w:t>
      </w:r>
      <w:r w:rsidRPr="00C6681B">
        <w:rPr>
          <w:rFonts w:ascii="Verdana" w:hAnsi="Verdana"/>
          <w:b/>
          <w:bCs/>
        </w:rPr>
        <w:t xml:space="preserve">each stage. </w:t>
      </w:r>
    </w:p>
    <w:p w14:paraId="391B6ADD" w14:textId="77777777" w:rsidR="001127E8" w:rsidRDefault="001127E8" w:rsidP="004D0672">
      <w:pPr>
        <w:pStyle w:val="BasicParagraph"/>
        <w:suppressAutoHyphens/>
        <w:ind w:left="720" w:hanging="720"/>
        <w:rPr>
          <w:rFonts w:ascii="Verdana" w:hAnsi="Verdana"/>
        </w:rPr>
      </w:pPr>
    </w:p>
    <w:p w14:paraId="75E03181" w14:textId="5D18B109" w:rsidR="00F07416" w:rsidRPr="00C47ADC" w:rsidRDefault="00EB0AB1" w:rsidP="00C47ADC">
      <w:pPr>
        <w:pStyle w:val="BasicParagraph"/>
        <w:suppressAutoHyphens/>
        <w:spacing w:after="240"/>
        <w:ind w:left="720" w:hanging="720"/>
        <w:rPr>
          <w:rFonts w:ascii="Verdana" w:hAnsi="Verdana"/>
          <w:color w:val="auto"/>
        </w:rPr>
      </w:pPr>
      <w:r>
        <w:rPr>
          <w:rFonts w:ascii="Verdana" w:hAnsi="Verdana"/>
        </w:rPr>
        <w:t>4</w:t>
      </w:r>
      <w:r w:rsidR="004D0672">
        <w:rPr>
          <w:rFonts w:ascii="Verdana" w:hAnsi="Verdana"/>
        </w:rPr>
        <w:t>.</w:t>
      </w:r>
      <w:r w:rsidR="00D92CCE">
        <w:rPr>
          <w:rFonts w:ascii="Verdana" w:hAnsi="Verdana"/>
        </w:rPr>
        <w:t>4</w:t>
      </w:r>
      <w:r w:rsidR="004D0672">
        <w:rPr>
          <w:rFonts w:ascii="Verdana" w:hAnsi="Verdana"/>
        </w:rPr>
        <w:tab/>
      </w:r>
      <w:r w:rsidR="00840BC9">
        <w:rPr>
          <w:rFonts w:ascii="Verdana" w:hAnsi="Verdana"/>
        </w:rPr>
        <w:t>In addition, it is imperative</w:t>
      </w:r>
      <w:r w:rsidR="004D0672">
        <w:rPr>
          <w:rFonts w:ascii="Verdana" w:hAnsi="Verdana"/>
        </w:rPr>
        <w:t xml:space="preserve"> that health and social care professionals receive adequate </w:t>
      </w:r>
      <w:r w:rsidR="00AA140D">
        <w:rPr>
          <w:rFonts w:ascii="Verdana" w:hAnsi="Verdana"/>
        </w:rPr>
        <w:t xml:space="preserve">practical </w:t>
      </w:r>
      <w:r w:rsidR="004D0672">
        <w:rPr>
          <w:rFonts w:ascii="Verdana" w:hAnsi="Verdana"/>
        </w:rPr>
        <w:t>guidance</w:t>
      </w:r>
      <w:r w:rsidR="008460C8">
        <w:rPr>
          <w:rFonts w:ascii="Verdana" w:hAnsi="Verdana"/>
        </w:rPr>
        <w:t xml:space="preserve"> and training</w:t>
      </w:r>
      <w:r w:rsidR="004D0672">
        <w:rPr>
          <w:rFonts w:ascii="Verdana" w:hAnsi="Verdana"/>
        </w:rPr>
        <w:t xml:space="preserve"> on how to apply a human </w:t>
      </w:r>
      <w:r w:rsidR="00AA140D">
        <w:rPr>
          <w:rFonts w:ascii="Verdana" w:hAnsi="Verdana"/>
        </w:rPr>
        <w:t>rights-based</w:t>
      </w:r>
      <w:r w:rsidR="004D0672">
        <w:rPr>
          <w:rFonts w:ascii="Verdana" w:hAnsi="Verdana"/>
        </w:rPr>
        <w:t xml:space="preserve"> approach to their decision-making. For instance, health and social care staff must be able to identify and assess the risks associated with each restrictive intervention in order to address complex questions of proportionality. This requires making a human </w:t>
      </w:r>
      <w:r w:rsidR="00CF6E19">
        <w:rPr>
          <w:rFonts w:ascii="Verdana" w:hAnsi="Verdana"/>
        </w:rPr>
        <w:t>rights-based</w:t>
      </w:r>
      <w:r w:rsidR="004D0672">
        <w:rPr>
          <w:rFonts w:ascii="Verdana" w:hAnsi="Verdana"/>
        </w:rPr>
        <w:t xml:space="preserve"> assessment to strike a fair balance between </w:t>
      </w:r>
      <w:r w:rsidR="004D0672" w:rsidRPr="003D459E">
        <w:rPr>
          <w:rFonts w:ascii="Verdana" w:hAnsi="Verdana"/>
          <w:color w:val="auto"/>
        </w:rPr>
        <w:t>the severity and consequences of the interference for the individual being restr</w:t>
      </w:r>
      <w:r w:rsidR="00FB6733">
        <w:rPr>
          <w:rFonts w:ascii="Verdana" w:hAnsi="Verdana"/>
          <w:color w:val="auto"/>
        </w:rPr>
        <w:t>icted</w:t>
      </w:r>
      <w:r w:rsidR="004D0672" w:rsidRPr="003D459E">
        <w:rPr>
          <w:rFonts w:ascii="Verdana" w:hAnsi="Verdana"/>
          <w:color w:val="auto"/>
        </w:rPr>
        <w:t xml:space="preserve"> and the aim of the </w:t>
      </w:r>
      <w:r w:rsidR="000A3138">
        <w:rPr>
          <w:rFonts w:ascii="Verdana" w:hAnsi="Verdana"/>
          <w:color w:val="auto"/>
        </w:rPr>
        <w:t>intervention</w:t>
      </w:r>
      <w:r w:rsidR="004D0672">
        <w:rPr>
          <w:rFonts w:ascii="Verdana" w:hAnsi="Verdana"/>
          <w:color w:val="auto"/>
        </w:rPr>
        <w:t xml:space="preserve">. </w:t>
      </w:r>
      <w:r w:rsidR="00AA2E03">
        <w:rPr>
          <w:rFonts w:ascii="Verdana" w:hAnsi="Verdana"/>
          <w:color w:val="auto"/>
        </w:rPr>
        <w:t>Of note is the</w:t>
      </w:r>
      <w:r w:rsidR="00F00535" w:rsidRPr="00F07416">
        <w:rPr>
          <w:rFonts w:ascii="Verdana" w:hAnsi="Verdana"/>
        </w:rPr>
        <w:t xml:space="preserve"> Council of Europe Committee Ministers recommendation that mental health staff should have mandated training</w:t>
      </w:r>
      <w:r w:rsidR="00AA2E03">
        <w:rPr>
          <w:rFonts w:ascii="Verdana" w:hAnsi="Verdana"/>
        </w:rPr>
        <w:t>,</w:t>
      </w:r>
      <w:r w:rsidR="00F00535" w:rsidRPr="00F07416">
        <w:rPr>
          <w:rFonts w:ascii="Verdana" w:hAnsi="Verdana"/>
        </w:rPr>
        <w:t xml:space="preserve"> not just on </w:t>
      </w:r>
      <w:r w:rsidR="00A6290F">
        <w:rPr>
          <w:rFonts w:ascii="Verdana" w:hAnsi="Verdana"/>
        </w:rPr>
        <w:t xml:space="preserve">how to apply </w:t>
      </w:r>
      <w:r w:rsidR="00F00535" w:rsidRPr="00F07416">
        <w:rPr>
          <w:rFonts w:ascii="Verdana" w:hAnsi="Verdana"/>
        </w:rPr>
        <w:t>physical</w:t>
      </w:r>
      <w:r w:rsidR="00A6290F">
        <w:rPr>
          <w:rFonts w:ascii="Verdana" w:hAnsi="Verdana"/>
        </w:rPr>
        <w:t xml:space="preserve"> practices of</w:t>
      </w:r>
      <w:r w:rsidR="00F00535" w:rsidRPr="00F07416">
        <w:rPr>
          <w:rFonts w:ascii="Verdana" w:hAnsi="Verdana"/>
        </w:rPr>
        <w:t xml:space="preserve"> restraint, but </w:t>
      </w:r>
      <w:r w:rsidR="00F67EDE">
        <w:rPr>
          <w:rFonts w:ascii="Verdana" w:hAnsi="Verdana"/>
        </w:rPr>
        <w:t xml:space="preserve">also </w:t>
      </w:r>
      <w:r w:rsidR="00F00535" w:rsidRPr="00F07416">
        <w:rPr>
          <w:rFonts w:ascii="Verdana" w:hAnsi="Verdana"/>
        </w:rPr>
        <w:t xml:space="preserve">on: </w:t>
      </w:r>
    </w:p>
    <w:p w14:paraId="34D80B4A" w14:textId="77777777" w:rsidR="00F07416" w:rsidRPr="00F07416" w:rsidRDefault="00F00535" w:rsidP="00C47ADC">
      <w:pPr>
        <w:pStyle w:val="BasicParagraph"/>
        <w:numPr>
          <w:ilvl w:val="0"/>
          <w:numId w:val="12"/>
        </w:numPr>
        <w:suppressAutoHyphens/>
        <w:rPr>
          <w:rFonts w:ascii="Verdana" w:hAnsi="Verdana"/>
        </w:rPr>
      </w:pPr>
      <w:r w:rsidRPr="00F07416">
        <w:rPr>
          <w:rFonts w:ascii="Verdana" w:hAnsi="Verdana"/>
        </w:rPr>
        <w:t>protecting the dignity, human rights and fundamental freedoms of persons with mental disorder;</w:t>
      </w:r>
    </w:p>
    <w:p w14:paraId="5F35DF3C" w14:textId="77777777" w:rsidR="00F07416" w:rsidRPr="00F07416" w:rsidRDefault="00F00535" w:rsidP="00C47ADC">
      <w:pPr>
        <w:pStyle w:val="BasicParagraph"/>
        <w:numPr>
          <w:ilvl w:val="0"/>
          <w:numId w:val="12"/>
        </w:numPr>
        <w:suppressAutoHyphens/>
        <w:rPr>
          <w:rFonts w:ascii="Verdana" w:hAnsi="Verdana"/>
        </w:rPr>
      </w:pPr>
      <w:r w:rsidRPr="00F07416">
        <w:rPr>
          <w:rFonts w:ascii="Verdana" w:hAnsi="Verdana"/>
        </w:rPr>
        <w:t xml:space="preserve">understanding, prevention and control of violence; </w:t>
      </w:r>
    </w:p>
    <w:p w14:paraId="30C1FA55" w14:textId="77777777" w:rsidR="00C47ADC" w:rsidRDefault="00F00535" w:rsidP="00C47ADC">
      <w:pPr>
        <w:pStyle w:val="BasicParagraph"/>
        <w:numPr>
          <w:ilvl w:val="0"/>
          <w:numId w:val="12"/>
        </w:numPr>
        <w:suppressAutoHyphens/>
        <w:rPr>
          <w:rFonts w:ascii="Verdana" w:hAnsi="Verdana"/>
        </w:rPr>
      </w:pPr>
      <w:r w:rsidRPr="00F07416">
        <w:rPr>
          <w:rFonts w:ascii="Verdana" w:hAnsi="Verdana"/>
        </w:rPr>
        <w:t xml:space="preserve">measures to avoid the use of restraint or seclusion; </w:t>
      </w:r>
    </w:p>
    <w:p w14:paraId="1CAD5A2F" w14:textId="77777777" w:rsidR="00F00535" w:rsidRPr="00C47ADC" w:rsidRDefault="00F00535" w:rsidP="00C47ADC">
      <w:pPr>
        <w:pStyle w:val="BasicParagraph"/>
        <w:numPr>
          <w:ilvl w:val="0"/>
          <w:numId w:val="12"/>
        </w:numPr>
        <w:suppressAutoHyphens/>
        <w:rPr>
          <w:rFonts w:ascii="Verdana" w:hAnsi="Verdana"/>
        </w:rPr>
      </w:pPr>
      <w:r w:rsidRPr="00C47ADC">
        <w:rPr>
          <w:rFonts w:ascii="Verdana" w:hAnsi="Verdana"/>
        </w:rPr>
        <w:t>the limited circumstances in which different methods of restraint or seclusion may be justified, taking into account the benefits and risks entailed, and the correct application of such measures.</w:t>
      </w:r>
      <w:r w:rsidRPr="00F07416">
        <w:rPr>
          <w:rStyle w:val="FootnoteReference"/>
          <w:rFonts w:ascii="Verdana" w:hAnsi="Verdana"/>
        </w:rPr>
        <w:footnoteReference w:id="47"/>
      </w:r>
    </w:p>
    <w:p w14:paraId="4169859B" w14:textId="06D21E52" w:rsidR="00F00535" w:rsidRDefault="00F00535" w:rsidP="004D0672">
      <w:pPr>
        <w:pStyle w:val="BasicParagraph"/>
        <w:suppressAutoHyphens/>
        <w:ind w:left="720" w:hanging="720"/>
        <w:rPr>
          <w:rFonts w:ascii="Verdana" w:hAnsi="Verdana"/>
          <w:color w:val="auto"/>
        </w:rPr>
      </w:pPr>
    </w:p>
    <w:p w14:paraId="077C267F" w14:textId="28EA940D" w:rsidR="00425E62" w:rsidRPr="00C47ADC" w:rsidRDefault="00425E62" w:rsidP="00425E62">
      <w:pPr>
        <w:pStyle w:val="BasicParagraph"/>
        <w:suppressAutoHyphens/>
        <w:ind w:left="720" w:hanging="720"/>
        <w:rPr>
          <w:rFonts w:ascii="Verdana" w:hAnsi="Verdana"/>
          <w:color w:val="auto"/>
        </w:rPr>
      </w:pPr>
      <w:r>
        <w:rPr>
          <w:rFonts w:ascii="Verdana" w:hAnsi="Verdana"/>
        </w:rPr>
        <w:t>4.5</w:t>
      </w:r>
      <w:r>
        <w:rPr>
          <w:rFonts w:ascii="Verdana" w:hAnsi="Verdana"/>
        </w:rPr>
        <w:tab/>
      </w:r>
      <w:r w:rsidRPr="000F2445">
        <w:rPr>
          <w:rFonts w:ascii="Verdana" w:hAnsi="Verdana"/>
        </w:rPr>
        <w:t xml:space="preserve">The Commissioner for Older People for Northern Ireland has stated </w:t>
      </w:r>
      <w:r>
        <w:rPr>
          <w:rFonts w:ascii="Verdana" w:hAnsi="Verdana"/>
        </w:rPr>
        <w:lastRenderedPageBreak/>
        <w:t xml:space="preserve">previously </w:t>
      </w:r>
      <w:r w:rsidRPr="000F2445">
        <w:rPr>
          <w:rFonts w:ascii="Verdana" w:hAnsi="Verdana"/>
        </w:rPr>
        <w:t>that “human rights should be an essential component of practitioner dialogue” and that “all staff in care settings, commissioners of care, social care workers, and regulators must receive training on the implications of human rights for their work”.</w:t>
      </w:r>
      <w:r w:rsidRPr="000F2445">
        <w:rPr>
          <w:rStyle w:val="FootnoteReference"/>
          <w:rFonts w:ascii="Verdana" w:hAnsi="Verdana"/>
        </w:rPr>
        <w:footnoteReference w:id="48"/>
      </w:r>
      <w:r w:rsidRPr="000F2445">
        <w:rPr>
          <w:rFonts w:ascii="Verdana" w:hAnsi="Verdana"/>
        </w:rPr>
        <w:t xml:space="preserve"> It is vital that appropriate funding is available to provide training on the practical application of these principles.</w:t>
      </w:r>
    </w:p>
    <w:p w14:paraId="40DD954D" w14:textId="77777777" w:rsidR="00425E62" w:rsidRDefault="00425E62" w:rsidP="00425E62">
      <w:pPr>
        <w:pStyle w:val="BasicParagraph"/>
        <w:suppressAutoHyphens/>
        <w:rPr>
          <w:rFonts w:ascii="Verdana" w:hAnsi="Verdana"/>
        </w:rPr>
      </w:pPr>
    </w:p>
    <w:p w14:paraId="0FB58989" w14:textId="6585E64E" w:rsidR="00425E62" w:rsidRPr="008742D9" w:rsidRDefault="00425E62" w:rsidP="00425E62">
      <w:pPr>
        <w:pStyle w:val="BasicParagraph"/>
        <w:suppressAutoHyphens/>
        <w:ind w:left="720" w:hanging="720"/>
        <w:rPr>
          <w:rFonts w:ascii="Verdana" w:hAnsi="Verdana"/>
          <w:b/>
          <w:bCs/>
        </w:rPr>
      </w:pPr>
      <w:r>
        <w:rPr>
          <w:rFonts w:ascii="Verdana" w:hAnsi="Verdana"/>
          <w:b/>
          <w:bCs/>
        </w:rPr>
        <w:t>4.6</w:t>
      </w:r>
      <w:r>
        <w:rPr>
          <w:rFonts w:ascii="Verdana" w:hAnsi="Verdana"/>
          <w:b/>
          <w:bCs/>
        </w:rPr>
        <w:tab/>
      </w:r>
      <w:bookmarkStart w:id="0" w:name="_Hlk84438075"/>
      <w:r w:rsidRPr="008742D9">
        <w:rPr>
          <w:rFonts w:ascii="Verdana" w:hAnsi="Verdana"/>
          <w:b/>
          <w:bCs/>
        </w:rPr>
        <w:t xml:space="preserve">The </w:t>
      </w:r>
      <w:r>
        <w:rPr>
          <w:rFonts w:ascii="Verdana" w:hAnsi="Verdana"/>
          <w:b/>
          <w:bCs/>
        </w:rPr>
        <w:t>Commission</w:t>
      </w:r>
      <w:r w:rsidRPr="008742D9">
        <w:rPr>
          <w:rFonts w:ascii="Verdana" w:hAnsi="Verdana"/>
          <w:b/>
          <w:bCs/>
        </w:rPr>
        <w:t xml:space="preserve"> recommends that adequate resources are allocated to ensure that </w:t>
      </w:r>
      <w:r>
        <w:rPr>
          <w:rFonts w:ascii="Verdana" w:hAnsi="Verdana"/>
          <w:b/>
          <w:bCs/>
        </w:rPr>
        <w:t>staff within health and social care settings</w:t>
      </w:r>
      <w:r w:rsidRPr="008742D9">
        <w:rPr>
          <w:rFonts w:ascii="Verdana" w:hAnsi="Verdana"/>
          <w:b/>
          <w:bCs/>
        </w:rPr>
        <w:t xml:space="preserve"> are </w:t>
      </w:r>
      <w:r>
        <w:rPr>
          <w:rFonts w:ascii="Verdana" w:hAnsi="Verdana"/>
          <w:b/>
          <w:bCs/>
        </w:rPr>
        <w:t xml:space="preserve">adequately </w:t>
      </w:r>
      <w:r w:rsidRPr="008742D9">
        <w:rPr>
          <w:rFonts w:ascii="Verdana" w:hAnsi="Verdana"/>
          <w:b/>
          <w:bCs/>
        </w:rPr>
        <w:t xml:space="preserve">trained so that they understand the human rights implications of </w:t>
      </w:r>
      <w:r>
        <w:rPr>
          <w:rFonts w:ascii="Verdana" w:hAnsi="Verdana"/>
          <w:b/>
          <w:bCs/>
        </w:rPr>
        <w:t>the use of restrictive practices, restraint and seclusion,</w:t>
      </w:r>
      <w:r w:rsidRPr="008742D9">
        <w:rPr>
          <w:rFonts w:ascii="Verdana" w:hAnsi="Verdana"/>
          <w:b/>
          <w:bCs/>
        </w:rPr>
        <w:t xml:space="preserve"> </w:t>
      </w:r>
      <w:r>
        <w:rPr>
          <w:rFonts w:ascii="Verdana" w:hAnsi="Verdana"/>
          <w:b/>
          <w:bCs/>
        </w:rPr>
        <w:t>including alternative measures to minimise or avoid their use. This training should be a mandatory and regular requirement.</w:t>
      </w:r>
      <w:bookmarkEnd w:id="0"/>
    </w:p>
    <w:p w14:paraId="2999816B" w14:textId="01465CCD" w:rsidR="000C154A" w:rsidRDefault="000C154A" w:rsidP="00B74DF7">
      <w:pPr>
        <w:pStyle w:val="BasicParagraph"/>
        <w:suppressAutoHyphens/>
        <w:rPr>
          <w:rFonts w:ascii="Verdana" w:hAnsi="Verdana"/>
          <w:i/>
          <w:iCs/>
        </w:rPr>
      </w:pPr>
    </w:p>
    <w:p w14:paraId="581137DB" w14:textId="1030F374" w:rsidR="00C037CF" w:rsidRPr="004E738A" w:rsidRDefault="009B4950" w:rsidP="00911A7A">
      <w:pPr>
        <w:pStyle w:val="BasicParagraph"/>
        <w:suppressAutoHyphens/>
        <w:ind w:left="720" w:hanging="720"/>
        <w:rPr>
          <w:rFonts w:ascii="Verdana" w:hAnsi="Verdana"/>
          <w:color w:val="auto"/>
        </w:rPr>
      </w:pPr>
      <w:r w:rsidRPr="00685363">
        <w:rPr>
          <w:rFonts w:ascii="Verdana" w:hAnsi="Verdana"/>
          <w:color w:val="auto"/>
        </w:rPr>
        <w:t>4</w:t>
      </w:r>
      <w:r w:rsidR="0045497A" w:rsidRPr="00685363">
        <w:rPr>
          <w:rFonts w:ascii="Verdana" w:hAnsi="Verdana"/>
          <w:color w:val="auto"/>
        </w:rPr>
        <w:t>.</w:t>
      </w:r>
      <w:r w:rsidR="00425E62">
        <w:rPr>
          <w:rFonts w:ascii="Verdana" w:hAnsi="Verdana"/>
          <w:color w:val="auto"/>
        </w:rPr>
        <w:t>7</w:t>
      </w:r>
      <w:r w:rsidR="0045497A" w:rsidRPr="00685363">
        <w:rPr>
          <w:rFonts w:ascii="Verdana" w:hAnsi="Verdana"/>
          <w:color w:val="auto"/>
        </w:rPr>
        <w:tab/>
      </w:r>
      <w:r w:rsidR="00792E2D">
        <w:rPr>
          <w:rFonts w:ascii="Verdana" w:hAnsi="Verdana"/>
          <w:color w:val="auto"/>
        </w:rPr>
        <w:t xml:space="preserve">The Commission welcomes </w:t>
      </w:r>
      <w:r w:rsidR="00300715">
        <w:rPr>
          <w:rFonts w:ascii="Verdana" w:hAnsi="Verdana"/>
          <w:color w:val="auto"/>
        </w:rPr>
        <w:t>the inclusion of advocacy</w:t>
      </w:r>
      <w:r w:rsidR="00792E2D">
        <w:rPr>
          <w:rFonts w:ascii="Verdana" w:hAnsi="Verdana"/>
          <w:color w:val="auto"/>
        </w:rPr>
        <w:t xml:space="preserve"> at para 6.21</w:t>
      </w:r>
      <w:r w:rsidR="000A0CCC">
        <w:rPr>
          <w:rFonts w:ascii="Verdana" w:hAnsi="Verdana"/>
          <w:color w:val="auto"/>
        </w:rPr>
        <w:t xml:space="preserve">, however it is not clear from the guidance how </w:t>
      </w:r>
      <w:r w:rsidR="000A0CCC" w:rsidRPr="00685363">
        <w:rPr>
          <w:rFonts w:ascii="Verdana" w:hAnsi="Verdana"/>
          <w:color w:val="auto"/>
        </w:rPr>
        <w:t>advocates, the individual</w:t>
      </w:r>
      <w:r w:rsidR="00E31FCF">
        <w:rPr>
          <w:rFonts w:ascii="Verdana" w:hAnsi="Verdana"/>
          <w:color w:val="auto"/>
        </w:rPr>
        <w:t xml:space="preserve">, parents or caregivers </w:t>
      </w:r>
      <w:r w:rsidR="00987B47">
        <w:rPr>
          <w:rFonts w:ascii="Verdana" w:hAnsi="Verdana"/>
          <w:color w:val="auto"/>
        </w:rPr>
        <w:t xml:space="preserve">are </w:t>
      </w:r>
      <w:r w:rsidR="00B87454">
        <w:rPr>
          <w:rFonts w:ascii="Verdana" w:hAnsi="Verdana"/>
          <w:color w:val="auto"/>
        </w:rPr>
        <w:t>proactively</w:t>
      </w:r>
      <w:r w:rsidR="00987B47">
        <w:rPr>
          <w:rFonts w:ascii="Verdana" w:hAnsi="Verdana"/>
          <w:color w:val="auto"/>
        </w:rPr>
        <w:t xml:space="preserve"> involved in </w:t>
      </w:r>
      <w:r w:rsidR="0028338E">
        <w:rPr>
          <w:rFonts w:ascii="Verdana" w:hAnsi="Verdana"/>
          <w:color w:val="auto"/>
        </w:rPr>
        <w:t xml:space="preserve">the </w:t>
      </w:r>
      <w:r w:rsidR="002D0C2B">
        <w:rPr>
          <w:rFonts w:ascii="Verdana" w:hAnsi="Verdana"/>
          <w:color w:val="auto"/>
        </w:rPr>
        <w:t>planning and review</w:t>
      </w:r>
      <w:r w:rsidR="00987B47">
        <w:rPr>
          <w:rFonts w:ascii="Verdana" w:hAnsi="Verdana"/>
          <w:color w:val="auto"/>
        </w:rPr>
        <w:t xml:space="preserve"> </w:t>
      </w:r>
      <w:r w:rsidR="00987B47" w:rsidRPr="004E738A">
        <w:rPr>
          <w:rFonts w:ascii="Verdana" w:hAnsi="Verdana"/>
          <w:color w:val="auto"/>
        </w:rPr>
        <w:t>process</w:t>
      </w:r>
      <w:r w:rsidR="007D6AAE" w:rsidRPr="004E738A">
        <w:rPr>
          <w:rFonts w:ascii="Verdana" w:hAnsi="Verdana"/>
          <w:color w:val="auto"/>
        </w:rPr>
        <w:t>es</w:t>
      </w:r>
      <w:r w:rsidR="00987B47" w:rsidRPr="004E738A">
        <w:rPr>
          <w:rFonts w:ascii="Verdana" w:hAnsi="Verdana"/>
          <w:color w:val="auto"/>
        </w:rPr>
        <w:t>.</w:t>
      </w:r>
      <w:r w:rsidR="00E4732A" w:rsidRPr="004E738A">
        <w:rPr>
          <w:rFonts w:ascii="Verdana" w:hAnsi="Verdana"/>
          <w:color w:val="auto"/>
        </w:rPr>
        <w:t xml:space="preserve"> </w:t>
      </w:r>
      <w:r w:rsidR="00911A7E" w:rsidRPr="004E738A">
        <w:rPr>
          <w:rFonts w:ascii="Verdana" w:hAnsi="Verdana"/>
          <w:color w:val="auto"/>
        </w:rPr>
        <w:t xml:space="preserve">Of particular concern </w:t>
      </w:r>
      <w:r w:rsidR="00366C37" w:rsidRPr="004E738A">
        <w:rPr>
          <w:rFonts w:ascii="Verdana" w:hAnsi="Verdana"/>
          <w:color w:val="auto"/>
        </w:rPr>
        <w:t>is th</w:t>
      </w:r>
      <w:r w:rsidR="003C2895" w:rsidRPr="004E738A">
        <w:rPr>
          <w:rFonts w:ascii="Verdana" w:hAnsi="Verdana"/>
          <w:color w:val="auto"/>
        </w:rPr>
        <w:t xml:space="preserve">at organisations are advised to </w:t>
      </w:r>
      <w:r w:rsidR="004A540A" w:rsidRPr="004E738A">
        <w:rPr>
          <w:rFonts w:ascii="Verdana" w:hAnsi="Verdana"/>
          <w:color w:val="auto"/>
        </w:rPr>
        <w:t xml:space="preserve">involve an independent advocate “if there is an advocate available”. </w:t>
      </w:r>
      <w:r w:rsidR="00425E62">
        <w:rPr>
          <w:rFonts w:ascii="Verdana" w:hAnsi="Verdana"/>
          <w:color w:val="auto"/>
        </w:rPr>
        <w:t>The Committee is</w:t>
      </w:r>
      <w:r w:rsidR="00730D75" w:rsidRPr="004E738A">
        <w:rPr>
          <w:rFonts w:ascii="Verdana" w:hAnsi="Verdana"/>
          <w:color w:val="auto"/>
        </w:rPr>
        <w:t xml:space="preserve"> reminded that</w:t>
      </w:r>
      <w:r w:rsidR="00C037CF" w:rsidRPr="004E738A">
        <w:rPr>
          <w:rFonts w:ascii="Verdana" w:hAnsi="Verdana"/>
          <w:color w:val="auto"/>
        </w:rPr>
        <w:t xml:space="preserve"> </w:t>
      </w:r>
      <w:r w:rsidR="00BB586B" w:rsidRPr="004E738A">
        <w:rPr>
          <w:rFonts w:ascii="Verdana" w:hAnsi="Verdana"/>
          <w:color w:val="auto"/>
        </w:rPr>
        <w:t xml:space="preserve">active </w:t>
      </w:r>
      <w:r w:rsidR="00221D85" w:rsidRPr="004E738A">
        <w:rPr>
          <w:rFonts w:ascii="Verdana" w:hAnsi="Verdana"/>
          <w:color w:val="auto"/>
        </w:rPr>
        <w:t>and</w:t>
      </w:r>
      <w:r w:rsidR="00BB586B" w:rsidRPr="004E738A">
        <w:rPr>
          <w:rFonts w:ascii="Verdana" w:hAnsi="Verdana"/>
          <w:color w:val="auto"/>
        </w:rPr>
        <w:t xml:space="preserve"> informed</w:t>
      </w:r>
      <w:r w:rsidR="00221D85" w:rsidRPr="004E738A">
        <w:rPr>
          <w:rFonts w:ascii="Verdana" w:hAnsi="Verdana"/>
          <w:color w:val="auto"/>
        </w:rPr>
        <w:t xml:space="preserve"> participation, individual autonomy and the freedom to make one’s own decisions </w:t>
      </w:r>
      <w:r w:rsidR="00BB586B" w:rsidRPr="004E738A">
        <w:rPr>
          <w:rFonts w:ascii="Verdana" w:hAnsi="Verdana"/>
          <w:color w:val="auto"/>
        </w:rPr>
        <w:t>in matters</w:t>
      </w:r>
      <w:r w:rsidR="00C037CF" w:rsidRPr="004E738A">
        <w:rPr>
          <w:rFonts w:ascii="Verdana" w:hAnsi="Verdana"/>
          <w:color w:val="auto"/>
        </w:rPr>
        <w:t xml:space="preserve"> that affect </w:t>
      </w:r>
      <w:r w:rsidR="000256BD" w:rsidRPr="004E738A">
        <w:rPr>
          <w:rFonts w:ascii="Verdana" w:hAnsi="Verdana"/>
          <w:color w:val="auto"/>
        </w:rPr>
        <w:t>one’s</w:t>
      </w:r>
      <w:r w:rsidR="004B52D1" w:rsidRPr="004E738A">
        <w:rPr>
          <w:rFonts w:ascii="Verdana" w:hAnsi="Verdana"/>
          <w:color w:val="auto"/>
        </w:rPr>
        <w:t xml:space="preserve"> life </w:t>
      </w:r>
      <w:r w:rsidR="00C037CF" w:rsidRPr="004E738A">
        <w:rPr>
          <w:rFonts w:ascii="Verdana" w:hAnsi="Verdana"/>
          <w:color w:val="auto"/>
        </w:rPr>
        <w:t>is</w:t>
      </w:r>
      <w:r w:rsidR="00A218B9">
        <w:rPr>
          <w:rFonts w:ascii="Verdana" w:hAnsi="Verdana"/>
          <w:color w:val="auto"/>
        </w:rPr>
        <w:t xml:space="preserve"> not only</w:t>
      </w:r>
      <w:r w:rsidR="00C037CF" w:rsidRPr="004E738A">
        <w:rPr>
          <w:rFonts w:ascii="Verdana" w:hAnsi="Verdana"/>
          <w:color w:val="auto"/>
        </w:rPr>
        <w:t xml:space="preserve"> </w:t>
      </w:r>
      <w:r w:rsidR="003422B7" w:rsidRPr="004E738A">
        <w:rPr>
          <w:rFonts w:ascii="Verdana" w:hAnsi="Verdana"/>
          <w:color w:val="auto"/>
        </w:rPr>
        <w:t>central to</w:t>
      </w:r>
      <w:r w:rsidR="00C037CF" w:rsidRPr="004E738A">
        <w:rPr>
          <w:rFonts w:ascii="Verdana" w:hAnsi="Verdana"/>
          <w:color w:val="auto"/>
        </w:rPr>
        <w:t xml:space="preserve"> </w:t>
      </w:r>
      <w:r w:rsidR="000A057B" w:rsidRPr="004E738A">
        <w:rPr>
          <w:rFonts w:ascii="Verdana" w:hAnsi="Verdana"/>
          <w:color w:val="auto"/>
        </w:rPr>
        <w:t xml:space="preserve">a </w:t>
      </w:r>
      <w:r w:rsidR="00C037CF" w:rsidRPr="004E738A">
        <w:rPr>
          <w:rFonts w:ascii="Verdana" w:hAnsi="Verdana"/>
          <w:color w:val="auto"/>
        </w:rPr>
        <w:t xml:space="preserve">human rights-based </w:t>
      </w:r>
      <w:r w:rsidR="004B7E98" w:rsidRPr="004E738A">
        <w:rPr>
          <w:rFonts w:ascii="Verdana" w:hAnsi="Verdana"/>
          <w:color w:val="auto"/>
        </w:rPr>
        <w:t>approach</w:t>
      </w:r>
      <w:r w:rsidR="004B7E98">
        <w:rPr>
          <w:rFonts w:ascii="Verdana" w:hAnsi="Verdana"/>
          <w:color w:val="auto"/>
        </w:rPr>
        <w:t xml:space="preserve"> but</w:t>
      </w:r>
      <w:r w:rsidR="00A218B9">
        <w:rPr>
          <w:rFonts w:ascii="Verdana" w:hAnsi="Verdana"/>
          <w:color w:val="auto"/>
        </w:rPr>
        <w:t xml:space="preserve"> embedded in </w:t>
      </w:r>
      <w:r w:rsidR="00DF4E7F">
        <w:rPr>
          <w:rFonts w:ascii="Verdana" w:hAnsi="Verdana"/>
          <w:color w:val="auto"/>
        </w:rPr>
        <w:t>core treaty obligations.</w:t>
      </w:r>
      <w:r w:rsidR="00911A7A">
        <w:rPr>
          <w:rStyle w:val="FootnoteReference"/>
          <w:rFonts w:ascii="Verdana" w:hAnsi="Verdana"/>
          <w:color w:val="auto"/>
        </w:rPr>
        <w:footnoteReference w:id="49"/>
      </w:r>
      <w:r w:rsidR="00DF4E7F">
        <w:rPr>
          <w:rFonts w:ascii="Verdana" w:hAnsi="Verdana"/>
          <w:color w:val="auto"/>
        </w:rPr>
        <w:t xml:space="preserve"> </w:t>
      </w:r>
    </w:p>
    <w:p w14:paraId="294DC509" w14:textId="77777777" w:rsidR="00C037CF" w:rsidRPr="004E738A" w:rsidRDefault="00C037CF" w:rsidP="004D0672">
      <w:pPr>
        <w:pStyle w:val="BasicParagraph"/>
        <w:suppressAutoHyphens/>
        <w:ind w:left="720" w:hanging="720"/>
        <w:rPr>
          <w:rFonts w:ascii="Verdana" w:hAnsi="Verdana"/>
          <w:color w:val="auto"/>
        </w:rPr>
      </w:pPr>
    </w:p>
    <w:p w14:paraId="12F8B167" w14:textId="112020EE" w:rsidR="00C1772D" w:rsidRPr="004E738A" w:rsidRDefault="00BA7F8E" w:rsidP="00BA7F8E">
      <w:pPr>
        <w:pStyle w:val="BasicParagraph"/>
        <w:suppressAutoHyphens/>
        <w:ind w:left="720" w:hanging="720"/>
        <w:rPr>
          <w:rFonts w:ascii="Verdana" w:hAnsi="Verdana"/>
          <w:color w:val="auto"/>
        </w:rPr>
      </w:pPr>
      <w:r>
        <w:rPr>
          <w:rFonts w:ascii="Verdana" w:hAnsi="Verdana"/>
          <w:color w:val="auto"/>
        </w:rPr>
        <w:t>4.</w:t>
      </w:r>
      <w:r w:rsidR="00805A53">
        <w:rPr>
          <w:rFonts w:ascii="Verdana" w:hAnsi="Verdana"/>
          <w:color w:val="auto"/>
        </w:rPr>
        <w:t>8</w:t>
      </w:r>
      <w:r>
        <w:rPr>
          <w:rFonts w:ascii="Verdana" w:hAnsi="Verdana"/>
          <w:color w:val="auto"/>
        </w:rPr>
        <w:tab/>
      </w:r>
      <w:r w:rsidR="004B7E98">
        <w:rPr>
          <w:rFonts w:ascii="Verdana" w:hAnsi="Verdana"/>
          <w:color w:val="auto"/>
        </w:rPr>
        <w:t xml:space="preserve">In </w:t>
      </w:r>
      <w:r w:rsidR="004F419B">
        <w:rPr>
          <w:rFonts w:ascii="Verdana" w:hAnsi="Verdana"/>
          <w:color w:val="auto"/>
        </w:rPr>
        <w:t>accordance with</w:t>
      </w:r>
      <w:r w:rsidR="002E5890" w:rsidRPr="004E738A">
        <w:rPr>
          <w:rFonts w:ascii="Verdana" w:hAnsi="Verdana"/>
          <w:color w:val="auto"/>
        </w:rPr>
        <w:t xml:space="preserve"> the UN CRPD and UN CRC,</w:t>
      </w:r>
      <w:r w:rsidR="00FF5885" w:rsidRPr="004E738A">
        <w:rPr>
          <w:rFonts w:ascii="Verdana" w:hAnsi="Verdana"/>
          <w:color w:val="auto"/>
        </w:rPr>
        <w:t xml:space="preserve"> </w:t>
      </w:r>
      <w:r w:rsidR="001D3261" w:rsidRPr="004E738A">
        <w:rPr>
          <w:rFonts w:ascii="Verdana" w:hAnsi="Verdana"/>
          <w:color w:val="auto"/>
        </w:rPr>
        <w:t xml:space="preserve">the Department must ensure </w:t>
      </w:r>
      <w:r w:rsidR="00C1772D" w:rsidRPr="004E738A">
        <w:rPr>
          <w:rFonts w:ascii="Verdana" w:hAnsi="Verdana"/>
        </w:rPr>
        <w:t xml:space="preserve">the </w:t>
      </w:r>
      <w:r w:rsidR="00844BD5" w:rsidRPr="004E738A">
        <w:rPr>
          <w:rFonts w:ascii="Verdana" w:hAnsi="Verdana"/>
        </w:rPr>
        <w:t xml:space="preserve">direct involvement </w:t>
      </w:r>
      <w:r w:rsidR="00C1772D" w:rsidRPr="004E738A">
        <w:rPr>
          <w:rFonts w:ascii="Verdana" w:hAnsi="Verdana"/>
        </w:rPr>
        <w:t>of persons with disabilities</w:t>
      </w:r>
      <w:r w:rsidR="00844BD5" w:rsidRPr="004E738A">
        <w:rPr>
          <w:rFonts w:ascii="Verdana" w:hAnsi="Verdana"/>
        </w:rPr>
        <w:t>, childr</w:t>
      </w:r>
      <w:r w:rsidR="00A63013" w:rsidRPr="004E738A">
        <w:rPr>
          <w:rFonts w:ascii="Verdana" w:hAnsi="Verdana"/>
        </w:rPr>
        <w:t xml:space="preserve">en and young people, and children and young people with disabilities, </w:t>
      </w:r>
      <w:r w:rsidR="00844BD5" w:rsidRPr="004E738A">
        <w:rPr>
          <w:rFonts w:ascii="Verdana" w:hAnsi="Verdana"/>
        </w:rPr>
        <w:t>in all</w:t>
      </w:r>
      <w:r w:rsidR="00C1772D" w:rsidRPr="004E738A">
        <w:rPr>
          <w:rFonts w:ascii="Verdana" w:hAnsi="Verdana"/>
        </w:rPr>
        <w:t xml:space="preserve"> processes</w:t>
      </w:r>
      <w:r w:rsidR="00844BD5" w:rsidRPr="004E738A">
        <w:rPr>
          <w:rFonts w:ascii="Verdana" w:hAnsi="Verdana"/>
        </w:rPr>
        <w:t xml:space="preserve"> regarding the use </w:t>
      </w:r>
      <w:r w:rsidR="00A63013" w:rsidRPr="004E738A">
        <w:rPr>
          <w:rFonts w:ascii="Verdana" w:hAnsi="Verdana"/>
        </w:rPr>
        <w:t xml:space="preserve">(and minimisation) </w:t>
      </w:r>
      <w:r w:rsidR="00844BD5" w:rsidRPr="004E738A">
        <w:rPr>
          <w:rFonts w:ascii="Verdana" w:hAnsi="Verdana"/>
        </w:rPr>
        <w:t xml:space="preserve">of restrictive </w:t>
      </w:r>
      <w:r w:rsidR="00A63013" w:rsidRPr="004E738A">
        <w:rPr>
          <w:rFonts w:ascii="Verdana" w:hAnsi="Verdana"/>
        </w:rPr>
        <w:t>practices</w:t>
      </w:r>
      <w:r w:rsidR="002A24A2" w:rsidRPr="004E738A">
        <w:rPr>
          <w:rFonts w:ascii="Verdana" w:hAnsi="Verdana"/>
        </w:rPr>
        <w:t xml:space="preserve">. Where appropriate, </w:t>
      </w:r>
      <w:r w:rsidR="005C74B6" w:rsidRPr="004E738A">
        <w:rPr>
          <w:rFonts w:ascii="Verdana" w:hAnsi="Verdana"/>
        </w:rPr>
        <w:t>participat</w:t>
      </w:r>
      <w:r w:rsidR="00052BC3" w:rsidRPr="004E738A">
        <w:rPr>
          <w:rFonts w:ascii="Verdana" w:hAnsi="Verdana"/>
        </w:rPr>
        <w:t xml:space="preserve">ion </w:t>
      </w:r>
      <w:r w:rsidR="005C74B6" w:rsidRPr="004E738A">
        <w:rPr>
          <w:rFonts w:ascii="Verdana" w:hAnsi="Verdana"/>
        </w:rPr>
        <w:t xml:space="preserve">through </w:t>
      </w:r>
      <w:r w:rsidR="00052BC3" w:rsidRPr="004E738A">
        <w:rPr>
          <w:rFonts w:ascii="Verdana" w:hAnsi="Verdana"/>
        </w:rPr>
        <w:t xml:space="preserve">a trusted </w:t>
      </w:r>
      <w:r w:rsidR="00EB5D70" w:rsidRPr="004E738A">
        <w:rPr>
          <w:rFonts w:ascii="Verdana" w:hAnsi="Verdana"/>
        </w:rPr>
        <w:t xml:space="preserve">representative must be </w:t>
      </w:r>
      <w:r w:rsidR="004F419B">
        <w:rPr>
          <w:rFonts w:ascii="Verdana" w:hAnsi="Verdana"/>
        </w:rPr>
        <w:t>ensured</w:t>
      </w:r>
      <w:r w:rsidR="00EB5D70" w:rsidRPr="004E738A">
        <w:rPr>
          <w:rFonts w:ascii="Verdana" w:hAnsi="Verdana"/>
        </w:rPr>
        <w:t xml:space="preserve">, </w:t>
      </w:r>
      <w:r w:rsidR="00425E62" w:rsidRPr="004E738A">
        <w:rPr>
          <w:rFonts w:ascii="Verdana" w:hAnsi="Verdana"/>
        </w:rPr>
        <w:t>i.e.,</w:t>
      </w:r>
      <w:r w:rsidR="00EB5D70" w:rsidRPr="004E738A">
        <w:rPr>
          <w:rFonts w:ascii="Verdana" w:hAnsi="Verdana"/>
        </w:rPr>
        <w:t xml:space="preserve"> </w:t>
      </w:r>
      <w:r w:rsidR="00052BC3" w:rsidRPr="004E738A">
        <w:rPr>
          <w:rFonts w:ascii="Verdana" w:hAnsi="Verdana"/>
        </w:rPr>
        <w:t>fam</w:t>
      </w:r>
      <w:r w:rsidR="00EB5D70" w:rsidRPr="004E738A">
        <w:rPr>
          <w:rFonts w:ascii="Verdana" w:hAnsi="Verdana"/>
        </w:rPr>
        <w:t xml:space="preserve">ily members, caregivers, </w:t>
      </w:r>
      <w:r w:rsidR="004E738A" w:rsidRPr="004E738A">
        <w:rPr>
          <w:rFonts w:ascii="Verdana" w:hAnsi="Verdana"/>
        </w:rPr>
        <w:t>or advocate.</w:t>
      </w:r>
    </w:p>
    <w:p w14:paraId="17327D5B" w14:textId="06FFD15F" w:rsidR="00061695" w:rsidRPr="004E738A" w:rsidRDefault="00061695" w:rsidP="004D0672">
      <w:pPr>
        <w:pStyle w:val="BasicParagraph"/>
        <w:suppressAutoHyphens/>
        <w:ind w:left="720" w:hanging="720"/>
        <w:rPr>
          <w:rFonts w:ascii="Verdana" w:hAnsi="Verdana"/>
          <w:color w:val="auto"/>
        </w:rPr>
      </w:pPr>
    </w:p>
    <w:p w14:paraId="7E956613" w14:textId="064309DA" w:rsidR="0059055A" w:rsidRPr="00BA7F8E" w:rsidRDefault="00BA7F8E" w:rsidP="00BA7F8E">
      <w:pPr>
        <w:pStyle w:val="BasicParagraph"/>
        <w:suppressAutoHyphens/>
        <w:ind w:left="720" w:hanging="720"/>
        <w:rPr>
          <w:rFonts w:ascii="Verdana" w:hAnsi="Verdana"/>
        </w:rPr>
      </w:pPr>
      <w:r>
        <w:rPr>
          <w:rFonts w:ascii="Verdana" w:hAnsi="Verdana"/>
        </w:rPr>
        <w:t>4.</w:t>
      </w:r>
      <w:r w:rsidR="00805A53">
        <w:rPr>
          <w:rFonts w:ascii="Verdana" w:hAnsi="Verdana"/>
        </w:rPr>
        <w:t>9</w:t>
      </w:r>
      <w:r>
        <w:rPr>
          <w:rFonts w:ascii="Verdana" w:hAnsi="Verdana"/>
        </w:rPr>
        <w:tab/>
      </w:r>
      <w:r w:rsidR="00061695" w:rsidRPr="004E738A">
        <w:rPr>
          <w:rFonts w:ascii="Verdana" w:hAnsi="Verdana"/>
        </w:rPr>
        <w:t xml:space="preserve">Given the nature and </w:t>
      </w:r>
      <w:r w:rsidR="003C7434">
        <w:rPr>
          <w:rFonts w:ascii="Verdana" w:hAnsi="Verdana"/>
        </w:rPr>
        <w:t xml:space="preserve">potentially </w:t>
      </w:r>
      <w:r w:rsidR="00061695" w:rsidRPr="004E738A">
        <w:rPr>
          <w:rFonts w:ascii="Verdana" w:hAnsi="Verdana"/>
        </w:rPr>
        <w:t>traumatic implications associated with the use of restrictive practi</w:t>
      </w:r>
      <w:r w:rsidR="003C7434">
        <w:rPr>
          <w:rFonts w:ascii="Verdana" w:hAnsi="Verdana"/>
        </w:rPr>
        <w:t>s</w:t>
      </w:r>
      <w:r w:rsidR="00061695" w:rsidRPr="004E738A">
        <w:rPr>
          <w:rFonts w:ascii="Verdana" w:hAnsi="Verdana"/>
        </w:rPr>
        <w:t xml:space="preserve">es </w:t>
      </w:r>
      <w:r w:rsidR="004D653A">
        <w:rPr>
          <w:rFonts w:ascii="Verdana" w:hAnsi="Verdana"/>
        </w:rPr>
        <w:t>th</w:t>
      </w:r>
      <w:r w:rsidR="00517F78">
        <w:rPr>
          <w:rFonts w:ascii="Verdana" w:hAnsi="Verdana"/>
        </w:rPr>
        <w:t xml:space="preserve">is </w:t>
      </w:r>
      <w:r w:rsidR="005D2B8E">
        <w:rPr>
          <w:rFonts w:ascii="Verdana" w:hAnsi="Verdana"/>
        </w:rPr>
        <w:t>advocacy role becomes particularly important</w:t>
      </w:r>
      <w:r w:rsidR="0033113F">
        <w:rPr>
          <w:rFonts w:ascii="Verdana" w:hAnsi="Verdana"/>
        </w:rPr>
        <w:t xml:space="preserve"> </w:t>
      </w:r>
      <w:r w:rsidR="00824697">
        <w:rPr>
          <w:rFonts w:ascii="Verdana" w:hAnsi="Verdana"/>
        </w:rPr>
        <w:t xml:space="preserve">in </w:t>
      </w:r>
      <w:r w:rsidR="00F55793">
        <w:rPr>
          <w:rFonts w:ascii="Verdana" w:hAnsi="Verdana"/>
        </w:rPr>
        <w:t xml:space="preserve">all </w:t>
      </w:r>
      <w:r w:rsidR="00824697" w:rsidRPr="0059055A">
        <w:rPr>
          <w:rFonts w:ascii="Verdana" w:hAnsi="Verdana"/>
          <w:color w:val="auto"/>
        </w:rPr>
        <w:t xml:space="preserve">discussions about care planning and behavioural support; implementing preventative approaches and, where unavoidable, restrictive practices; </w:t>
      </w:r>
      <w:r w:rsidR="003C7434">
        <w:rPr>
          <w:rFonts w:ascii="Verdana" w:hAnsi="Verdana"/>
          <w:color w:val="auto"/>
        </w:rPr>
        <w:t xml:space="preserve">and, </w:t>
      </w:r>
      <w:r w:rsidR="00824697" w:rsidRPr="0059055A">
        <w:rPr>
          <w:rFonts w:ascii="Verdana" w:hAnsi="Verdana"/>
          <w:color w:val="auto"/>
        </w:rPr>
        <w:t>involvement in post-incident reviews and monitoring procedures.</w:t>
      </w:r>
    </w:p>
    <w:p w14:paraId="737188FF" w14:textId="77777777" w:rsidR="00B8270D" w:rsidRDefault="00B8270D" w:rsidP="00C76758">
      <w:pPr>
        <w:pStyle w:val="BasicParagraph"/>
        <w:suppressAutoHyphens/>
        <w:rPr>
          <w:rFonts w:ascii="Verdana" w:hAnsi="Verdana"/>
          <w:color w:val="auto"/>
        </w:rPr>
      </w:pPr>
    </w:p>
    <w:p w14:paraId="3846CC34" w14:textId="54DDB1AF" w:rsidR="00792E2D" w:rsidRPr="00B8270D" w:rsidRDefault="00C76758" w:rsidP="00C76758">
      <w:pPr>
        <w:pStyle w:val="BasicParagraph"/>
        <w:suppressAutoHyphens/>
        <w:ind w:left="720" w:hanging="720"/>
        <w:rPr>
          <w:rFonts w:ascii="Verdana" w:hAnsi="Verdana"/>
          <w:b/>
          <w:bCs/>
          <w:color w:val="auto"/>
        </w:rPr>
      </w:pPr>
      <w:r>
        <w:rPr>
          <w:rFonts w:ascii="Verdana" w:hAnsi="Verdana"/>
          <w:b/>
          <w:bCs/>
          <w:color w:val="auto"/>
        </w:rPr>
        <w:t>4.1</w:t>
      </w:r>
      <w:r w:rsidR="00805A53">
        <w:rPr>
          <w:rFonts w:ascii="Verdana" w:hAnsi="Verdana"/>
          <w:b/>
          <w:bCs/>
          <w:color w:val="auto"/>
        </w:rPr>
        <w:t>0</w:t>
      </w:r>
      <w:r>
        <w:rPr>
          <w:rFonts w:ascii="Verdana" w:hAnsi="Verdana"/>
          <w:b/>
          <w:bCs/>
          <w:color w:val="auto"/>
        </w:rPr>
        <w:tab/>
      </w:r>
      <w:r w:rsidR="00724869" w:rsidRPr="00B8270D">
        <w:rPr>
          <w:rFonts w:ascii="Verdana" w:hAnsi="Verdana"/>
          <w:b/>
          <w:bCs/>
          <w:color w:val="auto"/>
        </w:rPr>
        <w:t xml:space="preserve">The Commission recommends that </w:t>
      </w:r>
      <w:r w:rsidR="00221320" w:rsidRPr="00B8270D">
        <w:rPr>
          <w:rFonts w:ascii="Verdana" w:hAnsi="Verdana"/>
          <w:b/>
          <w:bCs/>
          <w:color w:val="auto"/>
        </w:rPr>
        <w:t xml:space="preserve">the guidance </w:t>
      </w:r>
      <w:r w:rsidR="007A3BDF" w:rsidRPr="00B8270D">
        <w:rPr>
          <w:rFonts w:ascii="Verdana" w:hAnsi="Verdana"/>
          <w:b/>
          <w:bCs/>
          <w:color w:val="auto"/>
        </w:rPr>
        <w:t>clearly set</w:t>
      </w:r>
      <w:r w:rsidR="00E7564D">
        <w:rPr>
          <w:rFonts w:ascii="Verdana" w:hAnsi="Verdana"/>
          <w:b/>
          <w:bCs/>
          <w:color w:val="auto"/>
        </w:rPr>
        <w:t>s</w:t>
      </w:r>
      <w:r w:rsidR="007A3BDF" w:rsidRPr="00B8270D">
        <w:rPr>
          <w:rFonts w:ascii="Verdana" w:hAnsi="Verdana"/>
          <w:b/>
          <w:bCs/>
          <w:color w:val="auto"/>
        </w:rPr>
        <w:t xml:space="preserve"> out </w:t>
      </w:r>
      <w:r w:rsidR="0089300A">
        <w:rPr>
          <w:rFonts w:ascii="Verdana" w:hAnsi="Verdana"/>
          <w:b/>
          <w:bCs/>
          <w:color w:val="auto"/>
        </w:rPr>
        <w:t>how and when</w:t>
      </w:r>
      <w:r w:rsidR="00FD18CD" w:rsidRPr="00B8270D">
        <w:rPr>
          <w:rFonts w:ascii="Verdana" w:hAnsi="Verdana"/>
          <w:b/>
          <w:bCs/>
          <w:color w:val="auto"/>
        </w:rPr>
        <w:t xml:space="preserve"> input will be</w:t>
      </w:r>
      <w:r w:rsidR="00275FDA" w:rsidRPr="00B8270D">
        <w:rPr>
          <w:rFonts w:ascii="Verdana" w:hAnsi="Verdana"/>
          <w:b/>
          <w:bCs/>
          <w:color w:val="auto"/>
        </w:rPr>
        <w:t xml:space="preserve"> proactively</w:t>
      </w:r>
      <w:r w:rsidR="00FD18CD" w:rsidRPr="00B8270D">
        <w:rPr>
          <w:rFonts w:ascii="Verdana" w:hAnsi="Verdana"/>
          <w:b/>
          <w:bCs/>
          <w:color w:val="auto"/>
        </w:rPr>
        <w:t xml:space="preserve"> sought</w:t>
      </w:r>
      <w:r w:rsidR="00E876EC" w:rsidRPr="00B8270D">
        <w:rPr>
          <w:rFonts w:ascii="Verdana" w:hAnsi="Verdana"/>
          <w:b/>
          <w:bCs/>
          <w:color w:val="auto"/>
        </w:rPr>
        <w:t xml:space="preserve"> </w:t>
      </w:r>
      <w:r w:rsidR="0076748C" w:rsidRPr="00B8270D">
        <w:rPr>
          <w:rFonts w:ascii="Verdana" w:hAnsi="Verdana"/>
          <w:b/>
          <w:bCs/>
          <w:color w:val="auto"/>
        </w:rPr>
        <w:t>from the individual</w:t>
      </w:r>
      <w:r w:rsidR="00BA7F8E">
        <w:rPr>
          <w:rFonts w:ascii="Verdana" w:hAnsi="Verdana"/>
          <w:b/>
          <w:bCs/>
          <w:color w:val="auto"/>
        </w:rPr>
        <w:t xml:space="preserve"> concerned</w:t>
      </w:r>
      <w:r w:rsidR="00CA600E">
        <w:rPr>
          <w:rFonts w:ascii="Verdana" w:hAnsi="Verdana"/>
          <w:b/>
          <w:bCs/>
          <w:color w:val="auto"/>
        </w:rPr>
        <w:t xml:space="preserve">, </w:t>
      </w:r>
      <w:r w:rsidR="0076748C" w:rsidRPr="00B8270D">
        <w:rPr>
          <w:rFonts w:ascii="Verdana" w:hAnsi="Verdana"/>
          <w:b/>
          <w:bCs/>
          <w:color w:val="auto"/>
        </w:rPr>
        <w:t>family</w:t>
      </w:r>
      <w:r w:rsidR="00CA600E">
        <w:rPr>
          <w:rFonts w:ascii="Verdana" w:hAnsi="Verdana"/>
          <w:b/>
          <w:bCs/>
          <w:color w:val="auto"/>
        </w:rPr>
        <w:t xml:space="preserve"> members</w:t>
      </w:r>
      <w:r w:rsidR="00BA7F8E">
        <w:rPr>
          <w:rFonts w:ascii="Verdana" w:hAnsi="Verdana"/>
          <w:b/>
          <w:bCs/>
          <w:color w:val="auto"/>
        </w:rPr>
        <w:t xml:space="preserve">, </w:t>
      </w:r>
      <w:r w:rsidR="0076748C" w:rsidRPr="00B8270D">
        <w:rPr>
          <w:rFonts w:ascii="Verdana" w:hAnsi="Verdana"/>
          <w:b/>
          <w:bCs/>
          <w:color w:val="auto"/>
        </w:rPr>
        <w:t>care</w:t>
      </w:r>
      <w:r w:rsidR="00CA600E">
        <w:rPr>
          <w:rFonts w:ascii="Verdana" w:hAnsi="Verdana"/>
          <w:b/>
          <w:bCs/>
          <w:color w:val="auto"/>
        </w:rPr>
        <w:t>givers</w:t>
      </w:r>
      <w:r w:rsidR="00BA7F8E">
        <w:rPr>
          <w:rFonts w:ascii="Verdana" w:hAnsi="Verdana"/>
          <w:b/>
          <w:bCs/>
          <w:color w:val="auto"/>
        </w:rPr>
        <w:t xml:space="preserve"> </w:t>
      </w:r>
      <w:r w:rsidR="00B874CB">
        <w:rPr>
          <w:rFonts w:ascii="Verdana" w:hAnsi="Verdana"/>
          <w:b/>
          <w:bCs/>
          <w:color w:val="auto"/>
        </w:rPr>
        <w:t>or advocates</w:t>
      </w:r>
      <w:r w:rsidR="000023A8">
        <w:rPr>
          <w:rFonts w:ascii="Verdana" w:hAnsi="Verdana"/>
          <w:b/>
          <w:bCs/>
          <w:color w:val="auto"/>
        </w:rPr>
        <w:t xml:space="preserve">, in </w:t>
      </w:r>
      <w:r w:rsidR="00B874CB">
        <w:rPr>
          <w:rFonts w:ascii="Verdana" w:hAnsi="Verdana"/>
          <w:b/>
          <w:bCs/>
          <w:color w:val="auto"/>
        </w:rPr>
        <w:t xml:space="preserve">all </w:t>
      </w:r>
      <w:r w:rsidR="000023A8">
        <w:rPr>
          <w:rFonts w:ascii="Verdana" w:hAnsi="Verdana"/>
          <w:b/>
          <w:bCs/>
          <w:color w:val="auto"/>
        </w:rPr>
        <w:t xml:space="preserve">consultation, decision-making and monitoring processes regarding the use and minimisation of restrictive practices. </w:t>
      </w:r>
      <w:r w:rsidR="00B8270D" w:rsidRPr="00B8270D">
        <w:rPr>
          <w:rFonts w:ascii="Verdana" w:hAnsi="Verdana"/>
          <w:b/>
          <w:bCs/>
          <w:color w:val="auto"/>
        </w:rPr>
        <w:t xml:space="preserve"> </w:t>
      </w:r>
    </w:p>
    <w:p w14:paraId="56D43703" w14:textId="77777777" w:rsidR="0045497A" w:rsidRDefault="0045497A" w:rsidP="00C76758">
      <w:pPr>
        <w:pStyle w:val="BasicParagraph"/>
        <w:suppressAutoHyphens/>
        <w:rPr>
          <w:rFonts w:ascii="Verdana" w:hAnsi="Verdana"/>
          <w:i/>
          <w:iCs/>
        </w:rPr>
      </w:pPr>
    </w:p>
    <w:p w14:paraId="2D831A5C" w14:textId="1E587D5E" w:rsidR="008208CB" w:rsidRPr="00B74DF7" w:rsidRDefault="004D0672" w:rsidP="00B74DF7">
      <w:pPr>
        <w:pStyle w:val="BasicParagraph"/>
        <w:numPr>
          <w:ilvl w:val="0"/>
          <w:numId w:val="15"/>
        </w:numPr>
        <w:suppressAutoHyphens/>
        <w:rPr>
          <w:rFonts w:ascii="Verdana" w:hAnsi="Verdana" w:cs="Arial"/>
          <w:b/>
          <w:color w:val="77328A"/>
          <w:sz w:val="30"/>
          <w:szCs w:val="30"/>
        </w:rPr>
      </w:pPr>
      <w:r>
        <w:rPr>
          <w:rFonts w:ascii="Verdana" w:hAnsi="Verdana" w:cs="Arial"/>
          <w:b/>
          <w:color w:val="77328A"/>
          <w:sz w:val="30"/>
          <w:szCs w:val="30"/>
        </w:rPr>
        <w:t>S</w:t>
      </w:r>
      <w:r w:rsidR="006E2820">
        <w:rPr>
          <w:rFonts w:ascii="Verdana" w:hAnsi="Verdana" w:cs="Arial"/>
          <w:b/>
          <w:color w:val="77328A"/>
          <w:sz w:val="30"/>
          <w:szCs w:val="30"/>
        </w:rPr>
        <w:t>tandard</w:t>
      </w:r>
      <w:r w:rsidR="0053664C">
        <w:rPr>
          <w:rFonts w:ascii="Verdana" w:hAnsi="Verdana" w:cs="Arial"/>
          <w:b/>
          <w:color w:val="77328A"/>
          <w:sz w:val="30"/>
          <w:szCs w:val="30"/>
        </w:rPr>
        <w:t>s</w:t>
      </w:r>
      <w:r w:rsidR="006E2820">
        <w:rPr>
          <w:rFonts w:ascii="Verdana" w:hAnsi="Verdana" w:cs="Arial"/>
          <w:b/>
          <w:color w:val="77328A"/>
          <w:sz w:val="30"/>
          <w:szCs w:val="30"/>
        </w:rPr>
        <w:t xml:space="preserve"> 3</w:t>
      </w:r>
      <w:r w:rsidR="0053664C">
        <w:rPr>
          <w:rFonts w:ascii="Verdana" w:hAnsi="Verdana" w:cs="Arial"/>
          <w:b/>
          <w:color w:val="77328A"/>
          <w:sz w:val="30"/>
          <w:szCs w:val="30"/>
        </w:rPr>
        <w:t xml:space="preserve"> -5</w:t>
      </w:r>
      <w:r w:rsidR="00D745F5">
        <w:rPr>
          <w:rFonts w:ascii="Verdana" w:hAnsi="Verdana" w:cs="Arial"/>
          <w:b/>
          <w:color w:val="77328A"/>
          <w:sz w:val="30"/>
          <w:szCs w:val="30"/>
        </w:rPr>
        <w:t xml:space="preserve">: Preventative </w:t>
      </w:r>
      <w:r w:rsidR="0010643C">
        <w:rPr>
          <w:rFonts w:ascii="Verdana" w:hAnsi="Verdana" w:cs="Arial"/>
          <w:b/>
          <w:color w:val="77328A"/>
          <w:sz w:val="30"/>
          <w:szCs w:val="30"/>
        </w:rPr>
        <w:t>S</w:t>
      </w:r>
      <w:r w:rsidR="00D745F5">
        <w:rPr>
          <w:rFonts w:ascii="Verdana" w:hAnsi="Verdana" w:cs="Arial"/>
          <w:b/>
          <w:color w:val="77328A"/>
          <w:sz w:val="30"/>
          <w:szCs w:val="30"/>
        </w:rPr>
        <w:t xml:space="preserve">trategies </w:t>
      </w:r>
    </w:p>
    <w:p w14:paraId="7A4EC249" w14:textId="2073647A" w:rsidR="00A641DD" w:rsidRDefault="00CB7D49" w:rsidP="00A641DD">
      <w:pPr>
        <w:pStyle w:val="BasicParagraph"/>
        <w:suppressAutoHyphens/>
        <w:ind w:left="720" w:hanging="720"/>
        <w:rPr>
          <w:rFonts w:ascii="Verdana" w:hAnsi="Verdana"/>
        </w:rPr>
      </w:pPr>
      <w:r>
        <w:rPr>
          <w:rFonts w:ascii="Verdana" w:hAnsi="Verdana"/>
        </w:rPr>
        <w:t>5</w:t>
      </w:r>
      <w:r w:rsidR="004D0672">
        <w:rPr>
          <w:rFonts w:ascii="Verdana" w:hAnsi="Verdana"/>
        </w:rPr>
        <w:t>.1</w:t>
      </w:r>
      <w:r w:rsidR="004D0672">
        <w:rPr>
          <w:rFonts w:ascii="Verdana" w:hAnsi="Verdana"/>
        </w:rPr>
        <w:tab/>
      </w:r>
      <w:r w:rsidR="00A641DD">
        <w:rPr>
          <w:rFonts w:ascii="Verdana" w:hAnsi="Verdana"/>
        </w:rPr>
        <w:t xml:space="preserve">The </w:t>
      </w:r>
      <w:r w:rsidR="00667C46">
        <w:rPr>
          <w:rFonts w:ascii="Verdana" w:hAnsi="Verdana"/>
        </w:rPr>
        <w:t xml:space="preserve">Commission </w:t>
      </w:r>
      <w:r w:rsidR="00A641DD">
        <w:rPr>
          <w:rFonts w:ascii="Verdana" w:hAnsi="Verdana"/>
        </w:rPr>
        <w:t xml:space="preserve">welcomes the </w:t>
      </w:r>
      <w:bookmarkStart w:id="1" w:name="_Hlk82106166"/>
      <w:r w:rsidR="00246247">
        <w:rPr>
          <w:rFonts w:ascii="Verdana" w:hAnsi="Verdana"/>
        </w:rPr>
        <w:t>alternative approaches</w:t>
      </w:r>
      <w:r w:rsidR="00A641DD">
        <w:rPr>
          <w:rFonts w:ascii="Verdana" w:hAnsi="Verdana"/>
        </w:rPr>
        <w:t xml:space="preserve"> and preventative strategies </w:t>
      </w:r>
      <w:bookmarkEnd w:id="1"/>
      <w:r w:rsidR="00A641DD">
        <w:rPr>
          <w:rFonts w:ascii="Verdana" w:hAnsi="Verdana"/>
        </w:rPr>
        <w:t>set out in Standard</w:t>
      </w:r>
      <w:r w:rsidR="00CB7280">
        <w:rPr>
          <w:rFonts w:ascii="Verdana" w:hAnsi="Verdana"/>
        </w:rPr>
        <w:t>s</w:t>
      </w:r>
      <w:r w:rsidR="00A641DD">
        <w:rPr>
          <w:rFonts w:ascii="Verdana" w:hAnsi="Verdana"/>
        </w:rPr>
        <w:t xml:space="preserve"> 3</w:t>
      </w:r>
      <w:r w:rsidR="00CB7280">
        <w:rPr>
          <w:rFonts w:ascii="Verdana" w:hAnsi="Verdana"/>
        </w:rPr>
        <w:t xml:space="preserve"> </w:t>
      </w:r>
      <w:r w:rsidR="007C534D">
        <w:rPr>
          <w:rFonts w:ascii="Verdana" w:hAnsi="Verdana"/>
        </w:rPr>
        <w:t xml:space="preserve">to </w:t>
      </w:r>
      <w:r w:rsidR="00CB7280">
        <w:rPr>
          <w:rFonts w:ascii="Verdana" w:hAnsi="Verdana"/>
        </w:rPr>
        <w:t>5</w:t>
      </w:r>
      <w:r w:rsidR="00A641DD">
        <w:rPr>
          <w:rFonts w:ascii="Verdana" w:hAnsi="Verdana"/>
        </w:rPr>
        <w:t>, which aim to eliminate or minimis</w:t>
      </w:r>
      <w:r w:rsidR="00A17E55">
        <w:rPr>
          <w:rFonts w:ascii="Verdana" w:hAnsi="Verdana"/>
        </w:rPr>
        <w:t>e</w:t>
      </w:r>
      <w:r w:rsidR="00A641DD">
        <w:rPr>
          <w:rFonts w:ascii="Verdana" w:hAnsi="Verdana"/>
        </w:rPr>
        <w:t xml:space="preserve"> the use of all restrictive practi</w:t>
      </w:r>
      <w:r w:rsidR="007C534D">
        <w:rPr>
          <w:rFonts w:ascii="Verdana" w:hAnsi="Verdana"/>
        </w:rPr>
        <w:t>s</w:t>
      </w:r>
      <w:r w:rsidR="00A641DD">
        <w:rPr>
          <w:rFonts w:ascii="Verdana" w:hAnsi="Verdana"/>
        </w:rPr>
        <w:t>es</w:t>
      </w:r>
      <w:r w:rsidR="000C305F">
        <w:rPr>
          <w:rFonts w:ascii="Verdana" w:hAnsi="Verdana"/>
        </w:rPr>
        <w:t>, restraint and seclusion</w:t>
      </w:r>
      <w:r w:rsidR="00A641DD">
        <w:rPr>
          <w:rFonts w:ascii="Verdana" w:hAnsi="Verdana"/>
        </w:rPr>
        <w:t xml:space="preserve"> </w:t>
      </w:r>
      <w:r w:rsidR="00EE6D04">
        <w:rPr>
          <w:rFonts w:ascii="Verdana" w:hAnsi="Verdana"/>
        </w:rPr>
        <w:t xml:space="preserve">across </w:t>
      </w:r>
      <w:r w:rsidR="00A641DD">
        <w:rPr>
          <w:rFonts w:ascii="Verdana" w:hAnsi="Verdana"/>
        </w:rPr>
        <w:t>health and social care settings</w:t>
      </w:r>
      <w:r w:rsidR="00EE6D04">
        <w:rPr>
          <w:rFonts w:ascii="Verdana" w:hAnsi="Verdana"/>
        </w:rPr>
        <w:t xml:space="preserve"> in NI</w:t>
      </w:r>
      <w:r w:rsidR="00A641DD">
        <w:rPr>
          <w:rFonts w:ascii="Verdana" w:hAnsi="Verdana"/>
        </w:rPr>
        <w:t>. Furthermore, where lawful interventions must be applied, it is emphasised it should only be a measure of last resort, using the least-restrictive means, which is consistent</w:t>
      </w:r>
      <w:r w:rsidR="00A641DD" w:rsidRPr="00355290">
        <w:rPr>
          <w:rFonts w:ascii="Verdana" w:hAnsi="Verdana"/>
        </w:rPr>
        <w:t xml:space="preserve"> with the </w:t>
      </w:r>
      <w:r w:rsidR="00A641DD">
        <w:rPr>
          <w:rFonts w:ascii="Verdana" w:hAnsi="Verdana"/>
        </w:rPr>
        <w:t xml:space="preserve">key human rights based </w:t>
      </w:r>
      <w:r w:rsidR="00A641DD" w:rsidRPr="00355290">
        <w:rPr>
          <w:rFonts w:ascii="Verdana" w:hAnsi="Verdana"/>
        </w:rPr>
        <w:t>principle</w:t>
      </w:r>
      <w:r w:rsidR="00A641DD">
        <w:rPr>
          <w:rFonts w:ascii="Verdana" w:hAnsi="Verdana"/>
        </w:rPr>
        <w:t>s of proportionality and ‘</w:t>
      </w:r>
      <w:r w:rsidR="00A641DD" w:rsidRPr="00355290">
        <w:rPr>
          <w:rFonts w:ascii="Verdana" w:hAnsi="Verdana"/>
        </w:rPr>
        <w:t>least restriction</w:t>
      </w:r>
      <w:r w:rsidR="00A641DD">
        <w:rPr>
          <w:rFonts w:ascii="Verdana" w:hAnsi="Verdana"/>
        </w:rPr>
        <w:t>’</w:t>
      </w:r>
      <w:r w:rsidR="00A17E55">
        <w:rPr>
          <w:rFonts w:ascii="Verdana" w:hAnsi="Verdana"/>
        </w:rPr>
        <w:t>,</w:t>
      </w:r>
      <w:r w:rsidR="00A641DD">
        <w:rPr>
          <w:rFonts w:ascii="Verdana" w:hAnsi="Verdana"/>
        </w:rPr>
        <w:t xml:space="preserve"> as set out above.</w:t>
      </w:r>
      <w:r w:rsidR="00A641DD">
        <w:rPr>
          <w:rStyle w:val="FootnoteReference"/>
          <w:rFonts w:ascii="Verdana" w:hAnsi="Verdana"/>
        </w:rPr>
        <w:footnoteReference w:id="50"/>
      </w:r>
    </w:p>
    <w:p w14:paraId="3A80731E" w14:textId="77777777" w:rsidR="00A641DD" w:rsidRDefault="00A641DD" w:rsidP="00A641DD">
      <w:pPr>
        <w:pStyle w:val="BasicParagraph"/>
        <w:suppressAutoHyphens/>
        <w:ind w:left="720" w:hanging="720"/>
        <w:rPr>
          <w:rFonts w:ascii="Verdana" w:hAnsi="Verdana"/>
        </w:rPr>
      </w:pPr>
    </w:p>
    <w:p w14:paraId="071D9C12" w14:textId="0059AABF" w:rsidR="009D3947" w:rsidRPr="00361A9A" w:rsidRDefault="00CB7D49" w:rsidP="0032048E">
      <w:pPr>
        <w:pStyle w:val="BasicParagraph"/>
        <w:suppressAutoHyphens/>
        <w:ind w:left="720" w:hanging="720"/>
        <w:rPr>
          <w:rFonts w:ascii="Verdana" w:hAnsi="Verdana"/>
          <w:color w:val="auto"/>
        </w:rPr>
      </w:pPr>
      <w:r>
        <w:rPr>
          <w:rFonts w:ascii="Verdana" w:hAnsi="Verdana"/>
        </w:rPr>
        <w:t>5</w:t>
      </w:r>
      <w:r w:rsidR="00A641DD">
        <w:rPr>
          <w:rFonts w:ascii="Verdana" w:hAnsi="Verdana"/>
        </w:rPr>
        <w:t>.2</w:t>
      </w:r>
      <w:r w:rsidR="00A641DD">
        <w:rPr>
          <w:rFonts w:ascii="Verdana" w:hAnsi="Verdana"/>
        </w:rPr>
        <w:tab/>
        <w:t xml:space="preserve">However, </w:t>
      </w:r>
      <w:r w:rsidR="00563448">
        <w:rPr>
          <w:rFonts w:ascii="Verdana" w:hAnsi="Verdana"/>
        </w:rPr>
        <w:t xml:space="preserve">as </w:t>
      </w:r>
      <w:r w:rsidR="00A641DD">
        <w:rPr>
          <w:rFonts w:ascii="Verdana" w:hAnsi="Verdana"/>
        </w:rPr>
        <w:t>a</w:t>
      </w:r>
      <w:r w:rsidR="000C305F">
        <w:rPr>
          <w:rFonts w:ascii="Verdana" w:hAnsi="Verdana"/>
        </w:rPr>
        <w:t xml:space="preserve">ny </w:t>
      </w:r>
      <w:r w:rsidR="00A641DD">
        <w:rPr>
          <w:rFonts w:ascii="Verdana" w:hAnsi="Verdana"/>
        </w:rPr>
        <w:t>restrictive practice</w:t>
      </w:r>
      <w:r w:rsidR="000C305F">
        <w:rPr>
          <w:rFonts w:ascii="Verdana" w:hAnsi="Verdana"/>
        </w:rPr>
        <w:t xml:space="preserve"> </w:t>
      </w:r>
      <w:r w:rsidR="00A641DD">
        <w:rPr>
          <w:rFonts w:ascii="Verdana" w:hAnsi="Verdana"/>
        </w:rPr>
        <w:t xml:space="preserve">can pose the risk of harm to the person subjected to </w:t>
      </w:r>
      <w:r w:rsidR="000238CB">
        <w:rPr>
          <w:rFonts w:ascii="Verdana" w:hAnsi="Verdana"/>
        </w:rPr>
        <w:t xml:space="preserve">its </w:t>
      </w:r>
      <w:r w:rsidR="00A641DD">
        <w:rPr>
          <w:rFonts w:ascii="Verdana" w:hAnsi="Verdana"/>
        </w:rPr>
        <w:t>use</w:t>
      </w:r>
      <w:r w:rsidR="00563448">
        <w:rPr>
          <w:rFonts w:ascii="Verdana" w:hAnsi="Verdana"/>
        </w:rPr>
        <w:t>,</w:t>
      </w:r>
      <w:r w:rsidR="00A641DD">
        <w:rPr>
          <w:rFonts w:ascii="Verdana" w:hAnsi="Verdana"/>
        </w:rPr>
        <w:t xml:space="preserve"> </w:t>
      </w:r>
      <w:r w:rsidR="00563448">
        <w:rPr>
          <w:rFonts w:ascii="Verdana" w:hAnsi="Verdana"/>
        </w:rPr>
        <w:t>w</w:t>
      </w:r>
      <w:r w:rsidR="00A641DD">
        <w:rPr>
          <w:rFonts w:ascii="Verdana" w:hAnsi="Verdana"/>
        </w:rPr>
        <w:t xml:space="preserve">hether physical or psychological, assessing the severity of that harm </w:t>
      </w:r>
      <w:r w:rsidR="00A641DD" w:rsidRPr="008C64C7">
        <w:rPr>
          <w:rFonts w:ascii="Verdana" w:hAnsi="Verdana"/>
          <w:color w:val="auto"/>
        </w:rPr>
        <w:t xml:space="preserve">requires </w:t>
      </w:r>
      <w:r w:rsidR="00A641DD">
        <w:rPr>
          <w:rFonts w:ascii="Verdana" w:hAnsi="Verdana"/>
          <w:color w:val="auto"/>
        </w:rPr>
        <w:t xml:space="preserve">careful </w:t>
      </w:r>
      <w:r w:rsidR="00A641DD" w:rsidRPr="008C64C7">
        <w:rPr>
          <w:rFonts w:ascii="Verdana" w:hAnsi="Verdana"/>
          <w:color w:val="auto"/>
        </w:rPr>
        <w:t>consideration of why an individual may be particularly vulnerable, such as their age, experience of trauma, health conditions or disabilities.</w:t>
      </w:r>
      <w:r w:rsidR="00A641DD">
        <w:rPr>
          <w:rFonts w:ascii="Verdana" w:hAnsi="Verdana"/>
          <w:color w:val="auto"/>
        </w:rPr>
        <w:t xml:space="preserve"> </w:t>
      </w:r>
      <w:r w:rsidR="0060083F">
        <w:rPr>
          <w:rFonts w:ascii="Verdana" w:hAnsi="Verdana"/>
          <w:color w:val="auto"/>
        </w:rPr>
        <w:t xml:space="preserve">The Commission </w:t>
      </w:r>
      <w:r w:rsidR="00C679CA">
        <w:rPr>
          <w:rFonts w:ascii="Verdana" w:hAnsi="Verdana"/>
          <w:color w:val="auto"/>
        </w:rPr>
        <w:t xml:space="preserve">notes its concern that </w:t>
      </w:r>
      <w:r w:rsidR="0072060E">
        <w:rPr>
          <w:rFonts w:ascii="Verdana" w:hAnsi="Verdana"/>
          <w:color w:val="auto"/>
        </w:rPr>
        <w:t>guidance does</w:t>
      </w:r>
      <w:r w:rsidR="00143877">
        <w:rPr>
          <w:rFonts w:ascii="Verdana" w:hAnsi="Verdana"/>
          <w:color w:val="auto"/>
        </w:rPr>
        <w:t xml:space="preserve"> not </w:t>
      </w:r>
      <w:r w:rsidR="008771F3">
        <w:rPr>
          <w:rFonts w:ascii="Verdana" w:hAnsi="Verdana"/>
          <w:color w:val="auto"/>
        </w:rPr>
        <w:t>explicitly address the dis</w:t>
      </w:r>
      <w:r w:rsidR="00DD6385">
        <w:rPr>
          <w:rFonts w:ascii="Verdana" w:hAnsi="Verdana"/>
          <w:color w:val="auto"/>
        </w:rPr>
        <w:t>proportionate impact of these practi</w:t>
      </w:r>
      <w:r w:rsidR="007C534D">
        <w:rPr>
          <w:rFonts w:ascii="Verdana" w:hAnsi="Verdana"/>
          <w:color w:val="auto"/>
        </w:rPr>
        <w:t>s</w:t>
      </w:r>
      <w:r w:rsidR="00DD6385">
        <w:rPr>
          <w:rFonts w:ascii="Verdana" w:hAnsi="Verdana"/>
          <w:color w:val="auto"/>
        </w:rPr>
        <w:t xml:space="preserve">es on those with </w:t>
      </w:r>
      <w:r w:rsidR="001E466C">
        <w:rPr>
          <w:rFonts w:ascii="Verdana" w:hAnsi="Verdana"/>
          <w:color w:val="auto"/>
        </w:rPr>
        <w:t xml:space="preserve">particular </w:t>
      </w:r>
      <w:r w:rsidR="00922B75">
        <w:rPr>
          <w:rFonts w:ascii="Verdana" w:hAnsi="Verdana"/>
          <w:color w:val="auto"/>
        </w:rPr>
        <w:t>vulnerabilities</w:t>
      </w:r>
      <w:r w:rsidR="001E466C">
        <w:rPr>
          <w:rFonts w:ascii="Verdana" w:hAnsi="Verdana"/>
          <w:color w:val="auto"/>
        </w:rPr>
        <w:t>,</w:t>
      </w:r>
      <w:r w:rsidR="00974674">
        <w:rPr>
          <w:rFonts w:ascii="Verdana" w:hAnsi="Verdana"/>
          <w:color w:val="auto"/>
        </w:rPr>
        <w:t xml:space="preserve"> in terms of </w:t>
      </w:r>
      <w:r w:rsidR="000B3EB8">
        <w:rPr>
          <w:rFonts w:ascii="Verdana" w:hAnsi="Verdana"/>
          <w:color w:val="auto"/>
        </w:rPr>
        <w:t>appropriate mitigation</w:t>
      </w:r>
      <w:r w:rsidR="0032048E">
        <w:rPr>
          <w:rFonts w:ascii="Verdana" w:hAnsi="Verdana"/>
          <w:color w:val="auto"/>
        </w:rPr>
        <w:t xml:space="preserve"> measures</w:t>
      </w:r>
      <w:r w:rsidR="001E466C">
        <w:rPr>
          <w:rFonts w:ascii="Verdana" w:hAnsi="Verdana"/>
          <w:color w:val="auto"/>
        </w:rPr>
        <w:t xml:space="preserve"> and safeguards. </w:t>
      </w:r>
    </w:p>
    <w:p w14:paraId="112EDE5E" w14:textId="77777777" w:rsidR="009D3947" w:rsidRPr="00BD787C" w:rsidRDefault="009D3947" w:rsidP="001A3FE4">
      <w:pPr>
        <w:pStyle w:val="BasicParagraph"/>
        <w:suppressAutoHyphens/>
        <w:rPr>
          <w:rFonts w:ascii="Verdana" w:hAnsi="Verdana"/>
          <w:color w:val="auto"/>
        </w:rPr>
      </w:pPr>
    </w:p>
    <w:p w14:paraId="26900CFA" w14:textId="009F47E0" w:rsidR="004D0672" w:rsidRDefault="00CB7D49" w:rsidP="004D0672">
      <w:pPr>
        <w:pStyle w:val="BasicParagraph"/>
        <w:suppressAutoHyphens/>
        <w:ind w:left="720" w:hanging="720"/>
        <w:rPr>
          <w:rFonts w:ascii="Verdana" w:hAnsi="Verdana"/>
          <w:color w:val="auto"/>
        </w:rPr>
      </w:pPr>
      <w:r>
        <w:rPr>
          <w:rFonts w:ascii="Verdana" w:hAnsi="Verdana"/>
        </w:rPr>
        <w:t>5</w:t>
      </w:r>
      <w:r w:rsidR="004D0672">
        <w:rPr>
          <w:rFonts w:ascii="Verdana" w:hAnsi="Verdana"/>
        </w:rPr>
        <w:t>.</w:t>
      </w:r>
      <w:r w:rsidR="000C305F">
        <w:rPr>
          <w:rFonts w:ascii="Verdana" w:hAnsi="Verdana"/>
        </w:rPr>
        <w:t>3</w:t>
      </w:r>
      <w:r w:rsidR="004D0672">
        <w:rPr>
          <w:rFonts w:ascii="Verdana" w:hAnsi="Verdana"/>
        </w:rPr>
        <w:tab/>
        <w:t xml:space="preserve">In 2013, </w:t>
      </w:r>
      <w:r w:rsidR="004D0672">
        <w:rPr>
          <w:rFonts w:ascii="Verdana" w:hAnsi="Verdana"/>
          <w:color w:val="auto"/>
        </w:rPr>
        <w:t>t</w:t>
      </w:r>
      <w:r w:rsidR="004D0672" w:rsidRPr="0005215D">
        <w:rPr>
          <w:rFonts w:ascii="Verdana" w:hAnsi="Verdana"/>
          <w:color w:val="auto"/>
        </w:rPr>
        <w:t xml:space="preserve">he UN </w:t>
      </w:r>
      <w:r w:rsidR="004D0672">
        <w:rPr>
          <w:rFonts w:ascii="Verdana" w:hAnsi="Verdana"/>
          <w:color w:val="auto"/>
        </w:rPr>
        <w:t>S</w:t>
      </w:r>
      <w:r w:rsidR="004D0672" w:rsidRPr="0005215D">
        <w:rPr>
          <w:rFonts w:ascii="Verdana" w:hAnsi="Verdana"/>
          <w:color w:val="auto"/>
        </w:rPr>
        <w:t xml:space="preserve">pecial </w:t>
      </w:r>
      <w:r w:rsidR="004D0672">
        <w:rPr>
          <w:rFonts w:ascii="Verdana" w:hAnsi="Verdana"/>
          <w:color w:val="auto"/>
        </w:rPr>
        <w:t>R</w:t>
      </w:r>
      <w:r w:rsidR="004D0672" w:rsidRPr="0005215D">
        <w:rPr>
          <w:rFonts w:ascii="Verdana" w:hAnsi="Verdana"/>
          <w:color w:val="auto"/>
        </w:rPr>
        <w:t xml:space="preserve">apporteur on torture </w:t>
      </w:r>
      <w:r w:rsidR="007C534D">
        <w:rPr>
          <w:rFonts w:ascii="Verdana" w:hAnsi="Verdana"/>
          <w:color w:val="auto"/>
        </w:rPr>
        <w:t>observed</w:t>
      </w:r>
      <w:r w:rsidR="007C534D" w:rsidRPr="0005215D">
        <w:rPr>
          <w:rFonts w:ascii="Verdana" w:hAnsi="Verdana"/>
          <w:color w:val="auto"/>
        </w:rPr>
        <w:t xml:space="preserve"> </w:t>
      </w:r>
      <w:r w:rsidR="004D0672" w:rsidRPr="0005215D">
        <w:rPr>
          <w:rFonts w:ascii="Verdana" w:hAnsi="Verdana"/>
          <w:color w:val="auto"/>
        </w:rPr>
        <w:t>that</w:t>
      </w:r>
      <w:r w:rsidR="004D0672">
        <w:rPr>
          <w:rFonts w:ascii="Verdana" w:hAnsi="Verdana"/>
          <w:color w:val="auto"/>
        </w:rPr>
        <w:t xml:space="preserve"> </w:t>
      </w:r>
      <w:r w:rsidR="004D0672" w:rsidRPr="0005215D">
        <w:rPr>
          <w:rFonts w:ascii="Verdana" w:hAnsi="Verdana"/>
          <w:color w:val="auto"/>
        </w:rPr>
        <w:t>seclusion and restraint</w:t>
      </w:r>
      <w:r w:rsidR="004D0672">
        <w:rPr>
          <w:rFonts w:ascii="Verdana" w:hAnsi="Verdana"/>
          <w:color w:val="auto"/>
        </w:rPr>
        <w:t xml:space="preserve"> in healthcare settings</w:t>
      </w:r>
      <w:r w:rsidR="004D0672" w:rsidRPr="0005215D">
        <w:rPr>
          <w:rFonts w:ascii="Verdana" w:hAnsi="Verdana"/>
          <w:color w:val="auto"/>
        </w:rPr>
        <w:t xml:space="preserve"> </w:t>
      </w:r>
      <w:r w:rsidR="007C534D">
        <w:rPr>
          <w:rFonts w:ascii="Verdana" w:hAnsi="Verdana"/>
          <w:color w:val="auto"/>
        </w:rPr>
        <w:t>fell</w:t>
      </w:r>
      <w:r w:rsidR="004D0672" w:rsidRPr="00C021DB">
        <w:rPr>
          <w:rFonts w:ascii="Verdana" w:hAnsi="Verdana"/>
          <w:color w:val="auto"/>
        </w:rPr>
        <w:t xml:space="preserve"> under the scope of the </w:t>
      </w:r>
      <w:r w:rsidR="004D0672">
        <w:rPr>
          <w:rFonts w:ascii="Verdana" w:hAnsi="Verdana"/>
          <w:color w:val="auto"/>
        </w:rPr>
        <w:t xml:space="preserve">UN Convention Against Torture, particularly </w:t>
      </w:r>
      <w:r w:rsidR="004D0672" w:rsidRPr="0005215D">
        <w:rPr>
          <w:rFonts w:ascii="Verdana" w:hAnsi="Verdana"/>
          <w:color w:val="auto"/>
        </w:rPr>
        <w:t>when used against people with disabilities</w:t>
      </w:r>
      <w:r w:rsidR="007C534D">
        <w:rPr>
          <w:rFonts w:ascii="Verdana" w:hAnsi="Verdana"/>
          <w:color w:val="auto"/>
        </w:rPr>
        <w:t>.</w:t>
      </w:r>
      <w:r w:rsidR="004D0672" w:rsidRPr="0005215D">
        <w:rPr>
          <w:rStyle w:val="FootnoteReference"/>
          <w:rFonts w:ascii="Verdana" w:hAnsi="Verdana"/>
          <w:color w:val="auto"/>
        </w:rPr>
        <w:footnoteReference w:id="51"/>
      </w:r>
      <w:r w:rsidR="004D0672">
        <w:rPr>
          <w:rFonts w:ascii="Verdana" w:hAnsi="Verdana"/>
          <w:color w:val="auto"/>
        </w:rPr>
        <w:t xml:space="preserve"> The report highlighted the importance of additional measures to protect persons with disabilities:  </w:t>
      </w:r>
    </w:p>
    <w:p w14:paraId="7F4EA77C" w14:textId="77777777" w:rsidR="004D0672" w:rsidRDefault="004D0672" w:rsidP="004D0672">
      <w:pPr>
        <w:pStyle w:val="BasicParagraph"/>
        <w:suppressAutoHyphens/>
        <w:ind w:left="720" w:hanging="720"/>
        <w:rPr>
          <w:rFonts w:ascii="Verdana" w:hAnsi="Verdana"/>
          <w:color w:val="auto"/>
        </w:rPr>
      </w:pPr>
    </w:p>
    <w:p w14:paraId="077C49FE" w14:textId="77777777" w:rsidR="004D0672" w:rsidRPr="002E2270" w:rsidRDefault="004D0672" w:rsidP="004D0672">
      <w:pPr>
        <w:pStyle w:val="BasicParagraph"/>
        <w:suppressAutoHyphens/>
        <w:ind w:left="1440"/>
        <w:rPr>
          <w:rFonts w:ascii="Verdana" w:hAnsi="Verdana"/>
          <w:color w:val="auto"/>
        </w:rPr>
      </w:pPr>
      <w:r>
        <w:rPr>
          <w:rFonts w:ascii="Verdana" w:hAnsi="Verdana"/>
        </w:rPr>
        <w:t>“</w:t>
      </w:r>
      <w:r w:rsidRPr="002E2270">
        <w:rPr>
          <w:rFonts w:ascii="Verdana" w:hAnsi="Verdana"/>
        </w:rPr>
        <w:t xml:space="preserve">…the Convention on the Rights of Persons with Disabilities offers the most comprehensive set of standards on the rights of persons with disabilities, inter alia, in the context of health care, where choices by people with disabilities are often overridden based on their supposed “best interests”, and where serious violations and discrimination </w:t>
      </w:r>
      <w:r w:rsidRPr="002E2270">
        <w:rPr>
          <w:rFonts w:ascii="Verdana" w:hAnsi="Verdana"/>
        </w:rPr>
        <w:lastRenderedPageBreak/>
        <w:t>against persons with disabilities may be masked as “good intentions” of health professionals.</w:t>
      </w:r>
      <w:r>
        <w:rPr>
          <w:rFonts w:ascii="Verdana" w:hAnsi="Verdana"/>
        </w:rPr>
        <w:t>”</w:t>
      </w:r>
      <w:r>
        <w:rPr>
          <w:rStyle w:val="FootnoteReference"/>
          <w:rFonts w:ascii="Verdana" w:hAnsi="Verdana"/>
        </w:rPr>
        <w:footnoteReference w:id="52"/>
      </w:r>
      <w:r w:rsidRPr="002E2270">
        <w:rPr>
          <w:rFonts w:ascii="Verdana" w:hAnsi="Verdana"/>
        </w:rPr>
        <w:t xml:space="preserve"> </w:t>
      </w:r>
    </w:p>
    <w:p w14:paraId="462F582F" w14:textId="77777777" w:rsidR="004D0672" w:rsidRDefault="004D0672" w:rsidP="004D0672">
      <w:pPr>
        <w:pStyle w:val="BasicParagraph"/>
        <w:suppressAutoHyphens/>
        <w:rPr>
          <w:rFonts w:ascii="Verdana" w:hAnsi="Verdana"/>
        </w:rPr>
      </w:pPr>
    </w:p>
    <w:p w14:paraId="2156E4C8" w14:textId="0E37487C" w:rsidR="004D0672" w:rsidRDefault="00CB7D49" w:rsidP="004D0672">
      <w:pPr>
        <w:pStyle w:val="BasicParagraph"/>
        <w:suppressAutoHyphens/>
        <w:ind w:left="720" w:hanging="720"/>
        <w:rPr>
          <w:rFonts w:ascii="Verdana" w:hAnsi="Verdana"/>
          <w:color w:val="auto"/>
        </w:rPr>
      </w:pPr>
      <w:r>
        <w:rPr>
          <w:rFonts w:ascii="Verdana" w:hAnsi="Verdana"/>
          <w:color w:val="auto"/>
        </w:rPr>
        <w:t>5</w:t>
      </w:r>
      <w:r w:rsidR="004D0672">
        <w:rPr>
          <w:rFonts w:ascii="Verdana" w:hAnsi="Verdana"/>
          <w:color w:val="auto"/>
        </w:rPr>
        <w:t>.</w:t>
      </w:r>
      <w:r w:rsidR="000C305F">
        <w:rPr>
          <w:rFonts w:ascii="Verdana" w:hAnsi="Verdana"/>
          <w:color w:val="auto"/>
        </w:rPr>
        <w:t>4</w:t>
      </w:r>
      <w:r w:rsidR="004D0672">
        <w:rPr>
          <w:rFonts w:ascii="Verdana" w:hAnsi="Verdana"/>
          <w:color w:val="auto"/>
        </w:rPr>
        <w:tab/>
        <w:t xml:space="preserve">The report recommends that State parties, </w:t>
      </w:r>
    </w:p>
    <w:p w14:paraId="1D93A11A" w14:textId="77777777" w:rsidR="004D0672" w:rsidRDefault="004D0672" w:rsidP="004D0672">
      <w:pPr>
        <w:pStyle w:val="BasicParagraph"/>
        <w:suppressAutoHyphens/>
        <w:ind w:left="720" w:hanging="720"/>
        <w:rPr>
          <w:rFonts w:ascii="Verdana" w:hAnsi="Verdana"/>
          <w:color w:val="auto"/>
        </w:rPr>
      </w:pPr>
    </w:p>
    <w:p w14:paraId="4398311F" w14:textId="77777777" w:rsidR="004D0672" w:rsidRPr="00652E68" w:rsidRDefault="004D0672" w:rsidP="004D0672">
      <w:pPr>
        <w:pStyle w:val="BasicParagraph"/>
        <w:suppressAutoHyphens/>
        <w:ind w:left="1440"/>
        <w:rPr>
          <w:rFonts w:ascii="Verdana" w:hAnsi="Verdana"/>
          <w:color w:val="auto"/>
        </w:rPr>
      </w:pPr>
      <w:r>
        <w:rPr>
          <w:rFonts w:ascii="Verdana" w:hAnsi="Verdana"/>
        </w:rPr>
        <w:t>“</w:t>
      </w:r>
      <w:r w:rsidRPr="00652E68">
        <w:rPr>
          <w:rFonts w:ascii="Verdana" w:hAnsi="Verdana"/>
        </w:rPr>
        <w:t>Impose an absolute ban on all forced and non-consensual medical interventions against persons with disabilities, including the non-consensual administration of psychosurgery, electroshock and mind-altering drugs such as neuroleptics, the use of restraint and solitary confinement, for both long- and short</w:t>
      </w:r>
      <w:r>
        <w:rPr>
          <w:rFonts w:ascii="Verdana" w:hAnsi="Verdana"/>
        </w:rPr>
        <w:t>-</w:t>
      </w:r>
      <w:r w:rsidRPr="00652E68">
        <w:rPr>
          <w:rFonts w:ascii="Verdana" w:hAnsi="Verdana"/>
        </w:rPr>
        <w:t>term application</w:t>
      </w:r>
      <w:r>
        <w:rPr>
          <w:rFonts w:ascii="Verdana" w:hAnsi="Verdana"/>
        </w:rPr>
        <w:t>.</w:t>
      </w:r>
      <w:r w:rsidRPr="00652E68">
        <w:rPr>
          <w:rFonts w:ascii="Verdana" w:hAnsi="Verdana"/>
          <w:color w:val="auto"/>
        </w:rPr>
        <w:t>”</w:t>
      </w:r>
      <w:r>
        <w:rPr>
          <w:rStyle w:val="FootnoteReference"/>
          <w:rFonts w:ascii="Verdana" w:hAnsi="Verdana"/>
          <w:color w:val="auto"/>
        </w:rPr>
        <w:footnoteReference w:id="53"/>
      </w:r>
    </w:p>
    <w:p w14:paraId="40A14176" w14:textId="77777777" w:rsidR="004D0672" w:rsidRDefault="004D0672" w:rsidP="004D0672">
      <w:pPr>
        <w:pStyle w:val="BasicParagraph"/>
        <w:suppressAutoHyphens/>
        <w:rPr>
          <w:rFonts w:ascii="Verdana" w:hAnsi="Verdana"/>
        </w:rPr>
      </w:pPr>
    </w:p>
    <w:p w14:paraId="0559257C" w14:textId="63E4AE84" w:rsidR="004D0672" w:rsidRDefault="00CB7D49" w:rsidP="004D0672">
      <w:pPr>
        <w:pStyle w:val="BasicParagraph"/>
        <w:suppressAutoHyphens/>
        <w:ind w:left="720" w:hanging="720"/>
        <w:rPr>
          <w:rFonts w:ascii="Verdana" w:hAnsi="Verdana" w:cs="Arial"/>
          <w:color w:val="auto"/>
        </w:rPr>
      </w:pPr>
      <w:r>
        <w:rPr>
          <w:rFonts w:ascii="Verdana" w:hAnsi="Verdana" w:cs="Arial"/>
          <w:color w:val="auto"/>
        </w:rPr>
        <w:t>5</w:t>
      </w:r>
      <w:r w:rsidR="004D0672">
        <w:rPr>
          <w:rFonts w:ascii="Verdana" w:hAnsi="Verdana" w:cs="Arial"/>
          <w:color w:val="auto"/>
        </w:rPr>
        <w:t>.</w:t>
      </w:r>
      <w:r w:rsidR="000C305F">
        <w:rPr>
          <w:rFonts w:ascii="Verdana" w:hAnsi="Verdana" w:cs="Arial"/>
          <w:color w:val="auto"/>
        </w:rPr>
        <w:t>5</w:t>
      </w:r>
      <w:r w:rsidR="004D0672">
        <w:rPr>
          <w:rFonts w:ascii="Verdana" w:hAnsi="Verdana" w:cs="Arial"/>
          <w:color w:val="auto"/>
        </w:rPr>
        <w:tab/>
      </w:r>
      <w:r w:rsidR="004D0672" w:rsidRPr="000E17E3">
        <w:rPr>
          <w:rFonts w:ascii="Verdana" w:hAnsi="Verdana" w:cs="Arial"/>
          <w:color w:val="auto"/>
        </w:rPr>
        <w:t xml:space="preserve">In its initial report on the UK in 2017, the </w:t>
      </w:r>
      <w:r w:rsidR="000311BC">
        <w:rPr>
          <w:rFonts w:ascii="Verdana" w:hAnsi="Verdana" w:cs="Arial"/>
          <w:color w:val="auto"/>
        </w:rPr>
        <w:t xml:space="preserve">UN CRPD </w:t>
      </w:r>
      <w:r w:rsidR="004D0672" w:rsidRPr="000E17E3">
        <w:rPr>
          <w:rFonts w:ascii="Verdana" w:hAnsi="Verdana" w:cs="Arial"/>
          <w:color w:val="auto"/>
        </w:rPr>
        <w:t xml:space="preserve">Committee </w:t>
      </w:r>
      <w:r w:rsidR="000A3EAF">
        <w:rPr>
          <w:rFonts w:ascii="Verdana" w:hAnsi="Verdana" w:cs="Arial"/>
          <w:color w:val="auto"/>
        </w:rPr>
        <w:t>raised concerns about “the continued use of physical, mechanical and chemical restra</w:t>
      </w:r>
      <w:r w:rsidR="00610BC1">
        <w:rPr>
          <w:rFonts w:ascii="Verdana" w:hAnsi="Verdana" w:cs="Arial"/>
          <w:color w:val="auto"/>
        </w:rPr>
        <w:t>int</w:t>
      </w:r>
      <w:r w:rsidR="00196E14">
        <w:rPr>
          <w:rFonts w:ascii="Verdana" w:hAnsi="Verdana" w:cs="Arial"/>
          <w:color w:val="auto"/>
        </w:rPr>
        <w:t xml:space="preserve">” </w:t>
      </w:r>
      <w:r w:rsidR="000311BC">
        <w:rPr>
          <w:rFonts w:ascii="Verdana" w:hAnsi="Verdana" w:cs="Arial"/>
          <w:color w:val="auto"/>
        </w:rPr>
        <w:t xml:space="preserve">on persons with disabilities </w:t>
      </w:r>
      <w:r w:rsidR="00196E14">
        <w:rPr>
          <w:rFonts w:ascii="Verdana" w:hAnsi="Verdana" w:cs="Arial"/>
          <w:color w:val="auto"/>
        </w:rPr>
        <w:t>in health care settings, as well as practi</w:t>
      </w:r>
      <w:r w:rsidR="007C534D">
        <w:rPr>
          <w:rFonts w:ascii="Verdana" w:hAnsi="Verdana" w:cs="Arial"/>
          <w:color w:val="auto"/>
        </w:rPr>
        <w:t>s</w:t>
      </w:r>
      <w:r w:rsidR="00196E14">
        <w:rPr>
          <w:rFonts w:ascii="Verdana" w:hAnsi="Verdana" w:cs="Arial"/>
          <w:color w:val="auto"/>
        </w:rPr>
        <w:t>es of segregation and seclusion.</w:t>
      </w:r>
      <w:r w:rsidR="00970DB4">
        <w:rPr>
          <w:rStyle w:val="FootnoteReference"/>
          <w:rFonts w:ascii="Verdana" w:hAnsi="Verdana" w:cs="Arial"/>
          <w:color w:val="auto"/>
        </w:rPr>
        <w:footnoteReference w:id="54"/>
      </w:r>
      <w:r w:rsidR="00196E14">
        <w:rPr>
          <w:rFonts w:ascii="Verdana" w:hAnsi="Verdana" w:cs="Arial"/>
          <w:color w:val="auto"/>
        </w:rPr>
        <w:t xml:space="preserve"> The Commit</w:t>
      </w:r>
      <w:r w:rsidR="00A84A8E">
        <w:rPr>
          <w:rFonts w:ascii="Verdana" w:hAnsi="Verdana" w:cs="Arial"/>
          <w:color w:val="auto"/>
        </w:rPr>
        <w:t xml:space="preserve">tee called </w:t>
      </w:r>
      <w:r w:rsidR="004D0672" w:rsidRPr="000E17E3">
        <w:rPr>
          <w:rFonts w:ascii="Verdana" w:hAnsi="Verdana" w:cs="Arial"/>
          <w:color w:val="auto"/>
        </w:rPr>
        <w:t>for the</w:t>
      </w:r>
      <w:r w:rsidR="001E35A5">
        <w:rPr>
          <w:rFonts w:ascii="Verdana" w:hAnsi="Verdana" w:cs="Arial"/>
          <w:color w:val="auto"/>
        </w:rPr>
        <w:t xml:space="preserve"> adoption of appropriate measures to</w:t>
      </w:r>
      <w:r w:rsidR="004D0672" w:rsidRPr="000E17E3">
        <w:rPr>
          <w:rFonts w:ascii="Verdana" w:hAnsi="Verdana" w:cs="Arial"/>
          <w:color w:val="auto"/>
        </w:rPr>
        <w:t xml:space="preserve"> </w:t>
      </w:r>
      <w:r w:rsidR="009F5537">
        <w:rPr>
          <w:rFonts w:ascii="Verdana" w:hAnsi="Verdana" w:cs="Arial"/>
          <w:color w:val="auto"/>
        </w:rPr>
        <w:t>“</w:t>
      </w:r>
      <w:r w:rsidR="009F5537" w:rsidRPr="009F5537">
        <w:rPr>
          <w:rFonts w:ascii="Verdana" w:hAnsi="Verdana" w:cs="Arial"/>
          <w:color w:val="auto"/>
        </w:rPr>
        <w:t>eradicate the use of restraint for reasons related to disability within all settings</w:t>
      </w:r>
      <w:r w:rsidR="00F239FA">
        <w:rPr>
          <w:rFonts w:ascii="Verdana" w:hAnsi="Verdana" w:cs="Arial"/>
          <w:color w:val="auto"/>
        </w:rPr>
        <w:t>…</w:t>
      </w:r>
      <w:r w:rsidR="00F239FA" w:rsidRPr="00F239FA">
        <w:t xml:space="preserve"> </w:t>
      </w:r>
      <w:r w:rsidR="00F239FA">
        <w:rPr>
          <w:rFonts w:ascii="Verdana" w:hAnsi="Verdana" w:cs="Arial"/>
          <w:color w:val="auto"/>
        </w:rPr>
        <w:t>as</w:t>
      </w:r>
      <w:r w:rsidR="00F239FA" w:rsidRPr="00F239FA">
        <w:rPr>
          <w:rFonts w:ascii="Verdana" w:hAnsi="Verdana" w:cs="Arial"/>
          <w:color w:val="auto"/>
        </w:rPr>
        <w:t xml:space="preserve"> well as practi</w:t>
      </w:r>
      <w:r w:rsidR="007C534D">
        <w:rPr>
          <w:rFonts w:ascii="Verdana" w:hAnsi="Verdana" w:cs="Arial"/>
          <w:color w:val="auto"/>
        </w:rPr>
        <w:t>s</w:t>
      </w:r>
      <w:r w:rsidR="00F239FA" w:rsidRPr="00F239FA">
        <w:rPr>
          <w:rFonts w:ascii="Verdana" w:hAnsi="Verdana" w:cs="Arial"/>
          <w:color w:val="auto"/>
        </w:rPr>
        <w:t>es of segregation and isolation that may amount to torture or inhuman or degrading treatment</w:t>
      </w:r>
      <w:r w:rsidR="009F5537">
        <w:rPr>
          <w:rFonts w:ascii="Verdana" w:hAnsi="Verdana" w:cs="Arial"/>
          <w:color w:val="auto"/>
        </w:rPr>
        <w:t>”</w:t>
      </w:r>
      <w:r w:rsidR="004D0672">
        <w:rPr>
          <w:rFonts w:ascii="Verdana" w:hAnsi="Verdana" w:cs="Arial"/>
          <w:color w:val="auto"/>
        </w:rPr>
        <w:t>.</w:t>
      </w:r>
      <w:r w:rsidR="009F5537">
        <w:rPr>
          <w:rStyle w:val="FootnoteReference"/>
          <w:rFonts w:ascii="Verdana" w:hAnsi="Verdana" w:cs="Arial"/>
          <w:color w:val="auto"/>
        </w:rPr>
        <w:footnoteReference w:id="55"/>
      </w:r>
      <w:r w:rsidR="005A1D09">
        <w:rPr>
          <w:rFonts w:ascii="Verdana" w:hAnsi="Verdana" w:cs="Arial"/>
          <w:color w:val="auto"/>
        </w:rPr>
        <w:t xml:space="preserve"> </w:t>
      </w:r>
    </w:p>
    <w:p w14:paraId="47FFC2D0" w14:textId="77777777" w:rsidR="004D0672" w:rsidRDefault="004D0672" w:rsidP="000C720B">
      <w:pPr>
        <w:pStyle w:val="BasicParagraph"/>
        <w:suppressAutoHyphens/>
        <w:rPr>
          <w:rFonts w:ascii="Verdana" w:hAnsi="Verdana" w:cs="Arial"/>
          <w:color w:val="auto"/>
        </w:rPr>
      </w:pPr>
    </w:p>
    <w:p w14:paraId="39E18B51" w14:textId="5707F490" w:rsidR="005A1D09" w:rsidRPr="008F527C" w:rsidRDefault="00CB7D49" w:rsidP="000334D6">
      <w:pPr>
        <w:pStyle w:val="BasicParagraph"/>
        <w:suppressAutoHyphens/>
        <w:ind w:left="720" w:hanging="720"/>
        <w:rPr>
          <w:rFonts w:ascii="Verdana" w:hAnsi="Verdana"/>
          <w:b/>
          <w:bCs/>
        </w:rPr>
      </w:pPr>
      <w:r>
        <w:rPr>
          <w:rFonts w:ascii="Verdana" w:hAnsi="Verdana"/>
          <w:b/>
          <w:bCs/>
        </w:rPr>
        <w:t>5</w:t>
      </w:r>
      <w:r w:rsidR="005A1D09">
        <w:rPr>
          <w:rFonts w:ascii="Verdana" w:hAnsi="Verdana"/>
          <w:b/>
          <w:bCs/>
        </w:rPr>
        <w:t>.</w:t>
      </w:r>
      <w:r w:rsidR="000C305F">
        <w:rPr>
          <w:rFonts w:ascii="Verdana" w:hAnsi="Verdana"/>
          <w:b/>
          <w:bCs/>
        </w:rPr>
        <w:t>6</w:t>
      </w:r>
      <w:r w:rsidR="005A1D09">
        <w:rPr>
          <w:rFonts w:ascii="Verdana" w:hAnsi="Verdana"/>
          <w:b/>
          <w:bCs/>
        </w:rPr>
        <w:tab/>
        <w:t xml:space="preserve">The </w:t>
      </w:r>
      <w:r w:rsidR="00924122">
        <w:rPr>
          <w:rFonts w:ascii="Verdana" w:hAnsi="Verdana"/>
          <w:b/>
          <w:bCs/>
        </w:rPr>
        <w:t xml:space="preserve">Commission </w:t>
      </w:r>
      <w:r w:rsidR="009B5009">
        <w:rPr>
          <w:rFonts w:ascii="Verdana" w:hAnsi="Verdana"/>
          <w:b/>
          <w:bCs/>
        </w:rPr>
        <w:t xml:space="preserve">recommends </w:t>
      </w:r>
      <w:r w:rsidR="00264EEA">
        <w:rPr>
          <w:rFonts w:ascii="Verdana" w:hAnsi="Verdana"/>
          <w:b/>
          <w:bCs/>
        </w:rPr>
        <w:t xml:space="preserve">that, in accordance with Concluding Observations of the UN CRPD Committee, </w:t>
      </w:r>
      <w:r w:rsidR="009B5009">
        <w:rPr>
          <w:rFonts w:ascii="Verdana" w:hAnsi="Verdana"/>
          <w:b/>
          <w:bCs/>
        </w:rPr>
        <w:t>it is made explicit that</w:t>
      </w:r>
      <w:r w:rsidR="00EC7FE0">
        <w:rPr>
          <w:rFonts w:ascii="Verdana" w:hAnsi="Verdana"/>
          <w:b/>
          <w:bCs/>
        </w:rPr>
        <w:t xml:space="preserve"> </w:t>
      </w:r>
      <w:r w:rsidR="00C8107F">
        <w:rPr>
          <w:rFonts w:ascii="Verdana" w:hAnsi="Verdana"/>
          <w:b/>
          <w:bCs/>
        </w:rPr>
        <w:t>practi</w:t>
      </w:r>
      <w:r w:rsidR="00B324A5">
        <w:rPr>
          <w:rFonts w:ascii="Verdana" w:hAnsi="Verdana"/>
          <w:b/>
          <w:bCs/>
        </w:rPr>
        <w:t>c</w:t>
      </w:r>
      <w:r w:rsidR="00C8107F">
        <w:rPr>
          <w:rFonts w:ascii="Verdana" w:hAnsi="Verdana"/>
          <w:b/>
          <w:bCs/>
        </w:rPr>
        <w:t xml:space="preserve">es of </w:t>
      </w:r>
      <w:r w:rsidR="001F7F33">
        <w:rPr>
          <w:rFonts w:ascii="Verdana" w:hAnsi="Verdana"/>
          <w:b/>
          <w:bCs/>
        </w:rPr>
        <w:t xml:space="preserve">restraint and </w:t>
      </w:r>
      <w:r w:rsidR="001A08C1">
        <w:rPr>
          <w:rFonts w:ascii="Verdana" w:hAnsi="Verdana"/>
          <w:b/>
          <w:bCs/>
        </w:rPr>
        <w:t xml:space="preserve">seclusion should not be used </w:t>
      </w:r>
      <w:r w:rsidR="009E4446">
        <w:rPr>
          <w:rFonts w:ascii="Verdana" w:hAnsi="Verdana"/>
          <w:b/>
          <w:bCs/>
        </w:rPr>
        <w:t>for reasons related to</w:t>
      </w:r>
      <w:r w:rsidR="00383246">
        <w:rPr>
          <w:rFonts w:ascii="Verdana" w:hAnsi="Verdana"/>
          <w:b/>
          <w:bCs/>
        </w:rPr>
        <w:t xml:space="preserve"> disability</w:t>
      </w:r>
      <w:r w:rsidR="00264EEA">
        <w:rPr>
          <w:rFonts w:ascii="Verdana" w:hAnsi="Verdana"/>
          <w:b/>
          <w:bCs/>
        </w:rPr>
        <w:t xml:space="preserve">. </w:t>
      </w:r>
    </w:p>
    <w:p w14:paraId="1CAA6F88" w14:textId="77777777" w:rsidR="00171A32" w:rsidRDefault="00171A32" w:rsidP="000C720B">
      <w:pPr>
        <w:pStyle w:val="BasicParagraph"/>
        <w:suppressAutoHyphens/>
        <w:rPr>
          <w:rFonts w:ascii="Verdana" w:hAnsi="Verdana" w:cs="Arial"/>
          <w:color w:val="auto"/>
        </w:rPr>
      </w:pPr>
    </w:p>
    <w:p w14:paraId="5185645C" w14:textId="02762C17" w:rsidR="00D76DFF" w:rsidRDefault="00CB7D49" w:rsidP="004D0672">
      <w:pPr>
        <w:pStyle w:val="BasicParagraph"/>
        <w:suppressAutoHyphens/>
        <w:ind w:left="720" w:hanging="720"/>
        <w:rPr>
          <w:rFonts w:ascii="Verdana" w:hAnsi="Verdana" w:cs="Arial"/>
          <w:color w:val="auto"/>
        </w:rPr>
      </w:pPr>
      <w:r>
        <w:rPr>
          <w:rFonts w:ascii="Verdana" w:hAnsi="Verdana" w:cs="Arial"/>
          <w:color w:val="auto"/>
        </w:rPr>
        <w:t>5</w:t>
      </w:r>
      <w:r w:rsidR="004D0672">
        <w:rPr>
          <w:rFonts w:ascii="Verdana" w:hAnsi="Verdana" w:cs="Arial"/>
          <w:color w:val="auto"/>
        </w:rPr>
        <w:t>.</w:t>
      </w:r>
      <w:r w:rsidR="000C305F">
        <w:rPr>
          <w:rFonts w:ascii="Verdana" w:hAnsi="Verdana" w:cs="Arial"/>
          <w:color w:val="auto"/>
        </w:rPr>
        <w:t>7</w:t>
      </w:r>
      <w:r w:rsidR="00D76DFF">
        <w:rPr>
          <w:rFonts w:ascii="Verdana" w:hAnsi="Verdana" w:cs="Arial"/>
          <w:color w:val="auto"/>
        </w:rPr>
        <w:tab/>
      </w:r>
      <w:r w:rsidR="008736F1">
        <w:rPr>
          <w:rFonts w:ascii="Verdana" w:hAnsi="Verdana" w:cs="Arial"/>
          <w:color w:val="auto"/>
        </w:rPr>
        <w:t xml:space="preserve">When deciding whether </w:t>
      </w:r>
      <w:r w:rsidR="00394B3D">
        <w:rPr>
          <w:rFonts w:ascii="Verdana" w:hAnsi="Verdana" w:cs="Arial"/>
          <w:color w:val="auto"/>
        </w:rPr>
        <w:t>and how to</w:t>
      </w:r>
      <w:r w:rsidR="008736F1">
        <w:rPr>
          <w:rFonts w:ascii="Verdana" w:hAnsi="Verdana" w:cs="Arial"/>
          <w:color w:val="auto"/>
        </w:rPr>
        <w:t xml:space="preserve"> use</w:t>
      </w:r>
      <w:r w:rsidR="00394B3D">
        <w:rPr>
          <w:rFonts w:ascii="Verdana" w:hAnsi="Verdana" w:cs="Arial"/>
          <w:color w:val="auto"/>
        </w:rPr>
        <w:t xml:space="preserve"> a</w:t>
      </w:r>
      <w:r w:rsidR="008736F1">
        <w:rPr>
          <w:rFonts w:ascii="Verdana" w:hAnsi="Verdana" w:cs="Arial"/>
          <w:color w:val="auto"/>
        </w:rPr>
        <w:t xml:space="preserve"> restrictive practi</w:t>
      </w:r>
      <w:r w:rsidR="00A034BA">
        <w:rPr>
          <w:rFonts w:ascii="Verdana" w:hAnsi="Verdana" w:cs="Arial"/>
          <w:color w:val="auto"/>
        </w:rPr>
        <w:t>s</w:t>
      </w:r>
      <w:r w:rsidR="008736F1">
        <w:rPr>
          <w:rFonts w:ascii="Verdana" w:hAnsi="Verdana" w:cs="Arial"/>
          <w:color w:val="auto"/>
        </w:rPr>
        <w:t>e</w:t>
      </w:r>
      <w:r w:rsidR="00394B3D">
        <w:rPr>
          <w:rFonts w:ascii="Verdana" w:hAnsi="Verdana" w:cs="Arial"/>
          <w:color w:val="auto"/>
        </w:rPr>
        <w:t xml:space="preserve"> </w:t>
      </w:r>
      <w:r w:rsidR="008736F1">
        <w:rPr>
          <w:rFonts w:ascii="Verdana" w:hAnsi="Verdana" w:cs="Arial"/>
          <w:color w:val="auto"/>
        </w:rPr>
        <w:t xml:space="preserve">on </w:t>
      </w:r>
      <w:r w:rsidR="00394B3D">
        <w:rPr>
          <w:rFonts w:ascii="Verdana" w:hAnsi="Verdana" w:cs="Arial"/>
          <w:color w:val="auto"/>
        </w:rPr>
        <w:t>a chil</w:t>
      </w:r>
      <w:r w:rsidR="0040556F">
        <w:rPr>
          <w:rFonts w:ascii="Verdana" w:hAnsi="Verdana" w:cs="Arial"/>
          <w:color w:val="auto"/>
        </w:rPr>
        <w:t xml:space="preserve">d, their best interests must be </w:t>
      </w:r>
      <w:r w:rsidR="00A034BA">
        <w:rPr>
          <w:rFonts w:ascii="Verdana" w:hAnsi="Verdana" w:cs="Arial"/>
          <w:color w:val="auto"/>
        </w:rPr>
        <w:t xml:space="preserve">the </w:t>
      </w:r>
      <w:r w:rsidR="0040556F">
        <w:rPr>
          <w:rFonts w:ascii="Verdana" w:hAnsi="Verdana" w:cs="Arial"/>
          <w:color w:val="auto"/>
        </w:rPr>
        <w:t>primary consideration (Article 3</w:t>
      </w:r>
      <w:r w:rsidR="00F01FF4">
        <w:rPr>
          <w:rFonts w:ascii="Verdana" w:hAnsi="Verdana" w:cs="Arial"/>
          <w:color w:val="auto"/>
        </w:rPr>
        <w:t>,</w:t>
      </w:r>
      <w:r w:rsidR="0040556F">
        <w:rPr>
          <w:rFonts w:ascii="Verdana" w:hAnsi="Verdana" w:cs="Arial"/>
          <w:color w:val="auto"/>
        </w:rPr>
        <w:t xml:space="preserve"> UN CRC). </w:t>
      </w:r>
      <w:r w:rsidR="00E4451F">
        <w:rPr>
          <w:rFonts w:ascii="Verdana" w:hAnsi="Verdana" w:cs="Arial"/>
          <w:color w:val="auto"/>
        </w:rPr>
        <w:t>Children are developing physically and psychologically which makes them particularly vulnerable to harm.</w:t>
      </w:r>
      <w:r w:rsidR="00E4451F">
        <w:rPr>
          <w:rStyle w:val="FootnoteReference"/>
          <w:rFonts w:ascii="Verdana" w:hAnsi="Verdana" w:cs="Arial"/>
          <w:color w:val="auto"/>
        </w:rPr>
        <w:footnoteReference w:id="56"/>
      </w:r>
      <w:r w:rsidR="00E4451F">
        <w:rPr>
          <w:rFonts w:ascii="Verdana" w:hAnsi="Verdana" w:cs="Arial"/>
          <w:color w:val="auto"/>
        </w:rPr>
        <w:t xml:space="preserve"> </w:t>
      </w:r>
      <w:r w:rsidR="00433814">
        <w:rPr>
          <w:rFonts w:ascii="Verdana" w:hAnsi="Verdana" w:cs="Arial"/>
          <w:color w:val="auto"/>
        </w:rPr>
        <w:t xml:space="preserve">To that end, </w:t>
      </w:r>
      <w:r w:rsidR="008B7A95">
        <w:rPr>
          <w:rFonts w:ascii="Verdana" w:hAnsi="Verdana" w:cs="Arial"/>
          <w:color w:val="auto"/>
        </w:rPr>
        <w:t xml:space="preserve">the person responsible for </w:t>
      </w:r>
      <w:r w:rsidR="000A7BB7">
        <w:rPr>
          <w:rFonts w:ascii="Verdana" w:hAnsi="Verdana" w:cs="Arial"/>
          <w:color w:val="auto"/>
        </w:rPr>
        <w:t>applying</w:t>
      </w:r>
      <w:r w:rsidR="008B7A95">
        <w:rPr>
          <w:rFonts w:ascii="Verdana" w:hAnsi="Verdana" w:cs="Arial"/>
          <w:color w:val="auto"/>
        </w:rPr>
        <w:t xml:space="preserve"> a restrictive intervention on a child should </w:t>
      </w:r>
      <w:r w:rsidR="00822678">
        <w:rPr>
          <w:rFonts w:ascii="Verdana" w:hAnsi="Verdana" w:cs="Arial"/>
          <w:color w:val="auto"/>
        </w:rPr>
        <w:t>robust justification.</w:t>
      </w:r>
      <w:r w:rsidR="004D0672">
        <w:rPr>
          <w:rFonts w:ascii="Verdana" w:hAnsi="Verdana" w:cs="Arial"/>
          <w:color w:val="auto"/>
        </w:rPr>
        <w:tab/>
      </w:r>
    </w:p>
    <w:p w14:paraId="056800DB" w14:textId="77777777" w:rsidR="00D76DFF" w:rsidRDefault="00D76DFF" w:rsidP="004D0672">
      <w:pPr>
        <w:pStyle w:val="BasicParagraph"/>
        <w:suppressAutoHyphens/>
        <w:ind w:left="720" w:hanging="720"/>
        <w:rPr>
          <w:rFonts w:ascii="Verdana" w:hAnsi="Verdana" w:cs="Arial"/>
          <w:color w:val="auto"/>
        </w:rPr>
      </w:pPr>
    </w:p>
    <w:p w14:paraId="01F58676" w14:textId="507A5064" w:rsidR="004D0672" w:rsidRPr="00901CAD" w:rsidRDefault="00CB7D49" w:rsidP="004D0672">
      <w:pPr>
        <w:pStyle w:val="BasicParagraph"/>
        <w:suppressAutoHyphens/>
        <w:ind w:left="720" w:hanging="720"/>
        <w:rPr>
          <w:rFonts w:ascii="Verdana" w:hAnsi="Verdana" w:cs="Arial"/>
          <w:color w:val="auto"/>
        </w:rPr>
      </w:pPr>
      <w:r>
        <w:rPr>
          <w:rFonts w:ascii="Verdana" w:hAnsi="Verdana"/>
        </w:rPr>
        <w:t>5</w:t>
      </w:r>
      <w:r w:rsidR="00AD215F">
        <w:rPr>
          <w:rFonts w:ascii="Verdana" w:hAnsi="Verdana"/>
        </w:rPr>
        <w:t>.</w:t>
      </w:r>
      <w:r w:rsidR="000C305F">
        <w:rPr>
          <w:rFonts w:ascii="Verdana" w:hAnsi="Verdana"/>
        </w:rPr>
        <w:t>8</w:t>
      </w:r>
      <w:r w:rsidR="00AD215F">
        <w:rPr>
          <w:rFonts w:ascii="Verdana" w:hAnsi="Verdana"/>
        </w:rPr>
        <w:tab/>
      </w:r>
      <w:r w:rsidR="004D0672">
        <w:rPr>
          <w:rFonts w:ascii="Verdana" w:hAnsi="Verdana"/>
        </w:rPr>
        <w:t>In 2006, the</w:t>
      </w:r>
      <w:r w:rsidR="004D0672" w:rsidRPr="00AC5AF6">
        <w:rPr>
          <w:rFonts w:ascii="Verdana" w:hAnsi="Verdana"/>
        </w:rPr>
        <w:t xml:space="preserve"> </w:t>
      </w:r>
      <w:r w:rsidR="004D0672">
        <w:rPr>
          <w:rFonts w:ascii="Verdana" w:hAnsi="Verdana"/>
        </w:rPr>
        <w:t xml:space="preserve">UN CRC </w:t>
      </w:r>
      <w:r w:rsidR="004D0672" w:rsidRPr="00AC5AF6">
        <w:rPr>
          <w:rFonts w:ascii="Verdana" w:hAnsi="Verdana"/>
        </w:rPr>
        <w:t xml:space="preserve">Committee acknowledged “that there are exceptional circumstances in which teachers and others, e.g. those working with children in institutions and with children in conflict with the law, may be confronted by dangerous behaviour which justifies the use of reasonable </w:t>
      </w:r>
      <w:r w:rsidR="004D0672" w:rsidRPr="00AC5AF6">
        <w:rPr>
          <w:rFonts w:ascii="Verdana" w:hAnsi="Verdana"/>
        </w:rPr>
        <w:lastRenderedPageBreak/>
        <w:t>restraint to control it.”</w:t>
      </w:r>
      <w:r w:rsidR="004D0672">
        <w:rPr>
          <w:rStyle w:val="FootnoteReference"/>
          <w:rFonts w:ascii="Verdana" w:hAnsi="Verdana"/>
        </w:rPr>
        <w:footnoteReference w:id="57"/>
      </w:r>
      <w:r w:rsidR="004D0672">
        <w:rPr>
          <w:rFonts w:ascii="Verdana" w:hAnsi="Verdana"/>
        </w:rPr>
        <w:t xml:space="preserve"> </w:t>
      </w:r>
      <w:r w:rsidR="004D0672" w:rsidRPr="00AC5AF6">
        <w:rPr>
          <w:rFonts w:ascii="Verdana" w:hAnsi="Verdana"/>
        </w:rPr>
        <w:t>The Committee stated, however, that “[t]he principle of the minimum necessary use of force for the shortest necessary period of time must always apply.”</w:t>
      </w:r>
      <w:r w:rsidR="004D0672">
        <w:rPr>
          <w:rStyle w:val="FootnoteReference"/>
          <w:rFonts w:ascii="Verdana" w:hAnsi="Verdana"/>
        </w:rPr>
        <w:footnoteReference w:id="58"/>
      </w:r>
    </w:p>
    <w:p w14:paraId="4334197C" w14:textId="77777777" w:rsidR="004D0672" w:rsidRDefault="004D0672" w:rsidP="004D0672">
      <w:pPr>
        <w:pStyle w:val="BasicParagraph"/>
        <w:suppressAutoHyphens/>
        <w:ind w:left="720"/>
        <w:rPr>
          <w:rFonts w:ascii="Verdana" w:hAnsi="Verdana"/>
        </w:rPr>
      </w:pPr>
    </w:p>
    <w:p w14:paraId="40C281DE" w14:textId="42353AFE" w:rsidR="004D0672" w:rsidRDefault="00CB7D49" w:rsidP="004D0672">
      <w:pPr>
        <w:pStyle w:val="BasicParagraph"/>
        <w:suppressAutoHyphens/>
        <w:ind w:left="720" w:hanging="720"/>
        <w:rPr>
          <w:rFonts w:ascii="Verdana" w:hAnsi="Verdana"/>
        </w:rPr>
      </w:pPr>
      <w:r>
        <w:rPr>
          <w:rFonts w:ascii="Verdana" w:hAnsi="Verdana"/>
        </w:rPr>
        <w:t>5</w:t>
      </w:r>
      <w:r w:rsidR="004D0672">
        <w:rPr>
          <w:rFonts w:ascii="Verdana" w:hAnsi="Verdana"/>
        </w:rPr>
        <w:t>.</w:t>
      </w:r>
      <w:r w:rsidR="000C305F">
        <w:rPr>
          <w:rFonts w:ascii="Verdana" w:hAnsi="Verdana"/>
        </w:rPr>
        <w:t>9</w:t>
      </w:r>
      <w:r w:rsidR="004D0672">
        <w:rPr>
          <w:rFonts w:ascii="Verdana" w:hAnsi="Verdana"/>
        </w:rPr>
        <w:tab/>
        <w:t>In 2016, the UN CRC Committee recommended that the UK and NI</w:t>
      </w:r>
      <w:r w:rsidR="003F315D">
        <w:rPr>
          <w:rFonts w:ascii="Verdana" w:hAnsi="Verdana"/>
        </w:rPr>
        <w:t>:</w:t>
      </w:r>
      <w:r w:rsidR="004D0672">
        <w:rPr>
          <w:rFonts w:ascii="Verdana" w:hAnsi="Verdana"/>
        </w:rPr>
        <w:t xml:space="preserve"> (a) abolish all methods of restraint against children for disciplinary purposes in all institutional settings; (b) ensure </w:t>
      </w:r>
      <w:r w:rsidR="004D0672" w:rsidRPr="00636C46">
        <w:rPr>
          <w:rFonts w:ascii="Verdana" w:hAnsi="Verdana"/>
        </w:rPr>
        <w:t>that restraint is used against children exclusively to prevent harm to the child or others and only as a last resort</w:t>
      </w:r>
      <w:r w:rsidR="004D0672">
        <w:rPr>
          <w:rFonts w:ascii="Verdana" w:hAnsi="Verdana"/>
        </w:rPr>
        <w:t>, and; (c) s</w:t>
      </w:r>
      <w:r w:rsidR="004D0672" w:rsidRPr="00BC6B2F">
        <w:rPr>
          <w:rFonts w:ascii="Verdana" w:hAnsi="Verdana"/>
        </w:rPr>
        <w:t>ystematically and regularly collect and publish disaggregated data on the use of restraint and other restrictive interventions on children</w:t>
      </w:r>
      <w:r w:rsidR="004D0672">
        <w:rPr>
          <w:rFonts w:ascii="Verdana" w:hAnsi="Verdana"/>
        </w:rPr>
        <w:t xml:space="preserve"> in all settings.</w:t>
      </w:r>
      <w:r w:rsidR="004D0672">
        <w:rPr>
          <w:rStyle w:val="FootnoteReference"/>
          <w:rFonts w:ascii="Verdana" w:hAnsi="Verdana"/>
        </w:rPr>
        <w:footnoteReference w:id="59"/>
      </w:r>
      <w:r w:rsidR="004D0672">
        <w:rPr>
          <w:rFonts w:ascii="Verdana" w:hAnsi="Verdana"/>
        </w:rPr>
        <w:t xml:space="preserve"> This recommendation was later supported by the UN CAT Committee.</w:t>
      </w:r>
      <w:r w:rsidR="004D0672" w:rsidRPr="009C040A">
        <w:rPr>
          <w:rStyle w:val="FootnoteReference"/>
          <w:rFonts w:ascii="Verdana" w:hAnsi="Verdana"/>
          <w:lang w:eastAsia="en-GB"/>
        </w:rPr>
        <w:footnoteReference w:id="60"/>
      </w:r>
    </w:p>
    <w:p w14:paraId="00FCE7A3" w14:textId="77777777" w:rsidR="00E14052" w:rsidRDefault="00E14052" w:rsidP="004D0672">
      <w:pPr>
        <w:pStyle w:val="BasicParagraph"/>
        <w:suppressAutoHyphens/>
        <w:ind w:left="720" w:hanging="720"/>
        <w:rPr>
          <w:rFonts w:ascii="Verdana" w:hAnsi="Verdana"/>
        </w:rPr>
      </w:pPr>
    </w:p>
    <w:p w14:paraId="014EFE5C" w14:textId="192DB31B" w:rsidR="004D0672" w:rsidRPr="007C4060" w:rsidRDefault="00CB7D49" w:rsidP="00857109">
      <w:pPr>
        <w:pStyle w:val="BasicParagraph"/>
        <w:suppressAutoHyphens/>
        <w:ind w:left="720" w:hanging="720"/>
        <w:rPr>
          <w:rFonts w:ascii="Verdana" w:hAnsi="Verdana" w:cs="Arial"/>
          <w:color w:val="auto"/>
        </w:rPr>
      </w:pPr>
      <w:r>
        <w:rPr>
          <w:rFonts w:ascii="Verdana" w:hAnsi="Verdana" w:cs="Arial"/>
          <w:color w:val="auto"/>
        </w:rPr>
        <w:t>5</w:t>
      </w:r>
      <w:r w:rsidR="00857109">
        <w:rPr>
          <w:rFonts w:ascii="Verdana" w:hAnsi="Verdana" w:cs="Arial"/>
          <w:color w:val="auto"/>
        </w:rPr>
        <w:t>.10</w:t>
      </w:r>
      <w:r w:rsidR="00857109">
        <w:rPr>
          <w:rFonts w:ascii="Verdana" w:hAnsi="Verdana" w:cs="Arial"/>
          <w:color w:val="auto"/>
        </w:rPr>
        <w:tab/>
      </w:r>
      <w:r w:rsidR="007C4060">
        <w:rPr>
          <w:rFonts w:ascii="Verdana" w:hAnsi="Verdana" w:cs="Arial"/>
          <w:color w:val="auto"/>
        </w:rPr>
        <w:t xml:space="preserve">In 2017, the UN CRPD Committee </w:t>
      </w:r>
      <w:r w:rsidR="00E14052" w:rsidRPr="000E17E3">
        <w:rPr>
          <w:rFonts w:ascii="Verdana" w:hAnsi="Verdana" w:cs="Arial"/>
          <w:color w:val="auto"/>
        </w:rPr>
        <w:t>recommended the State “set up strategies, in collaboration with monitoring authorities and national human rights institutions, in order to identify and prevent the use of restraint for children and young persons with disabilities”.</w:t>
      </w:r>
      <w:r w:rsidR="00E14052">
        <w:rPr>
          <w:rStyle w:val="FootnoteReference"/>
          <w:rFonts w:ascii="Verdana" w:hAnsi="Verdana" w:cs="Arial"/>
          <w:color w:val="auto"/>
        </w:rPr>
        <w:footnoteReference w:id="61"/>
      </w:r>
      <w:r w:rsidR="007C4060">
        <w:rPr>
          <w:rFonts w:ascii="Verdana" w:hAnsi="Verdana" w:cs="Arial"/>
          <w:color w:val="auto"/>
        </w:rPr>
        <w:t xml:space="preserve"> </w:t>
      </w:r>
      <w:r w:rsidR="00C91834" w:rsidRPr="00C91834">
        <w:rPr>
          <w:rFonts w:ascii="Verdana" w:hAnsi="Verdana"/>
        </w:rPr>
        <w:t xml:space="preserve">In a joint response to the Committee against Torture, the Commissioners for </w:t>
      </w:r>
      <w:r w:rsidR="00C91834">
        <w:rPr>
          <w:rFonts w:ascii="Verdana" w:hAnsi="Verdana"/>
        </w:rPr>
        <w:t>C</w:t>
      </w:r>
      <w:r w:rsidR="00C91834" w:rsidRPr="00C91834">
        <w:rPr>
          <w:rFonts w:ascii="Verdana" w:hAnsi="Verdana"/>
        </w:rPr>
        <w:t xml:space="preserve">hildren and </w:t>
      </w:r>
      <w:r w:rsidR="00C91834">
        <w:rPr>
          <w:rFonts w:ascii="Verdana" w:hAnsi="Verdana"/>
        </w:rPr>
        <w:t>Y</w:t>
      </w:r>
      <w:r w:rsidR="00C91834" w:rsidRPr="00C91834">
        <w:rPr>
          <w:rFonts w:ascii="Verdana" w:hAnsi="Verdana"/>
        </w:rPr>
        <w:t xml:space="preserve">oung </w:t>
      </w:r>
      <w:r w:rsidR="00C91834">
        <w:rPr>
          <w:rFonts w:ascii="Verdana" w:hAnsi="Verdana"/>
        </w:rPr>
        <w:t>P</w:t>
      </w:r>
      <w:r w:rsidR="00C91834" w:rsidRPr="00C91834">
        <w:rPr>
          <w:rFonts w:ascii="Verdana" w:hAnsi="Verdana"/>
        </w:rPr>
        <w:t xml:space="preserve">eople from Scotland, Wales and NI noted that, despite </w:t>
      </w:r>
      <w:r w:rsidR="00740782">
        <w:rPr>
          <w:rFonts w:ascii="Verdana" w:hAnsi="Verdana"/>
        </w:rPr>
        <w:t xml:space="preserve">these </w:t>
      </w:r>
      <w:r w:rsidR="00C91834" w:rsidRPr="00C91834">
        <w:rPr>
          <w:rFonts w:ascii="Verdana" w:hAnsi="Verdana"/>
        </w:rPr>
        <w:t>calls by international human rights mechanisms, “the UK and devolved governments are still not fulfilling their responsibilities in relation to restraint and seclusion of children in all settings”.</w:t>
      </w:r>
      <w:r w:rsidR="00EC00BB">
        <w:rPr>
          <w:rStyle w:val="FootnoteReference"/>
          <w:rFonts w:ascii="Verdana" w:hAnsi="Verdana"/>
        </w:rPr>
        <w:footnoteReference w:id="62"/>
      </w:r>
      <w:r w:rsidR="00157328">
        <w:rPr>
          <w:rFonts w:ascii="Verdana" w:hAnsi="Verdana"/>
        </w:rPr>
        <w:t xml:space="preserve"> </w:t>
      </w:r>
      <w:r w:rsidR="00807CA6">
        <w:rPr>
          <w:rFonts w:ascii="Verdana" w:hAnsi="Verdana"/>
        </w:rPr>
        <w:t xml:space="preserve">It </w:t>
      </w:r>
      <w:r w:rsidR="0055218B">
        <w:rPr>
          <w:rFonts w:ascii="Verdana" w:hAnsi="Verdana"/>
        </w:rPr>
        <w:t>reminds that, “</w:t>
      </w:r>
      <w:r w:rsidR="00EC00BB">
        <w:rPr>
          <w:rFonts w:ascii="Verdana" w:hAnsi="Verdana"/>
        </w:rPr>
        <w:t>o</w:t>
      </w:r>
      <w:r w:rsidR="00F708B6" w:rsidRPr="002C6608">
        <w:rPr>
          <w:rFonts w:ascii="Verdana" w:hAnsi="Verdana"/>
        </w:rPr>
        <w:t xml:space="preserve">nly </w:t>
      </w:r>
      <w:r w:rsidR="002C6608" w:rsidRPr="002C6608">
        <w:rPr>
          <w:rFonts w:ascii="Verdana" w:hAnsi="Verdana"/>
        </w:rPr>
        <w:t>techniques</w:t>
      </w:r>
      <w:r w:rsidR="00F708B6" w:rsidRPr="002C6608">
        <w:rPr>
          <w:rFonts w:ascii="Verdana" w:hAnsi="Verdana"/>
        </w:rPr>
        <w:t xml:space="preserve"> </w:t>
      </w:r>
      <w:r w:rsidR="002C6608" w:rsidRPr="002C6608">
        <w:rPr>
          <w:rFonts w:ascii="Verdana" w:hAnsi="Verdana"/>
        </w:rPr>
        <w:t>proven to be safe for children should be used and pain should never be deliberately inflicted in order to restrain a child</w:t>
      </w:r>
      <w:r w:rsidR="00EC00BB">
        <w:rPr>
          <w:rFonts w:ascii="Verdana" w:hAnsi="Verdana"/>
        </w:rPr>
        <w:t>.”</w:t>
      </w:r>
    </w:p>
    <w:p w14:paraId="4E80ADFE" w14:textId="77777777" w:rsidR="002C6608" w:rsidRDefault="002C6608" w:rsidP="002C6608">
      <w:pPr>
        <w:pStyle w:val="BasicParagraph"/>
        <w:suppressAutoHyphens/>
        <w:ind w:left="720"/>
        <w:rPr>
          <w:rFonts w:ascii="Verdana" w:hAnsi="Verdana"/>
        </w:rPr>
      </w:pPr>
    </w:p>
    <w:p w14:paraId="399FD2CF" w14:textId="3872143C" w:rsidR="006237C0" w:rsidRPr="00D32897" w:rsidRDefault="00CB7D49" w:rsidP="00D32897">
      <w:pPr>
        <w:pStyle w:val="BasicParagraph"/>
        <w:suppressAutoHyphens/>
        <w:ind w:left="720" w:hanging="720"/>
        <w:rPr>
          <w:rFonts w:ascii="Verdana" w:hAnsi="Verdana"/>
          <w:b/>
          <w:bCs/>
        </w:rPr>
      </w:pPr>
      <w:r>
        <w:rPr>
          <w:rFonts w:ascii="Verdana" w:hAnsi="Verdana"/>
          <w:b/>
          <w:bCs/>
        </w:rPr>
        <w:t>5</w:t>
      </w:r>
      <w:r w:rsidR="004D0672" w:rsidRPr="005A1D09">
        <w:rPr>
          <w:rFonts w:ascii="Verdana" w:hAnsi="Verdana"/>
          <w:b/>
          <w:bCs/>
        </w:rPr>
        <w:t>.</w:t>
      </w:r>
      <w:r w:rsidR="00AD215F" w:rsidRPr="005A1D09">
        <w:rPr>
          <w:rFonts w:ascii="Verdana" w:hAnsi="Verdana"/>
          <w:b/>
          <w:bCs/>
        </w:rPr>
        <w:t>1</w:t>
      </w:r>
      <w:r w:rsidR="000C305F">
        <w:rPr>
          <w:rFonts w:ascii="Verdana" w:hAnsi="Verdana"/>
          <w:b/>
          <w:bCs/>
        </w:rPr>
        <w:t>1</w:t>
      </w:r>
      <w:r w:rsidR="004D0672" w:rsidRPr="005A1D09">
        <w:rPr>
          <w:rFonts w:ascii="Verdana" w:hAnsi="Verdana"/>
          <w:b/>
          <w:bCs/>
        </w:rPr>
        <w:tab/>
      </w:r>
      <w:r w:rsidR="005F16A2">
        <w:rPr>
          <w:rFonts w:ascii="Verdana" w:hAnsi="Verdana"/>
          <w:b/>
          <w:bCs/>
        </w:rPr>
        <w:t xml:space="preserve">The </w:t>
      </w:r>
      <w:r w:rsidR="005C7A25">
        <w:rPr>
          <w:rFonts w:ascii="Verdana" w:hAnsi="Verdana"/>
          <w:b/>
          <w:bCs/>
        </w:rPr>
        <w:t xml:space="preserve">Commission </w:t>
      </w:r>
      <w:r w:rsidR="005F16A2">
        <w:rPr>
          <w:rFonts w:ascii="Verdana" w:hAnsi="Verdana"/>
          <w:b/>
          <w:bCs/>
        </w:rPr>
        <w:t xml:space="preserve">recommends </w:t>
      </w:r>
      <w:r w:rsidR="00F26B9E">
        <w:rPr>
          <w:rFonts w:ascii="Verdana" w:hAnsi="Verdana"/>
          <w:b/>
          <w:bCs/>
        </w:rPr>
        <w:t>that specialised guidance is produced for the</w:t>
      </w:r>
      <w:r w:rsidR="00A770E4">
        <w:rPr>
          <w:rFonts w:ascii="Verdana" w:hAnsi="Verdana"/>
          <w:b/>
          <w:bCs/>
        </w:rPr>
        <w:t xml:space="preserve"> </w:t>
      </w:r>
      <w:r w:rsidR="00F26B9E">
        <w:rPr>
          <w:rFonts w:ascii="Verdana" w:hAnsi="Verdana"/>
          <w:b/>
          <w:bCs/>
        </w:rPr>
        <w:t xml:space="preserve">use </w:t>
      </w:r>
      <w:r w:rsidR="00D23BB4">
        <w:rPr>
          <w:rFonts w:ascii="Verdana" w:hAnsi="Verdana"/>
          <w:b/>
          <w:bCs/>
        </w:rPr>
        <w:t xml:space="preserve">of restrictive practices </w:t>
      </w:r>
      <w:r w:rsidR="003535A3">
        <w:rPr>
          <w:rFonts w:ascii="Verdana" w:hAnsi="Verdana"/>
          <w:b/>
          <w:bCs/>
        </w:rPr>
        <w:t>for</w:t>
      </w:r>
      <w:r w:rsidR="00D23BB4">
        <w:rPr>
          <w:rFonts w:ascii="Verdana" w:hAnsi="Verdana"/>
          <w:b/>
          <w:bCs/>
        </w:rPr>
        <w:t xml:space="preserve"> children and young people</w:t>
      </w:r>
      <w:r w:rsidR="00B34D49">
        <w:rPr>
          <w:rFonts w:ascii="Verdana" w:hAnsi="Verdana"/>
          <w:b/>
          <w:bCs/>
        </w:rPr>
        <w:t xml:space="preserve">, </w:t>
      </w:r>
      <w:r w:rsidR="00780E5D">
        <w:rPr>
          <w:rFonts w:ascii="Verdana" w:hAnsi="Verdana"/>
          <w:b/>
          <w:bCs/>
        </w:rPr>
        <w:t>which makes</w:t>
      </w:r>
      <w:r w:rsidR="00B34D49">
        <w:rPr>
          <w:rFonts w:ascii="Verdana" w:hAnsi="Verdana"/>
          <w:b/>
          <w:bCs/>
        </w:rPr>
        <w:t xml:space="preserve"> it </w:t>
      </w:r>
      <w:r w:rsidR="001F64EB">
        <w:rPr>
          <w:rFonts w:ascii="Verdana" w:hAnsi="Verdana"/>
          <w:b/>
          <w:bCs/>
        </w:rPr>
        <w:t>explicit that</w:t>
      </w:r>
      <w:r w:rsidR="00F26B9E">
        <w:rPr>
          <w:rFonts w:ascii="Verdana" w:hAnsi="Verdana"/>
          <w:b/>
          <w:bCs/>
        </w:rPr>
        <w:t xml:space="preserve"> </w:t>
      </w:r>
      <w:r w:rsidR="008C7833">
        <w:rPr>
          <w:rFonts w:ascii="Verdana" w:hAnsi="Verdana"/>
          <w:b/>
          <w:bCs/>
        </w:rPr>
        <w:t xml:space="preserve">only techniques </w:t>
      </w:r>
      <w:r w:rsidR="00D25EDD">
        <w:rPr>
          <w:rFonts w:ascii="Verdana" w:hAnsi="Verdana"/>
          <w:b/>
          <w:bCs/>
        </w:rPr>
        <w:t>proven to</w:t>
      </w:r>
      <w:r w:rsidR="00DD1077">
        <w:rPr>
          <w:rFonts w:ascii="Verdana" w:hAnsi="Verdana"/>
          <w:b/>
          <w:bCs/>
        </w:rPr>
        <w:t xml:space="preserve"> be safe for children</w:t>
      </w:r>
      <w:r w:rsidR="001F64EB">
        <w:rPr>
          <w:rFonts w:ascii="Verdana" w:hAnsi="Verdana"/>
          <w:b/>
          <w:bCs/>
        </w:rPr>
        <w:t xml:space="preserve"> </w:t>
      </w:r>
      <w:r w:rsidR="0024469B" w:rsidRPr="0024469B">
        <w:rPr>
          <w:rFonts w:ascii="Verdana" w:hAnsi="Verdana"/>
          <w:b/>
          <w:bCs/>
        </w:rPr>
        <w:t>should</w:t>
      </w:r>
      <w:r w:rsidR="00B6131B">
        <w:rPr>
          <w:rFonts w:ascii="Verdana" w:hAnsi="Verdana"/>
          <w:b/>
          <w:bCs/>
        </w:rPr>
        <w:t xml:space="preserve"> </w:t>
      </w:r>
      <w:r w:rsidR="0024469B" w:rsidRPr="0024469B">
        <w:rPr>
          <w:rFonts w:ascii="Verdana" w:hAnsi="Verdana"/>
          <w:b/>
          <w:bCs/>
        </w:rPr>
        <w:t>be used</w:t>
      </w:r>
      <w:r w:rsidR="00A41569">
        <w:rPr>
          <w:rFonts w:ascii="Verdana" w:hAnsi="Verdana"/>
          <w:b/>
          <w:bCs/>
        </w:rPr>
        <w:t>, and only</w:t>
      </w:r>
      <w:r w:rsidR="0024469B" w:rsidRPr="0024469B">
        <w:rPr>
          <w:rFonts w:ascii="Verdana" w:hAnsi="Verdana"/>
          <w:b/>
          <w:bCs/>
        </w:rPr>
        <w:t xml:space="preserve"> as a matter of last resort</w:t>
      </w:r>
      <w:r w:rsidR="004D1052">
        <w:rPr>
          <w:rFonts w:ascii="Verdana" w:hAnsi="Verdana"/>
          <w:b/>
          <w:bCs/>
        </w:rPr>
        <w:t xml:space="preserve"> </w:t>
      </w:r>
      <w:r w:rsidR="0024469B" w:rsidRPr="0024469B">
        <w:rPr>
          <w:rFonts w:ascii="Verdana" w:hAnsi="Verdana"/>
          <w:b/>
          <w:bCs/>
        </w:rPr>
        <w:t>in circumstances where a child is at risk of harming themselves or someone else</w:t>
      </w:r>
      <w:r w:rsidR="00F2794C">
        <w:rPr>
          <w:rFonts w:ascii="Verdana" w:hAnsi="Verdana"/>
          <w:b/>
          <w:bCs/>
        </w:rPr>
        <w:t xml:space="preserve">, </w:t>
      </w:r>
      <w:r w:rsidR="00B6131B">
        <w:rPr>
          <w:rFonts w:ascii="Verdana" w:hAnsi="Verdana"/>
          <w:b/>
          <w:bCs/>
        </w:rPr>
        <w:t>and never for disciplinary purposes</w:t>
      </w:r>
      <w:r w:rsidR="00EC7FE0">
        <w:rPr>
          <w:rFonts w:ascii="Verdana" w:hAnsi="Verdana"/>
          <w:b/>
          <w:bCs/>
        </w:rPr>
        <w:t xml:space="preserve">. </w:t>
      </w:r>
    </w:p>
    <w:p w14:paraId="43671F26" w14:textId="77777777" w:rsidR="00EF1171" w:rsidRPr="00ED56C2" w:rsidRDefault="00EF1171" w:rsidP="004D0672">
      <w:pPr>
        <w:pStyle w:val="BasicParagraph"/>
        <w:suppressAutoHyphens/>
        <w:rPr>
          <w:rFonts w:ascii="Verdana" w:hAnsi="Verdana"/>
          <w:b/>
          <w:bCs/>
        </w:rPr>
      </w:pPr>
    </w:p>
    <w:p w14:paraId="53F7DE6F" w14:textId="00A13E08" w:rsidR="008208CB" w:rsidRPr="00B74DF7" w:rsidRDefault="0010643C" w:rsidP="00B74DF7">
      <w:pPr>
        <w:pStyle w:val="BasicParagraph"/>
        <w:numPr>
          <w:ilvl w:val="0"/>
          <w:numId w:val="15"/>
        </w:numPr>
        <w:suppressAutoHyphens/>
        <w:rPr>
          <w:rFonts w:ascii="Verdana" w:hAnsi="Verdana"/>
          <w:b/>
          <w:bCs/>
          <w:color w:val="7030A0"/>
          <w:sz w:val="30"/>
          <w:szCs w:val="30"/>
        </w:rPr>
      </w:pPr>
      <w:r>
        <w:rPr>
          <w:rFonts w:ascii="Verdana" w:hAnsi="Verdana"/>
          <w:b/>
          <w:bCs/>
          <w:color w:val="7030A0"/>
          <w:sz w:val="30"/>
          <w:szCs w:val="30"/>
        </w:rPr>
        <w:lastRenderedPageBreak/>
        <w:t>Standard 6: Governance</w:t>
      </w:r>
    </w:p>
    <w:p w14:paraId="45A16095" w14:textId="4B9B0064" w:rsidR="00A63A07" w:rsidRDefault="001C4C19" w:rsidP="000E0D7E">
      <w:pPr>
        <w:spacing w:line="276" w:lineRule="auto"/>
        <w:ind w:left="720" w:hanging="720"/>
        <w:rPr>
          <w:rFonts w:ascii="Verdana" w:hAnsi="Verdana"/>
        </w:rPr>
      </w:pPr>
      <w:r>
        <w:rPr>
          <w:rFonts w:ascii="Verdana" w:hAnsi="Verdana"/>
        </w:rPr>
        <w:t>6</w:t>
      </w:r>
      <w:r w:rsidR="00FC420F" w:rsidRPr="00FC420F">
        <w:rPr>
          <w:rFonts w:ascii="Verdana" w:hAnsi="Verdana"/>
        </w:rPr>
        <w:t>.</w:t>
      </w:r>
      <w:r w:rsidR="00FC420F">
        <w:rPr>
          <w:rFonts w:ascii="Verdana" w:hAnsi="Verdana"/>
        </w:rPr>
        <w:t xml:space="preserve">1 </w:t>
      </w:r>
      <w:r w:rsidR="00A90AD8">
        <w:rPr>
          <w:rFonts w:ascii="Verdana" w:hAnsi="Verdana"/>
        </w:rPr>
        <w:tab/>
      </w:r>
      <w:r w:rsidR="00BA6273" w:rsidRPr="00DE355F">
        <w:rPr>
          <w:rFonts w:ascii="Verdana" w:hAnsi="Verdana"/>
        </w:rPr>
        <w:t xml:space="preserve">The </w:t>
      </w:r>
      <w:r w:rsidR="00AF6DAC">
        <w:rPr>
          <w:rFonts w:ascii="Verdana" w:hAnsi="Verdana"/>
        </w:rPr>
        <w:t xml:space="preserve">Commission </w:t>
      </w:r>
      <w:r w:rsidR="00BA6273" w:rsidRPr="00DE355F">
        <w:rPr>
          <w:rFonts w:ascii="Verdana" w:hAnsi="Verdana"/>
        </w:rPr>
        <w:t xml:space="preserve">frequently </w:t>
      </w:r>
      <w:r w:rsidR="00BA6273">
        <w:rPr>
          <w:rFonts w:ascii="Verdana" w:hAnsi="Verdana"/>
        </w:rPr>
        <w:t xml:space="preserve">highlights the need for transparent monitoring and data collection as essential </w:t>
      </w:r>
      <w:r w:rsidR="00D70E4B">
        <w:rPr>
          <w:rFonts w:ascii="Verdana" w:hAnsi="Verdana"/>
        </w:rPr>
        <w:t>aspects</w:t>
      </w:r>
      <w:r w:rsidR="00BA6273">
        <w:rPr>
          <w:rFonts w:ascii="Verdana" w:hAnsi="Verdana"/>
        </w:rPr>
        <w:t xml:space="preserve"> of </w:t>
      </w:r>
      <w:r w:rsidR="00801A0C">
        <w:rPr>
          <w:rFonts w:ascii="Verdana" w:hAnsi="Verdana"/>
        </w:rPr>
        <w:t xml:space="preserve">human rights compliance and </w:t>
      </w:r>
      <w:r w:rsidR="00BA6273">
        <w:rPr>
          <w:rFonts w:ascii="Verdana" w:hAnsi="Verdana"/>
        </w:rPr>
        <w:t xml:space="preserve">government accountability. Therefore, </w:t>
      </w:r>
      <w:r w:rsidR="00E67012">
        <w:rPr>
          <w:rFonts w:ascii="Verdana" w:hAnsi="Verdana"/>
        </w:rPr>
        <w:t xml:space="preserve">the </w:t>
      </w:r>
      <w:r w:rsidR="00C43B17">
        <w:rPr>
          <w:rFonts w:ascii="Verdana" w:hAnsi="Verdana"/>
        </w:rPr>
        <w:t xml:space="preserve">inclusion of a dedicated standard on </w:t>
      </w:r>
      <w:r w:rsidR="008C4A42">
        <w:rPr>
          <w:rFonts w:ascii="Verdana" w:hAnsi="Verdana"/>
        </w:rPr>
        <w:t>governance</w:t>
      </w:r>
      <w:r w:rsidR="00B24C44">
        <w:rPr>
          <w:rFonts w:ascii="Verdana" w:hAnsi="Verdana"/>
        </w:rPr>
        <w:t xml:space="preserve"> </w:t>
      </w:r>
      <w:r w:rsidR="00FC3F0E">
        <w:rPr>
          <w:rFonts w:ascii="Verdana" w:hAnsi="Verdana"/>
        </w:rPr>
        <w:t xml:space="preserve">to </w:t>
      </w:r>
      <w:r w:rsidR="00FC3F0E" w:rsidRPr="00FC3F0E">
        <w:rPr>
          <w:rFonts w:ascii="Verdana" w:hAnsi="Verdana"/>
        </w:rPr>
        <w:t>standardise</w:t>
      </w:r>
      <w:r w:rsidR="00604727">
        <w:rPr>
          <w:rFonts w:ascii="Verdana" w:hAnsi="Verdana"/>
        </w:rPr>
        <w:t xml:space="preserve"> a</w:t>
      </w:r>
      <w:r w:rsidR="00FC3F0E">
        <w:rPr>
          <w:rFonts w:ascii="Verdana" w:hAnsi="Verdana"/>
        </w:rPr>
        <w:t xml:space="preserve"> </w:t>
      </w:r>
      <w:r w:rsidR="00FC3F0E" w:rsidRPr="00FC3F0E">
        <w:rPr>
          <w:rFonts w:ascii="Verdana" w:hAnsi="Verdana"/>
        </w:rPr>
        <w:t>regional approach</w:t>
      </w:r>
      <w:r w:rsidR="00C43B17">
        <w:rPr>
          <w:rFonts w:ascii="Verdana" w:hAnsi="Verdana"/>
        </w:rPr>
        <w:t xml:space="preserve"> </w:t>
      </w:r>
      <w:r w:rsidR="00B24C44">
        <w:rPr>
          <w:rFonts w:ascii="Verdana" w:hAnsi="Verdana"/>
        </w:rPr>
        <w:t xml:space="preserve">to reporting </w:t>
      </w:r>
      <w:r w:rsidR="00A81FD2">
        <w:rPr>
          <w:rFonts w:ascii="Verdana" w:hAnsi="Verdana"/>
        </w:rPr>
        <w:t>is welcome</w:t>
      </w:r>
      <w:r w:rsidR="00961D55">
        <w:rPr>
          <w:rFonts w:ascii="Verdana" w:hAnsi="Verdana"/>
        </w:rPr>
        <w:t xml:space="preserve">. </w:t>
      </w:r>
      <w:r w:rsidR="00C43B17">
        <w:rPr>
          <w:rFonts w:ascii="Verdana" w:hAnsi="Verdana"/>
        </w:rPr>
        <w:t>However,</w:t>
      </w:r>
      <w:r w:rsidR="00B40EDA">
        <w:rPr>
          <w:rFonts w:ascii="Verdana" w:hAnsi="Verdana"/>
        </w:rPr>
        <w:t xml:space="preserve"> </w:t>
      </w:r>
      <w:r w:rsidR="00A81FD2">
        <w:rPr>
          <w:rFonts w:ascii="Verdana" w:hAnsi="Verdana"/>
        </w:rPr>
        <w:t xml:space="preserve">the Commission </w:t>
      </w:r>
      <w:r w:rsidR="00851C93">
        <w:rPr>
          <w:rFonts w:ascii="Verdana" w:hAnsi="Verdana"/>
        </w:rPr>
        <w:t xml:space="preserve">would </w:t>
      </w:r>
      <w:r w:rsidR="004120DA">
        <w:rPr>
          <w:rFonts w:ascii="Verdana" w:hAnsi="Verdana"/>
        </w:rPr>
        <w:t>emphasise</w:t>
      </w:r>
      <w:r w:rsidR="00851C93">
        <w:rPr>
          <w:rFonts w:ascii="Verdana" w:hAnsi="Verdana"/>
        </w:rPr>
        <w:t xml:space="preserve"> the importance of ensuring consistency in reporting arrangements at every level</w:t>
      </w:r>
      <w:r w:rsidR="000866C1">
        <w:rPr>
          <w:rFonts w:ascii="Verdana" w:hAnsi="Verdana"/>
        </w:rPr>
        <w:t xml:space="preserve">. </w:t>
      </w:r>
      <w:r w:rsidR="00611105">
        <w:rPr>
          <w:rFonts w:ascii="Verdana" w:hAnsi="Verdana"/>
        </w:rPr>
        <w:t>It is</w:t>
      </w:r>
      <w:r w:rsidR="000E0D7E">
        <w:rPr>
          <w:rFonts w:ascii="Verdana" w:hAnsi="Verdana"/>
        </w:rPr>
        <w:t xml:space="preserve"> </w:t>
      </w:r>
      <w:r w:rsidR="00611105">
        <w:rPr>
          <w:rFonts w:ascii="Verdana" w:hAnsi="Verdana"/>
        </w:rPr>
        <w:t xml:space="preserve">noted that </w:t>
      </w:r>
      <w:r w:rsidR="0084688B">
        <w:rPr>
          <w:rFonts w:ascii="Verdana" w:hAnsi="Verdana"/>
        </w:rPr>
        <w:t>Standard 6</w:t>
      </w:r>
      <w:r w:rsidR="00611105">
        <w:rPr>
          <w:rFonts w:ascii="Verdana" w:hAnsi="Verdana"/>
        </w:rPr>
        <w:t xml:space="preserve"> does</w:t>
      </w:r>
      <w:r w:rsidR="00FE6134">
        <w:rPr>
          <w:rFonts w:ascii="Verdana" w:hAnsi="Verdana"/>
        </w:rPr>
        <w:t xml:space="preserve"> not set out </w:t>
      </w:r>
      <w:r w:rsidR="00515951">
        <w:rPr>
          <w:rFonts w:ascii="Verdana" w:hAnsi="Verdana"/>
        </w:rPr>
        <w:t xml:space="preserve">the minimum </w:t>
      </w:r>
      <w:r w:rsidR="000E0D7E">
        <w:rPr>
          <w:rFonts w:ascii="Verdana" w:hAnsi="Verdana"/>
        </w:rPr>
        <w:t>requirements</w:t>
      </w:r>
      <w:r w:rsidR="00B1650B">
        <w:rPr>
          <w:rFonts w:ascii="Verdana" w:hAnsi="Verdana"/>
        </w:rPr>
        <w:t xml:space="preserve"> </w:t>
      </w:r>
      <w:r w:rsidR="00B33D9E">
        <w:rPr>
          <w:rFonts w:ascii="Verdana" w:hAnsi="Verdana"/>
        </w:rPr>
        <w:t xml:space="preserve">for </w:t>
      </w:r>
      <w:r w:rsidR="00FE6134">
        <w:rPr>
          <w:rFonts w:ascii="Verdana" w:hAnsi="Verdana"/>
        </w:rPr>
        <w:t xml:space="preserve">recording </w:t>
      </w:r>
      <w:r w:rsidR="00B33D9E">
        <w:rPr>
          <w:rFonts w:ascii="Verdana" w:hAnsi="Verdana"/>
        </w:rPr>
        <w:t>the use of restrictive practices</w:t>
      </w:r>
      <w:r w:rsidR="000B7F2E">
        <w:rPr>
          <w:rFonts w:ascii="Verdana" w:hAnsi="Verdana"/>
        </w:rPr>
        <w:t xml:space="preserve"> at </w:t>
      </w:r>
      <w:r w:rsidR="00FE6134">
        <w:rPr>
          <w:rFonts w:ascii="Verdana" w:hAnsi="Verdana"/>
        </w:rPr>
        <w:t xml:space="preserve">the </w:t>
      </w:r>
      <w:r w:rsidR="000B7F2E">
        <w:rPr>
          <w:rFonts w:ascii="Verdana" w:hAnsi="Verdana"/>
        </w:rPr>
        <w:t>individual</w:t>
      </w:r>
      <w:r w:rsidR="000E0D7E">
        <w:rPr>
          <w:rFonts w:ascii="Verdana" w:hAnsi="Verdana"/>
        </w:rPr>
        <w:t xml:space="preserve"> </w:t>
      </w:r>
      <w:r w:rsidR="000B7F2E">
        <w:rPr>
          <w:rFonts w:ascii="Verdana" w:hAnsi="Verdana"/>
        </w:rPr>
        <w:t>level</w:t>
      </w:r>
      <w:r w:rsidR="00B33D9E">
        <w:rPr>
          <w:rFonts w:ascii="Verdana" w:hAnsi="Verdana"/>
        </w:rPr>
        <w:t xml:space="preserve">, </w:t>
      </w:r>
      <w:r w:rsidR="009A054A">
        <w:rPr>
          <w:rFonts w:ascii="Verdana" w:hAnsi="Verdana"/>
        </w:rPr>
        <w:t>such as</w:t>
      </w:r>
      <w:r w:rsidR="00FE366F">
        <w:rPr>
          <w:rFonts w:ascii="Verdana" w:hAnsi="Verdana"/>
        </w:rPr>
        <w:t xml:space="preserve"> those </w:t>
      </w:r>
      <w:r w:rsidR="00FE6134">
        <w:rPr>
          <w:rFonts w:ascii="Verdana" w:hAnsi="Verdana"/>
        </w:rPr>
        <w:t>contained</w:t>
      </w:r>
      <w:r w:rsidR="004120DA">
        <w:rPr>
          <w:rFonts w:ascii="Verdana" w:hAnsi="Verdana"/>
        </w:rPr>
        <w:t xml:space="preserve"> at paras </w:t>
      </w:r>
      <w:r w:rsidR="00A63A07">
        <w:rPr>
          <w:rFonts w:ascii="Verdana" w:hAnsi="Verdana"/>
        </w:rPr>
        <w:t>11.54 – 11.5</w:t>
      </w:r>
      <w:r w:rsidR="004120DA">
        <w:rPr>
          <w:rFonts w:ascii="Verdana" w:hAnsi="Verdana"/>
        </w:rPr>
        <w:t xml:space="preserve">7 in respect of seclusion. </w:t>
      </w:r>
    </w:p>
    <w:p w14:paraId="1DD464EF" w14:textId="77777777" w:rsidR="00A63A07" w:rsidRDefault="00A63A07" w:rsidP="005D6AC2">
      <w:pPr>
        <w:spacing w:line="276" w:lineRule="auto"/>
        <w:ind w:left="720" w:hanging="720"/>
        <w:rPr>
          <w:rFonts w:ascii="Verdana" w:hAnsi="Verdana"/>
        </w:rPr>
      </w:pPr>
    </w:p>
    <w:p w14:paraId="14A34127" w14:textId="06E609E0" w:rsidR="008D7350" w:rsidRDefault="009257AA" w:rsidP="005614A2">
      <w:pPr>
        <w:spacing w:line="276" w:lineRule="auto"/>
        <w:ind w:left="720" w:hanging="720"/>
        <w:rPr>
          <w:rFonts w:ascii="Verdana" w:hAnsi="Verdana"/>
        </w:rPr>
      </w:pPr>
      <w:r>
        <w:rPr>
          <w:rFonts w:ascii="Verdana" w:hAnsi="Verdana"/>
        </w:rPr>
        <w:t>6.2</w:t>
      </w:r>
      <w:r>
        <w:rPr>
          <w:rFonts w:ascii="Verdana" w:hAnsi="Verdana"/>
        </w:rPr>
        <w:tab/>
      </w:r>
      <w:r w:rsidR="00FD05AD" w:rsidRPr="009D4E06">
        <w:rPr>
          <w:rFonts w:ascii="Verdana" w:hAnsi="Verdana"/>
        </w:rPr>
        <w:t xml:space="preserve">Whether planned or unplanned, any use of </w:t>
      </w:r>
      <w:r w:rsidR="009A3C4B">
        <w:rPr>
          <w:rFonts w:ascii="Verdana" w:hAnsi="Verdana"/>
        </w:rPr>
        <w:t xml:space="preserve">a </w:t>
      </w:r>
      <w:r w:rsidR="00FD05AD" w:rsidRPr="009D4E06">
        <w:rPr>
          <w:rFonts w:ascii="Verdana" w:hAnsi="Verdana"/>
        </w:rPr>
        <w:t>restrictive practice</w:t>
      </w:r>
      <w:r w:rsidR="009A3C4B">
        <w:rPr>
          <w:rFonts w:ascii="Verdana" w:hAnsi="Verdana"/>
        </w:rPr>
        <w:t xml:space="preserve"> within any</w:t>
      </w:r>
      <w:r w:rsidR="00FD05AD" w:rsidRPr="009D4E06">
        <w:rPr>
          <w:rFonts w:ascii="Verdana" w:hAnsi="Verdana"/>
        </w:rPr>
        <w:t xml:space="preserve"> </w:t>
      </w:r>
      <w:r w:rsidR="009D4E06" w:rsidRPr="009D4E06">
        <w:rPr>
          <w:rFonts w:ascii="Verdana" w:hAnsi="Verdana"/>
        </w:rPr>
        <w:t xml:space="preserve">health and social care setting </w:t>
      </w:r>
      <w:r w:rsidR="009A3C4B">
        <w:rPr>
          <w:rFonts w:ascii="Verdana" w:hAnsi="Verdana"/>
        </w:rPr>
        <w:t xml:space="preserve">in NI </w:t>
      </w:r>
      <w:r w:rsidR="00FD05AD" w:rsidRPr="009D4E06">
        <w:rPr>
          <w:rFonts w:ascii="Verdana" w:hAnsi="Verdana"/>
        </w:rPr>
        <w:t>should be recor</w:t>
      </w:r>
      <w:r w:rsidR="009D4E06" w:rsidRPr="009D4E06">
        <w:rPr>
          <w:rFonts w:ascii="Verdana" w:hAnsi="Verdana"/>
        </w:rPr>
        <w:t>ded</w:t>
      </w:r>
      <w:r w:rsidR="00FD05AD" w:rsidRPr="009D4E06">
        <w:rPr>
          <w:rFonts w:ascii="Verdana" w:hAnsi="Verdana"/>
        </w:rPr>
        <w:t xml:space="preserve"> and </w:t>
      </w:r>
      <w:r w:rsidR="009A3C4B">
        <w:rPr>
          <w:rFonts w:ascii="Verdana" w:hAnsi="Verdana"/>
        </w:rPr>
        <w:t>reviewed</w:t>
      </w:r>
      <w:r w:rsidR="00FD05AD" w:rsidRPr="009D4E06">
        <w:rPr>
          <w:rFonts w:ascii="Verdana" w:hAnsi="Verdana"/>
        </w:rPr>
        <w:t xml:space="preserve"> to ensure learning and continuous safety improvements.</w:t>
      </w:r>
      <w:r w:rsidR="009D4E06">
        <w:rPr>
          <w:rFonts w:ascii="Verdana" w:hAnsi="Verdana"/>
        </w:rPr>
        <w:t xml:space="preserve"> </w:t>
      </w:r>
      <w:r w:rsidR="006F3910">
        <w:rPr>
          <w:rFonts w:ascii="Verdana" w:hAnsi="Verdana"/>
        </w:rPr>
        <w:t xml:space="preserve">The CPT Standards state that </w:t>
      </w:r>
      <w:r w:rsidR="00445EAE">
        <w:rPr>
          <w:rFonts w:ascii="Verdana" w:hAnsi="Verdana"/>
        </w:rPr>
        <w:t>an entry should include:</w:t>
      </w:r>
    </w:p>
    <w:p w14:paraId="7DF6D03D" w14:textId="77777777" w:rsidR="008D7350" w:rsidRDefault="008D7350" w:rsidP="00A62474">
      <w:pPr>
        <w:spacing w:line="276" w:lineRule="auto"/>
        <w:ind w:left="1440"/>
        <w:rPr>
          <w:rFonts w:ascii="Verdana" w:hAnsi="Verdana"/>
        </w:rPr>
      </w:pPr>
    </w:p>
    <w:p w14:paraId="7E4E31EA" w14:textId="00415695" w:rsidR="00FC7910" w:rsidRDefault="00445EAE" w:rsidP="00A62474">
      <w:pPr>
        <w:spacing w:line="276" w:lineRule="auto"/>
        <w:ind w:left="1440"/>
        <w:rPr>
          <w:rFonts w:ascii="Verdana" w:hAnsi="Verdana"/>
        </w:rPr>
      </w:pPr>
      <w:r>
        <w:rPr>
          <w:rFonts w:ascii="Verdana" w:hAnsi="Verdana"/>
        </w:rPr>
        <w:t>“…</w:t>
      </w:r>
      <w:r w:rsidR="00F72F82">
        <w:rPr>
          <w:rFonts w:ascii="Verdana" w:hAnsi="Verdana"/>
        </w:rPr>
        <w:t>the times at which the measure began and ended, the circumstances of the case, the reasons for resorted to the measure, the name of the doctor who ordered or approved it, and an account of any injuries sustained by patients or staff</w:t>
      </w:r>
      <w:r w:rsidR="00A62474">
        <w:rPr>
          <w:rFonts w:ascii="Verdana" w:hAnsi="Verdana"/>
        </w:rPr>
        <w:t>.”</w:t>
      </w:r>
      <w:r w:rsidR="00CB3290">
        <w:rPr>
          <w:rStyle w:val="FootnoteReference"/>
          <w:rFonts w:ascii="Verdana" w:hAnsi="Verdana"/>
        </w:rPr>
        <w:footnoteReference w:id="63"/>
      </w:r>
      <w:r w:rsidR="00A62474">
        <w:rPr>
          <w:rFonts w:ascii="Verdana" w:hAnsi="Verdana"/>
        </w:rPr>
        <w:t xml:space="preserve"> </w:t>
      </w:r>
    </w:p>
    <w:p w14:paraId="5178694B" w14:textId="77777777" w:rsidR="005614A2" w:rsidRDefault="005614A2" w:rsidP="00141DE2">
      <w:pPr>
        <w:spacing w:line="276" w:lineRule="auto"/>
        <w:rPr>
          <w:rFonts w:ascii="Verdana" w:hAnsi="Verdana"/>
        </w:rPr>
      </w:pPr>
    </w:p>
    <w:p w14:paraId="4812C7EE" w14:textId="5BE569A8" w:rsidR="00141DE2" w:rsidRPr="004F4798" w:rsidRDefault="00141DE2" w:rsidP="001C0C31">
      <w:pPr>
        <w:spacing w:after="240" w:line="276" w:lineRule="auto"/>
        <w:ind w:left="720" w:hanging="720"/>
        <w:rPr>
          <w:rFonts w:ascii="Verdana" w:hAnsi="Verdana"/>
          <w:b/>
          <w:bCs/>
        </w:rPr>
      </w:pPr>
      <w:r w:rsidRPr="00CD033E">
        <w:rPr>
          <w:rFonts w:ascii="Verdana" w:hAnsi="Verdana"/>
          <w:b/>
          <w:bCs/>
        </w:rPr>
        <w:t>6.</w:t>
      </w:r>
      <w:r w:rsidR="007877CF">
        <w:rPr>
          <w:rFonts w:ascii="Verdana" w:hAnsi="Verdana"/>
          <w:b/>
          <w:bCs/>
        </w:rPr>
        <w:t>3</w:t>
      </w:r>
      <w:r w:rsidRPr="00CD033E">
        <w:rPr>
          <w:rFonts w:ascii="Verdana" w:hAnsi="Verdana"/>
          <w:b/>
          <w:bCs/>
        </w:rPr>
        <w:tab/>
        <w:t>The Commission recommends that Standard 6 sets out the minimum reporting requirements for the use of any restrictive practice</w:t>
      </w:r>
      <w:r w:rsidR="00560605" w:rsidRPr="00CD033E">
        <w:rPr>
          <w:rFonts w:ascii="Verdana" w:hAnsi="Verdana"/>
          <w:b/>
          <w:bCs/>
        </w:rPr>
        <w:t xml:space="preserve"> in health and social care settings in NI. This should include</w:t>
      </w:r>
      <w:r w:rsidR="00CD033E" w:rsidRPr="00CD033E">
        <w:rPr>
          <w:rFonts w:ascii="Verdana" w:hAnsi="Verdana"/>
          <w:b/>
          <w:bCs/>
        </w:rPr>
        <w:t>:</w:t>
      </w:r>
    </w:p>
    <w:p w14:paraId="19D1A77A" w14:textId="4B1411FB" w:rsidR="00141DE2" w:rsidRPr="004F4798" w:rsidRDefault="00ED4782" w:rsidP="004F4798">
      <w:pPr>
        <w:pStyle w:val="ListParagraph"/>
        <w:numPr>
          <w:ilvl w:val="0"/>
          <w:numId w:val="18"/>
        </w:numPr>
        <w:spacing w:line="276" w:lineRule="auto"/>
        <w:rPr>
          <w:b/>
          <w:bCs/>
        </w:rPr>
      </w:pPr>
      <w:r w:rsidRPr="004F4798">
        <w:rPr>
          <w:b/>
          <w:bCs/>
        </w:rPr>
        <w:t xml:space="preserve">the type of restrictive practice employed </w:t>
      </w:r>
    </w:p>
    <w:p w14:paraId="53E033D1" w14:textId="410ACBCD" w:rsidR="002B4A0F" w:rsidRPr="004F4798" w:rsidRDefault="002B4A0F" w:rsidP="004F4798">
      <w:pPr>
        <w:pStyle w:val="ListParagraph"/>
        <w:numPr>
          <w:ilvl w:val="0"/>
          <w:numId w:val="18"/>
        </w:numPr>
        <w:spacing w:line="276" w:lineRule="auto"/>
        <w:rPr>
          <w:b/>
          <w:bCs/>
        </w:rPr>
      </w:pPr>
      <w:r w:rsidRPr="004F4798">
        <w:rPr>
          <w:b/>
          <w:bCs/>
        </w:rPr>
        <w:t>the date and the duration of the intervention</w:t>
      </w:r>
    </w:p>
    <w:p w14:paraId="516CE827" w14:textId="77DD16B3" w:rsidR="007564CF" w:rsidRPr="004F4798" w:rsidRDefault="008D08A6" w:rsidP="004F4798">
      <w:pPr>
        <w:pStyle w:val="ListParagraph"/>
        <w:numPr>
          <w:ilvl w:val="0"/>
          <w:numId w:val="18"/>
        </w:numPr>
        <w:spacing w:line="276" w:lineRule="auto"/>
        <w:rPr>
          <w:b/>
          <w:bCs/>
        </w:rPr>
      </w:pPr>
      <w:r w:rsidRPr="004F4798">
        <w:rPr>
          <w:b/>
          <w:bCs/>
        </w:rPr>
        <w:t xml:space="preserve">the names of the staff and people involved </w:t>
      </w:r>
    </w:p>
    <w:p w14:paraId="78225D77" w14:textId="6686C450" w:rsidR="007564CF" w:rsidRPr="004F4798" w:rsidRDefault="008D08A6" w:rsidP="004F4798">
      <w:pPr>
        <w:pStyle w:val="ListParagraph"/>
        <w:numPr>
          <w:ilvl w:val="0"/>
          <w:numId w:val="18"/>
        </w:numPr>
        <w:spacing w:line="276" w:lineRule="auto"/>
        <w:rPr>
          <w:b/>
          <w:bCs/>
        </w:rPr>
      </w:pPr>
      <w:r w:rsidRPr="004F4798">
        <w:rPr>
          <w:b/>
          <w:bCs/>
        </w:rPr>
        <w:t>reason</w:t>
      </w:r>
      <w:r w:rsidR="00CD033E" w:rsidRPr="004F4798">
        <w:rPr>
          <w:b/>
          <w:bCs/>
        </w:rPr>
        <w:t>s</w:t>
      </w:r>
      <w:r w:rsidRPr="004F4798">
        <w:rPr>
          <w:b/>
          <w:bCs/>
        </w:rPr>
        <w:t xml:space="preserve"> for using the type of restrictive </w:t>
      </w:r>
      <w:r w:rsidR="00CD033E" w:rsidRPr="004F4798">
        <w:rPr>
          <w:b/>
          <w:bCs/>
        </w:rPr>
        <w:t>practice</w:t>
      </w:r>
      <w:r w:rsidRPr="004F4798">
        <w:rPr>
          <w:b/>
          <w:bCs/>
        </w:rPr>
        <w:t xml:space="preserve"> </w:t>
      </w:r>
      <w:r w:rsidR="002B4A0F" w:rsidRPr="004F4798">
        <w:rPr>
          <w:b/>
          <w:bCs/>
        </w:rPr>
        <w:t xml:space="preserve">employed </w:t>
      </w:r>
      <w:r w:rsidRPr="004F4798">
        <w:rPr>
          <w:b/>
          <w:bCs/>
        </w:rPr>
        <w:t xml:space="preserve">(rather than an alternative less restrictive </w:t>
      </w:r>
      <w:r w:rsidR="002B4A0F" w:rsidRPr="004F4798">
        <w:rPr>
          <w:b/>
          <w:bCs/>
        </w:rPr>
        <w:t>approach</w:t>
      </w:r>
      <w:r w:rsidRPr="004F4798">
        <w:rPr>
          <w:b/>
          <w:bCs/>
        </w:rPr>
        <w:t xml:space="preserve">) </w:t>
      </w:r>
    </w:p>
    <w:p w14:paraId="1844E522" w14:textId="70F88A5E" w:rsidR="007564CF" w:rsidRPr="003C4221" w:rsidRDefault="008D08A6" w:rsidP="004F4798">
      <w:pPr>
        <w:pStyle w:val="ListParagraph"/>
        <w:numPr>
          <w:ilvl w:val="0"/>
          <w:numId w:val="18"/>
        </w:numPr>
        <w:spacing w:line="276" w:lineRule="auto"/>
        <w:rPr>
          <w:rFonts w:cs="Tahoma"/>
          <w:b/>
          <w:bCs/>
        </w:rPr>
      </w:pPr>
      <w:r w:rsidRPr="004F4798">
        <w:rPr>
          <w:b/>
          <w:bCs/>
        </w:rPr>
        <w:t xml:space="preserve">whether the person or anyone else experienced injury or distress </w:t>
      </w:r>
    </w:p>
    <w:p w14:paraId="09E1270C" w14:textId="4EC8B52D" w:rsidR="003C4221" w:rsidRPr="002F78C4" w:rsidRDefault="00970E4A" w:rsidP="004F4798">
      <w:pPr>
        <w:pStyle w:val="ListParagraph"/>
        <w:numPr>
          <w:ilvl w:val="0"/>
          <w:numId w:val="18"/>
        </w:numPr>
        <w:spacing w:line="276" w:lineRule="auto"/>
        <w:rPr>
          <w:rFonts w:cs="Tahoma"/>
          <w:b/>
          <w:bCs/>
        </w:rPr>
      </w:pPr>
      <w:r>
        <w:rPr>
          <w:b/>
          <w:bCs/>
        </w:rPr>
        <w:t>the person’s views of the incident</w:t>
      </w:r>
      <w:r w:rsidR="00583E9C">
        <w:rPr>
          <w:b/>
          <w:bCs/>
        </w:rPr>
        <w:t xml:space="preserve"> (if appropriate, </w:t>
      </w:r>
      <w:r w:rsidR="002F78C4">
        <w:rPr>
          <w:b/>
          <w:bCs/>
        </w:rPr>
        <w:t>through</w:t>
      </w:r>
      <w:r w:rsidR="00583E9C">
        <w:rPr>
          <w:b/>
          <w:bCs/>
        </w:rPr>
        <w:t xml:space="preserve"> family, caregiver or advocate)</w:t>
      </w:r>
    </w:p>
    <w:p w14:paraId="04DB5179" w14:textId="22069D4A" w:rsidR="002F78C4" w:rsidRPr="004F4798" w:rsidRDefault="002F78C4" w:rsidP="004F4798">
      <w:pPr>
        <w:pStyle w:val="ListParagraph"/>
        <w:numPr>
          <w:ilvl w:val="0"/>
          <w:numId w:val="18"/>
        </w:numPr>
        <w:spacing w:line="276" w:lineRule="auto"/>
        <w:rPr>
          <w:rFonts w:cs="Tahoma"/>
          <w:b/>
          <w:bCs/>
        </w:rPr>
      </w:pPr>
      <w:r>
        <w:rPr>
          <w:b/>
          <w:bCs/>
        </w:rPr>
        <w:t xml:space="preserve">what follow-up action was taken </w:t>
      </w:r>
    </w:p>
    <w:p w14:paraId="269FE1EF" w14:textId="77777777" w:rsidR="009926F1" w:rsidRDefault="009926F1" w:rsidP="00AF5128">
      <w:pPr>
        <w:spacing w:line="276" w:lineRule="auto"/>
        <w:rPr>
          <w:rFonts w:ascii="Verdana" w:hAnsi="Verdana"/>
        </w:rPr>
      </w:pPr>
    </w:p>
    <w:p w14:paraId="381B4C8C" w14:textId="03C592A6" w:rsidR="00624999" w:rsidRDefault="008D08A6" w:rsidP="00624999">
      <w:pPr>
        <w:spacing w:line="276" w:lineRule="auto"/>
        <w:ind w:left="720" w:hanging="720"/>
        <w:rPr>
          <w:rFonts w:ascii="Verdana" w:hAnsi="Verdana"/>
        </w:rPr>
      </w:pPr>
      <w:r>
        <w:rPr>
          <w:rFonts w:ascii="Verdana" w:hAnsi="Verdana"/>
        </w:rPr>
        <w:t>6.</w:t>
      </w:r>
      <w:r w:rsidR="007877CF">
        <w:rPr>
          <w:rFonts w:ascii="Verdana" w:hAnsi="Verdana"/>
        </w:rPr>
        <w:t>4</w:t>
      </w:r>
      <w:r>
        <w:rPr>
          <w:rFonts w:ascii="Verdana" w:hAnsi="Verdana"/>
        </w:rPr>
        <w:tab/>
      </w:r>
      <w:r w:rsidR="007877CF">
        <w:rPr>
          <w:rFonts w:ascii="Verdana" w:hAnsi="Verdana"/>
        </w:rPr>
        <w:t>T</w:t>
      </w:r>
      <w:r w:rsidR="003B6A2E">
        <w:rPr>
          <w:rFonts w:ascii="Verdana" w:hAnsi="Verdana"/>
        </w:rPr>
        <w:t xml:space="preserve">he </w:t>
      </w:r>
      <w:r w:rsidR="00EE6BBE">
        <w:rPr>
          <w:rFonts w:ascii="Verdana" w:hAnsi="Verdana"/>
        </w:rPr>
        <w:t xml:space="preserve">Commission </w:t>
      </w:r>
      <w:r w:rsidR="003B6A2E">
        <w:rPr>
          <w:rFonts w:ascii="Verdana" w:hAnsi="Verdana"/>
        </w:rPr>
        <w:t>notes the consultation document does not outline any plans for develop</w:t>
      </w:r>
      <w:r w:rsidR="00D87D35">
        <w:rPr>
          <w:rFonts w:ascii="Verdana" w:hAnsi="Verdana"/>
        </w:rPr>
        <w:t xml:space="preserve">ing a publicly accessible report. </w:t>
      </w:r>
      <w:r w:rsidR="00624999">
        <w:rPr>
          <w:rFonts w:ascii="Verdana" w:hAnsi="Verdana"/>
        </w:rPr>
        <w:t xml:space="preserve">In its most recent </w:t>
      </w:r>
      <w:r w:rsidR="00624999">
        <w:rPr>
          <w:rFonts w:ascii="Verdana" w:hAnsi="Verdana"/>
        </w:rPr>
        <w:lastRenderedPageBreak/>
        <w:t>Concluding Observations to the UK, t</w:t>
      </w:r>
      <w:r w:rsidR="00624999" w:rsidRPr="001D3E4E">
        <w:rPr>
          <w:rFonts w:ascii="Verdana" w:hAnsi="Verdana"/>
        </w:rPr>
        <w:t>he UN CRC Committee recommended</w:t>
      </w:r>
      <w:r w:rsidR="00624999">
        <w:rPr>
          <w:rFonts w:ascii="Verdana" w:hAnsi="Verdana"/>
        </w:rPr>
        <w:t xml:space="preserve"> that the state should</w:t>
      </w:r>
      <w:r w:rsidR="00624999" w:rsidRPr="001D3E4E">
        <w:rPr>
          <w:rFonts w:ascii="Verdana" w:hAnsi="Verdana"/>
        </w:rPr>
        <w:t xml:space="preserve">: </w:t>
      </w:r>
    </w:p>
    <w:p w14:paraId="0A5472CD" w14:textId="77777777" w:rsidR="00624999" w:rsidRDefault="00624999" w:rsidP="00624999">
      <w:pPr>
        <w:spacing w:line="276" w:lineRule="auto"/>
        <w:ind w:left="720"/>
        <w:rPr>
          <w:rFonts w:ascii="Verdana" w:hAnsi="Verdana"/>
        </w:rPr>
      </w:pPr>
    </w:p>
    <w:p w14:paraId="64C4D113" w14:textId="77777777" w:rsidR="00624999" w:rsidRPr="001D3E4E" w:rsidRDefault="00624999" w:rsidP="00624999">
      <w:pPr>
        <w:spacing w:line="276" w:lineRule="auto"/>
        <w:ind w:left="1440"/>
        <w:rPr>
          <w:rFonts w:ascii="Verdana" w:hAnsi="Verdana"/>
        </w:rPr>
      </w:pPr>
      <w:r w:rsidRPr="001D3E4E">
        <w:rPr>
          <w:rFonts w:ascii="Verdana" w:hAnsi="Verdana"/>
        </w:rPr>
        <w:t>“Systematically and regularly collect and publish disaggregated data on the use of restraint and other restrictive interventions on children in order to monitor the appropriateness of discipline and behaviour management for children in all settings, including in education, custody, mental health, welfare and immigration settings.”</w:t>
      </w:r>
      <w:r>
        <w:rPr>
          <w:rStyle w:val="FootnoteReference"/>
          <w:rFonts w:ascii="Verdana" w:hAnsi="Verdana"/>
        </w:rPr>
        <w:footnoteReference w:id="64"/>
      </w:r>
    </w:p>
    <w:p w14:paraId="68251019" w14:textId="77777777" w:rsidR="00624999" w:rsidRDefault="00624999" w:rsidP="007877CF">
      <w:pPr>
        <w:spacing w:line="276" w:lineRule="auto"/>
        <w:ind w:left="720" w:hanging="720"/>
        <w:rPr>
          <w:rFonts w:ascii="Verdana" w:hAnsi="Verdana"/>
        </w:rPr>
      </w:pPr>
    </w:p>
    <w:p w14:paraId="5F478E28" w14:textId="65AA4175" w:rsidR="00FC3F0E" w:rsidRDefault="00624999" w:rsidP="007877CF">
      <w:pPr>
        <w:spacing w:line="276" w:lineRule="auto"/>
        <w:ind w:left="720" w:hanging="720"/>
        <w:rPr>
          <w:rFonts w:ascii="Verdana" w:hAnsi="Verdana"/>
        </w:rPr>
      </w:pPr>
      <w:r>
        <w:rPr>
          <w:rFonts w:ascii="Verdana" w:hAnsi="Verdana"/>
        </w:rPr>
        <w:t>6.5</w:t>
      </w:r>
      <w:r>
        <w:rPr>
          <w:rFonts w:ascii="Verdana" w:hAnsi="Verdana"/>
        </w:rPr>
        <w:tab/>
      </w:r>
      <w:r w:rsidR="00E02CDD">
        <w:rPr>
          <w:rFonts w:ascii="Verdana" w:hAnsi="Verdana"/>
        </w:rPr>
        <w:t>In addition</w:t>
      </w:r>
      <w:r w:rsidR="00A4388E">
        <w:rPr>
          <w:rFonts w:ascii="Verdana" w:hAnsi="Verdana"/>
        </w:rPr>
        <w:t xml:space="preserve">, current UK Government guidance to </w:t>
      </w:r>
      <w:r w:rsidR="00504FDF">
        <w:rPr>
          <w:rFonts w:ascii="Verdana" w:hAnsi="Verdana"/>
        </w:rPr>
        <w:t xml:space="preserve">health and social care services </w:t>
      </w:r>
      <w:r w:rsidR="005D6AC2">
        <w:rPr>
          <w:rFonts w:ascii="Verdana" w:hAnsi="Verdana"/>
        </w:rPr>
        <w:t>states</w:t>
      </w:r>
      <w:r w:rsidR="00EE6BBE">
        <w:rPr>
          <w:rFonts w:ascii="Verdana" w:hAnsi="Verdana"/>
        </w:rPr>
        <w:t>:</w:t>
      </w:r>
      <w:r w:rsidR="005D6AC2">
        <w:rPr>
          <w:rFonts w:ascii="Verdana" w:hAnsi="Verdana"/>
        </w:rPr>
        <w:t xml:space="preserve"> </w:t>
      </w:r>
    </w:p>
    <w:p w14:paraId="57257E07" w14:textId="77777777" w:rsidR="005D6AC2" w:rsidRDefault="005D6AC2" w:rsidP="00E16908">
      <w:pPr>
        <w:pStyle w:val="BasicParagraph"/>
        <w:suppressAutoHyphens/>
        <w:rPr>
          <w:rFonts w:ascii="Verdana" w:hAnsi="Verdana" w:cs="Arial"/>
          <w:color w:val="3C3C3B"/>
        </w:rPr>
      </w:pPr>
    </w:p>
    <w:p w14:paraId="5460C927" w14:textId="58D69FAF" w:rsidR="00E16908" w:rsidRPr="002A1163" w:rsidRDefault="00801A0C" w:rsidP="005D6AC2">
      <w:pPr>
        <w:pStyle w:val="BasicParagraph"/>
        <w:suppressAutoHyphens/>
        <w:ind w:left="1440"/>
        <w:rPr>
          <w:rFonts w:ascii="Verdana" w:hAnsi="Verdana" w:cs="Arial"/>
          <w:color w:val="3C3C3B"/>
        </w:rPr>
      </w:pPr>
      <w:r>
        <w:rPr>
          <w:rFonts w:ascii="Verdana" w:hAnsi="Verdana" w:cs="Arial"/>
          <w:color w:val="auto"/>
        </w:rPr>
        <w:t>“</w:t>
      </w:r>
      <w:r w:rsidR="00E16908" w:rsidRPr="00A50151">
        <w:rPr>
          <w:rFonts w:ascii="Verdana" w:hAnsi="Verdana" w:cs="Arial"/>
          <w:color w:val="auto"/>
        </w:rPr>
        <w:t>Services must also publish a public, annually updated, accessible report on their increased behaviour support planning and restrictive intervention reduction, which outlines the training</w:t>
      </w:r>
      <w:r w:rsidR="00E852E3">
        <w:rPr>
          <w:rFonts w:ascii="Verdana" w:hAnsi="Verdana" w:cs="Arial"/>
          <w:color w:val="auto"/>
        </w:rPr>
        <w:t xml:space="preserve"> </w:t>
      </w:r>
      <w:r w:rsidR="00E16908" w:rsidRPr="00A50151">
        <w:rPr>
          <w:rFonts w:ascii="Verdana" w:hAnsi="Verdana" w:cs="Arial"/>
          <w:color w:val="auto"/>
        </w:rPr>
        <w:t>strategy, techniques used (how often) and reasons why, whether any significant injuries resulted, and details of ongoing strategies for bringing about reductions in the use of restrictive interventions. These should be included within annual quality accounts (or equivalent publications).</w:t>
      </w:r>
      <w:r>
        <w:rPr>
          <w:rFonts w:ascii="Verdana" w:hAnsi="Verdana" w:cs="Arial"/>
          <w:color w:val="auto"/>
        </w:rPr>
        <w:t>”</w:t>
      </w:r>
      <w:r w:rsidR="00604727">
        <w:rPr>
          <w:rStyle w:val="FootnoteReference"/>
          <w:rFonts w:ascii="Verdana" w:hAnsi="Verdana" w:cs="Arial"/>
          <w:color w:val="auto"/>
        </w:rPr>
        <w:footnoteReference w:id="65"/>
      </w:r>
      <w:r w:rsidR="00E16908" w:rsidRPr="00A50151">
        <w:rPr>
          <w:rFonts w:ascii="Verdana" w:hAnsi="Verdana" w:cs="Arial"/>
          <w:color w:val="auto"/>
        </w:rPr>
        <w:t xml:space="preserve"> </w:t>
      </w:r>
    </w:p>
    <w:p w14:paraId="2011CB9D" w14:textId="77777777" w:rsidR="00BD01AB" w:rsidRPr="004F241C" w:rsidRDefault="00BD01AB" w:rsidP="00BD01AB">
      <w:pPr>
        <w:pStyle w:val="BasicParagraph"/>
        <w:suppressAutoHyphens/>
        <w:rPr>
          <w:rFonts w:ascii="Verdana" w:hAnsi="Verdana" w:cs="Arial"/>
          <w:color w:val="auto"/>
          <w:sz w:val="20"/>
          <w:szCs w:val="20"/>
        </w:rPr>
      </w:pPr>
    </w:p>
    <w:p w14:paraId="1F73DFCF" w14:textId="13E35C04" w:rsidR="0096759C" w:rsidRDefault="001C4C19" w:rsidP="00D8678F">
      <w:pPr>
        <w:pStyle w:val="BasicParagraph"/>
        <w:suppressAutoHyphens/>
        <w:ind w:left="720" w:hanging="720"/>
        <w:rPr>
          <w:rFonts w:ascii="Verdana" w:hAnsi="Verdana" w:cs="Arial"/>
          <w:b/>
          <w:bCs/>
          <w:color w:val="auto"/>
        </w:rPr>
      </w:pPr>
      <w:r>
        <w:rPr>
          <w:rFonts w:ascii="Verdana" w:hAnsi="Verdana" w:cs="Arial"/>
          <w:b/>
          <w:bCs/>
          <w:color w:val="auto"/>
        </w:rPr>
        <w:t>6</w:t>
      </w:r>
      <w:r w:rsidR="002A088F">
        <w:rPr>
          <w:rFonts w:ascii="Verdana" w:hAnsi="Verdana" w:cs="Arial"/>
          <w:b/>
          <w:bCs/>
          <w:color w:val="auto"/>
        </w:rPr>
        <w:t>.</w:t>
      </w:r>
      <w:r w:rsidR="000D256B">
        <w:rPr>
          <w:rFonts w:ascii="Verdana" w:hAnsi="Verdana" w:cs="Arial"/>
          <w:b/>
          <w:bCs/>
          <w:color w:val="auto"/>
        </w:rPr>
        <w:t>6</w:t>
      </w:r>
      <w:r w:rsidR="002A088F">
        <w:rPr>
          <w:rFonts w:ascii="Verdana" w:hAnsi="Verdana" w:cs="Arial"/>
          <w:b/>
          <w:bCs/>
          <w:color w:val="auto"/>
        </w:rPr>
        <w:tab/>
      </w:r>
      <w:r w:rsidR="00BD01AB" w:rsidRPr="004F241C">
        <w:rPr>
          <w:rFonts w:ascii="Verdana" w:hAnsi="Verdana" w:cs="Arial"/>
          <w:b/>
          <w:bCs/>
          <w:color w:val="auto"/>
        </w:rPr>
        <w:t>T</w:t>
      </w:r>
      <w:r w:rsidR="00486F50">
        <w:rPr>
          <w:rFonts w:ascii="Verdana" w:hAnsi="Verdana" w:cs="Arial"/>
          <w:b/>
          <w:bCs/>
          <w:color w:val="auto"/>
        </w:rPr>
        <w:t xml:space="preserve">he </w:t>
      </w:r>
      <w:r w:rsidR="00950FAB">
        <w:rPr>
          <w:rFonts w:ascii="Verdana" w:hAnsi="Verdana" w:cs="Arial"/>
          <w:b/>
          <w:bCs/>
          <w:color w:val="auto"/>
        </w:rPr>
        <w:t xml:space="preserve">Commission </w:t>
      </w:r>
      <w:r w:rsidR="00486F50">
        <w:rPr>
          <w:rFonts w:ascii="Verdana" w:hAnsi="Verdana" w:cs="Arial"/>
          <w:b/>
          <w:bCs/>
          <w:color w:val="auto"/>
        </w:rPr>
        <w:t xml:space="preserve">recommends that the Department of Health publishes an annual </w:t>
      </w:r>
      <w:r w:rsidR="00C74D4A">
        <w:rPr>
          <w:rFonts w:ascii="Verdana" w:hAnsi="Verdana" w:cs="Arial"/>
          <w:b/>
          <w:bCs/>
          <w:color w:val="auto"/>
        </w:rPr>
        <w:t>report on</w:t>
      </w:r>
      <w:r w:rsidR="00C07F4B">
        <w:rPr>
          <w:rFonts w:ascii="Verdana" w:hAnsi="Verdana" w:cs="Arial"/>
          <w:b/>
          <w:bCs/>
          <w:color w:val="auto"/>
        </w:rPr>
        <w:t xml:space="preserve"> the </w:t>
      </w:r>
      <w:r w:rsidR="00C07F4B" w:rsidRPr="009121A4">
        <w:rPr>
          <w:rFonts w:ascii="Verdana" w:hAnsi="Verdana"/>
          <w:b/>
          <w:bCs/>
        </w:rPr>
        <w:t xml:space="preserve">use </w:t>
      </w:r>
      <w:r w:rsidR="00C74D4A">
        <w:rPr>
          <w:rFonts w:ascii="Verdana" w:hAnsi="Verdana"/>
          <w:b/>
          <w:bCs/>
        </w:rPr>
        <w:t xml:space="preserve">and governance </w:t>
      </w:r>
      <w:r w:rsidR="00C07F4B" w:rsidRPr="009121A4">
        <w:rPr>
          <w:rFonts w:ascii="Verdana" w:hAnsi="Verdana"/>
          <w:b/>
          <w:bCs/>
        </w:rPr>
        <w:t xml:space="preserve">of </w:t>
      </w:r>
      <w:r w:rsidR="00C07F4B">
        <w:rPr>
          <w:rFonts w:ascii="Verdana" w:hAnsi="Verdana"/>
          <w:b/>
          <w:bCs/>
        </w:rPr>
        <w:t xml:space="preserve">restrictive practices, </w:t>
      </w:r>
      <w:r w:rsidR="00C07F4B" w:rsidRPr="009121A4">
        <w:rPr>
          <w:rFonts w:ascii="Verdana" w:hAnsi="Verdana"/>
          <w:b/>
          <w:bCs/>
        </w:rPr>
        <w:t xml:space="preserve">restraint and seclusion in </w:t>
      </w:r>
      <w:r w:rsidR="00C07F4B">
        <w:rPr>
          <w:rFonts w:ascii="Verdana" w:hAnsi="Verdana"/>
          <w:b/>
          <w:bCs/>
        </w:rPr>
        <w:t>health and social care settings</w:t>
      </w:r>
      <w:r w:rsidR="00C07F4B" w:rsidRPr="009121A4">
        <w:rPr>
          <w:rFonts w:ascii="Verdana" w:hAnsi="Verdana"/>
          <w:b/>
          <w:bCs/>
        </w:rPr>
        <w:t xml:space="preserve"> </w:t>
      </w:r>
      <w:r w:rsidR="00C07F4B">
        <w:rPr>
          <w:rFonts w:ascii="Verdana" w:hAnsi="Verdana"/>
          <w:b/>
          <w:bCs/>
        </w:rPr>
        <w:t>across</w:t>
      </w:r>
      <w:r w:rsidR="00C07F4B" w:rsidRPr="009121A4">
        <w:rPr>
          <w:rFonts w:ascii="Verdana" w:hAnsi="Verdana"/>
          <w:b/>
          <w:bCs/>
        </w:rPr>
        <w:t xml:space="preserve"> NI</w:t>
      </w:r>
      <w:r w:rsidR="00FC6DC9">
        <w:rPr>
          <w:rFonts w:ascii="Verdana" w:hAnsi="Verdana"/>
          <w:b/>
          <w:bCs/>
        </w:rPr>
        <w:t>, which contains</w:t>
      </w:r>
      <w:r w:rsidR="000D256B">
        <w:rPr>
          <w:rFonts w:ascii="Verdana" w:hAnsi="Verdana"/>
          <w:b/>
          <w:bCs/>
        </w:rPr>
        <w:t xml:space="preserve"> disaggregated data </w:t>
      </w:r>
      <w:r w:rsidR="006364AF">
        <w:rPr>
          <w:rFonts w:ascii="Verdana" w:hAnsi="Verdana"/>
          <w:b/>
          <w:bCs/>
        </w:rPr>
        <w:t xml:space="preserve">on the </w:t>
      </w:r>
      <w:r w:rsidR="00445D5D">
        <w:rPr>
          <w:rFonts w:ascii="Verdana" w:hAnsi="Verdana"/>
          <w:b/>
          <w:bCs/>
        </w:rPr>
        <w:t xml:space="preserve">frequency and impact of </w:t>
      </w:r>
      <w:r w:rsidR="00B25878">
        <w:rPr>
          <w:rFonts w:ascii="Verdana" w:hAnsi="Verdana"/>
          <w:b/>
          <w:bCs/>
        </w:rPr>
        <w:t xml:space="preserve">the </w:t>
      </w:r>
      <w:r w:rsidR="00445D5D">
        <w:rPr>
          <w:rFonts w:ascii="Verdana" w:hAnsi="Verdana"/>
          <w:b/>
          <w:bCs/>
        </w:rPr>
        <w:t xml:space="preserve">restrictive practices in </w:t>
      </w:r>
      <w:r w:rsidR="00B431E0">
        <w:rPr>
          <w:rFonts w:ascii="Verdana" w:hAnsi="Verdana"/>
          <w:b/>
          <w:bCs/>
        </w:rPr>
        <w:t>use and</w:t>
      </w:r>
      <w:r w:rsidR="001F4FA1">
        <w:rPr>
          <w:rFonts w:ascii="Verdana" w:hAnsi="Verdana"/>
          <w:b/>
          <w:bCs/>
        </w:rPr>
        <w:t xml:space="preserve"> </w:t>
      </w:r>
      <w:r w:rsidR="00913BB8">
        <w:rPr>
          <w:rFonts w:ascii="Verdana" w:hAnsi="Verdana"/>
          <w:b/>
          <w:bCs/>
        </w:rPr>
        <w:t xml:space="preserve">monitors </w:t>
      </w:r>
      <w:r w:rsidR="00130CBA">
        <w:rPr>
          <w:rFonts w:ascii="Verdana" w:hAnsi="Verdana"/>
          <w:b/>
          <w:bCs/>
        </w:rPr>
        <w:t xml:space="preserve">the effectiveness of minimisation strategies. </w:t>
      </w:r>
    </w:p>
    <w:p w14:paraId="789DB0D6" w14:textId="77777777" w:rsidR="00E9665D" w:rsidRPr="00844B24" w:rsidRDefault="00E9665D" w:rsidP="00844B24">
      <w:pPr>
        <w:pStyle w:val="BasicParagraph"/>
        <w:suppressAutoHyphens/>
        <w:ind w:left="720"/>
        <w:rPr>
          <w:rFonts w:ascii="Verdana" w:hAnsi="Verdana" w:cs="Arial"/>
          <w:b/>
          <w:bCs/>
          <w:color w:val="3C3C3B"/>
          <w:sz w:val="20"/>
          <w:szCs w:val="20"/>
        </w:rPr>
      </w:pPr>
    </w:p>
    <w:p w14:paraId="47F23569" w14:textId="58355304" w:rsidR="0010643C" w:rsidRPr="00B74DF7" w:rsidRDefault="0010643C" w:rsidP="00B74DF7">
      <w:pPr>
        <w:pStyle w:val="BasicParagraph"/>
        <w:numPr>
          <w:ilvl w:val="0"/>
          <w:numId w:val="15"/>
        </w:numPr>
        <w:suppressAutoHyphens/>
        <w:rPr>
          <w:rFonts w:ascii="Verdana" w:hAnsi="Verdana"/>
          <w:b/>
          <w:bCs/>
          <w:color w:val="7030A0"/>
          <w:sz w:val="30"/>
          <w:szCs w:val="30"/>
        </w:rPr>
      </w:pPr>
      <w:r>
        <w:rPr>
          <w:rFonts w:ascii="Verdana" w:hAnsi="Verdana"/>
          <w:b/>
          <w:bCs/>
          <w:color w:val="7030A0"/>
          <w:sz w:val="30"/>
          <w:szCs w:val="30"/>
        </w:rPr>
        <w:t xml:space="preserve">Standard 7: Seclusion </w:t>
      </w:r>
      <w:r w:rsidRPr="00B74DF7">
        <w:rPr>
          <w:rFonts w:ascii="Verdana" w:hAnsi="Verdana"/>
          <w:b/>
          <w:bCs/>
          <w:color w:val="7030A0"/>
          <w:sz w:val="30"/>
          <w:szCs w:val="30"/>
        </w:rPr>
        <w:t xml:space="preserve"> </w:t>
      </w:r>
    </w:p>
    <w:p w14:paraId="6570C02B" w14:textId="0F96147E" w:rsidR="00F96FE4" w:rsidRDefault="004865EF" w:rsidP="005B02F4">
      <w:pPr>
        <w:pStyle w:val="BasicParagraph"/>
        <w:suppressAutoHyphens/>
        <w:ind w:left="720" w:hanging="720"/>
        <w:rPr>
          <w:rFonts w:ascii="Verdana" w:hAnsi="Verdana" w:cs="Arial"/>
          <w:color w:val="3C3C3B"/>
        </w:rPr>
      </w:pPr>
      <w:r>
        <w:rPr>
          <w:rFonts w:ascii="Verdana" w:hAnsi="Verdana" w:cs="Arial"/>
          <w:color w:val="3C3C3B"/>
        </w:rPr>
        <w:t>7.1</w:t>
      </w:r>
      <w:r>
        <w:rPr>
          <w:rFonts w:ascii="Verdana" w:hAnsi="Verdana" w:cs="Arial"/>
          <w:color w:val="3C3C3B"/>
        </w:rPr>
        <w:tab/>
      </w:r>
      <w:r w:rsidR="00BA0868">
        <w:rPr>
          <w:rFonts w:ascii="Verdana" w:hAnsi="Verdana" w:cs="Arial"/>
          <w:color w:val="3C3C3B"/>
        </w:rPr>
        <w:t xml:space="preserve">At the outset, the Commission </w:t>
      </w:r>
      <w:r w:rsidR="00D94875">
        <w:rPr>
          <w:rFonts w:ascii="Verdana" w:hAnsi="Verdana" w:cs="Arial"/>
          <w:color w:val="3C3C3B"/>
        </w:rPr>
        <w:t xml:space="preserve">emphasises that the ultimate </w:t>
      </w:r>
      <w:r w:rsidR="00EB7B6E">
        <w:rPr>
          <w:rFonts w:ascii="Verdana" w:hAnsi="Verdana" w:cs="Arial"/>
          <w:color w:val="3C3C3B"/>
        </w:rPr>
        <w:t>objective</w:t>
      </w:r>
      <w:r w:rsidR="00D94875">
        <w:rPr>
          <w:rFonts w:ascii="Verdana" w:hAnsi="Verdana" w:cs="Arial"/>
          <w:color w:val="3C3C3B"/>
        </w:rPr>
        <w:t xml:space="preserve"> should always be to prevent the use of seclusion </w:t>
      </w:r>
      <w:r w:rsidR="005A48FC">
        <w:rPr>
          <w:rFonts w:ascii="Verdana" w:hAnsi="Verdana" w:cs="Arial"/>
          <w:color w:val="3C3C3B"/>
        </w:rPr>
        <w:t>as far as possible</w:t>
      </w:r>
      <w:r w:rsidR="005B02F4">
        <w:rPr>
          <w:rFonts w:ascii="Verdana" w:hAnsi="Verdana" w:cs="Arial"/>
          <w:color w:val="3C3C3B"/>
        </w:rPr>
        <w:t xml:space="preserve">. </w:t>
      </w:r>
      <w:r w:rsidR="000A2110">
        <w:rPr>
          <w:rFonts w:ascii="Verdana" w:hAnsi="Verdana" w:cs="Arial"/>
          <w:color w:val="3C3C3B"/>
        </w:rPr>
        <w:t xml:space="preserve">The Commission </w:t>
      </w:r>
      <w:r w:rsidR="004C0AB5">
        <w:rPr>
          <w:rFonts w:ascii="Verdana" w:hAnsi="Verdana" w:cs="Arial"/>
          <w:color w:val="3C3C3B"/>
        </w:rPr>
        <w:t xml:space="preserve">notes </w:t>
      </w:r>
      <w:r w:rsidR="000A2110">
        <w:rPr>
          <w:rFonts w:ascii="Verdana" w:hAnsi="Verdana" w:cs="Arial"/>
          <w:color w:val="3C3C3B"/>
        </w:rPr>
        <w:t xml:space="preserve">the view of the CPT that seclusion has no therapeutic </w:t>
      </w:r>
      <w:r w:rsidR="00F94728">
        <w:rPr>
          <w:rFonts w:ascii="Verdana" w:hAnsi="Verdana" w:cs="Arial"/>
          <w:color w:val="3C3C3B"/>
        </w:rPr>
        <w:t>justification</w:t>
      </w:r>
      <w:r w:rsidR="000A2110">
        <w:rPr>
          <w:rFonts w:ascii="Verdana" w:hAnsi="Verdana" w:cs="Arial"/>
          <w:color w:val="3C3C3B"/>
        </w:rPr>
        <w:t xml:space="preserve"> and</w:t>
      </w:r>
      <w:r w:rsidR="00631FD4">
        <w:rPr>
          <w:rFonts w:ascii="Verdana" w:hAnsi="Verdana" w:cs="Arial"/>
          <w:color w:val="3C3C3B"/>
        </w:rPr>
        <w:t xml:space="preserve"> can cause lasting </w:t>
      </w:r>
      <w:r w:rsidR="00227066">
        <w:rPr>
          <w:rFonts w:ascii="Verdana" w:hAnsi="Verdana" w:cs="Arial"/>
          <w:color w:val="3C3C3B"/>
        </w:rPr>
        <w:t>damage without strict</w:t>
      </w:r>
      <w:r w:rsidR="00F94728">
        <w:rPr>
          <w:rFonts w:ascii="Verdana" w:hAnsi="Verdana" w:cs="Arial"/>
          <w:color w:val="3C3C3B"/>
        </w:rPr>
        <w:t xml:space="preserve"> and person-centred </w:t>
      </w:r>
      <w:r w:rsidR="00227066">
        <w:rPr>
          <w:rFonts w:ascii="Verdana" w:hAnsi="Verdana" w:cs="Arial"/>
          <w:color w:val="3C3C3B"/>
        </w:rPr>
        <w:t>safeguards</w:t>
      </w:r>
      <w:r w:rsidR="00F94728">
        <w:rPr>
          <w:rFonts w:ascii="Verdana" w:hAnsi="Verdana" w:cs="Arial"/>
          <w:color w:val="3C3C3B"/>
        </w:rPr>
        <w:t>:</w:t>
      </w:r>
    </w:p>
    <w:p w14:paraId="766067CC" w14:textId="092A47F1" w:rsidR="00F96FE4" w:rsidRDefault="00F96FE4" w:rsidP="008F3954">
      <w:pPr>
        <w:pStyle w:val="BasicParagraph"/>
        <w:suppressAutoHyphens/>
        <w:ind w:left="720" w:hanging="720"/>
        <w:rPr>
          <w:rFonts w:ascii="Verdana" w:hAnsi="Verdana" w:cs="Arial"/>
          <w:color w:val="3C3C3B"/>
        </w:rPr>
      </w:pPr>
    </w:p>
    <w:p w14:paraId="1B9AB3A8" w14:textId="2FFB79F0" w:rsidR="00227066" w:rsidRDefault="00227066" w:rsidP="00227066">
      <w:pPr>
        <w:pStyle w:val="BasicParagraph"/>
        <w:suppressAutoHyphens/>
        <w:ind w:left="1440"/>
        <w:rPr>
          <w:rFonts w:ascii="Verdana" w:hAnsi="Verdana"/>
        </w:rPr>
      </w:pPr>
      <w:r>
        <w:rPr>
          <w:rFonts w:ascii="Verdana" w:hAnsi="Verdana"/>
        </w:rPr>
        <w:t>“</w:t>
      </w:r>
      <w:r w:rsidRPr="009D7DA9">
        <w:rPr>
          <w:rFonts w:ascii="Verdana" w:hAnsi="Verdana"/>
        </w:rPr>
        <w:t xml:space="preserve">As regards seclusion, this particular measure is not necessarily a proper alternative to the use of mechanical, chemical or other means </w:t>
      </w:r>
      <w:r w:rsidRPr="009D7DA9">
        <w:rPr>
          <w:rFonts w:ascii="Verdana" w:hAnsi="Verdana"/>
        </w:rPr>
        <w:lastRenderedPageBreak/>
        <w:t>of restraint. Placing a patient in seclusion may produce a calming effect in the short term, but is also known to cause disorientation and anxiety, at least for certain patients. In other words, placement in a seclusion room without appropriate, accompanying safeguards may have an adverse result.</w:t>
      </w:r>
      <w:r>
        <w:rPr>
          <w:rFonts w:ascii="Verdana" w:hAnsi="Verdana"/>
        </w:rPr>
        <w:t>”</w:t>
      </w:r>
      <w:r w:rsidR="00765719">
        <w:rPr>
          <w:rStyle w:val="FootnoteReference"/>
          <w:rFonts w:ascii="Verdana" w:hAnsi="Verdana"/>
        </w:rPr>
        <w:footnoteReference w:id="66"/>
      </w:r>
    </w:p>
    <w:p w14:paraId="668BAC4C" w14:textId="77777777" w:rsidR="00F96FE4" w:rsidRDefault="00F96FE4" w:rsidP="007D24FB">
      <w:pPr>
        <w:pStyle w:val="BasicParagraph"/>
        <w:suppressAutoHyphens/>
        <w:rPr>
          <w:rFonts w:ascii="Verdana" w:hAnsi="Verdana" w:cs="Arial"/>
          <w:color w:val="3C3C3B"/>
        </w:rPr>
      </w:pPr>
    </w:p>
    <w:p w14:paraId="1BF8ADA7" w14:textId="79F1BC10" w:rsidR="00F96FE4" w:rsidRDefault="00AE5473" w:rsidP="009C39E2">
      <w:pPr>
        <w:pStyle w:val="BasicParagraph"/>
        <w:suppressAutoHyphens/>
        <w:ind w:left="720" w:hanging="720"/>
        <w:rPr>
          <w:rFonts w:ascii="Verdana" w:hAnsi="Verdana"/>
        </w:rPr>
      </w:pPr>
      <w:r>
        <w:rPr>
          <w:rFonts w:ascii="Verdana" w:hAnsi="Verdana" w:cs="Arial"/>
          <w:color w:val="3C3C3B"/>
        </w:rPr>
        <w:t>7.2</w:t>
      </w:r>
      <w:r>
        <w:rPr>
          <w:rFonts w:ascii="Verdana" w:hAnsi="Verdana" w:cs="Arial"/>
          <w:color w:val="3C3C3B"/>
        </w:rPr>
        <w:tab/>
      </w:r>
      <w:r w:rsidR="00CD48D0">
        <w:rPr>
          <w:rFonts w:ascii="Verdana" w:hAnsi="Verdana" w:cs="Arial"/>
          <w:color w:val="3C3C3B"/>
        </w:rPr>
        <w:t>To that end</w:t>
      </w:r>
      <w:r>
        <w:rPr>
          <w:rFonts w:ascii="Verdana" w:hAnsi="Verdana" w:cs="Arial"/>
          <w:color w:val="3C3C3B"/>
        </w:rPr>
        <w:t xml:space="preserve">, the Commission </w:t>
      </w:r>
      <w:r w:rsidR="00A43A47">
        <w:rPr>
          <w:rFonts w:ascii="Verdana" w:hAnsi="Verdana" w:cs="Arial"/>
          <w:color w:val="3C3C3B"/>
        </w:rPr>
        <w:t xml:space="preserve">welcomes the </w:t>
      </w:r>
      <w:r w:rsidR="00884AA7">
        <w:rPr>
          <w:rFonts w:ascii="Verdana" w:hAnsi="Verdana" w:cs="Arial"/>
          <w:color w:val="3C3C3B"/>
        </w:rPr>
        <w:t xml:space="preserve">development </w:t>
      </w:r>
      <w:r w:rsidR="00884AA7" w:rsidRPr="00884AA7">
        <w:rPr>
          <w:rFonts w:ascii="Verdana" w:hAnsi="Verdana" w:cs="Arial"/>
          <w:color w:val="3C3C3B"/>
        </w:rPr>
        <w:t xml:space="preserve">of </w:t>
      </w:r>
      <w:r w:rsidR="00A93981">
        <w:rPr>
          <w:rFonts w:ascii="Verdana" w:hAnsi="Verdana" w:cs="Arial"/>
          <w:color w:val="3C3C3B"/>
        </w:rPr>
        <w:t xml:space="preserve">a </w:t>
      </w:r>
      <w:r w:rsidR="0065390C">
        <w:rPr>
          <w:rFonts w:ascii="Verdana" w:hAnsi="Verdana" w:cs="Arial"/>
          <w:color w:val="3C3C3B"/>
        </w:rPr>
        <w:t xml:space="preserve">detailed </w:t>
      </w:r>
      <w:r w:rsidR="00884AA7" w:rsidRPr="00884AA7">
        <w:rPr>
          <w:rFonts w:ascii="Verdana" w:hAnsi="Verdana"/>
        </w:rPr>
        <w:t>regional operating procedure for seclusion as a last resort intervention</w:t>
      </w:r>
      <w:r w:rsidR="00F96502">
        <w:rPr>
          <w:rFonts w:ascii="Verdana" w:hAnsi="Verdana"/>
        </w:rPr>
        <w:t xml:space="preserve">, which promotes a number of proactive steps to adopt alternative measures and </w:t>
      </w:r>
      <w:r w:rsidR="004D2F17">
        <w:rPr>
          <w:rFonts w:ascii="Verdana" w:hAnsi="Verdana"/>
        </w:rPr>
        <w:t xml:space="preserve">ultimately </w:t>
      </w:r>
      <w:r w:rsidR="00F96502">
        <w:rPr>
          <w:rFonts w:ascii="Verdana" w:hAnsi="Verdana"/>
        </w:rPr>
        <w:t xml:space="preserve">eliminate </w:t>
      </w:r>
      <w:r w:rsidR="00B9332E">
        <w:rPr>
          <w:rFonts w:ascii="Verdana" w:hAnsi="Verdana"/>
        </w:rPr>
        <w:t>its use</w:t>
      </w:r>
      <w:r w:rsidR="00E80679">
        <w:rPr>
          <w:rFonts w:ascii="Verdana" w:hAnsi="Verdana"/>
        </w:rPr>
        <w:t xml:space="preserve">. </w:t>
      </w:r>
      <w:r w:rsidR="00B42EA2">
        <w:rPr>
          <w:rFonts w:ascii="Verdana" w:hAnsi="Verdana"/>
        </w:rPr>
        <w:t xml:space="preserve">It is </w:t>
      </w:r>
      <w:r w:rsidR="007E3EBB">
        <w:rPr>
          <w:rFonts w:ascii="Verdana" w:hAnsi="Verdana"/>
        </w:rPr>
        <w:t xml:space="preserve">welcomed that the use of seclusion is </w:t>
      </w:r>
      <w:r w:rsidR="000E0AE2">
        <w:rPr>
          <w:rFonts w:ascii="Verdana" w:hAnsi="Verdana"/>
        </w:rPr>
        <w:t>limited to</w:t>
      </w:r>
      <w:r w:rsidR="00B560E3">
        <w:rPr>
          <w:rFonts w:ascii="Verdana" w:hAnsi="Verdana"/>
        </w:rPr>
        <w:t xml:space="preserve"> </w:t>
      </w:r>
      <w:r w:rsidR="000E0AE2" w:rsidRPr="00B560E3">
        <w:rPr>
          <w:rFonts w:ascii="Verdana" w:hAnsi="Verdana"/>
        </w:rPr>
        <w:t xml:space="preserve">a hospital setting or </w:t>
      </w:r>
      <w:r w:rsidR="008A1A8D">
        <w:rPr>
          <w:rFonts w:ascii="Verdana" w:hAnsi="Verdana"/>
        </w:rPr>
        <w:t xml:space="preserve">a purpose-built </w:t>
      </w:r>
      <w:r w:rsidR="000E0AE2" w:rsidRPr="00B560E3">
        <w:rPr>
          <w:rFonts w:ascii="Verdana" w:hAnsi="Verdana"/>
        </w:rPr>
        <w:t>suite</w:t>
      </w:r>
      <w:r w:rsidR="0095305C">
        <w:rPr>
          <w:rFonts w:ascii="Verdana" w:hAnsi="Verdana"/>
        </w:rPr>
        <w:t xml:space="preserve"> that </w:t>
      </w:r>
      <w:r w:rsidR="00F22364">
        <w:rPr>
          <w:rFonts w:ascii="Verdana" w:hAnsi="Verdana"/>
        </w:rPr>
        <w:t xml:space="preserve">must comply with the number of </w:t>
      </w:r>
      <w:r w:rsidR="00990BC1">
        <w:rPr>
          <w:rFonts w:ascii="Verdana" w:hAnsi="Verdana"/>
        </w:rPr>
        <w:t xml:space="preserve">procedural </w:t>
      </w:r>
      <w:r w:rsidR="008F0552">
        <w:rPr>
          <w:rFonts w:ascii="Verdana" w:hAnsi="Verdana"/>
        </w:rPr>
        <w:t xml:space="preserve">safeguards at </w:t>
      </w:r>
      <w:r w:rsidR="00BD34A0">
        <w:rPr>
          <w:rFonts w:ascii="Verdana" w:hAnsi="Verdana"/>
        </w:rPr>
        <w:t>paras at 11.22 – 11.25</w:t>
      </w:r>
      <w:r w:rsidR="008F0552">
        <w:rPr>
          <w:rFonts w:ascii="Verdana" w:hAnsi="Verdana"/>
        </w:rPr>
        <w:t xml:space="preserve">. </w:t>
      </w:r>
      <w:r w:rsidR="00420ED1">
        <w:rPr>
          <w:rFonts w:ascii="Verdana" w:hAnsi="Verdana"/>
        </w:rPr>
        <w:t>However</w:t>
      </w:r>
      <w:r w:rsidR="002144E4">
        <w:rPr>
          <w:rFonts w:ascii="Verdana" w:hAnsi="Verdana"/>
        </w:rPr>
        <w:t xml:space="preserve">, in accordance with the CPT Standards, the Commission </w:t>
      </w:r>
      <w:r w:rsidR="00306D1E">
        <w:rPr>
          <w:rFonts w:ascii="Verdana" w:hAnsi="Verdana"/>
        </w:rPr>
        <w:t>would like to stress the need for staff to be especially attentive</w:t>
      </w:r>
      <w:r w:rsidR="00990BC1">
        <w:rPr>
          <w:rFonts w:ascii="Verdana" w:hAnsi="Verdana"/>
        </w:rPr>
        <w:t xml:space="preserve"> and to have this </w:t>
      </w:r>
      <w:r w:rsidR="00C14CBB">
        <w:rPr>
          <w:rFonts w:ascii="Verdana" w:hAnsi="Verdana"/>
        </w:rPr>
        <w:t>clearly defined</w:t>
      </w:r>
      <w:r w:rsidR="00990BC1">
        <w:rPr>
          <w:rFonts w:ascii="Verdana" w:hAnsi="Verdana"/>
        </w:rPr>
        <w:t xml:space="preserve"> in </w:t>
      </w:r>
      <w:r w:rsidR="00155E04">
        <w:rPr>
          <w:rFonts w:ascii="Verdana" w:hAnsi="Verdana"/>
        </w:rPr>
        <w:t xml:space="preserve">guidance: </w:t>
      </w:r>
      <w:r w:rsidR="00990BC1">
        <w:rPr>
          <w:rFonts w:ascii="Verdana" w:hAnsi="Verdana"/>
        </w:rPr>
        <w:t xml:space="preserve"> </w:t>
      </w:r>
      <w:r w:rsidR="00E332C6">
        <w:rPr>
          <w:rFonts w:ascii="Verdana" w:hAnsi="Verdana"/>
        </w:rPr>
        <w:t xml:space="preserve"> </w:t>
      </w:r>
    </w:p>
    <w:p w14:paraId="01557F7B" w14:textId="48084D8D" w:rsidR="00E332C6" w:rsidRDefault="00E332C6" w:rsidP="00420ED1">
      <w:pPr>
        <w:pStyle w:val="BasicParagraph"/>
        <w:suppressAutoHyphens/>
        <w:ind w:left="720"/>
        <w:rPr>
          <w:rFonts w:ascii="Verdana" w:hAnsi="Verdana"/>
        </w:rPr>
      </w:pPr>
    </w:p>
    <w:p w14:paraId="24C77E49" w14:textId="6C70528C" w:rsidR="00E332C6" w:rsidRPr="000A2118" w:rsidRDefault="00E332C6" w:rsidP="00E332C6">
      <w:pPr>
        <w:pStyle w:val="BasicParagraph"/>
        <w:suppressAutoHyphens/>
        <w:ind w:left="1440"/>
        <w:rPr>
          <w:rFonts w:ascii="Verdana" w:hAnsi="Verdana" w:cs="Arial"/>
          <w:color w:val="3C3C3B"/>
          <w:sz w:val="20"/>
          <w:szCs w:val="20"/>
        </w:rPr>
      </w:pPr>
      <w:r>
        <w:rPr>
          <w:rFonts w:ascii="Verdana" w:hAnsi="Verdana"/>
        </w:rPr>
        <w:t>“</w:t>
      </w:r>
      <w:r w:rsidRPr="000A2118">
        <w:rPr>
          <w:rFonts w:ascii="Verdana" w:hAnsi="Verdana"/>
        </w:rPr>
        <w:t>If patients are held in seclusion, the staff member may be outside the patient's room (or in an adjacent room with a connecting window), provided that the patient can fully see the staff member and the latter can continuously observe and hear the patient. Clearly, video surveillance cannot replace continuous staff presence.</w:t>
      </w:r>
      <w:r>
        <w:rPr>
          <w:rFonts w:ascii="Verdana" w:hAnsi="Verdana"/>
        </w:rPr>
        <w:t>”</w:t>
      </w:r>
      <w:r w:rsidR="00765719">
        <w:rPr>
          <w:rStyle w:val="FootnoteReference"/>
          <w:rFonts w:ascii="Verdana" w:hAnsi="Verdana"/>
        </w:rPr>
        <w:footnoteReference w:id="67"/>
      </w:r>
    </w:p>
    <w:p w14:paraId="0193F916" w14:textId="77777777" w:rsidR="00E332C6" w:rsidRPr="00AE5473" w:rsidRDefault="00E332C6" w:rsidP="00420ED1">
      <w:pPr>
        <w:pStyle w:val="BasicParagraph"/>
        <w:suppressAutoHyphens/>
        <w:ind w:left="720"/>
        <w:rPr>
          <w:rFonts w:ascii="Verdana" w:hAnsi="Verdana" w:cs="Arial"/>
          <w:color w:val="3C3C3B"/>
        </w:rPr>
      </w:pPr>
    </w:p>
    <w:p w14:paraId="3DE76732" w14:textId="773399ED" w:rsidR="00FE4B3E" w:rsidRPr="00FE4B3E" w:rsidRDefault="00C14CBB" w:rsidP="00FE4B3E">
      <w:pPr>
        <w:pStyle w:val="BasicParagraph"/>
        <w:suppressAutoHyphens/>
        <w:ind w:left="720" w:hanging="720"/>
        <w:rPr>
          <w:rFonts w:ascii="Verdana" w:hAnsi="Verdana"/>
          <w:b/>
          <w:bCs/>
        </w:rPr>
      </w:pPr>
      <w:r>
        <w:rPr>
          <w:rFonts w:ascii="Verdana" w:hAnsi="Verdana"/>
          <w:b/>
          <w:bCs/>
        </w:rPr>
        <w:t>7.</w:t>
      </w:r>
      <w:r w:rsidR="00C04C77">
        <w:rPr>
          <w:rFonts w:ascii="Verdana" w:hAnsi="Verdana"/>
          <w:b/>
          <w:bCs/>
        </w:rPr>
        <w:t>3</w:t>
      </w:r>
      <w:r>
        <w:rPr>
          <w:rFonts w:ascii="Verdana" w:hAnsi="Verdana"/>
          <w:b/>
          <w:bCs/>
        </w:rPr>
        <w:tab/>
      </w:r>
      <w:r w:rsidR="00990BC1" w:rsidRPr="00990BC1">
        <w:rPr>
          <w:rFonts w:ascii="Verdana" w:hAnsi="Verdana"/>
          <w:b/>
          <w:bCs/>
        </w:rPr>
        <w:t xml:space="preserve">The Commission recommends that the </w:t>
      </w:r>
      <w:r w:rsidR="007215A0">
        <w:rPr>
          <w:rFonts w:ascii="Verdana" w:hAnsi="Verdana"/>
          <w:b/>
          <w:bCs/>
        </w:rPr>
        <w:t xml:space="preserve">guidance clearly sets out </w:t>
      </w:r>
      <w:r w:rsidR="00BD2474">
        <w:rPr>
          <w:rFonts w:ascii="Verdana" w:hAnsi="Verdana"/>
          <w:b/>
          <w:bCs/>
        </w:rPr>
        <w:t>at para 11.23 that</w:t>
      </w:r>
      <w:r w:rsidR="00784E85">
        <w:rPr>
          <w:rFonts w:ascii="Verdana" w:hAnsi="Verdana"/>
          <w:b/>
          <w:bCs/>
        </w:rPr>
        <w:t xml:space="preserve"> </w:t>
      </w:r>
      <w:r w:rsidR="00FE4B3E" w:rsidRPr="00FE4B3E">
        <w:rPr>
          <w:rFonts w:ascii="Verdana" w:hAnsi="Verdana"/>
          <w:b/>
          <w:bCs/>
        </w:rPr>
        <w:t xml:space="preserve">the </w:t>
      </w:r>
      <w:r w:rsidR="00BF47D7">
        <w:rPr>
          <w:rFonts w:ascii="Verdana" w:hAnsi="Verdana"/>
          <w:b/>
          <w:bCs/>
        </w:rPr>
        <w:t xml:space="preserve">seclusion </w:t>
      </w:r>
      <w:r w:rsidR="00FE4B3E" w:rsidRPr="00FE4B3E">
        <w:rPr>
          <w:rFonts w:ascii="Verdana" w:hAnsi="Verdana"/>
          <w:b/>
          <w:bCs/>
        </w:rPr>
        <w:t xml:space="preserve">room must allow for staff to be able to continuously observe and hear the person within the designated room, and that the latter can fully see the staff member. It should be made explicit that video surveillance cannot replace staff presence. </w:t>
      </w:r>
    </w:p>
    <w:p w14:paraId="23926C0E" w14:textId="77777777" w:rsidR="006A0461" w:rsidRDefault="006A0461" w:rsidP="00B9332E">
      <w:pPr>
        <w:pStyle w:val="BasicParagraph"/>
        <w:suppressAutoHyphens/>
        <w:rPr>
          <w:rFonts w:ascii="Verdana" w:hAnsi="Verdana" w:cs="Arial"/>
          <w:color w:val="3C3C3B"/>
        </w:rPr>
      </w:pPr>
    </w:p>
    <w:p w14:paraId="56DC2766" w14:textId="53A2F98A" w:rsidR="00B05BD5" w:rsidRDefault="005E5446" w:rsidP="003264A4">
      <w:pPr>
        <w:pStyle w:val="BasicParagraph"/>
        <w:suppressAutoHyphens/>
        <w:ind w:left="720" w:hanging="720"/>
        <w:rPr>
          <w:rFonts w:ascii="Verdana" w:hAnsi="Verdana" w:cs="Arial"/>
          <w:color w:val="3C3C3B"/>
        </w:rPr>
      </w:pPr>
      <w:r>
        <w:rPr>
          <w:rFonts w:ascii="Verdana" w:hAnsi="Verdana" w:cs="Arial"/>
          <w:color w:val="3C3C3B"/>
        </w:rPr>
        <w:t>7.4</w:t>
      </w:r>
      <w:r>
        <w:rPr>
          <w:rFonts w:ascii="Verdana" w:hAnsi="Verdana" w:cs="Arial"/>
          <w:color w:val="3C3C3B"/>
        </w:rPr>
        <w:tab/>
      </w:r>
      <w:r w:rsidR="007C3D27">
        <w:rPr>
          <w:rFonts w:ascii="Verdana" w:hAnsi="Verdana" w:cs="Arial"/>
          <w:color w:val="3C3C3B"/>
        </w:rPr>
        <w:t xml:space="preserve">Finally, the Commission reiterates the recommendation </w:t>
      </w:r>
      <w:r w:rsidR="00B05BD5">
        <w:rPr>
          <w:rFonts w:ascii="Verdana" w:hAnsi="Verdana" w:cs="Arial"/>
          <w:color w:val="3C3C3B"/>
        </w:rPr>
        <w:t xml:space="preserve">above, that </w:t>
      </w:r>
      <w:r w:rsidR="001444CE">
        <w:rPr>
          <w:rFonts w:ascii="Verdana" w:hAnsi="Verdana" w:cs="Arial"/>
          <w:color w:val="3C3C3B"/>
        </w:rPr>
        <w:t xml:space="preserve">the guidance should </w:t>
      </w:r>
      <w:r w:rsidR="004C0AB5">
        <w:rPr>
          <w:rFonts w:ascii="Verdana" w:hAnsi="Verdana" w:cs="Arial"/>
          <w:color w:val="3C3C3B"/>
        </w:rPr>
        <w:t xml:space="preserve">provide </w:t>
      </w:r>
      <w:r w:rsidR="001444CE">
        <w:rPr>
          <w:rFonts w:ascii="Verdana" w:hAnsi="Verdana" w:cs="Arial"/>
          <w:color w:val="3C3C3B"/>
        </w:rPr>
        <w:t>explicit</w:t>
      </w:r>
      <w:r w:rsidR="004C0AB5">
        <w:rPr>
          <w:rFonts w:ascii="Verdana" w:hAnsi="Verdana" w:cs="Arial"/>
          <w:color w:val="3C3C3B"/>
        </w:rPr>
        <w:t>ly</w:t>
      </w:r>
      <w:r w:rsidR="001444CE">
        <w:rPr>
          <w:rFonts w:ascii="Verdana" w:hAnsi="Verdana" w:cs="Arial"/>
          <w:color w:val="3C3C3B"/>
        </w:rPr>
        <w:t xml:space="preserve"> that seclusion should never be used </w:t>
      </w:r>
      <w:r w:rsidR="004C0AB5">
        <w:rPr>
          <w:rFonts w:ascii="Verdana" w:hAnsi="Verdana" w:cs="Arial"/>
          <w:color w:val="3C3C3B"/>
        </w:rPr>
        <w:t xml:space="preserve">if the </w:t>
      </w:r>
      <w:r w:rsidR="004C0AB5" w:rsidRPr="00B74DF7">
        <w:rPr>
          <w:rFonts w:ascii="Verdana" w:hAnsi="Verdana" w:cs="Arial"/>
          <w:i/>
          <w:iCs/>
          <w:color w:val="3C3C3B"/>
        </w:rPr>
        <w:t>reason</w:t>
      </w:r>
      <w:r w:rsidR="004C0AB5">
        <w:rPr>
          <w:rFonts w:ascii="Verdana" w:hAnsi="Verdana" w:cs="Arial"/>
          <w:color w:val="3C3C3B"/>
        </w:rPr>
        <w:t xml:space="preserve"> for use is </w:t>
      </w:r>
      <w:r w:rsidR="001444CE">
        <w:rPr>
          <w:rFonts w:ascii="Verdana" w:hAnsi="Verdana" w:cs="Arial"/>
          <w:color w:val="3C3C3B"/>
        </w:rPr>
        <w:t xml:space="preserve">related to disability. </w:t>
      </w:r>
      <w:r>
        <w:rPr>
          <w:rFonts w:ascii="Verdana" w:hAnsi="Verdana" w:cs="Arial"/>
          <w:color w:val="3C3C3B"/>
        </w:rPr>
        <w:t>The use of seclusion for persons or children and young people with disabilities will only be justified in very limited circumstances</w:t>
      </w:r>
      <w:r w:rsidR="00E263EE">
        <w:rPr>
          <w:rFonts w:ascii="Verdana" w:hAnsi="Verdana" w:cs="Arial"/>
          <w:color w:val="3C3C3B"/>
        </w:rPr>
        <w:t xml:space="preserve"> when </w:t>
      </w:r>
      <w:r w:rsidR="00E263EE" w:rsidRPr="00E263EE">
        <w:rPr>
          <w:rFonts w:ascii="Verdana" w:hAnsi="Verdana" w:cs="Arial"/>
          <w:color w:val="3C3C3B"/>
        </w:rPr>
        <w:t xml:space="preserve">deemed </w:t>
      </w:r>
      <w:r w:rsidR="003264A4">
        <w:rPr>
          <w:rFonts w:ascii="Verdana" w:hAnsi="Verdana" w:cs="Arial"/>
          <w:color w:val="3C3C3B"/>
        </w:rPr>
        <w:t>necessary</w:t>
      </w:r>
      <w:r w:rsidR="00E263EE" w:rsidRPr="00E263EE">
        <w:rPr>
          <w:rFonts w:ascii="Verdana" w:hAnsi="Verdana" w:cs="Arial"/>
          <w:color w:val="3C3C3B"/>
        </w:rPr>
        <w:t xml:space="preserve"> to prevent serious harm to the p</w:t>
      </w:r>
      <w:r w:rsidR="003264A4">
        <w:rPr>
          <w:rFonts w:ascii="Verdana" w:hAnsi="Verdana" w:cs="Arial"/>
          <w:color w:val="3C3C3B"/>
        </w:rPr>
        <w:t xml:space="preserve">erson or </w:t>
      </w:r>
      <w:r w:rsidR="00E263EE" w:rsidRPr="00E263EE">
        <w:rPr>
          <w:rFonts w:ascii="Verdana" w:hAnsi="Verdana" w:cs="Arial"/>
          <w:color w:val="3C3C3B"/>
        </w:rPr>
        <w:t>others.</w:t>
      </w:r>
      <w:r w:rsidR="00E263EE" w:rsidRPr="00E263EE">
        <w:rPr>
          <w:rFonts w:ascii="Verdana" w:hAnsi="Verdana" w:cs="Arial"/>
          <w:color w:val="3C3C3B"/>
        </w:rPr>
        <w:cr/>
      </w:r>
    </w:p>
    <w:p w14:paraId="7A1B4DB1" w14:textId="77777777" w:rsidR="00B05BD5" w:rsidRDefault="00B05BD5" w:rsidP="007C3D27">
      <w:pPr>
        <w:pStyle w:val="BasicParagraph"/>
        <w:suppressAutoHyphens/>
        <w:ind w:firstLine="720"/>
        <w:rPr>
          <w:rFonts w:ascii="Verdana" w:hAnsi="Verdana" w:cs="Arial"/>
          <w:color w:val="3C3C3B"/>
        </w:rPr>
      </w:pPr>
    </w:p>
    <w:p w14:paraId="46CFBCF2" w14:textId="3ED4EAD8" w:rsidR="00B9332E" w:rsidRPr="000A2118" w:rsidRDefault="00B9332E" w:rsidP="00B9332E">
      <w:pPr>
        <w:pStyle w:val="BasicParagraph"/>
        <w:suppressAutoHyphens/>
        <w:rPr>
          <w:rFonts w:ascii="Verdana" w:hAnsi="Verdana" w:cs="Arial"/>
          <w:color w:val="3C3C3B"/>
          <w:sz w:val="20"/>
          <w:szCs w:val="20"/>
        </w:rPr>
      </w:pPr>
    </w:p>
    <w:p w14:paraId="17EEBB2A" w14:textId="77777777" w:rsidR="005C754F" w:rsidRDefault="005C754F" w:rsidP="005E5446">
      <w:pPr>
        <w:pStyle w:val="BasicParagraph"/>
        <w:suppressAutoHyphens/>
        <w:rPr>
          <w:rFonts w:ascii="Verdana" w:hAnsi="Verdana" w:cs="Arial"/>
          <w:color w:val="3C3C3B"/>
          <w:sz w:val="20"/>
          <w:szCs w:val="20"/>
        </w:rPr>
      </w:pPr>
    </w:p>
    <w:p w14:paraId="3C8EEC63" w14:textId="77777777" w:rsidR="005C754F" w:rsidRDefault="005C754F" w:rsidP="003B7D0E">
      <w:pPr>
        <w:pStyle w:val="BasicParagraph"/>
        <w:suppressAutoHyphens/>
        <w:jc w:val="center"/>
        <w:rPr>
          <w:rFonts w:ascii="Verdana" w:hAnsi="Verdana" w:cs="Arial"/>
          <w:color w:val="3C3C3B"/>
          <w:sz w:val="20"/>
          <w:szCs w:val="20"/>
        </w:rPr>
      </w:pPr>
    </w:p>
    <w:p w14:paraId="520F594C" w14:textId="77777777" w:rsidR="006E3820" w:rsidRDefault="006E3820" w:rsidP="003B7D0E">
      <w:pPr>
        <w:pStyle w:val="BasicParagraph"/>
        <w:suppressAutoHyphens/>
        <w:jc w:val="center"/>
        <w:rPr>
          <w:rFonts w:ascii="Verdana" w:hAnsi="Verdana" w:cs="Arial"/>
          <w:color w:val="3C3C3B"/>
          <w:sz w:val="20"/>
          <w:szCs w:val="20"/>
        </w:rPr>
      </w:pPr>
    </w:p>
    <w:p w14:paraId="31E18F74" w14:textId="77777777" w:rsidR="006E3820" w:rsidRDefault="006E3820" w:rsidP="003B7D0E">
      <w:pPr>
        <w:pStyle w:val="BasicParagraph"/>
        <w:suppressAutoHyphens/>
        <w:jc w:val="center"/>
        <w:rPr>
          <w:rFonts w:ascii="Verdana" w:hAnsi="Verdana" w:cs="Arial"/>
          <w:color w:val="3C3C3B"/>
          <w:sz w:val="20"/>
          <w:szCs w:val="20"/>
        </w:rPr>
      </w:pPr>
    </w:p>
    <w:p w14:paraId="35491CA0" w14:textId="77777777" w:rsidR="002E3356" w:rsidRDefault="002E3356" w:rsidP="003B7D0E">
      <w:pPr>
        <w:pStyle w:val="BasicParagraph"/>
        <w:suppressAutoHyphens/>
        <w:jc w:val="center"/>
        <w:rPr>
          <w:rFonts w:ascii="Verdana" w:hAnsi="Verdana" w:cs="Arial"/>
          <w:color w:val="3C3C3B"/>
          <w:sz w:val="20"/>
          <w:szCs w:val="20"/>
        </w:rPr>
      </w:pPr>
    </w:p>
    <w:p w14:paraId="50DBE48A" w14:textId="77777777" w:rsidR="002E3356" w:rsidRDefault="002E3356" w:rsidP="003B7D0E">
      <w:pPr>
        <w:pStyle w:val="BasicParagraph"/>
        <w:suppressAutoHyphens/>
        <w:jc w:val="center"/>
        <w:rPr>
          <w:rFonts w:ascii="Verdana" w:hAnsi="Verdana" w:cs="Arial"/>
          <w:color w:val="3C3C3B"/>
          <w:sz w:val="20"/>
          <w:szCs w:val="20"/>
        </w:rPr>
      </w:pPr>
    </w:p>
    <w:p w14:paraId="1EDB67BD" w14:textId="77777777" w:rsidR="002E3356" w:rsidRDefault="002E3356" w:rsidP="003B7D0E">
      <w:pPr>
        <w:pStyle w:val="BasicParagraph"/>
        <w:suppressAutoHyphens/>
        <w:jc w:val="center"/>
        <w:rPr>
          <w:rFonts w:ascii="Verdana" w:hAnsi="Verdana" w:cs="Arial"/>
          <w:color w:val="3C3C3B"/>
          <w:sz w:val="20"/>
          <w:szCs w:val="20"/>
        </w:rPr>
      </w:pPr>
    </w:p>
    <w:p w14:paraId="62277CD3" w14:textId="6C1F60A3" w:rsidR="002E3356" w:rsidRDefault="002E3356" w:rsidP="003B7D0E">
      <w:pPr>
        <w:pStyle w:val="BasicParagraph"/>
        <w:suppressAutoHyphens/>
        <w:jc w:val="center"/>
        <w:rPr>
          <w:rFonts w:ascii="Verdana" w:hAnsi="Verdana" w:cs="Arial"/>
          <w:color w:val="3C3C3B"/>
          <w:sz w:val="20"/>
          <w:szCs w:val="20"/>
        </w:rPr>
      </w:pPr>
    </w:p>
    <w:p w14:paraId="0ACB2E7A" w14:textId="3E41C6BB" w:rsidR="003264A4" w:rsidRDefault="003264A4" w:rsidP="003B7D0E">
      <w:pPr>
        <w:pStyle w:val="BasicParagraph"/>
        <w:suppressAutoHyphens/>
        <w:jc w:val="center"/>
        <w:rPr>
          <w:rFonts w:ascii="Verdana" w:hAnsi="Verdana" w:cs="Arial"/>
          <w:color w:val="3C3C3B"/>
          <w:sz w:val="20"/>
          <w:szCs w:val="20"/>
        </w:rPr>
      </w:pPr>
    </w:p>
    <w:p w14:paraId="7C71BD0F" w14:textId="2FE3F31F" w:rsidR="003264A4" w:rsidRDefault="003264A4" w:rsidP="003B7D0E">
      <w:pPr>
        <w:pStyle w:val="BasicParagraph"/>
        <w:suppressAutoHyphens/>
        <w:jc w:val="center"/>
        <w:rPr>
          <w:rFonts w:ascii="Verdana" w:hAnsi="Verdana" w:cs="Arial"/>
          <w:color w:val="3C3C3B"/>
          <w:sz w:val="20"/>
          <w:szCs w:val="20"/>
        </w:rPr>
      </w:pPr>
    </w:p>
    <w:p w14:paraId="56F2C5F3" w14:textId="3AA0E560" w:rsidR="003264A4" w:rsidRDefault="003264A4" w:rsidP="003B7D0E">
      <w:pPr>
        <w:pStyle w:val="BasicParagraph"/>
        <w:suppressAutoHyphens/>
        <w:jc w:val="center"/>
        <w:rPr>
          <w:rFonts w:ascii="Verdana" w:hAnsi="Verdana" w:cs="Arial"/>
          <w:color w:val="3C3C3B"/>
          <w:sz w:val="20"/>
          <w:szCs w:val="20"/>
        </w:rPr>
      </w:pPr>
    </w:p>
    <w:p w14:paraId="498C7582" w14:textId="2C84C9B4" w:rsidR="003264A4" w:rsidRDefault="003264A4" w:rsidP="003B7D0E">
      <w:pPr>
        <w:pStyle w:val="BasicParagraph"/>
        <w:suppressAutoHyphens/>
        <w:jc w:val="center"/>
        <w:rPr>
          <w:rFonts w:ascii="Verdana" w:hAnsi="Verdana" w:cs="Arial"/>
          <w:color w:val="3C3C3B"/>
          <w:sz w:val="20"/>
          <w:szCs w:val="20"/>
        </w:rPr>
      </w:pPr>
    </w:p>
    <w:p w14:paraId="7D3AD12F" w14:textId="5477ED43" w:rsidR="003264A4" w:rsidRDefault="003264A4" w:rsidP="003B7D0E">
      <w:pPr>
        <w:pStyle w:val="BasicParagraph"/>
        <w:suppressAutoHyphens/>
        <w:jc w:val="center"/>
        <w:rPr>
          <w:rFonts w:ascii="Verdana" w:hAnsi="Verdana" w:cs="Arial"/>
          <w:color w:val="3C3C3B"/>
          <w:sz w:val="20"/>
          <w:szCs w:val="20"/>
        </w:rPr>
      </w:pPr>
    </w:p>
    <w:p w14:paraId="17D6007A" w14:textId="07DD19B2" w:rsidR="003264A4" w:rsidRDefault="003264A4" w:rsidP="003B7D0E">
      <w:pPr>
        <w:pStyle w:val="BasicParagraph"/>
        <w:suppressAutoHyphens/>
        <w:jc w:val="center"/>
        <w:rPr>
          <w:rFonts w:ascii="Verdana" w:hAnsi="Verdana" w:cs="Arial"/>
          <w:color w:val="3C3C3B"/>
          <w:sz w:val="20"/>
          <w:szCs w:val="20"/>
        </w:rPr>
      </w:pPr>
    </w:p>
    <w:p w14:paraId="482F7F2E" w14:textId="612EE66B" w:rsidR="003264A4" w:rsidRDefault="003264A4" w:rsidP="003B7D0E">
      <w:pPr>
        <w:pStyle w:val="BasicParagraph"/>
        <w:suppressAutoHyphens/>
        <w:jc w:val="center"/>
        <w:rPr>
          <w:rFonts w:ascii="Verdana" w:hAnsi="Verdana" w:cs="Arial"/>
          <w:color w:val="3C3C3B"/>
          <w:sz w:val="20"/>
          <w:szCs w:val="20"/>
        </w:rPr>
      </w:pPr>
    </w:p>
    <w:p w14:paraId="5F4A877D" w14:textId="493CA079" w:rsidR="003264A4" w:rsidRDefault="003264A4" w:rsidP="003B7D0E">
      <w:pPr>
        <w:pStyle w:val="BasicParagraph"/>
        <w:suppressAutoHyphens/>
        <w:jc w:val="center"/>
        <w:rPr>
          <w:rFonts w:ascii="Verdana" w:hAnsi="Verdana" w:cs="Arial"/>
          <w:color w:val="3C3C3B"/>
          <w:sz w:val="20"/>
          <w:szCs w:val="20"/>
        </w:rPr>
      </w:pPr>
    </w:p>
    <w:p w14:paraId="35E52889" w14:textId="3350DCCC" w:rsidR="003264A4" w:rsidRDefault="003264A4" w:rsidP="003B7D0E">
      <w:pPr>
        <w:pStyle w:val="BasicParagraph"/>
        <w:suppressAutoHyphens/>
        <w:jc w:val="center"/>
        <w:rPr>
          <w:rFonts w:ascii="Verdana" w:hAnsi="Verdana" w:cs="Arial"/>
          <w:color w:val="3C3C3B"/>
          <w:sz w:val="20"/>
          <w:szCs w:val="20"/>
        </w:rPr>
      </w:pPr>
    </w:p>
    <w:p w14:paraId="40334D75" w14:textId="0B2F690F" w:rsidR="003264A4" w:rsidRDefault="003264A4" w:rsidP="003B7D0E">
      <w:pPr>
        <w:pStyle w:val="BasicParagraph"/>
        <w:suppressAutoHyphens/>
        <w:jc w:val="center"/>
        <w:rPr>
          <w:rFonts w:ascii="Verdana" w:hAnsi="Verdana" w:cs="Arial"/>
          <w:color w:val="3C3C3B"/>
          <w:sz w:val="20"/>
          <w:szCs w:val="20"/>
        </w:rPr>
      </w:pPr>
    </w:p>
    <w:p w14:paraId="34DE18FA" w14:textId="4770EEF5" w:rsidR="003264A4" w:rsidRDefault="003264A4" w:rsidP="003B7D0E">
      <w:pPr>
        <w:pStyle w:val="BasicParagraph"/>
        <w:suppressAutoHyphens/>
        <w:jc w:val="center"/>
        <w:rPr>
          <w:rFonts w:ascii="Verdana" w:hAnsi="Verdana" w:cs="Arial"/>
          <w:color w:val="3C3C3B"/>
          <w:sz w:val="20"/>
          <w:szCs w:val="20"/>
        </w:rPr>
      </w:pPr>
    </w:p>
    <w:p w14:paraId="528C196D" w14:textId="63B83E11" w:rsidR="003264A4" w:rsidRDefault="003264A4" w:rsidP="003B7D0E">
      <w:pPr>
        <w:pStyle w:val="BasicParagraph"/>
        <w:suppressAutoHyphens/>
        <w:jc w:val="center"/>
        <w:rPr>
          <w:rFonts w:ascii="Verdana" w:hAnsi="Verdana" w:cs="Arial"/>
          <w:color w:val="3C3C3B"/>
          <w:sz w:val="20"/>
          <w:szCs w:val="20"/>
        </w:rPr>
      </w:pPr>
    </w:p>
    <w:p w14:paraId="2E31F95A" w14:textId="4E37D01B" w:rsidR="003264A4" w:rsidRDefault="003264A4" w:rsidP="003B7D0E">
      <w:pPr>
        <w:pStyle w:val="BasicParagraph"/>
        <w:suppressAutoHyphens/>
        <w:jc w:val="center"/>
        <w:rPr>
          <w:rFonts w:ascii="Verdana" w:hAnsi="Verdana" w:cs="Arial"/>
          <w:color w:val="3C3C3B"/>
          <w:sz w:val="20"/>
          <w:szCs w:val="20"/>
        </w:rPr>
      </w:pPr>
    </w:p>
    <w:p w14:paraId="4E37708D" w14:textId="3FE5BBC5" w:rsidR="003264A4" w:rsidRDefault="003264A4" w:rsidP="003B7D0E">
      <w:pPr>
        <w:pStyle w:val="BasicParagraph"/>
        <w:suppressAutoHyphens/>
        <w:jc w:val="center"/>
        <w:rPr>
          <w:rFonts w:ascii="Verdana" w:hAnsi="Verdana" w:cs="Arial"/>
          <w:color w:val="3C3C3B"/>
          <w:sz w:val="20"/>
          <w:szCs w:val="20"/>
        </w:rPr>
      </w:pPr>
    </w:p>
    <w:p w14:paraId="6B6159A4" w14:textId="10B8EA0F" w:rsidR="003264A4" w:rsidRDefault="003264A4" w:rsidP="003B7D0E">
      <w:pPr>
        <w:pStyle w:val="BasicParagraph"/>
        <w:suppressAutoHyphens/>
        <w:jc w:val="center"/>
        <w:rPr>
          <w:rFonts w:ascii="Verdana" w:hAnsi="Verdana" w:cs="Arial"/>
          <w:color w:val="3C3C3B"/>
          <w:sz w:val="20"/>
          <w:szCs w:val="20"/>
        </w:rPr>
      </w:pPr>
    </w:p>
    <w:p w14:paraId="20F7F022" w14:textId="62C4020B" w:rsidR="003264A4" w:rsidRDefault="003264A4" w:rsidP="003B7D0E">
      <w:pPr>
        <w:pStyle w:val="BasicParagraph"/>
        <w:suppressAutoHyphens/>
        <w:jc w:val="center"/>
        <w:rPr>
          <w:rFonts w:ascii="Verdana" w:hAnsi="Verdana" w:cs="Arial"/>
          <w:color w:val="3C3C3B"/>
          <w:sz w:val="20"/>
          <w:szCs w:val="20"/>
        </w:rPr>
      </w:pPr>
    </w:p>
    <w:p w14:paraId="148F5AF5" w14:textId="5AA11F40" w:rsidR="003264A4" w:rsidRDefault="003264A4" w:rsidP="003B7D0E">
      <w:pPr>
        <w:pStyle w:val="BasicParagraph"/>
        <w:suppressAutoHyphens/>
        <w:jc w:val="center"/>
        <w:rPr>
          <w:rFonts w:ascii="Verdana" w:hAnsi="Verdana" w:cs="Arial"/>
          <w:color w:val="3C3C3B"/>
          <w:sz w:val="20"/>
          <w:szCs w:val="20"/>
        </w:rPr>
      </w:pPr>
    </w:p>
    <w:p w14:paraId="7238C791" w14:textId="074D0668" w:rsidR="003264A4" w:rsidRDefault="003264A4" w:rsidP="003B7D0E">
      <w:pPr>
        <w:pStyle w:val="BasicParagraph"/>
        <w:suppressAutoHyphens/>
        <w:jc w:val="center"/>
        <w:rPr>
          <w:rFonts w:ascii="Verdana" w:hAnsi="Verdana" w:cs="Arial"/>
          <w:color w:val="3C3C3B"/>
          <w:sz w:val="20"/>
          <w:szCs w:val="20"/>
        </w:rPr>
      </w:pPr>
    </w:p>
    <w:p w14:paraId="30FB79A8" w14:textId="3A76EC83" w:rsidR="003264A4" w:rsidRDefault="003264A4" w:rsidP="003B7D0E">
      <w:pPr>
        <w:pStyle w:val="BasicParagraph"/>
        <w:suppressAutoHyphens/>
        <w:jc w:val="center"/>
        <w:rPr>
          <w:rFonts w:ascii="Verdana" w:hAnsi="Verdana" w:cs="Arial"/>
          <w:color w:val="3C3C3B"/>
          <w:sz w:val="20"/>
          <w:szCs w:val="20"/>
        </w:rPr>
      </w:pPr>
    </w:p>
    <w:p w14:paraId="77AFA8EA" w14:textId="77777777" w:rsidR="002E3356" w:rsidRDefault="002E3356" w:rsidP="00B74DF7">
      <w:pPr>
        <w:pStyle w:val="BasicParagraph"/>
        <w:suppressAutoHyphens/>
        <w:rPr>
          <w:rFonts w:ascii="Verdana" w:hAnsi="Verdana" w:cs="Arial"/>
          <w:color w:val="3C3C3B"/>
          <w:sz w:val="20"/>
          <w:szCs w:val="20"/>
        </w:rPr>
      </w:pPr>
    </w:p>
    <w:p w14:paraId="28EFFED6" w14:textId="77777777" w:rsidR="003B7D0E" w:rsidRDefault="003B7D0E" w:rsidP="003B7D0E">
      <w:pPr>
        <w:pStyle w:val="BasicParagraph"/>
        <w:suppressAutoHyphens/>
        <w:jc w:val="center"/>
        <w:rPr>
          <w:rFonts w:ascii="Verdana" w:hAnsi="Verdana" w:cs="Arial"/>
          <w:color w:val="3C3C3B"/>
          <w:sz w:val="20"/>
          <w:szCs w:val="20"/>
        </w:rPr>
      </w:pPr>
    </w:p>
    <w:p w14:paraId="1A102BE4" w14:textId="77777777" w:rsidR="003B7D0E" w:rsidRDefault="003B7D0E" w:rsidP="003B7D0E">
      <w:pPr>
        <w:pStyle w:val="BasicParagraph"/>
        <w:suppressAutoHyphens/>
        <w:jc w:val="center"/>
        <w:rPr>
          <w:rFonts w:ascii="Verdana" w:hAnsi="Verdana" w:cs="Arial"/>
          <w:color w:val="3C3C3B"/>
          <w:sz w:val="20"/>
          <w:szCs w:val="20"/>
        </w:rPr>
      </w:pPr>
    </w:p>
    <w:p w14:paraId="79707CA0" w14:textId="77777777" w:rsidR="00705833" w:rsidRPr="00331C61" w:rsidRDefault="00705833" w:rsidP="00331C61">
      <w:pPr>
        <w:pStyle w:val="BasicParagraph"/>
        <w:suppressAutoHyphens/>
        <w:jc w:val="center"/>
        <w:rPr>
          <w:rFonts w:ascii="Verdana" w:hAnsi="Verdana" w:cs="Arial"/>
          <w:b/>
          <w:bCs/>
          <w:color w:val="77328A"/>
          <w:sz w:val="36"/>
          <w:szCs w:val="36"/>
        </w:rPr>
      </w:pPr>
      <w:r w:rsidRPr="00331C61">
        <w:rPr>
          <w:rFonts w:ascii="Verdana" w:hAnsi="Verdana" w:cs="Arial"/>
          <w:b/>
          <w:bCs/>
          <w:color w:val="77328A"/>
          <w:sz w:val="36"/>
          <w:szCs w:val="36"/>
        </w:rPr>
        <w:t>Co</w:t>
      </w:r>
      <w:r w:rsidR="0096459E">
        <w:rPr>
          <w:rFonts w:ascii="Verdana" w:hAnsi="Verdana" w:cs="Arial"/>
          <w:b/>
          <w:bCs/>
          <w:color w:val="77328A"/>
          <w:sz w:val="36"/>
          <w:szCs w:val="36"/>
        </w:rPr>
        <w:t xml:space="preserve">ntact us </w:t>
      </w:r>
    </w:p>
    <w:p w14:paraId="6B6A0C2B" w14:textId="77777777" w:rsidR="00331C61" w:rsidRPr="00331C61" w:rsidRDefault="00331C61" w:rsidP="0048019A">
      <w:pPr>
        <w:spacing w:line="288" w:lineRule="auto"/>
        <w:rPr>
          <w:rFonts w:ascii="Verdana" w:hAnsi="Verdana" w:cs="Arial"/>
          <w:b/>
          <w:color w:val="232120"/>
          <w:sz w:val="30"/>
          <w:szCs w:val="30"/>
        </w:rPr>
      </w:pPr>
    </w:p>
    <w:p w14:paraId="5E61CC2C" w14:textId="77777777" w:rsidR="00331C61" w:rsidRPr="00331C61" w:rsidRDefault="00331C61" w:rsidP="003B7D0E">
      <w:pPr>
        <w:spacing w:line="288" w:lineRule="auto"/>
        <w:jc w:val="center"/>
        <w:rPr>
          <w:rFonts w:ascii="Verdana" w:hAnsi="Verdana" w:cs="Arial"/>
          <w:b/>
          <w:color w:val="232120"/>
          <w:sz w:val="30"/>
          <w:szCs w:val="30"/>
        </w:rPr>
      </w:pPr>
    </w:p>
    <w:p w14:paraId="68E2AC3E" w14:textId="77777777" w:rsidR="00331C61" w:rsidRPr="00331C61" w:rsidRDefault="004923EF" w:rsidP="00331C61">
      <w:pPr>
        <w:spacing w:line="288" w:lineRule="auto"/>
        <w:jc w:val="center"/>
        <w:rPr>
          <w:rFonts w:ascii="Verdana" w:hAnsi="Verdana" w:cs="Arial"/>
          <w:color w:val="232120"/>
          <w:sz w:val="28"/>
          <w:szCs w:val="28"/>
        </w:rPr>
      </w:pPr>
      <w:hyperlink r:id="rId9" w:history="1">
        <w:r w:rsidR="00331C61" w:rsidRPr="00331C61">
          <w:rPr>
            <w:rStyle w:val="Hyperlink"/>
            <w:rFonts w:ascii="Verdana" w:hAnsi="Verdana" w:cs="Arial"/>
            <w:color w:val="232120"/>
            <w:sz w:val="28"/>
            <w:szCs w:val="28"/>
            <w:u w:val="none"/>
            <w:lang w:val="en-US"/>
          </w:rPr>
          <w:t>www.nihrc.org</w:t>
        </w:r>
      </w:hyperlink>
      <w:r w:rsidR="00331C61" w:rsidRPr="00331C61">
        <w:rPr>
          <w:rFonts w:ascii="Verdana" w:hAnsi="Verdana" w:cs="Arial"/>
          <w:color w:val="232120"/>
          <w:sz w:val="28"/>
          <w:szCs w:val="28"/>
          <w:lang w:val="en-US"/>
        </w:rPr>
        <w:t xml:space="preserve">  |  </w:t>
      </w:r>
      <w:hyperlink r:id="rId10" w:history="1">
        <w:r w:rsidR="00331C61" w:rsidRPr="00331C61">
          <w:rPr>
            <w:rStyle w:val="Hyperlink"/>
            <w:rFonts w:ascii="Verdana" w:hAnsi="Verdana" w:cs="Arial"/>
            <w:color w:val="232120"/>
            <w:sz w:val="28"/>
            <w:szCs w:val="28"/>
            <w:u w:val="none"/>
            <w:lang w:val="en-US"/>
          </w:rPr>
          <w:t>info@nihrc.org</w:t>
        </w:r>
      </w:hyperlink>
      <w:r w:rsidR="00331C61" w:rsidRPr="00331C61">
        <w:rPr>
          <w:rFonts w:ascii="Verdana" w:hAnsi="Verdana" w:cs="Arial"/>
          <w:color w:val="232120"/>
          <w:sz w:val="28"/>
          <w:szCs w:val="28"/>
          <w:lang w:val="en-US"/>
        </w:rPr>
        <w:t xml:space="preserve">  |  +44 (0)28 9024 3987</w:t>
      </w:r>
    </w:p>
    <w:p w14:paraId="5AF6B4D1" w14:textId="77777777" w:rsidR="00F56C78" w:rsidRPr="00331C61" w:rsidRDefault="00D16532" w:rsidP="00331C61">
      <w:pPr>
        <w:spacing w:line="288" w:lineRule="auto"/>
        <w:jc w:val="center"/>
        <w:rPr>
          <w:rFonts w:ascii="Verdana" w:hAnsi="Verdana" w:cs="Arial"/>
          <w:color w:val="232120"/>
          <w:sz w:val="28"/>
          <w:szCs w:val="28"/>
        </w:rPr>
      </w:pPr>
      <w:r>
        <w:rPr>
          <w:rFonts w:ascii="Verdana" w:hAnsi="Verdana" w:cs="Arial"/>
          <w:color w:val="232120"/>
          <w:sz w:val="28"/>
          <w:szCs w:val="28"/>
          <w:lang w:val="en-US"/>
        </w:rPr>
        <w:t>4</w:t>
      </w:r>
      <w:r w:rsidRPr="00D16532">
        <w:rPr>
          <w:rFonts w:ascii="Verdana" w:hAnsi="Verdana" w:cs="Arial"/>
          <w:color w:val="232120"/>
          <w:sz w:val="28"/>
          <w:szCs w:val="28"/>
          <w:vertAlign w:val="superscript"/>
          <w:lang w:val="en-US"/>
        </w:rPr>
        <w:t>th</w:t>
      </w:r>
      <w:r>
        <w:rPr>
          <w:rFonts w:ascii="Verdana" w:hAnsi="Verdana" w:cs="Arial"/>
          <w:color w:val="232120"/>
          <w:sz w:val="28"/>
          <w:szCs w:val="28"/>
          <w:lang w:val="en-US"/>
        </w:rPr>
        <w:t xml:space="preserve"> Floor, Alfred House, 19-21 Alfred Street, Belfast, BT2 8ED</w:t>
      </w:r>
    </w:p>
    <w:p w14:paraId="45839E27" w14:textId="77777777" w:rsidR="00F56C78" w:rsidRPr="00331C61" w:rsidRDefault="00F56C78" w:rsidP="003B7D0E">
      <w:pPr>
        <w:spacing w:line="288" w:lineRule="auto"/>
        <w:jc w:val="center"/>
        <w:rPr>
          <w:rFonts w:ascii="Verdana" w:hAnsi="Verdana" w:cs="Arial"/>
          <w:b/>
          <w:color w:val="232120"/>
          <w:sz w:val="28"/>
          <w:szCs w:val="28"/>
        </w:rPr>
      </w:pPr>
    </w:p>
    <w:p w14:paraId="65570B0B" w14:textId="77777777" w:rsidR="00F56C78" w:rsidRPr="00331C61" w:rsidRDefault="00F56C78" w:rsidP="003B7D0E">
      <w:pPr>
        <w:spacing w:line="288" w:lineRule="auto"/>
        <w:jc w:val="center"/>
        <w:rPr>
          <w:rFonts w:ascii="Verdana" w:hAnsi="Verdana" w:cs="Arial"/>
          <w:color w:val="232120"/>
          <w:sz w:val="20"/>
          <w:szCs w:val="20"/>
        </w:rPr>
      </w:pPr>
    </w:p>
    <w:p w14:paraId="574F8CC5" w14:textId="77777777" w:rsidR="00705833" w:rsidRPr="00331C61" w:rsidRDefault="00F56C78" w:rsidP="003B7D0E">
      <w:pPr>
        <w:pStyle w:val="BasicParagraph"/>
        <w:suppressAutoHyphens/>
        <w:spacing w:line="240" w:lineRule="auto"/>
        <w:jc w:val="center"/>
        <w:rPr>
          <w:rFonts w:ascii="Verdana" w:hAnsi="Verdana" w:cs="Arial"/>
          <w:color w:val="232120"/>
          <w:sz w:val="28"/>
          <w:szCs w:val="28"/>
        </w:rPr>
      </w:pPr>
      <w:r w:rsidRPr="00331C61">
        <w:rPr>
          <w:rFonts w:ascii="Verdana" w:hAnsi="Verdana" w:cs="Arial"/>
          <w:noProof/>
          <w:color w:val="232120"/>
          <w:sz w:val="28"/>
          <w:szCs w:val="28"/>
          <w:lang w:eastAsia="en-GB"/>
        </w:rPr>
        <w:drawing>
          <wp:inline distT="0" distB="0" distL="0" distR="0" wp14:anchorId="1DA62B7F" wp14:editId="0ADF700C">
            <wp:extent cx="1515406" cy="274540"/>
            <wp:effectExtent l="0" t="0" r="8890" b="508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1554" cy="275654"/>
                    </a:xfrm>
                    <a:prstGeom prst="rect">
                      <a:avLst/>
                    </a:prstGeom>
                    <a:noFill/>
                    <a:ln>
                      <a:noFill/>
                    </a:ln>
                  </pic:spPr>
                </pic:pic>
              </a:graphicData>
            </a:graphic>
          </wp:inline>
        </w:drawing>
      </w:r>
    </w:p>
    <w:sectPr w:rsidR="00705833" w:rsidRPr="00331C61" w:rsidSect="003B7D0E">
      <w:footerReference w:type="default" r:id="rId12"/>
      <w:footerReference w:type="first" r:id="rId13"/>
      <w:pgSz w:w="11900" w:h="16820"/>
      <w:pgMar w:top="1021" w:right="1021" w:bottom="1021" w:left="1021" w:header="1021" w:footer="10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52D6A" w14:textId="77777777" w:rsidR="00025A6B" w:rsidRDefault="00025A6B" w:rsidP="00962B2B">
      <w:r>
        <w:separator/>
      </w:r>
    </w:p>
  </w:endnote>
  <w:endnote w:type="continuationSeparator" w:id="0">
    <w:p w14:paraId="58531496" w14:textId="77777777" w:rsidR="00025A6B" w:rsidRDefault="00025A6B" w:rsidP="00962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06E99" w14:textId="77777777" w:rsidR="00D2770F" w:rsidRDefault="00D2770F" w:rsidP="00656ECD">
    <w:pPr>
      <w:pStyle w:val="Footer"/>
      <w:jc w:val="right"/>
      <w:rPr>
        <w:rStyle w:val="PageNumber"/>
        <w:rFonts w:ascii="Arial" w:hAnsi="Arial" w:cs="Arial"/>
        <w:b/>
        <w:sz w:val="16"/>
        <w:szCs w:val="16"/>
      </w:rPr>
    </w:pPr>
  </w:p>
  <w:p w14:paraId="05FFBF13" w14:textId="77777777" w:rsidR="00D2770F" w:rsidRPr="007569C1" w:rsidRDefault="00D2770F" w:rsidP="00656ECD">
    <w:pPr>
      <w:pStyle w:val="Footer"/>
      <w:jc w:val="right"/>
      <w:rPr>
        <w:rFonts w:ascii="Arial" w:hAnsi="Arial" w:cs="Arial"/>
        <w:b/>
        <w:color w:val="77328A"/>
        <w:sz w:val="16"/>
        <w:szCs w:val="16"/>
      </w:rPr>
    </w:pPr>
    <w:r w:rsidRPr="007569C1">
      <w:rPr>
        <w:rStyle w:val="PageNumber"/>
        <w:rFonts w:ascii="Arial" w:hAnsi="Arial" w:cs="Arial"/>
        <w:b/>
        <w:color w:val="77328A"/>
        <w:sz w:val="16"/>
        <w:szCs w:val="16"/>
      </w:rPr>
      <w:fldChar w:fldCharType="begin"/>
    </w:r>
    <w:r w:rsidRPr="007569C1">
      <w:rPr>
        <w:rStyle w:val="PageNumber"/>
        <w:rFonts w:ascii="Arial" w:hAnsi="Arial" w:cs="Arial"/>
        <w:b/>
        <w:color w:val="77328A"/>
        <w:sz w:val="16"/>
        <w:szCs w:val="16"/>
      </w:rPr>
      <w:instrText xml:space="preserve"> PAGE </w:instrText>
    </w:r>
    <w:r w:rsidRPr="007569C1">
      <w:rPr>
        <w:rStyle w:val="PageNumber"/>
        <w:rFonts w:ascii="Arial" w:hAnsi="Arial" w:cs="Arial"/>
        <w:b/>
        <w:color w:val="77328A"/>
        <w:sz w:val="16"/>
        <w:szCs w:val="16"/>
      </w:rPr>
      <w:fldChar w:fldCharType="separate"/>
    </w:r>
    <w:r w:rsidR="00E24C0E">
      <w:rPr>
        <w:rStyle w:val="PageNumber"/>
        <w:rFonts w:ascii="Arial" w:hAnsi="Arial" w:cs="Arial"/>
        <w:b/>
        <w:noProof/>
        <w:color w:val="77328A"/>
        <w:sz w:val="16"/>
        <w:szCs w:val="16"/>
      </w:rPr>
      <w:t>19</w:t>
    </w:r>
    <w:r w:rsidRPr="007569C1">
      <w:rPr>
        <w:rStyle w:val="PageNumber"/>
        <w:rFonts w:ascii="Arial" w:hAnsi="Arial" w:cs="Arial"/>
        <w:b/>
        <w:color w:val="77328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A1C44" w14:textId="77777777" w:rsidR="00D2770F" w:rsidRDefault="00D2770F" w:rsidP="00046705">
    <w:pPr>
      <w:pStyle w:val="Footer"/>
      <w:jc w:val="right"/>
      <w:rPr>
        <w:rStyle w:val="PageNumber"/>
        <w:rFonts w:ascii="Arial" w:hAnsi="Arial" w:cs="Arial"/>
        <w:b/>
        <w:sz w:val="16"/>
        <w:szCs w:val="16"/>
      </w:rPr>
    </w:pPr>
  </w:p>
  <w:p w14:paraId="38BB332C" w14:textId="77777777" w:rsidR="00D2770F" w:rsidRPr="00D12EF8" w:rsidRDefault="00D2770F" w:rsidP="00046705">
    <w:pPr>
      <w:pStyle w:val="Footer"/>
      <w:jc w:val="right"/>
      <w:rPr>
        <w:rFonts w:ascii="Arial" w:hAnsi="Arial"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94C2" w14:textId="77777777" w:rsidR="00025A6B" w:rsidRDefault="00025A6B" w:rsidP="00B96D34">
      <w:r>
        <w:continuationSeparator/>
      </w:r>
    </w:p>
    <w:p w14:paraId="213E9485" w14:textId="77777777" w:rsidR="00025A6B" w:rsidRPr="00B96D34" w:rsidRDefault="00025A6B" w:rsidP="00B96D34">
      <w:pPr>
        <w:pStyle w:val="Footer"/>
      </w:pPr>
    </w:p>
  </w:footnote>
  <w:footnote w:type="continuationSeparator" w:id="0">
    <w:p w14:paraId="099C6B0B" w14:textId="77777777" w:rsidR="00025A6B" w:rsidRDefault="00025A6B" w:rsidP="00962B2B">
      <w:r>
        <w:continuationSeparator/>
      </w:r>
    </w:p>
  </w:footnote>
  <w:footnote w:type="continuationNotice" w:id="1">
    <w:p w14:paraId="6B6E963B" w14:textId="77777777" w:rsidR="00025A6B" w:rsidRDefault="00025A6B"/>
  </w:footnote>
  <w:footnote w:id="2">
    <w:p w14:paraId="1898CB32" w14:textId="77777777" w:rsidR="00C16D3B" w:rsidRPr="00805A53" w:rsidRDefault="00C16D3B">
      <w:pPr>
        <w:pStyle w:val="FootnoteText"/>
        <w:rPr>
          <w:rFonts w:ascii="Verdana" w:hAnsi="Verdana"/>
          <w:color w:val="7030A0"/>
          <w:sz w:val="16"/>
          <w:szCs w:val="16"/>
        </w:rPr>
      </w:pPr>
      <w:r w:rsidRPr="00805A53">
        <w:rPr>
          <w:rStyle w:val="FootnoteReference"/>
          <w:rFonts w:ascii="Verdana" w:hAnsi="Verdana"/>
          <w:color w:val="7030A0"/>
          <w:sz w:val="16"/>
          <w:szCs w:val="16"/>
        </w:rPr>
        <w:footnoteRef/>
      </w:r>
      <w:r w:rsidRPr="00805A53">
        <w:rPr>
          <w:rFonts w:ascii="Verdana" w:hAnsi="Verdana"/>
          <w:color w:val="7030A0"/>
          <w:sz w:val="16"/>
          <w:szCs w:val="16"/>
        </w:rPr>
        <w:t xml:space="preserve"> Ratified by the UK in 1951</w:t>
      </w:r>
    </w:p>
  </w:footnote>
  <w:footnote w:id="3">
    <w:p w14:paraId="38B7F313" w14:textId="77777777" w:rsidR="00C16D3B" w:rsidRPr="00805A53" w:rsidRDefault="00C16D3B">
      <w:pPr>
        <w:pStyle w:val="FootnoteText"/>
        <w:rPr>
          <w:rFonts w:ascii="Verdana" w:hAnsi="Verdana"/>
          <w:color w:val="7030A0"/>
          <w:sz w:val="16"/>
          <w:szCs w:val="16"/>
        </w:rPr>
      </w:pPr>
      <w:r w:rsidRPr="00805A53">
        <w:rPr>
          <w:rStyle w:val="FootnoteReference"/>
          <w:rFonts w:ascii="Verdana" w:hAnsi="Verdana"/>
          <w:color w:val="7030A0"/>
          <w:sz w:val="16"/>
          <w:szCs w:val="16"/>
        </w:rPr>
        <w:footnoteRef/>
      </w:r>
      <w:r w:rsidRPr="00805A53">
        <w:rPr>
          <w:rFonts w:ascii="Verdana" w:hAnsi="Verdana"/>
          <w:color w:val="7030A0"/>
          <w:sz w:val="16"/>
          <w:szCs w:val="16"/>
        </w:rPr>
        <w:t xml:space="preserve"> Ratified by the UK in 1976</w:t>
      </w:r>
    </w:p>
  </w:footnote>
  <w:footnote w:id="4">
    <w:p w14:paraId="03F5010D" w14:textId="77777777" w:rsidR="00C16D3B" w:rsidRPr="00805A53" w:rsidRDefault="00C16D3B">
      <w:pPr>
        <w:pStyle w:val="FootnoteText"/>
        <w:rPr>
          <w:rFonts w:ascii="Verdana" w:hAnsi="Verdana"/>
          <w:color w:val="7030A0"/>
          <w:sz w:val="16"/>
          <w:szCs w:val="16"/>
        </w:rPr>
      </w:pPr>
      <w:r w:rsidRPr="00805A53">
        <w:rPr>
          <w:rStyle w:val="FootnoteReference"/>
          <w:rFonts w:ascii="Verdana" w:hAnsi="Verdana"/>
          <w:color w:val="7030A0"/>
          <w:sz w:val="16"/>
          <w:szCs w:val="16"/>
        </w:rPr>
        <w:footnoteRef/>
      </w:r>
      <w:r w:rsidRPr="00805A53">
        <w:rPr>
          <w:rFonts w:ascii="Verdana" w:hAnsi="Verdana"/>
          <w:color w:val="7030A0"/>
          <w:sz w:val="16"/>
          <w:szCs w:val="16"/>
        </w:rPr>
        <w:t xml:space="preserve"> Ratified by the UK in 1976</w:t>
      </w:r>
    </w:p>
  </w:footnote>
  <w:footnote w:id="5">
    <w:p w14:paraId="6936031F" w14:textId="77777777" w:rsidR="00C16D3B" w:rsidRPr="00805A53" w:rsidRDefault="00C16D3B">
      <w:pPr>
        <w:pStyle w:val="FootnoteText"/>
        <w:rPr>
          <w:rFonts w:ascii="Verdana" w:hAnsi="Verdana"/>
          <w:color w:val="7030A0"/>
          <w:sz w:val="16"/>
          <w:szCs w:val="16"/>
        </w:rPr>
      </w:pPr>
      <w:r w:rsidRPr="00805A53">
        <w:rPr>
          <w:rStyle w:val="FootnoteReference"/>
          <w:rFonts w:ascii="Verdana" w:hAnsi="Verdana"/>
          <w:color w:val="7030A0"/>
          <w:sz w:val="16"/>
          <w:szCs w:val="16"/>
        </w:rPr>
        <w:footnoteRef/>
      </w:r>
      <w:r w:rsidRPr="00805A53">
        <w:rPr>
          <w:rFonts w:ascii="Verdana" w:hAnsi="Verdana"/>
          <w:color w:val="7030A0"/>
          <w:sz w:val="16"/>
          <w:szCs w:val="16"/>
        </w:rPr>
        <w:t xml:space="preserve"> Ratified by the UK in 1988</w:t>
      </w:r>
    </w:p>
  </w:footnote>
  <w:footnote w:id="6">
    <w:p w14:paraId="5822AD54" w14:textId="77777777" w:rsidR="00C16D3B" w:rsidRPr="00805A53" w:rsidRDefault="00C16D3B">
      <w:pPr>
        <w:pStyle w:val="FootnoteText"/>
        <w:rPr>
          <w:rFonts w:ascii="Verdana" w:hAnsi="Verdana"/>
          <w:color w:val="7030A0"/>
          <w:sz w:val="16"/>
          <w:szCs w:val="16"/>
        </w:rPr>
      </w:pPr>
      <w:r w:rsidRPr="00805A53">
        <w:rPr>
          <w:rStyle w:val="FootnoteReference"/>
          <w:rFonts w:ascii="Verdana" w:hAnsi="Verdana"/>
          <w:color w:val="7030A0"/>
          <w:sz w:val="16"/>
          <w:szCs w:val="16"/>
        </w:rPr>
        <w:footnoteRef/>
      </w:r>
      <w:r w:rsidRPr="00805A53">
        <w:rPr>
          <w:rFonts w:ascii="Verdana" w:hAnsi="Verdana"/>
          <w:color w:val="7030A0"/>
          <w:sz w:val="16"/>
          <w:szCs w:val="16"/>
        </w:rPr>
        <w:t xml:space="preserve"> Ratified by the UK in 1991</w:t>
      </w:r>
    </w:p>
  </w:footnote>
  <w:footnote w:id="7">
    <w:p w14:paraId="45604D07" w14:textId="77777777" w:rsidR="00C16D3B" w:rsidRPr="00B74DF7" w:rsidRDefault="00C16D3B">
      <w:pPr>
        <w:pStyle w:val="FootnoteText"/>
        <w:rPr>
          <w:rFonts w:ascii="Verdana" w:hAnsi="Verdana"/>
          <w:color w:val="7030A0"/>
          <w:sz w:val="16"/>
          <w:szCs w:val="16"/>
        </w:rPr>
      </w:pPr>
      <w:r w:rsidRPr="00805A53">
        <w:rPr>
          <w:rStyle w:val="FootnoteReference"/>
          <w:rFonts w:ascii="Verdana" w:hAnsi="Verdana"/>
          <w:color w:val="7030A0"/>
          <w:sz w:val="16"/>
          <w:szCs w:val="16"/>
        </w:rPr>
        <w:footnoteRef/>
      </w:r>
      <w:r w:rsidRPr="00805A53">
        <w:rPr>
          <w:rFonts w:ascii="Verdana" w:hAnsi="Verdana"/>
          <w:color w:val="7030A0"/>
          <w:sz w:val="16"/>
          <w:szCs w:val="16"/>
        </w:rPr>
        <w:t xml:space="preserve"> Ratified by the UK in 2009</w:t>
      </w:r>
    </w:p>
  </w:footnote>
  <w:footnote w:id="8">
    <w:p w14:paraId="49393529" w14:textId="1E6241B2" w:rsidR="002609D6" w:rsidRPr="005572D4" w:rsidRDefault="002609D6">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Adopted by General Assembly Resolution 46/91, 16 December 1991.</w:t>
      </w:r>
    </w:p>
  </w:footnote>
  <w:footnote w:id="9">
    <w:p w14:paraId="39C8720B" w14:textId="4A2812E2" w:rsidR="00210235" w:rsidRPr="00B74DF7" w:rsidRDefault="00210235">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Adopted by General Assembly Resolution 46/119, 17 December 1991.</w:t>
      </w:r>
    </w:p>
  </w:footnote>
  <w:footnote w:id="10">
    <w:p w14:paraId="58DDDB28" w14:textId="63E9BD9F" w:rsidR="00210235" w:rsidRPr="00B74DF7" w:rsidRDefault="00210235">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B74DF7">
        <w:rPr>
          <w:rFonts w:ascii="Verdana" w:hAnsi="Verdana"/>
          <w:color w:val="7030A0"/>
          <w:sz w:val="16"/>
          <w:szCs w:val="16"/>
        </w:rPr>
        <w:t xml:space="preserve"> </w:t>
      </w:r>
      <w:r w:rsidRPr="005572D4">
        <w:rPr>
          <w:rFonts w:ascii="Verdana" w:hAnsi="Verdana"/>
          <w:color w:val="7030A0"/>
          <w:sz w:val="16"/>
          <w:szCs w:val="16"/>
        </w:rPr>
        <w:t>Adopted by the Committee of Ministers, 22 September 2004.</w:t>
      </w:r>
    </w:p>
  </w:footnote>
  <w:footnote w:id="11">
    <w:p w14:paraId="790CCB54" w14:textId="40FD05D7" w:rsidR="00A07115" w:rsidRPr="00805A53" w:rsidRDefault="00A07115">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European Committee for the Prevention of Torture and Inhuman or Degrading Treatment or Punishment (CPT) (2002) ‘The CPT Standards’, Council of Europe, Strasbourg [Revised 2011]: see also, European Committee for the Prevention of Torture and Inhuman or Degrading Treatment or Punishment (CPT), ‘Means of restraint in ps</w:t>
      </w:r>
      <w:r w:rsidRPr="00B324A5">
        <w:rPr>
          <w:rFonts w:ascii="Verdana" w:hAnsi="Verdana"/>
          <w:color w:val="7030A0"/>
          <w:sz w:val="16"/>
          <w:szCs w:val="16"/>
        </w:rPr>
        <w:t>ychiatric establishments for adults’ (2017) Council of Europe, Strasbourg.</w:t>
      </w:r>
    </w:p>
  </w:footnote>
  <w:footnote w:id="12">
    <w:p w14:paraId="2BBC1D9B" w14:textId="71C5C966" w:rsidR="00CD36F8" w:rsidRPr="00B74DF7" w:rsidRDefault="00CD36F8" w:rsidP="00CD36F8">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NI Human Rights Commission,</w:t>
      </w:r>
      <w:r w:rsidR="00BE531B" w:rsidRPr="005572D4">
        <w:rPr>
          <w:rFonts w:ascii="Verdana" w:hAnsi="Verdana"/>
          <w:color w:val="7030A0"/>
          <w:sz w:val="16"/>
          <w:szCs w:val="16"/>
        </w:rPr>
        <w:t xml:space="preserve"> ‘Submission to the Northern Ireland Committee for Education on the Human Rights Implications of Current Guidance Relating to the Use of Restrictive Practices in Schools’ February 2021</w:t>
      </w:r>
      <w:r w:rsidRPr="00B324A5">
        <w:rPr>
          <w:rFonts w:ascii="Verdana" w:hAnsi="Verdana"/>
          <w:color w:val="7030A0"/>
          <w:sz w:val="16"/>
          <w:szCs w:val="16"/>
        </w:rPr>
        <w:t xml:space="preserve"> </w:t>
      </w:r>
    </w:p>
  </w:footnote>
  <w:footnote w:id="13">
    <w:p w14:paraId="1DEFA849" w14:textId="483BD967" w:rsidR="00570037" w:rsidRPr="00B74DF7" w:rsidRDefault="00570037">
      <w:pPr>
        <w:pStyle w:val="FootnoteText"/>
        <w:rPr>
          <w:rFonts w:ascii="Verdana" w:hAnsi="Verdana"/>
          <w:color w:val="7030A0"/>
          <w:sz w:val="16"/>
          <w:szCs w:val="16"/>
        </w:rPr>
      </w:pPr>
      <w:r w:rsidRPr="00B74DF7">
        <w:rPr>
          <w:rStyle w:val="FootnoteReference"/>
          <w:rFonts w:ascii="Verdana" w:hAnsi="Verdana"/>
          <w:color w:val="7030A0"/>
          <w:sz w:val="16"/>
          <w:szCs w:val="16"/>
        </w:rPr>
        <w:footnoteRef/>
      </w:r>
      <w:r w:rsidRPr="00B74DF7">
        <w:rPr>
          <w:rFonts w:ascii="Verdana" w:hAnsi="Verdana"/>
          <w:color w:val="7030A0"/>
          <w:sz w:val="16"/>
          <w:szCs w:val="16"/>
        </w:rPr>
        <w:t xml:space="preserve"> Incorporated into domestic law by the Human Rights Act 1998.</w:t>
      </w:r>
    </w:p>
  </w:footnote>
  <w:footnote w:id="14">
    <w:p w14:paraId="4B206E1A" w14:textId="7E619AF9" w:rsidR="00570037" w:rsidRPr="00B74DF7" w:rsidRDefault="00570037" w:rsidP="00570037">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The right to life applie</w:t>
      </w:r>
      <w:r w:rsidRPr="00B324A5">
        <w:rPr>
          <w:rFonts w:ascii="Verdana" w:hAnsi="Verdana"/>
          <w:color w:val="7030A0"/>
          <w:sz w:val="16"/>
          <w:szCs w:val="16"/>
        </w:rPr>
        <w:t xml:space="preserve">s, short of death, if the use of force </w:t>
      </w:r>
      <w:r w:rsidRPr="00805A53">
        <w:rPr>
          <w:rFonts w:ascii="Verdana" w:hAnsi="Verdana"/>
          <w:color w:val="7030A0"/>
          <w:sz w:val="16"/>
          <w:szCs w:val="16"/>
        </w:rPr>
        <w:t xml:space="preserve">places a person at serious risk. See </w:t>
      </w:r>
      <w:r w:rsidR="00E31360" w:rsidRPr="00805A53">
        <w:rPr>
          <w:rFonts w:ascii="Verdana" w:hAnsi="Verdana"/>
          <w:color w:val="7030A0"/>
          <w:sz w:val="16"/>
          <w:szCs w:val="16"/>
        </w:rPr>
        <w:t>e.g.,</w:t>
      </w:r>
      <w:r w:rsidRPr="00805A53">
        <w:rPr>
          <w:rFonts w:ascii="Verdana" w:hAnsi="Verdana"/>
          <w:color w:val="7030A0"/>
          <w:sz w:val="16"/>
          <w:szCs w:val="16"/>
        </w:rPr>
        <w:t xml:space="preserve"> Makaratzis v. Greece [GC], § 55; Soare and Others v. Romania, §§ 108-109; Trévalec v. Belgium, §§ 55-61</w:t>
      </w:r>
    </w:p>
  </w:footnote>
  <w:footnote w:id="15">
    <w:p w14:paraId="7EE827EB" w14:textId="262D4A47" w:rsidR="003A3059" w:rsidRPr="00B74DF7" w:rsidRDefault="003A3059" w:rsidP="003A3059">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See </w:t>
      </w:r>
      <w:r w:rsidR="00E31360" w:rsidRPr="005572D4">
        <w:rPr>
          <w:rFonts w:ascii="Verdana" w:hAnsi="Verdana"/>
          <w:color w:val="7030A0"/>
          <w:sz w:val="16"/>
          <w:szCs w:val="16"/>
        </w:rPr>
        <w:t>e.g.,</w:t>
      </w:r>
      <w:r w:rsidRPr="005572D4">
        <w:rPr>
          <w:rFonts w:ascii="Verdana" w:hAnsi="Verdana"/>
          <w:color w:val="7030A0"/>
          <w:sz w:val="16"/>
          <w:szCs w:val="16"/>
        </w:rPr>
        <w:t xml:space="preserve"> </w:t>
      </w:r>
      <w:r w:rsidRPr="00B324A5">
        <w:rPr>
          <w:rFonts w:ascii="Verdana" w:hAnsi="Verdana"/>
          <w:color w:val="7030A0"/>
          <w:sz w:val="16"/>
          <w:szCs w:val="16"/>
        </w:rPr>
        <w:t>Kurt v Turkey (1998)</w:t>
      </w:r>
      <w:r w:rsidRPr="00805A53">
        <w:rPr>
          <w:rFonts w:ascii="Verdana" w:hAnsi="Verdana"/>
          <w:color w:val="7030A0"/>
          <w:sz w:val="16"/>
          <w:szCs w:val="16"/>
        </w:rPr>
        <w:t xml:space="preserve"> ECHR 44, which held that a</w:t>
      </w:r>
      <w:r w:rsidRPr="00B74DF7">
        <w:rPr>
          <w:rFonts w:ascii="Verdana" w:hAnsi="Verdana"/>
          <w:color w:val="7030A0"/>
          <w:sz w:val="16"/>
          <w:szCs w:val="16"/>
        </w:rPr>
        <w:t xml:space="preserve"> defect in the procedural action required of the State under Article 2 may additionally amount to a breach of Article 3 in respect of the impact on the family of the person whose right to life has been violated.  </w:t>
      </w:r>
    </w:p>
  </w:footnote>
  <w:footnote w:id="16">
    <w:p w14:paraId="1A77D365"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LCB v UK (9 June 1998) 27 EHRR 212 at para 36</w:t>
      </w:r>
    </w:p>
  </w:footnote>
  <w:footnote w:id="17">
    <w:p w14:paraId="01F598F8"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Z and others v the United Kingdom (2001) ECHR, at paras 70 and 73.</w:t>
      </w:r>
    </w:p>
  </w:footnote>
  <w:footnote w:id="18">
    <w:p w14:paraId="1A1F1473" w14:textId="5271C1A3" w:rsidR="00C33BC5" w:rsidRPr="00805A53" w:rsidRDefault="00C33BC5" w:rsidP="00C33BC5">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Soering v UK </w:t>
      </w:r>
      <w:r w:rsidR="009515B2" w:rsidRPr="00B324A5">
        <w:rPr>
          <w:rFonts w:ascii="Verdana" w:hAnsi="Verdana"/>
          <w:color w:val="7030A0"/>
          <w:sz w:val="16"/>
          <w:szCs w:val="16"/>
        </w:rPr>
        <w:t xml:space="preserve">(1989) </w:t>
      </w:r>
      <w:r w:rsidR="006A6F63" w:rsidRPr="00B324A5">
        <w:rPr>
          <w:rFonts w:ascii="Verdana" w:hAnsi="Verdana"/>
          <w:color w:val="7030A0"/>
          <w:sz w:val="16"/>
          <w:szCs w:val="16"/>
        </w:rPr>
        <w:t xml:space="preserve">ECHR </w:t>
      </w:r>
      <w:r w:rsidRPr="00805A53">
        <w:rPr>
          <w:rFonts w:ascii="Verdana" w:hAnsi="Verdana"/>
          <w:color w:val="7030A0"/>
          <w:sz w:val="16"/>
          <w:szCs w:val="16"/>
        </w:rPr>
        <w:t>at para 100. See also: Ireland v. the United Kingdom, 18 January 1978, Series A no. 25.</w:t>
      </w:r>
    </w:p>
  </w:footnote>
  <w:footnote w:id="19">
    <w:p w14:paraId="271D0813"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Costello-Roberts v UK (25 March 1993) Application No 13134/87.</w:t>
      </w:r>
    </w:p>
  </w:footnote>
  <w:footnote w:id="20">
    <w:p w14:paraId="1FCB97AC" w14:textId="77777777" w:rsidR="004D0672" w:rsidRPr="00B324A5"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See also article 9 of the ICCPR, ‘Everyone has the right to liberty and security of person’; article 37(b) of the UN CRC, ‘No child shall be deprived of his or her liberty unlawfully or arbitrarily’; and article 14 of the UN CRPD, ‘States Parties shall ensure that persons with disabilities… enjoy the right to liberty and security of person’.</w:t>
      </w:r>
    </w:p>
  </w:footnote>
  <w:footnote w:id="21">
    <w:p w14:paraId="608661FF" w14:textId="77777777" w:rsidR="004D0672" w:rsidRPr="00B324A5"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Storck v Germany (2005) 43 EHRR 6, at paras 74-89</w:t>
      </w:r>
    </w:p>
  </w:footnote>
  <w:footnote w:id="22">
    <w:p w14:paraId="1E6A5C8A"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P v Cheshire West and Chester Council [2014] UKSC 19, at para 35.</w:t>
      </w:r>
    </w:p>
  </w:footnote>
  <w:footnote w:id="23">
    <w:p w14:paraId="7595C2AC" w14:textId="77777777" w:rsidR="007B18ED" w:rsidRPr="005572D4" w:rsidRDefault="007B18ED" w:rsidP="007B18ED">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Novotka v Slovakia (4 November 2003) Unreported, Application No 47244/99</w:t>
      </w:r>
    </w:p>
  </w:footnote>
  <w:footnote w:id="24">
    <w:p w14:paraId="77CD97AF"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Guzzardi v Italy: ECHR 6 Nov 1980</w:t>
      </w:r>
    </w:p>
  </w:footnote>
  <w:footnote w:id="25">
    <w:p w14:paraId="254107E4" w14:textId="77777777" w:rsidR="004D0672" w:rsidRPr="00B324A5"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Huang v Secretary of State [2007] 2 AC 167 at [19]; Kurnaz v Turkey (Application no. 36672/97) at [56].</w:t>
      </w:r>
    </w:p>
  </w:footnote>
  <w:footnote w:id="26">
    <w:p w14:paraId="4AD87E49"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The Sunday Times v United Kingdom (1979) 2 ECHR 245.</w:t>
      </w:r>
    </w:p>
  </w:footnote>
  <w:footnote w:id="27">
    <w:p w14:paraId="248FD8ED" w14:textId="4E0E5AC4" w:rsidR="00641C31" w:rsidRPr="00B74DF7" w:rsidRDefault="00641C31">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C8076E" w:rsidRPr="005572D4">
        <w:rPr>
          <w:rFonts w:ascii="Verdana" w:hAnsi="Verdana"/>
          <w:color w:val="7030A0"/>
          <w:sz w:val="16"/>
          <w:szCs w:val="16"/>
        </w:rPr>
        <w:t>Beizaras and Levickas v. Lithuania, §§ 109 and 11</w:t>
      </w:r>
    </w:p>
  </w:footnote>
  <w:footnote w:id="28">
    <w:p w14:paraId="6E7182CB" w14:textId="77777777" w:rsidR="004D0672" w:rsidRPr="00B324A5"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X and Y v Netherlands (26 March 1985) 8 EHRR 235, para 22; and Pretty v The United Kingdom (2002) ECHR 427, at para 61.</w:t>
      </w:r>
    </w:p>
  </w:footnote>
  <w:footnote w:id="29">
    <w:p w14:paraId="13B3A281"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Storck v Germany (16 June 2005) 43 EHRR 96.</w:t>
      </w:r>
    </w:p>
  </w:footnote>
  <w:footnote w:id="30">
    <w:p w14:paraId="6D6DF2F8"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X v Belgium (6 February 1968) 18 DR 225.</w:t>
      </w:r>
    </w:p>
  </w:footnote>
  <w:footnote w:id="31">
    <w:p w14:paraId="2E0F1892"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Ibid, at para 62.</w:t>
      </w:r>
    </w:p>
  </w:footnote>
  <w:footnote w:id="32">
    <w:p w14:paraId="142E51EA"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Schwizgebel v. Switzerland (Application no. 25762/07)</w:t>
      </w:r>
    </w:p>
  </w:footnote>
  <w:footnote w:id="33">
    <w:p w14:paraId="50092C50"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Glor v. Switzerland (Application no. 13444/04)</w:t>
      </w:r>
    </w:p>
  </w:footnote>
  <w:footnote w:id="34">
    <w:p w14:paraId="0AF5DCA5"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Adopted by General Assembly Resolution 46/119, 17 December 1991.</w:t>
      </w:r>
    </w:p>
  </w:footnote>
  <w:footnote w:id="35">
    <w:p w14:paraId="151E68C8"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Adopted by General Assembly Resolution 46/91, 16 December 1991.</w:t>
      </w:r>
    </w:p>
  </w:footnote>
  <w:footnote w:id="36">
    <w:p w14:paraId="4AA67508" w14:textId="77777777" w:rsidR="008C482A" w:rsidRPr="00B74DF7" w:rsidRDefault="008C482A">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8B1B24" w:rsidRPr="005572D4">
        <w:rPr>
          <w:rFonts w:ascii="Verdana" w:hAnsi="Verdana"/>
          <w:color w:val="7030A0"/>
          <w:sz w:val="16"/>
          <w:szCs w:val="16"/>
        </w:rPr>
        <w:t>Adopted by the Committee of Ministers</w:t>
      </w:r>
      <w:r w:rsidR="002728FB" w:rsidRPr="00B324A5">
        <w:rPr>
          <w:rFonts w:ascii="Verdana" w:hAnsi="Verdana"/>
          <w:color w:val="7030A0"/>
          <w:sz w:val="16"/>
          <w:szCs w:val="16"/>
        </w:rPr>
        <w:t xml:space="preserve">, 22 September 2004. </w:t>
      </w:r>
    </w:p>
  </w:footnote>
  <w:footnote w:id="37">
    <w:p w14:paraId="2313FC21" w14:textId="2E4C0152" w:rsidR="00C71D7C" w:rsidRPr="00B74DF7" w:rsidRDefault="00C71D7C">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9379F8" w:rsidRPr="005572D4">
        <w:rPr>
          <w:rFonts w:ascii="Verdana" w:hAnsi="Verdana"/>
          <w:color w:val="7030A0"/>
          <w:sz w:val="16"/>
          <w:szCs w:val="16"/>
        </w:rPr>
        <w:t xml:space="preserve">European Committee for the Prevention of Torture and Inhuman or Degrading Treatment or Punishment (CPT) (2002) </w:t>
      </w:r>
      <w:r w:rsidR="00CC2EB1" w:rsidRPr="00B324A5">
        <w:rPr>
          <w:rFonts w:ascii="Verdana" w:hAnsi="Verdana"/>
          <w:color w:val="7030A0"/>
          <w:sz w:val="16"/>
          <w:szCs w:val="16"/>
        </w:rPr>
        <w:t xml:space="preserve">‘The </w:t>
      </w:r>
      <w:r w:rsidR="009379F8" w:rsidRPr="00805A53">
        <w:rPr>
          <w:rFonts w:ascii="Verdana" w:hAnsi="Verdana"/>
          <w:color w:val="7030A0"/>
          <w:sz w:val="16"/>
          <w:szCs w:val="16"/>
        </w:rPr>
        <w:t>CPT Standards</w:t>
      </w:r>
      <w:r w:rsidR="00CC2EB1" w:rsidRPr="00805A53">
        <w:rPr>
          <w:rFonts w:ascii="Verdana" w:hAnsi="Verdana"/>
          <w:color w:val="7030A0"/>
          <w:sz w:val="16"/>
          <w:szCs w:val="16"/>
        </w:rPr>
        <w:t>’</w:t>
      </w:r>
      <w:r w:rsidR="009379F8" w:rsidRPr="00805A53">
        <w:rPr>
          <w:rFonts w:ascii="Verdana" w:hAnsi="Verdana"/>
          <w:color w:val="7030A0"/>
          <w:sz w:val="16"/>
          <w:szCs w:val="16"/>
        </w:rPr>
        <w:t>, Council of Europe, Strasbourg [Revised 201</w:t>
      </w:r>
      <w:r w:rsidR="00FB312F" w:rsidRPr="00805A53">
        <w:rPr>
          <w:rFonts w:ascii="Verdana" w:hAnsi="Verdana"/>
          <w:color w:val="7030A0"/>
          <w:sz w:val="16"/>
          <w:szCs w:val="16"/>
        </w:rPr>
        <w:t>1</w:t>
      </w:r>
      <w:r w:rsidR="009379F8" w:rsidRPr="00805A53">
        <w:rPr>
          <w:rFonts w:ascii="Verdana" w:hAnsi="Verdana"/>
          <w:color w:val="7030A0"/>
          <w:sz w:val="16"/>
          <w:szCs w:val="16"/>
        </w:rPr>
        <w:t>]</w:t>
      </w:r>
      <w:r w:rsidR="00FB312F" w:rsidRPr="00805A53">
        <w:rPr>
          <w:rFonts w:ascii="Verdana" w:hAnsi="Verdana"/>
          <w:color w:val="7030A0"/>
          <w:sz w:val="16"/>
          <w:szCs w:val="16"/>
        </w:rPr>
        <w:t xml:space="preserve">: see also, </w:t>
      </w:r>
      <w:r w:rsidR="00083214" w:rsidRPr="00805A53">
        <w:rPr>
          <w:rFonts w:ascii="Verdana" w:hAnsi="Verdana"/>
          <w:color w:val="7030A0"/>
          <w:sz w:val="16"/>
          <w:szCs w:val="16"/>
        </w:rPr>
        <w:t>European Committee for the Prevention of Torture and Inhuman or Degrading Treatment or Punishment</w:t>
      </w:r>
      <w:r w:rsidR="00DE5260" w:rsidRPr="00805A53">
        <w:rPr>
          <w:rFonts w:ascii="Verdana" w:hAnsi="Verdana"/>
          <w:color w:val="7030A0"/>
          <w:sz w:val="16"/>
          <w:szCs w:val="16"/>
        </w:rPr>
        <w:t xml:space="preserve"> (CPT), ‘Means of restraint in psychiatric establishments for adults</w:t>
      </w:r>
      <w:r w:rsidR="00C76DDD" w:rsidRPr="00805A53">
        <w:rPr>
          <w:rFonts w:ascii="Verdana" w:hAnsi="Verdana"/>
          <w:color w:val="7030A0"/>
          <w:sz w:val="16"/>
          <w:szCs w:val="16"/>
        </w:rPr>
        <w:t>’ (2017</w:t>
      </w:r>
      <w:r w:rsidR="00575CF9" w:rsidRPr="00805A53">
        <w:rPr>
          <w:rFonts w:ascii="Verdana" w:hAnsi="Verdana"/>
          <w:color w:val="7030A0"/>
          <w:sz w:val="16"/>
          <w:szCs w:val="16"/>
        </w:rPr>
        <w:t>) Council</w:t>
      </w:r>
      <w:r w:rsidR="00C76DDD" w:rsidRPr="00805A53">
        <w:rPr>
          <w:rFonts w:ascii="Verdana" w:hAnsi="Verdana"/>
          <w:color w:val="7030A0"/>
          <w:sz w:val="16"/>
          <w:szCs w:val="16"/>
        </w:rPr>
        <w:t xml:space="preserve"> of Europe, Strasbourg.</w:t>
      </w:r>
    </w:p>
  </w:footnote>
  <w:footnote w:id="38">
    <w:p w14:paraId="030128B7" w14:textId="1C9A7C20" w:rsidR="00A82A79" w:rsidRPr="00B324A5" w:rsidRDefault="00A82A79">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E65B1F" w:rsidRPr="005572D4">
        <w:rPr>
          <w:rFonts w:ascii="Verdana" w:hAnsi="Verdana"/>
          <w:color w:val="7030A0"/>
          <w:sz w:val="16"/>
          <w:szCs w:val="16"/>
        </w:rPr>
        <w:t>Ibid at para 48.</w:t>
      </w:r>
    </w:p>
  </w:footnote>
  <w:footnote w:id="39">
    <w:p w14:paraId="16B61FFB" w14:textId="4C9E8DF3" w:rsidR="001B74EB" w:rsidRPr="00B74DF7" w:rsidRDefault="001B74EB">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Ibid at para 41.</w:t>
      </w:r>
      <w:r w:rsidRPr="00B74DF7">
        <w:rPr>
          <w:rFonts w:ascii="Verdana" w:hAnsi="Verdana"/>
          <w:color w:val="7030A0"/>
          <w:sz w:val="16"/>
          <w:szCs w:val="16"/>
        </w:rPr>
        <w:t xml:space="preserve"> </w:t>
      </w:r>
    </w:p>
  </w:footnote>
  <w:footnote w:id="40">
    <w:p w14:paraId="77AA226A" w14:textId="77777777" w:rsidR="00282A78" w:rsidRPr="00B74DF7" w:rsidRDefault="00282A78" w:rsidP="00282A78">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For examples see: </w:t>
      </w:r>
      <w:r w:rsidRPr="00B324A5">
        <w:rPr>
          <w:rFonts w:ascii="Verdana" w:hAnsi="Verdana"/>
          <w:color w:val="7030A0"/>
          <w:sz w:val="16"/>
          <w:szCs w:val="16"/>
        </w:rPr>
        <w:t>Equality and Human Rights Commission, ‘Human rights framework for restraint: principles for the lawful use of physical, chemical, mechanical and coercive restrictive interventions’ March 2019</w:t>
      </w:r>
      <w:r w:rsidRPr="00805A53">
        <w:rPr>
          <w:rFonts w:ascii="Verdana" w:hAnsi="Verdana"/>
          <w:color w:val="7030A0"/>
          <w:sz w:val="16"/>
          <w:szCs w:val="16"/>
        </w:rPr>
        <w:t xml:space="preserve">; and Royal College of Nursing, ‘Let’s talk about restraint: Rights, risks and responsibility’ 2008 </w:t>
      </w:r>
    </w:p>
  </w:footnote>
  <w:footnote w:id="41">
    <w:p w14:paraId="03D4878F" w14:textId="77777777" w:rsidR="00282A78" w:rsidRPr="00B324A5" w:rsidRDefault="00282A78" w:rsidP="00282A78">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UK Government, Department of Health, ‘Positive and Proactive Care: reducing the need for restrictive interventions’ (2014) at para 58. </w:t>
      </w:r>
    </w:p>
  </w:footnote>
  <w:footnote w:id="42">
    <w:p w14:paraId="0B611D5E" w14:textId="77777777" w:rsidR="00282A78" w:rsidRPr="00805A53" w:rsidRDefault="00282A78" w:rsidP="00282A78">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CPT Standards </w:t>
      </w:r>
      <w:r w:rsidRPr="00B324A5">
        <w:rPr>
          <w:rFonts w:ascii="Verdana" w:hAnsi="Verdana"/>
          <w:color w:val="7030A0"/>
          <w:sz w:val="16"/>
          <w:szCs w:val="16"/>
        </w:rPr>
        <w:t xml:space="preserve">(2002) at para 47, and Revised CPT Standards (2017) at para 1. </w:t>
      </w:r>
      <w:r w:rsidRPr="00805A53">
        <w:rPr>
          <w:rFonts w:ascii="Verdana" w:hAnsi="Verdana"/>
          <w:color w:val="7030A0"/>
          <w:sz w:val="16"/>
          <w:szCs w:val="16"/>
        </w:rPr>
        <w:t xml:space="preserve"> </w:t>
      </w:r>
    </w:p>
  </w:footnote>
  <w:footnote w:id="43">
    <w:p w14:paraId="07AC48D8" w14:textId="77777777" w:rsidR="00CC4910" w:rsidRPr="00B74DF7" w:rsidRDefault="00CC4910" w:rsidP="00CC4910">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See: S.12, Mental Capacity Act (Northern Ireland) Act 2016; and UK Government, Department of Health, ‘Positive and Proactive Care: reducing the need for restrictive interventions’ (2014) at para.17.</w:t>
      </w:r>
      <w:r w:rsidRPr="00B74DF7">
        <w:rPr>
          <w:rFonts w:ascii="Verdana" w:hAnsi="Verdana"/>
          <w:color w:val="7030A0"/>
          <w:sz w:val="16"/>
          <w:szCs w:val="16"/>
        </w:rPr>
        <w:t xml:space="preserve"> </w:t>
      </w:r>
    </w:p>
  </w:footnote>
  <w:footnote w:id="44">
    <w:p w14:paraId="6EE48C78"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Para 6.7 identifies relevant protections under the European Convention on Human Rights (ECHR), including Article 2 (Right to life); Article 3 (Prohibition of torture); Article 5 (Right to liberty and security); Article 8 (Right to respect for private and family life); Article 14 (Non-discrimination).</w:t>
      </w:r>
    </w:p>
  </w:footnote>
  <w:footnote w:id="45">
    <w:p w14:paraId="50EDCC42"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Para 6.7 – 6.11; Fairness, Respect, Equality, Dignity and Autonomy</w:t>
      </w:r>
    </w:p>
  </w:footnote>
  <w:footnote w:id="46">
    <w:p w14:paraId="5E09CB1E" w14:textId="35FE6AEB" w:rsidR="003C750F" w:rsidRPr="00B74DF7" w:rsidRDefault="003C750F">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UK Government, Department of Health, ‘Positive and Proactive Care: reducing the need for restrictive interventions’ (2014) at para.18</w:t>
      </w:r>
    </w:p>
  </w:footnote>
  <w:footnote w:id="47">
    <w:p w14:paraId="1AEBFD40" w14:textId="77777777" w:rsidR="00F00535" w:rsidRPr="00B74DF7" w:rsidRDefault="00F00535" w:rsidP="00F00535">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Committee of Ministers (2004) Recommendation Number Rec 2004(10) (Strasbourg: Council of Europe), at art 11(2)</w:t>
      </w:r>
    </w:p>
  </w:footnote>
  <w:footnote w:id="48">
    <w:p w14:paraId="78EB734C" w14:textId="77777777" w:rsidR="00425E62" w:rsidRPr="00B74DF7" w:rsidRDefault="00425E62" w:rsidP="00425E6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Commissioner for Older People for Northern Ireland ‘Home Truths’, June 2018, at 30.</w:t>
      </w:r>
    </w:p>
  </w:footnote>
  <w:footnote w:id="49">
    <w:p w14:paraId="177EB023" w14:textId="34DB66A1" w:rsidR="00911A7A" w:rsidRPr="00B74DF7" w:rsidRDefault="00911A7A">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601905" w:rsidRPr="005572D4">
        <w:rPr>
          <w:rFonts w:ascii="Verdana" w:hAnsi="Verdana"/>
          <w:color w:val="7030A0"/>
          <w:sz w:val="16"/>
          <w:szCs w:val="16"/>
        </w:rPr>
        <w:t>Articles</w:t>
      </w:r>
      <w:r w:rsidR="00356E61" w:rsidRPr="00B324A5">
        <w:rPr>
          <w:rFonts w:ascii="Verdana" w:hAnsi="Verdana"/>
          <w:color w:val="7030A0"/>
          <w:sz w:val="16"/>
          <w:szCs w:val="16"/>
        </w:rPr>
        <w:t xml:space="preserve"> 12 and </w:t>
      </w:r>
      <w:r w:rsidR="00356E61" w:rsidRPr="00805A53">
        <w:rPr>
          <w:rFonts w:ascii="Verdana" w:hAnsi="Verdana"/>
          <w:color w:val="7030A0"/>
          <w:sz w:val="16"/>
          <w:szCs w:val="16"/>
        </w:rPr>
        <w:t xml:space="preserve">23(1), UN CRC; and Articles 4(3) and 33(3), UN CRPD </w:t>
      </w:r>
    </w:p>
  </w:footnote>
  <w:footnote w:id="50">
    <w:p w14:paraId="65CB24A4" w14:textId="77777777" w:rsidR="00A641DD" w:rsidRPr="00B74DF7" w:rsidRDefault="00A641DD" w:rsidP="00A641DD">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See ECHR; UN Principles for the Protection of Persons with Mental Illness and the Improvement of Mental Health Care; UN Principles for Older Persons, and; Council of Europe Recommendation (2004)10</w:t>
      </w:r>
    </w:p>
  </w:footnote>
  <w:footnote w:id="51">
    <w:p w14:paraId="3D49864A"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A/HRC/22/53, UN Human Rights Council, Report of the Special Rapporteur on torture and other cruel, inhuman or degrading treatment or punishment, 1 February 2013</w:t>
      </w:r>
    </w:p>
  </w:footnote>
  <w:footnote w:id="52">
    <w:p w14:paraId="48B18F23"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Ibid at 61.</w:t>
      </w:r>
    </w:p>
  </w:footnote>
  <w:footnote w:id="53">
    <w:p w14:paraId="5ECD0BC7" w14:textId="77777777" w:rsidR="004D0672" w:rsidRPr="005572D4"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Ibid at para 89.</w:t>
      </w:r>
    </w:p>
  </w:footnote>
  <w:footnote w:id="54">
    <w:p w14:paraId="7B49B7DE" w14:textId="77777777" w:rsidR="00970DB4" w:rsidRPr="00805A53" w:rsidRDefault="00970DB4">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35562C" w:rsidRPr="005572D4">
        <w:rPr>
          <w:rFonts w:ascii="Verdana" w:hAnsi="Verdana"/>
          <w:color w:val="7030A0"/>
          <w:sz w:val="16"/>
          <w:szCs w:val="16"/>
        </w:rPr>
        <w:t>CRPD/C/GBR/CO/1</w:t>
      </w:r>
      <w:r w:rsidR="0035562C" w:rsidRPr="00B324A5">
        <w:rPr>
          <w:rFonts w:ascii="Verdana" w:hAnsi="Verdana"/>
          <w:color w:val="7030A0"/>
          <w:sz w:val="16"/>
          <w:szCs w:val="16"/>
        </w:rPr>
        <w:t xml:space="preserve"> Committee on the Rights of Persons with Disabilities</w:t>
      </w:r>
      <w:r w:rsidR="00A52692" w:rsidRPr="00B324A5">
        <w:rPr>
          <w:rFonts w:ascii="Verdana" w:hAnsi="Verdana"/>
          <w:color w:val="7030A0"/>
          <w:sz w:val="16"/>
          <w:szCs w:val="16"/>
        </w:rPr>
        <w:t>, ‘</w:t>
      </w:r>
      <w:r w:rsidR="0035562C" w:rsidRPr="00805A53">
        <w:rPr>
          <w:rFonts w:ascii="Verdana" w:hAnsi="Verdana"/>
          <w:color w:val="7030A0"/>
          <w:sz w:val="16"/>
          <w:szCs w:val="16"/>
        </w:rPr>
        <w:t xml:space="preserve">Concluding </w:t>
      </w:r>
      <w:r w:rsidR="00A52692" w:rsidRPr="00805A53">
        <w:rPr>
          <w:rFonts w:ascii="Verdana" w:hAnsi="Verdana"/>
          <w:color w:val="7030A0"/>
          <w:sz w:val="16"/>
          <w:szCs w:val="16"/>
        </w:rPr>
        <w:t>observations</w:t>
      </w:r>
      <w:r w:rsidR="0035562C" w:rsidRPr="00805A53">
        <w:rPr>
          <w:rFonts w:ascii="Verdana" w:hAnsi="Verdana"/>
          <w:color w:val="7030A0"/>
          <w:sz w:val="16"/>
          <w:szCs w:val="16"/>
        </w:rPr>
        <w:t xml:space="preserve"> on the initial report of the United Kingdom of Great Britain and Northern Ireland</w:t>
      </w:r>
      <w:r w:rsidR="00A52692" w:rsidRPr="00805A53">
        <w:rPr>
          <w:rFonts w:ascii="Verdana" w:hAnsi="Verdana"/>
          <w:color w:val="7030A0"/>
          <w:sz w:val="16"/>
          <w:szCs w:val="16"/>
        </w:rPr>
        <w:t>’ 3 October 2017, a</w:t>
      </w:r>
      <w:r w:rsidR="000807B0" w:rsidRPr="00805A53">
        <w:rPr>
          <w:rFonts w:ascii="Verdana" w:hAnsi="Verdana"/>
          <w:color w:val="7030A0"/>
          <w:sz w:val="16"/>
          <w:szCs w:val="16"/>
        </w:rPr>
        <w:t xml:space="preserve">t para </w:t>
      </w:r>
      <w:r w:rsidRPr="00805A53">
        <w:rPr>
          <w:rFonts w:ascii="Verdana" w:hAnsi="Verdana"/>
          <w:color w:val="7030A0"/>
          <w:sz w:val="16"/>
          <w:szCs w:val="16"/>
        </w:rPr>
        <w:t>36</w:t>
      </w:r>
    </w:p>
  </w:footnote>
  <w:footnote w:id="55">
    <w:p w14:paraId="561FB309" w14:textId="77777777" w:rsidR="009F5537" w:rsidRPr="00805A53" w:rsidRDefault="009F5537">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A52692" w:rsidRPr="005572D4">
        <w:rPr>
          <w:rFonts w:ascii="Verdana" w:hAnsi="Verdana"/>
          <w:color w:val="7030A0"/>
          <w:sz w:val="16"/>
          <w:szCs w:val="16"/>
        </w:rPr>
        <w:t>Ibid a</w:t>
      </w:r>
      <w:r w:rsidR="00BF4522" w:rsidRPr="00B324A5">
        <w:rPr>
          <w:rFonts w:ascii="Verdana" w:hAnsi="Verdana"/>
          <w:color w:val="7030A0"/>
          <w:sz w:val="16"/>
          <w:szCs w:val="16"/>
        </w:rPr>
        <w:t>t para</w:t>
      </w:r>
      <w:r w:rsidR="00970DB4" w:rsidRPr="00B324A5">
        <w:rPr>
          <w:rFonts w:ascii="Verdana" w:hAnsi="Verdana"/>
          <w:color w:val="7030A0"/>
          <w:sz w:val="16"/>
          <w:szCs w:val="16"/>
        </w:rPr>
        <w:t xml:space="preserve"> 37(a)</w:t>
      </w:r>
    </w:p>
  </w:footnote>
  <w:footnote w:id="56">
    <w:p w14:paraId="1A9C910A" w14:textId="77777777" w:rsidR="00E4451F" w:rsidRPr="00B74DF7" w:rsidRDefault="00E4451F" w:rsidP="00E4451F">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R (C) v Secretary of State [2009] QB 657 </w:t>
      </w:r>
      <w:r w:rsidRPr="00B324A5">
        <w:rPr>
          <w:rFonts w:ascii="Verdana" w:hAnsi="Verdana"/>
          <w:color w:val="7030A0"/>
          <w:sz w:val="16"/>
          <w:szCs w:val="16"/>
        </w:rPr>
        <w:t>at [58]; in Equality and Human Rights Commission, ‘Human rights framework for restraint: principles for the lawful use of physical, chemical, mechanical and coer</w:t>
      </w:r>
      <w:r w:rsidRPr="00805A53">
        <w:rPr>
          <w:rFonts w:ascii="Verdana" w:hAnsi="Verdana"/>
          <w:color w:val="7030A0"/>
          <w:sz w:val="16"/>
          <w:szCs w:val="16"/>
        </w:rPr>
        <w:t xml:space="preserve">cive restrictive interventions’ March 2019 </w:t>
      </w:r>
    </w:p>
  </w:footnote>
  <w:footnote w:id="57">
    <w:p w14:paraId="220365BD" w14:textId="77777777" w:rsidR="004D0672" w:rsidRPr="00B324A5"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Pr="005572D4">
        <w:rPr>
          <w:rFonts w:ascii="Verdana" w:hAnsi="Verdana" w:cs="Arial"/>
          <w:color w:val="7030A0"/>
          <w:sz w:val="16"/>
          <w:szCs w:val="16"/>
          <w:shd w:val="clear" w:color="auto" w:fill="FFFFFF"/>
        </w:rPr>
        <w:t xml:space="preserve">UN Committee on the Rights of the Child, </w:t>
      </w:r>
      <w:r w:rsidRPr="00B324A5">
        <w:rPr>
          <w:rFonts w:ascii="Verdana" w:hAnsi="Verdana" w:cs="Arial"/>
          <w:color w:val="7030A0"/>
          <w:sz w:val="16"/>
          <w:szCs w:val="16"/>
          <w:shd w:val="clear" w:color="auto" w:fill="FFFFFF"/>
        </w:rPr>
        <w:t>General Comment No. 8: The Right of the Child to Protection from Corporal Punishment and Other Cruel or Degrading Forms of Punishment (Arts. 19; 28, Para. 2; and 37, inter alia) (Forty-second session, 2006), U.N. Doc. CRC/C/GC/8 (2006), para. 18.</w:t>
      </w:r>
    </w:p>
  </w:footnote>
  <w:footnote w:id="58">
    <w:p w14:paraId="7762B82F" w14:textId="77777777" w:rsidR="004D0672" w:rsidRPr="00B74DF7" w:rsidRDefault="004D0672" w:rsidP="004D067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Ibid at para 15.</w:t>
      </w:r>
      <w:r w:rsidRPr="00B74DF7">
        <w:rPr>
          <w:rFonts w:ascii="Verdana" w:hAnsi="Verdana"/>
          <w:color w:val="7030A0"/>
          <w:sz w:val="16"/>
          <w:szCs w:val="16"/>
        </w:rPr>
        <w:t xml:space="preserve"> </w:t>
      </w:r>
    </w:p>
  </w:footnote>
  <w:footnote w:id="59">
    <w:p w14:paraId="2140C994" w14:textId="77777777" w:rsidR="004D0672" w:rsidRPr="00B324A5" w:rsidRDefault="004D0672" w:rsidP="004D0672">
      <w:pPr>
        <w:pStyle w:val="NormalWeb"/>
        <w:spacing w:before="0" w:beforeAutospacing="0" w:after="0" w:afterAutospacing="0"/>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CRC/C/GBR/CO/5, Committee on the Rights of the Child, Concluding observations on the fifth periodic report of the Un</w:t>
      </w:r>
      <w:r w:rsidRPr="00B324A5">
        <w:rPr>
          <w:rFonts w:ascii="Verdana" w:hAnsi="Verdana"/>
          <w:color w:val="7030A0"/>
          <w:sz w:val="16"/>
          <w:szCs w:val="16"/>
        </w:rPr>
        <w:t>ited Kingdom of Great Britain and Northern Ireland, 12 July 2016 at paras 39 and 40.</w:t>
      </w:r>
    </w:p>
  </w:footnote>
  <w:footnote w:id="60">
    <w:p w14:paraId="4D81F8D3" w14:textId="77777777" w:rsidR="004D0672" w:rsidRPr="00B74DF7" w:rsidRDefault="004D0672" w:rsidP="004D0672">
      <w:pPr>
        <w:pStyle w:val="BasicParagraph"/>
        <w:suppressAutoHyphens/>
        <w:rPr>
          <w:rFonts w:ascii="Verdana" w:hAnsi="Verdana" w:cs="Arial"/>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Pr="005572D4">
        <w:rPr>
          <w:rFonts w:ascii="Verdana" w:hAnsi="Verdana" w:cs="Arial"/>
          <w:color w:val="7030A0"/>
          <w:sz w:val="16"/>
          <w:szCs w:val="16"/>
        </w:rPr>
        <w:t xml:space="preserve">CAT/C/GBR/CO/5 Committee against Torture, Concluding observations on the fifth periodic report of the United Kingdom, adopted by the Committee at its fiftieth session, 6-31 May 2013, at para 28. </w:t>
      </w:r>
    </w:p>
  </w:footnote>
  <w:footnote w:id="61">
    <w:p w14:paraId="0E338A20" w14:textId="77777777" w:rsidR="00E14052" w:rsidRPr="00B74DF7" w:rsidRDefault="00E14052" w:rsidP="00E14052">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Ibid at para 37(b)</w:t>
      </w:r>
    </w:p>
  </w:footnote>
  <w:footnote w:id="62">
    <w:p w14:paraId="6A46AE70" w14:textId="77777777" w:rsidR="00EC00BB" w:rsidRPr="00B74DF7" w:rsidRDefault="00EC00BB">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NICCY, CYPCS and the Children’s Commissioner for Wales, ‘Joint submission to the United Nations Committee Against Torture 66th session on the sixth Periodic Report of the United Kingdom of Great Britain and Northern Ireland’, at para 6.1.</w:t>
      </w:r>
    </w:p>
  </w:footnote>
  <w:footnote w:id="63">
    <w:p w14:paraId="7826B6DD" w14:textId="3C9C9994" w:rsidR="00CB3290" w:rsidRPr="00B74DF7" w:rsidRDefault="00CB3290">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00710731" w:rsidRPr="005572D4">
        <w:rPr>
          <w:rFonts w:ascii="Verdana" w:hAnsi="Verdana"/>
          <w:color w:val="7030A0"/>
          <w:sz w:val="16"/>
          <w:szCs w:val="16"/>
        </w:rPr>
        <w:t xml:space="preserve"> European Committee for the Prevention of </w:t>
      </w:r>
      <w:r w:rsidR="00710731" w:rsidRPr="00B324A5">
        <w:rPr>
          <w:rFonts w:ascii="Verdana" w:hAnsi="Verdana"/>
          <w:color w:val="7030A0"/>
          <w:sz w:val="16"/>
          <w:szCs w:val="16"/>
        </w:rPr>
        <w:t>Torture and Inhuman or Degrading Treatment or Punishment (CPT) (2002) ‘The CPT Standards’, Council of Europe, Strasbourg [Revised 2011] at</w:t>
      </w:r>
      <w:r w:rsidRPr="00805A53">
        <w:rPr>
          <w:rFonts w:ascii="Verdana" w:hAnsi="Verdana"/>
          <w:color w:val="7030A0"/>
          <w:sz w:val="16"/>
          <w:szCs w:val="16"/>
        </w:rPr>
        <w:t xml:space="preserve"> para 50. </w:t>
      </w:r>
    </w:p>
  </w:footnote>
  <w:footnote w:id="64">
    <w:p w14:paraId="25C10CC7" w14:textId="08BB3839" w:rsidR="00624999" w:rsidRPr="00B74DF7" w:rsidRDefault="00624999" w:rsidP="00624999">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5710CE" w:rsidRPr="005572D4">
        <w:rPr>
          <w:rFonts w:ascii="Verdana" w:hAnsi="Verdana"/>
          <w:color w:val="7030A0"/>
          <w:sz w:val="16"/>
          <w:szCs w:val="16"/>
        </w:rPr>
        <w:t>NI Human Rights Commission, ‘Submission to the UN Committee on the Rights of the Child 88th Session on th</w:t>
      </w:r>
      <w:r w:rsidR="005710CE" w:rsidRPr="00B324A5">
        <w:rPr>
          <w:rFonts w:ascii="Verdana" w:hAnsi="Verdana"/>
          <w:color w:val="7030A0"/>
          <w:sz w:val="16"/>
          <w:szCs w:val="16"/>
        </w:rPr>
        <w:t>e Sixth Periodic Report of the United Kingdom of Great Britain and Northern Ireland on compliance with the UN Convention on the Rights of the Child’ (NIHRC, 2020), at para 16.6.</w:t>
      </w:r>
    </w:p>
  </w:footnote>
  <w:footnote w:id="65">
    <w:p w14:paraId="349EDD19" w14:textId="0CEA14BE" w:rsidR="00604727" w:rsidRPr="00B74DF7" w:rsidRDefault="00604727">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122591" w:rsidRPr="005572D4">
        <w:rPr>
          <w:rFonts w:ascii="Verdana" w:hAnsi="Verdana"/>
          <w:color w:val="7030A0"/>
          <w:sz w:val="16"/>
          <w:szCs w:val="16"/>
        </w:rPr>
        <w:t xml:space="preserve">UK Government, Department of Health, ‘Positive and Proactive Care: reducing </w:t>
      </w:r>
      <w:r w:rsidR="00122591" w:rsidRPr="00B324A5">
        <w:rPr>
          <w:rFonts w:ascii="Verdana" w:hAnsi="Verdana"/>
          <w:color w:val="7030A0"/>
          <w:sz w:val="16"/>
          <w:szCs w:val="16"/>
        </w:rPr>
        <w:t>the need for restrictive interventions’ (2014) a</w:t>
      </w:r>
      <w:r w:rsidR="00EB79C9" w:rsidRPr="00805A53">
        <w:rPr>
          <w:rFonts w:ascii="Verdana" w:hAnsi="Verdana"/>
          <w:color w:val="7030A0"/>
          <w:sz w:val="16"/>
          <w:szCs w:val="16"/>
        </w:rPr>
        <w:t>t para. 111</w:t>
      </w:r>
      <w:r w:rsidR="00E766A3" w:rsidRPr="00805A53">
        <w:rPr>
          <w:rFonts w:ascii="Verdana" w:hAnsi="Verdana"/>
          <w:color w:val="7030A0"/>
          <w:sz w:val="16"/>
          <w:szCs w:val="16"/>
        </w:rPr>
        <w:t xml:space="preserve"> </w:t>
      </w:r>
    </w:p>
  </w:footnote>
  <w:footnote w:id="66">
    <w:p w14:paraId="5D81C02E" w14:textId="4E4CFE4C" w:rsidR="00765719" w:rsidRPr="00805A53" w:rsidRDefault="00765719">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8520E1" w:rsidRPr="005572D4">
        <w:rPr>
          <w:rFonts w:ascii="Verdana" w:hAnsi="Verdana"/>
          <w:color w:val="7030A0"/>
          <w:sz w:val="16"/>
          <w:szCs w:val="16"/>
        </w:rPr>
        <w:t>European Committee for the Prevention of Torture and Inhuman or Degrading Treatment or Punishment (CPT) (2002) ‘The CPT Standards’, Council of Europe, Strasbourg [Revised 2011]</w:t>
      </w:r>
      <w:r w:rsidR="008520E1" w:rsidRPr="00B324A5">
        <w:rPr>
          <w:rFonts w:ascii="Verdana" w:hAnsi="Verdana"/>
          <w:color w:val="7030A0"/>
          <w:sz w:val="16"/>
          <w:szCs w:val="16"/>
        </w:rPr>
        <w:t xml:space="preserve"> at para.42.</w:t>
      </w:r>
    </w:p>
  </w:footnote>
  <w:footnote w:id="67">
    <w:p w14:paraId="2C1BC344" w14:textId="0BBDC25D" w:rsidR="00765719" w:rsidRPr="00B74DF7" w:rsidRDefault="00765719">
      <w:pPr>
        <w:pStyle w:val="FootnoteText"/>
        <w:rPr>
          <w:rFonts w:ascii="Verdana" w:hAnsi="Verdana"/>
          <w:color w:val="7030A0"/>
          <w:sz w:val="16"/>
          <w:szCs w:val="16"/>
        </w:rPr>
      </w:pPr>
      <w:r w:rsidRPr="005572D4">
        <w:rPr>
          <w:rStyle w:val="FootnoteReference"/>
          <w:rFonts w:ascii="Verdana" w:hAnsi="Verdana"/>
          <w:color w:val="7030A0"/>
          <w:sz w:val="16"/>
          <w:szCs w:val="16"/>
        </w:rPr>
        <w:footnoteRef/>
      </w:r>
      <w:r w:rsidRPr="005572D4">
        <w:rPr>
          <w:rFonts w:ascii="Verdana" w:hAnsi="Verdana"/>
          <w:color w:val="7030A0"/>
          <w:sz w:val="16"/>
          <w:szCs w:val="16"/>
        </w:rPr>
        <w:t xml:space="preserve"> </w:t>
      </w:r>
      <w:r w:rsidR="00D34DAF" w:rsidRPr="005572D4">
        <w:rPr>
          <w:rFonts w:ascii="Verdana" w:hAnsi="Verdana"/>
          <w:color w:val="7030A0"/>
          <w:sz w:val="16"/>
          <w:szCs w:val="16"/>
        </w:rPr>
        <w:t>European Committee for the Prevention of Torture and Inhuman or Degrading Treatment or Punishment (CPT), ‘Means of restraint in psychiatric establishments for adults’ (2017) Council of Europe, Strasbourg, at para.7.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87AC1"/>
    <w:multiLevelType w:val="multilevel"/>
    <w:tmpl w:val="4718C074"/>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1" w15:restartNumberingAfterBreak="0">
    <w:nsid w:val="14040046"/>
    <w:multiLevelType w:val="multilevel"/>
    <w:tmpl w:val="47FC0EB2"/>
    <w:lvl w:ilvl="0">
      <w:start w:val="5"/>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2" w15:restartNumberingAfterBreak="0">
    <w:nsid w:val="1857018A"/>
    <w:multiLevelType w:val="hybridMultilevel"/>
    <w:tmpl w:val="8A30D634"/>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C360B23"/>
    <w:multiLevelType w:val="multilevel"/>
    <w:tmpl w:val="D478B024"/>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2139525F"/>
    <w:multiLevelType w:val="hybridMultilevel"/>
    <w:tmpl w:val="8CF40FB0"/>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7E4085E"/>
    <w:multiLevelType w:val="hybridMultilevel"/>
    <w:tmpl w:val="48988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447DFB"/>
    <w:multiLevelType w:val="hybridMultilevel"/>
    <w:tmpl w:val="A3B84D18"/>
    <w:lvl w:ilvl="0" w:tplc="50960044">
      <w:start w:val="1"/>
      <w:numFmt w:val="decimal"/>
      <w:lvlText w:val="%1."/>
      <w:lvlJc w:val="left"/>
      <w:pPr>
        <w:ind w:left="360" w:hanging="360"/>
      </w:pPr>
      <w:rPr>
        <w:rFonts w:hint="default"/>
        <w:color w:val="7347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B86357F"/>
    <w:multiLevelType w:val="multilevel"/>
    <w:tmpl w:val="21E600D4"/>
    <w:lvl w:ilvl="0">
      <w:start w:val="3"/>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8" w15:restartNumberingAfterBreak="0">
    <w:nsid w:val="3DAE7192"/>
    <w:multiLevelType w:val="multilevel"/>
    <w:tmpl w:val="788ABD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abstractNum w:abstractNumId="9" w15:restartNumberingAfterBreak="0">
    <w:nsid w:val="3E422170"/>
    <w:multiLevelType w:val="hybridMultilevel"/>
    <w:tmpl w:val="E522FDC6"/>
    <w:lvl w:ilvl="0" w:tplc="9174B4FC">
      <w:start w:val="1"/>
      <w:numFmt w:val="bullet"/>
      <w:lvlText w:val=""/>
      <w:lvlJc w:val="left"/>
      <w:pPr>
        <w:ind w:left="360" w:hanging="360"/>
      </w:pPr>
      <w:rPr>
        <w:rFonts w:ascii="Symbol" w:hAnsi="Symbol" w:hint="default"/>
        <w:color w:val="77328A"/>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FED1C18"/>
    <w:multiLevelType w:val="hybridMultilevel"/>
    <w:tmpl w:val="EE04C2B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3986C7B"/>
    <w:multiLevelType w:val="hybridMultilevel"/>
    <w:tmpl w:val="15049E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CD46DA"/>
    <w:multiLevelType w:val="hybridMultilevel"/>
    <w:tmpl w:val="A198F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1167968"/>
    <w:multiLevelType w:val="hybridMultilevel"/>
    <w:tmpl w:val="C116219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5A066AA7"/>
    <w:multiLevelType w:val="hybridMultilevel"/>
    <w:tmpl w:val="9BD8338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D9316C5"/>
    <w:multiLevelType w:val="hybridMultilevel"/>
    <w:tmpl w:val="75ACB9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732D4628"/>
    <w:multiLevelType w:val="hybridMultilevel"/>
    <w:tmpl w:val="7BB07136"/>
    <w:lvl w:ilvl="0" w:tplc="5D3429A0">
      <w:start w:val="1"/>
      <w:numFmt w:val="bullet"/>
      <w:lvlText w:val=""/>
      <w:lvlJc w:val="left"/>
      <w:pPr>
        <w:ind w:left="360" w:hanging="360"/>
      </w:pPr>
      <w:rPr>
        <w:rFonts w:ascii="Symbol" w:hAnsi="Symbol" w:hint="default"/>
        <w:color w:val="73479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5657F8F"/>
    <w:multiLevelType w:val="hybridMultilevel"/>
    <w:tmpl w:val="EE8AE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7E2E08FB"/>
    <w:multiLevelType w:val="hybridMultilevel"/>
    <w:tmpl w:val="7F569DE2"/>
    <w:lvl w:ilvl="0" w:tplc="B6DEEB0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8"/>
  </w:num>
  <w:num w:numId="3">
    <w:abstractNumId w:val="2"/>
  </w:num>
  <w:num w:numId="4">
    <w:abstractNumId w:val="6"/>
  </w:num>
  <w:num w:numId="5">
    <w:abstractNumId w:val="16"/>
  </w:num>
  <w:num w:numId="6">
    <w:abstractNumId w:val="4"/>
  </w:num>
  <w:num w:numId="7">
    <w:abstractNumId w:val="9"/>
  </w:num>
  <w:num w:numId="8">
    <w:abstractNumId w:val="17"/>
  </w:num>
  <w:num w:numId="9">
    <w:abstractNumId w:val="5"/>
  </w:num>
  <w:num w:numId="10">
    <w:abstractNumId w:val="3"/>
  </w:num>
  <w:num w:numId="11">
    <w:abstractNumId w:val="7"/>
  </w:num>
  <w:num w:numId="12">
    <w:abstractNumId w:val="10"/>
  </w:num>
  <w:num w:numId="13">
    <w:abstractNumId w:val="15"/>
  </w:num>
  <w:num w:numId="14">
    <w:abstractNumId w:val="1"/>
  </w:num>
  <w:num w:numId="15">
    <w:abstractNumId w:val="0"/>
  </w:num>
  <w:num w:numId="16">
    <w:abstractNumId w:val="14"/>
  </w:num>
  <w:num w:numId="17">
    <w:abstractNumId w:val="11"/>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6532"/>
    <w:rsid w:val="00001042"/>
    <w:rsid w:val="000023A8"/>
    <w:rsid w:val="00003005"/>
    <w:rsid w:val="000031EE"/>
    <w:rsid w:val="000051AE"/>
    <w:rsid w:val="0000527B"/>
    <w:rsid w:val="00012380"/>
    <w:rsid w:val="00012FCB"/>
    <w:rsid w:val="00015CE3"/>
    <w:rsid w:val="000175F1"/>
    <w:rsid w:val="00017688"/>
    <w:rsid w:val="00017F7E"/>
    <w:rsid w:val="000226D1"/>
    <w:rsid w:val="0002310F"/>
    <w:rsid w:val="000238CB"/>
    <w:rsid w:val="000256BD"/>
    <w:rsid w:val="00025A6B"/>
    <w:rsid w:val="00027697"/>
    <w:rsid w:val="00027E6B"/>
    <w:rsid w:val="000311BC"/>
    <w:rsid w:val="000319D0"/>
    <w:rsid w:val="000334D6"/>
    <w:rsid w:val="000347C5"/>
    <w:rsid w:val="000348FD"/>
    <w:rsid w:val="000368F9"/>
    <w:rsid w:val="00046705"/>
    <w:rsid w:val="00047212"/>
    <w:rsid w:val="00047502"/>
    <w:rsid w:val="000475A4"/>
    <w:rsid w:val="0004791B"/>
    <w:rsid w:val="00047ED6"/>
    <w:rsid w:val="0005215D"/>
    <w:rsid w:val="00052BC3"/>
    <w:rsid w:val="0005379E"/>
    <w:rsid w:val="000539A4"/>
    <w:rsid w:val="00054A94"/>
    <w:rsid w:val="00054F05"/>
    <w:rsid w:val="00055968"/>
    <w:rsid w:val="00060D3A"/>
    <w:rsid w:val="00061695"/>
    <w:rsid w:val="000632F3"/>
    <w:rsid w:val="00063372"/>
    <w:rsid w:val="00065025"/>
    <w:rsid w:val="00065CFE"/>
    <w:rsid w:val="000675F3"/>
    <w:rsid w:val="0007069B"/>
    <w:rsid w:val="00071C1D"/>
    <w:rsid w:val="00074AB3"/>
    <w:rsid w:val="000751B8"/>
    <w:rsid w:val="00075C54"/>
    <w:rsid w:val="000807B0"/>
    <w:rsid w:val="0008233A"/>
    <w:rsid w:val="00082AF1"/>
    <w:rsid w:val="00083214"/>
    <w:rsid w:val="000849A4"/>
    <w:rsid w:val="000866C1"/>
    <w:rsid w:val="0008683D"/>
    <w:rsid w:val="000874FF"/>
    <w:rsid w:val="0009148B"/>
    <w:rsid w:val="0009163D"/>
    <w:rsid w:val="00091E5B"/>
    <w:rsid w:val="00092322"/>
    <w:rsid w:val="00093211"/>
    <w:rsid w:val="00093D72"/>
    <w:rsid w:val="00094685"/>
    <w:rsid w:val="000953A2"/>
    <w:rsid w:val="000A000B"/>
    <w:rsid w:val="000A057B"/>
    <w:rsid w:val="000A0C1E"/>
    <w:rsid w:val="000A0CCC"/>
    <w:rsid w:val="000A14A8"/>
    <w:rsid w:val="000A2110"/>
    <w:rsid w:val="000A2118"/>
    <w:rsid w:val="000A21B8"/>
    <w:rsid w:val="000A27BA"/>
    <w:rsid w:val="000A2E1C"/>
    <w:rsid w:val="000A3138"/>
    <w:rsid w:val="000A3EAF"/>
    <w:rsid w:val="000A4FA8"/>
    <w:rsid w:val="000A5D39"/>
    <w:rsid w:val="000A5F3B"/>
    <w:rsid w:val="000A6EE3"/>
    <w:rsid w:val="000A7BB7"/>
    <w:rsid w:val="000B10C4"/>
    <w:rsid w:val="000B3429"/>
    <w:rsid w:val="000B3EB8"/>
    <w:rsid w:val="000B5A1F"/>
    <w:rsid w:val="000B6F07"/>
    <w:rsid w:val="000B7E04"/>
    <w:rsid w:val="000B7F2E"/>
    <w:rsid w:val="000C0E7D"/>
    <w:rsid w:val="000C154A"/>
    <w:rsid w:val="000C305F"/>
    <w:rsid w:val="000C4535"/>
    <w:rsid w:val="000C569D"/>
    <w:rsid w:val="000C59F0"/>
    <w:rsid w:val="000C720B"/>
    <w:rsid w:val="000C76E2"/>
    <w:rsid w:val="000D0787"/>
    <w:rsid w:val="000D094E"/>
    <w:rsid w:val="000D1314"/>
    <w:rsid w:val="000D256B"/>
    <w:rsid w:val="000D3004"/>
    <w:rsid w:val="000D5146"/>
    <w:rsid w:val="000D5FEE"/>
    <w:rsid w:val="000E0189"/>
    <w:rsid w:val="000E0AE2"/>
    <w:rsid w:val="000E0D7E"/>
    <w:rsid w:val="000E17C6"/>
    <w:rsid w:val="000E1AB5"/>
    <w:rsid w:val="000E1F61"/>
    <w:rsid w:val="000E4A9E"/>
    <w:rsid w:val="000E4C40"/>
    <w:rsid w:val="000E5BED"/>
    <w:rsid w:val="000E62FC"/>
    <w:rsid w:val="000E7EC0"/>
    <w:rsid w:val="000E7F0C"/>
    <w:rsid w:val="000F0D1C"/>
    <w:rsid w:val="000F26A3"/>
    <w:rsid w:val="000F2B4D"/>
    <w:rsid w:val="000F4788"/>
    <w:rsid w:val="000F58F4"/>
    <w:rsid w:val="000F66C7"/>
    <w:rsid w:val="000F68F4"/>
    <w:rsid w:val="00100329"/>
    <w:rsid w:val="00101A74"/>
    <w:rsid w:val="00102450"/>
    <w:rsid w:val="00106183"/>
    <w:rsid w:val="0010643C"/>
    <w:rsid w:val="0010704B"/>
    <w:rsid w:val="00107921"/>
    <w:rsid w:val="0011093D"/>
    <w:rsid w:val="001127E8"/>
    <w:rsid w:val="00113F99"/>
    <w:rsid w:val="0011419D"/>
    <w:rsid w:val="0011666B"/>
    <w:rsid w:val="00120972"/>
    <w:rsid w:val="001219FA"/>
    <w:rsid w:val="0012225B"/>
    <w:rsid w:val="00122591"/>
    <w:rsid w:val="001231AD"/>
    <w:rsid w:val="00123AEE"/>
    <w:rsid w:val="001246CF"/>
    <w:rsid w:val="00125D4D"/>
    <w:rsid w:val="00126B72"/>
    <w:rsid w:val="00130646"/>
    <w:rsid w:val="00130CBA"/>
    <w:rsid w:val="0013130B"/>
    <w:rsid w:val="00131A28"/>
    <w:rsid w:val="001328A4"/>
    <w:rsid w:val="00132C5C"/>
    <w:rsid w:val="00133560"/>
    <w:rsid w:val="00134596"/>
    <w:rsid w:val="00134F72"/>
    <w:rsid w:val="00135CD1"/>
    <w:rsid w:val="00136308"/>
    <w:rsid w:val="00136CF7"/>
    <w:rsid w:val="00140587"/>
    <w:rsid w:val="00140C7E"/>
    <w:rsid w:val="00140C8E"/>
    <w:rsid w:val="00141646"/>
    <w:rsid w:val="00141DE2"/>
    <w:rsid w:val="00143877"/>
    <w:rsid w:val="001444CE"/>
    <w:rsid w:val="00146BD3"/>
    <w:rsid w:val="00147E10"/>
    <w:rsid w:val="00151DD8"/>
    <w:rsid w:val="00153B8D"/>
    <w:rsid w:val="00155E04"/>
    <w:rsid w:val="00157328"/>
    <w:rsid w:val="00157DAC"/>
    <w:rsid w:val="0016060C"/>
    <w:rsid w:val="001614F6"/>
    <w:rsid w:val="001617E7"/>
    <w:rsid w:val="00161846"/>
    <w:rsid w:val="001649A0"/>
    <w:rsid w:val="0016568B"/>
    <w:rsid w:val="00165F07"/>
    <w:rsid w:val="0016786F"/>
    <w:rsid w:val="00171A32"/>
    <w:rsid w:val="00172E01"/>
    <w:rsid w:val="0017315E"/>
    <w:rsid w:val="00174896"/>
    <w:rsid w:val="0018049A"/>
    <w:rsid w:val="001809C7"/>
    <w:rsid w:val="00180DEF"/>
    <w:rsid w:val="001815D4"/>
    <w:rsid w:val="00181914"/>
    <w:rsid w:val="00181A95"/>
    <w:rsid w:val="00181DF2"/>
    <w:rsid w:val="00182710"/>
    <w:rsid w:val="00183786"/>
    <w:rsid w:val="00185972"/>
    <w:rsid w:val="00185D3E"/>
    <w:rsid w:val="00187B50"/>
    <w:rsid w:val="0019383F"/>
    <w:rsid w:val="00196E14"/>
    <w:rsid w:val="001A023A"/>
    <w:rsid w:val="001A08C1"/>
    <w:rsid w:val="001A1513"/>
    <w:rsid w:val="001A17E6"/>
    <w:rsid w:val="001A187B"/>
    <w:rsid w:val="001A1F66"/>
    <w:rsid w:val="001A39BD"/>
    <w:rsid w:val="001A3FE4"/>
    <w:rsid w:val="001A5470"/>
    <w:rsid w:val="001A61FD"/>
    <w:rsid w:val="001A7900"/>
    <w:rsid w:val="001A7C3E"/>
    <w:rsid w:val="001B0E2B"/>
    <w:rsid w:val="001B2D71"/>
    <w:rsid w:val="001B5BD3"/>
    <w:rsid w:val="001B6457"/>
    <w:rsid w:val="001B6E23"/>
    <w:rsid w:val="001B74EB"/>
    <w:rsid w:val="001C0C31"/>
    <w:rsid w:val="001C2C1D"/>
    <w:rsid w:val="001C3155"/>
    <w:rsid w:val="001C4C19"/>
    <w:rsid w:val="001C5D54"/>
    <w:rsid w:val="001D0976"/>
    <w:rsid w:val="001D1430"/>
    <w:rsid w:val="001D1541"/>
    <w:rsid w:val="001D31BC"/>
    <w:rsid w:val="001D3261"/>
    <w:rsid w:val="001D3E4E"/>
    <w:rsid w:val="001D478F"/>
    <w:rsid w:val="001D66D4"/>
    <w:rsid w:val="001D6A75"/>
    <w:rsid w:val="001E037C"/>
    <w:rsid w:val="001E0743"/>
    <w:rsid w:val="001E0AEE"/>
    <w:rsid w:val="001E220F"/>
    <w:rsid w:val="001E35A5"/>
    <w:rsid w:val="001E466C"/>
    <w:rsid w:val="001E476E"/>
    <w:rsid w:val="001E4EF6"/>
    <w:rsid w:val="001E573B"/>
    <w:rsid w:val="001E71C0"/>
    <w:rsid w:val="001E79A9"/>
    <w:rsid w:val="001E7AAD"/>
    <w:rsid w:val="001F2B8D"/>
    <w:rsid w:val="001F38FC"/>
    <w:rsid w:val="001F4481"/>
    <w:rsid w:val="001F4911"/>
    <w:rsid w:val="001F4FA1"/>
    <w:rsid w:val="001F64EB"/>
    <w:rsid w:val="001F7F33"/>
    <w:rsid w:val="001F7F99"/>
    <w:rsid w:val="0020148D"/>
    <w:rsid w:val="00201B4C"/>
    <w:rsid w:val="00202316"/>
    <w:rsid w:val="002035A8"/>
    <w:rsid w:val="00203BC1"/>
    <w:rsid w:val="002044FE"/>
    <w:rsid w:val="0020687C"/>
    <w:rsid w:val="00207A03"/>
    <w:rsid w:val="00210235"/>
    <w:rsid w:val="00210756"/>
    <w:rsid w:val="00210A33"/>
    <w:rsid w:val="0021110A"/>
    <w:rsid w:val="002117D5"/>
    <w:rsid w:val="002119C2"/>
    <w:rsid w:val="00212762"/>
    <w:rsid w:val="00212B38"/>
    <w:rsid w:val="002132ED"/>
    <w:rsid w:val="00213B8A"/>
    <w:rsid w:val="002144E4"/>
    <w:rsid w:val="002148B5"/>
    <w:rsid w:val="00214AC4"/>
    <w:rsid w:val="00215ADB"/>
    <w:rsid w:val="00217A7B"/>
    <w:rsid w:val="00220C93"/>
    <w:rsid w:val="00221320"/>
    <w:rsid w:val="00221434"/>
    <w:rsid w:val="002214B1"/>
    <w:rsid w:val="00221528"/>
    <w:rsid w:val="00221D85"/>
    <w:rsid w:val="00222AF7"/>
    <w:rsid w:val="00224140"/>
    <w:rsid w:val="00224AE4"/>
    <w:rsid w:val="00225E69"/>
    <w:rsid w:val="00225FE8"/>
    <w:rsid w:val="0022625E"/>
    <w:rsid w:val="00227066"/>
    <w:rsid w:val="002272DC"/>
    <w:rsid w:val="0022741B"/>
    <w:rsid w:val="002276A4"/>
    <w:rsid w:val="002320D7"/>
    <w:rsid w:val="002321D7"/>
    <w:rsid w:val="00233C46"/>
    <w:rsid w:val="002351CB"/>
    <w:rsid w:val="0023520E"/>
    <w:rsid w:val="00235882"/>
    <w:rsid w:val="00237E08"/>
    <w:rsid w:val="00240F3A"/>
    <w:rsid w:val="0024217D"/>
    <w:rsid w:val="0024274F"/>
    <w:rsid w:val="002428EC"/>
    <w:rsid w:val="0024406F"/>
    <w:rsid w:val="0024469B"/>
    <w:rsid w:val="00245A9F"/>
    <w:rsid w:val="00246247"/>
    <w:rsid w:val="002462D4"/>
    <w:rsid w:val="0024759B"/>
    <w:rsid w:val="002512BE"/>
    <w:rsid w:val="00252295"/>
    <w:rsid w:val="002530DD"/>
    <w:rsid w:val="00254299"/>
    <w:rsid w:val="002553F7"/>
    <w:rsid w:val="00255732"/>
    <w:rsid w:val="0025653B"/>
    <w:rsid w:val="002565DB"/>
    <w:rsid w:val="0025669E"/>
    <w:rsid w:val="002566A5"/>
    <w:rsid w:val="002566B4"/>
    <w:rsid w:val="00256AFF"/>
    <w:rsid w:val="00256CCA"/>
    <w:rsid w:val="002609D6"/>
    <w:rsid w:val="00260E1A"/>
    <w:rsid w:val="00261333"/>
    <w:rsid w:val="002639E0"/>
    <w:rsid w:val="00264654"/>
    <w:rsid w:val="00264EEA"/>
    <w:rsid w:val="00265B38"/>
    <w:rsid w:val="002679E4"/>
    <w:rsid w:val="00272253"/>
    <w:rsid w:val="002728FB"/>
    <w:rsid w:val="002758BF"/>
    <w:rsid w:val="00275FDA"/>
    <w:rsid w:val="00277318"/>
    <w:rsid w:val="0028036D"/>
    <w:rsid w:val="00280E7B"/>
    <w:rsid w:val="002817CB"/>
    <w:rsid w:val="00282A78"/>
    <w:rsid w:val="00282BB6"/>
    <w:rsid w:val="00282BF2"/>
    <w:rsid w:val="0028338E"/>
    <w:rsid w:val="00286B07"/>
    <w:rsid w:val="00290743"/>
    <w:rsid w:val="00291771"/>
    <w:rsid w:val="002924A8"/>
    <w:rsid w:val="002927FC"/>
    <w:rsid w:val="00292AAD"/>
    <w:rsid w:val="00292F90"/>
    <w:rsid w:val="00295172"/>
    <w:rsid w:val="00296225"/>
    <w:rsid w:val="00297C1D"/>
    <w:rsid w:val="002A0188"/>
    <w:rsid w:val="002A088F"/>
    <w:rsid w:val="002A1163"/>
    <w:rsid w:val="002A24A2"/>
    <w:rsid w:val="002A4355"/>
    <w:rsid w:val="002A59CA"/>
    <w:rsid w:val="002A5ECF"/>
    <w:rsid w:val="002B00A3"/>
    <w:rsid w:val="002B0122"/>
    <w:rsid w:val="002B1272"/>
    <w:rsid w:val="002B1F74"/>
    <w:rsid w:val="002B244B"/>
    <w:rsid w:val="002B26EC"/>
    <w:rsid w:val="002B4A0F"/>
    <w:rsid w:val="002B4F50"/>
    <w:rsid w:val="002B5BBF"/>
    <w:rsid w:val="002B6BC5"/>
    <w:rsid w:val="002C01C1"/>
    <w:rsid w:val="002C02FE"/>
    <w:rsid w:val="002C1FDB"/>
    <w:rsid w:val="002C401D"/>
    <w:rsid w:val="002C4425"/>
    <w:rsid w:val="002C46C6"/>
    <w:rsid w:val="002C5B14"/>
    <w:rsid w:val="002C5C23"/>
    <w:rsid w:val="002C6608"/>
    <w:rsid w:val="002D01D7"/>
    <w:rsid w:val="002D0C2B"/>
    <w:rsid w:val="002D1E78"/>
    <w:rsid w:val="002D4413"/>
    <w:rsid w:val="002D45D1"/>
    <w:rsid w:val="002D5FD5"/>
    <w:rsid w:val="002D691F"/>
    <w:rsid w:val="002E062D"/>
    <w:rsid w:val="002E0855"/>
    <w:rsid w:val="002E169C"/>
    <w:rsid w:val="002E21BF"/>
    <w:rsid w:val="002E27DD"/>
    <w:rsid w:val="002E3356"/>
    <w:rsid w:val="002E3510"/>
    <w:rsid w:val="002E5890"/>
    <w:rsid w:val="002E6D0A"/>
    <w:rsid w:val="002F05D7"/>
    <w:rsid w:val="002F0687"/>
    <w:rsid w:val="002F0C31"/>
    <w:rsid w:val="002F398D"/>
    <w:rsid w:val="002F6211"/>
    <w:rsid w:val="002F628C"/>
    <w:rsid w:val="002F6697"/>
    <w:rsid w:val="002F78C4"/>
    <w:rsid w:val="002F7ABF"/>
    <w:rsid w:val="00300715"/>
    <w:rsid w:val="0030157A"/>
    <w:rsid w:val="003024B4"/>
    <w:rsid w:val="003026F1"/>
    <w:rsid w:val="00303DB0"/>
    <w:rsid w:val="00305A97"/>
    <w:rsid w:val="00306317"/>
    <w:rsid w:val="00306701"/>
    <w:rsid w:val="00306D1E"/>
    <w:rsid w:val="00310086"/>
    <w:rsid w:val="003112AD"/>
    <w:rsid w:val="00313A30"/>
    <w:rsid w:val="00315E5E"/>
    <w:rsid w:val="00315F07"/>
    <w:rsid w:val="0032048E"/>
    <w:rsid w:val="00323261"/>
    <w:rsid w:val="00323E57"/>
    <w:rsid w:val="00324196"/>
    <w:rsid w:val="003251B6"/>
    <w:rsid w:val="00325D23"/>
    <w:rsid w:val="00326046"/>
    <w:rsid w:val="003264A4"/>
    <w:rsid w:val="0033113F"/>
    <w:rsid w:val="0033133E"/>
    <w:rsid w:val="00331C61"/>
    <w:rsid w:val="00332B00"/>
    <w:rsid w:val="00332BF5"/>
    <w:rsid w:val="00332CB0"/>
    <w:rsid w:val="00333F07"/>
    <w:rsid w:val="00334D15"/>
    <w:rsid w:val="00335C93"/>
    <w:rsid w:val="003361A1"/>
    <w:rsid w:val="00336D59"/>
    <w:rsid w:val="00340235"/>
    <w:rsid w:val="00341BFE"/>
    <w:rsid w:val="003422B7"/>
    <w:rsid w:val="003445B7"/>
    <w:rsid w:val="00345F4D"/>
    <w:rsid w:val="00346CF4"/>
    <w:rsid w:val="003535A3"/>
    <w:rsid w:val="00353684"/>
    <w:rsid w:val="0035562C"/>
    <w:rsid w:val="00356E61"/>
    <w:rsid w:val="00361A9A"/>
    <w:rsid w:val="003625E6"/>
    <w:rsid w:val="00362772"/>
    <w:rsid w:val="0036377D"/>
    <w:rsid w:val="0036394B"/>
    <w:rsid w:val="0036483E"/>
    <w:rsid w:val="00364C88"/>
    <w:rsid w:val="00365BCB"/>
    <w:rsid w:val="00366C37"/>
    <w:rsid w:val="0036765E"/>
    <w:rsid w:val="00367CCA"/>
    <w:rsid w:val="00371994"/>
    <w:rsid w:val="00372DC7"/>
    <w:rsid w:val="00374681"/>
    <w:rsid w:val="00374993"/>
    <w:rsid w:val="00374BC6"/>
    <w:rsid w:val="0037593F"/>
    <w:rsid w:val="00377CC6"/>
    <w:rsid w:val="00381467"/>
    <w:rsid w:val="00383246"/>
    <w:rsid w:val="00383835"/>
    <w:rsid w:val="00383840"/>
    <w:rsid w:val="003847B4"/>
    <w:rsid w:val="00384B21"/>
    <w:rsid w:val="00384BEC"/>
    <w:rsid w:val="00386251"/>
    <w:rsid w:val="003863D5"/>
    <w:rsid w:val="00387111"/>
    <w:rsid w:val="00387F7E"/>
    <w:rsid w:val="00391742"/>
    <w:rsid w:val="00392710"/>
    <w:rsid w:val="00393FD0"/>
    <w:rsid w:val="00394B3D"/>
    <w:rsid w:val="00394B9E"/>
    <w:rsid w:val="003952B1"/>
    <w:rsid w:val="003960B9"/>
    <w:rsid w:val="00396124"/>
    <w:rsid w:val="003A00D9"/>
    <w:rsid w:val="003A1C27"/>
    <w:rsid w:val="003A3059"/>
    <w:rsid w:val="003A4201"/>
    <w:rsid w:val="003A5192"/>
    <w:rsid w:val="003A5623"/>
    <w:rsid w:val="003A690E"/>
    <w:rsid w:val="003A7162"/>
    <w:rsid w:val="003A7E37"/>
    <w:rsid w:val="003B1429"/>
    <w:rsid w:val="003B18B5"/>
    <w:rsid w:val="003B1D0F"/>
    <w:rsid w:val="003B1ED8"/>
    <w:rsid w:val="003B256D"/>
    <w:rsid w:val="003B2A64"/>
    <w:rsid w:val="003B317C"/>
    <w:rsid w:val="003B3274"/>
    <w:rsid w:val="003B3D11"/>
    <w:rsid w:val="003B4963"/>
    <w:rsid w:val="003B6A2E"/>
    <w:rsid w:val="003B6F48"/>
    <w:rsid w:val="003B7D0E"/>
    <w:rsid w:val="003C2895"/>
    <w:rsid w:val="003C4221"/>
    <w:rsid w:val="003C456C"/>
    <w:rsid w:val="003C4894"/>
    <w:rsid w:val="003C497F"/>
    <w:rsid w:val="003C4C7D"/>
    <w:rsid w:val="003C5466"/>
    <w:rsid w:val="003C6893"/>
    <w:rsid w:val="003C7434"/>
    <w:rsid w:val="003C750F"/>
    <w:rsid w:val="003D09D2"/>
    <w:rsid w:val="003D343D"/>
    <w:rsid w:val="003D57DF"/>
    <w:rsid w:val="003D6067"/>
    <w:rsid w:val="003D60D2"/>
    <w:rsid w:val="003D6E2B"/>
    <w:rsid w:val="003E130E"/>
    <w:rsid w:val="003E3301"/>
    <w:rsid w:val="003E6906"/>
    <w:rsid w:val="003E7B4A"/>
    <w:rsid w:val="003E7FC6"/>
    <w:rsid w:val="003F1731"/>
    <w:rsid w:val="003F26C1"/>
    <w:rsid w:val="003F28A4"/>
    <w:rsid w:val="003F315D"/>
    <w:rsid w:val="003F4342"/>
    <w:rsid w:val="003F5587"/>
    <w:rsid w:val="003F7B13"/>
    <w:rsid w:val="0040556F"/>
    <w:rsid w:val="004066E8"/>
    <w:rsid w:val="004104D6"/>
    <w:rsid w:val="004120DA"/>
    <w:rsid w:val="00412B15"/>
    <w:rsid w:val="004155A0"/>
    <w:rsid w:val="00416FE0"/>
    <w:rsid w:val="00420ED1"/>
    <w:rsid w:val="004214DC"/>
    <w:rsid w:val="00421E7A"/>
    <w:rsid w:val="00423850"/>
    <w:rsid w:val="00425C28"/>
    <w:rsid w:val="00425E62"/>
    <w:rsid w:val="00425EAC"/>
    <w:rsid w:val="00425EC4"/>
    <w:rsid w:val="00425F5B"/>
    <w:rsid w:val="0042604C"/>
    <w:rsid w:val="004278FA"/>
    <w:rsid w:val="004315C6"/>
    <w:rsid w:val="004319D9"/>
    <w:rsid w:val="004332DA"/>
    <w:rsid w:val="00433814"/>
    <w:rsid w:val="004339C0"/>
    <w:rsid w:val="00433A18"/>
    <w:rsid w:val="00433B33"/>
    <w:rsid w:val="004340D7"/>
    <w:rsid w:val="004345E4"/>
    <w:rsid w:val="004350C1"/>
    <w:rsid w:val="004360BE"/>
    <w:rsid w:val="00436D48"/>
    <w:rsid w:val="004372F3"/>
    <w:rsid w:val="00437584"/>
    <w:rsid w:val="00437643"/>
    <w:rsid w:val="004403CD"/>
    <w:rsid w:val="004409A8"/>
    <w:rsid w:val="00442605"/>
    <w:rsid w:val="00443964"/>
    <w:rsid w:val="00445D5D"/>
    <w:rsid w:val="00445EAE"/>
    <w:rsid w:val="004476FB"/>
    <w:rsid w:val="00450049"/>
    <w:rsid w:val="00450F74"/>
    <w:rsid w:val="004523C2"/>
    <w:rsid w:val="00452C81"/>
    <w:rsid w:val="004535EE"/>
    <w:rsid w:val="00453A37"/>
    <w:rsid w:val="00454047"/>
    <w:rsid w:val="0045497A"/>
    <w:rsid w:val="00454EE9"/>
    <w:rsid w:val="00455D45"/>
    <w:rsid w:val="004560CC"/>
    <w:rsid w:val="0045783F"/>
    <w:rsid w:val="00457FA4"/>
    <w:rsid w:val="0046066D"/>
    <w:rsid w:val="00463D6B"/>
    <w:rsid w:val="00465EEC"/>
    <w:rsid w:val="00466A2E"/>
    <w:rsid w:val="004672AC"/>
    <w:rsid w:val="00467DE1"/>
    <w:rsid w:val="00470A72"/>
    <w:rsid w:val="00470DAE"/>
    <w:rsid w:val="00473DF3"/>
    <w:rsid w:val="0047428E"/>
    <w:rsid w:val="00474976"/>
    <w:rsid w:val="00474ADA"/>
    <w:rsid w:val="00477216"/>
    <w:rsid w:val="00477279"/>
    <w:rsid w:val="00477396"/>
    <w:rsid w:val="0048019A"/>
    <w:rsid w:val="00480A01"/>
    <w:rsid w:val="00480B3E"/>
    <w:rsid w:val="00481373"/>
    <w:rsid w:val="00481B46"/>
    <w:rsid w:val="00481D2D"/>
    <w:rsid w:val="004865EF"/>
    <w:rsid w:val="0048674F"/>
    <w:rsid w:val="00486F50"/>
    <w:rsid w:val="00491832"/>
    <w:rsid w:val="004923EF"/>
    <w:rsid w:val="004943D8"/>
    <w:rsid w:val="00494AE8"/>
    <w:rsid w:val="00497D26"/>
    <w:rsid w:val="004A04A6"/>
    <w:rsid w:val="004A04B7"/>
    <w:rsid w:val="004A134A"/>
    <w:rsid w:val="004A2FE1"/>
    <w:rsid w:val="004A4285"/>
    <w:rsid w:val="004A4FDE"/>
    <w:rsid w:val="004A540A"/>
    <w:rsid w:val="004A6235"/>
    <w:rsid w:val="004A77AF"/>
    <w:rsid w:val="004A7CB6"/>
    <w:rsid w:val="004B09D3"/>
    <w:rsid w:val="004B2F4A"/>
    <w:rsid w:val="004B3C57"/>
    <w:rsid w:val="004B52D1"/>
    <w:rsid w:val="004B7E98"/>
    <w:rsid w:val="004C0AB5"/>
    <w:rsid w:val="004C2D04"/>
    <w:rsid w:val="004C2F10"/>
    <w:rsid w:val="004C306F"/>
    <w:rsid w:val="004C3660"/>
    <w:rsid w:val="004C3663"/>
    <w:rsid w:val="004C431B"/>
    <w:rsid w:val="004C65F1"/>
    <w:rsid w:val="004C6673"/>
    <w:rsid w:val="004C69C5"/>
    <w:rsid w:val="004D04F7"/>
    <w:rsid w:val="004D0672"/>
    <w:rsid w:val="004D0CC5"/>
    <w:rsid w:val="004D1052"/>
    <w:rsid w:val="004D207B"/>
    <w:rsid w:val="004D2F17"/>
    <w:rsid w:val="004D2F7D"/>
    <w:rsid w:val="004D39A5"/>
    <w:rsid w:val="004D653A"/>
    <w:rsid w:val="004D6704"/>
    <w:rsid w:val="004D6B39"/>
    <w:rsid w:val="004D762A"/>
    <w:rsid w:val="004E023A"/>
    <w:rsid w:val="004E1784"/>
    <w:rsid w:val="004E1EB9"/>
    <w:rsid w:val="004E203E"/>
    <w:rsid w:val="004E2D36"/>
    <w:rsid w:val="004E2EA6"/>
    <w:rsid w:val="004E4E7A"/>
    <w:rsid w:val="004E5775"/>
    <w:rsid w:val="004E738A"/>
    <w:rsid w:val="004F00E9"/>
    <w:rsid w:val="004F097F"/>
    <w:rsid w:val="004F09B8"/>
    <w:rsid w:val="004F1A0B"/>
    <w:rsid w:val="004F2316"/>
    <w:rsid w:val="004F241C"/>
    <w:rsid w:val="004F356B"/>
    <w:rsid w:val="004F3CD3"/>
    <w:rsid w:val="004F4196"/>
    <w:rsid w:val="004F419B"/>
    <w:rsid w:val="004F446C"/>
    <w:rsid w:val="004F4798"/>
    <w:rsid w:val="004F4F5F"/>
    <w:rsid w:val="004F5777"/>
    <w:rsid w:val="004F59DA"/>
    <w:rsid w:val="004F6C61"/>
    <w:rsid w:val="004F7BD8"/>
    <w:rsid w:val="00501B5F"/>
    <w:rsid w:val="00503FBE"/>
    <w:rsid w:val="00504FDF"/>
    <w:rsid w:val="00507021"/>
    <w:rsid w:val="00510035"/>
    <w:rsid w:val="005129B7"/>
    <w:rsid w:val="00513CB8"/>
    <w:rsid w:val="00515951"/>
    <w:rsid w:val="0051792C"/>
    <w:rsid w:val="00517F78"/>
    <w:rsid w:val="00521474"/>
    <w:rsid w:val="00523CC0"/>
    <w:rsid w:val="00524667"/>
    <w:rsid w:val="005306D6"/>
    <w:rsid w:val="005306F1"/>
    <w:rsid w:val="0053098E"/>
    <w:rsid w:val="00533821"/>
    <w:rsid w:val="005343C8"/>
    <w:rsid w:val="0053664C"/>
    <w:rsid w:val="00540508"/>
    <w:rsid w:val="00542C99"/>
    <w:rsid w:val="00542DCE"/>
    <w:rsid w:val="00544FC3"/>
    <w:rsid w:val="00545547"/>
    <w:rsid w:val="0054612B"/>
    <w:rsid w:val="005469E3"/>
    <w:rsid w:val="0055218B"/>
    <w:rsid w:val="00552293"/>
    <w:rsid w:val="00552CA6"/>
    <w:rsid w:val="00554586"/>
    <w:rsid w:val="00557267"/>
    <w:rsid w:val="005572D4"/>
    <w:rsid w:val="005574A0"/>
    <w:rsid w:val="0056057D"/>
    <w:rsid w:val="00560605"/>
    <w:rsid w:val="005614A2"/>
    <w:rsid w:val="0056271E"/>
    <w:rsid w:val="00562894"/>
    <w:rsid w:val="00563448"/>
    <w:rsid w:val="005644F0"/>
    <w:rsid w:val="00564CEB"/>
    <w:rsid w:val="00564D04"/>
    <w:rsid w:val="005651FC"/>
    <w:rsid w:val="00565C94"/>
    <w:rsid w:val="00566452"/>
    <w:rsid w:val="00566574"/>
    <w:rsid w:val="005665BB"/>
    <w:rsid w:val="00566C84"/>
    <w:rsid w:val="00567000"/>
    <w:rsid w:val="005671B6"/>
    <w:rsid w:val="00570037"/>
    <w:rsid w:val="005710CE"/>
    <w:rsid w:val="005721D7"/>
    <w:rsid w:val="00572BD2"/>
    <w:rsid w:val="00573AF2"/>
    <w:rsid w:val="00573F72"/>
    <w:rsid w:val="005741B8"/>
    <w:rsid w:val="005741DB"/>
    <w:rsid w:val="00575CF9"/>
    <w:rsid w:val="00580E59"/>
    <w:rsid w:val="0058242F"/>
    <w:rsid w:val="005826B0"/>
    <w:rsid w:val="005834D7"/>
    <w:rsid w:val="00583E9C"/>
    <w:rsid w:val="00585B7D"/>
    <w:rsid w:val="0059055A"/>
    <w:rsid w:val="00590957"/>
    <w:rsid w:val="005926B2"/>
    <w:rsid w:val="00592769"/>
    <w:rsid w:val="00592C1F"/>
    <w:rsid w:val="005943C3"/>
    <w:rsid w:val="00594A3D"/>
    <w:rsid w:val="005951B5"/>
    <w:rsid w:val="00596495"/>
    <w:rsid w:val="00596B4D"/>
    <w:rsid w:val="005A1D09"/>
    <w:rsid w:val="005A2A8F"/>
    <w:rsid w:val="005A48FC"/>
    <w:rsid w:val="005A4A13"/>
    <w:rsid w:val="005A542E"/>
    <w:rsid w:val="005A608C"/>
    <w:rsid w:val="005A7477"/>
    <w:rsid w:val="005B02F4"/>
    <w:rsid w:val="005B1611"/>
    <w:rsid w:val="005B1866"/>
    <w:rsid w:val="005B2513"/>
    <w:rsid w:val="005B296C"/>
    <w:rsid w:val="005B3388"/>
    <w:rsid w:val="005B37D2"/>
    <w:rsid w:val="005B3A97"/>
    <w:rsid w:val="005B45FA"/>
    <w:rsid w:val="005B4DF6"/>
    <w:rsid w:val="005B723E"/>
    <w:rsid w:val="005C1124"/>
    <w:rsid w:val="005C2F54"/>
    <w:rsid w:val="005C4174"/>
    <w:rsid w:val="005C4559"/>
    <w:rsid w:val="005C6513"/>
    <w:rsid w:val="005C74B6"/>
    <w:rsid w:val="005C754F"/>
    <w:rsid w:val="005C7A25"/>
    <w:rsid w:val="005D0C40"/>
    <w:rsid w:val="005D2B8E"/>
    <w:rsid w:val="005D2DED"/>
    <w:rsid w:val="005D3B5C"/>
    <w:rsid w:val="005D434F"/>
    <w:rsid w:val="005D44FE"/>
    <w:rsid w:val="005D6AC2"/>
    <w:rsid w:val="005E0150"/>
    <w:rsid w:val="005E06AC"/>
    <w:rsid w:val="005E109E"/>
    <w:rsid w:val="005E11EC"/>
    <w:rsid w:val="005E35DD"/>
    <w:rsid w:val="005E5332"/>
    <w:rsid w:val="005E5446"/>
    <w:rsid w:val="005E5F21"/>
    <w:rsid w:val="005E6256"/>
    <w:rsid w:val="005E643A"/>
    <w:rsid w:val="005F1390"/>
    <w:rsid w:val="005F16A2"/>
    <w:rsid w:val="005F20B1"/>
    <w:rsid w:val="005F23E1"/>
    <w:rsid w:val="005F2AA4"/>
    <w:rsid w:val="005F4687"/>
    <w:rsid w:val="005F6213"/>
    <w:rsid w:val="005F73CC"/>
    <w:rsid w:val="005F7E18"/>
    <w:rsid w:val="00600116"/>
    <w:rsid w:val="00600499"/>
    <w:rsid w:val="0060083F"/>
    <w:rsid w:val="00601174"/>
    <w:rsid w:val="006016D9"/>
    <w:rsid w:val="00601905"/>
    <w:rsid w:val="00604727"/>
    <w:rsid w:val="00604FF9"/>
    <w:rsid w:val="00605A14"/>
    <w:rsid w:val="00606F7B"/>
    <w:rsid w:val="006104E0"/>
    <w:rsid w:val="00610BC1"/>
    <w:rsid w:val="00610BE2"/>
    <w:rsid w:val="00610EFC"/>
    <w:rsid w:val="00611105"/>
    <w:rsid w:val="00611B04"/>
    <w:rsid w:val="00613CA9"/>
    <w:rsid w:val="0061529E"/>
    <w:rsid w:val="0061586D"/>
    <w:rsid w:val="00615A80"/>
    <w:rsid w:val="00617228"/>
    <w:rsid w:val="00620009"/>
    <w:rsid w:val="006200B8"/>
    <w:rsid w:val="0062041F"/>
    <w:rsid w:val="006216B3"/>
    <w:rsid w:val="00623000"/>
    <w:rsid w:val="006237C0"/>
    <w:rsid w:val="00624999"/>
    <w:rsid w:val="00624B21"/>
    <w:rsid w:val="00626644"/>
    <w:rsid w:val="006266F5"/>
    <w:rsid w:val="006272C1"/>
    <w:rsid w:val="0062761C"/>
    <w:rsid w:val="00630B33"/>
    <w:rsid w:val="00631FD4"/>
    <w:rsid w:val="0063245F"/>
    <w:rsid w:val="00632AF4"/>
    <w:rsid w:val="006334FF"/>
    <w:rsid w:val="0063398B"/>
    <w:rsid w:val="006343BE"/>
    <w:rsid w:val="006364AF"/>
    <w:rsid w:val="00636526"/>
    <w:rsid w:val="00636C46"/>
    <w:rsid w:val="00640630"/>
    <w:rsid w:val="00640EA3"/>
    <w:rsid w:val="00641009"/>
    <w:rsid w:val="006414E0"/>
    <w:rsid w:val="00641C31"/>
    <w:rsid w:val="006426B4"/>
    <w:rsid w:val="006447B2"/>
    <w:rsid w:val="00645210"/>
    <w:rsid w:val="00645565"/>
    <w:rsid w:val="00647AE5"/>
    <w:rsid w:val="006517B6"/>
    <w:rsid w:val="00651D82"/>
    <w:rsid w:val="006524DD"/>
    <w:rsid w:val="00652E68"/>
    <w:rsid w:val="006531EA"/>
    <w:rsid w:val="006536F9"/>
    <w:rsid w:val="0065390C"/>
    <w:rsid w:val="00654C55"/>
    <w:rsid w:val="00654E05"/>
    <w:rsid w:val="0065501C"/>
    <w:rsid w:val="00656ECD"/>
    <w:rsid w:val="00657771"/>
    <w:rsid w:val="006602D0"/>
    <w:rsid w:val="006608F7"/>
    <w:rsid w:val="0066207F"/>
    <w:rsid w:val="00663091"/>
    <w:rsid w:val="0066543B"/>
    <w:rsid w:val="0066794B"/>
    <w:rsid w:val="00667C46"/>
    <w:rsid w:val="006711EC"/>
    <w:rsid w:val="0067229E"/>
    <w:rsid w:val="00672A81"/>
    <w:rsid w:val="00674CE8"/>
    <w:rsid w:val="00674F60"/>
    <w:rsid w:val="006773EC"/>
    <w:rsid w:val="0068189A"/>
    <w:rsid w:val="006833E8"/>
    <w:rsid w:val="00685363"/>
    <w:rsid w:val="00686521"/>
    <w:rsid w:val="00686800"/>
    <w:rsid w:val="00687F9E"/>
    <w:rsid w:val="00691360"/>
    <w:rsid w:val="006915E4"/>
    <w:rsid w:val="00692283"/>
    <w:rsid w:val="006933E0"/>
    <w:rsid w:val="00693CB4"/>
    <w:rsid w:val="00693F2C"/>
    <w:rsid w:val="00695404"/>
    <w:rsid w:val="0069733B"/>
    <w:rsid w:val="006A0461"/>
    <w:rsid w:val="006A1A6A"/>
    <w:rsid w:val="006A1A92"/>
    <w:rsid w:val="006A3966"/>
    <w:rsid w:val="006A4D39"/>
    <w:rsid w:val="006A6F63"/>
    <w:rsid w:val="006B057D"/>
    <w:rsid w:val="006B0BBC"/>
    <w:rsid w:val="006B4A1E"/>
    <w:rsid w:val="006B599B"/>
    <w:rsid w:val="006C1C0F"/>
    <w:rsid w:val="006C3262"/>
    <w:rsid w:val="006C4506"/>
    <w:rsid w:val="006C6744"/>
    <w:rsid w:val="006C6965"/>
    <w:rsid w:val="006C755E"/>
    <w:rsid w:val="006D03BA"/>
    <w:rsid w:val="006D172C"/>
    <w:rsid w:val="006D2397"/>
    <w:rsid w:val="006D45FF"/>
    <w:rsid w:val="006D48A2"/>
    <w:rsid w:val="006D54C8"/>
    <w:rsid w:val="006D6D96"/>
    <w:rsid w:val="006D77D1"/>
    <w:rsid w:val="006D79EA"/>
    <w:rsid w:val="006D7FE9"/>
    <w:rsid w:val="006E028A"/>
    <w:rsid w:val="006E05E7"/>
    <w:rsid w:val="006E14F0"/>
    <w:rsid w:val="006E2820"/>
    <w:rsid w:val="006E3820"/>
    <w:rsid w:val="006E4F80"/>
    <w:rsid w:val="006F0ED3"/>
    <w:rsid w:val="006F17CB"/>
    <w:rsid w:val="006F2963"/>
    <w:rsid w:val="006F3910"/>
    <w:rsid w:val="006F4714"/>
    <w:rsid w:val="006F5C73"/>
    <w:rsid w:val="006F6366"/>
    <w:rsid w:val="006F7CF0"/>
    <w:rsid w:val="007000BA"/>
    <w:rsid w:val="00702032"/>
    <w:rsid w:val="007021A9"/>
    <w:rsid w:val="00702FA2"/>
    <w:rsid w:val="00705833"/>
    <w:rsid w:val="00705B9A"/>
    <w:rsid w:val="00710731"/>
    <w:rsid w:val="0071651F"/>
    <w:rsid w:val="00716F6E"/>
    <w:rsid w:val="0072060E"/>
    <w:rsid w:val="007207F2"/>
    <w:rsid w:val="007215A0"/>
    <w:rsid w:val="00721781"/>
    <w:rsid w:val="00721946"/>
    <w:rsid w:val="00723FE4"/>
    <w:rsid w:val="00724869"/>
    <w:rsid w:val="00724A07"/>
    <w:rsid w:val="00724A3E"/>
    <w:rsid w:val="00725328"/>
    <w:rsid w:val="00725A75"/>
    <w:rsid w:val="00725AE8"/>
    <w:rsid w:val="007263E0"/>
    <w:rsid w:val="007277E6"/>
    <w:rsid w:val="00727870"/>
    <w:rsid w:val="007303AB"/>
    <w:rsid w:val="0073095C"/>
    <w:rsid w:val="00730C50"/>
    <w:rsid w:val="00730D75"/>
    <w:rsid w:val="007320A9"/>
    <w:rsid w:val="00732DA9"/>
    <w:rsid w:val="007342C1"/>
    <w:rsid w:val="00740213"/>
    <w:rsid w:val="00740782"/>
    <w:rsid w:val="00741C65"/>
    <w:rsid w:val="00743981"/>
    <w:rsid w:val="00744590"/>
    <w:rsid w:val="00746E1D"/>
    <w:rsid w:val="007478F3"/>
    <w:rsid w:val="00750375"/>
    <w:rsid w:val="007511A8"/>
    <w:rsid w:val="00752793"/>
    <w:rsid w:val="007539A8"/>
    <w:rsid w:val="00754B9C"/>
    <w:rsid w:val="007564CF"/>
    <w:rsid w:val="00756607"/>
    <w:rsid w:val="007569C1"/>
    <w:rsid w:val="0075773E"/>
    <w:rsid w:val="007577BC"/>
    <w:rsid w:val="007600AF"/>
    <w:rsid w:val="00760216"/>
    <w:rsid w:val="00760448"/>
    <w:rsid w:val="00761C78"/>
    <w:rsid w:val="0076230A"/>
    <w:rsid w:val="00762A34"/>
    <w:rsid w:val="00762B52"/>
    <w:rsid w:val="007639C8"/>
    <w:rsid w:val="00764914"/>
    <w:rsid w:val="00765719"/>
    <w:rsid w:val="00765E16"/>
    <w:rsid w:val="00765F93"/>
    <w:rsid w:val="00766BAF"/>
    <w:rsid w:val="0076748C"/>
    <w:rsid w:val="0077014E"/>
    <w:rsid w:val="00770795"/>
    <w:rsid w:val="00770E36"/>
    <w:rsid w:val="00771282"/>
    <w:rsid w:val="00771D84"/>
    <w:rsid w:val="00771F0A"/>
    <w:rsid w:val="00773C12"/>
    <w:rsid w:val="007740EB"/>
    <w:rsid w:val="00775195"/>
    <w:rsid w:val="00776A61"/>
    <w:rsid w:val="00780E5D"/>
    <w:rsid w:val="00781F66"/>
    <w:rsid w:val="00783696"/>
    <w:rsid w:val="00783E03"/>
    <w:rsid w:val="00784E85"/>
    <w:rsid w:val="00785C71"/>
    <w:rsid w:val="007877CF"/>
    <w:rsid w:val="00790F1A"/>
    <w:rsid w:val="00791DA2"/>
    <w:rsid w:val="00791F73"/>
    <w:rsid w:val="00792B30"/>
    <w:rsid w:val="00792E2D"/>
    <w:rsid w:val="00792EB5"/>
    <w:rsid w:val="007931BF"/>
    <w:rsid w:val="00794321"/>
    <w:rsid w:val="00794A7E"/>
    <w:rsid w:val="007968D4"/>
    <w:rsid w:val="0079713D"/>
    <w:rsid w:val="007A004F"/>
    <w:rsid w:val="007A17FF"/>
    <w:rsid w:val="007A1C8B"/>
    <w:rsid w:val="007A2AF5"/>
    <w:rsid w:val="007A3BDF"/>
    <w:rsid w:val="007A4423"/>
    <w:rsid w:val="007A6C30"/>
    <w:rsid w:val="007B0217"/>
    <w:rsid w:val="007B18ED"/>
    <w:rsid w:val="007B1952"/>
    <w:rsid w:val="007B2DD9"/>
    <w:rsid w:val="007C0B52"/>
    <w:rsid w:val="007C1D1C"/>
    <w:rsid w:val="007C23BD"/>
    <w:rsid w:val="007C24E0"/>
    <w:rsid w:val="007C34BB"/>
    <w:rsid w:val="007C3D27"/>
    <w:rsid w:val="007C4060"/>
    <w:rsid w:val="007C534D"/>
    <w:rsid w:val="007C79CC"/>
    <w:rsid w:val="007D0704"/>
    <w:rsid w:val="007D0B2C"/>
    <w:rsid w:val="007D1522"/>
    <w:rsid w:val="007D24FB"/>
    <w:rsid w:val="007D36E2"/>
    <w:rsid w:val="007D6AAE"/>
    <w:rsid w:val="007D6E4B"/>
    <w:rsid w:val="007D7F72"/>
    <w:rsid w:val="007E3EBB"/>
    <w:rsid w:val="007E4650"/>
    <w:rsid w:val="007E5652"/>
    <w:rsid w:val="007E6511"/>
    <w:rsid w:val="007E76E8"/>
    <w:rsid w:val="007F0007"/>
    <w:rsid w:val="007F099A"/>
    <w:rsid w:val="007F266D"/>
    <w:rsid w:val="007F2992"/>
    <w:rsid w:val="007F3205"/>
    <w:rsid w:val="007F4CE4"/>
    <w:rsid w:val="007F5625"/>
    <w:rsid w:val="007F5682"/>
    <w:rsid w:val="007F56FA"/>
    <w:rsid w:val="007F70B5"/>
    <w:rsid w:val="007F7E06"/>
    <w:rsid w:val="00801A0C"/>
    <w:rsid w:val="00802758"/>
    <w:rsid w:val="00803767"/>
    <w:rsid w:val="00803DD9"/>
    <w:rsid w:val="00804680"/>
    <w:rsid w:val="00804AF1"/>
    <w:rsid w:val="00804BBC"/>
    <w:rsid w:val="00804D9B"/>
    <w:rsid w:val="00805A53"/>
    <w:rsid w:val="0080745A"/>
    <w:rsid w:val="00807CA6"/>
    <w:rsid w:val="0081013E"/>
    <w:rsid w:val="00810B92"/>
    <w:rsid w:val="00812B14"/>
    <w:rsid w:val="00812D47"/>
    <w:rsid w:val="0081360F"/>
    <w:rsid w:val="00814910"/>
    <w:rsid w:val="00814CA5"/>
    <w:rsid w:val="008159E8"/>
    <w:rsid w:val="00815E85"/>
    <w:rsid w:val="00816A01"/>
    <w:rsid w:val="008178DB"/>
    <w:rsid w:val="008208CB"/>
    <w:rsid w:val="00822678"/>
    <w:rsid w:val="00823A91"/>
    <w:rsid w:val="00823E09"/>
    <w:rsid w:val="00823F99"/>
    <w:rsid w:val="00824697"/>
    <w:rsid w:val="0082531E"/>
    <w:rsid w:val="00825E66"/>
    <w:rsid w:val="00826F1C"/>
    <w:rsid w:val="00827927"/>
    <w:rsid w:val="00830344"/>
    <w:rsid w:val="00830B15"/>
    <w:rsid w:val="00833545"/>
    <w:rsid w:val="0083364B"/>
    <w:rsid w:val="00833A87"/>
    <w:rsid w:val="00834E36"/>
    <w:rsid w:val="0083604A"/>
    <w:rsid w:val="00836E72"/>
    <w:rsid w:val="008371BB"/>
    <w:rsid w:val="008404A5"/>
    <w:rsid w:val="00840BC9"/>
    <w:rsid w:val="0084178F"/>
    <w:rsid w:val="0084222C"/>
    <w:rsid w:val="00844B24"/>
    <w:rsid w:val="00844BD5"/>
    <w:rsid w:val="00845237"/>
    <w:rsid w:val="00845707"/>
    <w:rsid w:val="008458AD"/>
    <w:rsid w:val="00845E8C"/>
    <w:rsid w:val="008460C8"/>
    <w:rsid w:val="0084688B"/>
    <w:rsid w:val="00847577"/>
    <w:rsid w:val="00847A8B"/>
    <w:rsid w:val="00847C95"/>
    <w:rsid w:val="00850748"/>
    <w:rsid w:val="0085173A"/>
    <w:rsid w:val="00851C93"/>
    <w:rsid w:val="008520E1"/>
    <w:rsid w:val="00853B9D"/>
    <w:rsid w:val="00853D32"/>
    <w:rsid w:val="008558CF"/>
    <w:rsid w:val="00857109"/>
    <w:rsid w:val="008578B5"/>
    <w:rsid w:val="00860CD6"/>
    <w:rsid w:val="0086116B"/>
    <w:rsid w:val="00863F9E"/>
    <w:rsid w:val="008659ED"/>
    <w:rsid w:val="008667DA"/>
    <w:rsid w:val="00866BC0"/>
    <w:rsid w:val="00867018"/>
    <w:rsid w:val="008678D8"/>
    <w:rsid w:val="00867C3F"/>
    <w:rsid w:val="0087021E"/>
    <w:rsid w:val="008714F6"/>
    <w:rsid w:val="0087161B"/>
    <w:rsid w:val="00872187"/>
    <w:rsid w:val="008736F1"/>
    <w:rsid w:val="00874E9E"/>
    <w:rsid w:val="00875B1B"/>
    <w:rsid w:val="00875E59"/>
    <w:rsid w:val="00875E68"/>
    <w:rsid w:val="00875FBE"/>
    <w:rsid w:val="00876A73"/>
    <w:rsid w:val="008771F3"/>
    <w:rsid w:val="00877BC1"/>
    <w:rsid w:val="0088156C"/>
    <w:rsid w:val="00881655"/>
    <w:rsid w:val="0088291C"/>
    <w:rsid w:val="00882CAF"/>
    <w:rsid w:val="00884AA7"/>
    <w:rsid w:val="00885CE8"/>
    <w:rsid w:val="00885DDB"/>
    <w:rsid w:val="0088638D"/>
    <w:rsid w:val="008867FB"/>
    <w:rsid w:val="0089001C"/>
    <w:rsid w:val="00890CC3"/>
    <w:rsid w:val="00891285"/>
    <w:rsid w:val="008913D2"/>
    <w:rsid w:val="008917E3"/>
    <w:rsid w:val="008924BC"/>
    <w:rsid w:val="008924F6"/>
    <w:rsid w:val="0089300A"/>
    <w:rsid w:val="00893BA6"/>
    <w:rsid w:val="00894313"/>
    <w:rsid w:val="0089577D"/>
    <w:rsid w:val="008A0C61"/>
    <w:rsid w:val="008A1A8D"/>
    <w:rsid w:val="008A1F62"/>
    <w:rsid w:val="008A4503"/>
    <w:rsid w:val="008A4970"/>
    <w:rsid w:val="008A5C20"/>
    <w:rsid w:val="008A7BAB"/>
    <w:rsid w:val="008B1B24"/>
    <w:rsid w:val="008B1EAD"/>
    <w:rsid w:val="008B26BD"/>
    <w:rsid w:val="008B2F6E"/>
    <w:rsid w:val="008B3209"/>
    <w:rsid w:val="008B3770"/>
    <w:rsid w:val="008B3B2F"/>
    <w:rsid w:val="008B3B78"/>
    <w:rsid w:val="008B45DA"/>
    <w:rsid w:val="008B55B9"/>
    <w:rsid w:val="008B61BA"/>
    <w:rsid w:val="008B7A95"/>
    <w:rsid w:val="008B7EDA"/>
    <w:rsid w:val="008C0A74"/>
    <w:rsid w:val="008C1BED"/>
    <w:rsid w:val="008C2930"/>
    <w:rsid w:val="008C35FD"/>
    <w:rsid w:val="008C403C"/>
    <w:rsid w:val="008C482A"/>
    <w:rsid w:val="008C4A42"/>
    <w:rsid w:val="008C4D85"/>
    <w:rsid w:val="008C4F1A"/>
    <w:rsid w:val="008C5528"/>
    <w:rsid w:val="008C7545"/>
    <w:rsid w:val="008C7833"/>
    <w:rsid w:val="008C7891"/>
    <w:rsid w:val="008D08A6"/>
    <w:rsid w:val="008D08E7"/>
    <w:rsid w:val="008D2D57"/>
    <w:rsid w:val="008D3D2F"/>
    <w:rsid w:val="008D4861"/>
    <w:rsid w:val="008D531C"/>
    <w:rsid w:val="008D5380"/>
    <w:rsid w:val="008D6FD5"/>
    <w:rsid w:val="008D7350"/>
    <w:rsid w:val="008D7C32"/>
    <w:rsid w:val="008D7E89"/>
    <w:rsid w:val="008E0989"/>
    <w:rsid w:val="008E0E9E"/>
    <w:rsid w:val="008E0F8A"/>
    <w:rsid w:val="008E1AE7"/>
    <w:rsid w:val="008E23D0"/>
    <w:rsid w:val="008F0552"/>
    <w:rsid w:val="008F1116"/>
    <w:rsid w:val="008F3401"/>
    <w:rsid w:val="008F3954"/>
    <w:rsid w:val="008F4A5D"/>
    <w:rsid w:val="008F4BF1"/>
    <w:rsid w:val="008F527C"/>
    <w:rsid w:val="008F5BC2"/>
    <w:rsid w:val="008F667E"/>
    <w:rsid w:val="00901B3E"/>
    <w:rsid w:val="00902764"/>
    <w:rsid w:val="00906323"/>
    <w:rsid w:val="00907EB6"/>
    <w:rsid w:val="009105C5"/>
    <w:rsid w:val="00911946"/>
    <w:rsid w:val="00911A7A"/>
    <w:rsid w:val="00911A7E"/>
    <w:rsid w:val="00911B73"/>
    <w:rsid w:val="00911DC7"/>
    <w:rsid w:val="009121A4"/>
    <w:rsid w:val="009128CF"/>
    <w:rsid w:val="009131D6"/>
    <w:rsid w:val="00913AF4"/>
    <w:rsid w:val="00913BB8"/>
    <w:rsid w:val="00914D0A"/>
    <w:rsid w:val="00914E95"/>
    <w:rsid w:val="00915BF2"/>
    <w:rsid w:val="009177C5"/>
    <w:rsid w:val="009207E6"/>
    <w:rsid w:val="00920957"/>
    <w:rsid w:val="00921F29"/>
    <w:rsid w:val="00922B75"/>
    <w:rsid w:val="00923F55"/>
    <w:rsid w:val="00924122"/>
    <w:rsid w:val="009244F0"/>
    <w:rsid w:val="00924A9C"/>
    <w:rsid w:val="00925798"/>
    <w:rsid w:val="009257AA"/>
    <w:rsid w:val="00927081"/>
    <w:rsid w:val="00930CF9"/>
    <w:rsid w:val="00930FC8"/>
    <w:rsid w:val="0093102A"/>
    <w:rsid w:val="00931243"/>
    <w:rsid w:val="009325C9"/>
    <w:rsid w:val="0093378A"/>
    <w:rsid w:val="009340DA"/>
    <w:rsid w:val="0093741E"/>
    <w:rsid w:val="009379F8"/>
    <w:rsid w:val="00940284"/>
    <w:rsid w:val="009412A9"/>
    <w:rsid w:val="0094262F"/>
    <w:rsid w:val="0094348F"/>
    <w:rsid w:val="00944BCE"/>
    <w:rsid w:val="00947CB0"/>
    <w:rsid w:val="00950F14"/>
    <w:rsid w:val="00950FAB"/>
    <w:rsid w:val="009515B2"/>
    <w:rsid w:val="00952DDF"/>
    <w:rsid w:val="0095305C"/>
    <w:rsid w:val="00953884"/>
    <w:rsid w:val="00956E20"/>
    <w:rsid w:val="009572EE"/>
    <w:rsid w:val="00960689"/>
    <w:rsid w:val="00961D55"/>
    <w:rsid w:val="00962B2B"/>
    <w:rsid w:val="00963CE6"/>
    <w:rsid w:val="0096459E"/>
    <w:rsid w:val="009652F1"/>
    <w:rsid w:val="0096759C"/>
    <w:rsid w:val="0097028A"/>
    <w:rsid w:val="009705E3"/>
    <w:rsid w:val="00970DB4"/>
    <w:rsid w:val="00970E4A"/>
    <w:rsid w:val="0097252A"/>
    <w:rsid w:val="00974674"/>
    <w:rsid w:val="00974D1A"/>
    <w:rsid w:val="00975185"/>
    <w:rsid w:val="009764B4"/>
    <w:rsid w:val="009770EA"/>
    <w:rsid w:val="009802BB"/>
    <w:rsid w:val="00981C13"/>
    <w:rsid w:val="00984E77"/>
    <w:rsid w:val="00987B47"/>
    <w:rsid w:val="009901F1"/>
    <w:rsid w:val="00990B70"/>
    <w:rsid w:val="00990BC1"/>
    <w:rsid w:val="0099132E"/>
    <w:rsid w:val="00991F97"/>
    <w:rsid w:val="009926F1"/>
    <w:rsid w:val="009927C7"/>
    <w:rsid w:val="009945F0"/>
    <w:rsid w:val="0099518F"/>
    <w:rsid w:val="00997D69"/>
    <w:rsid w:val="009A054A"/>
    <w:rsid w:val="009A090C"/>
    <w:rsid w:val="009A38C9"/>
    <w:rsid w:val="009A3955"/>
    <w:rsid w:val="009A3C4B"/>
    <w:rsid w:val="009A5030"/>
    <w:rsid w:val="009A62CF"/>
    <w:rsid w:val="009A64CA"/>
    <w:rsid w:val="009A6E43"/>
    <w:rsid w:val="009B24C3"/>
    <w:rsid w:val="009B2AEF"/>
    <w:rsid w:val="009B2D19"/>
    <w:rsid w:val="009B3AAE"/>
    <w:rsid w:val="009B4174"/>
    <w:rsid w:val="009B41DC"/>
    <w:rsid w:val="009B44E6"/>
    <w:rsid w:val="009B4950"/>
    <w:rsid w:val="009B5009"/>
    <w:rsid w:val="009C040A"/>
    <w:rsid w:val="009C062E"/>
    <w:rsid w:val="009C1717"/>
    <w:rsid w:val="009C1896"/>
    <w:rsid w:val="009C2516"/>
    <w:rsid w:val="009C39E2"/>
    <w:rsid w:val="009C4354"/>
    <w:rsid w:val="009C512C"/>
    <w:rsid w:val="009C596A"/>
    <w:rsid w:val="009C64BE"/>
    <w:rsid w:val="009C676F"/>
    <w:rsid w:val="009D0C31"/>
    <w:rsid w:val="009D0D24"/>
    <w:rsid w:val="009D0FC0"/>
    <w:rsid w:val="009D1060"/>
    <w:rsid w:val="009D16EE"/>
    <w:rsid w:val="009D1D0D"/>
    <w:rsid w:val="009D3947"/>
    <w:rsid w:val="009D40D7"/>
    <w:rsid w:val="009D48A1"/>
    <w:rsid w:val="009D4E06"/>
    <w:rsid w:val="009D61BF"/>
    <w:rsid w:val="009D7DA9"/>
    <w:rsid w:val="009D7DDB"/>
    <w:rsid w:val="009E151F"/>
    <w:rsid w:val="009E1C05"/>
    <w:rsid w:val="009E1F9F"/>
    <w:rsid w:val="009E2B66"/>
    <w:rsid w:val="009E2DF6"/>
    <w:rsid w:val="009E3642"/>
    <w:rsid w:val="009E36B6"/>
    <w:rsid w:val="009E404C"/>
    <w:rsid w:val="009E4446"/>
    <w:rsid w:val="009E7926"/>
    <w:rsid w:val="009F4A7C"/>
    <w:rsid w:val="009F5537"/>
    <w:rsid w:val="00A034BA"/>
    <w:rsid w:val="00A03936"/>
    <w:rsid w:val="00A03B0E"/>
    <w:rsid w:val="00A04BE5"/>
    <w:rsid w:val="00A04E2F"/>
    <w:rsid w:val="00A07115"/>
    <w:rsid w:val="00A116A7"/>
    <w:rsid w:val="00A11816"/>
    <w:rsid w:val="00A12808"/>
    <w:rsid w:val="00A12C18"/>
    <w:rsid w:val="00A12E91"/>
    <w:rsid w:val="00A145AD"/>
    <w:rsid w:val="00A16F64"/>
    <w:rsid w:val="00A17E55"/>
    <w:rsid w:val="00A218B9"/>
    <w:rsid w:val="00A25429"/>
    <w:rsid w:val="00A2542C"/>
    <w:rsid w:val="00A256A1"/>
    <w:rsid w:val="00A26C25"/>
    <w:rsid w:val="00A30769"/>
    <w:rsid w:val="00A3211A"/>
    <w:rsid w:val="00A330A8"/>
    <w:rsid w:val="00A330EC"/>
    <w:rsid w:val="00A33337"/>
    <w:rsid w:val="00A33429"/>
    <w:rsid w:val="00A3384B"/>
    <w:rsid w:val="00A349F7"/>
    <w:rsid w:val="00A34AC0"/>
    <w:rsid w:val="00A35DAC"/>
    <w:rsid w:val="00A37B4B"/>
    <w:rsid w:val="00A4002B"/>
    <w:rsid w:val="00A40490"/>
    <w:rsid w:val="00A41569"/>
    <w:rsid w:val="00A4247B"/>
    <w:rsid w:val="00A42F20"/>
    <w:rsid w:val="00A4388E"/>
    <w:rsid w:val="00A43A47"/>
    <w:rsid w:val="00A46166"/>
    <w:rsid w:val="00A50151"/>
    <w:rsid w:val="00A502B9"/>
    <w:rsid w:val="00A51022"/>
    <w:rsid w:val="00A51A75"/>
    <w:rsid w:val="00A52692"/>
    <w:rsid w:val="00A5483B"/>
    <w:rsid w:val="00A54D7A"/>
    <w:rsid w:val="00A57885"/>
    <w:rsid w:val="00A57B37"/>
    <w:rsid w:val="00A6166B"/>
    <w:rsid w:val="00A62474"/>
    <w:rsid w:val="00A626DF"/>
    <w:rsid w:val="00A6290F"/>
    <w:rsid w:val="00A63013"/>
    <w:rsid w:val="00A6308B"/>
    <w:rsid w:val="00A63A07"/>
    <w:rsid w:val="00A641DD"/>
    <w:rsid w:val="00A6567F"/>
    <w:rsid w:val="00A660A0"/>
    <w:rsid w:val="00A67F0B"/>
    <w:rsid w:val="00A70665"/>
    <w:rsid w:val="00A72D2F"/>
    <w:rsid w:val="00A72E03"/>
    <w:rsid w:val="00A72F83"/>
    <w:rsid w:val="00A73215"/>
    <w:rsid w:val="00A749D0"/>
    <w:rsid w:val="00A758B4"/>
    <w:rsid w:val="00A770E4"/>
    <w:rsid w:val="00A8144B"/>
    <w:rsid w:val="00A81FD2"/>
    <w:rsid w:val="00A82A79"/>
    <w:rsid w:val="00A83AFF"/>
    <w:rsid w:val="00A84913"/>
    <w:rsid w:val="00A84A8E"/>
    <w:rsid w:val="00A85D63"/>
    <w:rsid w:val="00A87A3D"/>
    <w:rsid w:val="00A90AD8"/>
    <w:rsid w:val="00A913DE"/>
    <w:rsid w:val="00A91A88"/>
    <w:rsid w:val="00A9231F"/>
    <w:rsid w:val="00A93981"/>
    <w:rsid w:val="00A9446A"/>
    <w:rsid w:val="00A94B76"/>
    <w:rsid w:val="00A9663F"/>
    <w:rsid w:val="00A967AA"/>
    <w:rsid w:val="00A96A9B"/>
    <w:rsid w:val="00A96B4B"/>
    <w:rsid w:val="00A9729B"/>
    <w:rsid w:val="00AA08B4"/>
    <w:rsid w:val="00AA140D"/>
    <w:rsid w:val="00AA1F06"/>
    <w:rsid w:val="00AA2E03"/>
    <w:rsid w:val="00AA3CFD"/>
    <w:rsid w:val="00AA6389"/>
    <w:rsid w:val="00AA705D"/>
    <w:rsid w:val="00AA70CF"/>
    <w:rsid w:val="00AB029D"/>
    <w:rsid w:val="00AB0377"/>
    <w:rsid w:val="00AB0929"/>
    <w:rsid w:val="00AB0E5B"/>
    <w:rsid w:val="00AB3007"/>
    <w:rsid w:val="00AB4E4D"/>
    <w:rsid w:val="00AB6375"/>
    <w:rsid w:val="00AC15EE"/>
    <w:rsid w:val="00AC24C4"/>
    <w:rsid w:val="00AC30DE"/>
    <w:rsid w:val="00AC31B3"/>
    <w:rsid w:val="00AC4BAB"/>
    <w:rsid w:val="00AC4E27"/>
    <w:rsid w:val="00AC587E"/>
    <w:rsid w:val="00AC5B93"/>
    <w:rsid w:val="00AC79CA"/>
    <w:rsid w:val="00AD00F7"/>
    <w:rsid w:val="00AD1BD1"/>
    <w:rsid w:val="00AD215F"/>
    <w:rsid w:val="00AD29EB"/>
    <w:rsid w:val="00AD32E8"/>
    <w:rsid w:val="00AD3BB9"/>
    <w:rsid w:val="00AE1AEF"/>
    <w:rsid w:val="00AE1F09"/>
    <w:rsid w:val="00AE495C"/>
    <w:rsid w:val="00AE5473"/>
    <w:rsid w:val="00AF0231"/>
    <w:rsid w:val="00AF0843"/>
    <w:rsid w:val="00AF193A"/>
    <w:rsid w:val="00AF1F41"/>
    <w:rsid w:val="00AF1FB2"/>
    <w:rsid w:val="00AF2B15"/>
    <w:rsid w:val="00AF34A0"/>
    <w:rsid w:val="00AF475F"/>
    <w:rsid w:val="00AF5128"/>
    <w:rsid w:val="00AF6DAC"/>
    <w:rsid w:val="00AF7F2E"/>
    <w:rsid w:val="00B017A3"/>
    <w:rsid w:val="00B01DFF"/>
    <w:rsid w:val="00B02A17"/>
    <w:rsid w:val="00B02C5F"/>
    <w:rsid w:val="00B02C62"/>
    <w:rsid w:val="00B05BD5"/>
    <w:rsid w:val="00B05F19"/>
    <w:rsid w:val="00B06918"/>
    <w:rsid w:val="00B07F17"/>
    <w:rsid w:val="00B11F19"/>
    <w:rsid w:val="00B13356"/>
    <w:rsid w:val="00B13CA5"/>
    <w:rsid w:val="00B13F74"/>
    <w:rsid w:val="00B1543A"/>
    <w:rsid w:val="00B155E1"/>
    <w:rsid w:val="00B1650B"/>
    <w:rsid w:val="00B16C37"/>
    <w:rsid w:val="00B205EC"/>
    <w:rsid w:val="00B2072C"/>
    <w:rsid w:val="00B22222"/>
    <w:rsid w:val="00B2330C"/>
    <w:rsid w:val="00B23394"/>
    <w:rsid w:val="00B24C44"/>
    <w:rsid w:val="00B25878"/>
    <w:rsid w:val="00B25C16"/>
    <w:rsid w:val="00B31089"/>
    <w:rsid w:val="00B321D4"/>
    <w:rsid w:val="00B324A5"/>
    <w:rsid w:val="00B33D9E"/>
    <w:rsid w:val="00B3469E"/>
    <w:rsid w:val="00B34D49"/>
    <w:rsid w:val="00B365A1"/>
    <w:rsid w:val="00B36C58"/>
    <w:rsid w:val="00B37F0A"/>
    <w:rsid w:val="00B408C1"/>
    <w:rsid w:val="00B40EDA"/>
    <w:rsid w:val="00B42187"/>
    <w:rsid w:val="00B42905"/>
    <w:rsid w:val="00B42EA2"/>
    <w:rsid w:val="00B42F61"/>
    <w:rsid w:val="00B431E0"/>
    <w:rsid w:val="00B442B5"/>
    <w:rsid w:val="00B4460F"/>
    <w:rsid w:val="00B460D5"/>
    <w:rsid w:val="00B46567"/>
    <w:rsid w:val="00B47F9C"/>
    <w:rsid w:val="00B5191C"/>
    <w:rsid w:val="00B51F38"/>
    <w:rsid w:val="00B52C44"/>
    <w:rsid w:val="00B55651"/>
    <w:rsid w:val="00B55BFB"/>
    <w:rsid w:val="00B560E3"/>
    <w:rsid w:val="00B57455"/>
    <w:rsid w:val="00B6131B"/>
    <w:rsid w:val="00B62087"/>
    <w:rsid w:val="00B622F8"/>
    <w:rsid w:val="00B633C5"/>
    <w:rsid w:val="00B64AF8"/>
    <w:rsid w:val="00B66A02"/>
    <w:rsid w:val="00B72ABB"/>
    <w:rsid w:val="00B732D3"/>
    <w:rsid w:val="00B73323"/>
    <w:rsid w:val="00B74DF7"/>
    <w:rsid w:val="00B76564"/>
    <w:rsid w:val="00B76623"/>
    <w:rsid w:val="00B767E9"/>
    <w:rsid w:val="00B77808"/>
    <w:rsid w:val="00B77A98"/>
    <w:rsid w:val="00B8235A"/>
    <w:rsid w:val="00B8270D"/>
    <w:rsid w:val="00B8463D"/>
    <w:rsid w:val="00B84A1B"/>
    <w:rsid w:val="00B84BE2"/>
    <w:rsid w:val="00B87454"/>
    <w:rsid w:val="00B874CB"/>
    <w:rsid w:val="00B904DD"/>
    <w:rsid w:val="00B90FC3"/>
    <w:rsid w:val="00B913AA"/>
    <w:rsid w:val="00B92674"/>
    <w:rsid w:val="00B9332E"/>
    <w:rsid w:val="00B9378E"/>
    <w:rsid w:val="00B93864"/>
    <w:rsid w:val="00B94032"/>
    <w:rsid w:val="00B94135"/>
    <w:rsid w:val="00B96825"/>
    <w:rsid w:val="00B9682E"/>
    <w:rsid w:val="00B96D34"/>
    <w:rsid w:val="00B96EBB"/>
    <w:rsid w:val="00B97B6A"/>
    <w:rsid w:val="00BA0234"/>
    <w:rsid w:val="00BA06E3"/>
    <w:rsid w:val="00BA0868"/>
    <w:rsid w:val="00BA2F67"/>
    <w:rsid w:val="00BA42F5"/>
    <w:rsid w:val="00BA4409"/>
    <w:rsid w:val="00BA5AB2"/>
    <w:rsid w:val="00BA6273"/>
    <w:rsid w:val="00BA6999"/>
    <w:rsid w:val="00BA7E18"/>
    <w:rsid w:val="00BA7E6B"/>
    <w:rsid w:val="00BA7F8E"/>
    <w:rsid w:val="00BB03B7"/>
    <w:rsid w:val="00BB074D"/>
    <w:rsid w:val="00BB23C1"/>
    <w:rsid w:val="00BB2D71"/>
    <w:rsid w:val="00BB2F46"/>
    <w:rsid w:val="00BB3228"/>
    <w:rsid w:val="00BB4B69"/>
    <w:rsid w:val="00BB51E0"/>
    <w:rsid w:val="00BB586B"/>
    <w:rsid w:val="00BB59EB"/>
    <w:rsid w:val="00BB60E6"/>
    <w:rsid w:val="00BB70AF"/>
    <w:rsid w:val="00BB7E02"/>
    <w:rsid w:val="00BC0AF5"/>
    <w:rsid w:val="00BC11FE"/>
    <w:rsid w:val="00BC2830"/>
    <w:rsid w:val="00BC34EE"/>
    <w:rsid w:val="00BC4954"/>
    <w:rsid w:val="00BC6B2F"/>
    <w:rsid w:val="00BC784E"/>
    <w:rsid w:val="00BC7D53"/>
    <w:rsid w:val="00BD01AB"/>
    <w:rsid w:val="00BD0F9C"/>
    <w:rsid w:val="00BD1445"/>
    <w:rsid w:val="00BD2474"/>
    <w:rsid w:val="00BD34A0"/>
    <w:rsid w:val="00BD3607"/>
    <w:rsid w:val="00BD368D"/>
    <w:rsid w:val="00BD4E58"/>
    <w:rsid w:val="00BD57A2"/>
    <w:rsid w:val="00BD5C09"/>
    <w:rsid w:val="00BD5E0B"/>
    <w:rsid w:val="00BD62BE"/>
    <w:rsid w:val="00BD787C"/>
    <w:rsid w:val="00BE01FB"/>
    <w:rsid w:val="00BE063A"/>
    <w:rsid w:val="00BE0819"/>
    <w:rsid w:val="00BE45B7"/>
    <w:rsid w:val="00BE46F6"/>
    <w:rsid w:val="00BE531B"/>
    <w:rsid w:val="00BE56E9"/>
    <w:rsid w:val="00BE5849"/>
    <w:rsid w:val="00BF0B0E"/>
    <w:rsid w:val="00BF170E"/>
    <w:rsid w:val="00BF4522"/>
    <w:rsid w:val="00BF47D7"/>
    <w:rsid w:val="00BF4AAD"/>
    <w:rsid w:val="00BF52E1"/>
    <w:rsid w:val="00BF533C"/>
    <w:rsid w:val="00BF6048"/>
    <w:rsid w:val="00BF611E"/>
    <w:rsid w:val="00BF6F79"/>
    <w:rsid w:val="00BF7F65"/>
    <w:rsid w:val="00C021DB"/>
    <w:rsid w:val="00C02B7E"/>
    <w:rsid w:val="00C037CF"/>
    <w:rsid w:val="00C03F56"/>
    <w:rsid w:val="00C046D7"/>
    <w:rsid w:val="00C04C77"/>
    <w:rsid w:val="00C06D71"/>
    <w:rsid w:val="00C07F4B"/>
    <w:rsid w:val="00C104BA"/>
    <w:rsid w:val="00C10646"/>
    <w:rsid w:val="00C121BB"/>
    <w:rsid w:val="00C1316C"/>
    <w:rsid w:val="00C13AF0"/>
    <w:rsid w:val="00C13FAC"/>
    <w:rsid w:val="00C14CBB"/>
    <w:rsid w:val="00C157E2"/>
    <w:rsid w:val="00C16B27"/>
    <w:rsid w:val="00C16D3B"/>
    <w:rsid w:val="00C1772D"/>
    <w:rsid w:val="00C201DA"/>
    <w:rsid w:val="00C20CD5"/>
    <w:rsid w:val="00C2251A"/>
    <w:rsid w:val="00C2286F"/>
    <w:rsid w:val="00C235F5"/>
    <w:rsid w:val="00C23646"/>
    <w:rsid w:val="00C2415C"/>
    <w:rsid w:val="00C24BA0"/>
    <w:rsid w:val="00C24D38"/>
    <w:rsid w:val="00C25A5A"/>
    <w:rsid w:val="00C27041"/>
    <w:rsid w:val="00C2725D"/>
    <w:rsid w:val="00C2793E"/>
    <w:rsid w:val="00C30A34"/>
    <w:rsid w:val="00C31581"/>
    <w:rsid w:val="00C3268B"/>
    <w:rsid w:val="00C33BC5"/>
    <w:rsid w:val="00C343D0"/>
    <w:rsid w:val="00C35243"/>
    <w:rsid w:val="00C37CD1"/>
    <w:rsid w:val="00C4277E"/>
    <w:rsid w:val="00C42EC0"/>
    <w:rsid w:val="00C43021"/>
    <w:rsid w:val="00C43B17"/>
    <w:rsid w:val="00C46029"/>
    <w:rsid w:val="00C46628"/>
    <w:rsid w:val="00C46A53"/>
    <w:rsid w:val="00C479EC"/>
    <w:rsid w:val="00C47ADC"/>
    <w:rsid w:val="00C47F27"/>
    <w:rsid w:val="00C512D9"/>
    <w:rsid w:val="00C528BD"/>
    <w:rsid w:val="00C537D7"/>
    <w:rsid w:val="00C5386A"/>
    <w:rsid w:val="00C53B11"/>
    <w:rsid w:val="00C546D6"/>
    <w:rsid w:val="00C5587D"/>
    <w:rsid w:val="00C577A6"/>
    <w:rsid w:val="00C62392"/>
    <w:rsid w:val="00C6429C"/>
    <w:rsid w:val="00C65226"/>
    <w:rsid w:val="00C65F87"/>
    <w:rsid w:val="00C6681B"/>
    <w:rsid w:val="00C67037"/>
    <w:rsid w:val="00C679CA"/>
    <w:rsid w:val="00C67ED2"/>
    <w:rsid w:val="00C714BF"/>
    <w:rsid w:val="00C71C73"/>
    <w:rsid w:val="00C71D1C"/>
    <w:rsid w:val="00C71D7C"/>
    <w:rsid w:val="00C723A6"/>
    <w:rsid w:val="00C74D4A"/>
    <w:rsid w:val="00C75DBE"/>
    <w:rsid w:val="00C762E1"/>
    <w:rsid w:val="00C76758"/>
    <w:rsid w:val="00C76DDD"/>
    <w:rsid w:val="00C76E49"/>
    <w:rsid w:val="00C8076E"/>
    <w:rsid w:val="00C80ED2"/>
    <w:rsid w:val="00C8107F"/>
    <w:rsid w:val="00C822BC"/>
    <w:rsid w:val="00C824F8"/>
    <w:rsid w:val="00C82A6B"/>
    <w:rsid w:val="00C86C6C"/>
    <w:rsid w:val="00C871CB"/>
    <w:rsid w:val="00C875A1"/>
    <w:rsid w:val="00C90248"/>
    <w:rsid w:val="00C9096F"/>
    <w:rsid w:val="00C91187"/>
    <w:rsid w:val="00C91221"/>
    <w:rsid w:val="00C91834"/>
    <w:rsid w:val="00C93F69"/>
    <w:rsid w:val="00C9411D"/>
    <w:rsid w:val="00C943E8"/>
    <w:rsid w:val="00C95BB8"/>
    <w:rsid w:val="00C9736B"/>
    <w:rsid w:val="00C97F8B"/>
    <w:rsid w:val="00CA0B7C"/>
    <w:rsid w:val="00CA1663"/>
    <w:rsid w:val="00CA261D"/>
    <w:rsid w:val="00CA46D7"/>
    <w:rsid w:val="00CA4F69"/>
    <w:rsid w:val="00CA600E"/>
    <w:rsid w:val="00CA6767"/>
    <w:rsid w:val="00CB1B84"/>
    <w:rsid w:val="00CB1CEB"/>
    <w:rsid w:val="00CB20CF"/>
    <w:rsid w:val="00CB2EB8"/>
    <w:rsid w:val="00CB3024"/>
    <w:rsid w:val="00CB3290"/>
    <w:rsid w:val="00CB33D2"/>
    <w:rsid w:val="00CB3DA0"/>
    <w:rsid w:val="00CB50A5"/>
    <w:rsid w:val="00CB533E"/>
    <w:rsid w:val="00CB679D"/>
    <w:rsid w:val="00CB7280"/>
    <w:rsid w:val="00CB738D"/>
    <w:rsid w:val="00CB7D49"/>
    <w:rsid w:val="00CC0CEB"/>
    <w:rsid w:val="00CC2EB1"/>
    <w:rsid w:val="00CC30FA"/>
    <w:rsid w:val="00CC3E52"/>
    <w:rsid w:val="00CC4910"/>
    <w:rsid w:val="00CD033E"/>
    <w:rsid w:val="00CD0579"/>
    <w:rsid w:val="00CD0BD8"/>
    <w:rsid w:val="00CD36F8"/>
    <w:rsid w:val="00CD3BE6"/>
    <w:rsid w:val="00CD48D0"/>
    <w:rsid w:val="00CE0DC6"/>
    <w:rsid w:val="00CE23E6"/>
    <w:rsid w:val="00CE246E"/>
    <w:rsid w:val="00CE262F"/>
    <w:rsid w:val="00CE3039"/>
    <w:rsid w:val="00CE30D0"/>
    <w:rsid w:val="00CE4EFF"/>
    <w:rsid w:val="00CE5504"/>
    <w:rsid w:val="00CE67A2"/>
    <w:rsid w:val="00CE6CEC"/>
    <w:rsid w:val="00CE7173"/>
    <w:rsid w:val="00CF0261"/>
    <w:rsid w:val="00CF15BF"/>
    <w:rsid w:val="00CF1C4D"/>
    <w:rsid w:val="00CF211D"/>
    <w:rsid w:val="00CF241C"/>
    <w:rsid w:val="00CF30F0"/>
    <w:rsid w:val="00CF48AB"/>
    <w:rsid w:val="00CF4FB7"/>
    <w:rsid w:val="00CF6132"/>
    <w:rsid w:val="00CF6703"/>
    <w:rsid w:val="00CF6E19"/>
    <w:rsid w:val="00CF772C"/>
    <w:rsid w:val="00D019C5"/>
    <w:rsid w:val="00D01DF0"/>
    <w:rsid w:val="00D04BB3"/>
    <w:rsid w:val="00D055C3"/>
    <w:rsid w:val="00D064B2"/>
    <w:rsid w:val="00D07AB4"/>
    <w:rsid w:val="00D10625"/>
    <w:rsid w:val="00D10F53"/>
    <w:rsid w:val="00D11F17"/>
    <w:rsid w:val="00D12EF8"/>
    <w:rsid w:val="00D132B5"/>
    <w:rsid w:val="00D13C8F"/>
    <w:rsid w:val="00D15D45"/>
    <w:rsid w:val="00D16532"/>
    <w:rsid w:val="00D21056"/>
    <w:rsid w:val="00D21BFD"/>
    <w:rsid w:val="00D21F38"/>
    <w:rsid w:val="00D23407"/>
    <w:rsid w:val="00D235DE"/>
    <w:rsid w:val="00D23BB4"/>
    <w:rsid w:val="00D24129"/>
    <w:rsid w:val="00D2497D"/>
    <w:rsid w:val="00D24BC5"/>
    <w:rsid w:val="00D24C12"/>
    <w:rsid w:val="00D25D91"/>
    <w:rsid w:val="00D25EDD"/>
    <w:rsid w:val="00D26271"/>
    <w:rsid w:val="00D2676A"/>
    <w:rsid w:val="00D27700"/>
    <w:rsid w:val="00D2770F"/>
    <w:rsid w:val="00D300A1"/>
    <w:rsid w:val="00D3034E"/>
    <w:rsid w:val="00D311BC"/>
    <w:rsid w:val="00D32897"/>
    <w:rsid w:val="00D33433"/>
    <w:rsid w:val="00D3397C"/>
    <w:rsid w:val="00D33C8C"/>
    <w:rsid w:val="00D34DAF"/>
    <w:rsid w:val="00D377C8"/>
    <w:rsid w:val="00D3783C"/>
    <w:rsid w:val="00D37CCE"/>
    <w:rsid w:val="00D41FD9"/>
    <w:rsid w:val="00D4343F"/>
    <w:rsid w:val="00D44829"/>
    <w:rsid w:val="00D45316"/>
    <w:rsid w:val="00D5080E"/>
    <w:rsid w:val="00D51D90"/>
    <w:rsid w:val="00D52B5C"/>
    <w:rsid w:val="00D562DE"/>
    <w:rsid w:val="00D5682A"/>
    <w:rsid w:val="00D56B43"/>
    <w:rsid w:val="00D56DE5"/>
    <w:rsid w:val="00D6175F"/>
    <w:rsid w:val="00D66BA8"/>
    <w:rsid w:val="00D67939"/>
    <w:rsid w:val="00D70E4B"/>
    <w:rsid w:val="00D72098"/>
    <w:rsid w:val="00D74043"/>
    <w:rsid w:val="00D745F5"/>
    <w:rsid w:val="00D748C4"/>
    <w:rsid w:val="00D74B92"/>
    <w:rsid w:val="00D76431"/>
    <w:rsid w:val="00D76DFF"/>
    <w:rsid w:val="00D7720A"/>
    <w:rsid w:val="00D77950"/>
    <w:rsid w:val="00D77FC9"/>
    <w:rsid w:val="00D80EC1"/>
    <w:rsid w:val="00D82766"/>
    <w:rsid w:val="00D83191"/>
    <w:rsid w:val="00D836CD"/>
    <w:rsid w:val="00D84762"/>
    <w:rsid w:val="00D85061"/>
    <w:rsid w:val="00D851D2"/>
    <w:rsid w:val="00D856BF"/>
    <w:rsid w:val="00D86182"/>
    <w:rsid w:val="00D8678F"/>
    <w:rsid w:val="00D87D35"/>
    <w:rsid w:val="00D90BFC"/>
    <w:rsid w:val="00D92736"/>
    <w:rsid w:val="00D92CCE"/>
    <w:rsid w:val="00D93ABB"/>
    <w:rsid w:val="00D94875"/>
    <w:rsid w:val="00D96742"/>
    <w:rsid w:val="00D9761A"/>
    <w:rsid w:val="00DA07F9"/>
    <w:rsid w:val="00DA1BDB"/>
    <w:rsid w:val="00DA2108"/>
    <w:rsid w:val="00DA28F3"/>
    <w:rsid w:val="00DA48E2"/>
    <w:rsid w:val="00DA4C97"/>
    <w:rsid w:val="00DA4D07"/>
    <w:rsid w:val="00DA4FFF"/>
    <w:rsid w:val="00DA7B4E"/>
    <w:rsid w:val="00DB0AEC"/>
    <w:rsid w:val="00DB3715"/>
    <w:rsid w:val="00DB3E33"/>
    <w:rsid w:val="00DB5992"/>
    <w:rsid w:val="00DB5DD6"/>
    <w:rsid w:val="00DB79FD"/>
    <w:rsid w:val="00DC1ADC"/>
    <w:rsid w:val="00DD1077"/>
    <w:rsid w:val="00DD2098"/>
    <w:rsid w:val="00DD24E0"/>
    <w:rsid w:val="00DD33C8"/>
    <w:rsid w:val="00DD3A9D"/>
    <w:rsid w:val="00DD4C29"/>
    <w:rsid w:val="00DD570C"/>
    <w:rsid w:val="00DD6385"/>
    <w:rsid w:val="00DD6694"/>
    <w:rsid w:val="00DD73AB"/>
    <w:rsid w:val="00DE1B69"/>
    <w:rsid w:val="00DE2DBA"/>
    <w:rsid w:val="00DE2FD9"/>
    <w:rsid w:val="00DE3A66"/>
    <w:rsid w:val="00DE3F87"/>
    <w:rsid w:val="00DE419D"/>
    <w:rsid w:val="00DE43FE"/>
    <w:rsid w:val="00DE5260"/>
    <w:rsid w:val="00DE685C"/>
    <w:rsid w:val="00DE7736"/>
    <w:rsid w:val="00DF0DDC"/>
    <w:rsid w:val="00DF1C39"/>
    <w:rsid w:val="00DF4E7F"/>
    <w:rsid w:val="00DF509B"/>
    <w:rsid w:val="00E02CDD"/>
    <w:rsid w:val="00E045CD"/>
    <w:rsid w:val="00E05EEC"/>
    <w:rsid w:val="00E07978"/>
    <w:rsid w:val="00E07A8F"/>
    <w:rsid w:val="00E07C84"/>
    <w:rsid w:val="00E10BFE"/>
    <w:rsid w:val="00E113FF"/>
    <w:rsid w:val="00E13DB4"/>
    <w:rsid w:val="00E14052"/>
    <w:rsid w:val="00E16908"/>
    <w:rsid w:val="00E17DA6"/>
    <w:rsid w:val="00E207FF"/>
    <w:rsid w:val="00E20B65"/>
    <w:rsid w:val="00E21DAC"/>
    <w:rsid w:val="00E22630"/>
    <w:rsid w:val="00E24414"/>
    <w:rsid w:val="00E2498A"/>
    <w:rsid w:val="00E24C0E"/>
    <w:rsid w:val="00E263EE"/>
    <w:rsid w:val="00E27C56"/>
    <w:rsid w:val="00E308CB"/>
    <w:rsid w:val="00E30B78"/>
    <w:rsid w:val="00E31360"/>
    <w:rsid w:val="00E3136C"/>
    <w:rsid w:val="00E31FCF"/>
    <w:rsid w:val="00E32A92"/>
    <w:rsid w:val="00E332C6"/>
    <w:rsid w:val="00E333E2"/>
    <w:rsid w:val="00E33788"/>
    <w:rsid w:val="00E343E5"/>
    <w:rsid w:val="00E3486A"/>
    <w:rsid w:val="00E3668D"/>
    <w:rsid w:val="00E3689A"/>
    <w:rsid w:val="00E37C71"/>
    <w:rsid w:val="00E4062F"/>
    <w:rsid w:val="00E40838"/>
    <w:rsid w:val="00E413FD"/>
    <w:rsid w:val="00E41C29"/>
    <w:rsid w:val="00E4451F"/>
    <w:rsid w:val="00E4495F"/>
    <w:rsid w:val="00E44B1B"/>
    <w:rsid w:val="00E45A42"/>
    <w:rsid w:val="00E465C7"/>
    <w:rsid w:val="00E4732A"/>
    <w:rsid w:val="00E521E9"/>
    <w:rsid w:val="00E529B4"/>
    <w:rsid w:val="00E52FC0"/>
    <w:rsid w:val="00E542AB"/>
    <w:rsid w:val="00E5585D"/>
    <w:rsid w:val="00E57E62"/>
    <w:rsid w:val="00E605FC"/>
    <w:rsid w:val="00E628EC"/>
    <w:rsid w:val="00E6290E"/>
    <w:rsid w:val="00E63C9B"/>
    <w:rsid w:val="00E640C8"/>
    <w:rsid w:val="00E65B1F"/>
    <w:rsid w:val="00E67012"/>
    <w:rsid w:val="00E674C3"/>
    <w:rsid w:val="00E70349"/>
    <w:rsid w:val="00E7052A"/>
    <w:rsid w:val="00E724C2"/>
    <w:rsid w:val="00E73364"/>
    <w:rsid w:val="00E74023"/>
    <w:rsid w:val="00E7531E"/>
    <w:rsid w:val="00E7564D"/>
    <w:rsid w:val="00E75E2D"/>
    <w:rsid w:val="00E7647E"/>
    <w:rsid w:val="00E766A3"/>
    <w:rsid w:val="00E80679"/>
    <w:rsid w:val="00E80B56"/>
    <w:rsid w:val="00E852E3"/>
    <w:rsid w:val="00E85C1B"/>
    <w:rsid w:val="00E86243"/>
    <w:rsid w:val="00E86541"/>
    <w:rsid w:val="00E8678F"/>
    <w:rsid w:val="00E876EC"/>
    <w:rsid w:val="00E87899"/>
    <w:rsid w:val="00E878A4"/>
    <w:rsid w:val="00E87CE1"/>
    <w:rsid w:val="00E90692"/>
    <w:rsid w:val="00E90A01"/>
    <w:rsid w:val="00E91F94"/>
    <w:rsid w:val="00E92BDE"/>
    <w:rsid w:val="00E93545"/>
    <w:rsid w:val="00E941CD"/>
    <w:rsid w:val="00E9665D"/>
    <w:rsid w:val="00EA0440"/>
    <w:rsid w:val="00EA1171"/>
    <w:rsid w:val="00EA12CE"/>
    <w:rsid w:val="00EA13CA"/>
    <w:rsid w:val="00EA2003"/>
    <w:rsid w:val="00EA2EB7"/>
    <w:rsid w:val="00EA3530"/>
    <w:rsid w:val="00EA3C64"/>
    <w:rsid w:val="00EA573E"/>
    <w:rsid w:val="00EA67DC"/>
    <w:rsid w:val="00EA7B66"/>
    <w:rsid w:val="00EB0AB1"/>
    <w:rsid w:val="00EB111A"/>
    <w:rsid w:val="00EB3016"/>
    <w:rsid w:val="00EB5313"/>
    <w:rsid w:val="00EB54F5"/>
    <w:rsid w:val="00EB5D70"/>
    <w:rsid w:val="00EB79C9"/>
    <w:rsid w:val="00EB7B6E"/>
    <w:rsid w:val="00EB7D41"/>
    <w:rsid w:val="00EB7E03"/>
    <w:rsid w:val="00EC00BB"/>
    <w:rsid w:val="00EC1DEF"/>
    <w:rsid w:val="00EC2170"/>
    <w:rsid w:val="00EC3F35"/>
    <w:rsid w:val="00EC54C8"/>
    <w:rsid w:val="00EC6717"/>
    <w:rsid w:val="00EC7944"/>
    <w:rsid w:val="00EC7FE0"/>
    <w:rsid w:val="00ED0174"/>
    <w:rsid w:val="00ED09FB"/>
    <w:rsid w:val="00ED2563"/>
    <w:rsid w:val="00ED2633"/>
    <w:rsid w:val="00ED3713"/>
    <w:rsid w:val="00ED3C20"/>
    <w:rsid w:val="00ED4782"/>
    <w:rsid w:val="00ED7D0F"/>
    <w:rsid w:val="00EE108D"/>
    <w:rsid w:val="00EE25D7"/>
    <w:rsid w:val="00EE407F"/>
    <w:rsid w:val="00EE470A"/>
    <w:rsid w:val="00EE4F0F"/>
    <w:rsid w:val="00EE6BBE"/>
    <w:rsid w:val="00EE6D04"/>
    <w:rsid w:val="00EE745B"/>
    <w:rsid w:val="00EF1171"/>
    <w:rsid w:val="00EF155F"/>
    <w:rsid w:val="00EF3DEE"/>
    <w:rsid w:val="00EF401F"/>
    <w:rsid w:val="00EF403B"/>
    <w:rsid w:val="00EF6CFF"/>
    <w:rsid w:val="00F00535"/>
    <w:rsid w:val="00F008BF"/>
    <w:rsid w:val="00F00F6B"/>
    <w:rsid w:val="00F01393"/>
    <w:rsid w:val="00F01FF4"/>
    <w:rsid w:val="00F04BAC"/>
    <w:rsid w:val="00F05597"/>
    <w:rsid w:val="00F0573F"/>
    <w:rsid w:val="00F06AB9"/>
    <w:rsid w:val="00F07161"/>
    <w:rsid w:val="00F07416"/>
    <w:rsid w:val="00F10DEC"/>
    <w:rsid w:val="00F11387"/>
    <w:rsid w:val="00F11997"/>
    <w:rsid w:val="00F121C4"/>
    <w:rsid w:val="00F14BD4"/>
    <w:rsid w:val="00F15587"/>
    <w:rsid w:val="00F15848"/>
    <w:rsid w:val="00F20CBC"/>
    <w:rsid w:val="00F21247"/>
    <w:rsid w:val="00F21E8B"/>
    <w:rsid w:val="00F22364"/>
    <w:rsid w:val="00F239FA"/>
    <w:rsid w:val="00F241CE"/>
    <w:rsid w:val="00F2428A"/>
    <w:rsid w:val="00F26B9E"/>
    <w:rsid w:val="00F270FD"/>
    <w:rsid w:val="00F2794C"/>
    <w:rsid w:val="00F31387"/>
    <w:rsid w:val="00F36CE9"/>
    <w:rsid w:val="00F36E0F"/>
    <w:rsid w:val="00F40D6B"/>
    <w:rsid w:val="00F4238F"/>
    <w:rsid w:val="00F42D24"/>
    <w:rsid w:val="00F43A90"/>
    <w:rsid w:val="00F43CE4"/>
    <w:rsid w:val="00F43E86"/>
    <w:rsid w:val="00F43ED1"/>
    <w:rsid w:val="00F45125"/>
    <w:rsid w:val="00F45528"/>
    <w:rsid w:val="00F458B3"/>
    <w:rsid w:val="00F46F2E"/>
    <w:rsid w:val="00F4757C"/>
    <w:rsid w:val="00F475B6"/>
    <w:rsid w:val="00F4777A"/>
    <w:rsid w:val="00F47ACC"/>
    <w:rsid w:val="00F53002"/>
    <w:rsid w:val="00F536F2"/>
    <w:rsid w:val="00F54913"/>
    <w:rsid w:val="00F551CB"/>
    <w:rsid w:val="00F55793"/>
    <w:rsid w:val="00F56C78"/>
    <w:rsid w:val="00F572FB"/>
    <w:rsid w:val="00F57F55"/>
    <w:rsid w:val="00F60001"/>
    <w:rsid w:val="00F60B2A"/>
    <w:rsid w:val="00F61B81"/>
    <w:rsid w:val="00F61C6D"/>
    <w:rsid w:val="00F61D1B"/>
    <w:rsid w:val="00F645F3"/>
    <w:rsid w:val="00F6493E"/>
    <w:rsid w:val="00F65C6B"/>
    <w:rsid w:val="00F660E1"/>
    <w:rsid w:val="00F6645B"/>
    <w:rsid w:val="00F67EDE"/>
    <w:rsid w:val="00F708B6"/>
    <w:rsid w:val="00F72F82"/>
    <w:rsid w:val="00F73047"/>
    <w:rsid w:val="00F73CD9"/>
    <w:rsid w:val="00F758BF"/>
    <w:rsid w:val="00F7592D"/>
    <w:rsid w:val="00F772D4"/>
    <w:rsid w:val="00F80615"/>
    <w:rsid w:val="00F840FA"/>
    <w:rsid w:val="00F84590"/>
    <w:rsid w:val="00F859DA"/>
    <w:rsid w:val="00F90022"/>
    <w:rsid w:val="00F9103F"/>
    <w:rsid w:val="00F9186D"/>
    <w:rsid w:val="00F91BE4"/>
    <w:rsid w:val="00F924E9"/>
    <w:rsid w:val="00F94728"/>
    <w:rsid w:val="00F9493F"/>
    <w:rsid w:val="00F95C92"/>
    <w:rsid w:val="00F9607B"/>
    <w:rsid w:val="00F96502"/>
    <w:rsid w:val="00F96FE4"/>
    <w:rsid w:val="00FA1165"/>
    <w:rsid w:val="00FA2539"/>
    <w:rsid w:val="00FB0443"/>
    <w:rsid w:val="00FB1851"/>
    <w:rsid w:val="00FB312F"/>
    <w:rsid w:val="00FB3802"/>
    <w:rsid w:val="00FB401A"/>
    <w:rsid w:val="00FB4242"/>
    <w:rsid w:val="00FB430E"/>
    <w:rsid w:val="00FB6406"/>
    <w:rsid w:val="00FB6733"/>
    <w:rsid w:val="00FC2F20"/>
    <w:rsid w:val="00FC3E25"/>
    <w:rsid w:val="00FC3F0E"/>
    <w:rsid w:val="00FC420F"/>
    <w:rsid w:val="00FC53AC"/>
    <w:rsid w:val="00FC69B0"/>
    <w:rsid w:val="00FC6D47"/>
    <w:rsid w:val="00FC6DC9"/>
    <w:rsid w:val="00FC78F9"/>
    <w:rsid w:val="00FC7910"/>
    <w:rsid w:val="00FD05AD"/>
    <w:rsid w:val="00FD118D"/>
    <w:rsid w:val="00FD13DD"/>
    <w:rsid w:val="00FD187B"/>
    <w:rsid w:val="00FD18CD"/>
    <w:rsid w:val="00FD24BD"/>
    <w:rsid w:val="00FD2843"/>
    <w:rsid w:val="00FD2A5C"/>
    <w:rsid w:val="00FD39FF"/>
    <w:rsid w:val="00FD6430"/>
    <w:rsid w:val="00FD75B3"/>
    <w:rsid w:val="00FE02EC"/>
    <w:rsid w:val="00FE12B9"/>
    <w:rsid w:val="00FE2D6D"/>
    <w:rsid w:val="00FE32F1"/>
    <w:rsid w:val="00FE366F"/>
    <w:rsid w:val="00FE4504"/>
    <w:rsid w:val="00FE47D2"/>
    <w:rsid w:val="00FE4B3E"/>
    <w:rsid w:val="00FE4BA5"/>
    <w:rsid w:val="00FE502B"/>
    <w:rsid w:val="00FE6134"/>
    <w:rsid w:val="00FF19B3"/>
    <w:rsid w:val="00FF2692"/>
    <w:rsid w:val="00FF3CBA"/>
    <w:rsid w:val="00FF447C"/>
    <w:rsid w:val="00FF5877"/>
    <w:rsid w:val="00FF5885"/>
    <w:rsid w:val="00FF7A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AE50A9C"/>
  <w14:defaultImageDpi w14:val="300"/>
  <w15:docId w15:val="{CC4997BB-8FE9-49D1-BB35-C9A8DC933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27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4343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6">
    <w:name w:val="heading 6"/>
    <w:basedOn w:val="Normal"/>
    <w:next w:val="Normal"/>
    <w:link w:val="Heading6Char"/>
    <w:uiPriority w:val="9"/>
    <w:semiHidden/>
    <w:unhideWhenUsed/>
    <w:qFormat/>
    <w:rsid w:val="00224140"/>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B2B"/>
    <w:pPr>
      <w:tabs>
        <w:tab w:val="center" w:pos="4320"/>
        <w:tab w:val="right" w:pos="8640"/>
      </w:tabs>
    </w:pPr>
  </w:style>
  <w:style w:type="character" w:customStyle="1" w:styleId="HeaderChar">
    <w:name w:val="Header Char"/>
    <w:basedOn w:val="DefaultParagraphFont"/>
    <w:link w:val="Header"/>
    <w:uiPriority w:val="99"/>
    <w:rsid w:val="00962B2B"/>
  </w:style>
  <w:style w:type="paragraph" w:styleId="Footer">
    <w:name w:val="footer"/>
    <w:basedOn w:val="Normal"/>
    <w:link w:val="FooterChar"/>
    <w:uiPriority w:val="99"/>
    <w:unhideWhenUsed/>
    <w:rsid w:val="00962B2B"/>
    <w:pPr>
      <w:tabs>
        <w:tab w:val="center" w:pos="4320"/>
        <w:tab w:val="right" w:pos="8640"/>
      </w:tabs>
    </w:pPr>
  </w:style>
  <w:style w:type="character" w:customStyle="1" w:styleId="FooterChar">
    <w:name w:val="Footer Char"/>
    <w:basedOn w:val="DefaultParagraphFont"/>
    <w:link w:val="Footer"/>
    <w:uiPriority w:val="99"/>
    <w:rsid w:val="00962B2B"/>
  </w:style>
  <w:style w:type="paragraph" w:styleId="BalloonText">
    <w:name w:val="Balloon Text"/>
    <w:basedOn w:val="Normal"/>
    <w:link w:val="BalloonTextChar"/>
    <w:uiPriority w:val="99"/>
    <w:semiHidden/>
    <w:unhideWhenUsed/>
    <w:rsid w:val="00962B2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62B2B"/>
    <w:rPr>
      <w:rFonts w:ascii="Lucida Grande" w:hAnsi="Lucida Grande" w:cs="Lucida Grande"/>
      <w:sz w:val="18"/>
      <w:szCs w:val="18"/>
    </w:rPr>
  </w:style>
  <w:style w:type="paragraph" w:customStyle="1" w:styleId="BasicParagraph">
    <w:name w:val="[Basic Paragraph]"/>
    <w:basedOn w:val="Normal"/>
    <w:uiPriority w:val="99"/>
    <w:rsid w:val="00962B2B"/>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ody">
    <w:name w:val="Body"/>
    <w:basedOn w:val="Normal"/>
    <w:rsid w:val="007F266D"/>
    <w:rPr>
      <w:rFonts w:ascii="Helvetica" w:eastAsiaTheme="minorHAnsi" w:hAnsi="Helvetica" w:cs="Helvetica"/>
      <w:color w:val="000000"/>
      <w:sz w:val="22"/>
      <w:szCs w:val="22"/>
      <w:lang w:eastAsia="en-GB"/>
    </w:rPr>
  </w:style>
  <w:style w:type="paragraph" w:styleId="FootnoteText">
    <w:name w:val="footnote text"/>
    <w:basedOn w:val="Normal"/>
    <w:link w:val="FootnoteTextChar"/>
    <w:uiPriority w:val="99"/>
    <w:unhideWhenUsed/>
    <w:rsid w:val="00224140"/>
  </w:style>
  <w:style w:type="character" w:customStyle="1" w:styleId="FootnoteTextChar">
    <w:name w:val="Footnote Text Char"/>
    <w:basedOn w:val="DefaultParagraphFont"/>
    <w:link w:val="FootnoteText"/>
    <w:uiPriority w:val="99"/>
    <w:rsid w:val="00224140"/>
  </w:style>
  <w:style w:type="character" w:styleId="FootnoteReference">
    <w:name w:val="footnote reference"/>
    <w:aliases w:val="Footnotes refss,Odwołanie przypisu,Footnote symbol,Footnote Reference Number,Appel note de bas de p,Appel note de bas de p + (Asian) Batang,Black,(NECG) Footnote Reference,Nota,Footnote Refernece,Footnote Refernece + (Latein) Arial"/>
    <w:basedOn w:val="DefaultParagraphFont"/>
    <w:uiPriority w:val="99"/>
    <w:unhideWhenUsed/>
    <w:qFormat/>
    <w:rsid w:val="00224140"/>
    <w:rPr>
      <w:vertAlign w:val="superscript"/>
    </w:rPr>
  </w:style>
  <w:style w:type="character" w:styleId="PageNumber">
    <w:name w:val="page number"/>
    <w:basedOn w:val="DefaultParagraphFont"/>
    <w:uiPriority w:val="99"/>
    <w:semiHidden/>
    <w:unhideWhenUsed/>
    <w:rsid w:val="00D12EF8"/>
  </w:style>
  <w:style w:type="character" w:customStyle="1" w:styleId="Heading6Char">
    <w:name w:val="Heading 6 Char"/>
    <w:basedOn w:val="DefaultParagraphFont"/>
    <w:link w:val="Heading6"/>
    <w:uiPriority w:val="9"/>
    <w:semiHidden/>
    <w:rsid w:val="00224140"/>
    <w:rPr>
      <w:rFonts w:asciiTheme="majorHAnsi" w:eastAsiaTheme="majorEastAsia" w:hAnsiTheme="majorHAnsi" w:cstheme="majorBidi"/>
      <w:i/>
      <w:iCs/>
      <w:color w:val="243F60" w:themeColor="accent1" w:themeShade="7F"/>
    </w:rPr>
  </w:style>
  <w:style w:type="paragraph" w:customStyle="1" w:styleId="Default">
    <w:name w:val="Default"/>
    <w:rsid w:val="00552293"/>
    <w:pPr>
      <w:widowControl w:val="0"/>
      <w:autoSpaceDE w:val="0"/>
      <w:autoSpaceDN w:val="0"/>
      <w:adjustRightInd w:val="0"/>
    </w:pPr>
    <w:rPr>
      <w:rFonts w:ascii="Verdana" w:hAnsi="Verdana" w:cs="Verdana"/>
      <w:color w:val="000000"/>
      <w:lang w:val="en-US"/>
    </w:rPr>
  </w:style>
  <w:style w:type="paragraph" w:styleId="NormalWeb">
    <w:name w:val="Normal (Web)"/>
    <w:basedOn w:val="Normal"/>
    <w:uiPriority w:val="99"/>
    <w:unhideWhenUsed/>
    <w:rsid w:val="005B723E"/>
    <w:pPr>
      <w:spacing w:before="100" w:beforeAutospacing="1" w:after="100" w:afterAutospacing="1"/>
    </w:pPr>
    <w:rPr>
      <w:rFonts w:ascii="Times" w:hAnsi="Times" w:cs="Times New Roman"/>
      <w:sz w:val="20"/>
      <w:szCs w:val="20"/>
    </w:rPr>
  </w:style>
  <w:style w:type="paragraph" w:customStyle="1" w:styleId="NIHRCFootnotes">
    <w:name w:val="NIHRC Footnotes"/>
    <w:basedOn w:val="Normal"/>
    <w:qFormat/>
    <w:rsid w:val="004672AC"/>
    <w:pPr>
      <w:tabs>
        <w:tab w:val="left" w:pos="284"/>
      </w:tabs>
    </w:pPr>
    <w:rPr>
      <w:rFonts w:ascii="Verdana" w:hAnsi="Verdana" w:cs="Arial"/>
      <w:color w:val="77328A"/>
      <w:sz w:val="16"/>
      <w:szCs w:val="16"/>
    </w:rPr>
  </w:style>
  <w:style w:type="character" w:styleId="Hyperlink">
    <w:name w:val="Hyperlink"/>
    <w:basedOn w:val="DefaultParagraphFont"/>
    <w:uiPriority w:val="99"/>
    <w:unhideWhenUsed/>
    <w:rsid w:val="00331C61"/>
    <w:rPr>
      <w:color w:val="0000FF" w:themeColor="hyperlink"/>
      <w:u w:val="single"/>
    </w:rPr>
  </w:style>
  <w:style w:type="character" w:customStyle="1" w:styleId="SingleTxtGChar">
    <w:name w:val="_ Single Txt_G Char"/>
    <w:link w:val="SingleTxtG"/>
    <w:locked/>
    <w:rsid w:val="00D6175F"/>
  </w:style>
  <w:style w:type="paragraph" w:customStyle="1" w:styleId="SingleTxtG">
    <w:name w:val="_ Single Txt_G"/>
    <w:basedOn w:val="Normal"/>
    <w:link w:val="SingleTxtGChar"/>
    <w:rsid w:val="00D6175F"/>
    <w:pPr>
      <w:suppressAutoHyphens/>
      <w:spacing w:after="120" w:line="240" w:lineRule="atLeast"/>
      <w:ind w:left="1134" w:right="1134"/>
      <w:jc w:val="both"/>
    </w:pPr>
  </w:style>
  <w:style w:type="character" w:customStyle="1" w:styleId="Heading2Char">
    <w:name w:val="Heading 2 Char"/>
    <w:basedOn w:val="DefaultParagraphFont"/>
    <w:link w:val="Heading2"/>
    <w:uiPriority w:val="9"/>
    <w:semiHidden/>
    <w:rsid w:val="00D4343F"/>
    <w:rPr>
      <w:rFonts w:asciiTheme="majorHAnsi" w:eastAsiaTheme="majorEastAsia" w:hAnsiTheme="majorHAnsi" w:cstheme="majorBidi"/>
      <w:color w:val="365F91" w:themeColor="accent1" w:themeShade="BF"/>
      <w:sz w:val="26"/>
      <w:szCs w:val="26"/>
    </w:rPr>
  </w:style>
  <w:style w:type="character" w:styleId="CommentReference">
    <w:name w:val="annotation reference"/>
    <w:basedOn w:val="DefaultParagraphFont"/>
    <w:uiPriority w:val="99"/>
    <w:semiHidden/>
    <w:unhideWhenUsed/>
    <w:rsid w:val="00E07A8F"/>
    <w:rPr>
      <w:sz w:val="16"/>
      <w:szCs w:val="16"/>
    </w:rPr>
  </w:style>
  <w:style w:type="paragraph" w:styleId="CommentText">
    <w:name w:val="annotation text"/>
    <w:basedOn w:val="Normal"/>
    <w:link w:val="CommentTextChar"/>
    <w:uiPriority w:val="99"/>
    <w:semiHidden/>
    <w:unhideWhenUsed/>
    <w:rsid w:val="00E07A8F"/>
    <w:rPr>
      <w:sz w:val="20"/>
      <w:szCs w:val="20"/>
    </w:rPr>
  </w:style>
  <w:style w:type="character" w:customStyle="1" w:styleId="CommentTextChar">
    <w:name w:val="Comment Text Char"/>
    <w:basedOn w:val="DefaultParagraphFont"/>
    <w:link w:val="CommentText"/>
    <w:uiPriority w:val="99"/>
    <w:semiHidden/>
    <w:rsid w:val="00E07A8F"/>
    <w:rPr>
      <w:sz w:val="20"/>
      <w:szCs w:val="20"/>
    </w:rPr>
  </w:style>
  <w:style w:type="paragraph" w:styleId="CommentSubject">
    <w:name w:val="annotation subject"/>
    <w:basedOn w:val="CommentText"/>
    <w:next w:val="CommentText"/>
    <w:link w:val="CommentSubjectChar"/>
    <w:uiPriority w:val="99"/>
    <w:semiHidden/>
    <w:unhideWhenUsed/>
    <w:rsid w:val="00E07A8F"/>
    <w:rPr>
      <w:b/>
      <w:bCs/>
    </w:rPr>
  </w:style>
  <w:style w:type="character" w:customStyle="1" w:styleId="CommentSubjectChar">
    <w:name w:val="Comment Subject Char"/>
    <w:basedOn w:val="CommentTextChar"/>
    <w:link w:val="CommentSubject"/>
    <w:uiPriority w:val="99"/>
    <w:semiHidden/>
    <w:rsid w:val="00E07A8F"/>
    <w:rPr>
      <w:b/>
      <w:bCs/>
      <w:sz w:val="20"/>
      <w:szCs w:val="20"/>
    </w:rPr>
  </w:style>
  <w:style w:type="character" w:customStyle="1" w:styleId="Heading1Char">
    <w:name w:val="Heading 1 Char"/>
    <w:basedOn w:val="DefaultParagraphFont"/>
    <w:link w:val="Heading1"/>
    <w:uiPriority w:val="9"/>
    <w:rsid w:val="00752793"/>
    <w:rPr>
      <w:rFonts w:asciiTheme="majorHAnsi" w:eastAsiaTheme="majorEastAsia" w:hAnsiTheme="majorHAnsi" w:cstheme="majorBidi"/>
      <w:color w:val="365F91" w:themeColor="accent1" w:themeShade="BF"/>
      <w:sz w:val="32"/>
      <w:szCs w:val="32"/>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
    <w:basedOn w:val="Normal"/>
    <w:link w:val="ListParagraphChar"/>
    <w:uiPriority w:val="34"/>
    <w:qFormat/>
    <w:rsid w:val="00ED2633"/>
    <w:pPr>
      <w:ind w:left="720"/>
      <w:contextualSpacing/>
    </w:pPr>
    <w:rPr>
      <w:rFonts w:ascii="Verdana" w:hAnsi="Verdana"/>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
    <w:link w:val="ListParagraph"/>
    <w:uiPriority w:val="34"/>
    <w:qFormat/>
    <w:locked/>
    <w:rsid w:val="00ED2633"/>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27802">
      <w:bodyDiv w:val="1"/>
      <w:marLeft w:val="0"/>
      <w:marRight w:val="0"/>
      <w:marTop w:val="0"/>
      <w:marBottom w:val="0"/>
      <w:divBdr>
        <w:top w:val="none" w:sz="0" w:space="0" w:color="auto"/>
        <w:left w:val="none" w:sz="0" w:space="0" w:color="auto"/>
        <w:bottom w:val="none" w:sz="0" w:space="0" w:color="auto"/>
        <w:right w:val="none" w:sz="0" w:space="0" w:color="auto"/>
      </w:divBdr>
    </w:div>
    <w:div w:id="143277652">
      <w:bodyDiv w:val="1"/>
      <w:marLeft w:val="0"/>
      <w:marRight w:val="0"/>
      <w:marTop w:val="0"/>
      <w:marBottom w:val="0"/>
      <w:divBdr>
        <w:top w:val="none" w:sz="0" w:space="0" w:color="auto"/>
        <w:left w:val="none" w:sz="0" w:space="0" w:color="auto"/>
        <w:bottom w:val="none" w:sz="0" w:space="0" w:color="auto"/>
        <w:right w:val="none" w:sz="0" w:space="0" w:color="auto"/>
      </w:divBdr>
      <w:divsChild>
        <w:div w:id="1686516571">
          <w:marLeft w:val="0"/>
          <w:marRight w:val="0"/>
          <w:marTop w:val="0"/>
          <w:marBottom w:val="0"/>
          <w:divBdr>
            <w:top w:val="none" w:sz="0" w:space="0" w:color="auto"/>
            <w:left w:val="none" w:sz="0" w:space="0" w:color="auto"/>
            <w:bottom w:val="none" w:sz="0" w:space="0" w:color="auto"/>
            <w:right w:val="none" w:sz="0" w:space="0" w:color="auto"/>
          </w:divBdr>
        </w:div>
      </w:divsChild>
    </w:div>
    <w:div w:id="198203585">
      <w:bodyDiv w:val="1"/>
      <w:marLeft w:val="0"/>
      <w:marRight w:val="0"/>
      <w:marTop w:val="0"/>
      <w:marBottom w:val="0"/>
      <w:divBdr>
        <w:top w:val="none" w:sz="0" w:space="0" w:color="auto"/>
        <w:left w:val="none" w:sz="0" w:space="0" w:color="auto"/>
        <w:bottom w:val="none" w:sz="0" w:space="0" w:color="auto"/>
        <w:right w:val="none" w:sz="0" w:space="0" w:color="auto"/>
      </w:divBdr>
      <w:divsChild>
        <w:div w:id="1817792851">
          <w:marLeft w:val="0"/>
          <w:marRight w:val="0"/>
          <w:marTop w:val="0"/>
          <w:marBottom w:val="0"/>
          <w:divBdr>
            <w:top w:val="none" w:sz="0" w:space="0" w:color="auto"/>
            <w:left w:val="none" w:sz="0" w:space="0" w:color="auto"/>
            <w:bottom w:val="none" w:sz="0" w:space="0" w:color="auto"/>
            <w:right w:val="none" w:sz="0" w:space="0" w:color="auto"/>
          </w:divBdr>
        </w:div>
      </w:divsChild>
    </w:div>
    <w:div w:id="447815275">
      <w:bodyDiv w:val="1"/>
      <w:marLeft w:val="0"/>
      <w:marRight w:val="0"/>
      <w:marTop w:val="0"/>
      <w:marBottom w:val="0"/>
      <w:divBdr>
        <w:top w:val="none" w:sz="0" w:space="0" w:color="auto"/>
        <w:left w:val="none" w:sz="0" w:space="0" w:color="auto"/>
        <w:bottom w:val="none" w:sz="0" w:space="0" w:color="auto"/>
        <w:right w:val="none" w:sz="0" w:space="0" w:color="auto"/>
      </w:divBdr>
    </w:div>
    <w:div w:id="511382048">
      <w:bodyDiv w:val="1"/>
      <w:marLeft w:val="0"/>
      <w:marRight w:val="0"/>
      <w:marTop w:val="0"/>
      <w:marBottom w:val="0"/>
      <w:divBdr>
        <w:top w:val="none" w:sz="0" w:space="0" w:color="auto"/>
        <w:left w:val="none" w:sz="0" w:space="0" w:color="auto"/>
        <w:bottom w:val="none" w:sz="0" w:space="0" w:color="auto"/>
        <w:right w:val="none" w:sz="0" w:space="0" w:color="auto"/>
      </w:divBdr>
    </w:div>
    <w:div w:id="725494687">
      <w:bodyDiv w:val="1"/>
      <w:marLeft w:val="0"/>
      <w:marRight w:val="0"/>
      <w:marTop w:val="0"/>
      <w:marBottom w:val="0"/>
      <w:divBdr>
        <w:top w:val="none" w:sz="0" w:space="0" w:color="auto"/>
        <w:left w:val="none" w:sz="0" w:space="0" w:color="auto"/>
        <w:bottom w:val="none" w:sz="0" w:space="0" w:color="auto"/>
        <w:right w:val="none" w:sz="0" w:space="0" w:color="auto"/>
      </w:divBdr>
    </w:div>
    <w:div w:id="1141923147">
      <w:bodyDiv w:val="1"/>
      <w:marLeft w:val="0"/>
      <w:marRight w:val="0"/>
      <w:marTop w:val="0"/>
      <w:marBottom w:val="0"/>
      <w:divBdr>
        <w:top w:val="none" w:sz="0" w:space="0" w:color="auto"/>
        <w:left w:val="none" w:sz="0" w:space="0" w:color="auto"/>
        <w:bottom w:val="none" w:sz="0" w:space="0" w:color="auto"/>
        <w:right w:val="none" w:sz="0" w:space="0" w:color="auto"/>
      </w:divBdr>
      <w:divsChild>
        <w:div w:id="1602445522">
          <w:marLeft w:val="0"/>
          <w:marRight w:val="0"/>
          <w:marTop w:val="0"/>
          <w:marBottom w:val="0"/>
          <w:divBdr>
            <w:top w:val="none" w:sz="0" w:space="0" w:color="auto"/>
            <w:left w:val="none" w:sz="0" w:space="0" w:color="auto"/>
            <w:bottom w:val="none" w:sz="0" w:space="0" w:color="auto"/>
            <w:right w:val="none" w:sz="0" w:space="0" w:color="auto"/>
          </w:divBdr>
        </w:div>
      </w:divsChild>
    </w:div>
    <w:div w:id="1153988160">
      <w:bodyDiv w:val="1"/>
      <w:marLeft w:val="0"/>
      <w:marRight w:val="0"/>
      <w:marTop w:val="0"/>
      <w:marBottom w:val="0"/>
      <w:divBdr>
        <w:top w:val="none" w:sz="0" w:space="0" w:color="auto"/>
        <w:left w:val="none" w:sz="0" w:space="0" w:color="auto"/>
        <w:bottom w:val="none" w:sz="0" w:space="0" w:color="auto"/>
        <w:right w:val="none" w:sz="0" w:space="0" w:color="auto"/>
      </w:divBdr>
      <w:divsChild>
        <w:div w:id="1028986289">
          <w:marLeft w:val="0"/>
          <w:marRight w:val="0"/>
          <w:marTop w:val="0"/>
          <w:marBottom w:val="0"/>
          <w:divBdr>
            <w:top w:val="none" w:sz="0" w:space="0" w:color="auto"/>
            <w:left w:val="none" w:sz="0" w:space="0" w:color="auto"/>
            <w:bottom w:val="none" w:sz="0" w:space="0" w:color="auto"/>
            <w:right w:val="none" w:sz="0" w:space="0" w:color="auto"/>
          </w:divBdr>
          <w:divsChild>
            <w:div w:id="1795251692">
              <w:marLeft w:val="0"/>
              <w:marRight w:val="0"/>
              <w:marTop w:val="0"/>
              <w:marBottom w:val="0"/>
              <w:divBdr>
                <w:top w:val="none" w:sz="0" w:space="0" w:color="auto"/>
                <w:left w:val="none" w:sz="0" w:space="0" w:color="auto"/>
                <w:bottom w:val="none" w:sz="0" w:space="0" w:color="auto"/>
                <w:right w:val="none" w:sz="0" w:space="0" w:color="auto"/>
              </w:divBdr>
              <w:divsChild>
                <w:div w:id="1466923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5585121">
      <w:bodyDiv w:val="1"/>
      <w:marLeft w:val="0"/>
      <w:marRight w:val="0"/>
      <w:marTop w:val="0"/>
      <w:marBottom w:val="0"/>
      <w:divBdr>
        <w:top w:val="none" w:sz="0" w:space="0" w:color="auto"/>
        <w:left w:val="none" w:sz="0" w:space="0" w:color="auto"/>
        <w:bottom w:val="none" w:sz="0" w:space="0" w:color="auto"/>
        <w:right w:val="none" w:sz="0" w:space="0" w:color="auto"/>
      </w:divBdr>
    </w:div>
    <w:div w:id="1522159568">
      <w:bodyDiv w:val="1"/>
      <w:marLeft w:val="0"/>
      <w:marRight w:val="0"/>
      <w:marTop w:val="0"/>
      <w:marBottom w:val="0"/>
      <w:divBdr>
        <w:top w:val="none" w:sz="0" w:space="0" w:color="auto"/>
        <w:left w:val="none" w:sz="0" w:space="0" w:color="auto"/>
        <w:bottom w:val="none" w:sz="0" w:space="0" w:color="auto"/>
        <w:right w:val="none" w:sz="0" w:space="0" w:color="auto"/>
      </w:divBdr>
    </w:div>
    <w:div w:id="1617254913">
      <w:bodyDiv w:val="1"/>
      <w:marLeft w:val="0"/>
      <w:marRight w:val="0"/>
      <w:marTop w:val="0"/>
      <w:marBottom w:val="0"/>
      <w:divBdr>
        <w:top w:val="none" w:sz="0" w:space="0" w:color="auto"/>
        <w:left w:val="none" w:sz="0" w:space="0" w:color="auto"/>
        <w:bottom w:val="none" w:sz="0" w:space="0" w:color="auto"/>
        <w:right w:val="none" w:sz="0" w:space="0" w:color="auto"/>
      </w:divBdr>
    </w:div>
    <w:div w:id="2006592875">
      <w:bodyDiv w:val="1"/>
      <w:marLeft w:val="0"/>
      <w:marRight w:val="0"/>
      <w:marTop w:val="0"/>
      <w:marBottom w:val="0"/>
      <w:divBdr>
        <w:top w:val="none" w:sz="0" w:space="0" w:color="auto"/>
        <w:left w:val="none" w:sz="0" w:space="0" w:color="auto"/>
        <w:bottom w:val="none" w:sz="0" w:space="0" w:color="auto"/>
        <w:right w:val="none" w:sz="0" w:space="0" w:color="auto"/>
      </w:divBdr>
    </w:div>
    <w:div w:id="2129470764">
      <w:bodyDiv w:val="1"/>
      <w:marLeft w:val="0"/>
      <w:marRight w:val="0"/>
      <w:marTop w:val="0"/>
      <w:marBottom w:val="0"/>
      <w:divBdr>
        <w:top w:val="none" w:sz="0" w:space="0" w:color="auto"/>
        <w:left w:val="none" w:sz="0" w:space="0" w:color="auto"/>
        <w:bottom w:val="none" w:sz="0" w:space="0" w:color="auto"/>
        <w:right w:val="none" w:sz="0" w:space="0" w:color="auto"/>
      </w:divBdr>
      <w:divsChild>
        <w:div w:id="608201235">
          <w:marLeft w:val="0"/>
          <w:marRight w:val="0"/>
          <w:marTop w:val="0"/>
          <w:marBottom w:val="0"/>
          <w:divBdr>
            <w:top w:val="none" w:sz="0" w:space="0" w:color="auto"/>
            <w:left w:val="none" w:sz="0" w:space="0" w:color="auto"/>
            <w:bottom w:val="none" w:sz="0" w:space="0" w:color="auto"/>
            <w:right w:val="none" w:sz="0" w:space="0" w:color="auto"/>
          </w:divBdr>
          <w:divsChild>
            <w:div w:id="248193691">
              <w:marLeft w:val="0"/>
              <w:marRight w:val="0"/>
              <w:marTop w:val="0"/>
              <w:marBottom w:val="0"/>
              <w:divBdr>
                <w:top w:val="none" w:sz="0" w:space="0" w:color="auto"/>
                <w:left w:val="none" w:sz="0" w:space="0" w:color="auto"/>
                <w:bottom w:val="none" w:sz="0" w:space="0" w:color="auto"/>
                <w:right w:val="none" w:sz="0" w:space="0" w:color="auto"/>
              </w:divBdr>
              <w:divsChild>
                <w:div w:id="91771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fo@nihrc.org" TargetMode="External"/><Relationship Id="rId4" Type="http://schemas.openxmlformats.org/officeDocument/2006/relationships/settings" Target="settings.xml"/><Relationship Id="rId9" Type="http://schemas.openxmlformats.org/officeDocument/2006/relationships/hyperlink" Target="http://www.nihrc.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B71D63-9FF4-443C-BB65-3E2E19B1C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6200</Words>
  <Characters>35340</Characters>
  <Application>Microsoft Office Word</Application>
  <DocSecurity>4</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Whitenoise</Company>
  <LinksUpToDate>false</LinksUpToDate>
  <CharactersWithSpaces>41458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McKeown</dc:creator>
  <cp:keywords/>
  <dc:description/>
  <cp:lastModifiedBy>Conor Boyle</cp:lastModifiedBy>
  <cp:revision>2</cp:revision>
  <cp:lastPrinted>2021-10-06T17:41:00Z</cp:lastPrinted>
  <dcterms:created xsi:type="dcterms:W3CDTF">2021-10-12T10:19:00Z</dcterms:created>
  <dcterms:modified xsi:type="dcterms:W3CDTF">2021-10-12T10:19:00Z</dcterms:modified>
</cp:coreProperties>
</file>