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0951A" w14:textId="77777777" w:rsidR="00440C64" w:rsidRDefault="00440C64" w:rsidP="00353561">
      <w:pPr>
        <w:jc w:val="center"/>
      </w:pPr>
      <w:bookmarkStart w:id="0" w:name="_Toc24116789"/>
      <w:bookmarkStart w:id="1" w:name="_Toc24110120"/>
    </w:p>
    <w:p w14:paraId="7ACB3247" w14:textId="0321EDE8" w:rsidR="00353561" w:rsidRPr="00587912" w:rsidRDefault="00353561" w:rsidP="00353561">
      <w:pPr>
        <w:jc w:val="center"/>
      </w:pPr>
      <w:r w:rsidRPr="00587912">
        <w:rPr>
          <w:noProof/>
          <w:lang w:eastAsia="en-GB"/>
        </w:rPr>
        <w:drawing>
          <wp:inline distT="0" distB="0" distL="0" distR="0" wp14:anchorId="3963FBDC" wp14:editId="4BC1F5E5">
            <wp:extent cx="2585892" cy="324612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2098" cy="3253911"/>
                    </a:xfrm>
                    <a:prstGeom prst="rect">
                      <a:avLst/>
                    </a:prstGeom>
                    <a:noFill/>
                    <a:ln>
                      <a:noFill/>
                    </a:ln>
                  </pic:spPr>
                </pic:pic>
              </a:graphicData>
            </a:graphic>
          </wp:inline>
        </w:drawing>
      </w:r>
      <w:bookmarkEnd w:id="0"/>
    </w:p>
    <w:p w14:paraId="2249FDF4" w14:textId="77777777" w:rsidR="000B57E4" w:rsidRDefault="008172AE" w:rsidP="00353561">
      <w:pPr>
        <w:jc w:val="center"/>
        <w:rPr>
          <w:b/>
          <w:color w:val="77328A"/>
          <w:sz w:val="36"/>
          <w:szCs w:val="36"/>
        </w:rPr>
      </w:pPr>
      <w:r>
        <w:rPr>
          <w:b/>
          <w:color w:val="77328A"/>
          <w:sz w:val="36"/>
          <w:szCs w:val="36"/>
        </w:rPr>
        <w:t>S</w:t>
      </w:r>
      <w:r w:rsidR="00353561" w:rsidRPr="00587912">
        <w:rPr>
          <w:b/>
          <w:color w:val="77328A"/>
          <w:sz w:val="36"/>
          <w:szCs w:val="36"/>
        </w:rPr>
        <w:t xml:space="preserve">ubmission to the UN Committee on the Rights of the Child </w:t>
      </w:r>
    </w:p>
    <w:p w14:paraId="312ED225" w14:textId="77777777" w:rsidR="000B57E4" w:rsidRDefault="000B57E4" w:rsidP="00353561">
      <w:pPr>
        <w:jc w:val="center"/>
        <w:rPr>
          <w:b/>
          <w:color w:val="77328A"/>
          <w:sz w:val="36"/>
          <w:szCs w:val="36"/>
        </w:rPr>
      </w:pPr>
    </w:p>
    <w:p w14:paraId="765222D5" w14:textId="6663B3D2" w:rsidR="00353561" w:rsidRPr="00587912" w:rsidRDefault="000B57E4" w:rsidP="00353561">
      <w:pPr>
        <w:jc w:val="center"/>
        <w:rPr>
          <w:b/>
          <w:color w:val="77328A"/>
          <w:sz w:val="36"/>
          <w:szCs w:val="36"/>
        </w:rPr>
      </w:pPr>
      <w:r>
        <w:rPr>
          <w:b/>
          <w:color w:val="77328A"/>
          <w:sz w:val="36"/>
          <w:szCs w:val="36"/>
        </w:rPr>
        <w:t xml:space="preserve">Parallel Report to the </w:t>
      </w:r>
      <w:r w:rsidR="00680390">
        <w:rPr>
          <w:b/>
          <w:color w:val="77328A"/>
          <w:sz w:val="36"/>
          <w:szCs w:val="36"/>
        </w:rPr>
        <w:t>Pre-S</w:t>
      </w:r>
      <w:r w:rsidR="00353561" w:rsidRPr="00587912">
        <w:rPr>
          <w:b/>
          <w:color w:val="77328A"/>
          <w:sz w:val="36"/>
          <w:szCs w:val="36"/>
        </w:rPr>
        <w:t xml:space="preserve">ession on the </w:t>
      </w:r>
      <w:r>
        <w:rPr>
          <w:b/>
          <w:color w:val="77328A"/>
          <w:sz w:val="36"/>
          <w:szCs w:val="36"/>
        </w:rPr>
        <w:t>C</w:t>
      </w:r>
      <w:r w:rsidR="00680390">
        <w:rPr>
          <w:b/>
          <w:color w:val="77328A"/>
          <w:sz w:val="36"/>
          <w:szCs w:val="36"/>
        </w:rPr>
        <w:t xml:space="preserve">ombined </w:t>
      </w:r>
      <w:r w:rsidR="00353561" w:rsidRPr="00587912">
        <w:rPr>
          <w:b/>
          <w:color w:val="77328A"/>
          <w:sz w:val="36"/>
          <w:szCs w:val="36"/>
        </w:rPr>
        <w:t xml:space="preserve">Sixth </w:t>
      </w:r>
      <w:r w:rsidR="00680390">
        <w:rPr>
          <w:b/>
          <w:color w:val="77328A"/>
          <w:sz w:val="36"/>
          <w:szCs w:val="36"/>
        </w:rPr>
        <w:t xml:space="preserve">and Seventh </w:t>
      </w:r>
      <w:r w:rsidR="00353561" w:rsidRPr="00587912">
        <w:rPr>
          <w:b/>
          <w:color w:val="77328A"/>
          <w:sz w:val="36"/>
          <w:szCs w:val="36"/>
        </w:rPr>
        <w:t>Report</w:t>
      </w:r>
      <w:r w:rsidR="00680390">
        <w:rPr>
          <w:b/>
          <w:color w:val="77328A"/>
          <w:sz w:val="36"/>
          <w:szCs w:val="36"/>
        </w:rPr>
        <w:t>s</w:t>
      </w:r>
      <w:r w:rsidR="00353561" w:rsidRPr="00587912">
        <w:rPr>
          <w:b/>
          <w:color w:val="77328A"/>
          <w:sz w:val="36"/>
          <w:szCs w:val="36"/>
        </w:rPr>
        <w:t xml:space="preserve"> of the United Kingdom of Great Britain and Northern Ireland </w:t>
      </w:r>
    </w:p>
    <w:p w14:paraId="2E7B57E3" w14:textId="77777777" w:rsidR="00353561" w:rsidRPr="00587912" w:rsidRDefault="00353561" w:rsidP="00353561">
      <w:pPr>
        <w:pStyle w:val="Default"/>
        <w:jc w:val="center"/>
        <w:rPr>
          <w:b/>
          <w:bCs/>
          <w:color w:val="77328A"/>
          <w:sz w:val="36"/>
          <w:szCs w:val="36"/>
        </w:rPr>
      </w:pPr>
    </w:p>
    <w:p w14:paraId="66596030" w14:textId="77777777" w:rsidR="00353561" w:rsidRPr="00587912" w:rsidRDefault="00353561" w:rsidP="00353561"/>
    <w:p w14:paraId="0DCC02E2" w14:textId="77777777" w:rsidR="00353561" w:rsidRPr="00587912" w:rsidRDefault="00353561" w:rsidP="00353561"/>
    <w:p w14:paraId="66974BBA" w14:textId="38AF5AB2" w:rsidR="00353561" w:rsidRDefault="00353561" w:rsidP="00353561"/>
    <w:p w14:paraId="3A3723AC" w14:textId="127A4054" w:rsidR="00E90368" w:rsidRDefault="00E90368" w:rsidP="00353561"/>
    <w:p w14:paraId="7702814C" w14:textId="77777777" w:rsidR="00E90368" w:rsidRPr="00587912" w:rsidRDefault="00E90368" w:rsidP="00353561"/>
    <w:p w14:paraId="5540FE2E" w14:textId="4295E918" w:rsidR="00353561" w:rsidRPr="00587912" w:rsidRDefault="00680390" w:rsidP="00353561">
      <w:pPr>
        <w:jc w:val="center"/>
        <w:rPr>
          <w:rFonts w:eastAsiaTheme="majorEastAsia" w:cstheme="majorBidi"/>
          <w:b/>
          <w:color w:val="000000" w:themeColor="text1"/>
        </w:rPr>
      </w:pPr>
      <w:r>
        <w:rPr>
          <w:b/>
          <w:color w:val="000000" w:themeColor="text1"/>
          <w:sz w:val="32"/>
          <w:szCs w:val="32"/>
        </w:rPr>
        <w:t>December 2022</w:t>
      </w:r>
    </w:p>
    <w:bookmarkEnd w:id="1"/>
    <w:p w14:paraId="1D3A6925" w14:textId="580846C3" w:rsidR="0068094E" w:rsidRPr="00587912" w:rsidRDefault="0068094E">
      <w:pPr>
        <w:spacing w:after="160" w:line="259" w:lineRule="auto"/>
      </w:pPr>
      <w:r w:rsidRPr="00587912">
        <w:br w:type="page"/>
      </w:r>
    </w:p>
    <w:sdt>
      <w:sdtPr>
        <w:rPr>
          <w:rFonts w:ascii="Verdana" w:eastAsiaTheme="minorHAnsi" w:hAnsi="Verdana" w:cstheme="minorBidi"/>
          <w:color w:val="auto"/>
          <w:sz w:val="22"/>
          <w:szCs w:val="22"/>
          <w:lang w:val="en-GB"/>
        </w:rPr>
        <w:id w:val="-79606346"/>
        <w:docPartObj>
          <w:docPartGallery w:val="Table of Contents"/>
          <w:docPartUnique/>
        </w:docPartObj>
      </w:sdtPr>
      <w:sdtEndPr>
        <w:rPr>
          <w:b/>
          <w:bCs/>
          <w:noProof/>
          <w:sz w:val="24"/>
        </w:rPr>
      </w:sdtEndPr>
      <w:sdtContent>
        <w:p w14:paraId="7030F5D8" w14:textId="56BF263E" w:rsidR="0068094E" w:rsidRDefault="00E90368">
          <w:pPr>
            <w:pStyle w:val="TOCHeading"/>
            <w:rPr>
              <w:rFonts w:ascii="Verdana" w:hAnsi="Verdana"/>
              <w:b/>
              <w:color w:val="7030A0"/>
              <w:sz w:val="30"/>
              <w:szCs w:val="30"/>
            </w:rPr>
          </w:pPr>
          <w:r w:rsidRPr="00E90368">
            <w:rPr>
              <w:rFonts w:ascii="Verdana" w:eastAsiaTheme="minorHAnsi" w:hAnsi="Verdana" w:cstheme="minorBidi"/>
              <w:b/>
              <w:color w:val="7030A0"/>
              <w:sz w:val="30"/>
              <w:szCs w:val="30"/>
              <w:lang w:val="en-GB"/>
            </w:rPr>
            <w:t xml:space="preserve">Table of </w:t>
          </w:r>
          <w:r w:rsidR="0068094E" w:rsidRPr="00E90368">
            <w:rPr>
              <w:rFonts w:ascii="Verdana" w:hAnsi="Verdana"/>
              <w:b/>
              <w:color w:val="7030A0"/>
              <w:sz w:val="30"/>
              <w:szCs w:val="30"/>
            </w:rPr>
            <w:t>Contents</w:t>
          </w:r>
        </w:p>
        <w:p w14:paraId="7E2B0DEF" w14:textId="77777777" w:rsidR="00E90368" w:rsidRPr="00E90368" w:rsidRDefault="00E90368" w:rsidP="00E90368">
          <w:pPr>
            <w:rPr>
              <w:lang w:val="en-US"/>
            </w:rPr>
          </w:pPr>
        </w:p>
        <w:p w14:paraId="6E2666C0" w14:textId="04CB02EB" w:rsidR="004F03EF" w:rsidRDefault="0068094E">
          <w:pPr>
            <w:pStyle w:val="TOC1"/>
            <w:rPr>
              <w:rFonts w:asciiTheme="minorHAnsi" w:eastAsiaTheme="minorEastAsia" w:hAnsiTheme="minorHAnsi"/>
              <w:noProof/>
              <w:sz w:val="22"/>
              <w:lang w:eastAsia="en-GB"/>
            </w:rPr>
          </w:pPr>
          <w:r w:rsidRPr="001111FA">
            <w:rPr>
              <w:sz w:val="18"/>
              <w:szCs w:val="18"/>
            </w:rPr>
            <w:fldChar w:fldCharType="begin"/>
          </w:r>
          <w:r w:rsidRPr="001111FA">
            <w:rPr>
              <w:sz w:val="18"/>
              <w:szCs w:val="18"/>
            </w:rPr>
            <w:instrText xml:space="preserve"> TOC \o "1-3" \h \z \u </w:instrText>
          </w:r>
          <w:r w:rsidRPr="001111FA">
            <w:rPr>
              <w:sz w:val="18"/>
              <w:szCs w:val="18"/>
            </w:rPr>
            <w:fldChar w:fldCharType="separate"/>
          </w:r>
          <w:hyperlink w:anchor="_Toc121922166" w:history="1">
            <w:r w:rsidR="004F03EF" w:rsidRPr="002C5DBC">
              <w:rPr>
                <w:rStyle w:val="Hyperlink"/>
                <w:noProof/>
              </w:rPr>
              <w:t>1.0</w:t>
            </w:r>
            <w:r w:rsidR="004F03EF">
              <w:rPr>
                <w:rFonts w:asciiTheme="minorHAnsi" w:eastAsiaTheme="minorEastAsia" w:hAnsiTheme="minorHAnsi"/>
                <w:noProof/>
                <w:sz w:val="22"/>
                <w:lang w:eastAsia="en-GB"/>
              </w:rPr>
              <w:tab/>
            </w:r>
            <w:r w:rsidR="004F03EF" w:rsidRPr="002C5DBC">
              <w:rPr>
                <w:rStyle w:val="Hyperlink"/>
                <w:noProof/>
              </w:rPr>
              <w:t>Introduction</w:t>
            </w:r>
            <w:r w:rsidR="004F03EF">
              <w:rPr>
                <w:noProof/>
                <w:webHidden/>
              </w:rPr>
              <w:tab/>
            </w:r>
            <w:r w:rsidR="004F03EF">
              <w:rPr>
                <w:noProof/>
                <w:webHidden/>
              </w:rPr>
              <w:fldChar w:fldCharType="begin"/>
            </w:r>
            <w:r w:rsidR="004F03EF">
              <w:rPr>
                <w:noProof/>
                <w:webHidden/>
              </w:rPr>
              <w:instrText xml:space="preserve"> PAGEREF _Toc121922166 \h </w:instrText>
            </w:r>
            <w:r w:rsidR="004F03EF">
              <w:rPr>
                <w:noProof/>
                <w:webHidden/>
              </w:rPr>
            </w:r>
            <w:r w:rsidR="004F03EF">
              <w:rPr>
                <w:noProof/>
                <w:webHidden/>
              </w:rPr>
              <w:fldChar w:fldCharType="separate"/>
            </w:r>
            <w:r w:rsidR="004F03EF">
              <w:rPr>
                <w:noProof/>
                <w:webHidden/>
              </w:rPr>
              <w:t>5</w:t>
            </w:r>
            <w:r w:rsidR="004F03EF">
              <w:rPr>
                <w:noProof/>
                <w:webHidden/>
              </w:rPr>
              <w:fldChar w:fldCharType="end"/>
            </w:r>
          </w:hyperlink>
        </w:p>
        <w:p w14:paraId="5240C617" w14:textId="4F8F2268" w:rsidR="004F03EF" w:rsidRDefault="004F03EF">
          <w:pPr>
            <w:pStyle w:val="TOC1"/>
            <w:rPr>
              <w:rFonts w:asciiTheme="minorHAnsi" w:eastAsiaTheme="minorEastAsia" w:hAnsiTheme="minorHAnsi"/>
              <w:noProof/>
              <w:sz w:val="22"/>
              <w:lang w:eastAsia="en-GB"/>
            </w:rPr>
          </w:pPr>
          <w:hyperlink w:anchor="_Toc121922167" w:history="1">
            <w:r w:rsidRPr="002C5DBC">
              <w:rPr>
                <w:rStyle w:val="Hyperlink"/>
                <w:noProof/>
              </w:rPr>
              <w:t>2.0</w:t>
            </w:r>
            <w:r>
              <w:rPr>
                <w:rFonts w:asciiTheme="minorHAnsi" w:eastAsiaTheme="minorEastAsia" w:hAnsiTheme="minorHAnsi"/>
                <w:noProof/>
                <w:sz w:val="22"/>
                <w:lang w:eastAsia="en-GB"/>
              </w:rPr>
              <w:tab/>
            </w:r>
            <w:r w:rsidRPr="002C5DBC">
              <w:rPr>
                <w:rStyle w:val="Hyperlink"/>
                <w:noProof/>
              </w:rPr>
              <w:t>Context</w:t>
            </w:r>
            <w:r>
              <w:rPr>
                <w:noProof/>
                <w:webHidden/>
              </w:rPr>
              <w:tab/>
            </w:r>
            <w:r>
              <w:rPr>
                <w:noProof/>
                <w:webHidden/>
              </w:rPr>
              <w:fldChar w:fldCharType="begin"/>
            </w:r>
            <w:r>
              <w:rPr>
                <w:noProof/>
                <w:webHidden/>
              </w:rPr>
              <w:instrText xml:space="preserve"> PAGEREF _Toc121922167 \h </w:instrText>
            </w:r>
            <w:r>
              <w:rPr>
                <w:noProof/>
                <w:webHidden/>
              </w:rPr>
            </w:r>
            <w:r>
              <w:rPr>
                <w:noProof/>
                <w:webHidden/>
              </w:rPr>
              <w:fldChar w:fldCharType="separate"/>
            </w:r>
            <w:r>
              <w:rPr>
                <w:noProof/>
                <w:webHidden/>
              </w:rPr>
              <w:t>5</w:t>
            </w:r>
            <w:r>
              <w:rPr>
                <w:noProof/>
                <w:webHidden/>
              </w:rPr>
              <w:fldChar w:fldCharType="end"/>
            </w:r>
          </w:hyperlink>
        </w:p>
        <w:p w14:paraId="19FC4164" w14:textId="4C43BADD" w:rsidR="004F03EF" w:rsidRDefault="004F03EF">
          <w:pPr>
            <w:pStyle w:val="TOC2"/>
            <w:tabs>
              <w:tab w:val="right" w:leader="dot" w:pos="9016"/>
            </w:tabs>
            <w:rPr>
              <w:rFonts w:asciiTheme="minorHAnsi" w:eastAsiaTheme="minorEastAsia" w:hAnsiTheme="minorHAnsi"/>
              <w:noProof/>
              <w:sz w:val="22"/>
              <w:lang w:eastAsia="en-GB"/>
            </w:rPr>
          </w:pPr>
          <w:hyperlink w:anchor="_Toc121922168" w:history="1">
            <w:r w:rsidRPr="002C5DBC">
              <w:rPr>
                <w:rStyle w:val="Hyperlink"/>
                <w:noProof/>
              </w:rPr>
              <w:t>NI Executive</w:t>
            </w:r>
            <w:r>
              <w:rPr>
                <w:noProof/>
                <w:webHidden/>
              </w:rPr>
              <w:tab/>
            </w:r>
            <w:r>
              <w:rPr>
                <w:noProof/>
                <w:webHidden/>
              </w:rPr>
              <w:fldChar w:fldCharType="begin"/>
            </w:r>
            <w:r>
              <w:rPr>
                <w:noProof/>
                <w:webHidden/>
              </w:rPr>
              <w:instrText xml:space="preserve"> PAGEREF _Toc121922168 \h </w:instrText>
            </w:r>
            <w:r>
              <w:rPr>
                <w:noProof/>
                <w:webHidden/>
              </w:rPr>
            </w:r>
            <w:r>
              <w:rPr>
                <w:noProof/>
                <w:webHidden/>
              </w:rPr>
              <w:fldChar w:fldCharType="separate"/>
            </w:r>
            <w:r>
              <w:rPr>
                <w:noProof/>
                <w:webHidden/>
              </w:rPr>
              <w:t>5</w:t>
            </w:r>
            <w:r>
              <w:rPr>
                <w:noProof/>
                <w:webHidden/>
              </w:rPr>
              <w:fldChar w:fldCharType="end"/>
            </w:r>
          </w:hyperlink>
        </w:p>
        <w:p w14:paraId="7D65556B" w14:textId="56932389" w:rsidR="004F03EF" w:rsidRDefault="004F03EF">
          <w:pPr>
            <w:pStyle w:val="TOC2"/>
            <w:tabs>
              <w:tab w:val="right" w:leader="dot" w:pos="9016"/>
            </w:tabs>
            <w:rPr>
              <w:rFonts w:asciiTheme="minorHAnsi" w:eastAsiaTheme="minorEastAsia" w:hAnsiTheme="minorHAnsi"/>
              <w:noProof/>
              <w:sz w:val="22"/>
              <w:lang w:eastAsia="en-GB"/>
            </w:rPr>
          </w:pPr>
          <w:hyperlink w:anchor="_Toc121922169" w:history="1">
            <w:r w:rsidRPr="002C5DBC">
              <w:rPr>
                <w:rStyle w:val="Hyperlink"/>
                <w:noProof/>
              </w:rPr>
              <w:t>Northern Ireland Human Rights Commission</w:t>
            </w:r>
            <w:r>
              <w:rPr>
                <w:noProof/>
                <w:webHidden/>
              </w:rPr>
              <w:tab/>
            </w:r>
            <w:r>
              <w:rPr>
                <w:noProof/>
                <w:webHidden/>
              </w:rPr>
              <w:fldChar w:fldCharType="begin"/>
            </w:r>
            <w:r>
              <w:rPr>
                <w:noProof/>
                <w:webHidden/>
              </w:rPr>
              <w:instrText xml:space="preserve"> PAGEREF _Toc121922169 \h </w:instrText>
            </w:r>
            <w:r>
              <w:rPr>
                <w:noProof/>
                <w:webHidden/>
              </w:rPr>
            </w:r>
            <w:r>
              <w:rPr>
                <w:noProof/>
                <w:webHidden/>
              </w:rPr>
              <w:fldChar w:fldCharType="separate"/>
            </w:r>
            <w:r>
              <w:rPr>
                <w:noProof/>
                <w:webHidden/>
              </w:rPr>
              <w:t>6</w:t>
            </w:r>
            <w:r>
              <w:rPr>
                <w:noProof/>
                <w:webHidden/>
              </w:rPr>
              <w:fldChar w:fldCharType="end"/>
            </w:r>
          </w:hyperlink>
        </w:p>
        <w:p w14:paraId="338ADDA3" w14:textId="772D8C82" w:rsidR="004F03EF" w:rsidRDefault="004F03EF">
          <w:pPr>
            <w:pStyle w:val="TOC1"/>
            <w:rPr>
              <w:rFonts w:asciiTheme="minorHAnsi" w:eastAsiaTheme="minorEastAsia" w:hAnsiTheme="minorHAnsi"/>
              <w:noProof/>
              <w:sz w:val="22"/>
              <w:lang w:eastAsia="en-GB"/>
            </w:rPr>
          </w:pPr>
          <w:hyperlink w:anchor="_Toc121922170" w:history="1">
            <w:r w:rsidRPr="002C5DBC">
              <w:rPr>
                <w:rStyle w:val="Hyperlink"/>
                <w:noProof/>
              </w:rPr>
              <w:t>3.0</w:t>
            </w:r>
            <w:r>
              <w:rPr>
                <w:rFonts w:asciiTheme="minorHAnsi" w:eastAsiaTheme="minorEastAsia" w:hAnsiTheme="minorHAnsi"/>
                <w:noProof/>
                <w:sz w:val="22"/>
                <w:lang w:eastAsia="en-GB"/>
              </w:rPr>
              <w:tab/>
            </w:r>
            <w:r w:rsidRPr="002C5DBC">
              <w:rPr>
                <w:rStyle w:val="Hyperlink"/>
                <w:noProof/>
              </w:rPr>
              <w:t>Article 2 – Non-discrimination</w:t>
            </w:r>
            <w:r>
              <w:rPr>
                <w:noProof/>
                <w:webHidden/>
              </w:rPr>
              <w:tab/>
            </w:r>
            <w:r>
              <w:rPr>
                <w:noProof/>
                <w:webHidden/>
              </w:rPr>
              <w:fldChar w:fldCharType="begin"/>
            </w:r>
            <w:r>
              <w:rPr>
                <w:noProof/>
                <w:webHidden/>
              </w:rPr>
              <w:instrText xml:space="preserve"> PAGEREF _Toc121922170 \h </w:instrText>
            </w:r>
            <w:r>
              <w:rPr>
                <w:noProof/>
                <w:webHidden/>
              </w:rPr>
            </w:r>
            <w:r>
              <w:rPr>
                <w:noProof/>
                <w:webHidden/>
              </w:rPr>
              <w:fldChar w:fldCharType="separate"/>
            </w:r>
            <w:r>
              <w:rPr>
                <w:noProof/>
                <w:webHidden/>
              </w:rPr>
              <w:t>7</w:t>
            </w:r>
            <w:r>
              <w:rPr>
                <w:noProof/>
                <w:webHidden/>
              </w:rPr>
              <w:fldChar w:fldCharType="end"/>
            </w:r>
          </w:hyperlink>
        </w:p>
        <w:p w14:paraId="7165821D" w14:textId="0C74558B" w:rsidR="004F03EF" w:rsidRDefault="004F03EF">
          <w:pPr>
            <w:pStyle w:val="TOC2"/>
            <w:tabs>
              <w:tab w:val="right" w:leader="dot" w:pos="9016"/>
            </w:tabs>
            <w:rPr>
              <w:rFonts w:asciiTheme="minorHAnsi" w:eastAsiaTheme="minorEastAsia" w:hAnsiTheme="minorHAnsi"/>
              <w:noProof/>
              <w:sz w:val="22"/>
              <w:lang w:eastAsia="en-GB"/>
            </w:rPr>
          </w:pPr>
          <w:hyperlink w:anchor="_Toc121922171" w:history="1">
            <w:r w:rsidRPr="002C5DBC">
              <w:rPr>
                <w:rStyle w:val="Hyperlink"/>
                <w:noProof/>
              </w:rPr>
              <w:t>Discrimination in the provision of goods, facilities and services</w:t>
            </w:r>
            <w:r>
              <w:rPr>
                <w:noProof/>
                <w:webHidden/>
              </w:rPr>
              <w:tab/>
            </w:r>
            <w:r>
              <w:rPr>
                <w:noProof/>
                <w:webHidden/>
              </w:rPr>
              <w:fldChar w:fldCharType="begin"/>
            </w:r>
            <w:r>
              <w:rPr>
                <w:noProof/>
                <w:webHidden/>
              </w:rPr>
              <w:instrText xml:space="preserve"> PAGEREF _Toc121922171 \h </w:instrText>
            </w:r>
            <w:r>
              <w:rPr>
                <w:noProof/>
                <w:webHidden/>
              </w:rPr>
            </w:r>
            <w:r>
              <w:rPr>
                <w:noProof/>
                <w:webHidden/>
              </w:rPr>
              <w:fldChar w:fldCharType="separate"/>
            </w:r>
            <w:r>
              <w:rPr>
                <w:noProof/>
                <w:webHidden/>
              </w:rPr>
              <w:t>7</w:t>
            </w:r>
            <w:r>
              <w:rPr>
                <w:noProof/>
                <w:webHidden/>
              </w:rPr>
              <w:fldChar w:fldCharType="end"/>
            </w:r>
          </w:hyperlink>
        </w:p>
        <w:p w14:paraId="5E3D92D0" w14:textId="18809EAA" w:rsidR="004F03EF" w:rsidRDefault="004F03EF">
          <w:pPr>
            <w:pStyle w:val="TOC2"/>
            <w:tabs>
              <w:tab w:val="right" w:leader="dot" w:pos="9016"/>
            </w:tabs>
            <w:rPr>
              <w:rFonts w:asciiTheme="minorHAnsi" w:eastAsiaTheme="minorEastAsia" w:hAnsiTheme="minorHAnsi"/>
              <w:noProof/>
              <w:sz w:val="22"/>
              <w:lang w:eastAsia="en-GB"/>
            </w:rPr>
          </w:pPr>
          <w:hyperlink w:anchor="_Toc121922172" w:history="1">
            <w:r w:rsidRPr="002C5DBC">
              <w:rPr>
                <w:rStyle w:val="Hyperlink"/>
                <w:noProof/>
              </w:rPr>
              <w:t>Conversion therapy</w:t>
            </w:r>
            <w:r>
              <w:rPr>
                <w:noProof/>
                <w:webHidden/>
              </w:rPr>
              <w:tab/>
            </w:r>
            <w:r>
              <w:rPr>
                <w:noProof/>
                <w:webHidden/>
              </w:rPr>
              <w:fldChar w:fldCharType="begin"/>
            </w:r>
            <w:r>
              <w:rPr>
                <w:noProof/>
                <w:webHidden/>
              </w:rPr>
              <w:instrText xml:space="preserve"> PAGEREF _Toc121922172 \h </w:instrText>
            </w:r>
            <w:r>
              <w:rPr>
                <w:noProof/>
                <w:webHidden/>
              </w:rPr>
            </w:r>
            <w:r>
              <w:rPr>
                <w:noProof/>
                <w:webHidden/>
              </w:rPr>
              <w:fldChar w:fldCharType="separate"/>
            </w:r>
            <w:r>
              <w:rPr>
                <w:noProof/>
                <w:webHidden/>
              </w:rPr>
              <w:t>7</w:t>
            </w:r>
            <w:r>
              <w:rPr>
                <w:noProof/>
                <w:webHidden/>
              </w:rPr>
              <w:fldChar w:fldCharType="end"/>
            </w:r>
          </w:hyperlink>
        </w:p>
        <w:p w14:paraId="7B360E33" w14:textId="57583DFA" w:rsidR="004F03EF" w:rsidRDefault="004F03EF">
          <w:pPr>
            <w:pStyle w:val="TOC1"/>
            <w:rPr>
              <w:rFonts w:asciiTheme="minorHAnsi" w:eastAsiaTheme="minorEastAsia" w:hAnsiTheme="minorHAnsi"/>
              <w:noProof/>
              <w:sz w:val="22"/>
              <w:lang w:eastAsia="en-GB"/>
            </w:rPr>
          </w:pPr>
          <w:hyperlink w:anchor="_Toc121922173" w:history="1">
            <w:r w:rsidRPr="002C5DBC">
              <w:rPr>
                <w:rStyle w:val="Hyperlink"/>
                <w:noProof/>
              </w:rPr>
              <w:t>4.0</w:t>
            </w:r>
            <w:r>
              <w:rPr>
                <w:rFonts w:asciiTheme="minorHAnsi" w:eastAsiaTheme="minorEastAsia" w:hAnsiTheme="minorHAnsi"/>
                <w:noProof/>
                <w:sz w:val="22"/>
                <w:lang w:eastAsia="en-GB"/>
              </w:rPr>
              <w:tab/>
            </w:r>
            <w:r w:rsidRPr="002C5DBC">
              <w:rPr>
                <w:rStyle w:val="Hyperlink"/>
                <w:noProof/>
              </w:rPr>
              <w:t>Article 4 – Implementation of UN CRC</w:t>
            </w:r>
            <w:r>
              <w:rPr>
                <w:noProof/>
                <w:webHidden/>
              </w:rPr>
              <w:tab/>
            </w:r>
            <w:r>
              <w:rPr>
                <w:noProof/>
                <w:webHidden/>
              </w:rPr>
              <w:fldChar w:fldCharType="begin"/>
            </w:r>
            <w:r>
              <w:rPr>
                <w:noProof/>
                <w:webHidden/>
              </w:rPr>
              <w:instrText xml:space="preserve"> PAGEREF _Toc121922173 \h </w:instrText>
            </w:r>
            <w:r>
              <w:rPr>
                <w:noProof/>
                <w:webHidden/>
              </w:rPr>
            </w:r>
            <w:r>
              <w:rPr>
                <w:noProof/>
                <w:webHidden/>
              </w:rPr>
              <w:fldChar w:fldCharType="separate"/>
            </w:r>
            <w:r>
              <w:rPr>
                <w:noProof/>
                <w:webHidden/>
              </w:rPr>
              <w:t>8</w:t>
            </w:r>
            <w:r>
              <w:rPr>
                <w:noProof/>
                <w:webHidden/>
              </w:rPr>
              <w:fldChar w:fldCharType="end"/>
            </w:r>
          </w:hyperlink>
        </w:p>
        <w:p w14:paraId="63CBB628" w14:textId="1BFA8DEA" w:rsidR="004F03EF" w:rsidRDefault="004F03EF">
          <w:pPr>
            <w:pStyle w:val="TOC2"/>
            <w:tabs>
              <w:tab w:val="right" w:leader="dot" w:pos="9016"/>
            </w:tabs>
            <w:rPr>
              <w:rFonts w:asciiTheme="minorHAnsi" w:eastAsiaTheme="minorEastAsia" w:hAnsiTheme="minorHAnsi"/>
              <w:noProof/>
              <w:sz w:val="22"/>
              <w:lang w:eastAsia="en-GB"/>
            </w:rPr>
          </w:pPr>
          <w:hyperlink w:anchor="_Toc121922174" w:history="1">
            <w:r w:rsidRPr="002C5DBC">
              <w:rPr>
                <w:rStyle w:val="Hyperlink"/>
                <w:noProof/>
              </w:rPr>
              <w:t>Implementation within domestic law</w:t>
            </w:r>
            <w:r>
              <w:rPr>
                <w:noProof/>
                <w:webHidden/>
              </w:rPr>
              <w:tab/>
            </w:r>
            <w:r>
              <w:rPr>
                <w:noProof/>
                <w:webHidden/>
              </w:rPr>
              <w:fldChar w:fldCharType="begin"/>
            </w:r>
            <w:r>
              <w:rPr>
                <w:noProof/>
                <w:webHidden/>
              </w:rPr>
              <w:instrText xml:space="preserve"> PAGEREF _Toc121922174 \h </w:instrText>
            </w:r>
            <w:r>
              <w:rPr>
                <w:noProof/>
                <w:webHidden/>
              </w:rPr>
            </w:r>
            <w:r>
              <w:rPr>
                <w:noProof/>
                <w:webHidden/>
              </w:rPr>
              <w:fldChar w:fldCharType="separate"/>
            </w:r>
            <w:r>
              <w:rPr>
                <w:noProof/>
                <w:webHidden/>
              </w:rPr>
              <w:t>8</w:t>
            </w:r>
            <w:r>
              <w:rPr>
                <w:noProof/>
                <w:webHidden/>
              </w:rPr>
              <w:fldChar w:fldCharType="end"/>
            </w:r>
          </w:hyperlink>
        </w:p>
        <w:p w14:paraId="191811A6" w14:textId="275D5739" w:rsidR="004F03EF" w:rsidRDefault="004F03EF">
          <w:pPr>
            <w:pStyle w:val="TOC2"/>
            <w:tabs>
              <w:tab w:val="right" w:leader="dot" w:pos="9016"/>
            </w:tabs>
            <w:rPr>
              <w:rFonts w:asciiTheme="minorHAnsi" w:eastAsiaTheme="minorEastAsia" w:hAnsiTheme="minorHAnsi"/>
              <w:noProof/>
              <w:sz w:val="22"/>
              <w:lang w:eastAsia="en-GB"/>
            </w:rPr>
          </w:pPr>
          <w:hyperlink w:anchor="_Toc121922175" w:history="1">
            <w:r w:rsidRPr="002C5DBC">
              <w:rPr>
                <w:rStyle w:val="Hyperlink"/>
                <w:noProof/>
              </w:rPr>
              <w:t>Bill of Rights for NI</w:t>
            </w:r>
            <w:r>
              <w:rPr>
                <w:noProof/>
                <w:webHidden/>
              </w:rPr>
              <w:tab/>
            </w:r>
            <w:r>
              <w:rPr>
                <w:noProof/>
                <w:webHidden/>
              </w:rPr>
              <w:fldChar w:fldCharType="begin"/>
            </w:r>
            <w:r>
              <w:rPr>
                <w:noProof/>
                <w:webHidden/>
              </w:rPr>
              <w:instrText xml:space="preserve"> PAGEREF _Toc121922175 \h </w:instrText>
            </w:r>
            <w:r>
              <w:rPr>
                <w:noProof/>
                <w:webHidden/>
              </w:rPr>
            </w:r>
            <w:r>
              <w:rPr>
                <w:noProof/>
                <w:webHidden/>
              </w:rPr>
              <w:fldChar w:fldCharType="separate"/>
            </w:r>
            <w:r>
              <w:rPr>
                <w:noProof/>
                <w:webHidden/>
              </w:rPr>
              <w:t>9</w:t>
            </w:r>
            <w:r>
              <w:rPr>
                <w:noProof/>
                <w:webHidden/>
              </w:rPr>
              <w:fldChar w:fldCharType="end"/>
            </w:r>
          </w:hyperlink>
        </w:p>
        <w:p w14:paraId="4B69BD1C" w14:textId="283406ED" w:rsidR="004F03EF" w:rsidRDefault="004F03EF">
          <w:pPr>
            <w:pStyle w:val="TOC2"/>
            <w:tabs>
              <w:tab w:val="right" w:leader="dot" w:pos="9016"/>
            </w:tabs>
            <w:rPr>
              <w:rFonts w:asciiTheme="minorHAnsi" w:eastAsiaTheme="minorEastAsia" w:hAnsiTheme="minorHAnsi"/>
              <w:noProof/>
              <w:sz w:val="22"/>
              <w:lang w:eastAsia="en-GB"/>
            </w:rPr>
          </w:pPr>
          <w:hyperlink w:anchor="_Toc121922176" w:history="1">
            <w:r w:rsidRPr="002C5DBC">
              <w:rPr>
                <w:rStyle w:val="Hyperlink"/>
                <w:noProof/>
              </w:rPr>
              <w:t>UK’s withdrawal from the EU</w:t>
            </w:r>
            <w:r>
              <w:rPr>
                <w:noProof/>
                <w:webHidden/>
              </w:rPr>
              <w:tab/>
            </w:r>
            <w:r>
              <w:rPr>
                <w:noProof/>
                <w:webHidden/>
              </w:rPr>
              <w:fldChar w:fldCharType="begin"/>
            </w:r>
            <w:r>
              <w:rPr>
                <w:noProof/>
                <w:webHidden/>
              </w:rPr>
              <w:instrText xml:space="preserve"> PAGEREF _Toc121922176 \h </w:instrText>
            </w:r>
            <w:r>
              <w:rPr>
                <w:noProof/>
                <w:webHidden/>
              </w:rPr>
            </w:r>
            <w:r>
              <w:rPr>
                <w:noProof/>
                <w:webHidden/>
              </w:rPr>
              <w:fldChar w:fldCharType="separate"/>
            </w:r>
            <w:r>
              <w:rPr>
                <w:noProof/>
                <w:webHidden/>
              </w:rPr>
              <w:t>10</w:t>
            </w:r>
            <w:r>
              <w:rPr>
                <w:noProof/>
                <w:webHidden/>
              </w:rPr>
              <w:fldChar w:fldCharType="end"/>
            </w:r>
          </w:hyperlink>
        </w:p>
        <w:p w14:paraId="3288B0AB" w14:textId="23A9AFAA" w:rsidR="004F03EF" w:rsidRDefault="004F03EF">
          <w:pPr>
            <w:pStyle w:val="TOC2"/>
            <w:tabs>
              <w:tab w:val="right" w:leader="dot" w:pos="9016"/>
            </w:tabs>
            <w:rPr>
              <w:rFonts w:asciiTheme="minorHAnsi" w:eastAsiaTheme="minorEastAsia" w:hAnsiTheme="minorHAnsi"/>
              <w:noProof/>
              <w:sz w:val="22"/>
              <w:lang w:eastAsia="en-GB"/>
            </w:rPr>
          </w:pPr>
          <w:hyperlink w:anchor="_Toc121922177" w:history="1">
            <w:r w:rsidRPr="002C5DBC">
              <w:rPr>
                <w:rStyle w:val="Hyperlink"/>
                <w:noProof/>
              </w:rPr>
              <w:t>Human Rights Act Reform</w:t>
            </w:r>
            <w:r>
              <w:rPr>
                <w:noProof/>
                <w:webHidden/>
              </w:rPr>
              <w:tab/>
            </w:r>
            <w:r>
              <w:rPr>
                <w:noProof/>
                <w:webHidden/>
              </w:rPr>
              <w:fldChar w:fldCharType="begin"/>
            </w:r>
            <w:r>
              <w:rPr>
                <w:noProof/>
                <w:webHidden/>
              </w:rPr>
              <w:instrText xml:space="preserve"> PAGEREF _Toc121922177 \h </w:instrText>
            </w:r>
            <w:r>
              <w:rPr>
                <w:noProof/>
                <w:webHidden/>
              </w:rPr>
            </w:r>
            <w:r>
              <w:rPr>
                <w:noProof/>
                <w:webHidden/>
              </w:rPr>
              <w:fldChar w:fldCharType="separate"/>
            </w:r>
            <w:r>
              <w:rPr>
                <w:noProof/>
                <w:webHidden/>
              </w:rPr>
              <w:t>13</w:t>
            </w:r>
            <w:r>
              <w:rPr>
                <w:noProof/>
                <w:webHidden/>
              </w:rPr>
              <w:fldChar w:fldCharType="end"/>
            </w:r>
          </w:hyperlink>
        </w:p>
        <w:p w14:paraId="40EE4D43" w14:textId="09E62527" w:rsidR="004F03EF" w:rsidRDefault="004F03EF">
          <w:pPr>
            <w:pStyle w:val="TOC2"/>
            <w:tabs>
              <w:tab w:val="right" w:leader="dot" w:pos="9016"/>
            </w:tabs>
            <w:rPr>
              <w:rFonts w:asciiTheme="minorHAnsi" w:eastAsiaTheme="minorEastAsia" w:hAnsiTheme="minorHAnsi"/>
              <w:noProof/>
              <w:sz w:val="22"/>
              <w:lang w:eastAsia="en-GB"/>
            </w:rPr>
          </w:pPr>
          <w:hyperlink w:anchor="_Toc121922178" w:history="1">
            <w:r w:rsidRPr="002C5DBC">
              <w:rPr>
                <w:rStyle w:val="Hyperlink"/>
                <w:noProof/>
              </w:rPr>
              <w:t>Children and Young People’s Strategy</w:t>
            </w:r>
            <w:r>
              <w:rPr>
                <w:noProof/>
                <w:webHidden/>
              </w:rPr>
              <w:tab/>
            </w:r>
            <w:r>
              <w:rPr>
                <w:noProof/>
                <w:webHidden/>
              </w:rPr>
              <w:fldChar w:fldCharType="begin"/>
            </w:r>
            <w:r>
              <w:rPr>
                <w:noProof/>
                <w:webHidden/>
              </w:rPr>
              <w:instrText xml:space="preserve"> PAGEREF _Toc121922178 \h </w:instrText>
            </w:r>
            <w:r>
              <w:rPr>
                <w:noProof/>
                <w:webHidden/>
              </w:rPr>
            </w:r>
            <w:r>
              <w:rPr>
                <w:noProof/>
                <w:webHidden/>
              </w:rPr>
              <w:fldChar w:fldCharType="separate"/>
            </w:r>
            <w:r>
              <w:rPr>
                <w:noProof/>
                <w:webHidden/>
              </w:rPr>
              <w:t>14</w:t>
            </w:r>
            <w:r>
              <w:rPr>
                <w:noProof/>
                <w:webHidden/>
              </w:rPr>
              <w:fldChar w:fldCharType="end"/>
            </w:r>
          </w:hyperlink>
        </w:p>
        <w:p w14:paraId="1116E593" w14:textId="2AB76FCF" w:rsidR="004F03EF" w:rsidRDefault="004F03EF">
          <w:pPr>
            <w:pStyle w:val="TOC2"/>
            <w:tabs>
              <w:tab w:val="right" w:leader="dot" w:pos="9016"/>
            </w:tabs>
            <w:rPr>
              <w:rFonts w:asciiTheme="minorHAnsi" w:eastAsiaTheme="minorEastAsia" w:hAnsiTheme="minorHAnsi"/>
              <w:noProof/>
              <w:sz w:val="22"/>
              <w:lang w:eastAsia="en-GB"/>
            </w:rPr>
          </w:pPr>
          <w:hyperlink w:anchor="_Toc121922179" w:history="1">
            <w:r w:rsidRPr="002C5DBC">
              <w:rPr>
                <w:rStyle w:val="Hyperlink"/>
                <w:noProof/>
              </w:rPr>
              <w:t>NI Commissioner for Children and Young People</w:t>
            </w:r>
            <w:r>
              <w:rPr>
                <w:noProof/>
                <w:webHidden/>
              </w:rPr>
              <w:tab/>
            </w:r>
            <w:r>
              <w:rPr>
                <w:noProof/>
                <w:webHidden/>
              </w:rPr>
              <w:fldChar w:fldCharType="begin"/>
            </w:r>
            <w:r>
              <w:rPr>
                <w:noProof/>
                <w:webHidden/>
              </w:rPr>
              <w:instrText xml:space="preserve"> PAGEREF _Toc121922179 \h </w:instrText>
            </w:r>
            <w:r>
              <w:rPr>
                <w:noProof/>
                <w:webHidden/>
              </w:rPr>
            </w:r>
            <w:r>
              <w:rPr>
                <w:noProof/>
                <w:webHidden/>
              </w:rPr>
              <w:fldChar w:fldCharType="separate"/>
            </w:r>
            <w:r>
              <w:rPr>
                <w:noProof/>
                <w:webHidden/>
              </w:rPr>
              <w:t>15</w:t>
            </w:r>
            <w:r>
              <w:rPr>
                <w:noProof/>
                <w:webHidden/>
              </w:rPr>
              <w:fldChar w:fldCharType="end"/>
            </w:r>
          </w:hyperlink>
        </w:p>
        <w:p w14:paraId="3671F0E6" w14:textId="6914D95D" w:rsidR="004F03EF" w:rsidRDefault="004F03EF">
          <w:pPr>
            <w:pStyle w:val="TOC1"/>
            <w:rPr>
              <w:rFonts w:asciiTheme="minorHAnsi" w:eastAsiaTheme="minorEastAsia" w:hAnsiTheme="minorHAnsi"/>
              <w:noProof/>
              <w:sz w:val="22"/>
              <w:lang w:eastAsia="en-GB"/>
            </w:rPr>
          </w:pPr>
          <w:hyperlink w:anchor="_Toc121922180" w:history="1">
            <w:r w:rsidRPr="002C5DBC">
              <w:rPr>
                <w:rStyle w:val="Hyperlink"/>
                <w:noProof/>
              </w:rPr>
              <w:t>5.0</w:t>
            </w:r>
            <w:r>
              <w:rPr>
                <w:rFonts w:asciiTheme="minorHAnsi" w:eastAsiaTheme="minorEastAsia" w:hAnsiTheme="minorHAnsi"/>
                <w:noProof/>
                <w:sz w:val="22"/>
                <w:lang w:eastAsia="en-GB"/>
              </w:rPr>
              <w:tab/>
            </w:r>
            <w:r w:rsidRPr="002C5DBC">
              <w:rPr>
                <w:rStyle w:val="Hyperlink"/>
                <w:noProof/>
              </w:rPr>
              <w:t>Article 6 – Right to Life</w:t>
            </w:r>
            <w:r>
              <w:rPr>
                <w:noProof/>
                <w:webHidden/>
              </w:rPr>
              <w:tab/>
            </w:r>
            <w:r>
              <w:rPr>
                <w:noProof/>
                <w:webHidden/>
              </w:rPr>
              <w:fldChar w:fldCharType="begin"/>
            </w:r>
            <w:r>
              <w:rPr>
                <w:noProof/>
                <w:webHidden/>
              </w:rPr>
              <w:instrText xml:space="preserve"> PAGEREF _Toc121922180 \h </w:instrText>
            </w:r>
            <w:r>
              <w:rPr>
                <w:noProof/>
                <w:webHidden/>
              </w:rPr>
            </w:r>
            <w:r>
              <w:rPr>
                <w:noProof/>
                <w:webHidden/>
              </w:rPr>
              <w:fldChar w:fldCharType="separate"/>
            </w:r>
            <w:r>
              <w:rPr>
                <w:noProof/>
                <w:webHidden/>
              </w:rPr>
              <w:t>16</w:t>
            </w:r>
            <w:r>
              <w:rPr>
                <w:noProof/>
                <w:webHidden/>
              </w:rPr>
              <w:fldChar w:fldCharType="end"/>
            </w:r>
          </w:hyperlink>
        </w:p>
        <w:p w14:paraId="4C337FBF" w14:textId="4610FEF6" w:rsidR="004F03EF" w:rsidRDefault="004F03EF">
          <w:pPr>
            <w:pStyle w:val="TOC2"/>
            <w:tabs>
              <w:tab w:val="right" w:leader="dot" w:pos="9016"/>
            </w:tabs>
            <w:rPr>
              <w:rFonts w:asciiTheme="minorHAnsi" w:eastAsiaTheme="minorEastAsia" w:hAnsiTheme="minorHAnsi"/>
              <w:noProof/>
              <w:sz w:val="22"/>
              <w:lang w:eastAsia="en-GB"/>
            </w:rPr>
          </w:pPr>
          <w:hyperlink w:anchor="_Toc121922181" w:history="1">
            <w:r w:rsidRPr="002C5DBC">
              <w:rPr>
                <w:rStyle w:val="Hyperlink"/>
                <w:noProof/>
              </w:rPr>
              <w:t>Infant mortality</w:t>
            </w:r>
            <w:r>
              <w:rPr>
                <w:noProof/>
                <w:webHidden/>
              </w:rPr>
              <w:tab/>
            </w:r>
            <w:r>
              <w:rPr>
                <w:noProof/>
                <w:webHidden/>
              </w:rPr>
              <w:fldChar w:fldCharType="begin"/>
            </w:r>
            <w:r>
              <w:rPr>
                <w:noProof/>
                <w:webHidden/>
              </w:rPr>
              <w:instrText xml:space="preserve"> PAGEREF _Toc121922181 \h </w:instrText>
            </w:r>
            <w:r>
              <w:rPr>
                <w:noProof/>
                <w:webHidden/>
              </w:rPr>
            </w:r>
            <w:r>
              <w:rPr>
                <w:noProof/>
                <w:webHidden/>
              </w:rPr>
              <w:fldChar w:fldCharType="separate"/>
            </w:r>
            <w:r>
              <w:rPr>
                <w:noProof/>
                <w:webHidden/>
              </w:rPr>
              <w:t>16</w:t>
            </w:r>
            <w:r>
              <w:rPr>
                <w:noProof/>
                <w:webHidden/>
              </w:rPr>
              <w:fldChar w:fldCharType="end"/>
            </w:r>
          </w:hyperlink>
        </w:p>
        <w:p w14:paraId="6EB89435" w14:textId="58EB0108" w:rsidR="004F03EF" w:rsidRDefault="004F03EF">
          <w:pPr>
            <w:pStyle w:val="TOC1"/>
            <w:rPr>
              <w:rFonts w:asciiTheme="minorHAnsi" w:eastAsiaTheme="minorEastAsia" w:hAnsiTheme="minorHAnsi"/>
              <w:noProof/>
              <w:sz w:val="22"/>
              <w:lang w:eastAsia="en-GB"/>
            </w:rPr>
          </w:pPr>
          <w:hyperlink w:anchor="_Toc121922182" w:history="1">
            <w:r w:rsidRPr="002C5DBC">
              <w:rPr>
                <w:rStyle w:val="Hyperlink"/>
                <w:noProof/>
              </w:rPr>
              <w:t>6.0</w:t>
            </w:r>
            <w:r>
              <w:rPr>
                <w:rFonts w:asciiTheme="minorHAnsi" w:eastAsiaTheme="minorEastAsia" w:hAnsiTheme="minorHAnsi"/>
                <w:noProof/>
                <w:sz w:val="22"/>
                <w:lang w:eastAsia="en-GB"/>
              </w:rPr>
              <w:tab/>
            </w:r>
            <w:r w:rsidRPr="002C5DBC">
              <w:rPr>
                <w:rStyle w:val="Hyperlink"/>
                <w:noProof/>
              </w:rPr>
              <w:t>Articles 7 and 8 – Nationality</w:t>
            </w:r>
            <w:r>
              <w:rPr>
                <w:noProof/>
                <w:webHidden/>
              </w:rPr>
              <w:tab/>
            </w:r>
            <w:r>
              <w:rPr>
                <w:noProof/>
                <w:webHidden/>
              </w:rPr>
              <w:fldChar w:fldCharType="begin"/>
            </w:r>
            <w:r>
              <w:rPr>
                <w:noProof/>
                <w:webHidden/>
              </w:rPr>
              <w:instrText xml:space="preserve"> PAGEREF _Toc121922182 \h </w:instrText>
            </w:r>
            <w:r>
              <w:rPr>
                <w:noProof/>
                <w:webHidden/>
              </w:rPr>
            </w:r>
            <w:r>
              <w:rPr>
                <w:noProof/>
                <w:webHidden/>
              </w:rPr>
              <w:fldChar w:fldCharType="separate"/>
            </w:r>
            <w:r>
              <w:rPr>
                <w:noProof/>
                <w:webHidden/>
              </w:rPr>
              <w:t>17</w:t>
            </w:r>
            <w:r>
              <w:rPr>
                <w:noProof/>
                <w:webHidden/>
              </w:rPr>
              <w:fldChar w:fldCharType="end"/>
            </w:r>
          </w:hyperlink>
        </w:p>
        <w:p w14:paraId="3A1A9C95" w14:textId="310A0836" w:rsidR="004F03EF" w:rsidRDefault="004F03EF">
          <w:pPr>
            <w:pStyle w:val="TOC2"/>
            <w:tabs>
              <w:tab w:val="right" w:leader="dot" w:pos="9016"/>
            </w:tabs>
            <w:rPr>
              <w:rFonts w:asciiTheme="minorHAnsi" w:eastAsiaTheme="minorEastAsia" w:hAnsiTheme="minorHAnsi"/>
              <w:noProof/>
              <w:sz w:val="22"/>
              <w:lang w:eastAsia="en-GB"/>
            </w:rPr>
          </w:pPr>
          <w:hyperlink w:anchor="_Toc121922183" w:history="1">
            <w:r w:rsidRPr="002C5DBC">
              <w:rPr>
                <w:rStyle w:val="Hyperlink"/>
                <w:noProof/>
              </w:rPr>
              <w:t>Birth right</w:t>
            </w:r>
            <w:r>
              <w:rPr>
                <w:noProof/>
                <w:webHidden/>
              </w:rPr>
              <w:tab/>
            </w:r>
            <w:r>
              <w:rPr>
                <w:noProof/>
                <w:webHidden/>
              </w:rPr>
              <w:fldChar w:fldCharType="begin"/>
            </w:r>
            <w:r>
              <w:rPr>
                <w:noProof/>
                <w:webHidden/>
              </w:rPr>
              <w:instrText xml:space="preserve"> PAGEREF _Toc121922183 \h </w:instrText>
            </w:r>
            <w:r>
              <w:rPr>
                <w:noProof/>
                <w:webHidden/>
              </w:rPr>
            </w:r>
            <w:r>
              <w:rPr>
                <w:noProof/>
                <w:webHidden/>
              </w:rPr>
              <w:fldChar w:fldCharType="separate"/>
            </w:r>
            <w:r>
              <w:rPr>
                <w:noProof/>
                <w:webHidden/>
              </w:rPr>
              <w:t>17</w:t>
            </w:r>
            <w:r>
              <w:rPr>
                <w:noProof/>
                <w:webHidden/>
              </w:rPr>
              <w:fldChar w:fldCharType="end"/>
            </w:r>
          </w:hyperlink>
        </w:p>
        <w:p w14:paraId="29F5C630" w14:textId="35268309" w:rsidR="004F03EF" w:rsidRDefault="004F03EF">
          <w:pPr>
            <w:pStyle w:val="TOC1"/>
            <w:rPr>
              <w:rFonts w:asciiTheme="minorHAnsi" w:eastAsiaTheme="minorEastAsia" w:hAnsiTheme="minorHAnsi"/>
              <w:noProof/>
              <w:sz w:val="22"/>
              <w:lang w:eastAsia="en-GB"/>
            </w:rPr>
          </w:pPr>
          <w:hyperlink w:anchor="_Toc121922184" w:history="1">
            <w:r w:rsidRPr="002C5DBC">
              <w:rPr>
                <w:rStyle w:val="Hyperlink"/>
                <w:noProof/>
              </w:rPr>
              <w:t>7.0</w:t>
            </w:r>
            <w:r>
              <w:rPr>
                <w:rFonts w:asciiTheme="minorHAnsi" w:eastAsiaTheme="minorEastAsia" w:hAnsiTheme="minorHAnsi"/>
                <w:noProof/>
                <w:sz w:val="22"/>
                <w:lang w:eastAsia="en-GB"/>
              </w:rPr>
              <w:tab/>
            </w:r>
            <w:r w:rsidRPr="002C5DBC">
              <w:rPr>
                <w:rStyle w:val="Hyperlink"/>
                <w:noProof/>
              </w:rPr>
              <w:t>Article 12 – Right to Express Views</w:t>
            </w:r>
            <w:r>
              <w:rPr>
                <w:noProof/>
                <w:webHidden/>
              </w:rPr>
              <w:tab/>
            </w:r>
            <w:r>
              <w:rPr>
                <w:noProof/>
                <w:webHidden/>
              </w:rPr>
              <w:fldChar w:fldCharType="begin"/>
            </w:r>
            <w:r>
              <w:rPr>
                <w:noProof/>
                <w:webHidden/>
              </w:rPr>
              <w:instrText xml:space="preserve"> PAGEREF _Toc121922184 \h </w:instrText>
            </w:r>
            <w:r>
              <w:rPr>
                <w:noProof/>
                <w:webHidden/>
              </w:rPr>
            </w:r>
            <w:r>
              <w:rPr>
                <w:noProof/>
                <w:webHidden/>
              </w:rPr>
              <w:fldChar w:fldCharType="separate"/>
            </w:r>
            <w:r>
              <w:rPr>
                <w:noProof/>
                <w:webHidden/>
              </w:rPr>
              <w:t>18</w:t>
            </w:r>
            <w:r>
              <w:rPr>
                <w:noProof/>
                <w:webHidden/>
              </w:rPr>
              <w:fldChar w:fldCharType="end"/>
            </w:r>
          </w:hyperlink>
        </w:p>
        <w:p w14:paraId="54C0F2E8" w14:textId="3BC2C52F" w:rsidR="004F03EF" w:rsidRDefault="004F03EF">
          <w:pPr>
            <w:pStyle w:val="TOC2"/>
            <w:tabs>
              <w:tab w:val="right" w:leader="dot" w:pos="9016"/>
            </w:tabs>
            <w:rPr>
              <w:rFonts w:asciiTheme="minorHAnsi" w:eastAsiaTheme="minorEastAsia" w:hAnsiTheme="minorHAnsi"/>
              <w:noProof/>
              <w:sz w:val="22"/>
              <w:lang w:eastAsia="en-GB"/>
            </w:rPr>
          </w:pPr>
          <w:hyperlink w:anchor="_Toc121922185" w:history="1">
            <w:r w:rsidRPr="002C5DBC">
              <w:rPr>
                <w:rStyle w:val="Hyperlink"/>
                <w:noProof/>
              </w:rPr>
              <w:t>Participation of children</w:t>
            </w:r>
            <w:r>
              <w:rPr>
                <w:noProof/>
                <w:webHidden/>
              </w:rPr>
              <w:tab/>
            </w:r>
            <w:r>
              <w:rPr>
                <w:noProof/>
                <w:webHidden/>
              </w:rPr>
              <w:fldChar w:fldCharType="begin"/>
            </w:r>
            <w:r>
              <w:rPr>
                <w:noProof/>
                <w:webHidden/>
              </w:rPr>
              <w:instrText xml:space="preserve"> PAGEREF _Toc121922185 \h </w:instrText>
            </w:r>
            <w:r>
              <w:rPr>
                <w:noProof/>
                <w:webHidden/>
              </w:rPr>
            </w:r>
            <w:r>
              <w:rPr>
                <w:noProof/>
                <w:webHidden/>
              </w:rPr>
              <w:fldChar w:fldCharType="separate"/>
            </w:r>
            <w:r>
              <w:rPr>
                <w:noProof/>
                <w:webHidden/>
              </w:rPr>
              <w:t>18</w:t>
            </w:r>
            <w:r>
              <w:rPr>
                <w:noProof/>
                <w:webHidden/>
              </w:rPr>
              <w:fldChar w:fldCharType="end"/>
            </w:r>
          </w:hyperlink>
        </w:p>
        <w:p w14:paraId="09339576" w14:textId="124A6F75" w:rsidR="004F03EF" w:rsidRDefault="004F03EF">
          <w:pPr>
            <w:pStyle w:val="TOC1"/>
            <w:rPr>
              <w:rFonts w:asciiTheme="minorHAnsi" w:eastAsiaTheme="minorEastAsia" w:hAnsiTheme="minorHAnsi"/>
              <w:noProof/>
              <w:sz w:val="22"/>
              <w:lang w:eastAsia="en-GB"/>
            </w:rPr>
          </w:pPr>
          <w:hyperlink w:anchor="_Toc121922186" w:history="1">
            <w:r w:rsidRPr="002C5DBC">
              <w:rPr>
                <w:rStyle w:val="Hyperlink"/>
                <w:noProof/>
              </w:rPr>
              <w:t>8.0</w:t>
            </w:r>
            <w:r>
              <w:rPr>
                <w:rFonts w:asciiTheme="minorHAnsi" w:eastAsiaTheme="minorEastAsia" w:hAnsiTheme="minorHAnsi"/>
                <w:noProof/>
                <w:sz w:val="22"/>
                <w:lang w:eastAsia="en-GB"/>
              </w:rPr>
              <w:tab/>
            </w:r>
            <w:r w:rsidRPr="002C5DBC">
              <w:rPr>
                <w:rStyle w:val="Hyperlink"/>
                <w:noProof/>
              </w:rPr>
              <w:t>Article 16 – Right to Privacy</w:t>
            </w:r>
            <w:r>
              <w:rPr>
                <w:noProof/>
                <w:webHidden/>
              </w:rPr>
              <w:tab/>
            </w:r>
            <w:r>
              <w:rPr>
                <w:noProof/>
                <w:webHidden/>
              </w:rPr>
              <w:fldChar w:fldCharType="begin"/>
            </w:r>
            <w:r>
              <w:rPr>
                <w:noProof/>
                <w:webHidden/>
              </w:rPr>
              <w:instrText xml:space="preserve"> PAGEREF _Toc121922186 \h </w:instrText>
            </w:r>
            <w:r>
              <w:rPr>
                <w:noProof/>
                <w:webHidden/>
              </w:rPr>
            </w:r>
            <w:r>
              <w:rPr>
                <w:noProof/>
                <w:webHidden/>
              </w:rPr>
              <w:fldChar w:fldCharType="separate"/>
            </w:r>
            <w:r>
              <w:rPr>
                <w:noProof/>
                <w:webHidden/>
              </w:rPr>
              <w:t>19</w:t>
            </w:r>
            <w:r>
              <w:rPr>
                <w:noProof/>
                <w:webHidden/>
              </w:rPr>
              <w:fldChar w:fldCharType="end"/>
            </w:r>
          </w:hyperlink>
        </w:p>
        <w:p w14:paraId="1AF987EB" w14:textId="274716E5" w:rsidR="004F03EF" w:rsidRDefault="004F03EF">
          <w:pPr>
            <w:pStyle w:val="TOC2"/>
            <w:tabs>
              <w:tab w:val="right" w:leader="dot" w:pos="9016"/>
            </w:tabs>
            <w:rPr>
              <w:rFonts w:asciiTheme="minorHAnsi" w:eastAsiaTheme="minorEastAsia" w:hAnsiTheme="minorHAnsi"/>
              <w:noProof/>
              <w:sz w:val="22"/>
              <w:lang w:eastAsia="en-GB"/>
            </w:rPr>
          </w:pPr>
          <w:hyperlink w:anchor="_Toc121922187" w:history="1">
            <w:r w:rsidRPr="002C5DBC">
              <w:rPr>
                <w:rStyle w:val="Hyperlink"/>
                <w:noProof/>
              </w:rPr>
              <w:t>Stop and search</w:t>
            </w:r>
            <w:r>
              <w:rPr>
                <w:noProof/>
                <w:webHidden/>
              </w:rPr>
              <w:tab/>
            </w:r>
            <w:r>
              <w:rPr>
                <w:noProof/>
                <w:webHidden/>
              </w:rPr>
              <w:fldChar w:fldCharType="begin"/>
            </w:r>
            <w:r>
              <w:rPr>
                <w:noProof/>
                <w:webHidden/>
              </w:rPr>
              <w:instrText xml:space="preserve"> PAGEREF _Toc121922187 \h </w:instrText>
            </w:r>
            <w:r>
              <w:rPr>
                <w:noProof/>
                <w:webHidden/>
              </w:rPr>
            </w:r>
            <w:r>
              <w:rPr>
                <w:noProof/>
                <w:webHidden/>
              </w:rPr>
              <w:fldChar w:fldCharType="separate"/>
            </w:r>
            <w:r>
              <w:rPr>
                <w:noProof/>
                <w:webHidden/>
              </w:rPr>
              <w:t>19</w:t>
            </w:r>
            <w:r>
              <w:rPr>
                <w:noProof/>
                <w:webHidden/>
              </w:rPr>
              <w:fldChar w:fldCharType="end"/>
            </w:r>
          </w:hyperlink>
        </w:p>
        <w:p w14:paraId="71DFF0C0" w14:textId="46EF77DA" w:rsidR="004F03EF" w:rsidRDefault="004F03EF">
          <w:pPr>
            <w:pStyle w:val="TOC2"/>
            <w:tabs>
              <w:tab w:val="right" w:leader="dot" w:pos="9016"/>
            </w:tabs>
            <w:rPr>
              <w:rFonts w:asciiTheme="minorHAnsi" w:eastAsiaTheme="minorEastAsia" w:hAnsiTheme="minorHAnsi"/>
              <w:noProof/>
              <w:sz w:val="22"/>
              <w:lang w:eastAsia="en-GB"/>
            </w:rPr>
          </w:pPr>
          <w:hyperlink w:anchor="_Toc121922188" w:history="1">
            <w:r w:rsidRPr="002C5DBC">
              <w:rPr>
                <w:rStyle w:val="Hyperlink"/>
                <w:noProof/>
              </w:rPr>
              <w:t>Anonymity</w:t>
            </w:r>
            <w:r>
              <w:rPr>
                <w:noProof/>
                <w:webHidden/>
              </w:rPr>
              <w:tab/>
            </w:r>
            <w:r>
              <w:rPr>
                <w:noProof/>
                <w:webHidden/>
              </w:rPr>
              <w:fldChar w:fldCharType="begin"/>
            </w:r>
            <w:r>
              <w:rPr>
                <w:noProof/>
                <w:webHidden/>
              </w:rPr>
              <w:instrText xml:space="preserve"> PAGEREF _Toc121922188 \h </w:instrText>
            </w:r>
            <w:r>
              <w:rPr>
                <w:noProof/>
                <w:webHidden/>
              </w:rPr>
            </w:r>
            <w:r>
              <w:rPr>
                <w:noProof/>
                <w:webHidden/>
              </w:rPr>
              <w:fldChar w:fldCharType="separate"/>
            </w:r>
            <w:r>
              <w:rPr>
                <w:noProof/>
                <w:webHidden/>
              </w:rPr>
              <w:t>20</w:t>
            </w:r>
            <w:r>
              <w:rPr>
                <w:noProof/>
                <w:webHidden/>
              </w:rPr>
              <w:fldChar w:fldCharType="end"/>
            </w:r>
          </w:hyperlink>
        </w:p>
        <w:p w14:paraId="3723E04D" w14:textId="16B393EC" w:rsidR="004F03EF" w:rsidRDefault="004F03EF">
          <w:pPr>
            <w:pStyle w:val="TOC1"/>
            <w:rPr>
              <w:rFonts w:asciiTheme="minorHAnsi" w:eastAsiaTheme="minorEastAsia" w:hAnsiTheme="minorHAnsi"/>
              <w:noProof/>
              <w:sz w:val="22"/>
              <w:lang w:eastAsia="en-GB"/>
            </w:rPr>
          </w:pPr>
          <w:hyperlink w:anchor="_Toc121922189" w:history="1">
            <w:r w:rsidRPr="002C5DBC">
              <w:rPr>
                <w:rStyle w:val="Hyperlink"/>
                <w:noProof/>
              </w:rPr>
              <w:t>9.0</w:t>
            </w:r>
            <w:r>
              <w:rPr>
                <w:rFonts w:asciiTheme="minorHAnsi" w:eastAsiaTheme="minorEastAsia" w:hAnsiTheme="minorHAnsi"/>
                <w:noProof/>
                <w:sz w:val="22"/>
                <w:lang w:eastAsia="en-GB"/>
              </w:rPr>
              <w:tab/>
            </w:r>
            <w:r w:rsidRPr="002C5DBC">
              <w:rPr>
                <w:rStyle w:val="Hyperlink"/>
                <w:noProof/>
              </w:rPr>
              <w:t>Article 18 – Childcare Services</w:t>
            </w:r>
            <w:r>
              <w:rPr>
                <w:noProof/>
                <w:webHidden/>
              </w:rPr>
              <w:tab/>
            </w:r>
            <w:r>
              <w:rPr>
                <w:noProof/>
                <w:webHidden/>
              </w:rPr>
              <w:fldChar w:fldCharType="begin"/>
            </w:r>
            <w:r>
              <w:rPr>
                <w:noProof/>
                <w:webHidden/>
              </w:rPr>
              <w:instrText xml:space="preserve"> PAGEREF _Toc121922189 \h </w:instrText>
            </w:r>
            <w:r>
              <w:rPr>
                <w:noProof/>
                <w:webHidden/>
              </w:rPr>
            </w:r>
            <w:r>
              <w:rPr>
                <w:noProof/>
                <w:webHidden/>
              </w:rPr>
              <w:fldChar w:fldCharType="separate"/>
            </w:r>
            <w:r>
              <w:rPr>
                <w:noProof/>
                <w:webHidden/>
              </w:rPr>
              <w:t>21</w:t>
            </w:r>
            <w:r>
              <w:rPr>
                <w:noProof/>
                <w:webHidden/>
              </w:rPr>
              <w:fldChar w:fldCharType="end"/>
            </w:r>
          </w:hyperlink>
        </w:p>
        <w:p w14:paraId="7660A8D6" w14:textId="7DCB580D" w:rsidR="004F03EF" w:rsidRDefault="004F03EF">
          <w:pPr>
            <w:pStyle w:val="TOC2"/>
            <w:tabs>
              <w:tab w:val="right" w:leader="dot" w:pos="9016"/>
            </w:tabs>
            <w:rPr>
              <w:rFonts w:asciiTheme="minorHAnsi" w:eastAsiaTheme="minorEastAsia" w:hAnsiTheme="minorHAnsi"/>
              <w:noProof/>
              <w:sz w:val="22"/>
              <w:lang w:eastAsia="en-GB"/>
            </w:rPr>
          </w:pPr>
          <w:hyperlink w:anchor="_Toc121922190" w:history="1">
            <w:r w:rsidRPr="002C5DBC">
              <w:rPr>
                <w:rStyle w:val="Hyperlink"/>
                <w:noProof/>
              </w:rPr>
              <w:t>Childcare provision</w:t>
            </w:r>
            <w:r>
              <w:rPr>
                <w:noProof/>
                <w:webHidden/>
              </w:rPr>
              <w:tab/>
            </w:r>
            <w:r>
              <w:rPr>
                <w:noProof/>
                <w:webHidden/>
              </w:rPr>
              <w:fldChar w:fldCharType="begin"/>
            </w:r>
            <w:r>
              <w:rPr>
                <w:noProof/>
                <w:webHidden/>
              </w:rPr>
              <w:instrText xml:space="preserve"> PAGEREF _Toc121922190 \h </w:instrText>
            </w:r>
            <w:r>
              <w:rPr>
                <w:noProof/>
                <w:webHidden/>
              </w:rPr>
            </w:r>
            <w:r>
              <w:rPr>
                <w:noProof/>
                <w:webHidden/>
              </w:rPr>
              <w:fldChar w:fldCharType="separate"/>
            </w:r>
            <w:r>
              <w:rPr>
                <w:noProof/>
                <w:webHidden/>
              </w:rPr>
              <w:t>21</w:t>
            </w:r>
            <w:r>
              <w:rPr>
                <w:noProof/>
                <w:webHidden/>
              </w:rPr>
              <w:fldChar w:fldCharType="end"/>
            </w:r>
          </w:hyperlink>
        </w:p>
        <w:p w14:paraId="753A02CA" w14:textId="33C4FE6D" w:rsidR="004F03EF" w:rsidRDefault="004F03EF">
          <w:pPr>
            <w:pStyle w:val="TOC2"/>
            <w:tabs>
              <w:tab w:val="right" w:leader="dot" w:pos="9016"/>
            </w:tabs>
            <w:rPr>
              <w:rFonts w:asciiTheme="minorHAnsi" w:eastAsiaTheme="minorEastAsia" w:hAnsiTheme="minorHAnsi"/>
              <w:noProof/>
              <w:sz w:val="22"/>
              <w:lang w:eastAsia="en-GB"/>
            </w:rPr>
          </w:pPr>
          <w:hyperlink w:anchor="_Toc121922191" w:history="1">
            <w:r w:rsidRPr="002C5DBC">
              <w:rPr>
                <w:rStyle w:val="Hyperlink"/>
                <w:rFonts w:eastAsia="Verdana"/>
                <w:noProof/>
              </w:rPr>
              <w:t>Childcare strategy</w:t>
            </w:r>
            <w:r>
              <w:rPr>
                <w:noProof/>
                <w:webHidden/>
              </w:rPr>
              <w:tab/>
            </w:r>
            <w:r>
              <w:rPr>
                <w:noProof/>
                <w:webHidden/>
              </w:rPr>
              <w:fldChar w:fldCharType="begin"/>
            </w:r>
            <w:r>
              <w:rPr>
                <w:noProof/>
                <w:webHidden/>
              </w:rPr>
              <w:instrText xml:space="preserve"> PAGEREF _Toc121922191 \h </w:instrText>
            </w:r>
            <w:r>
              <w:rPr>
                <w:noProof/>
                <w:webHidden/>
              </w:rPr>
            </w:r>
            <w:r>
              <w:rPr>
                <w:noProof/>
                <w:webHidden/>
              </w:rPr>
              <w:fldChar w:fldCharType="separate"/>
            </w:r>
            <w:r>
              <w:rPr>
                <w:noProof/>
                <w:webHidden/>
              </w:rPr>
              <w:t>22</w:t>
            </w:r>
            <w:r>
              <w:rPr>
                <w:noProof/>
                <w:webHidden/>
              </w:rPr>
              <w:fldChar w:fldCharType="end"/>
            </w:r>
          </w:hyperlink>
        </w:p>
        <w:p w14:paraId="4D89F2B2" w14:textId="14458E8A" w:rsidR="004F03EF" w:rsidRDefault="004F03EF">
          <w:pPr>
            <w:pStyle w:val="TOC1"/>
            <w:rPr>
              <w:rFonts w:asciiTheme="minorHAnsi" w:eastAsiaTheme="minorEastAsia" w:hAnsiTheme="minorHAnsi"/>
              <w:noProof/>
              <w:sz w:val="22"/>
              <w:lang w:eastAsia="en-GB"/>
            </w:rPr>
          </w:pPr>
          <w:hyperlink w:anchor="_Toc121922192" w:history="1">
            <w:r w:rsidRPr="002C5DBC">
              <w:rPr>
                <w:rStyle w:val="Hyperlink"/>
                <w:noProof/>
              </w:rPr>
              <w:t>10.0 Articles 19 and 37 – Torture, Abuse and Exploitation</w:t>
            </w:r>
            <w:r>
              <w:rPr>
                <w:noProof/>
                <w:webHidden/>
              </w:rPr>
              <w:tab/>
            </w:r>
            <w:r>
              <w:rPr>
                <w:noProof/>
                <w:webHidden/>
              </w:rPr>
              <w:fldChar w:fldCharType="begin"/>
            </w:r>
            <w:r>
              <w:rPr>
                <w:noProof/>
                <w:webHidden/>
              </w:rPr>
              <w:instrText xml:space="preserve"> PAGEREF _Toc121922192 \h </w:instrText>
            </w:r>
            <w:r>
              <w:rPr>
                <w:noProof/>
                <w:webHidden/>
              </w:rPr>
            </w:r>
            <w:r>
              <w:rPr>
                <w:noProof/>
                <w:webHidden/>
              </w:rPr>
              <w:fldChar w:fldCharType="separate"/>
            </w:r>
            <w:r>
              <w:rPr>
                <w:noProof/>
                <w:webHidden/>
              </w:rPr>
              <w:t>23</w:t>
            </w:r>
            <w:r>
              <w:rPr>
                <w:noProof/>
                <w:webHidden/>
              </w:rPr>
              <w:fldChar w:fldCharType="end"/>
            </w:r>
          </w:hyperlink>
        </w:p>
        <w:p w14:paraId="4030857C" w14:textId="78B208F1" w:rsidR="004F03EF" w:rsidRDefault="004F03EF">
          <w:pPr>
            <w:pStyle w:val="TOC2"/>
            <w:tabs>
              <w:tab w:val="right" w:leader="dot" w:pos="9016"/>
            </w:tabs>
            <w:rPr>
              <w:rFonts w:asciiTheme="minorHAnsi" w:eastAsiaTheme="minorEastAsia" w:hAnsiTheme="minorHAnsi"/>
              <w:noProof/>
              <w:sz w:val="22"/>
              <w:lang w:eastAsia="en-GB"/>
            </w:rPr>
          </w:pPr>
          <w:hyperlink w:anchor="_Toc121922193" w:history="1">
            <w:r w:rsidRPr="002C5DBC">
              <w:rPr>
                <w:rStyle w:val="Hyperlink"/>
                <w:noProof/>
              </w:rPr>
              <w:t>Spit and bite guards</w:t>
            </w:r>
            <w:r>
              <w:rPr>
                <w:noProof/>
                <w:webHidden/>
              </w:rPr>
              <w:tab/>
            </w:r>
            <w:r>
              <w:rPr>
                <w:noProof/>
                <w:webHidden/>
              </w:rPr>
              <w:fldChar w:fldCharType="begin"/>
            </w:r>
            <w:r>
              <w:rPr>
                <w:noProof/>
                <w:webHidden/>
              </w:rPr>
              <w:instrText xml:space="preserve"> PAGEREF _Toc121922193 \h </w:instrText>
            </w:r>
            <w:r>
              <w:rPr>
                <w:noProof/>
                <w:webHidden/>
              </w:rPr>
            </w:r>
            <w:r>
              <w:rPr>
                <w:noProof/>
                <w:webHidden/>
              </w:rPr>
              <w:fldChar w:fldCharType="separate"/>
            </w:r>
            <w:r>
              <w:rPr>
                <w:noProof/>
                <w:webHidden/>
              </w:rPr>
              <w:t>23</w:t>
            </w:r>
            <w:r>
              <w:rPr>
                <w:noProof/>
                <w:webHidden/>
              </w:rPr>
              <w:fldChar w:fldCharType="end"/>
            </w:r>
          </w:hyperlink>
        </w:p>
        <w:p w14:paraId="207DB253" w14:textId="6379018D" w:rsidR="004F03EF" w:rsidRDefault="004F03EF">
          <w:pPr>
            <w:pStyle w:val="TOC2"/>
            <w:tabs>
              <w:tab w:val="right" w:leader="dot" w:pos="9016"/>
            </w:tabs>
            <w:rPr>
              <w:rFonts w:asciiTheme="minorHAnsi" w:eastAsiaTheme="minorEastAsia" w:hAnsiTheme="minorHAnsi"/>
              <w:noProof/>
              <w:sz w:val="22"/>
              <w:lang w:eastAsia="en-GB"/>
            </w:rPr>
          </w:pPr>
          <w:hyperlink w:anchor="_Toc121922194" w:history="1">
            <w:r w:rsidRPr="002C5DBC">
              <w:rPr>
                <w:rStyle w:val="Hyperlink"/>
                <w:noProof/>
              </w:rPr>
              <w:t>Strip searches</w:t>
            </w:r>
            <w:r>
              <w:rPr>
                <w:noProof/>
                <w:webHidden/>
              </w:rPr>
              <w:tab/>
            </w:r>
            <w:r>
              <w:rPr>
                <w:noProof/>
                <w:webHidden/>
              </w:rPr>
              <w:fldChar w:fldCharType="begin"/>
            </w:r>
            <w:r>
              <w:rPr>
                <w:noProof/>
                <w:webHidden/>
              </w:rPr>
              <w:instrText xml:space="preserve"> PAGEREF _Toc121922194 \h </w:instrText>
            </w:r>
            <w:r>
              <w:rPr>
                <w:noProof/>
                <w:webHidden/>
              </w:rPr>
            </w:r>
            <w:r>
              <w:rPr>
                <w:noProof/>
                <w:webHidden/>
              </w:rPr>
              <w:fldChar w:fldCharType="separate"/>
            </w:r>
            <w:r>
              <w:rPr>
                <w:noProof/>
                <w:webHidden/>
              </w:rPr>
              <w:t>24</w:t>
            </w:r>
            <w:r>
              <w:rPr>
                <w:noProof/>
                <w:webHidden/>
              </w:rPr>
              <w:fldChar w:fldCharType="end"/>
            </w:r>
          </w:hyperlink>
        </w:p>
        <w:p w14:paraId="112EF08C" w14:textId="79186331" w:rsidR="004F03EF" w:rsidRDefault="004F03EF">
          <w:pPr>
            <w:pStyle w:val="TOC2"/>
            <w:tabs>
              <w:tab w:val="right" w:leader="dot" w:pos="9016"/>
            </w:tabs>
            <w:rPr>
              <w:rFonts w:asciiTheme="minorHAnsi" w:eastAsiaTheme="minorEastAsia" w:hAnsiTheme="minorHAnsi"/>
              <w:noProof/>
              <w:sz w:val="22"/>
              <w:lang w:eastAsia="en-GB"/>
            </w:rPr>
          </w:pPr>
          <w:hyperlink w:anchor="_Toc121922195" w:history="1">
            <w:r w:rsidRPr="002C5DBC">
              <w:rPr>
                <w:rStyle w:val="Hyperlink"/>
                <w:noProof/>
              </w:rPr>
              <w:t>Physical punishment of children</w:t>
            </w:r>
            <w:r>
              <w:rPr>
                <w:noProof/>
                <w:webHidden/>
              </w:rPr>
              <w:tab/>
            </w:r>
            <w:r>
              <w:rPr>
                <w:noProof/>
                <w:webHidden/>
              </w:rPr>
              <w:fldChar w:fldCharType="begin"/>
            </w:r>
            <w:r>
              <w:rPr>
                <w:noProof/>
                <w:webHidden/>
              </w:rPr>
              <w:instrText xml:space="preserve"> PAGEREF _Toc121922195 \h </w:instrText>
            </w:r>
            <w:r>
              <w:rPr>
                <w:noProof/>
                <w:webHidden/>
              </w:rPr>
            </w:r>
            <w:r>
              <w:rPr>
                <w:noProof/>
                <w:webHidden/>
              </w:rPr>
              <w:fldChar w:fldCharType="separate"/>
            </w:r>
            <w:r>
              <w:rPr>
                <w:noProof/>
                <w:webHidden/>
              </w:rPr>
              <w:t>25</w:t>
            </w:r>
            <w:r>
              <w:rPr>
                <w:noProof/>
                <w:webHidden/>
              </w:rPr>
              <w:fldChar w:fldCharType="end"/>
            </w:r>
          </w:hyperlink>
        </w:p>
        <w:p w14:paraId="50CEEEE5" w14:textId="2014FF5E" w:rsidR="004F03EF" w:rsidRDefault="004F03EF">
          <w:pPr>
            <w:pStyle w:val="TOC2"/>
            <w:tabs>
              <w:tab w:val="right" w:leader="dot" w:pos="9016"/>
            </w:tabs>
            <w:rPr>
              <w:rFonts w:asciiTheme="minorHAnsi" w:eastAsiaTheme="minorEastAsia" w:hAnsiTheme="minorHAnsi"/>
              <w:noProof/>
              <w:sz w:val="22"/>
              <w:lang w:eastAsia="en-GB"/>
            </w:rPr>
          </w:pPr>
          <w:hyperlink w:anchor="_Toc121922196" w:history="1">
            <w:r w:rsidRPr="002C5DBC">
              <w:rPr>
                <w:rStyle w:val="Hyperlink"/>
                <w:noProof/>
              </w:rPr>
              <w:t>Domestic abuse</w:t>
            </w:r>
            <w:r>
              <w:rPr>
                <w:noProof/>
                <w:webHidden/>
              </w:rPr>
              <w:tab/>
            </w:r>
            <w:r>
              <w:rPr>
                <w:noProof/>
                <w:webHidden/>
              </w:rPr>
              <w:fldChar w:fldCharType="begin"/>
            </w:r>
            <w:r>
              <w:rPr>
                <w:noProof/>
                <w:webHidden/>
              </w:rPr>
              <w:instrText xml:space="preserve"> PAGEREF _Toc121922196 \h </w:instrText>
            </w:r>
            <w:r>
              <w:rPr>
                <w:noProof/>
                <w:webHidden/>
              </w:rPr>
            </w:r>
            <w:r>
              <w:rPr>
                <w:noProof/>
                <w:webHidden/>
              </w:rPr>
              <w:fldChar w:fldCharType="separate"/>
            </w:r>
            <w:r>
              <w:rPr>
                <w:noProof/>
                <w:webHidden/>
              </w:rPr>
              <w:t>25</w:t>
            </w:r>
            <w:r>
              <w:rPr>
                <w:noProof/>
                <w:webHidden/>
              </w:rPr>
              <w:fldChar w:fldCharType="end"/>
            </w:r>
          </w:hyperlink>
        </w:p>
        <w:p w14:paraId="2DAF9E56" w14:textId="7D065D52" w:rsidR="004F03EF" w:rsidRDefault="004F03EF">
          <w:pPr>
            <w:pStyle w:val="TOC2"/>
            <w:tabs>
              <w:tab w:val="right" w:leader="dot" w:pos="9016"/>
            </w:tabs>
            <w:rPr>
              <w:rFonts w:asciiTheme="minorHAnsi" w:eastAsiaTheme="minorEastAsia" w:hAnsiTheme="minorHAnsi"/>
              <w:noProof/>
              <w:sz w:val="22"/>
              <w:lang w:eastAsia="en-GB"/>
            </w:rPr>
          </w:pPr>
          <w:hyperlink w:anchor="_Toc121922197" w:history="1">
            <w:r w:rsidRPr="002C5DBC">
              <w:rPr>
                <w:rStyle w:val="Hyperlink"/>
                <w:noProof/>
              </w:rPr>
              <w:t>Female genital mutilation</w:t>
            </w:r>
            <w:r>
              <w:rPr>
                <w:noProof/>
                <w:webHidden/>
              </w:rPr>
              <w:tab/>
            </w:r>
            <w:r>
              <w:rPr>
                <w:noProof/>
                <w:webHidden/>
              </w:rPr>
              <w:fldChar w:fldCharType="begin"/>
            </w:r>
            <w:r>
              <w:rPr>
                <w:noProof/>
                <w:webHidden/>
              </w:rPr>
              <w:instrText xml:space="preserve"> PAGEREF _Toc121922197 \h </w:instrText>
            </w:r>
            <w:r>
              <w:rPr>
                <w:noProof/>
                <w:webHidden/>
              </w:rPr>
            </w:r>
            <w:r>
              <w:rPr>
                <w:noProof/>
                <w:webHidden/>
              </w:rPr>
              <w:fldChar w:fldCharType="separate"/>
            </w:r>
            <w:r>
              <w:rPr>
                <w:noProof/>
                <w:webHidden/>
              </w:rPr>
              <w:t>26</w:t>
            </w:r>
            <w:r>
              <w:rPr>
                <w:noProof/>
                <w:webHidden/>
              </w:rPr>
              <w:fldChar w:fldCharType="end"/>
            </w:r>
          </w:hyperlink>
        </w:p>
        <w:p w14:paraId="455A063C" w14:textId="4AA9D022" w:rsidR="004F03EF" w:rsidRDefault="004F03EF">
          <w:pPr>
            <w:pStyle w:val="TOC2"/>
            <w:tabs>
              <w:tab w:val="right" w:leader="dot" w:pos="9016"/>
            </w:tabs>
            <w:rPr>
              <w:rFonts w:asciiTheme="minorHAnsi" w:eastAsiaTheme="minorEastAsia" w:hAnsiTheme="minorHAnsi"/>
              <w:noProof/>
              <w:sz w:val="22"/>
              <w:lang w:eastAsia="en-GB"/>
            </w:rPr>
          </w:pPr>
          <w:hyperlink w:anchor="_Toc121922198" w:history="1">
            <w:r w:rsidRPr="002C5DBC">
              <w:rPr>
                <w:rStyle w:val="Hyperlink"/>
                <w:noProof/>
              </w:rPr>
              <w:t>Intersex genital mutilation</w:t>
            </w:r>
            <w:r>
              <w:rPr>
                <w:noProof/>
                <w:webHidden/>
              </w:rPr>
              <w:tab/>
            </w:r>
            <w:r>
              <w:rPr>
                <w:noProof/>
                <w:webHidden/>
              </w:rPr>
              <w:fldChar w:fldCharType="begin"/>
            </w:r>
            <w:r>
              <w:rPr>
                <w:noProof/>
                <w:webHidden/>
              </w:rPr>
              <w:instrText xml:space="preserve"> PAGEREF _Toc121922198 \h </w:instrText>
            </w:r>
            <w:r>
              <w:rPr>
                <w:noProof/>
                <w:webHidden/>
              </w:rPr>
            </w:r>
            <w:r>
              <w:rPr>
                <w:noProof/>
                <w:webHidden/>
              </w:rPr>
              <w:fldChar w:fldCharType="separate"/>
            </w:r>
            <w:r>
              <w:rPr>
                <w:noProof/>
                <w:webHidden/>
              </w:rPr>
              <w:t>27</w:t>
            </w:r>
            <w:r>
              <w:rPr>
                <w:noProof/>
                <w:webHidden/>
              </w:rPr>
              <w:fldChar w:fldCharType="end"/>
            </w:r>
          </w:hyperlink>
        </w:p>
        <w:p w14:paraId="29AE0018" w14:textId="4A39C619" w:rsidR="004F03EF" w:rsidRDefault="004F03EF">
          <w:pPr>
            <w:pStyle w:val="TOC2"/>
            <w:tabs>
              <w:tab w:val="right" w:leader="dot" w:pos="9016"/>
            </w:tabs>
            <w:rPr>
              <w:rFonts w:asciiTheme="minorHAnsi" w:eastAsiaTheme="minorEastAsia" w:hAnsiTheme="minorHAnsi"/>
              <w:noProof/>
              <w:sz w:val="22"/>
              <w:lang w:eastAsia="en-GB"/>
            </w:rPr>
          </w:pPr>
          <w:hyperlink w:anchor="_Toc121922199" w:history="1">
            <w:r w:rsidRPr="002C5DBC">
              <w:rPr>
                <w:rStyle w:val="Hyperlink"/>
                <w:noProof/>
              </w:rPr>
              <w:t>Bullying</w:t>
            </w:r>
            <w:r>
              <w:rPr>
                <w:noProof/>
                <w:webHidden/>
              </w:rPr>
              <w:tab/>
            </w:r>
            <w:r>
              <w:rPr>
                <w:noProof/>
                <w:webHidden/>
              </w:rPr>
              <w:fldChar w:fldCharType="begin"/>
            </w:r>
            <w:r>
              <w:rPr>
                <w:noProof/>
                <w:webHidden/>
              </w:rPr>
              <w:instrText xml:space="preserve"> PAGEREF _Toc121922199 \h </w:instrText>
            </w:r>
            <w:r>
              <w:rPr>
                <w:noProof/>
                <w:webHidden/>
              </w:rPr>
            </w:r>
            <w:r>
              <w:rPr>
                <w:noProof/>
                <w:webHidden/>
              </w:rPr>
              <w:fldChar w:fldCharType="separate"/>
            </w:r>
            <w:r>
              <w:rPr>
                <w:noProof/>
                <w:webHidden/>
              </w:rPr>
              <w:t>28</w:t>
            </w:r>
            <w:r>
              <w:rPr>
                <w:noProof/>
                <w:webHidden/>
              </w:rPr>
              <w:fldChar w:fldCharType="end"/>
            </w:r>
          </w:hyperlink>
        </w:p>
        <w:p w14:paraId="13465976" w14:textId="378B6A1C" w:rsidR="004F03EF" w:rsidRDefault="004F03EF">
          <w:pPr>
            <w:pStyle w:val="TOC2"/>
            <w:tabs>
              <w:tab w:val="right" w:leader="dot" w:pos="9016"/>
            </w:tabs>
            <w:rPr>
              <w:rFonts w:asciiTheme="minorHAnsi" w:eastAsiaTheme="minorEastAsia" w:hAnsiTheme="minorHAnsi"/>
              <w:noProof/>
              <w:sz w:val="22"/>
              <w:lang w:eastAsia="en-GB"/>
            </w:rPr>
          </w:pPr>
          <w:hyperlink w:anchor="_Toc121922200" w:history="1">
            <w:r w:rsidRPr="002C5DBC">
              <w:rPr>
                <w:rStyle w:val="Hyperlink"/>
                <w:noProof/>
              </w:rPr>
              <w:t>Paramilitary activities</w:t>
            </w:r>
            <w:r>
              <w:rPr>
                <w:noProof/>
                <w:webHidden/>
              </w:rPr>
              <w:tab/>
            </w:r>
            <w:r>
              <w:rPr>
                <w:noProof/>
                <w:webHidden/>
              </w:rPr>
              <w:fldChar w:fldCharType="begin"/>
            </w:r>
            <w:r>
              <w:rPr>
                <w:noProof/>
                <w:webHidden/>
              </w:rPr>
              <w:instrText xml:space="preserve"> PAGEREF _Toc121922200 \h </w:instrText>
            </w:r>
            <w:r>
              <w:rPr>
                <w:noProof/>
                <w:webHidden/>
              </w:rPr>
            </w:r>
            <w:r>
              <w:rPr>
                <w:noProof/>
                <w:webHidden/>
              </w:rPr>
              <w:fldChar w:fldCharType="separate"/>
            </w:r>
            <w:r>
              <w:rPr>
                <w:noProof/>
                <w:webHidden/>
              </w:rPr>
              <w:t>29</w:t>
            </w:r>
            <w:r>
              <w:rPr>
                <w:noProof/>
                <w:webHidden/>
              </w:rPr>
              <w:fldChar w:fldCharType="end"/>
            </w:r>
          </w:hyperlink>
        </w:p>
        <w:p w14:paraId="0CE2B4F3" w14:textId="3DA01F8B" w:rsidR="004F03EF" w:rsidRDefault="004F03EF">
          <w:pPr>
            <w:pStyle w:val="TOC1"/>
            <w:rPr>
              <w:rFonts w:asciiTheme="minorHAnsi" w:eastAsiaTheme="minorEastAsia" w:hAnsiTheme="minorHAnsi"/>
              <w:noProof/>
              <w:sz w:val="22"/>
              <w:lang w:eastAsia="en-GB"/>
            </w:rPr>
          </w:pPr>
          <w:hyperlink w:anchor="_Toc121922201" w:history="1">
            <w:r w:rsidRPr="002C5DBC">
              <w:rPr>
                <w:rStyle w:val="Hyperlink"/>
                <w:noProof/>
              </w:rPr>
              <w:t>11.0</w:t>
            </w:r>
            <w:r>
              <w:rPr>
                <w:rFonts w:asciiTheme="minorHAnsi" w:eastAsiaTheme="minorEastAsia" w:hAnsiTheme="minorHAnsi"/>
                <w:noProof/>
                <w:sz w:val="22"/>
                <w:lang w:eastAsia="en-GB"/>
              </w:rPr>
              <w:tab/>
            </w:r>
            <w:r w:rsidRPr="002C5DBC">
              <w:rPr>
                <w:rStyle w:val="Hyperlink"/>
                <w:noProof/>
              </w:rPr>
              <w:t>Articles 20, 21 and 25 – Children in Care</w:t>
            </w:r>
            <w:r>
              <w:rPr>
                <w:noProof/>
                <w:webHidden/>
              </w:rPr>
              <w:tab/>
            </w:r>
            <w:r>
              <w:rPr>
                <w:noProof/>
                <w:webHidden/>
              </w:rPr>
              <w:fldChar w:fldCharType="begin"/>
            </w:r>
            <w:r>
              <w:rPr>
                <w:noProof/>
                <w:webHidden/>
              </w:rPr>
              <w:instrText xml:space="preserve"> PAGEREF _Toc121922201 \h </w:instrText>
            </w:r>
            <w:r>
              <w:rPr>
                <w:noProof/>
                <w:webHidden/>
              </w:rPr>
            </w:r>
            <w:r>
              <w:rPr>
                <w:noProof/>
                <w:webHidden/>
              </w:rPr>
              <w:fldChar w:fldCharType="separate"/>
            </w:r>
            <w:r>
              <w:rPr>
                <w:noProof/>
                <w:webHidden/>
              </w:rPr>
              <w:t>30</w:t>
            </w:r>
            <w:r>
              <w:rPr>
                <w:noProof/>
                <w:webHidden/>
              </w:rPr>
              <w:fldChar w:fldCharType="end"/>
            </w:r>
          </w:hyperlink>
        </w:p>
        <w:p w14:paraId="704480C7" w14:textId="50D2EC6A" w:rsidR="004F03EF" w:rsidRDefault="004F03EF">
          <w:pPr>
            <w:pStyle w:val="TOC2"/>
            <w:tabs>
              <w:tab w:val="right" w:leader="dot" w:pos="9016"/>
            </w:tabs>
            <w:rPr>
              <w:rFonts w:asciiTheme="minorHAnsi" w:eastAsiaTheme="minorEastAsia" w:hAnsiTheme="minorHAnsi"/>
              <w:noProof/>
              <w:sz w:val="22"/>
              <w:lang w:eastAsia="en-GB"/>
            </w:rPr>
          </w:pPr>
          <w:hyperlink w:anchor="_Toc121922202" w:history="1">
            <w:r w:rsidRPr="002C5DBC">
              <w:rPr>
                <w:rStyle w:val="Hyperlink"/>
                <w:noProof/>
              </w:rPr>
              <w:t>Adoption and social care reform</w:t>
            </w:r>
            <w:r>
              <w:rPr>
                <w:noProof/>
                <w:webHidden/>
              </w:rPr>
              <w:tab/>
            </w:r>
            <w:r>
              <w:rPr>
                <w:noProof/>
                <w:webHidden/>
              </w:rPr>
              <w:fldChar w:fldCharType="begin"/>
            </w:r>
            <w:r>
              <w:rPr>
                <w:noProof/>
                <w:webHidden/>
              </w:rPr>
              <w:instrText xml:space="preserve"> PAGEREF _Toc121922202 \h </w:instrText>
            </w:r>
            <w:r>
              <w:rPr>
                <w:noProof/>
                <w:webHidden/>
              </w:rPr>
            </w:r>
            <w:r>
              <w:rPr>
                <w:noProof/>
                <w:webHidden/>
              </w:rPr>
              <w:fldChar w:fldCharType="separate"/>
            </w:r>
            <w:r>
              <w:rPr>
                <w:noProof/>
                <w:webHidden/>
              </w:rPr>
              <w:t>30</w:t>
            </w:r>
            <w:r>
              <w:rPr>
                <w:noProof/>
                <w:webHidden/>
              </w:rPr>
              <w:fldChar w:fldCharType="end"/>
            </w:r>
          </w:hyperlink>
        </w:p>
        <w:p w14:paraId="0F0D3C78" w14:textId="4CE0EC79" w:rsidR="004F03EF" w:rsidRDefault="004F03EF">
          <w:pPr>
            <w:pStyle w:val="TOC2"/>
            <w:tabs>
              <w:tab w:val="right" w:leader="dot" w:pos="9016"/>
            </w:tabs>
            <w:rPr>
              <w:rFonts w:asciiTheme="minorHAnsi" w:eastAsiaTheme="minorEastAsia" w:hAnsiTheme="minorHAnsi"/>
              <w:noProof/>
              <w:sz w:val="22"/>
              <w:lang w:eastAsia="en-GB"/>
            </w:rPr>
          </w:pPr>
          <w:hyperlink w:anchor="_Toc121922203" w:history="1">
            <w:r w:rsidRPr="002C5DBC">
              <w:rPr>
                <w:rStyle w:val="Hyperlink"/>
                <w:noProof/>
              </w:rPr>
              <w:t>Kinship care and EU withdrawal</w:t>
            </w:r>
            <w:r>
              <w:rPr>
                <w:noProof/>
                <w:webHidden/>
              </w:rPr>
              <w:tab/>
            </w:r>
            <w:r>
              <w:rPr>
                <w:noProof/>
                <w:webHidden/>
              </w:rPr>
              <w:fldChar w:fldCharType="begin"/>
            </w:r>
            <w:r>
              <w:rPr>
                <w:noProof/>
                <w:webHidden/>
              </w:rPr>
              <w:instrText xml:space="preserve"> PAGEREF _Toc121922203 \h </w:instrText>
            </w:r>
            <w:r>
              <w:rPr>
                <w:noProof/>
                <w:webHidden/>
              </w:rPr>
            </w:r>
            <w:r>
              <w:rPr>
                <w:noProof/>
                <w:webHidden/>
              </w:rPr>
              <w:fldChar w:fldCharType="separate"/>
            </w:r>
            <w:r>
              <w:rPr>
                <w:noProof/>
                <w:webHidden/>
              </w:rPr>
              <w:t>31</w:t>
            </w:r>
            <w:r>
              <w:rPr>
                <w:noProof/>
                <w:webHidden/>
              </w:rPr>
              <w:fldChar w:fldCharType="end"/>
            </w:r>
          </w:hyperlink>
        </w:p>
        <w:p w14:paraId="09D589E9" w14:textId="1C3F791F" w:rsidR="004F03EF" w:rsidRDefault="004F03EF">
          <w:pPr>
            <w:pStyle w:val="TOC2"/>
            <w:tabs>
              <w:tab w:val="right" w:leader="dot" w:pos="9016"/>
            </w:tabs>
            <w:rPr>
              <w:rFonts w:asciiTheme="minorHAnsi" w:eastAsiaTheme="minorEastAsia" w:hAnsiTheme="minorHAnsi"/>
              <w:noProof/>
              <w:sz w:val="22"/>
              <w:lang w:eastAsia="en-GB"/>
            </w:rPr>
          </w:pPr>
          <w:hyperlink w:anchor="_Toc121922204" w:history="1">
            <w:r w:rsidRPr="002C5DBC">
              <w:rPr>
                <w:rStyle w:val="Hyperlink"/>
                <w:noProof/>
              </w:rPr>
              <w:t>Foster care</w:t>
            </w:r>
            <w:r>
              <w:rPr>
                <w:noProof/>
                <w:webHidden/>
              </w:rPr>
              <w:tab/>
            </w:r>
            <w:r>
              <w:rPr>
                <w:noProof/>
                <w:webHidden/>
              </w:rPr>
              <w:fldChar w:fldCharType="begin"/>
            </w:r>
            <w:r>
              <w:rPr>
                <w:noProof/>
                <w:webHidden/>
              </w:rPr>
              <w:instrText xml:space="preserve"> PAGEREF _Toc121922204 \h </w:instrText>
            </w:r>
            <w:r>
              <w:rPr>
                <w:noProof/>
                <w:webHidden/>
              </w:rPr>
            </w:r>
            <w:r>
              <w:rPr>
                <w:noProof/>
                <w:webHidden/>
              </w:rPr>
              <w:fldChar w:fldCharType="separate"/>
            </w:r>
            <w:r>
              <w:rPr>
                <w:noProof/>
                <w:webHidden/>
              </w:rPr>
              <w:t>32</w:t>
            </w:r>
            <w:r>
              <w:rPr>
                <w:noProof/>
                <w:webHidden/>
              </w:rPr>
              <w:fldChar w:fldCharType="end"/>
            </w:r>
          </w:hyperlink>
        </w:p>
        <w:p w14:paraId="6018599A" w14:textId="2D4ADD76" w:rsidR="004F03EF" w:rsidRDefault="004F03EF">
          <w:pPr>
            <w:pStyle w:val="TOC2"/>
            <w:tabs>
              <w:tab w:val="right" w:leader="dot" w:pos="9016"/>
            </w:tabs>
            <w:rPr>
              <w:rFonts w:asciiTheme="minorHAnsi" w:eastAsiaTheme="minorEastAsia" w:hAnsiTheme="minorHAnsi"/>
              <w:noProof/>
              <w:sz w:val="22"/>
              <w:lang w:eastAsia="en-GB"/>
            </w:rPr>
          </w:pPr>
          <w:hyperlink w:anchor="_Toc121922205" w:history="1">
            <w:r w:rsidRPr="002C5DBC">
              <w:rPr>
                <w:rStyle w:val="Hyperlink"/>
                <w:noProof/>
              </w:rPr>
              <w:t>EU Settlement Scheme</w:t>
            </w:r>
            <w:r>
              <w:rPr>
                <w:noProof/>
                <w:webHidden/>
              </w:rPr>
              <w:tab/>
            </w:r>
            <w:r>
              <w:rPr>
                <w:noProof/>
                <w:webHidden/>
              </w:rPr>
              <w:fldChar w:fldCharType="begin"/>
            </w:r>
            <w:r>
              <w:rPr>
                <w:noProof/>
                <w:webHidden/>
              </w:rPr>
              <w:instrText xml:space="preserve"> PAGEREF _Toc121922205 \h </w:instrText>
            </w:r>
            <w:r>
              <w:rPr>
                <w:noProof/>
                <w:webHidden/>
              </w:rPr>
            </w:r>
            <w:r>
              <w:rPr>
                <w:noProof/>
                <w:webHidden/>
              </w:rPr>
              <w:fldChar w:fldCharType="separate"/>
            </w:r>
            <w:r>
              <w:rPr>
                <w:noProof/>
                <w:webHidden/>
              </w:rPr>
              <w:t>32</w:t>
            </w:r>
            <w:r>
              <w:rPr>
                <w:noProof/>
                <w:webHidden/>
              </w:rPr>
              <w:fldChar w:fldCharType="end"/>
            </w:r>
          </w:hyperlink>
        </w:p>
        <w:p w14:paraId="21325E5C" w14:textId="7D479EC3" w:rsidR="004F03EF" w:rsidRDefault="004F03EF">
          <w:pPr>
            <w:pStyle w:val="TOC2"/>
            <w:tabs>
              <w:tab w:val="right" w:leader="dot" w:pos="9016"/>
            </w:tabs>
            <w:rPr>
              <w:rFonts w:asciiTheme="minorHAnsi" w:eastAsiaTheme="minorEastAsia" w:hAnsiTheme="minorHAnsi"/>
              <w:noProof/>
              <w:sz w:val="22"/>
              <w:lang w:eastAsia="en-GB"/>
            </w:rPr>
          </w:pPr>
          <w:hyperlink w:anchor="_Toc121922206" w:history="1">
            <w:r w:rsidRPr="002C5DBC">
              <w:rPr>
                <w:rStyle w:val="Hyperlink"/>
                <w:noProof/>
              </w:rPr>
              <w:t>Children reported missing from care</w:t>
            </w:r>
            <w:r>
              <w:rPr>
                <w:noProof/>
                <w:webHidden/>
              </w:rPr>
              <w:tab/>
            </w:r>
            <w:r>
              <w:rPr>
                <w:noProof/>
                <w:webHidden/>
              </w:rPr>
              <w:fldChar w:fldCharType="begin"/>
            </w:r>
            <w:r>
              <w:rPr>
                <w:noProof/>
                <w:webHidden/>
              </w:rPr>
              <w:instrText xml:space="preserve"> PAGEREF _Toc121922206 \h </w:instrText>
            </w:r>
            <w:r>
              <w:rPr>
                <w:noProof/>
                <w:webHidden/>
              </w:rPr>
            </w:r>
            <w:r>
              <w:rPr>
                <w:noProof/>
                <w:webHidden/>
              </w:rPr>
              <w:fldChar w:fldCharType="separate"/>
            </w:r>
            <w:r>
              <w:rPr>
                <w:noProof/>
                <w:webHidden/>
              </w:rPr>
              <w:t>34</w:t>
            </w:r>
            <w:r>
              <w:rPr>
                <w:noProof/>
                <w:webHidden/>
              </w:rPr>
              <w:fldChar w:fldCharType="end"/>
            </w:r>
          </w:hyperlink>
        </w:p>
        <w:p w14:paraId="245ABB1A" w14:textId="62594BD8" w:rsidR="004F03EF" w:rsidRDefault="004F03EF">
          <w:pPr>
            <w:pStyle w:val="TOC1"/>
            <w:rPr>
              <w:rFonts w:asciiTheme="minorHAnsi" w:eastAsiaTheme="minorEastAsia" w:hAnsiTheme="minorHAnsi"/>
              <w:noProof/>
              <w:sz w:val="22"/>
              <w:lang w:eastAsia="en-GB"/>
            </w:rPr>
          </w:pPr>
          <w:hyperlink w:anchor="_Toc121922207" w:history="1">
            <w:r w:rsidRPr="002C5DBC">
              <w:rPr>
                <w:rStyle w:val="Hyperlink"/>
                <w:noProof/>
              </w:rPr>
              <w:t>12.0</w:t>
            </w:r>
            <w:r>
              <w:rPr>
                <w:rFonts w:asciiTheme="minorHAnsi" w:eastAsiaTheme="minorEastAsia" w:hAnsiTheme="minorHAnsi"/>
                <w:noProof/>
                <w:sz w:val="22"/>
                <w:lang w:eastAsia="en-GB"/>
              </w:rPr>
              <w:tab/>
            </w:r>
            <w:r w:rsidRPr="002C5DBC">
              <w:rPr>
                <w:rStyle w:val="Hyperlink"/>
                <w:noProof/>
              </w:rPr>
              <w:t>Article 22 – Refugee Status</w:t>
            </w:r>
            <w:r>
              <w:rPr>
                <w:noProof/>
                <w:webHidden/>
              </w:rPr>
              <w:tab/>
            </w:r>
            <w:r>
              <w:rPr>
                <w:noProof/>
                <w:webHidden/>
              </w:rPr>
              <w:fldChar w:fldCharType="begin"/>
            </w:r>
            <w:r>
              <w:rPr>
                <w:noProof/>
                <w:webHidden/>
              </w:rPr>
              <w:instrText xml:space="preserve"> PAGEREF _Toc121922207 \h </w:instrText>
            </w:r>
            <w:r>
              <w:rPr>
                <w:noProof/>
                <w:webHidden/>
              </w:rPr>
            </w:r>
            <w:r>
              <w:rPr>
                <w:noProof/>
                <w:webHidden/>
              </w:rPr>
              <w:fldChar w:fldCharType="separate"/>
            </w:r>
            <w:r>
              <w:rPr>
                <w:noProof/>
                <w:webHidden/>
              </w:rPr>
              <w:t>35</w:t>
            </w:r>
            <w:r>
              <w:rPr>
                <w:noProof/>
                <w:webHidden/>
              </w:rPr>
              <w:fldChar w:fldCharType="end"/>
            </w:r>
          </w:hyperlink>
        </w:p>
        <w:p w14:paraId="47C89974" w14:textId="0DD53368" w:rsidR="004F03EF" w:rsidRDefault="004F03EF">
          <w:pPr>
            <w:pStyle w:val="TOC2"/>
            <w:tabs>
              <w:tab w:val="right" w:leader="dot" w:pos="9016"/>
            </w:tabs>
            <w:rPr>
              <w:rFonts w:asciiTheme="minorHAnsi" w:eastAsiaTheme="minorEastAsia" w:hAnsiTheme="minorHAnsi"/>
              <w:noProof/>
              <w:sz w:val="22"/>
              <w:lang w:eastAsia="en-GB"/>
            </w:rPr>
          </w:pPr>
          <w:hyperlink w:anchor="_Toc121922208" w:history="1">
            <w:r w:rsidRPr="002C5DBC">
              <w:rPr>
                <w:rStyle w:val="Hyperlink"/>
                <w:noProof/>
              </w:rPr>
              <w:t>Reform of UK refugee and asylum law</w:t>
            </w:r>
            <w:r>
              <w:rPr>
                <w:noProof/>
                <w:webHidden/>
              </w:rPr>
              <w:tab/>
            </w:r>
            <w:r>
              <w:rPr>
                <w:noProof/>
                <w:webHidden/>
              </w:rPr>
              <w:fldChar w:fldCharType="begin"/>
            </w:r>
            <w:r>
              <w:rPr>
                <w:noProof/>
                <w:webHidden/>
              </w:rPr>
              <w:instrText xml:space="preserve"> PAGEREF _Toc121922208 \h </w:instrText>
            </w:r>
            <w:r>
              <w:rPr>
                <w:noProof/>
                <w:webHidden/>
              </w:rPr>
            </w:r>
            <w:r>
              <w:rPr>
                <w:noProof/>
                <w:webHidden/>
              </w:rPr>
              <w:fldChar w:fldCharType="separate"/>
            </w:r>
            <w:r>
              <w:rPr>
                <w:noProof/>
                <w:webHidden/>
              </w:rPr>
              <w:t>35</w:t>
            </w:r>
            <w:r>
              <w:rPr>
                <w:noProof/>
                <w:webHidden/>
              </w:rPr>
              <w:fldChar w:fldCharType="end"/>
            </w:r>
          </w:hyperlink>
        </w:p>
        <w:p w14:paraId="75B3DC24" w14:textId="3C0DB5D2" w:rsidR="004F03EF" w:rsidRDefault="004F03EF">
          <w:pPr>
            <w:pStyle w:val="TOC2"/>
            <w:tabs>
              <w:tab w:val="right" w:leader="dot" w:pos="9016"/>
            </w:tabs>
            <w:rPr>
              <w:rFonts w:asciiTheme="minorHAnsi" w:eastAsiaTheme="minorEastAsia" w:hAnsiTheme="minorHAnsi"/>
              <w:noProof/>
              <w:sz w:val="22"/>
              <w:lang w:eastAsia="en-GB"/>
            </w:rPr>
          </w:pPr>
          <w:hyperlink w:anchor="_Toc121922209" w:history="1">
            <w:r w:rsidRPr="002C5DBC">
              <w:rPr>
                <w:rStyle w:val="Hyperlink"/>
                <w:noProof/>
              </w:rPr>
              <w:t>Refugee resettlement</w:t>
            </w:r>
            <w:r>
              <w:rPr>
                <w:noProof/>
                <w:webHidden/>
              </w:rPr>
              <w:tab/>
            </w:r>
            <w:r>
              <w:rPr>
                <w:noProof/>
                <w:webHidden/>
              </w:rPr>
              <w:fldChar w:fldCharType="begin"/>
            </w:r>
            <w:r>
              <w:rPr>
                <w:noProof/>
                <w:webHidden/>
              </w:rPr>
              <w:instrText xml:space="preserve"> PAGEREF _Toc121922209 \h </w:instrText>
            </w:r>
            <w:r>
              <w:rPr>
                <w:noProof/>
                <w:webHidden/>
              </w:rPr>
            </w:r>
            <w:r>
              <w:rPr>
                <w:noProof/>
                <w:webHidden/>
              </w:rPr>
              <w:fldChar w:fldCharType="separate"/>
            </w:r>
            <w:r>
              <w:rPr>
                <w:noProof/>
                <w:webHidden/>
              </w:rPr>
              <w:t>36</w:t>
            </w:r>
            <w:r>
              <w:rPr>
                <w:noProof/>
                <w:webHidden/>
              </w:rPr>
              <w:fldChar w:fldCharType="end"/>
            </w:r>
          </w:hyperlink>
        </w:p>
        <w:p w14:paraId="10114B97" w14:textId="080A331A" w:rsidR="004F03EF" w:rsidRDefault="004F03EF">
          <w:pPr>
            <w:pStyle w:val="TOC2"/>
            <w:tabs>
              <w:tab w:val="right" w:leader="dot" w:pos="9016"/>
            </w:tabs>
            <w:rPr>
              <w:rFonts w:asciiTheme="minorHAnsi" w:eastAsiaTheme="minorEastAsia" w:hAnsiTheme="minorHAnsi"/>
              <w:noProof/>
              <w:sz w:val="22"/>
              <w:lang w:eastAsia="en-GB"/>
            </w:rPr>
          </w:pPr>
          <w:hyperlink w:anchor="_Toc121922210" w:history="1">
            <w:r w:rsidRPr="002C5DBC">
              <w:rPr>
                <w:rStyle w:val="Hyperlink"/>
                <w:noProof/>
              </w:rPr>
              <w:t>Use of hotels as ‘contingency accommodation’</w:t>
            </w:r>
            <w:r>
              <w:rPr>
                <w:noProof/>
                <w:webHidden/>
              </w:rPr>
              <w:tab/>
            </w:r>
            <w:r>
              <w:rPr>
                <w:noProof/>
                <w:webHidden/>
              </w:rPr>
              <w:fldChar w:fldCharType="begin"/>
            </w:r>
            <w:r>
              <w:rPr>
                <w:noProof/>
                <w:webHidden/>
              </w:rPr>
              <w:instrText xml:space="preserve"> PAGEREF _Toc121922210 \h </w:instrText>
            </w:r>
            <w:r>
              <w:rPr>
                <w:noProof/>
                <w:webHidden/>
              </w:rPr>
            </w:r>
            <w:r>
              <w:rPr>
                <w:noProof/>
                <w:webHidden/>
              </w:rPr>
              <w:fldChar w:fldCharType="separate"/>
            </w:r>
            <w:r>
              <w:rPr>
                <w:noProof/>
                <w:webHidden/>
              </w:rPr>
              <w:t>37</w:t>
            </w:r>
            <w:r>
              <w:rPr>
                <w:noProof/>
                <w:webHidden/>
              </w:rPr>
              <w:fldChar w:fldCharType="end"/>
            </w:r>
          </w:hyperlink>
        </w:p>
        <w:p w14:paraId="028D92BC" w14:textId="4452FE1B" w:rsidR="004F03EF" w:rsidRDefault="004F03EF">
          <w:pPr>
            <w:pStyle w:val="TOC2"/>
            <w:tabs>
              <w:tab w:val="right" w:leader="dot" w:pos="9016"/>
            </w:tabs>
            <w:rPr>
              <w:rFonts w:asciiTheme="minorHAnsi" w:eastAsiaTheme="minorEastAsia" w:hAnsiTheme="minorHAnsi"/>
              <w:noProof/>
              <w:sz w:val="22"/>
              <w:lang w:eastAsia="en-GB"/>
            </w:rPr>
          </w:pPr>
          <w:hyperlink w:anchor="_Toc121922211" w:history="1">
            <w:r w:rsidRPr="002C5DBC">
              <w:rPr>
                <w:rStyle w:val="Hyperlink"/>
                <w:noProof/>
              </w:rPr>
              <w:t>Refugee Integration Strategy</w:t>
            </w:r>
            <w:r>
              <w:rPr>
                <w:noProof/>
                <w:webHidden/>
              </w:rPr>
              <w:tab/>
            </w:r>
            <w:r>
              <w:rPr>
                <w:noProof/>
                <w:webHidden/>
              </w:rPr>
              <w:fldChar w:fldCharType="begin"/>
            </w:r>
            <w:r>
              <w:rPr>
                <w:noProof/>
                <w:webHidden/>
              </w:rPr>
              <w:instrText xml:space="preserve"> PAGEREF _Toc121922211 \h </w:instrText>
            </w:r>
            <w:r>
              <w:rPr>
                <w:noProof/>
                <w:webHidden/>
              </w:rPr>
            </w:r>
            <w:r>
              <w:rPr>
                <w:noProof/>
                <w:webHidden/>
              </w:rPr>
              <w:fldChar w:fldCharType="separate"/>
            </w:r>
            <w:r>
              <w:rPr>
                <w:noProof/>
                <w:webHidden/>
              </w:rPr>
              <w:t>38</w:t>
            </w:r>
            <w:r>
              <w:rPr>
                <w:noProof/>
                <w:webHidden/>
              </w:rPr>
              <w:fldChar w:fldCharType="end"/>
            </w:r>
          </w:hyperlink>
        </w:p>
        <w:p w14:paraId="0C42F697" w14:textId="0F2618B3" w:rsidR="004F03EF" w:rsidRDefault="004F03EF">
          <w:pPr>
            <w:pStyle w:val="TOC1"/>
            <w:rPr>
              <w:rFonts w:asciiTheme="minorHAnsi" w:eastAsiaTheme="minorEastAsia" w:hAnsiTheme="minorHAnsi"/>
              <w:noProof/>
              <w:sz w:val="22"/>
              <w:lang w:eastAsia="en-GB"/>
            </w:rPr>
          </w:pPr>
          <w:hyperlink w:anchor="_Toc121922212" w:history="1">
            <w:r w:rsidRPr="002C5DBC">
              <w:rPr>
                <w:rStyle w:val="Hyperlink"/>
                <w:noProof/>
              </w:rPr>
              <w:t>13.0</w:t>
            </w:r>
            <w:r>
              <w:rPr>
                <w:rFonts w:asciiTheme="minorHAnsi" w:eastAsiaTheme="minorEastAsia" w:hAnsiTheme="minorHAnsi"/>
                <w:noProof/>
                <w:sz w:val="22"/>
                <w:lang w:eastAsia="en-GB"/>
              </w:rPr>
              <w:tab/>
            </w:r>
            <w:r w:rsidRPr="002C5DBC">
              <w:rPr>
                <w:rStyle w:val="Hyperlink"/>
                <w:noProof/>
              </w:rPr>
              <w:t>Article 23 – Children with Disabilities</w:t>
            </w:r>
            <w:r>
              <w:rPr>
                <w:noProof/>
                <w:webHidden/>
              </w:rPr>
              <w:tab/>
            </w:r>
            <w:r>
              <w:rPr>
                <w:noProof/>
                <w:webHidden/>
              </w:rPr>
              <w:fldChar w:fldCharType="begin"/>
            </w:r>
            <w:r>
              <w:rPr>
                <w:noProof/>
                <w:webHidden/>
              </w:rPr>
              <w:instrText xml:space="preserve"> PAGEREF _Toc121922212 \h </w:instrText>
            </w:r>
            <w:r>
              <w:rPr>
                <w:noProof/>
                <w:webHidden/>
              </w:rPr>
            </w:r>
            <w:r>
              <w:rPr>
                <w:noProof/>
                <w:webHidden/>
              </w:rPr>
              <w:fldChar w:fldCharType="separate"/>
            </w:r>
            <w:r>
              <w:rPr>
                <w:noProof/>
                <w:webHidden/>
              </w:rPr>
              <w:t>39</w:t>
            </w:r>
            <w:r>
              <w:rPr>
                <w:noProof/>
                <w:webHidden/>
              </w:rPr>
              <w:fldChar w:fldCharType="end"/>
            </w:r>
          </w:hyperlink>
        </w:p>
        <w:p w14:paraId="7FFAAC7C" w14:textId="2AEE66A2" w:rsidR="004F03EF" w:rsidRDefault="004F03EF">
          <w:pPr>
            <w:pStyle w:val="TOC2"/>
            <w:tabs>
              <w:tab w:val="right" w:leader="dot" w:pos="9016"/>
            </w:tabs>
            <w:rPr>
              <w:rFonts w:asciiTheme="minorHAnsi" w:eastAsiaTheme="minorEastAsia" w:hAnsiTheme="minorHAnsi"/>
              <w:noProof/>
              <w:sz w:val="22"/>
              <w:lang w:eastAsia="en-GB"/>
            </w:rPr>
          </w:pPr>
          <w:hyperlink w:anchor="_Toc121922213" w:history="1">
            <w:r w:rsidRPr="002C5DBC">
              <w:rPr>
                <w:rStyle w:val="Hyperlink"/>
                <w:noProof/>
              </w:rPr>
              <w:t>Autism Strategy</w:t>
            </w:r>
            <w:r>
              <w:rPr>
                <w:noProof/>
                <w:webHidden/>
              </w:rPr>
              <w:tab/>
            </w:r>
            <w:r>
              <w:rPr>
                <w:noProof/>
                <w:webHidden/>
              </w:rPr>
              <w:fldChar w:fldCharType="begin"/>
            </w:r>
            <w:r>
              <w:rPr>
                <w:noProof/>
                <w:webHidden/>
              </w:rPr>
              <w:instrText xml:space="preserve"> PAGEREF _Toc121922213 \h </w:instrText>
            </w:r>
            <w:r>
              <w:rPr>
                <w:noProof/>
                <w:webHidden/>
              </w:rPr>
            </w:r>
            <w:r>
              <w:rPr>
                <w:noProof/>
                <w:webHidden/>
              </w:rPr>
              <w:fldChar w:fldCharType="separate"/>
            </w:r>
            <w:r>
              <w:rPr>
                <w:noProof/>
                <w:webHidden/>
              </w:rPr>
              <w:t>39</w:t>
            </w:r>
            <w:r>
              <w:rPr>
                <w:noProof/>
                <w:webHidden/>
              </w:rPr>
              <w:fldChar w:fldCharType="end"/>
            </w:r>
          </w:hyperlink>
        </w:p>
        <w:p w14:paraId="4EB819A2" w14:textId="117BECFF" w:rsidR="004F03EF" w:rsidRDefault="004F03EF">
          <w:pPr>
            <w:pStyle w:val="TOC2"/>
            <w:tabs>
              <w:tab w:val="right" w:leader="dot" w:pos="9016"/>
            </w:tabs>
            <w:rPr>
              <w:rFonts w:asciiTheme="minorHAnsi" w:eastAsiaTheme="minorEastAsia" w:hAnsiTheme="minorHAnsi"/>
              <w:noProof/>
              <w:sz w:val="22"/>
              <w:lang w:eastAsia="en-GB"/>
            </w:rPr>
          </w:pPr>
          <w:hyperlink w:anchor="_Toc121922214" w:history="1">
            <w:r w:rsidRPr="002C5DBC">
              <w:rPr>
                <w:rStyle w:val="Hyperlink"/>
                <w:noProof/>
              </w:rPr>
              <w:t>Disability Strategy</w:t>
            </w:r>
            <w:r>
              <w:rPr>
                <w:noProof/>
                <w:webHidden/>
              </w:rPr>
              <w:tab/>
            </w:r>
            <w:r>
              <w:rPr>
                <w:noProof/>
                <w:webHidden/>
              </w:rPr>
              <w:fldChar w:fldCharType="begin"/>
            </w:r>
            <w:r>
              <w:rPr>
                <w:noProof/>
                <w:webHidden/>
              </w:rPr>
              <w:instrText xml:space="preserve"> PAGEREF _Toc121922214 \h </w:instrText>
            </w:r>
            <w:r>
              <w:rPr>
                <w:noProof/>
                <w:webHidden/>
              </w:rPr>
            </w:r>
            <w:r>
              <w:rPr>
                <w:noProof/>
                <w:webHidden/>
              </w:rPr>
              <w:fldChar w:fldCharType="separate"/>
            </w:r>
            <w:r>
              <w:rPr>
                <w:noProof/>
                <w:webHidden/>
              </w:rPr>
              <w:t>40</w:t>
            </w:r>
            <w:r>
              <w:rPr>
                <w:noProof/>
                <w:webHidden/>
              </w:rPr>
              <w:fldChar w:fldCharType="end"/>
            </w:r>
          </w:hyperlink>
        </w:p>
        <w:p w14:paraId="07BC2B81" w14:textId="2B575664" w:rsidR="004F03EF" w:rsidRDefault="004F03EF">
          <w:pPr>
            <w:pStyle w:val="TOC2"/>
            <w:tabs>
              <w:tab w:val="right" w:leader="dot" w:pos="9016"/>
            </w:tabs>
            <w:rPr>
              <w:rFonts w:asciiTheme="minorHAnsi" w:eastAsiaTheme="minorEastAsia" w:hAnsiTheme="minorHAnsi"/>
              <w:noProof/>
              <w:sz w:val="22"/>
              <w:lang w:eastAsia="en-GB"/>
            </w:rPr>
          </w:pPr>
          <w:hyperlink w:anchor="_Toc121922215" w:history="1">
            <w:r w:rsidRPr="002C5DBC">
              <w:rPr>
                <w:rStyle w:val="Hyperlink"/>
                <w:noProof/>
              </w:rPr>
              <w:t>Short breaks services</w:t>
            </w:r>
            <w:r>
              <w:rPr>
                <w:noProof/>
                <w:webHidden/>
              </w:rPr>
              <w:tab/>
            </w:r>
            <w:r>
              <w:rPr>
                <w:noProof/>
                <w:webHidden/>
              </w:rPr>
              <w:fldChar w:fldCharType="begin"/>
            </w:r>
            <w:r>
              <w:rPr>
                <w:noProof/>
                <w:webHidden/>
              </w:rPr>
              <w:instrText xml:space="preserve"> PAGEREF _Toc121922215 \h </w:instrText>
            </w:r>
            <w:r>
              <w:rPr>
                <w:noProof/>
                <w:webHidden/>
              </w:rPr>
            </w:r>
            <w:r>
              <w:rPr>
                <w:noProof/>
                <w:webHidden/>
              </w:rPr>
              <w:fldChar w:fldCharType="separate"/>
            </w:r>
            <w:r>
              <w:rPr>
                <w:noProof/>
                <w:webHidden/>
              </w:rPr>
              <w:t>41</w:t>
            </w:r>
            <w:r>
              <w:rPr>
                <w:noProof/>
                <w:webHidden/>
              </w:rPr>
              <w:fldChar w:fldCharType="end"/>
            </w:r>
          </w:hyperlink>
        </w:p>
        <w:p w14:paraId="58DDAA8F" w14:textId="7C67F9E1" w:rsidR="004F03EF" w:rsidRDefault="004F03EF">
          <w:pPr>
            <w:pStyle w:val="TOC1"/>
            <w:rPr>
              <w:rFonts w:asciiTheme="minorHAnsi" w:eastAsiaTheme="minorEastAsia" w:hAnsiTheme="minorHAnsi"/>
              <w:noProof/>
              <w:sz w:val="22"/>
              <w:lang w:eastAsia="en-GB"/>
            </w:rPr>
          </w:pPr>
          <w:hyperlink w:anchor="_Toc121922216" w:history="1">
            <w:r w:rsidRPr="002C5DBC">
              <w:rPr>
                <w:rStyle w:val="Hyperlink"/>
                <w:noProof/>
              </w:rPr>
              <w:t>14.0</w:t>
            </w:r>
            <w:r>
              <w:rPr>
                <w:rFonts w:asciiTheme="minorHAnsi" w:eastAsiaTheme="minorEastAsia" w:hAnsiTheme="minorHAnsi"/>
                <w:noProof/>
                <w:sz w:val="22"/>
                <w:lang w:eastAsia="en-GB"/>
              </w:rPr>
              <w:tab/>
            </w:r>
            <w:r w:rsidRPr="002C5DBC">
              <w:rPr>
                <w:rStyle w:val="Hyperlink"/>
                <w:noProof/>
              </w:rPr>
              <w:t>Article 24 – Health</w:t>
            </w:r>
            <w:r>
              <w:rPr>
                <w:noProof/>
                <w:webHidden/>
              </w:rPr>
              <w:tab/>
            </w:r>
            <w:r>
              <w:rPr>
                <w:noProof/>
                <w:webHidden/>
              </w:rPr>
              <w:fldChar w:fldCharType="begin"/>
            </w:r>
            <w:r>
              <w:rPr>
                <w:noProof/>
                <w:webHidden/>
              </w:rPr>
              <w:instrText xml:space="preserve"> PAGEREF _Toc121922216 \h </w:instrText>
            </w:r>
            <w:r>
              <w:rPr>
                <w:noProof/>
                <w:webHidden/>
              </w:rPr>
            </w:r>
            <w:r>
              <w:rPr>
                <w:noProof/>
                <w:webHidden/>
              </w:rPr>
              <w:fldChar w:fldCharType="separate"/>
            </w:r>
            <w:r>
              <w:rPr>
                <w:noProof/>
                <w:webHidden/>
              </w:rPr>
              <w:t>42</w:t>
            </w:r>
            <w:r>
              <w:rPr>
                <w:noProof/>
                <w:webHidden/>
              </w:rPr>
              <w:fldChar w:fldCharType="end"/>
            </w:r>
          </w:hyperlink>
        </w:p>
        <w:p w14:paraId="4AE520B7" w14:textId="41F07C11" w:rsidR="004F03EF" w:rsidRDefault="004F03EF">
          <w:pPr>
            <w:pStyle w:val="TOC2"/>
            <w:tabs>
              <w:tab w:val="right" w:leader="dot" w:pos="9016"/>
            </w:tabs>
            <w:rPr>
              <w:rFonts w:asciiTheme="minorHAnsi" w:eastAsiaTheme="minorEastAsia" w:hAnsiTheme="minorHAnsi"/>
              <w:noProof/>
              <w:sz w:val="22"/>
              <w:lang w:eastAsia="en-GB"/>
            </w:rPr>
          </w:pPr>
          <w:hyperlink w:anchor="_Toc121922217" w:history="1">
            <w:r w:rsidRPr="002C5DBC">
              <w:rPr>
                <w:rStyle w:val="Hyperlink"/>
                <w:noProof/>
              </w:rPr>
              <w:t>Mental health</w:t>
            </w:r>
            <w:r>
              <w:rPr>
                <w:noProof/>
                <w:webHidden/>
              </w:rPr>
              <w:tab/>
            </w:r>
            <w:r>
              <w:rPr>
                <w:noProof/>
                <w:webHidden/>
              </w:rPr>
              <w:fldChar w:fldCharType="begin"/>
            </w:r>
            <w:r>
              <w:rPr>
                <w:noProof/>
                <w:webHidden/>
              </w:rPr>
              <w:instrText xml:space="preserve"> PAGEREF _Toc121922217 \h </w:instrText>
            </w:r>
            <w:r>
              <w:rPr>
                <w:noProof/>
                <w:webHidden/>
              </w:rPr>
            </w:r>
            <w:r>
              <w:rPr>
                <w:noProof/>
                <w:webHidden/>
              </w:rPr>
              <w:fldChar w:fldCharType="separate"/>
            </w:r>
            <w:r>
              <w:rPr>
                <w:noProof/>
                <w:webHidden/>
              </w:rPr>
              <w:t>42</w:t>
            </w:r>
            <w:r>
              <w:rPr>
                <w:noProof/>
                <w:webHidden/>
              </w:rPr>
              <w:fldChar w:fldCharType="end"/>
            </w:r>
          </w:hyperlink>
        </w:p>
        <w:p w14:paraId="5324F47B" w14:textId="0BA51FE1" w:rsidR="004F03EF" w:rsidRDefault="004F03EF">
          <w:pPr>
            <w:pStyle w:val="TOC2"/>
            <w:tabs>
              <w:tab w:val="right" w:leader="dot" w:pos="9016"/>
            </w:tabs>
            <w:rPr>
              <w:rFonts w:asciiTheme="minorHAnsi" w:eastAsiaTheme="minorEastAsia" w:hAnsiTheme="minorHAnsi"/>
              <w:noProof/>
              <w:sz w:val="22"/>
              <w:lang w:eastAsia="en-GB"/>
            </w:rPr>
          </w:pPr>
          <w:hyperlink w:anchor="_Toc121922218" w:history="1">
            <w:r w:rsidRPr="002C5DBC">
              <w:rPr>
                <w:rStyle w:val="Hyperlink"/>
                <w:noProof/>
              </w:rPr>
              <w:t>Mental capacity</w:t>
            </w:r>
            <w:r>
              <w:rPr>
                <w:noProof/>
                <w:webHidden/>
              </w:rPr>
              <w:tab/>
            </w:r>
            <w:r>
              <w:rPr>
                <w:noProof/>
                <w:webHidden/>
              </w:rPr>
              <w:fldChar w:fldCharType="begin"/>
            </w:r>
            <w:r>
              <w:rPr>
                <w:noProof/>
                <w:webHidden/>
              </w:rPr>
              <w:instrText xml:space="preserve"> PAGEREF _Toc121922218 \h </w:instrText>
            </w:r>
            <w:r>
              <w:rPr>
                <w:noProof/>
                <w:webHidden/>
              </w:rPr>
            </w:r>
            <w:r>
              <w:rPr>
                <w:noProof/>
                <w:webHidden/>
              </w:rPr>
              <w:fldChar w:fldCharType="separate"/>
            </w:r>
            <w:r>
              <w:rPr>
                <w:noProof/>
                <w:webHidden/>
              </w:rPr>
              <w:t>43</w:t>
            </w:r>
            <w:r>
              <w:rPr>
                <w:noProof/>
                <w:webHidden/>
              </w:rPr>
              <w:fldChar w:fldCharType="end"/>
            </w:r>
          </w:hyperlink>
        </w:p>
        <w:p w14:paraId="4BC3F105" w14:textId="7936F85D" w:rsidR="004F03EF" w:rsidRDefault="004F03EF">
          <w:pPr>
            <w:pStyle w:val="TOC2"/>
            <w:tabs>
              <w:tab w:val="right" w:leader="dot" w:pos="9016"/>
            </w:tabs>
            <w:rPr>
              <w:rFonts w:asciiTheme="minorHAnsi" w:eastAsiaTheme="minorEastAsia" w:hAnsiTheme="minorHAnsi"/>
              <w:noProof/>
              <w:sz w:val="22"/>
              <w:lang w:eastAsia="en-GB"/>
            </w:rPr>
          </w:pPr>
          <w:hyperlink w:anchor="_Toc121922219" w:history="1">
            <w:r w:rsidRPr="002C5DBC">
              <w:rPr>
                <w:rStyle w:val="Hyperlink"/>
                <w:noProof/>
              </w:rPr>
              <w:t>Access to reproductive healthcare</w:t>
            </w:r>
            <w:r>
              <w:rPr>
                <w:noProof/>
                <w:webHidden/>
              </w:rPr>
              <w:tab/>
            </w:r>
            <w:r>
              <w:rPr>
                <w:noProof/>
                <w:webHidden/>
              </w:rPr>
              <w:fldChar w:fldCharType="begin"/>
            </w:r>
            <w:r>
              <w:rPr>
                <w:noProof/>
                <w:webHidden/>
              </w:rPr>
              <w:instrText xml:space="preserve"> PAGEREF _Toc121922219 \h </w:instrText>
            </w:r>
            <w:r>
              <w:rPr>
                <w:noProof/>
                <w:webHidden/>
              </w:rPr>
            </w:r>
            <w:r>
              <w:rPr>
                <w:noProof/>
                <w:webHidden/>
              </w:rPr>
              <w:fldChar w:fldCharType="separate"/>
            </w:r>
            <w:r>
              <w:rPr>
                <w:noProof/>
                <w:webHidden/>
              </w:rPr>
              <w:t>44</w:t>
            </w:r>
            <w:r>
              <w:rPr>
                <w:noProof/>
                <w:webHidden/>
              </w:rPr>
              <w:fldChar w:fldCharType="end"/>
            </w:r>
          </w:hyperlink>
        </w:p>
        <w:p w14:paraId="37021A98" w14:textId="3D4895B8" w:rsidR="004F03EF" w:rsidRDefault="004F03EF">
          <w:pPr>
            <w:pStyle w:val="TOC2"/>
            <w:tabs>
              <w:tab w:val="right" w:leader="dot" w:pos="9016"/>
            </w:tabs>
            <w:rPr>
              <w:rFonts w:asciiTheme="minorHAnsi" w:eastAsiaTheme="minorEastAsia" w:hAnsiTheme="minorHAnsi"/>
              <w:noProof/>
              <w:sz w:val="22"/>
              <w:lang w:eastAsia="en-GB"/>
            </w:rPr>
          </w:pPr>
          <w:hyperlink w:anchor="_Toc121922220" w:history="1">
            <w:r w:rsidRPr="002C5DBC">
              <w:rPr>
                <w:rStyle w:val="Hyperlink"/>
                <w:noProof/>
              </w:rPr>
              <w:t>Relationships, sexuality and gender identity education</w:t>
            </w:r>
            <w:r>
              <w:rPr>
                <w:noProof/>
                <w:webHidden/>
              </w:rPr>
              <w:tab/>
            </w:r>
            <w:r>
              <w:rPr>
                <w:noProof/>
                <w:webHidden/>
              </w:rPr>
              <w:fldChar w:fldCharType="begin"/>
            </w:r>
            <w:r>
              <w:rPr>
                <w:noProof/>
                <w:webHidden/>
              </w:rPr>
              <w:instrText xml:space="preserve"> PAGEREF _Toc121922220 \h </w:instrText>
            </w:r>
            <w:r>
              <w:rPr>
                <w:noProof/>
                <w:webHidden/>
              </w:rPr>
            </w:r>
            <w:r>
              <w:rPr>
                <w:noProof/>
                <w:webHidden/>
              </w:rPr>
              <w:fldChar w:fldCharType="separate"/>
            </w:r>
            <w:r>
              <w:rPr>
                <w:noProof/>
                <w:webHidden/>
              </w:rPr>
              <w:t>46</w:t>
            </w:r>
            <w:r>
              <w:rPr>
                <w:noProof/>
                <w:webHidden/>
              </w:rPr>
              <w:fldChar w:fldCharType="end"/>
            </w:r>
          </w:hyperlink>
        </w:p>
        <w:p w14:paraId="66C30186" w14:textId="4A1E56DC" w:rsidR="004F03EF" w:rsidRDefault="004F03EF">
          <w:pPr>
            <w:pStyle w:val="TOC2"/>
            <w:tabs>
              <w:tab w:val="right" w:leader="dot" w:pos="9016"/>
            </w:tabs>
            <w:rPr>
              <w:rFonts w:asciiTheme="minorHAnsi" w:eastAsiaTheme="minorEastAsia" w:hAnsiTheme="minorHAnsi"/>
              <w:noProof/>
              <w:sz w:val="22"/>
              <w:lang w:eastAsia="en-GB"/>
            </w:rPr>
          </w:pPr>
          <w:hyperlink w:anchor="_Toc121922221" w:history="1">
            <w:r w:rsidRPr="002C5DBC">
              <w:rPr>
                <w:rStyle w:val="Hyperlink"/>
                <w:noProof/>
              </w:rPr>
              <w:t>Climate change</w:t>
            </w:r>
            <w:r>
              <w:rPr>
                <w:noProof/>
                <w:webHidden/>
              </w:rPr>
              <w:tab/>
            </w:r>
            <w:r>
              <w:rPr>
                <w:noProof/>
                <w:webHidden/>
              </w:rPr>
              <w:fldChar w:fldCharType="begin"/>
            </w:r>
            <w:r>
              <w:rPr>
                <w:noProof/>
                <w:webHidden/>
              </w:rPr>
              <w:instrText xml:space="preserve"> PAGEREF _Toc121922221 \h </w:instrText>
            </w:r>
            <w:r>
              <w:rPr>
                <w:noProof/>
                <w:webHidden/>
              </w:rPr>
            </w:r>
            <w:r>
              <w:rPr>
                <w:noProof/>
                <w:webHidden/>
              </w:rPr>
              <w:fldChar w:fldCharType="separate"/>
            </w:r>
            <w:r>
              <w:rPr>
                <w:noProof/>
                <w:webHidden/>
              </w:rPr>
              <w:t>48</w:t>
            </w:r>
            <w:r>
              <w:rPr>
                <w:noProof/>
                <w:webHidden/>
              </w:rPr>
              <w:fldChar w:fldCharType="end"/>
            </w:r>
          </w:hyperlink>
        </w:p>
        <w:p w14:paraId="621E5662" w14:textId="1A06FC60" w:rsidR="004F03EF" w:rsidRDefault="004F03EF">
          <w:pPr>
            <w:pStyle w:val="TOC1"/>
            <w:rPr>
              <w:rFonts w:asciiTheme="minorHAnsi" w:eastAsiaTheme="minorEastAsia" w:hAnsiTheme="minorHAnsi"/>
              <w:noProof/>
              <w:sz w:val="22"/>
              <w:lang w:eastAsia="en-GB"/>
            </w:rPr>
          </w:pPr>
          <w:hyperlink w:anchor="_Toc121922222" w:history="1">
            <w:r w:rsidRPr="002C5DBC">
              <w:rPr>
                <w:rStyle w:val="Hyperlink"/>
                <w:noProof/>
              </w:rPr>
              <w:t>15.0</w:t>
            </w:r>
            <w:r>
              <w:rPr>
                <w:rFonts w:asciiTheme="minorHAnsi" w:eastAsiaTheme="minorEastAsia" w:hAnsiTheme="minorHAnsi"/>
                <w:noProof/>
                <w:sz w:val="22"/>
                <w:lang w:eastAsia="en-GB"/>
              </w:rPr>
              <w:tab/>
            </w:r>
            <w:r w:rsidRPr="002C5DBC">
              <w:rPr>
                <w:rStyle w:val="Hyperlink"/>
                <w:noProof/>
              </w:rPr>
              <w:t>Article 26 – Social Security</w:t>
            </w:r>
            <w:r>
              <w:rPr>
                <w:noProof/>
                <w:webHidden/>
              </w:rPr>
              <w:tab/>
            </w:r>
            <w:r>
              <w:rPr>
                <w:noProof/>
                <w:webHidden/>
              </w:rPr>
              <w:fldChar w:fldCharType="begin"/>
            </w:r>
            <w:r>
              <w:rPr>
                <w:noProof/>
                <w:webHidden/>
              </w:rPr>
              <w:instrText xml:space="preserve"> PAGEREF _Toc121922222 \h </w:instrText>
            </w:r>
            <w:r>
              <w:rPr>
                <w:noProof/>
                <w:webHidden/>
              </w:rPr>
            </w:r>
            <w:r>
              <w:rPr>
                <w:noProof/>
                <w:webHidden/>
              </w:rPr>
              <w:fldChar w:fldCharType="separate"/>
            </w:r>
            <w:r>
              <w:rPr>
                <w:noProof/>
                <w:webHidden/>
              </w:rPr>
              <w:t>49</w:t>
            </w:r>
            <w:r>
              <w:rPr>
                <w:noProof/>
                <w:webHidden/>
              </w:rPr>
              <w:fldChar w:fldCharType="end"/>
            </w:r>
          </w:hyperlink>
        </w:p>
        <w:p w14:paraId="40E4CC3C" w14:textId="2FDA75A1" w:rsidR="004F03EF" w:rsidRDefault="004F03EF">
          <w:pPr>
            <w:pStyle w:val="TOC2"/>
            <w:tabs>
              <w:tab w:val="right" w:leader="dot" w:pos="9016"/>
            </w:tabs>
            <w:rPr>
              <w:rFonts w:asciiTheme="minorHAnsi" w:eastAsiaTheme="minorEastAsia" w:hAnsiTheme="minorHAnsi"/>
              <w:noProof/>
              <w:sz w:val="22"/>
              <w:lang w:eastAsia="en-GB"/>
            </w:rPr>
          </w:pPr>
          <w:hyperlink w:anchor="_Toc121922223" w:history="1">
            <w:r w:rsidRPr="002C5DBC">
              <w:rPr>
                <w:rStyle w:val="Hyperlink"/>
                <w:noProof/>
              </w:rPr>
              <w:t>Cumulative impact assessment</w:t>
            </w:r>
            <w:r>
              <w:rPr>
                <w:noProof/>
                <w:webHidden/>
              </w:rPr>
              <w:tab/>
            </w:r>
            <w:r>
              <w:rPr>
                <w:noProof/>
                <w:webHidden/>
              </w:rPr>
              <w:fldChar w:fldCharType="begin"/>
            </w:r>
            <w:r>
              <w:rPr>
                <w:noProof/>
                <w:webHidden/>
              </w:rPr>
              <w:instrText xml:space="preserve"> PAGEREF _Toc121922223 \h </w:instrText>
            </w:r>
            <w:r>
              <w:rPr>
                <w:noProof/>
                <w:webHidden/>
              </w:rPr>
            </w:r>
            <w:r>
              <w:rPr>
                <w:noProof/>
                <w:webHidden/>
              </w:rPr>
              <w:fldChar w:fldCharType="separate"/>
            </w:r>
            <w:r>
              <w:rPr>
                <w:noProof/>
                <w:webHidden/>
              </w:rPr>
              <w:t>49</w:t>
            </w:r>
            <w:r>
              <w:rPr>
                <w:noProof/>
                <w:webHidden/>
              </w:rPr>
              <w:fldChar w:fldCharType="end"/>
            </w:r>
          </w:hyperlink>
        </w:p>
        <w:p w14:paraId="247C0373" w14:textId="5C224C7F" w:rsidR="004F03EF" w:rsidRDefault="004F03EF">
          <w:pPr>
            <w:pStyle w:val="TOC2"/>
            <w:tabs>
              <w:tab w:val="right" w:leader="dot" w:pos="9016"/>
            </w:tabs>
            <w:rPr>
              <w:rFonts w:asciiTheme="minorHAnsi" w:eastAsiaTheme="minorEastAsia" w:hAnsiTheme="minorHAnsi"/>
              <w:noProof/>
              <w:sz w:val="22"/>
              <w:lang w:eastAsia="en-GB"/>
            </w:rPr>
          </w:pPr>
          <w:hyperlink w:anchor="_Toc121922224" w:history="1">
            <w:r w:rsidRPr="002C5DBC">
              <w:rPr>
                <w:rStyle w:val="Hyperlink"/>
                <w:noProof/>
              </w:rPr>
              <w:t>Mitigation package</w:t>
            </w:r>
            <w:r>
              <w:rPr>
                <w:noProof/>
                <w:webHidden/>
              </w:rPr>
              <w:tab/>
            </w:r>
            <w:r>
              <w:rPr>
                <w:noProof/>
                <w:webHidden/>
              </w:rPr>
              <w:fldChar w:fldCharType="begin"/>
            </w:r>
            <w:r>
              <w:rPr>
                <w:noProof/>
                <w:webHidden/>
              </w:rPr>
              <w:instrText xml:space="preserve"> PAGEREF _Toc121922224 \h </w:instrText>
            </w:r>
            <w:r>
              <w:rPr>
                <w:noProof/>
                <w:webHidden/>
              </w:rPr>
            </w:r>
            <w:r>
              <w:rPr>
                <w:noProof/>
                <w:webHidden/>
              </w:rPr>
              <w:fldChar w:fldCharType="separate"/>
            </w:r>
            <w:r>
              <w:rPr>
                <w:noProof/>
                <w:webHidden/>
              </w:rPr>
              <w:t>50</w:t>
            </w:r>
            <w:r>
              <w:rPr>
                <w:noProof/>
                <w:webHidden/>
              </w:rPr>
              <w:fldChar w:fldCharType="end"/>
            </w:r>
          </w:hyperlink>
        </w:p>
        <w:p w14:paraId="449D0A99" w14:textId="4BC6BA8D" w:rsidR="004F03EF" w:rsidRDefault="004F03EF">
          <w:pPr>
            <w:pStyle w:val="TOC1"/>
            <w:rPr>
              <w:rFonts w:asciiTheme="minorHAnsi" w:eastAsiaTheme="minorEastAsia" w:hAnsiTheme="minorHAnsi"/>
              <w:noProof/>
              <w:sz w:val="22"/>
              <w:lang w:eastAsia="en-GB"/>
            </w:rPr>
          </w:pPr>
          <w:hyperlink w:anchor="_Toc121922225" w:history="1">
            <w:r w:rsidRPr="002C5DBC">
              <w:rPr>
                <w:rStyle w:val="Hyperlink"/>
                <w:noProof/>
              </w:rPr>
              <w:t>16.0</w:t>
            </w:r>
            <w:r>
              <w:rPr>
                <w:rFonts w:asciiTheme="minorHAnsi" w:eastAsiaTheme="minorEastAsia" w:hAnsiTheme="minorHAnsi"/>
                <w:noProof/>
                <w:sz w:val="22"/>
                <w:lang w:eastAsia="en-GB"/>
              </w:rPr>
              <w:tab/>
            </w:r>
            <w:r w:rsidRPr="002C5DBC">
              <w:rPr>
                <w:rStyle w:val="Hyperlink"/>
                <w:noProof/>
              </w:rPr>
              <w:t>Article 27 –Adequate Standard of Living</w:t>
            </w:r>
            <w:r>
              <w:rPr>
                <w:noProof/>
                <w:webHidden/>
              </w:rPr>
              <w:tab/>
            </w:r>
            <w:r>
              <w:rPr>
                <w:noProof/>
                <w:webHidden/>
              </w:rPr>
              <w:fldChar w:fldCharType="begin"/>
            </w:r>
            <w:r>
              <w:rPr>
                <w:noProof/>
                <w:webHidden/>
              </w:rPr>
              <w:instrText xml:space="preserve"> PAGEREF _Toc121922225 \h </w:instrText>
            </w:r>
            <w:r>
              <w:rPr>
                <w:noProof/>
                <w:webHidden/>
              </w:rPr>
            </w:r>
            <w:r>
              <w:rPr>
                <w:noProof/>
                <w:webHidden/>
              </w:rPr>
              <w:fldChar w:fldCharType="separate"/>
            </w:r>
            <w:r>
              <w:rPr>
                <w:noProof/>
                <w:webHidden/>
              </w:rPr>
              <w:t>53</w:t>
            </w:r>
            <w:r>
              <w:rPr>
                <w:noProof/>
                <w:webHidden/>
              </w:rPr>
              <w:fldChar w:fldCharType="end"/>
            </w:r>
          </w:hyperlink>
        </w:p>
        <w:p w14:paraId="57AC75C8" w14:textId="578921DF" w:rsidR="004F03EF" w:rsidRDefault="004F03EF">
          <w:pPr>
            <w:pStyle w:val="TOC2"/>
            <w:tabs>
              <w:tab w:val="right" w:leader="dot" w:pos="9016"/>
            </w:tabs>
            <w:rPr>
              <w:rFonts w:asciiTheme="minorHAnsi" w:eastAsiaTheme="minorEastAsia" w:hAnsiTheme="minorHAnsi"/>
              <w:noProof/>
              <w:sz w:val="22"/>
              <w:lang w:eastAsia="en-GB"/>
            </w:rPr>
          </w:pPr>
          <w:hyperlink w:anchor="_Toc121922226" w:history="1">
            <w:r w:rsidRPr="002C5DBC">
              <w:rPr>
                <w:rStyle w:val="Hyperlink"/>
                <w:noProof/>
              </w:rPr>
              <w:t>Child poverty</w:t>
            </w:r>
            <w:r>
              <w:rPr>
                <w:noProof/>
                <w:webHidden/>
              </w:rPr>
              <w:tab/>
            </w:r>
            <w:r>
              <w:rPr>
                <w:noProof/>
                <w:webHidden/>
              </w:rPr>
              <w:fldChar w:fldCharType="begin"/>
            </w:r>
            <w:r>
              <w:rPr>
                <w:noProof/>
                <w:webHidden/>
              </w:rPr>
              <w:instrText xml:space="preserve"> PAGEREF _Toc121922226 \h </w:instrText>
            </w:r>
            <w:r>
              <w:rPr>
                <w:noProof/>
                <w:webHidden/>
              </w:rPr>
            </w:r>
            <w:r>
              <w:rPr>
                <w:noProof/>
                <w:webHidden/>
              </w:rPr>
              <w:fldChar w:fldCharType="separate"/>
            </w:r>
            <w:r>
              <w:rPr>
                <w:noProof/>
                <w:webHidden/>
              </w:rPr>
              <w:t>53</w:t>
            </w:r>
            <w:r>
              <w:rPr>
                <w:noProof/>
                <w:webHidden/>
              </w:rPr>
              <w:fldChar w:fldCharType="end"/>
            </w:r>
          </w:hyperlink>
        </w:p>
        <w:p w14:paraId="0E2F7092" w14:textId="48476292" w:rsidR="004F03EF" w:rsidRDefault="004F03EF">
          <w:pPr>
            <w:pStyle w:val="TOC2"/>
            <w:tabs>
              <w:tab w:val="right" w:leader="dot" w:pos="9016"/>
            </w:tabs>
            <w:rPr>
              <w:rFonts w:asciiTheme="minorHAnsi" w:eastAsiaTheme="minorEastAsia" w:hAnsiTheme="minorHAnsi"/>
              <w:noProof/>
              <w:sz w:val="22"/>
              <w:lang w:eastAsia="en-GB"/>
            </w:rPr>
          </w:pPr>
          <w:hyperlink w:anchor="_Toc121922227" w:history="1">
            <w:r w:rsidRPr="002C5DBC">
              <w:rPr>
                <w:rStyle w:val="Hyperlink"/>
                <w:noProof/>
              </w:rPr>
              <w:t>Housing</w:t>
            </w:r>
            <w:r>
              <w:rPr>
                <w:noProof/>
                <w:webHidden/>
              </w:rPr>
              <w:tab/>
            </w:r>
            <w:r>
              <w:rPr>
                <w:noProof/>
                <w:webHidden/>
              </w:rPr>
              <w:fldChar w:fldCharType="begin"/>
            </w:r>
            <w:r>
              <w:rPr>
                <w:noProof/>
                <w:webHidden/>
              </w:rPr>
              <w:instrText xml:space="preserve"> PAGEREF _Toc121922227 \h </w:instrText>
            </w:r>
            <w:r>
              <w:rPr>
                <w:noProof/>
                <w:webHidden/>
              </w:rPr>
            </w:r>
            <w:r>
              <w:rPr>
                <w:noProof/>
                <w:webHidden/>
              </w:rPr>
              <w:fldChar w:fldCharType="separate"/>
            </w:r>
            <w:r>
              <w:rPr>
                <w:noProof/>
                <w:webHidden/>
              </w:rPr>
              <w:t>54</w:t>
            </w:r>
            <w:r>
              <w:rPr>
                <w:noProof/>
                <w:webHidden/>
              </w:rPr>
              <w:fldChar w:fldCharType="end"/>
            </w:r>
          </w:hyperlink>
        </w:p>
        <w:p w14:paraId="4CFE4EA1" w14:textId="09A6BCE1" w:rsidR="004F03EF" w:rsidRDefault="004F03EF">
          <w:pPr>
            <w:pStyle w:val="TOC2"/>
            <w:tabs>
              <w:tab w:val="right" w:leader="dot" w:pos="9016"/>
            </w:tabs>
            <w:rPr>
              <w:rFonts w:asciiTheme="minorHAnsi" w:eastAsiaTheme="minorEastAsia" w:hAnsiTheme="minorHAnsi"/>
              <w:noProof/>
              <w:sz w:val="22"/>
              <w:lang w:eastAsia="en-GB"/>
            </w:rPr>
          </w:pPr>
          <w:hyperlink w:anchor="_Toc121922228" w:history="1">
            <w:r w:rsidRPr="002C5DBC">
              <w:rPr>
                <w:rStyle w:val="Hyperlink"/>
                <w:noProof/>
              </w:rPr>
              <w:t>Access to food</w:t>
            </w:r>
            <w:r>
              <w:rPr>
                <w:noProof/>
                <w:webHidden/>
              </w:rPr>
              <w:tab/>
            </w:r>
            <w:r>
              <w:rPr>
                <w:noProof/>
                <w:webHidden/>
              </w:rPr>
              <w:fldChar w:fldCharType="begin"/>
            </w:r>
            <w:r>
              <w:rPr>
                <w:noProof/>
                <w:webHidden/>
              </w:rPr>
              <w:instrText xml:space="preserve"> PAGEREF _Toc121922228 \h </w:instrText>
            </w:r>
            <w:r>
              <w:rPr>
                <w:noProof/>
                <w:webHidden/>
              </w:rPr>
            </w:r>
            <w:r>
              <w:rPr>
                <w:noProof/>
                <w:webHidden/>
              </w:rPr>
              <w:fldChar w:fldCharType="separate"/>
            </w:r>
            <w:r>
              <w:rPr>
                <w:noProof/>
                <w:webHidden/>
              </w:rPr>
              <w:t>55</w:t>
            </w:r>
            <w:r>
              <w:rPr>
                <w:noProof/>
                <w:webHidden/>
              </w:rPr>
              <w:fldChar w:fldCharType="end"/>
            </w:r>
          </w:hyperlink>
        </w:p>
        <w:p w14:paraId="531B5C2A" w14:textId="0EB22CBA" w:rsidR="004F03EF" w:rsidRDefault="004F03EF">
          <w:pPr>
            <w:pStyle w:val="TOC2"/>
            <w:tabs>
              <w:tab w:val="right" w:leader="dot" w:pos="9016"/>
            </w:tabs>
            <w:rPr>
              <w:rFonts w:asciiTheme="minorHAnsi" w:eastAsiaTheme="minorEastAsia" w:hAnsiTheme="minorHAnsi"/>
              <w:noProof/>
              <w:sz w:val="22"/>
              <w:lang w:eastAsia="en-GB"/>
            </w:rPr>
          </w:pPr>
          <w:hyperlink w:anchor="_Toc121922229" w:history="1">
            <w:r w:rsidRPr="002C5DBC">
              <w:rPr>
                <w:rStyle w:val="Hyperlink"/>
                <w:noProof/>
              </w:rPr>
              <w:t>Fuel poverty</w:t>
            </w:r>
            <w:r>
              <w:rPr>
                <w:noProof/>
                <w:webHidden/>
              </w:rPr>
              <w:tab/>
            </w:r>
            <w:r>
              <w:rPr>
                <w:noProof/>
                <w:webHidden/>
              </w:rPr>
              <w:fldChar w:fldCharType="begin"/>
            </w:r>
            <w:r>
              <w:rPr>
                <w:noProof/>
                <w:webHidden/>
              </w:rPr>
              <w:instrText xml:space="preserve"> PAGEREF _Toc121922229 \h </w:instrText>
            </w:r>
            <w:r>
              <w:rPr>
                <w:noProof/>
                <w:webHidden/>
              </w:rPr>
            </w:r>
            <w:r>
              <w:rPr>
                <w:noProof/>
                <w:webHidden/>
              </w:rPr>
              <w:fldChar w:fldCharType="separate"/>
            </w:r>
            <w:r>
              <w:rPr>
                <w:noProof/>
                <w:webHidden/>
              </w:rPr>
              <w:t>56</w:t>
            </w:r>
            <w:r>
              <w:rPr>
                <w:noProof/>
                <w:webHidden/>
              </w:rPr>
              <w:fldChar w:fldCharType="end"/>
            </w:r>
          </w:hyperlink>
        </w:p>
        <w:p w14:paraId="5BABA3C1" w14:textId="233849F6" w:rsidR="004F03EF" w:rsidRDefault="004F03EF">
          <w:pPr>
            <w:pStyle w:val="TOC2"/>
            <w:tabs>
              <w:tab w:val="right" w:leader="dot" w:pos="9016"/>
            </w:tabs>
            <w:rPr>
              <w:rFonts w:asciiTheme="minorHAnsi" w:eastAsiaTheme="minorEastAsia" w:hAnsiTheme="minorHAnsi"/>
              <w:noProof/>
              <w:sz w:val="22"/>
              <w:lang w:eastAsia="en-GB"/>
            </w:rPr>
          </w:pPr>
          <w:hyperlink w:anchor="_Toc121922230" w:history="1">
            <w:r w:rsidRPr="002C5DBC">
              <w:rPr>
                <w:rStyle w:val="Hyperlink"/>
                <w:noProof/>
              </w:rPr>
              <w:t>Asylum financial support</w:t>
            </w:r>
            <w:r>
              <w:rPr>
                <w:noProof/>
                <w:webHidden/>
              </w:rPr>
              <w:tab/>
            </w:r>
            <w:r>
              <w:rPr>
                <w:noProof/>
                <w:webHidden/>
              </w:rPr>
              <w:fldChar w:fldCharType="begin"/>
            </w:r>
            <w:r>
              <w:rPr>
                <w:noProof/>
                <w:webHidden/>
              </w:rPr>
              <w:instrText xml:space="preserve"> PAGEREF _Toc121922230 \h </w:instrText>
            </w:r>
            <w:r>
              <w:rPr>
                <w:noProof/>
                <w:webHidden/>
              </w:rPr>
            </w:r>
            <w:r>
              <w:rPr>
                <w:noProof/>
                <w:webHidden/>
              </w:rPr>
              <w:fldChar w:fldCharType="separate"/>
            </w:r>
            <w:r>
              <w:rPr>
                <w:noProof/>
                <w:webHidden/>
              </w:rPr>
              <w:t>57</w:t>
            </w:r>
            <w:r>
              <w:rPr>
                <w:noProof/>
                <w:webHidden/>
              </w:rPr>
              <w:fldChar w:fldCharType="end"/>
            </w:r>
          </w:hyperlink>
        </w:p>
        <w:p w14:paraId="62B5FD8D" w14:textId="7165C750" w:rsidR="004F03EF" w:rsidRDefault="004F03EF">
          <w:pPr>
            <w:pStyle w:val="TOC1"/>
            <w:rPr>
              <w:rFonts w:asciiTheme="minorHAnsi" w:eastAsiaTheme="minorEastAsia" w:hAnsiTheme="minorHAnsi"/>
              <w:noProof/>
              <w:sz w:val="22"/>
              <w:lang w:eastAsia="en-GB"/>
            </w:rPr>
          </w:pPr>
          <w:hyperlink w:anchor="_Toc121922231" w:history="1">
            <w:r w:rsidRPr="002C5DBC">
              <w:rPr>
                <w:rStyle w:val="Hyperlink"/>
                <w:noProof/>
              </w:rPr>
              <w:t>17.0 Articles 28 and 29 – Education</w:t>
            </w:r>
            <w:r>
              <w:rPr>
                <w:noProof/>
                <w:webHidden/>
              </w:rPr>
              <w:tab/>
            </w:r>
            <w:r>
              <w:rPr>
                <w:noProof/>
                <w:webHidden/>
              </w:rPr>
              <w:fldChar w:fldCharType="begin"/>
            </w:r>
            <w:r>
              <w:rPr>
                <w:noProof/>
                <w:webHidden/>
              </w:rPr>
              <w:instrText xml:space="preserve"> PAGEREF _Toc121922231 \h </w:instrText>
            </w:r>
            <w:r>
              <w:rPr>
                <w:noProof/>
                <w:webHidden/>
              </w:rPr>
            </w:r>
            <w:r>
              <w:rPr>
                <w:noProof/>
                <w:webHidden/>
              </w:rPr>
              <w:fldChar w:fldCharType="separate"/>
            </w:r>
            <w:r>
              <w:rPr>
                <w:noProof/>
                <w:webHidden/>
              </w:rPr>
              <w:t>58</w:t>
            </w:r>
            <w:r>
              <w:rPr>
                <w:noProof/>
                <w:webHidden/>
              </w:rPr>
              <w:fldChar w:fldCharType="end"/>
            </w:r>
          </w:hyperlink>
        </w:p>
        <w:p w14:paraId="7ACCED46" w14:textId="4EEFD836" w:rsidR="004F03EF" w:rsidRDefault="004F03EF">
          <w:pPr>
            <w:pStyle w:val="TOC2"/>
            <w:tabs>
              <w:tab w:val="right" w:leader="dot" w:pos="9016"/>
            </w:tabs>
            <w:rPr>
              <w:rFonts w:asciiTheme="minorHAnsi" w:eastAsiaTheme="minorEastAsia" w:hAnsiTheme="minorHAnsi"/>
              <w:noProof/>
              <w:sz w:val="22"/>
              <w:lang w:eastAsia="en-GB"/>
            </w:rPr>
          </w:pPr>
          <w:hyperlink w:anchor="_Toc121922232" w:history="1">
            <w:r w:rsidRPr="002C5DBC">
              <w:rPr>
                <w:rStyle w:val="Hyperlink"/>
                <w:noProof/>
              </w:rPr>
              <w:t>Educational needs of specific groups of children</w:t>
            </w:r>
            <w:r>
              <w:rPr>
                <w:noProof/>
                <w:webHidden/>
              </w:rPr>
              <w:tab/>
            </w:r>
            <w:r>
              <w:rPr>
                <w:noProof/>
                <w:webHidden/>
              </w:rPr>
              <w:fldChar w:fldCharType="begin"/>
            </w:r>
            <w:r>
              <w:rPr>
                <w:noProof/>
                <w:webHidden/>
              </w:rPr>
              <w:instrText xml:space="preserve"> PAGEREF _Toc121922232 \h </w:instrText>
            </w:r>
            <w:r>
              <w:rPr>
                <w:noProof/>
                <w:webHidden/>
              </w:rPr>
            </w:r>
            <w:r>
              <w:rPr>
                <w:noProof/>
                <w:webHidden/>
              </w:rPr>
              <w:fldChar w:fldCharType="separate"/>
            </w:r>
            <w:r>
              <w:rPr>
                <w:noProof/>
                <w:webHidden/>
              </w:rPr>
              <w:t>58</w:t>
            </w:r>
            <w:r>
              <w:rPr>
                <w:noProof/>
                <w:webHidden/>
              </w:rPr>
              <w:fldChar w:fldCharType="end"/>
            </w:r>
          </w:hyperlink>
        </w:p>
        <w:p w14:paraId="22B79B94" w14:textId="17445F43" w:rsidR="004F03EF" w:rsidRDefault="004F03EF">
          <w:pPr>
            <w:pStyle w:val="TOC2"/>
            <w:tabs>
              <w:tab w:val="right" w:leader="dot" w:pos="9016"/>
            </w:tabs>
            <w:rPr>
              <w:rFonts w:asciiTheme="minorHAnsi" w:eastAsiaTheme="minorEastAsia" w:hAnsiTheme="minorHAnsi"/>
              <w:noProof/>
              <w:sz w:val="22"/>
              <w:lang w:eastAsia="en-GB"/>
            </w:rPr>
          </w:pPr>
          <w:hyperlink w:anchor="_Toc121922233" w:history="1">
            <w:r w:rsidRPr="002C5DBC">
              <w:rPr>
                <w:rStyle w:val="Hyperlink"/>
                <w:noProof/>
              </w:rPr>
              <w:t>Special educational needs</w:t>
            </w:r>
            <w:r>
              <w:rPr>
                <w:noProof/>
                <w:webHidden/>
              </w:rPr>
              <w:tab/>
            </w:r>
            <w:r>
              <w:rPr>
                <w:noProof/>
                <w:webHidden/>
              </w:rPr>
              <w:fldChar w:fldCharType="begin"/>
            </w:r>
            <w:r>
              <w:rPr>
                <w:noProof/>
                <w:webHidden/>
              </w:rPr>
              <w:instrText xml:space="preserve"> PAGEREF _Toc121922233 \h </w:instrText>
            </w:r>
            <w:r>
              <w:rPr>
                <w:noProof/>
                <w:webHidden/>
              </w:rPr>
            </w:r>
            <w:r>
              <w:rPr>
                <w:noProof/>
                <w:webHidden/>
              </w:rPr>
              <w:fldChar w:fldCharType="separate"/>
            </w:r>
            <w:r>
              <w:rPr>
                <w:noProof/>
                <w:webHidden/>
              </w:rPr>
              <w:t>60</w:t>
            </w:r>
            <w:r>
              <w:rPr>
                <w:noProof/>
                <w:webHidden/>
              </w:rPr>
              <w:fldChar w:fldCharType="end"/>
            </w:r>
          </w:hyperlink>
        </w:p>
        <w:p w14:paraId="78D84E0F" w14:textId="216D17C6" w:rsidR="004F03EF" w:rsidRDefault="004F03EF">
          <w:pPr>
            <w:pStyle w:val="TOC2"/>
            <w:tabs>
              <w:tab w:val="right" w:leader="dot" w:pos="9016"/>
            </w:tabs>
            <w:rPr>
              <w:rFonts w:asciiTheme="minorHAnsi" w:eastAsiaTheme="minorEastAsia" w:hAnsiTheme="minorHAnsi"/>
              <w:noProof/>
              <w:sz w:val="22"/>
              <w:lang w:eastAsia="en-GB"/>
            </w:rPr>
          </w:pPr>
          <w:hyperlink w:anchor="_Toc121922234" w:history="1">
            <w:r w:rsidRPr="002C5DBC">
              <w:rPr>
                <w:rStyle w:val="Hyperlink"/>
                <w:noProof/>
              </w:rPr>
              <w:t>COVID-19</w:t>
            </w:r>
            <w:r>
              <w:rPr>
                <w:noProof/>
                <w:webHidden/>
              </w:rPr>
              <w:tab/>
            </w:r>
            <w:r>
              <w:rPr>
                <w:noProof/>
                <w:webHidden/>
              </w:rPr>
              <w:fldChar w:fldCharType="begin"/>
            </w:r>
            <w:r>
              <w:rPr>
                <w:noProof/>
                <w:webHidden/>
              </w:rPr>
              <w:instrText xml:space="preserve"> PAGEREF _Toc121922234 \h </w:instrText>
            </w:r>
            <w:r>
              <w:rPr>
                <w:noProof/>
                <w:webHidden/>
              </w:rPr>
            </w:r>
            <w:r>
              <w:rPr>
                <w:noProof/>
                <w:webHidden/>
              </w:rPr>
              <w:fldChar w:fldCharType="separate"/>
            </w:r>
            <w:r>
              <w:rPr>
                <w:noProof/>
                <w:webHidden/>
              </w:rPr>
              <w:t>62</w:t>
            </w:r>
            <w:r>
              <w:rPr>
                <w:noProof/>
                <w:webHidden/>
              </w:rPr>
              <w:fldChar w:fldCharType="end"/>
            </w:r>
          </w:hyperlink>
        </w:p>
        <w:p w14:paraId="1D3798BA" w14:textId="793410F4" w:rsidR="004F03EF" w:rsidRDefault="004F03EF">
          <w:pPr>
            <w:pStyle w:val="TOC2"/>
            <w:tabs>
              <w:tab w:val="right" w:leader="dot" w:pos="9016"/>
            </w:tabs>
            <w:rPr>
              <w:rFonts w:asciiTheme="minorHAnsi" w:eastAsiaTheme="minorEastAsia" w:hAnsiTheme="minorHAnsi"/>
              <w:noProof/>
              <w:sz w:val="22"/>
              <w:lang w:eastAsia="en-GB"/>
            </w:rPr>
          </w:pPr>
          <w:hyperlink w:anchor="_Toc121922235" w:history="1">
            <w:r w:rsidRPr="002C5DBC">
              <w:rPr>
                <w:rStyle w:val="Hyperlink"/>
                <w:noProof/>
              </w:rPr>
              <w:t>Expulsions</w:t>
            </w:r>
            <w:r>
              <w:rPr>
                <w:noProof/>
                <w:webHidden/>
              </w:rPr>
              <w:tab/>
            </w:r>
            <w:r>
              <w:rPr>
                <w:noProof/>
                <w:webHidden/>
              </w:rPr>
              <w:fldChar w:fldCharType="begin"/>
            </w:r>
            <w:r>
              <w:rPr>
                <w:noProof/>
                <w:webHidden/>
              </w:rPr>
              <w:instrText xml:space="preserve"> PAGEREF _Toc121922235 \h </w:instrText>
            </w:r>
            <w:r>
              <w:rPr>
                <w:noProof/>
                <w:webHidden/>
              </w:rPr>
            </w:r>
            <w:r>
              <w:rPr>
                <w:noProof/>
                <w:webHidden/>
              </w:rPr>
              <w:fldChar w:fldCharType="separate"/>
            </w:r>
            <w:r>
              <w:rPr>
                <w:noProof/>
                <w:webHidden/>
              </w:rPr>
              <w:t>63</w:t>
            </w:r>
            <w:r>
              <w:rPr>
                <w:noProof/>
                <w:webHidden/>
              </w:rPr>
              <w:fldChar w:fldCharType="end"/>
            </w:r>
          </w:hyperlink>
        </w:p>
        <w:p w14:paraId="78EAD409" w14:textId="3C51DD99" w:rsidR="004F03EF" w:rsidRDefault="004F03EF">
          <w:pPr>
            <w:pStyle w:val="TOC2"/>
            <w:tabs>
              <w:tab w:val="right" w:leader="dot" w:pos="9016"/>
            </w:tabs>
            <w:rPr>
              <w:rFonts w:asciiTheme="minorHAnsi" w:eastAsiaTheme="minorEastAsia" w:hAnsiTheme="minorHAnsi"/>
              <w:noProof/>
              <w:sz w:val="22"/>
              <w:lang w:eastAsia="en-GB"/>
            </w:rPr>
          </w:pPr>
          <w:hyperlink w:anchor="_Toc121922236" w:history="1">
            <w:r w:rsidRPr="002C5DBC">
              <w:rPr>
                <w:rStyle w:val="Hyperlink"/>
                <w:noProof/>
              </w:rPr>
              <w:t>Academic selection</w:t>
            </w:r>
            <w:r>
              <w:rPr>
                <w:noProof/>
                <w:webHidden/>
              </w:rPr>
              <w:tab/>
            </w:r>
            <w:r>
              <w:rPr>
                <w:noProof/>
                <w:webHidden/>
              </w:rPr>
              <w:fldChar w:fldCharType="begin"/>
            </w:r>
            <w:r>
              <w:rPr>
                <w:noProof/>
                <w:webHidden/>
              </w:rPr>
              <w:instrText xml:space="preserve"> PAGEREF _Toc121922236 \h </w:instrText>
            </w:r>
            <w:r>
              <w:rPr>
                <w:noProof/>
                <w:webHidden/>
              </w:rPr>
            </w:r>
            <w:r>
              <w:rPr>
                <w:noProof/>
                <w:webHidden/>
              </w:rPr>
              <w:fldChar w:fldCharType="separate"/>
            </w:r>
            <w:r>
              <w:rPr>
                <w:noProof/>
                <w:webHidden/>
              </w:rPr>
              <w:t>64</w:t>
            </w:r>
            <w:r>
              <w:rPr>
                <w:noProof/>
                <w:webHidden/>
              </w:rPr>
              <w:fldChar w:fldCharType="end"/>
            </w:r>
          </w:hyperlink>
        </w:p>
        <w:p w14:paraId="63D54D83" w14:textId="64A91336" w:rsidR="004F03EF" w:rsidRDefault="004F03EF">
          <w:pPr>
            <w:pStyle w:val="TOC2"/>
            <w:tabs>
              <w:tab w:val="right" w:leader="dot" w:pos="9016"/>
            </w:tabs>
            <w:rPr>
              <w:rFonts w:asciiTheme="minorHAnsi" w:eastAsiaTheme="minorEastAsia" w:hAnsiTheme="minorHAnsi"/>
              <w:noProof/>
              <w:sz w:val="22"/>
              <w:lang w:eastAsia="en-GB"/>
            </w:rPr>
          </w:pPr>
          <w:hyperlink w:anchor="_Toc121922237" w:history="1">
            <w:r w:rsidRPr="002C5DBC">
              <w:rPr>
                <w:rStyle w:val="Hyperlink"/>
                <w:noProof/>
              </w:rPr>
              <w:t>Integrated education</w:t>
            </w:r>
            <w:r>
              <w:rPr>
                <w:noProof/>
                <w:webHidden/>
              </w:rPr>
              <w:tab/>
            </w:r>
            <w:r>
              <w:rPr>
                <w:noProof/>
                <w:webHidden/>
              </w:rPr>
              <w:fldChar w:fldCharType="begin"/>
            </w:r>
            <w:r>
              <w:rPr>
                <w:noProof/>
                <w:webHidden/>
              </w:rPr>
              <w:instrText xml:space="preserve"> PAGEREF _Toc121922237 \h </w:instrText>
            </w:r>
            <w:r>
              <w:rPr>
                <w:noProof/>
                <w:webHidden/>
              </w:rPr>
            </w:r>
            <w:r>
              <w:rPr>
                <w:noProof/>
                <w:webHidden/>
              </w:rPr>
              <w:fldChar w:fldCharType="separate"/>
            </w:r>
            <w:r>
              <w:rPr>
                <w:noProof/>
                <w:webHidden/>
              </w:rPr>
              <w:t>65</w:t>
            </w:r>
            <w:r>
              <w:rPr>
                <w:noProof/>
                <w:webHidden/>
              </w:rPr>
              <w:fldChar w:fldCharType="end"/>
            </w:r>
          </w:hyperlink>
        </w:p>
        <w:p w14:paraId="090B7854" w14:textId="54A08366" w:rsidR="004F03EF" w:rsidRDefault="004F03EF">
          <w:pPr>
            <w:pStyle w:val="TOC2"/>
            <w:tabs>
              <w:tab w:val="right" w:leader="dot" w:pos="9016"/>
            </w:tabs>
            <w:rPr>
              <w:rFonts w:asciiTheme="minorHAnsi" w:eastAsiaTheme="minorEastAsia" w:hAnsiTheme="minorHAnsi"/>
              <w:noProof/>
              <w:sz w:val="22"/>
              <w:lang w:eastAsia="en-GB"/>
            </w:rPr>
          </w:pPr>
          <w:hyperlink w:anchor="_Toc121922238" w:history="1">
            <w:r w:rsidRPr="002C5DBC">
              <w:rPr>
                <w:rStyle w:val="Hyperlink"/>
                <w:noProof/>
              </w:rPr>
              <w:t>Shared education</w:t>
            </w:r>
            <w:r>
              <w:rPr>
                <w:noProof/>
                <w:webHidden/>
              </w:rPr>
              <w:tab/>
            </w:r>
            <w:r>
              <w:rPr>
                <w:noProof/>
                <w:webHidden/>
              </w:rPr>
              <w:fldChar w:fldCharType="begin"/>
            </w:r>
            <w:r>
              <w:rPr>
                <w:noProof/>
                <w:webHidden/>
              </w:rPr>
              <w:instrText xml:space="preserve"> PAGEREF _Toc121922238 \h </w:instrText>
            </w:r>
            <w:r>
              <w:rPr>
                <w:noProof/>
                <w:webHidden/>
              </w:rPr>
            </w:r>
            <w:r>
              <w:rPr>
                <w:noProof/>
                <w:webHidden/>
              </w:rPr>
              <w:fldChar w:fldCharType="separate"/>
            </w:r>
            <w:r>
              <w:rPr>
                <w:noProof/>
                <w:webHidden/>
              </w:rPr>
              <w:t>66</w:t>
            </w:r>
            <w:r>
              <w:rPr>
                <w:noProof/>
                <w:webHidden/>
              </w:rPr>
              <w:fldChar w:fldCharType="end"/>
            </w:r>
          </w:hyperlink>
        </w:p>
        <w:p w14:paraId="1813EAE9" w14:textId="76A31E88" w:rsidR="004F03EF" w:rsidRDefault="004F03EF">
          <w:pPr>
            <w:pStyle w:val="TOC2"/>
            <w:tabs>
              <w:tab w:val="right" w:leader="dot" w:pos="9016"/>
            </w:tabs>
            <w:rPr>
              <w:rFonts w:asciiTheme="minorHAnsi" w:eastAsiaTheme="minorEastAsia" w:hAnsiTheme="minorHAnsi"/>
              <w:noProof/>
              <w:sz w:val="22"/>
              <w:lang w:eastAsia="en-GB"/>
            </w:rPr>
          </w:pPr>
          <w:hyperlink w:anchor="_Toc121922239" w:history="1">
            <w:r w:rsidRPr="002C5DBC">
              <w:rPr>
                <w:rStyle w:val="Hyperlink"/>
                <w:noProof/>
              </w:rPr>
              <w:t>Use of restraint</w:t>
            </w:r>
            <w:r>
              <w:rPr>
                <w:noProof/>
                <w:webHidden/>
              </w:rPr>
              <w:tab/>
            </w:r>
            <w:r>
              <w:rPr>
                <w:noProof/>
                <w:webHidden/>
              </w:rPr>
              <w:fldChar w:fldCharType="begin"/>
            </w:r>
            <w:r>
              <w:rPr>
                <w:noProof/>
                <w:webHidden/>
              </w:rPr>
              <w:instrText xml:space="preserve"> PAGEREF _Toc121922239 \h </w:instrText>
            </w:r>
            <w:r>
              <w:rPr>
                <w:noProof/>
                <w:webHidden/>
              </w:rPr>
            </w:r>
            <w:r>
              <w:rPr>
                <w:noProof/>
                <w:webHidden/>
              </w:rPr>
              <w:fldChar w:fldCharType="separate"/>
            </w:r>
            <w:r>
              <w:rPr>
                <w:noProof/>
                <w:webHidden/>
              </w:rPr>
              <w:t>67</w:t>
            </w:r>
            <w:r>
              <w:rPr>
                <w:noProof/>
                <w:webHidden/>
              </w:rPr>
              <w:fldChar w:fldCharType="end"/>
            </w:r>
          </w:hyperlink>
        </w:p>
        <w:p w14:paraId="4F27AF8E" w14:textId="50C562E5" w:rsidR="004F03EF" w:rsidRDefault="004F03EF">
          <w:pPr>
            <w:pStyle w:val="TOC1"/>
            <w:rPr>
              <w:rFonts w:asciiTheme="minorHAnsi" w:eastAsiaTheme="minorEastAsia" w:hAnsiTheme="minorHAnsi"/>
              <w:noProof/>
              <w:sz w:val="22"/>
              <w:lang w:eastAsia="en-GB"/>
            </w:rPr>
          </w:pPr>
          <w:hyperlink w:anchor="_Toc121922240" w:history="1">
            <w:r w:rsidRPr="002C5DBC">
              <w:rPr>
                <w:rStyle w:val="Hyperlink"/>
                <w:noProof/>
              </w:rPr>
              <w:t>18.0</w:t>
            </w:r>
            <w:r>
              <w:rPr>
                <w:rFonts w:asciiTheme="minorHAnsi" w:eastAsiaTheme="minorEastAsia" w:hAnsiTheme="minorHAnsi"/>
                <w:noProof/>
                <w:sz w:val="22"/>
                <w:lang w:eastAsia="en-GB"/>
              </w:rPr>
              <w:tab/>
            </w:r>
            <w:r w:rsidRPr="002C5DBC">
              <w:rPr>
                <w:rStyle w:val="Hyperlink"/>
                <w:noProof/>
              </w:rPr>
              <w:t>Article 31 – Rest and Leisure</w:t>
            </w:r>
            <w:r>
              <w:rPr>
                <w:noProof/>
                <w:webHidden/>
              </w:rPr>
              <w:tab/>
            </w:r>
            <w:r>
              <w:rPr>
                <w:noProof/>
                <w:webHidden/>
              </w:rPr>
              <w:fldChar w:fldCharType="begin"/>
            </w:r>
            <w:r>
              <w:rPr>
                <w:noProof/>
                <w:webHidden/>
              </w:rPr>
              <w:instrText xml:space="preserve"> PAGEREF _Toc121922240 \h </w:instrText>
            </w:r>
            <w:r>
              <w:rPr>
                <w:noProof/>
                <w:webHidden/>
              </w:rPr>
            </w:r>
            <w:r>
              <w:rPr>
                <w:noProof/>
                <w:webHidden/>
              </w:rPr>
              <w:fldChar w:fldCharType="separate"/>
            </w:r>
            <w:r>
              <w:rPr>
                <w:noProof/>
                <w:webHidden/>
              </w:rPr>
              <w:t>69</w:t>
            </w:r>
            <w:r>
              <w:rPr>
                <w:noProof/>
                <w:webHidden/>
              </w:rPr>
              <w:fldChar w:fldCharType="end"/>
            </w:r>
          </w:hyperlink>
        </w:p>
        <w:p w14:paraId="4086BC4B" w14:textId="338710B9" w:rsidR="004F03EF" w:rsidRDefault="004F03EF">
          <w:pPr>
            <w:pStyle w:val="TOC2"/>
            <w:tabs>
              <w:tab w:val="right" w:leader="dot" w:pos="9016"/>
            </w:tabs>
            <w:rPr>
              <w:rFonts w:asciiTheme="minorHAnsi" w:eastAsiaTheme="minorEastAsia" w:hAnsiTheme="minorHAnsi"/>
              <w:noProof/>
              <w:sz w:val="22"/>
              <w:lang w:eastAsia="en-GB"/>
            </w:rPr>
          </w:pPr>
          <w:hyperlink w:anchor="_Toc121922241" w:history="1">
            <w:r w:rsidRPr="002C5DBC">
              <w:rPr>
                <w:rStyle w:val="Hyperlink"/>
                <w:noProof/>
              </w:rPr>
              <w:t>Travellers’ accommodation</w:t>
            </w:r>
            <w:r>
              <w:rPr>
                <w:noProof/>
                <w:webHidden/>
              </w:rPr>
              <w:tab/>
            </w:r>
            <w:r>
              <w:rPr>
                <w:noProof/>
                <w:webHidden/>
              </w:rPr>
              <w:fldChar w:fldCharType="begin"/>
            </w:r>
            <w:r>
              <w:rPr>
                <w:noProof/>
                <w:webHidden/>
              </w:rPr>
              <w:instrText xml:space="preserve"> PAGEREF _Toc121922241 \h </w:instrText>
            </w:r>
            <w:r>
              <w:rPr>
                <w:noProof/>
                <w:webHidden/>
              </w:rPr>
            </w:r>
            <w:r>
              <w:rPr>
                <w:noProof/>
                <w:webHidden/>
              </w:rPr>
              <w:fldChar w:fldCharType="separate"/>
            </w:r>
            <w:r>
              <w:rPr>
                <w:noProof/>
                <w:webHidden/>
              </w:rPr>
              <w:t>69</w:t>
            </w:r>
            <w:r>
              <w:rPr>
                <w:noProof/>
                <w:webHidden/>
              </w:rPr>
              <w:fldChar w:fldCharType="end"/>
            </w:r>
          </w:hyperlink>
        </w:p>
        <w:p w14:paraId="0BF25DB2" w14:textId="7EA690BA" w:rsidR="004F03EF" w:rsidRDefault="004F03EF">
          <w:pPr>
            <w:pStyle w:val="TOC1"/>
            <w:rPr>
              <w:rFonts w:asciiTheme="minorHAnsi" w:eastAsiaTheme="minorEastAsia" w:hAnsiTheme="minorHAnsi"/>
              <w:noProof/>
              <w:sz w:val="22"/>
              <w:lang w:eastAsia="en-GB"/>
            </w:rPr>
          </w:pPr>
          <w:hyperlink w:anchor="_Toc121922242" w:history="1">
            <w:r w:rsidRPr="002C5DBC">
              <w:rPr>
                <w:rStyle w:val="Hyperlink"/>
                <w:noProof/>
              </w:rPr>
              <w:t>19.0 Article 32 – Employment</w:t>
            </w:r>
            <w:r>
              <w:rPr>
                <w:noProof/>
                <w:webHidden/>
              </w:rPr>
              <w:tab/>
            </w:r>
            <w:r>
              <w:rPr>
                <w:noProof/>
                <w:webHidden/>
              </w:rPr>
              <w:fldChar w:fldCharType="begin"/>
            </w:r>
            <w:r>
              <w:rPr>
                <w:noProof/>
                <w:webHidden/>
              </w:rPr>
              <w:instrText xml:space="preserve"> PAGEREF _Toc121922242 \h </w:instrText>
            </w:r>
            <w:r>
              <w:rPr>
                <w:noProof/>
                <w:webHidden/>
              </w:rPr>
            </w:r>
            <w:r>
              <w:rPr>
                <w:noProof/>
                <w:webHidden/>
              </w:rPr>
              <w:fldChar w:fldCharType="separate"/>
            </w:r>
            <w:r>
              <w:rPr>
                <w:noProof/>
                <w:webHidden/>
              </w:rPr>
              <w:t>69</w:t>
            </w:r>
            <w:r>
              <w:rPr>
                <w:noProof/>
                <w:webHidden/>
              </w:rPr>
              <w:fldChar w:fldCharType="end"/>
            </w:r>
          </w:hyperlink>
        </w:p>
        <w:p w14:paraId="6C011DF9" w14:textId="60018E47" w:rsidR="004F03EF" w:rsidRDefault="004F03EF">
          <w:pPr>
            <w:pStyle w:val="TOC2"/>
            <w:tabs>
              <w:tab w:val="right" w:leader="dot" w:pos="9016"/>
            </w:tabs>
            <w:rPr>
              <w:rFonts w:asciiTheme="minorHAnsi" w:eastAsiaTheme="minorEastAsia" w:hAnsiTheme="minorHAnsi"/>
              <w:noProof/>
              <w:sz w:val="22"/>
              <w:lang w:eastAsia="en-GB"/>
            </w:rPr>
          </w:pPr>
          <w:hyperlink w:anchor="_Toc121922243" w:history="1">
            <w:r w:rsidRPr="002C5DBC">
              <w:rPr>
                <w:rStyle w:val="Hyperlink"/>
                <w:noProof/>
              </w:rPr>
              <w:t>Pathway programmes</w:t>
            </w:r>
            <w:r>
              <w:rPr>
                <w:noProof/>
                <w:webHidden/>
              </w:rPr>
              <w:tab/>
            </w:r>
            <w:r>
              <w:rPr>
                <w:noProof/>
                <w:webHidden/>
              </w:rPr>
              <w:fldChar w:fldCharType="begin"/>
            </w:r>
            <w:r>
              <w:rPr>
                <w:noProof/>
                <w:webHidden/>
              </w:rPr>
              <w:instrText xml:space="preserve"> PAGEREF _Toc121922243 \h </w:instrText>
            </w:r>
            <w:r>
              <w:rPr>
                <w:noProof/>
                <w:webHidden/>
              </w:rPr>
            </w:r>
            <w:r>
              <w:rPr>
                <w:noProof/>
                <w:webHidden/>
              </w:rPr>
              <w:fldChar w:fldCharType="separate"/>
            </w:r>
            <w:r>
              <w:rPr>
                <w:noProof/>
                <w:webHidden/>
              </w:rPr>
              <w:t>69</w:t>
            </w:r>
            <w:r>
              <w:rPr>
                <w:noProof/>
                <w:webHidden/>
              </w:rPr>
              <w:fldChar w:fldCharType="end"/>
            </w:r>
          </w:hyperlink>
        </w:p>
        <w:p w14:paraId="01E7CF06" w14:textId="1DCD2EF4" w:rsidR="004F03EF" w:rsidRDefault="004F03EF">
          <w:pPr>
            <w:pStyle w:val="TOC1"/>
            <w:rPr>
              <w:rFonts w:asciiTheme="minorHAnsi" w:eastAsiaTheme="minorEastAsia" w:hAnsiTheme="minorHAnsi"/>
              <w:noProof/>
              <w:sz w:val="22"/>
              <w:lang w:eastAsia="en-GB"/>
            </w:rPr>
          </w:pPr>
          <w:hyperlink w:anchor="_Toc121922244" w:history="1">
            <w:r w:rsidRPr="002C5DBC">
              <w:rPr>
                <w:rStyle w:val="Hyperlink"/>
                <w:noProof/>
              </w:rPr>
              <w:t>20.0</w:t>
            </w:r>
            <w:r>
              <w:rPr>
                <w:rFonts w:asciiTheme="minorHAnsi" w:eastAsiaTheme="minorEastAsia" w:hAnsiTheme="minorHAnsi"/>
                <w:noProof/>
                <w:sz w:val="22"/>
                <w:lang w:eastAsia="en-GB"/>
              </w:rPr>
              <w:tab/>
            </w:r>
            <w:r w:rsidRPr="002C5DBC">
              <w:rPr>
                <w:rStyle w:val="Hyperlink"/>
                <w:noProof/>
              </w:rPr>
              <w:t>Article 40 – Criminal Justice System</w:t>
            </w:r>
            <w:r>
              <w:rPr>
                <w:noProof/>
                <w:webHidden/>
              </w:rPr>
              <w:tab/>
            </w:r>
            <w:r>
              <w:rPr>
                <w:noProof/>
                <w:webHidden/>
              </w:rPr>
              <w:fldChar w:fldCharType="begin"/>
            </w:r>
            <w:r>
              <w:rPr>
                <w:noProof/>
                <w:webHidden/>
              </w:rPr>
              <w:instrText xml:space="preserve"> PAGEREF _Toc121922244 \h </w:instrText>
            </w:r>
            <w:r>
              <w:rPr>
                <w:noProof/>
                <w:webHidden/>
              </w:rPr>
            </w:r>
            <w:r>
              <w:rPr>
                <w:noProof/>
                <w:webHidden/>
              </w:rPr>
              <w:fldChar w:fldCharType="separate"/>
            </w:r>
            <w:r>
              <w:rPr>
                <w:noProof/>
                <w:webHidden/>
              </w:rPr>
              <w:t>71</w:t>
            </w:r>
            <w:r>
              <w:rPr>
                <w:noProof/>
                <w:webHidden/>
              </w:rPr>
              <w:fldChar w:fldCharType="end"/>
            </w:r>
          </w:hyperlink>
        </w:p>
        <w:p w14:paraId="34FDCC82" w14:textId="7B3149B6" w:rsidR="004F03EF" w:rsidRDefault="004F03EF">
          <w:pPr>
            <w:pStyle w:val="TOC2"/>
            <w:tabs>
              <w:tab w:val="right" w:leader="dot" w:pos="9016"/>
            </w:tabs>
            <w:rPr>
              <w:rFonts w:asciiTheme="minorHAnsi" w:eastAsiaTheme="minorEastAsia" w:hAnsiTheme="minorHAnsi"/>
              <w:noProof/>
              <w:sz w:val="22"/>
              <w:lang w:eastAsia="en-GB"/>
            </w:rPr>
          </w:pPr>
          <w:hyperlink w:anchor="_Toc121922245" w:history="1">
            <w:r w:rsidRPr="002C5DBC">
              <w:rPr>
                <w:rStyle w:val="Hyperlink"/>
                <w:noProof/>
              </w:rPr>
              <w:t>Age of criminal responsibility</w:t>
            </w:r>
            <w:r>
              <w:rPr>
                <w:noProof/>
                <w:webHidden/>
              </w:rPr>
              <w:tab/>
            </w:r>
            <w:r>
              <w:rPr>
                <w:noProof/>
                <w:webHidden/>
              </w:rPr>
              <w:fldChar w:fldCharType="begin"/>
            </w:r>
            <w:r>
              <w:rPr>
                <w:noProof/>
                <w:webHidden/>
              </w:rPr>
              <w:instrText xml:space="preserve"> PAGEREF _Toc121922245 \h </w:instrText>
            </w:r>
            <w:r>
              <w:rPr>
                <w:noProof/>
                <w:webHidden/>
              </w:rPr>
            </w:r>
            <w:r>
              <w:rPr>
                <w:noProof/>
                <w:webHidden/>
              </w:rPr>
              <w:fldChar w:fldCharType="separate"/>
            </w:r>
            <w:r>
              <w:rPr>
                <w:noProof/>
                <w:webHidden/>
              </w:rPr>
              <w:t>71</w:t>
            </w:r>
            <w:r>
              <w:rPr>
                <w:noProof/>
                <w:webHidden/>
              </w:rPr>
              <w:fldChar w:fldCharType="end"/>
            </w:r>
          </w:hyperlink>
        </w:p>
        <w:p w14:paraId="079B5AF8" w14:textId="7607EC1B" w:rsidR="004F03EF" w:rsidRDefault="004F03EF">
          <w:pPr>
            <w:pStyle w:val="TOC2"/>
            <w:tabs>
              <w:tab w:val="right" w:leader="dot" w:pos="9016"/>
            </w:tabs>
            <w:rPr>
              <w:rFonts w:asciiTheme="minorHAnsi" w:eastAsiaTheme="minorEastAsia" w:hAnsiTheme="minorHAnsi"/>
              <w:noProof/>
              <w:sz w:val="22"/>
              <w:lang w:eastAsia="en-GB"/>
            </w:rPr>
          </w:pPr>
          <w:hyperlink w:anchor="_Toc121922246" w:history="1">
            <w:r w:rsidRPr="002C5DBC">
              <w:rPr>
                <w:rStyle w:val="Hyperlink"/>
                <w:noProof/>
              </w:rPr>
              <w:t>Remand of children</w:t>
            </w:r>
            <w:r>
              <w:rPr>
                <w:noProof/>
                <w:webHidden/>
              </w:rPr>
              <w:tab/>
            </w:r>
            <w:r>
              <w:rPr>
                <w:noProof/>
                <w:webHidden/>
              </w:rPr>
              <w:fldChar w:fldCharType="begin"/>
            </w:r>
            <w:r>
              <w:rPr>
                <w:noProof/>
                <w:webHidden/>
              </w:rPr>
              <w:instrText xml:space="preserve"> PAGEREF _Toc121922246 \h </w:instrText>
            </w:r>
            <w:r>
              <w:rPr>
                <w:noProof/>
                <w:webHidden/>
              </w:rPr>
            </w:r>
            <w:r>
              <w:rPr>
                <w:noProof/>
                <w:webHidden/>
              </w:rPr>
              <w:fldChar w:fldCharType="separate"/>
            </w:r>
            <w:r>
              <w:rPr>
                <w:noProof/>
                <w:webHidden/>
              </w:rPr>
              <w:t>72</w:t>
            </w:r>
            <w:r>
              <w:rPr>
                <w:noProof/>
                <w:webHidden/>
              </w:rPr>
              <w:fldChar w:fldCharType="end"/>
            </w:r>
          </w:hyperlink>
        </w:p>
        <w:p w14:paraId="6DFD8800" w14:textId="5B02E8C3" w:rsidR="004F03EF" w:rsidRDefault="004F03EF">
          <w:pPr>
            <w:pStyle w:val="TOC2"/>
            <w:tabs>
              <w:tab w:val="right" w:leader="dot" w:pos="9016"/>
            </w:tabs>
            <w:rPr>
              <w:rFonts w:asciiTheme="minorHAnsi" w:eastAsiaTheme="minorEastAsia" w:hAnsiTheme="minorHAnsi"/>
              <w:noProof/>
              <w:sz w:val="22"/>
              <w:lang w:eastAsia="en-GB"/>
            </w:rPr>
          </w:pPr>
          <w:hyperlink w:anchor="_Toc121922247" w:history="1">
            <w:r w:rsidRPr="002C5DBC">
              <w:rPr>
                <w:rStyle w:val="Hyperlink"/>
                <w:rFonts w:eastAsia="Verdana"/>
                <w:noProof/>
              </w:rPr>
              <w:t>Secure accommodation</w:t>
            </w:r>
            <w:r>
              <w:rPr>
                <w:noProof/>
                <w:webHidden/>
              </w:rPr>
              <w:tab/>
            </w:r>
            <w:r>
              <w:rPr>
                <w:noProof/>
                <w:webHidden/>
              </w:rPr>
              <w:fldChar w:fldCharType="begin"/>
            </w:r>
            <w:r>
              <w:rPr>
                <w:noProof/>
                <w:webHidden/>
              </w:rPr>
              <w:instrText xml:space="preserve"> PAGEREF _Toc121922247 \h </w:instrText>
            </w:r>
            <w:r>
              <w:rPr>
                <w:noProof/>
                <w:webHidden/>
              </w:rPr>
            </w:r>
            <w:r>
              <w:rPr>
                <w:noProof/>
                <w:webHidden/>
              </w:rPr>
              <w:fldChar w:fldCharType="separate"/>
            </w:r>
            <w:r>
              <w:rPr>
                <w:noProof/>
                <w:webHidden/>
              </w:rPr>
              <w:t>73</w:t>
            </w:r>
            <w:r>
              <w:rPr>
                <w:noProof/>
                <w:webHidden/>
              </w:rPr>
              <w:fldChar w:fldCharType="end"/>
            </w:r>
          </w:hyperlink>
        </w:p>
        <w:p w14:paraId="325752C6" w14:textId="30069795" w:rsidR="004F03EF" w:rsidRDefault="004F03EF">
          <w:pPr>
            <w:pStyle w:val="TOC1"/>
            <w:rPr>
              <w:rFonts w:asciiTheme="minorHAnsi" w:eastAsiaTheme="minorEastAsia" w:hAnsiTheme="minorHAnsi"/>
              <w:noProof/>
              <w:sz w:val="22"/>
              <w:lang w:eastAsia="en-GB"/>
            </w:rPr>
          </w:pPr>
          <w:hyperlink w:anchor="_Toc121922248" w:history="1">
            <w:r w:rsidRPr="002C5DBC">
              <w:rPr>
                <w:rStyle w:val="Hyperlink"/>
                <w:noProof/>
              </w:rPr>
              <w:t>21.0</w:t>
            </w:r>
            <w:r>
              <w:rPr>
                <w:rFonts w:asciiTheme="minorHAnsi" w:eastAsiaTheme="minorEastAsia" w:hAnsiTheme="minorHAnsi"/>
                <w:noProof/>
                <w:sz w:val="22"/>
                <w:lang w:eastAsia="en-GB"/>
              </w:rPr>
              <w:tab/>
            </w:r>
            <w:r w:rsidRPr="002C5DBC">
              <w:rPr>
                <w:rStyle w:val="Hyperlink"/>
                <w:noProof/>
              </w:rPr>
              <w:t>Article 34 – Sexual Exploitation</w:t>
            </w:r>
            <w:r>
              <w:rPr>
                <w:noProof/>
                <w:webHidden/>
              </w:rPr>
              <w:tab/>
            </w:r>
            <w:r>
              <w:rPr>
                <w:noProof/>
                <w:webHidden/>
              </w:rPr>
              <w:fldChar w:fldCharType="begin"/>
            </w:r>
            <w:r>
              <w:rPr>
                <w:noProof/>
                <w:webHidden/>
              </w:rPr>
              <w:instrText xml:space="preserve"> PAGEREF _Toc121922248 \h </w:instrText>
            </w:r>
            <w:r>
              <w:rPr>
                <w:noProof/>
                <w:webHidden/>
              </w:rPr>
            </w:r>
            <w:r>
              <w:rPr>
                <w:noProof/>
                <w:webHidden/>
              </w:rPr>
              <w:fldChar w:fldCharType="separate"/>
            </w:r>
            <w:r>
              <w:rPr>
                <w:noProof/>
                <w:webHidden/>
              </w:rPr>
              <w:t>74</w:t>
            </w:r>
            <w:r>
              <w:rPr>
                <w:noProof/>
                <w:webHidden/>
              </w:rPr>
              <w:fldChar w:fldCharType="end"/>
            </w:r>
          </w:hyperlink>
        </w:p>
        <w:p w14:paraId="5B0F49A0" w14:textId="4E33C966" w:rsidR="004F03EF" w:rsidRDefault="004F03EF">
          <w:pPr>
            <w:pStyle w:val="TOC2"/>
            <w:tabs>
              <w:tab w:val="right" w:leader="dot" w:pos="9016"/>
            </w:tabs>
            <w:rPr>
              <w:rFonts w:asciiTheme="minorHAnsi" w:eastAsiaTheme="minorEastAsia" w:hAnsiTheme="minorHAnsi"/>
              <w:noProof/>
              <w:sz w:val="22"/>
              <w:lang w:eastAsia="en-GB"/>
            </w:rPr>
          </w:pPr>
          <w:hyperlink w:anchor="_Toc121922249" w:history="1">
            <w:r w:rsidRPr="002C5DBC">
              <w:rPr>
                <w:rStyle w:val="Hyperlink"/>
                <w:noProof/>
              </w:rPr>
              <w:t>Child sexual exploitation</w:t>
            </w:r>
            <w:r>
              <w:rPr>
                <w:noProof/>
                <w:webHidden/>
              </w:rPr>
              <w:tab/>
            </w:r>
            <w:r>
              <w:rPr>
                <w:noProof/>
                <w:webHidden/>
              </w:rPr>
              <w:fldChar w:fldCharType="begin"/>
            </w:r>
            <w:r>
              <w:rPr>
                <w:noProof/>
                <w:webHidden/>
              </w:rPr>
              <w:instrText xml:space="preserve"> PAGEREF _Toc121922249 \h </w:instrText>
            </w:r>
            <w:r>
              <w:rPr>
                <w:noProof/>
                <w:webHidden/>
              </w:rPr>
            </w:r>
            <w:r>
              <w:rPr>
                <w:noProof/>
                <w:webHidden/>
              </w:rPr>
              <w:fldChar w:fldCharType="separate"/>
            </w:r>
            <w:r>
              <w:rPr>
                <w:noProof/>
                <w:webHidden/>
              </w:rPr>
              <w:t>74</w:t>
            </w:r>
            <w:r>
              <w:rPr>
                <w:noProof/>
                <w:webHidden/>
              </w:rPr>
              <w:fldChar w:fldCharType="end"/>
            </w:r>
          </w:hyperlink>
        </w:p>
        <w:p w14:paraId="748854D7" w14:textId="5FF260E2" w:rsidR="004F03EF" w:rsidRDefault="004F03EF">
          <w:pPr>
            <w:pStyle w:val="TOC2"/>
            <w:tabs>
              <w:tab w:val="right" w:leader="dot" w:pos="9016"/>
            </w:tabs>
            <w:rPr>
              <w:rFonts w:asciiTheme="minorHAnsi" w:eastAsiaTheme="minorEastAsia" w:hAnsiTheme="minorHAnsi"/>
              <w:noProof/>
              <w:sz w:val="22"/>
              <w:lang w:eastAsia="en-GB"/>
            </w:rPr>
          </w:pPr>
          <w:hyperlink w:anchor="_Toc121922250" w:history="1">
            <w:r w:rsidRPr="002C5DBC">
              <w:rPr>
                <w:rStyle w:val="Hyperlink"/>
                <w:noProof/>
              </w:rPr>
              <w:t>Modern slavery and human trafficking of children</w:t>
            </w:r>
            <w:r>
              <w:rPr>
                <w:noProof/>
                <w:webHidden/>
              </w:rPr>
              <w:tab/>
            </w:r>
            <w:r>
              <w:rPr>
                <w:noProof/>
                <w:webHidden/>
              </w:rPr>
              <w:fldChar w:fldCharType="begin"/>
            </w:r>
            <w:r>
              <w:rPr>
                <w:noProof/>
                <w:webHidden/>
              </w:rPr>
              <w:instrText xml:space="preserve"> PAGEREF _Toc121922250 \h </w:instrText>
            </w:r>
            <w:r>
              <w:rPr>
                <w:noProof/>
                <w:webHidden/>
              </w:rPr>
            </w:r>
            <w:r>
              <w:rPr>
                <w:noProof/>
                <w:webHidden/>
              </w:rPr>
              <w:fldChar w:fldCharType="separate"/>
            </w:r>
            <w:r>
              <w:rPr>
                <w:noProof/>
                <w:webHidden/>
              </w:rPr>
              <w:t>76</w:t>
            </w:r>
            <w:r>
              <w:rPr>
                <w:noProof/>
                <w:webHidden/>
              </w:rPr>
              <w:fldChar w:fldCharType="end"/>
            </w:r>
          </w:hyperlink>
        </w:p>
        <w:p w14:paraId="2D2BB484" w14:textId="74177B39" w:rsidR="004F03EF" w:rsidRDefault="004F03EF">
          <w:pPr>
            <w:pStyle w:val="TOC2"/>
            <w:tabs>
              <w:tab w:val="right" w:leader="dot" w:pos="9016"/>
            </w:tabs>
            <w:rPr>
              <w:rFonts w:asciiTheme="minorHAnsi" w:eastAsiaTheme="minorEastAsia" w:hAnsiTheme="minorHAnsi"/>
              <w:noProof/>
              <w:sz w:val="22"/>
              <w:lang w:eastAsia="en-GB"/>
            </w:rPr>
          </w:pPr>
          <w:hyperlink w:anchor="_Toc121922251" w:history="1">
            <w:r w:rsidRPr="002C5DBC">
              <w:rPr>
                <w:rStyle w:val="Hyperlink"/>
                <w:noProof/>
              </w:rPr>
              <w:t>Child marriage</w:t>
            </w:r>
            <w:r>
              <w:rPr>
                <w:noProof/>
                <w:webHidden/>
              </w:rPr>
              <w:tab/>
            </w:r>
            <w:r>
              <w:rPr>
                <w:noProof/>
                <w:webHidden/>
              </w:rPr>
              <w:fldChar w:fldCharType="begin"/>
            </w:r>
            <w:r>
              <w:rPr>
                <w:noProof/>
                <w:webHidden/>
              </w:rPr>
              <w:instrText xml:space="preserve"> PAGEREF _Toc121922251 \h </w:instrText>
            </w:r>
            <w:r>
              <w:rPr>
                <w:noProof/>
                <w:webHidden/>
              </w:rPr>
            </w:r>
            <w:r>
              <w:rPr>
                <w:noProof/>
                <w:webHidden/>
              </w:rPr>
              <w:fldChar w:fldCharType="separate"/>
            </w:r>
            <w:r>
              <w:rPr>
                <w:noProof/>
                <w:webHidden/>
              </w:rPr>
              <w:t>77</w:t>
            </w:r>
            <w:r>
              <w:rPr>
                <w:noProof/>
                <w:webHidden/>
              </w:rPr>
              <w:fldChar w:fldCharType="end"/>
            </w:r>
          </w:hyperlink>
        </w:p>
        <w:p w14:paraId="00B901E6" w14:textId="40272711" w:rsidR="004F03EF" w:rsidRDefault="004F03EF">
          <w:pPr>
            <w:pStyle w:val="TOC1"/>
            <w:rPr>
              <w:rFonts w:asciiTheme="minorHAnsi" w:eastAsiaTheme="minorEastAsia" w:hAnsiTheme="minorHAnsi"/>
              <w:noProof/>
              <w:sz w:val="22"/>
              <w:lang w:eastAsia="en-GB"/>
            </w:rPr>
          </w:pPr>
          <w:hyperlink w:anchor="_Toc121922252" w:history="1">
            <w:r w:rsidRPr="002C5DBC">
              <w:rPr>
                <w:rStyle w:val="Hyperlink"/>
                <w:noProof/>
              </w:rPr>
              <w:t>22.0</w:t>
            </w:r>
            <w:r>
              <w:rPr>
                <w:rFonts w:asciiTheme="minorHAnsi" w:eastAsiaTheme="minorEastAsia" w:hAnsiTheme="minorHAnsi"/>
                <w:noProof/>
                <w:sz w:val="22"/>
                <w:lang w:eastAsia="en-GB"/>
              </w:rPr>
              <w:tab/>
            </w:r>
            <w:r w:rsidRPr="002C5DBC">
              <w:rPr>
                <w:rStyle w:val="Hyperlink"/>
                <w:noProof/>
              </w:rPr>
              <w:t>Optional Protocol – Armed Conflict</w:t>
            </w:r>
            <w:r>
              <w:rPr>
                <w:noProof/>
                <w:webHidden/>
              </w:rPr>
              <w:tab/>
            </w:r>
            <w:r>
              <w:rPr>
                <w:noProof/>
                <w:webHidden/>
              </w:rPr>
              <w:fldChar w:fldCharType="begin"/>
            </w:r>
            <w:r>
              <w:rPr>
                <w:noProof/>
                <w:webHidden/>
              </w:rPr>
              <w:instrText xml:space="preserve"> PAGEREF _Toc121922252 \h </w:instrText>
            </w:r>
            <w:r>
              <w:rPr>
                <w:noProof/>
                <w:webHidden/>
              </w:rPr>
            </w:r>
            <w:r>
              <w:rPr>
                <w:noProof/>
                <w:webHidden/>
              </w:rPr>
              <w:fldChar w:fldCharType="separate"/>
            </w:r>
            <w:r>
              <w:rPr>
                <w:noProof/>
                <w:webHidden/>
              </w:rPr>
              <w:t>78</w:t>
            </w:r>
            <w:r>
              <w:rPr>
                <w:noProof/>
                <w:webHidden/>
              </w:rPr>
              <w:fldChar w:fldCharType="end"/>
            </w:r>
          </w:hyperlink>
        </w:p>
        <w:p w14:paraId="215453D6" w14:textId="548A9524" w:rsidR="0068094E" w:rsidRPr="00587912" w:rsidRDefault="0068094E">
          <w:r w:rsidRPr="001111FA">
            <w:rPr>
              <w:b/>
              <w:bCs/>
              <w:noProof/>
              <w:sz w:val="18"/>
              <w:szCs w:val="18"/>
            </w:rPr>
            <w:fldChar w:fldCharType="end"/>
          </w:r>
        </w:p>
      </w:sdtContent>
    </w:sdt>
    <w:p w14:paraId="0C1C533B" w14:textId="77777777" w:rsidR="00E14735" w:rsidRPr="00587912" w:rsidRDefault="00E14735" w:rsidP="00204DD1"/>
    <w:p w14:paraId="11E2A2E8" w14:textId="77777777" w:rsidR="00E14735" w:rsidRPr="00587912" w:rsidRDefault="00E14735">
      <w:pPr>
        <w:spacing w:after="160" w:line="259" w:lineRule="auto"/>
      </w:pPr>
      <w:r w:rsidRPr="00587912">
        <w:br w:type="page"/>
      </w:r>
    </w:p>
    <w:p w14:paraId="4518690F" w14:textId="3E3ED106" w:rsidR="00E14735" w:rsidRPr="00587912" w:rsidRDefault="00E90368" w:rsidP="00E90368">
      <w:pPr>
        <w:pStyle w:val="Heading1"/>
      </w:pPr>
      <w:bookmarkStart w:id="2" w:name="_Toc121922166"/>
      <w:r>
        <w:t>1.0</w:t>
      </w:r>
      <w:r>
        <w:tab/>
      </w:r>
      <w:r w:rsidR="00E14735" w:rsidRPr="00587912">
        <w:t>Introduction</w:t>
      </w:r>
      <w:bookmarkEnd w:id="2"/>
    </w:p>
    <w:p w14:paraId="684B2339" w14:textId="66A9FA3B" w:rsidR="00BD7A3E" w:rsidRDefault="0090493B" w:rsidP="00412E09">
      <w:pPr>
        <w:pStyle w:val="ListParagraph"/>
        <w:numPr>
          <w:ilvl w:val="1"/>
          <w:numId w:val="1"/>
        </w:numPr>
        <w:ind w:left="851" w:hanging="862"/>
      </w:pPr>
      <w:r>
        <w:t>T</w:t>
      </w:r>
      <w:r w:rsidR="00E14735" w:rsidRPr="00587912">
        <w:t xml:space="preserve">he NIHRC </w:t>
      </w:r>
      <w:r w:rsidR="005E453F" w:rsidRPr="005E453F">
        <w:t>is one of three A-status National Human Rights Institutions of the United Kingdom (UK). In accordance with the Paris Principles</w:t>
      </w:r>
      <w:r w:rsidR="00E968B0">
        <w:t xml:space="preserve"> and </w:t>
      </w:r>
      <w:r w:rsidR="00D9224B">
        <w:t xml:space="preserve">pursuant to Section 69(1) of the Northern Ireland </w:t>
      </w:r>
      <w:r w:rsidR="007A1C00">
        <w:t xml:space="preserve">(NI) </w:t>
      </w:r>
      <w:r w:rsidR="00D9224B">
        <w:t>Act 1998</w:t>
      </w:r>
      <w:r w:rsidR="005E453F" w:rsidRPr="005E453F">
        <w:t>, the NIHRC reviews the adequacy and effectiveness of measures undertaken by the United Kingdom Government and Northern Ireland Executive to promote and protect human rights, specifically within NI</w:t>
      </w:r>
      <w:r w:rsidR="005E453F">
        <w:t xml:space="preserve">. </w:t>
      </w:r>
    </w:p>
    <w:p w14:paraId="36EC1601" w14:textId="77777777" w:rsidR="00F83847" w:rsidRDefault="00F83847" w:rsidP="00412E09">
      <w:pPr>
        <w:pStyle w:val="ListParagraph"/>
        <w:ind w:left="851" w:hanging="862"/>
      </w:pPr>
    </w:p>
    <w:p w14:paraId="59E81149" w14:textId="448FBBAC" w:rsidR="00F83847" w:rsidRDefault="00F83847" w:rsidP="00412E09">
      <w:pPr>
        <w:pStyle w:val="ListParagraph"/>
        <w:numPr>
          <w:ilvl w:val="1"/>
          <w:numId w:val="1"/>
        </w:numPr>
        <w:ind w:left="851" w:hanging="862"/>
      </w:pPr>
      <w:r w:rsidRPr="00F83847">
        <w:t xml:space="preserve">The NIHRC further monitors the UK Government’s commitment under Article 2 of the Ireland/Northern Ireland Protocol </w:t>
      </w:r>
      <w:r w:rsidR="003B2010">
        <w:t xml:space="preserve">to the UK-EU Withdrawal Agreement </w:t>
      </w:r>
      <w:r w:rsidRPr="00F83847">
        <w:t>to ensure there is no diminution of rights, safeguards and equality of opportunity contained in the relevant chapter of the Belfast (Good Friday) Agreement 1998 as a result of the UK’s withdrawal from the EU, including the requirement that NI</w:t>
      </w:r>
      <w:r w:rsidR="003B2010">
        <w:t xml:space="preserve"> law</w:t>
      </w:r>
      <w:r w:rsidRPr="00F83847">
        <w:t xml:space="preserve"> keeps pace with </w:t>
      </w:r>
      <w:r w:rsidR="008D27BF" w:rsidRPr="006231F1">
        <w:rPr>
          <w:rFonts w:cstheme="minorHAnsi"/>
          <w:color w:val="000000" w:themeColor="text1"/>
        </w:rPr>
        <w:t xml:space="preserve">any changes made by EU </w:t>
      </w:r>
      <w:r w:rsidR="008D27BF">
        <w:rPr>
          <w:rFonts w:cstheme="minorHAnsi"/>
          <w:color w:val="000000" w:themeColor="text1"/>
        </w:rPr>
        <w:t xml:space="preserve">to </w:t>
      </w:r>
      <w:r w:rsidRPr="00F83847">
        <w:t>six EU Equality Directives in Annex 1 to the Protocol</w:t>
      </w:r>
      <w:r>
        <w:t>.</w:t>
      </w:r>
      <w:r>
        <w:rPr>
          <w:rStyle w:val="FootnoteReference"/>
        </w:rPr>
        <w:footnoteReference w:id="2"/>
      </w:r>
    </w:p>
    <w:p w14:paraId="25932BBC" w14:textId="77777777" w:rsidR="00BD7A3E" w:rsidRDefault="00BD7A3E" w:rsidP="00412E09">
      <w:pPr>
        <w:pStyle w:val="ListParagraph"/>
        <w:ind w:left="851" w:hanging="862"/>
      </w:pPr>
    </w:p>
    <w:p w14:paraId="647E6AD9" w14:textId="286CBD6A" w:rsidR="00E14735" w:rsidRDefault="00E14735" w:rsidP="00412E09">
      <w:pPr>
        <w:pStyle w:val="ListParagraph"/>
        <w:numPr>
          <w:ilvl w:val="1"/>
          <w:numId w:val="1"/>
        </w:numPr>
        <w:ind w:left="851" w:hanging="862"/>
      </w:pPr>
      <w:r w:rsidRPr="00587912">
        <w:t xml:space="preserve">This submission </w:t>
      </w:r>
      <w:r w:rsidR="00437041">
        <w:t xml:space="preserve">is presented to the UN Committee on the Rights of the Child (the Committee) </w:t>
      </w:r>
      <w:r w:rsidR="00FE56BA">
        <w:t xml:space="preserve">in respect of the </w:t>
      </w:r>
      <w:r w:rsidRPr="00587912">
        <w:t xml:space="preserve">protection of rights in NI. </w:t>
      </w:r>
    </w:p>
    <w:p w14:paraId="1FC2D1D0" w14:textId="77777777" w:rsidR="0099452D" w:rsidRDefault="0099452D" w:rsidP="00412E09">
      <w:pPr>
        <w:pStyle w:val="ListParagraph"/>
        <w:ind w:left="851" w:hanging="862"/>
      </w:pPr>
    </w:p>
    <w:p w14:paraId="287E2A36" w14:textId="2CA44D4E" w:rsidR="00F95301" w:rsidRDefault="00AC127D" w:rsidP="00412E09">
      <w:pPr>
        <w:pStyle w:val="ListParagraph"/>
        <w:numPr>
          <w:ilvl w:val="1"/>
          <w:numId w:val="1"/>
        </w:numPr>
        <w:ind w:left="851" w:hanging="862"/>
      </w:pPr>
      <w:r>
        <w:t>T</w:t>
      </w:r>
      <w:r w:rsidR="0099452D">
        <w:t xml:space="preserve">his submission </w:t>
      </w:r>
      <w:r>
        <w:t>uses the term</w:t>
      </w:r>
      <w:r w:rsidR="0099452D">
        <w:t xml:space="preserve"> </w:t>
      </w:r>
      <w:r>
        <w:t>‘</w:t>
      </w:r>
      <w:r w:rsidR="0099452D">
        <w:t>children</w:t>
      </w:r>
      <w:r>
        <w:t>’</w:t>
      </w:r>
      <w:r w:rsidR="0099452D">
        <w:t xml:space="preserve"> </w:t>
      </w:r>
      <w:r w:rsidR="00B43951">
        <w:t xml:space="preserve">to include </w:t>
      </w:r>
      <w:r w:rsidR="0099452D">
        <w:t>children and young people.</w:t>
      </w:r>
    </w:p>
    <w:p w14:paraId="11573BC7" w14:textId="64FD2E91" w:rsidR="00535276" w:rsidRPr="00535276" w:rsidRDefault="00535276" w:rsidP="00412E09">
      <w:pPr>
        <w:pStyle w:val="Heading1"/>
        <w:ind w:left="851" w:hanging="862"/>
      </w:pPr>
      <w:bookmarkStart w:id="3" w:name="_Toc121922167"/>
      <w:r>
        <w:t>2.0</w:t>
      </w:r>
      <w:r>
        <w:tab/>
        <w:t>Context</w:t>
      </w:r>
      <w:bookmarkEnd w:id="3"/>
    </w:p>
    <w:p w14:paraId="431B1405" w14:textId="75B3CD6E" w:rsidR="000A7D1E" w:rsidRPr="001B67ED" w:rsidRDefault="000A7D1E" w:rsidP="00412E09">
      <w:pPr>
        <w:pStyle w:val="Heading2"/>
        <w:ind w:left="851" w:hanging="862"/>
      </w:pPr>
      <w:bookmarkStart w:id="4" w:name="_Toc121922168"/>
      <w:r w:rsidRPr="00F95301">
        <w:t>NI Executive</w:t>
      </w:r>
      <w:bookmarkEnd w:id="4"/>
    </w:p>
    <w:p w14:paraId="4133C1CC" w14:textId="78528BA9" w:rsidR="009F075B" w:rsidRDefault="009F075B" w:rsidP="00412E09">
      <w:pPr>
        <w:pStyle w:val="ListParagraph"/>
        <w:numPr>
          <w:ilvl w:val="1"/>
          <w:numId w:val="79"/>
        </w:numPr>
        <w:spacing w:line="276" w:lineRule="auto"/>
        <w:ind w:left="851" w:hanging="862"/>
      </w:pPr>
      <w:r>
        <w:t xml:space="preserve">NI has been without a fully functioning NI Executive and NI Assembly since February 2022. This is the second suspension period within this monitoring round, with a previous suspension running from January 2017 until January 2020. Between February and October 2022, the NI Ministers continued in a caretaking capacity. In October 2022, as experienced during the previous suspension, responsibility for managing devolved issues moved to the Head of the Civil Service and Departmental Permanent Secretaries. Since February 2022, no new policies or legislation have been able to progress, and this will remain the case until the NI Executive and NI Assembly are reinstated. In the absence of any political developments, </w:t>
      </w:r>
      <w:r w:rsidR="00DE700C">
        <w:t>this arrangement</w:t>
      </w:r>
      <w:r>
        <w:t xml:space="preserve"> can continue until at least April 2023.</w:t>
      </w:r>
      <w:r>
        <w:rPr>
          <w:rStyle w:val="FootnoteReference"/>
        </w:rPr>
        <w:footnoteReference w:id="3"/>
      </w:r>
      <w:r>
        <w:t xml:space="preserve"> Additionally, the lack of a functioning NI Executive may inhibit the Department of Education, which is the coordinating department in NI, from fully engaging with the UN CRC monitoring process.</w:t>
      </w:r>
    </w:p>
    <w:p w14:paraId="2D1A7C73" w14:textId="77777777" w:rsidR="00EB7594" w:rsidRDefault="00EB7594" w:rsidP="00412E09">
      <w:pPr>
        <w:pStyle w:val="ListParagraph"/>
        <w:spacing w:line="276" w:lineRule="auto"/>
        <w:ind w:left="851" w:hanging="862"/>
        <w:rPr>
          <w:rFonts w:cs="Arial"/>
          <w:color w:val="232120"/>
        </w:rPr>
      </w:pPr>
    </w:p>
    <w:p w14:paraId="13297939" w14:textId="78D0BF6A" w:rsidR="00EB7594" w:rsidRPr="00AF5C34" w:rsidRDefault="00EB7594" w:rsidP="00412E09">
      <w:pPr>
        <w:pStyle w:val="ListParagraph"/>
        <w:numPr>
          <w:ilvl w:val="1"/>
          <w:numId w:val="79"/>
        </w:numPr>
        <w:spacing w:line="276" w:lineRule="auto"/>
        <w:ind w:left="851" w:hanging="862"/>
        <w:rPr>
          <w:rFonts w:cs="Arial"/>
          <w:b/>
          <w:bCs/>
          <w:color w:val="232120"/>
        </w:rPr>
      </w:pPr>
      <w:r w:rsidRPr="00AF5C34">
        <w:rPr>
          <w:b/>
          <w:bCs/>
        </w:rPr>
        <w:t>The Committee may wish to recommend that</w:t>
      </w:r>
      <w:r w:rsidR="00C735C6" w:rsidRPr="00AF5C34">
        <w:rPr>
          <w:b/>
          <w:bCs/>
        </w:rPr>
        <w:t xml:space="preserve">, </w:t>
      </w:r>
      <w:r w:rsidRPr="00AF5C34">
        <w:rPr>
          <w:b/>
          <w:bCs/>
        </w:rPr>
        <w:t>where</w:t>
      </w:r>
      <w:r w:rsidR="00154B4F" w:rsidRPr="00AF5C34">
        <w:rPr>
          <w:b/>
          <w:bCs/>
        </w:rPr>
        <w:t xml:space="preserve"> children’s rights </w:t>
      </w:r>
      <w:r w:rsidR="00F45267" w:rsidRPr="00AF5C34">
        <w:rPr>
          <w:b/>
          <w:bCs/>
        </w:rPr>
        <w:t xml:space="preserve">issues </w:t>
      </w:r>
      <w:r w:rsidR="00154B4F" w:rsidRPr="00AF5C34">
        <w:rPr>
          <w:b/>
          <w:bCs/>
        </w:rPr>
        <w:t>in NI</w:t>
      </w:r>
      <w:r w:rsidRPr="00AF5C34">
        <w:rPr>
          <w:b/>
          <w:bCs/>
        </w:rPr>
        <w:t xml:space="preserve"> </w:t>
      </w:r>
      <w:r w:rsidR="00154B4F" w:rsidRPr="00AF5C34">
        <w:rPr>
          <w:b/>
          <w:bCs/>
        </w:rPr>
        <w:t xml:space="preserve">are not </w:t>
      </w:r>
      <w:r w:rsidR="00BF6FD8" w:rsidRPr="00AF5C34">
        <w:rPr>
          <w:b/>
          <w:bCs/>
        </w:rPr>
        <w:t>capable of being</w:t>
      </w:r>
      <w:r w:rsidR="00154B4F" w:rsidRPr="00AF5C34">
        <w:rPr>
          <w:b/>
          <w:bCs/>
        </w:rPr>
        <w:t xml:space="preserve"> addressed in</w:t>
      </w:r>
      <w:r w:rsidRPr="00AF5C34">
        <w:rPr>
          <w:b/>
          <w:bCs/>
        </w:rPr>
        <w:t xml:space="preserve"> their entirety </w:t>
      </w:r>
      <w:r w:rsidR="00F45267" w:rsidRPr="00AF5C34">
        <w:rPr>
          <w:b/>
          <w:bCs/>
        </w:rPr>
        <w:t>due to</w:t>
      </w:r>
      <w:r w:rsidRPr="00AF5C34">
        <w:rPr>
          <w:b/>
          <w:bCs/>
        </w:rPr>
        <w:t xml:space="preserve"> the absence of an NI Executive, </w:t>
      </w:r>
      <w:r w:rsidR="00F45267" w:rsidRPr="00AF5C34">
        <w:rPr>
          <w:b/>
          <w:bCs/>
        </w:rPr>
        <w:t xml:space="preserve">effective steps are </w:t>
      </w:r>
      <w:r w:rsidR="00085FF2" w:rsidRPr="00AF5C34">
        <w:rPr>
          <w:b/>
          <w:bCs/>
        </w:rPr>
        <w:t xml:space="preserve">taken by </w:t>
      </w:r>
      <w:r w:rsidR="00F45267" w:rsidRPr="00AF5C34">
        <w:rPr>
          <w:b/>
          <w:bCs/>
        </w:rPr>
        <w:t xml:space="preserve">the </w:t>
      </w:r>
      <w:r w:rsidR="00DB5571" w:rsidRPr="00AF5C34">
        <w:rPr>
          <w:b/>
          <w:bCs/>
        </w:rPr>
        <w:t>State Party</w:t>
      </w:r>
      <w:r w:rsidR="00F45267" w:rsidRPr="00AF5C34">
        <w:rPr>
          <w:b/>
          <w:bCs/>
        </w:rPr>
        <w:t xml:space="preserve"> </w:t>
      </w:r>
      <w:r w:rsidR="00085FF2" w:rsidRPr="00AF5C34">
        <w:rPr>
          <w:b/>
          <w:bCs/>
        </w:rPr>
        <w:t>to</w:t>
      </w:r>
      <w:r w:rsidRPr="00AF5C34">
        <w:rPr>
          <w:b/>
          <w:bCs/>
        </w:rPr>
        <w:t xml:space="preserve"> ensure </w:t>
      </w:r>
      <w:r w:rsidR="000556FE" w:rsidRPr="00AF5C34">
        <w:rPr>
          <w:b/>
          <w:bCs/>
        </w:rPr>
        <w:t>issues</w:t>
      </w:r>
      <w:r w:rsidR="00D42058" w:rsidRPr="00AF5C34">
        <w:rPr>
          <w:b/>
          <w:bCs/>
        </w:rPr>
        <w:t xml:space="preserve"> </w:t>
      </w:r>
      <w:r w:rsidRPr="00AF5C34">
        <w:rPr>
          <w:b/>
          <w:bCs/>
        </w:rPr>
        <w:t>are not</w:t>
      </w:r>
      <w:r w:rsidR="000556FE" w:rsidRPr="00AF5C34">
        <w:rPr>
          <w:b/>
          <w:bCs/>
        </w:rPr>
        <w:t xml:space="preserve"> further</w:t>
      </w:r>
      <w:r w:rsidR="00154B4F" w:rsidRPr="00AF5C34">
        <w:rPr>
          <w:b/>
          <w:bCs/>
        </w:rPr>
        <w:t xml:space="preserve"> </w:t>
      </w:r>
      <w:r w:rsidRPr="00AF5C34">
        <w:rPr>
          <w:b/>
          <w:bCs/>
        </w:rPr>
        <w:t>exacerbated by the delay.</w:t>
      </w:r>
      <w:r w:rsidR="000663D8" w:rsidRPr="00AF5C34">
        <w:rPr>
          <w:b/>
          <w:bCs/>
        </w:rPr>
        <w:t xml:space="preserve"> This includes ensuring that the Department of Education in NI </w:t>
      </w:r>
      <w:proofErr w:type="gramStart"/>
      <w:r w:rsidR="000663D8" w:rsidRPr="00AF5C34">
        <w:rPr>
          <w:b/>
          <w:bCs/>
        </w:rPr>
        <w:t>is able to</w:t>
      </w:r>
      <w:proofErr w:type="gramEnd"/>
      <w:r w:rsidR="000663D8" w:rsidRPr="00AF5C34">
        <w:rPr>
          <w:b/>
          <w:bCs/>
        </w:rPr>
        <w:t xml:space="preserve"> fully engage with the UN CRC Committee’s monitoring of the </w:t>
      </w:r>
      <w:r w:rsidR="00726A2D" w:rsidRPr="00AF5C34">
        <w:rPr>
          <w:b/>
          <w:bCs/>
        </w:rPr>
        <w:t>UK</w:t>
      </w:r>
      <w:r w:rsidR="008B1E2E" w:rsidRPr="00AF5C34">
        <w:rPr>
          <w:b/>
          <w:bCs/>
        </w:rPr>
        <w:t xml:space="preserve"> at all times.</w:t>
      </w:r>
    </w:p>
    <w:p w14:paraId="0C3DF9F1" w14:textId="77777777" w:rsidR="000A7D1E" w:rsidRPr="00D97CA4" w:rsidRDefault="000A7D1E" w:rsidP="00412E09">
      <w:pPr>
        <w:pStyle w:val="ListParagraph"/>
        <w:ind w:left="851" w:hanging="862"/>
        <w:rPr>
          <w:rFonts w:cs="Arial"/>
          <w:color w:val="232120"/>
        </w:rPr>
      </w:pPr>
    </w:p>
    <w:p w14:paraId="6013AECB" w14:textId="3BDABAD6" w:rsidR="000A7D1E" w:rsidRPr="00B520D0" w:rsidRDefault="000A7D1E" w:rsidP="00412E09">
      <w:pPr>
        <w:pStyle w:val="Heading2"/>
        <w:ind w:left="851" w:hanging="862"/>
      </w:pPr>
      <w:bookmarkStart w:id="5" w:name="_Toc121922169"/>
      <w:r w:rsidRPr="00F95301">
        <w:t>Northern Ireland Human Rights Commission</w:t>
      </w:r>
      <w:bookmarkEnd w:id="5"/>
      <w:r w:rsidRPr="00F95301">
        <w:t xml:space="preserve"> </w:t>
      </w:r>
    </w:p>
    <w:p w14:paraId="14A3A405" w14:textId="455B9F1F" w:rsidR="000A7D1E" w:rsidRDefault="008B1E2E" w:rsidP="0068410E">
      <w:pPr>
        <w:pStyle w:val="ListParagraph"/>
        <w:numPr>
          <w:ilvl w:val="1"/>
          <w:numId w:val="79"/>
        </w:numPr>
        <w:ind w:left="851" w:hanging="862"/>
      </w:pPr>
      <w:r w:rsidRPr="0085640C">
        <w:t>T</w:t>
      </w:r>
      <w:r w:rsidR="000A7D1E" w:rsidRPr="0085640C">
        <w:t>he</w:t>
      </w:r>
      <w:r w:rsidR="000A7D1E">
        <w:t xml:space="preserve"> NIHRC has received </w:t>
      </w:r>
      <w:r w:rsidR="00A0176F">
        <w:t xml:space="preserve">further cuts to its budget, leaving it without sufficient resources to discharge </w:t>
      </w:r>
      <w:proofErr w:type="gramStart"/>
      <w:r w:rsidR="00A0176F">
        <w:t>all of</w:t>
      </w:r>
      <w:proofErr w:type="gramEnd"/>
      <w:r w:rsidR="00A0176F">
        <w:t xml:space="preserve"> its functions. </w:t>
      </w:r>
      <w:r w:rsidR="000A7D1E" w:rsidRPr="00061D09">
        <w:t>The Global Alliance of National Human Rights Institutions’ Sub-Committee on Accreditation has twice deferred the NIHRC’s accreditation due to the current and prospective funding position which it regards as very serious and time sensitive.</w:t>
      </w:r>
      <w:r w:rsidR="000A7D1E">
        <w:rPr>
          <w:rStyle w:val="FootnoteReference"/>
        </w:rPr>
        <w:footnoteReference w:id="4"/>
      </w:r>
      <w:r w:rsidR="000A7D1E" w:rsidRPr="00061D09">
        <w:t xml:space="preserve"> The </w:t>
      </w:r>
      <w:r w:rsidR="000A7D1E" w:rsidRPr="0085640C">
        <w:t>S</w:t>
      </w:r>
      <w:r w:rsidR="00F13BD5" w:rsidRPr="0085640C">
        <w:t>ub-Committee on Accreditation</w:t>
      </w:r>
      <w:r w:rsidR="000A7D1E" w:rsidRPr="00061D09">
        <w:t xml:space="preserve"> has strongly recommended that an improved sustainable position is reached within the deferral period.</w:t>
      </w:r>
      <w:r w:rsidR="00457A8B" w:rsidRPr="0085640C">
        <w:t xml:space="preserve"> </w:t>
      </w:r>
      <w:r w:rsidR="00E502C4" w:rsidRPr="0085640C">
        <w:t>It</w:t>
      </w:r>
      <w:r w:rsidR="00457A8B" w:rsidRPr="0085640C">
        <w:t xml:space="preserve"> is due to </w:t>
      </w:r>
      <w:r w:rsidR="004C0CAC" w:rsidRPr="0085640C">
        <w:t>consider the NIHRC’s accreditation in early 2023.</w:t>
      </w:r>
    </w:p>
    <w:p w14:paraId="64D82124" w14:textId="77777777" w:rsidR="000A7D1E" w:rsidRDefault="000A7D1E" w:rsidP="00412E09">
      <w:pPr>
        <w:pStyle w:val="ListParagraph"/>
        <w:ind w:left="851" w:hanging="862"/>
      </w:pPr>
    </w:p>
    <w:p w14:paraId="527C4D4D" w14:textId="1070952C" w:rsidR="000A7D1E" w:rsidRPr="002D4777" w:rsidRDefault="000A7D1E" w:rsidP="00412E09">
      <w:pPr>
        <w:pStyle w:val="ListParagraph"/>
        <w:numPr>
          <w:ilvl w:val="1"/>
          <w:numId w:val="79"/>
        </w:numPr>
        <w:ind w:left="851" w:hanging="862"/>
        <w:rPr>
          <w:b/>
          <w:bCs/>
        </w:rPr>
      </w:pPr>
      <w:r w:rsidRPr="002D4777">
        <w:rPr>
          <w:b/>
          <w:bCs/>
        </w:rPr>
        <w:t xml:space="preserve">The Committee may wish to recommend that the </w:t>
      </w:r>
      <w:r w:rsidR="00DB5571">
        <w:rPr>
          <w:b/>
          <w:bCs/>
        </w:rPr>
        <w:t>State Party</w:t>
      </w:r>
      <w:r w:rsidRPr="00F27188">
        <w:rPr>
          <w:b/>
          <w:bCs/>
        </w:rPr>
        <w:t xml:space="preserve"> </w:t>
      </w:r>
      <w:r w:rsidR="0085640C">
        <w:rPr>
          <w:b/>
          <w:bCs/>
        </w:rPr>
        <w:t>ensures that</w:t>
      </w:r>
      <w:r w:rsidRPr="002D4777">
        <w:rPr>
          <w:b/>
          <w:bCs/>
        </w:rPr>
        <w:t xml:space="preserve"> adequate and secure </w:t>
      </w:r>
      <w:r w:rsidR="0085640C">
        <w:rPr>
          <w:b/>
          <w:bCs/>
        </w:rPr>
        <w:t xml:space="preserve">long-term </w:t>
      </w:r>
      <w:r w:rsidRPr="00F27188">
        <w:rPr>
          <w:b/>
          <w:bCs/>
        </w:rPr>
        <w:t xml:space="preserve">funding </w:t>
      </w:r>
      <w:r w:rsidR="0085640C">
        <w:rPr>
          <w:b/>
          <w:bCs/>
        </w:rPr>
        <w:t>is provided</w:t>
      </w:r>
      <w:r w:rsidRPr="002D4777">
        <w:rPr>
          <w:b/>
          <w:bCs/>
        </w:rPr>
        <w:t xml:space="preserve"> to enable the NIHRC to fulfil its statutory functions</w:t>
      </w:r>
      <w:r>
        <w:rPr>
          <w:b/>
          <w:bCs/>
        </w:rPr>
        <w:t xml:space="preserve">, </w:t>
      </w:r>
      <w:r w:rsidRPr="00F27188">
        <w:rPr>
          <w:rFonts w:cs="Segoe UI"/>
          <w:b/>
          <w:shd w:val="clear" w:color="auto" w:fill="FFFFFF"/>
        </w:rPr>
        <w:t>in line with its role as an A status institution under the UN Paris Principles.</w:t>
      </w:r>
    </w:p>
    <w:p w14:paraId="0DDADB2C" w14:textId="77777777" w:rsidR="00FE76A4" w:rsidRDefault="00FE76A4" w:rsidP="00412E09">
      <w:pPr>
        <w:ind w:left="851" w:hanging="862"/>
      </w:pPr>
    </w:p>
    <w:p w14:paraId="0E8A0174" w14:textId="55A95666" w:rsidR="00680EFD" w:rsidRPr="00587912" w:rsidRDefault="009B789E" w:rsidP="00412E09">
      <w:pPr>
        <w:pStyle w:val="Heading1"/>
        <w:spacing w:before="0"/>
        <w:ind w:left="851" w:hanging="862"/>
      </w:pPr>
      <w:bookmarkStart w:id="6" w:name="_Toc121922170"/>
      <w:r>
        <w:t>3</w:t>
      </w:r>
      <w:r w:rsidR="00AB4B7E">
        <w:t>.0</w:t>
      </w:r>
      <w:r w:rsidR="00AB4B7E">
        <w:tab/>
      </w:r>
      <w:r w:rsidR="00A938B3" w:rsidRPr="00587912">
        <w:t xml:space="preserve">Article 2 – </w:t>
      </w:r>
      <w:r w:rsidR="00AB4B7E">
        <w:t>N</w:t>
      </w:r>
      <w:r w:rsidR="00A938B3" w:rsidRPr="00587912">
        <w:t>on-discrimination</w:t>
      </w:r>
      <w:bookmarkEnd w:id="6"/>
    </w:p>
    <w:p w14:paraId="1D140EC7" w14:textId="1B567EA2" w:rsidR="00680EFD" w:rsidRPr="00587912" w:rsidRDefault="00680EFD" w:rsidP="00412E09">
      <w:pPr>
        <w:pStyle w:val="Heading2"/>
        <w:ind w:left="851" w:hanging="862"/>
        <w:rPr>
          <w:szCs w:val="22"/>
        </w:rPr>
      </w:pPr>
      <w:bookmarkStart w:id="7" w:name="_Toc121922171"/>
      <w:r w:rsidRPr="00587912">
        <w:rPr>
          <w:szCs w:val="22"/>
        </w:rPr>
        <w:t xml:space="preserve">Discrimination in the provision of goods, </w:t>
      </w:r>
      <w:proofErr w:type="gramStart"/>
      <w:r w:rsidRPr="00587912">
        <w:rPr>
          <w:szCs w:val="22"/>
        </w:rPr>
        <w:t>facilities</w:t>
      </w:r>
      <w:proofErr w:type="gramEnd"/>
      <w:r w:rsidRPr="00587912">
        <w:rPr>
          <w:szCs w:val="22"/>
        </w:rPr>
        <w:t xml:space="preserve"> and services</w:t>
      </w:r>
      <w:bookmarkEnd w:id="7"/>
    </w:p>
    <w:p w14:paraId="43DD8C23" w14:textId="30FE1CB5" w:rsidR="007C111E" w:rsidRDefault="00560CBA" w:rsidP="00412E09">
      <w:pPr>
        <w:pStyle w:val="ListParagraph"/>
        <w:numPr>
          <w:ilvl w:val="1"/>
          <w:numId w:val="83"/>
        </w:numPr>
        <w:ind w:left="851" w:hanging="862"/>
      </w:pPr>
      <w:r w:rsidRPr="00587912">
        <w:t>The</w:t>
      </w:r>
      <w:r w:rsidR="00932988" w:rsidRPr="00587912">
        <w:t xml:space="preserve"> Committee </w:t>
      </w:r>
      <w:r w:rsidRPr="00587912">
        <w:t xml:space="preserve">previously </w:t>
      </w:r>
      <w:r w:rsidR="00656F5D">
        <w:t xml:space="preserve">recommended that the UK, including NI, </w:t>
      </w:r>
      <w:r w:rsidR="009B42F4">
        <w:t>expand legislation to protect all children against discrimination.</w:t>
      </w:r>
      <w:r w:rsidR="00A53F59">
        <w:rPr>
          <w:rStyle w:val="FootnoteReference"/>
        </w:rPr>
        <w:footnoteReference w:id="5"/>
      </w:r>
      <w:r w:rsidR="00130F08">
        <w:t xml:space="preserve"> </w:t>
      </w:r>
    </w:p>
    <w:p w14:paraId="409A0852" w14:textId="77777777" w:rsidR="007C111E" w:rsidRDefault="007C111E" w:rsidP="00412E09">
      <w:pPr>
        <w:pStyle w:val="ListParagraph"/>
        <w:ind w:left="851" w:hanging="862"/>
      </w:pPr>
    </w:p>
    <w:p w14:paraId="56FC235C" w14:textId="77777777" w:rsidR="001C0E63" w:rsidRDefault="007C111E" w:rsidP="00412E09">
      <w:pPr>
        <w:pStyle w:val="ListParagraph"/>
        <w:numPr>
          <w:ilvl w:val="1"/>
          <w:numId w:val="83"/>
        </w:numPr>
        <w:ind w:left="851" w:hanging="862"/>
      </w:pPr>
      <w:r>
        <w:t>D</w:t>
      </w:r>
      <w:r w:rsidR="00560CBA" w:rsidRPr="00587912">
        <w:t xml:space="preserve">iscrimination </w:t>
      </w:r>
      <w:r w:rsidR="00686D02">
        <w:t>based on</w:t>
      </w:r>
      <w:r w:rsidR="00560CBA" w:rsidRPr="00587912">
        <w:t xml:space="preserve"> </w:t>
      </w:r>
      <w:r>
        <w:t>age</w:t>
      </w:r>
      <w:r w:rsidR="00A64B1A">
        <w:t xml:space="preserve"> is prohibited regarding</w:t>
      </w:r>
      <w:r w:rsidR="00560CBA" w:rsidRPr="00587912">
        <w:t xml:space="preserve"> employ</w:t>
      </w:r>
      <w:r w:rsidR="00CA61B1" w:rsidRPr="00587912">
        <w:t>ment and vocational training,</w:t>
      </w:r>
      <w:r w:rsidR="00CA61B1" w:rsidRPr="00587912">
        <w:rPr>
          <w:rStyle w:val="FootnoteReference"/>
        </w:rPr>
        <w:footnoteReference w:id="6"/>
      </w:r>
      <w:r w:rsidR="00CA61B1" w:rsidRPr="00587912">
        <w:t xml:space="preserve"> </w:t>
      </w:r>
      <w:r w:rsidR="008172AE">
        <w:t xml:space="preserve">however </w:t>
      </w:r>
      <w:r w:rsidR="00CA61B1" w:rsidRPr="00587912">
        <w:t xml:space="preserve">there remains no prohibition on </w:t>
      </w:r>
      <w:r w:rsidR="00932988" w:rsidRPr="00587912">
        <w:t xml:space="preserve">discrimination in the provision of goods, facilities and services in NI </w:t>
      </w:r>
      <w:r w:rsidR="00AB4B7E">
        <w:t>based on</w:t>
      </w:r>
      <w:r w:rsidR="00932988" w:rsidRPr="00587912">
        <w:t xml:space="preserve"> age.</w:t>
      </w:r>
      <w:r w:rsidR="000022BC">
        <w:rPr>
          <w:rStyle w:val="FootnoteReference"/>
        </w:rPr>
        <w:footnoteReference w:id="7"/>
      </w:r>
      <w:r w:rsidR="00932988" w:rsidRPr="00587912">
        <w:t xml:space="preserve"> </w:t>
      </w:r>
    </w:p>
    <w:p w14:paraId="21E57024" w14:textId="77777777" w:rsidR="001C0E63" w:rsidRPr="001C0E63" w:rsidRDefault="001C0E63" w:rsidP="00412E09">
      <w:pPr>
        <w:pStyle w:val="ListParagraph"/>
        <w:ind w:left="851" w:hanging="862"/>
        <w:rPr>
          <w:b/>
        </w:rPr>
      </w:pPr>
    </w:p>
    <w:p w14:paraId="01CDD74C" w14:textId="55D6E686" w:rsidR="00554338" w:rsidRPr="00AF5C34" w:rsidRDefault="00214370" w:rsidP="00412E09">
      <w:pPr>
        <w:pStyle w:val="ListParagraph"/>
        <w:numPr>
          <w:ilvl w:val="1"/>
          <w:numId w:val="83"/>
        </w:numPr>
        <w:ind w:left="851" w:hanging="862"/>
        <w:rPr>
          <w:b/>
        </w:rPr>
      </w:pPr>
      <w:r w:rsidRPr="00AF5C34">
        <w:rPr>
          <w:b/>
        </w:rPr>
        <w:t>The Committee may wish to recommend</w:t>
      </w:r>
      <w:r w:rsidR="00CC119D" w:rsidRPr="00AF5C34">
        <w:rPr>
          <w:b/>
        </w:rPr>
        <w:t xml:space="preserve"> that the </w:t>
      </w:r>
      <w:r w:rsidR="000D7AC6" w:rsidRPr="00AF5C34">
        <w:rPr>
          <w:b/>
        </w:rPr>
        <w:t>State Party ensures that</w:t>
      </w:r>
      <w:r w:rsidR="00814771" w:rsidRPr="00AF5C34">
        <w:rPr>
          <w:b/>
        </w:rPr>
        <w:t xml:space="preserve"> </w:t>
      </w:r>
      <w:r w:rsidR="00AB4B7E" w:rsidRPr="00AF5C34">
        <w:rPr>
          <w:b/>
        </w:rPr>
        <w:t>discrimination in the provision of goods, facilities and services based on age</w:t>
      </w:r>
      <w:r w:rsidR="009712E0" w:rsidRPr="00AF5C34">
        <w:rPr>
          <w:b/>
        </w:rPr>
        <w:t xml:space="preserve"> </w:t>
      </w:r>
      <w:r w:rsidR="00B0672F" w:rsidRPr="00AF5C34">
        <w:rPr>
          <w:b/>
        </w:rPr>
        <w:t xml:space="preserve">is prohibited </w:t>
      </w:r>
      <w:r w:rsidR="00396A10" w:rsidRPr="00AF5C34">
        <w:rPr>
          <w:b/>
        </w:rPr>
        <w:t>in NI</w:t>
      </w:r>
      <w:r w:rsidR="00D63DDB" w:rsidRPr="00AF5C34">
        <w:rPr>
          <w:b/>
        </w:rPr>
        <w:t>, t</w:t>
      </w:r>
      <w:r w:rsidR="00B0672F" w:rsidRPr="00AF5C34">
        <w:rPr>
          <w:b/>
        </w:rPr>
        <w:t xml:space="preserve">his includes </w:t>
      </w:r>
      <w:r w:rsidR="0084439E" w:rsidRPr="00AF5C34">
        <w:rPr>
          <w:b/>
        </w:rPr>
        <w:t xml:space="preserve">ensuring that the necessary legislative changes are </w:t>
      </w:r>
      <w:r w:rsidR="00B0672F" w:rsidRPr="00AF5C34">
        <w:rPr>
          <w:b/>
        </w:rPr>
        <w:t xml:space="preserve">promptly </w:t>
      </w:r>
      <w:r w:rsidR="00E3499A" w:rsidRPr="00AF5C34">
        <w:rPr>
          <w:b/>
        </w:rPr>
        <w:t>made</w:t>
      </w:r>
      <w:r w:rsidR="006576BA" w:rsidRPr="00AF5C34">
        <w:rPr>
          <w:b/>
        </w:rPr>
        <w:t>.</w:t>
      </w:r>
    </w:p>
    <w:p w14:paraId="48499BCC" w14:textId="77777777" w:rsidR="00554338" w:rsidRPr="00554338" w:rsidRDefault="00554338" w:rsidP="00412E09">
      <w:pPr>
        <w:ind w:left="851" w:hanging="862"/>
        <w:rPr>
          <w:b/>
        </w:rPr>
      </w:pPr>
    </w:p>
    <w:p w14:paraId="7820458A" w14:textId="4A842EA6" w:rsidR="00554338" w:rsidRPr="00A42E42" w:rsidRDefault="00554338" w:rsidP="00412E09">
      <w:pPr>
        <w:pStyle w:val="Heading2"/>
        <w:ind w:left="851" w:hanging="862"/>
        <w:rPr>
          <w:szCs w:val="22"/>
        </w:rPr>
      </w:pPr>
      <w:bookmarkStart w:id="8" w:name="_Toc121922172"/>
      <w:r>
        <w:rPr>
          <w:szCs w:val="22"/>
        </w:rPr>
        <w:t>Conversion therapy</w:t>
      </w:r>
      <w:bookmarkEnd w:id="8"/>
    </w:p>
    <w:p w14:paraId="517CDFFB" w14:textId="39CF7912" w:rsidR="007C0D14" w:rsidRPr="001C0E63" w:rsidRDefault="00A67D98" w:rsidP="00412E09">
      <w:pPr>
        <w:pStyle w:val="ListParagraph"/>
        <w:numPr>
          <w:ilvl w:val="1"/>
          <w:numId w:val="83"/>
        </w:numPr>
        <w:ind w:left="851" w:hanging="862"/>
        <w:rPr>
          <w:bCs/>
        </w:rPr>
      </w:pPr>
      <w:r w:rsidRPr="001C0E63">
        <w:rPr>
          <w:bCs/>
        </w:rPr>
        <w:t xml:space="preserve">The Committee has previously </w:t>
      </w:r>
      <w:r w:rsidR="00437E6F" w:rsidRPr="001C0E63">
        <w:rPr>
          <w:bCs/>
        </w:rPr>
        <w:t>condemned so-called “treatments” to try to change sexual orientation</w:t>
      </w:r>
      <w:r w:rsidR="00920027" w:rsidRPr="001C0E63">
        <w:rPr>
          <w:bCs/>
        </w:rPr>
        <w:t xml:space="preserve"> or gender </w:t>
      </w:r>
      <w:r w:rsidR="000517C3" w:rsidRPr="001C0E63">
        <w:rPr>
          <w:bCs/>
        </w:rPr>
        <w:t>identity and</w:t>
      </w:r>
      <w:r w:rsidR="00920027" w:rsidRPr="001C0E63">
        <w:rPr>
          <w:bCs/>
        </w:rPr>
        <w:t xml:space="preserve"> urged</w:t>
      </w:r>
      <w:r w:rsidR="00DB4715" w:rsidRPr="001C0E63">
        <w:rPr>
          <w:bCs/>
        </w:rPr>
        <w:t xml:space="preserve"> States to eliminate </w:t>
      </w:r>
      <w:r w:rsidR="00E92676" w:rsidRPr="001C0E63">
        <w:rPr>
          <w:bCs/>
        </w:rPr>
        <w:t>such practices for</w:t>
      </w:r>
      <w:r w:rsidR="00DD5926" w:rsidRPr="001C0E63">
        <w:rPr>
          <w:bCs/>
        </w:rPr>
        <w:t xml:space="preserve"> discriminating against individuals</w:t>
      </w:r>
      <w:r w:rsidR="000517C3" w:rsidRPr="001C0E63">
        <w:rPr>
          <w:bCs/>
        </w:rPr>
        <w:t xml:space="preserve"> </w:t>
      </w:r>
      <w:r w:rsidR="0024693A" w:rsidRPr="001C0E63">
        <w:rPr>
          <w:bCs/>
        </w:rPr>
        <w:t>based on</w:t>
      </w:r>
      <w:r w:rsidR="000517C3" w:rsidRPr="001C0E63">
        <w:rPr>
          <w:bCs/>
        </w:rPr>
        <w:t xml:space="preserve"> their sexual orientation, gender identity or intersex status</w:t>
      </w:r>
      <w:r w:rsidR="00437E6F" w:rsidRPr="001C0E63">
        <w:rPr>
          <w:bCs/>
        </w:rPr>
        <w:t>.</w:t>
      </w:r>
      <w:r w:rsidR="000517C3">
        <w:rPr>
          <w:rStyle w:val="FootnoteReference"/>
          <w:bCs/>
        </w:rPr>
        <w:footnoteReference w:id="8"/>
      </w:r>
      <w:r w:rsidR="00437E6F" w:rsidRPr="001C0E63">
        <w:rPr>
          <w:bCs/>
        </w:rPr>
        <w:t xml:space="preserve"> </w:t>
      </w:r>
    </w:p>
    <w:p w14:paraId="053F9AED" w14:textId="77777777" w:rsidR="007C0D14" w:rsidRDefault="007C0D14" w:rsidP="00412E09">
      <w:pPr>
        <w:pStyle w:val="ListParagraph"/>
        <w:ind w:left="851" w:hanging="862"/>
        <w:rPr>
          <w:bCs/>
        </w:rPr>
      </w:pPr>
    </w:p>
    <w:p w14:paraId="6E15E27A" w14:textId="7F7C1F45" w:rsidR="009C7BBF" w:rsidRDefault="007C4BAB" w:rsidP="00412E09">
      <w:pPr>
        <w:pStyle w:val="ListParagraph"/>
        <w:numPr>
          <w:ilvl w:val="1"/>
          <w:numId w:val="83"/>
        </w:numPr>
        <w:ind w:left="851" w:hanging="862"/>
        <w:rPr>
          <w:bCs/>
        </w:rPr>
      </w:pPr>
      <w:r>
        <w:rPr>
          <w:bCs/>
        </w:rPr>
        <w:t>Before the end of the last NI Assembly mandate, a motion was passed to bring forward legislation banning conversion in all its forms.</w:t>
      </w:r>
      <w:r>
        <w:rPr>
          <w:rStyle w:val="FootnoteReference"/>
          <w:bCs/>
        </w:rPr>
        <w:footnoteReference w:id="9"/>
      </w:r>
      <w:r>
        <w:rPr>
          <w:bCs/>
        </w:rPr>
        <w:t xml:space="preserve"> Policy work has commenced to inform the drafting process.</w:t>
      </w:r>
      <w:r>
        <w:rPr>
          <w:rStyle w:val="FootnoteReference"/>
          <w:bCs/>
        </w:rPr>
        <w:footnoteReference w:id="10"/>
      </w:r>
      <w:r>
        <w:rPr>
          <w:bCs/>
        </w:rPr>
        <w:t xml:space="preserve"> </w:t>
      </w:r>
      <w:r w:rsidR="006152E0">
        <w:rPr>
          <w:bCs/>
        </w:rPr>
        <w:t>The UK Government ha</w:t>
      </w:r>
      <w:r w:rsidR="0024693A">
        <w:rPr>
          <w:bCs/>
        </w:rPr>
        <w:t>s</w:t>
      </w:r>
      <w:r w:rsidR="006152E0">
        <w:rPr>
          <w:bCs/>
        </w:rPr>
        <w:t xml:space="preserve"> </w:t>
      </w:r>
      <w:r>
        <w:rPr>
          <w:bCs/>
        </w:rPr>
        <w:t xml:space="preserve">also </w:t>
      </w:r>
      <w:r w:rsidR="008F0726">
        <w:rPr>
          <w:bCs/>
        </w:rPr>
        <w:t xml:space="preserve">set out proposals intending to ban conversion therapy </w:t>
      </w:r>
      <w:r w:rsidR="001701BA">
        <w:rPr>
          <w:bCs/>
        </w:rPr>
        <w:t>for children</w:t>
      </w:r>
      <w:r w:rsidR="00943F5E">
        <w:rPr>
          <w:bCs/>
        </w:rPr>
        <w:t xml:space="preserve">, but </w:t>
      </w:r>
      <w:r w:rsidR="00114C7C">
        <w:rPr>
          <w:bCs/>
        </w:rPr>
        <w:t>it relates</w:t>
      </w:r>
      <w:r w:rsidR="00B91A4A">
        <w:rPr>
          <w:bCs/>
        </w:rPr>
        <w:t xml:space="preserve"> to </w:t>
      </w:r>
      <w:r w:rsidR="00155CE3">
        <w:rPr>
          <w:bCs/>
        </w:rPr>
        <w:t>practices aimed at changing</w:t>
      </w:r>
      <w:r w:rsidR="004E4D21">
        <w:rPr>
          <w:bCs/>
        </w:rPr>
        <w:t xml:space="preserve"> sexual orientation and not gender identity.</w:t>
      </w:r>
      <w:r w:rsidR="00185BCB">
        <w:rPr>
          <w:rStyle w:val="FootnoteReference"/>
          <w:bCs/>
        </w:rPr>
        <w:footnoteReference w:id="11"/>
      </w:r>
      <w:r w:rsidR="004E4D21">
        <w:rPr>
          <w:bCs/>
        </w:rPr>
        <w:t xml:space="preserve"> </w:t>
      </w:r>
    </w:p>
    <w:p w14:paraId="1D500EAB" w14:textId="77777777" w:rsidR="000517C3" w:rsidRDefault="000517C3" w:rsidP="00412E09">
      <w:pPr>
        <w:pStyle w:val="ListParagraph"/>
        <w:ind w:left="851" w:hanging="862"/>
        <w:rPr>
          <w:bCs/>
        </w:rPr>
      </w:pPr>
    </w:p>
    <w:p w14:paraId="1844B279" w14:textId="3BB0F920" w:rsidR="009A52B4" w:rsidRDefault="00134DA1" w:rsidP="00412E09">
      <w:pPr>
        <w:pStyle w:val="ListParagraph"/>
        <w:numPr>
          <w:ilvl w:val="1"/>
          <w:numId w:val="83"/>
        </w:numPr>
        <w:ind w:left="851" w:hanging="862"/>
        <w:rPr>
          <w:b/>
        </w:rPr>
      </w:pPr>
      <w:r>
        <w:rPr>
          <w:b/>
        </w:rPr>
        <w:t>The Committee may wish to recommend</w:t>
      </w:r>
      <w:r w:rsidR="003C6EC6">
        <w:rPr>
          <w:b/>
        </w:rPr>
        <w:t xml:space="preserve"> that the </w:t>
      </w:r>
      <w:r w:rsidR="00A06901">
        <w:rPr>
          <w:b/>
        </w:rPr>
        <w:t>State Party ensures that</w:t>
      </w:r>
      <w:r w:rsidR="00E82A9F" w:rsidRPr="003E5FDD">
        <w:rPr>
          <w:b/>
        </w:rPr>
        <w:t xml:space="preserve"> </w:t>
      </w:r>
      <w:r w:rsidR="003E5FDD" w:rsidRPr="003E5FDD">
        <w:rPr>
          <w:b/>
        </w:rPr>
        <w:t>all practices</w:t>
      </w:r>
      <w:r w:rsidR="00534DAA">
        <w:rPr>
          <w:b/>
        </w:rPr>
        <w:t xml:space="preserve"> </w:t>
      </w:r>
      <w:r w:rsidR="00534DAA" w:rsidRPr="00534DAA">
        <w:rPr>
          <w:b/>
        </w:rPr>
        <w:t>aim</w:t>
      </w:r>
      <w:r w:rsidR="00534DAA">
        <w:rPr>
          <w:b/>
        </w:rPr>
        <w:t>ed at</w:t>
      </w:r>
      <w:r w:rsidR="00534DAA" w:rsidRPr="00534DAA">
        <w:rPr>
          <w:b/>
        </w:rPr>
        <w:t xml:space="preserve"> changing </w:t>
      </w:r>
      <w:r w:rsidR="00185BCB">
        <w:rPr>
          <w:b/>
        </w:rPr>
        <w:t xml:space="preserve">a child’s </w:t>
      </w:r>
      <w:r w:rsidR="00534DAA" w:rsidRPr="00534DAA">
        <w:rPr>
          <w:b/>
        </w:rPr>
        <w:t xml:space="preserve">sexual orientation or gender </w:t>
      </w:r>
      <w:r w:rsidR="00901692">
        <w:rPr>
          <w:b/>
        </w:rPr>
        <w:t>identity</w:t>
      </w:r>
      <w:r w:rsidR="00A06901">
        <w:rPr>
          <w:b/>
        </w:rPr>
        <w:t xml:space="preserve"> are banned </w:t>
      </w:r>
      <w:r w:rsidR="00396A10">
        <w:rPr>
          <w:b/>
        </w:rPr>
        <w:t>in NI</w:t>
      </w:r>
      <w:r w:rsidR="00A06901">
        <w:rPr>
          <w:b/>
        </w:rPr>
        <w:t>, this includes introducing the necessary legislation</w:t>
      </w:r>
      <w:r w:rsidR="0043546F">
        <w:rPr>
          <w:b/>
        </w:rPr>
        <w:t>.</w:t>
      </w:r>
    </w:p>
    <w:p w14:paraId="6F480D57" w14:textId="77777777" w:rsidR="00D14260" w:rsidRPr="00D14260" w:rsidRDefault="00D14260" w:rsidP="00412E09">
      <w:pPr>
        <w:ind w:left="851" w:hanging="862"/>
        <w:rPr>
          <w:b/>
        </w:rPr>
      </w:pPr>
    </w:p>
    <w:p w14:paraId="27A637A5" w14:textId="69982E86" w:rsidR="00CA61B1" w:rsidRPr="00587912" w:rsidRDefault="001C0E63" w:rsidP="00412E09">
      <w:pPr>
        <w:pStyle w:val="Heading1"/>
        <w:spacing w:before="0"/>
        <w:ind w:left="851" w:hanging="862"/>
      </w:pPr>
      <w:bookmarkStart w:id="9" w:name="_Toc121922173"/>
      <w:r>
        <w:t>4</w:t>
      </w:r>
      <w:r w:rsidR="00656F5D">
        <w:t>.0</w:t>
      </w:r>
      <w:r w:rsidR="00656F5D">
        <w:tab/>
      </w:r>
      <w:r w:rsidR="00A938B3" w:rsidRPr="00587912">
        <w:t xml:space="preserve">Article 4 </w:t>
      </w:r>
      <w:r w:rsidR="00B17B48">
        <w:t>–</w:t>
      </w:r>
      <w:r w:rsidR="00A938B3" w:rsidRPr="00587912">
        <w:t xml:space="preserve"> Implementation</w:t>
      </w:r>
      <w:r w:rsidR="00B17B48">
        <w:t xml:space="preserve"> of UN CRC</w:t>
      </w:r>
      <w:bookmarkEnd w:id="9"/>
    </w:p>
    <w:p w14:paraId="77D6E3C8" w14:textId="48FC47A4" w:rsidR="00C156FD" w:rsidRDefault="00C156FD" w:rsidP="00412E09">
      <w:pPr>
        <w:pStyle w:val="Heading2"/>
        <w:ind w:left="851" w:hanging="862"/>
        <w:rPr>
          <w:szCs w:val="22"/>
        </w:rPr>
      </w:pPr>
      <w:bookmarkStart w:id="10" w:name="_Toc121922174"/>
      <w:r>
        <w:rPr>
          <w:szCs w:val="22"/>
        </w:rPr>
        <w:t>Implementation within domestic law</w:t>
      </w:r>
      <w:bookmarkEnd w:id="10"/>
    </w:p>
    <w:p w14:paraId="42E17B06" w14:textId="77777777" w:rsidR="006E7A05" w:rsidRDefault="00F02DCE" w:rsidP="006E7A05">
      <w:pPr>
        <w:pStyle w:val="Default"/>
        <w:numPr>
          <w:ilvl w:val="1"/>
          <w:numId w:val="84"/>
        </w:numPr>
        <w:spacing w:line="288" w:lineRule="auto"/>
        <w:ind w:left="851" w:hanging="862"/>
      </w:pPr>
      <w:r>
        <w:t xml:space="preserve">In NI, a piecemeal </w:t>
      </w:r>
      <w:r w:rsidR="0034157C">
        <w:t xml:space="preserve">and non-specific </w:t>
      </w:r>
      <w:r>
        <w:t xml:space="preserve">approach </w:t>
      </w:r>
      <w:r w:rsidR="00453E34">
        <w:t>towards implementation of the UN CRC into domestic law</w:t>
      </w:r>
      <w:r>
        <w:t xml:space="preserve"> exists</w:t>
      </w:r>
      <w:r w:rsidR="00453E34">
        <w:t xml:space="preserve">. For example, </w:t>
      </w:r>
      <w:r w:rsidR="0034157C">
        <w:t xml:space="preserve">different pieces of </w:t>
      </w:r>
      <w:r w:rsidR="00453E34">
        <w:t>child-related legislation may refer to the best interests of the child</w:t>
      </w:r>
      <w:r w:rsidR="00837892">
        <w:t>, but not specifically refer to the UN CRC</w:t>
      </w:r>
      <w:r w:rsidR="00453E34">
        <w:t>.</w:t>
      </w:r>
      <w:r w:rsidR="00453E34">
        <w:rPr>
          <w:rStyle w:val="FootnoteReference"/>
        </w:rPr>
        <w:footnoteReference w:id="12"/>
      </w:r>
      <w:r w:rsidR="00453E34">
        <w:t xml:space="preserve"> </w:t>
      </w:r>
      <w:r w:rsidR="003D50C6">
        <w:t>Preceden</w:t>
      </w:r>
      <w:r w:rsidR="00DB4998">
        <w:t>t</w:t>
      </w:r>
      <w:r w:rsidR="003D50C6">
        <w:t xml:space="preserve"> exists in the UK for expressly implementing the UN CRC into domestic law. In</w:t>
      </w:r>
      <w:r w:rsidR="00453E34">
        <w:t xml:space="preserve"> Wales a duty </w:t>
      </w:r>
      <w:r w:rsidR="003D50C6">
        <w:t xml:space="preserve">is placed </w:t>
      </w:r>
      <w:r w:rsidR="00453E34">
        <w:t xml:space="preserve">on Ministers to have due regard to the UN CRC when developing </w:t>
      </w:r>
      <w:r w:rsidR="003B3DC1">
        <w:t xml:space="preserve">child-related </w:t>
      </w:r>
      <w:r w:rsidR="00453E34">
        <w:t>policies</w:t>
      </w:r>
      <w:r w:rsidR="00C7424B">
        <w:t>.</w:t>
      </w:r>
      <w:r w:rsidR="00453E34">
        <w:rPr>
          <w:rStyle w:val="FootnoteReference"/>
        </w:rPr>
        <w:footnoteReference w:id="13"/>
      </w:r>
      <w:r w:rsidR="00453E34">
        <w:t xml:space="preserve"> Scotland </w:t>
      </w:r>
      <w:r w:rsidR="00C7424B">
        <w:t xml:space="preserve">is currently </w:t>
      </w:r>
      <w:r w:rsidR="00EC2CE7">
        <w:t>work</w:t>
      </w:r>
      <w:r w:rsidR="00C7424B">
        <w:t>ing</w:t>
      </w:r>
      <w:r w:rsidR="003B3DC1">
        <w:t xml:space="preserve"> towards</w:t>
      </w:r>
      <w:r w:rsidR="00453E34">
        <w:t xml:space="preserve"> incorporating UN CRC into domestic law</w:t>
      </w:r>
      <w:r w:rsidR="00896352">
        <w:t>, subject to the limits of devolution</w:t>
      </w:r>
      <w:r w:rsidR="00453E34">
        <w:t>.</w:t>
      </w:r>
      <w:r w:rsidR="00453E34">
        <w:rPr>
          <w:rStyle w:val="FootnoteReference"/>
        </w:rPr>
        <w:footnoteReference w:id="14"/>
      </w:r>
    </w:p>
    <w:p w14:paraId="36B5E366" w14:textId="77777777" w:rsidR="006E7A05" w:rsidRDefault="006E7A05" w:rsidP="006E7A05">
      <w:pPr>
        <w:pStyle w:val="Default"/>
        <w:spacing w:line="288" w:lineRule="auto"/>
        <w:ind w:left="851"/>
      </w:pPr>
    </w:p>
    <w:p w14:paraId="5615FF7C" w14:textId="40246AED" w:rsidR="00CF51FB" w:rsidRPr="006E7A05" w:rsidRDefault="00CF51FB" w:rsidP="006E7A05">
      <w:pPr>
        <w:pStyle w:val="Default"/>
        <w:numPr>
          <w:ilvl w:val="1"/>
          <w:numId w:val="84"/>
        </w:numPr>
        <w:spacing w:line="288" w:lineRule="auto"/>
        <w:rPr>
          <w:b/>
        </w:rPr>
      </w:pPr>
      <w:r w:rsidRPr="006E7A05">
        <w:rPr>
          <w:b/>
        </w:rPr>
        <w:t>The Committee may wish to recommend that the State Party ensures that the UN CRC is expressly incorporated into domestic law in NI.</w:t>
      </w:r>
    </w:p>
    <w:p w14:paraId="11A3EEBC" w14:textId="77777777" w:rsidR="00CF51FB" w:rsidRPr="00CF51FB" w:rsidRDefault="00CF51FB" w:rsidP="00CF51FB">
      <w:pPr>
        <w:pStyle w:val="Default"/>
        <w:spacing w:line="288" w:lineRule="auto"/>
        <w:ind w:left="851"/>
      </w:pPr>
    </w:p>
    <w:p w14:paraId="72AB28A2" w14:textId="3F0B55AB" w:rsidR="002965CE" w:rsidRPr="00396A10" w:rsidRDefault="00A938B3" w:rsidP="00412E09">
      <w:pPr>
        <w:pStyle w:val="Heading2"/>
        <w:ind w:left="851" w:hanging="862"/>
        <w:rPr>
          <w:szCs w:val="22"/>
        </w:rPr>
      </w:pPr>
      <w:bookmarkStart w:id="11" w:name="_Toc121922175"/>
      <w:r w:rsidRPr="00587912">
        <w:rPr>
          <w:szCs w:val="22"/>
        </w:rPr>
        <w:t>Bill of Rights</w:t>
      </w:r>
      <w:r w:rsidR="0017007B">
        <w:rPr>
          <w:szCs w:val="22"/>
        </w:rPr>
        <w:t xml:space="preserve"> for NI</w:t>
      </w:r>
      <w:bookmarkEnd w:id="11"/>
    </w:p>
    <w:p w14:paraId="320CF7BB" w14:textId="602E16DF" w:rsidR="00274238" w:rsidRDefault="00033A7F" w:rsidP="00412E09">
      <w:pPr>
        <w:pStyle w:val="Default"/>
        <w:numPr>
          <w:ilvl w:val="1"/>
          <w:numId w:val="84"/>
        </w:numPr>
        <w:spacing w:line="288" w:lineRule="auto"/>
        <w:ind w:left="851" w:hanging="862"/>
      </w:pPr>
      <w:r w:rsidRPr="001B313D">
        <w:t xml:space="preserve">The </w:t>
      </w:r>
      <w:r w:rsidR="00580979">
        <w:t>C</w:t>
      </w:r>
      <w:r w:rsidR="00ED04C8" w:rsidRPr="001B313D">
        <w:t xml:space="preserve">ommittee </w:t>
      </w:r>
      <w:r w:rsidRPr="001B313D">
        <w:t xml:space="preserve">previously </w:t>
      </w:r>
      <w:r w:rsidR="00ED04C8" w:rsidRPr="001B313D">
        <w:t xml:space="preserve">recommended that the UK </w:t>
      </w:r>
      <w:r w:rsidR="00791411">
        <w:t xml:space="preserve">Government </w:t>
      </w:r>
      <w:r w:rsidR="00ED04C8" w:rsidRPr="001B313D">
        <w:t>expedit</w:t>
      </w:r>
      <w:r w:rsidR="00791411">
        <w:t>ated</w:t>
      </w:r>
      <w:r w:rsidR="00ED04C8" w:rsidRPr="001B313D">
        <w:t xml:space="preserve"> the Bill of Rights for NI</w:t>
      </w:r>
      <w:r w:rsidR="00791411">
        <w:t xml:space="preserve"> process</w:t>
      </w:r>
      <w:r w:rsidR="00ED04C8" w:rsidRPr="001B313D">
        <w:t>.</w:t>
      </w:r>
      <w:r w:rsidR="00ED04C8" w:rsidRPr="001B313D">
        <w:rPr>
          <w:rStyle w:val="FootnoteReference"/>
        </w:rPr>
        <w:footnoteReference w:id="15"/>
      </w:r>
      <w:r w:rsidR="00ED04C8" w:rsidRPr="001B313D">
        <w:t xml:space="preserve"> </w:t>
      </w:r>
      <w:r w:rsidR="003F1B75" w:rsidRPr="001B313D" w:rsidDel="00182B0B">
        <w:t>A</w:t>
      </w:r>
      <w:r w:rsidRPr="001B313D" w:rsidDel="00182B0B">
        <w:t xml:space="preserve"> </w:t>
      </w:r>
      <w:r w:rsidR="00ED04C8" w:rsidRPr="001B313D" w:rsidDel="00182B0B">
        <w:t>Bill of Rights for NI is the “missing piece in the jigsaw” of the implementation of the Belfast (Good Friday) Agreement 1998</w:t>
      </w:r>
      <w:r w:rsidR="003F1B75" w:rsidRPr="001B313D" w:rsidDel="00182B0B">
        <w:t>,</w:t>
      </w:r>
      <w:r w:rsidR="00F42482" w:rsidRPr="001B313D">
        <w:rPr>
          <w:rStyle w:val="FootnoteReference"/>
        </w:rPr>
        <w:footnoteReference w:id="16"/>
      </w:r>
      <w:r w:rsidR="003F1B75" w:rsidRPr="001B313D">
        <w:t xml:space="preserve"> </w:t>
      </w:r>
      <w:r w:rsidR="00F42482">
        <w:t>and the UK’s withdrawal from the EU strengthens the case for a Bill of Rights</w:t>
      </w:r>
      <w:r w:rsidR="00603EB7">
        <w:t xml:space="preserve"> for NI</w:t>
      </w:r>
      <w:r w:rsidRPr="001B313D">
        <w:t>.</w:t>
      </w:r>
      <w:r w:rsidR="00026789" w:rsidDel="00182B0B">
        <w:t xml:space="preserve"> </w:t>
      </w:r>
      <w:r w:rsidR="001944C1" w:rsidRPr="001944C1">
        <w:t>Article 2 of the Ireland/NI Protocol is no substitute for a Bill of Rights</w:t>
      </w:r>
      <w:r w:rsidR="00603EB7">
        <w:t xml:space="preserve"> for NI</w:t>
      </w:r>
      <w:r w:rsidR="001944C1">
        <w:t>,</w:t>
      </w:r>
      <w:r w:rsidR="001944C1" w:rsidRPr="001944C1">
        <w:t xml:space="preserve"> as it is limited in scope and preclud</w:t>
      </w:r>
      <w:r w:rsidR="001944C1">
        <w:t>es</w:t>
      </w:r>
      <w:r w:rsidR="006513A9">
        <w:t xml:space="preserve"> only</w:t>
      </w:r>
      <w:r w:rsidR="001944C1" w:rsidRPr="001944C1">
        <w:t xml:space="preserve"> a diminution of rights ‘as a result of Brexit’. A wide range of NI legislation relevant to rights</w:t>
      </w:r>
      <w:r w:rsidR="001944C1">
        <w:t xml:space="preserve"> </w:t>
      </w:r>
      <w:r w:rsidR="006F1089">
        <w:t xml:space="preserve">may </w:t>
      </w:r>
      <w:r w:rsidR="001944C1">
        <w:t xml:space="preserve">fall outside the scope of the non-diminution </w:t>
      </w:r>
      <w:proofErr w:type="gramStart"/>
      <w:r w:rsidR="001944C1">
        <w:t>commitment</w:t>
      </w:r>
      <w:r w:rsidR="00A034EB">
        <w:t>,</w:t>
      </w:r>
      <w:r w:rsidR="001944C1">
        <w:t xml:space="preserve"> </w:t>
      </w:r>
      <w:r w:rsidR="001944C1" w:rsidRPr="001944C1">
        <w:t>but</w:t>
      </w:r>
      <w:proofErr w:type="gramEnd"/>
      <w:r w:rsidR="001944C1" w:rsidRPr="001944C1">
        <w:t xml:space="preserve"> could be protected by </w:t>
      </w:r>
      <w:r w:rsidR="001944C1">
        <w:t>a</w:t>
      </w:r>
      <w:r w:rsidR="001944C1" w:rsidRPr="001944C1">
        <w:t xml:space="preserve"> Bill of Rights</w:t>
      </w:r>
      <w:r w:rsidR="00603EB7">
        <w:t xml:space="preserve"> for NI</w:t>
      </w:r>
      <w:r w:rsidR="001944C1" w:rsidRPr="001944C1">
        <w:t>.</w:t>
      </w:r>
      <w:r w:rsidR="001944C1">
        <w:t xml:space="preserve"> </w:t>
      </w:r>
      <w:r w:rsidR="003F1B75" w:rsidRPr="001B313D">
        <w:t xml:space="preserve">Additionally, “the impact of the Troubles is still </w:t>
      </w:r>
      <w:r w:rsidR="003B3DC1">
        <w:t>felt heavily” on children in NI,</w:t>
      </w:r>
      <w:r w:rsidR="003F1B75" w:rsidRPr="001B313D">
        <w:rPr>
          <w:rStyle w:val="FootnoteReference"/>
        </w:rPr>
        <w:footnoteReference w:id="17"/>
      </w:r>
      <w:r w:rsidR="003F1B75" w:rsidRPr="001B313D">
        <w:t xml:space="preserve"> </w:t>
      </w:r>
      <w:r w:rsidR="003B3DC1">
        <w:t>including</w:t>
      </w:r>
      <w:r w:rsidR="003F1B75" w:rsidRPr="001B313D">
        <w:t xml:space="preserve"> segregation, community division, criminal coercion, </w:t>
      </w:r>
      <w:proofErr w:type="gramStart"/>
      <w:r w:rsidR="003F1B75" w:rsidRPr="001B313D">
        <w:t>exploitation</w:t>
      </w:r>
      <w:proofErr w:type="gramEnd"/>
      <w:r w:rsidR="003F1B75" w:rsidRPr="001B313D">
        <w:t xml:space="preserve"> and assault by paramilitary-style gangs.</w:t>
      </w:r>
      <w:r w:rsidR="003F1B75" w:rsidRPr="001B313D">
        <w:rPr>
          <w:rStyle w:val="FootnoteReference"/>
        </w:rPr>
        <w:footnoteReference w:id="18"/>
      </w:r>
      <w:r w:rsidR="003F1B75" w:rsidRPr="001B313D">
        <w:t xml:space="preserve"> </w:t>
      </w:r>
      <w:r w:rsidR="00070954">
        <w:t>In addition, persistent child poverty and</w:t>
      </w:r>
      <w:r w:rsidR="00070954" w:rsidRPr="001B313D">
        <w:t xml:space="preserve"> inequalities in health and education</w:t>
      </w:r>
      <w:r w:rsidR="00070954">
        <w:t xml:space="preserve"> remain significant issues.</w:t>
      </w:r>
      <w:r w:rsidR="00070954" w:rsidRPr="001B313D">
        <w:t xml:space="preserve"> </w:t>
      </w:r>
      <w:r w:rsidR="003F1B75" w:rsidRPr="001B313D">
        <w:t xml:space="preserve">A Bill of Rights </w:t>
      </w:r>
      <w:r w:rsidR="005A74D0">
        <w:t>for NI</w:t>
      </w:r>
      <w:r w:rsidR="003F1B75" w:rsidRPr="001B313D">
        <w:t xml:space="preserve"> </w:t>
      </w:r>
      <w:r w:rsidR="00070954">
        <w:t>c</w:t>
      </w:r>
      <w:r w:rsidR="003F1B75" w:rsidRPr="001B313D">
        <w:t>ould establish a rights-based framework for addressing these issues.</w:t>
      </w:r>
    </w:p>
    <w:p w14:paraId="29BDEA84" w14:textId="77777777" w:rsidR="00274238" w:rsidRDefault="00274238" w:rsidP="00412E09">
      <w:pPr>
        <w:pStyle w:val="Default"/>
        <w:spacing w:line="288" w:lineRule="auto"/>
        <w:ind w:left="851" w:hanging="862"/>
      </w:pPr>
    </w:p>
    <w:p w14:paraId="31A32577" w14:textId="4EB429D6" w:rsidR="00AE206E" w:rsidRPr="001B313D" w:rsidRDefault="00114C7C" w:rsidP="00412E09">
      <w:pPr>
        <w:pStyle w:val="Default"/>
        <w:numPr>
          <w:ilvl w:val="1"/>
          <w:numId w:val="84"/>
        </w:numPr>
        <w:spacing w:line="288" w:lineRule="auto"/>
        <w:ind w:left="851" w:hanging="862"/>
      </w:pPr>
      <w:r>
        <w:t>A</w:t>
      </w:r>
      <w:r w:rsidR="00AE206E" w:rsidRPr="00EF41BB">
        <w:t xml:space="preserve"> NI Assembly Ad Hoc Committee on a Bill of Rights was established to consider the creation of a Bill of Rights for NI.</w:t>
      </w:r>
      <w:r w:rsidR="00AE206E" w:rsidRPr="007422C5">
        <w:rPr>
          <w:rStyle w:val="FootnoteReference"/>
        </w:rPr>
        <w:footnoteReference w:id="19"/>
      </w:r>
      <w:r w:rsidR="00AE206E" w:rsidRPr="00EF41BB">
        <w:t xml:space="preserve"> A panel of five experts was to be appointed by the First Minister and Deputy First Minister to support the work of the Ad Hoc Committee on a Bill of Rights.</w:t>
      </w:r>
      <w:r w:rsidR="00AE206E" w:rsidRPr="007422C5">
        <w:rPr>
          <w:rStyle w:val="FootnoteReference"/>
        </w:rPr>
        <w:footnoteReference w:id="20"/>
      </w:r>
      <w:r w:rsidR="00AE206E" w:rsidRPr="00274238">
        <w:rPr>
          <w:vertAlign w:val="superscript"/>
        </w:rPr>
        <w:t xml:space="preserve"> </w:t>
      </w:r>
      <w:r w:rsidR="00AE206E" w:rsidRPr="00EF41BB">
        <w:t>However, these appointments have not been made.</w:t>
      </w:r>
      <w:r w:rsidR="00AE206E" w:rsidRPr="007422C5">
        <w:rPr>
          <w:rStyle w:val="FootnoteReference"/>
        </w:rPr>
        <w:footnoteReference w:id="21"/>
      </w:r>
    </w:p>
    <w:p w14:paraId="0C6F711F" w14:textId="77777777" w:rsidR="00D8614E" w:rsidRDefault="00D8614E" w:rsidP="00412E09">
      <w:pPr>
        <w:spacing w:line="276" w:lineRule="auto"/>
        <w:ind w:left="851" w:hanging="862"/>
      </w:pPr>
    </w:p>
    <w:p w14:paraId="71D33FD4" w14:textId="4B35A4BE" w:rsidR="006F383C" w:rsidRPr="006F383C" w:rsidRDefault="00183AF9" w:rsidP="00412E09">
      <w:pPr>
        <w:pStyle w:val="Default"/>
        <w:numPr>
          <w:ilvl w:val="1"/>
          <w:numId w:val="84"/>
        </w:numPr>
        <w:spacing w:line="276" w:lineRule="auto"/>
        <w:ind w:left="851" w:hanging="862"/>
      </w:pPr>
      <w:r w:rsidRPr="00183AF9">
        <w:t xml:space="preserve">In February 2022, the Ad Hoc Committee on a Bill of Rights </w:t>
      </w:r>
      <w:r w:rsidR="00114C7C">
        <w:t>in concluding its work</w:t>
      </w:r>
      <w:r w:rsidR="00435800">
        <w:t xml:space="preserve"> </w:t>
      </w:r>
      <w:r w:rsidRPr="00183AF9">
        <w:t>reaffirmed that "human rights of many individuals and groups in NI are not sufficiently protected" and that a majority supports a Bill of Rights for NI</w:t>
      </w:r>
      <w:r w:rsidR="005E2105">
        <w:t>.</w:t>
      </w:r>
      <w:r w:rsidRPr="00183AF9">
        <w:rPr>
          <w:vertAlign w:val="superscript"/>
        </w:rPr>
        <w:footnoteReference w:id="22"/>
      </w:r>
      <w:r w:rsidRPr="00183AF9">
        <w:t xml:space="preserve"> </w:t>
      </w:r>
      <w:r w:rsidR="00A75CFD" w:rsidRPr="00EF41BB">
        <w:t xml:space="preserve">The Ad Hoc Committee "supported the creation of a Bill of Rights [for NI] in principle", </w:t>
      </w:r>
      <w:r w:rsidR="00A75CFD">
        <w:t xml:space="preserve">but </w:t>
      </w:r>
      <w:r w:rsidR="004E10AE">
        <w:t>it</w:t>
      </w:r>
      <w:r w:rsidRPr="00183AF9">
        <w:t xml:space="preserve"> was unable to advise as to what form this should take due to the absence of </w:t>
      </w:r>
      <w:r w:rsidR="00953AAA">
        <w:t>the</w:t>
      </w:r>
      <w:r w:rsidR="00953AAA" w:rsidRPr="00183AF9">
        <w:t xml:space="preserve"> </w:t>
      </w:r>
      <w:r w:rsidRPr="00183AF9">
        <w:t>expert panel and the Democratic Unionist Party's disagreement with th</w:t>
      </w:r>
      <w:r w:rsidR="004E10AE">
        <w:t>e majority</w:t>
      </w:r>
      <w:r w:rsidRPr="00183AF9">
        <w:t xml:space="preserve"> position.</w:t>
      </w:r>
      <w:r w:rsidRPr="00183AF9">
        <w:rPr>
          <w:vertAlign w:val="superscript"/>
        </w:rPr>
        <w:footnoteReference w:id="23"/>
      </w:r>
      <w:r w:rsidR="006F383C" w:rsidRPr="006F383C">
        <w:rPr>
          <w:rFonts w:eastAsia="Verdana"/>
          <w:lang w:eastAsia="en-GB"/>
        </w:rPr>
        <w:t xml:space="preserve"> </w:t>
      </w:r>
      <w:r w:rsidR="006C7184">
        <w:t>T</w:t>
      </w:r>
      <w:r w:rsidR="006F383C" w:rsidRPr="006F383C">
        <w:t>here has been no further progress.</w:t>
      </w:r>
    </w:p>
    <w:p w14:paraId="3D0B7110" w14:textId="77777777" w:rsidR="00174EF9" w:rsidRPr="00883140" w:rsidRDefault="00174EF9" w:rsidP="00412E09">
      <w:pPr>
        <w:ind w:left="851" w:hanging="862"/>
        <w:rPr>
          <w:b/>
          <w:szCs w:val="24"/>
        </w:rPr>
      </w:pPr>
    </w:p>
    <w:p w14:paraId="233015A6" w14:textId="7CADC100" w:rsidR="00FC0E61" w:rsidRDefault="00134DA1" w:rsidP="00412E09">
      <w:pPr>
        <w:pStyle w:val="Default"/>
        <w:numPr>
          <w:ilvl w:val="1"/>
          <w:numId w:val="84"/>
        </w:numPr>
        <w:spacing w:line="288" w:lineRule="auto"/>
        <w:ind w:left="851" w:hanging="862"/>
        <w:rPr>
          <w:b/>
        </w:rPr>
      </w:pPr>
      <w:r>
        <w:rPr>
          <w:b/>
        </w:rPr>
        <w:t>The Committee may wish to recommend</w:t>
      </w:r>
      <w:r w:rsidR="0019790B">
        <w:rPr>
          <w:b/>
        </w:rPr>
        <w:t xml:space="preserve"> that the </w:t>
      </w:r>
      <w:r w:rsidR="00E9302A">
        <w:rPr>
          <w:b/>
        </w:rPr>
        <w:t>State Party</w:t>
      </w:r>
      <w:r w:rsidR="007B609C">
        <w:rPr>
          <w:b/>
        </w:rPr>
        <w:t xml:space="preserve"> actively engage</w:t>
      </w:r>
      <w:r w:rsidR="00E9302A">
        <w:rPr>
          <w:b/>
        </w:rPr>
        <w:t>s</w:t>
      </w:r>
      <w:r w:rsidR="007B609C">
        <w:rPr>
          <w:b/>
        </w:rPr>
        <w:t xml:space="preserve"> with </w:t>
      </w:r>
      <w:r w:rsidR="0039724E" w:rsidRPr="0039724E">
        <w:rPr>
          <w:b/>
          <w:bCs/>
        </w:rPr>
        <w:t>and expeditiously implement</w:t>
      </w:r>
      <w:r w:rsidR="00E9302A">
        <w:rPr>
          <w:b/>
          <w:bCs/>
        </w:rPr>
        <w:t>s</w:t>
      </w:r>
      <w:r w:rsidR="007B609C">
        <w:rPr>
          <w:b/>
        </w:rPr>
        <w:t xml:space="preserve"> </w:t>
      </w:r>
      <w:r w:rsidR="00E9302A">
        <w:rPr>
          <w:b/>
        </w:rPr>
        <w:t>its</w:t>
      </w:r>
      <w:r w:rsidR="007B609C">
        <w:rPr>
          <w:b/>
        </w:rPr>
        <w:t xml:space="preserve"> commitment to legislate for a Bill of Rights for NI, as set out in the Belfast (Good Friday) Agreement.</w:t>
      </w:r>
    </w:p>
    <w:p w14:paraId="3540BA18" w14:textId="77777777" w:rsidR="00161BD2" w:rsidRPr="00587912" w:rsidRDefault="00161BD2" w:rsidP="00412E09">
      <w:pPr>
        <w:ind w:left="851" w:hanging="862"/>
      </w:pPr>
    </w:p>
    <w:p w14:paraId="35A01E12" w14:textId="36F85E8F" w:rsidR="00ED04C8" w:rsidRPr="007C17F8" w:rsidRDefault="007E0BCD" w:rsidP="00412E09">
      <w:pPr>
        <w:pStyle w:val="Heading2"/>
        <w:ind w:left="851" w:hanging="862"/>
        <w:rPr>
          <w:szCs w:val="22"/>
        </w:rPr>
      </w:pPr>
      <w:bookmarkStart w:id="12" w:name="_Toc121922176"/>
      <w:r w:rsidRPr="00587912">
        <w:rPr>
          <w:szCs w:val="22"/>
        </w:rPr>
        <w:t>UK’s withdrawal from the E</w:t>
      </w:r>
      <w:r w:rsidR="001B313D">
        <w:rPr>
          <w:szCs w:val="22"/>
        </w:rPr>
        <w:t>U</w:t>
      </w:r>
      <w:bookmarkEnd w:id="12"/>
    </w:p>
    <w:p w14:paraId="750D7DCC" w14:textId="2AC7BA61" w:rsidR="00325049" w:rsidRPr="00490E5C" w:rsidRDefault="00325049" w:rsidP="00412E09">
      <w:pPr>
        <w:pStyle w:val="Default"/>
        <w:numPr>
          <w:ilvl w:val="1"/>
          <w:numId w:val="84"/>
        </w:numPr>
        <w:spacing w:line="276" w:lineRule="auto"/>
        <w:ind w:left="851" w:hanging="862"/>
      </w:pPr>
      <w:r>
        <w:t>In Article 2 of the Ireland/NI Protocol (Protocol Article 2) to the UK-EU Withdrawal Agreement 2020, the UK Government committed to ensuring no diminution of rights, safeguards and equality of opportunity set out in the relevant chapter of the Belfast (Good Friday) Agreement 1998, as a result of the UK’s withdrawal from the EU.</w:t>
      </w:r>
      <w:r>
        <w:rPr>
          <w:rStyle w:val="FootnoteReference"/>
        </w:rPr>
        <w:footnoteReference w:id="24"/>
      </w:r>
      <w:r>
        <w:t xml:space="preserve"> In addition to the non-diminution commitment, there is an obligation to “keep pace” with six EU equality Directives listed in Annex 1 to the Protocol.</w:t>
      </w:r>
      <w:r>
        <w:rPr>
          <w:rStyle w:val="FootnoteReference"/>
        </w:rPr>
        <w:footnoteReference w:id="25"/>
      </w:r>
      <w:r>
        <w:t xml:space="preserve"> NI law must keep pace with changes made to improve the minimum standards of</w:t>
      </w:r>
      <w:r w:rsidR="008743FC">
        <w:t xml:space="preserve"> protection under</w:t>
      </w:r>
      <w:r>
        <w:t xml:space="preserve"> these Directives on or after 1 January 2021</w:t>
      </w:r>
      <w:r w:rsidR="008743FC">
        <w:t>. This includes</w:t>
      </w:r>
      <w:r w:rsidR="00875EE7">
        <w:t xml:space="preserve"> changes deriving from caselaw.</w:t>
      </w:r>
      <w:r w:rsidR="00875EE7">
        <w:rPr>
          <w:rStyle w:val="FootnoteReference"/>
        </w:rPr>
        <w:footnoteReference w:id="26"/>
      </w:r>
    </w:p>
    <w:p w14:paraId="3EEAB7AF" w14:textId="77777777" w:rsidR="00B45259" w:rsidRPr="00325049" w:rsidRDefault="00B45259" w:rsidP="00412E09">
      <w:pPr>
        <w:pStyle w:val="Default"/>
        <w:spacing w:line="276" w:lineRule="auto"/>
        <w:ind w:left="851" w:hanging="862"/>
        <w:rPr>
          <w:b/>
        </w:rPr>
      </w:pPr>
    </w:p>
    <w:p w14:paraId="00314248" w14:textId="473364CB" w:rsidR="00325049" w:rsidRPr="00DA3C6B" w:rsidRDefault="00325049" w:rsidP="00412E09">
      <w:pPr>
        <w:pStyle w:val="Default"/>
        <w:numPr>
          <w:ilvl w:val="1"/>
          <w:numId w:val="84"/>
        </w:numPr>
        <w:spacing w:line="276" w:lineRule="auto"/>
        <w:ind w:left="851" w:hanging="862"/>
        <w:rPr>
          <w:b/>
        </w:rPr>
      </w:pPr>
      <w:r>
        <w:t>In June 2022,</w:t>
      </w:r>
      <w:r w:rsidR="00074895">
        <w:t xml:space="preserve"> </w:t>
      </w:r>
      <w:r>
        <w:t xml:space="preserve">the UK Government introduced the NI Protocol Bill. The Bill provides that certain provisions of the Protocol will no longer have domestic </w:t>
      </w:r>
      <w:r w:rsidR="00827944">
        <w:t>e</w:t>
      </w:r>
      <w:r>
        <w:t xml:space="preserve">ffect in the </w:t>
      </w:r>
      <w:proofErr w:type="gramStart"/>
      <w:r>
        <w:t>UK, and</w:t>
      </w:r>
      <w:proofErr w:type="gramEnd"/>
      <w:r>
        <w:t xml:space="preserve"> provides that domestic courts are not bound by principles or decisions made by the CJEU after the Bill comes into force</w:t>
      </w:r>
      <w:r w:rsidR="00563345">
        <w:t>,</w:t>
      </w:r>
      <w:r w:rsidR="00CF22FF">
        <w:rPr>
          <w:rStyle w:val="FootnoteReference"/>
        </w:rPr>
        <w:footnoteReference w:id="27"/>
      </w:r>
      <w:r w:rsidR="00563345">
        <w:t xml:space="preserve"> contrary to the ‘keeping pace’ obligation</w:t>
      </w:r>
      <w:r>
        <w:t>.</w:t>
      </w:r>
      <w:r w:rsidR="00CF22FF">
        <w:rPr>
          <w:rStyle w:val="FootnoteReference"/>
        </w:rPr>
        <w:footnoteReference w:id="28"/>
      </w:r>
      <w:r>
        <w:t xml:space="preserve"> While the Bill provides some protection for Protocol Article 2, this protection is incomplete and risks weakening the non-diminution commitment.</w:t>
      </w:r>
    </w:p>
    <w:p w14:paraId="6EFB176F" w14:textId="32586DD0" w:rsidR="002A73F3" w:rsidRDefault="002A73F3" w:rsidP="00412E09">
      <w:pPr>
        <w:pStyle w:val="Default"/>
        <w:spacing w:line="276" w:lineRule="auto"/>
        <w:ind w:left="851" w:hanging="862"/>
        <w:rPr>
          <w:b/>
        </w:rPr>
      </w:pPr>
    </w:p>
    <w:p w14:paraId="4C9440EE" w14:textId="0D79D72C" w:rsidR="00EE3C81" w:rsidRDefault="001C292F" w:rsidP="00412E09">
      <w:pPr>
        <w:pStyle w:val="Default"/>
        <w:numPr>
          <w:ilvl w:val="1"/>
          <w:numId w:val="84"/>
        </w:numPr>
        <w:spacing w:line="259" w:lineRule="auto"/>
        <w:ind w:left="851" w:hanging="862"/>
        <w:rPr>
          <w:rFonts w:ascii="Calibri" w:hAnsi="Calibri"/>
          <w:sz w:val="22"/>
        </w:rPr>
      </w:pPr>
      <w:r>
        <w:t>The EU (Withdrawal) Act 2018 repealed legislation which gave effect to EU law in the UK, however, retained EU law continues to be recognised and available in UK law on and after 1 January 2021.</w:t>
      </w:r>
      <w:r w:rsidR="00F511E0">
        <w:rPr>
          <w:rStyle w:val="FootnoteReference"/>
        </w:rPr>
        <w:footnoteReference w:id="29"/>
      </w:r>
      <w:r w:rsidR="00F511E0">
        <w:t> </w:t>
      </w:r>
      <w:r w:rsidR="00E936B3" w:rsidRPr="00211F1F">
        <w:t>The Retained EU Law (Revocation and Reform) Bill</w:t>
      </w:r>
      <w:r w:rsidR="00471481">
        <w:t>,</w:t>
      </w:r>
      <w:r w:rsidR="00611257">
        <w:t xml:space="preserve"> introduced </w:t>
      </w:r>
      <w:r w:rsidR="00E936B3" w:rsidRPr="00211F1F">
        <w:t>in the House of Commons</w:t>
      </w:r>
      <w:r w:rsidR="00611257">
        <w:t xml:space="preserve"> in September 2022</w:t>
      </w:r>
      <w:r w:rsidR="00E936B3" w:rsidRPr="00211F1F">
        <w:t>, will result in automatic repeal or revocation of m</w:t>
      </w:r>
      <w:r w:rsidR="006952F9">
        <w:t>uch</w:t>
      </w:r>
      <w:r w:rsidR="00E936B3" w:rsidRPr="00211F1F">
        <w:t xml:space="preserve"> retained EU law by the end of December 2023 unless it is preserved and/or restated under delegated powers given to Ministers.</w:t>
      </w:r>
      <w:r w:rsidR="002C573F">
        <w:rPr>
          <w:rStyle w:val="FootnoteReference"/>
        </w:rPr>
        <w:footnoteReference w:id="30"/>
      </w:r>
      <w:r w:rsidR="00E936B3">
        <w:t xml:space="preserve"> </w:t>
      </w:r>
      <w:r w:rsidR="005E0017">
        <w:t xml:space="preserve">This </w:t>
      </w:r>
      <w:r w:rsidR="00C63965">
        <w:t xml:space="preserve">may </w:t>
      </w:r>
      <w:r w:rsidR="00982ED0">
        <w:t xml:space="preserve">include </w:t>
      </w:r>
      <w:r w:rsidR="00F20703">
        <w:t>retained EU</w:t>
      </w:r>
      <w:r w:rsidR="00982ED0">
        <w:t xml:space="preserve"> </w:t>
      </w:r>
      <w:r w:rsidR="00F20703">
        <w:t>law</w:t>
      </w:r>
      <w:r w:rsidR="00982ED0">
        <w:t xml:space="preserve"> </w:t>
      </w:r>
      <w:r w:rsidR="00B75249">
        <w:t>affecting children’s rights</w:t>
      </w:r>
      <w:r w:rsidR="00B9398E">
        <w:t>.</w:t>
      </w:r>
      <w:r w:rsidR="0098223D">
        <w:rPr>
          <w:rStyle w:val="FootnoteReference"/>
        </w:rPr>
        <w:footnoteReference w:id="31"/>
      </w:r>
      <w:r w:rsidR="00B9398E">
        <w:t xml:space="preserve"> </w:t>
      </w:r>
      <w:r w:rsidR="00E936B3">
        <w:t xml:space="preserve">The Commission has advised that </w:t>
      </w:r>
      <w:r w:rsidR="003C14CC">
        <w:t>c</w:t>
      </w:r>
      <w:r w:rsidR="00F511E0">
        <w:t xml:space="preserve">are should be taken when repealing or amending retained EU law to ensure it does not result in a diminution of rights contrary to Protocol Article 2. </w:t>
      </w:r>
    </w:p>
    <w:p w14:paraId="4094110E" w14:textId="77777777" w:rsidR="00A41A4F" w:rsidRDefault="00A41A4F" w:rsidP="00412E09">
      <w:pPr>
        <w:pStyle w:val="ListParagraph"/>
        <w:ind w:left="851" w:hanging="862"/>
      </w:pPr>
    </w:p>
    <w:p w14:paraId="02D3689F" w14:textId="4CD36FAD" w:rsidR="00EE3C81" w:rsidRDefault="002C5F02" w:rsidP="00412E09">
      <w:pPr>
        <w:pStyle w:val="Default"/>
        <w:numPr>
          <w:ilvl w:val="1"/>
          <w:numId w:val="84"/>
        </w:numPr>
        <w:spacing w:line="259" w:lineRule="auto"/>
        <w:ind w:left="851" w:hanging="862"/>
        <w:rPr>
          <w:rFonts w:ascii="Calibri" w:hAnsi="Calibri"/>
          <w:sz w:val="22"/>
        </w:rPr>
      </w:pPr>
      <w:r w:rsidRPr="00EC5DDB">
        <w:t>The</w:t>
      </w:r>
      <w:r>
        <w:t xml:space="preserve"> </w:t>
      </w:r>
      <w:r w:rsidRPr="00EC5DDB">
        <w:t xml:space="preserve">loss of EU funding streams </w:t>
      </w:r>
      <w:r w:rsidR="00316433">
        <w:t>due to the UK’s withdrawal f</w:t>
      </w:r>
      <w:r w:rsidR="00E745D8">
        <w:t>rom</w:t>
      </w:r>
      <w:r w:rsidR="00316433">
        <w:t xml:space="preserve"> the EU may adversely affect children’s rights.</w:t>
      </w:r>
      <w:r w:rsidRPr="00EC5DDB">
        <w:t xml:space="preserve"> </w:t>
      </w:r>
      <w:r w:rsidR="008D58AF">
        <w:t>T</w:t>
      </w:r>
      <w:r w:rsidRPr="00EC5DDB">
        <w:t>he E</w:t>
      </w:r>
      <w:r>
        <w:t>uropean</w:t>
      </w:r>
      <w:r w:rsidRPr="00EC5DDB">
        <w:t xml:space="preserve"> Social Fund, PEACE funding and INTERREG funds </w:t>
      </w:r>
      <w:r w:rsidR="008D58AF">
        <w:t>have come to an end as a result</w:t>
      </w:r>
      <w:r>
        <w:t>,</w:t>
      </w:r>
      <w:r w:rsidRPr="00EC5DDB">
        <w:t xml:space="preserve"> </w:t>
      </w:r>
      <w:r>
        <w:t xml:space="preserve">and </w:t>
      </w:r>
      <w:r w:rsidR="008D58AF">
        <w:t xml:space="preserve">there is a </w:t>
      </w:r>
      <w:r>
        <w:t>lack of clarity on the extent of replacement funding available</w:t>
      </w:r>
      <w:r w:rsidR="00212F8A">
        <w:t>, which</w:t>
      </w:r>
      <w:r w:rsidRPr="00EC5DDB">
        <w:t xml:space="preserve"> is likely to impact on children who are already experiencing </w:t>
      </w:r>
      <w:r>
        <w:t>socio-</w:t>
      </w:r>
      <w:r w:rsidRPr="00EC5DDB">
        <w:t>economic disadvantage.</w:t>
      </w:r>
      <w:r w:rsidRPr="00EC5DDB">
        <w:rPr>
          <w:rStyle w:val="FootnoteReference"/>
        </w:rPr>
        <w:footnoteReference w:id="32"/>
      </w:r>
      <w:r w:rsidRPr="00EC5DDB">
        <w:t xml:space="preserve"> </w:t>
      </w:r>
      <w:r w:rsidRPr="00EC5DDB" w:rsidDel="00D92F85">
        <w:t xml:space="preserve"> </w:t>
      </w:r>
    </w:p>
    <w:p w14:paraId="0EE87C89" w14:textId="77777777" w:rsidR="00A41A4F" w:rsidRPr="00A41A4F" w:rsidRDefault="00A41A4F" w:rsidP="00412E09">
      <w:pPr>
        <w:pStyle w:val="ListParagraph"/>
        <w:ind w:left="851" w:hanging="862"/>
        <w:rPr>
          <w:b/>
        </w:rPr>
      </w:pPr>
    </w:p>
    <w:p w14:paraId="5FFCE2AA" w14:textId="77777777" w:rsidR="004D43D0" w:rsidRPr="00A41A4F" w:rsidRDefault="004D43D0" w:rsidP="00412E09">
      <w:pPr>
        <w:pStyle w:val="Default"/>
        <w:numPr>
          <w:ilvl w:val="1"/>
          <w:numId w:val="84"/>
        </w:numPr>
        <w:spacing w:after="160" w:line="259" w:lineRule="auto"/>
        <w:ind w:left="851" w:hanging="862"/>
        <w:rPr>
          <w:rFonts w:ascii="Calibri" w:hAnsi="Calibri"/>
          <w:b/>
          <w:sz w:val="22"/>
        </w:rPr>
      </w:pPr>
      <w:r w:rsidRPr="00325049">
        <w:rPr>
          <w:b/>
        </w:rPr>
        <w:t>The Committee may wish to recommend that, consistent with a no regression approach to rights, the State Party ensures that there is no weakening of the Protocol Article 2 ‘no diminution’ commitment or the rights, safeguards and oversight mechanisms relating to this commitment.</w:t>
      </w:r>
    </w:p>
    <w:p w14:paraId="5E79855F" w14:textId="2815C369" w:rsidR="00EE3C81" w:rsidRDefault="002C5F02" w:rsidP="00412E09">
      <w:pPr>
        <w:pStyle w:val="Default"/>
        <w:numPr>
          <w:ilvl w:val="1"/>
          <w:numId w:val="84"/>
        </w:numPr>
        <w:spacing w:line="259" w:lineRule="auto"/>
        <w:ind w:left="851" w:hanging="862"/>
        <w:rPr>
          <w:rFonts w:ascii="Calibri" w:hAnsi="Calibri"/>
          <w:sz w:val="22"/>
        </w:rPr>
      </w:pPr>
      <w:r w:rsidRPr="00EE3C81">
        <w:rPr>
          <w:b/>
        </w:rPr>
        <w:t xml:space="preserve">The Committee may wish to recommend that </w:t>
      </w:r>
      <w:r w:rsidR="0033764B" w:rsidRPr="00EE3C81">
        <w:rPr>
          <w:b/>
          <w:bCs/>
        </w:rPr>
        <w:t>the State Party, when making changes to retained EU law impacting children’s rights</w:t>
      </w:r>
      <w:r w:rsidR="00021D44">
        <w:rPr>
          <w:b/>
          <w:bCs/>
        </w:rPr>
        <w:t xml:space="preserve"> in NI</w:t>
      </w:r>
      <w:r w:rsidR="0033764B" w:rsidRPr="00EE3C81">
        <w:rPr>
          <w:b/>
          <w:bCs/>
        </w:rPr>
        <w:t>, should progress changes by primary legislation, rather than secondary legislation or other ‘accelerated process’ and an assessment for compliance with Protocol Article 2 is undertaken.</w:t>
      </w:r>
    </w:p>
    <w:p w14:paraId="4C5A645A" w14:textId="77777777" w:rsidR="00A301A4" w:rsidRDefault="00A301A4" w:rsidP="00412E09">
      <w:pPr>
        <w:pStyle w:val="Default"/>
        <w:spacing w:line="259" w:lineRule="auto"/>
        <w:ind w:left="851" w:hanging="862"/>
        <w:rPr>
          <w:rFonts w:ascii="Calibri" w:hAnsi="Calibri"/>
          <w:sz w:val="22"/>
        </w:rPr>
      </w:pPr>
    </w:p>
    <w:p w14:paraId="598D9B21" w14:textId="48288DFC" w:rsidR="00EE3C81" w:rsidRPr="00EE3C81" w:rsidRDefault="002C5F02" w:rsidP="00412E09">
      <w:pPr>
        <w:pStyle w:val="Default"/>
        <w:numPr>
          <w:ilvl w:val="1"/>
          <w:numId w:val="84"/>
        </w:numPr>
        <w:spacing w:after="160" w:line="259" w:lineRule="auto"/>
        <w:ind w:left="851" w:hanging="862"/>
        <w:rPr>
          <w:rFonts w:ascii="Calibri" w:hAnsi="Calibri"/>
          <w:sz w:val="22"/>
        </w:rPr>
      </w:pPr>
      <w:r w:rsidRPr="00EE3C81">
        <w:rPr>
          <w:b/>
        </w:rPr>
        <w:t xml:space="preserve">The Committee may wish to recommend that </w:t>
      </w:r>
      <w:r w:rsidR="00212F8A" w:rsidRPr="00EE3C81">
        <w:rPr>
          <w:b/>
        </w:rPr>
        <w:t xml:space="preserve">the State Party takes </w:t>
      </w:r>
      <w:r w:rsidRPr="00EE3C81">
        <w:rPr>
          <w:b/>
        </w:rPr>
        <w:t xml:space="preserve">effective measures </w:t>
      </w:r>
      <w:r w:rsidR="00212F8A" w:rsidRPr="00EE3C81">
        <w:rPr>
          <w:b/>
        </w:rPr>
        <w:t xml:space="preserve">to </w:t>
      </w:r>
      <w:r w:rsidRPr="00EE3C81">
        <w:rPr>
          <w:b/>
        </w:rPr>
        <w:t xml:space="preserve">ensure </w:t>
      </w:r>
      <w:r w:rsidR="00DD6BA5">
        <w:rPr>
          <w:b/>
        </w:rPr>
        <w:t xml:space="preserve">cumulative funding provided for children </w:t>
      </w:r>
      <w:r w:rsidR="0094168F">
        <w:rPr>
          <w:b/>
        </w:rPr>
        <w:t xml:space="preserve">should not decrease in NI </w:t>
      </w:r>
      <w:proofErr w:type="gramStart"/>
      <w:r w:rsidR="0094168F">
        <w:rPr>
          <w:b/>
        </w:rPr>
        <w:t>as a result of</w:t>
      </w:r>
      <w:proofErr w:type="gramEnd"/>
      <w:r w:rsidR="0094168F">
        <w:rPr>
          <w:b/>
        </w:rPr>
        <w:t xml:space="preserve"> </w:t>
      </w:r>
      <w:r w:rsidRPr="00EE3C81">
        <w:rPr>
          <w:b/>
        </w:rPr>
        <w:t>the UK leaving the EU, including ensuring access to and funding of beneficial support services.</w:t>
      </w:r>
      <w:r w:rsidR="00212F8A" w:rsidRPr="00EE3C81">
        <w:rPr>
          <w:b/>
        </w:rPr>
        <w:t xml:space="preserve"> </w:t>
      </w:r>
    </w:p>
    <w:p w14:paraId="07ADB495" w14:textId="77777777" w:rsidR="007E5A51" w:rsidRDefault="007E5A51" w:rsidP="00F54280">
      <w:pPr>
        <w:pStyle w:val="Default"/>
        <w:spacing w:line="259" w:lineRule="auto"/>
        <w:ind w:left="851" w:hanging="862"/>
      </w:pPr>
    </w:p>
    <w:p w14:paraId="7AC15661" w14:textId="152685F0" w:rsidR="00EC5DDB" w:rsidRPr="00716FDB" w:rsidRDefault="002A73F3" w:rsidP="00412E09">
      <w:pPr>
        <w:pStyle w:val="Default"/>
        <w:spacing w:after="160" w:line="259" w:lineRule="auto"/>
        <w:ind w:left="851" w:hanging="862"/>
        <w:rPr>
          <w:rFonts w:ascii="Calibri" w:hAnsi="Calibri"/>
          <w:b/>
          <w:sz w:val="22"/>
        </w:rPr>
      </w:pPr>
      <w:r w:rsidRPr="007E5A51">
        <w:rPr>
          <w:b/>
          <w:bCs/>
        </w:rPr>
        <w:t xml:space="preserve">Common Travel Area </w:t>
      </w:r>
    </w:p>
    <w:p w14:paraId="78210868" w14:textId="146AFB34" w:rsidR="00A82D7C" w:rsidRDefault="00A82D7C" w:rsidP="00412E09">
      <w:pPr>
        <w:pStyle w:val="Default"/>
        <w:numPr>
          <w:ilvl w:val="1"/>
          <w:numId w:val="84"/>
        </w:numPr>
        <w:spacing w:line="276" w:lineRule="auto"/>
        <w:ind w:left="851" w:hanging="862"/>
      </w:pPr>
      <w:r>
        <w:t>In 2019</w:t>
      </w:r>
      <w:r w:rsidR="009A413F">
        <w:t xml:space="preserve">, </w:t>
      </w:r>
      <w:r>
        <w:t xml:space="preserve">the UK Government and the Government of Ireland signed a non-binding Memorandum of Understanding on the Common Travel Area </w:t>
      </w:r>
      <w:r w:rsidR="00110964">
        <w:t xml:space="preserve">to facilitate free movement </w:t>
      </w:r>
      <w:r>
        <w:t>and associated rights and privileges for UK and Irish citizens</w:t>
      </w:r>
      <w:r w:rsidR="00110964">
        <w:t xml:space="preserve"> across the island of Ireland and between Ireland and Great Britain</w:t>
      </w:r>
      <w:r>
        <w:t xml:space="preserve">. </w:t>
      </w:r>
      <w:r w:rsidR="00491BCC">
        <w:t>Therefore</w:t>
      </w:r>
      <w:r w:rsidR="00B04B97">
        <w:t>,</w:t>
      </w:r>
      <w:r w:rsidR="00491BCC">
        <w:t xml:space="preserve"> </w:t>
      </w:r>
      <w:r w:rsidR="00F672D9">
        <w:t xml:space="preserve">free movement and </w:t>
      </w:r>
      <w:r>
        <w:t xml:space="preserve">rights to reside and to work, the rights to social housing, social protection, </w:t>
      </w:r>
      <w:proofErr w:type="gramStart"/>
      <w:r>
        <w:t>healthcare</w:t>
      </w:r>
      <w:proofErr w:type="gramEnd"/>
      <w:r>
        <w:t xml:space="preserve"> and education</w:t>
      </w:r>
      <w:r w:rsidR="00F672D9">
        <w:t xml:space="preserve"> </w:t>
      </w:r>
      <w:r>
        <w:t>are based on reciprocal protections in the domestic law in the UK and Ireland</w:t>
      </w:r>
      <w:r w:rsidR="00491BCC">
        <w:t xml:space="preserve">. </w:t>
      </w:r>
      <w:r w:rsidR="005A6AC3">
        <w:t>However</w:t>
      </w:r>
      <w:r w:rsidR="00110964">
        <w:t>,</w:t>
      </w:r>
      <w:r w:rsidR="005A6AC3">
        <w:t xml:space="preserve"> </w:t>
      </w:r>
      <w:r w:rsidR="00D317BB">
        <w:t xml:space="preserve">this </w:t>
      </w:r>
      <w:r w:rsidR="005A6AC3">
        <w:t xml:space="preserve">framework only extends to Irish and UK citizens. </w:t>
      </w:r>
      <w:r w:rsidR="00491BCC">
        <w:t xml:space="preserve">  </w:t>
      </w:r>
    </w:p>
    <w:p w14:paraId="1492E1C5" w14:textId="77777777" w:rsidR="00491BCC" w:rsidRDefault="00491BCC" w:rsidP="00412E09">
      <w:pPr>
        <w:pStyle w:val="ListParagraph"/>
        <w:ind w:left="851" w:hanging="862"/>
      </w:pPr>
    </w:p>
    <w:p w14:paraId="495D1F9F" w14:textId="6BD4347D" w:rsidR="00491BCC" w:rsidRDefault="00491BCC" w:rsidP="00412E09">
      <w:pPr>
        <w:pStyle w:val="Default"/>
        <w:numPr>
          <w:ilvl w:val="1"/>
          <w:numId w:val="84"/>
        </w:numPr>
        <w:spacing w:line="276" w:lineRule="auto"/>
        <w:ind w:left="851" w:hanging="862"/>
      </w:pPr>
      <w:r>
        <w:t>In 2021, new Home Office guidance on the Common Travel Area took effect, stating that while travellers</w:t>
      </w:r>
      <w:r w:rsidR="00A668F7">
        <w:t>, including children,</w:t>
      </w:r>
      <w:r>
        <w:t xml:space="preserve"> into the UK from Ireland need not show a passport to a Border Force officer, they may be asked to show a document confirming their identity and nationality.</w:t>
      </w:r>
      <w:r>
        <w:rPr>
          <w:rStyle w:val="FootnoteReference"/>
        </w:rPr>
        <w:footnoteReference w:id="33"/>
      </w:r>
      <w:r>
        <w:t xml:space="preserve"> EEA and Swiss citizens may be asked to show their passport or identity card to enter Great Britain when travelling from Ireland if they are encountered by Border Force. The Commission has raised concerns about the risk of racial profiling </w:t>
      </w:r>
      <w:r w:rsidR="00110964">
        <w:t>and inquired of the Home Office what training, guidance and procedures are in place to prevent and address such occurrence</w:t>
      </w:r>
      <w:r w:rsidR="00420060">
        <w:t>s</w:t>
      </w:r>
      <w:r w:rsidR="00D34AE0">
        <w:t>.</w:t>
      </w:r>
      <w:r>
        <w:rPr>
          <w:rStyle w:val="FootnoteReference"/>
        </w:rPr>
        <w:footnoteReference w:id="34"/>
      </w:r>
      <w:r>
        <w:t xml:space="preserve"> </w:t>
      </w:r>
    </w:p>
    <w:p w14:paraId="316671D8" w14:textId="77777777" w:rsidR="00491BCC" w:rsidRDefault="00491BCC" w:rsidP="00412E09">
      <w:pPr>
        <w:pStyle w:val="ListParagraph"/>
        <w:ind w:left="851" w:hanging="862"/>
      </w:pPr>
    </w:p>
    <w:p w14:paraId="4B9D82FF" w14:textId="77777777" w:rsidR="007E5A51" w:rsidRDefault="00A668F7" w:rsidP="00412E09">
      <w:pPr>
        <w:pStyle w:val="Default"/>
        <w:numPr>
          <w:ilvl w:val="1"/>
          <w:numId w:val="84"/>
        </w:numPr>
        <w:spacing w:line="276" w:lineRule="auto"/>
        <w:ind w:left="851" w:hanging="862"/>
      </w:pPr>
      <w:r w:rsidRPr="00A668F7">
        <w:t xml:space="preserve">Children in NI </w:t>
      </w:r>
      <w:r w:rsidR="001126EB">
        <w:t xml:space="preserve">and in border areas </w:t>
      </w:r>
      <w:r w:rsidRPr="00A668F7">
        <w:t xml:space="preserve">regularly cross the border </w:t>
      </w:r>
      <w:r w:rsidR="00B15E0B">
        <w:t xml:space="preserve">with Ireland </w:t>
      </w:r>
      <w:r w:rsidRPr="00A668F7">
        <w:t xml:space="preserve">including for education, health, </w:t>
      </w:r>
      <w:proofErr w:type="gramStart"/>
      <w:r w:rsidRPr="00A668F7">
        <w:t>family</w:t>
      </w:r>
      <w:proofErr w:type="gramEnd"/>
      <w:r w:rsidRPr="00A668F7">
        <w:t xml:space="preserve"> and social reasons</w:t>
      </w:r>
      <w:r w:rsidR="001126EB">
        <w:t>.</w:t>
      </w:r>
      <w:r w:rsidR="001126EB" w:rsidRPr="005C4506">
        <w:rPr>
          <w:rStyle w:val="FootnoteReference"/>
        </w:rPr>
        <w:footnoteReference w:id="35"/>
      </w:r>
      <w:r w:rsidRPr="00A668F7">
        <w:t xml:space="preserve"> </w:t>
      </w:r>
      <w:r w:rsidR="00491BCC" w:rsidRPr="005A6AC3">
        <w:t xml:space="preserve">The </w:t>
      </w:r>
      <w:r w:rsidR="00491BCC" w:rsidRPr="00491BCC">
        <w:t xml:space="preserve">Nationality and Borders </w:t>
      </w:r>
      <w:r w:rsidR="00491BCC">
        <w:t xml:space="preserve">Act 2022 provides </w:t>
      </w:r>
      <w:r w:rsidR="00D34AE0">
        <w:t>that</w:t>
      </w:r>
      <w:r w:rsidR="00D34AE0" w:rsidRPr="005A6AC3">
        <w:t xml:space="preserve"> all non-British citizens who require leave to enter the UK when travelling from Ireland to the UK </w:t>
      </w:r>
      <w:r w:rsidR="00D34AE0">
        <w:t xml:space="preserve">will be obligated to obtain </w:t>
      </w:r>
      <w:r w:rsidR="00491BCC" w:rsidRPr="00491BCC">
        <w:t>Electronic Travel Authorisations. Irish citizens are excluded.</w:t>
      </w:r>
      <w:r w:rsidR="00491BCC">
        <w:rPr>
          <w:rStyle w:val="FootnoteReference"/>
        </w:rPr>
        <w:footnoteReference w:id="36"/>
      </w:r>
      <w:r w:rsidR="00491BCC" w:rsidRPr="00491BCC">
        <w:t xml:space="preserve"> However, a significant number of individuals</w:t>
      </w:r>
      <w:r w:rsidR="00D34AE0">
        <w:t>, including children,</w:t>
      </w:r>
      <w:r w:rsidR="00491BCC" w:rsidRPr="00491BCC">
        <w:t xml:space="preserve"> who do not</w:t>
      </w:r>
      <w:r>
        <w:t>, or whose parents do not,</w:t>
      </w:r>
      <w:r w:rsidR="00491BCC" w:rsidRPr="00491BCC">
        <w:t xml:space="preserve"> hold recognised UK immigration status will be affected despite free travel across the island of Ireland being available to them under the current system.</w:t>
      </w:r>
    </w:p>
    <w:p w14:paraId="74B74F7E" w14:textId="77777777" w:rsidR="007E5A51" w:rsidRDefault="007E5A51" w:rsidP="00412E09">
      <w:pPr>
        <w:pStyle w:val="ListParagraph"/>
        <w:ind w:left="851" w:hanging="862"/>
        <w:rPr>
          <w:b/>
          <w:bCs/>
        </w:rPr>
      </w:pPr>
    </w:p>
    <w:p w14:paraId="2068AB19" w14:textId="15411D02" w:rsidR="00861CAD" w:rsidRPr="00E07C10" w:rsidRDefault="00861CAD" w:rsidP="00412E09">
      <w:pPr>
        <w:pStyle w:val="Default"/>
        <w:numPr>
          <w:ilvl w:val="1"/>
          <w:numId w:val="84"/>
        </w:numPr>
        <w:spacing w:line="276" w:lineRule="auto"/>
        <w:ind w:left="851" w:hanging="862"/>
        <w:rPr>
          <w:b/>
          <w:bCs/>
        </w:rPr>
      </w:pPr>
      <w:r w:rsidRPr="00E07C10">
        <w:rPr>
          <w:b/>
          <w:bCs/>
        </w:rPr>
        <w:t xml:space="preserve">The Committee may wish to recommend that the </w:t>
      </w:r>
      <w:r w:rsidR="007B62E8" w:rsidRPr="00E07C10">
        <w:rPr>
          <w:b/>
          <w:bCs/>
        </w:rPr>
        <w:t>State Party takes</w:t>
      </w:r>
      <w:r w:rsidRPr="00E07C10">
        <w:rPr>
          <w:b/>
          <w:bCs/>
        </w:rPr>
        <w:t xml:space="preserve"> effective steps to </w:t>
      </w:r>
      <w:r w:rsidR="003060E2" w:rsidRPr="00E07C10">
        <w:rPr>
          <w:b/>
          <w:bCs/>
        </w:rPr>
        <w:t>address the risk of</w:t>
      </w:r>
      <w:r w:rsidRPr="00E07C10">
        <w:rPr>
          <w:b/>
          <w:bCs/>
        </w:rPr>
        <w:t xml:space="preserve"> racial profiling</w:t>
      </w:r>
      <w:r w:rsidR="007B62E8" w:rsidRPr="00E07C10">
        <w:rPr>
          <w:b/>
          <w:bCs/>
        </w:rPr>
        <w:t xml:space="preserve"> </w:t>
      </w:r>
      <w:r w:rsidR="003060E2" w:rsidRPr="00E07C10">
        <w:rPr>
          <w:b/>
          <w:bCs/>
        </w:rPr>
        <w:t>in NI</w:t>
      </w:r>
      <w:r w:rsidR="0092238E" w:rsidRPr="00E07C10">
        <w:rPr>
          <w:b/>
          <w:bCs/>
        </w:rPr>
        <w:t xml:space="preserve">. This includes ensuring there is </w:t>
      </w:r>
      <w:r w:rsidRPr="00E07C10">
        <w:rPr>
          <w:b/>
          <w:bCs/>
        </w:rPr>
        <w:t xml:space="preserve">appropriate training and monitoring, in the implementation of the revised guidance on the Common Travel Area and Electronic Travel Authorisation requirements, including at entry to NI at ports and airports and in the context of </w:t>
      </w:r>
      <w:r w:rsidR="002D7211" w:rsidRPr="00E07C10">
        <w:rPr>
          <w:b/>
          <w:bCs/>
        </w:rPr>
        <w:t>travel between Ireland</w:t>
      </w:r>
      <w:r w:rsidR="0025691C" w:rsidRPr="00E07C10">
        <w:rPr>
          <w:b/>
          <w:bCs/>
        </w:rPr>
        <w:t xml:space="preserve"> and NI</w:t>
      </w:r>
      <w:r w:rsidRPr="00E07C10">
        <w:rPr>
          <w:b/>
          <w:bCs/>
        </w:rPr>
        <w:t>.</w:t>
      </w:r>
      <w:r w:rsidR="0041607B" w:rsidRPr="00E07C10">
        <w:rPr>
          <w:b/>
          <w:bCs/>
        </w:rPr>
        <w:t xml:space="preserve"> </w:t>
      </w:r>
    </w:p>
    <w:p w14:paraId="6A789E98" w14:textId="401B5731" w:rsidR="00861CAD" w:rsidRPr="00E07C10" w:rsidRDefault="00861CAD" w:rsidP="00D221A9">
      <w:pPr>
        <w:pStyle w:val="ListParagraph"/>
        <w:rPr>
          <w:b/>
          <w:bCs/>
        </w:rPr>
      </w:pPr>
    </w:p>
    <w:p w14:paraId="0F9489D4" w14:textId="7DA2D10C" w:rsidR="008A5278" w:rsidRPr="00E07C10" w:rsidRDefault="008A5278" w:rsidP="00A51BB2">
      <w:pPr>
        <w:pStyle w:val="Default"/>
        <w:numPr>
          <w:ilvl w:val="1"/>
          <w:numId w:val="84"/>
        </w:numPr>
        <w:spacing w:line="276" w:lineRule="auto"/>
        <w:ind w:left="851" w:hanging="862"/>
        <w:rPr>
          <w:b/>
          <w:bCs/>
        </w:rPr>
      </w:pPr>
      <w:r w:rsidRPr="00E07C10">
        <w:rPr>
          <w:b/>
          <w:bCs/>
        </w:rPr>
        <w:t xml:space="preserve">The Committee may wish to recommend that the UK Government ensures that all journeys into NI, originating from Ireland, are exempt from Electronic Travel Authorisation requirements. </w:t>
      </w:r>
    </w:p>
    <w:p w14:paraId="0B44F275" w14:textId="77777777" w:rsidR="008A5278" w:rsidRPr="00E07C10" w:rsidRDefault="008A5278" w:rsidP="008A5278">
      <w:pPr>
        <w:pStyle w:val="ListParagraph"/>
        <w:rPr>
          <w:b/>
          <w:bCs/>
        </w:rPr>
      </w:pPr>
    </w:p>
    <w:p w14:paraId="3B496F70" w14:textId="5F3D3864" w:rsidR="008A5278" w:rsidRPr="00E07C10" w:rsidRDefault="008A5278" w:rsidP="00A51BB2">
      <w:pPr>
        <w:pStyle w:val="Default"/>
        <w:numPr>
          <w:ilvl w:val="1"/>
          <w:numId w:val="84"/>
        </w:numPr>
        <w:spacing w:line="276" w:lineRule="auto"/>
        <w:ind w:left="851" w:hanging="862"/>
        <w:rPr>
          <w:b/>
          <w:bCs/>
        </w:rPr>
      </w:pPr>
      <w:r w:rsidRPr="00E07C10">
        <w:rPr>
          <w:b/>
          <w:bCs/>
        </w:rPr>
        <w:t xml:space="preserve">The Committee may wish to recommend that Common Travel Area and rights associated with it are enshrined in law by a comprehensive bilateral treaty by the UK and Ireland which codifies reciprocal free movement rights and rights to employment, education, health care, </w:t>
      </w:r>
      <w:proofErr w:type="gramStart"/>
      <w:r w:rsidRPr="00E07C10">
        <w:rPr>
          <w:b/>
          <w:bCs/>
        </w:rPr>
        <w:t>justice</w:t>
      </w:r>
      <w:proofErr w:type="gramEnd"/>
      <w:r w:rsidRPr="00E07C10">
        <w:rPr>
          <w:b/>
          <w:bCs/>
        </w:rPr>
        <w:t xml:space="preserve"> and security to maintain the </w:t>
      </w:r>
      <w:r w:rsidRPr="00E07C10">
        <w:rPr>
          <w:rFonts w:cs="Arial"/>
          <w:b/>
          <w:bCs/>
        </w:rPr>
        <w:t>same level of protection as existed on 31 December 2020 and that any such treaty should be incorporated into domestic legislation.</w:t>
      </w:r>
    </w:p>
    <w:p w14:paraId="6A4EC4A1" w14:textId="77777777" w:rsidR="00F637FB" w:rsidRPr="002A7EDF" w:rsidRDefault="00F637FB" w:rsidP="007F2BF3">
      <w:pPr>
        <w:pStyle w:val="Default"/>
        <w:spacing w:line="288" w:lineRule="auto"/>
        <w:rPr>
          <w:b/>
        </w:rPr>
      </w:pPr>
    </w:p>
    <w:p w14:paraId="3A9F67A3" w14:textId="3E811B20" w:rsidR="00A146BB" w:rsidRPr="007C4908" w:rsidRDefault="00287D78" w:rsidP="00412E09">
      <w:pPr>
        <w:pStyle w:val="Heading2"/>
        <w:ind w:left="851" w:hanging="862"/>
        <w:rPr>
          <w:szCs w:val="22"/>
        </w:rPr>
      </w:pPr>
      <w:bookmarkStart w:id="13" w:name="_Toc121922177"/>
      <w:r>
        <w:rPr>
          <w:szCs w:val="22"/>
        </w:rPr>
        <w:t>Human Rights Act Reform</w:t>
      </w:r>
      <w:bookmarkEnd w:id="13"/>
    </w:p>
    <w:p w14:paraId="5E079DA8" w14:textId="117C4F72" w:rsidR="005F6A83" w:rsidRDefault="00E74A33" w:rsidP="00A51BB2">
      <w:pPr>
        <w:pStyle w:val="ListParagraph"/>
        <w:numPr>
          <w:ilvl w:val="1"/>
          <w:numId w:val="99"/>
        </w:numPr>
        <w:ind w:left="851" w:hanging="851"/>
      </w:pPr>
      <w:r>
        <w:t xml:space="preserve">In </w:t>
      </w:r>
      <w:r w:rsidR="00433A00">
        <w:t>June 2022, the</w:t>
      </w:r>
      <w:r w:rsidR="00287D78">
        <w:t xml:space="preserve"> UK Government</w:t>
      </w:r>
      <w:r w:rsidR="00433A00">
        <w:t xml:space="preserve"> introduced the Bill of Rights Bill to the House of Commons</w:t>
      </w:r>
      <w:r w:rsidR="00A0176F">
        <w:t>. The Bill</w:t>
      </w:r>
      <w:r w:rsidR="00FA135F">
        <w:t xml:space="preserve"> </w:t>
      </w:r>
      <w:r w:rsidR="00A0176F">
        <w:t xml:space="preserve">is to replace </w:t>
      </w:r>
      <w:r w:rsidR="00FA135F">
        <w:t>the Human Rights Act 1998</w:t>
      </w:r>
      <w:r w:rsidR="00253A84">
        <w:t xml:space="preserve">. </w:t>
      </w:r>
      <w:r w:rsidR="00A0176F">
        <w:t>If enacted, the provisions are likely to breach commitments made in the B</w:t>
      </w:r>
      <w:r w:rsidR="0087519C">
        <w:t xml:space="preserve">elfast </w:t>
      </w:r>
      <w:r w:rsidR="00A0176F">
        <w:t>G</w:t>
      </w:r>
      <w:r w:rsidR="0087519C">
        <w:t xml:space="preserve">ood </w:t>
      </w:r>
      <w:r w:rsidR="00A0176F">
        <w:t>F</w:t>
      </w:r>
      <w:r w:rsidR="0087519C">
        <w:t xml:space="preserve">riday </w:t>
      </w:r>
      <w:r w:rsidR="00A0176F">
        <w:t>A</w:t>
      </w:r>
      <w:r w:rsidR="0087519C">
        <w:t>greement</w:t>
      </w:r>
      <w:r w:rsidR="00A0176F">
        <w:t xml:space="preserve">, undermine protection for young people and restrict access to domestic courts. </w:t>
      </w:r>
      <w:r w:rsidR="00253A84">
        <w:t>The NIHRC</w:t>
      </w:r>
      <w:r w:rsidR="00A0176F">
        <w:t xml:space="preserve"> has </w:t>
      </w:r>
      <w:proofErr w:type="gramStart"/>
      <w:r w:rsidR="00A0176F">
        <w:t>a number of</w:t>
      </w:r>
      <w:proofErr w:type="gramEnd"/>
      <w:r w:rsidR="00A0176F">
        <w:t xml:space="preserve"> specific concerns about the Bill, not least of which is </w:t>
      </w:r>
      <w:r w:rsidR="00F477E8">
        <w:t>the</w:t>
      </w:r>
      <w:r w:rsidR="00A0176F">
        <w:t xml:space="preserve"> failure to </w:t>
      </w:r>
      <w:r w:rsidR="00253A84">
        <w:t xml:space="preserve">consider </w:t>
      </w:r>
      <w:r w:rsidR="00A0176F">
        <w:t xml:space="preserve">adequately </w:t>
      </w:r>
      <w:r w:rsidR="00253A84">
        <w:t xml:space="preserve">the Belfast (Good Friday) Agreement, </w:t>
      </w:r>
      <w:r w:rsidR="008D27BF" w:rsidRPr="008D27BF">
        <w:t>Article 2 of the Ireland/NI Protocol</w:t>
      </w:r>
      <w:r w:rsidR="008D27BF" w:rsidRPr="008D27BF" w:rsidDel="008D27BF">
        <w:t xml:space="preserve"> </w:t>
      </w:r>
      <w:r w:rsidR="00F37F35">
        <w:t>and the integral role of ECHR in NI.</w:t>
      </w:r>
      <w:r w:rsidR="00DA79DD">
        <w:rPr>
          <w:rStyle w:val="FootnoteReference"/>
        </w:rPr>
        <w:footnoteReference w:id="37"/>
      </w:r>
      <w:r w:rsidR="00F37F35">
        <w:t xml:space="preserve"> This is of particular concern given </w:t>
      </w:r>
      <w:r w:rsidR="0051349F">
        <w:t xml:space="preserve">that </w:t>
      </w:r>
      <w:r w:rsidR="00F37F35">
        <w:t xml:space="preserve">NI remains without its own Bill of Rights. </w:t>
      </w:r>
      <w:r w:rsidR="00B6596C">
        <w:t xml:space="preserve">Moreover, </w:t>
      </w:r>
      <w:r w:rsidR="00B6596C" w:rsidRPr="005F6A83">
        <w:t xml:space="preserve">the </w:t>
      </w:r>
      <w:r w:rsidR="005F6A83" w:rsidRPr="005F6A83">
        <w:t>protections in Protocol Article 2, while an important safeguard against the diminution of rights following UK withdrawal from the EU, are not a substitute for the comprehensive framework of human rights protections under the Human Rights Act.</w:t>
      </w:r>
    </w:p>
    <w:p w14:paraId="103899EB" w14:textId="77777777" w:rsidR="002964DF" w:rsidRDefault="002964DF" w:rsidP="00412E09">
      <w:pPr>
        <w:pStyle w:val="ListParagraph"/>
        <w:ind w:left="851" w:hanging="862"/>
      </w:pPr>
    </w:p>
    <w:p w14:paraId="34A13A98" w14:textId="77777777" w:rsidR="003A7CF0" w:rsidRPr="003A7CF0" w:rsidRDefault="00B05D15" w:rsidP="00A51BB2">
      <w:pPr>
        <w:pStyle w:val="ListParagraph"/>
        <w:numPr>
          <w:ilvl w:val="1"/>
          <w:numId w:val="99"/>
        </w:numPr>
        <w:ind w:left="851" w:hanging="862"/>
      </w:pPr>
      <w:r>
        <w:rPr>
          <w:color w:val="000000"/>
        </w:rPr>
        <w:t xml:space="preserve">In November 2022, the Bill of Rights Bill was awaiting its second reading at the House of Commons, with no date for progression. </w:t>
      </w:r>
      <w:r w:rsidR="00D96B8C">
        <w:rPr>
          <w:color w:val="000000"/>
        </w:rPr>
        <w:t xml:space="preserve">While there were initial reports that </w:t>
      </w:r>
      <w:r>
        <w:rPr>
          <w:color w:val="000000"/>
        </w:rPr>
        <w:t xml:space="preserve">the UK Government would not be proceeding with the Bill of Rights Bill in its current </w:t>
      </w:r>
      <w:r w:rsidR="002964DF">
        <w:rPr>
          <w:color w:val="000000"/>
        </w:rPr>
        <w:t>form</w:t>
      </w:r>
      <w:r w:rsidR="00066D73">
        <w:rPr>
          <w:color w:val="000000"/>
        </w:rPr>
        <w:t>,</w:t>
      </w:r>
      <w:r>
        <w:rPr>
          <w:rStyle w:val="FootnoteReference"/>
          <w:color w:val="000000"/>
        </w:rPr>
        <w:footnoteReference w:id="38"/>
      </w:r>
      <w:r w:rsidR="00066D73">
        <w:rPr>
          <w:color w:val="000000"/>
        </w:rPr>
        <w:t xml:space="preserve"> </w:t>
      </w:r>
      <w:r w:rsidR="00D96B8C">
        <w:rPr>
          <w:color w:val="000000"/>
        </w:rPr>
        <w:t>more</w:t>
      </w:r>
      <w:r w:rsidR="00066D73">
        <w:rPr>
          <w:color w:val="000000"/>
        </w:rPr>
        <w:t xml:space="preserve"> recent reports </w:t>
      </w:r>
      <w:r w:rsidR="00D96B8C">
        <w:rPr>
          <w:color w:val="000000"/>
        </w:rPr>
        <w:t xml:space="preserve">suggest that the </w:t>
      </w:r>
      <w:r w:rsidR="00066D73">
        <w:rPr>
          <w:color w:val="000000"/>
        </w:rPr>
        <w:t xml:space="preserve">that the Bill of Rights Bill will be </w:t>
      </w:r>
      <w:r w:rsidR="00D96B8C">
        <w:rPr>
          <w:color w:val="000000"/>
        </w:rPr>
        <w:t xml:space="preserve">progressing through </w:t>
      </w:r>
      <w:r w:rsidR="007A5C83">
        <w:rPr>
          <w:color w:val="000000"/>
        </w:rPr>
        <w:t>the UK P</w:t>
      </w:r>
      <w:r w:rsidR="00D96B8C">
        <w:rPr>
          <w:color w:val="000000"/>
        </w:rPr>
        <w:t>arliament in its 2022-2023 session</w:t>
      </w:r>
      <w:r>
        <w:rPr>
          <w:color w:val="000000"/>
        </w:rPr>
        <w:t>.</w:t>
      </w:r>
      <w:r w:rsidR="00BD6782">
        <w:rPr>
          <w:rStyle w:val="FootnoteReference"/>
          <w:color w:val="000000"/>
        </w:rPr>
        <w:footnoteReference w:id="39"/>
      </w:r>
    </w:p>
    <w:p w14:paraId="2851AB44" w14:textId="77777777" w:rsidR="003A7CF0" w:rsidRPr="003A7CF0" w:rsidRDefault="003A7CF0" w:rsidP="00412E09">
      <w:pPr>
        <w:pStyle w:val="ListParagraph"/>
        <w:ind w:left="851" w:hanging="862"/>
        <w:rPr>
          <w:b/>
          <w:bCs/>
        </w:rPr>
      </w:pPr>
    </w:p>
    <w:p w14:paraId="46044C97" w14:textId="5EF9EA5F" w:rsidR="00CF2173" w:rsidRPr="00B72ED4" w:rsidRDefault="001300C3" w:rsidP="00A51BB2">
      <w:pPr>
        <w:pStyle w:val="ListParagraph"/>
        <w:numPr>
          <w:ilvl w:val="1"/>
          <w:numId w:val="99"/>
        </w:numPr>
        <w:ind w:left="851" w:hanging="862"/>
        <w:rPr>
          <w:b/>
        </w:rPr>
      </w:pPr>
      <w:r w:rsidRPr="001300C3">
        <w:rPr>
          <w:b/>
          <w:bCs/>
        </w:rPr>
        <w:t>The Committee may wish to recommend that</w:t>
      </w:r>
      <w:r w:rsidR="00CF2173">
        <w:rPr>
          <w:b/>
          <w:bCs/>
        </w:rPr>
        <w:t xml:space="preserve"> the </w:t>
      </w:r>
      <w:r w:rsidR="005341FA" w:rsidRPr="003A7CF0">
        <w:rPr>
          <w:b/>
          <w:bCs/>
        </w:rPr>
        <w:t>State Party</w:t>
      </w:r>
      <w:r w:rsidRPr="00CF2173">
        <w:rPr>
          <w:b/>
          <w:bCs/>
        </w:rPr>
        <w:t xml:space="preserve"> </w:t>
      </w:r>
      <w:r w:rsidRPr="003A7CF0">
        <w:rPr>
          <w:b/>
          <w:szCs w:val="24"/>
        </w:rPr>
        <w:t xml:space="preserve">ensures that the fundamental principles of human rights are adhered to and any reform to the UK’s human rights framework does not weaken human rights protections, but builds on the </w:t>
      </w:r>
      <w:r w:rsidR="00CF2173" w:rsidRPr="003A7CF0">
        <w:rPr>
          <w:b/>
          <w:szCs w:val="24"/>
        </w:rPr>
        <w:t xml:space="preserve">Human Rights Act </w:t>
      </w:r>
      <w:r w:rsidRPr="003A7CF0">
        <w:rPr>
          <w:b/>
          <w:szCs w:val="24"/>
        </w:rPr>
        <w:t>1998, as part of further progress in strengthening the promotion and protection of human rights for all in the UK</w:t>
      </w:r>
      <w:r w:rsidR="00F422F1" w:rsidRPr="003A7CF0">
        <w:rPr>
          <w:b/>
          <w:bCs/>
          <w:szCs w:val="24"/>
        </w:rPr>
        <w:t xml:space="preserve">. </w:t>
      </w:r>
      <w:r w:rsidR="00F422F1" w:rsidRPr="003A7CF0">
        <w:rPr>
          <w:b/>
          <w:bCs/>
        </w:rPr>
        <w:t>This includes ensuring that the Belfast (Good Friday) Agreement and Article 2 of the Ireland/NI Protocol is adhered to.</w:t>
      </w:r>
    </w:p>
    <w:p w14:paraId="62224AC1" w14:textId="77777777" w:rsidR="00287D78" w:rsidRPr="00287D78" w:rsidRDefault="00287D78" w:rsidP="00412E09">
      <w:pPr>
        <w:pStyle w:val="ListParagraph"/>
        <w:ind w:left="851" w:hanging="862"/>
      </w:pPr>
    </w:p>
    <w:p w14:paraId="7B482F90" w14:textId="34820DA0" w:rsidR="00287D78" w:rsidRPr="00334F0E" w:rsidRDefault="00287D78" w:rsidP="00412E09">
      <w:pPr>
        <w:pStyle w:val="Heading2"/>
        <w:ind w:left="851" w:hanging="862"/>
        <w:rPr>
          <w:szCs w:val="22"/>
        </w:rPr>
      </w:pPr>
      <w:bookmarkStart w:id="14" w:name="_Toc121922178"/>
      <w:r w:rsidRPr="00587912">
        <w:rPr>
          <w:szCs w:val="22"/>
        </w:rPr>
        <w:t>Child</w:t>
      </w:r>
      <w:r w:rsidR="00737C4D">
        <w:rPr>
          <w:szCs w:val="22"/>
        </w:rPr>
        <w:t>ren and Young People’s Strategy</w:t>
      </w:r>
      <w:bookmarkEnd w:id="14"/>
    </w:p>
    <w:p w14:paraId="4711AA5E" w14:textId="4CC648C4" w:rsidR="00B100F6" w:rsidRDefault="00831579" w:rsidP="00A51BB2">
      <w:pPr>
        <w:pStyle w:val="ListParagraph"/>
        <w:numPr>
          <w:ilvl w:val="1"/>
          <w:numId w:val="99"/>
        </w:numPr>
        <w:ind w:left="851" w:hanging="862"/>
      </w:pPr>
      <w:r>
        <w:t>I</w:t>
      </w:r>
      <w:r w:rsidR="00994661">
        <w:t>n 2016, t</w:t>
      </w:r>
      <w:r w:rsidR="00B100F6">
        <w:t xml:space="preserve">he Committee </w:t>
      </w:r>
      <w:r w:rsidR="00A9619A">
        <w:t xml:space="preserve">made a series of recommendations </w:t>
      </w:r>
      <w:r w:rsidR="00B25F3E">
        <w:t xml:space="preserve">regarding the </w:t>
      </w:r>
      <w:r w:rsidR="00632D67">
        <w:t>development</w:t>
      </w:r>
      <w:r w:rsidR="00B703CF">
        <w:t>, delivery</w:t>
      </w:r>
      <w:r w:rsidR="003A4308">
        <w:t>,</w:t>
      </w:r>
      <w:r w:rsidR="00B703CF">
        <w:t xml:space="preserve"> </w:t>
      </w:r>
      <w:r w:rsidR="00632D67">
        <w:t xml:space="preserve">and monitoring </w:t>
      </w:r>
      <w:r w:rsidR="008C6328">
        <w:t xml:space="preserve">of </w:t>
      </w:r>
      <w:r w:rsidR="00994661">
        <w:t>a strategic framework</w:t>
      </w:r>
      <w:r w:rsidR="00195D59">
        <w:t xml:space="preserve"> to </w:t>
      </w:r>
      <w:r w:rsidR="00860EA1">
        <w:t>support</w:t>
      </w:r>
      <w:r w:rsidR="00195D59">
        <w:t xml:space="preserve"> </w:t>
      </w:r>
      <w:r w:rsidR="00857EF0">
        <w:t xml:space="preserve">the domestic </w:t>
      </w:r>
      <w:r w:rsidR="00195D59">
        <w:t xml:space="preserve">implementation of the </w:t>
      </w:r>
      <w:r w:rsidR="00784B13">
        <w:t>UN CRC</w:t>
      </w:r>
      <w:r w:rsidR="00B100F6" w:rsidRPr="00587912">
        <w:t>.</w:t>
      </w:r>
      <w:r w:rsidR="00B100F6" w:rsidRPr="00587912">
        <w:rPr>
          <w:rStyle w:val="FootnoteReference"/>
        </w:rPr>
        <w:footnoteReference w:id="40"/>
      </w:r>
      <w:r w:rsidR="00A91F19">
        <w:t xml:space="preserve"> This included </w:t>
      </w:r>
      <w:r w:rsidR="00453C5C">
        <w:t>that the NI Executive expedite the finalisation of a child rights indicator framework.</w:t>
      </w:r>
      <w:r w:rsidR="00F703CE">
        <w:rPr>
          <w:rStyle w:val="FootnoteReference"/>
        </w:rPr>
        <w:footnoteReference w:id="41"/>
      </w:r>
    </w:p>
    <w:p w14:paraId="43BF641A" w14:textId="77777777" w:rsidR="00B100F6" w:rsidRDefault="00B100F6" w:rsidP="00412E09">
      <w:pPr>
        <w:pStyle w:val="ListParagraph"/>
        <w:ind w:left="851" w:hanging="862"/>
      </w:pPr>
    </w:p>
    <w:p w14:paraId="38C5521F" w14:textId="3D24D0D1" w:rsidR="002E319C" w:rsidRDefault="00320264" w:rsidP="00A51BB2">
      <w:pPr>
        <w:pStyle w:val="ListParagraph"/>
        <w:numPr>
          <w:ilvl w:val="1"/>
          <w:numId w:val="99"/>
        </w:numPr>
        <w:ind w:left="851" w:hanging="862"/>
      </w:pPr>
      <w:r>
        <w:t>In December 2020, p</w:t>
      </w:r>
      <w:r w:rsidR="0058630B">
        <w:t>ursuant to</w:t>
      </w:r>
      <w:r w:rsidR="00860EA1">
        <w:t xml:space="preserve"> the </w:t>
      </w:r>
      <w:r w:rsidR="00AC68F0" w:rsidRPr="00587912">
        <w:t xml:space="preserve">Children's Services Co-operation Act (NI) 2015 Act, the NI Executive </w:t>
      </w:r>
      <w:r w:rsidR="00347E07">
        <w:t>approved the Children and Young People’s Strategy</w:t>
      </w:r>
      <w:r w:rsidR="002F0360">
        <w:t>.</w:t>
      </w:r>
      <w:r w:rsidR="00B7579C">
        <w:rPr>
          <w:rStyle w:val="FootnoteReference"/>
        </w:rPr>
        <w:footnoteReference w:id="42"/>
      </w:r>
      <w:r w:rsidR="002F0360">
        <w:t xml:space="preserve"> </w:t>
      </w:r>
      <w:r w:rsidR="002031C0">
        <w:t>However</w:t>
      </w:r>
      <w:r w:rsidR="00E97395">
        <w:t>,</w:t>
      </w:r>
      <w:r w:rsidR="00847FA3">
        <w:t xml:space="preserve"> </w:t>
      </w:r>
      <w:r>
        <w:t>several</w:t>
      </w:r>
      <w:r w:rsidR="00321541">
        <w:t xml:space="preserve"> steps</w:t>
      </w:r>
      <w:r w:rsidR="00786F70">
        <w:t xml:space="preserve"> need</w:t>
      </w:r>
      <w:r w:rsidR="00321541">
        <w:t xml:space="preserve"> to be taken </w:t>
      </w:r>
      <w:r w:rsidR="00FF47EF">
        <w:t xml:space="preserve">before it </w:t>
      </w:r>
      <w:r w:rsidR="00A83355">
        <w:t>becomes fully operationa</w:t>
      </w:r>
      <w:r w:rsidR="009D2A5D">
        <w:t>l</w:t>
      </w:r>
      <w:r w:rsidR="009A308E">
        <w:t>, requir</w:t>
      </w:r>
      <w:r w:rsidR="00704407">
        <w:t>ing</w:t>
      </w:r>
      <w:r w:rsidR="00236E1B">
        <w:t xml:space="preserve"> </w:t>
      </w:r>
      <w:r w:rsidR="00521BB9">
        <w:t>the agreement of actions and</w:t>
      </w:r>
      <w:r w:rsidR="009A308E">
        <w:t xml:space="preserve"> </w:t>
      </w:r>
      <w:r w:rsidR="00B33FAC">
        <w:t>resource allocation</w:t>
      </w:r>
      <w:r w:rsidR="0066682E">
        <w:t xml:space="preserve"> </w:t>
      </w:r>
      <w:r w:rsidR="00521BB9">
        <w:t>by</w:t>
      </w:r>
      <w:r w:rsidR="0066682E">
        <w:t xml:space="preserve"> a functioning </w:t>
      </w:r>
      <w:r>
        <w:t xml:space="preserve">NI </w:t>
      </w:r>
      <w:r w:rsidR="0066682E">
        <w:t>Executive.</w:t>
      </w:r>
      <w:r w:rsidR="00600DE5">
        <w:rPr>
          <w:rStyle w:val="FootnoteReference"/>
        </w:rPr>
        <w:footnoteReference w:id="43"/>
      </w:r>
    </w:p>
    <w:p w14:paraId="36815445" w14:textId="77777777" w:rsidR="00707695" w:rsidRDefault="00707695" w:rsidP="00412E09">
      <w:pPr>
        <w:ind w:left="851" w:hanging="862"/>
      </w:pPr>
    </w:p>
    <w:p w14:paraId="2BF9662A" w14:textId="385B82D6" w:rsidR="00AC68F0" w:rsidRPr="00587912" w:rsidRDefault="00B33FAC" w:rsidP="00A51BB2">
      <w:pPr>
        <w:pStyle w:val="ListParagraph"/>
        <w:numPr>
          <w:ilvl w:val="1"/>
          <w:numId w:val="99"/>
        </w:numPr>
        <w:ind w:left="851" w:hanging="862"/>
      </w:pPr>
      <w:r>
        <w:t xml:space="preserve">Work </w:t>
      </w:r>
      <w:r w:rsidR="00272AE8">
        <w:t>is</w:t>
      </w:r>
      <w:r w:rsidR="0020579C">
        <w:t xml:space="preserve"> </w:t>
      </w:r>
      <w:r w:rsidR="00F11CA1">
        <w:t>ongoing</w:t>
      </w:r>
      <w:r w:rsidR="0020579C">
        <w:t xml:space="preserve"> </w:t>
      </w:r>
      <w:r>
        <w:t xml:space="preserve">to </w:t>
      </w:r>
      <w:r w:rsidR="000F3462">
        <w:t>finalise</w:t>
      </w:r>
      <w:r>
        <w:t xml:space="preserve"> the </w:t>
      </w:r>
      <w:r w:rsidR="00A64B1A">
        <w:t>Delivery Plan</w:t>
      </w:r>
      <w:r w:rsidR="00302A68">
        <w:t xml:space="preserve"> 2021</w:t>
      </w:r>
      <w:r w:rsidR="001D089B">
        <w:t>–</w:t>
      </w:r>
      <w:r w:rsidR="00302A68">
        <w:t>2024</w:t>
      </w:r>
      <w:r w:rsidR="00384697">
        <w:t>,</w:t>
      </w:r>
      <w:r w:rsidR="00080137">
        <w:t xml:space="preserve"> </w:t>
      </w:r>
      <w:r w:rsidR="0020579C">
        <w:t>however</w:t>
      </w:r>
      <w:r w:rsidR="00865DAA" w:rsidRPr="00587912">
        <w:t xml:space="preserve"> </w:t>
      </w:r>
      <w:r w:rsidR="00107040">
        <w:t>“</w:t>
      </w:r>
      <w:r w:rsidR="00842064" w:rsidRPr="00587912">
        <w:t xml:space="preserve">data </w:t>
      </w:r>
      <w:r w:rsidR="00865DAA" w:rsidRPr="00587912">
        <w:t>does not currently exist or is not available in an appropriate format</w:t>
      </w:r>
      <w:r w:rsidR="00107040">
        <w:t>”</w:t>
      </w:r>
      <w:r w:rsidR="00EC5DDB">
        <w:t xml:space="preserve"> to enable the Department of Education to develop appropriate indicators</w:t>
      </w:r>
      <w:r w:rsidR="00865DAA" w:rsidRPr="00587912">
        <w:t>.</w:t>
      </w:r>
      <w:r w:rsidR="00865DAA" w:rsidRPr="00587912">
        <w:rPr>
          <w:rStyle w:val="FootnoteReference"/>
        </w:rPr>
        <w:footnoteReference w:id="44"/>
      </w:r>
      <w:r w:rsidR="00865DAA" w:rsidRPr="00587912">
        <w:t xml:space="preserve"> </w:t>
      </w:r>
      <w:r w:rsidR="00EC5DDB">
        <w:t>The Department of Education</w:t>
      </w:r>
      <w:r w:rsidR="0020579C">
        <w:t xml:space="preserve"> advises it</w:t>
      </w:r>
      <w:r w:rsidR="00EC5DDB">
        <w:t xml:space="preserve"> is taking steps to address this</w:t>
      </w:r>
      <w:r w:rsidR="005F6D3B" w:rsidRPr="00587912">
        <w:t>.</w:t>
      </w:r>
      <w:r w:rsidR="005F6D3B" w:rsidRPr="00587912">
        <w:rPr>
          <w:rStyle w:val="FootnoteReference"/>
        </w:rPr>
        <w:footnoteReference w:id="45"/>
      </w:r>
      <w:r w:rsidR="00842064" w:rsidRPr="00587912">
        <w:t xml:space="preserve"> </w:t>
      </w:r>
    </w:p>
    <w:p w14:paraId="1CFFD7A7" w14:textId="1EF24C5C" w:rsidR="00B100F6" w:rsidRDefault="00B100F6" w:rsidP="00412E09">
      <w:pPr>
        <w:ind w:left="851" w:hanging="862"/>
      </w:pPr>
    </w:p>
    <w:p w14:paraId="6B8ADD21" w14:textId="7E2B4671" w:rsidR="00F61ABE" w:rsidRDefault="000105B5" w:rsidP="00A51BB2">
      <w:pPr>
        <w:pStyle w:val="ListParagraph"/>
        <w:numPr>
          <w:ilvl w:val="1"/>
          <w:numId w:val="99"/>
        </w:numPr>
        <w:ind w:left="851" w:hanging="862"/>
      </w:pPr>
      <w:r>
        <w:t>As there is currently no statutory requirement to do so, t</w:t>
      </w:r>
      <w:r w:rsidR="00B100F6">
        <w:t xml:space="preserve">he NI Executive </w:t>
      </w:r>
      <w:r w:rsidR="00A64B1A">
        <w:t>and other relevant public authorities do</w:t>
      </w:r>
      <w:r w:rsidR="00B100F6">
        <w:t xml:space="preserve"> not </w:t>
      </w:r>
      <w:r w:rsidR="00DC4C10">
        <w:t xml:space="preserve">routinely </w:t>
      </w:r>
      <w:r w:rsidR="00B100F6">
        <w:t>undertake</w:t>
      </w:r>
      <w:r w:rsidR="00CF7AB5">
        <w:t xml:space="preserve"> children’s budgeting or</w:t>
      </w:r>
      <w:r w:rsidR="00B100F6">
        <w:t xml:space="preserve"> Chil</w:t>
      </w:r>
      <w:r w:rsidR="00A64B1A">
        <w:t>d Rights Impact Assessments</w:t>
      </w:r>
      <w:r w:rsidR="00DC4C10">
        <w:t xml:space="preserve">. </w:t>
      </w:r>
    </w:p>
    <w:p w14:paraId="06F18B41" w14:textId="473F97DC" w:rsidR="00CF7AB5" w:rsidRDefault="00CF7AB5" w:rsidP="00412E09">
      <w:pPr>
        <w:pStyle w:val="ListParagraph"/>
        <w:ind w:left="851" w:hanging="862"/>
      </w:pPr>
    </w:p>
    <w:p w14:paraId="6D16BB9F" w14:textId="156CC7B3" w:rsidR="008D50D3" w:rsidRDefault="00584554" w:rsidP="00A51BB2">
      <w:pPr>
        <w:pStyle w:val="ListParagraph"/>
        <w:numPr>
          <w:ilvl w:val="1"/>
          <w:numId w:val="99"/>
        </w:numPr>
        <w:ind w:left="851" w:hanging="862"/>
        <w:rPr>
          <w:b/>
        </w:rPr>
      </w:pPr>
      <w:r>
        <w:rPr>
          <w:b/>
        </w:rPr>
        <w:t xml:space="preserve">The Committee may wish to </w:t>
      </w:r>
      <w:r w:rsidR="005B22A3" w:rsidRPr="00453C5C">
        <w:rPr>
          <w:b/>
        </w:rPr>
        <w:t xml:space="preserve">recommend that the </w:t>
      </w:r>
      <w:r w:rsidR="0007165C">
        <w:rPr>
          <w:b/>
        </w:rPr>
        <w:t>State Party</w:t>
      </w:r>
      <w:r w:rsidR="001852BE">
        <w:rPr>
          <w:b/>
        </w:rPr>
        <w:t xml:space="preserve"> ensures that child-related policies and strategies</w:t>
      </w:r>
      <w:r w:rsidR="00D62184">
        <w:rPr>
          <w:b/>
        </w:rPr>
        <w:t xml:space="preserve"> in NI</w:t>
      </w:r>
      <w:r w:rsidR="001852BE">
        <w:rPr>
          <w:b/>
        </w:rPr>
        <w:t xml:space="preserve">, such as the Children and Young People’s Strategy 2020-2030, </w:t>
      </w:r>
      <w:r w:rsidR="005E35C3">
        <w:rPr>
          <w:b/>
        </w:rPr>
        <w:t xml:space="preserve">are fully </w:t>
      </w:r>
      <w:r w:rsidR="00020A04">
        <w:rPr>
          <w:b/>
        </w:rPr>
        <w:t xml:space="preserve">and effectively </w:t>
      </w:r>
      <w:r w:rsidR="005E35C3">
        <w:rPr>
          <w:b/>
        </w:rPr>
        <w:t>implemented</w:t>
      </w:r>
      <w:r w:rsidR="00020A04">
        <w:rPr>
          <w:b/>
        </w:rPr>
        <w:t>. This includes allocating sufficient resources</w:t>
      </w:r>
      <w:r w:rsidR="00FA4187">
        <w:rPr>
          <w:b/>
        </w:rPr>
        <w:t xml:space="preserve"> and </w:t>
      </w:r>
      <w:r w:rsidR="00020A04">
        <w:rPr>
          <w:b/>
        </w:rPr>
        <w:t xml:space="preserve">collecting disaggregated </w:t>
      </w:r>
      <w:r w:rsidR="002E57E8">
        <w:rPr>
          <w:b/>
        </w:rPr>
        <w:t xml:space="preserve">child-specific data </w:t>
      </w:r>
      <w:r w:rsidR="00FA4187">
        <w:rPr>
          <w:b/>
        </w:rPr>
        <w:t>through</w:t>
      </w:r>
      <w:r w:rsidR="002E57E8">
        <w:rPr>
          <w:b/>
        </w:rPr>
        <w:t xml:space="preserve"> undertaking children’s budgeting and Child Rights Impact Assessments where relevant.</w:t>
      </w:r>
    </w:p>
    <w:p w14:paraId="329A98CA" w14:textId="473F97DC" w:rsidR="00554338" w:rsidRDefault="00554338" w:rsidP="00412E09">
      <w:pPr>
        <w:ind w:left="851" w:hanging="862"/>
      </w:pPr>
    </w:p>
    <w:p w14:paraId="686791A8" w14:textId="1BA43E06" w:rsidR="00554338" w:rsidRDefault="00554338" w:rsidP="00412E09">
      <w:pPr>
        <w:pStyle w:val="Heading2"/>
        <w:ind w:left="851" w:hanging="862"/>
      </w:pPr>
      <w:bookmarkStart w:id="15" w:name="_Toc121922179"/>
      <w:r>
        <w:t>NI Commissioner for Children and Young People</w:t>
      </w:r>
      <w:bookmarkEnd w:id="15"/>
    </w:p>
    <w:p w14:paraId="7F7B19D6" w14:textId="206B68CE" w:rsidR="00554338" w:rsidRPr="00554338" w:rsidRDefault="002F644B" w:rsidP="00A51BB2">
      <w:pPr>
        <w:pStyle w:val="ListParagraph"/>
        <w:numPr>
          <w:ilvl w:val="1"/>
          <w:numId w:val="99"/>
        </w:numPr>
        <w:ind w:left="851" w:hanging="862"/>
      </w:pPr>
      <w:r w:rsidRPr="00554338">
        <w:t xml:space="preserve">The NI Commissioner for Children and Young People </w:t>
      </w:r>
      <w:r w:rsidR="00353561" w:rsidRPr="00554338">
        <w:t xml:space="preserve">was established as an executive Non-Departmental Public Body </w:t>
      </w:r>
      <w:r w:rsidRPr="00554338">
        <w:t>in 2003</w:t>
      </w:r>
      <w:r w:rsidR="00374B63" w:rsidRPr="00554338">
        <w:t>.</w:t>
      </w:r>
      <w:r w:rsidR="00374B63" w:rsidRPr="00554338">
        <w:rPr>
          <w:rStyle w:val="FootnoteReference"/>
        </w:rPr>
        <w:footnoteReference w:id="46"/>
      </w:r>
      <w:r w:rsidRPr="00554338">
        <w:t xml:space="preserve"> </w:t>
      </w:r>
      <w:r w:rsidR="00BE13D2" w:rsidRPr="00554338">
        <w:t xml:space="preserve">The Commissioner </w:t>
      </w:r>
      <w:r w:rsidRPr="00554338">
        <w:t>has highlighted the need for legislative reform to increase its powers and duties</w:t>
      </w:r>
      <w:r w:rsidR="00A70730">
        <w:t xml:space="preserve">, including </w:t>
      </w:r>
      <w:r w:rsidR="00BE13D2" w:rsidRPr="00554338">
        <w:t>making the Commissioner</w:t>
      </w:r>
      <w:r w:rsidRPr="00554338">
        <w:t xml:space="preserve"> an institution of the NI Assembly</w:t>
      </w:r>
      <w:r w:rsidR="00BE13D2" w:rsidRPr="00554338">
        <w:t xml:space="preserve"> </w:t>
      </w:r>
      <w:r w:rsidRPr="00554338">
        <w:t xml:space="preserve">and strengthening </w:t>
      </w:r>
      <w:r w:rsidR="00BE13D2" w:rsidRPr="00554338">
        <w:t>it</w:t>
      </w:r>
      <w:r w:rsidRPr="00554338">
        <w:t>s investigatory powers.</w:t>
      </w:r>
      <w:r w:rsidRPr="00554338">
        <w:rPr>
          <w:rStyle w:val="FootnoteReference"/>
        </w:rPr>
        <w:footnoteReference w:id="47"/>
      </w:r>
      <w:r w:rsidRPr="00554338">
        <w:t xml:space="preserve"> </w:t>
      </w:r>
    </w:p>
    <w:p w14:paraId="309B20E0" w14:textId="77777777" w:rsidR="00554338" w:rsidRPr="00554338" w:rsidRDefault="00554338" w:rsidP="00412E09">
      <w:pPr>
        <w:pStyle w:val="ListParagraph"/>
        <w:ind w:left="851" w:hanging="862"/>
        <w:rPr>
          <w:b/>
        </w:rPr>
      </w:pPr>
    </w:p>
    <w:p w14:paraId="2B095CD7" w14:textId="648A3899" w:rsidR="00743E6C" w:rsidRPr="00554338" w:rsidRDefault="00826C43" w:rsidP="00A51BB2">
      <w:pPr>
        <w:pStyle w:val="ListParagraph"/>
        <w:numPr>
          <w:ilvl w:val="1"/>
          <w:numId w:val="99"/>
        </w:numPr>
        <w:ind w:left="851" w:hanging="862"/>
        <w:rPr>
          <w:b/>
        </w:rPr>
      </w:pPr>
      <w:r>
        <w:rPr>
          <w:b/>
        </w:rPr>
        <w:t xml:space="preserve">The </w:t>
      </w:r>
      <w:r w:rsidR="00C54690">
        <w:rPr>
          <w:b/>
        </w:rPr>
        <w:t xml:space="preserve">Committee may wish to </w:t>
      </w:r>
      <w:r>
        <w:rPr>
          <w:b/>
        </w:rPr>
        <w:t xml:space="preserve">recommend that the </w:t>
      </w:r>
      <w:r w:rsidR="00C54690">
        <w:rPr>
          <w:b/>
        </w:rPr>
        <w:t>State Party</w:t>
      </w:r>
      <w:r>
        <w:rPr>
          <w:b/>
        </w:rPr>
        <w:t xml:space="preserve"> take</w:t>
      </w:r>
      <w:r w:rsidR="00C54690">
        <w:rPr>
          <w:b/>
        </w:rPr>
        <w:t>s</w:t>
      </w:r>
      <w:r w:rsidR="006A198D">
        <w:rPr>
          <w:b/>
        </w:rPr>
        <w:t xml:space="preserve"> </w:t>
      </w:r>
      <w:r>
        <w:rPr>
          <w:b/>
        </w:rPr>
        <w:t xml:space="preserve">steps to </w:t>
      </w:r>
      <w:r w:rsidR="00BE13D2" w:rsidRPr="00554338">
        <w:rPr>
          <w:b/>
        </w:rPr>
        <w:t>e</w:t>
      </w:r>
      <w:r w:rsidR="00743E6C" w:rsidRPr="00554338">
        <w:rPr>
          <w:b/>
        </w:rPr>
        <w:t xml:space="preserve">nsure </w:t>
      </w:r>
      <w:r w:rsidR="00BE13D2" w:rsidRPr="00554338">
        <w:rPr>
          <w:b/>
        </w:rPr>
        <w:t xml:space="preserve">the NI Commissioner for Children and Young People is </w:t>
      </w:r>
      <w:r w:rsidR="00BC5416">
        <w:rPr>
          <w:b/>
        </w:rPr>
        <w:t>able to fulfil its mandate effectively</w:t>
      </w:r>
      <w:r>
        <w:rPr>
          <w:b/>
        </w:rPr>
        <w:t>.</w:t>
      </w:r>
    </w:p>
    <w:p w14:paraId="2CEE4D78" w14:textId="2031706A" w:rsidR="00AD087B" w:rsidRPr="00AD087B" w:rsidRDefault="00AD087B" w:rsidP="00412E09">
      <w:pPr>
        <w:ind w:left="851" w:hanging="862"/>
        <w:rPr>
          <w:b/>
        </w:rPr>
      </w:pPr>
    </w:p>
    <w:p w14:paraId="6C685C58" w14:textId="268DC043" w:rsidR="00B36630" w:rsidRPr="00587912" w:rsidRDefault="00D2377A" w:rsidP="00412E09">
      <w:pPr>
        <w:pStyle w:val="Heading1"/>
        <w:ind w:left="851" w:hanging="862"/>
      </w:pPr>
      <w:bookmarkStart w:id="16" w:name="_Toc121922180"/>
      <w:r>
        <w:t>5</w:t>
      </w:r>
      <w:r w:rsidR="00BE13D2">
        <w:t>.0</w:t>
      </w:r>
      <w:r w:rsidR="00BE13D2">
        <w:tab/>
      </w:r>
      <w:r w:rsidR="00033C9F" w:rsidRPr="00587912">
        <w:t>A</w:t>
      </w:r>
      <w:r w:rsidR="003F3299">
        <w:t>rticle 6 – Right to L</w:t>
      </w:r>
      <w:r w:rsidR="00033C9F" w:rsidRPr="00587912">
        <w:t>ife</w:t>
      </w:r>
      <w:bookmarkEnd w:id="16"/>
    </w:p>
    <w:p w14:paraId="549EB132" w14:textId="2D30D7C2" w:rsidR="00033C9F" w:rsidRPr="00BC5416" w:rsidRDefault="00033C9F" w:rsidP="00412E09">
      <w:pPr>
        <w:pStyle w:val="Heading2"/>
        <w:ind w:left="851" w:hanging="862"/>
        <w:rPr>
          <w:szCs w:val="22"/>
        </w:rPr>
      </w:pPr>
      <w:bookmarkStart w:id="17" w:name="_Toc121922181"/>
      <w:r w:rsidRPr="00587912">
        <w:rPr>
          <w:szCs w:val="22"/>
        </w:rPr>
        <w:t>Infant mortality</w:t>
      </w:r>
      <w:bookmarkEnd w:id="17"/>
    </w:p>
    <w:p w14:paraId="3B4B7FBB" w14:textId="77777777" w:rsidR="00BE13D2" w:rsidRPr="00BE13D2" w:rsidRDefault="00BE13D2" w:rsidP="00412E09">
      <w:pPr>
        <w:pStyle w:val="ListParagraph"/>
        <w:numPr>
          <w:ilvl w:val="0"/>
          <w:numId w:val="3"/>
        </w:numPr>
        <w:ind w:left="851" w:hanging="862"/>
        <w:rPr>
          <w:vanish/>
        </w:rPr>
      </w:pPr>
    </w:p>
    <w:p w14:paraId="0B770DB1" w14:textId="77777777" w:rsidR="00A64B1A" w:rsidRPr="00A64B1A" w:rsidRDefault="00A64B1A" w:rsidP="00A51BB2">
      <w:pPr>
        <w:pStyle w:val="ListParagraph"/>
        <w:numPr>
          <w:ilvl w:val="0"/>
          <w:numId w:val="99"/>
        </w:numPr>
        <w:ind w:left="851" w:hanging="862"/>
        <w:rPr>
          <w:vanish/>
        </w:rPr>
      </w:pPr>
    </w:p>
    <w:p w14:paraId="0DA9D471" w14:textId="1840881A" w:rsidR="00BE13D2" w:rsidRPr="00502A1B" w:rsidRDefault="00BE13D2" w:rsidP="00F54280">
      <w:pPr>
        <w:pStyle w:val="ListParagraph"/>
        <w:numPr>
          <w:ilvl w:val="1"/>
          <w:numId w:val="100"/>
        </w:numPr>
        <w:tabs>
          <w:tab w:val="left" w:pos="851"/>
        </w:tabs>
        <w:ind w:left="851" w:hanging="862"/>
        <w:rPr>
          <w:rFonts w:cs="Arial"/>
        </w:rPr>
      </w:pPr>
      <w:r>
        <w:t xml:space="preserve">The Committee </w:t>
      </w:r>
      <w:r w:rsidR="00016D14" w:rsidRPr="00587912">
        <w:t>previously recommended automatic, independent and public reviews of unexpected death or serious injury involving children</w:t>
      </w:r>
      <w:r>
        <w:t xml:space="preserve"> were introduced</w:t>
      </w:r>
      <w:r w:rsidR="00DF18E7">
        <w:t>.</w:t>
      </w:r>
      <w:r w:rsidR="00016D14" w:rsidRPr="00587912">
        <w:rPr>
          <w:rStyle w:val="FootnoteReference"/>
        </w:rPr>
        <w:footnoteReference w:id="48"/>
      </w:r>
      <w:r>
        <w:t xml:space="preserve"> </w:t>
      </w:r>
    </w:p>
    <w:p w14:paraId="1925D3BB" w14:textId="77777777" w:rsidR="00BE13D2" w:rsidRPr="00BE13D2" w:rsidRDefault="00BE13D2" w:rsidP="00412E09">
      <w:pPr>
        <w:pStyle w:val="ListParagraph"/>
        <w:ind w:left="851" w:hanging="862"/>
        <w:rPr>
          <w:rFonts w:cs="Arial"/>
        </w:rPr>
      </w:pPr>
    </w:p>
    <w:p w14:paraId="42552836" w14:textId="38BCB254" w:rsidR="00AA41DC" w:rsidRPr="00AA41DC" w:rsidRDefault="00AA41DC" w:rsidP="00502A1B">
      <w:pPr>
        <w:pStyle w:val="ListParagraph"/>
        <w:numPr>
          <w:ilvl w:val="1"/>
          <w:numId w:val="100"/>
        </w:numPr>
        <w:ind w:left="851" w:hanging="862"/>
        <w:rPr>
          <w:rFonts w:cs="Arial"/>
        </w:rPr>
      </w:pPr>
      <w:r w:rsidRPr="007D12ED">
        <w:t xml:space="preserve">NI has the highest rate of infant mortality in the UK. </w:t>
      </w:r>
      <w:r>
        <w:t xml:space="preserve">In 2021, there were 89 stillbirths and 100 infant deaths registered in NI, an increase from </w:t>
      </w:r>
      <w:r w:rsidRPr="007D12ED">
        <w:t xml:space="preserve">69 stillbirths and 93 infant deaths in </w:t>
      </w:r>
      <w:r>
        <w:t>2020</w:t>
      </w:r>
      <w:r w:rsidRPr="007D12ED">
        <w:t>.</w:t>
      </w:r>
      <w:r w:rsidRPr="007D12ED">
        <w:rPr>
          <w:rStyle w:val="FootnoteReference"/>
        </w:rPr>
        <w:footnoteReference w:id="49"/>
      </w:r>
      <w:r w:rsidRPr="007D12ED">
        <w:t xml:space="preserve"> This represents a ratio of </w:t>
      </w:r>
      <w:r>
        <w:t>4.5 infant deaths</w:t>
      </w:r>
      <w:r w:rsidRPr="007D12ED">
        <w:t xml:space="preserve"> per 1,000 live births</w:t>
      </w:r>
      <w:r>
        <w:t xml:space="preserve"> in 2021, comparing to a ratio of 4.4 per 1,000 live births in 2020</w:t>
      </w:r>
      <w:r w:rsidRPr="007D12ED">
        <w:t>.</w:t>
      </w:r>
      <w:r w:rsidRPr="007D12ED">
        <w:rPr>
          <w:rStyle w:val="FootnoteReference"/>
        </w:rPr>
        <w:footnoteReference w:id="50"/>
      </w:r>
    </w:p>
    <w:p w14:paraId="57F482F9" w14:textId="77777777" w:rsidR="00AA41DC" w:rsidRDefault="00AA41DC" w:rsidP="00412E09">
      <w:pPr>
        <w:pStyle w:val="ListParagraph"/>
        <w:ind w:left="851" w:hanging="862"/>
      </w:pPr>
    </w:p>
    <w:p w14:paraId="1740944B" w14:textId="35CFF72A" w:rsidR="00BE13D2" w:rsidRPr="00BE13D2" w:rsidRDefault="00B536F3" w:rsidP="00502A1B">
      <w:pPr>
        <w:pStyle w:val="ListParagraph"/>
        <w:numPr>
          <w:ilvl w:val="1"/>
          <w:numId w:val="100"/>
        </w:numPr>
        <w:ind w:left="851" w:hanging="862"/>
        <w:rPr>
          <w:rFonts w:cs="Arial"/>
        </w:rPr>
      </w:pPr>
      <w:r>
        <w:t>T</w:t>
      </w:r>
      <w:r w:rsidRPr="00587912">
        <w:t xml:space="preserve">he Safeguarding Board </w:t>
      </w:r>
      <w:r>
        <w:t>NI is required to establish processes to review child deaths in NI</w:t>
      </w:r>
      <w:r w:rsidR="00AD0A88">
        <w:t xml:space="preserve">, to understand and learn from </w:t>
      </w:r>
      <w:r w:rsidR="00B12409">
        <w:t>what happened</w:t>
      </w:r>
      <w:r>
        <w:t>.</w:t>
      </w:r>
      <w:r w:rsidRPr="00587912">
        <w:rPr>
          <w:rStyle w:val="FootnoteReference"/>
        </w:rPr>
        <w:footnoteReference w:id="51"/>
      </w:r>
      <w:r w:rsidRPr="00587912">
        <w:t xml:space="preserve"> </w:t>
      </w:r>
      <w:r>
        <w:t>However,</w:t>
      </w:r>
      <w:r w:rsidR="004251EE">
        <w:t xml:space="preserve"> unlike in the rest of the UK,</w:t>
      </w:r>
      <w:r w:rsidR="004251EE" w:rsidRPr="00587912">
        <w:rPr>
          <w:rStyle w:val="FootnoteReference"/>
        </w:rPr>
        <w:footnoteReference w:id="52"/>
      </w:r>
      <w:r w:rsidR="004251EE">
        <w:t xml:space="preserve"> </w:t>
      </w:r>
      <w:r w:rsidRPr="00587912">
        <w:t>the</w:t>
      </w:r>
      <w:r w:rsidR="00F54280">
        <w:t xml:space="preserve"> </w:t>
      </w:r>
      <w:r w:rsidRPr="00587912">
        <w:t xml:space="preserve">Department of Health has not commenced Regulations to enable </w:t>
      </w:r>
      <w:r>
        <w:t>implementation of this requirement</w:t>
      </w:r>
      <w:r w:rsidRPr="00587912">
        <w:t>.</w:t>
      </w:r>
      <w:r>
        <w:t xml:space="preserve"> </w:t>
      </w:r>
      <w:r w:rsidR="005D1408" w:rsidRPr="007D12ED">
        <w:t>There is strong support for establishing child death reviews</w:t>
      </w:r>
      <w:r w:rsidR="005D1408">
        <w:t xml:space="preserve"> in NI.</w:t>
      </w:r>
      <w:r w:rsidR="005D1408" w:rsidRPr="007D12ED">
        <w:rPr>
          <w:rStyle w:val="FootnoteReference"/>
        </w:rPr>
        <w:footnoteReference w:id="53"/>
      </w:r>
      <w:r w:rsidR="005D1408">
        <w:t xml:space="preserve"> </w:t>
      </w:r>
      <w:r w:rsidR="007E3C52">
        <w:t xml:space="preserve">This is unable to progress </w:t>
      </w:r>
      <w:r w:rsidR="002754CE">
        <w:t>without the reinstatement of the NI Executive and NI Assembly.</w:t>
      </w:r>
    </w:p>
    <w:p w14:paraId="72A7FE1A" w14:textId="7BD969D6" w:rsidR="00863145" w:rsidRPr="006D00D5" w:rsidRDefault="00C47B9E" w:rsidP="00412E09">
      <w:pPr>
        <w:pStyle w:val="ListParagraph"/>
        <w:ind w:left="851" w:hanging="862"/>
        <w:rPr>
          <w:color w:val="FF0000"/>
        </w:rPr>
      </w:pPr>
      <w:r w:rsidRPr="00587912">
        <w:t xml:space="preserve"> </w:t>
      </w:r>
    </w:p>
    <w:p w14:paraId="01F4D6FD" w14:textId="1EEAF0CF" w:rsidR="0083639B" w:rsidRPr="003F3299" w:rsidRDefault="00134DA1" w:rsidP="00502A1B">
      <w:pPr>
        <w:pStyle w:val="ListParagraph"/>
        <w:numPr>
          <w:ilvl w:val="1"/>
          <w:numId w:val="100"/>
        </w:numPr>
        <w:ind w:left="851" w:hanging="862"/>
        <w:rPr>
          <w:b/>
        </w:rPr>
      </w:pPr>
      <w:r>
        <w:rPr>
          <w:b/>
        </w:rPr>
        <w:t>The Committee may wish to recommend</w:t>
      </w:r>
      <w:r w:rsidR="00B06082">
        <w:rPr>
          <w:b/>
        </w:rPr>
        <w:t xml:space="preserve"> that the </w:t>
      </w:r>
      <w:r w:rsidR="00583386">
        <w:rPr>
          <w:b/>
        </w:rPr>
        <w:t>State Party</w:t>
      </w:r>
      <w:r w:rsidR="00B06082">
        <w:rPr>
          <w:b/>
        </w:rPr>
        <w:t xml:space="preserve"> take</w:t>
      </w:r>
      <w:r w:rsidR="00583386">
        <w:rPr>
          <w:b/>
        </w:rPr>
        <w:t>s</w:t>
      </w:r>
      <w:r w:rsidR="00B66B10" w:rsidRPr="003F3299">
        <w:rPr>
          <w:b/>
        </w:rPr>
        <w:t xml:space="preserve"> effective measures </w:t>
      </w:r>
      <w:r w:rsidR="00AD087B" w:rsidRPr="003F3299">
        <w:rPr>
          <w:b/>
        </w:rPr>
        <w:t>to establish comprehensive processes to review child deaths</w:t>
      </w:r>
      <w:r w:rsidR="00BC2EB7">
        <w:rPr>
          <w:b/>
        </w:rPr>
        <w:t xml:space="preserve"> </w:t>
      </w:r>
      <w:r w:rsidR="006B5408">
        <w:rPr>
          <w:b/>
        </w:rPr>
        <w:t>in NI</w:t>
      </w:r>
      <w:r w:rsidR="00BE7800" w:rsidRPr="00BE7800">
        <w:rPr>
          <w:b/>
        </w:rPr>
        <w:t xml:space="preserve"> </w:t>
      </w:r>
      <w:r w:rsidR="00AD48BC">
        <w:rPr>
          <w:b/>
        </w:rPr>
        <w:t>and that these are implemented</w:t>
      </w:r>
      <w:r w:rsidR="00BE7800" w:rsidRPr="00BE7800">
        <w:rPr>
          <w:b/>
        </w:rPr>
        <w:t xml:space="preserve"> </w:t>
      </w:r>
      <w:r w:rsidR="00FF2253">
        <w:rPr>
          <w:b/>
        </w:rPr>
        <w:t>without further delay</w:t>
      </w:r>
      <w:r w:rsidR="00B06082">
        <w:rPr>
          <w:b/>
        </w:rPr>
        <w:t>.</w:t>
      </w:r>
    </w:p>
    <w:p w14:paraId="5DC5B2B8" w14:textId="27809638" w:rsidR="006E5751" w:rsidRDefault="006E5751" w:rsidP="00412E09">
      <w:pPr>
        <w:ind w:left="851" w:hanging="862"/>
      </w:pPr>
    </w:p>
    <w:p w14:paraId="3BF4CC9C" w14:textId="4E4F716C" w:rsidR="00F55509" w:rsidRPr="00F55509" w:rsidRDefault="00D040BD" w:rsidP="00412E09">
      <w:pPr>
        <w:pStyle w:val="Heading1"/>
        <w:spacing w:before="0"/>
        <w:ind w:left="851" w:hanging="862"/>
      </w:pPr>
      <w:bookmarkStart w:id="18" w:name="_Toc121922182"/>
      <w:r>
        <w:t>6</w:t>
      </w:r>
      <w:r w:rsidR="00D537D7">
        <w:t>.0</w:t>
      </w:r>
      <w:r w:rsidR="00D537D7">
        <w:tab/>
      </w:r>
      <w:r w:rsidR="008665F0" w:rsidRPr="00587912">
        <w:t>A</w:t>
      </w:r>
      <w:r w:rsidR="008665F0">
        <w:t>rticles 7 and 8 – Nationality</w:t>
      </w:r>
      <w:bookmarkEnd w:id="18"/>
    </w:p>
    <w:p w14:paraId="583E5D8B" w14:textId="127C2197" w:rsidR="00A64B1A" w:rsidRPr="00587912" w:rsidRDefault="008665F0" w:rsidP="00412E09">
      <w:pPr>
        <w:pStyle w:val="Heading2"/>
        <w:ind w:left="851" w:hanging="862"/>
      </w:pPr>
      <w:bookmarkStart w:id="19" w:name="_Toc121922183"/>
      <w:r>
        <w:t>Birth</w:t>
      </w:r>
      <w:r w:rsidR="0087519C">
        <w:t xml:space="preserve"> </w:t>
      </w:r>
      <w:r>
        <w:t>right</w:t>
      </w:r>
      <w:bookmarkEnd w:id="19"/>
    </w:p>
    <w:p w14:paraId="6B9794C8" w14:textId="77777777" w:rsidR="00A64B1A" w:rsidRPr="00AD087B" w:rsidRDefault="00A64B1A" w:rsidP="00502A1B">
      <w:pPr>
        <w:pStyle w:val="ListParagraph"/>
        <w:numPr>
          <w:ilvl w:val="0"/>
          <w:numId w:val="100"/>
        </w:numPr>
        <w:ind w:left="851" w:hanging="862"/>
        <w:rPr>
          <w:vanish/>
        </w:rPr>
      </w:pPr>
    </w:p>
    <w:p w14:paraId="283C3452" w14:textId="205C5D83" w:rsidR="008665F0" w:rsidRPr="007734E7" w:rsidRDefault="008665F0" w:rsidP="00502A1B">
      <w:pPr>
        <w:pStyle w:val="ListParagraph"/>
        <w:numPr>
          <w:ilvl w:val="1"/>
          <w:numId w:val="100"/>
        </w:numPr>
        <w:ind w:left="851" w:hanging="862"/>
        <w:rPr>
          <w:color w:val="000000"/>
        </w:rPr>
      </w:pPr>
      <w:r w:rsidRPr="00B173AD">
        <w:rPr>
          <w:color w:val="000000"/>
        </w:rPr>
        <w:t xml:space="preserve">The Belfast (Good Friday) Agreement </w:t>
      </w:r>
      <w:r w:rsidR="00550A37">
        <w:rPr>
          <w:color w:val="000000"/>
        </w:rPr>
        <w:t xml:space="preserve">1998 </w:t>
      </w:r>
      <w:r w:rsidR="001864B7">
        <w:rPr>
          <w:color w:val="000000"/>
        </w:rPr>
        <w:t>recognises</w:t>
      </w:r>
      <w:r w:rsidR="001864B7" w:rsidRPr="00B173AD">
        <w:rPr>
          <w:color w:val="000000"/>
        </w:rPr>
        <w:t xml:space="preserve"> </w:t>
      </w:r>
      <w:r w:rsidRPr="00B173AD">
        <w:rPr>
          <w:color w:val="000000"/>
        </w:rPr>
        <w:t>the “</w:t>
      </w:r>
      <w:proofErr w:type="spellStart"/>
      <w:r w:rsidR="00F477E8" w:rsidRPr="00B173AD">
        <w:rPr>
          <w:color w:val="000000"/>
        </w:rPr>
        <w:t>birthright</w:t>
      </w:r>
      <w:proofErr w:type="spellEnd"/>
      <w:r w:rsidRPr="00B173AD">
        <w:rPr>
          <w:color w:val="000000"/>
        </w:rPr>
        <w:t xml:space="preserve"> of all the people of </w:t>
      </w:r>
      <w:r w:rsidR="00571DE0">
        <w:rPr>
          <w:color w:val="000000"/>
        </w:rPr>
        <w:t>NI</w:t>
      </w:r>
      <w:r w:rsidRPr="00B173AD">
        <w:rPr>
          <w:color w:val="000000"/>
        </w:rPr>
        <w:t xml:space="preserve"> to identify themselves and be accepted as Irish or British, or both”. </w:t>
      </w:r>
      <w:r w:rsidR="00551421">
        <w:rPr>
          <w:color w:val="000000"/>
        </w:rPr>
        <w:t xml:space="preserve">In accordance with Section 1 of the British Nationality Act 1981, anyone born in the UK to a British, Irish, or settled parent, is deemed British. This </w:t>
      </w:r>
      <w:r w:rsidR="008846B6">
        <w:rPr>
          <w:color w:val="000000"/>
        </w:rPr>
        <w:t xml:space="preserve">issue has attracted renewed focus </w:t>
      </w:r>
      <w:r w:rsidR="00B12409">
        <w:rPr>
          <w:color w:val="000000"/>
        </w:rPr>
        <w:t>i</w:t>
      </w:r>
      <w:r w:rsidR="008846B6">
        <w:rPr>
          <w:color w:val="000000"/>
        </w:rPr>
        <w:t xml:space="preserve">n the context of the UK </w:t>
      </w:r>
      <w:r>
        <w:rPr>
          <w:color w:val="000000"/>
        </w:rPr>
        <w:t>Withdraw</w:t>
      </w:r>
      <w:r w:rsidR="00273288">
        <w:rPr>
          <w:color w:val="000000"/>
        </w:rPr>
        <w:t>al</w:t>
      </w:r>
      <w:r w:rsidR="008846B6">
        <w:rPr>
          <w:color w:val="000000"/>
        </w:rPr>
        <w:t xml:space="preserve"> from the EU</w:t>
      </w:r>
      <w:r w:rsidR="00551421">
        <w:rPr>
          <w:color w:val="000000"/>
        </w:rPr>
        <w:t>.</w:t>
      </w:r>
      <w:r>
        <w:rPr>
          <w:rStyle w:val="FootnoteReference"/>
          <w:color w:val="000000"/>
        </w:rPr>
        <w:footnoteReference w:id="54"/>
      </w:r>
      <w:r>
        <w:rPr>
          <w:color w:val="000000"/>
        </w:rPr>
        <w:t xml:space="preserve"> </w:t>
      </w:r>
      <w:r w:rsidR="00551421">
        <w:rPr>
          <w:color w:val="000000"/>
        </w:rPr>
        <w:t>In 2020, the Joint Committee of the Commission and the Irish Human Rights and Equality Commission published a legal analysis and proposals for reform to enshrine the commitment in domestic law.</w:t>
      </w:r>
      <w:r w:rsidR="00551421">
        <w:rPr>
          <w:rStyle w:val="FootnoteReference"/>
        </w:rPr>
        <w:footnoteReference w:id="55"/>
      </w:r>
      <w:r w:rsidR="00551421">
        <w:rPr>
          <w:color w:val="000000"/>
        </w:rPr>
        <w:t xml:space="preserve"> In 2021, </w:t>
      </w:r>
      <w:r>
        <w:rPr>
          <w:color w:val="000000"/>
        </w:rPr>
        <w:t xml:space="preserve">the </w:t>
      </w:r>
      <w:r w:rsidR="00571DE0">
        <w:rPr>
          <w:color w:val="000000"/>
        </w:rPr>
        <w:t>House of Commons</w:t>
      </w:r>
      <w:r>
        <w:rPr>
          <w:color w:val="000000"/>
        </w:rPr>
        <w:t xml:space="preserve"> </w:t>
      </w:r>
      <w:r w:rsidRPr="00B173AD">
        <w:rPr>
          <w:color w:val="000000"/>
        </w:rPr>
        <w:t xml:space="preserve">NI Affairs Committee called for the UK Government to clarify the meaning of the phrase </w:t>
      </w:r>
      <w:r w:rsidR="00571DE0">
        <w:rPr>
          <w:color w:val="000000"/>
        </w:rPr>
        <w:t>“</w:t>
      </w:r>
      <w:r w:rsidRPr="00B173AD">
        <w:rPr>
          <w:color w:val="000000"/>
        </w:rPr>
        <w:t>be accepted as</w:t>
      </w:r>
      <w:r w:rsidR="00571DE0">
        <w:rPr>
          <w:color w:val="000000"/>
        </w:rPr>
        <w:t>”</w:t>
      </w:r>
      <w:r w:rsidRPr="00B173AD">
        <w:rPr>
          <w:color w:val="000000"/>
        </w:rPr>
        <w:t xml:space="preserve"> </w:t>
      </w:r>
      <w:r w:rsidR="005406BD">
        <w:rPr>
          <w:color w:val="000000"/>
        </w:rPr>
        <w:t xml:space="preserve">in the Belfast (Good Friday) Agreement </w:t>
      </w:r>
      <w:r>
        <w:rPr>
          <w:color w:val="000000"/>
        </w:rPr>
        <w:t xml:space="preserve">and </w:t>
      </w:r>
      <w:r w:rsidRPr="00B173AD">
        <w:rPr>
          <w:color w:val="000000"/>
        </w:rPr>
        <w:t xml:space="preserve">called on the UK </w:t>
      </w:r>
      <w:r w:rsidR="00571DE0">
        <w:rPr>
          <w:color w:val="000000"/>
        </w:rPr>
        <w:t xml:space="preserve">Government </w:t>
      </w:r>
      <w:r>
        <w:rPr>
          <w:color w:val="000000"/>
        </w:rPr>
        <w:t xml:space="preserve">and </w:t>
      </w:r>
      <w:r w:rsidR="00571DE0">
        <w:rPr>
          <w:color w:val="000000"/>
        </w:rPr>
        <w:t>Government of Ireland</w:t>
      </w:r>
      <w:r w:rsidRPr="00B173AD">
        <w:rPr>
          <w:color w:val="000000"/>
        </w:rPr>
        <w:t xml:space="preserve"> to agree a shared approach to the </w:t>
      </w:r>
      <w:r w:rsidR="00F477E8" w:rsidRPr="00B173AD">
        <w:rPr>
          <w:color w:val="000000"/>
        </w:rPr>
        <w:t>birth right</w:t>
      </w:r>
      <w:r w:rsidRPr="00B173AD">
        <w:rPr>
          <w:color w:val="000000"/>
        </w:rPr>
        <w:t xml:space="preserve"> provisions</w:t>
      </w:r>
      <w:r w:rsidR="00571DE0">
        <w:rPr>
          <w:color w:val="000000"/>
        </w:rPr>
        <w:t>,</w:t>
      </w:r>
      <w:r w:rsidRPr="00B173AD">
        <w:rPr>
          <w:color w:val="000000"/>
        </w:rPr>
        <w:t xml:space="preserve"> to remove any remaining ambiguity.</w:t>
      </w:r>
      <w:r>
        <w:rPr>
          <w:rStyle w:val="FootnoteReference"/>
          <w:color w:val="000000"/>
        </w:rPr>
        <w:footnoteReference w:id="56"/>
      </w:r>
      <w:r w:rsidRPr="00B173AD">
        <w:rPr>
          <w:color w:val="000000"/>
        </w:rPr>
        <w:t xml:space="preserve"> </w:t>
      </w:r>
    </w:p>
    <w:p w14:paraId="1032172B" w14:textId="77777777" w:rsidR="00E30C85" w:rsidRPr="00C118FC" w:rsidRDefault="00E30C85" w:rsidP="00C118FC">
      <w:pPr>
        <w:pStyle w:val="ListParagraph"/>
        <w:ind w:left="851" w:hanging="862"/>
        <w:rPr>
          <w:b/>
        </w:rPr>
      </w:pPr>
    </w:p>
    <w:p w14:paraId="1B61C0E7" w14:textId="716FB026" w:rsidR="00E30C85" w:rsidRPr="00B173AD" w:rsidRDefault="00E30C85" w:rsidP="00502A1B">
      <w:pPr>
        <w:pStyle w:val="ListParagraph"/>
        <w:numPr>
          <w:ilvl w:val="1"/>
          <w:numId w:val="100"/>
        </w:numPr>
        <w:ind w:left="851" w:hanging="862"/>
        <w:rPr>
          <w:b/>
        </w:rPr>
      </w:pPr>
      <w:r>
        <w:rPr>
          <w:b/>
        </w:rPr>
        <w:t xml:space="preserve">The Committee may wish to recommend that the State Party ensures </w:t>
      </w:r>
      <w:r w:rsidR="00145E7F">
        <w:rPr>
          <w:b/>
        </w:rPr>
        <w:t>that nationality and immigration law</w:t>
      </w:r>
      <w:r w:rsidR="002F503C">
        <w:rPr>
          <w:b/>
        </w:rPr>
        <w:t xml:space="preserve"> in NI</w:t>
      </w:r>
      <w:r w:rsidR="00145E7F">
        <w:rPr>
          <w:b/>
        </w:rPr>
        <w:t xml:space="preserve"> is amended to reflect the Belfast (Good Friday) Agreement 1998</w:t>
      </w:r>
      <w:r w:rsidR="0044256A">
        <w:rPr>
          <w:b/>
        </w:rPr>
        <w:t xml:space="preserve"> </w:t>
      </w:r>
      <w:r w:rsidR="006C4E64">
        <w:rPr>
          <w:b/>
        </w:rPr>
        <w:t xml:space="preserve">acknowledgement </w:t>
      </w:r>
      <w:r w:rsidR="00840450">
        <w:rPr>
          <w:b/>
        </w:rPr>
        <w:t xml:space="preserve">that </w:t>
      </w:r>
      <w:r w:rsidR="001A50F5">
        <w:rPr>
          <w:b/>
        </w:rPr>
        <w:t xml:space="preserve">it is the </w:t>
      </w:r>
      <w:r w:rsidR="00F477E8">
        <w:rPr>
          <w:b/>
        </w:rPr>
        <w:t>birth right</w:t>
      </w:r>
      <w:r w:rsidR="001A50F5">
        <w:rPr>
          <w:b/>
        </w:rPr>
        <w:t xml:space="preserve"> of all the people of NI to identify, and be accepted, as Irish or British or both, without any loss of entitlements</w:t>
      </w:r>
      <w:r w:rsidR="003F7158">
        <w:rPr>
          <w:b/>
        </w:rPr>
        <w:t>.</w:t>
      </w:r>
    </w:p>
    <w:p w14:paraId="76BA349F" w14:textId="1C29F482" w:rsidR="00226B07" w:rsidRDefault="00226B07" w:rsidP="00412E09">
      <w:pPr>
        <w:ind w:left="851" w:hanging="862"/>
        <w:rPr>
          <w:b/>
        </w:rPr>
      </w:pPr>
    </w:p>
    <w:p w14:paraId="1095E789" w14:textId="71DA3831" w:rsidR="00226B07" w:rsidRPr="00D040BD" w:rsidRDefault="00D040BD" w:rsidP="00412E09">
      <w:pPr>
        <w:pStyle w:val="Heading1"/>
        <w:spacing w:before="0"/>
        <w:ind w:left="851" w:hanging="862"/>
      </w:pPr>
      <w:bookmarkStart w:id="20" w:name="_Toc121922184"/>
      <w:r>
        <w:t>7</w:t>
      </w:r>
      <w:r w:rsidR="00226B07">
        <w:t>.0</w:t>
      </w:r>
      <w:r w:rsidR="00226B07">
        <w:tab/>
      </w:r>
      <w:r w:rsidR="008665F0">
        <w:t>Article 12 – Right to Express Views</w:t>
      </w:r>
      <w:bookmarkEnd w:id="20"/>
    </w:p>
    <w:p w14:paraId="02973F9B" w14:textId="7D1EDF9D" w:rsidR="00226B07" w:rsidRPr="00AB0D8C" w:rsidRDefault="008665F0" w:rsidP="00412E09">
      <w:pPr>
        <w:pStyle w:val="Heading2"/>
        <w:ind w:left="851" w:hanging="862"/>
      </w:pPr>
      <w:bookmarkStart w:id="21" w:name="_Toc121922185"/>
      <w:r>
        <w:t>Participation of children</w:t>
      </w:r>
      <w:bookmarkEnd w:id="21"/>
    </w:p>
    <w:p w14:paraId="15178058" w14:textId="7F8568E1" w:rsidR="008665F0" w:rsidRDefault="008665F0" w:rsidP="00412E09">
      <w:pPr>
        <w:pStyle w:val="ListParagraph"/>
        <w:numPr>
          <w:ilvl w:val="1"/>
          <w:numId w:val="85"/>
        </w:numPr>
        <w:ind w:left="851" w:hanging="862"/>
      </w:pPr>
      <w:r>
        <w:t xml:space="preserve">The Committee </w:t>
      </w:r>
      <w:r w:rsidRPr="00587912">
        <w:t>previously recommended the establishment of structures for the active and meaningful participation of children in policy making.</w:t>
      </w:r>
      <w:r w:rsidRPr="00587912">
        <w:rPr>
          <w:rStyle w:val="FootnoteReference"/>
        </w:rPr>
        <w:footnoteReference w:id="57"/>
      </w:r>
    </w:p>
    <w:p w14:paraId="41A36ADD" w14:textId="77777777" w:rsidR="008665F0" w:rsidRDefault="008665F0" w:rsidP="00412E09">
      <w:pPr>
        <w:pStyle w:val="ListParagraph"/>
        <w:ind w:left="851" w:hanging="862"/>
      </w:pPr>
    </w:p>
    <w:p w14:paraId="35477149" w14:textId="05AE0520" w:rsidR="008665F0" w:rsidRDefault="008665F0" w:rsidP="00412E09">
      <w:pPr>
        <w:pStyle w:val="ListParagraph"/>
        <w:numPr>
          <w:ilvl w:val="1"/>
          <w:numId w:val="85"/>
        </w:numPr>
        <w:ind w:left="851" w:hanging="862"/>
      </w:pPr>
      <w:r>
        <w:t>In 2020, a survey of 1,065 children in NI found that 772 (72.5 per cent) of respondents felt that their voice has not been considered as important and 937 (88 per cent) felt that it is important that young people are part of the decision-making process.</w:t>
      </w:r>
      <w:r>
        <w:rPr>
          <w:rStyle w:val="FootnoteReference"/>
        </w:rPr>
        <w:footnoteReference w:id="58"/>
      </w:r>
    </w:p>
    <w:p w14:paraId="10D1BE8F" w14:textId="77777777" w:rsidR="008665F0" w:rsidRDefault="008665F0" w:rsidP="00412E09">
      <w:pPr>
        <w:ind w:left="851" w:hanging="862"/>
      </w:pPr>
    </w:p>
    <w:p w14:paraId="598840E6" w14:textId="0E16B373" w:rsidR="008665F0" w:rsidRDefault="008665F0" w:rsidP="00412E09">
      <w:pPr>
        <w:pStyle w:val="ListParagraph"/>
        <w:numPr>
          <w:ilvl w:val="1"/>
          <w:numId w:val="85"/>
        </w:numPr>
        <w:ind w:left="851" w:hanging="862"/>
      </w:pPr>
      <w:r>
        <w:t xml:space="preserve">Section 3(4) of the Children Services Cooperation Act (NI) 2015 </w:t>
      </w:r>
      <w:r w:rsidR="009E34E9">
        <w:t xml:space="preserve">introduced </w:t>
      </w:r>
      <w:r>
        <w:t>a statutory duty on the NI Executive to consult with children and their representatives</w:t>
      </w:r>
      <w:r w:rsidR="00311546">
        <w:t xml:space="preserve">. This duty was imposed regarding the development of the </w:t>
      </w:r>
      <w:r>
        <w:t xml:space="preserve">Children and Young Person’s Strategy. </w:t>
      </w:r>
      <w:r w:rsidR="00693ACF">
        <w:t>In 2017, t</w:t>
      </w:r>
      <w:r>
        <w:t>h</w:t>
      </w:r>
      <w:r w:rsidR="00311546">
        <w:t>e required</w:t>
      </w:r>
      <w:r>
        <w:t xml:space="preserve"> consultation was conducted by the Department of Education. </w:t>
      </w:r>
    </w:p>
    <w:p w14:paraId="5B2EA64C" w14:textId="77777777" w:rsidR="008665F0" w:rsidRDefault="008665F0" w:rsidP="00412E09">
      <w:pPr>
        <w:ind w:left="851" w:hanging="862"/>
      </w:pPr>
    </w:p>
    <w:p w14:paraId="27AE9D48" w14:textId="068B7852" w:rsidR="008665F0" w:rsidRDefault="008665F0" w:rsidP="00412E09">
      <w:pPr>
        <w:pStyle w:val="ListParagraph"/>
        <w:numPr>
          <w:ilvl w:val="1"/>
          <w:numId w:val="85"/>
        </w:numPr>
        <w:ind w:left="851" w:hanging="862"/>
      </w:pPr>
      <w:r>
        <w:t xml:space="preserve">Civil society representatives </w:t>
      </w:r>
      <w:r w:rsidR="00311546">
        <w:t xml:space="preserve">have </w:t>
      </w:r>
      <w:r>
        <w:t>highlight</w:t>
      </w:r>
      <w:r w:rsidR="00311546">
        <w:t>ed</w:t>
      </w:r>
      <w:r>
        <w:t xml:space="preserve"> that e</w:t>
      </w:r>
      <w:r w:rsidRPr="00587912">
        <w:t>ngagement with children is</w:t>
      </w:r>
      <w:r>
        <w:t xml:space="preserve"> </w:t>
      </w:r>
      <w:r w:rsidRPr="00587912">
        <w:t xml:space="preserve">limited to consultation and </w:t>
      </w:r>
      <w:r>
        <w:t>is not</w:t>
      </w:r>
      <w:r w:rsidRPr="00587912">
        <w:t xml:space="preserve"> embedded within all stages of the policy</w:t>
      </w:r>
      <w:r>
        <w:t xml:space="preserve"> making</w:t>
      </w:r>
      <w:r w:rsidRPr="00587912">
        <w:t xml:space="preserve"> process</w:t>
      </w:r>
      <w:r>
        <w:t>.</w:t>
      </w:r>
      <w:r w:rsidRPr="00587912">
        <w:rPr>
          <w:rStyle w:val="FootnoteReference"/>
        </w:rPr>
        <w:footnoteReference w:id="59"/>
      </w:r>
      <w:r>
        <w:t xml:space="preserve"> </w:t>
      </w:r>
      <w:r w:rsidR="00533968">
        <w:t xml:space="preserve">In the context of the Children and Young People’s Strategy 2020-2030, </w:t>
      </w:r>
      <w:r w:rsidR="00562338">
        <w:t>i</w:t>
      </w:r>
      <w:r w:rsidR="00582119">
        <w:t xml:space="preserve">t </w:t>
      </w:r>
      <w:r w:rsidR="002577CA">
        <w:t xml:space="preserve">has been </w:t>
      </w:r>
      <w:r w:rsidR="00942ED3">
        <w:t>raised that</w:t>
      </w:r>
      <w:r>
        <w:t xml:space="preserve"> views expressed by children during </w:t>
      </w:r>
      <w:r w:rsidR="008B01F5">
        <w:t xml:space="preserve">the </w:t>
      </w:r>
      <w:r>
        <w:t xml:space="preserve">consultation </w:t>
      </w:r>
      <w:r w:rsidR="008B01F5">
        <w:t xml:space="preserve">process </w:t>
      </w:r>
      <w:r>
        <w:t xml:space="preserve">were </w:t>
      </w:r>
      <w:r w:rsidR="00942ED3">
        <w:t xml:space="preserve">not fully </w:t>
      </w:r>
      <w:r w:rsidR="00562338">
        <w:t xml:space="preserve">reflected in the published strategy and </w:t>
      </w:r>
      <w:r w:rsidR="00E921CC">
        <w:t xml:space="preserve">the Department of Education </w:t>
      </w:r>
      <w:r w:rsidR="00417B3C">
        <w:t xml:space="preserve">has not </w:t>
      </w:r>
      <w:r w:rsidR="00EB1119">
        <w:t xml:space="preserve">engaged further with the children’s sector to </w:t>
      </w:r>
      <w:r w:rsidR="00417B3C">
        <w:t>provide</w:t>
      </w:r>
      <w:r w:rsidR="00EB1119">
        <w:t xml:space="preserve"> the</w:t>
      </w:r>
      <w:r w:rsidR="00417B3C">
        <w:t xml:space="preserve"> reasons why this is the case</w:t>
      </w:r>
      <w:r>
        <w:t>.</w:t>
      </w:r>
      <w:r>
        <w:rPr>
          <w:rStyle w:val="FootnoteReference"/>
        </w:rPr>
        <w:footnoteReference w:id="60"/>
      </w:r>
    </w:p>
    <w:p w14:paraId="4D677124" w14:textId="77777777" w:rsidR="002F2363" w:rsidRDefault="002F2363" w:rsidP="002F2363">
      <w:pPr>
        <w:pStyle w:val="ListParagraph"/>
      </w:pPr>
    </w:p>
    <w:p w14:paraId="2F939FD5" w14:textId="5CB7089C" w:rsidR="002F2363" w:rsidRDefault="002F2363" w:rsidP="002F2363">
      <w:pPr>
        <w:pStyle w:val="ListParagraph"/>
        <w:numPr>
          <w:ilvl w:val="1"/>
          <w:numId w:val="85"/>
        </w:numPr>
        <w:ind w:left="851" w:hanging="862"/>
      </w:pPr>
      <w:r>
        <w:t xml:space="preserve">Research shows that children with disabilities face </w:t>
      </w:r>
      <w:proofErr w:type="gramStart"/>
      <w:r>
        <w:t>particular barriers</w:t>
      </w:r>
      <w:proofErr w:type="gramEnd"/>
      <w:r>
        <w:t xml:space="preserve"> in accessing services and supports that are age appropriate and </w:t>
      </w:r>
      <w:r w:rsidR="00080569">
        <w:t>accessible</w:t>
      </w:r>
      <w:r w:rsidR="007A1C00">
        <w:t xml:space="preserve">. </w:t>
      </w:r>
      <w:r w:rsidR="008A3350">
        <w:t>Consequently, children with disabilities face additional barriers that inhibit their involvement</w:t>
      </w:r>
      <w:r>
        <w:t xml:space="preserve"> in decision-making processes.</w:t>
      </w:r>
      <w:r>
        <w:rPr>
          <w:rStyle w:val="FootnoteReference"/>
        </w:rPr>
        <w:footnoteReference w:id="61"/>
      </w:r>
    </w:p>
    <w:p w14:paraId="70D4ADAB" w14:textId="77777777" w:rsidR="008665F0" w:rsidRDefault="008665F0" w:rsidP="002F2363"/>
    <w:p w14:paraId="2A176325" w14:textId="0C94A3D8" w:rsidR="008665F0" w:rsidRDefault="008665F0" w:rsidP="00412E09">
      <w:pPr>
        <w:pStyle w:val="ListParagraph"/>
        <w:numPr>
          <w:ilvl w:val="1"/>
          <w:numId w:val="85"/>
        </w:numPr>
        <w:ind w:left="851" w:hanging="862"/>
      </w:pPr>
      <w:r>
        <w:t>In July 2021, the NI Youth Assembly held its first sitting.</w:t>
      </w:r>
      <w:r w:rsidRPr="00587912">
        <w:rPr>
          <w:rStyle w:val="FootnoteReference"/>
        </w:rPr>
        <w:footnoteReference w:id="62"/>
      </w:r>
      <w:r>
        <w:t xml:space="preserve"> Members agreed four priorities </w:t>
      </w:r>
      <w:r w:rsidR="00E65F84">
        <w:t>for the period 2021</w:t>
      </w:r>
      <w:r w:rsidR="009D4271">
        <w:t xml:space="preserve"> to </w:t>
      </w:r>
      <w:r w:rsidR="00E65F84">
        <w:t>2023</w:t>
      </w:r>
      <w:r>
        <w:t>, including e</w:t>
      </w:r>
      <w:r w:rsidRPr="00417A69">
        <w:t>ducation, environment, health, and rights and equality</w:t>
      </w:r>
      <w:r>
        <w:t>.</w:t>
      </w:r>
      <w:r>
        <w:rPr>
          <w:rStyle w:val="FootnoteReference"/>
        </w:rPr>
        <w:footnoteReference w:id="63"/>
      </w:r>
      <w:r>
        <w:t xml:space="preserve"> Members raised concerns about the lack of </w:t>
      </w:r>
      <w:r w:rsidR="00141198">
        <w:t xml:space="preserve">a </w:t>
      </w:r>
      <w:r>
        <w:t xml:space="preserve">functioning </w:t>
      </w:r>
      <w:r w:rsidR="00141198">
        <w:t xml:space="preserve">NI </w:t>
      </w:r>
      <w:r>
        <w:t xml:space="preserve">Executive </w:t>
      </w:r>
      <w:r w:rsidR="00141198">
        <w:t xml:space="preserve">and its </w:t>
      </w:r>
      <w:r>
        <w:t>impact on a child’s right to be heard.</w:t>
      </w:r>
      <w:r>
        <w:rPr>
          <w:rStyle w:val="FootnoteReference"/>
        </w:rPr>
        <w:footnoteReference w:id="64"/>
      </w:r>
    </w:p>
    <w:p w14:paraId="5E435D2E" w14:textId="77777777" w:rsidR="008665F0" w:rsidRPr="00253C45" w:rsidRDefault="008665F0" w:rsidP="00412E09">
      <w:pPr>
        <w:pStyle w:val="ListParagraph"/>
        <w:ind w:left="851" w:hanging="862"/>
        <w:rPr>
          <w:b/>
        </w:rPr>
      </w:pPr>
    </w:p>
    <w:p w14:paraId="4E71A3A7" w14:textId="3CBF2A8C" w:rsidR="008665F0" w:rsidRDefault="008665F0" w:rsidP="00412E09">
      <w:pPr>
        <w:pStyle w:val="ListParagraph"/>
        <w:numPr>
          <w:ilvl w:val="1"/>
          <w:numId w:val="85"/>
        </w:numPr>
        <w:ind w:left="851" w:hanging="862"/>
        <w:rPr>
          <w:b/>
        </w:rPr>
      </w:pPr>
      <w:r>
        <w:rPr>
          <w:b/>
        </w:rPr>
        <w:t xml:space="preserve">The </w:t>
      </w:r>
      <w:r w:rsidR="003C44C7">
        <w:rPr>
          <w:b/>
        </w:rPr>
        <w:t xml:space="preserve">Committee may wish to </w:t>
      </w:r>
      <w:r>
        <w:rPr>
          <w:b/>
        </w:rPr>
        <w:t xml:space="preserve">recommend that the </w:t>
      </w:r>
      <w:r w:rsidR="003C44C7">
        <w:rPr>
          <w:b/>
        </w:rPr>
        <w:t>State Party</w:t>
      </w:r>
      <w:r>
        <w:rPr>
          <w:b/>
        </w:rPr>
        <w:t xml:space="preserve"> take</w:t>
      </w:r>
      <w:r w:rsidR="003C44C7">
        <w:rPr>
          <w:b/>
        </w:rPr>
        <w:t>s</w:t>
      </w:r>
      <w:r>
        <w:rPr>
          <w:b/>
        </w:rPr>
        <w:t xml:space="preserve"> effective </w:t>
      </w:r>
      <w:r w:rsidRPr="00253C45">
        <w:rPr>
          <w:b/>
        </w:rPr>
        <w:t xml:space="preserve">measures to ensure children </w:t>
      </w:r>
      <w:r w:rsidR="00AB0D8C">
        <w:rPr>
          <w:b/>
        </w:rPr>
        <w:t>in NI</w:t>
      </w:r>
      <w:r w:rsidR="003C44C7">
        <w:rPr>
          <w:b/>
        </w:rPr>
        <w:t xml:space="preserve"> </w:t>
      </w:r>
      <w:r>
        <w:rPr>
          <w:b/>
        </w:rPr>
        <w:t xml:space="preserve">can </w:t>
      </w:r>
      <w:r w:rsidRPr="00253C45">
        <w:rPr>
          <w:b/>
        </w:rPr>
        <w:t>meaningfully participate</w:t>
      </w:r>
      <w:r>
        <w:rPr>
          <w:b/>
        </w:rPr>
        <w:t xml:space="preserve"> at each stage of the policy making process, including in the </w:t>
      </w:r>
      <w:proofErr w:type="gramStart"/>
      <w:r>
        <w:rPr>
          <w:b/>
        </w:rPr>
        <w:t>implementation</w:t>
      </w:r>
      <w:proofErr w:type="gramEnd"/>
      <w:r>
        <w:rPr>
          <w:b/>
        </w:rPr>
        <w:t xml:space="preserve"> and monitoring of </w:t>
      </w:r>
      <w:r w:rsidRPr="00253C45">
        <w:rPr>
          <w:b/>
        </w:rPr>
        <w:t>legislative developments that affect them</w:t>
      </w:r>
      <w:r>
        <w:rPr>
          <w:b/>
        </w:rPr>
        <w:t>.</w:t>
      </w:r>
      <w:r w:rsidR="0011424C">
        <w:rPr>
          <w:b/>
        </w:rPr>
        <w:t xml:space="preserve"> </w:t>
      </w:r>
      <w:r w:rsidR="00080569">
        <w:rPr>
          <w:b/>
        </w:rPr>
        <w:t>This includes the provision of appropriate support to empower children with disabilities and their representative organisations.</w:t>
      </w:r>
    </w:p>
    <w:p w14:paraId="08397CAD" w14:textId="77777777" w:rsidR="00F55509" w:rsidRPr="00F55509" w:rsidRDefault="00F55509" w:rsidP="00412E09">
      <w:pPr>
        <w:ind w:left="851" w:hanging="862"/>
        <w:rPr>
          <w:b/>
        </w:rPr>
      </w:pPr>
    </w:p>
    <w:p w14:paraId="066E97D0" w14:textId="6EDDF2BE" w:rsidR="00226B07" w:rsidRPr="00587912" w:rsidRDefault="00A80FD9" w:rsidP="00412E09">
      <w:pPr>
        <w:pStyle w:val="Heading1"/>
        <w:spacing w:before="0"/>
        <w:ind w:left="851" w:hanging="862"/>
      </w:pPr>
      <w:bookmarkStart w:id="22" w:name="_Toc121922186"/>
      <w:r>
        <w:t>8</w:t>
      </w:r>
      <w:r w:rsidR="00226B07">
        <w:t>.0</w:t>
      </w:r>
      <w:r w:rsidR="00226B07">
        <w:tab/>
      </w:r>
      <w:r w:rsidR="00226B07" w:rsidRPr="00587912">
        <w:t>A</w:t>
      </w:r>
      <w:r w:rsidR="00226B07">
        <w:t>rticle 16 – Right to P</w:t>
      </w:r>
      <w:r w:rsidR="00226B07" w:rsidRPr="00587912">
        <w:t>rivacy</w:t>
      </w:r>
      <w:bookmarkEnd w:id="22"/>
    </w:p>
    <w:p w14:paraId="5F8FE989" w14:textId="1B6DBF65" w:rsidR="004B50A9" w:rsidRPr="00A42E42" w:rsidRDefault="004B50A9" w:rsidP="00412E09">
      <w:pPr>
        <w:pStyle w:val="Heading2"/>
        <w:ind w:left="851" w:hanging="862"/>
        <w:rPr>
          <w:szCs w:val="22"/>
        </w:rPr>
      </w:pPr>
      <w:bookmarkStart w:id="23" w:name="_Toc121922187"/>
      <w:r w:rsidRPr="00587912">
        <w:rPr>
          <w:szCs w:val="22"/>
        </w:rPr>
        <w:t>Stop and search</w:t>
      </w:r>
      <w:bookmarkEnd w:id="23"/>
      <w:r w:rsidRPr="00587912">
        <w:rPr>
          <w:szCs w:val="22"/>
        </w:rPr>
        <w:t xml:space="preserve"> </w:t>
      </w:r>
    </w:p>
    <w:p w14:paraId="4FCD5432" w14:textId="77777777" w:rsidR="00495BC2" w:rsidRPr="00495BC2" w:rsidRDefault="00495BC2" w:rsidP="00412E09">
      <w:pPr>
        <w:pStyle w:val="ListParagraph"/>
        <w:numPr>
          <w:ilvl w:val="0"/>
          <w:numId w:val="4"/>
        </w:numPr>
        <w:ind w:left="851" w:hanging="862"/>
        <w:rPr>
          <w:vanish/>
        </w:rPr>
      </w:pPr>
    </w:p>
    <w:p w14:paraId="6411C922" w14:textId="77777777" w:rsidR="00495BC2" w:rsidRPr="00495BC2" w:rsidRDefault="00495BC2" w:rsidP="00412E09">
      <w:pPr>
        <w:pStyle w:val="ListParagraph"/>
        <w:numPr>
          <w:ilvl w:val="0"/>
          <w:numId w:val="4"/>
        </w:numPr>
        <w:ind w:left="851" w:hanging="862"/>
        <w:rPr>
          <w:vanish/>
        </w:rPr>
      </w:pPr>
    </w:p>
    <w:p w14:paraId="1F4DD1DD" w14:textId="7B2772ED" w:rsidR="00CA1731" w:rsidRDefault="00CA1731" w:rsidP="00412E09">
      <w:pPr>
        <w:pStyle w:val="ListParagraph"/>
        <w:numPr>
          <w:ilvl w:val="1"/>
          <w:numId w:val="86"/>
        </w:numPr>
        <w:ind w:left="851" w:hanging="862"/>
      </w:pPr>
      <w:r>
        <w:t>The</w:t>
      </w:r>
      <w:r w:rsidR="00697137">
        <w:t xml:space="preserve"> Committee</w:t>
      </w:r>
      <w:r>
        <w:t xml:space="preserve"> previously made</w:t>
      </w:r>
      <w:r w:rsidR="00CA61B1" w:rsidRPr="00587912">
        <w:t xml:space="preserve"> detail</w:t>
      </w:r>
      <w:r w:rsidR="008F2C3B" w:rsidRPr="00587912">
        <w:t xml:space="preserve">ed recommendations on </w:t>
      </w:r>
      <w:r w:rsidR="00BE0A19">
        <w:t>the</w:t>
      </w:r>
      <w:r w:rsidR="008F2C3B" w:rsidRPr="00587912">
        <w:t xml:space="preserve"> stop and search of children</w:t>
      </w:r>
      <w:r>
        <w:t>, including that any data collected should be disaggregated</w:t>
      </w:r>
      <w:r w:rsidR="00CA61B1" w:rsidRPr="00587912">
        <w:t>.</w:t>
      </w:r>
      <w:r w:rsidR="00AC68F0" w:rsidRPr="00587912">
        <w:rPr>
          <w:rStyle w:val="FootnoteReference"/>
        </w:rPr>
        <w:footnoteReference w:id="65"/>
      </w:r>
      <w:r w:rsidR="00910499" w:rsidRPr="00587912">
        <w:t xml:space="preserve"> </w:t>
      </w:r>
    </w:p>
    <w:p w14:paraId="7D781084" w14:textId="77777777" w:rsidR="00CA1731" w:rsidRDefault="00CA1731" w:rsidP="00412E09">
      <w:pPr>
        <w:pStyle w:val="ListParagraph"/>
        <w:ind w:left="851" w:hanging="862"/>
      </w:pPr>
    </w:p>
    <w:p w14:paraId="200DB888" w14:textId="3CBC3C56" w:rsidR="00BF4AB4" w:rsidRDefault="00EA1693" w:rsidP="00412E09">
      <w:pPr>
        <w:pStyle w:val="ListParagraph"/>
        <w:numPr>
          <w:ilvl w:val="1"/>
          <w:numId w:val="86"/>
        </w:numPr>
        <w:ind w:left="851" w:hanging="862"/>
      </w:pPr>
      <w:r w:rsidRPr="00587912">
        <w:t xml:space="preserve">In </w:t>
      </w:r>
      <w:r w:rsidR="00B53415">
        <w:t>20</w:t>
      </w:r>
      <w:r w:rsidR="002F1540">
        <w:t>21/2022</w:t>
      </w:r>
      <w:r w:rsidR="00CA61B1" w:rsidRPr="00587912">
        <w:t xml:space="preserve">, </w:t>
      </w:r>
      <w:r w:rsidR="001B0A43">
        <w:t>2,4</w:t>
      </w:r>
      <w:r w:rsidR="00473FE0">
        <w:t>77</w:t>
      </w:r>
      <w:r w:rsidRPr="00587912">
        <w:t xml:space="preserve"> </w:t>
      </w:r>
      <w:r w:rsidR="00C54FDD">
        <w:t>children</w:t>
      </w:r>
      <w:r w:rsidR="00CA1731">
        <w:t xml:space="preserve"> in NI, including 6</w:t>
      </w:r>
      <w:r w:rsidR="00B51555">
        <w:t>1</w:t>
      </w:r>
      <w:r w:rsidR="00CA1731">
        <w:t xml:space="preserve"> aged 12 and under, were stopped and searched</w:t>
      </w:r>
      <w:r w:rsidR="00CA61B1" w:rsidRPr="00587912">
        <w:t>.</w:t>
      </w:r>
      <w:r w:rsidR="00CA61B1" w:rsidRPr="00587912">
        <w:rPr>
          <w:rStyle w:val="FootnoteReference"/>
        </w:rPr>
        <w:footnoteReference w:id="66"/>
      </w:r>
      <w:r w:rsidR="008A3FF3" w:rsidRPr="00587912">
        <w:t xml:space="preserve"> </w:t>
      </w:r>
      <w:r w:rsidR="008A33D2">
        <w:t xml:space="preserve">Of the </w:t>
      </w:r>
      <w:r w:rsidR="007B6282">
        <w:t xml:space="preserve">2,477 children stopped and searched, only </w:t>
      </w:r>
      <w:r w:rsidR="00C818D7">
        <w:t>71 were subsequently arrested</w:t>
      </w:r>
      <w:r w:rsidR="00DE4C93">
        <w:t xml:space="preserve">. </w:t>
      </w:r>
      <w:r w:rsidR="00D61794">
        <w:t>Published data</w:t>
      </w:r>
      <w:r w:rsidR="00CA1731">
        <w:t xml:space="preserve"> is not</w:t>
      </w:r>
      <w:r w:rsidR="00DE4C93">
        <w:t xml:space="preserve"> </w:t>
      </w:r>
      <w:r w:rsidR="00BF4AB4">
        <w:t xml:space="preserve">further </w:t>
      </w:r>
      <w:r w:rsidR="00CA1731">
        <w:t>disaggregated</w:t>
      </w:r>
      <w:r w:rsidR="00BF4AB4">
        <w:t xml:space="preserve"> </w:t>
      </w:r>
      <w:r w:rsidR="00BF4AB4" w:rsidRPr="00BF4AB4">
        <w:t xml:space="preserve">by </w:t>
      </w:r>
      <w:r w:rsidR="00BF4AB4">
        <w:t>sex</w:t>
      </w:r>
      <w:r w:rsidR="00BF4AB4" w:rsidRPr="00BF4AB4">
        <w:t xml:space="preserve">, disability, geographic location, ethnic </w:t>
      </w:r>
      <w:r w:rsidR="00375EFA" w:rsidRPr="00BF4AB4">
        <w:t>origin,</w:t>
      </w:r>
      <w:r w:rsidR="00BF4AB4" w:rsidRPr="00BF4AB4">
        <w:t xml:space="preserve"> and socioeconomic background.</w:t>
      </w:r>
      <w:r w:rsidR="00824080">
        <w:t xml:space="preserve"> </w:t>
      </w:r>
    </w:p>
    <w:p w14:paraId="644B3F47" w14:textId="77777777" w:rsidR="00F1609A" w:rsidRDefault="00F1609A" w:rsidP="00412E09">
      <w:pPr>
        <w:pStyle w:val="ListParagraph"/>
        <w:ind w:left="851" w:hanging="862"/>
      </w:pPr>
    </w:p>
    <w:p w14:paraId="6D5B57FC" w14:textId="7ED37771" w:rsidR="00F1609A" w:rsidRDefault="006D1E14" w:rsidP="00412E09">
      <w:pPr>
        <w:pStyle w:val="ListParagraph"/>
        <w:numPr>
          <w:ilvl w:val="1"/>
          <w:numId w:val="86"/>
        </w:numPr>
        <w:ind w:left="851" w:hanging="862"/>
      </w:pPr>
      <w:r>
        <w:t xml:space="preserve">Between April and July 2021, the </w:t>
      </w:r>
      <w:r w:rsidR="00344DD1">
        <w:t xml:space="preserve">Police Service of NI conducted a survey </w:t>
      </w:r>
      <w:r w:rsidR="00A75C00">
        <w:t xml:space="preserve">seeking views </w:t>
      </w:r>
      <w:r w:rsidR="0030622D">
        <w:t xml:space="preserve">of </w:t>
      </w:r>
      <w:r w:rsidR="00A75C00">
        <w:t>stop and search</w:t>
      </w:r>
      <w:r w:rsidR="0030622D">
        <w:t xml:space="preserve"> from </w:t>
      </w:r>
      <w:proofErr w:type="gramStart"/>
      <w:r w:rsidR="0030622D">
        <w:t xml:space="preserve">11 </w:t>
      </w:r>
      <w:r w:rsidR="0059553F">
        <w:t>to</w:t>
      </w:r>
      <w:r w:rsidR="0030622D">
        <w:t xml:space="preserve"> </w:t>
      </w:r>
      <w:r w:rsidR="00D0469A">
        <w:t>18 year olds</w:t>
      </w:r>
      <w:proofErr w:type="gramEnd"/>
      <w:r w:rsidR="0030622D">
        <w:t>.</w:t>
      </w:r>
      <w:r w:rsidR="00AF73F9">
        <w:rPr>
          <w:rStyle w:val="FootnoteReference"/>
        </w:rPr>
        <w:footnoteReference w:id="67"/>
      </w:r>
      <w:r w:rsidR="0030622D">
        <w:t xml:space="preserve"> Of 870 respondents who had been </w:t>
      </w:r>
      <w:r w:rsidR="00D0469A">
        <w:t xml:space="preserve">stopped and searched, </w:t>
      </w:r>
      <w:r w:rsidR="00172C59">
        <w:t>7</w:t>
      </w:r>
      <w:r w:rsidR="007E12DD">
        <w:t xml:space="preserve">7 </w:t>
      </w:r>
      <w:r w:rsidR="00172C59">
        <w:t>per cent said it was a negative experience</w:t>
      </w:r>
      <w:r w:rsidR="006043C4">
        <w:t xml:space="preserve">, </w:t>
      </w:r>
      <w:r w:rsidR="004E1A50">
        <w:t>7</w:t>
      </w:r>
      <w:r w:rsidR="007E12DD">
        <w:t>2</w:t>
      </w:r>
      <w:r w:rsidR="004E1A50">
        <w:t xml:space="preserve"> per cent felt their search was unjustified</w:t>
      </w:r>
      <w:r w:rsidR="006043C4">
        <w:t xml:space="preserve"> and 65 per cent had decreased confidence in local police as a result of their encounter.</w:t>
      </w:r>
      <w:r w:rsidR="000630FE">
        <w:rPr>
          <w:rStyle w:val="FootnoteReference"/>
        </w:rPr>
        <w:footnoteReference w:id="68"/>
      </w:r>
      <w:r w:rsidR="004E1A50">
        <w:t xml:space="preserve"> </w:t>
      </w:r>
    </w:p>
    <w:p w14:paraId="79932491" w14:textId="77777777" w:rsidR="00014910" w:rsidRDefault="00014910" w:rsidP="00412E09">
      <w:pPr>
        <w:pStyle w:val="ListParagraph"/>
        <w:ind w:left="851" w:hanging="862"/>
      </w:pPr>
    </w:p>
    <w:p w14:paraId="42886E75" w14:textId="6A1AB10B" w:rsidR="00014910" w:rsidRDefault="00171723" w:rsidP="00412E09">
      <w:pPr>
        <w:pStyle w:val="ListParagraph"/>
        <w:numPr>
          <w:ilvl w:val="1"/>
          <w:numId w:val="86"/>
        </w:numPr>
        <w:ind w:left="851" w:hanging="862"/>
      </w:pPr>
      <w:r>
        <w:t xml:space="preserve">In </w:t>
      </w:r>
      <w:r w:rsidR="00E537E0">
        <w:t>202</w:t>
      </w:r>
      <w:r w:rsidR="00D80F86">
        <w:t>2</w:t>
      </w:r>
      <w:r w:rsidR="00E537E0">
        <w:t>,</w:t>
      </w:r>
      <w:r w:rsidR="00B952E6">
        <w:t xml:space="preserve"> the Independent Reviewer of the </w:t>
      </w:r>
      <w:r w:rsidR="00B952E6" w:rsidRPr="00587912">
        <w:t>Justi</w:t>
      </w:r>
      <w:r w:rsidR="00B952E6">
        <w:t xml:space="preserve">ce and Security (NI) Act 2007 </w:t>
      </w:r>
      <w:r w:rsidR="00F8563F">
        <w:t xml:space="preserve">highlighted a lack of progress on </w:t>
      </w:r>
      <w:r w:rsidR="004602BD">
        <w:t xml:space="preserve">the provision of </w:t>
      </w:r>
      <w:r w:rsidR="004A37A1">
        <w:t xml:space="preserve">safeguards </w:t>
      </w:r>
      <w:r w:rsidR="001F5261">
        <w:t>for</w:t>
      </w:r>
      <w:r w:rsidR="004A37A1">
        <w:t xml:space="preserve"> the use of </w:t>
      </w:r>
      <w:r w:rsidR="00B416BA">
        <w:t xml:space="preserve">‘no-suspicion’ </w:t>
      </w:r>
      <w:r w:rsidR="004A37A1">
        <w:t>powers</w:t>
      </w:r>
      <w:r w:rsidR="001F5261">
        <w:t xml:space="preserve"> </w:t>
      </w:r>
      <w:r w:rsidR="00DF58C5">
        <w:t>against</w:t>
      </w:r>
      <w:r w:rsidR="001F5261">
        <w:t xml:space="preserve"> children.</w:t>
      </w:r>
      <w:r w:rsidR="001F1E1E">
        <w:rPr>
          <w:rStyle w:val="FootnoteReference"/>
        </w:rPr>
        <w:footnoteReference w:id="69"/>
      </w:r>
      <w:r w:rsidR="001F5261">
        <w:t xml:space="preserve"> </w:t>
      </w:r>
      <w:r w:rsidR="0065067C">
        <w:t>This includes the introduction of</w:t>
      </w:r>
      <w:r w:rsidR="00C631FD">
        <w:t xml:space="preserve"> </w:t>
      </w:r>
      <w:r w:rsidR="00FE0238">
        <w:t>independent youth sc</w:t>
      </w:r>
      <w:r w:rsidR="009A549E">
        <w:t>rutiny panels</w:t>
      </w:r>
      <w:r w:rsidR="003E62B1">
        <w:t xml:space="preserve">, </w:t>
      </w:r>
      <w:r w:rsidR="003566CB">
        <w:t>community impact assessments</w:t>
      </w:r>
      <w:r w:rsidR="00336927">
        <w:t xml:space="preserve">, </w:t>
      </w:r>
      <w:r w:rsidR="0033550F">
        <w:t xml:space="preserve">and </w:t>
      </w:r>
      <w:r w:rsidR="00336927">
        <w:t>child specific guidance in</w:t>
      </w:r>
      <w:r w:rsidR="00F17FDB">
        <w:t xml:space="preserve"> </w:t>
      </w:r>
      <w:r w:rsidR="009B3869">
        <w:t>the</w:t>
      </w:r>
      <w:r w:rsidR="003E62B1">
        <w:t xml:space="preserve"> </w:t>
      </w:r>
      <w:r w:rsidR="009B3869">
        <w:t>Code of Practice</w:t>
      </w:r>
      <w:r w:rsidR="00796871">
        <w:t xml:space="preserve">. </w:t>
      </w:r>
      <w:r w:rsidR="005C3932">
        <w:t>There has also been a lack of progress regarding the</w:t>
      </w:r>
      <w:r w:rsidR="00EB7932">
        <w:t xml:space="preserve"> lack of community background </w:t>
      </w:r>
      <w:r w:rsidR="009D0D97">
        <w:t>recording</w:t>
      </w:r>
      <w:r w:rsidR="00EB7932">
        <w:t xml:space="preserve"> of</w:t>
      </w:r>
      <w:r w:rsidR="0067759E">
        <w:t xml:space="preserve"> </w:t>
      </w:r>
      <w:r w:rsidR="003140A2">
        <w:t xml:space="preserve">persons </w:t>
      </w:r>
      <w:r w:rsidR="006B6294">
        <w:t>stopped and searched</w:t>
      </w:r>
      <w:r w:rsidR="003140A2">
        <w:t xml:space="preserve"> </w:t>
      </w:r>
      <w:r w:rsidR="003140A2" w:rsidRPr="00587912">
        <w:t>under the Justi</w:t>
      </w:r>
      <w:r w:rsidR="003140A2">
        <w:t>ce and Security (NI) Act 2007</w:t>
      </w:r>
      <w:r w:rsidR="003140A2" w:rsidRPr="00587912">
        <w:t>.</w:t>
      </w:r>
      <w:r w:rsidR="003140A2" w:rsidRPr="00587912">
        <w:rPr>
          <w:rStyle w:val="FootnoteReference"/>
        </w:rPr>
        <w:footnoteReference w:id="70"/>
      </w:r>
      <w:r w:rsidR="003140A2">
        <w:t xml:space="preserve"> </w:t>
      </w:r>
    </w:p>
    <w:p w14:paraId="07025E31" w14:textId="77777777" w:rsidR="008A3FF3" w:rsidRPr="006853EB" w:rsidRDefault="008A3FF3" w:rsidP="00412E09">
      <w:pPr>
        <w:pStyle w:val="ListParagraph"/>
        <w:ind w:left="851" w:hanging="862"/>
        <w:rPr>
          <w:rFonts w:cs="Helvetica"/>
          <w:b/>
          <w:shd w:val="clear" w:color="auto" w:fill="FFFFFF"/>
        </w:rPr>
      </w:pPr>
    </w:p>
    <w:p w14:paraId="0140C01A" w14:textId="3DF0DD92" w:rsidR="0024785E" w:rsidRPr="00AA1A0A" w:rsidRDefault="00134DA1" w:rsidP="00412E09">
      <w:pPr>
        <w:pStyle w:val="ListParagraph"/>
        <w:numPr>
          <w:ilvl w:val="1"/>
          <w:numId w:val="86"/>
        </w:numPr>
        <w:ind w:left="851" w:hanging="862"/>
        <w:rPr>
          <w:rStyle w:val="normaltextrun"/>
          <w:b/>
        </w:rPr>
      </w:pPr>
      <w:r w:rsidRPr="00AA1A0A">
        <w:rPr>
          <w:rFonts w:cs="Helvetica"/>
          <w:b/>
          <w:shd w:val="clear" w:color="auto" w:fill="FFFFFF"/>
        </w:rPr>
        <w:t>The Committee may wish to recommend</w:t>
      </w:r>
      <w:r w:rsidR="008C1B65" w:rsidRPr="00AA1A0A">
        <w:rPr>
          <w:rFonts w:cs="Helvetica"/>
          <w:b/>
          <w:shd w:val="clear" w:color="auto" w:fill="FFFFFF"/>
        </w:rPr>
        <w:t xml:space="preserve"> that the </w:t>
      </w:r>
      <w:r w:rsidR="009A3A7E" w:rsidRPr="00AA1A0A">
        <w:rPr>
          <w:rFonts w:cs="Helvetica"/>
          <w:b/>
          <w:shd w:val="clear" w:color="auto" w:fill="FFFFFF"/>
        </w:rPr>
        <w:t>State Party</w:t>
      </w:r>
      <w:r w:rsidR="007F5A57" w:rsidRPr="00AA1A0A">
        <w:rPr>
          <w:rFonts w:cs="Helvetica"/>
          <w:b/>
          <w:shd w:val="clear" w:color="auto" w:fill="FFFFFF"/>
        </w:rPr>
        <w:t xml:space="preserve"> </w:t>
      </w:r>
      <w:r w:rsidR="00B72B23">
        <w:rPr>
          <w:rFonts w:cs="Helvetica"/>
          <w:b/>
          <w:shd w:val="clear" w:color="auto" w:fill="FFFFFF"/>
        </w:rPr>
        <w:t>t</w:t>
      </w:r>
      <w:r w:rsidR="00247989">
        <w:rPr>
          <w:rFonts w:cs="Helvetica"/>
          <w:b/>
          <w:shd w:val="clear" w:color="auto" w:fill="FFFFFF"/>
        </w:rPr>
        <w:t xml:space="preserve">akes steps to </w:t>
      </w:r>
      <w:r w:rsidR="00BE0A19" w:rsidRPr="00AA1A0A">
        <w:rPr>
          <w:rFonts w:cs="Helvetica"/>
          <w:b/>
          <w:shd w:val="clear" w:color="auto" w:fill="FFFFFF"/>
        </w:rPr>
        <w:t>e</w:t>
      </w:r>
      <w:r w:rsidR="00534553" w:rsidRPr="00AA1A0A">
        <w:rPr>
          <w:b/>
        </w:rPr>
        <w:t>nsure</w:t>
      </w:r>
      <w:r w:rsidR="00592CD5" w:rsidRPr="00AA1A0A">
        <w:rPr>
          <w:b/>
        </w:rPr>
        <w:t xml:space="preserve"> </w:t>
      </w:r>
      <w:r w:rsidR="00240E19" w:rsidRPr="00AA1A0A">
        <w:rPr>
          <w:b/>
        </w:rPr>
        <w:t xml:space="preserve">that </w:t>
      </w:r>
      <w:r w:rsidR="00623F0C" w:rsidRPr="00AA1A0A">
        <w:rPr>
          <w:rStyle w:val="normaltextrun"/>
          <w:b/>
          <w:color w:val="000000"/>
          <w:shd w:val="clear" w:color="auto" w:fill="FFFFFF"/>
        </w:rPr>
        <w:t xml:space="preserve">all use of stop and search </w:t>
      </w:r>
      <w:r w:rsidR="008A47B8" w:rsidRPr="00AA1A0A">
        <w:rPr>
          <w:rStyle w:val="normaltextrun"/>
          <w:b/>
          <w:color w:val="000000"/>
          <w:shd w:val="clear" w:color="auto" w:fill="FFFFFF"/>
        </w:rPr>
        <w:t>in NI</w:t>
      </w:r>
      <w:r w:rsidR="00240E19" w:rsidRPr="00AA1A0A">
        <w:rPr>
          <w:rStyle w:val="normaltextrun"/>
          <w:b/>
          <w:color w:val="000000"/>
          <w:shd w:val="clear" w:color="auto" w:fill="FFFFFF"/>
        </w:rPr>
        <w:t xml:space="preserve"> </w:t>
      </w:r>
      <w:r w:rsidR="00247989">
        <w:rPr>
          <w:rStyle w:val="normaltextrun"/>
          <w:b/>
          <w:color w:val="000000"/>
          <w:shd w:val="clear" w:color="auto" w:fill="FFFFFF"/>
        </w:rPr>
        <w:t xml:space="preserve">is lawful, </w:t>
      </w:r>
      <w:proofErr w:type="gramStart"/>
      <w:r w:rsidR="00247989">
        <w:rPr>
          <w:rStyle w:val="normaltextrun"/>
          <w:b/>
          <w:color w:val="000000"/>
          <w:shd w:val="clear" w:color="auto" w:fill="FFFFFF"/>
        </w:rPr>
        <w:t>necessary</w:t>
      </w:r>
      <w:proofErr w:type="gramEnd"/>
      <w:r w:rsidR="00247989">
        <w:rPr>
          <w:rStyle w:val="normaltextrun"/>
          <w:b/>
          <w:color w:val="000000"/>
          <w:shd w:val="clear" w:color="auto" w:fill="FFFFFF"/>
        </w:rPr>
        <w:t xml:space="preserve"> and proportionate. </w:t>
      </w:r>
      <w:proofErr w:type="gramStart"/>
      <w:r w:rsidR="00247989">
        <w:rPr>
          <w:rStyle w:val="normaltextrun"/>
          <w:b/>
          <w:color w:val="000000"/>
          <w:shd w:val="clear" w:color="auto" w:fill="FFFFFF"/>
        </w:rPr>
        <w:t>In particular, that</w:t>
      </w:r>
      <w:proofErr w:type="gramEnd"/>
      <w:r w:rsidR="00247989">
        <w:rPr>
          <w:rStyle w:val="normaltextrun"/>
          <w:b/>
          <w:color w:val="000000"/>
          <w:shd w:val="clear" w:color="auto" w:fill="FFFFFF"/>
        </w:rPr>
        <w:t xml:space="preserve"> it is not used dispropo</w:t>
      </w:r>
      <w:r w:rsidR="001369B3">
        <w:rPr>
          <w:rStyle w:val="normaltextrun"/>
          <w:b/>
          <w:color w:val="000000"/>
          <w:shd w:val="clear" w:color="auto" w:fill="FFFFFF"/>
        </w:rPr>
        <w:t xml:space="preserve">rtionately so as to discriminate against any group, including </w:t>
      </w:r>
      <w:r w:rsidR="000012B0">
        <w:rPr>
          <w:rStyle w:val="normaltextrun"/>
          <w:b/>
          <w:color w:val="000000"/>
          <w:shd w:val="clear" w:color="auto" w:fill="FFFFFF"/>
        </w:rPr>
        <w:t>children. Measures should include, at least, that</w:t>
      </w:r>
      <w:r w:rsidR="008056D9" w:rsidRPr="00AA1A0A">
        <w:rPr>
          <w:rStyle w:val="normaltextrun"/>
          <w:b/>
          <w:color w:val="000000"/>
          <w:shd w:val="clear" w:color="auto" w:fill="FFFFFF"/>
        </w:rPr>
        <w:t xml:space="preserve"> comprehensive data </w:t>
      </w:r>
      <w:r w:rsidR="003E5D72" w:rsidRPr="00AA1A0A">
        <w:rPr>
          <w:rStyle w:val="normaltextrun"/>
          <w:b/>
          <w:color w:val="000000"/>
          <w:shd w:val="clear" w:color="auto" w:fill="FFFFFF"/>
        </w:rPr>
        <w:t>on</w:t>
      </w:r>
      <w:r w:rsidR="00366161" w:rsidRPr="00AA1A0A">
        <w:rPr>
          <w:rStyle w:val="normaltextrun"/>
          <w:b/>
          <w:color w:val="000000"/>
          <w:shd w:val="clear" w:color="auto" w:fill="FFFFFF"/>
        </w:rPr>
        <w:t xml:space="preserve"> </w:t>
      </w:r>
      <w:r w:rsidR="00666D85" w:rsidRPr="00AA1A0A">
        <w:rPr>
          <w:rStyle w:val="normaltextrun"/>
          <w:b/>
          <w:color w:val="000000"/>
          <w:shd w:val="clear" w:color="auto" w:fill="FFFFFF"/>
        </w:rPr>
        <w:t xml:space="preserve">the use of stop and search on </w:t>
      </w:r>
      <w:r w:rsidR="00366161" w:rsidRPr="00AA1A0A">
        <w:rPr>
          <w:rStyle w:val="normaltextrun"/>
          <w:b/>
          <w:color w:val="000000"/>
          <w:shd w:val="clear" w:color="auto" w:fill="FFFFFF"/>
        </w:rPr>
        <w:t>children</w:t>
      </w:r>
      <w:r w:rsidR="0096610A" w:rsidRPr="00AA1A0A">
        <w:rPr>
          <w:rStyle w:val="normaltextrun"/>
          <w:b/>
          <w:color w:val="000000"/>
          <w:shd w:val="clear" w:color="auto" w:fill="FFFFFF"/>
        </w:rPr>
        <w:t xml:space="preserve"> is collected, </w:t>
      </w:r>
      <w:proofErr w:type="gramStart"/>
      <w:r w:rsidR="0096610A" w:rsidRPr="00AA1A0A">
        <w:rPr>
          <w:rStyle w:val="normaltextrun"/>
          <w:b/>
          <w:color w:val="000000"/>
          <w:shd w:val="clear" w:color="auto" w:fill="FFFFFF"/>
        </w:rPr>
        <w:t>disaggregated</w:t>
      </w:r>
      <w:proofErr w:type="gramEnd"/>
      <w:r w:rsidR="00B86F7D" w:rsidRPr="00AA1A0A">
        <w:rPr>
          <w:rStyle w:val="normaltextrun"/>
          <w:b/>
          <w:color w:val="000000"/>
          <w:shd w:val="clear" w:color="auto" w:fill="FFFFFF"/>
        </w:rPr>
        <w:t xml:space="preserve"> and published. </w:t>
      </w:r>
    </w:p>
    <w:p w14:paraId="1756593C" w14:textId="77777777" w:rsidR="00666D85" w:rsidRPr="00666D85" w:rsidRDefault="00666D85" w:rsidP="00412E09">
      <w:pPr>
        <w:ind w:left="851" w:hanging="862"/>
        <w:rPr>
          <w:b/>
        </w:rPr>
      </w:pPr>
    </w:p>
    <w:p w14:paraId="1FD0492C" w14:textId="21F9EA13" w:rsidR="004C371F" w:rsidRPr="00490B6F" w:rsidRDefault="004C371F" w:rsidP="00412E09">
      <w:pPr>
        <w:pStyle w:val="Heading2"/>
        <w:ind w:left="851" w:hanging="862"/>
        <w:rPr>
          <w:szCs w:val="22"/>
        </w:rPr>
      </w:pPr>
      <w:bookmarkStart w:id="24" w:name="_Toc121922188"/>
      <w:r w:rsidRPr="00587912">
        <w:rPr>
          <w:szCs w:val="22"/>
        </w:rPr>
        <w:t>Anonymity</w:t>
      </w:r>
      <w:bookmarkEnd w:id="24"/>
    </w:p>
    <w:p w14:paraId="3597584E" w14:textId="34532FDC" w:rsidR="00001CBB" w:rsidRDefault="00944656" w:rsidP="00412E09">
      <w:pPr>
        <w:pStyle w:val="ListParagraph"/>
        <w:numPr>
          <w:ilvl w:val="1"/>
          <w:numId w:val="86"/>
        </w:numPr>
        <w:ind w:left="851" w:hanging="862"/>
      </w:pPr>
      <w:r>
        <w:t>T</w:t>
      </w:r>
      <w:r w:rsidR="00BE0A19" w:rsidRPr="006473CF">
        <w:t xml:space="preserve">he Youth Justice and Criminal Evidence Act 1999 </w:t>
      </w:r>
      <w:r w:rsidR="00AA6A33">
        <w:t>includes a provision prohibiting the naming of a child suspected of committing an offence in the media</w:t>
      </w:r>
      <w:r w:rsidR="00BE0A19" w:rsidRPr="006473CF">
        <w:t>.</w:t>
      </w:r>
      <w:r w:rsidR="00BE0A19" w:rsidRPr="006473CF">
        <w:rPr>
          <w:rStyle w:val="FootnoteReference"/>
        </w:rPr>
        <w:footnoteReference w:id="71"/>
      </w:r>
      <w:r w:rsidR="00BE0A19" w:rsidRPr="006473CF">
        <w:t xml:space="preserve"> However, </w:t>
      </w:r>
      <w:r w:rsidR="00A666E1">
        <w:t>this provision has not been enacted</w:t>
      </w:r>
      <w:r w:rsidR="00BE0A19" w:rsidRPr="006473CF">
        <w:t>. Article 22 of the Criminal Justice (Children) (NI) Order 1998 places reporting restrictions for minors in post-charge and court scenarios, but not for minors who are pre-charge.</w:t>
      </w:r>
    </w:p>
    <w:p w14:paraId="05FDA3A0" w14:textId="77777777" w:rsidR="00001CBB" w:rsidRDefault="00001CBB" w:rsidP="00412E09">
      <w:pPr>
        <w:pStyle w:val="ListParagraph"/>
        <w:ind w:left="851" w:hanging="862"/>
      </w:pPr>
    </w:p>
    <w:p w14:paraId="0A401C09" w14:textId="32CC7327" w:rsidR="004C371F" w:rsidRPr="0024785E" w:rsidRDefault="00134DA1" w:rsidP="00412E09">
      <w:pPr>
        <w:pStyle w:val="ListParagraph"/>
        <w:numPr>
          <w:ilvl w:val="1"/>
          <w:numId w:val="86"/>
        </w:numPr>
        <w:ind w:left="851" w:hanging="862"/>
        <w:rPr>
          <w:b/>
        </w:rPr>
      </w:pPr>
      <w:r>
        <w:rPr>
          <w:rFonts w:cs="Helvetica"/>
          <w:b/>
          <w:shd w:val="clear" w:color="auto" w:fill="FFFFFF"/>
        </w:rPr>
        <w:t>The Committee may wish to recommend</w:t>
      </w:r>
      <w:r w:rsidR="006A52FA" w:rsidRPr="0024785E">
        <w:rPr>
          <w:rFonts w:cs="Helvetica"/>
          <w:b/>
          <w:shd w:val="clear" w:color="auto" w:fill="FFFFFF"/>
        </w:rPr>
        <w:t xml:space="preserve"> that the </w:t>
      </w:r>
      <w:r w:rsidR="008C7A21">
        <w:rPr>
          <w:rFonts w:cs="Helvetica"/>
          <w:b/>
          <w:shd w:val="clear" w:color="auto" w:fill="FFFFFF"/>
        </w:rPr>
        <w:t>State Party</w:t>
      </w:r>
      <w:r w:rsidR="006A52FA" w:rsidRPr="0024785E">
        <w:rPr>
          <w:rFonts w:cs="Helvetica"/>
          <w:b/>
          <w:shd w:val="clear" w:color="auto" w:fill="FFFFFF"/>
        </w:rPr>
        <w:t xml:space="preserve"> </w:t>
      </w:r>
      <w:r w:rsidR="006F5F71" w:rsidRPr="0024785E">
        <w:rPr>
          <w:rFonts w:cs="Helvetica"/>
          <w:b/>
          <w:shd w:val="clear" w:color="auto" w:fill="FFFFFF"/>
        </w:rPr>
        <w:t>ensure</w:t>
      </w:r>
      <w:r w:rsidR="00FA5182">
        <w:rPr>
          <w:rFonts w:cs="Helvetica"/>
          <w:b/>
          <w:shd w:val="clear" w:color="auto" w:fill="FFFFFF"/>
        </w:rPr>
        <w:t>s</w:t>
      </w:r>
      <w:r w:rsidR="006F5F71" w:rsidRPr="0024785E">
        <w:rPr>
          <w:rFonts w:cs="Helvetica"/>
          <w:b/>
          <w:shd w:val="clear" w:color="auto" w:fill="FFFFFF"/>
        </w:rPr>
        <w:t xml:space="preserve"> </w:t>
      </w:r>
      <w:r w:rsidR="004C371F" w:rsidRPr="0024785E">
        <w:rPr>
          <w:b/>
        </w:rPr>
        <w:t xml:space="preserve">all children </w:t>
      </w:r>
      <w:r w:rsidR="00856A5D">
        <w:rPr>
          <w:b/>
        </w:rPr>
        <w:t>in NI</w:t>
      </w:r>
      <w:r w:rsidR="00FA5182">
        <w:rPr>
          <w:b/>
        </w:rPr>
        <w:t xml:space="preserve"> </w:t>
      </w:r>
      <w:r w:rsidR="004C371F" w:rsidRPr="0024785E">
        <w:rPr>
          <w:b/>
        </w:rPr>
        <w:t xml:space="preserve">allegedly involved in an offence are granted anonymity at every </w:t>
      </w:r>
      <w:r w:rsidR="00001CBB" w:rsidRPr="0024785E">
        <w:rPr>
          <w:b/>
        </w:rPr>
        <w:t>stage of the criminal justice process</w:t>
      </w:r>
      <w:r w:rsidR="00253C45" w:rsidRPr="0024785E">
        <w:rPr>
          <w:b/>
        </w:rPr>
        <w:t>, including the pre-charge stages</w:t>
      </w:r>
      <w:r w:rsidR="00676B44" w:rsidRPr="0024785E">
        <w:rPr>
          <w:b/>
        </w:rPr>
        <w:t>.</w:t>
      </w:r>
      <w:r w:rsidR="00FA5182">
        <w:rPr>
          <w:b/>
        </w:rPr>
        <w:t xml:space="preserve"> This includes </w:t>
      </w:r>
      <w:r w:rsidR="00D4341B">
        <w:rPr>
          <w:b/>
        </w:rPr>
        <w:t>implementing the necessary amendments to</w:t>
      </w:r>
      <w:r w:rsidR="00FA5182" w:rsidRPr="0024785E">
        <w:rPr>
          <w:rFonts w:cs="Helvetica"/>
          <w:b/>
          <w:shd w:val="clear" w:color="auto" w:fill="FFFFFF"/>
        </w:rPr>
        <w:t xml:space="preserve"> </w:t>
      </w:r>
      <w:r w:rsidR="001652CB">
        <w:rPr>
          <w:rFonts w:cs="Helvetica"/>
          <w:b/>
          <w:shd w:val="clear" w:color="auto" w:fill="FFFFFF"/>
        </w:rPr>
        <w:t>the Criminal Justice (Children) (NI) Order</w:t>
      </w:r>
      <w:r w:rsidR="00FA5182">
        <w:rPr>
          <w:rFonts w:cs="Helvetica"/>
          <w:b/>
          <w:shd w:val="clear" w:color="auto" w:fill="FFFFFF"/>
        </w:rPr>
        <w:t>.</w:t>
      </w:r>
    </w:p>
    <w:p w14:paraId="68589306" w14:textId="290D2AC4" w:rsidR="00CA61B1" w:rsidRPr="00587912" w:rsidRDefault="00CA61B1" w:rsidP="00412E09">
      <w:pPr>
        <w:ind w:left="851" w:hanging="862"/>
      </w:pPr>
    </w:p>
    <w:p w14:paraId="4678BBAA" w14:textId="6F23A483" w:rsidR="00CE0ACB" w:rsidRPr="00587912" w:rsidRDefault="00A80FD9" w:rsidP="00412E09">
      <w:pPr>
        <w:pStyle w:val="Heading1"/>
        <w:spacing w:before="0"/>
        <w:ind w:left="851" w:hanging="862"/>
      </w:pPr>
      <w:bookmarkStart w:id="25" w:name="_Toc121922189"/>
      <w:r>
        <w:t>9</w:t>
      </w:r>
      <w:r w:rsidR="008A44E7">
        <w:t>.0</w:t>
      </w:r>
      <w:r w:rsidR="008A44E7">
        <w:tab/>
        <w:t>Article 18 – Childc</w:t>
      </w:r>
      <w:r w:rsidR="008A44E7" w:rsidRPr="00587912">
        <w:t>are</w:t>
      </w:r>
      <w:r w:rsidR="008A44E7">
        <w:t xml:space="preserve"> Services</w:t>
      </w:r>
      <w:bookmarkEnd w:id="25"/>
    </w:p>
    <w:p w14:paraId="4C91E6E7" w14:textId="6CC621CC" w:rsidR="00033C9F" w:rsidRPr="00D4341B" w:rsidRDefault="00717867" w:rsidP="00412E09">
      <w:pPr>
        <w:pStyle w:val="Heading2"/>
        <w:ind w:left="851" w:hanging="862"/>
        <w:rPr>
          <w:szCs w:val="22"/>
        </w:rPr>
      </w:pPr>
      <w:bookmarkStart w:id="26" w:name="_Toc121922190"/>
      <w:r>
        <w:rPr>
          <w:szCs w:val="22"/>
        </w:rPr>
        <w:t>Childcare provision</w:t>
      </w:r>
      <w:bookmarkEnd w:id="26"/>
    </w:p>
    <w:p w14:paraId="3A2BE96D" w14:textId="77777777" w:rsidR="00717867" w:rsidRPr="00717867" w:rsidRDefault="00717867" w:rsidP="00412E09">
      <w:pPr>
        <w:pStyle w:val="ListParagraph"/>
        <w:numPr>
          <w:ilvl w:val="0"/>
          <w:numId w:val="86"/>
        </w:numPr>
        <w:ind w:left="851" w:hanging="862"/>
        <w:rPr>
          <w:vanish/>
        </w:rPr>
      </w:pPr>
    </w:p>
    <w:p w14:paraId="6DE1B707" w14:textId="77777777" w:rsidR="0022341D" w:rsidRPr="0022341D" w:rsidRDefault="009C1EA9" w:rsidP="00412E09">
      <w:pPr>
        <w:pStyle w:val="ListParagraph"/>
        <w:numPr>
          <w:ilvl w:val="1"/>
          <w:numId w:val="86"/>
        </w:numPr>
        <w:ind w:left="851" w:hanging="862"/>
        <w:rPr>
          <w:rFonts w:eastAsia="Verdana" w:cs="Verdana"/>
          <w:color w:val="000000"/>
        </w:rPr>
      </w:pPr>
      <w:r w:rsidRPr="009C1EA9">
        <w:rPr>
          <w:color w:val="000000"/>
        </w:rPr>
        <w:t>In 2021, the average cost of a full-time childcare place in NI was £170 per week. The average cost for a day nursery per week is £186, and £166 per week for a childminder.</w:t>
      </w:r>
      <w:r>
        <w:rPr>
          <w:rStyle w:val="FootnoteReference"/>
        </w:rPr>
        <w:footnoteReference w:id="72"/>
      </w:r>
      <w:r w:rsidRPr="009C1EA9">
        <w:rPr>
          <w:color w:val="000000"/>
        </w:rPr>
        <w:t xml:space="preserve"> 54 per cent of families report challenges in accessing the formal childcare they need and raise issues of cost, </w:t>
      </w:r>
      <w:proofErr w:type="gramStart"/>
      <w:r w:rsidRPr="009C1EA9">
        <w:rPr>
          <w:color w:val="000000"/>
        </w:rPr>
        <w:t>flexibility</w:t>
      </w:r>
      <w:proofErr w:type="gramEnd"/>
      <w:r w:rsidRPr="009C1EA9">
        <w:rPr>
          <w:color w:val="000000"/>
        </w:rPr>
        <w:t xml:space="preserve"> and accessibility.</w:t>
      </w:r>
      <w:r>
        <w:rPr>
          <w:rStyle w:val="FootnoteReference"/>
        </w:rPr>
        <w:footnoteReference w:id="73"/>
      </w:r>
    </w:p>
    <w:p w14:paraId="5956B714" w14:textId="0A8365B6" w:rsidR="00717867" w:rsidRDefault="00717867" w:rsidP="00412E09">
      <w:pPr>
        <w:pStyle w:val="ListParagraph"/>
        <w:ind w:left="851" w:hanging="862"/>
        <w:rPr>
          <w:rFonts w:eastAsia="Verdana" w:cs="Verdana"/>
          <w:color w:val="000000"/>
        </w:rPr>
      </w:pPr>
      <w:r w:rsidRPr="00717867">
        <w:rPr>
          <w:rFonts w:eastAsia="Verdana" w:cs="Verdana"/>
          <w:color w:val="000000"/>
        </w:rPr>
        <w:t xml:space="preserve">    </w:t>
      </w:r>
    </w:p>
    <w:p w14:paraId="4BD0CE6D" w14:textId="2E5EB2E8" w:rsidR="003C7501" w:rsidRDefault="000F627D" w:rsidP="00412E09">
      <w:pPr>
        <w:pStyle w:val="ListParagraph"/>
        <w:numPr>
          <w:ilvl w:val="1"/>
          <w:numId w:val="86"/>
        </w:numPr>
        <w:ind w:left="851" w:hanging="862"/>
        <w:rPr>
          <w:rFonts w:eastAsia="Verdana" w:cs="Verdana"/>
          <w:color w:val="000000"/>
        </w:rPr>
      </w:pPr>
      <w:r>
        <w:rPr>
          <w:rFonts w:eastAsia="Verdana" w:cs="Verdana"/>
          <w:color w:val="000000"/>
        </w:rPr>
        <w:t>In 2020, t</w:t>
      </w:r>
      <w:r w:rsidR="00253C45" w:rsidRPr="00F47C2A">
        <w:rPr>
          <w:rFonts w:eastAsia="Verdana" w:cs="Verdana"/>
          <w:color w:val="000000"/>
        </w:rPr>
        <w:t xml:space="preserve">he </w:t>
      </w:r>
      <w:r>
        <w:rPr>
          <w:rFonts w:eastAsia="Verdana" w:cs="Verdana"/>
          <w:color w:val="000000"/>
        </w:rPr>
        <w:t>NI Executive</w:t>
      </w:r>
      <w:r w:rsidR="00253C45" w:rsidRPr="00F47C2A">
        <w:rPr>
          <w:rFonts w:eastAsia="Verdana" w:cs="Verdana"/>
          <w:color w:val="000000"/>
        </w:rPr>
        <w:t xml:space="preserve"> committed to giving “immediate priority to developing arrangements to deliver extended, affordable, responsive, high quality provision of early education and care initiatives for families with children aged 3-4”.</w:t>
      </w:r>
      <w:r w:rsidR="00253C45" w:rsidRPr="006473CF">
        <w:rPr>
          <w:rStyle w:val="FootnoteReference"/>
        </w:rPr>
        <w:footnoteReference w:id="74"/>
      </w:r>
      <w:r w:rsidR="004A60B1">
        <w:rPr>
          <w:rFonts w:eastAsia="Verdana" w:cs="Verdana"/>
          <w:color w:val="000000"/>
        </w:rPr>
        <w:t xml:space="preserve"> Yet there remains </w:t>
      </w:r>
      <w:r w:rsidR="00717867" w:rsidRPr="00717867">
        <w:rPr>
          <w:rFonts w:eastAsia="Verdana" w:cs="Verdana"/>
          <w:color w:val="000000"/>
        </w:rPr>
        <w:t xml:space="preserve">no statutory duty </w:t>
      </w:r>
      <w:r w:rsidR="00253C45">
        <w:rPr>
          <w:rFonts w:eastAsia="Verdana" w:cs="Verdana"/>
          <w:color w:val="000000"/>
        </w:rPr>
        <w:t xml:space="preserve">in NI </w:t>
      </w:r>
      <w:r w:rsidR="00717867" w:rsidRPr="00717867">
        <w:rPr>
          <w:rFonts w:eastAsia="Verdana" w:cs="Verdana"/>
          <w:color w:val="000000"/>
        </w:rPr>
        <w:t>akin to that on local and public authorities in England, Scotland and Wales to provide adequate childcare provision.</w:t>
      </w:r>
      <w:r w:rsidR="00AA1516">
        <w:rPr>
          <w:rStyle w:val="FootnoteReference"/>
          <w:rFonts w:eastAsia="Verdana" w:cs="Verdana"/>
          <w:color w:val="000000"/>
        </w:rPr>
        <w:footnoteReference w:id="75"/>
      </w:r>
      <w:r w:rsidR="00717867" w:rsidRPr="00717867">
        <w:rPr>
          <w:rFonts w:eastAsia="Verdana" w:cs="Verdana"/>
          <w:color w:val="000000"/>
        </w:rPr>
        <w:t xml:space="preserve"> The scheme implemented in England whereby all working parents of 3 and 4 year olds have access to up to 570 hours free childcare per year has not been implemented in NI.</w:t>
      </w:r>
      <w:r w:rsidR="009B72A1">
        <w:rPr>
          <w:rStyle w:val="FootnoteReference"/>
        </w:rPr>
        <w:footnoteReference w:id="76"/>
      </w:r>
      <w:r w:rsidR="00717867" w:rsidRPr="00717867">
        <w:rPr>
          <w:rFonts w:eastAsia="Verdana" w:cs="Verdana"/>
          <w:color w:val="000000"/>
        </w:rPr>
        <w:t xml:space="preserve"> A separate scheme providing up to 30 hours free childcare for 3 to 4 year olds per week is available in England for working parents that earn a certain amount.</w:t>
      </w:r>
      <w:r w:rsidR="00EC1E58">
        <w:rPr>
          <w:rStyle w:val="FootnoteReference"/>
        </w:rPr>
        <w:footnoteReference w:id="77"/>
      </w:r>
      <w:r w:rsidR="00717867" w:rsidRPr="00717867">
        <w:rPr>
          <w:rFonts w:eastAsia="Verdana" w:cs="Verdana"/>
          <w:color w:val="000000"/>
        </w:rPr>
        <w:t xml:space="preserve"> This scheme is not available in NI.</w:t>
      </w:r>
    </w:p>
    <w:p w14:paraId="248C007E" w14:textId="77777777" w:rsidR="003C7501" w:rsidRPr="003C7501" w:rsidRDefault="003C7501" w:rsidP="00412E09">
      <w:pPr>
        <w:pStyle w:val="ListParagraph"/>
        <w:ind w:left="851" w:hanging="862"/>
        <w:rPr>
          <w:rFonts w:eastAsia="Verdana" w:cs="Verdana"/>
          <w:color w:val="000000"/>
        </w:rPr>
      </w:pPr>
    </w:p>
    <w:p w14:paraId="1E2F3108" w14:textId="0BD99338" w:rsidR="000F627D" w:rsidRPr="003A3E65" w:rsidRDefault="00D640B7" w:rsidP="00412E09">
      <w:pPr>
        <w:pStyle w:val="ListParagraph"/>
        <w:numPr>
          <w:ilvl w:val="1"/>
          <w:numId w:val="86"/>
        </w:numPr>
        <w:ind w:left="851" w:hanging="862"/>
        <w:rPr>
          <w:rFonts w:eastAsia="Verdana" w:cs="Verdana"/>
          <w:color w:val="000000"/>
        </w:rPr>
      </w:pPr>
      <w:r w:rsidRPr="003C7501">
        <w:rPr>
          <w:rFonts w:eastAsia="Verdana" w:cs="Verdana"/>
          <w:color w:val="000000"/>
        </w:rPr>
        <w:t xml:space="preserve">While there is no free childcare scheme in NI, there is provision of funded </w:t>
      </w:r>
      <w:r w:rsidR="000D576B" w:rsidRPr="003C7501">
        <w:rPr>
          <w:rFonts w:eastAsia="Verdana" w:cs="Verdana"/>
          <w:color w:val="000000"/>
        </w:rPr>
        <w:t xml:space="preserve">pre-school education </w:t>
      </w:r>
      <w:r w:rsidR="00203422" w:rsidRPr="003C7501">
        <w:rPr>
          <w:rFonts w:eastAsia="Verdana" w:cs="Verdana"/>
          <w:color w:val="000000"/>
        </w:rPr>
        <w:t xml:space="preserve">for </w:t>
      </w:r>
      <w:proofErr w:type="gramStart"/>
      <w:r w:rsidR="00061AC6" w:rsidRPr="003C7501">
        <w:rPr>
          <w:rFonts w:eastAsia="Verdana" w:cs="Verdana"/>
          <w:color w:val="000000"/>
        </w:rPr>
        <w:t>3 to 4 year olds</w:t>
      </w:r>
      <w:proofErr w:type="gramEnd"/>
      <w:r w:rsidR="00061AC6" w:rsidRPr="003C7501">
        <w:rPr>
          <w:rFonts w:eastAsia="Verdana" w:cs="Verdana"/>
          <w:color w:val="000000"/>
        </w:rPr>
        <w:t xml:space="preserve"> </w:t>
      </w:r>
      <w:r w:rsidR="00692ED7">
        <w:rPr>
          <w:rFonts w:eastAsia="Verdana" w:cs="Verdana"/>
          <w:color w:val="000000"/>
        </w:rPr>
        <w:t>one</w:t>
      </w:r>
      <w:r w:rsidR="00061AC6" w:rsidRPr="003C7501">
        <w:rPr>
          <w:rFonts w:eastAsia="Verdana" w:cs="Verdana"/>
          <w:color w:val="000000"/>
        </w:rPr>
        <w:t xml:space="preserve"> </w:t>
      </w:r>
      <w:r w:rsidR="007E336E" w:rsidRPr="003C7501">
        <w:rPr>
          <w:rFonts w:eastAsia="Verdana" w:cs="Verdana"/>
          <w:color w:val="000000"/>
        </w:rPr>
        <w:t xml:space="preserve">year before they start primary school. </w:t>
      </w:r>
      <w:r w:rsidR="003C7501" w:rsidRPr="003C7501">
        <w:rPr>
          <w:color w:val="000000"/>
        </w:rPr>
        <w:t xml:space="preserve">Parents and carers in NI can </w:t>
      </w:r>
      <w:r w:rsidR="003A3E65">
        <w:rPr>
          <w:color w:val="000000"/>
        </w:rPr>
        <w:t xml:space="preserve">also </w:t>
      </w:r>
      <w:r w:rsidR="003C7501" w:rsidRPr="003C7501">
        <w:rPr>
          <w:color w:val="000000"/>
        </w:rPr>
        <w:t>apply to the UK-wide Tax-Free Childcare scheme.</w:t>
      </w:r>
      <w:r w:rsidR="003C7501">
        <w:rPr>
          <w:rStyle w:val="FootnoteReference"/>
        </w:rPr>
        <w:footnoteReference w:id="78"/>
      </w:r>
      <w:r w:rsidR="003C7501" w:rsidRPr="003C7501">
        <w:rPr>
          <w:color w:val="000000"/>
        </w:rPr>
        <w:t xml:space="preserve"> In 2021/2022, there were 11,050 accounts in NI using this scheme, an increase from 7,425 in 2020/2021. This is the highest growth of childcare account usage across the UK</w:t>
      </w:r>
      <w:r w:rsidR="00D36253">
        <w:rPr>
          <w:color w:val="000000"/>
        </w:rPr>
        <w:t>.</w:t>
      </w:r>
      <w:r w:rsidR="003C7501">
        <w:rPr>
          <w:rStyle w:val="FootnoteReference"/>
        </w:rPr>
        <w:footnoteReference w:id="79"/>
      </w:r>
      <w:r w:rsidR="0026179D">
        <w:rPr>
          <w:color w:val="000000"/>
        </w:rPr>
        <w:t xml:space="preserve"> </w:t>
      </w:r>
    </w:p>
    <w:p w14:paraId="44B29930" w14:textId="32D9EF71" w:rsidR="00F47C2A" w:rsidRPr="00676747" w:rsidRDefault="00F47C2A" w:rsidP="00412E09">
      <w:pPr>
        <w:ind w:left="851" w:hanging="862"/>
        <w:rPr>
          <w:rFonts w:eastAsia="Verdana" w:cs="Verdana"/>
          <w:color w:val="000000"/>
        </w:rPr>
      </w:pPr>
    </w:p>
    <w:p w14:paraId="4AAF44CF" w14:textId="66D3C101" w:rsidR="00F47C2A" w:rsidRPr="00F47C2A" w:rsidRDefault="00134DA1" w:rsidP="00412E09">
      <w:pPr>
        <w:pStyle w:val="ListParagraph"/>
        <w:numPr>
          <w:ilvl w:val="1"/>
          <w:numId w:val="86"/>
        </w:numPr>
        <w:ind w:left="851" w:hanging="862"/>
        <w:rPr>
          <w:rFonts w:eastAsia="Verdana" w:cs="Verdana"/>
          <w:b/>
          <w:color w:val="000000"/>
        </w:rPr>
      </w:pPr>
      <w:r>
        <w:rPr>
          <w:rFonts w:eastAsia="Verdana" w:cs="Verdana"/>
          <w:b/>
          <w:color w:val="000000"/>
        </w:rPr>
        <w:t>The Committee may wish to recommend</w:t>
      </w:r>
      <w:r w:rsidR="00E26578">
        <w:rPr>
          <w:rFonts w:eastAsia="Verdana" w:cs="Verdana"/>
          <w:b/>
          <w:color w:val="000000"/>
        </w:rPr>
        <w:t xml:space="preserve"> that the </w:t>
      </w:r>
      <w:r w:rsidR="00FF328E">
        <w:rPr>
          <w:rFonts w:eastAsia="Verdana" w:cs="Verdana"/>
          <w:b/>
          <w:color w:val="000000"/>
        </w:rPr>
        <w:t>State Party</w:t>
      </w:r>
      <w:r w:rsidR="00E26578">
        <w:rPr>
          <w:rFonts w:eastAsia="Verdana" w:cs="Verdana"/>
          <w:b/>
          <w:color w:val="000000"/>
        </w:rPr>
        <w:t xml:space="preserve"> </w:t>
      </w:r>
      <w:r w:rsidR="003662FC">
        <w:rPr>
          <w:rFonts w:eastAsia="Verdana" w:cs="Verdana"/>
          <w:b/>
          <w:color w:val="000000"/>
        </w:rPr>
        <w:t>ensure</w:t>
      </w:r>
      <w:r w:rsidR="00FF328E">
        <w:rPr>
          <w:rFonts w:eastAsia="Verdana" w:cs="Verdana"/>
          <w:b/>
          <w:color w:val="000000"/>
        </w:rPr>
        <w:t>s</w:t>
      </w:r>
      <w:r w:rsidR="003662FC">
        <w:rPr>
          <w:rFonts w:eastAsia="Verdana" w:cs="Verdana"/>
          <w:b/>
          <w:color w:val="000000"/>
        </w:rPr>
        <w:t xml:space="preserve"> early education and chi</w:t>
      </w:r>
      <w:r w:rsidR="00EF1E92">
        <w:rPr>
          <w:rFonts w:eastAsia="Verdana" w:cs="Verdana"/>
          <w:b/>
          <w:color w:val="000000"/>
        </w:rPr>
        <w:t xml:space="preserve">ldcare provision </w:t>
      </w:r>
      <w:r w:rsidR="00F902A4">
        <w:rPr>
          <w:rFonts w:eastAsia="Verdana" w:cs="Verdana"/>
          <w:b/>
          <w:color w:val="000000"/>
        </w:rPr>
        <w:t xml:space="preserve">is </w:t>
      </w:r>
      <w:r w:rsidR="00F902A4" w:rsidRPr="000C775D">
        <w:rPr>
          <w:rFonts w:eastAsia="Verdana" w:cs="Verdana"/>
          <w:b/>
          <w:color w:val="000000"/>
        </w:rPr>
        <w:t>affordable</w:t>
      </w:r>
      <w:r w:rsidR="000C775D" w:rsidRPr="000C775D">
        <w:rPr>
          <w:rFonts w:eastAsia="Verdana" w:cs="Verdana"/>
          <w:b/>
          <w:color w:val="000000"/>
        </w:rPr>
        <w:t xml:space="preserve">, </w:t>
      </w:r>
      <w:proofErr w:type="gramStart"/>
      <w:r w:rsidR="000C775D" w:rsidRPr="000C775D">
        <w:rPr>
          <w:rFonts w:eastAsia="Verdana" w:cs="Verdana"/>
          <w:b/>
          <w:color w:val="000000"/>
        </w:rPr>
        <w:t>responsive</w:t>
      </w:r>
      <w:proofErr w:type="gramEnd"/>
      <w:r w:rsidR="00EF1E92">
        <w:rPr>
          <w:rFonts w:eastAsia="Verdana" w:cs="Verdana"/>
          <w:b/>
          <w:color w:val="000000"/>
        </w:rPr>
        <w:t xml:space="preserve"> and</w:t>
      </w:r>
      <w:r w:rsidR="000C775D" w:rsidRPr="000C775D">
        <w:rPr>
          <w:rFonts w:eastAsia="Verdana" w:cs="Verdana"/>
          <w:b/>
          <w:color w:val="000000"/>
        </w:rPr>
        <w:t xml:space="preserve"> high-quality</w:t>
      </w:r>
      <w:r w:rsidR="00F06D38">
        <w:rPr>
          <w:rFonts w:eastAsia="Verdana" w:cs="Verdana"/>
          <w:b/>
          <w:color w:val="000000"/>
        </w:rPr>
        <w:t xml:space="preserve"> </w:t>
      </w:r>
      <w:r w:rsidR="007F7FAA">
        <w:rPr>
          <w:rFonts w:eastAsia="Verdana" w:cs="Verdana"/>
          <w:b/>
          <w:color w:val="000000"/>
        </w:rPr>
        <w:t>in NI</w:t>
      </w:r>
      <w:r w:rsidR="001B6A09">
        <w:rPr>
          <w:rFonts w:eastAsia="Verdana" w:cs="Verdana"/>
          <w:b/>
          <w:color w:val="000000"/>
        </w:rPr>
        <w:t xml:space="preserve">. </w:t>
      </w:r>
      <w:r w:rsidR="0016315B">
        <w:rPr>
          <w:rFonts w:eastAsia="Verdana" w:cs="Verdana"/>
          <w:b/>
          <w:color w:val="000000"/>
        </w:rPr>
        <w:t>T</w:t>
      </w:r>
      <w:r w:rsidR="00480F46">
        <w:rPr>
          <w:rFonts w:eastAsia="Verdana" w:cs="Verdana"/>
          <w:b/>
          <w:color w:val="000000"/>
        </w:rPr>
        <w:t xml:space="preserve">his includes introducing statutory arrangements in NI to extend </w:t>
      </w:r>
      <w:r w:rsidR="00B94532">
        <w:rPr>
          <w:rFonts w:eastAsia="Verdana" w:cs="Verdana"/>
          <w:b/>
          <w:color w:val="000000"/>
        </w:rPr>
        <w:t>and enhance early education and childcare initiatives</w:t>
      </w:r>
      <w:r w:rsidR="0016315B">
        <w:rPr>
          <w:rFonts w:eastAsia="Verdana" w:cs="Verdana"/>
          <w:b/>
          <w:color w:val="000000"/>
        </w:rPr>
        <w:t>, using</w:t>
      </w:r>
      <w:r w:rsidR="0016315B" w:rsidRPr="000C775D">
        <w:rPr>
          <w:rFonts w:eastAsia="Verdana" w:cs="Verdana"/>
          <w:b/>
          <w:color w:val="000000"/>
        </w:rPr>
        <w:t xml:space="preserve"> the provision available in other parts of the UK as a starting point</w:t>
      </w:r>
      <w:r w:rsidR="0016315B">
        <w:rPr>
          <w:rFonts w:eastAsia="Verdana" w:cs="Verdana"/>
          <w:b/>
          <w:color w:val="000000"/>
        </w:rPr>
        <w:t xml:space="preserve">. </w:t>
      </w:r>
    </w:p>
    <w:p w14:paraId="1E11A2A3" w14:textId="77777777" w:rsidR="00F47C2A" w:rsidRPr="00F47C2A" w:rsidRDefault="00F47C2A" w:rsidP="00412E09">
      <w:pPr>
        <w:pStyle w:val="ListParagraph"/>
        <w:ind w:left="851" w:hanging="862"/>
        <w:rPr>
          <w:rFonts w:eastAsia="Verdana" w:cs="Verdana"/>
          <w:b/>
          <w:color w:val="000000"/>
        </w:rPr>
      </w:pPr>
    </w:p>
    <w:p w14:paraId="73F71776" w14:textId="591328AE" w:rsidR="00F47C2A" w:rsidRPr="00F06D38" w:rsidRDefault="00F47C2A" w:rsidP="00412E09">
      <w:pPr>
        <w:pStyle w:val="Heading2"/>
        <w:ind w:left="851" w:hanging="862"/>
        <w:rPr>
          <w:rFonts w:eastAsia="Verdana"/>
        </w:rPr>
      </w:pPr>
      <w:bookmarkStart w:id="27" w:name="_Toc121922191"/>
      <w:r>
        <w:rPr>
          <w:rFonts w:eastAsia="Verdana"/>
        </w:rPr>
        <w:t xml:space="preserve">Childcare </w:t>
      </w:r>
      <w:r w:rsidR="00F54280">
        <w:rPr>
          <w:rFonts w:eastAsia="Verdana"/>
        </w:rPr>
        <w:t>s</w:t>
      </w:r>
      <w:r>
        <w:rPr>
          <w:rFonts w:eastAsia="Verdana"/>
        </w:rPr>
        <w:t>trategy</w:t>
      </w:r>
      <w:bookmarkEnd w:id="27"/>
    </w:p>
    <w:p w14:paraId="36EA302D" w14:textId="7D8077FF" w:rsidR="00F47C2A" w:rsidRPr="00A72BE6" w:rsidRDefault="00F47C2A" w:rsidP="00412E09">
      <w:pPr>
        <w:pStyle w:val="ListParagraph"/>
        <w:numPr>
          <w:ilvl w:val="1"/>
          <w:numId w:val="86"/>
        </w:numPr>
        <w:ind w:left="851" w:hanging="862"/>
        <w:rPr>
          <w:rFonts w:eastAsia="Verdana" w:cs="Verdana"/>
          <w:color w:val="000000"/>
        </w:rPr>
      </w:pPr>
      <w:r w:rsidRPr="00F47C2A">
        <w:rPr>
          <w:rFonts w:eastAsia="Verdana" w:cs="Verdana"/>
          <w:color w:val="000000"/>
        </w:rPr>
        <w:t xml:space="preserve">The last and only childcare strategy for </w:t>
      </w:r>
      <w:r w:rsidR="00A502E8">
        <w:rPr>
          <w:rFonts w:eastAsia="Verdana" w:cs="Verdana"/>
          <w:color w:val="000000"/>
        </w:rPr>
        <w:t>NI</w:t>
      </w:r>
      <w:r w:rsidRPr="00F47C2A">
        <w:rPr>
          <w:rFonts w:eastAsia="Verdana" w:cs="Verdana"/>
          <w:color w:val="000000"/>
        </w:rPr>
        <w:t xml:space="preserve"> expired in 1992</w:t>
      </w:r>
      <w:r w:rsidR="00D32654">
        <w:rPr>
          <w:rFonts w:eastAsia="Verdana" w:cs="Verdana"/>
          <w:color w:val="000000"/>
        </w:rPr>
        <w:t>.</w:t>
      </w:r>
      <w:r w:rsidR="00414166">
        <w:rPr>
          <w:rStyle w:val="FootnoteReference"/>
          <w:rFonts w:eastAsia="Verdana" w:cs="Verdana"/>
          <w:color w:val="000000"/>
        </w:rPr>
        <w:footnoteReference w:id="80"/>
      </w:r>
      <w:r w:rsidR="00183229">
        <w:rPr>
          <w:rFonts w:eastAsia="Verdana" w:cs="Verdana"/>
          <w:color w:val="000000"/>
        </w:rPr>
        <w:t xml:space="preserve"> </w:t>
      </w:r>
      <w:r w:rsidR="00A555E2" w:rsidRPr="00A72BE6">
        <w:rPr>
          <w:color w:val="000000"/>
        </w:rPr>
        <w:t xml:space="preserve">In 2020, the NI Executive committed to </w:t>
      </w:r>
      <w:r w:rsidR="0083489B">
        <w:rPr>
          <w:color w:val="000000"/>
        </w:rPr>
        <w:t>developing</w:t>
      </w:r>
      <w:r w:rsidR="0083489B" w:rsidRPr="00A72BE6">
        <w:rPr>
          <w:color w:val="000000"/>
        </w:rPr>
        <w:t xml:space="preserve"> </w:t>
      </w:r>
      <w:r w:rsidR="00A555E2" w:rsidRPr="00A72BE6">
        <w:rPr>
          <w:color w:val="000000"/>
        </w:rPr>
        <w:t>a new Childcare Strategy.</w:t>
      </w:r>
      <w:r w:rsidR="00A555E2">
        <w:rPr>
          <w:rStyle w:val="FootnoteReference"/>
          <w:color w:val="000000"/>
        </w:rPr>
        <w:footnoteReference w:id="81"/>
      </w:r>
      <w:r w:rsidR="00A555E2" w:rsidRPr="00A72BE6">
        <w:rPr>
          <w:color w:val="000000"/>
        </w:rPr>
        <w:t xml:space="preserve"> </w:t>
      </w:r>
      <w:r w:rsidR="0083489B">
        <w:rPr>
          <w:color w:val="000000"/>
        </w:rPr>
        <w:t>However, progress</w:t>
      </w:r>
      <w:r w:rsidR="00A555E2" w:rsidRPr="00A72BE6">
        <w:rPr>
          <w:color w:val="000000"/>
        </w:rPr>
        <w:t xml:space="preserve"> has been significantly delayed.</w:t>
      </w:r>
      <w:r w:rsidR="00A555E2">
        <w:rPr>
          <w:rStyle w:val="FootnoteReference"/>
        </w:rPr>
        <w:footnoteReference w:id="82"/>
      </w:r>
      <w:r w:rsidR="00A555E2" w:rsidRPr="00A72BE6">
        <w:rPr>
          <w:color w:val="000000"/>
        </w:rPr>
        <w:t xml:space="preserve"> Independent research reviewing childcare services in NI is underway and expected to be completed by end of the 2022.</w:t>
      </w:r>
      <w:r w:rsidR="00A555E2">
        <w:rPr>
          <w:rStyle w:val="FootnoteReference"/>
        </w:rPr>
        <w:footnoteReference w:id="83"/>
      </w:r>
      <w:r w:rsidR="00A555E2" w:rsidRPr="00A72BE6">
        <w:rPr>
          <w:color w:val="000000"/>
        </w:rPr>
        <w:t xml:space="preserve"> </w:t>
      </w:r>
    </w:p>
    <w:p w14:paraId="0AB8C58F" w14:textId="77777777" w:rsidR="00A72BE6" w:rsidRPr="00F47C2A" w:rsidRDefault="00A72BE6" w:rsidP="00412E09">
      <w:pPr>
        <w:pStyle w:val="ListParagraph"/>
        <w:ind w:left="851" w:hanging="862"/>
        <w:rPr>
          <w:rFonts w:eastAsia="Verdana" w:cs="Verdana"/>
          <w:color w:val="000000"/>
        </w:rPr>
      </w:pPr>
    </w:p>
    <w:p w14:paraId="10722D74" w14:textId="03511D67" w:rsidR="000E3869" w:rsidRPr="00051D6F" w:rsidRDefault="00134DA1" w:rsidP="00412E09">
      <w:pPr>
        <w:pStyle w:val="ListParagraph"/>
        <w:numPr>
          <w:ilvl w:val="1"/>
          <w:numId w:val="86"/>
        </w:numPr>
        <w:ind w:left="851" w:hanging="862"/>
        <w:rPr>
          <w:b/>
        </w:rPr>
      </w:pPr>
      <w:r w:rsidRPr="00051D6F">
        <w:rPr>
          <w:rFonts w:eastAsia="Verdana" w:cs="Verdana"/>
          <w:b/>
          <w:color w:val="000000"/>
        </w:rPr>
        <w:t>The Committee may wish to recommend</w:t>
      </w:r>
      <w:r w:rsidR="00FB5161" w:rsidRPr="00051D6F">
        <w:rPr>
          <w:rFonts w:eastAsia="Verdana" w:cs="Verdana"/>
          <w:b/>
          <w:color w:val="000000"/>
        </w:rPr>
        <w:t xml:space="preserve"> that the </w:t>
      </w:r>
      <w:r w:rsidR="00F06D38" w:rsidRPr="00051D6F">
        <w:rPr>
          <w:rFonts w:eastAsia="Verdana" w:cs="Verdana"/>
          <w:b/>
          <w:color w:val="000000"/>
        </w:rPr>
        <w:t xml:space="preserve">State Party </w:t>
      </w:r>
      <w:r w:rsidR="00FB5161" w:rsidRPr="00051D6F">
        <w:rPr>
          <w:rFonts w:eastAsia="Verdana" w:cs="Verdana"/>
          <w:b/>
          <w:color w:val="000000"/>
        </w:rPr>
        <w:t>ensure</w:t>
      </w:r>
      <w:r w:rsidR="00F06D38" w:rsidRPr="00051D6F">
        <w:rPr>
          <w:rFonts w:eastAsia="Verdana" w:cs="Verdana"/>
          <w:b/>
          <w:color w:val="000000"/>
        </w:rPr>
        <w:t>s</w:t>
      </w:r>
      <w:r w:rsidR="00FB5161" w:rsidRPr="00051D6F">
        <w:rPr>
          <w:rFonts w:eastAsia="Verdana" w:cs="Verdana"/>
          <w:b/>
          <w:color w:val="000000"/>
        </w:rPr>
        <w:t xml:space="preserve"> </w:t>
      </w:r>
      <w:r w:rsidR="004667F2" w:rsidRPr="00051D6F">
        <w:rPr>
          <w:rFonts w:eastAsia="Verdana" w:cs="Verdana"/>
          <w:b/>
          <w:color w:val="000000"/>
        </w:rPr>
        <w:t xml:space="preserve">that </w:t>
      </w:r>
      <w:r w:rsidR="000E3869" w:rsidRPr="00051D6F">
        <w:rPr>
          <w:b/>
        </w:rPr>
        <w:t>childcare-related policies and strategies are fully and effectively implemented</w:t>
      </w:r>
      <w:r w:rsidR="004945A8" w:rsidRPr="00051D6F">
        <w:rPr>
          <w:b/>
        </w:rPr>
        <w:t xml:space="preserve"> with</w:t>
      </w:r>
      <w:r w:rsidR="00051D6F" w:rsidRPr="00051D6F">
        <w:rPr>
          <w:b/>
        </w:rPr>
        <w:t xml:space="preserve"> ring-fenced</w:t>
      </w:r>
      <w:r w:rsidR="000E3869" w:rsidRPr="00051D6F">
        <w:rPr>
          <w:b/>
        </w:rPr>
        <w:t xml:space="preserve"> sufficient resources</w:t>
      </w:r>
      <w:r w:rsidR="007F7FAA">
        <w:rPr>
          <w:b/>
        </w:rPr>
        <w:t xml:space="preserve"> in NI</w:t>
      </w:r>
      <w:r w:rsidR="000E3869" w:rsidRPr="00051D6F">
        <w:rPr>
          <w:b/>
        </w:rPr>
        <w:t>.</w:t>
      </w:r>
      <w:r w:rsidR="004945A8" w:rsidRPr="00051D6F">
        <w:rPr>
          <w:b/>
        </w:rPr>
        <w:t xml:space="preserve"> This includes promptly publishing and funding a new childcare strategy for NI.</w:t>
      </w:r>
    </w:p>
    <w:p w14:paraId="5FA85F61" w14:textId="77777777" w:rsidR="00E57B16" w:rsidRDefault="00E57B16" w:rsidP="00412E09">
      <w:pPr>
        <w:ind w:left="851" w:hanging="862"/>
      </w:pPr>
    </w:p>
    <w:p w14:paraId="76FAFB79" w14:textId="716E0569" w:rsidR="00813B3A" w:rsidRPr="00587912" w:rsidRDefault="00A80FD9" w:rsidP="00412E09">
      <w:pPr>
        <w:pStyle w:val="Heading1"/>
        <w:spacing w:before="0" w:after="240" w:line="360" w:lineRule="auto"/>
        <w:ind w:left="851" w:hanging="862"/>
      </w:pPr>
      <w:bookmarkStart w:id="28" w:name="_Toc121922192"/>
      <w:r>
        <w:t>10</w:t>
      </w:r>
      <w:r w:rsidR="0091159B">
        <w:t>.0</w:t>
      </w:r>
      <w:r>
        <w:t xml:space="preserve"> </w:t>
      </w:r>
      <w:r w:rsidR="00033C9F" w:rsidRPr="00587912">
        <w:t>Article</w:t>
      </w:r>
      <w:r w:rsidR="005C7147" w:rsidRPr="00587912">
        <w:t>s</w:t>
      </w:r>
      <w:r w:rsidR="00033C9F" w:rsidRPr="00587912">
        <w:t xml:space="preserve"> 19</w:t>
      </w:r>
      <w:r w:rsidR="00FB6136" w:rsidRPr="00587912">
        <w:t xml:space="preserve"> </w:t>
      </w:r>
      <w:r w:rsidR="005C7147" w:rsidRPr="00587912">
        <w:t>and 37</w:t>
      </w:r>
      <w:r w:rsidR="00033C9F" w:rsidRPr="00587912">
        <w:t xml:space="preserve"> – </w:t>
      </w:r>
      <w:r w:rsidR="00AD252D" w:rsidRPr="00587912">
        <w:t xml:space="preserve">Torture, </w:t>
      </w:r>
      <w:r w:rsidR="0091159B">
        <w:t>A</w:t>
      </w:r>
      <w:r w:rsidR="00FB6136" w:rsidRPr="00587912">
        <w:t>buse</w:t>
      </w:r>
      <w:r w:rsidR="0091159B">
        <w:t xml:space="preserve"> and E</w:t>
      </w:r>
      <w:r w:rsidR="00AD252D" w:rsidRPr="00587912">
        <w:t>xploitation</w:t>
      </w:r>
      <w:bookmarkEnd w:id="28"/>
    </w:p>
    <w:p w14:paraId="35BD8F7C" w14:textId="5F7C0BAD" w:rsidR="00DD0EAA" w:rsidRPr="00BC3907" w:rsidRDefault="00DD0EAA" w:rsidP="00412E09">
      <w:pPr>
        <w:pStyle w:val="Heading2"/>
        <w:ind w:left="851" w:hanging="862"/>
        <w:rPr>
          <w:szCs w:val="22"/>
        </w:rPr>
      </w:pPr>
      <w:bookmarkStart w:id="29" w:name="_Toc121922193"/>
      <w:r w:rsidRPr="00587912">
        <w:rPr>
          <w:szCs w:val="22"/>
        </w:rPr>
        <w:t>Spit and bite guards</w:t>
      </w:r>
      <w:bookmarkEnd w:id="29"/>
    </w:p>
    <w:p w14:paraId="3CA748D2" w14:textId="77777777" w:rsidR="00587DE5" w:rsidRPr="00587DE5" w:rsidRDefault="00587DE5" w:rsidP="00412E09">
      <w:pPr>
        <w:pStyle w:val="ListParagraph"/>
        <w:numPr>
          <w:ilvl w:val="0"/>
          <w:numId w:val="86"/>
        </w:numPr>
        <w:ind w:left="851" w:hanging="862"/>
        <w:rPr>
          <w:rFonts w:eastAsia="Verdana" w:cs="Verdana"/>
          <w:vanish/>
          <w:color w:val="000000"/>
        </w:rPr>
      </w:pPr>
    </w:p>
    <w:p w14:paraId="2EAF1359" w14:textId="323C2696" w:rsidR="00122787" w:rsidRDefault="00077313" w:rsidP="00412E09">
      <w:pPr>
        <w:pStyle w:val="ListParagraph"/>
        <w:numPr>
          <w:ilvl w:val="1"/>
          <w:numId w:val="86"/>
        </w:numPr>
        <w:ind w:left="851" w:hanging="862"/>
        <w:rPr>
          <w:rFonts w:eastAsia="Verdana" w:cs="Verdana"/>
          <w:color w:val="000000"/>
        </w:rPr>
      </w:pPr>
      <w:r>
        <w:rPr>
          <w:color w:val="000000"/>
        </w:rPr>
        <w:t>In 2020, spit and bite guards were introduced as a temporary measure by the Police Service NI to protect officers working in specialist functions, such as the COVID-19 Response Teams, custody suites, cell vans and armed response, during the COVID-19 pandemic.</w:t>
      </w:r>
      <w:r>
        <w:rPr>
          <w:rStyle w:val="FootnoteReference"/>
        </w:rPr>
        <w:footnoteReference w:id="84"/>
      </w:r>
      <w:r>
        <w:rPr>
          <w:color w:val="000000"/>
        </w:rPr>
        <w:t xml:space="preserve"> </w:t>
      </w:r>
      <w:r w:rsidR="00D4025F">
        <w:rPr>
          <w:rFonts w:eastAsia="Verdana" w:cs="Verdana"/>
          <w:color w:val="000000"/>
        </w:rPr>
        <w:t>In 2022, s</w:t>
      </w:r>
      <w:r w:rsidR="0057601F">
        <w:rPr>
          <w:rFonts w:eastAsia="Verdana" w:cs="Verdana"/>
          <w:color w:val="000000"/>
        </w:rPr>
        <w:t xml:space="preserve">pit and bite guards </w:t>
      </w:r>
      <w:r w:rsidR="00F55509">
        <w:rPr>
          <w:rFonts w:eastAsia="Verdana" w:cs="Verdana"/>
          <w:color w:val="000000"/>
        </w:rPr>
        <w:t>were</w:t>
      </w:r>
      <w:r w:rsidR="0057601F">
        <w:rPr>
          <w:rFonts w:eastAsia="Verdana" w:cs="Verdana"/>
          <w:color w:val="000000"/>
        </w:rPr>
        <w:t xml:space="preserve"> introduced</w:t>
      </w:r>
      <w:r w:rsidR="00122787" w:rsidRPr="00122787">
        <w:rPr>
          <w:rFonts w:eastAsia="Verdana" w:cs="Verdana"/>
          <w:color w:val="000000"/>
        </w:rPr>
        <w:t xml:space="preserve"> as a permanent tactic in policing</w:t>
      </w:r>
      <w:r w:rsidR="0057601F">
        <w:rPr>
          <w:rFonts w:eastAsia="Verdana" w:cs="Verdana"/>
          <w:color w:val="000000"/>
        </w:rPr>
        <w:t xml:space="preserve"> by the Police Service NI</w:t>
      </w:r>
      <w:r w:rsidR="00122787" w:rsidRPr="00122787">
        <w:rPr>
          <w:rFonts w:eastAsia="Verdana" w:cs="Verdana"/>
          <w:color w:val="000000"/>
        </w:rPr>
        <w:t>.</w:t>
      </w:r>
      <w:r w:rsidR="00122787" w:rsidRPr="00122787">
        <w:rPr>
          <w:rFonts w:eastAsia="Verdana" w:cs="Verdana"/>
          <w:color w:val="000000"/>
          <w:vertAlign w:val="superscript"/>
        </w:rPr>
        <w:footnoteReference w:id="85"/>
      </w:r>
      <w:r w:rsidR="009B0C41">
        <w:rPr>
          <w:rFonts w:eastAsia="Verdana" w:cs="Verdana"/>
          <w:color w:val="000000"/>
        </w:rPr>
        <w:t xml:space="preserve"> </w:t>
      </w:r>
      <w:r w:rsidR="009B0C41">
        <w:rPr>
          <w:color w:val="000000"/>
        </w:rPr>
        <w:t>Spit and bite guards can be used on children aged ten years old and upwards, in line with the current age of criminal responsibility in NI.</w:t>
      </w:r>
    </w:p>
    <w:p w14:paraId="227F6A30" w14:textId="77777777" w:rsidR="00D8416F" w:rsidRPr="00122787" w:rsidRDefault="00D8416F" w:rsidP="00412E09">
      <w:pPr>
        <w:pStyle w:val="ListParagraph"/>
        <w:ind w:left="851" w:hanging="862"/>
        <w:rPr>
          <w:rFonts w:eastAsia="Verdana" w:cs="Verdana"/>
          <w:color w:val="000000"/>
        </w:rPr>
      </w:pPr>
    </w:p>
    <w:p w14:paraId="548F20D8" w14:textId="094A5F6F" w:rsidR="00FE3728" w:rsidRDefault="00FE4336" w:rsidP="00412E09">
      <w:pPr>
        <w:pStyle w:val="ListParagraph"/>
        <w:numPr>
          <w:ilvl w:val="1"/>
          <w:numId w:val="86"/>
        </w:numPr>
        <w:ind w:left="851" w:hanging="862"/>
        <w:rPr>
          <w:rFonts w:eastAsia="Verdana" w:cs="Verdana"/>
          <w:color w:val="000000"/>
        </w:rPr>
      </w:pPr>
      <w:r>
        <w:rPr>
          <w:rFonts w:eastAsia="Verdana" w:cs="Verdana"/>
          <w:color w:val="000000"/>
        </w:rPr>
        <w:t>Police gu</w:t>
      </w:r>
      <w:r w:rsidR="00D8416F" w:rsidRPr="00D8416F">
        <w:rPr>
          <w:rFonts w:eastAsia="Verdana" w:cs="Verdana"/>
          <w:color w:val="000000"/>
        </w:rPr>
        <w:t xml:space="preserve">idance requires </w:t>
      </w:r>
      <w:r w:rsidR="00447B06">
        <w:rPr>
          <w:rFonts w:eastAsia="Verdana" w:cs="Verdana"/>
          <w:color w:val="000000"/>
        </w:rPr>
        <w:t xml:space="preserve">that </w:t>
      </w:r>
      <w:r w:rsidR="00D8416F" w:rsidRPr="00D8416F">
        <w:rPr>
          <w:rFonts w:eastAsia="Verdana" w:cs="Verdana"/>
          <w:color w:val="000000"/>
        </w:rPr>
        <w:t>the best interests of the child are considered</w:t>
      </w:r>
      <w:r w:rsidR="00447B06">
        <w:rPr>
          <w:rFonts w:eastAsia="Verdana" w:cs="Verdana"/>
          <w:color w:val="000000"/>
        </w:rPr>
        <w:t>.</w:t>
      </w:r>
      <w:r w:rsidR="00447B06">
        <w:rPr>
          <w:rStyle w:val="FootnoteReference"/>
          <w:rFonts w:eastAsia="Verdana" w:cs="Verdana"/>
          <w:color w:val="000000"/>
        </w:rPr>
        <w:footnoteReference w:id="86"/>
      </w:r>
      <w:r w:rsidR="00D8416F" w:rsidRPr="00D8416F">
        <w:rPr>
          <w:rFonts w:eastAsia="Verdana" w:cs="Verdana"/>
          <w:color w:val="000000"/>
        </w:rPr>
        <w:t xml:space="preserve"> </w:t>
      </w:r>
      <w:r w:rsidR="00447B06">
        <w:rPr>
          <w:rFonts w:eastAsia="Verdana" w:cs="Verdana"/>
          <w:color w:val="000000"/>
        </w:rPr>
        <w:t>T</w:t>
      </w:r>
      <w:r w:rsidR="00D8416F" w:rsidRPr="00D8416F">
        <w:rPr>
          <w:rFonts w:eastAsia="Verdana" w:cs="Verdana"/>
          <w:color w:val="000000"/>
        </w:rPr>
        <w:t xml:space="preserve">he presumption is </w:t>
      </w:r>
      <w:r w:rsidR="00447B06">
        <w:rPr>
          <w:rFonts w:eastAsia="Verdana" w:cs="Verdana"/>
          <w:color w:val="000000"/>
        </w:rPr>
        <w:t xml:space="preserve">that </w:t>
      </w:r>
      <w:r w:rsidR="00D8416F" w:rsidRPr="00D8416F">
        <w:rPr>
          <w:rFonts w:eastAsia="Verdana" w:cs="Verdana"/>
          <w:color w:val="000000"/>
        </w:rPr>
        <w:t>spit and bite guards will not be used where officers are aware a person is under 18</w:t>
      </w:r>
      <w:r w:rsidR="00DC2E4A">
        <w:rPr>
          <w:rFonts w:eastAsia="Verdana" w:cs="Verdana"/>
          <w:color w:val="000000"/>
        </w:rPr>
        <w:t xml:space="preserve"> years old</w:t>
      </w:r>
      <w:r w:rsidR="00D8416F" w:rsidRPr="00D8416F">
        <w:rPr>
          <w:rFonts w:eastAsia="Verdana" w:cs="Verdana"/>
          <w:color w:val="000000"/>
        </w:rPr>
        <w:t>.</w:t>
      </w:r>
      <w:r w:rsidR="00D8416F" w:rsidRPr="00D8416F">
        <w:rPr>
          <w:rFonts w:eastAsia="Verdana" w:cs="Verdana"/>
          <w:color w:val="000000"/>
          <w:vertAlign w:val="superscript"/>
        </w:rPr>
        <w:footnoteReference w:id="87"/>
      </w:r>
      <w:r w:rsidR="00D8416F" w:rsidRPr="00D8416F">
        <w:rPr>
          <w:rFonts w:eastAsia="Verdana" w:cs="Verdana"/>
          <w:color w:val="000000"/>
        </w:rPr>
        <w:t xml:space="preserve"> </w:t>
      </w:r>
      <w:r w:rsidR="002321A3">
        <w:rPr>
          <w:rFonts w:eastAsia="Verdana" w:cs="Verdana"/>
          <w:color w:val="000000"/>
        </w:rPr>
        <w:t>A</w:t>
      </w:r>
      <w:r w:rsidR="008D4213">
        <w:rPr>
          <w:rFonts w:eastAsia="Verdana" w:cs="Verdana"/>
          <w:color w:val="000000"/>
        </w:rPr>
        <w:t xml:space="preserve"> review by </w:t>
      </w:r>
      <w:r w:rsidR="00D8416F" w:rsidRPr="00D8416F">
        <w:rPr>
          <w:rFonts w:eastAsia="Verdana" w:cs="Verdana"/>
          <w:color w:val="000000"/>
        </w:rPr>
        <w:t>the Police Ombudsman</w:t>
      </w:r>
      <w:r w:rsidR="00DC2E4A">
        <w:rPr>
          <w:rFonts w:eastAsia="Verdana" w:cs="Verdana"/>
          <w:color w:val="000000"/>
        </w:rPr>
        <w:t xml:space="preserve"> for NI</w:t>
      </w:r>
      <w:r w:rsidR="008D4213">
        <w:rPr>
          <w:rFonts w:eastAsia="Verdana" w:cs="Verdana"/>
          <w:color w:val="000000"/>
        </w:rPr>
        <w:t xml:space="preserve"> found </w:t>
      </w:r>
      <w:r w:rsidR="00D8416F" w:rsidRPr="00D8416F">
        <w:rPr>
          <w:rFonts w:eastAsia="Verdana" w:cs="Verdana"/>
          <w:color w:val="000000"/>
        </w:rPr>
        <w:t>that “it could no longer be said that the deployments have been at the upper definition of a ‘child’”.</w:t>
      </w:r>
      <w:r w:rsidR="00D8416F" w:rsidRPr="00D8416F">
        <w:rPr>
          <w:rFonts w:eastAsia="Verdana" w:cs="Verdana"/>
          <w:color w:val="000000"/>
          <w:vertAlign w:val="superscript"/>
        </w:rPr>
        <w:footnoteReference w:id="88"/>
      </w:r>
      <w:r w:rsidR="00D8416F" w:rsidRPr="00D8416F">
        <w:rPr>
          <w:rFonts w:eastAsia="Verdana" w:cs="Verdana"/>
          <w:color w:val="000000"/>
        </w:rPr>
        <w:t xml:space="preserve"> </w:t>
      </w:r>
      <w:r w:rsidR="004E6C4B">
        <w:rPr>
          <w:rFonts w:eastAsia="Verdana" w:cs="Verdana"/>
          <w:color w:val="000000"/>
        </w:rPr>
        <w:t xml:space="preserve">Also </w:t>
      </w:r>
      <w:r w:rsidR="004E6C4B">
        <w:rPr>
          <w:color w:val="000000"/>
        </w:rPr>
        <w:t>the NI Policing Board's Human Rights Advisor noted that “it is difficult to see how the use of a spit and bite guard will ever be in the interests of a child and therefore the guidance should be amended to set out the circumstances where this might, possibly, be true".</w:t>
      </w:r>
      <w:r w:rsidR="004E6C4B">
        <w:rPr>
          <w:rStyle w:val="FootnoteReference"/>
        </w:rPr>
        <w:footnoteReference w:id="89"/>
      </w:r>
      <w:r w:rsidR="004E6C4B">
        <w:rPr>
          <w:color w:val="000000"/>
        </w:rPr>
        <w:t xml:space="preserve"> </w:t>
      </w:r>
      <w:r w:rsidR="00D8416F" w:rsidRPr="00D8416F">
        <w:rPr>
          <w:rFonts w:eastAsia="Verdana" w:cs="Verdana"/>
          <w:color w:val="000000"/>
        </w:rPr>
        <w:t xml:space="preserve">Between April 2021 and March 2022, </w:t>
      </w:r>
      <w:r w:rsidR="00DC2E4A">
        <w:rPr>
          <w:rFonts w:eastAsia="Verdana" w:cs="Verdana"/>
          <w:color w:val="000000"/>
        </w:rPr>
        <w:t xml:space="preserve">the </w:t>
      </w:r>
      <w:r w:rsidR="00D8416F" w:rsidRPr="00D8416F">
        <w:rPr>
          <w:rFonts w:eastAsia="Verdana" w:cs="Verdana"/>
          <w:color w:val="000000"/>
        </w:rPr>
        <w:t xml:space="preserve">Police Service NI applied spit and bite guards 123 times, </w:t>
      </w:r>
      <w:r w:rsidR="00842F29">
        <w:rPr>
          <w:rFonts w:eastAsia="Verdana" w:cs="Verdana"/>
          <w:color w:val="000000"/>
        </w:rPr>
        <w:t xml:space="preserve">seven per cent </w:t>
      </w:r>
      <w:r w:rsidR="00D8416F" w:rsidRPr="00D8416F">
        <w:rPr>
          <w:rFonts w:eastAsia="Verdana" w:cs="Verdana"/>
          <w:color w:val="000000"/>
        </w:rPr>
        <w:t>of these instances involved children between 13 and 17</w:t>
      </w:r>
      <w:r w:rsidR="00DC2E4A">
        <w:rPr>
          <w:rFonts w:eastAsia="Verdana" w:cs="Verdana"/>
          <w:color w:val="000000"/>
        </w:rPr>
        <w:t xml:space="preserve"> years old</w:t>
      </w:r>
      <w:r w:rsidR="00D8416F" w:rsidRPr="00D8416F">
        <w:rPr>
          <w:rFonts w:eastAsia="Verdana" w:cs="Verdana"/>
          <w:color w:val="000000"/>
        </w:rPr>
        <w:t>.</w:t>
      </w:r>
      <w:r w:rsidR="00817775">
        <w:rPr>
          <w:rStyle w:val="FootnoteReference"/>
          <w:rFonts w:eastAsia="Verdana" w:cs="Verdana"/>
          <w:color w:val="000000"/>
        </w:rPr>
        <w:footnoteReference w:id="90"/>
      </w:r>
    </w:p>
    <w:p w14:paraId="11EBEF64" w14:textId="77777777" w:rsidR="00FE3728" w:rsidRPr="00FE3728" w:rsidRDefault="00FE3728" w:rsidP="00412E09">
      <w:pPr>
        <w:pStyle w:val="ListParagraph"/>
        <w:ind w:left="851" w:hanging="862"/>
        <w:rPr>
          <w:rFonts w:eastAsia="Verdana" w:cs="Verdana"/>
          <w:color w:val="000000"/>
        </w:rPr>
      </w:pPr>
    </w:p>
    <w:p w14:paraId="36E222D9" w14:textId="77777777" w:rsidR="00FE3728" w:rsidRPr="00FE3728" w:rsidRDefault="00DC2E4A" w:rsidP="00412E09">
      <w:pPr>
        <w:pStyle w:val="ListParagraph"/>
        <w:numPr>
          <w:ilvl w:val="1"/>
          <w:numId w:val="86"/>
        </w:numPr>
        <w:ind w:left="851" w:hanging="862"/>
        <w:rPr>
          <w:rFonts w:eastAsia="Verdana" w:cs="Verdana"/>
          <w:color w:val="000000"/>
        </w:rPr>
      </w:pPr>
      <w:r>
        <w:rPr>
          <w:rFonts w:eastAsia="Verdana" w:cs="Verdana"/>
          <w:color w:val="000000"/>
        </w:rPr>
        <w:t xml:space="preserve">The </w:t>
      </w:r>
      <w:r w:rsidR="00364CAB">
        <w:rPr>
          <w:rFonts w:eastAsia="Verdana" w:cs="Verdana"/>
          <w:color w:val="000000"/>
        </w:rPr>
        <w:t xml:space="preserve">Police Service NI </w:t>
      </w:r>
      <w:r>
        <w:rPr>
          <w:rFonts w:eastAsia="Verdana" w:cs="Verdana"/>
          <w:color w:val="000000"/>
        </w:rPr>
        <w:t xml:space="preserve">has </w:t>
      </w:r>
      <w:r w:rsidR="00364CAB">
        <w:rPr>
          <w:rFonts w:eastAsia="Verdana" w:cs="Verdana"/>
          <w:color w:val="000000"/>
        </w:rPr>
        <w:t>advised</w:t>
      </w:r>
      <w:r w:rsidR="00267BB4">
        <w:rPr>
          <w:rFonts w:eastAsia="Verdana" w:cs="Verdana"/>
          <w:color w:val="000000"/>
        </w:rPr>
        <w:t xml:space="preserve"> that</w:t>
      </w:r>
      <w:r>
        <w:rPr>
          <w:rFonts w:eastAsia="Verdana" w:cs="Verdana"/>
          <w:color w:val="000000"/>
        </w:rPr>
        <w:t>,</w:t>
      </w:r>
      <w:r w:rsidR="00364CAB">
        <w:rPr>
          <w:rFonts w:eastAsia="Verdana" w:cs="Verdana"/>
          <w:color w:val="000000"/>
        </w:rPr>
        <w:t xml:space="preserve"> </w:t>
      </w:r>
      <w:r w:rsidR="00364CAB">
        <w:rPr>
          <w:color w:val="000000"/>
        </w:rPr>
        <w:t>i</w:t>
      </w:r>
      <w:r w:rsidR="00FE3728" w:rsidRPr="00FE3728">
        <w:rPr>
          <w:color w:val="000000"/>
        </w:rPr>
        <w:t>n instances where a spit and bite guard is used on a child, the video footage must be reviewed by the deploying officer’s supervisor and an officer of at least the rank of Chief Inspector.</w:t>
      </w:r>
      <w:r w:rsidR="00FE3728">
        <w:rPr>
          <w:rStyle w:val="FootnoteReference"/>
        </w:rPr>
        <w:footnoteReference w:id="91"/>
      </w:r>
    </w:p>
    <w:p w14:paraId="1C5FC2DD" w14:textId="77777777" w:rsidR="0042429C" w:rsidRPr="00E569E1" w:rsidRDefault="0042429C" w:rsidP="00412E09">
      <w:pPr>
        <w:pStyle w:val="ListParagraph"/>
        <w:ind w:left="851" w:hanging="862"/>
        <w:rPr>
          <w:rFonts w:eastAsia="Verdana" w:cs="Verdana"/>
          <w:b/>
          <w:color w:val="000000" w:themeColor="text1"/>
        </w:rPr>
      </w:pPr>
    </w:p>
    <w:p w14:paraId="2DD5D7A2" w14:textId="77777777" w:rsidR="00716FDB" w:rsidRPr="00412E09" w:rsidRDefault="00364CAB" w:rsidP="00412E09">
      <w:pPr>
        <w:pStyle w:val="ListParagraph"/>
        <w:numPr>
          <w:ilvl w:val="1"/>
          <w:numId w:val="86"/>
        </w:numPr>
        <w:ind w:left="851" w:hanging="862"/>
        <w:rPr>
          <w:rFonts w:eastAsia="Verdana" w:cs="Verdana"/>
          <w:b/>
          <w:color w:val="000000"/>
        </w:rPr>
      </w:pPr>
      <w:r w:rsidRPr="00E569E1">
        <w:rPr>
          <w:rFonts w:eastAsia="Verdana" w:cs="Verdana"/>
          <w:b/>
          <w:color w:val="000000" w:themeColor="text1"/>
        </w:rPr>
        <w:t xml:space="preserve">The </w:t>
      </w:r>
      <w:r w:rsidR="008D50D3" w:rsidRPr="00E569E1">
        <w:rPr>
          <w:rFonts w:eastAsia="Verdana" w:cs="Verdana"/>
          <w:b/>
          <w:color w:val="000000" w:themeColor="text1"/>
        </w:rPr>
        <w:t>Committee may wish to recommend that the</w:t>
      </w:r>
      <w:r w:rsidRPr="00E569E1">
        <w:rPr>
          <w:rFonts w:eastAsia="Verdana" w:cs="Verdana"/>
          <w:b/>
          <w:color w:val="000000" w:themeColor="text1"/>
        </w:rPr>
        <w:t xml:space="preserve"> </w:t>
      </w:r>
      <w:r w:rsidR="005C66E5" w:rsidRPr="00E569E1">
        <w:rPr>
          <w:rFonts w:eastAsia="Verdana" w:cs="Verdana"/>
          <w:b/>
          <w:color w:val="000000" w:themeColor="text1"/>
        </w:rPr>
        <w:t>State Party</w:t>
      </w:r>
      <w:r w:rsidR="00716FDB">
        <w:rPr>
          <w:rFonts w:eastAsia="Verdana" w:cs="Verdana"/>
          <w:b/>
          <w:color w:val="000000" w:themeColor="text1"/>
        </w:rPr>
        <w:t xml:space="preserve"> </w:t>
      </w:r>
      <w:r w:rsidR="005C66E5" w:rsidRPr="00716FDB">
        <w:rPr>
          <w:rFonts w:eastAsia="Verdana" w:cs="Verdana"/>
          <w:b/>
          <w:color w:val="000000" w:themeColor="text1"/>
        </w:rPr>
        <w:t>ensures that</w:t>
      </w:r>
      <w:r w:rsidR="00E569E1" w:rsidRPr="00716FDB">
        <w:rPr>
          <w:rFonts w:eastAsia="Verdana" w:cs="Verdana"/>
          <w:b/>
          <w:color w:val="000000" w:themeColor="text1"/>
        </w:rPr>
        <w:t xml:space="preserve"> </w:t>
      </w:r>
      <w:r w:rsidR="00E55DB9" w:rsidRPr="00716FDB">
        <w:rPr>
          <w:rFonts w:eastAsia="Verdana" w:cs="Verdana"/>
          <w:b/>
          <w:color w:val="000000" w:themeColor="text1"/>
        </w:rPr>
        <w:t xml:space="preserve">comprehensive </w:t>
      </w:r>
      <w:r w:rsidR="00E55DB9" w:rsidRPr="00716FDB">
        <w:rPr>
          <w:rFonts w:eastAsia="Verdana" w:cs="Verdana"/>
          <w:b/>
          <w:color w:val="000000"/>
        </w:rPr>
        <w:t xml:space="preserve">data is collected on the use of spit and bite guards on children </w:t>
      </w:r>
      <w:r w:rsidR="00443FF0" w:rsidRPr="00716FDB">
        <w:rPr>
          <w:rFonts w:eastAsia="Verdana" w:cs="Verdana"/>
          <w:b/>
          <w:color w:val="000000"/>
        </w:rPr>
        <w:t>in NI</w:t>
      </w:r>
      <w:r w:rsidRPr="00716FDB">
        <w:rPr>
          <w:rFonts w:eastAsia="Verdana" w:cs="Verdana"/>
          <w:b/>
          <w:color w:val="000000"/>
        </w:rPr>
        <w:t xml:space="preserve"> </w:t>
      </w:r>
      <w:r w:rsidR="00E55DB9" w:rsidRPr="00716FDB">
        <w:rPr>
          <w:rFonts w:eastAsia="Verdana" w:cs="Verdana"/>
          <w:b/>
          <w:color w:val="000000"/>
        </w:rPr>
        <w:t>that is disaggregated by other characteristics including race, community background, disability, or mental health conditions</w:t>
      </w:r>
      <w:r w:rsidR="00716FDB">
        <w:rPr>
          <w:rFonts w:eastAsia="Verdana" w:cs="Verdana"/>
          <w:b/>
          <w:color w:val="000000"/>
        </w:rPr>
        <w:t>.</w:t>
      </w:r>
    </w:p>
    <w:p w14:paraId="7FBE1D91" w14:textId="77777777" w:rsidR="00716FDB" w:rsidRPr="00412E09" w:rsidRDefault="00716FDB" w:rsidP="00412E09">
      <w:pPr>
        <w:pStyle w:val="ListParagraph"/>
        <w:ind w:left="851" w:hanging="862"/>
        <w:rPr>
          <w:rFonts w:eastAsia="Verdana" w:cs="Verdana"/>
          <w:color w:val="000000"/>
        </w:rPr>
      </w:pPr>
    </w:p>
    <w:p w14:paraId="4F7CB229" w14:textId="461D9448" w:rsidR="008D50D3" w:rsidRPr="00716FDB" w:rsidRDefault="00716FDB" w:rsidP="00412E09">
      <w:pPr>
        <w:pStyle w:val="ListParagraph"/>
        <w:numPr>
          <w:ilvl w:val="1"/>
          <w:numId w:val="86"/>
        </w:numPr>
        <w:ind w:left="851" w:hanging="862"/>
        <w:rPr>
          <w:rFonts w:eastAsia="Verdana" w:cs="Verdana"/>
          <w:b/>
          <w:color w:val="000000"/>
        </w:rPr>
      </w:pPr>
      <w:r w:rsidRPr="00716FDB">
        <w:rPr>
          <w:rFonts w:eastAsia="Verdana" w:cs="Verdana"/>
          <w:b/>
          <w:color w:val="000000" w:themeColor="text1"/>
        </w:rPr>
        <w:t>The Committee may wish to recommend that the State Party</w:t>
      </w:r>
      <w:r>
        <w:rPr>
          <w:rFonts w:eastAsia="Verdana" w:cs="Verdana"/>
          <w:b/>
          <w:color w:val="000000" w:themeColor="text1"/>
        </w:rPr>
        <w:t xml:space="preserve"> </w:t>
      </w:r>
      <w:r w:rsidR="00E1032A">
        <w:rPr>
          <w:rFonts w:eastAsia="Verdana" w:cs="Verdana"/>
          <w:b/>
          <w:color w:val="000000"/>
        </w:rPr>
        <w:t xml:space="preserve">ensures </w:t>
      </w:r>
      <w:r w:rsidR="00E569E1" w:rsidRPr="00E569E1">
        <w:rPr>
          <w:rFonts w:eastAsia="Verdana" w:cs="Verdana"/>
          <w:b/>
          <w:color w:val="000000"/>
        </w:rPr>
        <w:t xml:space="preserve">that </w:t>
      </w:r>
      <w:r w:rsidR="005C66E5">
        <w:rPr>
          <w:rFonts w:eastAsia="Verdana" w:cs="Verdana"/>
          <w:b/>
          <w:color w:val="000000" w:themeColor="text1"/>
        </w:rPr>
        <w:t xml:space="preserve">policies on the use of spit and bite guards </w:t>
      </w:r>
      <w:r w:rsidR="00443FF0" w:rsidRPr="00E569E1">
        <w:rPr>
          <w:rFonts w:eastAsia="Verdana" w:cs="Verdana"/>
          <w:b/>
          <w:color w:val="000000" w:themeColor="text1"/>
        </w:rPr>
        <w:t>in NI</w:t>
      </w:r>
      <w:r w:rsidR="0014576E">
        <w:rPr>
          <w:rFonts w:eastAsia="Verdana" w:cs="Verdana"/>
          <w:b/>
          <w:color w:val="000000" w:themeColor="text1"/>
        </w:rPr>
        <w:t xml:space="preserve"> </w:t>
      </w:r>
      <w:r w:rsidR="005C66E5" w:rsidRPr="00A97A4C">
        <w:rPr>
          <w:rFonts w:eastAsia="Times New Roman" w:cs="Arial"/>
          <w:b/>
          <w:bCs/>
        </w:rPr>
        <w:t xml:space="preserve">advise in what circumstances it would be appropriate for a police officer to use a spit and bite guard on a child, including ensuring that the best </w:t>
      </w:r>
      <w:proofErr w:type="gramStart"/>
      <w:r w:rsidR="005C66E5" w:rsidRPr="00A97A4C">
        <w:rPr>
          <w:rFonts w:eastAsia="Times New Roman" w:cs="Arial"/>
          <w:b/>
          <w:bCs/>
        </w:rPr>
        <w:t>interests</w:t>
      </w:r>
      <w:proofErr w:type="gramEnd"/>
      <w:r w:rsidR="005C66E5" w:rsidRPr="00A97A4C">
        <w:rPr>
          <w:rFonts w:eastAsia="Times New Roman" w:cs="Arial"/>
          <w:b/>
          <w:bCs/>
        </w:rPr>
        <w:t xml:space="preserve"> of the child is a primary consideration.</w:t>
      </w:r>
    </w:p>
    <w:p w14:paraId="19AB51E6" w14:textId="1939F525" w:rsidR="0050567D" w:rsidRDefault="0050567D" w:rsidP="00412E09">
      <w:pPr>
        <w:ind w:left="851" w:hanging="862"/>
        <w:rPr>
          <w:color w:val="000000"/>
        </w:rPr>
      </w:pPr>
    </w:p>
    <w:p w14:paraId="3C451B24" w14:textId="0DB9E83B" w:rsidR="004D7124" w:rsidRPr="00CA0775" w:rsidRDefault="004D7124" w:rsidP="00412E09">
      <w:pPr>
        <w:pStyle w:val="Heading2"/>
        <w:ind w:left="851" w:hanging="862"/>
      </w:pPr>
      <w:bookmarkStart w:id="30" w:name="_Toc121922194"/>
      <w:r>
        <w:t>Strip searches</w:t>
      </w:r>
      <w:bookmarkEnd w:id="30"/>
    </w:p>
    <w:p w14:paraId="6FC93233" w14:textId="037B48DD" w:rsidR="0050567D" w:rsidRPr="00126785" w:rsidRDefault="005F4827" w:rsidP="00412E09">
      <w:pPr>
        <w:pStyle w:val="ListParagraph"/>
        <w:numPr>
          <w:ilvl w:val="1"/>
          <w:numId w:val="86"/>
        </w:numPr>
        <w:ind w:left="851" w:hanging="862"/>
        <w:rPr>
          <w:rFonts w:eastAsia="Verdana" w:cs="Verdana"/>
          <w:color w:val="000000"/>
        </w:rPr>
      </w:pPr>
      <w:r>
        <w:rPr>
          <w:color w:val="000000"/>
        </w:rPr>
        <w:t>In 2021, c</w:t>
      </w:r>
      <w:r w:rsidR="0050567D" w:rsidRPr="0050567D">
        <w:rPr>
          <w:color w:val="000000"/>
        </w:rPr>
        <w:t>hildren between the ages of 12 and 17 years old were strip searched by the Police Service NI on 34 occasions.</w:t>
      </w:r>
      <w:r w:rsidR="0050567D">
        <w:rPr>
          <w:rStyle w:val="FootnoteReference"/>
          <w:color w:val="000000"/>
        </w:rPr>
        <w:footnoteReference w:id="92"/>
      </w:r>
      <w:r w:rsidR="0050567D" w:rsidRPr="0050567D">
        <w:rPr>
          <w:color w:val="000000"/>
        </w:rPr>
        <w:t xml:space="preserve"> </w:t>
      </w:r>
      <w:r w:rsidR="00703357">
        <w:rPr>
          <w:color w:val="000000"/>
        </w:rPr>
        <w:t>Strip searches involve the removal of clothing and can include exposure of intimate body parts. On only three occasions was anything found.</w:t>
      </w:r>
      <w:r w:rsidR="0050567D" w:rsidRPr="0050567D">
        <w:rPr>
          <w:color w:val="000000"/>
        </w:rPr>
        <w:t xml:space="preserve"> In the other 31 occasions, no drugs, </w:t>
      </w:r>
      <w:proofErr w:type="gramStart"/>
      <w:r w:rsidR="0050567D" w:rsidRPr="0050567D">
        <w:rPr>
          <w:color w:val="000000"/>
        </w:rPr>
        <w:t>weapons</w:t>
      </w:r>
      <w:proofErr w:type="gramEnd"/>
      <w:r w:rsidR="0050567D" w:rsidRPr="0050567D">
        <w:rPr>
          <w:color w:val="000000"/>
        </w:rPr>
        <w:t xml:space="preserve"> or anything harmful were uncovered. Police officers are obligated to record the reason for conducting a strip search, but in 14 of the 34 cases the Police Service NI was unable to provide any justification for why strip searches were conducted.</w:t>
      </w:r>
      <w:r w:rsidR="0050567D" w:rsidRPr="0050567D">
        <w:rPr>
          <w:rStyle w:val="FootnoteReference"/>
        </w:rPr>
        <w:footnoteReference w:id="93"/>
      </w:r>
    </w:p>
    <w:p w14:paraId="44FFD92A" w14:textId="77777777" w:rsidR="00126785" w:rsidRPr="00126785" w:rsidRDefault="00126785" w:rsidP="00412E09">
      <w:pPr>
        <w:pStyle w:val="ListParagraph"/>
        <w:ind w:left="851" w:hanging="862"/>
        <w:rPr>
          <w:rFonts w:eastAsia="Verdana" w:cs="Verdana"/>
          <w:color w:val="000000"/>
        </w:rPr>
      </w:pPr>
    </w:p>
    <w:p w14:paraId="4F2E79B4" w14:textId="5F0326D3" w:rsidR="00126785" w:rsidRPr="0031503A" w:rsidRDefault="00134DA1" w:rsidP="00412E09">
      <w:pPr>
        <w:pStyle w:val="ListParagraph"/>
        <w:numPr>
          <w:ilvl w:val="1"/>
          <w:numId w:val="86"/>
        </w:numPr>
        <w:ind w:left="851" w:hanging="862"/>
        <w:rPr>
          <w:rFonts w:eastAsia="Verdana" w:cs="Verdana"/>
          <w:b/>
          <w:bCs/>
          <w:color w:val="000000"/>
        </w:rPr>
      </w:pPr>
      <w:r>
        <w:rPr>
          <w:rFonts w:eastAsia="Verdana" w:cs="Verdana"/>
          <w:b/>
          <w:bCs/>
          <w:color w:val="000000"/>
        </w:rPr>
        <w:t>The Committee may wish to recommend</w:t>
      </w:r>
      <w:r w:rsidR="00126785" w:rsidRPr="0031503A">
        <w:rPr>
          <w:rFonts w:eastAsia="Verdana" w:cs="Verdana"/>
          <w:b/>
          <w:bCs/>
          <w:color w:val="000000"/>
        </w:rPr>
        <w:t xml:space="preserve"> that the </w:t>
      </w:r>
      <w:r w:rsidR="00B727FD">
        <w:rPr>
          <w:rFonts w:eastAsia="Verdana" w:cs="Verdana"/>
          <w:b/>
          <w:bCs/>
          <w:color w:val="000000"/>
        </w:rPr>
        <w:t>State Party takes</w:t>
      </w:r>
      <w:r w:rsidR="00156C0F">
        <w:rPr>
          <w:rFonts w:eastAsia="Verdana" w:cs="Verdana"/>
          <w:b/>
          <w:bCs/>
          <w:color w:val="000000"/>
        </w:rPr>
        <w:t xml:space="preserve"> effective measures to ensure that </w:t>
      </w:r>
      <w:r w:rsidR="006B0625" w:rsidRPr="006B0625">
        <w:rPr>
          <w:rFonts w:eastAsia="Verdana" w:cs="Verdana"/>
          <w:b/>
          <w:bCs/>
          <w:color w:val="000000"/>
        </w:rPr>
        <w:t xml:space="preserve">strip searches of children </w:t>
      </w:r>
      <w:r w:rsidR="002B1AFB">
        <w:rPr>
          <w:rFonts w:eastAsia="Verdana" w:cs="Verdana"/>
          <w:b/>
          <w:bCs/>
          <w:color w:val="000000"/>
        </w:rPr>
        <w:t>in NI</w:t>
      </w:r>
      <w:r w:rsidR="00B727FD">
        <w:rPr>
          <w:rFonts w:eastAsia="Verdana" w:cs="Verdana"/>
          <w:b/>
          <w:bCs/>
          <w:color w:val="000000"/>
        </w:rPr>
        <w:t xml:space="preserve"> </w:t>
      </w:r>
      <w:r w:rsidR="00B81A1D">
        <w:rPr>
          <w:rFonts w:eastAsia="Verdana" w:cs="Verdana"/>
          <w:b/>
          <w:bCs/>
          <w:color w:val="000000"/>
        </w:rPr>
        <w:t>are only</w:t>
      </w:r>
      <w:r w:rsidR="00117988">
        <w:rPr>
          <w:rFonts w:eastAsia="Verdana" w:cs="Verdana"/>
          <w:b/>
          <w:bCs/>
          <w:color w:val="000000"/>
        </w:rPr>
        <w:t xml:space="preserve"> used as</w:t>
      </w:r>
      <w:r w:rsidR="006B0625" w:rsidRPr="006B0625">
        <w:rPr>
          <w:rFonts w:eastAsia="Verdana" w:cs="Verdana"/>
          <w:b/>
          <w:bCs/>
          <w:color w:val="000000"/>
        </w:rPr>
        <w:t xml:space="preserve"> a last resort</w:t>
      </w:r>
      <w:r w:rsidR="00156C0F">
        <w:rPr>
          <w:rFonts w:eastAsia="Verdana" w:cs="Verdana"/>
          <w:b/>
          <w:bCs/>
          <w:color w:val="000000"/>
        </w:rPr>
        <w:t>.</w:t>
      </w:r>
      <w:r w:rsidR="000D4A20">
        <w:rPr>
          <w:rFonts w:eastAsia="Verdana" w:cs="Verdana"/>
          <w:b/>
          <w:bCs/>
          <w:color w:val="000000"/>
        </w:rPr>
        <w:t xml:space="preserve"> All incidents </w:t>
      </w:r>
      <w:r w:rsidR="000D4A20" w:rsidRPr="000D4A20">
        <w:rPr>
          <w:b/>
          <w:bCs/>
        </w:rPr>
        <w:t>should be recorded, including the proposed justification for the search</w:t>
      </w:r>
      <w:r w:rsidR="000D4A20">
        <w:rPr>
          <w:b/>
          <w:bCs/>
        </w:rPr>
        <w:t>, and disaggregated</w:t>
      </w:r>
      <w:r w:rsidR="00C76F5C">
        <w:rPr>
          <w:b/>
          <w:bCs/>
        </w:rPr>
        <w:t xml:space="preserve"> data should be </w:t>
      </w:r>
      <w:r w:rsidR="005D29BE">
        <w:rPr>
          <w:b/>
          <w:bCs/>
        </w:rPr>
        <w:t xml:space="preserve">published and </w:t>
      </w:r>
      <w:r w:rsidR="000D4A20" w:rsidRPr="000D4A20">
        <w:rPr>
          <w:b/>
          <w:bCs/>
        </w:rPr>
        <w:t>monitored.</w:t>
      </w:r>
      <w:r w:rsidR="00156C0F">
        <w:rPr>
          <w:rFonts w:eastAsia="Verdana" w:cs="Verdana"/>
          <w:b/>
          <w:bCs/>
          <w:color w:val="000000"/>
        </w:rPr>
        <w:t xml:space="preserve"> </w:t>
      </w:r>
    </w:p>
    <w:p w14:paraId="499D04BC" w14:textId="464A4E84" w:rsidR="00676747" w:rsidRPr="00587912" w:rsidRDefault="00676747" w:rsidP="00412E09">
      <w:pPr>
        <w:ind w:left="851" w:hanging="862"/>
      </w:pPr>
    </w:p>
    <w:p w14:paraId="6FDC37D7" w14:textId="22B2F8C9" w:rsidR="00CA149B" w:rsidRPr="00B727FD" w:rsidRDefault="005C7147" w:rsidP="00412E09">
      <w:pPr>
        <w:pStyle w:val="Heading2"/>
        <w:ind w:left="851" w:hanging="862"/>
        <w:rPr>
          <w:szCs w:val="22"/>
        </w:rPr>
      </w:pPr>
      <w:bookmarkStart w:id="31" w:name="_Toc121922195"/>
      <w:r w:rsidRPr="00587912">
        <w:rPr>
          <w:szCs w:val="22"/>
        </w:rPr>
        <w:t>Physical punishment of children</w:t>
      </w:r>
      <w:bookmarkEnd w:id="31"/>
    </w:p>
    <w:p w14:paraId="0157B4B0" w14:textId="57BBE01C" w:rsidR="001661BE" w:rsidRDefault="00CB28D7" w:rsidP="00412E09">
      <w:pPr>
        <w:pStyle w:val="ListParagraph"/>
        <w:numPr>
          <w:ilvl w:val="1"/>
          <w:numId w:val="86"/>
        </w:numPr>
        <w:ind w:left="851" w:hanging="862"/>
        <w:rPr>
          <w:rFonts w:eastAsia="Verdana" w:cs="Verdana"/>
          <w:color w:val="000000"/>
        </w:rPr>
      </w:pPr>
      <w:r w:rsidRPr="00CB28D7">
        <w:rPr>
          <w:rFonts w:eastAsia="Verdana" w:cs="Verdana"/>
          <w:color w:val="000000"/>
        </w:rPr>
        <w:t>The Law Reform (Miscellaneous Provisions) (NI) Order 2006 continues to allow for a defence of reasonable punishment of a child</w:t>
      </w:r>
      <w:r w:rsidR="00AF7B42">
        <w:rPr>
          <w:rFonts w:eastAsia="Verdana" w:cs="Verdana"/>
          <w:color w:val="000000"/>
        </w:rPr>
        <w:t xml:space="preserve"> in </w:t>
      </w:r>
      <w:r w:rsidR="0016000C">
        <w:rPr>
          <w:rFonts w:eastAsia="Verdana" w:cs="Verdana"/>
          <w:color w:val="000000"/>
        </w:rPr>
        <w:t>NI</w:t>
      </w:r>
      <w:r w:rsidR="0016000C" w:rsidRPr="00CB28D7">
        <w:rPr>
          <w:rFonts w:eastAsia="Verdana" w:cs="Verdana"/>
          <w:color w:val="000000"/>
        </w:rPr>
        <w:t xml:space="preserve"> and</w:t>
      </w:r>
      <w:r w:rsidRPr="00CB28D7">
        <w:rPr>
          <w:rFonts w:eastAsia="Verdana" w:cs="Verdana"/>
          <w:color w:val="000000"/>
        </w:rPr>
        <w:t xml:space="preserve"> provides that this is a defence to a charge of common assault tried summarily. This differs from Scotland and Wales, where legislation was passed to prohibit physical punishment of children by parents and carers.</w:t>
      </w:r>
      <w:r w:rsidRPr="00CB28D7">
        <w:rPr>
          <w:rFonts w:eastAsia="Verdana" w:cs="Verdana"/>
          <w:color w:val="000000"/>
          <w:vertAlign w:val="superscript"/>
        </w:rPr>
        <w:footnoteReference w:id="94"/>
      </w:r>
      <w:r w:rsidR="00160403">
        <w:rPr>
          <w:rFonts w:eastAsia="Verdana" w:cs="Verdana"/>
          <w:color w:val="000000"/>
        </w:rPr>
        <w:t xml:space="preserve"> </w:t>
      </w:r>
      <w:r w:rsidR="00F0579C">
        <w:rPr>
          <w:color w:val="000000"/>
        </w:rPr>
        <w:t>Any legislative progress in NI is hindered by suspension of the NI Assembly and NI Executive.</w:t>
      </w:r>
      <w:r w:rsidR="00F0579C">
        <w:rPr>
          <w:rStyle w:val="FootnoteReference"/>
        </w:rPr>
        <w:footnoteReference w:id="95"/>
      </w:r>
    </w:p>
    <w:p w14:paraId="5E6DF45A" w14:textId="77777777" w:rsidR="001661BE" w:rsidRDefault="001661BE" w:rsidP="00412E09">
      <w:pPr>
        <w:pStyle w:val="ListParagraph"/>
        <w:ind w:left="851" w:hanging="862"/>
        <w:rPr>
          <w:rFonts w:eastAsia="Verdana" w:cs="Verdana"/>
          <w:color w:val="000000"/>
        </w:rPr>
      </w:pPr>
    </w:p>
    <w:p w14:paraId="696B266C" w14:textId="154C9B8E" w:rsidR="00160403" w:rsidRPr="001661BE" w:rsidRDefault="00160403" w:rsidP="00412E09">
      <w:pPr>
        <w:pStyle w:val="ListParagraph"/>
        <w:numPr>
          <w:ilvl w:val="1"/>
          <w:numId w:val="86"/>
        </w:numPr>
        <w:ind w:left="851" w:hanging="862"/>
        <w:rPr>
          <w:rFonts w:eastAsia="Verdana" w:cs="Verdana"/>
          <w:color w:val="000000"/>
        </w:rPr>
      </w:pPr>
      <w:r w:rsidRPr="001661BE">
        <w:rPr>
          <w:rFonts w:eastAsia="Verdana" w:cs="Verdana"/>
          <w:color w:val="000000"/>
        </w:rPr>
        <w:t>There are no statistics on the number of cases where the defence of reasonable chastisement has been used in NI.</w:t>
      </w:r>
    </w:p>
    <w:p w14:paraId="467C18E9" w14:textId="77777777" w:rsidR="00160403" w:rsidRPr="00160403" w:rsidRDefault="00160403" w:rsidP="00412E09">
      <w:pPr>
        <w:ind w:left="851" w:hanging="862"/>
        <w:rPr>
          <w:rFonts w:eastAsia="Verdana" w:cs="Verdana"/>
          <w:color w:val="000000"/>
        </w:rPr>
      </w:pPr>
    </w:p>
    <w:p w14:paraId="4EADE649" w14:textId="35B2B2FE" w:rsidR="00160403" w:rsidRPr="00160403" w:rsidRDefault="00394A43" w:rsidP="00412E09">
      <w:pPr>
        <w:pStyle w:val="ListParagraph"/>
        <w:numPr>
          <w:ilvl w:val="1"/>
          <w:numId w:val="86"/>
        </w:numPr>
        <w:ind w:left="851" w:hanging="862"/>
        <w:rPr>
          <w:rFonts w:eastAsia="Verdana" w:cs="Verdana"/>
          <w:b/>
          <w:color w:val="000000"/>
        </w:rPr>
      </w:pPr>
      <w:r w:rsidRPr="00A543F9">
        <w:rPr>
          <w:rFonts w:eastAsia="Verdana" w:cs="Verdana"/>
          <w:b/>
          <w:color w:val="000000"/>
        </w:rPr>
        <w:t xml:space="preserve">The </w:t>
      </w:r>
      <w:r w:rsidR="00285D09">
        <w:rPr>
          <w:rFonts w:eastAsia="Verdana" w:cs="Verdana"/>
          <w:b/>
          <w:color w:val="000000"/>
        </w:rPr>
        <w:t xml:space="preserve">Committee may wish to </w:t>
      </w:r>
      <w:r w:rsidRPr="00A543F9">
        <w:rPr>
          <w:rFonts w:eastAsia="Verdana" w:cs="Verdana"/>
          <w:b/>
          <w:color w:val="000000"/>
        </w:rPr>
        <w:t xml:space="preserve">recommend that the </w:t>
      </w:r>
      <w:r w:rsidR="00770457">
        <w:rPr>
          <w:rFonts w:eastAsia="Verdana" w:cs="Verdana"/>
          <w:b/>
          <w:color w:val="000000"/>
        </w:rPr>
        <w:t>State Party</w:t>
      </w:r>
      <w:r>
        <w:rPr>
          <w:rFonts w:eastAsia="Verdana" w:cs="Verdana"/>
          <w:b/>
          <w:color w:val="000000"/>
        </w:rPr>
        <w:t xml:space="preserve"> </w:t>
      </w:r>
      <w:r w:rsidR="00B53EDB">
        <w:rPr>
          <w:rFonts w:eastAsia="Verdana" w:cs="Verdana"/>
          <w:b/>
          <w:color w:val="000000"/>
        </w:rPr>
        <w:t>ensure</w:t>
      </w:r>
      <w:r w:rsidR="00285D09">
        <w:rPr>
          <w:rFonts w:eastAsia="Verdana" w:cs="Verdana"/>
          <w:b/>
          <w:color w:val="000000"/>
        </w:rPr>
        <w:t>s</w:t>
      </w:r>
      <w:r w:rsidR="00B53EDB">
        <w:rPr>
          <w:rFonts w:eastAsia="Verdana" w:cs="Verdana"/>
          <w:b/>
          <w:color w:val="000000"/>
        </w:rPr>
        <w:t xml:space="preserve"> that the </w:t>
      </w:r>
      <w:r w:rsidR="00160403" w:rsidRPr="00160403">
        <w:rPr>
          <w:rFonts w:eastAsia="Verdana" w:cs="Verdana"/>
          <w:b/>
          <w:color w:val="000000"/>
        </w:rPr>
        <w:t>defence of reasonable chastisement of a child to a charge of common assault</w:t>
      </w:r>
      <w:r w:rsidR="00793374" w:rsidRPr="00160403">
        <w:rPr>
          <w:rFonts w:eastAsia="Verdana" w:cs="Verdana"/>
          <w:b/>
          <w:color w:val="000000"/>
        </w:rPr>
        <w:t xml:space="preserve"> </w:t>
      </w:r>
      <w:r w:rsidR="004E3EAC">
        <w:rPr>
          <w:rFonts w:eastAsia="Verdana" w:cs="Verdana"/>
          <w:b/>
          <w:color w:val="000000"/>
        </w:rPr>
        <w:t xml:space="preserve">is abolished </w:t>
      </w:r>
      <w:r w:rsidR="002B1AFB">
        <w:rPr>
          <w:rFonts w:eastAsia="Verdana" w:cs="Verdana"/>
          <w:b/>
          <w:color w:val="000000"/>
        </w:rPr>
        <w:t>in NI</w:t>
      </w:r>
      <w:r w:rsidR="004E3EAC">
        <w:rPr>
          <w:rFonts w:eastAsia="Verdana" w:cs="Verdana"/>
          <w:b/>
          <w:color w:val="000000"/>
        </w:rPr>
        <w:t xml:space="preserve">, which includes amending the </w:t>
      </w:r>
      <w:r w:rsidR="00160403" w:rsidRPr="00160403">
        <w:rPr>
          <w:rFonts w:eastAsia="Verdana" w:cs="Verdana"/>
          <w:b/>
          <w:color w:val="000000"/>
        </w:rPr>
        <w:t>Law Reform (Miscellaneous Provisions) (NI) Order 2006</w:t>
      </w:r>
      <w:r w:rsidR="00131EE2">
        <w:rPr>
          <w:rFonts w:eastAsia="Verdana" w:cs="Verdana"/>
          <w:b/>
          <w:color w:val="000000"/>
        </w:rPr>
        <w:t xml:space="preserve">. As an alternative, </w:t>
      </w:r>
      <w:r w:rsidR="00160403" w:rsidRPr="00160403">
        <w:rPr>
          <w:rFonts w:eastAsia="Verdana" w:cs="Verdana"/>
          <w:b/>
          <w:color w:val="000000"/>
        </w:rPr>
        <w:t xml:space="preserve">positive non-violent forms of discipline </w:t>
      </w:r>
      <w:r w:rsidR="00131EE2">
        <w:rPr>
          <w:rFonts w:eastAsia="Verdana" w:cs="Verdana"/>
          <w:b/>
          <w:color w:val="000000"/>
        </w:rPr>
        <w:t xml:space="preserve">should be further promoted </w:t>
      </w:r>
      <w:r w:rsidR="00160403" w:rsidRPr="00160403">
        <w:rPr>
          <w:rFonts w:eastAsia="Verdana" w:cs="Verdana"/>
          <w:b/>
          <w:color w:val="000000"/>
        </w:rPr>
        <w:t>via public campaigns</w:t>
      </w:r>
      <w:r w:rsidR="002B1AFB">
        <w:rPr>
          <w:rFonts w:eastAsia="Verdana" w:cs="Verdana"/>
          <w:b/>
          <w:color w:val="000000"/>
        </w:rPr>
        <w:t xml:space="preserve"> in NI</w:t>
      </w:r>
      <w:r w:rsidR="003A4BDF">
        <w:rPr>
          <w:rFonts w:eastAsia="Verdana" w:cs="Verdana"/>
          <w:b/>
          <w:color w:val="000000"/>
        </w:rPr>
        <w:t>.</w:t>
      </w:r>
    </w:p>
    <w:p w14:paraId="21557B16" w14:textId="77777777" w:rsidR="00CA149B" w:rsidRPr="00587912" w:rsidRDefault="00CA149B" w:rsidP="00412E09">
      <w:pPr>
        <w:ind w:left="851" w:hanging="862"/>
      </w:pPr>
    </w:p>
    <w:p w14:paraId="24F65D6C" w14:textId="6EF4134C" w:rsidR="00F550DD" w:rsidRPr="003050A6" w:rsidRDefault="00381579" w:rsidP="00412E09">
      <w:pPr>
        <w:pStyle w:val="Heading2"/>
        <w:ind w:left="851" w:hanging="862"/>
        <w:rPr>
          <w:szCs w:val="22"/>
        </w:rPr>
      </w:pPr>
      <w:bookmarkStart w:id="32" w:name="_Toc121922196"/>
      <w:r>
        <w:rPr>
          <w:szCs w:val="22"/>
        </w:rPr>
        <w:t>Domestic abuse</w:t>
      </w:r>
      <w:bookmarkEnd w:id="32"/>
    </w:p>
    <w:p w14:paraId="4AFB046A" w14:textId="034568C9" w:rsidR="002E7E36" w:rsidRPr="00E9654E" w:rsidRDefault="00DA1E06" w:rsidP="00412E09">
      <w:pPr>
        <w:pStyle w:val="ListParagraph"/>
        <w:numPr>
          <w:ilvl w:val="1"/>
          <w:numId w:val="86"/>
        </w:numPr>
        <w:ind w:left="851" w:hanging="862"/>
      </w:pPr>
      <w:r>
        <w:t>T</w:t>
      </w:r>
      <w:r w:rsidR="00863E77" w:rsidRPr="00863E77">
        <w:t xml:space="preserve">he Domestic Abuse and Civil Proceedings Act </w:t>
      </w:r>
      <w:r>
        <w:t xml:space="preserve">2021 </w:t>
      </w:r>
      <w:r w:rsidR="00863E77" w:rsidRPr="00863E77">
        <w:t xml:space="preserve">creates a new domestic abuse offence which captures patterns of psychological and emotional abuse. </w:t>
      </w:r>
      <w:r w:rsidR="00C11E14">
        <w:t xml:space="preserve">In its advice on the </w:t>
      </w:r>
      <w:r w:rsidR="00D001F1">
        <w:t>then</w:t>
      </w:r>
      <w:r w:rsidR="00C11E14">
        <w:t xml:space="preserve"> Bill, t</w:t>
      </w:r>
      <w:r w:rsidR="00863E77" w:rsidRPr="00863E77">
        <w:t xml:space="preserve">he NIHRC </w:t>
      </w:r>
      <w:r w:rsidR="00AE7C04">
        <w:t xml:space="preserve">had </w:t>
      </w:r>
      <w:r w:rsidR="00863E77" w:rsidRPr="00863E77">
        <w:t xml:space="preserve">recommended </w:t>
      </w:r>
      <w:r w:rsidR="00AE7C04">
        <w:t>that this legislation should expressly</w:t>
      </w:r>
      <w:r w:rsidR="00863E77" w:rsidRPr="00863E77">
        <w:t xml:space="preserve"> ensure the best interests of the child are </w:t>
      </w:r>
      <w:r w:rsidR="00191BBD">
        <w:t>a primary consideration</w:t>
      </w:r>
      <w:r w:rsidR="00191BBD" w:rsidRPr="00863E77">
        <w:t xml:space="preserve"> </w:t>
      </w:r>
      <w:r w:rsidR="00863E77" w:rsidRPr="00863E77">
        <w:t xml:space="preserve">regarding a child’s involvement in any related court proceedings and evidence gathering, </w:t>
      </w:r>
      <w:r w:rsidR="00AE7C04">
        <w:t>for example by making specific reference to</w:t>
      </w:r>
      <w:r w:rsidR="00AE7C04" w:rsidRPr="00863E77">
        <w:t xml:space="preserve"> </w:t>
      </w:r>
      <w:r w:rsidR="00863E77" w:rsidRPr="00863E77">
        <w:t xml:space="preserve">the </w:t>
      </w:r>
      <w:proofErr w:type="spellStart"/>
      <w:r w:rsidR="00863E77" w:rsidRPr="00863E77">
        <w:t>Barnahus</w:t>
      </w:r>
      <w:proofErr w:type="spellEnd"/>
      <w:r w:rsidR="00863E77" w:rsidRPr="00863E77">
        <w:t xml:space="preserve"> approach.</w:t>
      </w:r>
      <w:r w:rsidR="00863E77" w:rsidRPr="00863E77">
        <w:rPr>
          <w:vertAlign w:val="superscript"/>
        </w:rPr>
        <w:footnoteReference w:id="96"/>
      </w:r>
      <w:r w:rsidR="00863E77" w:rsidRPr="00863E77">
        <w:t xml:space="preserve"> This </w:t>
      </w:r>
      <w:r>
        <w:t>is not reflected in the 2021 Act.</w:t>
      </w:r>
      <w:r w:rsidR="002E7E36" w:rsidRPr="002E7E36">
        <w:rPr>
          <w:rFonts w:eastAsia="Times New Roman" w:cs="Segoe UI"/>
          <w:szCs w:val="24"/>
          <w:lang w:eastAsia="en-GB"/>
        </w:rPr>
        <w:t xml:space="preserve"> </w:t>
      </w:r>
    </w:p>
    <w:p w14:paraId="77C809D3" w14:textId="77777777" w:rsidR="00E9654E" w:rsidRPr="002E7E36" w:rsidRDefault="00E9654E" w:rsidP="00412E09">
      <w:pPr>
        <w:pStyle w:val="ListParagraph"/>
        <w:ind w:left="851" w:hanging="862"/>
      </w:pPr>
    </w:p>
    <w:p w14:paraId="67660D94" w14:textId="77777777" w:rsidR="003050A6" w:rsidRDefault="002E7E36" w:rsidP="00412E09">
      <w:pPr>
        <w:pStyle w:val="ListParagraph"/>
        <w:numPr>
          <w:ilvl w:val="1"/>
          <w:numId w:val="86"/>
        </w:numPr>
        <w:ind w:left="851" w:hanging="862"/>
      </w:pPr>
      <w:r w:rsidRPr="002E7E36">
        <w:t xml:space="preserve">From April 2021 to March 2022, there were </w:t>
      </w:r>
      <w:r w:rsidR="00C11E14">
        <w:t>nine</w:t>
      </w:r>
      <w:r w:rsidRPr="002E7E36">
        <w:t xml:space="preserve"> homicides in NI with a domestic motivation, with </w:t>
      </w:r>
      <w:r w:rsidR="00C11E14">
        <w:t>two</w:t>
      </w:r>
      <w:r w:rsidRPr="002E7E36">
        <w:t xml:space="preserve"> victims under 18</w:t>
      </w:r>
      <w:r w:rsidR="00DA1E06">
        <w:t xml:space="preserve"> years old</w:t>
      </w:r>
      <w:r w:rsidRPr="002E7E36">
        <w:t>.</w:t>
      </w:r>
      <w:r w:rsidRPr="002E7E36">
        <w:rPr>
          <w:vertAlign w:val="superscript"/>
        </w:rPr>
        <w:footnoteReference w:id="97"/>
      </w:r>
      <w:r w:rsidRPr="002E7E36">
        <w:t xml:space="preserve"> </w:t>
      </w:r>
      <w:r w:rsidR="00A23327">
        <w:t>State</w:t>
      </w:r>
      <w:r w:rsidR="00B0447F">
        <w:t>-</w:t>
      </w:r>
      <w:r w:rsidR="00A23327">
        <w:t xml:space="preserve">provided </w:t>
      </w:r>
      <w:r w:rsidR="008108E1">
        <w:t>statistics on domestic abuse do not disaggregate data by age.</w:t>
      </w:r>
      <w:r w:rsidR="008108E1">
        <w:rPr>
          <w:rStyle w:val="FootnoteReference"/>
        </w:rPr>
        <w:footnoteReference w:id="98"/>
      </w:r>
      <w:r w:rsidR="008108E1">
        <w:t xml:space="preserve"> </w:t>
      </w:r>
    </w:p>
    <w:p w14:paraId="5123E1B9" w14:textId="77777777" w:rsidR="003050A6" w:rsidRPr="003050A6" w:rsidRDefault="003050A6" w:rsidP="00412E09">
      <w:pPr>
        <w:pStyle w:val="ListParagraph"/>
        <w:ind w:left="851" w:hanging="862"/>
        <w:rPr>
          <w:rFonts w:eastAsia="Verdana" w:cs="Verdana"/>
          <w:b/>
          <w:color w:val="000000"/>
        </w:rPr>
      </w:pPr>
    </w:p>
    <w:p w14:paraId="369FE59C" w14:textId="22E24E9B" w:rsidR="00E9654E" w:rsidRPr="003050A6" w:rsidRDefault="003C6059" w:rsidP="00716FDB">
      <w:pPr>
        <w:pStyle w:val="ListParagraph"/>
        <w:numPr>
          <w:ilvl w:val="1"/>
          <w:numId w:val="86"/>
        </w:numPr>
        <w:ind w:left="851" w:hanging="862"/>
        <w:rPr>
          <w:b/>
        </w:rPr>
      </w:pPr>
      <w:r w:rsidRPr="003050A6">
        <w:rPr>
          <w:rFonts w:eastAsia="Verdana" w:cs="Verdana"/>
          <w:b/>
          <w:color w:val="000000"/>
        </w:rPr>
        <w:t xml:space="preserve">The </w:t>
      </w:r>
      <w:r w:rsidR="00285D09" w:rsidRPr="003050A6">
        <w:rPr>
          <w:rFonts w:eastAsia="Verdana" w:cs="Verdana"/>
          <w:b/>
          <w:color w:val="000000"/>
        </w:rPr>
        <w:t>Committee may wish to</w:t>
      </w:r>
      <w:r w:rsidRPr="003050A6">
        <w:rPr>
          <w:rFonts w:eastAsia="Verdana" w:cs="Verdana"/>
          <w:b/>
          <w:color w:val="000000"/>
        </w:rPr>
        <w:t xml:space="preserve"> recommend that the </w:t>
      </w:r>
      <w:r w:rsidR="00B0447F" w:rsidRPr="003050A6">
        <w:rPr>
          <w:rFonts w:eastAsia="Verdana" w:cs="Verdana"/>
          <w:b/>
          <w:color w:val="000000"/>
        </w:rPr>
        <w:t>State Party</w:t>
      </w:r>
      <w:r w:rsidR="00716FDB">
        <w:rPr>
          <w:rFonts w:eastAsia="Verdana" w:cs="Verdana"/>
          <w:b/>
          <w:color w:val="000000"/>
        </w:rPr>
        <w:t xml:space="preserve"> </w:t>
      </w:r>
      <w:r w:rsidR="00E9654E" w:rsidRPr="003050A6">
        <w:rPr>
          <w:b/>
        </w:rPr>
        <w:t>take</w:t>
      </w:r>
      <w:r w:rsidR="00285D09" w:rsidRPr="003050A6">
        <w:rPr>
          <w:b/>
        </w:rPr>
        <w:t>s</w:t>
      </w:r>
      <w:r w:rsidR="00E9654E" w:rsidRPr="003050A6">
        <w:rPr>
          <w:b/>
        </w:rPr>
        <w:t xml:space="preserve"> effective measures to ensure data on domestic abuse </w:t>
      </w:r>
      <w:r w:rsidR="00FF6F4C" w:rsidRPr="003050A6">
        <w:rPr>
          <w:b/>
        </w:rPr>
        <w:t xml:space="preserve">is comprehensive and </w:t>
      </w:r>
      <w:r w:rsidR="0036144A" w:rsidRPr="003050A6">
        <w:rPr>
          <w:b/>
        </w:rPr>
        <w:t xml:space="preserve">disaggregated in a way that </w:t>
      </w:r>
      <w:r w:rsidR="001D04E7" w:rsidRPr="003050A6">
        <w:rPr>
          <w:b/>
        </w:rPr>
        <w:t xml:space="preserve">is comparable and </w:t>
      </w:r>
      <w:r w:rsidR="0036144A" w:rsidRPr="003050A6">
        <w:rPr>
          <w:b/>
        </w:rPr>
        <w:t>reflects society</w:t>
      </w:r>
      <w:r w:rsidR="001D04E7" w:rsidRPr="003050A6">
        <w:rPr>
          <w:b/>
        </w:rPr>
        <w:t xml:space="preserve"> </w:t>
      </w:r>
      <w:r w:rsidR="00A57B76">
        <w:rPr>
          <w:b/>
        </w:rPr>
        <w:t>in NI</w:t>
      </w:r>
      <w:r w:rsidR="0036144A" w:rsidRPr="003050A6">
        <w:rPr>
          <w:b/>
        </w:rPr>
        <w:t>, for example, that it includes the age of victims</w:t>
      </w:r>
      <w:r w:rsidR="00716FDB">
        <w:rPr>
          <w:b/>
        </w:rPr>
        <w:t>.</w:t>
      </w:r>
    </w:p>
    <w:p w14:paraId="021B300B" w14:textId="77777777" w:rsidR="00285D09" w:rsidRPr="003050A6" w:rsidRDefault="00285D09" w:rsidP="00412E09">
      <w:pPr>
        <w:pStyle w:val="ListParagraph"/>
        <w:ind w:left="851" w:hanging="862"/>
        <w:rPr>
          <w:b/>
        </w:rPr>
      </w:pPr>
    </w:p>
    <w:p w14:paraId="589DA311" w14:textId="68621888" w:rsidR="002E67A1" w:rsidRPr="003050A6" w:rsidRDefault="00716FDB" w:rsidP="00716FDB">
      <w:pPr>
        <w:pStyle w:val="ListParagraph"/>
        <w:numPr>
          <w:ilvl w:val="1"/>
          <w:numId w:val="86"/>
        </w:numPr>
        <w:ind w:left="851" w:hanging="862"/>
        <w:rPr>
          <w:b/>
        </w:rPr>
      </w:pPr>
      <w:r w:rsidRPr="003050A6">
        <w:rPr>
          <w:rFonts w:eastAsia="Verdana" w:cs="Verdana"/>
          <w:b/>
          <w:color w:val="000000"/>
        </w:rPr>
        <w:t>The Committee may wish to recommend that the State Party</w:t>
      </w:r>
      <w:r>
        <w:rPr>
          <w:rFonts w:eastAsia="Verdana" w:cs="Verdana"/>
          <w:b/>
          <w:color w:val="000000"/>
        </w:rPr>
        <w:t xml:space="preserve"> </w:t>
      </w:r>
      <w:r w:rsidR="00E9654E" w:rsidRPr="003050A6">
        <w:rPr>
          <w:b/>
        </w:rPr>
        <w:t>ensure</w:t>
      </w:r>
      <w:r w:rsidR="00285D09" w:rsidRPr="003050A6">
        <w:rPr>
          <w:b/>
        </w:rPr>
        <w:t>s</w:t>
      </w:r>
      <w:r w:rsidR="00092633" w:rsidRPr="003050A6">
        <w:rPr>
          <w:b/>
        </w:rPr>
        <w:t xml:space="preserve"> that</w:t>
      </w:r>
      <w:r w:rsidR="00E9654E" w:rsidRPr="003050A6">
        <w:rPr>
          <w:b/>
        </w:rPr>
        <w:t xml:space="preserve"> the best </w:t>
      </w:r>
      <w:proofErr w:type="gramStart"/>
      <w:r w:rsidR="00E9654E" w:rsidRPr="003050A6">
        <w:rPr>
          <w:b/>
        </w:rPr>
        <w:t>interests</w:t>
      </w:r>
      <w:proofErr w:type="gramEnd"/>
      <w:r w:rsidR="00E9654E" w:rsidRPr="003050A6">
        <w:rPr>
          <w:b/>
        </w:rPr>
        <w:t xml:space="preserve"> of the child is </w:t>
      </w:r>
      <w:r w:rsidR="00191BBD" w:rsidRPr="003050A6">
        <w:rPr>
          <w:b/>
        </w:rPr>
        <w:t xml:space="preserve">a </w:t>
      </w:r>
      <w:r w:rsidR="00E9654E" w:rsidRPr="003050A6">
        <w:rPr>
          <w:b/>
        </w:rPr>
        <w:t xml:space="preserve">primary </w:t>
      </w:r>
      <w:r w:rsidR="00191BBD" w:rsidRPr="003050A6">
        <w:rPr>
          <w:b/>
        </w:rPr>
        <w:t xml:space="preserve">consideration </w:t>
      </w:r>
      <w:r w:rsidR="00E9654E" w:rsidRPr="003050A6">
        <w:rPr>
          <w:b/>
        </w:rPr>
        <w:t>in tackling</w:t>
      </w:r>
      <w:r w:rsidR="00F80C30" w:rsidRPr="003050A6">
        <w:rPr>
          <w:b/>
        </w:rPr>
        <w:t xml:space="preserve"> domestic abuse</w:t>
      </w:r>
      <w:r w:rsidR="001D04E7" w:rsidRPr="003050A6">
        <w:rPr>
          <w:b/>
        </w:rPr>
        <w:t xml:space="preserve"> </w:t>
      </w:r>
      <w:r w:rsidR="00C94651">
        <w:rPr>
          <w:b/>
        </w:rPr>
        <w:t>in NI</w:t>
      </w:r>
      <w:r w:rsidR="00F80C30" w:rsidRPr="003050A6">
        <w:rPr>
          <w:b/>
        </w:rPr>
        <w:t xml:space="preserve">, for example, by </w:t>
      </w:r>
      <w:r w:rsidR="005E4989" w:rsidRPr="003050A6">
        <w:rPr>
          <w:b/>
        </w:rPr>
        <w:t>including a requirement to adopt</w:t>
      </w:r>
      <w:r w:rsidR="00F80C30" w:rsidRPr="003050A6">
        <w:rPr>
          <w:b/>
        </w:rPr>
        <w:t xml:space="preserve"> the </w:t>
      </w:r>
      <w:proofErr w:type="spellStart"/>
      <w:r w:rsidR="00F80C30" w:rsidRPr="003050A6">
        <w:rPr>
          <w:b/>
        </w:rPr>
        <w:t>Barnahus</w:t>
      </w:r>
      <w:proofErr w:type="spellEnd"/>
      <w:r w:rsidR="00F80C30" w:rsidRPr="003050A6">
        <w:rPr>
          <w:b/>
        </w:rPr>
        <w:t xml:space="preserve"> approach</w:t>
      </w:r>
      <w:r w:rsidR="005E4989" w:rsidRPr="003050A6">
        <w:rPr>
          <w:b/>
        </w:rPr>
        <w:t xml:space="preserve"> where relevant</w:t>
      </w:r>
      <w:r w:rsidR="00F80C30" w:rsidRPr="003050A6">
        <w:rPr>
          <w:b/>
        </w:rPr>
        <w:t>.</w:t>
      </w:r>
    </w:p>
    <w:p w14:paraId="505B4807" w14:textId="5E6D68CE" w:rsidR="00DF5ED4" w:rsidRPr="00587912" w:rsidRDefault="00DF5ED4" w:rsidP="00412E09">
      <w:pPr>
        <w:ind w:left="851" w:hanging="862"/>
      </w:pPr>
    </w:p>
    <w:p w14:paraId="7469EE8C" w14:textId="615C77E3" w:rsidR="004B50A9" w:rsidRPr="003345F7" w:rsidRDefault="005C7147" w:rsidP="00412E09">
      <w:pPr>
        <w:pStyle w:val="Heading2"/>
        <w:ind w:left="851" w:hanging="862"/>
        <w:rPr>
          <w:szCs w:val="22"/>
        </w:rPr>
      </w:pPr>
      <w:bookmarkStart w:id="33" w:name="_Toc121922197"/>
      <w:r w:rsidRPr="00587912">
        <w:rPr>
          <w:szCs w:val="22"/>
        </w:rPr>
        <w:t xml:space="preserve">Female </w:t>
      </w:r>
      <w:r w:rsidR="003345F7">
        <w:rPr>
          <w:szCs w:val="22"/>
        </w:rPr>
        <w:t>g</w:t>
      </w:r>
      <w:r w:rsidRPr="00587912">
        <w:rPr>
          <w:szCs w:val="22"/>
        </w:rPr>
        <w:t xml:space="preserve">enital </w:t>
      </w:r>
      <w:r w:rsidR="003345F7">
        <w:rPr>
          <w:szCs w:val="22"/>
        </w:rPr>
        <w:t>m</w:t>
      </w:r>
      <w:r w:rsidRPr="00587912">
        <w:rPr>
          <w:szCs w:val="22"/>
        </w:rPr>
        <w:t>utilation</w:t>
      </w:r>
      <w:bookmarkEnd w:id="33"/>
    </w:p>
    <w:p w14:paraId="128AAC61" w14:textId="357B2232" w:rsidR="005B2E02" w:rsidRDefault="00920062" w:rsidP="00412E09">
      <w:pPr>
        <w:pStyle w:val="ListParagraph"/>
        <w:numPr>
          <w:ilvl w:val="1"/>
          <w:numId w:val="86"/>
        </w:numPr>
        <w:ind w:left="851" w:hanging="862"/>
        <w:rPr>
          <w:rFonts w:eastAsia="Verdana" w:cs="Verdana"/>
          <w:color w:val="000000"/>
        </w:rPr>
      </w:pPr>
      <w:r w:rsidRPr="00920062">
        <w:rPr>
          <w:rFonts w:eastAsia="Verdana" w:cs="Verdana"/>
          <w:color w:val="000000"/>
        </w:rPr>
        <w:t xml:space="preserve">Female </w:t>
      </w:r>
      <w:r w:rsidR="003345F7">
        <w:rPr>
          <w:rFonts w:eastAsia="Verdana" w:cs="Verdana"/>
          <w:color w:val="000000"/>
        </w:rPr>
        <w:t>g</w:t>
      </w:r>
      <w:r w:rsidRPr="00920062">
        <w:rPr>
          <w:rFonts w:eastAsia="Verdana" w:cs="Verdana"/>
          <w:color w:val="000000"/>
        </w:rPr>
        <w:t xml:space="preserve">enital </w:t>
      </w:r>
      <w:r w:rsidR="003345F7">
        <w:rPr>
          <w:rFonts w:eastAsia="Verdana" w:cs="Verdana"/>
          <w:color w:val="000000"/>
        </w:rPr>
        <w:t>m</w:t>
      </w:r>
      <w:r w:rsidRPr="00920062">
        <w:rPr>
          <w:rFonts w:eastAsia="Verdana" w:cs="Verdana"/>
          <w:color w:val="000000"/>
        </w:rPr>
        <w:t>utilation</w:t>
      </w:r>
      <w:r w:rsidR="00CB7332">
        <w:rPr>
          <w:rFonts w:eastAsia="Verdana" w:cs="Verdana"/>
          <w:color w:val="000000"/>
        </w:rPr>
        <w:t xml:space="preserve"> </w:t>
      </w:r>
      <w:r w:rsidRPr="00920062">
        <w:rPr>
          <w:rFonts w:eastAsia="Verdana" w:cs="Verdana"/>
          <w:color w:val="000000"/>
        </w:rPr>
        <w:t>is an offence in NI.</w:t>
      </w:r>
      <w:r w:rsidRPr="00920062">
        <w:rPr>
          <w:rFonts w:eastAsia="Verdana" w:cs="Verdana"/>
          <w:color w:val="000000"/>
          <w:vertAlign w:val="superscript"/>
        </w:rPr>
        <w:footnoteReference w:id="99"/>
      </w:r>
      <w:r w:rsidRPr="00920062">
        <w:rPr>
          <w:rFonts w:eastAsia="Verdana" w:cs="Verdana"/>
          <w:color w:val="000000"/>
        </w:rPr>
        <w:t xml:space="preserve"> In 202</w:t>
      </w:r>
      <w:r w:rsidR="003C62D4">
        <w:rPr>
          <w:rFonts w:eastAsia="Verdana" w:cs="Verdana"/>
          <w:color w:val="000000"/>
        </w:rPr>
        <w:t>2</w:t>
      </w:r>
      <w:r w:rsidRPr="00920062">
        <w:rPr>
          <w:rFonts w:eastAsia="Verdana" w:cs="Verdana"/>
          <w:color w:val="000000"/>
        </w:rPr>
        <w:t xml:space="preserve">, the NI Department of Health confirmed that </w:t>
      </w:r>
      <w:r w:rsidR="000C11A6">
        <w:rPr>
          <w:rFonts w:eastAsia="Verdana" w:cs="Verdana"/>
          <w:color w:val="000000"/>
        </w:rPr>
        <w:t xml:space="preserve">multi-agency practice </w:t>
      </w:r>
      <w:r w:rsidRPr="00920062">
        <w:rPr>
          <w:rFonts w:eastAsia="Verdana" w:cs="Verdana"/>
          <w:color w:val="000000"/>
        </w:rPr>
        <w:t xml:space="preserve">guidelines </w:t>
      </w:r>
      <w:r w:rsidR="002F17FB">
        <w:rPr>
          <w:rFonts w:eastAsia="Verdana" w:cs="Verdana"/>
          <w:color w:val="000000"/>
        </w:rPr>
        <w:t>are</w:t>
      </w:r>
      <w:r w:rsidRPr="00920062">
        <w:rPr>
          <w:rFonts w:eastAsia="Verdana" w:cs="Verdana"/>
          <w:color w:val="000000"/>
        </w:rPr>
        <w:t xml:space="preserve"> being revised and updated to account for F</w:t>
      </w:r>
      <w:r w:rsidR="00553B2C">
        <w:rPr>
          <w:rFonts w:eastAsia="Verdana" w:cs="Verdana"/>
          <w:color w:val="000000"/>
        </w:rPr>
        <w:t xml:space="preserve">emale </w:t>
      </w:r>
      <w:r w:rsidRPr="00920062">
        <w:rPr>
          <w:rFonts w:eastAsia="Verdana" w:cs="Verdana"/>
          <w:color w:val="000000"/>
        </w:rPr>
        <w:t>G</w:t>
      </w:r>
      <w:r w:rsidR="00553B2C">
        <w:rPr>
          <w:rFonts w:eastAsia="Verdana" w:cs="Verdana"/>
          <w:color w:val="000000"/>
        </w:rPr>
        <w:t xml:space="preserve">enital </w:t>
      </w:r>
      <w:r w:rsidR="00553B2C" w:rsidRPr="00920062">
        <w:rPr>
          <w:rFonts w:eastAsia="Verdana" w:cs="Verdana"/>
          <w:color w:val="000000"/>
        </w:rPr>
        <w:t>M</w:t>
      </w:r>
      <w:r w:rsidR="00553B2C">
        <w:rPr>
          <w:rFonts w:eastAsia="Verdana" w:cs="Verdana"/>
          <w:color w:val="000000"/>
        </w:rPr>
        <w:t>utilation</w:t>
      </w:r>
      <w:r w:rsidRPr="00920062">
        <w:rPr>
          <w:rFonts w:eastAsia="Verdana" w:cs="Verdana"/>
          <w:color w:val="000000"/>
        </w:rPr>
        <w:t xml:space="preserve"> Protection Orders, new care pathways</w:t>
      </w:r>
      <w:r w:rsidR="00CB7332">
        <w:rPr>
          <w:rFonts w:eastAsia="Verdana" w:cs="Verdana"/>
          <w:color w:val="000000"/>
        </w:rPr>
        <w:t xml:space="preserve"> and </w:t>
      </w:r>
      <w:r w:rsidRPr="00920062">
        <w:rPr>
          <w:rFonts w:eastAsia="Verdana" w:cs="Verdana"/>
          <w:color w:val="000000"/>
        </w:rPr>
        <w:t>a risk assessment tool.</w:t>
      </w:r>
      <w:r w:rsidR="00CA5D3C">
        <w:rPr>
          <w:rStyle w:val="FootnoteReference"/>
          <w:rFonts w:eastAsia="Verdana" w:cs="Verdana"/>
          <w:color w:val="000000"/>
        </w:rPr>
        <w:footnoteReference w:id="100"/>
      </w:r>
      <w:r w:rsidR="00CA5D3C">
        <w:rPr>
          <w:rFonts w:eastAsia="Verdana" w:cs="Verdana"/>
          <w:color w:val="000000"/>
        </w:rPr>
        <w:t xml:space="preserve"> </w:t>
      </w:r>
      <w:r w:rsidRPr="00920062">
        <w:rPr>
          <w:rFonts w:eastAsia="Verdana" w:cs="Verdana"/>
          <w:color w:val="000000"/>
        </w:rPr>
        <w:t>F</w:t>
      </w:r>
      <w:r w:rsidR="00553B2C">
        <w:rPr>
          <w:rFonts w:eastAsia="Verdana" w:cs="Verdana"/>
          <w:color w:val="000000"/>
        </w:rPr>
        <w:t xml:space="preserve">emale </w:t>
      </w:r>
      <w:r w:rsidRPr="00920062">
        <w:rPr>
          <w:rFonts w:eastAsia="Verdana" w:cs="Verdana"/>
          <w:color w:val="000000"/>
        </w:rPr>
        <w:t>G</w:t>
      </w:r>
      <w:r w:rsidR="00553B2C">
        <w:rPr>
          <w:rFonts w:eastAsia="Verdana" w:cs="Verdana"/>
          <w:color w:val="000000"/>
        </w:rPr>
        <w:t xml:space="preserve">enital </w:t>
      </w:r>
      <w:r w:rsidRPr="00920062">
        <w:rPr>
          <w:rFonts w:eastAsia="Verdana" w:cs="Verdana"/>
          <w:color w:val="000000"/>
        </w:rPr>
        <w:t>M</w:t>
      </w:r>
      <w:r w:rsidR="00553B2C">
        <w:rPr>
          <w:rFonts w:eastAsia="Verdana" w:cs="Verdana"/>
          <w:color w:val="000000"/>
        </w:rPr>
        <w:t>utilation</w:t>
      </w:r>
      <w:r w:rsidRPr="00920062">
        <w:rPr>
          <w:rFonts w:eastAsia="Verdana" w:cs="Verdana"/>
          <w:color w:val="000000"/>
        </w:rPr>
        <w:t xml:space="preserve"> Protection Orders can stop a child being taken out o</w:t>
      </w:r>
      <w:r w:rsidR="002A12E9">
        <w:rPr>
          <w:rFonts w:eastAsia="Verdana" w:cs="Verdana"/>
          <w:color w:val="000000"/>
        </w:rPr>
        <w:t>f</w:t>
      </w:r>
      <w:r w:rsidRPr="00920062">
        <w:rPr>
          <w:rFonts w:eastAsia="Verdana" w:cs="Verdana"/>
          <w:color w:val="000000"/>
        </w:rPr>
        <w:t xml:space="preserve"> </w:t>
      </w:r>
      <w:r w:rsidR="006C13B9">
        <w:rPr>
          <w:rFonts w:eastAsia="Verdana" w:cs="Verdana"/>
          <w:color w:val="000000"/>
        </w:rPr>
        <w:t>NI</w:t>
      </w:r>
      <w:r w:rsidRPr="00920062">
        <w:rPr>
          <w:rFonts w:eastAsia="Verdana" w:cs="Verdana"/>
          <w:color w:val="000000"/>
        </w:rPr>
        <w:t xml:space="preserve"> or stop family members bringing a child to NI to carry out a </w:t>
      </w:r>
      <w:r w:rsidR="003345F7">
        <w:rPr>
          <w:rFonts w:eastAsia="Verdana" w:cs="Verdana"/>
          <w:color w:val="000000"/>
        </w:rPr>
        <w:t>f</w:t>
      </w:r>
      <w:r w:rsidR="006C13B9">
        <w:rPr>
          <w:rFonts w:eastAsia="Verdana" w:cs="Verdana"/>
          <w:color w:val="000000"/>
        </w:rPr>
        <w:t xml:space="preserve">emale </w:t>
      </w:r>
      <w:r w:rsidR="003345F7">
        <w:rPr>
          <w:rFonts w:eastAsia="Verdana" w:cs="Verdana"/>
          <w:color w:val="000000"/>
        </w:rPr>
        <w:t>g</w:t>
      </w:r>
      <w:r w:rsidR="006C13B9">
        <w:rPr>
          <w:rFonts w:eastAsia="Verdana" w:cs="Verdana"/>
          <w:color w:val="000000"/>
        </w:rPr>
        <w:t xml:space="preserve">enital </w:t>
      </w:r>
      <w:r w:rsidR="003345F7">
        <w:rPr>
          <w:rFonts w:eastAsia="Verdana" w:cs="Verdana"/>
          <w:color w:val="000000"/>
        </w:rPr>
        <w:t>m</w:t>
      </w:r>
      <w:r w:rsidR="006C13B9">
        <w:rPr>
          <w:rFonts w:eastAsia="Verdana" w:cs="Verdana"/>
          <w:color w:val="000000"/>
        </w:rPr>
        <w:t>utilation</w:t>
      </w:r>
      <w:r w:rsidRPr="00920062">
        <w:rPr>
          <w:rFonts w:eastAsia="Verdana" w:cs="Verdana"/>
          <w:color w:val="000000"/>
        </w:rPr>
        <w:t xml:space="preserve"> procedure.</w:t>
      </w:r>
      <w:r w:rsidRPr="00920062">
        <w:rPr>
          <w:rFonts w:eastAsia="Verdana" w:cs="Verdana"/>
          <w:color w:val="000000"/>
          <w:vertAlign w:val="superscript"/>
        </w:rPr>
        <w:footnoteReference w:id="101"/>
      </w:r>
    </w:p>
    <w:p w14:paraId="33102BA2" w14:textId="0E66A312" w:rsidR="005B2E02" w:rsidRDefault="007B4D04" w:rsidP="00412E09">
      <w:pPr>
        <w:pStyle w:val="ListParagraph"/>
        <w:ind w:left="851" w:hanging="862"/>
        <w:rPr>
          <w:rFonts w:eastAsia="Verdana" w:cs="Verdana"/>
          <w:color w:val="000000"/>
        </w:rPr>
      </w:pPr>
      <w:r>
        <w:rPr>
          <w:rFonts w:eastAsia="Verdana" w:cs="Verdana"/>
          <w:color w:val="000000"/>
        </w:rPr>
        <w:t xml:space="preserve"> </w:t>
      </w:r>
    </w:p>
    <w:p w14:paraId="52F38BA6" w14:textId="2945AE54" w:rsidR="00D938F5" w:rsidRDefault="00900220" w:rsidP="00412E09">
      <w:pPr>
        <w:pStyle w:val="ListParagraph"/>
        <w:numPr>
          <w:ilvl w:val="1"/>
          <w:numId w:val="86"/>
        </w:numPr>
        <w:ind w:left="851" w:hanging="862"/>
        <w:rPr>
          <w:rFonts w:eastAsia="Verdana" w:cs="Verdana"/>
          <w:color w:val="000000"/>
        </w:rPr>
      </w:pPr>
      <w:r>
        <w:rPr>
          <w:rFonts w:eastAsia="Verdana" w:cs="Verdana"/>
          <w:color w:val="000000"/>
        </w:rPr>
        <w:t>The</w:t>
      </w:r>
      <w:r w:rsidR="007B4D04">
        <w:rPr>
          <w:rFonts w:eastAsia="Verdana" w:cs="Verdana"/>
          <w:color w:val="000000"/>
        </w:rPr>
        <w:t xml:space="preserve"> Adoption and Children Act (NI) </w:t>
      </w:r>
      <w:r w:rsidR="004919F4">
        <w:rPr>
          <w:rFonts w:eastAsia="Verdana" w:cs="Verdana"/>
          <w:color w:val="000000"/>
        </w:rPr>
        <w:t>2022 will, once commenced, enable F</w:t>
      </w:r>
      <w:r w:rsidR="006C13B9">
        <w:rPr>
          <w:rFonts w:eastAsia="Verdana" w:cs="Verdana"/>
          <w:color w:val="000000"/>
        </w:rPr>
        <w:t xml:space="preserve">emale </w:t>
      </w:r>
      <w:r w:rsidR="004919F4">
        <w:rPr>
          <w:rFonts w:eastAsia="Verdana" w:cs="Verdana"/>
          <w:color w:val="000000"/>
        </w:rPr>
        <w:t>G</w:t>
      </w:r>
      <w:r w:rsidR="00B21D25">
        <w:rPr>
          <w:rFonts w:eastAsia="Verdana" w:cs="Verdana"/>
          <w:color w:val="000000"/>
        </w:rPr>
        <w:t xml:space="preserve">enital </w:t>
      </w:r>
      <w:r w:rsidR="004919F4">
        <w:rPr>
          <w:rFonts w:eastAsia="Verdana" w:cs="Verdana"/>
          <w:color w:val="000000"/>
        </w:rPr>
        <w:t>M</w:t>
      </w:r>
      <w:r w:rsidR="00B21D25">
        <w:rPr>
          <w:rFonts w:eastAsia="Verdana" w:cs="Verdana"/>
          <w:color w:val="000000"/>
        </w:rPr>
        <w:t>utilation</w:t>
      </w:r>
      <w:r w:rsidR="004919F4">
        <w:rPr>
          <w:rFonts w:eastAsia="Verdana" w:cs="Verdana"/>
          <w:color w:val="000000"/>
        </w:rPr>
        <w:t xml:space="preserve"> Protection Orders to be classified as family proceedings </w:t>
      </w:r>
      <w:r w:rsidR="005B2E02">
        <w:rPr>
          <w:rFonts w:eastAsia="Verdana" w:cs="Verdana"/>
          <w:color w:val="000000"/>
        </w:rPr>
        <w:t>to empower courts to make other orders at the same time to protect a child</w:t>
      </w:r>
      <w:r w:rsidR="00A71A5B">
        <w:rPr>
          <w:rFonts w:eastAsia="Verdana" w:cs="Verdana"/>
          <w:color w:val="000000"/>
        </w:rPr>
        <w:t>, such as a care order or supervision order.</w:t>
      </w:r>
      <w:r w:rsidR="00DE6FD7">
        <w:rPr>
          <w:rStyle w:val="FootnoteReference"/>
          <w:rFonts w:eastAsia="Verdana" w:cs="Verdana"/>
          <w:color w:val="000000"/>
        </w:rPr>
        <w:footnoteReference w:id="102"/>
      </w:r>
      <w:r w:rsidR="000B44C4">
        <w:rPr>
          <w:rFonts w:eastAsia="Verdana" w:cs="Verdana"/>
          <w:color w:val="000000"/>
        </w:rPr>
        <w:t xml:space="preserve"> This provision is due to commence in 2023/</w:t>
      </w:r>
      <w:r w:rsidR="00B21D25">
        <w:rPr>
          <w:rFonts w:eastAsia="Verdana" w:cs="Verdana"/>
          <w:color w:val="000000"/>
        </w:rPr>
        <w:t>20</w:t>
      </w:r>
      <w:r w:rsidR="000B44C4">
        <w:rPr>
          <w:rFonts w:eastAsia="Verdana" w:cs="Verdana"/>
          <w:color w:val="000000"/>
        </w:rPr>
        <w:t>24</w:t>
      </w:r>
      <w:r w:rsidR="00E85B70">
        <w:rPr>
          <w:rFonts w:eastAsia="Verdana" w:cs="Verdana"/>
          <w:color w:val="000000"/>
        </w:rPr>
        <w:t>, subject to a functioning NI Executive.</w:t>
      </w:r>
      <w:r w:rsidR="00B7432E">
        <w:rPr>
          <w:rFonts w:eastAsia="Verdana" w:cs="Verdana"/>
          <w:color w:val="000000"/>
        </w:rPr>
        <w:t xml:space="preserve"> However, </w:t>
      </w:r>
      <w:r w:rsidR="00F943E1">
        <w:rPr>
          <w:rFonts w:eastAsia="Verdana" w:cs="Verdana"/>
          <w:color w:val="000000"/>
        </w:rPr>
        <w:t xml:space="preserve">specialised </w:t>
      </w:r>
      <w:r w:rsidR="00297F3C">
        <w:rPr>
          <w:rFonts w:eastAsia="Verdana" w:cs="Verdana"/>
          <w:color w:val="000000"/>
        </w:rPr>
        <w:t>psychosocial therapeutic interventions</w:t>
      </w:r>
      <w:r w:rsidR="00B7432E">
        <w:rPr>
          <w:rFonts w:eastAsia="Verdana" w:cs="Verdana"/>
          <w:color w:val="000000"/>
        </w:rPr>
        <w:t xml:space="preserve">, such as the Guardian Project in </w:t>
      </w:r>
      <w:r w:rsidR="00011E03">
        <w:rPr>
          <w:rFonts w:eastAsia="Verdana" w:cs="Verdana"/>
          <w:color w:val="000000"/>
        </w:rPr>
        <w:t>Greater Manchester</w:t>
      </w:r>
      <w:r w:rsidR="00B7432E">
        <w:rPr>
          <w:rFonts w:eastAsia="Verdana" w:cs="Verdana"/>
          <w:color w:val="000000"/>
        </w:rPr>
        <w:t>, are lacking in NI.</w:t>
      </w:r>
      <w:r w:rsidR="001851EE">
        <w:rPr>
          <w:rStyle w:val="FootnoteReference"/>
          <w:rFonts w:eastAsia="Verdana" w:cs="Verdana"/>
          <w:color w:val="000000"/>
        </w:rPr>
        <w:footnoteReference w:id="103"/>
      </w:r>
    </w:p>
    <w:p w14:paraId="0517B08C" w14:textId="77777777" w:rsidR="002459B9" w:rsidRPr="004D5099" w:rsidRDefault="002459B9" w:rsidP="00412E09">
      <w:pPr>
        <w:ind w:left="851" w:hanging="862"/>
        <w:rPr>
          <w:b/>
        </w:rPr>
      </w:pPr>
    </w:p>
    <w:p w14:paraId="078CF768" w14:textId="5AE0C9AA" w:rsidR="002459B9" w:rsidRPr="00733463" w:rsidRDefault="00E83CD3" w:rsidP="00412E09">
      <w:pPr>
        <w:pStyle w:val="ListParagraph"/>
        <w:numPr>
          <w:ilvl w:val="1"/>
          <w:numId w:val="86"/>
        </w:numPr>
        <w:ind w:left="851" w:hanging="862"/>
        <w:rPr>
          <w:b/>
        </w:rPr>
      </w:pPr>
      <w:r>
        <w:rPr>
          <w:b/>
        </w:rPr>
        <w:t xml:space="preserve">The </w:t>
      </w:r>
      <w:r w:rsidR="00285D09">
        <w:rPr>
          <w:b/>
        </w:rPr>
        <w:t>Committee may wish to recommend that the</w:t>
      </w:r>
      <w:r>
        <w:rPr>
          <w:b/>
        </w:rPr>
        <w:t xml:space="preserve"> </w:t>
      </w:r>
      <w:r w:rsidR="003345F7">
        <w:rPr>
          <w:b/>
        </w:rPr>
        <w:t>State Party</w:t>
      </w:r>
      <w:r>
        <w:rPr>
          <w:b/>
        </w:rPr>
        <w:t xml:space="preserve"> </w:t>
      </w:r>
      <w:r w:rsidR="002305C9">
        <w:rPr>
          <w:b/>
        </w:rPr>
        <w:t>ensure</w:t>
      </w:r>
      <w:r w:rsidR="00285D09">
        <w:rPr>
          <w:b/>
        </w:rPr>
        <w:t>s</w:t>
      </w:r>
      <w:r w:rsidR="00733463">
        <w:rPr>
          <w:b/>
        </w:rPr>
        <w:t xml:space="preserve"> </w:t>
      </w:r>
      <w:r w:rsidR="0088771F">
        <w:rPr>
          <w:b/>
        </w:rPr>
        <w:t>specialised</w:t>
      </w:r>
      <w:r w:rsidR="003329B1">
        <w:rPr>
          <w:b/>
        </w:rPr>
        <w:t xml:space="preserve"> and </w:t>
      </w:r>
      <w:r w:rsidR="0088771F">
        <w:rPr>
          <w:b/>
        </w:rPr>
        <w:t>accessible support</w:t>
      </w:r>
      <w:r w:rsidR="00681791">
        <w:rPr>
          <w:b/>
        </w:rPr>
        <w:t xml:space="preserve"> </w:t>
      </w:r>
      <w:r w:rsidR="00315943">
        <w:rPr>
          <w:b/>
        </w:rPr>
        <w:t xml:space="preserve">is available </w:t>
      </w:r>
      <w:r w:rsidR="0088771F">
        <w:rPr>
          <w:b/>
        </w:rPr>
        <w:t>for child</w:t>
      </w:r>
      <w:r w:rsidR="00556F21">
        <w:rPr>
          <w:b/>
        </w:rPr>
        <w:t>ren at risk or</w:t>
      </w:r>
      <w:r w:rsidR="0088771F">
        <w:rPr>
          <w:b/>
        </w:rPr>
        <w:t xml:space="preserve"> victim</w:t>
      </w:r>
      <w:r w:rsidR="003329B1">
        <w:rPr>
          <w:b/>
        </w:rPr>
        <w:t xml:space="preserve"> of</w:t>
      </w:r>
      <w:r w:rsidR="00286292">
        <w:rPr>
          <w:b/>
        </w:rPr>
        <w:t xml:space="preserve"> female genital mutilation</w:t>
      </w:r>
      <w:r w:rsidR="00B24975">
        <w:rPr>
          <w:b/>
        </w:rPr>
        <w:t xml:space="preserve"> </w:t>
      </w:r>
      <w:r w:rsidR="00011E03">
        <w:rPr>
          <w:b/>
        </w:rPr>
        <w:t>in NI,</w:t>
      </w:r>
      <w:r w:rsidR="00D56F24">
        <w:rPr>
          <w:b/>
        </w:rPr>
        <w:t xml:space="preserve"> such as</w:t>
      </w:r>
      <w:r w:rsidR="00386D28">
        <w:rPr>
          <w:b/>
        </w:rPr>
        <w:t xml:space="preserve"> the Guardian Project</w:t>
      </w:r>
      <w:r w:rsidR="004D5099">
        <w:rPr>
          <w:b/>
        </w:rPr>
        <w:t xml:space="preserve"> established in </w:t>
      </w:r>
      <w:r w:rsidR="00011E03">
        <w:rPr>
          <w:b/>
        </w:rPr>
        <w:t>Greater Manchester</w:t>
      </w:r>
      <w:r w:rsidR="00386D28">
        <w:rPr>
          <w:b/>
        </w:rPr>
        <w:t xml:space="preserve">. </w:t>
      </w:r>
    </w:p>
    <w:p w14:paraId="6C143D01" w14:textId="38E8DB7A" w:rsidR="00AA61D0" w:rsidRPr="00587912" w:rsidRDefault="00AA61D0" w:rsidP="00412E09">
      <w:pPr>
        <w:ind w:left="851" w:hanging="862"/>
      </w:pPr>
    </w:p>
    <w:p w14:paraId="7CD81425" w14:textId="1D1DE120" w:rsidR="00DA6596" w:rsidRPr="00B24975" w:rsidRDefault="005C7147" w:rsidP="00412E09">
      <w:pPr>
        <w:pStyle w:val="Heading2"/>
        <w:ind w:left="851" w:hanging="862"/>
        <w:rPr>
          <w:szCs w:val="22"/>
        </w:rPr>
      </w:pPr>
      <w:bookmarkStart w:id="34" w:name="_Toc121922198"/>
      <w:r w:rsidRPr="00587912">
        <w:rPr>
          <w:szCs w:val="22"/>
        </w:rPr>
        <w:t xml:space="preserve">Intersex </w:t>
      </w:r>
      <w:r w:rsidR="00B24975">
        <w:rPr>
          <w:szCs w:val="22"/>
        </w:rPr>
        <w:t>g</w:t>
      </w:r>
      <w:r w:rsidRPr="00587912">
        <w:rPr>
          <w:szCs w:val="22"/>
        </w:rPr>
        <w:t xml:space="preserve">enital </w:t>
      </w:r>
      <w:r w:rsidR="00B24975">
        <w:rPr>
          <w:szCs w:val="22"/>
        </w:rPr>
        <w:t>m</w:t>
      </w:r>
      <w:r w:rsidRPr="00587912">
        <w:rPr>
          <w:szCs w:val="22"/>
        </w:rPr>
        <w:t>utilation</w:t>
      </w:r>
      <w:bookmarkEnd w:id="34"/>
    </w:p>
    <w:p w14:paraId="1C40F49B" w14:textId="52B1BA82" w:rsidR="009F1EA1" w:rsidRDefault="002459B9" w:rsidP="00412E09">
      <w:pPr>
        <w:pStyle w:val="ListParagraph"/>
        <w:numPr>
          <w:ilvl w:val="1"/>
          <w:numId w:val="86"/>
        </w:numPr>
        <w:ind w:left="851" w:hanging="862"/>
        <w:rPr>
          <w:rFonts w:eastAsia="Verdana" w:cs="Verdana"/>
          <w:color w:val="000000"/>
        </w:rPr>
      </w:pPr>
      <w:r w:rsidRPr="002C48EC">
        <w:rPr>
          <w:rFonts w:eastAsia="Verdana" w:cs="Verdana"/>
          <w:color w:val="000000"/>
        </w:rPr>
        <w:t>The law in NI does not provide for the recognition of</w:t>
      </w:r>
      <w:r w:rsidR="002C48EC">
        <w:rPr>
          <w:rFonts w:eastAsia="Verdana" w:cs="Verdana"/>
          <w:color w:val="000000"/>
        </w:rPr>
        <w:t xml:space="preserve"> intersex persons. </w:t>
      </w:r>
      <w:r w:rsidR="009F1EA1" w:rsidRPr="00A712B0">
        <w:rPr>
          <w:rFonts w:eastAsia="Verdana" w:cs="Verdana"/>
          <w:color w:val="000000"/>
        </w:rPr>
        <w:t>Civil society representatives have raised concerns about the issue of non-consensual medical intervention for intersex children.</w:t>
      </w:r>
      <w:r w:rsidR="009F1EA1" w:rsidRPr="00A712B0">
        <w:rPr>
          <w:rFonts w:eastAsia="Verdana" w:cs="Verdana"/>
          <w:color w:val="000000"/>
          <w:vertAlign w:val="superscript"/>
        </w:rPr>
        <w:footnoteReference w:id="104"/>
      </w:r>
    </w:p>
    <w:p w14:paraId="074CF8C1" w14:textId="77777777" w:rsidR="00D80D88" w:rsidRDefault="00D80D88" w:rsidP="00412E09">
      <w:pPr>
        <w:pStyle w:val="ListParagraph"/>
        <w:ind w:left="851" w:hanging="862"/>
        <w:rPr>
          <w:rFonts w:eastAsia="Verdana" w:cs="Verdana"/>
          <w:color w:val="000000"/>
        </w:rPr>
      </w:pPr>
    </w:p>
    <w:p w14:paraId="5291B6C1" w14:textId="5BF31CD5" w:rsidR="00D80D88" w:rsidRPr="00336EC9" w:rsidRDefault="00D80D88" w:rsidP="00412E09">
      <w:pPr>
        <w:pStyle w:val="ListParagraph"/>
        <w:numPr>
          <w:ilvl w:val="1"/>
          <w:numId w:val="86"/>
        </w:numPr>
        <w:ind w:left="851" w:hanging="862"/>
        <w:rPr>
          <w:rFonts w:eastAsia="Verdana" w:cs="Verdana"/>
          <w:color w:val="000000"/>
        </w:rPr>
      </w:pPr>
      <w:r w:rsidRPr="00FF0FF9">
        <w:rPr>
          <w:rFonts w:eastAsia="Verdana" w:cs="Verdana"/>
          <w:color w:val="000000"/>
        </w:rPr>
        <w:t xml:space="preserve">In 2020, </w:t>
      </w:r>
      <w:r w:rsidR="00452A56">
        <w:rPr>
          <w:rFonts w:eastAsia="Verdana" w:cs="Verdana"/>
          <w:color w:val="000000"/>
        </w:rPr>
        <w:t>the</w:t>
      </w:r>
      <w:r w:rsidR="00452A56" w:rsidRPr="00FF0FF9">
        <w:rPr>
          <w:rFonts w:eastAsia="Verdana" w:cs="Verdana"/>
          <w:color w:val="000000"/>
        </w:rPr>
        <w:t xml:space="preserve"> </w:t>
      </w:r>
      <w:r w:rsidRPr="00FF0FF9">
        <w:rPr>
          <w:rFonts w:eastAsia="Verdana" w:cs="Verdana"/>
          <w:color w:val="000000"/>
        </w:rPr>
        <w:t xml:space="preserve">Expert Panel </w:t>
      </w:r>
      <w:r w:rsidR="00452A56">
        <w:rPr>
          <w:rFonts w:eastAsia="Verdana" w:cs="Verdana"/>
          <w:color w:val="000000"/>
        </w:rPr>
        <w:t>for the Lesbian, Gay, Bisexual, Transgender, Queer (Or Questioning), Intersex +</w:t>
      </w:r>
      <w:r w:rsidRPr="00FF0FF9">
        <w:rPr>
          <w:rFonts w:eastAsia="Verdana" w:cs="Verdana"/>
          <w:color w:val="000000"/>
        </w:rPr>
        <w:t xml:space="preserve"> Strategy for NI</w:t>
      </w:r>
      <w:r>
        <w:rPr>
          <w:rFonts w:eastAsia="Verdana" w:cs="Verdana"/>
          <w:color w:val="000000"/>
        </w:rPr>
        <w:t xml:space="preserve"> </w:t>
      </w:r>
      <w:r w:rsidRPr="00FF0FF9">
        <w:rPr>
          <w:rFonts w:eastAsia="Verdana" w:cs="Verdana"/>
          <w:color w:val="000000"/>
        </w:rPr>
        <w:t xml:space="preserve">highlighted </w:t>
      </w:r>
      <w:r w:rsidR="005208A9">
        <w:rPr>
          <w:rFonts w:eastAsia="Verdana" w:cs="Verdana"/>
          <w:color w:val="000000"/>
        </w:rPr>
        <w:t>several</w:t>
      </w:r>
      <w:r w:rsidRPr="00FF0FF9">
        <w:rPr>
          <w:rFonts w:eastAsia="Verdana" w:cs="Verdana"/>
          <w:color w:val="000000"/>
        </w:rPr>
        <w:t xml:space="preserve"> issues facing intersex persons in NI that the strategy should address, including healthcare needs of intersex persons, informed consent of intersex children and commitment to ending intersex genital mutilation in NI.</w:t>
      </w:r>
      <w:r w:rsidRPr="00FF0FF9">
        <w:rPr>
          <w:rFonts w:eastAsia="Verdana" w:cs="Verdana"/>
          <w:color w:val="000000"/>
          <w:vertAlign w:val="superscript"/>
        </w:rPr>
        <w:footnoteReference w:id="105"/>
      </w:r>
      <w:r w:rsidRPr="00FF0FF9">
        <w:rPr>
          <w:rFonts w:eastAsia="Verdana" w:cs="Verdana"/>
          <w:color w:val="000000"/>
        </w:rPr>
        <w:t xml:space="preserve"> The </w:t>
      </w:r>
      <w:r w:rsidR="005208A9">
        <w:rPr>
          <w:rFonts w:eastAsia="Verdana" w:cs="Verdana"/>
          <w:color w:val="000000"/>
        </w:rPr>
        <w:t>Lesbian, Gay, Bisexual, Transgender, Queer (Or Questioning), Intersex +</w:t>
      </w:r>
      <w:r w:rsidR="005208A9" w:rsidRPr="00FF0FF9">
        <w:rPr>
          <w:rFonts w:eastAsia="Verdana" w:cs="Verdana"/>
          <w:color w:val="000000"/>
        </w:rPr>
        <w:t xml:space="preserve"> </w:t>
      </w:r>
      <w:r w:rsidRPr="00FF0FF9">
        <w:rPr>
          <w:rFonts w:eastAsia="Verdana" w:cs="Verdana"/>
          <w:color w:val="000000"/>
        </w:rPr>
        <w:t>Strategy has not yet been published.</w:t>
      </w:r>
      <w:r w:rsidRPr="00FF0FF9">
        <w:rPr>
          <w:rFonts w:eastAsia="Times New Roman" w:cs="Segoe UI"/>
          <w:szCs w:val="24"/>
          <w:lang w:eastAsia="en-GB"/>
        </w:rPr>
        <w:t xml:space="preserve"> </w:t>
      </w:r>
    </w:p>
    <w:p w14:paraId="6E721642" w14:textId="77777777" w:rsidR="00292D87" w:rsidRDefault="00292D87" w:rsidP="00412E09">
      <w:pPr>
        <w:pStyle w:val="ListParagraph"/>
        <w:ind w:left="851" w:hanging="862"/>
        <w:rPr>
          <w:rFonts w:eastAsia="Verdana" w:cs="Verdana"/>
          <w:color w:val="000000"/>
        </w:rPr>
      </w:pPr>
    </w:p>
    <w:p w14:paraId="091127D0" w14:textId="18A60FCB" w:rsidR="00FF0FF9" w:rsidRPr="00336EC9" w:rsidRDefault="007B3BBA" w:rsidP="00412E09">
      <w:pPr>
        <w:pStyle w:val="ListParagraph"/>
        <w:numPr>
          <w:ilvl w:val="1"/>
          <w:numId w:val="86"/>
        </w:numPr>
        <w:ind w:left="851" w:hanging="862"/>
        <w:rPr>
          <w:rFonts w:eastAsia="Verdana" w:cs="Verdana"/>
          <w:color w:val="000000"/>
        </w:rPr>
      </w:pPr>
      <w:r>
        <w:rPr>
          <w:color w:val="000000"/>
        </w:rPr>
        <w:t>Between four and five</w:t>
      </w:r>
      <w:r w:rsidR="004D4209" w:rsidRPr="00336EC9">
        <w:rPr>
          <w:color w:val="000000"/>
        </w:rPr>
        <w:t xml:space="preserve"> </w:t>
      </w:r>
      <w:r w:rsidR="00E41787">
        <w:rPr>
          <w:color w:val="000000"/>
        </w:rPr>
        <w:t>individuals</w:t>
      </w:r>
      <w:r w:rsidR="004D4209" w:rsidRPr="00336EC9">
        <w:rPr>
          <w:color w:val="000000"/>
        </w:rPr>
        <w:t xml:space="preserve"> are referred to the </w:t>
      </w:r>
      <w:r w:rsidR="008872A6">
        <w:rPr>
          <w:color w:val="000000"/>
        </w:rPr>
        <w:t>‘</w:t>
      </w:r>
      <w:r w:rsidR="004D4209" w:rsidRPr="00336EC9">
        <w:rPr>
          <w:color w:val="000000"/>
        </w:rPr>
        <w:t xml:space="preserve">Endocrine Disorders of Sexual Differentiation </w:t>
      </w:r>
      <w:r w:rsidR="008872A6">
        <w:rPr>
          <w:color w:val="000000"/>
        </w:rPr>
        <w:t>S</w:t>
      </w:r>
      <w:r w:rsidR="004D4209" w:rsidRPr="00336EC9">
        <w:rPr>
          <w:color w:val="000000"/>
        </w:rPr>
        <w:t>ervice</w:t>
      </w:r>
      <w:r w:rsidR="008872A6">
        <w:rPr>
          <w:color w:val="000000"/>
        </w:rPr>
        <w:t>’</w:t>
      </w:r>
      <w:r w:rsidR="004D4209" w:rsidRPr="00336EC9">
        <w:rPr>
          <w:color w:val="000000"/>
        </w:rPr>
        <w:t xml:space="preserve"> </w:t>
      </w:r>
      <w:r w:rsidR="00FE136A" w:rsidRPr="00336EC9">
        <w:rPr>
          <w:color w:val="000000"/>
        </w:rPr>
        <w:t xml:space="preserve">in NI </w:t>
      </w:r>
      <w:r w:rsidR="004D4209" w:rsidRPr="00336EC9">
        <w:rPr>
          <w:color w:val="000000"/>
        </w:rPr>
        <w:t>per year</w:t>
      </w:r>
      <w:r w:rsidR="00355657">
        <w:rPr>
          <w:color w:val="000000"/>
        </w:rPr>
        <w:t xml:space="preserve">, however </w:t>
      </w:r>
      <w:r w:rsidR="00AA5D69">
        <w:rPr>
          <w:color w:val="000000"/>
        </w:rPr>
        <w:t>s</w:t>
      </w:r>
      <w:r w:rsidR="00230436">
        <w:rPr>
          <w:color w:val="000000"/>
        </w:rPr>
        <w:t xml:space="preserve">urgical services are mainly referred on to </w:t>
      </w:r>
      <w:r w:rsidR="00EF6578">
        <w:rPr>
          <w:color w:val="000000"/>
        </w:rPr>
        <w:t>England</w:t>
      </w:r>
      <w:r w:rsidR="00E41787">
        <w:rPr>
          <w:color w:val="000000"/>
        </w:rPr>
        <w:t>.</w:t>
      </w:r>
      <w:r w:rsidR="00AA5D69" w:rsidRPr="00336EC9">
        <w:rPr>
          <w:rStyle w:val="FootnoteReference"/>
          <w:color w:val="000000"/>
        </w:rPr>
        <w:footnoteReference w:id="106"/>
      </w:r>
      <w:r w:rsidR="00AA5D69" w:rsidRPr="00336EC9">
        <w:rPr>
          <w:color w:val="000000"/>
        </w:rPr>
        <w:t xml:space="preserve"> </w:t>
      </w:r>
      <w:r w:rsidR="00E41787">
        <w:rPr>
          <w:color w:val="000000"/>
        </w:rPr>
        <w:t>C</w:t>
      </w:r>
      <w:r w:rsidR="00323A1B">
        <w:rPr>
          <w:color w:val="000000"/>
        </w:rPr>
        <w:t xml:space="preserve">oncerns have been raised about the </w:t>
      </w:r>
      <w:r w:rsidR="00C14332">
        <w:rPr>
          <w:color w:val="000000"/>
        </w:rPr>
        <w:t xml:space="preserve">availability </w:t>
      </w:r>
      <w:r w:rsidR="00120A7B">
        <w:rPr>
          <w:color w:val="000000"/>
        </w:rPr>
        <w:t>of</w:t>
      </w:r>
      <w:r w:rsidR="0061746A">
        <w:rPr>
          <w:color w:val="000000"/>
        </w:rPr>
        <w:t xml:space="preserve"> </w:t>
      </w:r>
      <w:r w:rsidR="00E41787">
        <w:rPr>
          <w:color w:val="000000"/>
        </w:rPr>
        <w:t>specialist support</w:t>
      </w:r>
      <w:r w:rsidR="007D797A">
        <w:rPr>
          <w:color w:val="000000"/>
        </w:rPr>
        <w:t xml:space="preserve"> in NI</w:t>
      </w:r>
      <w:r w:rsidR="007E4287">
        <w:rPr>
          <w:color w:val="000000"/>
        </w:rPr>
        <w:t xml:space="preserve"> for </w:t>
      </w:r>
      <w:r w:rsidR="006273A3">
        <w:rPr>
          <w:color w:val="000000"/>
        </w:rPr>
        <w:t>those</w:t>
      </w:r>
      <w:r w:rsidR="007E4287">
        <w:rPr>
          <w:color w:val="000000"/>
        </w:rPr>
        <w:t xml:space="preserve"> who have undergone </w:t>
      </w:r>
      <w:r w:rsidR="0040533B">
        <w:rPr>
          <w:color w:val="000000"/>
        </w:rPr>
        <w:t xml:space="preserve">non-consensual medical intervention in </w:t>
      </w:r>
      <w:r w:rsidR="00901880">
        <w:rPr>
          <w:color w:val="000000"/>
        </w:rPr>
        <w:t>early childhood</w:t>
      </w:r>
      <w:r w:rsidR="00E87B93">
        <w:rPr>
          <w:color w:val="000000"/>
        </w:rPr>
        <w:t>.</w:t>
      </w:r>
      <w:r w:rsidR="00E87B93">
        <w:rPr>
          <w:rStyle w:val="FootnoteReference"/>
          <w:color w:val="000000"/>
        </w:rPr>
        <w:footnoteReference w:id="107"/>
      </w:r>
      <w:r w:rsidR="007D797A">
        <w:rPr>
          <w:color w:val="000000"/>
        </w:rPr>
        <w:t xml:space="preserve"> </w:t>
      </w:r>
    </w:p>
    <w:p w14:paraId="7353AEB2" w14:textId="77777777" w:rsidR="00336EC9" w:rsidRPr="00336EC9" w:rsidRDefault="00336EC9" w:rsidP="00412E09">
      <w:pPr>
        <w:ind w:left="851" w:hanging="862"/>
        <w:rPr>
          <w:rFonts w:eastAsia="Verdana" w:cs="Verdana"/>
          <w:b/>
          <w:color w:val="000000"/>
        </w:rPr>
      </w:pPr>
    </w:p>
    <w:p w14:paraId="24521CD0" w14:textId="2C4F5293" w:rsidR="00FF0FF9" w:rsidRPr="00FF0FF9" w:rsidRDefault="00134DA1" w:rsidP="00412E09">
      <w:pPr>
        <w:pStyle w:val="ListParagraph"/>
        <w:numPr>
          <w:ilvl w:val="1"/>
          <w:numId w:val="86"/>
        </w:numPr>
        <w:ind w:left="851" w:hanging="862"/>
        <w:rPr>
          <w:rFonts w:eastAsia="Verdana" w:cs="Verdana"/>
          <w:b/>
          <w:color w:val="000000"/>
        </w:rPr>
      </w:pPr>
      <w:r>
        <w:rPr>
          <w:rFonts w:eastAsia="Verdana" w:cs="Verdana"/>
          <w:b/>
          <w:color w:val="000000"/>
        </w:rPr>
        <w:t>The Committee may wish to recommend</w:t>
      </w:r>
      <w:r w:rsidR="00555A00">
        <w:rPr>
          <w:rFonts w:eastAsia="Verdana" w:cs="Verdana"/>
          <w:b/>
          <w:color w:val="000000"/>
        </w:rPr>
        <w:t xml:space="preserve"> that the </w:t>
      </w:r>
      <w:r w:rsidR="00A57B90">
        <w:rPr>
          <w:rFonts w:eastAsia="Verdana" w:cs="Verdana"/>
          <w:b/>
          <w:color w:val="000000"/>
        </w:rPr>
        <w:t>State Party</w:t>
      </w:r>
      <w:r w:rsidR="00555A00">
        <w:rPr>
          <w:rFonts w:eastAsia="Verdana" w:cs="Verdana"/>
          <w:b/>
          <w:color w:val="000000"/>
        </w:rPr>
        <w:t xml:space="preserve"> </w:t>
      </w:r>
      <w:r w:rsidR="00FF0FF9" w:rsidRPr="00FF0FF9">
        <w:rPr>
          <w:rFonts w:eastAsia="Verdana" w:cs="Verdana"/>
          <w:b/>
          <w:color w:val="000000"/>
        </w:rPr>
        <w:t>take</w:t>
      </w:r>
      <w:r w:rsidR="00A57B90">
        <w:rPr>
          <w:rFonts w:eastAsia="Verdana" w:cs="Verdana"/>
          <w:b/>
          <w:color w:val="000000"/>
        </w:rPr>
        <w:t>s</w:t>
      </w:r>
      <w:r w:rsidR="00FF0FF9" w:rsidRPr="00FF0FF9">
        <w:rPr>
          <w:rFonts w:eastAsia="Verdana" w:cs="Verdana"/>
          <w:b/>
          <w:color w:val="000000"/>
        </w:rPr>
        <w:t xml:space="preserve"> effective measures to legally recognise intersex children </w:t>
      </w:r>
      <w:r w:rsidR="00277149">
        <w:rPr>
          <w:rFonts w:eastAsia="Verdana" w:cs="Verdana"/>
          <w:b/>
          <w:color w:val="000000"/>
        </w:rPr>
        <w:t>and</w:t>
      </w:r>
      <w:r w:rsidR="00FF0FF9" w:rsidRPr="00FF0FF9">
        <w:rPr>
          <w:rFonts w:eastAsia="Verdana" w:cs="Verdana"/>
          <w:b/>
          <w:color w:val="000000"/>
        </w:rPr>
        <w:t xml:space="preserve"> </w:t>
      </w:r>
      <w:r w:rsidR="00277149">
        <w:rPr>
          <w:rFonts w:eastAsia="Verdana" w:cs="Verdana"/>
          <w:b/>
          <w:color w:val="000000"/>
        </w:rPr>
        <w:t xml:space="preserve">to </w:t>
      </w:r>
      <w:r w:rsidR="00FF0FF9" w:rsidRPr="00FF0FF9">
        <w:rPr>
          <w:rFonts w:eastAsia="Verdana" w:cs="Verdana"/>
          <w:b/>
          <w:color w:val="000000"/>
        </w:rPr>
        <w:t xml:space="preserve">ensure children </w:t>
      </w:r>
      <w:r w:rsidR="00C97960">
        <w:rPr>
          <w:rFonts w:eastAsia="Verdana" w:cs="Verdana"/>
          <w:b/>
          <w:color w:val="000000"/>
        </w:rPr>
        <w:t>in NI</w:t>
      </w:r>
      <w:r w:rsidR="00FF0FF9" w:rsidRPr="00FF0FF9">
        <w:rPr>
          <w:rFonts w:eastAsia="Verdana" w:cs="Verdana"/>
          <w:b/>
          <w:color w:val="000000"/>
        </w:rPr>
        <w:t xml:space="preserve"> are not subject to non-consensual medical intervention.</w:t>
      </w:r>
      <w:r w:rsidR="00204913">
        <w:rPr>
          <w:rFonts w:eastAsia="Verdana" w:cs="Verdana"/>
          <w:b/>
          <w:color w:val="000000"/>
        </w:rPr>
        <w:t xml:space="preserve"> This </w:t>
      </w:r>
      <w:r w:rsidR="00C94651">
        <w:rPr>
          <w:rFonts w:eastAsia="Verdana" w:cs="Verdana"/>
          <w:b/>
          <w:color w:val="000000"/>
        </w:rPr>
        <w:t xml:space="preserve">includes </w:t>
      </w:r>
      <w:r w:rsidR="00700D07">
        <w:rPr>
          <w:rFonts w:eastAsia="Verdana" w:cs="Verdana"/>
          <w:b/>
          <w:color w:val="000000"/>
        </w:rPr>
        <w:t>undertaking the necessary</w:t>
      </w:r>
      <w:r w:rsidR="00C94651">
        <w:rPr>
          <w:rFonts w:eastAsia="Verdana" w:cs="Verdana"/>
          <w:b/>
          <w:color w:val="000000"/>
        </w:rPr>
        <w:t xml:space="preserve"> </w:t>
      </w:r>
      <w:r w:rsidR="00700D07">
        <w:rPr>
          <w:rFonts w:eastAsia="Verdana" w:cs="Verdana"/>
          <w:b/>
          <w:color w:val="000000"/>
        </w:rPr>
        <w:t>legislative</w:t>
      </w:r>
      <w:r w:rsidR="00C97960">
        <w:rPr>
          <w:rFonts w:eastAsia="Verdana" w:cs="Verdana"/>
          <w:b/>
          <w:color w:val="000000"/>
        </w:rPr>
        <w:t xml:space="preserve"> change and </w:t>
      </w:r>
      <w:r w:rsidR="00700D07">
        <w:rPr>
          <w:rFonts w:eastAsia="Verdana" w:cs="Verdana"/>
          <w:b/>
          <w:color w:val="000000"/>
        </w:rPr>
        <w:t>introducing</w:t>
      </w:r>
      <w:r w:rsidR="00241C3E">
        <w:rPr>
          <w:rFonts w:eastAsia="Verdana" w:cs="Verdana"/>
          <w:b/>
          <w:color w:val="000000"/>
        </w:rPr>
        <w:t xml:space="preserve"> specialist support</w:t>
      </w:r>
      <w:r w:rsidR="00204913">
        <w:rPr>
          <w:rFonts w:eastAsia="Verdana" w:cs="Verdana"/>
          <w:b/>
          <w:color w:val="000000"/>
        </w:rPr>
        <w:t>.</w:t>
      </w:r>
    </w:p>
    <w:p w14:paraId="35FFE038" w14:textId="77777777" w:rsidR="002C48EC" w:rsidRPr="002C48EC" w:rsidRDefault="002C48EC" w:rsidP="00412E09">
      <w:pPr>
        <w:pStyle w:val="ListParagraph"/>
        <w:ind w:left="851" w:hanging="862"/>
        <w:rPr>
          <w:rFonts w:eastAsia="Verdana" w:cs="Verdana"/>
          <w:color w:val="000000"/>
        </w:rPr>
      </w:pPr>
    </w:p>
    <w:p w14:paraId="5D8D8607" w14:textId="3363E296" w:rsidR="00AE4D05" w:rsidRPr="00A57B90" w:rsidRDefault="00FB6136" w:rsidP="00412E09">
      <w:pPr>
        <w:pStyle w:val="Heading2"/>
        <w:ind w:left="851" w:hanging="862"/>
        <w:rPr>
          <w:szCs w:val="22"/>
        </w:rPr>
      </w:pPr>
      <w:bookmarkStart w:id="35" w:name="_Toc121922199"/>
      <w:r w:rsidRPr="00587912">
        <w:rPr>
          <w:szCs w:val="22"/>
        </w:rPr>
        <w:t>Bullying</w:t>
      </w:r>
      <w:bookmarkEnd w:id="35"/>
      <w:r w:rsidRPr="00587912">
        <w:rPr>
          <w:szCs w:val="22"/>
        </w:rPr>
        <w:t xml:space="preserve"> </w:t>
      </w:r>
    </w:p>
    <w:p w14:paraId="6610D45E" w14:textId="522EB46E" w:rsidR="00DE3E05" w:rsidRDefault="00DE3E05" w:rsidP="00412E09">
      <w:pPr>
        <w:pStyle w:val="ListParagraph"/>
        <w:numPr>
          <w:ilvl w:val="1"/>
          <w:numId w:val="86"/>
        </w:numPr>
        <w:ind w:left="851" w:hanging="862"/>
      </w:pPr>
      <w:r w:rsidRPr="00DE3E05">
        <w:rPr>
          <w:color w:val="000000"/>
        </w:rPr>
        <w:t>In 2021, the Addressing Bullying in Schools (NI) Act 2016 came into force.</w:t>
      </w:r>
      <w:r>
        <w:rPr>
          <w:rStyle w:val="FootnoteReference"/>
        </w:rPr>
        <w:footnoteReference w:id="108"/>
      </w:r>
      <w:r w:rsidRPr="00DE3E05">
        <w:rPr>
          <w:color w:val="000000"/>
        </w:rPr>
        <w:t xml:space="preserve"> The 2016 Act places statutory duties on schools to take steps to prevent bullying and to record bullying incidents. This includes addressing the motivation, method and how of each incident. </w:t>
      </w:r>
      <w:r>
        <w:rPr>
          <w:color w:val="000000"/>
        </w:rPr>
        <w:t>However, t</w:t>
      </w:r>
      <w:r w:rsidRPr="00DE3E05">
        <w:rPr>
          <w:color w:val="000000"/>
        </w:rPr>
        <w:t>he</w:t>
      </w:r>
      <w:r>
        <w:rPr>
          <w:color w:val="000000"/>
        </w:rPr>
        <w:t xml:space="preserve"> </w:t>
      </w:r>
      <w:r w:rsidR="001952D0">
        <w:rPr>
          <w:color w:val="000000"/>
        </w:rPr>
        <w:t xml:space="preserve">2016 </w:t>
      </w:r>
      <w:r w:rsidRPr="00DE3E05">
        <w:rPr>
          <w:color w:val="000000"/>
        </w:rPr>
        <w:t>Act does not place a requirement on schools to report incidences of bullying to the Department of Education or the Education Authority</w:t>
      </w:r>
      <w:r w:rsidR="001952D0">
        <w:rPr>
          <w:color w:val="000000"/>
        </w:rPr>
        <w:t xml:space="preserve"> NI</w:t>
      </w:r>
      <w:r>
        <w:rPr>
          <w:color w:val="000000"/>
        </w:rPr>
        <w:t xml:space="preserve">. </w:t>
      </w:r>
    </w:p>
    <w:p w14:paraId="40C42084" w14:textId="77777777" w:rsidR="00807482" w:rsidRDefault="00807482" w:rsidP="00412E09">
      <w:pPr>
        <w:pStyle w:val="ListParagraph"/>
        <w:ind w:left="851" w:hanging="862"/>
      </w:pPr>
    </w:p>
    <w:p w14:paraId="4F4F6710" w14:textId="77777777" w:rsidR="001239D2" w:rsidRDefault="00807482" w:rsidP="00412E09">
      <w:pPr>
        <w:pStyle w:val="ListParagraph"/>
        <w:numPr>
          <w:ilvl w:val="1"/>
          <w:numId w:val="86"/>
        </w:numPr>
        <w:ind w:left="851" w:hanging="862"/>
      </w:pPr>
      <w:r>
        <w:t>There is evidence that specific groups of children in NI feel particularly affected by bull</w:t>
      </w:r>
      <w:r w:rsidR="00DB4FA8">
        <w:t>y</w:t>
      </w:r>
      <w:r>
        <w:t xml:space="preserve">ing. For example, of </w:t>
      </w:r>
      <w:r w:rsidR="004A60B1">
        <w:t xml:space="preserve">532 </w:t>
      </w:r>
      <w:r>
        <w:t>lesbian, gay, bisexual and transgender post-</w:t>
      </w:r>
      <w:r w:rsidR="004A60B1">
        <w:t xml:space="preserve">primary pupils surveyed in 2016, </w:t>
      </w:r>
      <w:r w:rsidR="00AF06D4">
        <w:t>255 (</w:t>
      </w:r>
      <w:r w:rsidR="009F484A">
        <w:t>48 per cent</w:t>
      </w:r>
      <w:r w:rsidR="00AF06D4">
        <w:t>)</w:t>
      </w:r>
      <w:r w:rsidR="009F484A">
        <w:t xml:space="preserve"> had experienced bullying as a result of their sexual orientation or gender identity, with </w:t>
      </w:r>
      <w:r w:rsidR="00AF06D4">
        <w:t>287 (</w:t>
      </w:r>
      <w:r w:rsidR="009F484A">
        <w:t>54 per cent</w:t>
      </w:r>
      <w:r w:rsidR="00AF06D4">
        <w:t>)</w:t>
      </w:r>
      <w:r w:rsidR="009F484A">
        <w:t xml:space="preserve"> feeling unsupported by the school and </w:t>
      </w:r>
      <w:r w:rsidR="00AF06D4">
        <w:t>239 (</w:t>
      </w:r>
      <w:r w:rsidR="009F484A">
        <w:t>45 per cent</w:t>
      </w:r>
      <w:r w:rsidR="00AF06D4">
        <w:t>)</w:t>
      </w:r>
      <w:r w:rsidR="009F484A">
        <w:t xml:space="preserve"> stating that school was not a safe place to be.</w:t>
      </w:r>
      <w:r w:rsidR="007908D2" w:rsidRPr="00587912">
        <w:rPr>
          <w:rStyle w:val="FootnoteReference"/>
        </w:rPr>
        <w:footnoteReference w:id="109"/>
      </w:r>
      <w:r w:rsidR="006B23F5">
        <w:t xml:space="preserve"> </w:t>
      </w:r>
      <w:r w:rsidR="006B23F5">
        <w:rPr>
          <w:color w:val="000000"/>
        </w:rPr>
        <w:t>In 2021, the Executive Office published an assessment of the current r</w:t>
      </w:r>
      <w:r w:rsidR="006B23F5" w:rsidRPr="00666F4A">
        <w:rPr>
          <w:color w:val="000000"/>
        </w:rPr>
        <w:t xml:space="preserve">acial </w:t>
      </w:r>
      <w:r w:rsidR="006B23F5">
        <w:rPr>
          <w:color w:val="000000"/>
        </w:rPr>
        <w:t>e</w:t>
      </w:r>
      <w:r w:rsidR="006B23F5" w:rsidRPr="00666F4A">
        <w:rPr>
          <w:color w:val="000000"/>
        </w:rPr>
        <w:t xml:space="preserve">quality </w:t>
      </w:r>
      <w:r w:rsidR="006B23F5">
        <w:rPr>
          <w:color w:val="000000"/>
        </w:rPr>
        <w:t>s</w:t>
      </w:r>
      <w:r w:rsidR="006B23F5" w:rsidRPr="00666F4A">
        <w:rPr>
          <w:color w:val="000000"/>
        </w:rPr>
        <w:t>trategy</w:t>
      </w:r>
      <w:r w:rsidR="006B23F5">
        <w:t>, which highlighted that in 2019, 45 per cent of young people said they had witnessed racist bullying or harassment in their school.</w:t>
      </w:r>
      <w:r w:rsidR="006B23F5">
        <w:rPr>
          <w:rStyle w:val="FootnoteReference"/>
        </w:rPr>
        <w:footnoteReference w:id="110"/>
      </w:r>
      <w:r w:rsidR="006B23F5">
        <w:t xml:space="preserve">  </w:t>
      </w:r>
    </w:p>
    <w:p w14:paraId="3431C076" w14:textId="77777777" w:rsidR="001239D2" w:rsidRPr="001239D2" w:rsidRDefault="001239D2" w:rsidP="00412E09">
      <w:pPr>
        <w:pStyle w:val="ListParagraph"/>
        <w:ind w:left="851" w:hanging="862"/>
        <w:rPr>
          <w:b/>
        </w:rPr>
      </w:pPr>
    </w:p>
    <w:p w14:paraId="650EAC94" w14:textId="607A0110" w:rsidR="00F550DD" w:rsidRPr="009910A9" w:rsidRDefault="00134DA1" w:rsidP="00412E09">
      <w:pPr>
        <w:pStyle w:val="ListParagraph"/>
        <w:numPr>
          <w:ilvl w:val="1"/>
          <w:numId w:val="86"/>
        </w:numPr>
        <w:ind w:left="851" w:hanging="862"/>
        <w:rPr>
          <w:b/>
        </w:rPr>
      </w:pPr>
      <w:r w:rsidRPr="009910A9">
        <w:rPr>
          <w:b/>
        </w:rPr>
        <w:t>The Committee may wish to recommend</w:t>
      </w:r>
      <w:r w:rsidR="006B23F5" w:rsidRPr="009910A9">
        <w:rPr>
          <w:b/>
        </w:rPr>
        <w:t xml:space="preserve"> that the </w:t>
      </w:r>
      <w:r w:rsidR="00AA45E0" w:rsidRPr="009910A9">
        <w:rPr>
          <w:b/>
        </w:rPr>
        <w:t>State Party</w:t>
      </w:r>
      <w:r w:rsidR="006B23F5" w:rsidRPr="009910A9">
        <w:rPr>
          <w:b/>
        </w:rPr>
        <w:t xml:space="preserve"> </w:t>
      </w:r>
      <w:r w:rsidR="005B5645" w:rsidRPr="009910A9">
        <w:rPr>
          <w:b/>
        </w:rPr>
        <w:t>examines the effectiveness of measures</w:t>
      </w:r>
      <w:r w:rsidR="00AF7827" w:rsidRPr="009910A9">
        <w:rPr>
          <w:b/>
        </w:rPr>
        <w:t xml:space="preserve"> in NI</w:t>
      </w:r>
      <w:r w:rsidR="00362F15" w:rsidRPr="009910A9">
        <w:rPr>
          <w:b/>
        </w:rPr>
        <w:t>, such as the Addressing Bullying in Schools (NI) Act 2016, which are</w:t>
      </w:r>
      <w:r w:rsidR="005B5645" w:rsidRPr="009910A9">
        <w:rPr>
          <w:b/>
        </w:rPr>
        <w:t xml:space="preserve"> aimed at addressing the impact and prevalence of bullying in schools</w:t>
      </w:r>
      <w:r w:rsidR="000F66A3" w:rsidRPr="009910A9">
        <w:rPr>
          <w:b/>
        </w:rPr>
        <w:t>. I</w:t>
      </w:r>
      <w:r w:rsidR="005B5645" w:rsidRPr="009910A9">
        <w:rPr>
          <w:b/>
        </w:rPr>
        <w:t xml:space="preserve">mmediate steps </w:t>
      </w:r>
      <w:r w:rsidR="000F66A3" w:rsidRPr="009910A9">
        <w:rPr>
          <w:b/>
        </w:rPr>
        <w:t xml:space="preserve">should be </w:t>
      </w:r>
      <w:r w:rsidR="005B5645" w:rsidRPr="009910A9">
        <w:rPr>
          <w:b/>
        </w:rPr>
        <w:t xml:space="preserve">taken to address and monitor </w:t>
      </w:r>
      <w:r w:rsidR="000F66A3" w:rsidRPr="009910A9">
        <w:rPr>
          <w:b/>
        </w:rPr>
        <w:t>any</w:t>
      </w:r>
      <w:r w:rsidR="005B5645" w:rsidRPr="009910A9">
        <w:rPr>
          <w:b/>
        </w:rPr>
        <w:t xml:space="preserve"> findings</w:t>
      </w:r>
      <w:r w:rsidR="001239D2" w:rsidRPr="009910A9">
        <w:rPr>
          <w:b/>
        </w:rPr>
        <w:t xml:space="preserve">. </w:t>
      </w:r>
      <w:r w:rsidR="00775FB8" w:rsidRPr="009910A9">
        <w:rPr>
          <w:b/>
        </w:rPr>
        <w:t xml:space="preserve">This includes specific steps to address bullying experienced by </w:t>
      </w:r>
      <w:proofErr w:type="gramStart"/>
      <w:r w:rsidR="00775FB8" w:rsidRPr="009910A9">
        <w:rPr>
          <w:b/>
        </w:rPr>
        <w:t>particular groups</w:t>
      </w:r>
      <w:proofErr w:type="gramEnd"/>
      <w:r w:rsidR="00775FB8" w:rsidRPr="009910A9">
        <w:rPr>
          <w:b/>
        </w:rPr>
        <w:t xml:space="preserve"> of children, such as lesbian, gay, bisexual, transgender, q</w:t>
      </w:r>
      <w:r w:rsidR="00775FB8" w:rsidRPr="009910A9">
        <w:rPr>
          <w:b/>
          <w:color w:val="000000"/>
        </w:rPr>
        <w:t>ueer (or questioning) and intersex+</w:t>
      </w:r>
      <w:r w:rsidR="00775FB8" w:rsidRPr="009910A9">
        <w:rPr>
          <w:b/>
        </w:rPr>
        <w:t xml:space="preserve"> pupils and children from ethnic minorities. It also includes ensuring that children, all </w:t>
      </w:r>
      <w:proofErr w:type="gramStart"/>
      <w:r w:rsidR="00775FB8" w:rsidRPr="009910A9">
        <w:rPr>
          <w:b/>
        </w:rPr>
        <w:t>teachers</w:t>
      </w:r>
      <w:proofErr w:type="gramEnd"/>
      <w:r w:rsidR="00775FB8" w:rsidRPr="009910A9">
        <w:rPr>
          <w:b/>
        </w:rPr>
        <w:t xml:space="preserve"> and other education providers are trained on how to identify, address and remedy the impacts of bullying, including online bullying.</w:t>
      </w:r>
    </w:p>
    <w:p w14:paraId="35E95B4F" w14:textId="77777777" w:rsidR="001239D2" w:rsidRDefault="001239D2" w:rsidP="00412E09">
      <w:pPr>
        <w:ind w:left="851" w:hanging="862"/>
      </w:pPr>
    </w:p>
    <w:p w14:paraId="6BF8E702" w14:textId="3491B7C4" w:rsidR="00AE4D05" w:rsidRPr="00AA45E0" w:rsidRDefault="008F720E" w:rsidP="00412E09">
      <w:pPr>
        <w:pStyle w:val="Heading2"/>
        <w:ind w:left="851" w:hanging="862"/>
        <w:rPr>
          <w:szCs w:val="22"/>
        </w:rPr>
      </w:pPr>
      <w:bookmarkStart w:id="36" w:name="_Toc121922200"/>
      <w:r>
        <w:rPr>
          <w:szCs w:val="22"/>
        </w:rPr>
        <w:t>Paramilitary activities</w:t>
      </w:r>
      <w:bookmarkEnd w:id="36"/>
    </w:p>
    <w:p w14:paraId="665F0A57" w14:textId="64CA5318" w:rsidR="005230CF" w:rsidRPr="00AF694C" w:rsidRDefault="00F92434" w:rsidP="00412E09">
      <w:pPr>
        <w:pStyle w:val="ListParagraph"/>
        <w:numPr>
          <w:ilvl w:val="1"/>
          <w:numId w:val="86"/>
        </w:numPr>
        <w:ind w:left="851" w:hanging="862"/>
        <w:rPr>
          <w:rFonts w:cs="Helvetica"/>
          <w:shd w:val="clear" w:color="auto" w:fill="FFFFFF"/>
        </w:rPr>
      </w:pPr>
      <w:r w:rsidRPr="00AF694C">
        <w:rPr>
          <w:rFonts w:cs="Helvetica"/>
          <w:shd w:val="clear" w:color="auto" w:fill="FFFFFF"/>
        </w:rPr>
        <w:t>In 2020/2021</w:t>
      </w:r>
      <w:r w:rsidR="008C7D2E">
        <w:rPr>
          <w:rFonts w:cs="Helvetica"/>
          <w:shd w:val="clear" w:color="auto" w:fill="FFFFFF"/>
        </w:rPr>
        <w:t>,</w:t>
      </w:r>
      <w:r w:rsidRPr="00AF694C">
        <w:rPr>
          <w:rFonts w:cs="Helvetica"/>
          <w:shd w:val="clear" w:color="auto" w:fill="FFFFFF"/>
        </w:rPr>
        <w:t xml:space="preserve"> there were 43 casualties of paramilitary style assaults, with one child casualty.</w:t>
      </w:r>
      <w:r w:rsidRPr="00AF694C">
        <w:rPr>
          <w:rFonts w:cs="Helvetica"/>
          <w:shd w:val="clear" w:color="auto" w:fill="FFFFFF"/>
          <w:vertAlign w:val="superscript"/>
        </w:rPr>
        <w:footnoteReference w:id="111"/>
      </w:r>
      <w:r w:rsidR="00136C65" w:rsidRPr="00AF694C">
        <w:rPr>
          <w:rFonts w:cs="Helvetica"/>
          <w:shd w:val="clear" w:color="auto" w:fill="FFFFFF"/>
        </w:rPr>
        <w:t xml:space="preserve"> In 2021/2022 there were </w:t>
      </w:r>
      <w:r w:rsidR="004978D5" w:rsidRPr="00AF694C">
        <w:rPr>
          <w:rFonts w:cs="Helvetica"/>
          <w:shd w:val="clear" w:color="auto" w:fill="FFFFFF"/>
        </w:rPr>
        <w:t>33 casualties of paramilitary style assaults, none of these involved children.</w:t>
      </w:r>
      <w:r w:rsidR="00EE0987" w:rsidRPr="00AF694C">
        <w:rPr>
          <w:rStyle w:val="FootnoteReference"/>
        </w:rPr>
        <w:footnoteReference w:id="112"/>
      </w:r>
    </w:p>
    <w:p w14:paraId="14BFE1D2" w14:textId="77777777" w:rsidR="008F720E" w:rsidRPr="00EE6588" w:rsidRDefault="008F720E" w:rsidP="00412E09">
      <w:pPr>
        <w:ind w:left="851" w:hanging="862"/>
        <w:rPr>
          <w:rFonts w:eastAsia="Verdana" w:cs="Verdana"/>
          <w:color w:val="000000"/>
        </w:rPr>
      </w:pPr>
    </w:p>
    <w:p w14:paraId="6B25F2EF" w14:textId="03B62D51" w:rsidR="00A50B94" w:rsidRDefault="00801D82" w:rsidP="00412E09">
      <w:pPr>
        <w:pStyle w:val="ListParagraph"/>
        <w:numPr>
          <w:ilvl w:val="1"/>
          <w:numId w:val="86"/>
        </w:numPr>
        <w:ind w:left="851" w:hanging="862"/>
        <w:rPr>
          <w:rFonts w:eastAsia="Verdana" w:cs="Verdana"/>
          <w:color w:val="000000"/>
        </w:rPr>
      </w:pPr>
      <w:r w:rsidRPr="00FC3184">
        <w:rPr>
          <w:rFonts w:eastAsia="Verdana" w:cs="Verdana"/>
          <w:color w:val="000000"/>
        </w:rPr>
        <w:t xml:space="preserve">The New Decade New Approach </w:t>
      </w:r>
      <w:r w:rsidR="00AA45E0">
        <w:rPr>
          <w:rFonts w:eastAsia="Verdana" w:cs="Verdana"/>
          <w:color w:val="000000"/>
        </w:rPr>
        <w:t>A</w:t>
      </w:r>
      <w:r w:rsidRPr="00FC3184">
        <w:rPr>
          <w:rFonts w:eastAsia="Verdana" w:cs="Verdana"/>
          <w:color w:val="000000"/>
        </w:rPr>
        <w:t>greement</w:t>
      </w:r>
      <w:r w:rsidR="00AA45E0">
        <w:rPr>
          <w:rFonts w:eastAsia="Verdana" w:cs="Verdana"/>
          <w:color w:val="000000"/>
        </w:rPr>
        <w:t xml:space="preserve"> 2020</w:t>
      </w:r>
      <w:r w:rsidRPr="00FC3184">
        <w:rPr>
          <w:rFonts w:eastAsia="Verdana" w:cs="Verdana"/>
          <w:color w:val="000000"/>
        </w:rPr>
        <w:t xml:space="preserve"> includes a commitment to “ending paramilitarism”.</w:t>
      </w:r>
      <w:r w:rsidRPr="00FC3184">
        <w:rPr>
          <w:rStyle w:val="FootnoteReference"/>
        </w:rPr>
        <w:footnoteReference w:id="113"/>
      </w:r>
      <w:r w:rsidRPr="00FC3184">
        <w:rPr>
          <w:rFonts w:eastAsia="Verdana" w:cs="Verdana"/>
          <w:color w:val="000000"/>
        </w:rPr>
        <w:t xml:space="preserve"> This includes a continued commitment by the UK Government to ensure the Police Service NI is “appropriately resourced to deal with</w:t>
      </w:r>
      <w:r w:rsidR="008F720E" w:rsidRPr="00FC3184">
        <w:rPr>
          <w:rFonts w:eastAsia="Verdana" w:cs="Verdana"/>
          <w:color w:val="000000"/>
        </w:rPr>
        <w:t>”</w:t>
      </w:r>
      <w:r w:rsidRPr="00FC3184">
        <w:rPr>
          <w:rFonts w:eastAsia="Verdana" w:cs="Verdana"/>
          <w:color w:val="000000"/>
        </w:rPr>
        <w:t xml:space="preserve"> </w:t>
      </w:r>
      <w:r w:rsidR="008F720E" w:rsidRPr="00FC3184">
        <w:rPr>
          <w:rFonts w:eastAsia="Verdana" w:cs="Verdana"/>
          <w:color w:val="000000"/>
        </w:rPr>
        <w:t>paramil</w:t>
      </w:r>
      <w:r w:rsidR="00EE0987">
        <w:rPr>
          <w:rFonts w:eastAsia="Verdana" w:cs="Verdana"/>
          <w:color w:val="000000"/>
        </w:rPr>
        <w:t>i</w:t>
      </w:r>
      <w:r w:rsidR="008F720E" w:rsidRPr="00FC3184">
        <w:rPr>
          <w:rFonts w:eastAsia="Verdana" w:cs="Verdana"/>
          <w:color w:val="000000"/>
        </w:rPr>
        <w:t>tarism</w:t>
      </w:r>
      <w:r w:rsidRPr="00FC3184">
        <w:rPr>
          <w:rFonts w:eastAsia="Verdana" w:cs="Verdana"/>
          <w:color w:val="000000"/>
        </w:rPr>
        <w:t>.</w:t>
      </w:r>
      <w:r w:rsidRPr="00FC3184">
        <w:rPr>
          <w:rStyle w:val="FootnoteReference"/>
        </w:rPr>
        <w:footnoteReference w:id="114"/>
      </w:r>
      <w:r w:rsidRPr="00FC3184">
        <w:rPr>
          <w:rFonts w:eastAsia="Verdana" w:cs="Verdana"/>
          <w:color w:val="000000"/>
        </w:rPr>
        <w:t xml:space="preserve"> </w:t>
      </w:r>
    </w:p>
    <w:p w14:paraId="29E59DF5" w14:textId="77777777" w:rsidR="00A50B94" w:rsidRPr="00A50B94" w:rsidRDefault="00A50B94" w:rsidP="00412E09">
      <w:pPr>
        <w:pStyle w:val="ListParagraph"/>
        <w:ind w:left="851" w:hanging="862"/>
        <w:rPr>
          <w:rFonts w:eastAsia="Verdana" w:cs="Verdana"/>
          <w:color w:val="000000"/>
        </w:rPr>
      </w:pPr>
    </w:p>
    <w:p w14:paraId="2E912627" w14:textId="293225BD" w:rsidR="004F4D6A" w:rsidRDefault="00A50B94" w:rsidP="00412E09">
      <w:pPr>
        <w:pStyle w:val="ListParagraph"/>
        <w:numPr>
          <w:ilvl w:val="1"/>
          <w:numId w:val="86"/>
        </w:numPr>
        <w:ind w:left="851" w:hanging="862"/>
        <w:rPr>
          <w:rFonts w:eastAsia="Verdana" w:cs="Verdana"/>
          <w:color w:val="000000"/>
        </w:rPr>
      </w:pPr>
      <w:r w:rsidRPr="00A50B94">
        <w:rPr>
          <w:rFonts w:eastAsia="Verdana" w:cs="Verdana"/>
          <w:color w:val="000000"/>
        </w:rPr>
        <w:t xml:space="preserve">In 2020, the NI Executive agreed to extend a programme for ending paramilitarism, established under the Fresh Start Agreement, for an additional 3 years. </w:t>
      </w:r>
      <w:r w:rsidR="007C36E7">
        <w:rPr>
          <w:rFonts w:eastAsia="Verdana" w:cs="Verdana"/>
          <w:color w:val="000000"/>
        </w:rPr>
        <w:t>In 2021/2022,</w:t>
      </w:r>
      <w:r w:rsidR="005A025A">
        <w:rPr>
          <w:rFonts w:eastAsia="Verdana" w:cs="Verdana"/>
          <w:color w:val="000000"/>
        </w:rPr>
        <w:t xml:space="preserve"> the </w:t>
      </w:r>
      <w:r w:rsidRPr="00A50B94">
        <w:rPr>
          <w:rFonts w:eastAsia="Verdana" w:cs="Verdana"/>
          <w:color w:val="000000"/>
        </w:rPr>
        <w:t>Department of Justice announced that £13 million w</w:t>
      </w:r>
      <w:r w:rsidR="005A025A">
        <w:rPr>
          <w:rFonts w:eastAsia="Verdana" w:cs="Verdana"/>
          <w:color w:val="000000"/>
        </w:rPr>
        <w:t xml:space="preserve">ill </w:t>
      </w:r>
      <w:r w:rsidRPr="00A50B94">
        <w:rPr>
          <w:rFonts w:eastAsia="Verdana" w:cs="Verdana"/>
          <w:color w:val="000000"/>
        </w:rPr>
        <w:t xml:space="preserve">be provided to community groups and other organisations to tackle paramilitarism in </w:t>
      </w:r>
      <w:r w:rsidR="00FC7AE6">
        <w:rPr>
          <w:rFonts w:eastAsia="Verdana" w:cs="Verdana"/>
          <w:color w:val="000000"/>
        </w:rPr>
        <w:t>NI</w:t>
      </w:r>
      <w:r w:rsidRPr="00A50B94">
        <w:rPr>
          <w:rFonts w:eastAsia="Verdana" w:cs="Verdana"/>
          <w:color w:val="000000"/>
        </w:rPr>
        <w:t>.</w:t>
      </w:r>
      <w:r w:rsidRPr="00A50B94">
        <w:rPr>
          <w:rFonts w:eastAsia="Verdana" w:cs="Verdana"/>
          <w:color w:val="000000"/>
          <w:vertAlign w:val="superscript"/>
        </w:rPr>
        <w:footnoteReference w:id="115"/>
      </w:r>
      <w:r w:rsidRPr="00A50B94">
        <w:rPr>
          <w:rFonts w:eastAsia="Verdana" w:cs="Verdana"/>
          <w:color w:val="000000"/>
        </w:rPr>
        <w:t xml:space="preserve"> A further £10 million has been allocated </w:t>
      </w:r>
      <w:r w:rsidR="00FC7AE6">
        <w:rPr>
          <w:rFonts w:eastAsia="Verdana" w:cs="Verdana"/>
          <w:color w:val="000000"/>
        </w:rPr>
        <w:t xml:space="preserve">by the Department of Justice </w:t>
      </w:r>
      <w:r w:rsidRPr="00A50B94">
        <w:rPr>
          <w:rFonts w:eastAsia="Verdana" w:cs="Verdana"/>
          <w:color w:val="000000"/>
        </w:rPr>
        <w:t xml:space="preserve">to </w:t>
      </w:r>
      <w:r w:rsidR="00FA5D9A">
        <w:rPr>
          <w:rFonts w:eastAsia="Verdana" w:cs="Verdana"/>
          <w:color w:val="000000"/>
        </w:rPr>
        <w:t>help c</w:t>
      </w:r>
      <w:r w:rsidRPr="00A50B94">
        <w:rPr>
          <w:rFonts w:eastAsia="Verdana" w:cs="Verdana"/>
          <w:color w:val="000000"/>
        </w:rPr>
        <w:t xml:space="preserve">ommunities in </w:t>
      </w:r>
      <w:r w:rsidR="00FA5D9A">
        <w:rPr>
          <w:rFonts w:eastAsia="Verdana" w:cs="Verdana"/>
          <w:color w:val="000000"/>
        </w:rPr>
        <w:t>t</w:t>
      </w:r>
      <w:r w:rsidRPr="00A50B94">
        <w:rPr>
          <w:rFonts w:eastAsia="Verdana" w:cs="Verdana"/>
          <w:color w:val="000000"/>
        </w:rPr>
        <w:t xml:space="preserve">ransition </w:t>
      </w:r>
      <w:r w:rsidR="00FC7AE6">
        <w:rPr>
          <w:rFonts w:eastAsia="Verdana" w:cs="Verdana"/>
          <w:color w:val="000000"/>
        </w:rPr>
        <w:t xml:space="preserve">within NI </w:t>
      </w:r>
      <w:r w:rsidRPr="00A50B94">
        <w:rPr>
          <w:rFonts w:eastAsia="Verdana" w:cs="Verdana"/>
          <w:color w:val="000000"/>
        </w:rPr>
        <w:t>until 2024.</w:t>
      </w:r>
      <w:r w:rsidRPr="00A50B94">
        <w:rPr>
          <w:rFonts w:eastAsia="Verdana" w:cs="Verdana"/>
          <w:color w:val="000000"/>
          <w:vertAlign w:val="superscript"/>
        </w:rPr>
        <w:footnoteReference w:id="116"/>
      </w:r>
      <w:r w:rsidR="007C36E7">
        <w:rPr>
          <w:rFonts w:eastAsia="Verdana" w:cs="Verdana"/>
          <w:color w:val="000000"/>
        </w:rPr>
        <w:t xml:space="preserve"> </w:t>
      </w:r>
    </w:p>
    <w:p w14:paraId="117170BA" w14:textId="77777777" w:rsidR="004F4D6A" w:rsidRPr="004F4D6A" w:rsidRDefault="004F4D6A" w:rsidP="00412E09">
      <w:pPr>
        <w:pStyle w:val="ListParagraph"/>
        <w:ind w:left="851" w:hanging="862"/>
        <w:rPr>
          <w:rFonts w:eastAsia="Verdana" w:cs="Verdana"/>
          <w:color w:val="000000"/>
        </w:rPr>
      </w:pPr>
    </w:p>
    <w:p w14:paraId="42A11684" w14:textId="3971B00E" w:rsidR="009731C5" w:rsidRPr="007C78B3" w:rsidRDefault="009731C5" w:rsidP="00412E09">
      <w:pPr>
        <w:pStyle w:val="ListParagraph"/>
        <w:numPr>
          <w:ilvl w:val="1"/>
          <w:numId w:val="86"/>
        </w:numPr>
        <w:ind w:left="851" w:hanging="862"/>
        <w:rPr>
          <w:rFonts w:eastAsia="Verdana" w:cs="Verdana"/>
          <w:color w:val="000000"/>
        </w:rPr>
      </w:pPr>
      <w:r w:rsidRPr="004F4D6A">
        <w:rPr>
          <w:rFonts w:eastAsia="Verdana" w:cs="Verdana"/>
          <w:color w:val="000000"/>
        </w:rPr>
        <w:t>In 2021,</w:t>
      </w:r>
      <w:r w:rsidR="004F4D6A" w:rsidRPr="004F4D6A">
        <w:rPr>
          <w:color w:val="000000"/>
        </w:rPr>
        <w:t xml:space="preserve"> the Independent Reporting Commission concluded that</w:t>
      </w:r>
      <w:r w:rsidR="004F4D6A">
        <w:rPr>
          <w:color w:val="000000"/>
        </w:rPr>
        <w:t xml:space="preserve"> “</w:t>
      </w:r>
      <w:r w:rsidR="004F4D6A">
        <w:t>paramilitarism remains a clear and present danger”</w:t>
      </w:r>
      <w:r w:rsidR="00F0466D">
        <w:t xml:space="preserve"> in NI</w:t>
      </w:r>
      <w:r w:rsidR="004F4D6A">
        <w:t>.</w:t>
      </w:r>
      <w:r w:rsidR="00AF694C">
        <w:rPr>
          <w:rStyle w:val="FootnoteReference"/>
        </w:rPr>
        <w:footnoteReference w:id="117"/>
      </w:r>
      <w:r w:rsidR="00D1409D">
        <w:t xml:space="preserve"> </w:t>
      </w:r>
      <w:r w:rsidR="00432108" w:rsidRPr="007C78B3">
        <w:t>NI’s</w:t>
      </w:r>
      <w:r w:rsidR="00063F7F" w:rsidRPr="007C78B3">
        <w:t xml:space="preserve"> </w:t>
      </w:r>
      <w:r w:rsidR="005E1E52">
        <w:t>current</w:t>
      </w:r>
      <w:r w:rsidR="00432108" w:rsidRPr="007C78B3">
        <w:t xml:space="preserve"> </w:t>
      </w:r>
      <w:r w:rsidR="00810961" w:rsidRPr="007C78B3">
        <w:t xml:space="preserve">political </w:t>
      </w:r>
      <w:r w:rsidR="00DB0BC8" w:rsidRPr="007C78B3">
        <w:t>uncertainty</w:t>
      </w:r>
      <w:r w:rsidR="00810961" w:rsidRPr="007C78B3">
        <w:t xml:space="preserve"> </w:t>
      </w:r>
      <w:r w:rsidR="00076D8C">
        <w:t xml:space="preserve">places </w:t>
      </w:r>
      <w:r w:rsidR="00AC7C00">
        <w:t>children</w:t>
      </w:r>
      <w:r w:rsidR="00063F7F" w:rsidRPr="007C78B3">
        <w:t xml:space="preserve"> </w:t>
      </w:r>
      <w:r w:rsidR="00076D8C">
        <w:t xml:space="preserve">at </w:t>
      </w:r>
      <w:r w:rsidR="0094777A">
        <w:t xml:space="preserve">an </w:t>
      </w:r>
      <w:r w:rsidR="00063F7F" w:rsidRPr="007C78B3">
        <w:t>increased risk of</w:t>
      </w:r>
      <w:r w:rsidR="00B50ECC">
        <w:t xml:space="preserve"> intimidation and</w:t>
      </w:r>
      <w:r w:rsidR="00810961" w:rsidRPr="007C78B3">
        <w:t xml:space="preserve"> exploit</w:t>
      </w:r>
      <w:r w:rsidR="00063F7F" w:rsidRPr="007C78B3">
        <w:t>ation</w:t>
      </w:r>
      <w:r w:rsidR="00810961" w:rsidRPr="007C78B3">
        <w:t xml:space="preserve"> by paramilitary </w:t>
      </w:r>
      <w:r w:rsidR="0061028F">
        <w:t>and/</w:t>
      </w:r>
      <w:r w:rsidR="007B68EB" w:rsidRPr="007C78B3">
        <w:t xml:space="preserve">or criminal </w:t>
      </w:r>
      <w:r w:rsidR="00810961" w:rsidRPr="007C78B3">
        <w:t>groups</w:t>
      </w:r>
      <w:r w:rsidR="0063056B">
        <w:t xml:space="preserve">, </w:t>
      </w:r>
      <w:r w:rsidR="00A840FC">
        <w:t>which can</w:t>
      </w:r>
      <w:r w:rsidR="005E1E52">
        <w:t xml:space="preserve"> </w:t>
      </w:r>
      <w:r w:rsidR="00F14681">
        <w:t>lead</w:t>
      </w:r>
      <w:r w:rsidR="00450683">
        <w:t xml:space="preserve"> </w:t>
      </w:r>
      <w:r w:rsidR="00442DD2">
        <w:t>to</w:t>
      </w:r>
      <w:r w:rsidR="00341C9C">
        <w:t xml:space="preserve"> the increased</w:t>
      </w:r>
      <w:r w:rsidR="00450683">
        <w:t xml:space="preserve"> criminalisation of</w:t>
      </w:r>
      <w:r w:rsidR="00341C9C">
        <w:t xml:space="preserve"> </w:t>
      </w:r>
      <w:r w:rsidR="00BB0ECD">
        <w:t>young people</w:t>
      </w:r>
      <w:r w:rsidR="00A454FC">
        <w:t xml:space="preserve"> in NI.</w:t>
      </w:r>
      <w:r w:rsidR="005E1E52" w:rsidRPr="007C78B3">
        <w:rPr>
          <w:rStyle w:val="FootnoteReference"/>
        </w:rPr>
        <w:footnoteReference w:id="118"/>
      </w:r>
      <w:r w:rsidR="005E1E52">
        <w:t xml:space="preserve"> </w:t>
      </w:r>
      <w:r w:rsidR="00A454FC">
        <w:t xml:space="preserve"> </w:t>
      </w:r>
    </w:p>
    <w:p w14:paraId="1E67315A" w14:textId="77777777" w:rsidR="00351662" w:rsidRPr="00351662" w:rsidRDefault="00351662" w:rsidP="00412E09">
      <w:pPr>
        <w:ind w:left="851" w:hanging="862"/>
        <w:rPr>
          <w:rFonts w:eastAsia="Verdana" w:cs="Verdana"/>
          <w:color w:val="000000"/>
        </w:rPr>
      </w:pPr>
    </w:p>
    <w:p w14:paraId="360C331B" w14:textId="47638B43" w:rsidR="00676747" w:rsidRPr="00351662" w:rsidRDefault="00AB5345" w:rsidP="00412E09">
      <w:pPr>
        <w:pStyle w:val="ListParagraph"/>
        <w:numPr>
          <w:ilvl w:val="1"/>
          <w:numId w:val="86"/>
        </w:numPr>
        <w:ind w:left="851" w:hanging="862"/>
        <w:rPr>
          <w:b/>
          <w:bCs/>
        </w:rPr>
      </w:pPr>
      <w:r w:rsidRPr="001239D2">
        <w:rPr>
          <w:b/>
        </w:rPr>
        <w:t>The Committee may wish to recommend that</w:t>
      </w:r>
      <w:r>
        <w:rPr>
          <w:b/>
          <w:bCs/>
        </w:rPr>
        <w:t xml:space="preserve"> the</w:t>
      </w:r>
      <w:r w:rsidR="007850AE">
        <w:rPr>
          <w:b/>
          <w:bCs/>
        </w:rPr>
        <w:t xml:space="preserve"> </w:t>
      </w:r>
      <w:r w:rsidR="00C44B9A">
        <w:rPr>
          <w:b/>
          <w:bCs/>
        </w:rPr>
        <w:t>State Party</w:t>
      </w:r>
      <w:r w:rsidR="007850AE">
        <w:rPr>
          <w:b/>
          <w:bCs/>
        </w:rPr>
        <w:t xml:space="preserve"> </w:t>
      </w:r>
      <w:r>
        <w:rPr>
          <w:b/>
          <w:bCs/>
        </w:rPr>
        <w:t>ensure</w:t>
      </w:r>
      <w:r w:rsidR="00C44B9A">
        <w:rPr>
          <w:b/>
          <w:bCs/>
        </w:rPr>
        <w:t>s</w:t>
      </w:r>
      <w:r w:rsidR="00A33661">
        <w:rPr>
          <w:b/>
          <w:bCs/>
        </w:rPr>
        <w:t xml:space="preserve"> the</w:t>
      </w:r>
      <w:r w:rsidR="00351662" w:rsidRPr="00351662">
        <w:rPr>
          <w:b/>
          <w:bCs/>
        </w:rPr>
        <w:t xml:space="preserve"> provi</w:t>
      </w:r>
      <w:r w:rsidR="00A33661">
        <w:rPr>
          <w:b/>
          <w:bCs/>
        </w:rPr>
        <w:t>sion of</w:t>
      </w:r>
      <w:r w:rsidR="00351662" w:rsidRPr="00351662">
        <w:rPr>
          <w:b/>
          <w:bCs/>
        </w:rPr>
        <w:t xml:space="preserve"> ring-fenced funding </w:t>
      </w:r>
      <w:r w:rsidR="004C6859">
        <w:rPr>
          <w:b/>
          <w:bCs/>
        </w:rPr>
        <w:t xml:space="preserve">in NI </w:t>
      </w:r>
      <w:r w:rsidR="00351662" w:rsidRPr="00351662">
        <w:rPr>
          <w:b/>
          <w:bCs/>
        </w:rPr>
        <w:t xml:space="preserve">for the purpose of ensuring children are fully protected from violence and </w:t>
      </w:r>
      <w:r w:rsidR="00F42CE5">
        <w:rPr>
          <w:b/>
          <w:bCs/>
        </w:rPr>
        <w:t xml:space="preserve">exploitation </w:t>
      </w:r>
      <w:r w:rsidR="00351662" w:rsidRPr="00351662">
        <w:rPr>
          <w:b/>
          <w:bCs/>
        </w:rPr>
        <w:t xml:space="preserve">by paramilitary </w:t>
      </w:r>
      <w:r w:rsidR="00F50BBD">
        <w:rPr>
          <w:b/>
          <w:bCs/>
        </w:rPr>
        <w:t>or criminal gangs</w:t>
      </w:r>
      <w:r w:rsidR="00351662" w:rsidRPr="00351662">
        <w:rPr>
          <w:b/>
          <w:bCs/>
        </w:rPr>
        <w:t>.</w:t>
      </w:r>
    </w:p>
    <w:p w14:paraId="60D287D4" w14:textId="77777777" w:rsidR="00603C4C" w:rsidRPr="00587912" w:rsidRDefault="00603C4C" w:rsidP="00412E09">
      <w:pPr>
        <w:ind w:left="851" w:hanging="862"/>
      </w:pPr>
    </w:p>
    <w:p w14:paraId="76411BEE" w14:textId="7200E986" w:rsidR="00960B12" w:rsidRPr="00587912" w:rsidRDefault="00495BC2" w:rsidP="00412E09">
      <w:pPr>
        <w:pStyle w:val="Heading1"/>
        <w:spacing w:before="0"/>
        <w:ind w:left="851" w:hanging="862"/>
      </w:pPr>
      <w:bookmarkStart w:id="37" w:name="_Toc121922201"/>
      <w:r>
        <w:t>1</w:t>
      </w:r>
      <w:r w:rsidR="003050A6">
        <w:t>1</w:t>
      </w:r>
      <w:r w:rsidR="000D72FE">
        <w:t>.0</w:t>
      </w:r>
      <w:r w:rsidR="000D72FE">
        <w:tab/>
      </w:r>
      <w:r w:rsidR="00B05BC9" w:rsidRPr="00D36C5B">
        <w:t>Ar</w:t>
      </w:r>
      <w:r w:rsidR="005C7147" w:rsidRPr="00D36C5B">
        <w:t>ticles 20</w:t>
      </w:r>
      <w:r w:rsidR="00FB6136" w:rsidRPr="00D36C5B">
        <w:t>, 21</w:t>
      </w:r>
      <w:r w:rsidR="005C7147" w:rsidRPr="00D36C5B">
        <w:t xml:space="preserve"> and 25 – Children in </w:t>
      </w:r>
      <w:r w:rsidR="002B0FC1">
        <w:t>C</w:t>
      </w:r>
      <w:r w:rsidR="005C7147" w:rsidRPr="00D36C5B">
        <w:t>are</w:t>
      </w:r>
      <w:bookmarkEnd w:id="37"/>
    </w:p>
    <w:p w14:paraId="5D38F18B" w14:textId="77777777" w:rsidR="00495BC2" w:rsidRPr="00495BC2" w:rsidRDefault="00495BC2" w:rsidP="00412E09">
      <w:pPr>
        <w:pStyle w:val="ListParagraph"/>
        <w:numPr>
          <w:ilvl w:val="0"/>
          <w:numId w:val="5"/>
        </w:numPr>
        <w:ind w:left="851" w:hanging="862"/>
        <w:rPr>
          <w:vanish/>
        </w:rPr>
      </w:pPr>
    </w:p>
    <w:p w14:paraId="01789C29" w14:textId="77777777" w:rsidR="00495BC2" w:rsidRPr="00495BC2" w:rsidRDefault="00495BC2" w:rsidP="00412E09">
      <w:pPr>
        <w:pStyle w:val="ListParagraph"/>
        <w:numPr>
          <w:ilvl w:val="0"/>
          <w:numId w:val="5"/>
        </w:numPr>
        <w:ind w:left="851" w:hanging="862"/>
        <w:rPr>
          <w:vanish/>
        </w:rPr>
      </w:pPr>
    </w:p>
    <w:p w14:paraId="6EF00FCA" w14:textId="54F6A04E" w:rsidR="008F7784" w:rsidRPr="00CE2FC0" w:rsidRDefault="005C7147" w:rsidP="00412E09">
      <w:pPr>
        <w:pStyle w:val="Heading2"/>
        <w:ind w:left="851" w:hanging="862"/>
        <w:rPr>
          <w:szCs w:val="22"/>
        </w:rPr>
      </w:pPr>
      <w:bookmarkStart w:id="38" w:name="_Toc121922202"/>
      <w:r w:rsidRPr="00587912">
        <w:rPr>
          <w:szCs w:val="22"/>
        </w:rPr>
        <w:t>Adoption</w:t>
      </w:r>
      <w:r w:rsidR="0010575B">
        <w:rPr>
          <w:szCs w:val="22"/>
        </w:rPr>
        <w:t xml:space="preserve"> </w:t>
      </w:r>
      <w:r w:rsidR="00FC4685">
        <w:rPr>
          <w:szCs w:val="22"/>
        </w:rPr>
        <w:t xml:space="preserve">and </w:t>
      </w:r>
      <w:r w:rsidR="00C771B5">
        <w:rPr>
          <w:szCs w:val="22"/>
        </w:rPr>
        <w:t xml:space="preserve">social care </w:t>
      </w:r>
      <w:r w:rsidR="001B7112">
        <w:rPr>
          <w:szCs w:val="22"/>
        </w:rPr>
        <w:t>reform</w:t>
      </w:r>
      <w:bookmarkEnd w:id="38"/>
    </w:p>
    <w:p w14:paraId="590DC1D1" w14:textId="14E044E5" w:rsidR="008069D0" w:rsidRPr="00E7077D" w:rsidRDefault="00FF2A1E" w:rsidP="00412E09">
      <w:pPr>
        <w:pStyle w:val="ListParagraph"/>
        <w:numPr>
          <w:ilvl w:val="1"/>
          <w:numId w:val="87"/>
        </w:numPr>
        <w:ind w:left="851" w:hanging="862"/>
      </w:pPr>
      <w:r>
        <w:t xml:space="preserve">In April 2022, the </w:t>
      </w:r>
      <w:r w:rsidR="009876D3" w:rsidRPr="003050A6">
        <w:rPr>
          <w:color w:val="000000"/>
        </w:rPr>
        <w:t xml:space="preserve">Adoption and Children (NI) Act 2022 </w:t>
      </w:r>
      <w:r w:rsidR="004F3A01" w:rsidRPr="003050A6">
        <w:rPr>
          <w:color w:val="000000"/>
        </w:rPr>
        <w:t xml:space="preserve">was enacted which modernises the legal framework for adoption </w:t>
      </w:r>
      <w:r w:rsidR="004312EA" w:rsidRPr="003050A6">
        <w:rPr>
          <w:color w:val="000000"/>
        </w:rPr>
        <w:t>i</w:t>
      </w:r>
      <w:r w:rsidR="004F3A01" w:rsidRPr="003050A6">
        <w:rPr>
          <w:color w:val="000000"/>
        </w:rPr>
        <w:t xml:space="preserve">n NI and </w:t>
      </w:r>
      <w:r w:rsidR="008114BC" w:rsidRPr="003050A6">
        <w:rPr>
          <w:color w:val="000000"/>
        </w:rPr>
        <w:t>improves</w:t>
      </w:r>
      <w:r w:rsidR="00670CD5" w:rsidRPr="003050A6">
        <w:rPr>
          <w:color w:val="000000"/>
        </w:rPr>
        <w:t xml:space="preserve"> support for</w:t>
      </w:r>
      <w:r w:rsidR="00901935" w:rsidRPr="003050A6">
        <w:rPr>
          <w:color w:val="000000"/>
        </w:rPr>
        <w:t xml:space="preserve"> c</w:t>
      </w:r>
      <w:r w:rsidR="00C139D0" w:rsidRPr="003050A6">
        <w:rPr>
          <w:color w:val="000000"/>
        </w:rPr>
        <w:t>hildren in care</w:t>
      </w:r>
      <w:r w:rsidR="00670CD5" w:rsidRPr="003050A6">
        <w:rPr>
          <w:color w:val="000000"/>
        </w:rPr>
        <w:t xml:space="preserve">. </w:t>
      </w:r>
      <w:r w:rsidR="00C139D0" w:rsidRPr="003050A6">
        <w:rPr>
          <w:color w:val="000000"/>
        </w:rPr>
        <w:t>I</w:t>
      </w:r>
      <w:r w:rsidR="00015DE0" w:rsidRPr="003050A6">
        <w:rPr>
          <w:color w:val="000000"/>
        </w:rPr>
        <w:t>t</w:t>
      </w:r>
      <w:r w:rsidR="0030504D" w:rsidRPr="003050A6">
        <w:rPr>
          <w:color w:val="000000"/>
        </w:rPr>
        <w:t xml:space="preserve"> is estimated that 25 </w:t>
      </w:r>
      <w:r w:rsidR="00FA7CC1" w:rsidRPr="003050A6">
        <w:rPr>
          <w:color w:val="000000"/>
        </w:rPr>
        <w:t xml:space="preserve">sets of </w:t>
      </w:r>
      <w:r w:rsidR="00E306CC" w:rsidRPr="003050A6">
        <w:rPr>
          <w:color w:val="000000"/>
        </w:rPr>
        <w:t>regulations</w:t>
      </w:r>
      <w:r w:rsidR="00FA7CC1" w:rsidRPr="003050A6">
        <w:rPr>
          <w:color w:val="000000"/>
        </w:rPr>
        <w:t xml:space="preserve"> and guidance</w:t>
      </w:r>
      <w:r w:rsidR="00E306CC" w:rsidRPr="003050A6">
        <w:rPr>
          <w:color w:val="000000"/>
        </w:rPr>
        <w:t xml:space="preserve"> </w:t>
      </w:r>
      <w:r w:rsidR="00C139D0" w:rsidRPr="003050A6">
        <w:rPr>
          <w:color w:val="000000"/>
        </w:rPr>
        <w:t>will be</w:t>
      </w:r>
      <w:r w:rsidR="00E306CC" w:rsidRPr="003050A6">
        <w:rPr>
          <w:color w:val="000000"/>
        </w:rPr>
        <w:t xml:space="preserve"> required </w:t>
      </w:r>
      <w:r w:rsidR="0094052F" w:rsidRPr="003050A6">
        <w:rPr>
          <w:color w:val="000000"/>
        </w:rPr>
        <w:t>to give full effect to the wide-ranging reforms</w:t>
      </w:r>
      <w:r w:rsidR="003112D2" w:rsidRPr="003050A6">
        <w:rPr>
          <w:color w:val="000000"/>
        </w:rPr>
        <w:t>.</w:t>
      </w:r>
      <w:r w:rsidR="007C5B91">
        <w:rPr>
          <w:rStyle w:val="FootnoteReference"/>
          <w:color w:val="000000"/>
        </w:rPr>
        <w:footnoteReference w:id="119"/>
      </w:r>
      <w:r w:rsidR="003112D2" w:rsidRPr="003050A6">
        <w:rPr>
          <w:color w:val="000000"/>
        </w:rPr>
        <w:t xml:space="preserve"> </w:t>
      </w:r>
      <w:r w:rsidR="00287C24" w:rsidRPr="003050A6">
        <w:rPr>
          <w:color w:val="000000"/>
        </w:rPr>
        <w:t xml:space="preserve">The </w:t>
      </w:r>
      <w:r w:rsidR="00720A6D" w:rsidRPr="003050A6">
        <w:rPr>
          <w:color w:val="000000"/>
        </w:rPr>
        <w:t xml:space="preserve">2022 </w:t>
      </w:r>
      <w:r w:rsidR="00287C24" w:rsidRPr="003050A6">
        <w:rPr>
          <w:color w:val="000000"/>
        </w:rPr>
        <w:t xml:space="preserve">Act will be implemented on a phased basis over five </w:t>
      </w:r>
      <w:r w:rsidR="00CE2FC0" w:rsidRPr="003050A6">
        <w:rPr>
          <w:color w:val="000000"/>
        </w:rPr>
        <w:t>years</w:t>
      </w:r>
      <w:r w:rsidR="004722B7" w:rsidRPr="003050A6">
        <w:rPr>
          <w:color w:val="000000"/>
        </w:rPr>
        <w:t xml:space="preserve">, </w:t>
      </w:r>
      <w:r w:rsidR="000970CE" w:rsidRPr="003050A6">
        <w:rPr>
          <w:color w:val="000000"/>
        </w:rPr>
        <w:t>subject</w:t>
      </w:r>
      <w:r w:rsidR="00E87B51" w:rsidRPr="003050A6">
        <w:rPr>
          <w:color w:val="000000"/>
        </w:rPr>
        <w:t xml:space="preserve"> to</w:t>
      </w:r>
      <w:r w:rsidR="00F75933" w:rsidRPr="003050A6">
        <w:rPr>
          <w:color w:val="000000"/>
        </w:rPr>
        <w:t xml:space="preserve"> securing additiona</w:t>
      </w:r>
      <w:r w:rsidR="004604B4" w:rsidRPr="003050A6">
        <w:rPr>
          <w:color w:val="000000"/>
        </w:rPr>
        <w:t xml:space="preserve">l funding </w:t>
      </w:r>
      <w:r w:rsidR="00B10D59" w:rsidRPr="003050A6">
        <w:rPr>
          <w:color w:val="000000"/>
        </w:rPr>
        <w:t xml:space="preserve">from an incoming </w:t>
      </w:r>
      <w:r w:rsidR="00CE2FC0" w:rsidRPr="003050A6">
        <w:rPr>
          <w:color w:val="000000"/>
        </w:rPr>
        <w:t xml:space="preserve">NI </w:t>
      </w:r>
      <w:r w:rsidR="00B10D59" w:rsidRPr="003050A6">
        <w:rPr>
          <w:color w:val="000000"/>
        </w:rPr>
        <w:t>Executive</w:t>
      </w:r>
      <w:r w:rsidR="004604B4" w:rsidRPr="003050A6">
        <w:rPr>
          <w:color w:val="000000"/>
        </w:rPr>
        <w:t>.</w:t>
      </w:r>
      <w:r w:rsidR="008F2688" w:rsidRPr="003050A6">
        <w:rPr>
          <w:color w:val="000000"/>
        </w:rPr>
        <w:t xml:space="preserve"> </w:t>
      </w:r>
      <w:r w:rsidR="00720A6D" w:rsidRPr="003050A6">
        <w:rPr>
          <w:color w:val="000000"/>
        </w:rPr>
        <w:t>S</w:t>
      </w:r>
      <w:r w:rsidR="006D2465" w:rsidRPr="003050A6">
        <w:rPr>
          <w:color w:val="000000"/>
        </w:rPr>
        <w:t xml:space="preserve">ustainable </w:t>
      </w:r>
      <w:r w:rsidR="00B725C5" w:rsidRPr="003050A6">
        <w:rPr>
          <w:color w:val="000000"/>
        </w:rPr>
        <w:t>resourcing</w:t>
      </w:r>
      <w:r w:rsidR="003524D5" w:rsidRPr="003050A6">
        <w:rPr>
          <w:color w:val="000000"/>
        </w:rPr>
        <w:t xml:space="preserve"> will be essential for the full implementation of the </w:t>
      </w:r>
      <w:r w:rsidR="00720A6D" w:rsidRPr="003050A6">
        <w:rPr>
          <w:color w:val="000000"/>
        </w:rPr>
        <w:t xml:space="preserve">2022 </w:t>
      </w:r>
      <w:r w:rsidR="003524D5" w:rsidRPr="003050A6">
        <w:rPr>
          <w:color w:val="000000"/>
        </w:rPr>
        <w:t>Act.</w:t>
      </w:r>
      <w:r w:rsidR="003524D5">
        <w:rPr>
          <w:rStyle w:val="FootnoteReference"/>
          <w:color w:val="000000"/>
        </w:rPr>
        <w:footnoteReference w:id="120"/>
      </w:r>
    </w:p>
    <w:p w14:paraId="405DE0D6" w14:textId="77777777" w:rsidR="003538BB" w:rsidRPr="008613D5" w:rsidRDefault="003538BB" w:rsidP="00412E09">
      <w:pPr>
        <w:ind w:left="851" w:hanging="862"/>
        <w:rPr>
          <w:b/>
          <w:bCs/>
        </w:rPr>
      </w:pPr>
    </w:p>
    <w:p w14:paraId="1A566D0F" w14:textId="6E65148F" w:rsidR="00C771B5" w:rsidRDefault="00C771B5" w:rsidP="00412E09">
      <w:pPr>
        <w:pStyle w:val="ListParagraph"/>
        <w:numPr>
          <w:ilvl w:val="1"/>
          <w:numId w:val="87"/>
        </w:numPr>
        <w:ind w:left="851" w:hanging="862"/>
      </w:pPr>
      <w:r>
        <w:t>In 2021/</w:t>
      </w:r>
      <w:r w:rsidR="00FF5E25">
        <w:t>20</w:t>
      </w:r>
      <w:r>
        <w:t xml:space="preserve">22, within NI there were </w:t>
      </w:r>
      <w:r w:rsidR="00A453F7">
        <w:t xml:space="preserve">24,545 </w:t>
      </w:r>
      <w:r>
        <w:t xml:space="preserve">children in need, </w:t>
      </w:r>
      <w:r w:rsidR="00A453F7">
        <w:t xml:space="preserve">34,969 </w:t>
      </w:r>
      <w:r>
        <w:t xml:space="preserve">children in need of referrals, </w:t>
      </w:r>
      <w:r w:rsidR="00A453F7">
        <w:t xml:space="preserve">2,346 </w:t>
      </w:r>
      <w:r>
        <w:t xml:space="preserve">children on the Child Protection Register and </w:t>
      </w:r>
      <w:r w:rsidR="0038392C">
        <w:t xml:space="preserve">3,624 </w:t>
      </w:r>
      <w:r>
        <w:t>children in care.</w:t>
      </w:r>
      <w:r w:rsidR="0084277F">
        <w:rPr>
          <w:rStyle w:val="FootnoteReference"/>
        </w:rPr>
        <w:footnoteReference w:id="121"/>
      </w:r>
      <w:r w:rsidR="00634EBF">
        <w:t xml:space="preserve"> </w:t>
      </w:r>
    </w:p>
    <w:p w14:paraId="00A28FC0" w14:textId="77777777" w:rsidR="00C771B5" w:rsidRDefault="00C771B5" w:rsidP="00412E09">
      <w:pPr>
        <w:pStyle w:val="ListParagraph"/>
        <w:ind w:left="851" w:hanging="862"/>
      </w:pPr>
    </w:p>
    <w:p w14:paraId="67FF3FE3" w14:textId="2D2C1179" w:rsidR="00B67695" w:rsidRPr="00B67695" w:rsidRDefault="00FF5E25" w:rsidP="00412E09">
      <w:pPr>
        <w:pStyle w:val="ListParagraph"/>
        <w:numPr>
          <w:ilvl w:val="1"/>
          <w:numId w:val="87"/>
        </w:numPr>
        <w:ind w:left="851" w:hanging="862"/>
      </w:pPr>
      <w:r>
        <w:rPr>
          <w:rFonts w:eastAsia="Verdana" w:cs="Verdana"/>
          <w:color w:val="000000"/>
        </w:rPr>
        <w:t>In 2021, t</w:t>
      </w:r>
      <w:r w:rsidR="00A569E2">
        <w:rPr>
          <w:rFonts w:eastAsia="Verdana" w:cs="Verdana"/>
          <w:color w:val="000000"/>
        </w:rPr>
        <w:t>he A Life Deserved</w:t>
      </w:r>
      <w:r w:rsidR="00BF08F6">
        <w:rPr>
          <w:rFonts w:eastAsia="Verdana" w:cs="Verdana"/>
          <w:color w:val="000000"/>
        </w:rPr>
        <w:t xml:space="preserve"> S</w:t>
      </w:r>
      <w:r w:rsidR="00C771B5">
        <w:rPr>
          <w:rFonts w:eastAsia="Verdana" w:cs="Verdana"/>
          <w:color w:val="000000"/>
        </w:rPr>
        <w:t>trategy for care experienced children in NI</w:t>
      </w:r>
      <w:r w:rsidR="00D63BFF">
        <w:rPr>
          <w:rFonts w:eastAsia="Verdana" w:cs="Verdana"/>
          <w:color w:val="000000"/>
        </w:rPr>
        <w:t xml:space="preserve"> was launched</w:t>
      </w:r>
      <w:r w:rsidR="00595818">
        <w:rPr>
          <w:rFonts w:eastAsia="Verdana" w:cs="Verdana"/>
          <w:color w:val="000000"/>
        </w:rPr>
        <w:t>.</w:t>
      </w:r>
      <w:r w:rsidR="00C771B5" w:rsidRPr="006473CF">
        <w:rPr>
          <w:rStyle w:val="FootnoteReference"/>
        </w:rPr>
        <w:footnoteReference w:id="122"/>
      </w:r>
      <w:r w:rsidR="00C771B5" w:rsidRPr="000D72FE">
        <w:rPr>
          <w:rFonts w:eastAsia="Verdana" w:cs="Verdana"/>
          <w:color w:val="000000"/>
        </w:rPr>
        <w:t xml:space="preserve"> </w:t>
      </w:r>
      <w:r w:rsidR="00595818">
        <w:rPr>
          <w:rFonts w:eastAsia="Verdana" w:cs="Verdana"/>
          <w:color w:val="000000"/>
        </w:rPr>
        <w:t>H</w:t>
      </w:r>
      <w:r w:rsidR="00A569E2">
        <w:rPr>
          <w:rFonts w:eastAsia="Verdana" w:cs="Verdana"/>
          <w:color w:val="000000"/>
        </w:rPr>
        <w:t>owever</w:t>
      </w:r>
      <w:r w:rsidR="00595818">
        <w:rPr>
          <w:rFonts w:eastAsia="Verdana" w:cs="Verdana"/>
          <w:color w:val="000000"/>
        </w:rPr>
        <w:t>,</w:t>
      </w:r>
      <w:r w:rsidR="00A569E2">
        <w:rPr>
          <w:rFonts w:eastAsia="Verdana" w:cs="Verdana"/>
          <w:color w:val="000000"/>
        </w:rPr>
        <w:t xml:space="preserve"> </w:t>
      </w:r>
      <w:r w:rsidR="00D426DC">
        <w:rPr>
          <w:rFonts w:eastAsia="Verdana" w:cs="Verdana"/>
          <w:color w:val="000000"/>
        </w:rPr>
        <w:t>its impact remains unclear</w:t>
      </w:r>
      <w:r w:rsidR="005A1F0D">
        <w:rPr>
          <w:rFonts w:eastAsia="Verdana" w:cs="Verdana"/>
          <w:color w:val="000000"/>
        </w:rPr>
        <w:t xml:space="preserve"> as many </w:t>
      </w:r>
      <w:r w:rsidR="007C7FA6">
        <w:rPr>
          <w:rFonts w:eastAsia="Verdana" w:cs="Verdana"/>
          <w:color w:val="000000"/>
        </w:rPr>
        <w:t xml:space="preserve">issues it seeks to address </w:t>
      </w:r>
      <w:r w:rsidR="004D14D9">
        <w:rPr>
          <w:rFonts w:eastAsia="Verdana" w:cs="Verdana"/>
          <w:color w:val="000000"/>
        </w:rPr>
        <w:t xml:space="preserve">continue to </w:t>
      </w:r>
      <w:r w:rsidR="007C7FA6">
        <w:rPr>
          <w:rFonts w:eastAsia="Verdana" w:cs="Verdana"/>
          <w:color w:val="000000"/>
        </w:rPr>
        <w:t>persist</w:t>
      </w:r>
      <w:r w:rsidR="001E7D4E">
        <w:rPr>
          <w:rFonts w:eastAsia="Verdana" w:cs="Verdana"/>
          <w:color w:val="000000"/>
        </w:rPr>
        <w:t xml:space="preserve">, including </w:t>
      </w:r>
      <w:r w:rsidR="008358E4">
        <w:rPr>
          <w:rFonts w:eastAsia="Verdana" w:cs="Verdana"/>
          <w:color w:val="000000"/>
        </w:rPr>
        <w:t xml:space="preserve">educational </w:t>
      </w:r>
      <w:r w:rsidR="003203A1">
        <w:rPr>
          <w:rFonts w:eastAsia="Verdana" w:cs="Verdana"/>
          <w:color w:val="000000"/>
        </w:rPr>
        <w:t>under</w:t>
      </w:r>
      <w:r w:rsidR="00FA7FDF">
        <w:rPr>
          <w:rFonts w:eastAsia="Verdana" w:cs="Verdana"/>
          <w:color w:val="000000"/>
        </w:rPr>
        <w:t xml:space="preserve">achievement </w:t>
      </w:r>
      <w:r w:rsidR="008358E4">
        <w:rPr>
          <w:rFonts w:eastAsia="Verdana" w:cs="Verdana"/>
          <w:color w:val="000000"/>
        </w:rPr>
        <w:t xml:space="preserve">and increased likelihood </w:t>
      </w:r>
      <w:r w:rsidR="00FA7FDF">
        <w:rPr>
          <w:rFonts w:eastAsia="Verdana" w:cs="Verdana"/>
          <w:color w:val="000000"/>
        </w:rPr>
        <w:t xml:space="preserve">of </w:t>
      </w:r>
      <w:r w:rsidR="001E4880">
        <w:rPr>
          <w:rFonts w:eastAsia="Verdana" w:cs="Verdana"/>
          <w:color w:val="000000"/>
        </w:rPr>
        <w:t>interfac</w:t>
      </w:r>
      <w:r w:rsidR="00FA7FDF">
        <w:rPr>
          <w:rFonts w:eastAsia="Verdana" w:cs="Verdana"/>
          <w:color w:val="000000"/>
        </w:rPr>
        <w:t xml:space="preserve">ing </w:t>
      </w:r>
      <w:r w:rsidR="001E4880">
        <w:rPr>
          <w:rFonts w:eastAsia="Verdana" w:cs="Verdana"/>
          <w:color w:val="000000"/>
        </w:rPr>
        <w:t>with the youth justice system</w:t>
      </w:r>
      <w:r w:rsidR="007C7FA6">
        <w:rPr>
          <w:rFonts w:eastAsia="Verdana" w:cs="Verdana"/>
          <w:color w:val="000000"/>
        </w:rPr>
        <w:t>.</w:t>
      </w:r>
      <w:r w:rsidR="008C721C">
        <w:rPr>
          <w:rStyle w:val="FootnoteReference"/>
          <w:rFonts w:eastAsia="Verdana" w:cs="Verdana"/>
          <w:color w:val="000000"/>
        </w:rPr>
        <w:footnoteReference w:id="123"/>
      </w:r>
      <w:r w:rsidR="006C7664">
        <w:rPr>
          <w:rFonts w:eastAsia="Verdana" w:cs="Verdana"/>
          <w:color w:val="000000"/>
        </w:rPr>
        <w:t xml:space="preserve"> </w:t>
      </w:r>
    </w:p>
    <w:p w14:paraId="4642DDB4" w14:textId="77777777" w:rsidR="00B67695" w:rsidRPr="00B67695" w:rsidRDefault="00B67695" w:rsidP="00412E09">
      <w:pPr>
        <w:pStyle w:val="ListParagraph"/>
        <w:ind w:left="851" w:hanging="862"/>
        <w:rPr>
          <w:rFonts w:eastAsia="Verdana" w:cs="Verdana"/>
          <w:color w:val="000000"/>
        </w:rPr>
      </w:pPr>
    </w:p>
    <w:p w14:paraId="080DF401" w14:textId="431BFC8F" w:rsidR="00C771B5" w:rsidRPr="0088516D" w:rsidRDefault="003E5A42" w:rsidP="00412E09">
      <w:pPr>
        <w:pStyle w:val="ListParagraph"/>
        <w:numPr>
          <w:ilvl w:val="1"/>
          <w:numId w:val="87"/>
        </w:numPr>
        <w:ind w:left="851" w:hanging="862"/>
      </w:pPr>
      <w:r>
        <w:rPr>
          <w:rFonts w:eastAsia="Verdana" w:cs="Verdana"/>
          <w:color w:val="000000"/>
        </w:rPr>
        <w:t>The Department of Health ha</w:t>
      </w:r>
      <w:r w:rsidR="00A3569C">
        <w:rPr>
          <w:rFonts w:eastAsia="Verdana" w:cs="Verdana"/>
          <w:color w:val="000000"/>
        </w:rPr>
        <w:t>s</w:t>
      </w:r>
      <w:r>
        <w:rPr>
          <w:rFonts w:eastAsia="Verdana" w:cs="Verdana"/>
          <w:color w:val="000000"/>
        </w:rPr>
        <w:t xml:space="preserve"> commissioned an Independent Review of Children’s Social Care Services</w:t>
      </w:r>
      <w:r w:rsidR="002F0005">
        <w:rPr>
          <w:rFonts w:eastAsia="Verdana" w:cs="Verdana"/>
          <w:color w:val="000000"/>
        </w:rPr>
        <w:t xml:space="preserve"> in NI</w:t>
      </w:r>
      <w:r w:rsidR="00813989">
        <w:rPr>
          <w:rFonts w:eastAsia="Verdana" w:cs="Verdana"/>
          <w:color w:val="000000"/>
        </w:rPr>
        <w:t xml:space="preserve">, which </w:t>
      </w:r>
      <w:r w:rsidR="00C648B4">
        <w:rPr>
          <w:rFonts w:eastAsia="Verdana" w:cs="Verdana"/>
          <w:color w:val="000000"/>
        </w:rPr>
        <w:t xml:space="preserve">is </w:t>
      </w:r>
      <w:r w:rsidR="00813989">
        <w:rPr>
          <w:rFonts w:eastAsia="Verdana" w:cs="Verdana"/>
          <w:color w:val="000000"/>
        </w:rPr>
        <w:t>due to complete</w:t>
      </w:r>
      <w:r w:rsidR="00C648B4">
        <w:rPr>
          <w:rFonts w:eastAsia="Verdana" w:cs="Verdana"/>
          <w:color w:val="000000"/>
        </w:rPr>
        <w:t xml:space="preserve"> in 2023</w:t>
      </w:r>
      <w:r w:rsidR="00323B62">
        <w:rPr>
          <w:rFonts w:eastAsia="Verdana" w:cs="Verdana"/>
          <w:color w:val="000000"/>
        </w:rPr>
        <w:t>.</w:t>
      </w:r>
      <w:r w:rsidR="00764531">
        <w:rPr>
          <w:rStyle w:val="FootnoteReference"/>
          <w:rFonts w:eastAsia="Verdana" w:cs="Verdana"/>
          <w:color w:val="000000"/>
        </w:rPr>
        <w:footnoteReference w:id="124"/>
      </w:r>
      <w:r w:rsidR="004D14D9">
        <w:rPr>
          <w:rFonts w:eastAsia="Verdana" w:cs="Verdana"/>
          <w:color w:val="000000"/>
        </w:rPr>
        <w:t xml:space="preserve"> </w:t>
      </w:r>
      <w:r w:rsidR="00016473">
        <w:rPr>
          <w:rFonts w:eastAsia="Verdana" w:cs="Verdana"/>
          <w:color w:val="000000"/>
        </w:rPr>
        <w:t xml:space="preserve">The Lead Reviewer has </w:t>
      </w:r>
      <w:r w:rsidR="0026041D">
        <w:rPr>
          <w:rFonts w:eastAsia="Verdana" w:cs="Verdana"/>
          <w:color w:val="000000"/>
        </w:rPr>
        <w:t xml:space="preserve">highlighted </w:t>
      </w:r>
      <w:r w:rsidR="00CB0326">
        <w:rPr>
          <w:rFonts w:eastAsia="Verdana" w:cs="Verdana"/>
          <w:color w:val="000000"/>
        </w:rPr>
        <w:t>the “endemic and systemic serious crisis in children’s social care”,</w:t>
      </w:r>
      <w:r w:rsidR="00361788">
        <w:rPr>
          <w:rFonts w:eastAsia="Verdana" w:cs="Verdana"/>
          <w:color w:val="000000"/>
        </w:rPr>
        <w:t xml:space="preserve"> </w:t>
      </w:r>
      <w:r w:rsidR="003D66BC">
        <w:rPr>
          <w:rFonts w:eastAsia="Verdana" w:cs="Verdana"/>
          <w:color w:val="000000"/>
        </w:rPr>
        <w:t>with</w:t>
      </w:r>
      <w:r w:rsidR="0039372E">
        <w:rPr>
          <w:rFonts w:eastAsia="Verdana" w:cs="Verdana"/>
          <w:color w:val="000000"/>
        </w:rPr>
        <w:t xml:space="preserve"> rising </w:t>
      </w:r>
      <w:r w:rsidR="00CA6FF7">
        <w:rPr>
          <w:rFonts w:eastAsia="Verdana" w:cs="Verdana"/>
          <w:color w:val="000000"/>
        </w:rPr>
        <w:t>demand for</w:t>
      </w:r>
      <w:r w:rsidR="00C40CE6">
        <w:rPr>
          <w:rFonts w:eastAsia="Verdana" w:cs="Verdana"/>
          <w:color w:val="000000"/>
        </w:rPr>
        <w:t xml:space="preserve"> accessing services </w:t>
      </w:r>
      <w:r w:rsidR="004853B0">
        <w:rPr>
          <w:rFonts w:eastAsia="Verdana" w:cs="Verdana"/>
          <w:color w:val="000000"/>
        </w:rPr>
        <w:t>and</w:t>
      </w:r>
      <w:r w:rsidR="0039372E">
        <w:rPr>
          <w:rFonts w:eastAsia="Verdana" w:cs="Verdana"/>
          <w:color w:val="000000"/>
        </w:rPr>
        <w:t xml:space="preserve"> </w:t>
      </w:r>
      <w:r w:rsidR="0039372E" w:rsidRPr="0039372E">
        <w:rPr>
          <w:rFonts w:eastAsia="Verdana" w:cs="Verdana"/>
          <w:color w:val="000000"/>
        </w:rPr>
        <w:t>workforce vacancies of 30</w:t>
      </w:r>
      <w:r w:rsidR="00A544ED">
        <w:rPr>
          <w:rFonts w:eastAsia="Verdana" w:cs="Verdana"/>
          <w:color w:val="000000"/>
        </w:rPr>
        <w:t xml:space="preserve"> to </w:t>
      </w:r>
      <w:r w:rsidR="0039372E" w:rsidRPr="0039372E">
        <w:rPr>
          <w:rFonts w:eastAsia="Verdana" w:cs="Verdana"/>
          <w:color w:val="000000"/>
        </w:rPr>
        <w:t>40</w:t>
      </w:r>
      <w:r w:rsidR="00A544ED">
        <w:rPr>
          <w:rFonts w:eastAsia="Verdana" w:cs="Verdana"/>
          <w:color w:val="000000"/>
        </w:rPr>
        <w:t xml:space="preserve"> per cent</w:t>
      </w:r>
      <w:r w:rsidR="0039372E" w:rsidRPr="0039372E">
        <w:rPr>
          <w:rFonts w:eastAsia="Verdana" w:cs="Verdana"/>
          <w:color w:val="000000"/>
        </w:rPr>
        <w:t xml:space="preserve"> across children’s social care teams</w:t>
      </w:r>
      <w:r w:rsidR="0097737D">
        <w:rPr>
          <w:rFonts w:eastAsia="Verdana" w:cs="Verdana"/>
          <w:color w:val="000000"/>
        </w:rPr>
        <w:t>.</w:t>
      </w:r>
      <w:r w:rsidR="0097737D">
        <w:rPr>
          <w:rStyle w:val="FootnoteReference"/>
          <w:rFonts w:eastAsia="Verdana" w:cs="Verdana"/>
          <w:color w:val="000000"/>
        </w:rPr>
        <w:footnoteReference w:id="125"/>
      </w:r>
      <w:r w:rsidR="003A2985">
        <w:rPr>
          <w:rFonts w:eastAsia="Verdana" w:cs="Verdana"/>
          <w:color w:val="000000"/>
        </w:rPr>
        <w:t xml:space="preserve"> </w:t>
      </w:r>
    </w:p>
    <w:p w14:paraId="4B4262D7" w14:textId="77777777" w:rsidR="0088516D" w:rsidRDefault="0088516D" w:rsidP="00412E09">
      <w:pPr>
        <w:pStyle w:val="ListParagraph"/>
        <w:ind w:left="851" w:hanging="862"/>
      </w:pPr>
    </w:p>
    <w:p w14:paraId="0E184C7A" w14:textId="084B18B7" w:rsidR="00E00BE8" w:rsidRDefault="00134DA1" w:rsidP="00412E09">
      <w:pPr>
        <w:pStyle w:val="ListParagraph"/>
        <w:numPr>
          <w:ilvl w:val="1"/>
          <w:numId w:val="87"/>
        </w:numPr>
        <w:ind w:left="851" w:hanging="862"/>
        <w:rPr>
          <w:b/>
          <w:bCs/>
        </w:rPr>
      </w:pPr>
      <w:r>
        <w:rPr>
          <w:b/>
          <w:bCs/>
        </w:rPr>
        <w:t>The Committee may wish to recommend</w:t>
      </w:r>
      <w:r w:rsidR="0088516D" w:rsidRPr="005C6F20">
        <w:rPr>
          <w:b/>
          <w:bCs/>
        </w:rPr>
        <w:t xml:space="preserve"> that the</w:t>
      </w:r>
      <w:r w:rsidR="00567463">
        <w:rPr>
          <w:b/>
          <w:bCs/>
        </w:rPr>
        <w:t xml:space="preserve"> State Party</w:t>
      </w:r>
      <w:r w:rsidR="005C6F20" w:rsidRPr="005C6F20">
        <w:rPr>
          <w:b/>
          <w:bCs/>
        </w:rPr>
        <w:t xml:space="preserve"> </w:t>
      </w:r>
      <w:r w:rsidR="00E7676C">
        <w:rPr>
          <w:b/>
          <w:bCs/>
        </w:rPr>
        <w:t xml:space="preserve">takes urgent steps to ensure that children’s social care services </w:t>
      </w:r>
      <w:r w:rsidR="004C6859">
        <w:rPr>
          <w:b/>
          <w:bCs/>
        </w:rPr>
        <w:t>in NI</w:t>
      </w:r>
      <w:r w:rsidR="00E7676C">
        <w:rPr>
          <w:b/>
          <w:bCs/>
        </w:rPr>
        <w:t xml:space="preserve"> meet demand and address the full range of complex needs, as they arise</w:t>
      </w:r>
      <w:r w:rsidR="00C455E7">
        <w:rPr>
          <w:b/>
          <w:bCs/>
        </w:rPr>
        <w:t xml:space="preserve">. This includes ensuring that </w:t>
      </w:r>
      <w:r w:rsidR="00DC053E" w:rsidRPr="00C455E7">
        <w:rPr>
          <w:b/>
          <w:bCs/>
        </w:rPr>
        <w:t xml:space="preserve">opportunities for strategic collaboration across adoption and social care services </w:t>
      </w:r>
      <w:r w:rsidR="00323D64">
        <w:rPr>
          <w:b/>
          <w:bCs/>
        </w:rPr>
        <w:t xml:space="preserve">in NI </w:t>
      </w:r>
      <w:r w:rsidR="00DC053E" w:rsidRPr="00C455E7">
        <w:rPr>
          <w:b/>
          <w:bCs/>
        </w:rPr>
        <w:t>are identified and maximised, including in the provision of long-term funding arrangements, particularly in the implementation of the Adoption and Children (NI) Act 2022.</w:t>
      </w:r>
      <w:r w:rsidR="00AA5FA9">
        <w:rPr>
          <w:b/>
          <w:bCs/>
        </w:rPr>
        <w:t xml:space="preserve"> </w:t>
      </w:r>
    </w:p>
    <w:p w14:paraId="00C51211" w14:textId="77777777" w:rsidR="00684922" w:rsidRPr="00587912" w:rsidRDefault="00684922" w:rsidP="00412E09">
      <w:pPr>
        <w:ind w:left="851" w:hanging="862"/>
      </w:pPr>
    </w:p>
    <w:p w14:paraId="056E31CD" w14:textId="1D80D9F0" w:rsidR="00AE68DA" w:rsidRPr="0076444B" w:rsidRDefault="00AE68DA" w:rsidP="00412E09">
      <w:pPr>
        <w:pStyle w:val="Heading2"/>
        <w:ind w:left="851" w:hanging="862"/>
        <w:rPr>
          <w:szCs w:val="22"/>
        </w:rPr>
      </w:pPr>
      <w:bookmarkStart w:id="39" w:name="_Toc121922203"/>
      <w:r>
        <w:rPr>
          <w:szCs w:val="22"/>
        </w:rPr>
        <w:t xml:space="preserve">Kinship care and </w:t>
      </w:r>
      <w:r w:rsidR="00773B85">
        <w:rPr>
          <w:szCs w:val="22"/>
        </w:rPr>
        <w:t>EU withdrawal</w:t>
      </w:r>
      <w:bookmarkEnd w:id="39"/>
    </w:p>
    <w:p w14:paraId="6F792A09" w14:textId="49A1772C" w:rsidR="00AE68DA" w:rsidRDefault="00AE68DA" w:rsidP="00412E09">
      <w:pPr>
        <w:pStyle w:val="ListParagraph"/>
        <w:numPr>
          <w:ilvl w:val="1"/>
          <w:numId w:val="87"/>
        </w:numPr>
        <w:ind w:left="851" w:hanging="862"/>
      </w:pPr>
      <w:r>
        <w:t xml:space="preserve">Before 1 January 2021, cross-border disputes within the EU relating to children were regulated under the Brussels </w:t>
      </w:r>
      <w:proofErr w:type="spellStart"/>
      <w:r>
        <w:t>IIa</w:t>
      </w:r>
      <w:proofErr w:type="spellEnd"/>
      <w:r>
        <w:t xml:space="preserve"> Regulation (‘Brussels </w:t>
      </w:r>
      <w:proofErr w:type="spellStart"/>
      <w:r>
        <w:t>IIa</w:t>
      </w:r>
      <w:proofErr w:type="spellEnd"/>
      <w:r>
        <w:t>’).</w:t>
      </w:r>
      <w:r w:rsidR="004641B4">
        <w:rPr>
          <w:rStyle w:val="FootnoteReference"/>
        </w:rPr>
        <w:footnoteReference w:id="126"/>
      </w:r>
      <w:r>
        <w:t xml:space="preserve"> This provided rules for establishing jurisdiction and ensured that orders relating to parental responsibility issued in one EU </w:t>
      </w:r>
      <w:r w:rsidR="00E2576A">
        <w:t>M</w:t>
      </w:r>
      <w:r>
        <w:t xml:space="preserve">ember </w:t>
      </w:r>
      <w:r w:rsidR="00E2576A">
        <w:t>S</w:t>
      </w:r>
      <w:r>
        <w:t xml:space="preserve">tate could be recognised and enforced in another. However, no replacement of the Brussels </w:t>
      </w:r>
      <w:proofErr w:type="spellStart"/>
      <w:r>
        <w:t>IIa</w:t>
      </w:r>
      <w:proofErr w:type="spellEnd"/>
      <w:r>
        <w:t xml:space="preserve"> system has been put in place following the UK’s withdrawal from the EU. </w:t>
      </w:r>
      <w:r w:rsidR="00271700">
        <w:t>This is a particular issue in NI given the fluidity of the border with Ireland.</w:t>
      </w:r>
    </w:p>
    <w:p w14:paraId="164E8DB0" w14:textId="03A0F0A3" w:rsidR="00AE68DA" w:rsidRDefault="00AE68DA" w:rsidP="00412E09">
      <w:pPr>
        <w:ind w:left="851" w:hanging="862"/>
      </w:pPr>
    </w:p>
    <w:p w14:paraId="3752ECF3" w14:textId="148B3878" w:rsidR="001036F3" w:rsidRDefault="001036F3" w:rsidP="00412E09">
      <w:pPr>
        <w:pStyle w:val="ListParagraph"/>
        <w:numPr>
          <w:ilvl w:val="1"/>
          <w:numId w:val="87"/>
        </w:numPr>
        <w:ind w:left="851" w:hanging="862"/>
      </w:pPr>
      <w:r>
        <w:t>The Adoption and Children (NI) Act 2022 introduces a Special Guardianship Order as an option for those who do not wish to go through the adoption process, but who want to provide greater security for a child by placing him or her with a kinship carer. In NI, it is foreseeable that such cases may involve an extended family member who lives in Ireland. However, the 2022 Act does not contain a clear framework for managing the assessment and placement of children from NI in Ireland.</w:t>
      </w:r>
    </w:p>
    <w:p w14:paraId="503C4992" w14:textId="77777777" w:rsidR="001036F3" w:rsidRDefault="001036F3" w:rsidP="00412E09">
      <w:pPr>
        <w:ind w:left="851" w:hanging="862"/>
      </w:pPr>
    </w:p>
    <w:p w14:paraId="5E9E5A80" w14:textId="7DD9E2B6" w:rsidR="00AE68DA" w:rsidRDefault="00283646" w:rsidP="00412E09">
      <w:pPr>
        <w:pStyle w:val="ListParagraph"/>
        <w:numPr>
          <w:ilvl w:val="1"/>
          <w:numId w:val="87"/>
        </w:numPr>
        <w:ind w:left="851" w:hanging="862"/>
      </w:pPr>
      <w:r>
        <w:t xml:space="preserve">In the context of NI, </w:t>
      </w:r>
      <w:r w:rsidR="00AE68DA">
        <w:t xml:space="preserve">beyond the challenge of cross-border assessments of potential special guardians, there are queries as to how the child will be supported in </w:t>
      </w:r>
      <w:r w:rsidR="00984E41">
        <w:t>such a</w:t>
      </w:r>
      <w:r w:rsidR="00AE68DA">
        <w:t xml:space="preserve"> placement, how that placement will be monitored and what will happen if the placement breaks down.</w:t>
      </w:r>
      <w:r w:rsidR="00213DBB">
        <w:rPr>
          <w:rStyle w:val="FootnoteReference"/>
        </w:rPr>
        <w:footnoteReference w:id="127"/>
      </w:r>
    </w:p>
    <w:p w14:paraId="7C02B7DD" w14:textId="77777777" w:rsidR="00AE68DA" w:rsidRDefault="00AE68DA" w:rsidP="00412E09">
      <w:pPr>
        <w:pStyle w:val="ListParagraph"/>
        <w:ind w:left="851" w:hanging="862"/>
      </w:pPr>
    </w:p>
    <w:p w14:paraId="0F54918C" w14:textId="5C71030D" w:rsidR="00AE68DA" w:rsidRDefault="00AE68DA" w:rsidP="00412E09">
      <w:pPr>
        <w:pStyle w:val="ListParagraph"/>
        <w:numPr>
          <w:ilvl w:val="1"/>
          <w:numId w:val="87"/>
        </w:numPr>
        <w:ind w:left="851" w:hanging="862"/>
        <w:rPr>
          <w:b/>
          <w:bCs/>
        </w:rPr>
      </w:pPr>
      <w:r w:rsidRPr="007C27A3">
        <w:rPr>
          <w:b/>
          <w:bCs/>
        </w:rPr>
        <w:t xml:space="preserve">The Committee may wish to recommend that </w:t>
      </w:r>
      <w:r w:rsidR="00003EA6">
        <w:rPr>
          <w:b/>
          <w:bCs/>
        </w:rPr>
        <w:t xml:space="preserve">the </w:t>
      </w:r>
      <w:r w:rsidR="00283646">
        <w:rPr>
          <w:b/>
          <w:bCs/>
        </w:rPr>
        <w:t>State Party ensures</w:t>
      </w:r>
      <w:r w:rsidRPr="007C27A3">
        <w:rPr>
          <w:b/>
          <w:bCs/>
        </w:rPr>
        <w:t xml:space="preserve"> that </w:t>
      </w:r>
      <w:r>
        <w:rPr>
          <w:b/>
          <w:bCs/>
        </w:rPr>
        <w:t xml:space="preserve">kinship </w:t>
      </w:r>
      <w:r w:rsidRPr="007C27A3">
        <w:rPr>
          <w:b/>
          <w:bCs/>
        </w:rPr>
        <w:t>placement</w:t>
      </w:r>
      <w:r>
        <w:rPr>
          <w:b/>
          <w:bCs/>
        </w:rPr>
        <w:t>s</w:t>
      </w:r>
      <w:r w:rsidR="007A6A11">
        <w:rPr>
          <w:b/>
          <w:bCs/>
        </w:rPr>
        <w:t xml:space="preserve">, particularly </w:t>
      </w:r>
      <w:r w:rsidRPr="007C27A3">
        <w:rPr>
          <w:b/>
          <w:bCs/>
        </w:rPr>
        <w:t xml:space="preserve">across the </w:t>
      </w:r>
      <w:r w:rsidR="007A6A11">
        <w:rPr>
          <w:b/>
          <w:bCs/>
        </w:rPr>
        <w:t>NI</w:t>
      </w:r>
      <w:r>
        <w:rPr>
          <w:b/>
          <w:bCs/>
        </w:rPr>
        <w:t>/</w:t>
      </w:r>
      <w:r w:rsidR="006275EF">
        <w:rPr>
          <w:b/>
          <w:bCs/>
        </w:rPr>
        <w:t>Ireland</w:t>
      </w:r>
      <w:r w:rsidRPr="007C27A3">
        <w:rPr>
          <w:b/>
          <w:bCs/>
        </w:rPr>
        <w:t xml:space="preserve"> border</w:t>
      </w:r>
      <w:r w:rsidR="007A6A11">
        <w:rPr>
          <w:b/>
          <w:bCs/>
        </w:rPr>
        <w:t>,</w:t>
      </w:r>
      <w:r w:rsidRPr="007C27A3">
        <w:rPr>
          <w:b/>
          <w:bCs/>
        </w:rPr>
        <w:t xml:space="preserve"> </w:t>
      </w:r>
      <w:r>
        <w:rPr>
          <w:b/>
          <w:bCs/>
        </w:rPr>
        <w:t>are</w:t>
      </w:r>
      <w:r w:rsidRPr="007C27A3">
        <w:rPr>
          <w:b/>
          <w:bCs/>
        </w:rPr>
        <w:t xml:space="preserve"> not adversely </w:t>
      </w:r>
      <w:r w:rsidR="008F1A28">
        <w:rPr>
          <w:b/>
          <w:bCs/>
        </w:rPr>
        <w:t>affected</w:t>
      </w:r>
      <w:r w:rsidR="008F1A28" w:rsidRPr="007C27A3">
        <w:rPr>
          <w:b/>
          <w:bCs/>
        </w:rPr>
        <w:t xml:space="preserve"> </w:t>
      </w:r>
      <w:r w:rsidRPr="007C27A3">
        <w:rPr>
          <w:b/>
          <w:bCs/>
        </w:rPr>
        <w:t>following the UK’s withdrawal from the EU.</w:t>
      </w:r>
      <w:r w:rsidR="00E52303">
        <w:rPr>
          <w:b/>
          <w:bCs/>
        </w:rPr>
        <w:t xml:space="preserve"> This includes ensuring that there is clarity </w:t>
      </w:r>
      <w:r w:rsidR="00BB1300">
        <w:rPr>
          <w:b/>
          <w:bCs/>
        </w:rPr>
        <w:t xml:space="preserve">on how disputes </w:t>
      </w:r>
      <w:r w:rsidR="00070516">
        <w:rPr>
          <w:b/>
          <w:bCs/>
        </w:rPr>
        <w:t xml:space="preserve">or placement breakdowns </w:t>
      </w:r>
      <w:r w:rsidR="00BB1300">
        <w:rPr>
          <w:b/>
          <w:bCs/>
        </w:rPr>
        <w:t>will be resolved</w:t>
      </w:r>
      <w:r w:rsidR="0049255C">
        <w:rPr>
          <w:b/>
          <w:bCs/>
        </w:rPr>
        <w:t xml:space="preserve">. It also includes ensuring that </w:t>
      </w:r>
      <w:r w:rsidR="00BB1300">
        <w:rPr>
          <w:b/>
          <w:bCs/>
        </w:rPr>
        <w:t xml:space="preserve">the necessary support is in place to facilitate cross-border assessments, </w:t>
      </w:r>
      <w:r w:rsidR="0049255C">
        <w:rPr>
          <w:b/>
          <w:bCs/>
        </w:rPr>
        <w:t>to support the children involved</w:t>
      </w:r>
      <w:r w:rsidR="00070516">
        <w:rPr>
          <w:b/>
          <w:bCs/>
        </w:rPr>
        <w:t xml:space="preserve"> and to ensure a placement is effectively monitored.</w:t>
      </w:r>
    </w:p>
    <w:p w14:paraId="089E97CD" w14:textId="77777777" w:rsidR="008158AC" w:rsidRPr="008158AC" w:rsidRDefault="008158AC" w:rsidP="00412E09">
      <w:pPr>
        <w:ind w:left="851" w:hanging="862"/>
        <w:rPr>
          <w:b/>
          <w:bCs/>
        </w:rPr>
      </w:pPr>
    </w:p>
    <w:p w14:paraId="17602C2C" w14:textId="1203B99F" w:rsidR="00797BFE" w:rsidRPr="00C455E7" w:rsidRDefault="008158AC" w:rsidP="00412E09">
      <w:pPr>
        <w:pStyle w:val="Heading2"/>
        <w:ind w:left="851" w:hanging="862"/>
        <w:rPr>
          <w:szCs w:val="22"/>
        </w:rPr>
      </w:pPr>
      <w:bookmarkStart w:id="40" w:name="_Toc121922204"/>
      <w:r w:rsidRPr="00587912">
        <w:rPr>
          <w:szCs w:val="22"/>
        </w:rPr>
        <w:t>Foster care</w:t>
      </w:r>
      <w:bookmarkEnd w:id="40"/>
    </w:p>
    <w:p w14:paraId="6D60464A" w14:textId="62686199" w:rsidR="003E01ED" w:rsidRDefault="00FE17AF" w:rsidP="00412E09">
      <w:pPr>
        <w:pStyle w:val="ListParagraph"/>
        <w:numPr>
          <w:ilvl w:val="1"/>
          <w:numId w:val="87"/>
        </w:numPr>
        <w:ind w:left="851" w:hanging="862"/>
      </w:pPr>
      <w:r>
        <w:t xml:space="preserve">Since 2012, </w:t>
      </w:r>
      <w:r w:rsidR="00960E01">
        <w:t>Minimum Kinship Care Standards have been in place and are subject to regular review</w:t>
      </w:r>
      <w:r>
        <w:t>.</w:t>
      </w:r>
      <w:r w:rsidR="00960E01" w:rsidRPr="00587912">
        <w:rPr>
          <w:rStyle w:val="FootnoteReference"/>
        </w:rPr>
        <w:footnoteReference w:id="128"/>
      </w:r>
      <w:r w:rsidR="00960E01" w:rsidRPr="00587912">
        <w:t xml:space="preserve"> </w:t>
      </w:r>
      <w:r>
        <w:t>H</w:t>
      </w:r>
      <w:r w:rsidR="00960E01">
        <w:t>owever</w:t>
      </w:r>
      <w:r w:rsidR="00525E0F">
        <w:t>,</w:t>
      </w:r>
      <w:r w:rsidR="00960E01">
        <w:t xml:space="preserve"> </w:t>
      </w:r>
      <w:r>
        <w:t>in 2013</w:t>
      </w:r>
      <w:r w:rsidR="00525E0F">
        <w:t>,</w:t>
      </w:r>
      <w:r w:rsidR="00960E01">
        <w:t xml:space="preserve"> the Department of Health stated that it would update fostering standards in NI.</w:t>
      </w:r>
      <w:r w:rsidR="00960E01" w:rsidRPr="00587912">
        <w:rPr>
          <w:rStyle w:val="FootnoteReference"/>
        </w:rPr>
        <w:footnoteReference w:id="129"/>
      </w:r>
      <w:r w:rsidR="00AF06D4">
        <w:t xml:space="preserve"> T</w:t>
      </w:r>
      <w:r w:rsidR="00960E01">
        <w:t>he Foster Placement (Children) Regulations (</w:t>
      </w:r>
      <w:r w:rsidR="00A502E8">
        <w:t>NI</w:t>
      </w:r>
      <w:r w:rsidR="00960E01">
        <w:t xml:space="preserve">) 1996 </w:t>
      </w:r>
      <w:r w:rsidR="0095227A">
        <w:t>have not been updated since their introduction</w:t>
      </w:r>
      <w:r w:rsidR="00960E01">
        <w:t>. These regulations do not include minimum standards for foster care or a statutory requirement for foster care to be inspected</w:t>
      </w:r>
      <w:r w:rsidR="00587117">
        <w:t>, unlike arrangements seen across the rest of the UK.</w:t>
      </w:r>
      <w:r w:rsidR="00587117">
        <w:rPr>
          <w:rStyle w:val="FootnoteReference"/>
        </w:rPr>
        <w:footnoteReference w:id="130"/>
      </w:r>
      <w:r w:rsidR="003E01ED" w:rsidRPr="00587912">
        <w:t xml:space="preserve"> </w:t>
      </w:r>
    </w:p>
    <w:p w14:paraId="686E1E36" w14:textId="77777777" w:rsidR="007A3411" w:rsidRDefault="007A3411" w:rsidP="00412E09">
      <w:pPr>
        <w:pStyle w:val="ListParagraph"/>
        <w:ind w:left="851" w:hanging="862"/>
      </w:pPr>
    </w:p>
    <w:p w14:paraId="38905599" w14:textId="241A2DC2" w:rsidR="007A3411" w:rsidRDefault="00134DA1" w:rsidP="00412E09">
      <w:pPr>
        <w:pStyle w:val="ListParagraph"/>
        <w:numPr>
          <w:ilvl w:val="1"/>
          <w:numId w:val="87"/>
        </w:numPr>
        <w:ind w:left="851" w:hanging="862"/>
        <w:rPr>
          <w:b/>
        </w:rPr>
      </w:pPr>
      <w:r>
        <w:rPr>
          <w:b/>
        </w:rPr>
        <w:t>The Committee may wish to recommend</w:t>
      </w:r>
      <w:r w:rsidR="009B4A34">
        <w:rPr>
          <w:b/>
        </w:rPr>
        <w:t xml:space="preserve"> that the </w:t>
      </w:r>
      <w:r w:rsidR="00E73D75" w:rsidRPr="002A6F96">
        <w:rPr>
          <w:b/>
        </w:rPr>
        <w:t>State Party</w:t>
      </w:r>
      <w:r w:rsidR="009B4A34" w:rsidRPr="002A6F96">
        <w:rPr>
          <w:b/>
        </w:rPr>
        <w:t xml:space="preserve"> </w:t>
      </w:r>
      <w:r w:rsidR="00D32813" w:rsidRPr="002A6F96">
        <w:rPr>
          <w:b/>
        </w:rPr>
        <w:t>ensure</w:t>
      </w:r>
      <w:r w:rsidR="00E73D75" w:rsidRPr="002A6F96">
        <w:rPr>
          <w:b/>
        </w:rPr>
        <w:t xml:space="preserve">s that there </w:t>
      </w:r>
      <w:r w:rsidR="00BD7CDE" w:rsidRPr="002A6F96">
        <w:rPr>
          <w:b/>
        </w:rPr>
        <w:t>are</w:t>
      </w:r>
      <w:r w:rsidR="00E73D75" w:rsidRPr="002A6F96">
        <w:rPr>
          <w:b/>
        </w:rPr>
        <w:t xml:space="preserve"> </w:t>
      </w:r>
      <w:r w:rsidR="00BD7CDE" w:rsidRPr="002A6F96">
        <w:rPr>
          <w:b/>
        </w:rPr>
        <w:t>minimum</w:t>
      </w:r>
      <w:r w:rsidR="00D32813" w:rsidRPr="00D32813">
        <w:rPr>
          <w:b/>
        </w:rPr>
        <w:t xml:space="preserve"> standards </w:t>
      </w:r>
      <w:r w:rsidR="00BD7CDE" w:rsidRPr="002A6F96">
        <w:rPr>
          <w:b/>
        </w:rPr>
        <w:t xml:space="preserve">for foster care </w:t>
      </w:r>
      <w:r w:rsidR="00D32813">
        <w:rPr>
          <w:b/>
        </w:rPr>
        <w:t>and</w:t>
      </w:r>
      <w:r w:rsidR="00CB2AB4">
        <w:rPr>
          <w:b/>
        </w:rPr>
        <w:t xml:space="preserve"> </w:t>
      </w:r>
      <w:r w:rsidR="007A3411" w:rsidRPr="007A3411">
        <w:rPr>
          <w:b/>
        </w:rPr>
        <w:t>a statutory requirement for foster care to be inspected</w:t>
      </w:r>
      <w:r w:rsidR="00BD7CDE" w:rsidRPr="002A6F96">
        <w:rPr>
          <w:b/>
        </w:rPr>
        <w:t xml:space="preserve"> </w:t>
      </w:r>
      <w:r w:rsidR="0095227A">
        <w:rPr>
          <w:b/>
        </w:rPr>
        <w:t>in NI</w:t>
      </w:r>
      <w:r w:rsidR="002A6F96" w:rsidRPr="002A6F96">
        <w:rPr>
          <w:b/>
        </w:rPr>
        <w:t xml:space="preserve">. </w:t>
      </w:r>
    </w:p>
    <w:p w14:paraId="3D81DBD1" w14:textId="115253C3" w:rsidR="00B53308" w:rsidRDefault="00B53308" w:rsidP="00412E09">
      <w:pPr>
        <w:ind w:left="851" w:hanging="862"/>
        <w:rPr>
          <w:b/>
        </w:rPr>
      </w:pPr>
    </w:p>
    <w:p w14:paraId="099650D5" w14:textId="1C306A74" w:rsidR="006C5CAE" w:rsidRPr="00A17568" w:rsidRDefault="006C5CAE" w:rsidP="00412E09">
      <w:pPr>
        <w:pStyle w:val="Heading2"/>
        <w:ind w:left="851" w:hanging="862"/>
      </w:pPr>
      <w:bookmarkStart w:id="41" w:name="_Toc121922205"/>
      <w:r>
        <w:t>EU Settlement Scheme</w:t>
      </w:r>
      <w:bookmarkEnd w:id="41"/>
    </w:p>
    <w:p w14:paraId="5ECE2286" w14:textId="768F01D4" w:rsidR="008D0F3C" w:rsidRDefault="00EE5017" w:rsidP="00412E09">
      <w:pPr>
        <w:pStyle w:val="ListParagraph"/>
        <w:numPr>
          <w:ilvl w:val="1"/>
          <w:numId w:val="87"/>
        </w:numPr>
        <w:ind w:left="851" w:hanging="862"/>
      </w:pPr>
      <w:r w:rsidRPr="3293896F">
        <w:rPr>
          <w:color w:val="000000" w:themeColor="text1"/>
        </w:rPr>
        <w:t>The EU Settlement Scheme was designed to protect the rights of EU and EEA citizens and their family members already living in the UK prior to</w:t>
      </w:r>
      <w:r w:rsidR="00D51703" w:rsidRPr="3293896F">
        <w:rPr>
          <w:color w:val="000000" w:themeColor="text1"/>
        </w:rPr>
        <w:t xml:space="preserve"> </w:t>
      </w:r>
      <w:r w:rsidRPr="3293896F">
        <w:rPr>
          <w:color w:val="000000" w:themeColor="text1"/>
        </w:rPr>
        <w:t>1 January 2021</w:t>
      </w:r>
      <w:r w:rsidR="00C038AF">
        <w:rPr>
          <w:color w:val="000000" w:themeColor="text1"/>
        </w:rPr>
        <w:t>,</w:t>
      </w:r>
      <w:r w:rsidR="0097646F">
        <w:rPr>
          <w:color w:val="000000" w:themeColor="text1"/>
        </w:rPr>
        <w:t xml:space="preserve"> following the UK’s withdrawal from the EU</w:t>
      </w:r>
      <w:r w:rsidRPr="3293896F">
        <w:rPr>
          <w:color w:val="000000" w:themeColor="text1"/>
        </w:rPr>
        <w:t>.</w:t>
      </w:r>
      <w:r w:rsidR="0097646F">
        <w:rPr>
          <w:rStyle w:val="FootnoteReference"/>
        </w:rPr>
        <w:footnoteReference w:id="131"/>
      </w:r>
      <w:r w:rsidRPr="3293896F">
        <w:rPr>
          <w:color w:val="000000" w:themeColor="text1"/>
        </w:rPr>
        <w:t xml:space="preserve"> </w:t>
      </w:r>
      <w:r w:rsidR="005F3D1A" w:rsidRPr="3293896F">
        <w:rPr>
          <w:color w:val="000000" w:themeColor="text1"/>
        </w:rPr>
        <w:t>The deadline for applications to the EU Settlement Scheme was 30 June 2021.</w:t>
      </w:r>
      <w:r w:rsidR="00561F69" w:rsidRPr="00E061A9">
        <w:rPr>
          <w:rStyle w:val="FootnoteReference"/>
          <w:color w:val="000000"/>
        </w:rPr>
        <w:footnoteReference w:id="132"/>
      </w:r>
      <w:r w:rsidR="005F3D1A" w:rsidRPr="3293896F">
        <w:rPr>
          <w:color w:val="000000" w:themeColor="text1"/>
        </w:rPr>
        <w:t xml:space="preserve"> </w:t>
      </w:r>
      <w:r w:rsidR="09CF1832" w:rsidRPr="3293896F">
        <w:rPr>
          <w:color w:val="000000" w:themeColor="text1"/>
        </w:rPr>
        <w:t>This was also the end of the grace period in which existing EU law rights were protected</w:t>
      </w:r>
      <w:r w:rsidR="3726257C" w:rsidRPr="3293896F">
        <w:rPr>
          <w:color w:val="000000" w:themeColor="text1"/>
        </w:rPr>
        <w:t xml:space="preserve"> pending the outcome of an application to the scheme made by the deadline.</w:t>
      </w:r>
      <w:r w:rsidR="2946F858" w:rsidRPr="3293896F">
        <w:rPr>
          <w:color w:val="000000" w:themeColor="text1"/>
        </w:rPr>
        <w:t xml:space="preserve"> </w:t>
      </w:r>
      <w:r w:rsidR="008D0F3C">
        <w:t xml:space="preserve">Applicants, and their families, can be granted either settled status or pre-settled status. For EU and EEA nationals with five years’ continuous residency in the UK, they will ordinarily be granted settled </w:t>
      </w:r>
      <w:r w:rsidR="00B2095F">
        <w:t>status,</w:t>
      </w:r>
      <w:r w:rsidR="008D0F3C">
        <w:t xml:space="preserve"> which is indefinite leave to remain, while those with less than five years’ continuous residency will be granted pre-settled status, which is a temporary right to reside for five years. Pre-settled status allows the applicant to remain in the UK, subject to conditions, </w:t>
      </w:r>
      <w:proofErr w:type="gramStart"/>
      <w:r w:rsidR="008D0F3C">
        <w:t>in order to</w:t>
      </w:r>
      <w:proofErr w:type="gramEnd"/>
      <w:r w:rsidR="008D0F3C">
        <w:t xml:space="preserve"> fulfil the residency requirements to apply for settled status.</w:t>
      </w:r>
    </w:p>
    <w:p w14:paraId="46254091" w14:textId="77777777" w:rsidR="008D0F3C" w:rsidRDefault="008D0F3C" w:rsidP="00412E09">
      <w:pPr>
        <w:pStyle w:val="ListParagraph"/>
        <w:ind w:left="851" w:hanging="862"/>
      </w:pPr>
    </w:p>
    <w:p w14:paraId="2916CC33" w14:textId="58EF2F08" w:rsidR="008D0F3C" w:rsidRPr="003B1458" w:rsidRDefault="008D0F3C" w:rsidP="00412E09">
      <w:pPr>
        <w:pStyle w:val="ListParagraph"/>
        <w:numPr>
          <w:ilvl w:val="1"/>
          <w:numId w:val="87"/>
        </w:numPr>
        <w:ind w:left="851" w:hanging="862"/>
      </w:pPr>
      <w:r>
        <w:rPr>
          <w:color w:val="000000"/>
        </w:rPr>
        <w:t xml:space="preserve">In 2021, the Independent Monitoring Authority, the body </w:t>
      </w:r>
      <w:r w:rsidR="00C038AF">
        <w:rPr>
          <w:color w:val="000000"/>
        </w:rPr>
        <w:t xml:space="preserve">that </w:t>
      </w:r>
      <w:r>
        <w:rPr>
          <w:color w:val="000000"/>
        </w:rPr>
        <w:t xml:space="preserve">oversees the implementation of the EU Settlement Scheme issued judicial review proceedings against the Home Office, challenging the Home Office's position that EU citizens who failed to apply for </w:t>
      </w:r>
      <w:r w:rsidR="000D19DE">
        <w:rPr>
          <w:color w:val="000000"/>
        </w:rPr>
        <w:t>s</w:t>
      </w:r>
      <w:r>
        <w:rPr>
          <w:color w:val="000000"/>
        </w:rPr>
        <w:t xml:space="preserve">ettled </w:t>
      </w:r>
      <w:r w:rsidR="000D19DE">
        <w:rPr>
          <w:color w:val="000000"/>
        </w:rPr>
        <w:t>s</w:t>
      </w:r>
      <w:r>
        <w:rPr>
          <w:color w:val="000000"/>
        </w:rPr>
        <w:t xml:space="preserve">tatus before the </w:t>
      </w:r>
      <w:r w:rsidR="000D19DE">
        <w:rPr>
          <w:color w:val="000000"/>
        </w:rPr>
        <w:t>e</w:t>
      </w:r>
      <w:r>
        <w:rPr>
          <w:color w:val="000000"/>
        </w:rPr>
        <w:t>xpiry of their Pre-Settled Status automatically lose their rights.</w:t>
      </w:r>
      <w:r>
        <w:rPr>
          <w:rStyle w:val="FootnoteReference"/>
        </w:rPr>
        <w:footnoteReference w:id="133"/>
      </w:r>
      <w:r w:rsidR="00C57215">
        <w:rPr>
          <w:color w:val="000000"/>
        </w:rPr>
        <w:t xml:space="preserve"> </w:t>
      </w:r>
    </w:p>
    <w:p w14:paraId="2FCE91D9" w14:textId="77777777" w:rsidR="008D0F3C" w:rsidRPr="00E21511" w:rsidRDefault="008D0F3C" w:rsidP="00412E09">
      <w:pPr>
        <w:pStyle w:val="ListParagraph"/>
        <w:ind w:left="851" w:hanging="862"/>
      </w:pPr>
    </w:p>
    <w:p w14:paraId="742BF07C" w14:textId="77777777" w:rsidR="00B24916" w:rsidRPr="00B24916" w:rsidRDefault="008D0F3C" w:rsidP="00412E09">
      <w:pPr>
        <w:pStyle w:val="ListParagraph"/>
        <w:numPr>
          <w:ilvl w:val="1"/>
          <w:numId w:val="87"/>
        </w:numPr>
        <w:ind w:left="851" w:hanging="862"/>
      </w:pPr>
      <w:r>
        <w:rPr>
          <w:color w:val="000000"/>
        </w:rPr>
        <w:t>The UK Government confirmed that late applications will be accepted where there are reasonable grounds for failing to meet the deadline. Guidance indicated that a "flexible and pragmatic approach" should be taken; that rights would be protected pending consideration of applications; and that those without status, encountered by Immigration Enforcement, who may be eligible, should be afforded the opportunity to make a late application.</w:t>
      </w:r>
      <w:r>
        <w:rPr>
          <w:rStyle w:val="FootnoteReference"/>
        </w:rPr>
        <w:footnoteReference w:id="134"/>
      </w:r>
    </w:p>
    <w:p w14:paraId="54B5C300" w14:textId="77777777" w:rsidR="00B24916" w:rsidRPr="00B24916" w:rsidRDefault="00B24916" w:rsidP="00412E09">
      <w:pPr>
        <w:pStyle w:val="ListParagraph"/>
        <w:ind w:left="851" w:hanging="862"/>
        <w:rPr>
          <w:bCs/>
        </w:rPr>
      </w:pPr>
    </w:p>
    <w:p w14:paraId="65CA862E" w14:textId="3525549E" w:rsidR="008D0F3C" w:rsidRPr="00180907" w:rsidDel="008D0F3C" w:rsidRDefault="006C5CAE" w:rsidP="00412E09">
      <w:pPr>
        <w:pStyle w:val="ListParagraph"/>
        <w:numPr>
          <w:ilvl w:val="1"/>
          <w:numId w:val="87"/>
        </w:numPr>
        <w:ind w:left="851" w:hanging="862"/>
      </w:pPr>
      <w:r w:rsidRPr="00B24916">
        <w:rPr>
          <w:bCs/>
        </w:rPr>
        <w:t xml:space="preserve">Civil society organisations have </w:t>
      </w:r>
      <w:r w:rsidR="0099487F" w:rsidRPr="00B24916">
        <w:rPr>
          <w:bCs/>
        </w:rPr>
        <w:t>warned</w:t>
      </w:r>
      <w:r w:rsidRPr="00B24916">
        <w:rPr>
          <w:bCs/>
        </w:rPr>
        <w:t xml:space="preserve"> that children, particularly children in and leaving care, may</w:t>
      </w:r>
      <w:r w:rsidR="0099487F" w:rsidRPr="00B24916">
        <w:rPr>
          <w:bCs/>
        </w:rPr>
        <w:t xml:space="preserve"> be</w:t>
      </w:r>
      <w:r w:rsidRPr="00B24916">
        <w:rPr>
          <w:bCs/>
        </w:rPr>
        <w:t xml:space="preserve"> fall</w:t>
      </w:r>
      <w:r w:rsidR="0099487F" w:rsidRPr="00B24916">
        <w:rPr>
          <w:bCs/>
        </w:rPr>
        <w:t>ing</w:t>
      </w:r>
      <w:r w:rsidRPr="00B24916">
        <w:rPr>
          <w:bCs/>
        </w:rPr>
        <w:t xml:space="preserve"> through the gaps</w:t>
      </w:r>
      <w:r w:rsidR="001210E5" w:rsidRPr="00B24916">
        <w:rPr>
          <w:bCs/>
        </w:rPr>
        <w:t xml:space="preserve"> </w:t>
      </w:r>
      <w:r w:rsidR="001C5B23" w:rsidRPr="00B24916">
        <w:rPr>
          <w:bCs/>
        </w:rPr>
        <w:t xml:space="preserve">as </w:t>
      </w:r>
      <w:r w:rsidR="000E445F" w:rsidRPr="00B24916">
        <w:rPr>
          <w:bCs/>
        </w:rPr>
        <w:t xml:space="preserve">they </w:t>
      </w:r>
      <w:r w:rsidR="006A7050" w:rsidRPr="00B24916">
        <w:rPr>
          <w:bCs/>
        </w:rPr>
        <w:t>are less likely to be identified</w:t>
      </w:r>
      <w:r w:rsidR="002A2D90" w:rsidRPr="00B24916">
        <w:rPr>
          <w:bCs/>
        </w:rPr>
        <w:t xml:space="preserve"> </w:t>
      </w:r>
      <w:r w:rsidR="001210E5" w:rsidRPr="00B24916">
        <w:rPr>
          <w:bCs/>
        </w:rPr>
        <w:t>or</w:t>
      </w:r>
      <w:r w:rsidR="002A2D90" w:rsidRPr="00B24916">
        <w:rPr>
          <w:bCs/>
        </w:rPr>
        <w:t xml:space="preserve"> </w:t>
      </w:r>
      <w:r w:rsidR="006A7050" w:rsidRPr="00B24916">
        <w:rPr>
          <w:bCs/>
        </w:rPr>
        <w:t>supported to apply.</w:t>
      </w:r>
      <w:r w:rsidR="00D66EF6">
        <w:rPr>
          <w:rStyle w:val="FootnoteReference"/>
          <w:bCs/>
        </w:rPr>
        <w:footnoteReference w:id="135"/>
      </w:r>
      <w:r w:rsidRPr="00B24916">
        <w:rPr>
          <w:bCs/>
        </w:rPr>
        <w:t xml:space="preserve"> </w:t>
      </w:r>
      <w:r w:rsidR="009D7EF0" w:rsidRPr="00B24916">
        <w:rPr>
          <w:bCs/>
        </w:rPr>
        <w:t>Therefore, m</w:t>
      </w:r>
      <w:r w:rsidR="001210E5" w:rsidRPr="00B24916">
        <w:rPr>
          <w:bCs/>
        </w:rPr>
        <w:t>any</w:t>
      </w:r>
      <w:r w:rsidRPr="00B24916">
        <w:rPr>
          <w:bCs/>
        </w:rPr>
        <w:t xml:space="preserve"> </w:t>
      </w:r>
      <w:r>
        <w:t xml:space="preserve">EU national children or children of EU nationals </w:t>
      </w:r>
      <w:r w:rsidR="002A2D90">
        <w:t xml:space="preserve">may be </w:t>
      </w:r>
      <w:r>
        <w:t xml:space="preserve">unknowingly living in the UK </w:t>
      </w:r>
      <w:r w:rsidR="001210E5">
        <w:t>illegally</w:t>
      </w:r>
      <w:r>
        <w:t>.</w:t>
      </w:r>
      <w:r w:rsidR="00930E08">
        <w:t xml:space="preserve"> This </w:t>
      </w:r>
      <w:r w:rsidR="002A2D90">
        <w:t>impact</w:t>
      </w:r>
      <w:r w:rsidR="008A1323">
        <w:t>s</w:t>
      </w:r>
      <w:r w:rsidR="002A2D90">
        <w:t xml:space="preserve"> </w:t>
      </w:r>
      <w:r w:rsidR="00194609">
        <w:t>the</w:t>
      </w:r>
      <w:r w:rsidR="001210E5">
        <w:t>ir</w:t>
      </w:r>
      <w:r w:rsidR="00194609">
        <w:t xml:space="preserve"> ability to access essential services</w:t>
      </w:r>
      <w:r w:rsidR="00D4774E">
        <w:t>, including</w:t>
      </w:r>
      <w:r w:rsidR="00F727BE">
        <w:t xml:space="preserve"> employment,</w:t>
      </w:r>
      <w:r w:rsidR="00962CC0">
        <w:t xml:space="preserve"> benefits, housing, healthcare, and </w:t>
      </w:r>
      <w:r w:rsidR="004F3832">
        <w:t>the ability</w:t>
      </w:r>
      <w:r w:rsidR="00962CC0">
        <w:t xml:space="preserve"> </w:t>
      </w:r>
      <w:r w:rsidR="004F3832">
        <w:t>to drive</w:t>
      </w:r>
      <w:r w:rsidR="00DC5E57">
        <w:t>,</w:t>
      </w:r>
      <w:r w:rsidR="004F3832">
        <w:t xml:space="preserve"> to open a bank account</w:t>
      </w:r>
      <w:r w:rsidR="00DC5E57">
        <w:t xml:space="preserve">, </w:t>
      </w:r>
      <w:r w:rsidR="00962CC0">
        <w:t>or</w:t>
      </w:r>
      <w:r w:rsidR="00073184">
        <w:t xml:space="preserve"> access post-secondary education.</w:t>
      </w:r>
      <w:r w:rsidR="000051DF">
        <w:t xml:space="preserve"> </w:t>
      </w:r>
      <w:r w:rsidR="000051DF" w:rsidRPr="00B24916">
        <w:rPr>
          <w:color w:val="000000" w:themeColor="text1"/>
        </w:rPr>
        <w:t>It is understood that all outstanding applications were resolved before the deadline for applications. However</w:t>
      </w:r>
      <w:r w:rsidR="00E44B95" w:rsidRPr="00B24916">
        <w:rPr>
          <w:color w:val="000000" w:themeColor="text1"/>
        </w:rPr>
        <w:t>,</w:t>
      </w:r>
      <w:r w:rsidR="000051DF" w:rsidRPr="00B24916">
        <w:rPr>
          <w:color w:val="000000" w:themeColor="text1"/>
        </w:rPr>
        <w:t xml:space="preserve"> continued monitoring is required to ensure that any child or care leaver with pre-settled status is supported to make the application for EU Settled Status.</w:t>
      </w:r>
    </w:p>
    <w:p w14:paraId="389E1D29" w14:textId="77777777" w:rsidR="00B46120" w:rsidRPr="00E061A9" w:rsidRDefault="00B46120" w:rsidP="00412E09">
      <w:pPr>
        <w:pStyle w:val="ListParagraph"/>
        <w:ind w:left="851" w:hanging="862"/>
      </w:pPr>
    </w:p>
    <w:p w14:paraId="21B432F8" w14:textId="7702C591" w:rsidR="0064102D" w:rsidRPr="00E061A9" w:rsidRDefault="00B46120" w:rsidP="00412E09">
      <w:pPr>
        <w:pStyle w:val="ListParagraph"/>
        <w:numPr>
          <w:ilvl w:val="1"/>
          <w:numId w:val="87"/>
        </w:numPr>
        <w:ind w:left="851" w:hanging="862"/>
      </w:pPr>
      <w:r w:rsidRPr="00E061A9">
        <w:t>In</w:t>
      </w:r>
      <w:r w:rsidR="00367CAE" w:rsidRPr="00E061A9">
        <w:t xml:space="preserve"> September 2022, the Independent Monitoring Authority for the Citizens’ Rights Agreements </w:t>
      </w:r>
      <w:r w:rsidR="00BD16CD" w:rsidRPr="00E061A9">
        <w:t>launched a review</w:t>
      </w:r>
      <w:r w:rsidR="00FB5D6A" w:rsidRPr="00E061A9">
        <w:t xml:space="preserve"> to find out what measures local government across the UK is taking to ensure</w:t>
      </w:r>
      <w:r w:rsidR="00D66EF6" w:rsidRPr="00E061A9">
        <w:t xml:space="preserve"> all</w:t>
      </w:r>
      <w:r w:rsidR="00FB5D6A" w:rsidRPr="00E061A9">
        <w:t xml:space="preserve"> eligible looked after children and care leavers have their rights protected.</w:t>
      </w:r>
      <w:r w:rsidR="00E12E7C" w:rsidRPr="00E061A9">
        <w:rPr>
          <w:rStyle w:val="FootnoteReference"/>
        </w:rPr>
        <w:footnoteReference w:id="136"/>
      </w:r>
      <w:r w:rsidR="00BD16CD" w:rsidRPr="00E061A9">
        <w:t xml:space="preserve"> </w:t>
      </w:r>
      <w:r w:rsidR="00335D86" w:rsidRPr="00335D86">
        <w:t xml:space="preserve">The review is being undertaken in stages across all local government in England, Northern Ireland, </w:t>
      </w:r>
      <w:proofErr w:type="gramStart"/>
      <w:r w:rsidR="00335D86" w:rsidRPr="00335D86">
        <w:t>Scotland</w:t>
      </w:r>
      <w:proofErr w:type="gramEnd"/>
      <w:r w:rsidR="00335D86" w:rsidRPr="00335D86">
        <w:t xml:space="preserve"> and Wales.</w:t>
      </w:r>
    </w:p>
    <w:p w14:paraId="0B6EA505" w14:textId="77777777" w:rsidR="00FB5D6A" w:rsidRPr="00E061A9" w:rsidRDefault="00FB5D6A" w:rsidP="00412E09">
      <w:pPr>
        <w:ind w:left="851" w:hanging="862"/>
        <w:rPr>
          <w:b/>
        </w:rPr>
      </w:pPr>
    </w:p>
    <w:p w14:paraId="7C92AAED" w14:textId="6B9E5F28" w:rsidR="0064102D" w:rsidRPr="00E061A9" w:rsidRDefault="0064102D" w:rsidP="00412E09">
      <w:pPr>
        <w:pStyle w:val="ListParagraph"/>
        <w:numPr>
          <w:ilvl w:val="1"/>
          <w:numId w:val="87"/>
        </w:numPr>
        <w:ind w:left="851" w:hanging="862"/>
        <w:rPr>
          <w:b/>
        </w:rPr>
      </w:pPr>
      <w:r>
        <w:rPr>
          <w:b/>
        </w:rPr>
        <w:t>The Committee may wish to recommend</w:t>
      </w:r>
      <w:r w:rsidR="008E0460">
        <w:rPr>
          <w:b/>
        </w:rPr>
        <w:t xml:space="preserve"> that</w:t>
      </w:r>
      <w:r w:rsidR="00301410">
        <w:rPr>
          <w:b/>
        </w:rPr>
        <w:t xml:space="preserve"> </w:t>
      </w:r>
      <w:r w:rsidR="008E0460">
        <w:rPr>
          <w:b/>
        </w:rPr>
        <w:t xml:space="preserve">the </w:t>
      </w:r>
      <w:r w:rsidR="00E44B95">
        <w:rPr>
          <w:b/>
        </w:rPr>
        <w:t>State Party ensures</w:t>
      </w:r>
      <w:r w:rsidR="000051DF">
        <w:rPr>
          <w:b/>
        </w:rPr>
        <w:t xml:space="preserve"> </w:t>
      </w:r>
      <w:r w:rsidR="000051DF" w:rsidRPr="00AC2423">
        <w:rPr>
          <w:b/>
          <w:bCs/>
        </w:rPr>
        <w:t>all eligible EU and EEA children</w:t>
      </w:r>
      <w:r w:rsidR="004764F7">
        <w:rPr>
          <w:b/>
          <w:bCs/>
        </w:rPr>
        <w:t xml:space="preserve"> in </w:t>
      </w:r>
      <w:r w:rsidR="003A4840">
        <w:rPr>
          <w:b/>
          <w:bCs/>
        </w:rPr>
        <w:t>NI</w:t>
      </w:r>
      <w:r w:rsidR="000051DF" w:rsidRPr="00AC2423">
        <w:rPr>
          <w:b/>
          <w:bCs/>
        </w:rPr>
        <w:t>, particularly looked after children and care leavers with pre-settled status</w:t>
      </w:r>
      <w:r w:rsidR="009B07F4">
        <w:rPr>
          <w:b/>
          <w:bCs/>
        </w:rPr>
        <w:t>,</w:t>
      </w:r>
      <w:r w:rsidR="000051DF" w:rsidRPr="00AC2423">
        <w:rPr>
          <w:b/>
          <w:bCs/>
        </w:rPr>
        <w:t xml:space="preserve"> are automatically transitioned to the EU Settlement Scheme within the appropriate timescales without any loss of rights or entitlements</w:t>
      </w:r>
      <w:r w:rsidR="00F97A4F">
        <w:rPr>
          <w:b/>
        </w:rPr>
        <w:t>.</w:t>
      </w:r>
      <w:r w:rsidR="008D74D7" w:rsidRPr="00E061A9">
        <w:rPr>
          <w:b/>
        </w:rPr>
        <w:t xml:space="preserve"> </w:t>
      </w:r>
    </w:p>
    <w:p w14:paraId="1D51CE40" w14:textId="77777777" w:rsidR="00A17568" w:rsidRPr="00A17568" w:rsidRDefault="00A17568" w:rsidP="00412E09">
      <w:pPr>
        <w:ind w:left="851" w:hanging="862"/>
        <w:rPr>
          <w:b/>
        </w:rPr>
      </w:pPr>
    </w:p>
    <w:p w14:paraId="32992146" w14:textId="6E854B20" w:rsidR="00C64F10" w:rsidRPr="000268B7" w:rsidRDefault="00C64F10" w:rsidP="00412E09">
      <w:pPr>
        <w:pStyle w:val="Heading2"/>
        <w:ind w:left="851" w:hanging="862"/>
        <w:rPr>
          <w:szCs w:val="22"/>
        </w:rPr>
      </w:pPr>
      <w:bookmarkStart w:id="42" w:name="_Toc121922206"/>
      <w:r w:rsidRPr="00587912">
        <w:rPr>
          <w:szCs w:val="22"/>
        </w:rPr>
        <w:t xml:space="preserve">Children </w:t>
      </w:r>
      <w:r>
        <w:rPr>
          <w:szCs w:val="22"/>
        </w:rPr>
        <w:t xml:space="preserve">reported </w:t>
      </w:r>
      <w:r w:rsidRPr="00587912">
        <w:rPr>
          <w:szCs w:val="22"/>
        </w:rPr>
        <w:t>missing from care</w:t>
      </w:r>
      <w:bookmarkEnd w:id="42"/>
      <w:r w:rsidRPr="00587912">
        <w:rPr>
          <w:szCs w:val="22"/>
        </w:rPr>
        <w:t xml:space="preserve"> </w:t>
      </w:r>
    </w:p>
    <w:p w14:paraId="138FC0B2" w14:textId="2AF05880" w:rsidR="00842517" w:rsidRPr="00842517" w:rsidRDefault="00513833" w:rsidP="00412E09">
      <w:pPr>
        <w:pStyle w:val="ListParagraph"/>
        <w:numPr>
          <w:ilvl w:val="1"/>
          <w:numId w:val="87"/>
        </w:numPr>
        <w:ind w:left="851" w:hanging="862"/>
        <w:rPr>
          <w:rFonts w:eastAsia="Verdana" w:cs="Verdana"/>
          <w:color w:val="000000"/>
        </w:rPr>
      </w:pPr>
      <w:r>
        <w:rPr>
          <w:rFonts w:eastAsia="Verdana" w:cs="Verdana"/>
          <w:color w:val="000000"/>
        </w:rPr>
        <w:t>I</w:t>
      </w:r>
      <w:r w:rsidR="00842517" w:rsidRPr="00842517">
        <w:rPr>
          <w:color w:val="000000"/>
        </w:rPr>
        <w:t>n 2020/2021, the Police Service NI received 4,732 reports of children going missing from care in NI, which involved 1,213 individual children.</w:t>
      </w:r>
      <w:r w:rsidR="00842517">
        <w:rPr>
          <w:rStyle w:val="FootnoteReference"/>
        </w:rPr>
        <w:footnoteReference w:id="137"/>
      </w:r>
      <w:r w:rsidR="00842517" w:rsidRPr="00842517">
        <w:rPr>
          <w:color w:val="000000"/>
        </w:rPr>
        <w:t xml:space="preserve"> Of these, 2,321 missing persons reports (49 per cent) were from Residential Children's Homes, relating to 182 individuals. Local police officers </w:t>
      </w:r>
      <w:r>
        <w:rPr>
          <w:color w:val="000000"/>
        </w:rPr>
        <w:t xml:space="preserve">in NI </w:t>
      </w:r>
      <w:r w:rsidR="00842517" w:rsidRPr="00842517">
        <w:rPr>
          <w:color w:val="000000"/>
        </w:rPr>
        <w:t>have expressed concerns regarding a ‘revolving door’ effect where a young person is returned to residential care, after which they subsequently abscond again.</w:t>
      </w:r>
      <w:r w:rsidR="00842517">
        <w:rPr>
          <w:rStyle w:val="FootnoteReference"/>
          <w:color w:val="000000"/>
        </w:rPr>
        <w:footnoteReference w:id="138"/>
      </w:r>
      <w:r w:rsidR="00842517" w:rsidRPr="00842517">
        <w:rPr>
          <w:color w:val="000000"/>
        </w:rPr>
        <w:t xml:space="preserve"> </w:t>
      </w:r>
    </w:p>
    <w:p w14:paraId="0CE01714" w14:textId="77777777" w:rsidR="00842517" w:rsidRDefault="00842517" w:rsidP="00412E09">
      <w:pPr>
        <w:ind w:left="851" w:hanging="862"/>
        <w:rPr>
          <w:color w:val="000000"/>
        </w:rPr>
      </w:pPr>
    </w:p>
    <w:p w14:paraId="4BDA7933" w14:textId="35B2ECCE" w:rsidR="00C615DD" w:rsidRPr="00C615DD" w:rsidRDefault="00842517" w:rsidP="00412E09">
      <w:pPr>
        <w:pStyle w:val="ListParagraph"/>
        <w:numPr>
          <w:ilvl w:val="1"/>
          <w:numId w:val="87"/>
        </w:numPr>
        <w:ind w:left="851" w:hanging="862"/>
        <w:rPr>
          <w:rFonts w:eastAsia="Verdana" w:cs="Verdana"/>
          <w:color w:val="000000"/>
        </w:rPr>
      </w:pPr>
      <w:r>
        <w:rPr>
          <w:color w:val="000000"/>
        </w:rPr>
        <w:t>Children and young people who are missing from care are particularly vulnerable to exploitation,</w:t>
      </w:r>
      <w:r>
        <w:rPr>
          <w:rStyle w:val="FootnoteReference"/>
        </w:rPr>
        <w:footnoteReference w:id="139"/>
      </w:r>
      <w:r>
        <w:rPr>
          <w:color w:val="000000"/>
        </w:rPr>
        <w:t xml:space="preserve"> and it has been noted that there is a “particular link” between children going missing from care and child sexual exploitation.</w:t>
      </w:r>
      <w:r>
        <w:rPr>
          <w:rStyle w:val="FootnoteReference"/>
        </w:rPr>
        <w:footnoteReference w:id="140"/>
      </w:r>
      <w:r w:rsidR="00201F67">
        <w:rPr>
          <w:color w:val="000000"/>
        </w:rPr>
        <w:t xml:space="preserve"> </w:t>
      </w:r>
    </w:p>
    <w:p w14:paraId="2E5835EF" w14:textId="77777777" w:rsidR="003722A8" w:rsidRPr="003722A8" w:rsidRDefault="003722A8" w:rsidP="00412E09">
      <w:pPr>
        <w:ind w:left="851" w:hanging="862"/>
        <w:rPr>
          <w:rFonts w:eastAsia="Verdana" w:cs="Verdana"/>
          <w:color w:val="000000"/>
        </w:rPr>
      </w:pPr>
    </w:p>
    <w:p w14:paraId="382C7A08" w14:textId="7D026C72" w:rsidR="000336C0" w:rsidRPr="00374DF8" w:rsidRDefault="00134DA1" w:rsidP="00412E09">
      <w:pPr>
        <w:pStyle w:val="ListParagraph"/>
        <w:numPr>
          <w:ilvl w:val="1"/>
          <w:numId w:val="87"/>
        </w:numPr>
        <w:ind w:left="851" w:hanging="862"/>
        <w:rPr>
          <w:b/>
        </w:rPr>
      </w:pPr>
      <w:r w:rsidRPr="00374DF8">
        <w:rPr>
          <w:rFonts w:eastAsia="Verdana" w:cs="Verdana"/>
          <w:b/>
          <w:color w:val="000000"/>
        </w:rPr>
        <w:t>The Committee may wish to recommend</w:t>
      </w:r>
      <w:r w:rsidR="00E10536" w:rsidRPr="00374DF8">
        <w:rPr>
          <w:rFonts w:eastAsia="Verdana" w:cs="Verdana"/>
          <w:b/>
          <w:color w:val="000000"/>
        </w:rPr>
        <w:t xml:space="preserve"> that the </w:t>
      </w:r>
      <w:r w:rsidR="00285B0A">
        <w:rPr>
          <w:rFonts w:eastAsia="Verdana" w:cs="Verdana"/>
          <w:b/>
          <w:color w:val="000000"/>
        </w:rPr>
        <w:t>State Party ensures</w:t>
      </w:r>
      <w:r w:rsidR="001B518A" w:rsidRPr="00374DF8">
        <w:rPr>
          <w:rFonts w:eastAsia="Verdana" w:cs="Verdana"/>
          <w:b/>
          <w:color w:val="000000"/>
        </w:rPr>
        <w:t xml:space="preserve"> that effective measures are</w:t>
      </w:r>
      <w:r w:rsidR="00AF498A" w:rsidRPr="00374DF8">
        <w:rPr>
          <w:rFonts w:eastAsia="Verdana" w:cs="Verdana"/>
          <w:b/>
          <w:color w:val="000000"/>
        </w:rPr>
        <w:t xml:space="preserve"> being</w:t>
      </w:r>
      <w:r w:rsidR="001B518A" w:rsidRPr="00374DF8">
        <w:rPr>
          <w:rFonts w:eastAsia="Verdana" w:cs="Verdana"/>
          <w:b/>
          <w:color w:val="000000"/>
        </w:rPr>
        <w:t xml:space="preserve"> taken to </w:t>
      </w:r>
      <w:r w:rsidR="002B6C75" w:rsidRPr="00374DF8">
        <w:rPr>
          <w:rFonts w:eastAsia="Verdana" w:cs="Verdana"/>
          <w:b/>
          <w:color w:val="000000"/>
        </w:rPr>
        <w:t xml:space="preserve">address </w:t>
      </w:r>
      <w:r w:rsidR="003B227D" w:rsidRPr="00374DF8">
        <w:rPr>
          <w:rFonts w:eastAsia="Verdana" w:cs="Verdana"/>
          <w:b/>
          <w:color w:val="000000"/>
        </w:rPr>
        <w:t>cases of</w:t>
      </w:r>
      <w:r w:rsidR="00D30E5D" w:rsidRPr="00374DF8">
        <w:rPr>
          <w:rFonts w:eastAsia="Verdana" w:cs="Verdana"/>
          <w:b/>
          <w:color w:val="000000"/>
        </w:rPr>
        <w:t xml:space="preserve"> children reported as having gone missing from car</w:t>
      </w:r>
      <w:r w:rsidR="00F11505" w:rsidRPr="00374DF8">
        <w:rPr>
          <w:rFonts w:eastAsia="Verdana" w:cs="Verdana"/>
          <w:b/>
          <w:color w:val="000000"/>
        </w:rPr>
        <w:t>e</w:t>
      </w:r>
      <w:r w:rsidR="005C508B">
        <w:rPr>
          <w:rFonts w:eastAsia="Verdana" w:cs="Verdana"/>
          <w:b/>
          <w:color w:val="000000"/>
        </w:rPr>
        <w:t xml:space="preserve"> in NI</w:t>
      </w:r>
      <w:r w:rsidR="00F2317A" w:rsidRPr="00374DF8">
        <w:rPr>
          <w:rFonts w:eastAsia="Verdana" w:cs="Verdana"/>
          <w:b/>
          <w:color w:val="000000"/>
        </w:rPr>
        <w:t xml:space="preserve">. This includes identifying and addressing </w:t>
      </w:r>
      <w:r w:rsidR="000E6B86" w:rsidRPr="00374DF8">
        <w:rPr>
          <w:rFonts w:eastAsia="Verdana" w:cs="Verdana"/>
          <w:b/>
          <w:color w:val="000000"/>
        </w:rPr>
        <w:t xml:space="preserve">possible </w:t>
      </w:r>
      <w:r w:rsidR="00E942B1" w:rsidRPr="00374DF8">
        <w:rPr>
          <w:rFonts w:eastAsia="Verdana" w:cs="Verdana"/>
          <w:b/>
          <w:color w:val="000000"/>
        </w:rPr>
        <w:t>links with exploitation and trafficking</w:t>
      </w:r>
      <w:r w:rsidR="000774AA" w:rsidRPr="00374DF8">
        <w:rPr>
          <w:rFonts w:eastAsia="Verdana" w:cs="Verdana"/>
          <w:b/>
          <w:color w:val="000000"/>
        </w:rPr>
        <w:t xml:space="preserve">. </w:t>
      </w:r>
    </w:p>
    <w:p w14:paraId="48CDABF2" w14:textId="0129C88F" w:rsidR="00551421" w:rsidRDefault="00551421" w:rsidP="00412E09">
      <w:pPr>
        <w:ind w:left="851" w:hanging="862"/>
      </w:pPr>
    </w:p>
    <w:p w14:paraId="676FD65E" w14:textId="1FA6B3DF" w:rsidR="00405345" w:rsidRDefault="00495BC2" w:rsidP="00412E09">
      <w:pPr>
        <w:pStyle w:val="Heading1"/>
        <w:ind w:left="851" w:hanging="862"/>
      </w:pPr>
      <w:bookmarkStart w:id="43" w:name="_Toc121922207"/>
      <w:r>
        <w:t>1</w:t>
      </w:r>
      <w:r w:rsidR="00B24916">
        <w:t>2</w:t>
      </w:r>
      <w:r w:rsidR="000E06E8">
        <w:t>.0</w:t>
      </w:r>
      <w:r w:rsidR="000E06E8">
        <w:tab/>
      </w:r>
      <w:r w:rsidR="00B17B48">
        <w:t>Article 22 – Refugee S</w:t>
      </w:r>
      <w:r w:rsidR="00AD252D" w:rsidRPr="003E01ED">
        <w:t>tatu</w:t>
      </w:r>
      <w:r w:rsidR="00CE0ECD">
        <w:t>s</w:t>
      </w:r>
      <w:bookmarkEnd w:id="43"/>
    </w:p>
    <w:p w14:paraId="0DFC06FD" w14:textId="5681C632" w:rsidR="001476AE" w:rsidRPr="00A13870" w:rsidRDefault="00E23312" w:rsidP="00412E09">
      <w:pPr>
        <w:pStyle w:val="Heading2"/>
        <w:ind w:left="851" w:hanging="862"/>
        <w:rPr>
          <w:szCs w:val="22"/>
        </w:rPr>
      </w:pPr>
      <w:bookmarkStart w:id="44" w:name="_Toc121922208"/>
      <w:r>
        <w:rPr>
          <w:szCs w:val="22"/>
        </w:rPr>
        <w:t xml:space="preserve">Reform of UK </w:t>
      </w:r>
      <w:r w:rsidR="006C3425">
        <w:rPr>
          <w:szCs w:val="22"/>
        </w:rPr>
        <w:t>r</w:t>
      </w:r>
      <w:r>
        <w:rPr>
          <w:szCs w:val="22"/>
        </w:rPr>
        <w:t xml:space="preserve">efugee and </w:t>
      </w:r>
      <w:r w:rsidR="006C3425">
        <w:rPr>
          <w:szCs w:val="22"/>
        </w:rPr>
        <w:t>a</w:t>
      </w:r>
      <w:r>
        <w:rPr>
          <w:szCs w:val="22"/>
        </w:rPr>
        <w:t xml:space="preserve">sylum </w:t>
      </w:r>
      <w:r w:rsidR="006C3425">
        <w:rPr>
          <w:szCs w:val="22"/>
        </w:rPr>
        <w:t>l</w:t>
      </w:r>
      <w:r>
        <w:rPr>
          <w:szCs w:val="22"/>
        </w:rPr>
        <w:t>aw</w:t>
      </w:r>
      <w:bookmarkEnd w:id="44"/>
    </w:p>
    <w:p w14:paraId="0B097D97" w14:textId="77777777" w:rsidR="000E06E8" w:rsidRPr="000E06E8" w:rsidRDefault="000E06E8" w:rsidP="00412E09">
      <w:pPr>
        <w:pStyle w:val="ListParagraph"/>
        <w:numPr>
          <w:ilvl w:val="0"/>
          <w:numId w:val="87"/>
        </w:numPr>
        <w:ind w:left="851" w:hanging="862"/>
        <w:rPr>
          <w:vanish/>
        </w:rPr>
      </w:pPr>
    </w:p>
    <w:p w14:paraId="6898C233" w14:textId="3670B455" w:rsidR="00853EDA" w:rsidRPr="00853EDA" w:rsidRDefault="00DF5CFA" w:rsidP="00412E09">
      <w:pPr>
        <w:pStyle w:val="ListParagraph"/>
        <w:numPr>
          <w:ilvl w:val="1"/>
          <w:numId w:val="87"/>
        </w:numPr>
        <w:ind w:left="851" w:hanging="862"/>
      </w:pPr>
      <w:r w:rsidRPr="001E1527">
        <w:rPr>
          <w:color w:val="000000"/>
        </w:rPr>
        <w:t xml:space="preserve">In 2021, the UK published </w:t>
      </w:r>
      <w:r w:rsidR="005B325E" w:rsidRPr="001E1527">
        <w:rPr>
          <w:color w:val="000000"/>
        </w:rPr>
        <w:t>its</w:t>
      </w:r>
      <w:r w:rsidRPr="001E1527">
        <w:rPr>
          <w:color w:val="000000"/>
        </w:rPr>
        <w:t xml:space="preserve"> </w:t>
      </w:r>
      <w:r w:rsidR="005B325E" w:rsidRPr="001E1527">
        <w:rPr>
          <w:color w:val="000000"/>
        </w:rPr>
        <w:t>N</w:t>
      </w:r>
      <w:r w:rsidRPr="001E1527">
        <w:rPr>
          <w:color w:val="000000"/>
        </w:rPr>
        <w:t xml:space="preserve">ew </w:t>
      </w:r>
      <w:r w:rsidR="005B325E" w:rsidRPr="001E1527">
        <w:rPr>
          <w:color w:val="000000"/>
        </w:rPr>
        <w:t>P</w:t>
      </w:r>
      <w:r w:rsidRPr="001E1527">
        <w:rPr>
          <w:color w:val="000000"/>
        </w:rPr>
        <w:t xml:space="preserve">lan for </w:t>
      </w:r>
      <w:r w:rsidR="005B325E" w:rsidRPr="001E1527">
        <w:rPr>
          <w:color w:val="000000"/>
        </w:rPr>
        <w:t>I</w:t>
      </w:r>
      <w:r w:rsidRPr="001E1527">
        <w:rPr>
          <w:color w:val="000000"/>
        </w:rPr>
        <w:t>mmigration.</w:t>
      </w:r>
      <w:r>
        <w:rPr>
          <w:rStyle w:val="FootnoteReference"/>
        </w:rPr>
        <w:footnoteReference w:id="141"/>
      </w:r>
      <w:r w:rsidRPr="001E1527">
        <w:rPr>
          <w:color w:val="000000"/>
        </w:rPr>
        <w:t xml:space="preserve"> </w:t>
      </w:r>
      <w:r w:rsidR="00F2317A">
        <w:rPr>
          <w:color w:val="000000"/>
        </w:rPr>
        <w:t>These</w:t>
      </w:r>
      <w:r w:rsidR="001605F7" w:rsidRPr="001E1527">
        <w:rPr>
          <w:color w:val="000000"/>
        </w:rPr>
        <w:t xml:space="preserve"> proposals</w:t>
      </w:r>
      <w:r w:rsidR="00F2317A">
        <w:rPr>
          <w:color w:val="000000"/>
        </w:rPr>
        <w:t xml:space="preserve"> failed</w:t>
      </w:r>
      <w:r w:rsidR="001605F7" w:rsidRPr="001E1527">
        <w:rPr>
          <w:color w:val="000000"/>
        </w:rPr>
        <w:t xml:space="preserve"> to engage with human rights and refugee law.</w:t>
      </w:r>
      <w:r w:rsidR="00F254D4">
        <w:rPr>
          <w:rStyle w:val="FootnoteReference"/>
        </w:rPr>
        <w:footnoteReference w:id="142"/>
      </w:r>
      <w:r w:rsidR="005B325E" w:rsidRPr="001E1527">
        <w:rPr>
          <w:color w:val="000000"/>
        </w:rPr>
        <w:t xml:space="preserve"> </w:t>
      </w:r>
    </w:p>
    <w:p w14:paraId="26CBE1E0" w14:textId="77777777" w:rsidR="00853EDA" w:rsidRPr="00853EDA" w:rsidRDefault="00853EDA" w:rsidP="00412E09">
      <w:pPr>
        <w:pStyle w:val="ListParagraph"/>
        <w:ind w:left="851" w:hanging="862"/>
      </w:pPr>
    </w:p>
    <w:p w14:paraId="21EDE598" w14:textId="6B8A5D11" w:rsidR="00066AFA" w:rsidRPr="00066AFA" w:rsidRDefault="00673066" w:rsidP="00412E09">
      <w:pPr>
        <w:pStyle w:val="ListParagraph"/>
        <w:numPr>
          <w:ilvl w:val="1"/>
          <w:numId w:val="87"/>
        </w:numPr>
        <w:ind w:left="851" w:hanging="862"/>
      </w:pPr>
      <w:r>
        <w:rPr>
          <w:color w:val="000000"/>
        </w:rPr>
        <w:t>T</w:t>
      </w:r>
      <w:r w:rsidR="00F254D4" w:rsidRPr="001E1527">
        <w:rPr>
          <w:color w:val="000000"/>
        </w:rPr>
        <w:t xml:space="preserve">he </w:t>
      </w:r>
      <w:r w:rsidR="00266723" w:rsidRPr="001E1527">
        <w:rPr>
          <w:color w:val="000000"/>
        </w:rPr>
        <w:t xml:space="preserve">Nationality and Borders </w:t>
      </w:r>
      <w:r w:rsidR="00741CB3">
        <w:rPr>
          <w:color w:val="000000"/>
        </w:rPr>
        <w:t>Act</w:t>
      </w:r>
      <w:r>
        <w:rPr>
          <w:color w:val="000000"/>
        </w:rPr>
        <w:t xml:space="preserve"> 2022 </w:t>
      </w:r>
      <w:r w:rsidR="00266723" w:rsidRPr="001E1527">
        <w:rPr>
          <w:color w:val="000000"/>
        </w:rPr>
        <w:t>create</w:t>
      </w:r>
      <w:r w:rsidR="001113C2">
        <w:rPr>
          <w:color w:val="000000"/>
        </w:rPr>
        <w:t>s</w:t>
      </w:r>
      <w:r w:rsidR="005B325E" w:rsidRPr="001E1527">
        <w:rPr>
          <w:color w:val="000000"/>
        </w:rPr>
        <w:t xml:space="preserve"> </w:t>
      </w:r>
      <w:r w:rsidR="006E32A8">
        <w:rPr>
          <w:color w:val="000000"/>
        </w:rPr>
        <w:t xml:space="preserve">a new </w:t>
      </w:r>
      <w:r w:rsidR="00305049">
        <w:rPr>
          <w:color w:val="000000"/>
        </w:rPr>
        <w:t xml:space="preserve">process for conducting </w:t>
      </w:r>
      <w:r w:rsidR="006E32A8">
        <w:rPr>
          <w:color w:val="000000"/>
        </w:rPr>
        <w:t>age assessment</w:t>
      </w:r>
      <w:r w:rsidR="00305049">
        <w:rPr>
          <w:color w:val="000000"/>
        </w:rPr>
        <w:t>s</w:t>
      </w:r>
      <w:r w:rsidR="006916EC">
        <w:rPr>
          <w:color w:val="000000"/>
        </w:rPr>
        <w:t xml:space="preserve"> of </w:t>
      </w:r>
      <w:r w:rsidR="00697439">
        <w:rPr>
          <w:color w:val="000000"/>
        </w:rPr>
        <w:t>anyone seeking asylum in the UK</w:t>
      </w:r>
      <w:r w:rsidR="005D7917">
        <w:rPr>
          <w:color w:val="000000"/>
        </w:rPr>
        <w:t xml:space="preserve"> that</w:t>
      </w:r>
      <w:r w:rsidR="004A1372">
        <w:rPr>
          <w:color w:val="000000"/>
        </w:rPr>
        <w:t xml:space="preserve"> </w:t>
      </w:r>
      <w:r w:rsidR="00976261">
        <w:rPr>
          <w:color w:val="000000"/>
        </w:rPr>
        <w:t xml:space="preserve">removes </w:t>
      </w:r>
      <w:r w:rsidR="00FF6BB7">
        <w:rPr>
          <w:color w:val="000000"/>
        </w:rPr>
        <w:t>key safeguards</w:t>
      </w:r>
      <w:r w:rsidR="004A1372">
        <w:rPr>
          <w:color w:val="000000"/>
        </w:rPr>
        <w:t xml:space="preserve"> </w:t>
      </w:r>
      <w:r w:rsidR="00307CA9">
        <w:rPr>
          <w:color w:val="000000"/>
        </w:rPr>
        <w:t xml:space="preserve">and risks </w:t>
      </w:r>
      <w:r w:rsidR="00520A6D">
        <w:rPr>
          <w:color w:val="000000"/>
        </w:rPr>
        <w:t xml:space="preserve">children </w:t>
      </w:r>
      <w:r w:rsidR="00DC6655">
        <w:rPr>
          <w:color w:val="000000"/>
        </w:rPr>
        <w:t xml:space="preserve">seeking </w:t>
      </w:r>
      <w:r w:rsidR="00F570DF">
        <w:rPr>
          <w:color w:val="000000"/>
        </w:rPr>
        <w:t xml:space="preserve">asylum </w:t>
      </w:r>
      <w:r w:rsidR="00520A6D">
        <w:rPr>
          <w:color w:val="000000"/>
        </w:rPr>
        <w:t xml:space="preserve">being wrongly </w:t>
      </w:r>
      <w:r w:rsidR="00853EDA">
        <w:rPr>
          <w:color w:val="000000"/>
        </w:rPr>
        <w:t>classified as</w:t>
      </w:r>
      <w:r w:rsidR="00520A6D">
        <w:rPr>
          <w:color w:val="000000"/>
        </w:rPr>
        <w:t xml:space="preserve"> adults</w:t>
      </w:r>
      <w:r w:rsidR="008A62CA">
        <w:rPr>
          <w:color w:val="000000"/>
        </w:rPr>
        <w:t>.</w:t>
      </w:r>
      <w:r w:rsidR="00853EDA">
        <w:rPr>
          <w:rStyle w:val="FootnoteReference"/>
          <w:color w:val="000000"/>
        </w:rPr>
        <w:footnoteReference w:id="143"/>
      </w:r>
      <w:r w:rsidR="00853EDA">
        <w:rPr>
          <w:color w:val="000000"/>
        </w:rPr>
        <w:t xml:space="preserve"> </w:t>
      </w:r>
      <w:r w:rsidR="00EA240F">
        <w:rPr>
          <w:color w:val="000000"/>
        </w:rPr>
        <w:t>It does not reference the UN CRC or the best interests of the child.</w:t>
      </w:r>
      <w:r w:rsidR="00EA240F">
        <w:rPr>
          <w:rStyle w:val="FootnoteReference"/>
          <w:color w:val="000000"/>
        </w:rPr>
        <w:footnoteReference w:id="144"/>
      </w:r>
    </w:p>
    <w:p w14:paraId="3E8DBDC1" w14:textId="77777777" w:rsidR="00066AFA" w:rsidRPr="00066AFA" w:rsidRDefault="00066AFA" w:rsidP="00412E09">
      <w:pPr>
        <w:pStyle w:val="ListParagraph"/>
        <w:ind w:left="851" w:hanging="862"/>
        <w:rPr>
          <w:color w:val="000000"/>
        </w:rPr>
      </w:pPr>
    </w:p>
    <w:p w14:paraId="22E01E0B" w14:textId="303557DC" w:rsidR="00A13870" w:rsidRDefault="00134DA1" w:rsidP="00412E09">
      <w:pPr>
        <w:pStyle w:val="ListParagraph"/>
        <w:numPr>
          <w:ilvl w:val="1"/>
          <w:numId w:val="87"/>
        </w:numPr>
        <w:ind w:left="851" w:hanging="862"/>
        <w:rPr>
          <w:b/>
          <w:bCs/>
        </w:rPr>
      </w:pPr>
      <w:r>
        <w:rPr>
          <w:b/>
          <w:bCs/>
          <w:color w:val="000000"/>
        </w:rPr>
        <w:t>The Committee may wish to recommend</w:t>
      </w:r>
      <w:r w:rsidR="00736350" w:rsidRPr="00FE0C66">
        <w:rPr>
          <w:b/>
          <w:bCs/>
          <w:color w:val="000000"/>
        </w:rPr>
        <w:t xml:space="preserve"> that the </w:t>
      </w:r>
      <w:r w:rsidR="001A0DF8">
        <w:rPr>
          <w:b/>
          <w:bCs/>
          <w:color w:val="000000"/>
        </w:rPr>
        <w:t>State Party</w:t>
      </w:r>
      <w:r w:rsidR="00FE0C66">
        <w:rPr>
          <w:b/>
          <w:bCs/>
          <w:color w:val="000000"/>
        </w:rPr>
        <w:t xml:space="preserve">, </w:t>
      </w:r>
      <w:r w:rsidR="00FE0C66">
        <w:rPr>
          <w:b/>
          <w:bCs/>
        </w:rPr>
        <w:t xml:space="preserve">following </w:t>
      </w:r>
      <w:r w:rsidR="00FE0C66" w:rsidRPr="002F70F8">
        <w:rPr>
          <w:b/>
          <w:bCs/>
        </w:rPr>
        <w:t>the enactment of the Nationality and Borders Act 2022</w:t>
      </w:r>
      <w:r w:rsidR="00FE0C66">
        <w:rPr>
          <w:b/>
          <w:bCs/>
        </w:rPr>
        <w:t>,</w:t>
      </w:r>
      <w:r w:rsidR="00736350" w:rsidRPr="00FE0C66">
        <w:rPr>
          <w:b/>
          <w:bCs/>
          <w:color w:val="000000"/>
        </w:rPr>
        <w:t xml:space="preserve"> </w:t>
      </w:r>
      <w:r w:rsidR="002110E2" w:rsidRPr="00FE0C66">
        <w:rPr>
          <w:b/>
          <w:bCs/>
          <w:color w:val="000000"/>
        </w:rPr>
        <w:t>take</w:t>
      </w:r>
      <w:r w:rsidR="001A0DF8">
        <w:rPr>
          <w:b/>
          <w:bCs/>
          <w:color w:val="000000"/>
        </w:rPr>
        <w:t>s</w:t>
      </w:r>
      <w:r w:rsidR="009A0412" w:rsidRPr="00FE0C66">
        <w:rPr>
          <w:b/>
          <w:bCs/>
          <w:color w:val="000000"/>
        </w:rPr>
        <w:t xml:space="preserve"> effective</w:t>
      </w:r>
      <w:r w:rsidR="00066AFA" w:rsidRPr="00FE0C66">
        <w:rPr>
          <w:b/>
          <w:bCs/>
        </w:rPr>
        <w:t xml:space="preserve"> </w:t>
      </w:r>
      <w:r w:rsidR="002110E2" w:rsidRPr="00FE0C66">
        <w:rPr>
          <w:b/>
          <w:bCs/>
        </w:rPr>
        <w:t xml:space="preserve">measures to ensure that </w:t>
      </w:r>
      <w:r w:rsidR="005F2C2E">
        <w:rPr>
          <w:b/>
          <w:bCs/>
        </w:rPr>
        <w:t xml:space="preserve">children seeking asylum and refugee children in NI are </w:t>
      </w:r>
      <w:r w:rsidR="00322654">
        <w:rPr>
          <w:b/>
          <w:bCs/>
        </w:rPr>
        <w:t xml:space="preserve">protected in compliance with human rights </w:t>
      </w:r>
      <w:r w:rsidR="00CC2A16">
        <w:rPr>
          <w:b/>
          <w:bCs/>
        </w:rPr>
        <w:t xml:space="preserve">standards. </w:t>
      </w:r>
    </w:p>
    <w:p w14:paraId="39C34569" w14:textId="77777777" w:rsidR="00FE0C66" w:rsidRPr="00FE0C66" w:rsidRDefault="00FE0C66" w:rsidP="00412E09">
      <w:pPr>
        <w:ind w:left="851" w:hanging="862"/>
        <w:rPr>
          <w:b/>
          <w:bCs/>
        </w:rPr>
      </w:pPr>
    </w:p>
    <w:p w14:paraId="30D7F159" w14:textId="7FFDA33C" w:rsidR="00DF5CFA" w:rsidRDefault="00A13870" w:rsidP="00412E09">
      <w:pPr>
        <w:pStyle w:val="Heading2"/>
        <w:ind w:left="851" w:hanging="862"/>
      </w:pPr>
      <w:bookmarkStart w:id="45" w:name="_Toc121922209"/>
      <w:r>
        <w:t xml:space="preserve">Refugee </w:t>
      </w:r>
      <w:r w:rsidR="008842D8">
        <w:t>resettlement</w:t>
      </w:r>
      <w:bookmarkEnd w:id="45"/>
    </w:p>
    <w:p w14:paraId="0B4F3614" w14:textId="61216E56" w:rsidR="00CA6DDB" w:rsidRPr="00CA6DDB" w:rsidRDefault="00F80BC2" w:rsidP="00412E09">
      <w:pPr>
        <w:pStyle w:val="ListParagraph"/>
        <w:numPr>
          <w:ilvl w:val="1"/>
          <w:numId w:val="87"/>
        </w:numPr>
        <w:ind w:left="851" w:hanging="862"/>
      </w:pPr>
      <w:r w:rsidRPr="00587912">
        <w:t xml:space="preserve">Between December 2015 and </w:t>
      </w:r>
      <w:r w:rsidR="00D23D0B" w:rsidRPr="00587912">
        <w:t>February 2020, 1,815</w:t>
      </w:r>
      <w:r w:rsidRPr="00587912">
        <w:t xml:space="preserve"> Syrian refugees </w:t>
      </w:r>
      <w:r w:rsidR="00DD55DD">
        <w:t>were</w:t>
      </w:r>
      <w:r w:rsidRPr="00587912">
        <w:t xml:space="preserve"> welcomed to NI under the Syrian Vulnerable Persons Relocation Scheme.</w:t>
      </w:r>
      <w:r w:rsidR="00D23D0B" w:rsidRPr="00587912">
        <w:rPr>
          <w:rStyle w:val="FootnoteReference"/>
        </w:rPr>
        <w:footnoteReference w:id="145"/>
      </w:r>
      <w:r w:rsidR="00D23D0B" w:rsidRPr="00587912">
        <w:t xml:space="preserve"> </w:t>
      </w:r>
      <w:r w:rsidR="00AF06D4">
        <w:t xml:space="preserve">Independent research indicates that </w:t>
      </w:r>
      <w:proofErr w:type="gramStart"/>
      <w:r w:rsidR="00AF06D4">
        <w:t>t</w:t>
      </w:r>
      <w:r w:rsidR="00573ED1">
        <w:t>he major</w:t>
      </w:r>
      <w:r w:rsidR="000E06E8">
        <w:t>ity of</w:t>
      </w:r>
      <w:proofErr w:type="gramEnd"/>
      <w:r w:rsidR="000E06E8">
        <w:t xml:space="preserve"> children had a </w:t>
      </w:r>
      <w:r w:rsidR="00573ED1">
        <w:t xml:space="preserve">positive experience </w:t>
      </w:r>
      <w:r w:rsidR="009E6241">
        <w:t>of resettlement in NI under this scheme</w:t>
      </w:r>
      <w:r w:rsidR="00E45C6B" w:rsidRPr="00587912">
        <w:t>.</w:t>
      </w:r>
      <w:r w:rsidR="00E45C6B" w:rsidRPr="00587912">
        <w:rPr>
          <w:rStyle w:val="FootnoteReference"/>
        </w:rPr>
        <w:footnoteReference w:id="146"/>
      </w:r>
      <w:r w:rsidR="009037F0">
        <w:t xml:space="preserve"> </w:t>
      </w:r>
      <w:r w:rsidR="004B1F4E">
        <w:rPr>
          <w:color w:val="000000"/>
        </w:rPr>
        <w:t>The</w:t>
      </w:r>
      <w:r w:rsidR="009037F0" w:rsidRPr="006F5153">
        <w:rPr>
          <w:color w:val="000000"/>
        </w:rPr>
        <w:t xml:space="preserve"> consortium model </w:t>
      </w:r>
      <w:r w:rsidR="00F731DE">
        <w:rPr>
          <w:color w:val="000000"/>
        </w:rPr>
        <w:t xml:space="preserve">adopted by the </w:t>
      </w:r>
      <w:r w:rsidR="003E6F16">
        <w:rPr>
          <w:color w:val="000000"/>
        </w:rPr>
        <w:t xml:space="preserve">NI </w:t>
      </w:r>
      <w:r w:rsidR="00F731DE">
        <w:rPr>
          <w:color w:val="000000"/>
        </w:rPr>
        <w:t xml:space="preserve">Executive </w:t>
      </w:r>
      <w:r w:rsidR="009037F0" w:rsidRPr="006F5153">
        <w:rPr>
          <w:color w:val="000000"/>
        </w:rPr>
        <w:t>enabl</w:t>
      </w:r>
      <w:r w:rsidR="000946F4">
        <w:rPr>
          <w:color w:val="000000"/>
        </w:rPr>
        <w:t>ed</w:t>
      </w:r>
      <w:r w:rsidR="00743CA2">
        <w:rPr>
          <w:color w:val="000000"/>
        </w:rPr>
        <w:t xml:space="preserve"> effective</w:t>
      </w:r>
      <w:r w:rsidR="009037F0" w:rsidRPr="006F5153">
        <w:rPr>
          <w:color w:val="000000"/>
        </w:rPr>
        <w:t xml:space="preserve"> joint working between the public and voluntary sectors.</w:t>
      </w:r>
      <w:r w:rsidR="009037F0">
        <w:rPr>
          <w:rStyle w:val="FootnoteReference"/>
        </w:rPr>
        <w:footnoteReference w:id="147"/>
      </w:r>
      <w:r w:rsidR="009037F0" w:rsidRPr="006F5153">
        <w:rPr>
          <w:color w:val="000000"/>
        </w:rPr>
        <w:t xml:space="preserve"> </w:t>
      </w:r>
    </w:p>
    <w:p w14:paraId="6A438FC5" w14:textId="77777777" w:rsidR="007D7550" w:rsidRPr="009037F0" w:rsidRDefault="007D7550" w:rsidP="00412E09">
      <w:pPr>
        <w:ind w:left="851" w:hanging="862"/>
      </w:pPr>
    </w:p>
    <w:p w14:paraId="4CB5D5CF" w14:textId="10B3D74D" w:rsidR="009037F0" w:rsidRPr="007D41EA" w:rsidRDefault="007D7550" w:rsidP="00412E09">
      <w:pPr>
        <w:pStyle w:val="ListParagraph"/>
        <w:numPr>
          <w:ilvl w:val="1"/>
          <w:numId w:val="87"/>
        </w:numPr>
        <w:ind w:left="851" w:hanging="862"/>
      </w:pPr>
      <w:r>
        <w:rPr>
          <w:color w:val="000000"/>
        </w:rPr>
        <w:t>In 2022, the Afghan Relocations and Assistance Policy,</w:t>
      </w:r>
      <w:r>
        <w:rPr>
          <w:rStyle w:val="FootnoteReference"/>
        </w:rPr>
        <w:footnoteReference w:id="148"/>
      </w:r>
      <w:r>
        <w:rPr>
          <w:color w:val="000000"/>
        </w:rPr>
        <w:t xml:space="preserve"> the Afghan Citizens Resettlement Scheme,</w:t>
      </w:r>
      <w:r>
        <w:rPr>
          <w:rStyle w:val="FootnoteReference"/>
        </w:rPr>
        <w:footnoteReference w:id="149"/>
      </w:r>
      <w:r>
        <w:rPr>
          <w:color w:val="000000"/>
        </w:rPr>
        <w:t xml:space="preserve"> the Ukraine Family Scheme</w:t>
      </w:r>
      <w:r>
        <w:rPr>
          <w:rStyle w:val="FootnoteReference"/>
        </w:rPr>
        <w:footnoteReference w:id="150"/>
      </w:r>
      <w:r>
        <w:rPr>
          <w:color w:val="000000"/>
        </w:rPr>
        <w:t xml:space="preserve"> and the Homes for Ukraine Scheme</w:t>
      </w:r>
      <w:r>
        <w:rPr>
          <w:rStyle w:val="FootnoteReference"/>
        </w:rPr>
        <w:footnoteReference w:id="151"/>
      </w:r>
      <w:r>
        <w:rPr>
          <w:color w:val="000000"/>
        </w:rPr>
        <w:t xml:space="preserve"> were available in NI. As of 31 March 2022, no arrivals were reported in NI under these schemes.</w:t>
      </w:r>
      <w:r>
        <w:rPr>
          <w:rStyle w:val="FootnoteReference"/>
        </w:rPr>
        <w:footnoteReference w:id="152"/>
      </w:r>
      <w:r w:rsidR="00355F03">
        <w:rPr>
          <w:color w:val="000000"/>
        </w:rPr>
        <w:t xml:space="preserve"> However, since March 2022, the Commission is aware that several Ukrainians have resettled in NI under the Ukrainian-focused schemes with official figures pending. In April 2022, the Executive Office set up four Ukraine Assistance Centres across NI to provide individuals with advice on key services including health, education, jobs, benefits, </w:t>
      </w:r>
      <w:proofErr w:type="gramStart"/>
      <w:r w:rsidR="00355F03">
        <w:rPr>
          <w:color w:val="000000"/>
        </w:rPr>
        <w:t>housing</w:t>
      </w:r>
      <w:proofErr w:type="gramEnd"/>
      <w:r w:rsidR="00355F03">
        <w:rPr>
          <w:color w:val="000000"/>
        </w:rPr>
        <w:t xml:space="preserve"> and immigration.</w:t>
      </w:r>
      <w:r w:rsidR="00355F03">
        <w:rPr>
          <w:rStyle w:val="FootnoteReference"/>
        </w:rPr>
        <w:footnoteReference w:id="153"/>
      </w:r>
    </w:p>
    <w:p w14:paraId="057B5536" w14:textId="77777777" w:rsidR="007D41EA" w:rsidRDefault="007D41EA" w:rsidP="00412E09">
      <w:pPr>
        <w:pStyle w:val="ListParagraph"/>
        <w:ind w:left="851" w:hanging="862"/>
      </w:pPr>
    </w:p>
    <w:p w14:paraId="3FDFBDA6" w14:textId="238FFE92" w:rsidR="007D41EA" w:rsidRPr="00CA6DDB" w:rsidRDefault="007D41EA" w:rsidP="00412E09">
      <w:pPr>
        <w:pStyle w:val="ListParagraph"/>
        <w:numPr>
          <w:ilvl w:val="1"/>
          <w:numId w:val="87"/>
        </w:numPr>
        <w:ind w:left="851" w:hanging="862"/>
      </w:pPr>
      <w:r>
        <w:t xml:space="preserve">Civil society organisations </w:t>
      </w:r>
      <w:r w:rsidR="002821F8">
        <w:t xml:space="preserve">have raised concerns about the demand on the </w:t>
      </w:r>
      <w:r w:rsidR="002E7DA5">
        <w:t>civil society</w:t>
      </w:r>
      <w:r w:rsidR="002821F8">
        <w:t xml:space="preserve"> to provide support to refugees and </w:t>
      </w:r>
      <w:r w:rsidR="00DC6655">
        <w:t xml:space="preserve">persons seeking </w:t>
      </w:r>
      <w:r w:rsidR="002821F8">
        <w:t>asylum</w:t>
      </w:r>
      <w:r w:rsidR="0035793F">
        <w:t>, including unaccompanied children</w:t>
      </w:r>
      <w:r w:rsidR="00DC6655">
        <w:t xml:space="preserve"> seeking asylum</w:t>
      </w:r>
      <w:r w:rsidR="005E199A">
        <w:t xml:space="preserve">, </w:t>
      </w:r>
      <w:r w:rsidR="00801F06">
        <w:t xml:space="preserve">despite </w:t>
      </w:r>
      <w:r w:rsidR="005E199A">
        <w:t>the lack of available funding</w:t>
      </w:r>
      <w:r w:rsidR="00801F06">
        <w:t xml:space="preserve"> sources.</w:t>
      </w:r>
      <w:r w:rsidR="0078558A">
        <w:rPr>
          <w:rStyle w:val="FootnoteReference"/>
        </w:rPr>
        <w:footnoteReference w:id="154"/>
      </w:r>
      <w:r w:rsidR="0038503E">
        <w:t xml:space="preserve"> </w:t>
      </w:r>
      <w:r w:rsidR="00355F03">
        <w:t>T</w:t>
      </w:r>
      <w:r w:rsidR="0038503E">
        <w:t>he strategic and collaborative approach taken in relation to the S</w:t>
      </w:r>
      <w:r w:rsidR="00D222AC">
        <w:t xml:space="preserve">yrian scheme, does not appear to have been taken forward in </w:t>
      </w:r>
      <w:r w:rsidR="00A53E73">
        <w:t>the schemes intended to assist Afghans and Ukrainians</w:t>
      </w:r>
      <w:r w:rsidR="00D222AC">
        <w:t>.</w:t>
      </w:r>
      <w:r w:rsidR="00D222AC">
        <w:rPr>
          <w:rStyle w:val="FootnoteReference"/>
        </w:rPr>
        <w:footnoteReference w:id="155"/>
      </w:r>
    </w:p>
    <w:p w14:paraId="7A5A52B0" w14:textId="77777777" w:rsidR="004C5AC1" w:rsidRPr="00735661" w:rsidRDefault="004C5AC1" w:rsidP="00412E09">
      <w:pPr>
        <w:ind w:left="851" w:hanging="862"/>
        <w:rPr>
          <w:color w:val="000000"/>
        </w:rPr>
      </w:pPr>
    </w:p>
    <w:p w14:paraId="040BD29D" w14:textId="19F4E81E" w:rsidR="00506954" w:rsidRPr="00506954" w:rsidRDefault="004C5AC1" w:rsidP="00412E09">
      <w:pPr>
        <w:pStyle w:val="ListParagraph"/>
        <w:numPr>
          <w:ilvl w:val="1"/>
          <w:numId w:val="87"/>
        </w:numPr>
        <w:ind w:left="851" w:hanging="862"/>
      </w:pPr>
      <w:r w:rsidRPr="004C5AC1">
        <w:rPr>
          <w:color w:val="000000"/>
        </w:rPr>
        <w:t>In 2021/2022, 66 unaccompanied children seeking asylum arrived in NI and were referred to the Health and Social Care Trusts.</w:t>
      </w:r>
      <w:r>
        <w:rPr>
          <w:rStyle w:val="FootnoteReference"/>
        </w:rPr>
        <w:footnoteReference w:id="156"/>
      </w:r>
      <w:r w:rsidRPr="004C5AC1">
        <w:rPr>
          <w:color w:val="000000"/>
        </w:rPr>
        <w:t xml:space="preserve"> In March 2022, the Trusts </w:t>
      </w:r>
      <w:r w:rsidR="00A53E73">
        <w:rPr>
          <w:color w:val="000000"/>
        </w:rPr>
        <w:t xml:space="preserve">in NI </w:t>
      </w:r>
      <w:r w:rsidRPr="004C5AC1">
        <w:rPr>
          <w:color w:val="000000"/>
        </w:rPr>
        <w:t>were supporting a total of 136 unaccompanied children</w:t>
      </w:r>
      <w:r w:rsidR="00066A6B">
        <w:rPr>
          <w:color w:val="000000"/>
        </w:rPr>
        <w:t xml:space="preserve"> and young people</w:t>
      </w:r>
      <w:r w:rsidRPr="004C5AC1">
        <w:rPr>
          <w:color w:val="000000"/>
        </w:rPr>
        <w:t xml:space="preserve"> </w:t>
      </w:r>
      <w:r w:rsidR="00DC6655">
        <w:rPr>
          <w:color w:val="000000"/>
        </w:rPr>
        <w:t xml:space="preserve">seeking asylum </w:t>
      </w:r>
      <w:r w:rsidRPr="004C5AC1">
        <w:rPr>
          <w:color w:val="000000"/>
        </w:rPr>
        <w:t>(61 children aged under 18 and 75 young people aged over 18 in receipt of leaving and after care support services).</w:t>
      </w:r>
      <w:r>
        <w:rPr>
          <w:rStyle w:val="FootnoteReference"/>
        </w:rPr>
        <w:footnoteReference w:id="157"/>
      </w:r>
    </w:p>
    <w:p w14:paraId="549B8C87" w14:textId="77777777" w:rsidR="00506954" w:rsidRPr="00506954" w:rsidRDefault="00506954" w:rsidP="00412E09">
      <w:pPr>
        <w:pStyle w:val="ListParagraph"/>
        <w:ind w:left="851" w:hanging="862"/>
        <w:rPr>
          <w:color w:val="000000"/>
        </w:rPr>
      </w:pPr>
    </w:p>
    <w:p w14:paraId="7B23AC1C" w14:textId="73639B3B" w:rsidR="00506954" w:rsidRDefault="001C76B0" w:rsidP="00412E09">
      <w:pPr>
        <w:pStyle w:val="ListParagraph"/>
        <w:numPr>
          <w:ilvl w:val="1"/>
          <w:numId w:val="87"/>
        </w:numPr>
        <w:ind w:left="851" w:hanging="862"/>
      </w:pPr>
      <w:r>
        <w:rPr>
          <w:color w:val="000000"/>
        </w:rPr>
        <w:t>In 2021, th</w:t>
      </w:r>
      <w:r w:rsidR="00066A6B">
        <w:rPr>
          <w:color w:val="000000"/>
        </w:rPr>
        <w:t xml:space="preserve">e </w:t>
      </w:r>
      <w:r w:rsidR="00506954" w:rsidRPr="00506954">
        <w:rPr>
          <w:color w:val="000000"/>
        </w:rPr>
        <w:t>Department of Health consulted on proposals for a</w:t>
      </w:r>
      <w:r>
        <w:rPr>
          <w:color w:val="000000"/>
        </w:rPr>
        <w:t xml:space="preserve"> </w:t>
      </w:r>
      <w:r w:rsidR="00506954" w:rsidRPr="00506954">
        <w:rPr>
          <w:color w:val="000000"/>
        </w:rPr>
        <w:t>regional model of service for separated and unaccompanied children seeking asylum in NI</w:t>
      </w:r>
      <w:r w:rsidR="008E3551">
        <w:rPr>
          <w:color w:val="000000"/>
        </w:rPr>
        <w:t>,</w:t>
      </w:r>
      <w:r w:rsidR="00AF2602">
        <w:rPr>
          <w:color w:val="000000"/>
        </w:rPr>
        <w:t xml:space="preserve"> </w:t>
      </w:r>
      <w:r w:rsidR="008E3551">
        <w:rPr>
          <w:color w:val="000000"/>
        </w:rPr>
        <w:t>h</w:t>
      </w:r>
      <w:r w:rsidR="00AF2602">
        <w:rPr>
          <w:color w:val="000000"/>
        </w:rPr>
        <w:t>owever</w:t>
      </w:r>
      <w:r w:rsidR="008E3551">
        <w:rPr>
          <w:color w:val="000000"/>
        </w:rPr>
        <w:t xml:space="preserve"> its</w:t>
      </w:r>
      <w:r w:rsidR="00AF2602">
        <w:rPr>
          <w:color w:val="000000"/>
        </w:rPr>
        <w:t xml:space="preserve"> </w:t>
      </w:r>
      <w:r w:rsidR="00506954" w:rsidRPr="00506954">
        <w:rPr>
          <w:color w:val="000000"/>
        </w:rPr>
        <w:t>outcome</w:t>
      </w:r>
      <w:r w:rsidR="00AF2602">
        <w:rPr>
          <w:color w:val="000000"/>
        </w:rPr>
        <w:t xml:space="preserve"> </w:t>
      </w:r>
      <w:r w:rsidR="00506954" w:rsidRPr="00506954">
        <w:rPr>
          <w:color w:val="000000"/>
        </w:rPr>
        <w:t>is awaited.</w:t>
      </w:r>
      <w:r w:rsidR="00A37CE0">
        <w:rPr>
          <w:color w:val="000000"/>
        </w:rPr>
        <w:t xml:space="preserve"> </w:t>
      </w:r>
    </w:p>
    <w:p w14:paraId="1980B9FB" w14:textId="77777777" w:rsidR="00A11C3E" w:rsidRDefault="00A11C3E" w:rsidP="00412E09">
      <w:pPr>
        <w:pStyle w:val="ListParagraph"/>
        <w:ind w:left="851" w:hanging="862"/>
      </w:pPr>
    </w:p>
    <w:p w14:paraId="1177130F" w14:textId="097867AB" w:rsidR="00C80F2A" w:rsidRPr="00154888" w:rsidRDefault="00134DA1" w:rsidP="00412E09">
      <w:pPr>
        <w:pStyle w:val="ListParagraph"/>
        <w:numPr>
          <w:ilvl w:val="1"/>
          <w:numId w:val="87"/>
        </w:numPr>
        <w:ind w:left="851" w:hanging="862"/>
        <w:rPr>
          <w:b/>
        </w:rPr>
      </w:pPr>
      <w:r>
        <w:rPr>
          <w:b/>
        </w:rPr>
        <w:t>The Committee may wish to recommend</w:t>
      </w:r>
      <w:r w:rsidR="00A01C5A" w:rsidRPr="00154888">
        <w:rPr>
          <w:b/>
        </w:rPr>
        <w:t xml:space="preserve"> that the </w:t>
      </w:r>
      <w:r w:rsidR="005534CA">
        <w:rPr>
          <w:b/>
        </w:rPr>
        <w:t>State Party</w:t>
      </w:r>
      <w:r w:rsidR="00A53E73">
        <w:rPr>
          <w:b/>
        </w:rPr>
        <w:t xml:space="preserve"> </w:t>
      </w:r>
      <w:r w:rsidR="00CC2A16">
        <w:rPr>
          <w:b/>
        </w:rPr>
        <w:t xml:space="preserve">reviews </w:t>
      </w:r>
      <w:r w:rsidR="00291F3A">
        <w:rPr>
          <w:b/>
        </w:rPr>
        <w:t xml:space="preserve">urgently </w:t>
      </w:r>
      <w:r w:rsidR="00102BAD">
        <w:rPr>
          <w:b/>
          <w:bCs/>
        </w:rPr>
        <w:t>th</w:t>
      </w:r>
      <w:r w:rsidR="006E2761">
        <w:rPr>
          <w:b/>
          <w:bCs/>
        </w:rPr>
        <w:t xml:space="preserve">e support provided </w:t>
      </w:r>
      <w:r w:rsidR="00291F3A">
        <w:rPr>
          <w:b/>
          <w:bCs/>
        </w:rPr>
        <w:t>to</w:t>
      </w:r>
      <w:r w:rsidR="006E2761" w:rsidRPr="006E2761">
        <w:rPr>
          <w:b/>
          <w:bCs/>
        </w:rPr>
        <w:t xml:space="preserve"> </w:t>
      </w:r>
      <w:r w:rsidR="006E2761">
        <w:rPr>
          <w:b/>
          <w:bCs/>
        </w:rPr>
        <w:t>refugee</w:t>
      </w:r>
      <w:r w:rsidR="000C7998">
        <w:rPr>
          <w:b/>
          <w:bCs/>
        </w:rPr>
        <w:t xml:space="preserve"> children</w:t>
      </w:r>
      <w:r w:rsidR="006E2761">
        <w:rPr>
          <w:b/>
          <w:bCs/>
        </w:rPr>
        <w:t xml:space="preserve">, </w:t>
      </w:r>
      <w:r w:rsidR="00075F30">
        <w:rPr>
          <w:b/>
          <w:bCs/>
        </w:rPr>
        <w:t>children</w:t>
      </w:r>
      <w:r w:rsidR="006E2761">
        <w:rPr>
          <w:b/>
          <w:bCs/>
        </w:rPr>
        <w:t xml:space="preserve"> seek</w:t>
      </w:r>
      <w:r w:rsidR="000C7998">
        <w:rPr>
          <w:b/>
          <w:bCs/>
        </w:rPr>
        <w:t xml:space="preserve">ing </w:t>
      </w:r>
      <w:r w:rsidR="00075F30">
        <w:rPr>
          <w:b/>
          <w:bCs/>
        </w:rPr>
        <w:t>asylum</w:t>
      </w:r>
      <w:r w:rsidR="006E2761">
        <w:rPr>
          <w:b/>
          <w:bCs/>
        </w:rPr>
        <w:t>, and unaccompanied children</w:t>
      </w:r>
      <w:r w:rsidR="00AB7785">
        <w:rPr>
          <w:b/>
          <w:bCs/>
        </w:rPr>
        <w:t xml:space="preserve"> </w:t>
      </w:r>
      <w:r w:rsidR="006E2761">
        <w:rPr>
          <w:b/>
          <w:bCs/>
        </w:rPr>
        <w:t xml:space="preserve">seeking asylum </w:t>
      </w:r>
      <w:r w:rsidR="00AB7785">
        <w:rPr>
          <w:b/>
          <w:bCs/>
        </w:rPr>
        <w:t>in</w:t>
      </w:r>
      <w:r w:rsidR="009910A9">
        <w:rPr>
          <w:b/>
          <w:bCs/>
        </w:rPr>
        <w:t xml:space="preserve"> NI</w:t>
      </w:r>
      <w:r w:rsidR="00CA7451">
        <w:rPr>
          <w:b/>
          <w:bCs/>
        </w:rPr>
        <w:t>. For example,</w:t>
      </w:r>
      <w:r w:rsidR="00291F3A">
        <w:rPr>
          <w:b/>
          <w:bCs/>
        </w:rPr>
        <w:t xml:space="preserve"> </w:t>
      </w:r>
      <w:r w:rsidR="00C752CF">
        <w:rPr>
          <w:b/>
          <w:bCs/>
        </w:rPr>
        <w:t xml:space="preserve">consideration </w:t>
      </w:r>
      <w:r w:rsidR="00CA7451">
        <w:rPr>
          <w:b/>
          <w:bCs/>
        </w:rPr>
        <w:t xml:space="preserve">should be given to </w:t>
      </w:r>
      <w:r w:rsidR="00122062">
        <w:rPr>
          <w:b/>
          <w:bCs/>
        </w:rPr>
        <w:t xml:space="preserve">extending </w:t>
      </w:r>
      <w:r w:rsidR="00C752CF">
        <w:rPr>
          <w:b/>
          <w:bCs/>
        </w:rPr>
        <w:t xml:space="preserve">the </w:t>
      </w:r>
      <w:r w:rsidR="00190F93">
        <w:rPr>
          <w:b/>
          <w:bCs/>
        </w:rPr>
        <w:t xml:space="preserve">consortium model </w:t>
      </w:r>
      <w:r w:rsidR="00102BAD">
        <w:rPr>
          <w:b/>
          <w:bCs/>
        </w:rPr>
        <w:t xml:space="preserve">adopted in the </w:t>
      </w:r>
      <w:r w:rsidR="00190F93" w:rsidRPr="00190F93">
        <w:rPr>
          <w:b/>
          <w:bCs/>
        </w:rPr>
        <w:t>Syrian Vulnerable Persons Relocation</w:t>
      </w:r>
      <w:r w:rsidR="00075F30">
        <w:rPr>
          <w:b/>
          <w:bCs/>
        </w:rPr>
        <w:t xml:space="preserve"> Scheme</w:t>
      </w:r>
      <w:r w:rsidR="00291F3A">
        <w:rPr>
          <w:b/>
          <w:bCs/>
        </w:rPr>
        <w:t xml:space="preserve">. </w:t>
      </w:r>
    </w:p>
    <w:p w14:paraId="227692D9" w14:textId="77777777" w:rsidR="00154888" w:rsidRPr="00154888" w:rsidRDefault="00154888" w:rsidP="00412E09">
      <w:pPr>
        <w:ind w:left="851" w:hanging="862"/>
        <w:rPr>
          <w:b/>
        </w:rPr>
      </w:pPr>
    </w:p>
    <w:p w14:paraId="50D6AF62" w14:textId="33D47B08" w:rsidR="00A01C5A" w:rsidRPr="00805E06" w:rsidRDefault="00A01C5A" w:rsidP="00412E09">
      <w:pPr>
        <w:pStyle w:val="Heading2"/>
        <w:ind w:left="851" w:hanging="862"/>
      </w:pPr>
      <w:bookmarkStart w:id="46" w:name="_Toc121922210"/>
      <w:r>
        <w:t xml:space="preserve">Use of hotels as </w:t>
      </w:r>
      <w:r w:rsidR="00896457">
        <w:t>‘contingency accommodation’</w:t>
      </w:r>
      <w:bookmarkEnd w:id="46"/>
    </w:p>
    <w:p w14:paraId="3B6013E8" w14:textId="1A537BBF" w:rsidR="00831695" w:rsidRPr="00831695" w:rsidRDefault="00C80F2A" w:rsidP="00412E09">
      <w:pPr>
        <w:pStyle w:val="ListParagraph"/>
        <w:numPr>
          <w:ilvl w:val="1"/>
          <w:numId w:val="87"/>
        </w:numPr>
        <w:ind w:left="851" w:hanging="862"/>
        <w:rPr>
          <w:bCs/>
        </w:rPr>
      </w:pPr>
      <w:r w:rsidRPr="00375EFC">
        <w:rPr>
          <w:bCs/>
        </w:rPr>
        <w:t xml:space="preserve">In 2019, </w:t>
      </w:r>
      <w:r w:rsidR="008C5D05">
        <w:rPr>
          <w:color w:val="000000"/>
        </w:rPr>
        <w:t>the</w:t>
      </w:r>
      <w:r w:rsidR="00B712C9">
        <w:rPr>
          <w:color w:val="000000"/>
        </w:rPr>
        <w:t xml:space="preserve"> UK</w:t>
      </w:r>
      <w:r w:rsidR="008C5D05">
        <w:rPr>
          <w:color w:val="000000"/>
        </w:rPr>
        <w:t xml:space="preserve"> Home Office</w:t>
      </w:r>
      <w:r w:rsidR="001517A7">
        <w:rPr>
          <w:color w:val="000000"/>
        </w:rPr>
        <w:t xml:space="preserve"> sub-contracted the Mears Group PLC </w:t>
      </w:r>
      <w:r w:rsidR="008C5D05">
        <w:rPr>
          <w:color w:val="000000"/>
        </w:rPr>
        <w:t>to provide accommodation and support for people seeking asylum in NI.</w:t>
      </w:r>
      <w:r w:rsidR="008C5D05">
        <w:rPr>
          <w:rStyle w:val="FootnoteReference"/>
        </w:rPr>
        <w:footnoteReference w:id="158"/>
      </w:r>
      <w:r w:rsidR="008C5D05">
        <w:rPr>
          <w:color w:val="000000"/>
        </w:rPr>
        <w:t xml:space="preserve"> </w:t>
      </w:r>
      <w:r w:rsidR="001517A7">
        <w:rPr>
          <w:color w:val="000000"/>
        </w:rPr>
        <w:t>In 2020, t</w:t>
      </w:r>
      <w:r w:rsidR="00B712C9">
        <w:rPr>
          <w:color w:val="000000"/>
        </w:rPr>
        <w:t>he</w:t>
      </w:r>
      <w:r w:rsidR="00BD1AE3">
        <w:rPr>
          <w:color w:val="000000"/>
        </w:rPr>
        <w:t xml:space="preserve"> COVID-19 pandemic and the sharp rise in the number of people seeking asylum arriving to the UK increased the demand for asylum accommodation. </w:t>
      </w:r>
      <w:r w:rsidR="00FB03E9">
        <w:rPr>
          <w:color w:val="000000"/>
        </w:rPr>
        <w:t>The</w:t>
      </w:r>
      <w:r w:rsidR="00BD1AE3">
        <w:rPr>
          <w:color w:val="000000"/>
        </w:rPr>
        <w:t xml:space="preserve"> use of hotels as ‘contingency accommodation’ increased significantly.</w:t>
      </w:r>
      <w:r w:rsidR="00BD1AE3">
        <w:rPr>
          <w:rStyle w:val="FootnoteReference"/>
        </w:rPr>
        <w:footnoteReference w:id="159"/>
      </w:r>
      <w:r w:rsidR="00E92B8A">
        <w:rPr>
          <w:color w:val="000000"/>
        </w:rPr>
        <w:t xml:space="preserve"> </w:t>
      </w:r>
      <w:r w:rsidR="009B6CBF">
        <w:rPr>
          <w:color w:val="000000"/>
        </w:rPr>
        <w:t>The</w:t>
      </w:r>
      <w:r w:rsidR="00E92B8A" w:rsidRPr="00E92B8A">
        <w:rPr>
          <w:color w:val="000000"/>
        </w:rPr>
        <w:t xml:space="preserve"> continued pressure on the system means </w:t>
      </w:r>
      <w:r w:rsidR="003655F4">
        <w:rPr>
          <w:color w:val="000000"/>
        </w:rPr>
        <w:t>families, including children,</w:t>
      </w:r>
      <w:r w:rsidR="00E92B8A" w:rsidRPr="00E92B8A">
        <w:rPr>
          <w:color w:val="000000"/>
        </w:rPr>
        <w:t xml:space="preserve"> are being kept in hotels for long periods with no set timeframe</w:t>
      </w:r>
      <w:r w:rsidR="006C3FDA">
        <w:rPr>
          <w:color w:val="000000"/>
        </w:rPr>
        <w:t xml:space="preserve"> for moving on</w:t>
      </w:r>
      <w:r w:rsidR="005D12AE">
        <w:rPr>
          <w:color w:val="000000"/>
        </w:rPr>
        <w:t>to dispersal accommodation</w:t>
      </w:r>
      <w:r w:rsidR="00E92B8A" w:rsidRPr="00E92B8A">
        <w:rPr>
          <w:color w:val="000000"/>
        </w:rPr>
        <w:t>.</w:t>
      </w:r>
      <w:r w:rsidR="001E329C">
        <w:rPr>
          <w:color w:val="000000"/>
        </w:rPr>
        <w:t xml:space="preserve"> </w:t>
      </w:r>
      <w:r w:rsidR="00A4508A">
        <w:rPr>
          <w:color w:val="000000"/>
        </w:rPr>
        <w:t xml:space="preserve">On </w:t>
      </w:r>
      <w:r w:rsidR="00363090">
        <w:rPr>
          <w:color w:val="000000"/>
        </w:rPr>
        <w:t>14 November</w:t>
      </w:r>
      <w:r w:rsidR="00A4508A">
        <w:rPr>
          <w:color w:val="000000"/>
        </w:rPr>
        <w:t xml:space="preserve"> 2022, 174 school aged children</w:t>
      </w:r>
      <w:r w:rsidR="008F6D18">
        <w:rPr>
          <w:color w:val="000000"/>
        </w:rPr>
        <w:t xml:space="preserve"> seeking asylum</w:t>
      </w:r>
      <w:r w:rsidR="00A4508A">
        <w:rPr>
          <w:color w:val="000000"/>
        </w:rPr>
        <w:t xml:space="preserve"> under 16 years old were accommodated in hotels</w:t>
      </w:r>
      <w:r w:rsidR="008F6D18">
        <w:rPr>
          <w:color w:val="000000"/>
        </w:rPr>
        <w:t xml:space="preserve"> in NI.</w:t>
      </w:r>
      <w:r w:rsidR="008F6D18">
        <w:rPr>
          <w:rStyle w:val="FootnoteReference"/>
          <w:color w:val="000000"/>
        </w:rPr>
        <w:footnoteReference w:id="160"/>
      </w:r>
    </w:p>
    <w:p w14:paraId="6FE872FC" w14:textId="77777777" w:rsidR="00831695" w:rsidRPr="00831695" w:rsidRDefault="00831695" w:rsidP="00412E09">
      <w:pPr>
        <w:pStyle w:val="ListParagraph"/>
        <w:ind w:left="851" w:hanging="862"/>
        <w:rPr>
          <w:color w:val="000000"/>
        </w:rPr>
      </w:pPr>
    </w:p>
    <w:p w14:paraId="332B25A6" w14:textId="6C6A4134" w:rsidR="00407534" w:rsidRPr="00407534" w:rsidRDefault="00831695" w:rsidP="00412E09">
      <w:pPr>
        <w:pStyle w:val="ListParagraph"/>
        <w:numPr>
          <w:ilvl w:val="1"/>
          <w:numId w:val="87"/>
        </w:numPr>
        <w:ind w:left="851" w:hanging="862"/>
        <w:rPr>
          <w:bCs/>
        </w:rPr>
      </w:pPr>
      <w:r w:rsidRPr="00831695">
        <w:rPr>
          <w:color w:val="000000"/>
        </w:rPr>
        <w:t xml:space="preserve">In May 2022, the Independent Chief Inspector of Borders and Immigration reported </w:t>
      </w:r>
      <w:r w:rsidR="00805E06">
        <w:rPr>
          <w:color w:val="000000"/>
        </w:rPr>
        <w:t>several</w:t>
      </w:r>
      <w:r w:rsidR="000D0421">
        <w:rPr>
          <w:color w:val="000000"/>
        </w:rPr>
        <w:t xml:space="preserve"> issues regarding the</w:t>
      </w:r>
      <w:r w:rsidRPr="00831695">
        <w:rPr>
          <w:color w:val="000000"/>
        </w:rPr>
        <w:t xml:space="preserve"> use of hotels </w:t>
      </w:r>
      <w:r w:rsidR="000D0421">
        <w:rPr>
          <w:color w:val="000000"/>
        </w:rPr>
        <w:t xml:space="preserve">for </w:t>
      </w:r>
      <w:r w:rsidRPr="00831695">
        <w:rPr>
          <w:color w:val="000000"/>
        </w:rPr>
        <w:t>people seeking asylum in the UK</w:t>
      </w:r>
      <w:r w:rsidR="000D0421">
        <w:rPr>
          <w:color w:val="000000"/>
        </w:rPr>
        <w:t>, including</w:t>
      </w:r>
      <w:r w:rsidRPr="00831695">
        <w:rPr>
          <w:color w:val="000000"/>
        </w:rPr>
        <w:t xml:space="preserve"> a lack of choice and quality of food,</w:t>
      </w:r>
      <w:r w:rsidR="00C67DE0">
        <w:rPr>
          <w:color w:val="000000"/>
        </w:rPr>
        <w:t xml:space="preserve"> </w:t>
      </w:r>
      <w:r w:rsidRPr="00831695">
        <w:rPr>
          <w:color w:val="000000"/>
        </w:rPr>
        <w:t>a lack of play and leisure activities for children and families</w:t>
      </w:r>
      <w:r w:rsidR="00B01276">
        <w:rPr>
          <w:color w:val="000000"/>
        </w:rPr>
        <w:t xml:space="preserve">, and mental health </w:t>
      </w:r>
      <w:r w:rsidR="00407534">
        <w:rPr>
          <w:color w:val="000000"/>
        </w:rPr>
        <w:t xml:space="preserve">concerns for those affected by </w:t>
      </w:r>
      <w:r w:rsidR="004637AB" w:rsidRPr="00831695">
        <w:rPr>
          <w:color w:val="000000"/>
        </w:rPr>
        <w:t>the long stays</w:t>
      </w:r>
      <w:r w:rsidRPr="00831695">
        <w:rPr>
          <w:color w:val="000000"/>
        </w:rPr>
        <w:t>.</w:t>
      </w:r>
      <w:r>
        <w:rPr>
          <w:rStyle w:val="FootnoteReference"/>
        </w:rPr>
        <w:footnoteReference w:id="161"/>
      </w:r>
    </w:p>
    <w:p w14:paraId="0544F149" w14:textId="191AC603" w:rsidR="00831695" w:rsidRPr="00407534" w:rsidRDefault="00831695" w:rsidP="00412E09">
      <w:pPr>
        <w:ind w:left="851" w:hanging="862"/>
        <w:rPr>
          <w:bCs/>
        </w:rPr>
      </w:pPr>
      <w:r w:rsidRPr="00407534">
        <w:rPr>
          <w:color w:val="000000"/>
        </w:rPr>
        <w:t xml:space="preserve">  </w:t>
      </w:r>
    </w:p>
    <w:p w14:paraId="7575C9C1" w14:textId="310C33EA" w:rsidR="00F570C8" w:rsidRPr="00F570C8" w:rsidRDefault="001B568A" w:rsidP="00412E09">
      <w:pPr>
        <w:pStyle w:val="ListParagraph"/>
        <w:numPr>
          <w:ilvl w:val="1"/>
          <w:numId w:val="87"/>
        </w:numPr>
        <w:ind w:left="851" w:hanging="862"/>
        <w:rPr>
          <w:bCs/>
        </w:rPr>
      </w:pPr>
      <w:r>
        <w:rPr>
          <w:bCs/>
        </w:rPr>
        <w:t>In NI, c</w:t>
      </w:r>
      <w:r w:rsidR="00B7549D">
        <w:rPr>
          <w:bCs/>
        </w:rPr>
        <w:t>ivil society organisations</w:t>
      </w:r>
      <w:r w:rsidR="00DA2046">
        <w:rPr>
          <w:bCs/>
        </w:rPr>
        <w:t xml:space="preserve"> have reported</w:t>
      </w:r>
      <w:r w:rsidR="009309BA">
        <w:rPr>
          <w:bCs/>
        </w:rPr>
        <w:t xml:space="preserve"> </w:t>
      </w:r>
      <w:r w:rsidR="00325E54">
        <w:rPr>
          <w:bCs/>
        </w:rPr>
        <w:t>grave concerns</w:t>
      </w:r>
      <w:r w:rsidR="003D2B69">
        <w:rPr>
          <w:bCs/>
        </w:rPr>
        <w:t xml:space="preserve"> </w:t>
      </w:r>
      <w:r w:rsidR="00325E54">
        <w:rPr>
          <w:bCs/>
        </w:rPr>
        <w:t xml:space="preserve">regarding </w:t>
      </w:r>
      <w:r w:rsidR="003D2B69">
        <w:rPr>
          <w:bCs/>
        </w:rPr>
        <w:t>children</w:t>
      </w:r>
      <w:r w:rsidR="00325E54">
        <w:rPr>
          <w:bCs/>
        </w:rPr>
        <w:t xml:space="preserve"> living at hotel accommodation,</w:t>
      </w:r>
      <w:r w:rsidR="003D2B69">
        <w:rPr>
          <w:bCs/>
        </w:rPr>
        <w:t xml:space="preserve"> </w:t>
      </w:r>
      <w:r w:rsidR="00674A83">
        <w:rPr>
          <w:bCs/>
        </w:rPr>
        <w:t xml:space="preserve">including </w:t>
      </w:r>
      <w:r w:rsidR="00A9615A">
        <w:rPr>
          <w:color w:val="000000"/>
        </w:rPr>
        <w:t>inadequate access to good quality and culturally appropriate food</w:t>
      </w:r>
      <w:r w:rsidR="002B065C">
        <w:rPr>
          <w:color w:val="000000"/>
        </w:rPr>
        <w:t>.</w:t>
      </w:r>
      <w:r w:rsidR="00BA0D9D">
        <w:rPr>
          <w:rStyle w:val="FootnoteReference"/>
        </w:rPr>
        <w:footnoteReference w:id="162"/>
      </w:r>
      <w:r w:rsidR="002B065C">
        <w:rPr>
          <w:color w:val="000000"/>
        </w:rPr>
        <w:t xml:space="preserve"> In addition, </w:t>
      </w:r>
      <w:r w:rsidR="00BA0D9D">
        <w:rPr>
          <w:color w:val="000000"/>
        </w:rPr>
        <w:t>civil society organisations have raised concerns regarding</w:t>
      </w:r>
      <w:r w:rsidR="00A9615A">
        <w:rPr>
          <w:color w:val="000000"/>
        </w:rPr>
        <w:t xml:space="preserve"> restrictions on private and family life, and insufficient access to basic services such as education and health</w:t>
      </w:r>
      <w:r w:rsidR="001F21E4">
        <w:rPr>
          <w:color w:val="000000"/>
        </w:rPr>
        <w:t xml:space="preserve">, </w:t>
      </w:r>
      <w:r w:rsidR="005D12AE">
        <w:rPr>
          <w:color w:val="000000"/>
        </w:rPr>
        <w:t>which is particularly challenging</w:t>
      </w:r>
      <w:r w:rsidR="001F21E4">
        <w:rPr>
          <w:color w:val="000000"/>
        </w:rPr>
        <w:t xml:space="preserve"> for children with disabilities</w:t>
      </w:r>
      <w:r w:rsidR="00A9615A">
        <w:rPr>
          <w:color w:val="000000"/>
        </w:rPr>
        <w:t>.</w:t>
      </w:r>
      <w:r w:rsidR="00C27983">
        <w:rPr>
          <w:rStyle w:val="FootnoteReference"/>
        </w:rPr>
        <w:footnoteReference w:id="163"/>
      </w:r>
      <w:r w:rsidR="00F570C8">
        <w:rPr>
          <w:color w:val="000000"/>
        </w:rPr>
        <w:t xml:space="preserve"> </w:t>
      </w:r>
    </w:p>
    <w:p w14:paraId="42C9EA7F" w14:textId="77777777" w:rsidR="00F570C8" w:rsidRPr="00F570C8" w:rsidRDefault="00F570C8" w:rsidP="00412E09">
      <w:pPr>
        <w:pStyle w:val="ListParagraph"/>
        <w:ind w:left="851" w:hanging="862"/>
        <w:rPr>
          <w:bCs/>
        </w:rPr>
      </w:pPr>
    </w:p>
    <w:p w14:paraId="7745B0FE" w14:textId="02F365B3" w:rsidR="00C51ECF" w:rsidRPr="00F570C8" w:rsidRDefault="00134DA1" w:rsidP="00412E09">
      <w:pPr>
        <w:pStyle w:val="ListParagraph"/>
        <w:numPr>
          <w:ilvl w:val="1"/>
          <w:numId w:val="87"/>
        </w:numPr>
        <w:ind w:left="851" w:hanging="862"/>
        <w:rPr>
          <w:b/>
        </w:rPr>
      </w:pPr>
      <w:r>
        <w:rPr>
          <w:b/>
        </w:rPr>
        <w:t>The Committee may wish to recommend</w:t>
      </w:r>
      <w:r w:rsidR="003C61C2" w:rsidRPr="00F570C8">
        <w:rPr>
          <w:b/>
        </w:rPr>
        <w:t xml:space="preserve"> that the </w:t>
      </w:r>
      <w:r w:rsidR="00697310">
        <w:rPr>
          <w:b/>
        </w:rPr>
        <w:t>State Party</w:t>
      </w:r>
      <w:r w:rsidR="003C61C2" w:rsidRPr="00F570C8">
        <w:rPr>
          <w:b/>
        </w:rPr>
        <w:t xml:space="preserve"> </w:t>
      </w:r>
      <w:r w:rsidR="00463407" w:rsidRPr="00463407">
        <w:rPr>
          <w:b/>
          <w:bCs/>
        </w:rPr>
        <w:t>urgently develop</w:t>
      </w:r>
      <w:r w:rsidR="00697310">
        <w:rPr>
          <w:b/>
          <w:bCs/>
        </w:rPr>
        <w:t>s</w:t>
      </w:r>
      <w:r w:rsidR="00463407" w:rsidRPr="00463407">
        <w:rPr>
          <w:b/>
          <w:bCs/>
        </w:rPr>
        <w:t xml:space="preserve"> and </w:t>
      </w:r>
      <w:r w:rsidR="00CB608D">
        <w:rPr>
          <w:b/>
          <w:bCs/>
        </w:rPr>
        <w:t xml:space="preserve">ensures sufficient resources for </w:t>
      </w:r>
      <w:r w:rsidR="00463407" w:rsidRPr="00463407">
        <w:rPr>
          <w:b/>
          <w:bCs/>
        </w:rPr>
        <w:t>a realistic, long-term strategy aimed at ending the use of hotels for contingency asylum accommodation</w:t>
      </w:r>
      <w:r w:rsidR="00697310">
        <w:rPr>
          <w:b/>
          <w:bCs/>
        </w:rPr>
        <w:t xml:space="preserve"> </w:t>
      </w:r>
      <w:r w:rsidR="00BA0D9D">
        <w:rPr>
          <w:b/>
          <w:bCs/>
        </w:rPr>
        <w:t>in NI</w:t>
      </w:r>
      <w:r w:rsidR="00463407" w:rsidRPr="00463407">
        <w:rPr>
          <w:b/>
          <w:bCs/>
        </w:rPr>
        <w:t>, particularly for families</w:t>
      </w:r>
      <w:r w:rsidR="007A2D79">
        <w:rPr>
          <w:b/>
          <w:bCs/>
        </w:rPr>
        <w:t xml:space="preserve"> with children.</w:t>
      </w:r>
    </w:p>
    <w:p w14:paraId="08A890B5" w14:textId="77777777" w:rsidR="00FC3184" w:rsidRDefault="00FC3184" w:rsidP="00412E09">
      <w:pPr>
        <w:ind w:left="851" w:hanging="862"/>
      </w:pPr>
    </w:p>
    <w:p w14:paraId="67B7E91F" w14:textId="3DF7C8A4" w:rsidR="000E06E8" w:rsidRDefault="00A11C3E" w:rsidP="00412E09">
      <w:pPr>
        <w:pStyle w:val="Heading2"/>
        <w:ind w:left="851" w:hanging="862"/>
      </w:pPr>
      <w:bookmarkStart w:id="47" w:name="_Toc121922211"/>
      <w:r>
        <w:t xml:space="preserve">Refugee </w:t>
      </w:r>
      <w:r w:rsidR="003E73E8">
        <w:t>I</w:t>
      </w:r>
      <w:r>
        <w:t>ntegration</w:t>
      </w:r>
      <w:r w:rsidR="008842D8">
        <w:t xml:space="preserve"> </w:t>
      </w:r>
      <w:r w:rsidR="003E73E8">
        <w:t>S</w:t>
      </w:r>
      <w:r w:rsidR="008842D8">
        <w:t>trategy</w:t>
      </w:r>
      <w:bookmarkEnd w:id="47"/>
    </w:p>
    <w:p w14:paraId="4CBD3978" w14:textId="5F4B933E" w:rsidR="00C30AD6" w:rsidRDefault="000E06E8" w:rsidP="00412E09">
      <w:pPr>
        <w:pStyle w:val="ListParagraph"/>
        <w:numPr>
          <w:ilvl w:val="1"/>
          <w:numId w:val="87"/>
        </w:numPr>
        <w:ind w:left="851" w:hanging="862"/>
      </w:pPr>
      <w:r>
        <w:t>In 2005, the</w:t>
      </w:r>
      <w:r w:rsidR="00573ED1">
        <w:t xml:space="preserve"> NI Execut</w:t>
      </w:r>
      <w:r w:rsidR="00AF06D4">
        <w:t xml:space="preserve">ive </w:t>
      </w:r>
      <w:r w:rsidR="00CB75E3">
        <w:t xml:space="preserve">first </w:t>
      </w:r>
      <w:r w:rsidR="00AF06D4">
        <w:t>committed to developing a</w:t>
      </w:r>
      <w:r w:rsidR="00573ED1">
        <w:t xml:space="preserve"> </w:t>
      </w:r>
      <w:r>
        <w:t>refugee integration strategy.</w:t>
      </w:r>
      <w:r w:rsidR="00573ED1" w:rsidRPr="00587912">
        <w:rPr>
          <w:rStyle w:val="FootnoteReference"/>
        </w:rPr>
        <w:footnoteReference w:id="164"/>
      </w:r>
      <w:r w:rsidR="00573ED1" w:rsidRPr="00587912">
        <w:t xml:space="preserve"> </w:t>
      </w:r>
      <w:r w:rsidR="00BA79A5">
        <w:t xml:space="preserve">However, NI remains the only part of the UK to not have a refugee integration strategy. </w:t>
      </w:r>
      <w:r w:rsidR="00DC1A76">
        <w:rPr>
          <w:color w:val="000000"/>
        </w:rPr>
        <w:t xml:space="preserve">In 2021, </w:t>
      </w:r>
      <w:r w:rsidR="00CB75E3">
        <w:rPr>
          <w:color w:val="000000"/>
        </w:rPr>
        <w:t>the NI Executive</w:t>
      </w:r>
      <w:r w:rsidR="00DC1A76">
        <w:rPr>
          <w:color w:val="000000"/>
        </w:rPr>
        <w:t xml:space="preserve"> consulted on a draft Refugee Integration Strategy,</w:t>
      </w:r>
      <w:r w:rsidR="00DC1A76">
        <w:rPr>
          <w:rStyle w:val="FootnoteReference"/>
        </w:rPr>
        <w:footnoteReference w:id="165"/>
      </w:r>
      <w:r w:rsidR="00DC1A76">
        <w:rPr>
          <w:color w:val="000000"/>
        </w:rPr>
        <w:t xml:space="preserve"> which sought to address the pressure “exerted on the voluntary sector to backfill, what should be, essential services".</w:t>
      </w:r>
      <w:r w:rsidR="00DC1A76">
        <w:rPr>
          <w:rStyle w:val="FootnoteReference"/>
        </w:rPr>
        <w:footnoteReference w:id="166"/>
      </w:r>
      <w:r w:rsidR="00DC1A76">
        <w:rPr>
          <w:color w:val="000000"/>
        </w:rPr>
        <w:t xml:space="preserve"> </w:t>
      </w:r>
      <w:r w:rsidR="000A5AF6">
        <w:t>Due to the suspension of the NI Executive, this strategy has not progressed.</w:t>
      </w:r>
    </w:p>
    <w:p w14:paraId="04FFC5B4" w14:textId="77777777" w:rsidR="00C30AD6" w:rsidRDefault="00C30AD6" w:rsidP="00412E09">
      <w:pPr>
        <w:pStyle w:val="ListParagraph"/>
        <w:ind w:left="851" w:hanging="862"/>
      </w:pPr>
    </w:p>
    <w:p w14:paraId="276B4145" w14:textId="2711F5AE" w:rsidR="00D9247C" w:rsidRPr="00D9247C" w:rsidRDefault="00C30AD6" w:rsidP="00412E09">
      <w:pPr>
        <w:pStyle w:val="ListParagraph"/>
        <w:numPr>
          <w:ilvl w:val="1"/>
          <w:numId w:val="87"/>
        </w:numPr>
        <w:ind w:left="851" w:hanging="862"/>
      </w:pPr>
      <w:r w:rsidRPr="00C30AD6">
        <w:rPr>
          <w:color w:val="000000"/>
        </w:rPr>
        <w:t>In March 2022, the House of Commons NI Affairs Committee highlighted issues relating to the experiences of refugees, including housing provision, access to healthcare services and the Belfast-centred provision of services</w:t>
      </w:r>
      <w:r w:rsidR="00C86B9B">
        <w:rPr>
          <w:color w:val="000000"/>
        </w:rPr>
        <w:t>.</w:t>
      </w:r>
      <w:r>
        <w:rPr>
          <w:rStyle w:val="FootnoteReference"/>
        </w:rPr>
        <w:footnoteReference w:id="167"/>
      </w:r>
    </w:p>
    <w:p w14:paraId="58B3B57A" w14:textId="77777777" w:rsidR="00D9247C" w:rsidRPr="00D9247C" w:rsidRDefault="00D9247C" w:rsidP="00412E09">
      <w:pPr>
        <w:pStyle w:val="ListParagraph"/>
        <w:ind w:left="851" w:hanging="862"/>
        <w:rPr>
          <w:b/>
        </w:rPr>
      </w:pPr>
    </w:p>
    <w:p w14:paraId="7F55A515" w14:textId="16CA05DF" w:rsidR="00D470FE" w:rsidRDefault="00134DA1" w:rsidP="00DC5803">
      <w:pPr>
        <w:pStyle w:val="ListParagraph"/>
        <w:numPr>
          <w:ilvl w:val="1"/>
          <w:numId w:val="87"/>
        </w:numPr>
        <w:ind w:left="851" w:hanging="862"/>
        <w:rPr>
          <w:b/>
        </w:rPr>
      </w:pPr>
      <w:r w:rsidRPr="00DC5803">
        <w:rPr>
          <w:b/>
        </w:rPr>
        <w:t>The Committee may wish to recommend</w:t>
      </w:r>
      <w:r w:rsidR="00D9247C" w:rsidRPr="00DC5803">
        <w:rPr>
          <w:b/>
        </w:rPr>
        <w:t xml:space="preserve"> that the </w:t>
      </w:r>
      <w:r w:rsidR="00FE599E" w:rsidRPr="00DC5803">
        <w:rPr>
          <w:b/>
        </w:rPr>
        <w:t>State Party</w:t>
      </w:r>
      <w:r w:rsidR="006B201E" w:rsidRPr="00DC5803">
        <w:rPr>
          <w:b/>
        </w:rPr>
        <w:t xml:space="preserve"> </w:t>
      </w:r>
      <w:r w:rsidR="00204B5A" w:rsidRPr="00DC5803">
        <w:rPr>
          <w:b/>
        </w:rPr>
        <w:t xml:space="preserve">ensures that </w:t>
      </w:r>
      <w:r w:rsidR="00966C96" w:rsidRPr="00DC5803">
        <w:rPr>
          <w:b/>
        </w:rPr>
        <w:t xml:space="preserve">up-to-date, </w:t>
      </w:r>
      <w:r w:rsidR="004967ED" w:rsidRPr="00DC5803">
        <w:rPr>
          <w:b/>
        </w:rPr>
        <w:t xml:space="preserve">comprehensive, human </w:t>
      </w:r>
      <w:proofErr w:type="gramStart"/>
      <w:r w:rsidR="004967ED" w:rsidRPr="00DC5803">
        <w:rPr>
          <w:b/>
        </w:rPr>
        <w:t>rights based</w:t>
      </w:r>
      <w:proofErr w:type="gramEnd"/>
      <w:r w:rsidR="004967ED" w:rsidRPr="00DC5803">
        <w:rPr>
          <w:b/>
        </w:rPr>
        <w:t xml:space="preserve"> refugee integration strategies are </w:t>
      </w:r>
      <w:r w:rsidR="00966C96" w:rsidRPr="00DC5803">
        <w:rPr>
          <w:b/>
        </w:rPr>
        <w:t>implemented</w:t>
      </w:r>
      <w:r w:rsidR="009910A9" w:rsidRPr="00DC5803">
        <w:rPr>
          <w:b/>
        </w:rPr>
        <w:t xml:space="preserve"> in NI</w:t>
      </w:r>
      <w:r w:rsidR="00101D48">
        <w:rPr>
          <w:b/>
        </w:rPr>
        <w:t xml:space="preserve">. </w:t>
      </w:r>
    </w:p>
    <w:p w14:paraId="44930C8E" w14:textId="2EA942DF" w:rsidR="00841C26" w:rsidRPr="00DC5803" w:rsidRDefault="00841C26" w:rsidP="00F35B3B">
      <w:pPr>
        <w:ind w:left="851" w:hanging="862"/>
        <w:rPr>
          <w:b/>
        </w:rPr>
      </w:pPr>
    </w:p>
    <w:p w14:paraId="056B6E09" w14:textId="5F57E068" w:rsidR="0078472A" w:rsidRPr="00CE0ECD" w:rsidRDefault="00495BC2" w:rsidP="00F35B3B">
      <w:pPr>
        <w:pStyle w:val="Heading1"/>
        <w:spacing w:before="0"/>
        <w:ind w:left="851" w:hanging="862"/>
      </w:pPr>
      <w:bookmarkStart w:id="48" w:name="_Toc121922212"/>
      <w:r>
        <w:t>1</w:t>
      </w:r>
      <w:r w:rsidR="004C52A9">
        <w:t>3</w:t>
      </w:r>
      <w:r w:rsidR="00D63CAD">
        <w:t>.0</w:t>
      </w:r>
      <w:r w:rsidR="00D63CAD">
        <w:tab/>
      </w:r>
      <w:r w:rsidR="00B17B48">
        <w:t>Article 23 – Children with D</w:t>
      </w:r>
      <w:r w:rsidR="00FB6136" w:rsidRPr="00742070">
        <w:t>isabilities</w:t>
      </w:r>
      <w:bookmarkEnd w:id="48"/>
    </w:p>
    <w:p w14:paraId="33946E39" w14:textId="2E4EB3EF" w:rsidR="0078472A" w:rsidRPr="00D97984" w:rsidRDefault="0078472A" w:rsidP="00412E09">
      <w:pPr>
        <w:pStyle w:val="Heading2"/>
        <w:ind w:left="851" w:hanging="862"/>
      </w:pPr>
      <w:bookmarkStart w:id="49" w:name="_Toc121922213"/>
      <w:r w:rsidRPr="003C090F">
        <w:t xml:space="preserve">Autism </w:t>
      </w:r>
      <w:r w:rsidR="00D97984">
        <w:t>S</w:t>
      </w:r>
      <w:r w:rsidRPr="003C090F">
        <w:t>trategy</w:t>
      </w:r>
      <w:bookmarkEnd w:id="49"/>
    </w:p>
    <w:p w14:paraId="69221018" w14:textId="538BF6B2" w:rsidR="00521CF5" w:rsidRPr="00521CF5" w:rsidRDefault="00B06025" w:rsidP="00412E09">
      <w:pPr>
        <w:pStyle w:val="ListParagraph"/>
        <w:numPr>
          <w:ilvl w:val="1"/>
          <w:numId w:val="90"/>
        </w:numPr>
        <w:ind w:left="851" w:hanging="862"/>
      </w:pPr>
      <w:r w:rsidRPr="004C52A9">
        <w:rPr>
          <w:rFonts w:eastAsia="Verdana" w:cs="Verdana"/>
          <w:color w:val="000000"/>
        </w:rPr>
        <w:t>In 202</w:t>
      </w:r>
      <w:r w:rsidR="00AD33C2" w:rsidRPr="004C52A9">
        <w:rPr>
          <w:rFonts w:eastAsia="Verdana" w:cs="Verdana"/>
          <w:color w:val="000000"/>
        </w:rPr>
        <w:t>1/</w:t>
      </w:r>
      <w:r w:rsidR="00D97984" w:rsidRPr="004C52A9">
        <w:rPr>
          <w:rFonts w:eastAsia="Verdana" w:cs="Verdana"/>
          <w:color w:val="000000"/>
        </w:rPr>
        <w:t>20</w:t>
      </w:r>
      <w:r w:rsidR="00AD33C2" w:rsidRPr="004C52A9">
        <w:rPr>
          <w:rFonts w:eastAsia="Verdana" w:cs="Verdana"/>
          <w:color w:val="000000"/>
        </w:rPr>
        <w:t xml:space="preserve">22, the estimated prevalence of autism within the school aged population in </w:t>
      </w:r>
      <w:r w:rsidR="00101D48" w:rsidRPr="004C52A9">
        <w:rPr>
          <w:rFonts w:eastAsia="Verdana" w:cs="Verdana"/>
          <w:color w:val="000000"/>
        </w:rPr>
        <w:t>NI</w:t>
      </w:r>
      <w:r w:rsidR="00AD33C2" w:rsidRPr="004C52A9">
        <w:rPr>
          <w:rFonts w:eastAsia="Verdana" w:cs="Verdana"/>
          <w:color w:val="000000"/>
        </w:rPr>
        <w:t xml:space="preserve"> was 4.7 per cent</w:t>
      </w:r>
      <w:r w:rsidR="00513652" w:rsidRPr="004C52A9">
        <w:rPr>
          <w:rFonts w:eastAsia="Verdana" w:cs="Verdana"/>
          <w:color w:val="000000"/>
        </w:rPr>
        <w:t xml:space="preserve"> (14,019 children), this continues the increasing trend observed since 2</w:t>
      </w:r>
      <w:r w:rsidR="00F454A2" w:rsidRPr="004C52A9">
        <w:rPr>
          <w:rFonts w:eastAsia="Verdana" w:cs="Verdana"/>
          <w:color w:val="000000"/>
        </w:rPr>
        <w:t>008/</w:t>
      </w:r>
      <w:r w:rsidR="00101D48" w:rsidRPr="004C52A9">
        <w:rPr>
          <w:rFonts w:eastAsia="Verdana" w:cs="Verdana"/>
          <w:color w:val="000000"/>
        </w:rPr>
        <w:t>20</w:t>
      </w:r>
      <w:r w:rsidR="00F454A2" w:rsidRPr="004C52A9">
        <w:rPr>
          <w:rFonts w:eastAsia="Verdana" w:cs="Verdana"/>
          <w:color w:val="000000"/>
        </w:rPr>
        <w:t>09.</w:t>
      </w:r>
      <w:r w:rsidR="00030CD8">
        <w:rPr>
          <w:rStyle w:val="FootnoteReference"/>
          <w:rFonts w:eastAsia="Verdana" w:cs="Verdana"/>
          <w:color w:val="000000"/>
        </w:rPr>
        <w:footnoteReference w:id="168"/>
      </w:r>
    </w:p>
    <w:p w14:paraId="6658072C" w14:textId="5A181673" w:rsidR="00521CF5" w:rsidRPr="00521CF5" w:rsidRDefault="00F454A2" w:rsidP="00412E09">
      <w:pPr>
        <w:pStyle w:val="ListParagraph"/>
        <w:ind w:left="851" w:hanging="862"/>
      </w:pPr>
      <w:r w:rsidRPr="00433158">
        <w:rPr>
          <w:rFonts w:eastAsia="Verdana" w:cs="Verdana"/>
          <w:color w:val="000000"/>
        </w:rPr>
        <w:t xml:space="preserve"> </w:t>
      </w:r>
    </w:p>
    <w:p w14:paraId="30A77408" w14:textId="11616280" w:rsidR="00060106" w:rsidRPr="00060106" w:rsidRDefault="00710DCA" w:rsidP="00412E09">
      <w:pPr>
        <w:pStyle w:val="ListParagraph"/>
        <w:numPr>
          <w:ilvl w:val="1"/>
          <w:numId w:val="89"/>
        </w:numPr>
        <w:ind w:left="851" w:hanging="862"/>
      </w:pPr>
      <w:r w:rsidRPr="004C52A9">
        <w:rPr>
          <w:rFonts w:eastAsia="Verdana" w:cs="Verdana"/>
          <w:color w:val="000000"/>
        </w:rPr>
        <w:t xml:space="preserve">In 2021, the </w:t>
      </w:r>
      <w:r w:rsidR="005A38E2" w:rsidRPr="004C52A9">
        <w:rPr>
          <w:rFonts w:eastAsia="Verdana" w:cs="Verdana"/>
          <w:color w:val="000000"/>
        </w:rPr>
        <w:t xml:space="preserve">NI Commissioner for Children and Young People </w:t>
      </w:r>
      <w:r w:rsidR="00BA79A5">
        <w:rPr>
          <w:rFonts w:eastAsia="Verdana" w:cs="Verdana"/>
          <w:color w:val="000000"/>
        </w:rPr>
        <w:t>reported</w:t>
      </w:r>
      <w:r w:rsidRPr="004C52A9">
        <w:rPr>
          <w:rFonts w:eastAsia="Verdana" w:cs="Verdana"/>
          <w:color w:val="000000"/>
        </w:rPr>
        <w:t xml:space="preserve"> that</w:t>
      </w:r>
      <w:r w:rsidR="001D0CAB" w:rsidRPr="004C52A9">
        <w:rPr>
          <w:rFonts w:eastAsia="Verdana" w:cs="Verdana"/>
          <w:color w:val="000000"/>
        </w:rPr>
        <w:t>,</w:t>
      </w:r>
      <w:r w:rsidRPr="004C52A9">
        <w:rPr>
          <w:rFonts w:eastAsia="Verdana" w:cs="Verdana"/>
          <w:color w:val="000000"/>
        </w:rPr>
        <w:t xml:space="preserve"> </w:t>
      </w:r>
      <w:r w:rsidR="00400791" w:rsidRPr="004C52A9">
        <w:rPr>
          <w:rFonts w:eastAsia="Verdana" w:cs="Verdana"/>
          <w:color w:val="000000"/>
        </w:rPr>
        <w:t>between 2016</w:t>
      </w:r>
      <w:r w:rsidR="00F15F28" w:rsidRPr="004C52A9">
        <w:rPr>
          <w:rFonts w:eastAsia="Verdana" w:cs="Verdana"/>
          <w:color w:val="000000"/>
        </w:rPr>
        <w:t xml:space="preserve"> and </w:t>
      </w:r>
      <w:r w:rsidR="00400791" w:rsidRPr="004C52A9">
        <w:rPr>
          <w:rFonts w:eastAsia="Verdana" w:cs="Verdana"/>
          <w:color w:val="000000"/>
        </w:rPr>
        <w:t>2021</w:t>
      </w:r>
      <w:r w:rsidR="00F15F28" w:rsidRPr="004C52A9">
        <w:rPr>
          <w:rFonts w:eastAsia="Verdana" w:cs="Verdana"/>
          <w:color w:val="000000"/>
        </w:rPr>
        <w:t>,</w:t>
      </w:r>
      <w:r w:rsidR="00400791" w:rsidRPr="004C52A9">
        <w:rPr>
          <w:rFonts w:eastAsia="Verdana" w:cs="Verdana"/>
          <w:color w:val="000000"/>
        </w:rPr>
        <w:t xml:space="preserve"> the number of children waiting for an </w:t>
      </w:r>
      <w:r w:rsidR="00F15F28" w:rsidRPr="004C52A9">
        <w:rPr>
          <w:rFonts w:eastAsia="Verdana" w:cs="Verdana"/>
          <w:color w:val="000000"/>
        </w:rPr>
        <w:t xml:space="preserve">autism </w:t>
      </w:r>
      <w:r w:rsidR="00400791" w:rsidRPr="004C52A9">
        <w:rPr>
          <w:rFonts w:eastAsia="Verdana" w:cs="Verdana"/>
          <w:color w:val="000000"/>
        </w:rPr>
        <w:t xml:space="preserve">assessment </w:t>
      </w:r>
      <w:r w:rsidR="00AF462C" w:rsidRPr="004C52A9">
        <w:rPr>
          <w:rFonts w:eastAsia="Verdana" w:cs="Verdana"/>
          <w:color w:val="000000"/>
        </w:rPr>
        <w:t>increased by 148 percent (</w:t>
      </w:r>
      <w:r w:rsidR="0076275A" w:rsidRPr="004C52A9">
        <w:rPr>
          <w:rFonts w:eastAsia="Verdana" w:cs="Verdana"/>
          <w:color w:val="000000"/>
        </w:rPr>
        <w:t xml:space="preserve">from </w:t>
      </w:r>
      <w:r w:rsidR="00AF462C" w:rsidRPr="004C52A9">
        <w:rPr>
          <w:rFonts w:eastAsia="Verdana" w:cs="Verdana"/>
          <w:color w:val="000000"/>
        </w:rPr>
        <w:t>2,</w:t>
      </w:r>
      <w:r w:rsidR="00E1184B" w:rsidRPr="004C52A9">
        <w:rPr>
          <w:rFonts w:eastAsia="Verdana" w:cs="Verdana"/>
          <w:color w:val="000000"/>
        </w:rPr>
        <w:t>079 to 5,155)</w:t>
      </w:r>
      <w:r w:rsidR="0064414A" w:rsidRPr="004C52A9">
        <w:rPr>
          <w:rFonts w:eastAsia="Verdana" w:cs="Verdana"/>
          <w:color w:val="000000"/>
        </w:rPr>
        <w:t>, with a 687 per cent increase in the number waiting more than 52 weeks for an assessment</w:t>
      </w:r>
      <w:r w:rsidR="00FF0445" w:rsidRPr="004C52A9">
        <w:rPr>
          <w:rFonts w:eastAsia="Verdana" w:cs="Verdana"/>
          <w:color w:val="000000"/>
        </w:rPr>
        <w:t xml:space="preserve"> (</w:t>
      </w:r>
      <w:r w:rsidR="0076275A" w:rsidRPr="004C52A9">
        <w:rPr>
          <w:rFonts w:eastAsia="Verdana" w:cs="Verdana"/>
          <w:color w:val="000000"/>
        </w:rPr>
        <w:t xml:space="preserve">from </w:t>
      </w:r>
      <w:r w:rsidR="00FF0445" w:rsidRPr="004C52A9">
        <w:rPr>
          <w:rFonts w:eastAsia="Verdana" w:cs="Verdana"/>
          <w:color w:val="000000"/>
        </w:rPr>
        <w:t>279 to 2,195).</w:t>
      </w:r>
      <w:r w:rsidR="005367B2">
        <w:rPr>
          <w:rStyle w:val="FootnoteReference"/>
          <w:rFonts w:eastAsia="Verdana" w:cs="Verdana"/>
          <w:color w:val="000000"/>
        </w:rPr>
        <w:footnoteReference w:id="169"/>
      </w:r>
      <w:r w:rsidR="00FF0445" w:rsidRPr="004C52A9">
        <w:rPr>
          <w:rFonts w:eastAsia="Verdana" w:cs="Verdana"/>
          <w:color w:val="000000"/>
        </w:rPr>
        <w:t xml:space="preserve"> </w:t>
      </w:r>
      <w:r w:rsidR="0076275A" w:rsidRPr="004C52A9">
        <w:rPr>
          <w:rFonts w:eastAsia="Verdana" w:cs="Verdana"/>
          <w:color w:val="000000"/>
        </w:rPr>
        <w:t>In 2021/2022</w:t>
      </w:r>
      <w:r w:rsidR="00FF0445" w:rsidRPr="004C52A9">
        <w:rPr>
          <w:rFonts w:eastAsia="Verdana" w:cs="Verdana"/>
          <w:color w:val="000000"/>
        </w:rPr>
        <w:t xml:space="preserve">, </w:t>
      </w:r>
      <w:r w:rsidR="00F72015" w:rsidRPr="004C52A9">
        <w:rPr>
          <w:rFonts w:eastAsia="Verdana" w:cs="Verdana"/>
          <w:color w:val="000000"/>
        </w:rPr>
        <w:t>th</w:t>
      </w:r>
      <w:r w:rsidR="00CB3512" w:rsidRPr="004C52A9">
        <w:rPr>
          <w:rFonts w:eastAsia="Verdana" w:cs="Verdana"/>
          <w:color w:val="000000"/>
        </w:rPr>
        <w:t>e num</w:t>
      </w:r>
      <w:r w:rsidR="006B3305" w:rsidRPr="004C52A9">
        <w:rPr>
          <w:rFonts w:eastAsia="Verdana" w:cs="Verdana"/>
          <w:color w:val="000000"/>
        </w:rPr>
        <w:t>ber</w:t>
      </w:r>
      <w:r w:rsidR="009D7D8D" w:rsidRPr="004C52A9">
        <w:rPr>
          <w:rFonts w:eastAsia="Verdana" w:cs="Verdana"/>
          <w:color w:val="000000"/>
        </w:rPr>
        <w:t xml:space="preserve"> of children waiting for an assessment increased</w:t>
      </w:r>
      <w:r w:rsidR="00C73E59" w:rsidRPr="004C52A9">
        <w:rPr>
          <w:rFonts w:eastAsia="Verdana" w:cs="Verdana"/>
          <w:color w:val="000000"/>
        </w:rPr>
        <w:t xml:space="preserve"> by</w:t>
      </w:r>
      <w:r w:rsidR="001D0CAB" w:rsidRPr="004C52A9">
        <w:rPr>
          <w:rFonts w:eastAsia="Verdana" w:cs="Verdana"/>
          <w:color w:val="000000"/>
        </w:rPr>
        <w:t xml:space="preserve"> a further</w:t>
      </w:r>
      <w:r w:rsidR="00C73E59" w:rsidRPr="004C52A9">
        <w:rPr>
          <w:rFonts w:eastAsia="Verdana" w:cs="Verdana"/>
          <w:color w:val="000000"/>
        </w:rPr>
        <w:t xml:space="preserve"> 33 per cent </w:t>
      </w:r>
      <w:r w:rsidR="00C21269" w:rsidRPr="004C52A9">
        <w:rPr>
          <w:rFonts w:eastAsia="Verdana" w:cs="Verdana"/>
          <w:color w:val="000000"/>
        </w:rPr>
        <w:t>(</w:t>
      </w:r>
      <w:r w:rsidR="0076275A" w:rsidRPr="004C52A9">
        <w:rPr>
          <w:rFonts w:eastAsia="Verdana" w:cs="Verdana"/>
          <w:color w:val="000000"/>
        </w:rPr>
        <w:t xml:space="preserve">from </w:t>
      </w:r>
      <w:r w:rsidR="005E4A69" w:rsidRPr="004C52A9">
        <w:rPr>
          <w:rFonts w:eastAsia="Verdana" w:cs="Verdana"/>
          <w:color w:val="000000"/>
        </w:rPr>
        <w:t xml:space="preserve">5,155 to </w:t>
      </w:r>
      <w:r w:rsidR="00521CF5" w:rsidRPr="004C52A9">
        <w:rPr>
          <w:rFonts w:eastAsia="Verdana" w:cs="Verdana"/>
          <w:color w:val="000000"/>
        </w:rPr>
        <w:t>6,845).</w:t>
      </w:r>
      <w:r w:rsidR="005367B2">
        <w:rPr>
          <w:rStyle w:val="FootnoteReference"/>
          <w:rFonts w:eastAsia="Verdana" w:cs="Verdana"/>
          <w:color w:val="000000"/>
        </w:rPr>
        <w:footnoteReference w:id="170"/>
      </w:r>
    </w:p>
    <w:p w14:paraId="231B3551" w14:textId="77777777" w:rsidR="00060106" w:rsidRPr="00060106" w:rsidRDefault="00060106" w:rsidP="00412E09">
      <w:pPr>
        <w:pStyle w:val="ListParagraph"/>
        <w:ind w:left="851" w:hanging="862"/>
        <w:rPr>
          <w:color w:val="000000"/>
        </w:rPr>
      </w:pPr>
    </w:p>
    <w:p w14:paraId="71381055" w14:textId="77777777" w:rsidR="004C52A9" w:rsidRPr="004C52A9" w:rsidRDefault="00060106" w:rsidP="00412E09">
      <w:pPr>
        <w:pStyle w:val="ListParagraph"/>
        <w:numPr>
          <w:ilvl w:val="1"/>
          <w:numId w:val="89"/>
        </w:numPr>
        <w:ind w:left="851" w:hanging="862"/>
      </w:pPr>
      <w:r w:rsidRPr="004C52A9">
        <w:rPr>
          <w:color w:val="000000"/>
        </w:rPr>
        <w:t>The Autism Act (NI) 2011 places a statutory responsibility on the Department of Health to publish an autism strategy every seven years. In 2021, following delays caused by the COVID-19 pandemic, the Department of Health published an interim Autism Strategy, which includes key priorities underpinned by outcome-based, cross-departmental actions with set timelines.</w:t>
      </w:r>
      <w:r>
        <w:rPr>
          <w:rStyle w:val="FootnoteReference"/>
        </w:rPr>
        <w:footnoteReference w:id="171"/>
      </w:r>
      <w:r w:rsidRPr="004C52A9">
        <w:rPr>
          <w:color w:val="000000"/>
        </w:rPr>
        <w:t xml:space="preserve"> The Department of Health has consulted on key priorities for the next five-year Autism Strategy.</w:t>
      </w:r>
      <w:r>
        <w:rPr>
          <w:rStyle w:val="FootnoteReference"/>
          <w:color w:val="000000"/>
        </w:rPr>
        <w:footnoteReference w:id="172"/>
      </w:r>
    </w:p>
    <w:p w14:paraId="0ED7702A" w14:textId="77777777" w:rsidR="004C52A9" w:rsidRPr="004C52A9" w:rsidRDefault="004C52A9" w:rsidP="00412E09">
      <w:pPr>
        <w:pStyle w:val="ListParagraph"/>
        <w:ind w:left="851" w:hanging="862"/>
        <w:rPr>
          <w:color w:val="000000"/>
        </w:rPr>
      </w:pPr>
    </w:p>
    <w:p w14:paraId="039C539E" w14:textId="20582960" w:rsidR="000955E6" w:rsidRPr="00B11F8E" w:rsidRDefault="00A507DC" w:rsidP="00412E09">
      <w:pPr>
        <w:pStyle w:val="ListParagraph"/>
        <w:numPr>
          <w:ilvl w:val="1"/>
          <w:numId w:val="89"/>
        </w:numPr>
        <w:ind w:left="851" w:hanging="862"/>
      </w:pPr>
      <w:r w:rsidRPr="004C52A9">
        <w:rPr>
          <w:color w:val="000000"/>
        </w:rPr>
        <w:t xml:space="preserve">In April 2022, the Autism (Amendment) Act </w:t>
      </w:r>
      <w:r w:rsidR="000D1926" w:rsidRPr="004C52A9">
        <w:rPr>
          <w:color w:val="000000"/>
        </w:rPr>
        <w:t>(NI)</w:t>
      </w:r>
      <w:r w:rsidRPr="004C52A9">
        <w:rPr>
          <w:color w:val="000000"/>
        </w:rPr>
        <w:t xml:space="preserve"> 2022 received Royal Assent</w:t>
      </w:r>
      <w:r w:rsidR="00521EE7" w:rsidRPr="004C52A9">
        <w:rPr>
          <w:color w:val="000000"/>
        </w:rPr>
        <w:t>.</w:t>
      </w:r>
      <w:r w:rsidR="006E2F1A" w:rsidRPr="004C52A9">
        <w:rPr>
          <w:color w:val="000000"/>
        </w:rPr>
        <w:t xml:space="preserve"> </w:t>
      </w:r>
      <w:r w:rsidR="00521EE7" w:rsidRPr="004C52A9">
        <w:rPr>
          <w:color w:val="000000"/>
        </w:rPr>
        <w:t>It</w:t>
      </w:r>
      <w:r w:rsidR="00C11FE5" w:rsidRPr="004C52A9">
        <w:rPr>
          <w:color w:val="000000"/>
        </w:rPr>
        <w:t xml:space="preserve"> aims </w:t>
      </w:r>
      <w:r w:rsidR="001A2660" w:rsidRPr="004C52A9">
        <w:rPr>
          <w:color w:val="000000"/>
        </w:rPr>
        <w:t>to</w:t>
      </w:r>
      <w:r w:rsidR="00DB62A7">
        <w:t xml:space="preserve"> </w:t>
      </w:r>
      <w:r w:rsidR="005E0281">
        <w:t>address</w:t>
      </w:r>
      <w:r w:rsidR="003840FE">
        <w:t xml:space="preserve"> </w:t>
      </w:r>
      <w:r w:rsidR="00D60103">
        <w:t>shortcomings</w:t>
      </w:r>
      <w:r w:rsidR="003840FE">
        <w:t xml:space="preserve"> of the </w:t>
      </w:r>
      <w:r w:rsidR="000D1926">
        <w:t>Autism Act (NI) 2011</w:t>
      </w:r>
      <w:r w:rsidR="00E53051">
        <w:t>,</w:t>
      </w:r>
      <w:r w:rsidR="006E2F1A">
        <w:rPr>
          <w:rStyle w:val="FootnoteReference"/>
        </w:rPr>
        <w:footnoteReference w:id="173"/>
      </w:r>
      <w:r w:rsidR="004B3256">
        <w:t xml:space="preserve"> </w:t>
      </w:r>
      <w:r w:rsidR="001A2660">
        <w:t xml:space="preserve">by </w:t>
      </w:r>
      <w:r w:rsidR="00E53051">
        <w:t xml:space="preserve">including </w:t>
      </w:r>
      <w:r w:rsidR="005A6AEE" w:rsidRPr="004C52A9">
        <w:rPr>
          <w:color w:val="000000"/>
        </w:rPr>
        <w:t>measurable targets and outcomes</w:t>
      </w:r>
      <w:r w:rsidR="005A6AEE">
        <w:t xml:space="preserve"> </w:t>
      </w:r>
      <w:r w:rsidR="00E53051">
        <w:t>aimed at</w:t>
      </w:r>
      <w:r w:rsidR="001A2660">
        <w:t xml:space="preserve"> strengthening </w:t>
      </w:r>
      <w:r w:rsidR="00F76470">
        <w:t>support services and updating</w:t>
      </w:r>
      <w:r w:rsidR="000A3878">
        <w:t xml:space="preserve"> </w:t>
      </w:r>
      <w:r w:rsidR="007F0592">
        <w:t>th</w:t>
      </w:r>
      <w:r w:rsidR="008E586F">
        <w:t>e requirements</w:t>
      </w:r>
      <w:r w:rsidR="005367B2">
        <w:t xml:space="preserve"> </w:t>
      </w:r>
      <w:r w:rsidR="00996902">
        <w:t>placed on</w:t>
      </w:r>
      <w:r w:rsidR="005367B2">
        <w:t xml:space="preserve"> </w:t>
      </w:r>
      <w:r w:rsidR="009433DF">
        <w:t>NI’s autism strategy</w:t>
      </w:r>
      <w:r w:rsidR="005A6AEE" w:rsidRPr="004C52A9">
        <w:rPr>
          <w:color w:val="000000"/>
        </w:rPr>
        <w:t>.</w:t>
      </w:r>
      <w:r w:rsidR="00751747" w:rsidRPr="004C52A9">
        <w:rPr>
          <w:color w:val="000000"/>
        </w:rPr>
        <w:t xml:space="preserve"> </w:t>
      </w:r>
    </w:p>
    <w:p w14:paraId="1F40743F" w14:textId="77777777" w:rsidR="000955E6" w:rsidRPr="00B11F8E" w:rsidRDefault="000955E6" w:rsidP="00412E09">
      <w:pPr>
        <w:pStyle w:val="ListParagraph"/>
        <w:ind w:left="851" w:hanging="862"/>
        <w:rPr>
          <w:color w:val="000000"/>
        </w:rPr>
      </w:pPr>
    </w:p>
    <w:p w14:paraId="44C19865" w14:textId="77777777" w:rsidR="00BB485A" w:rsidRPr="00BB485A" w:rsidRDefault="00DD3A38" w:rsidP="00412E09">
      <w:pPr>
        <w:pStyle w:val="ListParagraph"/>
        <w:numPr>
          <w:ilvl w:val="1"/>
          <w:numId w:val="89"/>
        </w:numPr>
        <w:ind w:left="851" w:hanging="862"/>
      </w:pPr>
      <w:r w:rsidRPr="004C52A9">
        <w:rPr>
          <w:color w:val="000000"/>
        </w:rPr>
        <w:t>D</w:t>
      </w:r>
      <w:r w:rsidR="00F76DD5" w:rsidRPr="004C52A9">
        <w:rPr>
          <w:color w:val="000000"/>
        </w:rPr>
        <w:t xml:space="preserve">espite </w:t>
      </w:r>
      <w:r w:rsidRPr="004C52A9">
        <w:rPr>
          <w:color w:val="000000"/>
        </w:rPr>
        <w:t>calls</w:t>
      </w:r>
      <w:r w:rsidR="00134350" w:rsidRPr="004C52A9">
        <w:rPr>
          <w:color w:val="000000"/>
        </w:rPr>
        <w:t xml:space="preserve"> from </w:t>
      </w:r>
      <w:r w:rsidR="00374058" w:rsidRPr="004C52A9">
        <w:rPr>
          <w:color w:val="000000"/>
        </w:rPr>
        <w:t>civil society organisations</w:t>
      </w:r>
      <w:r w:rsidR="00DF7B64" w:rsidRPr="004C52A9">
        <w:rPr>
          <w:color w:val="000000"/>
        </w:rPr>
        <w:t xml:space="preserve"> during its passage</w:t>
      </w:r>
      <w:r w:rsidR="00015300" w:rsidRPr="004C52A9">
        <w:rPr>
          <w:color w:val="000000"/>
        </w:rPr>
        <w:t xml:space="preserve">, the </w:t>
      </w:r>
      <w:r w:rsidR="006B326D" w:rsidRPr="004C52A9">
        <w:rPr>
          <w:color w:val="000000"/>
        </w:rPr>
        <w:t xml:space="preserve">2022 </w:t>
      </w:r>
      <w:r w:rsidR="00015300" w:rsidRPr="004C52A9">
        <w:rPr>
          <w:color w:val="000000"/>
        </w:rPr>
        <w:t xml:space="preserve">Act does not contain a mandatory duty </w:t>
      </w:r>
      <w:r w:rsidR="00C813FD" w:rsidRPr="004C52A9">
        <w:rPr>
          <w:color w:val="000000"/>
        </w:rPr>
        <w:t>for teacher training</w:t>
      </w:r>
      <w:r w:rsidR="00DF7B64" w:rsidRPr="004C52A9">
        <w:rPr>
          <w:color w:val="000000"/>
        </w:rPr>
        <w:t>.</w:t>
      </w:r>
      <w:r w:rsidRPr="004C52A9">
        <w:rPr>
          <w:color w:val="000000"/>
        </w:rPr>
        <w:t xml:space="preserve"> </w:t>
      </w:r>
      <w:r w:rsidR="00C649CC" w:rsidRPr="004C52A9">
        <w:rPr>
          <w:color w:val="000000"/>
        </w:rPr>
        <w:t>There are concerns that teachers</w:t>
      </w:r>
      <w:r w:rsidR="00EC708E" w:rsidRPr="004C52A9">
        <w:rPr>
          <w:color w:val="000000"/>
        </w:rPr>
        <w:t xml:space="preserve"> are not provide</w:t>
      </w:r>
      <w:r w:rsidR="00E91BDC" w:rsidRPr="004C52A9">
        <w:rPr>
          <w:color w:val="000000"/>
        </w:rPr>
        <w:t>d with adequate resources</w:t>
      </w:r>
      <w:r w:rsidR="006E00F6" w:rsidRPr="004C52A9">
        <w:rPr>
          <w:color w:val="000000"/>
        </w:rPr>
        <w:t xml:space="preserve"> to </w:t>
      </w:r>
      <w:r w:rsidR="00A00F97" w:rsidRPr="004C52A9">
        <w:rPr>
          <w:color w:val="000000"/>
        </w:rPr>
        <w:t xml:space="preserve">effectively </w:t>
      </w:r>
      <w:r w:rsidR="00431A05" w:rsidRPr="004C52A9">
        <w:rPr>
          <w:color w:val="000000"/>
        </w:rPr>
        <w:t xml:space="preserve">meet the needs of </w:t>
      </w:r>
      <w:r w:rsidR="00EF199A" w:rsidRPr="004C52A9">
        <w:rPr>
          <w:color w:val="000000"/>
        </w:rPr>
        <w:t>children with autis</w:t>
      </w:r>
      <w:r w:rsidR="00E54F6C" w:rsidRPr="004C52A9">
        <w:rPr>
          <w:color w:val="000000"/>
        </w:rPr>
        <w:t xml:space="preserve">m, </w:t>
      </w:r>
      <w:r w:rsidR="001B0797" w:rsidRPr="004C52A9">
        <w:rPr>
          <w:color w:val="000000"/>
        </w:rPr>
        <w:t>particularly in mainstream schools.</w:t>
      </w:r>
      <w:r w:rsidR="00287CA8">
        <w:rPr>
          <w:rStyle w:val="FootnoteReference"/>
          <w:color w:val="000000"/>
        </w:rPr>
        <w:footnoteReference w:id="174"/>
      </w:r>
      <w:r w:rsidR="001B0797" w:rsidRPr="004C52A9">
        <w:rPr>
          <w:color w:val="000000"/>
        </w:rPr>
        <w:t xml:space="preserve"> </w:t>
      </w:r>
      <w:r w:rsidR="001B2496" w:rsidRPr="004C52A9">
        <w:rPr>
          <w:color w:val="000000"/>
        </w:rPr>
        <w:t xml:space="preserve">In England, </w:t>
      </w:r>
      <w:r w:rsidR="005E257A" w:rsidRPr="004C52A9">
        <w:rPr>
          <w:color w:val="000000"/>
        </w:rPr>
        <w:t xml:space="preserve">training on </w:t>
      </w:r>
      <w:r w:rsidR="00A35671" w:rsidRPr="004C52A9">
        <w:rPr>
          <w:color w:val="000000"/>
        </w:rPr>
        <w:t xml:space="preserve">special educational needs </w:t>
      </w:r>
      <w:r w:rsidR="00180907" w:rsidRPr="004C52A9">
        <w:rPr>
          <w:color w:val="000000"/>
        </w:rPr>
        <w:t>has been a compulsory part of training for all new teachers since 201</w:t>
      </w:r>
      <w:r w:rsidR="00C10A39" w:rsidRPr="004C52A9">
        <w:rPr>
          <w:color w:val="000000"/>
        </w:rPr>
        <w:t>9</w:t>
      </w:r>
      <w:r w:rsidR="00180907" w:rsidRPr="004C52A9">
        <w:rPr>
          <w:color w:val="000000"/>
        </w:rPr>
        <w:t>.</w:t>
      </w:r>
      <w:r w:rsidR="00287CA8">
        <w:rPr>
          <w:rStyle w:val="FootnoteReference"/>
          <w:color w:val="000000"/>
        </w:rPr>
        <w:footnoteReference w:id="175"/>
      </w:r>
      <w:r w:rsidR="00180907" w:rsidRPr="004C52A9">
        <w:rPr>
          <w:color w:val="000000"/>
        </w:rPr>
        <w:t xml:space="preserve"> </w:t>
      </w:r>
    </w:p>
    <w:p w14:paraId="52003E6C" w14:textId="77777777" w:rsidR="00BB485A" w:rsidRPr="00BB485A" w:rsidRDefault="00BB485A" w:rsidP="00412E09">
      <w:pPr>
        <w:pStyle w:val="ListParagraph"/>
        <w:ind w:left="851" w:hanging="862"/>
        <w:rPr>
          <w:b/>
        </w:rPr>
      </w:pPr>
    </w:p>
    <w:p w14:paraId="5A9B884C" w14:textId="0FCB716A" w:rsidR="00D8578F" w:rsidRPr="007A5C49" w:rsidRDefault="00134DA1" w:rsidP="00412E09">
      <w:pPr>
        <w:pStyle w:val="ListParagraph"/>
        <w:numPr>
          <w:ilvl w:val="1"/>
          <w:numId w:val="89"/>
        </w:numPr>
        <w:ind w:left="851" w:hanging="862"/>
        <w:rPr>
          <w:b/>
        </w:rPr>
      </w:pPr>
      <w:r w:rsidRPr="00BB485A">
        <w:rPr>
          <w:b/>
        </w:rPr>
        <w:t>The Committee may wish to recommend</w:t>
      </w:r>
      <w:r w:rsidR="009902C3" w:rsidRPr="00BB485A">
        <w:rPr>
          <w:b/>
        </w:rPr>
        <w:t xml:space="preserve"> that the </w:t>
      </w:r>
      <w:r w:rsidR="00264E69" w:rsidRPr="00BB485A">
        <w:rPr>
          <w:b/>
        </w:rPr>
        <w:t>State Party ensures</w:t>
      </w:r>
      <w:r w:rsidR="00761C45" w:rsidRPr="00BB485A">
        <w:rPr>
          <w:b/>
        </w:rPr>
        <w:t xml:space="preserve"> that</w:t>
      </w:r>
      <w:r w:rsidR="004647A2" w:rsidRPr="00BB485A">
        <w:rPr>
          <w:b/>
        </w:rPr>
        <w:t xml:space="preserve"> </w:t>
      </w:r>
      <w:r w:rsidR="00B400A3" w:rsidRPr="00BB485A">
        <w:rPr>
          <w:b/>
        </w:rPr>
        <w:t xml:space="preserve">comprehensive </w:t>
      </w:r>
      <w:r w:rsidR="00901674" w:rsidRPr="00BB485A">
        <w:rPr>
          <w:b/>
        </w:rPr>
        <w:t xml:space="preserve">up-to-date </w:t>
      </w:r>
      <w:r w:rsidR="0062625D" w:rsidRPr="00BB485A">
        <w:rPr>
          <w:b/>
        </w:rPr>
        <w:t xml:space="preserve">strategies, </w:t>
      </w:r>
      <w:proofErr w:type="gramStart"/>
      <w:r w:rsidR="0062625D" w:rsidRPr="00BB485A">
        <w:rPr>
          <w:b/>
        </w:rPr>
        <w:t>guidance</w:t>
      </w:r>
      <w:proofErr w:type="gramEnd"/>
      <w:r w:rsidR="0062625D" w:rsidRPr="00BB485A">
        <w:rPr>
          <w:b/>
        </w:rPr>
        <w:t xml:space="preserve"> and actions plans</w:t>
      </w:r>
      <w:r w:rsidR="00901674" w:rsidRPr="00BB485A">
        <w:rPr>
          <w:b/>
        </w:rPr>
        <w:t xml:space="preserve"> </w:t>
      </w:r>
      <w:r w:rsidR="004556E6" w:rsidRPr="00BB485A">
        <w:rPr>
          <w:b/>
        </w:rPr>
        <w:t xml:space="preserve">focused </w:t>
      </w:r>
      <w:r w:rsidR="009910A9">
        <w:rPr>
          <w:b/>
        </w:rPr>
        <w:t xml:space="preserve">on </w:t>
      </w:r>
      <w:r w:rsidR="004556E6" w:rsidRPr="00BB485A">
        <w:rPr>
          <w:b/>
        </w:rPr>
        <w:t xml:space="preserve">autism support </w:t>
      </w:r>
      <w:r w:rsidR="00901674" w:rsidRPr="00BB485A">
        <w:rPr>
          <w:b/>
        </w:rPr>
        <w:t>are</w:t>
      </w:r>
      <w:r w:rsidR="004556E6" w:rsidRPr="00BB485A">
        <w:rPr>
          <w:b/>
        </w:rPr>
        <w:t xml:space="preserve"> in place </w:t>
      </w:r>
      <w:r w:rsidR="009910A9">
        <w:rPr>
          <w:b/>
        </w:rPr>
        <w:t>in NI</w:t>
      </w:r>
      <w:r w:rsidR="00CD2EBC" w:rsidRPr="00BB485A">
        <w:rPr>
          <w:b/>
        </w:rPr>
        <w:t xml:space="preserve">, </w:t>
      </w:r>
      <w:r w:rsidR="00281F70" w:rsidRPr="00BB485A">
        <w:rPr>
          <w:b/>
        </w:rPr>
        <w:t xml:space="preserve">which </w:t>
      </w:r>
      <w:r w:rsidR="00CD2EBC" w:rsidRPr="00BB485A">
        <w:rPr>
          <w:b/>
        </w:rPr>
        <w:t>contain</w:t>
      </w:r>
      <w:r w:rsidR="00281F70" w:rsidRPr="00BB485A">
        <w:rPr>
          <w:b/>
        </w:rPr>
        <w:t xml:space="preserve"> specific targets </w:t>
      </w:r>
      <w:r w:rsidR="00281F70" w:rsidRPr="00BB485A">
        <w:rPr>
          <w:b/>
          <w:color w:val="000000"/>
        </w:rPr>
        <w:t xml:space="preserve">for </w:t>
      </w:r>
      <w:r w:rsidR="00736B38" w:rsidRPr="00BB485A">
        <w:rPr>
          <w:b/>
          <w:color w:val="000000"/>
        </w:rPr>
        <w:t xml:space="preserve">the provision of </w:t>
      </w:r>
      <w:r w:rsidR="000F0769" w:rsidRPr="00BB485A">
        <w:rPr>
          <w:b/>
          <w:color w:val="000000"/>
        </w:rPr>
        <w:t>teacher training</w:t>
      </w:r>
      <w:r w:rsidR="00995717" w:rsidRPr="00BB485A">
        <w:rPr>
          <w:b/>
          <w:color w:val="000000"/>
        </w:rPr>
        <w:t xml:space="preserve"> on autism</w:t>
      </w:r>
      <w:r w:rsidR="00292B02" w:rsidRPr="00BB485A">
        <w:rPr>
          <w:b/>
          <w:color w:val="000000"/>
        </w:rPr>
        <w:t xml:space="preserve"> for all</w:t>
      </w:r>
      <w:r w:rsidR="00457AFB" w:rsidRPr="00BB485A">
        <w:rPr>
          <w:b/>
          <w:color w:val="000000"/>
        </w:rPr>
        <w:t xml:space="preserve"> </w:t>
      </w:r>
      <w:r w:rsidR="00292B02" w:rsidRPr="00BB485A">
        <w:rPr>
          <w:b/>
          <w:color w:val="000000"/>
        </w:rPr>
        <w:t>schools</w:t>
      </w:r>
      <w:r w:rsidR="009910A9">
        <w:rPr>
          <w:b/>
          <w:color w:val="000000"/>
        </w:rPr>
        <w:t xml:space="preserve"> in NI.</w:t>
      </w:r>
    </w:p>
    <w:p w14:paraId="70913DB8" w14:textId="77777777" w:rsidR="00512200" w:rsidRPr="00512200" w:rsidRDefault="00512200" w:rsidP="00412E09">
      <w:pPr>
        <w:ind w:left="851" w:hanging="862"/>
        <w:rPr>
          <w:color w:val="000000"/>
        </w:rPr>
      </w:pPr>
    </w:p>
    <w:p w14:paraId="4375898E" w14:textId="32517E91" w:rsidR="00D8578F" w:rsidRPr="004A6D3A" w:rsidRDefault="00D8578F" w:rsidP="00412E09">
      <w:pPr>
        <w:pStyle w:val="Heading2"/>
        <w:ind w:left="851" w:hanging="862"/>
      </w:pPr>
      <w:bookmarkStart w:id="50" w:name="_Toc121922214"/>
      <w:r>
        <w:t xml:space="preserve">Disability </w:t>
      </w:r>
      <w:r w:rsidR="00AF1357">
        <w:t>S</w:t>
      </w:r>
      <w:r w:rsidRPr="003C090F">
        <w:t>trategy</w:t>
      </w:r>
      <w:bookmarkEnd w:id="50"/>
    </w:p>
    <w:p w14:paraId="70FCC5E1" w14:textId="62234749" w:rsidR="005F2686" w:rsidRPr="005F2686" w:rsidRDefault="00E50004" w:rsidP="00412E09">
      <w:pPr>
        <w:pStyle w:val="ListParagraph"/>
        <w:numPr>
          <w:ilvl w:val="1"/>
          <w:numId w:val="89"/>
        </w:numPr>
        <w:ind w:left="851" w:hanging="862"/>
      </w:pPr>
      <w:r w:rsidRPr="00BB485A">
        <w:rPr>
          <w:color w:val="000000"/>
        </w:rPr>
        <w:t xml:space="preserve">In 2020, the NI Executive committed to publish a disability strategy for NI. </w:t>
      </w:r>
      <w:r w:rsidR="00AF1357">
        <w:rPr>
          <w:color w:val="000000"/>
        </w:rPr>
        <w:t>An expert advisory panel est</w:t>
      </w:r>
      <w:r w:rsidR="00A30D57">
        <w:rPr>
          <w:color w:val="000000"/>
        </w:rPr>
        <w:t>ablished to advise on a disability strategy</w:t>
      </w:r>
      <w:r w:rsidR="006D0A4C" w:rsidRPr="00BB485A">
        <w:rPr>
          <w:color w:val="000000"/>
        </w:rPr>
        <w:t xml:space="preserve"> </w:t>
      </w:r>
      <w:r w:rsidR="00A30D57">
        <w:rPr>
          <w:color w:val="000000"/>
        </w:rPr>
        <w:t>for</w:t>
      </w:r>
      <w:r w:rsidR="006508DA" w:rsidRPr="00BB485A">
        <w:rPr>
          <w:color w:val="000000"/>
        </w:rPr>
        <w:t xml:space="preserve"> NI</w:t>
      </w:r>
      <w:r w:rsidR="006D0A4C" w:rsidRPr="00BB485A">
        <w:rPr>
          <w:color w:val="000000"/>
        </w:rPr>
        <w:t xml:space="preserve"> </w:t>
      </w:r>
      <w:r w:rsidR="00185DAD" w:rsidRPr="00BB485A">
        <w:rPr>
          <w:color w:val="000000"/>
        </w:rPr>
        <w:t xml:space="preserve">found </w:t>
      </w:r>
      <w:r w:rsidR="00A73C5A">
        <w:t>a significant lack of data on the lived experiences children with disabilities in NI, making “appropriate planning of services, supports and provisions incredibly challenging”.</w:t>
      </w:r>
      <w:r w:rsidR="00A73C5A">
        <w:rPr>
          <w:rStyle w:val="FootnoteReference"/>
        </w:rPr>
        <w:footnoteReference w:id="176"/>
      </w:r>
      <w:r w:rsidR="005F2686">
        <w:t xml:space="preserve"> </w:t>
      </w:r>
      <w:r w:rsidR="0040211E">
        <w:t xml:space="preserve">As a result, </w:t>
      </w:r>
      <w:r w:rsidR="00275915">
        <w:t>intersectionality</w:t>
      </w:r>
      <w:r w:rsidR="00811E1E">
        <w:t xml:space="preserve"> is not </w:t>
      </w:r>
      <w:r w:rsidR="00292138">
        <w:t>adequately incorporated</w:t>
      </w:r>
      <w:r w:rsidR="00DB4B96">
        <w:t xml:space="preserve"> within policy-making</w:t>
      </w:r>
      <w:r w:rsidR="00D65655">
        <w:t xml:space="preserve">, </w:t>
      </w:r>
      <w:r w:rsidR="002549AF">
        <w:t>meaning</w:t>
      </w:r>
      <w:r w:rsidR="00CA066C">
        <w:t xml:space="preserve"> </w:t>
      </w:r>
      <w:r w:rsidR="004A6DBD">
        <w:t>child</w:t>
      </w:r>
      <w:r w:rsidR="009E583C">
        <w:t>ren with disabilit</w:t>
      </w:r>
      <w:r w:rsidR="00B94691">
        <w:t xml:space="preserve">ies </w:t>
      </w:r>
      <w:r w:rsidR="00900674">
        <w:t xml:space="preserve">have traditionally been excluded from childhood strategies </w:t>
      </w:r>
      <w:r w:rsidR="000729FB">
        <w:t xml:space="preserve">while </w:t>
      </w:r>
      <w:r w:rsidR="00975E78">
        <w:t xml:space="preserve">disability related policies </w:t>
      </w:r>
      <w:r w:rsidR="00DF69B5">
        <w:t>tend to foc</w:t>
      </w:r>
      <w:r w:rsidR="00534C5C">
        <w:t>us on adults</w:t>
      </w:r>
      <w:r w:rsidR="001C29FD">
        <w:t>.</w:t>
      </w:r>
      <w:r w:rsidR="00A53415">
        <w:rPr>
          <w:rStyle w:val="FootnoteReference"/>
        </w:rPr>
        <w:footnoteReference w:id="177"/>
      </w:r>
      <w:r w:rsidR="00237CAB">
        <w:t xml:space="preserve"> </w:t>
      </w:r>
      <w:r w:rsidR="00A73C5A" w:rsidRPr="00BB485A">
        <w:rPr>
          <w:color w:val="000000"/>
        </w:rPr>
        <w:t>P</w:t>
      </w:r>
      <w:r w:rsidR="00D8578F" w:rsidRPr="00BB485A">
        <w:rPr>
          <w:color w:val="000000"/>
        </w:rPr>
        <w:t>ublic consultation on the disability strategy was due to take place in early 2022, but this process has been delayed</w:t>
      </w:r>
      <w:r w:rsidR="008F5EED" w:rsidRPr="00BB485A">
        <w:rPr>
          <w:color w:val="000000"/>
        </w:rPr>
        <w:t xml:space="preserve"> and</w:t>
      </w:r>
      <w:r w:rsidR="00D8578F" w:rsidRPr="00BB485A">
        <w:rPr>
          <w:color w:val="000000"/>
        </w:rPr>
        <w:t xml:space="preserve"> cannot progress until a new NI Executive is in place.</w:t>
      </w:r>
      <w:r w:rsidR="00D8578F" w:rsidRPr="00D8578F">
        <w:rPr>
          <w:rStyle w:val="FootnoteReference"/>
          <w:color w:val="000000"/>
        </w:rPr>
        <w:footnoteReference w:id="178"/>
      </w:r>
    </w:p>
    <w:p w14:paraId="3538E58B" w14:textId="77777777" w:rsidR="005F2686" w:rsidRPr="005F2686" w:rsidRDefault="005F2686" w:rsidP="00412E09">
      <w:pPr>
        <w:pStyle w:val="ListParagraph"/>
        <w:ind w:left="851" w:hanging="862"/>
      </w:pPr>
    </w:p>
    <w:p w14:paraId="747CFBE5" w14:textId="7F6ADEE8" w:rsidR="007033E0" w:rsidRPr="00CF41DB" w:rsidRDefault="00134DA1" w:rsidP="00412E09">
      <w:pPr>
        <w:pStyle w:val="ListParagraph"/>
        <w:numPr>
          <w:ilvl w:val="1"/>
          <w:numId w:val="89"/>
        </w:numPr>
        <w:ind w:left="851" w:hanging="862"/>
        <w:rPr>
          <w:b/>
          <w:bCs/>
        </w:rPr>
      </w:pPr>
      <w:r w:rsidRPr="00CF41DB">
        <w:rPr>
          <w:b/>
          <w:bCs/>
        </w:rPr>
        <w:t>The Committee may wish to recommend</w:t>
      </w:r>
      <w:r w:rsidR="00D8578F" w:rsidRPr="00CF41DB">
        <w:rPr>
          <w:b/>
          <w:bCs/>
        </w:rPr>
        <w:t xml:space="preserve"> </w:t>
      </w:r>
      <w:r w:rsidR="007C7BA4" w:rsidRPr="00CF41DB">
        <w:rPr>
          <w:b/>
          <w:bCs/>
        </w:rPr>
        <w:t xml:space="preserve">that the </w:t>
      </w:r>
      <w:r w:rsidR="008F5EED" w:rsidRPr="00CF41DB">
        <w:rPr>
          <w:b/>
          <w:bCs/>
        </w:rPr>
        <w:t>State Party ensures</w:t>
      </w:r>
      <w:r w:rsidR="007C7BA4" w:rsidRPr="00CF41DB">
        <w:rPr>
          <w:b/>
          <w:bCs/>
        </w:rPr>
        <w:t xml:space="preserve"> </w:t>
      </w:r>
      <w:r w:rsidR="00B30FD1">
        <w:rPr>
          <w:b/>
          <w:bCs/>
        </w:rPr>
        <w:t>an</w:t>
      </w:r>
      <w:r w:rsidR="00B30FD1" w:rsidRPr="00CF41DB">
        <w:rPr>
          <w:b/>
          <w:bCs/>
        </w:rPr>
        <w:t xml:space="preserve"> </w:t>
      </w:r>
      <w:r w:rsidR="009A36A7" w:rsidRPr="00CF41DB">
        <w:rPr>
          <w:b/>
          <w:bCs/>
        </w:rPr>
        <w:t xml:space="preserve">up-to-date, </w:t>
      </w:r>
      <w:r w:rsidR="000E2606" w:rsidRPr="00CF41DB">
        <w:rPr>
          <w:b/>
          <w:bCs/>
        </w:rPr>
        <w:t>comprehensive</w:t>
      </w:r>
      <w:r w:rsidR="007C7BA4" w:rsidRPr="00CF41DB">
        <w:rPr>
          <w:b/>
          <w:bCs/>
        </w:rPr>
        <w:t xml:space="preserve"> disability strateg</w:t>
      </w:r>
      <w:r w:rsidR="00B30FD1">
        <w:rPr>
          <w:b/>
          <w:bCs/>
        </w:rPr>
        <w:t>y</w:t>
      </w:r>
      <w:r w:rsidR="009A36A7" w:rsidRPr="00CF41DB">
        <w:rPr>
          <w:b/>
          <w:bCs/>
        </w:rPr>
        <w:t xml:space="preserve"> </w:t>
      </w:r>
      <w:r w:rsidR="00B30FD1">
        <w:rPr>
          <w:b/>
          <w:bCs/>
        </w:rPr>
        <w:t>is</w:t>
      </w:r>
      <w:r w:rsidR="00B30FD1" w:rsidRPr="00CF41DB">
        <w:rPr>
          <w:b/>
          <w:bCs/>
        </w:rPr>
        <w:t xml:space="preserve"> </w:t>
      </w:r>
      <w:r w:rsidR="009A36A7" w:rsidRPr="00CF41DB">
        <w:rPr>
          <w:b/>
          <w:bCs/>
        </w:rPr>
        <w:t>in place</w:t>
      </w:r>
      <w:r w:rsidR="007C7BA4" w:rsidRPr="00CF41DB">
        <w:rPr>
          <w:b/>
          <w:bCs/>
        </w:rPr>
        <w:t xml:space="preserve"> and </w:t>
      </w:r>
      <w:r w:rsidR="009A36A7" w:rsidRPr="00CF41DB">
        <w:rPr>
          <w:b/>
          <w:bCs/>
        </w:rPr>
        <w:t xml:space="preserve">appropriately funded </w:t>
      </w:r>
      <w:r w:rsidR="00B7104B" w:rsidRPr="00CF41DB">
        <w:rPr>
          <w:b/>
          <w:bCs/>
        </w:rPr>
        <w:t xml:space="preserve">in NI. </w:t>
      </w:r>
      <w:r w:rsidR="00B30FD1">
        <w:rPr>
          <w:b/>
          <w:bCs/>
        </w:rPr>
        <w:t>This strategy</w:t>
      </w:r>
      <w:r w:rsidR="009A36A7" w:rsidRPr="00CF41DB">
        <w:rPr>
          <w:b/>
          <w:bCs/>
        </w:rPr>
        <w:t xml:space="preserve"> should build on other strategies, such as</w:t>
      </w:r>
      <w:r w:rsidR="007C7BA4" w:rsidRPr="00CF41DB">
        <w:rPr>
          <w:b/>
          <w:bCs/>
        </w:rPr>
        <w:t xml:space="preserve"> the Children and Young People’s Strategy </w:t>
      </w:r>
      <w:r w:rsidR="007C7BA4" w:rsidRPr="00CF41DB">
        <w:rPr>
          <w:b/>
        </w:rPr>
        <w:t>2020-2030</w:t>
      </w:r>
      <w:r w:rsidR="009910A9">
        <w:rPr>
          <w:b/>
        </w:rPr>
        <w:t>,</w:t>
      </w:r>
      <w:r w:rsidR="009910A9" w:rsidRPr="00CF41DB">
        <w:rPr>
          <w:b/>
          <w:bCs/>
        </w:rPr>
        <w:t xml:space="preserve"> </w:t>
      </w:r>
      <w:r w:rsidR="002F3EA6" w:rsidRPr="00CF41DB">
        <w:rPr>
          <w:b/>
        </w:rPr>
        <w:t>and</w:t>
      </w:r>
      <w:r w:rsidR="00B7104B" w:rsidRPr="00CF41DB">
        <w:rPr>
          <w:b/>
        </w:rPr>
        <w:t xml:space="preserve"> include</w:t>
      </w:r>
      <w:r w:rsidR="007C7BA4" w:rsidRPr="00CF41DB">
        <w:rPr>
          <w:b/>
          <w:bCs/>
        </w:rPr>
        <w:t xml:space="preserve"> specific child rights indicators </w:t>
      </w:r>
      <w:r w:rsidR="003775AB">
        <w:rPr>
          <w:b/>
          <w:bCs/>
        </w:rPr>
        <w:t>with</w:t>
      </w:r>
      <w:r w:rsidR="003775AB" w:rsidRPr="00CF41DB">
        <w:rPr>
          <w:b/>
          <w:bCs/>
        </w:rPr>
        <w:t xml:space="preserve"> </w:t>
      </w:r>
      <w:r w:rsidR="007C7BA4" w:rsidRPr="00CF41DB">
        <w:rPr>
          <w:b/>
          <w:bCs/>
        </w:rPr>
        <w:t xml:space="preserve">a comprehensive action plan for the inclusion of children with disabilities. </w:t>
      </w:r>
    </w:p>
    <w:p w14:paraId="7A8EA89F" w14:textId="77777777" w:rsidR="006A2525" w:rsidRPr="006A2525" w:rsidRDefault="006A2525" w:rsidP="00412E09">
      <w:pPr>
        <w:ind w:left="851" w:hanging="862"/>
        <w:rPr>
          <w:b/>
          <w:bCs/>
        </w:rPr>
      </w:pPr>
    </w:p>
    <w:p w14:paraId="7E79625E" w14:textId="57579A2B" w:rsidR="00257912" w:rsidRPr="00F76E04" w:rsidRDefault="00257912" w:rsidP="00412E09">
      <w:pPr>
        <w:pStyle w:val="Heading2"/>
        <w:ind w:left="851" w:hanging="862"/>
      </w:pPr>
      <w:bookmarkStart w:id="51" w:name="_Toc121922215"/>
      <w:r>
        <w:t>Short breaks services</w:t>
      </w:r>
      <w:bookmarkEnd w:id="51"/>
    </w:p>
    <w:p w14:paraId="2178D383" w14:textId="6C7ECEC7" w:rsidR="00CF41DB" w:rsidRDefault="007738AE" w:rsidP="00412E09">
      <w:pPr>
        <w:pStyle w:val="ListParagraph"/>
        <w:numPr>
          <w:ilvl w:val="1"/>
          <w:numId w:val="89"/>
        </w:numPr>
        <w:ind w:left="851" w:hanging="862"/>
      </w:pPr>
      <w:r>
        <w:t xml:space="preserve">Significant </w:t>
      </w:r>
      <w:r w:rsidR="00A00CBC">
        <w:t>concerns have been raised regarding</w:t>
      </w:r>
      <w:r w:rsidR="00A00CBC" w:rsidRPr="00A00CBC">
        <w:t xml:space="preserve"> </w:t>
      </w:r>
      <w:r w:rsidR="00A00CBC">
        <w:t xml:space="preserve">the </w:t>
      </w:r>
      <w:r w:rsidR="00822C4C">
        <w:t>adequacy and availability of short breaks</w:t>
      </w:r>
      <w:r w:rsidR="00A00CBC" w:rsidRPr="00A00CBC">
        <w:t xml:space="preserve"> services</w:t>
      </w:r>
      <w:r w:rsidR="00CE5555">
        <w:t xml:space="preserve"> in NI</w:t>
      </w:r>
      <w:r w:rsidR="00A00CBC" w:rsidRPr="00A00CBC">
        <w:t xml:space="preserve"> for children with disabilities</w:t>
      </w:r>
      <w:r w:rsidR="00822C4C">
        <w:t xml:space="preserve"> and their families</w:t>
      </w:r>
      <w:r w:rsidR="00471437">
        <w:t>/carers</w:t>
      </w:r>
      <w:r w:rsidR="00822C4C">
        <w:t>,</w:t>
      </w:r>
      <w:r w:rsidR="00A00CBC" w:rsidRPr="00A00CBC">
        <w:t xml:space="preserve"> particularly those children with complex needs</w:t>
      </w:r>
      <w:r w:rsidR="00822C4C">
        <w:t>.</w:t>
      </w:r>
      <w:r w:rsidRPr="007738AE">
        <w:rPr>
          <w:rStyle w:val="FootnoteReference"/>
        </w:rPr>
        <w:t xml:space="preserve"> </w:t>
      </w:r>
      <w:r>
        <w:rPr>
          <w:rStyle w:val="FootnoteReference"/>
        </w:rPr>
        <w:footnoteReference w:id="179"/>
      </w:r>
      <w:r>
        <w:t xml:space="preserve"> </w:t>
      </w:r>
      <w:r w:rsidR="00822C4C">
        <w:t xml:space="preserve">During the COVID-19 pandemic, </w:t>
      </w:r>
      <w:r w:rsidR="00C54D11">
        <w:t>several</w:t>
      </w:r>
      <w:r w:rsidR="00822C4C">
        <w:t xml:space="preserve"> of these services were </w:t>
      </w:r>
      <w:r w:rsidR="005F382F">
        <w:t xml:space="preserve">reduced and </w:t>
      </w:r>
      <w:r w:rsidR="00822C4C">
        <w:t xml:space="preserve">repurposed for residential services. </w:t>
      </w:r>
    </w:p>
    <w:p w14:paraId="57CF885A" w14:textId="77777777" w:rsidR="00CF41DB" w:rsidRDefault="00CF41DB" w:rsidP="00412E09">
      <w:pPr>
        <w:pStyle w:val="ListParagraph"/>
        <w:ind w:left="851" w:hanging="862"/>
      </w:pPr>
    </w:p>
    <w:p w14:paraId="2CD2422F" w14:textId="77777777" w:rsidR="00CF41DB" w:rsidRDefault="00822C4C" w:rsidP="00412E09">
      <w:pPr>
        <w:pStyle w:val="ListParagraph"/>
        <w:numPr>
          <w:ilvl w:val="1"/>
          <w:numId w:val="89"/>
        </w:numPr>
        <w:ind w:left="851" w:hanging="862"/>
      </w:pPr>
      <w:r>
        <w:t xml:space="preserve">Many families rely on short breaks services for </w:t>
      </w:r>
      <w:r w:rsidR="00471437">
        <w:t xml:space="preserve">support in </w:t>
      </w:r>
      <w:r>
        <w:t>their caring role</w:t>
      </w:r>
      <w:r w:rsidR="00471437">
        <w:t xml:space="preserve"> and, without it,</w:t>
      </w:r>
      <w:r>
        <w:t xml:space="preserve"> </w:t>
      </w:r>
      <w:r w:rsidR="00471437">
        <w:t>may experience</w:t>
      </w:r>
      <w:r w:rsidR="00A00CBC" w:rsidRPr="00A00CBC">
        <w:t xml:space="preserve"> </w:t>
      </w:r>
      <w:r>
        <w:t>“</w:t>
      </w:r>
      <w:r w:rsidR="00A00CBC" w:rsidRPr="00A00CBC">
        <w:t>family stress and breakdown, deteriorating health of parents/carers, increased risk of children being placed in care and deteriorating emotional and social development for disabled children and their siblings</w:t>
      </w:r>
      <w:r>
        <w:t>”.</w:t>
      </w:r>
      <w:r w:rsidR="00471437">
        <w:rPr>
          <w:rStyle w:val="FootnoteReference"/>
        </w:rPr>
        <w:footnoteReference w:id="180"/>
      </w:r>
      <w:r w:rsidR="005F382F">
        <w:t xml:space="preserve"> Increases in the number of </w:t>
      </w:r>
      <w:r w:rsidR="005F382F" w:rsidRPr="005F382F">
        <w:t xml:space="preserve">young carers </w:t>
      </w:r>
      <w:r w:rsidR="005F382F">
        <w:t>were reported during the pandemic, as many provided a</w:t>
      </w:r>
      <w:r w:rsidR="005F382F" w:rsidRPr="005F382F">
        <w:t xml:space="preserve"> caring role for siblings to fill the gap left by the lack of family access to </w:t>
      </w:r>
      <w:r w:rsidR="005F382F">
        <w:t xml:space="preserve">support </w:t>
      </w:r>
      <w:r w:rsidR="005F382F" w:rsidRPr="005F382F">
        <w:t>services</w:t>
      </w:r>
      <w:r w:rsidR="005F382F">
        <w:t>.</w:t>
      </w:r>
      <w:r w:rsidR="009C2AED">
        <w:rPr>
          <w:rStyle w:val="FootnoteReference"/>
        </w:rPr>
        <w:footnoteReference w:id="181"/>
      </w:r>
      <w:r w:rsidR="005F382F">
        <w:t xml:space="preserve"> </w:t>
      </w:r>
    </w:p>
    <w:p w14:paraId="1941DEC4" w14:textId="77777777" w:rsidR="00CF41DB" w:rsidRPr="00CF41DB" w:rsidRDefault="00CF41DB" w:rsidP="00412E09">
      <w:pPr>
        <w:pStyle w:val="ListParagraph"/>
        <w:ind w:left="851" w:hanging="862"/>
        <w:rPr>
          <w:b/>
          <w:bCs/>
        </w:rPr>
      </w:pPr>
    </w:p>
    <w:p w14:paraId="3CFC6040" w14:textId="075B3811" w:rsidR="00D8578F" w:rsidRPr="007A5C49" w:rsidRDefault="00134DA1" w:rsidP="00412E09">
      <w:pPr>
        <w:pStyle w:val="ListParagraph"/>
        <w:numPr>
          <w:ilvl w:val="1"/>
          <w:numId w:val="89"/>
        </w:numPr>
        <w:ind w:left="851" w:hanging="862"/>
        <w:rPr>
          <w:b/>
        </w:rPr>
      </w:pPr>
      <w:r w:rsidRPr="00CF41DB">
        <w:rPr>
          <w:b/>
          <w:bCs/>
        </w:rPr>
        <w:t>The Committee may wish to recommend</w:t>
      </w:r>
      <w:r w:rsidR="009C2AED" w:rsidRPr="00CF41DB">
        <w:rPr>
          <w:b/>
          <w:bCs/>
        </w:rPr>
        <w:t xml:space="preserve"> that the </w:t>
      </w:r>
      <w:r w:rsidR="00C54D11" w:rsidRPr="00CF41DB">
        <w:rPr>
          <w:b/>
          <w:bCs/>
        </w:rPr>
        <w:t>State Party</w:t>
      </w:r>
      <w:r w:rsidR="009C2AED" w:rsidRPr="00CF41DB">
        <w:rPr>
          <w:b/>
          <w:bCs/>
        </w:rPr>
        <w:t xml:space="preserve"> </w:t>
      </w:r>
      <w:r w:rsidR="00175D33" w:rsidRPr="00CF41DB">
        <w:rPr>
          <w:b/>
          <w:bCs/>
        </w:rPr>
        <w:t>take</w:t>
      </w:r>
      <w:r w:rsidR="00C54D11" w:rsidRPr="00CF41DB">
        <w:rPr>
          <w:b/>
          <w:bCs/>
        </w:rPr>
        <w:t>s</w:t>
      </w:r>
      <w:r w:rsidR="00175D33" w:rsidRPr="00CF41DB">
        <w:rPr>
          <w:b/>
          <w:bCs/>
        </w:rPr>
        <w:t xml:space="preserve"> effective measures to </w:t>
      </w:r>
      <w:r w:rsidR="009C2AED" w:rsidRPr="00CF41DB">
        <w:rPr>
          <w:b/>
          <w:bCs/>
        </w:rPr>
        <w:t xml:space="preserve">ensure </w:t>
      </w:r>
      <w:r w:rsidR="009E79CB" w:rsidRPr="00CF41DB">
        <w:rPr>
          <w:b/>
          <w:bCs/>
        </w:rPr>
        <w:t xml:space="preserve">a range of </w:t>
      </w:r>
      <w:r w:rsidR="009C2AED" w:rsidRPr="00CF41DB">
        <w:rPr>
          <w:b/>
          <w:bCs/>
        </w:rPr>
        <w:t>short break services</w:t>
      </w:r>
      <w:r w:rsidR="00512E73" w:rsidRPr="00CF41DB">
        <w:rPr>
          <w:b/>
          <w:bCs/>
        </w:rPr>
        <w:t xml:space="preserve"> and facilities</w:t>
      </w:r>
      <w:r w:rsidR="00A860CE" w:rsidRPr="00CF41DB">
        <w:rPr>
          <w:b/>
          <w:bCs/>
        </w:rPr>
        <w:t xml:space="preserve"> </w:t>
      </w:r>
      <w:r w:rsidR="009E79CB" w:rsidRPr="00CF41DB">
        <w:rPr>
          <w:b/>
          <w:bCs/>
        </w:rPr>
        <w:t xml:space="preserve">are available </w:t>
      </w:r>
      <w:r w:rsidR="007233E6" w:rsidRPr="00CF41DB">
        <w:rPr>
          <w:b/>
          <w:bCs/>
        </w:rPr>
        <w:t>on an e</w:t>
      </w:r>
      <w:r w:rsidR="00D225FA" w:rsidRPr="00CF41DB">
        <w:rPr>
          <w:b/>
          <w:bCs/>
        </w:rPr>
        <w:t xml:space="preserve">quitable basis </w:t>
      </w:r>
      <w:r w:rsidR="009910A9">
        <w:rPr>
          <w:b/>
          <w:bCs/>
        </w:rPr>
        <w:t xml:space="preserve">across </w:t>
      </w:r>
      <w:r w:rsidR="00F1605F">
        <w:rPr>
          <w:b/>
          <w:bCs/>
        </w:rPr>
        <w:t>NI</w:t>
      </w:r>
      <w:r w:rsidR="009E5E33" w:rsidRPr="00CF41DB">
        <w:rPr>
          <w:b/>
          <w:bCs/>
        </w:rPr>
        <w:t>.</w:t>
      </w:r>
      <w:r w:rsidR="007F1361" w:rsidRPr="00CF41DB">
        <w:rPr>
          <w:b/>
          <w:bCs/>
        </w:rPr>
        <w:t xml:space="preserve"> </w:t>
      </w:r>
    </w:p>
    <w:p w14:paraId="3F8DF387" w14:textId="77777777" w:rsidR="005B1344" w:rsidRPr="005B1344" w:rsidRDefault="005B1344" w:rsidP="00412E09">
      <w:pPr>
        <w:ind w:left="851" w:hanging="862"/>
        <w:rPr>
          <w:b/>
          <w:bCs/>
        </w:rPr>
      </w:pPr>
    </w:p>
    <w:p w14:paraId="7AEAE27A" w14:textId="77308E4A" w:rsidR="00680EFD" w:rsidRPr="00587912" w:rsidRDefault="00495BC2" w:rsidP="00412E09">
      <w:pPr>
        <w:pStyle w:val="Heading1"/>
        <w:spacing w:before="0"/>
        <w:ind w:left="851" w:hanging="862"/>
      </w:pPr>
      <w:bookmarkStart w:id="52" w:name="_Toc121922216"/>
      <w:r>
        <w:t>1</w:t>
      </w:r>
      <w:r w:rsidR="00CF41DB">
        <w:t>4</w:t>
      </w:r>
      <w:r w:rsidR="00BA100F">
        <w:t>.0</w:t>
      </w:r>
      <w:r w:rsidR="00BA100F">
        <w:tab/>
      </w:r>
      <w:r w:rsidR="00FB6136" w:rsidRPr="00D00D8B">
        <w:t>Article 24 – Health</w:t>
      </w:r>
      <w:bookmarkEnd w:id="52"/>
    </w:p>
    <w:p w14:paraId="78186F8A" w14:textId="6C310AA3" w:rsidR="00680EFD" w:rsidRPr="00A42E42" w:rsidRDefault="005D2DE6" w:rsidP="00412E09">
      <w:pPr>
        <w:pStyle w:val="Heading2"/>
        <w:ind w:left="851" w:hanging="862"/>
        <w:rPr>
          <w:szCs w:val="22"/>
        </w:rPr>
      </w:pPr>
      <w:bookmarkStart w:id="53" w:name="_Toc121922217"/>
      <w:r w:rsidRPr="00587912">
        <w:rPr>
          <w:szCs w:val="22"/>
        </w:rPr>
        <w:t>Mental health</w:t>
      </w:r>
      <w:bookmarkEnd w:id="53"/>
    </w:p>
    <w:p w14:paraId="4FE8B412" w14:textId="77777777" w:rsidR="00050EB9" w:rsidRPr="00050EB9" w:rsidRDefault="00050EB9" w:rsidP="00412E09">
      <w:pPr>
        <w:pStyle w:val="ListParagraph"/>
        <w:numPr>
          <w:ilvl w:val="0"/>
          <w:numId w:val="13"/>
        </w:numPr>
        <w:ind w:left="851" w:hanging="862"/>
        <w:rPr>
          <w:vanish/>
        </w:rPr>
      </w:pPr>
    </w:p>
    <w:p w14:paraId="0A5E47E5" w14:textId="77717535" w:rsidR="00BA100F" w:rsidRDefault="005D2DE6" w:rsidP="00412E09">
      <w:pPr>
        <w:pStyle w:val="ListParagraph"/>
        <w:numPr>
          <w:ilvl w:val="1"/>
          <w:numId w:val="91"/>
        </w:numPr>
        <w:ind w:left="851" w:hanging="862"/>
      </w:pPr>
      <w:r w:rsidRPr="00587912">
        <w:t>The Committee previously recommended additional resourcing and investment in children and adolescent mental health services.</w:t>
      </w:r>
      <w:r w:rsidRPr="00587912">
        <w:rPr>
          <w:rStyle w:val="FootnoteReference"/>
        </w:rPr>
        <w:footnoteReference w:id="182"/>
      </w:r>
    </w:p>
    <w:p w14:paraId="6289FBC8" w14:textId="77777777" w:rsidR="00BA100F" w:rsidRDefault="00BA100F" w:rsidP="00412E09">
      <w:pPr>
        <w:pStyle w:val="ListParagraph"/>
        <w:ind w:left="851" w:hanging="862"/>
      </w:pPr>
    </w:p>
    <w:p w14:paraId="4CB6F66A" w14:textId="1B3B8175" w:rsidR="00BA100F" w:rsidRDefault="005D2DE6" w:rsidP="00412E09">
      <w:pPr>
        <w:pStyle w:val="ListParagraph"/>
        <w:numPr>
          <w:ilvl w:val="1"/>
          <w:numId w:val="91"/>
        </w:numPr>
        <w:ind w:left="851" w:hanging="862"/>
      </w:pPr>
      <w:r w:rsidRPr="00587912">
        <w:t xml:space="preserve">Poor mental </w:t>
      </w:r>
      <w:r w:rsidR="00BA100F">
        <w:t xml:space="preserve">health </w:t>
      </w:r>
      <w:r w:rsidR="00BA100F" w:rsidRPr="00587912">
        <w:t>is the largest cause of disability</w:t>
      </w:r>
      <w:r w:rsidR="003D5F1D">
        <w:t xml:space="preserve"> </w:t>
      </w:r>
      <w:r w:rsidR="00BA100F">
        <w:t xml:space="preserve">in NI and is </w:t>
      </w:r>
      <w:r w:rsidR="003D5F1D">
        <w:t>estimated to be 20</w:t>
      </w:r>
      <w:r w:rsidR="00D327F0">
        <w:t xml:space="preserve"> to </w:t>
      </w:r>
      <w:r w:rsidR="003D5F1D">
        <w:t>25 per cent</w:t>
      </w:r>
      <w:r w:rsidRPr="00587912">
        <w:t xml:space="preserve"> higher in NI than in </w:t>
      </w:r>
      <w:r w:rsidR="00BA100F">
        <w:t>the rest of the UK</w:t>
      </w:r>
      <w:r w:rsidRPr="00587912">
        <w:t>.</w:t>
      </w:r>
      <w:r w:rsidRPr="00587912">
        <w:rPr>
          <w:rStyle w:val="FootnoteReference"/>
          <w:rFonts w:cs="Arial"/>
        </w:rPr>
        <w:footnoteReference w:id="183"/>
      </w:r>
      <w:r w:rsidRPr="00A43B44">
        <w:rPr>
          <w:rFonts w:cs="Arial"/>
        </w:rPr>
        <w:t xml:space="preserve"> </w:t>
      </w:r>
      <w:r w:rsidR="00F30C2E" w:rsidRPr="00587912">
        <w:t xml:space="preserve">The legacy of violence and socio-economic factors are cited as major contributors to the high levels of mental </w:t>
      </w:r>
      <w:r w:rsidR="0043662A">
        <w:t>illness</w:t>
      </w:r>
      <w:r w:rsidR="00F30C2E" w:rsidRPr="00587912">
        <w:t xml:space="preserve">. </w:t>
      </w:r>
      <w:r w:rsidR="008A7071">
        <w:t xml:space="preserve">Yet </w:t>
      </w:r>
      <w:r w:rsidR="00F30C2E" w:rsidRPr="00587912">
        <w:t>the proportion of spend on mental health</w:t>
      </w:r>
      <w:r w:rsidR="00BA100F">
        <w:t xml:space="preserve"> in NI</w:t>
      </w:r>
      <w:r w:rsidR="00F30C2E" w:rsidRPr="00587912">
        <w:t xml:space="preserve"> remains the lowest </w:t>
      </w:r>
      <w:r w:rsidR="00247872">
        <w:t xml:space="preserve">in the UK </w:t>
      </w:r>
      <w:r w:rsidR="00BA100F">
        <w:t>at approximately</w:t>
      </w:r>
      <w:r w:rsidR="00D00D8B">
        <w:t xml:space="preserve"> </w:t>
      </w:r>
      <w:r w:rsidR="00F30C2E" w:rsidRPr="00587912">
        <w:t>8 per cent of the total healthcare budget.</w:t>
      </w:r>
      <w:r w:rsidR="00F30C2E" w:rsidRPr="00587912">
        <w:rPr>
          <w:rStyle w:val="FootnoteReference"/>
        </w:rPr>
        <w:footnoteReference w:id="184"/>
      </w:r>
    </w:p>
    <w:p w14:paraId="15AF2717" w14:textId="77777777" w:rsidR="00D327F0" w:rsidRDefault="00D327F0" w:rsidP="00412E09">
      <w:pPr>
        <w:ind w:left="851" w:hanging="862"/>
      </w:pPr>
    </w:p>
    <w:p w14:paraId="55D4E353" w14:textId="48CEC63D" w:rsidR="00CB6BCD" w:rsidRDefault="00CB6BCD" w:rsidP="00412E09">
      <w:pPr>
        <w:pStyle w:val="ListParagraph"/>
        <w:numPr>
          <w:ilvl w:val="1"/>
          <w:numId w:val="91"/>
        </w:numPr>
        <w:ind w:left="851" w:hanging="862"/>
      </w:pPr>
      <w:r>
        <w:t>In 20</w:t>
      </w:r>
      <w:r w:rsidR="00834659">
        <w:t>20</w:t>
      </w:r>
      <w:r>
        <w:t xml:space="preserve">, </w:t>
      </w:r>
      <w:r w:rsidR="00B2640B">
        <w:t>eighteen</w:t>
      </w:r>
      <w:r w:rsidR="00793D4E">
        <w:t xml:space="preserve"> people under twenty-year</w:t>
      </w:r>
      <w:r w:rsidR="00CA3D5E">
        <w:t xml:space="preserve">s-old died </w:t>
      </w:r>
      <w:r>
        <w:t>by suicide in NI</w:t>
      </w:r>
      <w:r w:rsidR="00B2640B">
        <w:t>,</w:t>
      </w:r>
      <w:r w:rsidR="00647919">
        <w:rPr>
          <w:rStyle w:val="FootnoteReference"/>
        </w:rPr>
        <w:footnoteReference w:id="185"/>
      </w:r>
      <w:r w:rsidR="00CA3D5E">
        <w:t xml:space="preserve"> two of whom were </w:t>
      </w:r>
      <w:r w:rsidR="00B2640B">
        <w:t>younger than fourteen years old</w:t>
      </w:r>
      <w:r>
        <w:t>.</w:t>
      </w:r>
      <w:r w:rsidR="00647919">
        <w:rPr>
          <w:rStyle w:val="FootnoteReference"/>
        </w:rPr>
        <w:footnoteReference w:id="186"/>
      </w:r>
      <w:r>
        <w:t xml:space="preserve"> In 201</w:t>
      </w:r>
      <w:r w:rsidR="005A2D7C">
        <w:t>9</w:t>
      </w:r>
      <w:r>
        <w:t xml:space="preserve">, there were </w:t>
      </w:r>
      <w:r w:rsidR="00C43D2C">
        <w:t>fourteen</w:t>
      </w:r>
      <w:r>
        <w:t xml:space="preserve"> deaths by suicide in the same age bracket.</w:t>
      </w:r>
      <w:r>
        <w:rPr>
          <w:rStyle w:val="FootnoteReference"/>
        </w:rPr>
        <w:footnoteReference w:id="187"/>
      </w:r>
      <w:r>
        <w:t xml:space="preserve"> </w:t>
      </w:r>
    </w:p>
    <w:p w14:paraId="485B983E" w14:textId="77777777" w:rsidR="00D0280D" w:rsidRPr="00D0280D" w:rsidRDefault="00D0280D" w:rsidP="00412E09">
      <w:pPr>
        <w:ind w:left="851" w:hanging="862"/>
        <w:rPr>
          <w:rFonts w:eastAsia="Verdana" w:cs="Verdana"/>
          <w:color w:val="000000"/>
        </w:rPr>
      </w:pPr>
    </w:p>
    <w:p w14:paraId="3D2A090E" w14:textId="5D547CDA" w:rsidR="00F96303" w:rsidRPr="00CB6BCD" w:rsidRDefault="00EE35BA" w:rsidP="00412E09">
      <w:pPr>
        <w:pStyle w:val="ListParagraph"/>
        <w:numPr>
          <w:ilvl w:val="1"/>
          <w:numId w:val="91"/>
        </w:numPr>
        <w:ind w:left="851" w:hanging="862"/>
      </w:pPr>
      <w:r>
        <w:rPr>
          <w:rFonts w:eastAsia="Verdana" w:cs="Verdana"/>
          <w:color w:val="000000"/>
        </w:rPr>
        <w:t xml:space="preserve">Following its </w:t>
      </w:r>
      <w:r w:rsidR="00D0280D" w:rsidRPr="006473CF">
        <w:rPr>
          <w:rFonts w:eastAsia="Verdana" w:cs="Verdana"/>
          <w:color w:val="000000"/>
        </w:rPr>
        <w:t xml:space="preserve">review </w:t>
      </w:r>
      <w:r>
        <w:rPr>
          <w:rFonts w:eastAsia="Verdana" w:cs="Verdana"/>
          <w:color w:val="000000"/>
        </w:rPr>
        <w:t xml:space="preserve">of </w:t>
      </w:r>
      <w:r w:rsidR="00BB1936">
        <w:rPr>
          <w:rFonts w:eastAsia="Verdana" w:cs="Verdana"/>
          <w:color w:val="000000"/>
        </w:rPr>
        <w:t xml:space="preserve">children’s </w:t>
      </w:r>
      <w:r w:rsidR="00D0280D" w:rsidRPr="006473CF">
        <w:rPr>
          <w:rFonts w:eastAsia="Verdana" w:cs="Verdana"/>
          <w:color w:val="000000"/>
        </w:rPr>
        <w:t xml:space="preserve">mental health services in </w:t>
      </w:r>
      <w:r>
        <w:rPr>
          <w:rFonts w:eastAsia="Verdana" w:cs="Verdana"/>
          <w:color w:val="000000"/>
        </w:rPr>
        <w:t>2018,</w:t>
      </w:r>
      <w:r w:rsidR="00D0280D" w:rsidRPr="006473CF">
        <w:rPr>
          <w:rStyle w:val="FootnoteReference"/>
          <w:rFonts w:eastAsia="Verdana" w:cs="Verdana"/>
          <w:color w:val="000000"/>
        </w:rPr>
        <w:footnoteReference w:id="188"/>
      </w:r>
      <w:r w:rsidR="00D0280D" w:rsidRPr="006473CF">
        <w:rPr>
          <w:rFonts w:eastAsia="Verdana" w:cs="Verdana"/>
          <w:color w:val="000000"/>
        </w:rPr>
        <w:t xml:space="preserve"> the NI Commissioner for Children and Young People published </w:t>
      </w:r>
      <w:r w:rsidR="00A43B44">
        <w:rPr>
          <w:rFonts w:eastAsia="Verdana" w:cs="Verdana"/>
          <w:color w:val="000000"/>
        </w:rPr>
        <w:t>a</w:t>
      </w:r>
      <w:r w:rsidR="00090E18">
        <w:rPr>
          <w:rFonts w:eastAsia="Verdana" w:cs="Verdana"/>
          <w:color w:val="000000"/>
        </w:rPr>
        <w:t xml:space="preserve"> follow-up</w:t>
      </w:r>
      <w:r w:rsidR="00D0280D" w:rsidRPr="006473CF">
        <w:rPr>
          <w:rFonts w:eastAsia="Verdana" w:cs="Verdana"/>
          <w:color w:val="000000"/>
        </w:rPr>
        <w:t xml:space="preserve"> monitoring report analysing the NI Executive’s response.</w:t>
      </w:r>
      <w:r w:rsidR="00D0280D" w:rsidRPr="006473CF">
        <w:rPr>
          <w:rStyle w:val="FootnoteReference"/>
          <w:rFonts w:eastAsia="Verdana" w:cs="Verdana"/>
          <w:color w:val="000000"/>
        </w:rPr>
        <w:footnoteReference w:id="189"/>
      </w:r>
      <w:r w:rsidR="00D0280D" w:rsidRPr="006473CF">
        <w:rPr>
          <w:rFonts w:eastAsia="Verdana" w:cs="Verdana"/>
          <w:color w:val="000000"/>
        </w:rPr>
        <w:t xml:space="preserve"> </w:t>
      </w:r>
      <w:r w:rsidR="001B5B49">
        <w:rPr>
          <w:rFonts w:eastAsia="Verdana" w:cs="Verdana"/>
          <w:color w:val="000000"/>
        </w:rPr>
        <w:t xml:space="preserve">It </w:t>
      </w:r>
      <w:r w:rsidR="00B1056D">
        <w:rPr>
          <w:rFonts w:eastAsia="Verdana" w:cs="Verdana"/>
          <w:color w:val="000000"/>
        </w:rPr>
        <w:t xml:space="preserve">reiterates concerns regarding a </w:t>
      </w:r>
      <w:r w:rsidR="00C4515A">
        <w:rPr>
          <w:rFonts w:eastAsia="Verdana" w:cs="Verdana"/>
          <w:color w:val="000000"/>
        </w:rPr>
        <w:t xml:space="preserve">continued </w:t>
      </w:r>
      <w:r w:rsidR="00B1056D">
        <w:rPr>
          <w:rFonts w:eastAsia="Verdana" w:cs="Verdana"/>
          <w:color w:val="000000"/>
        </w:rPr>
        <w:t>lack of funding and investment</w:t>
      </w:r>
      <w:r w:rsidR="00F166E1">
        <w:rPr>
          <w:rFonts w:eastAsia="Verdana" w:cs="Verdana"/>
          <w:color w:val="000000"/>
        </w:rPr>
        <w:t xml:space="preserve">, inadequate </w:t>
      </w:r>
      <w:r w:rsidR="00D0280D" w:rsidRPr="006473CF">
        <w:rPr>
          <w:rFonts w:eastAsia="Verdana" w:cs="Verdana"/>
          <w:color w:val="000000"/>
        </w:rPr>
        <w:t>data collection</w:t>
      </w:r>
      <w:r w:rsidR="00F166E1">
        <w:rPr>
          <w:rFonts w:eastAsia="Verdana" w:cs="Verdana"/>
          <w:color w:val="000000"/>
        </w:rPr>
        <w:t xml:space="preserve">, </w:t>
      </w:r>
      <w:r w:rsidR="00D0280D" w:rsidRPr="006473CF">
        <w:rPr>
          <w:rFonts w:eastAsia="Verdana" w:cs="Verdana"/>
          <w:color w:val="000000"/>
        </w:rPr>
        <w:t>a</w:t>
      </w:r>
      <w:r w:rsidR="00F166E1">
        <w:rPr>
          <w:rFonts w:eastAsia="Verdana" w:cs="Verdana"/>
          <w:color w:val="000000"/>
        </w:rPr>
        <w:t>nd a lack of progress on</w:t>
      </w:r>
      <w:r w:rsidR="00D0280D" w:rsidRPr="006473CF">
        <w:rPr>
          <w:rFonts w:eastAsia="Verdana" w:cs="Verdana"/>
          <w:color w:val="000000"/>
        </w:rPr>
        <w:t xml:space="preserve"> addressing delays related to Child and Adolescent Mental Health Services.</w:t>
      </w:r>
      <w:r w:rsidR="00D0280D" w:rsidRPr="006473CF">
        <w:rPr>
          <w:rStyle w:val="FootnoteReference"/>
          <w:rFonts w:eastAsia="Verdana" w:cs="Verdana"/>
          <w:color w:val="000000"/>
        </w:rPr>
        <w:footnoteReference w:id="190"/>
      </w:r>
      <w:r w:rsidR="00F96303" w:rsidRPr="00CB6BCD">
        <w:rPr>
          <w:rFonts w:eastAsia="Verdana" w:cs="Verdana"/>
          <w:color w:val="000000"/>
        </w:rPr>
        <w:t xml:space="preserve"> </w:t>
      </w:r>
    </w:p>
    <w:p w14:paraId="38BA7C80" w14:textId="77777777" w:rsidR="0082633B" w:rsidRDefault="0082633B" w:rsidP="00412E09">
      <w:pPr>
        <w:pStyle w:val="ListParagraph"/>
        <w:ind w:left="851" w:hanging="862"/>
      </w:pPr>
    </w:p>
    <w:p w14:paraId="465A3CA5" w14:textId="03A0A18A" w:rsidR="00A43B44" w:rsidRDefault="006A5E9D" w:rsidP="00412E09">
      <w:pPr>
        <w:pStyle w:val="ListParagraph"/>
        <w:numPr>
          <w:ilvl w:val="1"/>
          <w:numId w:val="91"/>
        </w:numPr>
        <w:ind w:left="851" w:hanging="862"/>
      </w:pPr>
      <w:r>
        <w:t>In 2021, t</w:t>
      </w:r>
      <w:r w:rsidR="00100023">
        <w:t>he</w:t>
      </w:r>
      <w:r w:rsidR="00987A65">
        <w:t xml:space="preserve"> Department of He</w:t>
      </w:r>
      <w:r w:rsidR="00852065">
        <w:t>alth launched a mental health strategy for NI</w:t>
      </w:r>
      <w:r w:rsidR="00B547E9">
        <w:t>,</w:t>
      </w:r>
      <w:r w:rsidR="0014732B">
        <w:t xml:space="preserve"> </w:t>
      </w:r>
      <w:r w:rsidR="00FC6839">
        <w:t>noting</w:t>
      </w:r>
      <w:r w:rsidR="00AF1DD9">
        <w:t xml:space="preserve"> </w:t>
      </w:r>
      <w:r w:rsidR="0005080E">
        <w:t xml:space="preserve">that </w:t>
      </w:r>
      <w:r w:rsidR="00917463">
        <w:t xml:space="preserve">regional child and adolescent mental health units are at full capacity, </w:t>
      </w:r>
      <w:r w:rsidR="009D51E3">
        <w:t xml:space="preserve">with children as young has eight-years-old </w:t>
      </w:r>
      <w:r w:rsidR="00D87F9B">
        <w:t>requiring access</w:t>
      </w:r>
      <w:r w:rsidR="00732CD8">
        <w:t>.</w:t>
      </w:r>
      <w:r w:rsidR="00732CD8">
        <w:rPr>
          <w:rStyle w:val="FootnoteReference"/>
        </w:rPr>
        <w:footnoteReference w:id="191"/>
      </w:r>
      <w:r w:rsidR="00E32151">
        <w:t xml:space="preserve"> </w:t>
      </w:r>
    </w:p>
    <w:p w14:paraId="0ED5718B" w14:textId="77777777" w:rsidR="00A43B44" w:rsidRDefault="00A43B44" w:rsidP="00412E09">
      <w:pPr>
        <w:pStyle w:val="ListParagraph"/>
        <w:ind w:left="851" w:hanging="862"/>
      </w:pPr>
    </w:p>
    <w:p w14:paraId="1794DE7E" w14:textId="08EDC4D3" w:rsidR="001A19CC" w:rsidRDefault="00731425" w:rsidP="00412E09">
      <w:pPr>
        <w:pStyle w:val="ListParagraph"/>
        <w:numPr>
          <w:ilvl w:val="1"/>
          <w:numId w:val="91"/>
        </w:numPr>
        <w:ind w:left="851" w:hanging="862"/>
      </w:pPr>
      <w:r>
        <w:t xml:space="preserve">In 2022, </w:t>
      </w:r>
      <w:r w:rsidR="00F3773D">
        <w:t>concerns</w:t>
      </w:r>
      <w:r>
        <w:t xml:space="preserve"> continue to be highlighted</w:t>
      </w:r>
      <w:r w:rsidR="00F3773D">
        <w:t xml:space="preserve"> with the </w:t>
      </w:r>
      <w:r w:rsidR="006373BF" w:rsidRPr="006473CF">
        <w:rPr>
          <w:rFonts w:eastAsia="Verdana" w:cs="Verdana"/>
          <w:color w:val="000000"/>
        </w:rPr>
        <w:t>Child and Adolescent Mental Health Service</w:t>
      </w:r>
      <w:r w:rsidR="006373BF">
        <w:rPr>
          <w:rFonts w:eastAsia="Verdana" w:cs="Verdana"/>
          <w:color w:val="000000"/>
        </w:rPr>
        <w:t>s</w:t>
      </w:r>
      <w:r w:rsidR="006A5E9D">
        <w:rPr>
          <w:rFonts w:eastAsia="Verdana" w:cs="Verdana"/>
          <w:color w:val="000000"/>
        </w:rPr>
        <w:t xml:space="preserve"> in NI</w:t>
      </w:r>
      <w:r w:rsidR="00371578">
        <w:rPr>
          <w:rFonts w:eastAsia="Verdana" w:cs="Verdana"/>
          <w:color w:val="000000"/>
        </w:rPr>
        <w:t xml:space="preserve">, </w:t>
      </w:r>
      <w:r w:rsidR="00F3773D">
        <w:rPr>
          <w:rFonts w:eastAsia="Verdana" w:cs="Verdana"/>
          <w:color w:val="000000"/>
        </w:rPr>
        <w:t xml:space="preserve">including inadequate funding, </w:t>
      </w:r>
      <w:r w:rsidR="00AF1DD9">
        <w:rPr>
          <w:rFonts w:eastAsia="Verdana" w:cs="Verdana"/>
          <w:color w:val="000000"/>
        </w:rPr>
        <w:t xml:space="preserve">long </w:t>
      </w:r>
      <w:r w:rsidR="00F3773D">
        <w:rPr>
          <w:rFonts w:eastAsia="Verdana" w:cs="Verdana"/>
          <w:color w:val="000000"/>
        </w:rPr>
        <w:t>waiting lists</w:t>
      </w:r>
      <w:r w:rsidR="003F239B">
        <w:rPr>
          <w:rFonts w:eastAsia="Verdana" w:cs="Verdana"/>
          <w:color w:val="000000"/>
        </w:rPr>
        <w:t xml:space="preserve">, </w:t>
      </w:r>
      <w:r w:rsidR="00AF1DD9">
        <w:rPr>
          <w:rFonts w:eastAsia="Verdana" w:cs="Verdana"/>
          <w:color w:val="000000"/>
        </w:rPr>
        <w:t xml:space="preserve">and a </w:t>
      </w:r>
      <w:r w:rsidR="00472A2A">
        <w:rPr>
          <w:rFonts w:eastAsia="Verdana" w:cs="Verdana"/>
          <w:color w:val="000000"/>
        </w:rPr>
        <w:t xml:space="preserve">lack of </w:t>
      </w:r>
      <w:r w:rsidR="0004378B">
        <w:rPr>
          <w:rFonts w:eastAsia="Verdana" w:cs="Verdana"/>
          <w:color w:val="000000"/>
        </w:rPr>
        <w:t>specialis</w:t>
      </w:r>
      <w:r w:rsidR="002F06C0">
        <w:rPr>
          <w:rFonts w:eastAsia="Verdana" w:cs="Verdana"/>
          <w:color w:val="000000"/>
        </w:rPr>
        <w:t>t support</w:t>
      </w:r>
      <w:r w:rsidR="0004378B">
        <w:rPr>
          <w:rFonts w:eastAsia="Verdana" w:cs="Verdana"/>
          <w:color w:val="000000"/>
        </w:rPr>
        <w:t xml:space="preserve"> meaning </w:t>
      </w:r>
      <w:r w:rsidR="001A5256">
        <w:rPr>
          <w:rFonts w:eastAsia="Verdana" w:cs="Verdana"/>
          <w:color w:val="000000"/>
        </w:rPr>
        <w:t xml:space="preserve">care needs </w:t>
      </w:r>
      <w:r w:rsidR="002F06C0">
        <w:rPr>
          <w:rFonts w:eastAsia="Verdana" w:cs="Verdana"/>
          <w:color w:val="000000"/>
        </w:rPr>
        <w:t>are not always</w:t>
      </w:r>
      <w:r w:rsidR="001B5BFB">
        <w:rPr>
          <w:rFonts w:eastAsia="Verdana" w:cs="Verdana"/>
          <w:color w:val="000000"/>
        </w:rPr>
        <w:t xml:space="preserve"> being</w:t>
      </w:r>
      <w:r w:rsidR="001A5256">
        <w:rPr>
          <w:rFonts w:eastAsia="Verdana" w:cs="Verdana"/>
          <w:color w:val="000000"/>
        </w:rPr>
        <w:t xml:space="preserve"> met</w:t>
      </w:r>
      <w:r w:rsidR="0004378B">
        <w:rPr>
          <w:rFonts w:eastAsia="Verdana" w:cs="Verdana"/>
          <w:color w:val="000000"/>
        </w:rPr>
        <w:t>.</w:t>
      </w:r>
      <w:r w:rsidR="00CD2BB5">
        <w:rPr>
          <w:rStyle w:val="FootnoteReference"/>
          <w:rFonts w:eastAsia="Verdana" w:cs="Verdana"/>
          <w:color w:val="000000"/>
        </w:rPr>
        <w:footnoteReference w:id="192"/>
      </w:r>
      <w:r w:rsidR="001A5256">
        <w:rPr>
          <w:rFonts w:eastAsia="Verdana" w:cs="Verdana"/>
          <w:color w:val="000000"/>
        </w:rPr>
        <w:t xml:space="preserve"> </w:t>
      </w:r>
      <w:r w:rsidR="003A21F5">
        <w:rPr>
          <w:rFonts w:eastAsia="Verdana" w:cs="Verdana"/>
          <w:color w:val="000000"/>
        </w:rPr>
        <w:t xml:space="preserve">The impact of COVID-19 is </w:t>
      </w:r>
      <w:r w:rsidR="00A67687">
        <w:rPr>
          <w:rFonts w:eastAsia="Verdana" w:cs="Verdana"/>
          <w:color w:val="000000"/>
        </w:rPr>
        <w:t>also</w:t>
      </w:r>
      <w:r w:rsidR="003A21F5">
        <w:rPr>
          <w:rFonts w:eastAsia="Verdana" w:cs="Verdana"/>
          <w:color w:val="000000"/>
        </w:rPr>
        <w:t xml:space="preserve"> a key concern, both in terms of </w:t>
      </w:r>
      <w:r w:rsidR="000B12AD">
        <w:rPr>
          <w:rFonts w:eastAsia="Verdana" w:cs="Verdana"/>
          <w:color w:val="000000"/>
        </w:rPr>
        <w:t xml:space="preserve">the </w:t>
      </w:r>
      <w:r w:rsidR="00AC4F1F">
        <w:rPr>
          <w:rFonts w:eastAsia="Verdana" w:cs="Verdana"/>
          <w:color w:val="000000"/>
        </w:rPr>
        <w:t xml:space="preserve">declining </w:t>
      </w:r>
      <w:r w:rsidR="000B12AD" w:rsidRPr="00E00677">
        <w:t xml:space="preserve">mental health of children </w:t>
      </w:r>
      <w:r w:rsidR="000B12AD">
        <w:t>in NI</w:t>
      </w:r>
      <w:r w:rsidR="008233B1">
        <w:rPr>
          <w:rStyle w:val="FootnoteReference"/>
        </w:rPr>
        <w:footnoteReference w:id="193"/>
      </w:r>
      <w:r w:rsidR="000B12AD">
        <w:t xml:space="preserve"> and</w:t>
      </w:r>
      <w:r w:rsidR="00635AB6">
        <w:t xml:space="preserve"> further </w:t>
      </w:r>
      <w:r w:rsidR="00E94577">
        <w:t>progress</w:t>
      </w:r>
      <w:r w:rsidR="000B12AD">
        <w:t xml:space="preserve"> of </w:t>
      </w:r>
      <w:r w:rsidR="00AC4F1F">
        <w:t>this issue</w:t>
      </w:r>
      <w:r w:rsidR="009564FF">
        <w:t xml:space="preserve"> by the </w:t>
      </w:r>
      <w:r w:rsidR="007D1EAB">
        <w:t xml:space="preserve">NI </w:t>
      </w:r>
      <w:r w:rsidR="009564FF">
        <w:t>Executive</w:t>
      </w:r>
      <w:r w:rsidR="00AC4F1F">
        <w:t>.</w:t>
      </w:r>
      <w:r w:rsidR="008233B1">
        <w:rPr>
          <w:rStyle w:val="FootnoteReference"/>
          <w:rFonts w:eastAsia="Verdana" w:cs="Verdana"/>
          <w:color w:val="000000"/>
        </w:rPr>
        <w:footnoteReference w:id="194"/>
      </w:r>
    </w:p>
    <w:p w14:paraId="26AC8EC3" w14:textId="77777777" w:rsidR="007476CF" w:rsidRDefault="007476CF" w:rsidP="00412E09">
      <w:pPr>
        <w:ind w:left="851" w:hanging="862"/>
      </w:pPr>
    </w:p>
    <w:p w14:paraId="3591CA1B" w14:textId="16D4F6FF" w:rsidR="009B6833" w:rsidRPr="00CB6BCD" w:rsidRDefault="003F76BD" w:rsidP="00412E09">
      <w:pPr>
        <w:pStyle w:val="ListParagraph"/>
        <w:numPr>
          <w:ilvl w:val="1"/>
          <w:numId w:val="91"/>
        </w:numPr>
        <w:ind w:left="851" w:hanging="862"/>
      </w:pPr>
      <w:r>
        <w:t>In addition,</w:t>
      </w:r>
      <w:r w:rsidR="003B1121">
        <w:t xml:space="preserve"> </w:t>
      </w:r>
      <w:r w:rsidR="008E0313">
        <w:t xml:space="preserve">the importance of </w:t>
      </w:r>
      <w:r w:rsidR="00084781">
        <w:t xml:space="preserve">perinatal mental health </w:t>
      </w:r>
      <w:r w:rsidR="0052567F">
        <w:t>and early childhood support services to improve the long-term mental health outcomes of children</w:t>
      </w:r>
      <w:r>
        <w:t xml:space="preserve"> has been emphasised</w:t>
      </w:r>
      <w:r w:rsidR="0052567F">
        <w:t>.</w:t>
      </w:r>
      <w:r>
        <w:rPr>
          <w:rStyle w:val="FootnoteReference"/>
          <w:rFonts w:eastAsia="Verdana" w:cs="Verdana"/>
          <w:color w:val="000000"/>
        </w:rPr>
        <w:footnoteReference w:id="195"/>
      </w:r>
      <w:r w:rsidR="0052567F">
        <w:t xml:space="preserve"> </w:t>
      </w:r>
      <w:r w:rsidR="007E1C16">
        <w:t>It</w:t>
      </w:r>
      <w:r w:rsidR="006E17C7">
        <w:t xml:space="preserve"> is estimated that </w:t>
      </w:r>
      <w:r w:rsidR="00A155F2">
        <w:t>80</w:t>
      </w:r>
      <w:r w:rsidR="007D1EAB">
        <w:t xml:space="preserve"> per cent</w:t>
      </w:r>
      <w:r w:rsidR="00A155F2">
        <w:t xml:space="preserve"> of women in NI have no access to specialist perinatal support</w:t>
      </w:r>
      <w:r w:rsidR="000A514A">
        <w:t>, and child health outcomes are amongst the poorest in Western Europe</w:t>
      </w:r>
      <w:r w:rsidR="00A155F2">
        <w:t>.</w:t>
      </w:r>
      <w:r w:rsidR="000A514A">
        <w:rPr>
          <w:rStyle w:val="FootnoteReference"/>
        </w:rPr>
        <w:footnoteReference w:id="196"/>
      </w:r>
    </w:p>
    <w:p w14:paraId="122BF583" w14:textId="77777777" w:rsidR="00CB6BCD" w:rsidRPr="00CB6BCD" w:rsidRDefault="00CB6BCD" w:rsidP="00412E09">
      <w:pPr>
        <w:pStyle w:val="ListParagraph"/>
        <w:ind w:left="851" w:hanging="862"/>
        <w:rPr>
          <w:b/>
        </w:rPr>
      </w:pPr>
    </w:p>
    <w:p w14:paraId="68DE2F42" w14:textId="05E53616" w:rsidR="00CB6BCD" w:rsidRPr="00CB6BCD" w:rsidRDefault="00134DA1" w:rsidP="00412E09">
      <w:pPr>
        <w:pStyle w:val="ListParagraph"/>
        <w:numPr>
          <w:ilvl w:val="1"/>
          <w:numId w:val="91"/>
        </w:numPr>
        <w:ind w:left="851" w:hanging="862"/>
        <w:rPr>
          <w:b/>
        </w:rPr>
      </w:pPr>
      <w:r>
        <w:rPr>
          <w:b/>
        </w:rPr>
        <w:t>The Committee may wish to recommend</w:t>
      </w:r>
      <w:r w:rsidR="00C93B63">
        <w:rPr>
          <w:b/>
        </w:rPr>
        <w:t xml:space="preserve"> that the </w:t>
      </w:r>
      <w:r w:rsidR="006A5E9D">
        <w:rPr>
          <w:b/>
        </w:rPr>
        <w:t>State Party takes</w:t>
      </w:r>
      <w:r w:rsidR="00CB6BCD" w:rsidRPr="00CB6BCD">
        <w:rPr>
          <w:b/>
        </w:rPr>
        <w:t xml:space="preserve"> effective measures to ensure </w:t>
      </w:r>
      <w:r w:rsidR="001B6846">
        <w:rPr>
          <w:b/>
        </w:rPr>
        <w:t xml:space="preserve">that </w:t>
      </w:r>
      <w:r w:rsidR="000A10EA">
        <w:rPr>
          <w:b/>
        </w:rPr>
        <w:t xml:space="preserve">ring-fenced </w:t>
      </w:r>
      <w:r w:rsidR="001B6846">
        <w:rPr>
          <w:b/>
        </w:rPr>
        <w:t xml:space="preserve">regional </w:t>
      </w:r>
      <w:r w:rsidR="00CB6BCD" w:rsidRPr="00CB6BCD">
        <w:rPr>
          <w:b/>
        </w:rPr>
        <w:t>mental health care budget</w:t>
      </w:r>
      <w:r w:rsidR="001B6846">
        <w:rPr>
          <w:b/>
        </w:rPr>
        <w:t>s</w:t>
      </w:r>
      <w:r w:rsidR="00525E0F">
        <w:rPr>
          <w:b/>
        </w:rPr>
        <w:t xml:space="preserve"> </w:t>
      </w:r>
      <w:r w:rsidR="00CB6BCD" w:rsidRPr="00CB6BCD">
        <w:rPr>
          <w:b/>
        </w:rPr>
        <w:t xml:space="preserve">that </w:t>
      </w:r>
      <w:r w:rsidR="00525E0F">
        <w:rPr>
          <w:b/>
        </w:rPr>
        <w:t xml:space="preserve">effectively </w:t>
      </w:r>
      <w:r w:rsidR="00CD4EB9">
        <w:rPr>
          <w:b/>
        </w:rPr>
        <w:t>satisfy</w:t>
      </w:r>
      <w:r w:rsidR="00525E0F">
        <w:rPr>
          <w:b/>
        </w:rPr>
        <w:t xml:space="preserve"> </w:t>
      </w:r>
      <w:r w:rsidR="00CB6BCD" w:rsidRPr="00CB6BCD">
        <w:rPr>
          <w:b/>
        </w:rPr>
        <w:t>need</w:t>
      </w:r>
      <w:r w:rsidR="000A10EA">
        <w:rPr>
          <w:b/>
        </w:rPr>
        <w:t xml:space="preserve"> are available</w:t>
      </w:r>
      <w:r w:rsidR="006A5E9D">
        <w:rPr>
          <w:b/>
        </w:rPr>
        <w:t xml:space="preserve"> </w:t>
      </w:r>
      <w:r w:rsidR="00247872">
        <w:rPr>
          <w:b/>
        </w:rPr>
        <w:t>in NI</w:t>
      </w:r>
      <w:r w:rsidR="00CD4EB9">
        <w:rPr>
          <w:b/>
        </w:rPr>
        <w:t>. This includes factoring in resource costs for the purpose of addressing the</w:t>
      </w:r>
      <w:r w:rsidR="00CB6BCD" w:rsidRPr="00CB6BCD">
        <w:rPr>
          <w:b/>
        </w:rPr>
        <w:t xml:space="preserve"> additional challenges of COVID-19 on mental health</w:t>
      </w:r>
      <w:r w:rsidR="002A39E6">
        <w:rPr>
          <w:b/>
        </w:rPr>
        <w:t>.</w:t>
      </w:r>
    </w:p>
    <w:p w14:paraId="35009E84" w14:textId="77777777" w:rsidR="00E57BEA" w:rsidRPr="00067B9A" w:rsidRDefault="00E57BEA" w:rsidP="00412E09">
      <w:pPr>
        <w:ind w:left="851" w:hanging="862"/>
        <w:rPr>
          <w:rFonts w:eastAsia="Verdana" w:cs="Verdana"/>
          <w:b/>
          <w:color w:val="000000"/>
        </w:rPr>
      </w:pPr>
    </w:p>
    <w:p w14:paraId="4FA31596" w14:textId="1F74857F" w:rsidR="00050EB9" w:rsidRDefault="00742070" w:rsidP="00412E09">
      <w:pPr>
        <w:pStyle w:val="Heading2"/>
        <w:ind w:left="851" w:hanging="862"/>
      </w:pPr>
      <w:bookmarkStart w:id="54" w:name="_Toc121922218"/>
      <w:r w:rsidRPr="00587912">
        <w:t>Mental capacity</w:t>
      </w:r>
      <w:bookmarkEnd w:id="54"/>
    </w:p>
    <w:p w14:paraId="59945571" w14:textId="28FB8824" w:rsidR="00050EB9" w:rsidRDefault="00E57BEA" w:rsidP="00412E09">
      <w:pPr>
        <w:pStyle w:val="ListParagraph"/>
        <w:numPr>
          <w:ilvl w:val="1"/>
          <w:numId w:val="91"/>
        </w:numPr>
        <w:ind w:left="851" w:hanging="862"/>
      </w:pPr>
      <w:r>
        <w:t xml:space="preserve">The </w:t>
      </w:r>
      <w:r w:rsidR="00742070" w:rsidRPr="00587912">
        <w:t xml:space="preserve">Committee </w:t>
      </w:r>
      <w:r>
        <w:t xml:space="preserve">previously </w:t>
      </w:r>
      <w:r w:rsidR="00742070" w:rsidRPr="00587912">
        <w:t>recommended that the</w:t>
      </w:r>
      <w:r>
        <w:t xml:space="preserve"> UK review current legislation on mental health to </w:t>
      </w:r>
      <w:r w:rsidR="00742070" w:rsidRPr="00587912">
        <w:t xml:space="preserve">ensure that the best interests and the views of the child are </w:t>
      </w:r>
      <w:proofErr w:type="gramStart"/>
      <w:r w:rsidR="00742070" w:rsidRPr="00587912">
        <w:t>taken into account</w:t>
      </w:r>
      <w:proofErr w:type="gramEnd"/>
      <w:r w:rsidR="00742070" w:rsidRPr="00587912">
        <w:t xml:space="preserve"> in cases of mental health treatment of children below the age of 16.</w:t>
      </w:r>
      <w:r w:rsidR="00742070" w:rsidRPr="00587912">
        <w:rPr>
          <w:rStyle w:val="FootnoteReference"/>
        </w:rPr>
        <w:footnoteReference w:id="197"/>
      </w:r>
    </w:p>
    <w:p w14:paraId="2D9FAF29" w14:textId="77777777" w:rsidR="00050EB9" w:rsidRDefault="00050EB9" w:rsidP="00412E09">
      <w:pPr>
        <w:pStyle w:val="ListParagraph"/>
        <w:ind w:left="851" w:hanging="862"/>
      </w:pPr>
    </w:p>
    <w:p w14:paraId="6FF49914" w14:textId="469B8467" w:rsidR="00433158" w:rsidRDefault="00050EB9" w:rsidP="00412E09">
      <w:pPr>
        <w:pStyle w:val="ListParagraph"/>
        <w:numPr>
          <w:ilvl w:val="1"/>
          <w:numId w:val="91"/>
        </w:numPr>
        <w:ind w:left="851" w:hanging="862"/>
      </w:pPr>
      <w:r>
        <w:t>T</w:t>
      </w:r>
      <w:r w:rsidR="00742070" w:rsidRPr="00587912">
        <w:t xml:space="preserve">he Mental Capacity (NI) Act 2016 </w:t>
      </w:r>
      <w:r>
        <w:t>does not apply to</w:t>
      </w:r>
      <w:r w:rsidR="00742070" w:rsidRPr="00587912">
        <w:t xml:space="preserve"> </w:t>
      </w:r>
      <w:r w:rsidR="00E57BEA">
        <w:t xml:space="preserve">children </w:t>
      </w:r>
      <w:r w:rsidR="00742070" w:rsidRPr="00587912">
        <w:t xml:space="preserve">under the age of 16 years </w:t>
      </w:r>
      <w:r>
        <w:t>old</w:t>
      </w:r>
      <w:r w:rsidR="00742070" w:rsidRPr="00587912">
        <w:t xml:space="preserve">. </w:t>
      </w:r>
      <w:r>
        <w:t>A commitment was made to</w:t>
      </w:r>
      <w:r w:rsidR="00742070" w:rsidRPr="00587912">
        <w:t xml:space="preserve"> review how the legal framework </w:t>
      </w:r>
      <w:r>
        <w:t xml:space="preserve">in NI </w:t>
      </w:r>
      <w:r w:rsidR="00742070" w:rsidRPr="00587912">
        <w:t>reflects the emerging capacity of children in a health and welfare context.</w:t>
      </w:r>
      <w:r w:rsidR="00742070" w:rsidRPr="00587912">
        <w:rPr>
          <w:rStyle w:val="FootnoteReference"/>
        </w:rPr>
        <w:footnoteReference w:id="198"/>
      </w:r>
      <w:r w:rsidR="00742070" w:rsidRPr="00587912">
        <w:t xml:space="preserve"> </w:t>
      </w:r>
      <w:r>
        <w:t xml:space="preserve">This review </w:t>
      </w:r>
      <w:r w:rsidR="002679BE">
        <w:t>not yet commenced</w:t>
      </w:r>
      <w:r w:rsidR="00525E0F">
        <w:t>.</w:t>
      </w:r>
      <w:r w:rsidR="00742070" w:rsidRPr="00587912">
        <w:rPr>
          <w:rStyle w:val="FootnoteReference"/>
        </w:rPr>
        <w:footnoteReference w:id="199"/>
      </w:r>
      <w:r w:rsidR="00742070" w:rsidRPr="00587912">
        <w:t xml:space="preserve"> </w:t>
      </w:r>
    </w:p>
    <w:p w14:paraId="70F4ADE2" w14:textId="77777777" w:rsidR="00EE53BE" w:rsidRDefault="00EE53BE" w:rsidP="00412E09">
      <w:pPr>
        <w:ind w:left="851" w:hanging="862"/>
      </w:pPr>
    </w:p>
    <w:p w14:paraId="105FC587" w14:textId="76531453" w:rsidR="00050EB9" w:rsidRPr="009910A9" w:rsidRDefault="00134DA1" w:rsidP="00412E09">
      <w:pPr>
        <w:pStyle w:val="ListParagraph"/>
        <w:numPr>
          <w:ilvl w:val="1"/>
          <w:numId w:val="91"/>
        </w:numPr>
        <w:ind w:left="851" w:hanging="862"/>
        <w:rPr>
          <w:b/>
        </w:rPr>
      </w:pPr>
      <w:r w:rsidRPr="009910A9">
        <w:rPr>
          <w:b/>
        </w:rPr>
        <w:t>The Committee may wish to recommend</w:t>
      </w:r>
      <w:r w:rsidR="0019733E" w:rsidRPr="009910A9">
        <w:rPr>
          <w:b/>
        </w:rPr>
        <w:t xml:space="preserve"> that the </w:t>
      </w:r>
      <w:r w:rsidR="00D5155A" w:rsidRPr="009910A9">
        <w:rPr>
          <w:b/>
        </w:rPr>
        <w:t>State Party takes</w:t>
      </w:r>
      <w:r w:rsidR="00050EB9" w:rsidRPr="009910A9">
        <w:rPr>
          <w:b/>
        </w:rPr>
        <w:t xml:space="preserve"> effective measures to promptly</w:t>
      </w:r>
      <w:r w:rsidR="008465E3" w:rsidRPr="009910A9">
        <w:rPr>
          <w:b/>
        </w:rPr>
        <w:t xml:space="preserve"> review </w:t>
      </w:r>
      <w:r w:rsidR="00ED1E57" w:rsidRPr="009910A9">
        <w:rPr>
          <w:b/>
        </w:rPr>
        <w:t>the legal framework for protecting mental capacity</w:t>
      </w:r>
      <w:r w:rsidR="009910A9">
        <w:rPr>
          <w:b/>
        </w:rPr>
        <w:t xml:space="preserve"> in NI</w:t>
      </w:r>
      <w:r w:rsidR="00ED1E57" w:rsidRPr="009910A9">
        <w:rPr>
          <w:b/>
        </w:rPr>
        <w:t>, including the Mental Capacity (NI) Act 2016</w:t>
      </w:r>
      <w:r w:rsidR="005F24AA" w:rsidRPr="009910A9">
        <w:rPr>
          <w:b/>
        </w:rPr>
        <w:t xml:space="preserve">. Based on the findings of such </w:t>
      </w:r>
      <w:r w:rsidR="00DF7969" w:rsidRPr="009910A9">
        <w:rPr>
          <w:b/>
        </w:rPr>
        <w:t xml:space="preserve">a </w:t>
      </w:r>
      <w:r w:rsidR="005F24AA" w:rsidRPr="009910A9">
        <w:rPr>
          <w:b/>
        </w:rPr>
        <w:t>review</w:t>
      </w:r>
      <w:r w:rsidR="00DF7969" w:rsidRPr="009910A9">
        <w:rPr>
          <w:b/>
        </w:rPr>
        <w:t>, the State Party should</w:t>
      </w:r>
      <w:r w:rsidR="005F24AA" w:rsidRPr="009910A9">
        <w:rPr>
          <w:b/>
        </w:rPr>
        <w:t xml:space="preserve"> </w:t>
      </w:r>
      <w:r w:rsidR="00DF7969" w:rsidRPr="009910A9">
        <w:rPr>
          <w:b/>
        </w:rPr>
        <w:t>take</w:t>
      </w:r>
      <w:r w:rsidR="00ED1E57" w:rsidRPr="009910A9">
        <w:rPr>
          <w:b/>
        </w:rPr>
        <w:t xml:space="preserve"> the necessary steps to </w:t>
      </w:r>
      <w:r w:rsidR="00D3122E" w:rsidRPr="009910A9">
        <w:rPr>
          <w:b/>
        </w:rPr>
        <w:t xml:space="preserve">ensure </w:t>
      </w:r>
      <w:r w:rsidR="00ED1E57" w:rsidRPr="009910A9">
        <w:rPr>
          <w:b/>
        </w:rPr>
        <w:t>that</w:t>
      </w:r>
      <w:r w:rsidR="008465E3" w:rsidRPr="009910A9">
        <w:rPr>
          <w:b/>
        </w:rPr>
        <w:t xml:space="preserve"> a comprehensive legal framework for</w:t>
      </w:r>
      <w:r w:rsidR="00050EB9" w:rsidRPr="009910A9">
        <w:rPr>
          <w:b/>
        </w:rPr>
        <w:t xml:space="preserve"> </w:t>
      </w:r>
      <w:r w:rsidR="002679BE" w:rsidRPr="009910A9">
        <w:rPr>
          <w:b/>
        </w:rPr>
        <w:t xml:space="preserve">respecting </w:t>
      </w:r>
      <w:r w:rsidR="00050EB9" w:rsidRPr="009910A9">
        <w:rPr>
          <w:b/>
        </w:rPr>
        <w:t>the mental capacity of children under 16 years old</w:t>
      </w:r>
      <w:r w:rsidR="00D3122E" w:rsidRPr="009910A9">
        <w:rPr>
          <w:b/>
        </w:rPr>
        <w:t xml:space="preserve"> is implemented </w:t>
      </w:r>
      <w:r w:rsidR="009910A9">
        <w:rPr>
          <w:b/>
        </w:rPr>
        <w:t>in NI</w:t>
      </w:r>
      <w:r w:rsidR="00836C4B" w:rsidRPr="009910A9">
        <w:rPr>
          <w:b/>
        </w:rPr>
        <w:t>.</w:t>
      </w:r>
    </w:p>
    <w:p w14:paraId="0B52A5FE" w14:textId="295D6A4E" w:rsidR="00742070" w:rsidRPr="00050EB9" w:rsidRDefault="00742070" w:rsidP="00412E09">
      <w:pPr>
        <w:ind w:left="851" w:hanging="862"/>
        <w:rPr>
          <w:rFonts w:cs="Arial"/>
        </w:rPr>
      </w:pPr>
    </w:p>
    <w:p w14:paraId="50581AA3" w14:textId="2EE25E60" w:rsidR="009F1792" w:rsidRPr="00587912" w:rsidRDefault="00D5679E" w:rsidP="00412E09">
      <w:pPr>
        <w:pStyle w:val="Heading2"/>
        <w:ind w:left="851" w:hanging="862"/>
      </w:pPr>
      <w:bookmarkStart w:id="55" w:name="_Toc121922219"/>
      <w:r>
        <w:t>Access to reproductive healthcare</w:t>
      </w:r>
      <w:bookmarkEnd w:id="55"/>
    </w:p>
    <w:p w14:paraId="5688A5B1" w14:textId="310FDDC4" w:rsidR="00A411C1" w:rsidRDefault="000074DC" w:rsidP="00412E09">
      <w:pPr>
        <w:pStyle w:val="ListParagraph"/>
        <w:numPr>
          <w:ilvl w:val="1"/>
          <w:numId w:val="91"/>
        </w:numPr>
        <w:ind w:left="851" w:hanging="862"/>
      </w:pPr>
      <w:r>
        <w:t>Recalling the UN CRC</w:t>
      </w:r>
      <w:r w:rsidR="009F1792" w:rsidRPr="00587912">
        <w:t xml:space="preserve"> </w:t>
      </w:r>
      <w:r w:rsidR="00356589">
        <w:t>Committee</w:t>
      </w:r>
      <w:r>
        <w:t xml:space="preserve">’s </w:t>
      </w:r>
      <w:r w:rsidR="009F1792" w:rsidRPr="00587912">
        <w:t>previous recommend</w:t>
      </w:r>
      <w:r>
        <w:t>ation,</w:t>
      </w:r>
      <w:r w:rsidR="009F1792" w:rsidRPr="00587912">
        <w:rPr>
          <w:rStyle w:val="FootnoteReference"/>
        </w:rPr>
        <w:footnoteReference w:id="200"/>
      </w:r>
      <w:r w:rsidR="00DB4C04">
        <w:t xml:space="preserve"> </w:t>
      </w:r>
      <w:r w:rsidR="00431E8F" w:rsidRPr="00431E8F">
        <w:t>abortion has been legalised in NI on the following grounds</w:t>
      </w:r>
      <w:r w:rsidR="00704A81">
        <w:t xml:space="preserve"> –</w:t>
      </w:r>
      <w:r w:rsidR="00431E8F" w:rsidRPr="00431E8F">
        <w:t xml:space="preserve"> on request up to 12 weeks and where there is a risk of injury to the physical or mental health of the pregnant woman up to 24 weeks.</w:t>
      </w:r>
      <w:r w:rsidR="00431E8F" w:rsidRPr="00431E8F">
        <w:rPr>
          <w:vertAlign w:val="superscript"/>
        </w:rPr>
        <w:footnoteReference w:id="201"/>
      </w:r>
      <w:r w:rsidR="00431E8F" w:rsidRPr="00431E8F">
        <w:t xml:space="preserve"> Abortion is also permitted in NI on the grounds of immediate necessity, a risk to life or grave permanent injury to physical or mental health of the pregnant woman, a diagnosis of a severe foetal impairment or fatal foetal abnormality.</w:t>
      </w:r>
      <w:r w:rsidR="00431E8F" w:rsidRPr="00431E8F">
        <w:rPr>
          <w:vertAlign w:val="superscript"/>
        </w:rPr>
        <w:footnoteReference w:id="202"/>
      </w:r>
      <w:r w:rsidR="00431E8F" w:rsidRPr="00431E8F">
        <w:t xml:space="preserve"> However, the Department of Health has not commissioned the services required to implement this change. Consequently, it has been left up to the individual Health and Social Care Trusts in NI to staff, resource and fund these services with no additional support. This has created a disparity of access to reproductive healthcare across NI in terms of the type and consistency of services available.</w:t>
      </w:r>
    </w:p>
    <w:p w14:paraId="314ED9B6" w14:textId="77777777" w:rsidR="00A411C1" w:rsidRDefault="00A411C1" w:rsidP="00412E09">
      <w:pPr>
        <w:pStyle w:val="ListParagraph"/>
        <w:ind w:left="851" w:hanging="862"/>
      </w:pPr>
    </w:p>
    <w:p w14:paraId="63747A1C" w14:textId="77777777" w:rsidR="001D36D0" w:rsidRPr="001D36D0" w:rsidRDefault="00A411C1" w:rsidP="00412E09">
      <w:pPr>
        <w:pStyle w:val="ListParagraph"/>
        <w:numPr>
          <w:ilvl w:val="1"/>
          <w:numId w:val="91"/>
        </w:numPr>
        <w:ind w:left="851" w:hanging="862"/>
      </w:pPr>
      <w:r w:rsidRPr="00A411C1">
        <w:rPr>
          <w:rFonts w:eastAsia="Times New Roman" w:cs="Times New Roman"/>
          <w:color w:val="000000"/>
        </w:rPr>
        <w:t xml:space="preserve">At minimum, all </w:t>
      </w:r>
      <w:proofErr w:type="gramStart"/>
      <w:r w:rsidRPr="00A411C1">
        <w:rPr>
          <w:rFonts w:eastAsia="Times New Roman" w:cs="Times New Roman"/>
          <w:color w:val="000000"/>
        </w:rPr>
        <w:t>Health</w:t>
      </w:r>
      <w:proofErr w:type="gramEnd"/>
      <w:r w:rsidRPr="00A411C1">
        <w:rPr>
          <w:rFonts w:eastAsia="Times New Roman" w:cs="Times New Roman"/>
          <w:color w:val="000000"/>
        </w:rPr>
        <w:t xml:space="preserve"> and Social Care Trusts in NI offer termination services up to ten weeks, however due to resource constraints there can be significant periods where this service has been suspended in one or more Trust areas. For example, currently the Northern Health and Social Care Trust and the </w:t>
      </w:r>
      <w:proofErr w:type="gramStart"/>
      <w:r w:rsidRPr="00A411C1">
        <w:rPr>
          <w:rFonts w:eastAsia="Times New Roman" w:cs="Times New Roman"/>
          <w:color w:val="000000"/>
        </w:rPr>
        <w:t>South Eastern</w:t>
      </w:r>
      <w:proofErr w:type="gramEnd"/>
      <w:r w:rsidRPr="00A411C1">
        <w:rPr>
          <w:rFonts w:eastAsia="Times New Roman" w:cs="Times New Roman"/>
          <w:color w:val="000000"/>
        </w:rPr>
        <w:t xml:space="preserve"> Health and Social Care Trust have suspended termination services.</w:t>
      </w:r>
      <w:r>
        <w:rPr>
          <w:vertAlign w:val="superscript"/>
        </w:rPr>
        <w:footnoteReference w:id="203"/>
      </w:r>
      <w:r w:rsidRPr="00A411C1">
        <w:rPr>
          <w:rFonts w:eastAsia="Times New Roman" w:cs="Times New Roman"/>
          <w:color w:val="000000"/>
        </w:rPr>
        <w:t xml:space="preserve"> The remaining Trusts do not have the resources to take referrals from women and girls in these Trust areas. Those affected are forced to access termination services in England through the Central Booking System, pay for a service in Ireland or access unregulated services.</w:t>
      </w:r>
    </w:p>
    <w:p w14:paraId="067D631C" w14:textId="77777777" w:rsidR="001D36D0" w:rsidRPr="001D36D0" w:rsidRDefault="001D36D0" w:rsidP="00412E09">
      <w:pPr>
        <w:pStyle w:val="ListParagraph"/>
        <w:ind w:left="851" w:hanging="862"/>
        <w:rPr>
          <w:rFonts w:eastAsia="Times New Roman" w:cs="Times New Roman"/>
          <w:color w:val="000000"/>
        </w:rPr>
      </w:pPr>
    </w:p>
    <w:p w14:paraId="154BF791" w14:textId="77777777" w:rsidR="00906C97" w:rsidRPr="00906C97" w:rsidRDefault="001D36D0" w:rsidP="00412E09">
      <w:pPr>
        <w:pStyle w:val="ListParagraph"/>
        <w:numPr>
          <w:ilvl w:val="1"/>
          <w:numId w:val="91"/>
        </w:numPr>
        <w:ind w:left="851" w:hanging="862"/>
      </w:pPr>
      <w:r w:rsidRPr="001D36D0">
        <w:rPr>
          <w:rFonts w:eastAsia="Times New Roman" w:cs="Times New Roman"/>
          <w:color w:val="000000"/>
        </w:rPr>
        <w:t>In 2020/2021, there were 1,373 notifications of early medical abortions provided in NI.</w:t>
      </w:r>
      <w:r>
        <w:rPr>
          <w:vertAlign w:val="superscript"/>
        </w:rPr>
        <w:footnoteReference w:id="204"/>
      </w:r>
      <w:r w:rsidRPr="001D36D0">
        <w:rPr>
          <w:rFonts w:eastAsia="Times New Roman" w:cs="Times New Roman"/>
          <w:color w:val="000000"/>
        </w:rPr>
        <w:t xml:space="preserve"> The British Pregnancy Advisory Service estimated over 300 bookings were made for women and girls living in NI to travel to other parts of the UK for a termination.</w:t>
      </w:r>
      <w:r>
        <w:rPr>
          <w:vertAlign w:val="superscript"/>
        </w:rPr>
        <w:footnoteReference w:id="205"/>
      </w:r>
    </w:p>
    <w:p w14:paraId="1E65324C" w14:textId="77777777" w:rsidR="00906C97" w:rsidRPr="00906C97" w:rsidRDefault="00906C97" w:rsidP="00412E09">
      <w:pPr>
        <w:pStyle w:val="ListParagraph"/>
        <w:ind w:left="851" w:hanging="862"/>
        <w:rPr>
          <w:rFonts w:eastAsia="Times New Roman" w:cs="Times New Roman"/>
          <w:color w:val="000000"/>
        </w:rPr>
      </w:pPr>
    </w:p>
    <w:p w14:paraId="4BC5ADE6" w14:textId="0864E03D" w:rsidR="00906C97" w:rsidRPr="00906C97" w:rsidRDefault="00906C97" w:rsidP="00412E09">
      <w:pPr>
        <w:pStyle w:val="ListParagraph"/>
        <w:numPr>
          <w:ilvl w:val="1"/>
          <w:numId w:val="91"/>
        </w:numPr>
        <w:ind w:left="851" w:hanging="862"/>
      </w:pPr>
      <w:r w:rsidRPr="00906C97">
        <w:rPr>
          <w:rFonts w:eastAsia="Times New Roman" w:cs="Times New Roman"/>
          <w:color w:val="000000"/>
        </w:rPr>
        <w:t>After a protracted process,</w:t>
      </w:r>
      <w:r>
        <w:rPr>
          <w:vertAlign w:val="superscript"/>
        </w:rPr>
        <w:footnoteReference w:id="206"/>
      </w:r>
      <w:r w:rsidRPr="00906C97">
        <w:rPr>
          <w:rFonts w:eastAsia="Times New Roman" w:cs="Times New Roman"/>
          <w:color w:val="000000"/>
        </w:rPr>
        <w:t xml:space="preserve"> in the absence of the Department of Health taking the necessary steps, the Secretary of State for NI, Chris Heaton-Harris MP, announced that the UK Government would commission abortion services in NI.</w:t>
      </w:r>
      <w:r>
        <w:rPr>
          <w:vertAlign w:val="superscript"/>
        </w:rPr>
        <w:footnoteReference w:id="207"/>
      </w:r>
      <w:r w:rsidRPr="00906C97">
        <w:rPr>
          <w:rFonts w:eastAsia="Times New Roman" w:cs="Times New Roman"/>
          <w:color w:val="000000"/>
        </w:rPr>
        <w:t xml:space="preserve"> </w:t>
      </w:r>
      <w:r w:rsidR="009F63E6">
        <w:rPr>
          <w:rFonts w:eastAsia="Times New Roman" w:cs="Times New Roman"/>
          <w:color w:val="000000"/>
        </w:rPr>
        <w:t>There is no timeline in place for delivering this commitment and i</w:t>
      </w:r>
      <w:r w:rsidRPr="00906C97">
        <w:rPr>
          <w:rFonts w:eastAsia="Times New Roman" w:cs="Times New Roman"/>
          <w:color w:val="000000"/>
        </w:rPr>
        <w:t>t remains the responsibility of the Department of Health to administer the funding provided by the UK Government.</w:t>
      </w:r>
      <w:r>
        <w:rPr>
          <w:vertAlign w:val="superscript"/>
        </w:rPr>
        <w:footnoteReference w:id="208"/>
      </w:r>
    </w:p>
    <w:p w14:paraId="79AD2452" w14:textId="77777777" w:rsidR="00906C97" w:rsidRPr="00906C97" w:rsidRDefault="00906C97" w:rsidP="00412E09">
      <w:pPr>
        <w:pStyle w:val="ListParagraph"/>
        <w:ind w:left="851" w:hanging="862"/>
        <w:rPr>
          <w:rFonts w:eastAsia="Times New Roman" w:cs="Times New Roman"/>
          <w:color w:val="000000"/>
        </w:rPr>
      </w:pPr>
    </w:p>
    <w:p w14:paraId="15DAF59E" w14:textId="77777777" w:rsidR="00906C97" w:rsidRPr="00906C97" w:rsidRDefault="00906C97" w:rsidP="00412E09">
      <w:pPr>
        <w:pStyle w:val="ListParagraph"/>
        <w:numPr>
          <w:ilvl w:val="1"/>
          <w:numId w:val="91"/>
        </w:numPr>
        <w:ind w:left="851" w:hanging="862"/>
      </w:pPr>
      <w:r w:rsidRPr="00906C97">
        <w:rPr>
          <w:rFonts w:eastAsia="Times New Roman" w:cs="Times New Roman"/>
          <w:color w:val="000000"/>
        </w:rPr>
        <w:t>There is a lack of guidance on implementation of the Abortion (NI) Regulations 2020 and subsequent Abortion (NI) (No 2) Regulations 2020.</w:t>
      </w:r>
    </w:p>
    <w:p w14:paraId="0C0D6F71" w14:textId="77777777" w:rsidR="00906C97" w:rsidRPr="00906C97" w:rsidRDefault="00906C97" w:rsidP="00412E09">
      <w:pPr>
        <w:pStyle w:val="ListParagraph"/>
        <w:ind w:left="851" w:hanging="862"/>
        <w:rPr>
          <w:rFonts w:eastAsia="Verdana" w:cs="Verdana"/>
        </w:rPr>
      </w:pPr>
    </w:p>
    <w:p w14:paraId="19944D1A" w14:textId="65C37135" w:rsidR="00906C97" w:rsidRPr="00906C97" w:rsidRDefault="00906C97" w:rsidP="00412E09">
      <w:pPr>
        <w:pStyle w:val="ListParagraph"/>
        <w:numPr>
          <w:ilvl w:val="1"/>
          <w:numId w:val="91"/>
        </w:numPr>
        <w:ind w:left="851" w:hanging="862"/>
      </w:pPr>
      <w:r w:rsidRPr="00906C97">
        <w:rPr>
          <w:rFonts w:eastAsia="Verdana" w:cs="Verdana"/>
        </w:rPr>
        <w:t>There are</w:t>
      </w:r>
      <w:r w:rsidRPr="00906C97">
        <w:rPr>
          <w:rFonts w:eastAsia="Times New Roman" w:cs="Times New Roman"/>
        </w:rPr>
        <w:t xml:space="preserve"> also several </w:t>
      </w:r>
      <w:r w:rsidRPr="00906C97">
        <w:rPr>
          <w:rFonts w:eastAsia="Verdana" w:cs="Verdana"/>
        </w:rPr>
        <w:t>barriers to contraceptive use in NI.</w:t>
      </w:r>
      <w:r>
        <w:rPr>
          <w:vertAlign w:val="superscript"/>
        </w:rPr>
        <w:footnoteReference w:id="209"/>
      </w:r>
      <w:r w:rsidRPr="00906C97">
        <w:rPr>
          <w:rFonts w:eastAsia="Verdana" w:cs="Verdana"/>
        </w:rPr>
        <w:t xml:space="preserve"> These barriers include inadequate and inconsistent sexual health education, a lack of public awareness of different methods and their effectiveness, a failure to provide postpartum contraception, a lack of provision within general practice, and a lack of provision within community clinics. This has been a long-standing issue in NI that impacts the provision of and access to safe, non-biased and scientifically accurate family planning.</w:t>
      </w:r>
      <w:r>
        <w:rPr>
          <w:vertAlign w:val="superscript"/>
        </w:rPr>
        <w:footnoteReference w:id="210"/>
      </w:r>
    </w:p>
    <w:p w14:paraId="7FC6767B" w14:textId="77777777" w:rsidR="00EE53BE" w:rsidRPr="00906C97" w:rsidRDefault="00EE53BE" w:rsidP="00412E09">
      <w:pPr>
        <w:ind w:left="851" w:hanging="862"/>
        <w:rPr>
          <w:b/>
        </w:rPr>
      </w:pPr>
    </w:p>
    <w:p w14:paraId="7FF1E27E" w14:textId="6181F4BF" w:rsidR="001646ED" w:rsidRPr="001646ED" w:rsidRDefault="00134DA1" w:rsidP="00412E09">
      <w:pPr>
        <w:pStyle w:val="ListParagraph"/>
        <w:numPr>
          <w:ilvl w:val="1"/>
          <w:numId w:val="91"/>
        </w:numPr>
        <w:ind w:left="851" w:hanging="862"/>
        <w:rPr>
          <w:b/>
        </w:rPr>
      </w:pPr>
      <w:r w:rsidRPr="008F4824">
        <w:rPr>
          <w:b/>
        </w:rPr>
        <w:t xml:space="preserve">The Committee may wish to </w:t>
      </w:r>
      <w:r w:rsidR="00E70625">
        <w:rPr>
          <w:b/>
        </w:rPr>
        <w:t>recommend</w:t>
      </w:r>
      <w:r w:rsidR="00835D46" w:rsidRPr="008F4824">
        <w:rPr>
          <w:b/>
        </w:rPr>
        <w:t xml:space="preserve"> the </w:t>
      </w:r>
      <w:r w:rsidR="009A4F7B">
        <w:rPr>
          <w:b/>
        </w:rPr>
        <w:t xml:space="preserve">State Party </w:t>
      </w:r>
      <w:r w:rsidR="00E70625">
        <w:rPr>
          <w:b/>
        </w:rPr>
        <w:t xml:space="preserve">takes prompt, effective </w:t>
      </w:r>
      <w:r w:rsidR="00B17346">
        <w:rPr>
          <w:b/>
        </w:rPr>
        <w:t xml:space="preserve">steps to ensure that girls have equal access to reproductive healthcare </w:t>
      </w:r>
      <w:r w:rsidR="009910A9">
        <w:rPr>
          <w:b/>
        </w:rPr>
        <w:t>across NI</w:t>
      </w:r>
      <w:r w:rsidR="00B17346">
        <w:rPr>
          <w:b/>
        </w:rPr>
        <w:t xml:space="preserve">. This includes </w:t>
      </w:r>
      <w:r w:rsidR="008F4824" w:rsidRPr="009A4F7B">
        <w:rPr>
          <w:b/>
        </w:rPr>
        <w:t>implement</w:t>
      </w:r>
      <w:r w:rsidR="00E70625">
        <w:rPr>
          <w:b/>
        </w:rPr>
        <w:t>ing</w:t>
      </w:r>
      <w:r w:rsidR="008F4824">
        <w:rPr>
          <w:b/>
        </w:rPr>
        <w:t xml:space="preserve"> ring-fenced, long-term funding to ensure</w:t>
      </w:r>
      <w:r w:rsidR="007333B2" w:rsidRPr="00B67928">
        <w:rPr>
          <w:b/>
        </w:rPr>
        <w:t xml:space="preserve"> girls have full access to </w:t>
      </w:r>
      <w:r w:rsidR="000558DB">
        <w:rPr>
          <w:b/>
        </w:rPr>
        <w:t xml:space="preserve">safe </w:t>
      </w:r>
      <w:r w:rsidR="007333B2" w:rsidRPr="00B67928">
        <w:rPr>
          <w:b/>
        </w:rPr>
        <w:t>reproductive healthcare services</w:t>
      </w:r>
      <w:r w:rsidR="00EC31C7" w:rsidRPr="00B67928">
        <w:rPr>
          <w:b/>
        </w:rPr>
        <w:t xml:space="preserve"> and age-appropriate support</w:t>
      </w:r>
      <w:r w:rsidR="000558DB">
        <w:rPr>
          <w:b/>
        </w:rPr>
        <w:t xml:space="preserve"> locally</w:t>
      </w:r>
      <w:r w:rsidR="00B17346">
        <w:rPr>
          <w:b/>
        </w:rPr>
        <w:t xml:space="preserve"> </w:t>
      </w:r>
      <w:r w:rsidR="00E70625">
        <w:rPr>
          <w:b/>
        </w:rPr>
        <w:t>in NI.</w:t>
      </w:r>
      <w:r w:rsidR="009866DE">
        <w:rPr>
          <w:b/>
        </w:rPr>
        <w:t xml:space="preserve"> It also includes ensuring</w:t>
      </w:r>
      <w:r w:rsidR="001646ED">
        <w:rPr>
          <w:b/>
        </w:rPr>
        <w:t xml:space="preserve"> that </w:t>
      </w:r>
      <w:r w:rsidR="001646ED" w:rsidRPr="001646ED">
        <w:rPr>
          <w:rFonts w:eastAsia="Times New Roman" w:cs="Times New Roman"/>
          <w:b/>
          <w:bCs/>
        </w:rPr>
        <w:t xml:space="preserve">non-biased, scientifically </w:t>
      </w:r>
      <w:proofErr w:type="gramStart"/>
      <w:r w:rsidR="001646ED" w:rsidRPr="001646ED">
        <w:rPr>
          <w:rFonts w:eastAsia="Times New Roman" w:cs="Times New Roman"/>
          <w:b/>
          <w:bCs/>
        </w:rPr>
        <w:t>sound</w:t>
      </w:r>
      <w:proofErr w:type="gramEnd"/>
      <w:r w:rsidR="001646ED" w:rsidRPr="001646ED">
        <w:rPr>
          <w:rFonts w:eastAsia="Times New Roman" w:cs="Times New Roman"/>
          <w:b/>
          <w:bCs/>
        </w:rPr>
        <w:t xml:space="preserve"> and rights-based counselling and information on all methods of contraception are available, affordable and fully accessible to </w:t>
      </w:r>
      <w:r w:rsidR="003F01A1">
        <w:rPr>
          <w:rFonts w:eastAsia="Times New Roman" w:cs="Times New Roman"/>
          <w:b/>
          <w:bCs/>
        </w:rPr>
        <w:t xml:space="preserve">all </w:t>
      </w:r>
      <w:r w:rsidR="007C4754" w:rsidRPr="009866DE">
        <w:rPr>
          <w:rFonts w:eastAsia="Times New Roman" w:cs="Times New Roman"/>
          <w:b/>
          <w:bCs/>
        </w:rPr>
        <w:t xml:space="preserve">girls </w:t>
      </w:r>
      <w:r w:rsidR="009910A9">
        <w:rPr>
          <w:rFonts w:eastAsia="Times New Roman" w:cs="Times New Roman"/>
          <w:b/>
          <w:bCs/>
        </w:rPr>
        <w:t xml:space="preserve">in </w:t>
      </w:r>
      <w:r w:rsidR="001646ED" w:rsidRPr="001646ED">
        <w:rPr>
          <w:rFonts w:eastAsia="Times New Roman" w:cs="Times New Roman"/>
          <w:b/>
          <w:bCs/>
        </w:rPr>
        <w:t xml:space="preserve">NI. This includes </w:t>
      </w:r>
      <w:r w:rsidR="00053F67">
        <w:rPr>
          <w:rFonts w:eastAsia="Times New Roman" w:cs="Times New Roman"/>
          <w:b/>
          <w:bCs/>
        </w:rPr>
        <w:t>ensuring</w:t>
      </w:r>
      <w:r w:rsidR="001646ED" w:rsidRPr="001646ED">
        <w:rPr>
          <w:rFonts w:eastAsia="Times New Roman" w:cs="Times New Roman"/>
          <w:b/>
          <w:bCs/>
        </w:rPr>
        <w:t xml:space="preserve"> a protocol </w:t>
      </w:r>
      <w:r w:rsidR="00053F67">
        <w:rPr>
          <w:rFonts w:eastAsia="Times New Roman" w:cs="Times New Roman"/>
          <w:b/>
          <w:bCs/>
        </w:rPr>
        <w:t xml:space="preserve">is in place </w:t>
      </w:r>
      <w:r w:rsidR="001646ED" w:rsidRPr="001646ED">
        <w:rPr>
          <w:rFonts w:eastAsia="Times New Roman" w:cs="Times New Roman"/>
          <w:b/>
          <w:bCs/>
        </w:rPr>
        <w:t xml:space="preserve">that facilitates access at pharmacies, </w:t>
      </w:r>
      <w:proofErr w:type="gramStart"/>
      <w:r w:rsidR="001646ED" w:rsidRPr="001646ED">
        <w:rPr>
          <w:rFonts w:eastAsia="Times New Roman" w:cs="Times New Roman"/>
          <w:b/>
          <w:bCs/>
        </w:rPr>
        <w:t>clinics</w:t>
      </w:r>
      <w:proofErr w:type="gramEnd"/>
      <w:r w:rsidR="001646ED" w:rsidRPr="001646ED">
        <w:rPr>
          <w:rFonts w:eastAsia="Times New Roman" w:cs="Times New Roman"/>
          <w:b/>
          <w:bCs/>
        </w:rPr>
        <w:t xml:space="preserve"> and hospitals</w:t>
      </w:r>
      <w:r w:rsidR="009910A9">
        <w:rPr>
          <w:rFonts w:eastAsia="Times New Roman" w:cs="Times New Roman"/>
          <w:b/>
          <w:bCs/>
        </w:rPr>
        <w:t xml:space="preserve"> across NI</w:t>
      </w:r>
      <w:r w:rsidR="001646ED" w:rsidRPr="001646ED">
        <w:rPr>
          <w:rFonts w:eastAsia="Times New Roman" w:cs="Times New Roman"/>
          <w:b/>
          <w:bCs/>
        </w:rPr>
        <w:t>.</w:t>
      </w:r>
    </w:p>
    <w:p w14:paraId="565A04F1" w14:textId="23ECCBD5" w:rsidR="009F1792" w:rsidRPr="00587912" w:rsidRDefault="009F1792" w:rsidP="00412E09">
      <w:pPr>
        <w:ind w:left="851" w:hanging="862"/>
      </w:pPr>
    </w:p>
    <w:p w14:paraId="52C41EAC" w14:textId="573F8F78" w:rsidR="00A33B80" w:rsidRPr="003F01A1" w:rsidRDefault="00C71EBE" w:rsidP="00412E09">
      <w:pPr>
        <w:pStyle w:val="Heading2"/>
        <w:ind w:left="851" w:hanging="862"/>
        <w:rPr>
          <w:szCs w:val="22"/>
        </w:rPr>
      </w:pPr>
      <w:bookmarkStart w:id="56" w:name="_Toc121922220"/>
      <w:r w:rsidRPr="00587912">
        <w:rPr>
          <w:szCs w:val="22"/>
        </w:rPr>
        <w:t xml:space="preserve">Relationships, </w:t>
      </w:r>
      <w:proofErr w:type="gramStart"/>
      <w:r w:rsidRPr="00587912">
        <w:rPr>
          <w:szCs w:val="22"/>
        </w:rPr>
        <w:t>sexuality</w:t>
      </w:r>
      <w:proofErr w:type="gramEnd"/>
      <w:r w:rsidRPr="00587912">
        <w:rPr>
          <w:szCs w:val="22"/>
        </w:rPr>
        <w:t xml:space="preserve"> and gender identity education</w:t>
      </w:r>
      <w:bookmarkEnd w:id="56"/>
    </w:p>
    <w:p w14:paraId="7EF0C8BE" w14:textId="542CB695" w:rsidR="00E53050" w:rsidRDefault="00742070" w:rsidP="00412E09">
      <w:pPr>
        <w:pStyle w:val="ListParagraph"/>
        <w:numPr>
          <w:ilvl w:val="1"/>
          <w:numId w:val="91"/>
        </w:numPr>
        <w:ind w:left="851" w:hanging="862"/>
      </w:pPr>
      <w:r>
        <w:t xml:space="preserve">The </w:t>
      </w:r>
      <w:r w:rsidR="00F13515" w:rsidRPr="00587912">
        <w:t xml:space="preserve">Committee </w:t>
      </w:r>
      <w:r>
        <w:t xml:space="preserve">previously </w:t>
      </w:r>
      <w:r w:rsidR="00B64475" w:rsidRPr="00587912">
        <w:t>recommended</w:t>
      </w:r>
      <w:r w:rsidR="00E53050">
        <w:t xml:space="preserve"> that meaningful, age-appropriate </w:t>
      </w:r>
      <w:r w:rsidR="00F13515" w:rsidRPr="00587912">
        <w:t xml:space="preserve">sexual and reproductive health education is mandatory </w:t>
      </w:r>
      <w:r w:rsidR="00E53050">
        <w:t xml:space="preserve">within the </w:t>
      </w:r>
      <w:r w:rsidR="00F13515" w:rsidRPr="00587912">
        <w:t>school curriculum.</w:t>
      </w:r>
      <w:r w:rsidR="00F13515" w:rsidRPr="00587912">
        <w:rPr>
          <w:rStyle w:val="FootnoteReference"/>
        </w:rPr>
        <w:footnoteReference w:id="211"/>
      </w:r>
      <w:r w:rsidR="00542930">
        <w:t xml:space="preserve"> </w:t>
      </w:r>
      <w:r w:rsidR="00A6126F">
        <w:t>Further, the UN CEDAW</w:t>
      </w:r>
      <w:r w:rsidR="00542930">
        <w:t xml:space="preserve"> Committee has recommended </w:t>
      </w:r>
      <w:r w:rsidR="00542930" w:rsidRPr="00542930">
        <w:t>the provision of education on sexual and reproductive health and “non-biased, scientifically sound and rights-based counselling and information on sexual and reproductive health services”.</w:t>
      </w:r>
      <w:r w:rsidR="00542930" w:rsidRPr="00542930">
        <w:rPr>
          <w:vertAlign w:val="superscript"/>
        </w:rPr>
        <w:footnoteReference w:id="212"/>
      </w:r>
    </w:p>
    <w:p w14:paraId="624016D6" w14:textId="77777777" w:rsidR="00064181" w:rsidRDefault="00064181" w:rsidP="00412E09">
      <w:pPr>
        <w:ind w:left="851" w:hanging="862"/>
      </w:pPr>
    </w:p>
    <w:p w14:paraId="4ADF1A44" w14:textId="43B50CD6" w:rsidR="00BD1EE0" w:rsidRDefault="00561CCD" w:rsidP="00412E09">
      <w:pPr>
        <w:pStyle w:val="ListParagraph"/>
        <w:numPr>
          <w:ilvl w:val="1"/>
          <w:numId w:val="91"/>
        </w:numPr>
        <w:ind w:left="851" w:hanging="862"/>
      </w:pPr>
      <w:r>
        <w:t xml:space="preserve">In 2019, the Gillen Review </w:t>
      </w:r>
      <w:r w:rsidR="009841CC">
        <w:t>into law and procedures in serious sexual offences in NI</w:t>
      </w:r>
      <w:r>
        <w:t xml:space="preserve"> made specific reference to the need for comprehensive relationship and sexual education, recognising the role that this plays in prevention of sexual offences as well as in achieving justice in trials that take place.</w:t>
      </w:r>
      <w:r w:rsidR="00EB3FA2">
        <w:rPr>
          <w:rStyle w:val="FootnoteReference"/>
        </w:rPr>
        <w:footnoteReference w:id="213"/>
      </w:r>
      <w:r>
        <w:t xml:space="preserve">  </w:t>
      </w:r>
    </w:p>
    <w:p w14:paraId="6BFF72A6" w14:textId="77777777" w:rsidR="00BD1EE0" w:rsidRDefault="00BD1EE0" w:rsidP="00412E09">
      <w:pPr>
        <w:pStyle w:val="ListParagraph"/>
        <w:ind w:left="851" w:hanging="862"/>
      </w:pPr>
    </w:p>
    <w:p w14:paraId="57DF6D63" w14:textId="0552686B" w:rsidR="00BD1EE0" w:rsidRDefault="00BD1EE0" w:rsidP="00412E09">
      <w:pPr>
        <w:pStyle w:val="ListParagraph"/>
        <w:numPr>
          <w:ilvl w:val="1"/>
          <w:numId w:val="91"/>
        </w:numPr>
        <w:ind w:left="851" w:hanging="862"/>
      </w:pPr>
      <w:r w:rsidRPr="00BD1EE0">
        <w:t xml:space="preserve">The current structure of the curriculum, based on the Education (Curriculum Minimum Content) Order (NI) 2007, sets out the minimum content for each area of learning at each key stage, thus </w:t>
      </w:r>
      <w:r w:rsidR="009332AD">
        <w:t>providing</w:t>
      </w:r>
      <w:r w:rsidRPr="00BD1EE0">
        <w:t xml:space="preserve"> for schools</w:t>
      </w:r>
      <w:r w:rsidR="00CF4C69">
        <w:t xml:space="preserve"> with significant flexibility in delivering education in line</w:t>
      </w:r>
      <w:r w:rsidRPr="00BD1EE0">
        <w:t xml:space="preserve"> with its ethos.</w:t>
      </w:r>
      <w:r w:rsidRPr="00BD1EE0">
        <w:rPr>
          <w:vertAlign w:val="superscript"/>
        </w:rPr>
        <w:footnoteReference w:id="214"/>
      </w:r>
      <w:r w:rsidRPr="00BD1EE0">
        <w:t xml:space="preserve"> A Relationships and Sexuality Hub has been developed, which contains materials for schools to choose from regarding such education. The Education Authority NI has also published its non-statutory guidance for supporting transgender pupils in schools, education other than at school centres, and youth services.</w:t>
      </w:r>
      <w:r w:rsidRPr="00BD1EE0">
        <w:rPr>
          <w:vertAlign w:val="superscript"/>
        </w:rPr>
        <w:footnoteReference w:id="215"/>
      </w:r>
    </w:p>
    <w:p w14:paraId="317458EA" w14:textId="77777777" w:rsidR="00BD1EE0" w:rsidRDefault="00BD1EE0" w:rsidP="00412E09">
      <w:pPr>
        <w:pStyle w:val="ListParagraph"/>
        <w:ind w:left="851" w:hanging="862"/>
      </w:pPr>
    </w:p>
    <w:p w14:paraId="7FDB3ECE" w14:textId="0F60E8A5" w:rsidR="00BD1EE0" w:rsidRDefault="00BD1EE0" w:rsidP="00412E09">
      <w:pPr>
        <w:pStyle w:val="ListParagraph"/>
        <w:numPr>
          <w:ilvl w:val="1"/>
          <w:numId w:val="91"/>
        </w:numPr>
        <w:ind w:left="851" w:hanging="862"/>
      </w:pPr>
      <w:r w:rsidRPr="00BD1EE0">
        <w:t xml:space="preserve">The framework for schools’ delivery of relationship, sexuality and gender identity education is significantly less clear than, for example, in England and elsewhere in the UK where the public sector equality duty also applies to schools. </w:t>
      </w:r>
      <w:r w:rsidR="00BF37C8">
        <w:t>C</w:t>
      </w:r>
      <w:r w:rsidRPr="00BD1EE0">
        <w:t xml:space="preserve">ivil society organisations </w:t>
      </w:r>
      <w:r w:rsidR="00BF37C8">
        <w:t>have raised concerns regarding the</w:t>
      </w:r>
      <w:r w:rsidRPr="00BD1EE0">
        <w:t xml:space="preserve"> effectiveness of relationship</w:t>
      </w:r>
      <w:r w:rsidR="00AA4825">
        <w:t xml:space="preserve"> and</w:t>
      </w:r>
      <w:r w:rsidRPr="00BD1EE0">
        <w:t xml:space="preserve"> sexuality education in NI.</w:t>
      </w:r>
      <w:r w:rsidRPr="00BD1EE0">
        <w:rPr>
          <w:vertAlign w:val="superscript"/>
        </w:rPr>
        <w:footnoteReference w:id="216"/>
      </w:r>
    </w:p>
    <w:p w14:paraId="19056FD5" w14:textId="77777777" w:rsidR="00BD1EE0" w:rsidRDefault="00BD1EE0" w:rsidP="00412E09">
      <w:pPr>
        <w:pStyle w:val="ListParagraph"/>
        <w:ind w:left="851" w:hanging="862"/>
      </w:pPr>
    </w:p>
    <w:p w14:paraId="797FA5A0" w14:textId="67353EEC" w:rsidR="00BD1EE0" w:rsidRDefault="00BD1EE0" w:rsidP="00412E09">
      <w:pPr>
        <w:pStyle w:val="ListParagraph"/>
        <w:numPr>
          <w:ilvl w:val="1"/>
          <w:numId w:val="91"/>
        </w:numPr>
        <w:ind w:left="851" w:hanging="862"/>
      </w:pPr>
      <w:r w:rsidRPr="00BD1EE0">
        <w:t>The Expert Panel for a Gender Equality Strategy and the Expert Panel for a Lesbian, Gay, Bisexual, Transgender, Queer (Or Questioning), Intersex + Strategy recommended that inclusive relationships and sexuality education should be taught in a comprehensive and standardised way across all schools and that the subject should not be dependent on school ethos.</w:t>
      </w:r>
      <w:r w:rsidRPr="00BD1EE0">
        <w:rPr>
          <w:vertAlign w:val="superscript"/>
        </w:rPr>
        <w:footnoteReference w:id="217"/>
      </w:r>
      <w:r w:rsidRPr="00BD1EE0">
        <w:t xml:space="preserve"> There is also </w:t>
      </w:r>
      <w:r w:rsidR="00FE7A6F">
        <w:t>significant political</w:t>
      </w:r>
      <w:r w:rsidRPr="00BD1EE0">
        <w:t xml:space="preserve"> support “to introduce standardised, comprehensive relationships and sexuality education in our schools” as part of any forthcoming strategy to prevent violence against women and girls.</w:t>
      </w:r>
      <w:r w:rsidRPr="00BD1EE0">
        <w:rPr>
          <w:vertAlign w:val="superscript"/>
        </w:rPr>
        <w:footnoteReference w:id="218"/>
      </w:r>
      <w:r w:rsidRPr="00BD1EE0">
        <w:t xml:space="preserve"> A campaign by Raise Your Voice, a civil society organisation working on tackling sexual harassment and sexual violence, has also </w:t>
      </w:r>
      <w:r w:rsidR="00FE7A6F">
        <w:t>recorded</w:t>
      </w:r>
      <w:r w:rsidRPr="00BD1EE0">
        <w:t xml:space="preserve"> wide ranging support for this approach from civil society organisations and several MLAs.</w:t>
      </w:r>
      <w:r w:rsidRPr="00BD1EE0">
        <w:rPr>
          <w:vertAlign w:val="superscript"/>
        </w:rPr>
        <w:footnoteReference w:id="219"/>
      </w:r>
    </w:p>
    <w:p w14:paraId="3101F691" w14:textId="77777777" w:rsidR="00BD1EE0" w:rsidRDefault="00BD1EE0" w:rsidP="00412E09">
      <w:pPr>
        <w:pStyle w:val="ListParagraph"/>
        <w:ind w:left="851" w:hanging="862"/>
      </w:pPr>
    </w:p>
    <w:p w14:paraId="76E2A299" w14:textId="2BC32C1A" w:rsidR="00BD1EE0" w:rsidRPr="00BD1EE0" w:rsidRDefault="00BD1EE0" w:rsidP="00412E09">
      <w:pPr>
        <w:pStyle w:val="ListParagraph"/>
        <w:numPr>
          <w:ilvl w:val="1"/>
          <w:numId w:val="91"/>
        </w:numPr>
        <w:ind w:left="851" w:hanging="862"/>
      </w:pPr>
      <w:r w:rsidRPr="00BD1EE0">
        <w:t>The NIHRC is currently undertaking an investigation into relationship and sexuality education in NI, which is due to be completed by April 2023. A report setting out the investigation’s findings and recommendations is due to be published thereafter.</w:t>
      </w:r>
    </w:p>
    <w:p w14:paraId="3B6FBFCD" w14:textId="77777777" w:rsidR="00E53050" w:rsidRDefault="00E53050" w:rsidP="00412E09">
      <w:pPr>
        <w:ind w:left="851" w:hanging="862"/>
      </w:pPr>
    </w:p>
    <w:p w14:paraId="48ED3F4D" w14:textId="410B486E" w:rsidR="00E53050" w:rsidRDefault="00134DA1" w:rsidP="00412E09">
      <w:pPr>
        <w:pStyle w:val="ListParagraph"/>
        <w:numPr>
          <w:ilvl w:val="1"/>
          <w:numId w:val="91"/>
        </w:numPr>
        <w:ind w:left="851" w:hanging="862"/>
        <w:rPr>
          <w:b/>
        </w:rPr>
      </w:pPr>
      <w:r>
        <w:rPr>
          <w:b/>
        </w:rPr>
        <w:t>The Committee may wish to recommend</w:t>
      </w:r>
      <w:r w:rsidR="00A5467D">
        <w:rPr>
          <w:b/>
        </w:rPr>
        <w:t xml:space="preserve"> that the </w:t>
      </w:r>
      <w:r w:rsidR="000F343C">
        <w:rPr>
          <w:b/>
        </w:rPr>
        <w:t>State Party</w:t>
      </w:r>
      <w:r w:rsidR="00A5467D">
        <w:rPr>
          <w:b/>
        </w:rPr>
        <w:t xml:space="preserve"> take</w:t>
      </w:r>
      <w:r w:rsidR="000F343C">
        <w:rPr>
          <w:b/>
        </w:rPr>
        <w:t>s</w:t>
      </w:r>
      <w:r w:rsidR="00E53050" w:rsidRPr="00E53050">
        <w:rPr>
          <w:b/>
        </w:rPr>
        <w:t xml:space="preserve"> </w:t>
      </w:r>
      <w:r w:rsidR="00E927C8">
        <w:rPr>
          <w:b/>
        </w:rPr>
        <w:t>prompt</w:t>
      </w:r>
      <w:r w:rsidR="00110363">
        <w:rPr>
          <w:b/>
        </w:rPr>
        <w:t xml:space="preserve"> and </w:t>
      </w:r>
      <w:r w:rsidR="00E927C8">
        <w:rPr>
          <w:b/>
        </w:rPr>
        <w:t>effective</w:t>
      </w:r>
      <w:r w:rsidR="00E53050" w:rsidRPr="00E53050">
        <w:rPr>
          <w:b/>
        </w:rPr>
        <w:t xml:space="preserve"> </w:t>
      </w:r>
      <w:r w:rsidR="00973FC8" w:rsidRPr="00E53050">
        <w:rPr>
          <w:b/>
        </w:rPr>
        <w:t>measures to</w:t>
      </w:r>
      <w:r w:rsidR="00E53050" w:rsidRPr="00E53050">
        <w:rPr>
          <w:b/>
        </w:rPr>
        <w:t xml:space="preserve"> ensure </w:t>
      </w:r>
      <w:r w:rsidR="00C432F7">
        <w:rPr>
          <w:b/>
        </w:rPr>
        <w:t>comprehensive,</w:t>
      </w:r>
      <w:r w:rsidR="00E53050" w:rsidRPr="00E53050">
        <w:rPr>
          <w:b/>
        </w:rPr>
        <w:t xml:space="preserve"> scientifically accurate</w:t>
      </w:r>
      <w:r w:rsidR="00C432F7">
        <w:rPr>
          <w:b/>
        </w:rPr>
        <w:t xml:space="preserve">, </w:t>
      </w:r>
      <w:r w:rsidR="00C432F7" w:rsidRPr="00E53050">
        <w:rPr>
          <w:b/>
        </w:rPr>
        <w:t>age-</w:t>
      </w:r>
      <w:r w:rsidR="00110363" w:rsidRPr="00E53050">
        <w:rPr>
          <w:b/>
        </w:rPr>
        <w:t>appropriate</w:t>
      </w:r>
      <w:r w:rsidR="00110363">
        <w:rPr>
          <w:b/>
        </w:rPr>
        <w:t xml:space="preserve"> </w:t>
      </w:r>
      <w:r w:rsidR="00110363" w:rsidRPr="00E53050">
        <w:rPr>
          <w:b/>
        </w:rPr>
        <w:t>relationships</w:t>
      </w:r>
      <w:r w:rsidR="00E53050" w:rsidRPr="00E53050">
        <w:rPr>
          <w:b/>
        </w:rPr>
        <w:t xml:space="preserve">, sexuality and gender identity education is </w:t>
      </w:r>
      <w:r w:rsidR="00670447">
        <w:rPr>
          <w:b/>
        </w:rPr>
        <w:t xml:space="preserve">delivered </w:t>
      </w:r>
      <w:r w:rsidR="00E53050" w:rsidRPr="00E53050">
        <w:rPr>
          <w:b/>
        </w:rPr>
        <w:t xml:space="preserve">in all schools </w:t>
      </w:r>
      <w:r w:rsidR="00661E0B">
        <w:rPr>
          <w:b/>
        </w:rPr>
        <w:t>in</w:t>
      </w:r>
      <w:r w:rsidR="00661E0B" w:rsidRPr="00E53050">
        <w:rPr>
          <w:b/>
        </w:rPr>
        <w:t xml:space="preserve"> </w:t>
      </w:r>
      <w:r w:rsidR="00E53050" w:rsidRPr="00E53050">
        <w:rPr>
          <w:b/>
        </w:rPr>
        <w:t>NI</w:t>
      </w:r>
      <w:r w:rsidR="00A5467D">
        <w:rPr>
          <w:b/>
        </w:rPr>
        <w:t>.</w:t>
      </w:r>
    </w:p>
    <w:p w14:paraId="6A07409F" w14:textId="12173104" w:rsidR="004D533C" w:rsidRDefault="004D533C" w:rsidP="00412E09">
      <w:pPr>
        <w:ind w:left="851" w:hanging="862"/>
        <w:rPr>
          <w:bCs/>
        </w:rPr>
      </w:pPr>
    </w:p>
    <w:p w14:paraId="5AFF0194" w14:textId="4CF43AD4" w:rsidR="00FD77AC" w:rsidRPr="00CD02CE" w:rsidRDefault="004D533C" w:rsidP="00412E09">
      <w:pPr>
        <w:pStyle w:val="Heading2"/>
        <w:ind w:left="851" w:hanging="862"/>
        <w:rPr>
          <w:bCs/>
        </w:rPr>
      </w:pPr>
      <w:bookmarkStart w:id="57" w:name="_Toc121922221"/>
      <w:r w:rsidRPr="00587912">
        <w:t>C</w:t>
      </w:r>
      <w:r>
        <w:t>limate change</w:t>
      </w:r>
      <w:bookmarkEnd w:id="57"/>
    </w:p>
    <w:p w14:paraId="50E0B7F0" w14:textId="55B438FD" w:rsidR="001909FF" w:rsidRPr="001909FF" w:rsidRDefault="00CD02CE" w:rsidP="00412E09">
      <w:pPr>
        <w:pStyle w:val="ListParagraph"/>
        <w:numPr>
          <w:ilvl w:val="1"/>
          <w:numId w:val="91"/>
        </w:numPr>
        <w:ind w:left="851" w:hanging="862"/>
        <w:rPr>
          <w:bCs/>
        </w:rPr>
      </w:pPr>
      <w:r>
        <w:rPr>
          <w:color w:val="000000"/>
        </w:rPr>
        <w:t xml:space="preserve">In 2021, </w:t>
      </w:r>
      <w:r w:rsidR="00254E80">
        <w:rPr>
          <w:color w:val="000000"/>
        </w:rPr>
        <w:t xml:space="preserve">the Belfast Climate Commission published </w:t>
      </w:r>
      <w:r w:rsidR="00B7260A">
        <w:rPr>
          <w:color w:val="000000"/>
        </w:rPr>
        <w:t>a survey completed by 1,200 young people</w:t>
      </w:r>
      <w:r w:rsidR="00BC70C3">
        <w:rPr>
          <w:color w:val="000000"/>
        </w:rPr>
        <w:t xml:space="preserve">, </w:t>
      </w:r>
      <w:r w:rsidR="00417EA7">
        <w:rPr>
          <w:color w:val="000000"/>
        </w:rPr>
        <w:t xml:space="preserve">which </w:t>
      </w:r>
      <w:r w:rsidR="00454A41">
        <w:rPr>
          <w:color w:val="000000"/>
        </w:rPr>
        <w:t>revealed that 30 per cent had been directly affected by climate change.</w:t>
      </w:r>
      <w:r w:rsidR="00285BC9">
        <w:rPr>
          <w:rStyle w:val="FootnoteReference"/>
          <w:color w:val="000000"/>
        </w:rPr>
        <w:footnoteReference w:id="220"/>
      </w:r>
      <w:r w:rsidR="00454A41">
        <w:rPr>
          <w:color w:val="000000"/>
        </w:rPr>
        <w:t xml:space="preserve"> Of those that had been affected, 41 per cent experienced anxiety as a result</w:t>
      </w:r>
      <w:r w:rsidR="001909FF">
        <w:rPr>
          <w:color w:val="000000"/>
        </w:rPr>
        <w:t>.</w:t>
      </w:r>
    </w:p>
    <w:p w14:paraId="74F0138F" w14:textId="77777777" w:rsidR="001909FF" w:rsidRPr="001909FF" w:rsidRDefault="001909FF" w:rsidP="00412E09">
      <w:pPr>
        <w:pStyle w:val="ListParagraph"/>
        <w:ind w:left="851" w:hanging="862"/>
        <w:rPr>
          <w:bCs/>
        </w:rPr>
      </w:pPr>
    </w:p>
    <w:p w14:paraId="1AEF0C1B" w14:textId="1C66014B" w:rsidR="00E357E8" w:rsidRPr="001507E0" w:rsidRDefault="000F3B57" w:rsidP="00412E09">
      <w:pPr>
        <w:pStyle w:val="ListParagraph"/>
        <w:numPr>
          <w:ilvl w:val="1"/>
          <w:numId w:val="91"/>
        </w:numPr>
        <w:ind w:left="851" w:hanging="862"/>
        <w:rPr>
          <w:bCs/>
        </w:rPr>
      </w:pPr>
      <w:r w:rsidRPr="004D3C10">
        <w:rPr>
          <w:color w:val="000000"/>
        </w:rPr>
        <w:t>In 2021, the NI Executive published a strategy outlining a roadmap to deliver a 56 per cent reduction in NI’s energy-related emissions by 2030, on the pathway to deliver net zero by 2050.</w:t>
      </w:r>
      <w:r>
        <w:rPr>
          <w:rStyle w:val="FootnoteReference"/>
        </w:rPr>
        <w:footnoteReference w:id="221"/>
      </w:r>
      <w:r w:rsidRPr="004D3C10">
        <w:rPr>
          <w:color w:val="000000"/>
        </w:rPr>
        <w:t xml:space="preserve"> </w:t>
      </w:r>
      <w:r w:rsidR="00971DDD">
        <w:rPr>
          <w:color w:val="000000"/>
        </w:rPr>
        <w:t>A</w:t>
      </w:r>
      <w:r w:rsidRPr="004D3C10">
        <w:rPr>
          <w:color w:val="000000"/>
        </w:rPr>
        <w:t xml:space="preserve"> consultation was undertaken on NI’s first overarching </w:t>
      </w:r>
      <w:r w:rsidR="004D3C10">
        <w:rPr>
          <w:color w:val="000000"/>
        </w:rPr>
        <w:t>E</w:t>
      </w:r>
      <w:r w:rsidRPr="004D3C10">
        <w:rPr>
          <w:color w:val="000000"/>
        </w:rPr>
        <w:t xml:space="preserve">nvironment </w:t>
      </w:r>
      <w:r w:rsidR="004D3C10">
        <w:rPr>
          <w:color w:val="000000"/>
        </w:rPr>
        <w:t>S</w:t>
      </w:r>
      <w:r w:rsidRPr="004D3C10">
        <w:rPr>
          <w:color w:val="000000"/>
        </w:rPr>
        <w:t>trategy</w:t>
      </w:r>
      <w:r w:rsidR="00432D6A" w:rsidRPr="004D3C10">
        <w:rPr>
          <w:color w:val="000000"/>
        </w:rPr>
        <w:t>,</w:t>
      </w:r>
      <w:r w:rsidR="007331BF">
        <w:rPr>
          <w:color w:val="000000"/>
        </w:rPr>
        <w:t xml:space="preserve"> </w:t>
      </w:r>
      <w:r w:rsidR="00A03D2C">
        <w:rPr>
          <w:color w:val="000000"/>
        </w:rPr>
        <w:t xml:space="preserve">further </w:t>
      </w:r>
      <w:r w:rsidR="00B7495C" w:rsidRPr="004D3C10">
        <w:rPr>
          <w:color w:val="000000"/>
        </w:rPr>
        <w:t xml:space="preserve">progress </w:t>
      </w:r>
      <w:r w:rsidR="00AB0997">
        <w:rPr>
          <w:color w:val="000000"/>
        </w:rPr>
        <w:t>is</w:t>
      </w:r>
      <w:r w:rsidR="00B7495C" w:rsidRPr="004D3C10">
        <w:rPr>
          <w:color w:val="000000"/>
        </w:rPr>
        <w:t xml:space="preserve"> subject to </w:t>
      </w:r>
      <w:r w:rsidR="004D3C10" w:rsidRPr="004D3C10">
        <w:rPr>
          <w:color w:val="000000"/>
        </w:rPr>
        <w:t>a functioning NI Executive and NI Assembly.</w:t>
      </w:r>
      <w:r w:rsidR="00153826">
        <w:rPr>
          <w:rStyle w:val="FootnoteReference"/>
          <w:color w:val="000000"/>
        </w:rPr>
        <w:footnoteReference w:id="222"/>
      </w:r>
      <w:r w:rsidR="004D3C10" w:rsidRPr="004D3C10">
        <w:rPr>
          <w:color w:val="000000"/>
        </w:rPr>
        <w:t xml:space="preserve"> </w:t>
      </w:r>
    </w:p>
    <w:p w14:paraId="5C178F51" w14:textId="77777777" w:rsidR="001507E0" w:rsidRPr="001507E0" w:rsidRDefault="001507E0" w:rsidP="001507E0">
      <w:pPr>
        <w:pStyle w:val="ListParagraph"/>
        <w:rPr>
          <w:bCs/>
        </w:rPr>
      </w:pPr>
    </w:p>
    <w:p w14:paraId="3E65EF91" w14:textId="1596900D" w:rsidR="0068410E" w:rsidRDefault="0068410E" w:rsidP="0068410E">
      <w:pPr>
        <w:pStyle w:val="ListParagraph"/>
        <w:numPr>
          <w:ilvl w:val="1"/>
          <w:numId w:val="91"/>
        </w:numPr>
        <w:ind w:left="851" w:hanging="862"/>
        <w:rPr>
          <w:bCs/>
        </w:rPr>
      </w:pPr>
      <w:r>
        <w:rPr>
          <w:bCs/>
        </w:rPr>
        <w:t xml:space="preserve">In 2021, </w:t>
      </w:r>
      <w:r w:rsidR="00253F6F">
        <w:rPr>
          <w:bCs/>
        </w:rPr>
        <w:t xml:space="preserve">it was reported that </w:t>
      </w:r>
      <w:r>
        <w:rPr>
          <w:bCs/>
        </w:rPr>
        <w:t>air pollutants in parts of NI were</w:t>
      </w:r>
      <w:r w:rsidR="00253F6F">
        <w:rPr>
          <w:bCs/>
        </w:rPr>
        <w:t xml:space="preserve"> </w:t>
      </w:r>
      <w:r>
        <w:rPr>
          <w:bCs/>
        </w:rPr>
        <w:t>exceeding air quality objectives, including those set by the World Health Organisation.</w:t>
      </w:r>
      <w:r>
        <w:rPr>
          <w:rStyle w:val="FootnoteReference"/>
          <w:bCs/>
        </w:rPr>
        <w:footnoteReference w:id="223"/>
      </w:r>
      <w:r>
        <w:rPr>
          <w:bCs/>
        </w:rPr>
        <w:t xml:space="preserve"> Research</w:t>
      </w:r>
      <w:r w:rsidRPr="0086262A">
        <w:rPr>
          <w:bCs/>
        </w:rPr>
        <w:t xml:space="preserve"> reveal</w:t>
      </w:r>
      <w:r>
        <w:rPr>
          <w:bCs/>
        </w:rPr>
        <w:t>s</w:t>
      </w:r>
      <w:r w:rsidRPr="0086262A">
        <w:rPr>
          <w:bCs/>
        </w:rPr>
        <w:t xml:space="preserve"> that high levels of air pollution have a harmful effect on health, increasing the risk of heart attack or stroke and disproportionately impacting </w:t>
      </w:r>
      <w:r>
        <w:rPr>
          <w:bCs/>
        </w:rPr>
        <w:t xml:space="preserve">upon </w:t>
      </w:r>
      <w:r w:rsidRPr="0086262A">
        <w:rPr>
          <w:bCs/>
        </w:rPr>
        <w:t>those most vulnerable, including children.</w:t>
      </w:r>
      <w:r>
        <w:rPr>
          <w:rStyle w:val="FootnoteReference"/>
          <w:bCs/>
        </w:rPr>
        <w:footnoteReference w:id="224"/>
      </w:r>
      <w:r w:rsidRPr="0086262A">
        <w:rPr>
          <w:bCs/>
        </w:rPr>
        <w:t xml:space="preserve"> In December 2022, health alert</w:t>
      </w:r>
      <w:r>
        <w:rPr>
          <w:bCs/>
        </w:rPr>
        <w:t>s were issued</w:t>
      </w:r>
      <w:r w:rsidRPr="0086262A">
        <w:rPr>
          <w:bCs/>
        </w:rPr>
        <w:t xml:space="preserve"> to residents in parts of Northwest NI to advise of </w:t>
      </w:r>
      <w:r>
        <w:rPr>
          <w:bCs/>
        </w:rPr>
        <w:t xml:space="preserve">persistently </w:t>
      </w:r>
      <w:r w:rsidRPr="0086262A">
        <w:rPr>
          <w:bCs/>
        </w:rPr>
        <w:t>high air pollution from particle matter.</w:t>
      </w:r>
      <w:r>
        <w:rPr>
          <w:rStyle w:val="FootnoteReference"/>
          <w:bCs/>
        </w:rPr>
        <w:footnoteReference w:id="225"/>
      </w:r>
      <w:r w:rsidRPr="0086262A">
        <w:rPr>
          <w:bCs/>
        </w:rPr>
        <w:t xml:space="preserve"> </w:t>
      </w:r>
    </w:p>
    <w:p w14:paraId="14D47172" w14:textId="77777777" w:rsidR="0068410E" w:rsidRPr="0068410E" w:rsidRDefault="0068410E" w:rsidP="0068410E">
      <w:pPr>
        <w:rPr>
          <w:bCs/>
        </w:rPr>
      </w:pPr>
    </w:p>
    <w:p w14:paraId="3ED9CC5F" w14:textId="23F2A852" w:rsidR="0086262A" w:rsidRPr="0086262A" w:rsidRDefault="0086262A" w:rsidP="0086262A">
      <w:pPr>
        <w:pStyle w:val="ListParagraph"/>
        <w:numPr>
          <w:ilvl w:val="1"/>
          <w:numId w:val="91"/>
        </w:numPr>
        <w:ind w:left="851" w:hanging="862"/>
        <w:rPr>
          <w:bCs/>
        </w:rPr>
      </w:pPr>
      <w:r w:rsidRPr="000F3B57">
        <w:rPr>
          <w:color w:val="000000"/>
        </w:rPr>
        <w:t>In June 2022, the Climate Change Act (NI) 2022 was given Royal Assent.</w:t>
      </w:r>
      <w:r>
        <w:rPr>
          <w:rStyle w:val="FootnoteReference"/>
        </w:rPr>
        <w:footnoteReference w:id="226"/>
      </w:r>
      <w:r w:rsidRPr="000F3B57">
        <w:rPr>
          <w:color w:val="000000"/>
        </w:rPr>
        <w:t xml:space="preserve"> </w:t>
      </w:r>
      <w:r>
        <w:rPr>
          <w:color w:val="000000"/>
        </w:rPr>
        <w:t>The</w:t>
      </w:r>
      <w:r w:rsidRPr="000F3B57">
        <w:rPr>
          <w:color w:val="000000"/>
        </w:rPr>
        <w:t xml:space="preserve"> Climate Change</w:t>
      </w:r>
      <w:r>
        <w:rPr>
          <w:color w:val="000000"/>
        </w:rPr>
        <w:t xml:space="preserve"> Committee</w:t>
      </w:r>
      <w:r w:rsidRPr="000F3B57">
        <w:rPr>
          <w:color w:val="000000"/>
        </w:rPr>
        <w:t xml:space="preserve"> noted that NI was </w:t>
      </w:r>
      <w:r>
        <w:rPr>
          <w:color w:val="000000"/>
        </w:rPr>
        <w:t>needed</w:t>
      </w:r>
      <w:r w:rsidRPr="000F3B57">
        <w:rPr>
          <w:color w:val="000000"/>
        </w:rPr>
        <w:t xml:space="preserve"> a “major step-up in policy and rapid progress over the 2020s”.</w:t>
      </w:r>
      <w:r>
        <w:rPr>
          <w:rStyle w:val="FootnoteReference"/>
        </w:rPr>
        <w:footnoteReference w:id="227"/>
      </w:r>
      <w:r w:rsidRPr="000F3B57">
        <w:rPr>
          <w:color w:val="000000"/>
        </w:rPr>
        <w:t xml:space="preserve"> </w:t>
      </w:r>
      <w:r>
        <w:rPr>
          <w:color w:val="000000"/>
        </w:rPr>
        <w:t xml:space="preserve">It </w:t>
      </w:r>
      <w:r w:rsidRPr="000F3B57">
        <w:rPr>
          <w:color w:val="000000"/>
        </w:rPr>
        <w:t xml:space="preserve">found major failures in delivery programmes and </w:t>
      </w:r>
      <w:r>
        <w:rPr>
          <w:color w:val="000000"/>
        </w:rPr>
        <w:t xml:space="preserve">that </w:t>
      </w:r>
      <w:r w:rsidRPr="000F3B57">
        <w:rPr>
          <w:color w:val="000000"/>
        </w:rPr>
        <w:t>“progress has been slow in NI, largely due to agriculture being the dominant sector and emissions remaining fairly flat”.</w:t>
      </w:r>
      <w:r>
        <w:rPr>
          <w:rStyle w:val="FootnoteReference"/>
          <w:color w:val="000000"/>
        </w:rPr>
        <w:footnoteReference w:id="228"/>
      </w:r>
    </w:p>
    <w:p w14:paraId="59851A67" w14:textId="77777777" w:rsidR="00654F63" w:rsidRPr="00654F63" w:rsidRDefault="00654F63" w:rsidP="00412E09">
      <w:pPr>
        <w:ind w:left="851" w:hanging="862"/>
        <w:rPr>
          <w:bCs/>
        </w:rPr>
      </w:pPr>
    </w:p>
    <w:p w14:paraId="3CCECE5D" w14:textId="4B987FFB" w:rsidR="001D7692" w:rsidRDefault="00134DA1" w:rsidP="00412E09">
      <w:pPr>
        <w:pStyle w:val="ListParagraph"/>
        <w:numPr>
          <w:ilvl w:val="1"/>
          <w:numId w:val="91"/>
        </w:numPr>
        <w:ind w:left="851" w:hanging="862"/>
        <w:rPr>
          <w:b/>
        </w:rPr>
      </w:pPr>
      <w:r>
        <w:rPr>
          <w:b/>
        </w:rPr>
        <w:t>The Committee may wish to recommend</w:t>
      </w:r>
      <w:r w:rsidR="008A3F2B" w:rsidRPr="00374A65">
        <w:rPr>
          <w:b/>
        </w:rPr>
        <w:t xml:space="preserve"> that the </w:t>
      </w:r>
      <w:r w:rsidR="00F87151">
        <w:rPr>
          <w:b/>
        </w:rPr>
        <w:t xml:space="preserve">State Party ensures that </w:t>
      </w:r>
      <w:r w:rsidR="00374A65" w:rsidRPr="00F87151">
        <w:rPr>
          <w:b/>
        </w:rPr>
        <w:t xml:space="preserve">climate justice values are adopted in all laws and policies </w:t>
      </w:r>
      <w:r w:rsidR="00B6758F">
        <w:rPr>
          <w:b/>
        </w:rPr>
        <w:t>in NI</w:t>
      </w:r>
      <w:r w:rsidR="00F87151">
        <w:rPr>
          <w:b/>
        </w:rPr>
        <w:t xml:space="preserve"> that are </w:t>
      </w:r>
      <w:r w:rsidR="00374A65" w:rsidRPr="00F87151">
        <w:rPr>
          <w:b/>
        </w:rPr>
        <w:t>aimed at tackling climate change, including ensuring there is a focus on the specific needs of and preventative measures for those most affected</w:t>
      </w:r>
      <w:r w:rsidR="001D7692">
        <w:rPr>
          <w:b/>
        </w:rPr>
        <w:t xml:space="preserve">, including children. </w:t>
      </w:r>
      <w:r w:rsidR="009D4271">
        <w:rPr>
          <w:b/>
          <w:bCs/>
        </w:rPr>
        <w:t xml:space="preserve">This includes taking </w:t>
      </w:r>
      <w:r w:rsidR="009D4271" w:rsidRPr="009D4271">
        <w:rPr>
          <w:b/>
          <w:bCs/>
        </w:rPr>
        <w:t xml:space="preserve">steps to monitor </w:t>
      </w:r>
      <w:r w:rsidR="007A1C00">
        <w:rPr>
          <w:b/>
          <w:bCs/>
        </w:rPr>
        <w:t xml:space="preserve">and address poor </w:t>
      </w:r>
      <w:r w:rsidR="009D4271" w:rsidRPr="009D4271">
        <w:rPr>
          <w:b/>
          <w:bCs/>
        </w:rPr>
        <w:t>air quality in NI.</w:t>
      </w:r>
    </w:p>
    <w:p w14:paraId="2D6782FC" w14:textId="0F06D8D8" w:rsidR="008638A2" w:rsidRPr="008638A2" w:rsidRDefault="008638A2" w:rsidP="008638A2">
      <w:pPr>
        <w:rPr>
          <w:b/>
        </w:rPr>
      </w:pPr>
    </w:p>
    <w:p w14:paraId="7D5D64EE" w14:textId="266CE084" w:rsidR="00A72901" w:rsidRPr="00587912" w:rsidRDefault="00495BC2" w:rsidP="00412E09">
      <w:pPr>
        <w:pStyle w:val="Heading1"/>
        <w:spacing w:before="0"/>
        <w:ind w:left="851" w:hanging="862"/>
      </w:pPr>
      <w:bookmarkStart w:id="58" w:name="_Toc121922222"/>
      <w:r>
        <w:t>1</w:t>
      </w:r>
      <w:r w:rsidR="00CF41DB">
        <w:t>5</w:t>
      </w:r>
      <w:r w:rsidR="00CA6B45">
        <w:t>.0</w:t>
      </w:r>
      <w:r w:rsidR="00CA6B45">
        <w:tab/>
      </w:r>
      <w:r w:rsidR="00B17B48">
        <w:t>Article 26 – Social S</w:t>
      </w:r>
      <w:r w:rsidR="00FB6136" w:rsidRPr="000C7992">
        <w:t>ecurity</w:t>
      </w:r>
      <w:bookmarkEnd w:id="58"/>
    </w:p>
    <w:p w14:paraId="7E16CCCA" w14:textId="6CF5EB37" w:rsidR="00CA6B45" w:rsidRPr="00FF5FEE" w:rsidRDefault="00083E16" w:rsidP="00412E09">
      <w:pPr>
        <w:pStyle w:val="Heading2"/>
        <w:ind w:left="851" w:hanging="862"/>
        <w:rPr>
          <w:szCs w:val="22"/>
        </w:rPr>
      </w:pPr>
      <w:bookmarkStart w:id="59" w:name="_Toc121922223"/>
      <w:r w:rsidRPr="00587912">
        <w:rPr>
          <w:szCs w:val="22"/>
        </w:rPr>
        <w:t>Cumulative impact assessment</w:t>
      </w:r>
      <w:bookmarkEnd w:id="59"/>
    </w:p>
    <w:p w14:paraId="6CCD083B" w14:textId="77777777" w:rsidR="00CA6B45" w:rsidRPr="00CA6B45" w:rsidRDefault="00CA6B45" w:rsidP="00E07C10">
      <w:pPr>
        <w:pStyle w:val="ListParagraph"/>
        <w:numPr>
          <w:ilvl w:val="0"/>
          <w:numId w:val="102"/>
        </w:numPr>
        <w:shd w:val="clear" w:color="auto" w:fill="FFFFFF"/>
        <w:spacing w:before="100" w:beforeAutospacing="1" w:after="100" w:afterAutospacing="1" w:line="276" w:lineRule="auto"/>
        <w:ind w:left="851" w:hanging="862"/>
        <w:rPr>
          <w:vanish/>
        </w:rPr>
      </w:pPr>
    </w:p>
    <w:p w14:paraId="73FDB2DD" w14:textId="4BBE7763" w:rsidR="00CA6B45" w:rsidRDefault="00CA6B45" w:rsidP="00253F6F">
      <w:pPr>
        <w:pStyle w:val="ListParagraph"/>
        <w:numPr>
          <w:ilvl w:val="1"/>
          <w:numId w:val="103"/>
        </w:numPr>
        <w:shd w:val="clear" w:color="auto" w:fill="FFFFFF"/>
        <w:spacing w:before="100" w:beforeAutospacing="1" w:after="100" w:afterAutospacing="1" w:line="276" w:lineRule="auto"/>
      </w:pPr>
      <w:r>
        <w:t>The Committee recommended that the UK conduct a cumulative impact assessment of social security and tax reforms to assess their impact on children.</w:t>
      </w:r>
      <w:r w:rsidR="00EE5CFC" w:rsidRPr="00587912">
        <w:rPr>
          <w:rStyle w:val="FootnoteReference"/>
        </w:rPr>
        <w:footnoteReference w:id="229"/>
      </w:r>
      <w:r w:rsidR="00EE5CFC" w:rsidRPr="00587912">
        <w:t xml:space="preserve"> </w:t>
      </w:r>
      <w:r>
        <w:t>The UK Government has not conducted the recommended</w:t>
      </w:r>
      <w:r w:rsidR="00EE5CFC" w:rsidRPr="00587912">
        <w:t xml:space="preserve"> assess</w:t>
      </w:r>
      <w:r w:rsidR="00A34653" w:rsidRPr="00587912">
        <w:t>ment</w:t>
      </w:r>
      <w:r w:rsidR="00094ACF">
        <w:t>,</w:t>
      </w:r>
      <w:r w:rsidR="00A34653" w:rsidRPr="00587912">
        <w:t xml:space="preserve"> </w:t>
      </w:r>
      <w:r w:rsidR="00EE5CFC" w:rsidRPr="00587912">
        <w:t>citing modelling difficulties.</w:t>
      </w:r>
      <w:r w:rsidR="00EE5CFC" w:rsidRPr="00587912">
        <w:rPr>
          <w:rStyle w:val="FootnoteReference"/>
        </w:rPr>
        <w:footnoteReference w:id="230"/>
      </w:r>
      <w:r w:rsidR="00A34653" w:rsidRPr="00587912">
        <w:t xml:space="preserve"> </w:t>
      </w:r>
    </w:p>
    <w:p w14:paraId="4F3F2A7E" w14:textId="77777777" w:rsidR="00CA6B45" w:rsidRDefault="00CA6B45" w:rsidP="00412E09">
      <w:pPr>
        <w:pStyle w:val="ListParagraph"/>
        <w:shd w:val="clear" w:color="auto" w:fill="FFFFFF"/>
        <w:spacing w:before="100" w:beforeAutospacing="1" w:after="100" w:afterAutospacing="1" w:line="276" w:lineRule="auto"/>
        <w:ind w:left="851" w:hanging="862"/>
      </w:pPr>
    </w:p>
    <w:p w14:paraId="137E15F7" w14:textId="03C60652" w:rsidR="00611998" w:rsidRDefault="00CA6B45" w:rsidP="00253F6F">
      <w:pPr>
        <w:pStyle w:val="ListParagraph"/>
        <w:numPr>
          <w:ilvl w:val="1"/>
          <w:numId w:val="103"/>
        </w:numPr>
        <w:shd w:val="clear" w:color="auto" w:fill="FFFFFF"/>
        <w:spacing w:before="100" w:beforeAutospacing="1" w:after="100" w:afterAutospacing="1" w:line="276" w:lineRule="auto"/>
        <w:ind w:left="851" w:hanging="862"/>
      </w:pPr>
      <w:r>
        <w:t>I</w:t>
      </w:r>
      <w:r w:rsidR="00EE5CFC" w:rsidRPr="00587912">
        <w:t xml:space="preserve">n 2019, the NIHRC published a cumulative impact assessment for </w:t>
      </w:r>
      <w:r>
        <w:t>NI</w:t>
      </w:r>
      <w:r w:rsidR="00EE5CFC" w:rsidRPr="00587912">
        <w:t>.</w:t>
      </w:r>
      <w:r w:rsidR="00EE5CFC" w:rsidRPr="00587912">
        <w:rPr>
          <w:rStyle w:val="FootnoteReference"/>
        </w:rPr>
        <w:footnoteReference w:id="231"/>
      </w:r>
      <w:r w:rsidR="00EE5CFC" w:rsidRPr="00587912">
        <w:t xml:space="preserve"> </w:t>
      </w:r>
      <w:r>
        <w:t xml:space="preserve">It found that the </w:t>
      </w:r>
      <w:r w:rsidR="00F2333A">
        <w:t xml:space="preserve">annual </w:t>
      </w:r>
      <w:r>
        <w:t>average cash losses are greater for households with children and the more children, the greater the loss. The average cash losses for households with three or more children (around £2,575) are almost six times the average cash losses for households with two children and over fifty times the average case losses for households with one child.</w:t>
      </w:r>
      <w:r w:rsidR="00611998">
        <w:rPr>
          <w:rStyle w:val="FootnoteReference"/>
        </w:rPr>
        <w:footnoteReference w:id="232"/>
      </w:r>
      <w:r w:rsidR="00611998">
        <w:t xml:space="preserve"> </w:t>
      </w:r>
    </w:p>
    <w:p w14:paraId="191DF2F3" w14:textId="77777777" w:rsidR="00611998" w:rsidRDefault="00611998" w:rsidP="00412E09">
      <w:pPr>
        <w:pStyle w:val="ListParagraph"/>
        <w:ind w:left="851" w:hanging="862"/>
      </w:pPr>
    </w:p>
    <w:p w14:paraId="502788D8" w14:textId="57CA50A7" w:rsidR="006240B3" w:rsidRDefault="00611998" w:rsidP="00253F6F">
      <w:pPr>
        <w:pStyle w:val="ListParagraph"/>
        <w:numPr>
          <w:ilvl w:val="1"/>
          <w:numId w:val="103"/>
        </w:numPr>
        <w:shd w:val="clear" w:color="auto" w:fill="FFFFFF"/>
        <w:spacing w:before="100" w:beforeAutospacing="1" w:after="100" w:afterAutospacing="1" w:line="276" w:lineRule="auto"/>
        <w:ind w:left="851" w:hanging="862"/>
      </w:pPr>
      <w:r>
        <w:t>Lone parent households are particularly affected, losing around £2,250</w:t>
      </w:r>
      <w:r w:rsidR="00F2333A">
        <w:t xml:space="preserve"> a year</w:t>
      </w:r>
      <w:r>
        <w:t xml:space="preserve"> on average, which is almost 10 per cent of their net income.</w:t>
      </w:r>
      <w:r>
        <w:rPr>
          <w:rStyle w:val="FootnoteReference"/>
        </w:rPr>
        <w:footnoteReference w:id="233"/>
      </w:r>
      <w:r>
        <w:t xml:space="preserve"> Additionally, households with at least one disabled child experience</w:t>
      </w:r>
      <w:r w:rsidR="00F2333A">
        <w:t xml:space="preserve"> greater</w:t>
      </w:r>
      <w:r>
        <w:t xml:space="preserve"> average losses</w:t>
      </w:r>
      <w:r w:rsidR="00F2333A">
        <w:t xml:space="preserve"> than households without a disabled child</w:t>
      </w:r>
      <w:r>
        <w:t xml:space="preserve"> </w:t>
      </w:r>
      <w:r w:rsidR="00F2333A">
        <w:t xml:space="preserve">amounting to </w:t>
      </w:r>
      <w:r>
        <w:t>£2,000 per year due to the reforms.</w:t>
      </w:r>
      <w:r>
        <w:rPr>
          <w:rStyle w:val="FootnoteReference"/>
        </w:rPr>
        <w:footnoteReference w:id="234"/>
      </w:r>
    </w:p>
    <w:p w14:paraId="01765EF7" w14:textId="77777777" w:rsidR="00611998" w:rsidRDefault="00611998" w:rsidP="00412E09">
      <w:pPr>
        <w:pStyle w:val="ListParagraph"/>
        <w:ind w:left="851" w:hanging="862"/>
      </w:pPr>
    </w:p>
    <w:p w14:paraId="2D8510E5" w14:textId="7508B433" w:rsidR="00BA6DE7" w:rsidRPr="00487506" w:rsidRDefault="00134DA1" w:rsidP="00253F6F">
      <w:pPr>
        <w:pStyle w:val="ListParagraph"/>
        <w:numPr>
          <w:ilvl w:val="1"/>
          <w:numId w:val="103"/>
        </w:numPr>
        <w:shd w:val="clear" w:color="auto" w:fill="FFFFFF"/>
        <w:spacing w:before="100" w:beforeAutospacing="1" w:after="100" w:afterAutospacing="1" w:line="276" w:lineRule="auto"/>
        <w:ind w:left="851" w:hanging="862"/>
        <w:rPr>
          <w:b/>
        </w:rPr>
      </w:pPr>
      <w:r>
        <w:rPr>
          <w:b/>
        </w:rPr>
        <w:t>The Committee may wish to recommend</w:t>
      </w:r>
      <w:r w:rsidR="007C5EE1">
        <w:rPr>
          <w:b/>
        </w:rPr>
        <w:t xml:space="preserve"> that the </w:t>
      </w:r>
      <w:r w:rsidR="00BD1986">
        <w:rPr>
          <w:b/>
        </w:rPr>
        <w:t>State Party</w:t>
      </w:r>
      <w:r w:rsidR="00010616">
        <w:rPr>
          <w:b/>
        </w:rPr>
        <w:t xml:space="preserve"> </w:t>
      </w:r>
      <w:r w:rsidR="00010616" w:rsidRPr="00BD1986">
        <w:rPr>
          <w:b/>
        </w:rPr>
        <w:t>conduct</w:t>
      </w:r>
      <w:r w:rsidR="00BD1986">
        <w:rPr>
          <w:b/>
        </w:rPr>
        <w:t>s</w:t>
      </w:r>
      <w:r w:rsidR="00010616">
        <w:rPr>
          <w:b/>
        </w:rPr>
        <w:t xml:space="preserve"> and </w:t>
      </w:r>
      <w:r w:rsidR="00010616" w:rsidRPr="00BD1986">
        <w:rPr>
          <w:b/>
        </w:rPr>
        <w:t>publish</w:t>
      </w:r>
      <w:r w:rsidR="00BD1986">
        <w:rPr>
          <w:b/>
        </w:rPr>
        <w:t>es</w:t>
      </w:r>
      <w:r w:rsidR="00611998" w:rsidRPr="00611998">
        <w:rPr>
          <w:b/>
        </w:rPr>
        <w:t xml:space="preserve"> regular</w:t>
      </w:r>
      <w:r w:rsidR="009442A3">
        <w:rPr>
          <w:b/>
        </w:rPr>
        <w:t xml:space="preserve"> </w:t>
      </w:r>
      <w:r w:rsidR="00611998" w:rsidRPr="00611998">
        <w:rPr>
          <w:b/>
        </w:rPr>
        <w:t>cumulative impact assessments of existing and future tax and social security reforms</w:t>
      </w:r>
      <w:r w:rsidR="00C0341E">
        <w:rPr>
          <w:b/>
        </w:rPr>
        <w:t xml:space="preserve"> in NI</w:t>
      </w:r>
      <w:r w:rsidR="00C74C24">
        <w:rPr>
          <w:b/>
        </w:rPr>
        <w:t xml:space="preserve">, </w:t>
      </w:r>
      <w:r w:rsidR="007672F9">
        <w:rPr>
          <w:b/>
        </w:rPr>
        <w:t xml:space="preserve">which </w:t>
      </w:r>
      <w:r w:rsidR="00C74C24">
        <w:rPr>
          <w:b/>
        </w:rPr>
        <w:t>include a focus on</w:t>
      </w:r>
      <w:r w:rsidR="00611998" w:rsidRPr="00611998">
        <w:rPr>
          <w:b/>
        </w:rPr>
        <w:t xml:space="preserve"> </w:t>
      </w:r>
      <w:r w:rsidR="00477E4C">
        <w:rPr>
          <w:b/>
        </w:rPr>
        <w:t>children</w:t>
      </w:r>
      <w:r w:rsidR="0028020F">
        <w:rPr>
          <w:b/>
        </w:rPr>
        <w:t>. These</w:t>
      </w:r>
      <w:r w:rsidR="00BA6DE7">
        <w:rPr>
          <w:b/>
        </w:rPr>
        <w:t xml:space="preserve"> assessments </w:t>
      </w:r>
      <w:r w:rsidR="0028020F">
        <w:rPr>
          <w:b/>
        </w:rPr>
        <w:t xml:space="preserve">should </w:t>
      </w:r>
      <w:r w:rsidR="00EF34AF">
        <w:rPr>
          <w:b/>
        </w:rPr>
        <w:t xml:space="preserve">be used </w:t>
      </w:r>
      <w:r w:rsidR="00BA6DE7">
        <w:rPr>
          <w:b/>
        </w:rPr>
        <w:t>to inform legislative changes, policy developments and decision-making where relevant.</w:t>
      </w:r>
    </w:p>
    <w:p w14:paraId="439B2AB5" w14:textId="4821FEE1" w:rsidR="00083E16" w:rsidRDefault="00F0770F" w:rsidP="00412E09">
      <w:pPr>
        <w:pStyle w:val="Heading2"/>
        <w:ind w:left="851" w:hanging="862"/>
      </w:pPr>
      <w:bookmarkStart w:id="60" w:name="_Toc121922224"/>
      <w:r w:rsidRPr="00E340F3">
        <w:t>Mitigation package</w:t>
      </w:r>
      <w:bookmarkEnd w:id="60"/>
    </w:p>
    <w:p w14:paraId="5646105A" w14:textId="593DA7A7" w:rsidR="00460D87" w:rsidRPr="00460D87" w:rsidRDefault="00E340F3" w:rsidP="00253F6F">
      <w:pPr>
        <w:pStyle w:val="ListParagraph"/>
        <w:numPr>
          <w:ilvl w:val="1"/>
          <w:numId w:val="103"/>
        </w:numPr>
        <w:ind w:left="851" w:hanging="862"/>
      </w:pPr>
      <w:r>
        <w:rPr>
          <w:color w:val="000000"/>
        </w:rPr>
        <w:t>Since 2016, a</w:t>
      </w:r>
      <w:r w:rsidR="007F0145">
        <w:rPr>
          <w:color w:val="000000"/>
        </w:rPr>
        <w:t xml:space="preserve"> financial package for mitigation social security reforms has been operational in NI. </w:t>
      </w:r>
      <w:r w:rsidR="007F0145" w:rsidRPr="00DC493B">
        <w:rPr>
          <w:color w:val="000000"/>
        </w:rPr>
        <w:t xml:space="preserve">In 2022, after several years of uncertainty, </w:t>
      </w:r>
      <w:r w:rsidR="007F0145">
        <w:rPr>
          <w:color w:val="000000"/>
        </w:rPr>
        <w:t>social security reform</w:t>
      </w:r>
      <w:r w:rsidR="007F0145" w:rsidRPr="00DC493B">
        <w:rPr>
          <w:color w:val="000000"/>
        </w:rPr>
        <w:t xml:space="preserve"> mitigations </w:t>
      </w:r>
      <w:r w:rsidR="007F0145">
        <w:rPr>
          <w:color w:val="000000"/>
        </w:rPr>
        <w:t xml:space="preserve">were </w:t>
      </w:r>
      <w:r w:rsidR="007F0145" w:rsidRPr="00DC493B">
        <w:rPr>
          <w:color w:val="000000"/>
        </w:rPr>
        <w:t>extended</w:t>
      </w:r>
      <w:r w:rsidR="007F0145">
        <w:rPr>
          <w:color w:val="000000"/>
        </w:rPr>
        <w:t xml:space="preserve"> pursuant to t</w:t>
      </w:r>
      <w:r w:rsidR="007F0145" w:rsidRPr="00DC493B">
        <w:rPr>
          <w:color w:val="000000"/>
        </w:rPr>
        <w:t>he Welfare Supplementary Payment (Amendment) Regulations (NI) 2022</w:t>
      </w:r>
      <w:r w:rsidR="007F0145">
        <w:rPr>
          <w:color w:val="000000"/>
        </w:rPr>
        <w:t>. Bedroom tax mitigations have been extended indefinitely,</w:t>
      </w:r>
      <w:r w:rsidR="007F0145">
        <w:rPr>
          <w:rStyle w:val="FootnoteReference"/>
        </w:rPr>
        <w:footnoteReference w:id="235"/>
      </w:r>
      <w:r w:rsidR="007F0145" w:rsidRPr="00FE023F">
        <w:rPr>
          <w:color w:val="000000"/>
        </w:rPr>
        <w:t xml:space="preserve"> </w:t>
      </w:r>
      <w:r w:rsidR="007F0145">
        <w:rPr>
          <w:color w:val="000000"/>
        </w:rPr>
        <w:t xml:space="preserve">and </w:t>
      </w:r>
      <w:r w:rsidR="007F0145" w:rsidRPr="00DC493B">
        <w:rPr>
          <w:color w:val="000000"/>
        </w:rPr>
        <w:t>all</w:t>
      </w:r>
      <w:r w:rsidR="007F0145">
        <w:rPr>
          <w:color w:val="000000"/>
        </w:rPr>
        <w:t xml:space="preserve"> other</w:t>
      </w:r>
      <w:r w:rsidR="007F0145" w:rsidRPr="00DC493B">
        <w:rPr>
          <w:color w:val="000000"/>
        </w:rPr>
        <w:t xml:space="preserve"> existing mitigations, including</w:t>
      </w:r>
      <w:r w:rsidR="007F0145">
        <w:rPr>
          <w:color w:val="000000"/>
        </w:rPr>
        <w:t xml:space="preserve"> </w:t>
      </w:r>
      <w:r w:rsidR="007F0145" w:rsidRPr="00DC493B">
        <w:rPr>
          <w:color w:val="000000"/>
        </w:rPr>
        <w:t xml:space="preserve">benefit cap mitigations, </w:t>
      </w:r>
      <w:r w:rsidR="007F0145">
        <w:rPr>
          <w:color w:val="000000"/>
        </w:rPr>
        <w:t xml:space="preserve">have been extended </w:t>
      </w:r>
      <w:r w:rsidR="007F0145" w:rsidRPr="00DC493B">
        <w:rPr>
          <w:color w:val="000000"/>
        </w:rPr>
        <w:t>until March 2025. The 2022 Regulations also ensure that claimants do not lose their bedroom tax if they move home and that any person who is responsible for children can get an extra payment to cover the benefit cap with the payment being the full value of the cut to their benefits.</w:t>
      </w:r>
    </w:p>
    <w:p w14:paraId="05338BEE" w14:textId="77777777" w:rsidR="00460D87" w:rsidRPr="00460D87" w:rsidRDefault="00460D87" w:rsidP="00412E09">
      <w:pPr>
        <w:pStyle w:val="ListParagraph"/>
        <w:ind w:left="851" w:hanging="862"/>
      </w:pPr>
    </w:p>
    <w:p w14:paraId="3D7941D8" w14:textId="27CB987B" w:rsidR="00642232" w:rsidRDefault="00DB1D8A" w:rsidP="00253F6F">
      <w:pPr>
        <w:pStyle w:val="ListParagraph"/>
        <w:numPr>
          <w:ilvl w:val="1"/>
          <w:numId w:val="103"/>
        </w:numPr>
        <w:ind w:left="851" w:hanging="862"/>
      </w:pPr>
      <w:r>
        <w:t>There</w:t>
      </w:r>
      <w:r w:rsidR="007F0145">
        <w:t xml:space="preserve"> are remaining issues that the mitigation package does not cover</w:t>
      </w:r>
      <w:r w:rsidR="00E90A0A">
        <w:t xml:space="preserve"> </w:t>
      </w:r>
      <w:r w:rsidR="00D6362B">
        <w:t>that</w:t>
      </w:r>
      <w:r w:rsidR="00D2626A">
        <w:t xml:space="preserve"> have a</w:t>
      </w:r>
      <w:r w:rsidR="007F0145">
        <w:t xml:space="preserve"> particular</w:t>
      </w:r>
      <w:r w:rsidR="00D2626A">
        <w:t xml:space="preserve"> </w:t>
      </w:r>
      <w:r w:rsidR="007F0145">
        <w:t xml:space="preserve">impact upon children and their families. </w:t>
      </w:r>
    </w:p>
    <w:p w14:paraId="6FDFD0E2" w14:textId="77777777" w:rsidR="00642232" w:rsidRDefault="00642232" w:rsidP="00412E09">
      <w:pPr>
        <w:pStyle w:val="ListParagraph"/>
        <w:ind w:left="851" w:hanging="862"/>
      </w:pPr>
    </w:p>
    <w:p w14:paraId="61DD8B2A" w14:textId="3F499D9D" w:rsidR="004241FE" w:rsidRDefault="007A7265" w:rsidP="00253F6F">
      <w:pPr>
        <w:pStyle w:val="ListParagraph"/>
        <w:numPr>
          <w:ilvl w:val="1"/>
          <w:numId w:val="103"/>
        </w:numPr>
        <w:ind w:left="851" w:hanging="862"/>
      </w:pPr>
      <w:r>
        <w:t>Since April 2017, new claimants have not been able to claim Child Tax Credit for</w:t>
      </w:r>
      <w:r w:rsidR="003675DF">
        <w:t xml:space="preserve"> a</w:t>
      </w:r>
      <w:r>
        <w:t xml:space="preserve"> third or subsequent child or qualifying young </w:t>
      </w:r>
      <w:proofErr w:type="spellStart"/>
      <w:r>
        <w:t>persons</w:t>
      </w:r>
      <w:proofErr w:type="spellEnd"/>
      <w:r>
        <w:t xml:space="preserve"> born on or after 6 April 2017, save in limited circumstances. This also applies to Universal Credit</w:t>
      </w:r>
      <w:r w:rsidR="00061724" w:rsidRPr="00061724">
        <w:t xml:space="preserve"> </w:t>
      </w:r>
      <w:r w:rsidR="00061724">
        <w:t>and to personal allowances under Housing Benefit claims.</w:t>
      </w:r>
      <w:r w:rsidR="00061724">
        <w:rPr>
          <w:rStyle w:val="FootnoteReference"/>
        </w:rPr>
        <w:footnoteReference w:id="236"/>
      </w:r>
    </w:p>
    <w:p w14:paraId="65AFBDD9" w14:textId="77777777" w:rsidR="006E243A" w:rsidRDefault="006E243A" w:rsidP="00412E09">
      <w:pPr>
        <w:pStyle w:val="ListParagraph"/>
        <w:ind w:left="851" w:hanging="862"/>
      </w:pPr>
    </w:p>
    <w:p w14:paraId="633D0EA9" w14:textId="0DDAC30E" w:rsidR="00313AE8" w:rsidRDefault="00380ACF" w:rsidP="00253F6F">
      <w:pPr>
        <w:pStyle w:val="ListParagraph"/>
        <w:numPr>
          <w:ilvl w:val="1"/>
          <w:numId w:val="103"/>
        </w:numPr>
        <w:ind w:left="851" w:hanging="862"/>
      </w:pPr>
      <w:r w:rsidRPr="00380ACF">
        <w:rPr>
          <w:rFonts w:eastAsia="Verdana" w:cs="Verdana"/>
          <w:color w:val="000000"/>
        </w:rPr>
        <w:t>The average family size in NI is 2.57 children.</w:t>
      </w:r>
      <w:r>
        <w:rPr>
          <w:rStyle w:val="FootnoteReference"/>
          <w:rFonts w:eastAsia="Verdana" w:cs="Verdana"/>
          <w:color w:val="000000"/>
        </w:rPr>
        <w:footnoteReference w:id="237"/>
      </w:r>
      <w:r w:rsidRPr="00380ACF">
        <w:rPr>
          <w:rFonts w:eastAsia="Verdana" w:cs="Verdana"/>
          <w:color w:val="000000"/>
        </w:rPr>
        <w:t xml:space="preserve"> </w:t>
      </w:r>
      <w:r w:rsidR="00313AE8">
        <w:rPr>
          <w:rFonts w:eastAsia="Verdana" w:cs="Verdana"/>
          <w:color w:val="000000"/>
        </w:rPr>
        <w:t>In 2017/2018, it was estimated that 1,300 families in NI were affected by the two-child tax credit limit, equating to £3.6 million in foregone entitlement of ineligible children.</w:t>
      </w:r>
      <w:r w:rsidR="00313AE8">
        <w:rPr>
          <w:rStyle w:val="FootnoteReference"/>
          <w:rFonts w:eastAsia="Verdana" w:cs="Verdana"/>
          <w:color w:val="000000"/>
        </w:rPr>
        <w:footnoteReference w:id="238"/>
      </w:r>
      <w:r w:rsidR="00313AE8">
        <w:rPr>
          <w:rFonts w:eastAsia="Verdana" w:cs="Verdana"/>
          <w:color w:val="000000"/>
        </w:rPr>
        <w:t xml:space="preserve"> In 2018/2019, it was estimated that this rose to 3,900 families in NI being affected, equating to £10.9 million in foregone entitlement of ineligible children.</w:t>
      </w:r>
      <w:r w:rsidR="00313AE8">
        <w:rPr>
          <w:rStyle w:val="FootnoteReference"/>
          <w:rFonts w:eastAsia="Verdana" w:cs="Verdana"/>
          <w:color w:val="000000"/>
        </w:rPr>
        <w:footnoteReference w:id="239"/>
      </w:r>
    </w:p>
    <w:p w14:paraId="4980587D" w14:textId="77777777" w:rsidR="00313AE8" w:rsidRDefault="00313AE8" w:rsidP="00412E09">
      <w:pPr>
        <w:pStyle w:val="ListParagraph"/>
        <w:ind w:left="851" w:hanging="862"/>
      </w:pPr>
    </w:p>
    <w:p w14:paraId="5DB76D6D" w14:textId="0AE87B56" w:rsidR="00826E60" w:rsidRDefault="00313AE8" w:rsidP="00253F6F">
      <w:pPr>
        <w:pStyle w:val="ListParagraph"/>
        <w:numPr>
          <w:ilvl w:val="1"/>
          <w:numId w:val="103"/>
        </w:numPr>
        <w:ind w:left="851" w:hanging="862"/>
      </w:pPr>
      <w:r>
        <w:t>The NIHRC’s cumulative impact assessment found that i</w:t>
      </w:r>
      <w:r w:rsidR="00826E60">
        <w:t>t is likely that the two-child limit will have a bigger impact in NI due to there being a greater proportion of households with three or more children in NI than elsewhere in the UK.</w:t>
      </w:r>
      <w:r w:rsidR="00826E60">
        <w:rPr>
          <w:rStyle w:val="FootnoteReference"/>
        </w:rPr>
        <w:footnoteReference w:id="240"/>
      </w:r>
      <w:r w:rsidR="006E243A">
        <w:t xml:space="preserve"> </w:t>
      </w:r>
      <w:r>
        <w:t xml:space="preserve">It </w:t>
      </w:r>
      <w:r w:rsidR="00826E60">
        <w:t xml:space="preserve">particularly impacts </w:t>
      </w:r>
      <w:r>
        <w:t xml:space="preserve">lone parent households or </w:t>
      </w:r>
      <w:r w:rsidR="00826E60">
        <w:t>households with disabled children.</w:t>
      </w:r>
      <w:r w:rsidR="00826E60">
        <w:rPr>
          <w:rStyle w:val="FootnoteReference"/>
        </w:rPr>
        <w:footnoteReference w:id="241"/>
      </w:r>
      <w:r w:rsidR="00826E60">
        <w:t xml:space="preserve"> </w:t>
      </w:r>
      <w:r>
        <w:t>It is estimated that households in NI with three or more children could lose over £1,200 per year on average due to the two-child limit.</w:t>
      </w:r>
      <w:r>
        <w:rPr>
          <w:rStyle w:val="FootnoteReference"/>
        </w:rPr>
        <w:footnoteReference w:id="242"/>
      </w:r>
    </w:p>
    <w:p w14:paraId="6269EAE0" w14:textId="77777777" w:rsidR="006E243A" w:rsidRDefault="006E243A" w:rsidP="00412E09">
      <w:pPr>
        <w:pStyle w:val="ListParagraph"/>
        <w:ind w:left="851" w:hanging="862"/>
      </w:pPr>
    </w:p>
    <w:p w14:paraId="006FEAB8" w14:textId="28947AD2" w:rsidR="006E243A" w:rsidRDefault="006E243A" w:rsidP="00253F6F">
      <w:pPr>
        <w:pStyle w:val="ListParagraph"/>
        <w:numPr>
          <w:ilvl w:val="1"/>
          <w:numId w:val="103"/>
        </w:numPr>
        <w:ind w:left="851" w:hanging="862"/>
        <w:rPr>
          <w:rFonts w:eastAsia="Verdana" w:cs="Verdana"/>
          <w:color w:val="000000"/>
        </w:rPr>
      </w:pPr>
      <w:r w:rsidRPr="006E243A">
        <w:rPr>
          <w:rFonts w:eastAsia="Verdana" w:cs="Verdana"/>
          <w:color w:val="000000"/>
        </w:rPr>
        <w:t xml:space="preserve">In </w:t>
      </w:r>
      <w:r w:rsidR="00D029ED">
        <w:rPr>
          <w:rFonts w:eastAsia="Verdana" w:cs="Verdana"/>
          <w:color w:val="000000"/>
        </w:rPr>
        <w:t>202</w:t>
      </w:r>
      <w:r w:rsidR="008325DF">
        <w:rPr>
          <w:rFonts w:eastAsia="Verdana" w:cs="Verdana"/>
          <w:color w:val="000000"/>
        </w:rPr>
        <w:t>2</w:t>
      </w:r>
      <w:r w:rsidRPr="006E243A">
        <w:rPr>
          <w:rFonts w:eastAsia="Verdana" w:cs="Verdana"/>
          <w:color w:val="000000"/>
        </w:rPr>
        <w:t>, the Child Poverty Action Group</w:t>
      </w:r>
      <w:r w:rsidR="00BA44C8">
        <w:rPr>
          <w:rFonts w:eastAsia="Verdana" w:cs="Verdana"/>
          <w:color w:val="000000"/>
        </w:rPr>
        <w:t xml:space="preserve"> estimate</w:t>
      </w:r>
      <w:r w:rsidR="00982E26">
        <w:rPr>
          <w:rFonts w:eastAsia="Verdana" w:cs="Verdana"/>
          <w:color w:val="000000"/>
        </w:rPr>
        <w:t>s</w:t>
      </w:r>
      <w:r w:rsidR="00BA44C8">
        <w:rPr>
          <w:rFonts w:eastAsia="Verdana" w:cs="Verdana"/>
          <w:color w:val="000000"/>
        </w:rPr>
        <w:t xml:space="preserve"> that ending the </w:t>
      </w:r>
      <w:proofErr w:type="gramStart"/>
      <w:r w:rsidR="00BA44C8">
        <w:rPr>
          <w:rFonts w:eastAsia="Verdana" w:cs="Verdana"/>
          <w:color w:val="000000"/>
        </w:rPr>
        <w:t>two child</w:t>
      </w:r>
      <w:proofErr w:type="gramEnd"/>
      <w:r w:rsidR="00BA44C8">
        <w:rPr>
          <w:rFonts w:eastAsia="Verdana" w:cs="Verdana"/>
          <w:color w:val="000000"/>
        </w:rPr>
        <w:t xml:space="preserve"> limit is the most cost-effective way for the government to reduce child poverty.</w:t>
      </w:r>
      <w:r w:rsidR="00BA44C8">
        <w:rPr>
          <w:rStyle w:val="FootnoteReference"/>
          <w:rFonts w:eastAsia="Verdana" w:cs="Verdana"/>
          <w:color w:val="000000"/>
        </w:rPr>
        <w:footnoteReference w:id="243"/>
      </w:r>
      <w:r w:rsidR="00BA44C8">
        <w:rPr>
          <w:rFonts w:eastAsia="Verdana" w:cs="Verdana"/>
          <w:color w:val="000000"/>
        </w:rPr>
        <w:t xml:space="preserve"> </w:t>
      </w:r>
      <w:r w:rsidR="00D74238">
        <w:rPr>
          <w:color w:val="000000"/>
        </w:rPr>
        <w:t>The Universal Credit (Removal of Two Child Limit) Bill is currently being considered by the UK Parliament.</w:t>
      </w:r>
      <w:r w:rsidR="009B5C7F">
        <w:rPr>
          <w:rFonts w:eastAsia="Verdana" w:cs="Verdana"/>
          <w:color w:val="000000"/>
        </w:rPr>
        <w:t xml:space="preserve"> </w:t>
      </w:r>
      <w:r w:rsidRPr="006E243A">
        <w:rPr>
          <w:rFonts w:eastAsia="Verdana" w:cs="Verdana"/>
          <w:color w:val="000000"/>
        </w:rPr>
        <w:t xml:space="preserve"> </w:t>
      </w:r>
    </w:p>
    <w:p w14:paraId="1D3C1C46" w14:textId="77777777" w:rsidR="00135A57" w:rsidRPr="00C4759D" w:rsidRDefault="00135A57" w:rsidP="00412E09">
      <w:pPr>
        <w:pStyle w:val="ListParagraph"/>
        <w:ind w:left="851" w:hanging="862"/>
        <w:rPr>
          <w:rFonts w:eastAsia="Verdana" w:cs="Verdana"/>
          <w:color w:val="000000"/>
        </w:rPr>
      </w:pPr>
    </w:p>
    <w:p w14:paraId="7E749559" w14:textId="2BADDEBE" w:rsidR="00F56EB5" w:rsidRPr="00F56EB5" w:rsidRDefault="00D01C79" w:rsidP="00253F6F">
      <w:pPr>
        <w:pStyle w:val="ListParagraph"/>
        <w:numPr>
          <w:ilvl w:val="1"/>
          <w:numId w:val="103"/>
        </w:numPr>
        <w:ind w:left="851" w:hanging="862"/>
        <w:rPr>
          <w:rFonts w:eastAsia="Verdana" w:cs="Verdana"/>
          <w:color w:val="000000"/>
        </w:rPr>
      </w:pPr>
      <w:r>
        <w:rPr>
          <w:rFonts w:eastAsia="Verdana" w:cs="Verdana"/>
          <w:color w:val="000000"/>
        </w:rPr>
        <w:t>Civil society organisations have</w:t>
      </w:r>
      <w:r w:rsidR="00F3046C">
        <w:rPr>
          <w:rFonts w:eastAsia="Verdana" w:cs="Verdana"/>
          <w:color w:val="000000"/>
        </w:rPr>
        <w:t xml:space="preserve"> highlighted concerns regarding the</w:t>
      </w:r>
      <w:r w:rsidR="00343510">
        <w:rPr>
          <w:rFonts w:eastAsia="Verdana" w:cs="Verdana"/>
          <w:color w:val="000000"/>
        </w:rPr>
        <w:t xml:space="preserve"> </w:t>
      </w:r>
      <w:r w:rsidR="00343510">
        <w:t xml:space="preserve">transition from </w:t>
      </w:r>
      <w:r w:rsidR="00E47560">
        <w:t xml:space="preserve">the </w:t>
      </w:r>
      <w:r w:rsidR="00343510">
        <w:t xml:space="preserve">Disability Living Allowance to </w:t>
      </w:r>
      <w:r w:rsidR="00E47560">
        <w:t xml:space="preserve">a </w:t>
      </w:r>
      <w:r w:rsidR="00343510">
        <w:t>Personal Independence Payment</w:t>
      </w:r>
      <w:r w:rsidR="00EC2271">
        <w:t xml:space="preserve"> </w:t>
      </w:r>
      <w:r w:rsidR="00343510">
        <w:t>for young people who turn 16 years of age</w:t>
      </w:r>
      <w:r w:rsidR="00401EDA">
        <w:t>, as the</w:t>
      </w:r>
      <w:r w:rsidR="00217853">
        <w:t>se</w:t>
      </w:r>
      <w:r w:rsidR="00401EDA">
        <w:t xml:space="preserve"> r</w:t>
      </w:r>
      <w:r w:rsidR="00871587">
        <w:t>eassessments can result in benefit being withdrawn</w:t>
      </w:r>
      <w:r w:rsidR="00217853">
        <w:t xml:space="preserve"> and the loss of </w:t>
      </w:r>
      <w:r w:rsidR="00871587">
        <w:t>significant income</w:t>
      </w:r>
      <w:r w:rsidR="00F56EB5">
        <w:t>.</w:t>
      </w:r>
      <w:r w:rsidR="00217853">
        <w:rPr>
          <w:rStyle w:val="FootnoteReference"/>
        </w:rPr>
        <w:footnoteReference w:id="244"/>
      </w:r>
      <w:r w:rsidR="00F56EB5">
        <w:t xml:space="preserve"> In Scotland, </w:t>
      </w:r>
      <w:r w:rsidR="0062744D">
        <w:t>the transition takes place at 18 years of age</w:t>
      </w:r>
      <w:r w:rsidR="00F56EB5">
        <w:t xml:space="preserve">. </w:t>
      </w:r>
    </w:p>
    <w:p w14:paraId="5992633A" w14:textId="77777777" w:rsidR="00F56EB5" w:rsidRPr="00F56EB5" w:rsidRDefault="00F56EB5" w:rsidP="00412E09">
      <w:pPr>
        <w:pStyle w:val="ListParagraph"/>
        <w:ind w:left="851" w:hanging="862"/>
        <w:rPr>
          <w:rFonts w:eastAsia="Verdana" w:cs="Verdana"/>
          <w:color w:val="000000"/>
        </w:rPr>
      </w:pPr>
    </w:p>
    <w:p w14:paraId="62A751DC" w14:textId="53E63148" w:rsidR="005C69A3" w:rsidRDefault="0087020C" w:rsidP="00253F6F">
      <w:pPr>
        <w:pStyle w:val="ListParagraph"/>
        <w:numPr>
          <w:ilvl w:val="1"/>
          <w:numId w:val="103"/>
        </w:numPr>
        <w:ind w:left="851" w:hanging="862"/>
        <w:rPr>
          <w:rFonts w:eastAsia="Verdana" w:cs="Verdana"/>
          <w:color w:val="000000"/>
        </w:rPr>
      </w:pPr>
      <w:r w:rsidRPr="00301A56">
        <w:rPr>
          <w:rFonts w:eastAsia="Verdana" w:cs="Verdana"/>
          <w:color w:val="000000"/>
        </w:rPr>
        <w:t xml:space="preserve">In </w:t>
      </w:r>
      <w:r w:rsidR="00B401E6" w:rsidRPr="00301A56">
        <w:rPr>
          <w:rFonts w:eastAsia="Verdana" w:cs="Verdana"/>
          <w:color w:val="000000"/>
        </w:rPr>
        <w:t>202</w:t>
      </w:r>
      <w:r w:rsidR="00D570A0" w:rsidRPr="00301A56">
        <w:rPr>
          <w:rFonts w:eastAsia="Verdana" w:cs="Verdana"/>
          <w:color w:val="000000"/>
        </w:rPr>
        <w:t>2</w:t>
      </w:r>
      <w:r w:rsidRPr="00301A56">
        <w:rPr>
          <w:rFonts w:eastAsia="Verdana" w:cs="Verdana"/>
          <w:color w:val="000000"/>
        </w:rPr>
        <w:t xml:space="preserve">, an independent panel </w:t>
      </w:r>
      <w:r w:rsidR="00D570A0" w:rsidRPr="00301A56">
        <w:rPr>
          <w:rFonts w:eastAsia="Verdana" w:cs="Verdana"/>
          <w:color w:val="000000"/>
        </w:rPr>
        <w:t>appointed by the NI Minister for Communities published a</w:t>
      </w:r>
      <w:r w:rsidRPr="00301A56">
        <w:rPr>
          <w:rFonts w:eastAsia="Verdana" w:cs="Verdana"/>
          <w:color w:val="000000"/>
        </w:rPr>
        <w:t xml:space="preserve"> comprehensive review of existing welfare mitigation measures </w:t>
      </w:r>
      <w:r w:rsidR="005D4099" w:rsidRPr="00301A56">
        <w:rPr>
          <w:rFonts w:eastAsia="Verdana" w:cs="Verdana"/>
          <w:color w:val="000000"/>
        </w:rPr>
        <w:t xml:space="preserve">and </w:t>
      </w:r>
      <w:r w:rsidR="00542249" w:rsidRPr="00301A56">
        <w:rPr>
          <w:rFonts w:eastAsia="Verdana" w:cs="Verdana"/>
          <w:color w:val="000000"/>
        </w:rPr>
        <w:t xml:space="preserve">identified </w:t>
      </w:r>
      <w:r w:rsidR="008E76A4">
        <w:rPr>
          <w:rFonts w:eastAsia="Verdana" w:cs="Verdana"/>
          <w:color w:val="000000"/>
        </w:rPr>
        <w:t xml:space="preserve">costed </w:t>
      </w:r>
      <w:r w:rsidR="00542249" w:rsidRPr="00301A56">
        <w:rPr>
          <w:rFonts w:eastAsia="Verdana" w:cs="Verdana"/>
          <w:color w:val="000000"/>
        </w:rPr>
        <w:t>options for a</w:t>
      </w:r>
      <w:r w:rsidR="003A719E" w:rsidRPr="00301A56">
        <w:rPr>
          <w:rFonts w:eastAsia="Verdana" w:cs="Verdana"/>
          <w:color w:val="000000"/>
        </w:rPr>
        <w:t xml:space="preserve"> </w:t>
      </w:r>
      <w:r w:rsidR="005D4099" w:rsidRPr="00301A56">
        <w:rPr>
          <w:rFonts w:eastAsia="Verdana" w:cs="Verdana"/>
          <w:color w:val="000000"/>
        </w:rPr>
        <w:t>future mitigation package.</w:t>
      </w:r>
      <w:r w:rsidR="002D4F13">
        <w:rPr>
          <w:rStyle w:val="FootnoteReference"/>
          <w:rFonts w:eastAsia="Verdana" w:cs="Verdana"/>
          <w:color w:val="000000"/>
        </w:rPr>
        <w:footnoteReference w:id="245"/>
      </w:r>
      <w:r w:rsidR="00B401E6" w:rsidRPr="00301A56">
        <w:rPr>
          <w:rFonts w:eastAsia="Verdana" w:cs="Verdana"/>
          <w:color w:val="000000"/>
        </w:rPr>
        <w:t xml:space="preserve"> </w:t>
      </w:r>
      <w:r w:rsidR="00D62F77" w:rsidRPr="00301A56">
        <w:rPr>
          <w:rFonts w:eastAsia="Verdana" w:cs="Verdana"/>
          <w:color w:val="000000"/>
        </w:rPr>
        <w:t xml:space="preserve">The </w:t>
      </w:r>
      <w:r w:rsidR="005579FF" w:rsidRPr="00301A56">
        <w:rPr>
          <w:rFonts w:eastAsia="Verdana" w:cs="Verdana"/>
          <w:color w:val="000000"/>
        </w:rPr>
        <w:t xml:space="preserve">panel </w:t>
      </w:r>
      <w:r w:rsidR="00FA3F38" w:rsidRPr="00301A56">
        <w:rPr>
          <w:rFonts w:eastAsia="Verdana" w:cs="Verdana"/>
          <w:color w:val="000000"/>
        </w:rPr>
        <w:t>identified nine recommendations, including</w:t>
      </w:r>
      <w:r w:rsidR="007A5BE3" w:rsidRPr="00301A56">
        <w:rPr>
          <w:rFonts w:eastAsia="Verdana" w:cs="Verdana"/>
          <w:color w:val="000000"/>
        </w:rPr>
        <w:t>:</w:t>
      </w:r>
      <w:r w:rsidR="00D62F77" w:rsidRPr="00301A56">
        <w:rPr>
          <w:rFonts w:eastAsia="Verdana" w:cs="Verdana"/>
          <w:color w:val="000000"/>
        </w:rPr>
        <w:t xml:space="preserve"> offsetting of the two child limit in Universal Credit, Child Tax Credit and Housing Benefit claims</w:t>
      </w:r>
      <w:r w:rsidR="007C0C57" w:rsidRPr="00301A56">
        <w:rPr>
          <w:rFonts w:eastAsia="Verdana" w:cs="Verdana"/>
          <w:color w:val="000000"/>
        </w:rPr>
        <w:t>;</w:t>
      </w:r>
      <w:r w:rsidR="007A5BE3" w:rsidRPr="00301A56">
        <w:rPr>
          <w:rFonts w:eastAsia="Verdana" w:cs="Verdana"/>
          <w:color w:val="000000"/>
        </w:rPr>
        <w:t xml:space="preserve"> introducing </w:t>
      </w:r>
      <w:r w:rsidR="007622BA" w:rsidRPr="00301A56">
        <w:rPr>
          <w:rFonts w:eastAsia="Verdana" w:cs="Verdana"/>
          <w:color w:val="000000"/>
        </w:rPr>
        <w:t xml:space="preserve">a Better Start Grant payment </w:t>
      </w:r>
      <w:r w:rsidR="007C0C57" w:rsidRPr="00301A56">
        <w:rPr>
          <w:rFonts w:eastAsia="Verdana" w:cs="Verdana"/>
          <w:color w:val="000000"/>
        </w:rPr>
        <w:t>to low income families;</w:t>
      </w:r>
      <w:r w:rsidR="00B547A3" w:rsidRPr="00301A56">
        <w:rPr>
          <w:rFonts w:eastAsia="Verdana" w:cs="Verdana"/>
          <w:color w:val="000000"/>
        </w:rPr>
        <w:t xml:space="preserve"> a young carers recognition payment</w:t>
      </w:r>
      <w:r w:rsidR="006A7932" w:rsidRPr="00301A56">
        <w:rPr>
          <w:rFonts w:eastAsia="Verdana" w:cs="Verdana"/>
          <w:color w:val="000000"/>
        </w:rPr>
        <w:t xml:space="preserve"> for 16 to 18 year olds</w:t>
      </w:r>
      <w:r w:rsidR="00B547A3" w:rsidRPr="00301A56">
        <w:rPr>
          <w:rFonts w:eastAsia="Verdana" w:cs="Verdana"/>
          <w:color w:val="000000"/>
        </w:rPr>
        <w:t>;</w:t>
      </w:r>
      <w:r w:rsidR="00E36194" w:rsidRPr="00301A56">
        <w:rPr>
          <w:rFonts w:eastAsia="Verdana" w:cs="Verdana"/>
          <w:color w:val="000000"/>
        </w:rPr>
        <w:t xml:space="preserve"> </w:t>
      </w:r>
      <w:r w:rsidR="00BB638C">
        <w:rPr>
          <w:rFonts w:eastAsia="Verdana" w:cs="Verdana"/>
          <w:color w:val="000000"/>
        </w:rPr>
        <w:t>introducing low-income</w:t>
      </w:r>
      <w:r w:rsidR="00921B49">
        <w:rPr>
          <w:rFonts w:eastAsia="Verdana" w:cs="Verdana"/>
          <w:color w:val="000000"/>
        </w:rPr>
        <w:t xml:space="preserve"> and child disability </w:t>
      </w:r>
      <w:r w:rsidR="008D04C3" w:rsidRPr="00301A56">
        <w:rPr>
          <w:rFonts w:eastAsia="Verdana" w:cs="Verdana"/>
          <w:color w:val="000000"/>
        </w:rPr>
        <w:t>winter assistance payment</w:t>
      </w:r>
      <w:r w:rsidR="00921B49">
        <w:rPr>
          <w:rFonts w:eastAsia="Verdana" w:cs="Verdana"/>
          <w:color w:val="000000"/>
        </w:rPr>
        <w:t>s</w:t>
      </w:r>
      <w:r w:rsidR="00392F65">
        <w:rPr>
          <w:rFonts w:eastAsia="Verdana" w:cs="Verdana"/>
          <w:color w:val="000000"/>
        </w:rPr>
        <w:t xml:space="preserve">; and examining </w:t>
      </w:r>
      <w:r w:rsidR="00494359">
        <w:rPr>
          <w:rFonts w:eastAsia="Verdana" w:cs="Verdana"/>
          <w:color w:val="000000"/>
        </w:rPr>
        <w:t>the case for allowing young people to retain entitlement to Disability Living Allowance until the age of 18</w:t>
      </w:r>
      <w:r w:rsidR="008D04C3" w:rsidRPr="00301A56">
        <w:rPr>
          <w:rFonts w:eastAsia="Verdana" w:cs="Verdana"/>
          <w:color w:val="000000"/>
        </w:rPr>
        <w:t>.</w:t>
      </w:r>
      <w:r w:rsidR="0049560F">
        <w:rPr>
          <w:rStyle w:val="FootnoteReference"/>
          <w:rFonts w:eastAsia="Verdana" w:cs="Verdana"/>
          <w:color w:val="000000"/>
        </w:rPr>
        <w:footnoteReference w:id="246"/>
      </w:r>
      <w:r w:rsidR="00D62F77" w:rsidRPr="00301A56">
        <w:rPr>
          <w:rFonts w:eastAsia="Verdana" w:cs="Verdana"/>
          <w:color w:val="000000"/>
        </w:rPr>
        <w:t xml:space="preserve"> </w:t>
      </w:r>
    </w:p>
    <w:p w14:paraId="47FC4880" w14:textId="77777777" w:rsidR="005C69A3" w:rsidRPr="005C69A3" w:rsidRDefault="005C69A3" w:rsidP="00412E09">
      <w:pPr>
        <w:pStyle w:val="ListParagraph"/>
        <w:ind w:left="851" w:hanging="862"/>
        <w:rPr>
          <w:rFonts w:eastAsia="Verdana" w:cs="Verdana"/>
          <w:color w:val="000000"/>
        </w:rPr>
      </w:pPr>
    </w:p>
    <w:p w14:paraId="6204D715" w14:textId="4FFE1CE5" w:rsidR="0093204D" w:rsidRPr="00301A56" w:rsidRDefault="00D62F77" w:rsidP="00253F6F">
      <w:pPr>
        <w:pStyle w:val="ListParagraph"/>
        <w:numPr>
          <w:ilvl w:val="1"/>
          <w:numId w:val="103"/>
        </w:numPr>
        <w:ind w:left="851" w:hanging="862"/>
        <w:rPr>
          <w:rFonts w:eastAsia="Verdana" w:cs="Verdana"/>
          <w:color w:val="000000"/>
        </w:rPr>
      </w:pPr>
      <w:r w:rsidRPr="00301A56">
        <w:rPr>
          <w:rFonts w:eastAsia="Verdana" w:cs="Verdana"/>
          <w:color w:val="000000"/>
        </w:rPr>
        <w:t>The implementation of any new mitigation schemes requires funding allocation and approval from a functioning NI Executive.</w:t>
      </w:r>
      <w:r>
        <w:rPr>
          <w:rStyle w:val="FootnoteReference"/>
          <w:rFonts w:eastAsia="Verdana" w:cs="Verdana"/>
          <w:color w:val="000000"/>
        </w:rPr>
        <w:footnoteReference w:id="247"/>
      </w:r>
    </w:p>
    <w:p w14:paraId="6EBC270E" w14:textId="77777777" w:rsidR="0093204D" w:rsidRPr="0093204D" w:rsidRDefault="0093204D" w:rsidP="00412E09">
      <w:pPr>
        <w:pStyle w:val="ListParagraph"/>
        <w:ind w:left="851" w:hanging="862"/>
        <w:rPr>
          <w:b/>
        </w:rPr>
      </w:pPr>
    </w:p>
    <w:p w14:paraId="016C2E77" w14:textId="7907807B" w:rsidR="00B57911" w:rsidRPr="00583A61" w:rsidRDefault="00134DA1" w:rsidP="00253F6F">
      <w:pPr>
        <w:pStyle w:val="ListParagraph"/>
        <w:numPr>
          <w:ilvl w:val="1"/>
          <w:numId w:val="103"/>
        </w:numPr>
        <w:ind w:left="851" w:hanging="862"/>
        <w:rPr>
          <w:rFonts w:eastAsia="Verdana" w:cs="Verdana"/>
          <w:b/>
          <w:color w:val="000000"/>
        </w:rPr>
      </w:pPr>
      <w:r>
        <w:rPr>
          <w:b/>
        </w:rPr>
        <w:t>The Committee may wish to recommend</w:t>
      </w:r>
      <w:r w:rsidR="00524188" w:rsidRPr="0093204D">
        <w:rPr>
          <w:b/>
        </w:rPr>
        <w:t xml:space="preserve"> that the </w:t>
      </w:r>
      <w:r w:rsidR="00982E26">
        <w:rPr>
          <w:b/>
        </w:rPr>
        <w:t>State Party takes</w:t>
      </w:r>
      <w:r w:rsidR="001204DC">
        <w:rPr>
          <w:b/>
        </w:rPr>
        <w:t xml:space="preserve"> effective measures to ensure that a comprehensive </w:t>
      </w:r>
      <w:r w:rsidR="00345E08">
        <w:rPr>
          <w:b/>
        </w:rPr>
        <w:t>and secure mitigation package is applied where necessary and maintained as long as required</w:t>
      </w:r>
      <w:r w:rsidR="00685E66">
        <w:rPr>
          <w:b/>
        </w:rPr>
        <w:t xml:space="preserve"> in NI</w:t>
      </w:r>
      <w:r w:rsidR="00D035A7">
        <w:rPr>
          <w:b/>
        </w:rPr>
        <w:t>.</w:t>
      </w:r>
    </w:p>
    <w:p w14:paraId="6BE19A2D" w14:textId="77777777" w:rsidR="00583A61" w:rsidRPr="00B57911" w:rsidRDefault="00583A61" w:rsidP="00412E09">
      <w:pPr>
        <w:pStyle w:val="ListParagraph"/>
        <w:ind w:left="851" w:hanging="862"/>
        <w:rPr>
          <w:rFonts w:eastAsia="Verdana" w:cs="Verdana"/>
          <w:b/>
          <w:color w:val="000000"/>
        </w:rPr>
      </w:pPr>
    </w:p>
    <w:p w14:paraId="5E74D032" w14:textId="77777777" w:rsidR="00FD2711" w:rsidRDefault="00464B39" w:rsidP="00253F6F">
      <w:pPr>
        <w:pStyle w:val="ListParagraph"/>
        <w:numPr>
          <w:ilvl w:val="1"/>
          <w:numId w:val="103"/>
        </w:numPr>
        <w:ind w:left="851" w:hanging="862"/>
        <w:rPr>
          <w:rFonts w:eastAsia="Verdana" w:cs="Verdana"/>
          <w:b/>
          <w:color w:val="000000"/>
        </w:rPr>
      </w:pPr>
      <w:r>
        <w:rPr>
          <w:rFonts w:eastAsia="Verdana" w:cs="Verdana"/>
          <w:b/>
          <w:color w:val="000000"/>
        </w:rPr>
        <w:t xml:space="preserve">The Committee may wish to recommend that the State Party </w:t>
      </w:r>
      <w:r w:rsidR="006E243A" w:rsidRPr="00464B39">
        <w:rPr>
          <w:rFonts w:eastAsia="Verdana" w:cs="Verdana"/>
          <w:b/>
          <w:color w:val="000000"/>
        </w:rPr>
        <w:t>prompt</w:t>
      </w:r>
      <w:r w:rsidR="00221FA2" w:rsidRPr="00464B39">
        <w:rPr>
          <w:rFonts w:eastAsia="Verdana" w:cs="Verdana"/>
          <w:b/>
          <w:color w:val="000000"/>
        </w:rPr>
        <w:t>ly</w:t>
      </w:r>
      <w:r w:rsidR="006E243A" w:rsidRPr="00464B39">
        <w:rPr>
          <w:rFonts w:eastAsia="Verdana" w:cs="Verdana"/>
          <w:b/>
          <w:color w:val="000000"/>
        </w:rPr>
        <w:t xml:space="preserve"> repeal</w:t>
      </w:r>
      <w:r w:rsidR="00221FA2" w:rsidRPr="00464B39">
        <w:rPr>
          <w:rFonts w:eastAsia="Verdana" w:cs="Verdana"/>
          <w:b/>
          <w:color w:val="000000"/>
        </w:rPr>
        <w:t>s</w:t>
      </w:r>
      <w:r w:rsidR="006E243A" w:rsidRPr="00464B39">
        <w:rPr>
          <w:rFonts w:eastAsia="Verdana" w:cs="Verdana"/>
          <w:b/>
          <w:color w:val="000000"/>
        </w:rPr>
        <w:t xml:space="preserve"> the two-child </w:t>
      </w:r>
      <w:r w:rsidR="00875163" w:rsidRPr="00464B39">
        <w:rPr>
          <w:rFonts w:eastAsia="Verdana" w:cs="Verdana"/>
          <w:b/>
          <w:color w:val="000000"/>
        </w:rPr>
        <w:t>limit</w:t>
      </w:r>
      <w:r w:rsidR="00E23241" w:rsidRPr="00464B39">
        <w:rPr>
          <w:rFonts w:eastAsia="Verdana" w:cs="Verdana"/>
          <w:b/>
          <w:color w:val="000000"/>
        </w:rPr>
        <w:t xml:space="preserve"> in Child Tax Credit, </w:t>
      </w:r>
      <w:r w:rsidR="006E243A" w:rsidRPr="00464B39">
        <w:rPr>
          <w:rFonts w:eastAsia="Verdana" w:cs="Verdana"/>
          <w:b/>
          <w:color w:val="000000"/>
        </w:rPr>
        <w:t>Universal Credit</w:t>
      </w:r>
      <w:r w:rsidR="00E23241" w:rsidRPr="00464B39">
        <w:rPr>
          <w:rFonts w:eastAsia="Verdana" w:cs="Verdana"/>
          <w:b/>
          <w:color w:val="000000"/>
        </w:rPr>
        <w:t xml:space="preserve"> and Housing Benefit claims</w:t>
      </w:r>
      <w:r>
        <w:rPr>
          <w:rFonts w:eastAsia="Verdana" w:cs="Verdana"/>
          <w:b/>
          <w:color w:val="000000"/>
        </w:rPr>
        <w:t>.</w:t>
      </w:r>
      <w:r w:rsidR="00D035A7">
        <w:rPr>
          <w:rFonts w:eastAsia="Verdana" w:cs="Verdana"/>
          <w:b/>
          <w:color w:val="000000"/>
        </w:rPr>
        <w:t xml:space="preserve"> In the interim, effective steps should be taken to address the specific impact of the two-child limit in NI.</w:t>
      </w:r>
    </w:p>
    <w:p w14:paraId="4263E41B" w14:textId="77777777" w:rsidR="00FD2711" w:rsidRPr="00FD2711" w:rsidRDefault="00FD2711" w:rsidP="00412E09">
      <w:pPr>
        <w:pStyle w:val="ListParagraph"/>
        <w:ind w:left="851" w:hanging="862"/>
        <w:rPr>
          <w:b/>
        </w:rPr>
      </w:pPr>
    </w:p>
    <w:p w14:paraId="2E025661" w14:textId="65D99243" w:rsidR="00272767" w:rsidRPr="00FD2711" w:rsidRDefault="00FD2711" w:rsidP="00253F6F">
      <w:pPr>
        <w:pStyle w:val="ListParagraph"/>
        <w:numPr>
          <w:ilvl w:val="1"/>
          <w:numId w:val="103"/>
        </w:numPr>
        <w:ind w:left="851" w:hanging="862"/>
        <w:rPr>
          <w:rFonts w:eastAsia="Verdana" w:cs="Verdana"/>
          <w:b/>
          <w:color w:val="000000"/>
        </w:rPr>
      </w:pPr>
      <w:r>
        <w:rPr>
          <w:b/>
        </w:rPr>
        <w:t>The Committee may wish to recommend that the State Party ex</w:t>
      </w:r>
      <w:r w:rsidR="002963C5" w:rsidRPr="00FD2711">
        <w:rPr>
          <w:b/>
        </w:rPr>
        <w:t>tend</w:t>
      </w:r>
      <w:r>
        <w:rPr>
          <w:b/>
        </w:rPr>
        <w:t>s</w:t>
      </w:r>
      <w:r w:rsidR="002963C5">
        <w:rPr>
          <w:b/>
        </w:rPr>
        <w:t xml:space="preserve"> entitlement</w:t>
      </w:r>
      <w:r w:rsidR="00E61C7C">
        <w:rPr>
          <w:b/>
        </w:rPr>
        <w:t xml:space="preserve"> </w:t>
      </w:r>
      <w:r w:rsidR="002963C5">
        <w:rPr>
          <w:b/>
        </w:rPr>
        <w:t xml:space="preserve">to </w:t>
      </w:r>
      <w:r w:rsidR="00E61C7C">
        <w:rPr>
          <w:b/>
        </w:rPr>
        <w:t>the Disability Living Allowance</w:t>
      </w:r>
      <w:r w:rsidR="002963C5">
        <w:rPr>
          <w:b/>
        </w:rPr>
        <w:t xml:space="preserve"> from 16 years old</w:t>
      </w:r>
      <w:r w:rsidR="00400D63">
        <w:rPr>
          <w:b/>
        </w:rPr>
        <w:t xml:space="preserve"> </w:t>
      </w:r>
      <w:r w:rsidR="002963C5">
        <w:rPr>
          <w:b/>
        </w:rPr>
        <w:t xml:space="preserve">to </w:t>
      </w:r>
      <w:r w:rsidR="00400D63">
        <w:rPr>
          <w:b/>
        </w:rPr>
        <w:t>18 years old</w:t>
      </w:r>
      <w:r w:rsidR="009910A9">
        <w:rPr>
          <w:b/>
        </w:rPr>
        <w:t xml:space="preserve"> in NI</w:t>
      </w:r>
      <w:r w:rsidR="00400D63">
        <w:rPr>
          <w:b/>
        </w:rPr>
        <w:t>.</w:t>
      </w:r>
    </w:p>
    <w:p w14:paraId="02C5BBEF" w14:textId="77777777" w:rsidR="009158A4" w:rsidRPr="009158A4" w:rsidRDefault="009158A4" w:rsidP="00412E09">
      <w:pPr>
        <w:ind w:left="851" w:hanging="862"/>
        <w:rPr>
          <w:b/>
        </w:rPr>
      </w:pPr>
    </w:p>
    <w:p w14:paraId="215CCFDD" w14:textId="7D50B2B6" w:rsidR="001C6753" w:rsidRDefault="00495BC2" w:rsidP="00412E09">
      <w:pPr>
        <w:pStyle w:val="Heading1"/>
        <w:spacing w:before="0"/>
        <w:ind w:left="851" w:hanging="862"/>
      </w:pPr>
      <w:bookmarkStart w:id="61" w:name="_Toc121922225"/>
      <w:r>
        <w:t>1</w:t>
      </w:r>
      <w:r w:rsidR="00CF41DB">
        <w:t>6</w:t>
      </w:r>
      <w:r w:rsidR="001C6753">
        <w:t>.0</w:t>
      </w:r>
      <w:r w:rsidR="001C6753">
        <w:tab/>
      </w:r>
      <w:r w:rsidR="009578AF" w:rsidRPr="009578AF">
        <w:t>A</w:t>
      </w:r>
      <w:r w:rsidR="00FB6136" w:rsidRPr="009578AF">
        <w:t>rticle 27 –</w:t>
      </w:r>
      <w:r w:rsidR="00C71EBE" w:rsidRPr="009578AF">
        <w:t>A</w:t>
      </w:r>
      <w:r w:rsidR="00B17B48">
        <w:t>dequate Standard of L</w:t>
      </w:r>
      <w:r w:rsidR="00FB6136" w:rsidRPr="009578AF">
        <w:t>iving</w:t>
      </w:r>
      <w:bookmarkEnd w:id="61"/>
    </w:p>
    <w:p w14:paraId="4EBFD2E4" w14:textId="78FF0359" w:rsidR="00EB2055" w:rsidRPr="00C007D7" w:rsidRDefault="00C71EBE" w:rsidP="00412E09">
      <w:pPr>
        <w:pStyle w:val="Heading2"/>
        <w:ind w:left="851" w:hanging="862"/>
        <w:rPr>
          <w:szCs w:val="22"/>
        </w:rPr>
      </w:pPr>
      <w:bookmarkStart w:id="62" w:name="_Toc121922226"/>
      <w:r w:rsidRPr="00587912">
        <w:rPr>
          <w:szCs w:val="22"/>
        </w:rPr>
        <w:t>Child poverty</w:t>
      </w:r>
      <w:bookmarkEnd w:id="62"/>
    </w:p>
    <w:p w14:paraId="32B072FC" w14:textId="77777777" w:rsidR="001C6753" w:rsidRPr="001C6753" w:rsidRDefault="001C6753" w:rsidP="00253F6F">
      <w:pPr>
        <w:pStyle w:val="ListParagraph"/>
        <w:numPr>
          <w:ilvl w:val="0"/>
          <w:numId w:val="103"/>
        </w:numPr>
        <w:ind w:left="851" w:hanging="862"/>
        <w:rPr>
          <w:vanish/>
        </w:rPr>
      </w:pPr>
    </w:p>
    <w:p w14:paraId="0C3FDF93" w14:textId="705C09CC" w:rsidR="00E36044" w:rsidRDefault="001C6753" w:rsidP="00253F6F">
      <w:pPr>
        <w:pStyle w:val="ListParagraph"/>
        <w:numPr>
          <w:ilvl w:val="1"/>
          <w:numId w:val="103"/>
        </w:numPr>
        <w:ind w:left="851" w:hanging="862"/>
        <w:rPr>
          <w:rFonts w:eastAsia="Verdana" w:cs="Verdana"/>
          <w:color w:val="000000"/>
        </w:rPr>
      </w:pPr>
      <w:r w:rsidRPr="00D46508">
        <w:t>In</w:t>
      </w:r>
      <w:r w:rsidRPr="009E426F">
        <w:rPr>
          <w:rFonts w:eastAsia="Verdana" w:cs="Verdana"/>
          <w:color w:val="000000"/>
        </w:rPr>
        <w:t xml:space="preserve"> 20</w:t>
      </w:r>
      <w:r w:rsidR="00C10CBE" w:rsidRPr="009E426F">
        <w:rPr>
          <w:rFonts w:eastAsia="Verdana" w:cs="Verdana"/>
          <w:color w:val="000000"/>
        </w:rPr>
        <w:t>19/</w:t>
      </w:r>
      <w:r w:rsidR="001F78BA" w:rsidRPr="009E426F">
        <w:rPr>
          <w:rFonts w:eastAsia="Verdana" w:cs="Verdana"/>
          <w:color w:val="000000"/>
        </w:rPr>
        <w:t>20</w:t>
      </w:r>
      <w:r w:rsidRPr="009E426F">
        <w:rPr>
          <w:rFonts w:eastAsia="Verdana" w:cs="Verdana"/>
          <w:color w:val="000000"/>
        </w:rPr>
        <w:t xml:space="preserve">, </w:t>
      </w:r>
      <w:r w:rsidR="002507CA" w:rsidRPr="009E426F">
        <w:rPr>
          <w:rFonts w:eastAsia="Verdana" w:cs="Verdana"/>
          <w:color w:val="000000"/>
        </w:rPr>
        <w:t xml:space="preserve">approximately </w:t>
      </w:r>
      <w:r w:rsidRPr="009E426F">
        <w:rPr>
          <w:rFonts w:eastAsia="Verdana" w:cs="Verdana"/>
          <w:color w:val="000000"/>
        </w:rPr>
        <w:t>10</w:t>
      </w:r>
      <w:r w:rsidR="002507CA" w:rsidRPr="009E426F">
        <w:rPr>
          <w:rFonts w:eastAsia="Verdana" w:cs="Verdana"/>
          <w:color w:val="000000"/>
        </w:rPr>
        <w:t>0</w:t>
      </w:r>
      <w:r w:rsidRPr="009E426F">
        <w:rPr>
          <w:rFonts w:eastAsia="Verdana" w:cs="Verdana"/>
          <w:color w:val="000000"/>
        </w:rPr>
        <w:t>,000 (2</w:t>
      </w:r>
      <w:r w:rsidR="00990439" w:rsidRPr="009E426F">
        <w:rPr>
          <w:rFonts w:eastAsia="Verdana" w:cs="Verdana"/>
          <w:color w:val="000000"/>
        </w:rPr>
        <w:t>2</w:t>
      </w:r>
      <w:r w:rsidRPr="009E426F">
        <w:rPr>
          <w:rFonts w:eastAsia="Verdana" w:cs="Verdana"/>
          <w:color w:val="000000"/>
        </w:rPr>
        <w:t xml:space="preserve"> per cent) children in NI were living in relative poverty before housing costs and </w:t>
      </w:r>
      <w:r w:rsidR="00CD40FC" w:rsidRPr="009E426F">
        <w:rPr>
          <w:rFonts w:eastAsia="Verdana" w:cs="Verdana"/>
          <w:color w:val="000000"/>
        </w:rPr>
        <w:t>75</w:t>
      </w:r>
      <w:r w:rsidRPr="009E426F">
        <w:rPr>
          <w:rFonts w:eastAsia="Verdana" w:cs="Verdana"/>
          <w:color w:val="000000"/>
        </w:rPr>
        <w:t>,000 (1</w:t>
      </w:r>
      <w:r w:rsidR="005D6172" w:rsidRPr="009E426F">
        <w:rPr>
          <w:rFonts w:eastAsia="Verdana" w:cs="Verdana"/>
          <w:color w:val="000000"/>
        </w:rPr>
        <w:t>7</w:t>
      </w:r>
      <w:r w:rsidRPr="009E426F">
        <w:rPr>
          <w:rFonts w:eastAsia="Verdana" w:cs="Verdana"/>
          <w:color w:val="000000"/>
        </w:rPr>
        <w:t xml:space="preserve"> per cent</w:t>
      </w:r>
      <w:r w:rsidR="00D0280D" w:rsidRPr="009E426F">
        <w:rPr>
          <w:rFonts w:eastAsia="Verdana" w:cs="Verdana"/>
          <w:color w:val="000000"/>
        </w:rPr>
        <w:t>)</w:t>
      </w:r>
      <w:r w:rsidRPr="009E426F">
        <w:rPr>
          <w:rFonts w:eastAsia="Verdana" w:cs="Verdana"/>
          <w:color w:val="000000"/>
        </w:rPr>
        <w:t xml:space="preserve"> were living in absolute poverty before housing costs.</w:t>
      </w:r>
      <w:r w:rsidRPr="00D46508">
        <w:rPr>
          <w:rStyle w:val="FootnoteReference"/>
        </w:rPr>
        <w:footnoteReference w:id="248"/>
      </w:r>
      <w:r w:rsidR="00C815EA" w:rsidRPr="009E426F">
        <w:rPr>
          <w:rFonts w:eastAsia="Verdana" w:cs="Verdana"/>
          <w:color w:val="000000"/>
        </w:rPr>
        <w:t xml:space="preserve"> </w:t>
      </w:r>
    </w:p>
    <w:p w14:paraId="5EF7ADE7" w14:textId="77777777" w:rsidR="009E426F" w:rsidRPr="009E426F" w:rsidRDefault="009E426F" w:rsidP="00412E09">
      <w:pPr>
        <w:pStyle w:val="ListParagraph"/>
        <w:ind w:left="851" w:hanging="862"/>
        <w:rPr>
          <w:rFonts w:eastAsia="Verdana" w:cs="Verdana"/>
          <w:color w:val="000000"/>
        </w:rPr>
      </w:pPr>
    </w:p>
    <w:p w14:paraId="527875B6" w14:textId="78FA8E05" w:rsidR="00EF35E5" w:rsidRDefault="00C6170D" w:rsidP="00253F6F">
      <w:pPr>
        <w:pStyle w:val="ListParagraph"/>
        <w:numPr>
          <w:ilvl w:val="1"/>
          <w:numId w:val="103"/>
        </w:numPr>
        <w:ind w:left="851" w:hanging="862"/>
        <w:rPr>
          <w:rFonts w:eastAsia="Verdana" w:cs="Verdana"/>
          <w:color w:val="000000"/>
        </w:rPr>
      </w:pPr>
      <w:r w:rsidRPr="00EF35E5">
        <w:rPr>
          <w:rFonts w:eastAsia="Verdana" w:cs="Verdana"/>
          <w:color w:val="000000"/>
        </w:rPr>
        <w:t xml:space="preserve">In </w:t>
      </w:r>
      <w:r w:rsidR="00F152B7" w:rsidRPr="00EF35E5">
        <w:rPr>
          <w:rFonts w:eastAsia="Verdana" w:cs="Verdana"/>
          <w:color w:val="000000"/>
        </w:rPr>
        <w:t xml:space="preserve">September </w:t>
      </w:r>
      <w:r w:rsidRPr="00EF35E5">
        <w:rPr>
          <w:rFonts w:eastAsia="Verdana" w:cs="Verdana"/>
          <w:color w:val="000000"/>
        </w:rPr>
        <w:t>2022</w:t>
      </w:r>
      <w:r w:rsidR="001B5E4F" w:rsidRPr="00EF35E5">
        <w:rPr>
          <w:rFonts w:eastAsia="Verdana" w:cs="Verdana"/>
          <w:color w:val="000000"/>
        </w:rPr>
        <w:t>, it was</w:t>
      </w:r>
      <w:r w:rsidR="005E4A0C" w:rsidRPr="00EF35E5">
        <w:rPr>
          <w:rFonts w:eastAsia="Verdana" w:cs="Verdana"/>
          <w:color w:val="000000"/>
        </w:rPr>
        <w:t xml:space="preserve"> </w:t>
      </w:r>
      <w:r w:rsidR="00451FBE" w:rsidRPr="00EF35E5">
        <w:rPr>
          <w:rFonts w:eastAsia="Verdana" w:cs="Verdana"/>
          <w:color w:val="000000"/>
        </w:rPr>
        <w:t>forecasted</w:t>
      </w:r>
      <w:r w:rsidR="00C23FF5" w:rsidRPr="00EF35E5">
        <w:rPr>
          <w:rFonts w:eastAsia="Verdana" w:cs="Verdana"/>
          <w:color w:val="000000"/>
        </w:rPr>
        <w:t xml:space="preserve"> that</w:t>
      </w:r>
      <w:r w:rsidR="001B5E4F" w:rsidRPr="00EF35E5">
        <w:rPr>
          <w:rFonts w:eastAsia="Verdana" w:cs="Verdana"/>
          <w:color w:val="000000"/>
        </w:rPr>
        <w:t xml:space="preserve"> </w:t>
      </w:r>
      <w:r w:rsidR="00081A7B" w:rsidRPr="00EF35E5">
        <w:rPr>
          <w:rFonts w:eastAsia="Verdana" w:cs="Verdana"/>
          <w:color w:val="000000"/>
        </w:rPr>
        <w:t xml:space="preserve">the </w:t>
      </w:r>
      <w:r w:rsidR="008C28D5">
        <w:rPr>
          <w:rFonts w:eastAsia="Verdana" w:cs="Verdana"/>
          <w:color w:val="000000"/>
        </w:rPr>
        <w:t>proportion</w:t>
      </w:r>
      <w:r w:rsidR="008C28D5" w:rsidRPr="00EF35E5">
        <w:rPr>
          <w:rFonts w:eastAsia="Verdana" w:cs="Verdana"/>
          <w:color w:val="000000"/>
        </w:rPr>
        <w:t xml:space="preserve"> </w:t>
      </w:r>
      <w:r w:rsidR="00155776" w:rsidRPr="00EF35E5">
        <w:rPr>
          <w:rFonts w:eastAsia="Verdana" w:cs="Verdana"/>
          <w:color w:val="000000"/>
        </w:rPr>
        <w:t xml:space="preserve">of </w:t>
      </w:r>
      <w:r w:rsidR="007C0D1E" w:rsidRPr="00EF35E5">
        <w:rPr>
          <w:rFonts w:eastAsia="Verdana" w:cs="Verdana"/>
          <w:color w:val="000000"/>
        </w:rPr>
        <w:t>children</w:t>
      </w:r>
      <w:r w:rsidR="007464B7" w:rsidRPr="00EF35E5">
        <w:rPr>
          <w:rFonts w:eastAsia="Verdana" w:cs="Verdana"/>
          <w:color w:val="000000"/>
        </w:rPr>
        <w:t xml:space="preserve"> in </w:t>
      </w:r>
      <w:r w:rsidR="00877036" w:rsidRPr="00EF35E5">
        <w:rPr>
          <w:rFonts w:eastAsia="Verdana" w:cs="Verdana"/>
          <w:color w:val="000000"/>
        </w:rPr>
        <w:t xml:space="preserve">absolute </w:t>
      </w:r>
      <w:r w:rsidR="007464B7" w:rsidRPr="00EF35E5">
        <w:rPr>
          <w:rFonts w:eastAsia="Verdana" w:cs="Verdana"/>
          <w:color w:val="000000"/>
        </w:rPr>
        <w:t xml:space="preserve">poverty </w:t>
      </w:r>
      <w:r w:rsidR="00F24F31" w:rsidRPr="00EF35E5">
        <w:rPr>
          <w:rFonts w:eastAsia="Verdana" w:cs="Verdana"/>
          <w:color w:val="000000"/>
        </w:rPr>
        <w:t>across</w:t>
      </w:r>
      <w:r w:rsidR="007464B7" w:rsidRPr="00EF35E5">
        <w:rPr>
          <w:rFonts w:eastAsia="Verdana" w:cs="Verdana"/>
          <w:color w:val="000000"/>
        </w:rPr>
        <w:t xml:space="preserve"> the UK </w:t>
      </w:r>
      <w:r w:rsidR="007C0D1E" w:rsidRPr="00EF35E5">
        <w:rPr>
          <w:rFonts w:eastAsia="Verdana" w:cs="Verdana"/>
          <w:color w:val="000000"/>
        </w:rPr>
        <w:t>is</w:t>
      </w:r>
      <w:r w:rsidR="00441152" w:rsidRPr="00EF35E5">
        <w:rPr>
          <w:rFonts w:eastAsia="Verdana" w:cs="Verdana"/>
          <w:color w:val="000000"/>
        </w:rPr>
        <w:t xml:space="preserve"> set </w:t>
      </w:r>
      <w:r w:rsidR="006B6462">
        <w:rPr>
          <w:rFonts w:eastAsia="Verdana" w:cs="Verdana"/>
          <w:color w:val="000000"/>
        </w:rPr>
        <w:t xml:space="preserve">to </w:t>
      </w:r>
      <w:r w:rsidR="007C0D1E" w:rsidRPr="00EF35E5">
        <w:rPr>
          <w:rFonts w:eastAsia="Verdana" w:cs="Verdana"/>
          <w:color w:val="000000"/>
        </w:rPr>
        <w:t>rise from</w:t>
      </w:r>
      <w:r w:rsidR="009A2BFC" w:rsidRPr="00EF35E5">
        <w:rPr>
          <w:rFonts w:eastAsia="Verdana" w:cs="Verdana"/>
          <w:color w:val="000000"/>
        </w:rPr>
        <w:t xml:space="preserve"> </w:t>
      </w:r>
      <w:r w:rsidR="007C0D1E" w:rsidRPr="00EF35E5">
        <w:rPr>
          <w:rFonts w:eastAsia="Verdana" w:cs="Verdana"/>
          <w:color w:val="000000"/>
        </w:rPr>
        <w:t>23 per cent to</w:t>
      </w:r>
      <w:r w:rsidR="009A2BFC" w:rsidRPr="00EF35E5">
        <w:rPr>
          <w:rFonts w:eastAsia="Verdana" w:cs="Verdana"/>
          <w:color w:val="000000"/>
        </w:rPr>
        <w:t xml:space="preserve"> </w:t>
      </w:r>
      <w:r w:rsidR="00D3382C" w:rsidRPr="00EF35E5">
        <w:rPr>
          <w:rFonts w:eastAsia="Verdana" w:cs="Verdana"/>
          <w:color w:val="000000"/>
        </w:rPr>
        <w:t>31</w:t>
      </w:r>
      <w:r w:rsidR="009A2BFC" w:rsidRPr="00EF35E5">
        <w:rPr>
          <w:rFonts w:eastAsia="Verdana" w:cs="Verdana"/>
          <w:color w:val="000000"/>
        </w:rPr>
        <w:t xml:space="preserve"> per cent</w:t>
      </w:r>
      <w:r w:rsidR="00BC5D7A" w:rsidRPr="00EF35E5">
        <w:rPr>
          <w:rFonts w:eastAsia="Verdana" w:cs="Verdana"/>
          <w:color w:val="000000"/>
        </w:rPr>
        <w:t>.</w:t>
      </w:r>
      <w:r w:rsidR="009A2BFC">
        <w:rPr>
          <w:rStyle w:val="FootnoteReference"/>
          <w:rFonts w:eastAsia="Verdana" w:cs="Verdana"/>
          <w:color w:val="000000"/>
        </w:rPr>
        <w:footnoteReference w:id="249"/>
      </w:r>
      <w:r w:rsidR="009A2BFC" w:rsidRPr="00EF35E5">
        <w:rPr>
          <w:rFonts w:eastAsia="Verdana" w:cs="Verdana"/>
          <w:color w:val="000000"/>
        </w:rPr>
        <w:t xml:space="preserve"> </w:t>
      </w:r>
    </w:p>
    <w:p w14:paraId="6FFD8967" w14:textId="77777777" w:rsidR="00EF35E5" w:rsidRPr="00EF35E5" w:rsidRDefault="00EF35E5" w:rsidP="00412E09">
      <w:pPr>
        <w:ind w:left="851" w:hanging="862"/>
        <w:rPr>
          <w:rFonts w:eastAsia="Verdana" w:cs="Verdana"/>
          <w:color w:val="000000"/>
        </w:rPr>
      </w:pPr>
    </w:p>
    <w:p w14:paraId="19535A8F" w14:textId="25A086FB" w:rsidR="001C6753" w:rsidRDefault="001C6753" w:rsidP="00253F6F">
      <w:pPr>
        <w:pStyle w:val="ListParagraph"/>
        <w:numPr>
          <w:ilvl w:val="1"/>
          <w:numId w:val="103"/>
        </w:numPr>
        <w:ind w:left="851" w:hanging="862"/>
        <w:rPr>
          <w:rFonts w:eastAsia="Verdana" w:cs="Verdana"/>
          <w:color w:val="000000"/>
        </w:rPr>
      </w:pPr>
      <w:r>
        <w:rPr>
          <w:rFonts w:eastAsia="Verdana" w:cs="Verdana"/>
          <w:color w:val="000000"/>
        </w:rPr>
        <w:t>The Welfare Reform and Work Act 2016 repealed the duty to meet time-bound targets on child poverty as originally set out in the Child Poverty Act 2010 (now Life Chances Act 2010). These targets have been replaced by a statutory duty to publish an annual report on the extent and educational attainment of children in poverty. These changes extend to NI.</w:t>
      </w:r>
    </w:p>
    <w:p w14:paraId="73B145C0" w14:textId="7C260286" w:rsidR="001C6753" w:rsidRPr="006473CF" w:rsidRDefault="001C6753" w:rsidP="00412E09">
      <w:pPr>
        <w:ind w:left="851" w:hanging="862"/>
        <w:rPr>
          <w:rFonts w:eastAsia="Verdana" w:cs="Verdana"/>
          <w:color w:val="000000"/>
        </w:rPr>
      </w:pPr>
    </w:p>
    <w:p w14:paraId="67190531" w14:textId="7281657B" w:rsidR="00EF283F" w:rsidRPr="00EF283F" w:rsidRDefault="00B64B39" w:rsidP="00253F6F">
      <w:pPr>
        <w:pStyle w:val="ListParagraph"/>
        <w:numPr>
          <w:ilvl w:val="1"/>
          <w:numId w:val="103"/>
        </w:numPr>
        <w:ind w:left="851" w:hanging="862"/>
      </w:pPr>
      <w:r>
        <w:rPr>
          <w:rFonts w:eastAsia="Verdana" w:cs="Verdana"/>
          <w:color w:val="000000"/>
        </w:rPr>
        <w:t>In May 2022, t</w:t>
      </w:r>
      <w:r w:rsidR="00D56901" w:rsidRPr="00564448">
        <w:rPr>
          <w:rFonts w:eastAsia="Verdana" w:cs="Verdana"/>
          <w:color w:val="000000"/>
        </w:rPr>
        <w:t>he</w:t>
      </w:r>
      <w:r w:rsidR="0016236B" w:rsidRPr="00564448">
        <w:rPr>
          <w:rFonts w:eastAsia="Verdana" w:cs="Verdana"/>
          <w:color w:val="000000"/>
        </w:rPr>
        <w:t xml:space="preserve"> </w:t>
      </w:r>
      <w:r w:rsidR="00884240">
        <w:rPr>
          <w:rFonts w:eastAsia="Verdana" w:cs="Verdana"/>
          <w:color w:val="000000"/>
        </w:rPr>
        <w:t xml:space="preserve">current </w:t>
      </w:r>
      <w:r w:rsidR="0016236B" w:rsidRPr="00564448">
        <w:rPr>
          <w:rFonts w:eastAsia="Verdana" w:cs="Verdana"/>
          <w:color w:val="000000"/>
        </w:rPr>
        <w:t>NI Executive’s</w:t>
      </w:r>
      <w:r w:rsidR="001C6753" w:rsidRPr="006473CF">
        <w:rPr>
          <w:rFonts w:eastAsia="Verdana" w:cs="Verdana"/>
          <w:color w:val="000000"/>
        </w:rPr>
        <w:t xml:space="preserve"> Child Poverty Strategy</w:t>
      </w:r>
      <w:r w:rsidR="000B6C1D">
        <w:rPr>
          <w:rFonts w:eastAsia="Verdana" w:cs="Verdana"/>
          <w:color w:val="000000"/>
        </w:rPr>
        <w:t xml:space="preserve"> was extended</w:t>
      </w:r>
      <w:r w:rsidR="001C6753" w:rsidRPr="00564448">
        <w:rPr>
          <w:rFonts w:eastAsia="Verdana" w:cs="Verdana"/>
          <w:color w:val="000000"/>
        </w:rPr>
        <w:t>.</w:t>
      </w:r>
      <w:r w:rsidR="001C6753" w:rsidRPr="006473CF">
        <w:rPr>
          <w:rStyle w:val="FootnoteReference"/>
        </w:rPr>
        <w:footnoteReference w:id="250"/>
      </w:r>
      <w:r w:rsidR="001C6753" w:rsidRPr="006473CF">
        <w:rPr>
          <w:rFonts w:eastAsia="Verdana" w:cs="Verdana"/>
          <w:color w:val="000000"/>
        </w:rPr>
        <w:t xml:space="preserve"> </w:t>
      </w:r>
      <w:r w:rsidR="001C6753">
        <w:rPr>
          <w:rFonts w:eastAsia="Verdana" w:cs="Verdana"/>
          <w:color w:val="000000"/>
        </w:rPr>
        <w:t>T</w:t>
      </w:r>
      <w:r w:rsidR="001C6753" w:rsidRPr="001C6753">
        <w:rPr>
          <w:rFonts w:eastAsia="Verdana" w:cs="Verdana"/>
          <w:color w:val="000000"/>
        </w:rPr>
        <w:t xml:space="preserve">he New Decade, New Approach </w:t>
      </w:r>
      <w:r w:rsidR="00932568">
        <w:rPr>
          <w:rFonts w:eastAsia="Verdana" w:cs="Verdana"/>
          <w:color w:val="000000"/>
        </w:rPr>
        <w:t>A</w:t>
      </w:r>
      <w:r w:rsidR="001C6753" w:rsidRPr="001C6753">
        <w:rPr>
          <w:rFonts w:eastAsia="Verdana" w:cs="Verdana"/>
          <w:color w:val="000000"/>
        </w:rPr>
        <w:t xml:space="preserve">greement </w:t>
      </w:r>
      <w:r w:rsidR="00932568">
        <w:rPr>
          <w:rFonts w:eastAsia="Verdana" w:cs="Verdana"/>
          <w:color w:val="000000"/>
        </w:rPr>
        <w:t>2020</w:t>
      </w:r>
      <w:r w:rsidR="001C6753" w:rsidRPr="001C6753">
        <w:rPr>
          <w:rFonts w:eastAsia="Verdana" w:cs="Verdana"/>
          <w:color w:val="000000"/>
        </w:rPr>
        <w:t xml:space="preserve"> committed to publishing a Child Poverty Strategy.</w:t>
      </w:r>
      <w:r w:rsidR="001C6753" w:rsidRPr="006473CF">
        <w:rPr>
          <w:rStyle w:val="FootnoteReference"/>
          <w:rFonts w:eastAsia="Verdana" w:cs="Verdana"/>
          <w:color w:val="000000"/>
        </w:rPr>
        <w:footnoteReference w:id="251"/>
      </w:r>
      <w:r w:rsidR="001C6753">
        <w:rPr>
          <w:rFonts w:eastAsia="Verdana" w:cs="Verdana"/>
          <w:color w:val="000000"/>
        </w:rPr>
        <w:t xml:space="preserve"> </w:t>
      </w:r>
      <w:r w:rsidR="00FE56C7">
        <w:rPr>
          <w:rFonts w:eastAsia="Verdana" w:cs="Verdana"/>
          <w:color w:val="000000"/>
        </w:rPr>
        <w:t>While there has been work towards drafting a</w:t>
      </w:r>
      <w:r w:rsidR="00B42D25">
        <w:rPr>
          <w:rFonts w:eastAsia="Verdana" w:cs="Verdana"/>
          <w:color w:val="000000"/>
        </w:rPr>
        <w:t xml:space="preserve"> wider anti-poverty strategy</w:t>
      </w:r>
      <w:r w:rsidR="00E80136">
        <w:rPr>
          <w:rFonts w:eastAsia="Verdana" w:cs="Verdana"/>
          <w:color w:val="000000"/>
        </w:rPr>
        <w:t xml:space="preserve"> for NI,</w:t>
      </w:r>
      <w:r w:rsidR="00CC4BF0">
        <w:rPr>
          <w:rStyle w:val="FootnoteReference"/>
          <w:rFonts w:eastAsia="Verdana" w:cs="Verdana"/>
          <w:color w:val="000000"/>
        </w:rPr>
        <w:footnoteReference w:id="252"/>
      </w:r>
      <w:r w:rsidR="00497AFB">
        <w:rPr>
          <w:rFonts w:eastAsia="Verdana" w:cs="Verdana"/>
          <w:color w:val="000000"/>
        </w:rPr>
        <w:t xml:space="preserve"> progress has been delayed in</w:t>
      </w:r>
      <w:r w:rsidR="00E80136">
        <w:rPr>
          <w:rFonts w:eastAsia="Verdana" w:cs="Verdana"/>
          <w:color w:val="000000"/>
        </w:rPr>
        <w:t xml:space="preserve"> </w:t>
      </w:r>
      <w:r w:rsidR="00002C67">
        <w:rPr>
          <w:rFonts w:eastAsia="Verdana" w:cs="Verdana"/>
          <w:color w:val="000000"/>
        </w:rPr>
        <w:t xml:space="preserve">the absence of </w:t>
      </w:r>
      <w:r w:rsidR="003F7BC6">
        <w:rPr>
          <w:rFonts w:eastAsia="Verdana" w:cs="Verdana"/>
          <w:color w:val="000000"/>
        </w:rPr>
        <w:t>a</w:t>
      </w:r>
      <w:r w:rsidR="00D46743">
        <w:rPr>
          <w:rFonts w:eastAsia="Verdana" w:cs="Verdana"/>
          <w:color w:val="000000"/>
        </w:rPr>
        <w:t xml:space="preserve"> functioning</w:t>
      </w:r>
      <w:r w:rsidR="000E33E6">
        <w:rPr>
          <w:rFonts w:eastAsia="Verdana" w:cs="Verdana"/>
          <w:color w:val="000000"/>
        </w:rPr>
        <w:t xml:space="preserve"> NI Executive and NI Assembly</w:t>
      </w:r>
      <w:r w:rsidR="00C96366">
        <w:rPr>
          <w:rFonts w:eastAsia="Verdana" w:cs="Verdana"/>
          <w:color w:val="000000"/>
        </w:rPr>
        <w:t>.</w:t>
      </w:r>
    </w:p>
    <w:p w14:paraId="08612380" w14:textId="77777777" w:rsidR="00123E7B" w:rsidRPr="00CD2A3E" w:rsidRDefault="00123E7B" w:rsidP="00412E09">
      <w:pPr>
        <w:ind w:left="851" w:hanging="862"/>
      </w:pPr>
    </w:p>
    <w:p w14:paraId="7734387F" w14:textId="56090A2E" w:rsidR="004B0CAA" w:rsidRPr="00891C42" w:rsidRDefault="00134DA1" w:rsidP="00253F6F">
      <w:pPr>
        <w:pStyle w:val="ListParagraph"/>
        <w:numPr>
          <w:ilvl w:val="1"/>
          <w:numId w:val="103"/>
        </w:numPr>
        <w:ind w:left="851" w:hanging="862"/>
        <w:rPr>
          <w:b/>
        </w:rPr>
      </w:pPr>
      <w:r>
        <w:rPr>
          <w:b/>
        </w:rPr>
        <w:t xml:space="preserve">The Committee may wish to </w:t>
      </w:r>
      <w:r w:rsidR="007D5516">
        <w:rPr>
          <w:b/>
        </w:rPr>
        <w:t xml:space="preserve">recommend </w:t>
      </w:r>
      <w:r w:rsidR="00524188" w:rsidRPr="00584C75">
        <w:rPr>
          <w:b/>
        </w:rPr>
        <w:t xml:space="preserve">that </w:t>
      </w:r>
      <w:r w:rsidR="004A1B09" w:rsidRPr="00584C75">
        <w:rPr>
          <w:b/>
        </w:rPr>
        <w:t xml:space="preserve">the </w:t>
      </w:r>
      <w:r w:rsidR="00932568">
        <w:rPr>
          <w:b/>
        </w:rPr>
        <w:t>State Party</w:t>
      </w:r>
      <w:r w:rsidR="00891C42">
        <w:rPr>
          <w:b/>
        </w:rPr>
        <w:t xml:space="preserve"> </w:t>
      </w:r>
      <w:r w:rsidR="002E3D52" w:rsidRPr="00891C42">
        <w:rPr>
          <w:b/>
        </w:rPr>
        <w:t>ensures that</w:t>
      </w:r>
      <w:r w:rsidR="00224F86" w:rsidRPr="00891C42">
        <w:rPr>
          <w:b/>
        </w:rPr>
        <w:t xml:space="preserve"> </w:t>
      </w:r>
      <w:r w:rsidR="0058683F" w:rsidRPr="00891C42">
        <w:rPr>
          <w:b/>
        </w:rPr>
        <w:t xml:space="preserve">comprehensive strategies and action plans </w:t>
      </w:r>
      <w:r w:rsidR="00FE4ACB" w:rsidRPr="00891C42">
        <w:rPr>
          <w:b/>
        </w:rPr>
        <w:t xml:space="preserve">are implemented </w:t>
      </w:r>
      <w:r w:rsidR="00834B5A">
        <w:rPr>
          <w:b/>
        </w:rPr>
        <w:t>in NI</w:t>
      </w:r>
      <w:r w:rsidR="00FE4ACB" w:rsidRPr="00891C42">
        <w:rPr>
          <w:b/>
        </w:rPr>
        <w:t xml:space="preserve"> for the eradication of child poverty</w:t>
      </w:r>
      <w:r w:rsidR="007F5573" w:rsidRPr="00891C42">
        <w:rPr>
          <w:b/>
        </w:rPr>
        <w:t>, including by re-establishing concrete targets with a set timeframe and measurable indicator</w:t>
      </w:r>
      <w:r w:rsidR="00361842" w:rsidRPr="00891C42">
        <w:rPr>
          <w:b/>
        </w:rPr>
        <w:t>s</w:t>
      </w:r>
      <w:r w:rsidR="00891C42">
        <w:rPr>
          <w:b/>
        </w:rPr>
        <w:t xml:space="preserve"> that </w:t>
      </w:r>
      <w:proofErr w:type="gramStart"/>
      <w:r w:rsidR="00891C42">
        <w:rPr>
          <w:b/>
        </w:rPr>
        <w:t>take into account</w:t>
      </w:r>
      <w:proofErr w:type="gramEnd"/>
      <w:r w:rsidR="00891C42">
        <w:rPr>
          <w:b/>
        </w:rPr>
        <w:t xml:space="preserve"> the impact on groups</w:t>
      </w:r>
      <w:r w:rsidR="00834B5A">
        <w:rPr>
          <w:b/>
        </w:rPr>
        <w:t xml:space="preserve"> that are at higher risk of poverty</w:t>
      </w:r>
      <w:r w:rsidR="00891C42">
        <w:rPr>
          <w:b/>
        </w:rPr>
        <w:t>.</w:t>
      </w:r>
      <w:r w:rsidR="00932568">
        <w:rPr>
          <w:b/>
        </w:rPr>
        <w:t xml:space="preserve"> </w:t>
      </w:r>
    </w:p>
    <w:p w14:paraId="424F3B18" w14:textId="77777777" w:rsidR="00584C75" w:rsidRDefault="00584C75" w:rsidP="00412E09">
      <w:pPr>
        <w:ind w:left="851" w:hanging="862"/>
      </w:pPr>
    </w:p>
    <w:p w14:paraId="339641BA" w14:textId="0A3D761D" w:rsidR="00A72901" w:rsidRPr="00AA754A" w:rsidRDefault="001F6113" w:rsidP="00412E09">
      <w:pPr>
        <w:pStyle w:val="Heading2"/>
        <w:ind w:left="851" w:hanging="862"/>
        <w:rPr>
          <w:szCs w:val="22"/>
        </w:rPr>
      </w:pPr>
      <w:bookmarkStart w:id="63" w:name="_Toc121922227"/>
      <w:r w:rsidRPr="00587912">
        <w:rPr>
          <w:szCs w:val="22"/>
        </w:rPr>
        <w:t>Housing</w:t>
      </w:r>
      <w:bookmarkEnd w:id="63"/>
    </w:p>
    <w:p w14:paraId="5BBBCC84" w14:textId="4626FA82" w:rsidR="00AD7682" w:rsidRDefault="00AC08D0" w:rsidP="00253F6F">
      <w:pPr>
        <w:pStyle w:val="ListParagraph"/>
        <w:numPr>
          <w:ilvl w:val="1"/>
          <w:numId w:val="103"/>
        </w:numPr>
        <w:ind w:left="851" w:hanging="862"/>
      </w:pPr>
      <w:r>
        <w:t>T</w:t>
      </w:r>
      <w:r w:rsidR="009C545D" w:rsidRPr="00587912">
        <w:t xml:space="preserve">he </w:t>
      </w:r>
      <w:r w:rsidR="00AD7682">
        <w:t>Committee previously</w:t>
      </w:r>
      <w:r w:rsidR="009C545D" w:rsidRPr="00587912">
        <w:t xml:space="preserve"> recommended that NI enact legislation that prohibits prolonged placement of children in temporary accommodation</w:t>
      </w:r>
      <w:r w:rsidR="00DF5CE4" w:rsidRPr="00587912">
        <w:t>.</w:t>
      </w:r>
      <w:r w:rsidR="009C545D" w:rsidRPr="00587912">
        <w:rPr>
          <w:rStyle w:val="FootnoteReference"/>
        </w:rPr>
        <w:footnoteReference w:id="253"/>
      </w:r>
      <w:r w:rsidR="00DF5CE4" w:rsidRPr="00587912">
        <w:t xml:space="preserve"> </w:t>
      </w:r>
      <w:r w:rsidR="00AD7682">
        <w:t>This</w:t>
      </w:r>
      <w:r w:rsidR="001F6113" w:rsidRPr="00587912">
        <w:t xml:space="preserve"> </w:t>
      </w:r>
      <w:r w:rsidR="00DF5CE4" w:rsidRPr="00587912">
        <w:t xml:space="preserve">legislation has </w:t>
      </w:r>
      <w:r w:rsidR="00AD7682">
        <w:t xml:space="preserve">not </w:t>
      </w:r>
      <w:r w:rsidR="00DF5CE4" w:rsidRPr="00587912">
        <w:t xml:space="preserve">been developed. </w:t>
      </w:r>
    </w:p>
    <w:p w14:paraId="006BE331" w14:textId="77777777" w:rsidR="00AD7682" w:rsidRDefault="00AD7682" w:rsidP="00412E09">
      <w:pPr>
        <w:pStyle w:val="ListParagraph"/>
        <w:ind w:left="851" w:hanging="862"/>
      </w:pPr>
    </w:p>
    <w:p w14:paraId="79CCD3CE" w14:textId="488DEC48" w:rsidR="00F06902" w:rsidRPr="0034434D" w:rsidRDefault="00AD7682" w:rsidP="00253F6F">
      <w:pPr>
        <w:pStyle w:val="ListParagraph"/>
        <w:numPr>
          <w:ilvl w:val="1"/>
          <w:numId w:val="103"/>
        </w:numPr>
        <w:ind w:left="851" w:hanging="862"/>
      </w:pPr>
      <w:r>
        <w:t>Between January and June 202</w:t>
      </w:r>
      <w:r w:rsidR="00276691">
        <w:t>2</w:t>
      </w:r>
      <w:r w:rsidR="000745D7" w:rsidRPr="00587912">
        <w:t xml:space="preserve">, </w:t>
      </w:r>
      <w:r w:rsidR="00276691">
        <w:t>8,120</w:t>
      </w:r>
      <w:r>
        <w:t xml:space="preserve"> households in NI presented as homeless, with 4,</w:t>
      </w:r>
      <w:r w:rsidR="00EB0B51">
        <w:t>802</w:t>
      </w:r>
      <w:r>
        <w:t xml:space="preserve"> households (including </w:t>
      </w:r>
      <w:r w:rsidR="000623C0">
        <w:t>3,495</w:t>
      </w:r>
      <w:r>
        <w:t xml:space="preserve"> children) accepted as statutorily homeless.</w:t>
      </w:r>
      <w:r w:rsidR="00DE33B4">
        <w:rPr>
          <w:rStyle w:val="FootnoteReference"/>
        </w:rPr>
        <w:footnoteReference w:id="254"/>
      </w:r>
      <w:r>
        <w:t xml:space="preserve"> T</w:t>
      </w:r>
      <w:r w:rsidR="000745D7" w:rsidRPr="00587912">
        <w:t xml:space="preserve">here were </w:t>
      </w:r>
      <w:r w:rsidR="008216C3">
        <w:t>3,658</w:t>
      </w:r>
      <w:r w:rsidR="000745D7" w:rsidRPr="00587912">
        <w:t xml:space="preserve"> households living in temporary accommodation</w:t>
      </w:r>
      <w:r w:rsidR="00AC08D0">
        <w:t xml:space="preserve"> in NI, including </w:t>
      </w:r>
      <w:r w:rsidR="00AC08D0" w:rsidRPr="00587912">
        <w:t>3,</w:t>
      </w:r>
      <w:r w:rsidR="003A1EEF">
        <w:t>913</w:t>
      </w:r>
      <w:r w:rsidR="00AC08D0" w:rsidRPr="00587912">
        <w:t xml:space="preserve"> children.</w:t>
      </w:r>
      <w:r w:rsidR="00AC08D0" w:rsidRPr="00587912">
        <w:rPr>
          <w:rStyle w:val="FootnoteReference"/>
        </w:rPr>
        <w:footnoteReference w:id="255"/>
      </w:r>
      <w:r w:rsidR="000745D7" w:rsidRPr="00587912">
        <w:t xml:space="preserve"> </w:t>
      </w:r>
      <w:r w:rsidR="00D913AC">
        <w:t>Of those</w:t>
      </w:r>
      <w:r w:rsidR="008249EB">
        <w:t xml:space="preserve">, </w:t>
      </w:r>
      <w:r w:rsidR="006B5E13">
        <w:t>2,105</w:t>
      </w:r>
      <w:r w:rsidR="008249EB">
        <w:t xml:space="preserve"> </w:t>
      </w:r>
      <w:r w:rsidR="00D913AC">
        <w:t>households (</w:t>
      </w:r>
      <w:r w:rsidR="008249EB">
        <w:t>57</w:t>
      </w:r>
      <w:r w:rsidR="00D913AC">
        <w:t xml:space="preserve"> per cent) had been living in temporary accommodation for less than 12 months and </w:t>
      </w:r>
      <w:r w:rsidR="006A57B0">
        <w:t>173</w:t>
      </w:r>
      <w:r w:rsidR="008249EB">
        <w:t xml:space="preserve"> </w:t>
      </w:r>
      <w:r w:rsidR="00D913AC">
        <w:t>households (</w:t>
      </w:r>
      <w:r w:rsidR="008249EB">
        <w:t>five</w:t>
      </w:r>
      <w:r w:rsidR="00D913AC">
        <w:t xml:space="preserve"> per cent) had been living in temporary accommodation for five or more years.</w:t>
      </w:r>
      <w:r w:rsidR="00D913AC">
        <w:rPr>
          <w:rStyle w:val="FootnoteReference"/>
        </w:rPr>
        <w:footnoteReference w:id="256"/>
      </w:r>
      <w:r w:rsidR="00D913AC">
        <w:t xml:space="preserve"> </w:t>
      </w:r>
    </w:p>
    <w:p w14:paraId="07AE634C" w14:textId="77777777" w:rsidR="0034434D" w:rsidRDefault="0034434D" w:rsidP="00412E09">
      <w:pPr>
        <w:ind w:left="851" w:hanging="862"/>
      </w:pPr>
    </w:p>
    <w:p w14:paraId="13C39285" w14:textId="39EFE273" w:rsidR="00F06902" w:rsidRDefault="00DE33B4" w:rsidP="00253F6F">
      <w:pPr>
        <w:pStyle w:val="ListParagraph"/>
        <w:numPr>
          <w:ilvl w:val="1"/>
          <w:numId w:val="103"/>
        </w:numPr>
        <w:ind w:left="851" w:hanging="862"/>
        <w:rPr>
          <w:color w:val="000000"/>
        </w:rPr>
      </w:pPr>
      <w:r>
        <w:t>There is a shortage of social housing in NI</w:t>
      </w:r>
      <w:r w:rsidR="00CF487C">
        <w:t>, and NI’s housing strategy expired in 20</w:t>
      </w:r>
      <w:r w:rsidR="00D61BE0">
        <w:t>17</w:t>
      </w:r>
      <w:r>
        <w:t>.</w:t>
      </w:r>
      <w:r w:rsidR="009A3665">
        <w:rPr>
          <w:rStyle w:val="FootnoteReference"/>
        </w:rPr>
        <w:footnoteReference w:id="257"/>
      </w:r>
      <w:r>
        <w:t xml:space="preserve"> </w:t>
      </w:r>
      <w:r w:rsidR="00F06902">
        <w:rPr>
          <w:color w:val="000000"/>
        </w:rPr>
        <w:t>On 30 June 2022, the number of applicants on the social housing waiting list was 44,229</w:t>
      </w:r>
      <w:r w:rsidR="009D333D">
        <w:rPr>
          <w:color w:val="000000"/>
        </w:rPr>
        <w:t>;</w:t>
      </w:r>
      <w:r w:rsidR="00F06902">
        <w:rPr>
          <w:color w:val="000000"/>
        </w:rPr>
        <w:t xml:space="preserve"> of these applicants, 31,663 were in housing stress.</w:t>
      </w:r>
      <w:r w:rsidR="00F06902">
        <w:rPr>
          <w:rStyle w:val="FootnoteReference"/>
        </w:rPr>
        <w:footnoteReference w:id="258"/>
      </w:r>
      <w:r w:rsidR="00D61BE0">
        <w:rPr>
          <w:color w:val="000000"/>
        </w:rPr>
        <w:t xml:space="preserve"> </w:t>
      </w:r>
      <w:r w:rsidR="00DE0146">
        <w:rPr>
          <w:color w:val="000000"/>
        </w:rPr>
        <w:t>In 2020/</w:t>
      </w:r>
      <w:r w:rsidR="00726FF2">
        <w:rPr>
          <w:color w:val="000000"/>
        </w:rPr>
        <w:t>2021,</w:t>
      </w:r>
      <w:r w:rsidR="00D61BE0">
        <w:rPr>
          <w:color w:val="000000"/>
        </w:rPr>
        <w:t xml:space="preserve"> the number of new dwelling completions in the </w:t>
      </w:r>
      <w:r w:rsidR="00150B45">
        <w:rPr>
          <w:color w:val="000000"/>
        </w:rPr>
        <w:t xml:space="preserve">social housing sector </w:t>
      </w:r>
      <w:r w:rsidR="00726FF2">
        <w:rPr>
          <w:color w:val="000000"/>
        </w:rPr>
        <w:t xml:space="preserve">was 653, </w:t>
      </w:r>
      <w:r w:rsidR="006148CF">
        <w:rPr>
          <w:color w:val="000000"/>
        </w:rPr>
        <w:t>continuing the decreasing trend since 2017</w:t>
      </w:r>
      <w:r w:rsidR="00E827A2">
        <w:rPr>
          <w:color w:val="000000"/>
        </w:rPr>
        <w:t>/2018</w:t>
      </w:r>
      <w:r w:rsidR="00150B45">
        <w:rPr>
          <w:color w:val="000000"/>
        </w:rPr>
        <w:t xml:space="preserve"> </w:t>
      </w:r>
      <w:r w:rsidR="00E827A2">
        <w:rPr>
          <w:color w:val="000000"/>
        </w:rPr>
        <w:t>when</w:t>
      </w:r>
      <w:r w:rsidR="00CD6DB6">
        <w:rPr>
          <w:color w:val="000000"/>
        </w:rPr>
        <w:t xml:space="preserve"> </w:t>
      </w:r>
      <w:r w:rsidR="00150B45">
        <w:rPr>
          <w:color w:val="000000"/>
        </w:rPr>
        <w:t xml:space="preserve">1,214 completions </w:t>
      </w:r>
      <w:r w:rsidR="00E827A2">
        <w:rPr>
          <w:color w:val="000000"/>
        </w:rPr>
        <w:t xml:space="preserve">were </w:t>
      </w:r>
      <w:r w:rsidR="00CD6DB6">
        <w:rPr>
          <w:color w:val="000000"/>
        </w:rPr>
        <w:t>reported</w:t>
      </w:r>
      <w:r w:rsidR="00367E01">
        <w:rPr>
          <w:color w:val="000000"/>
        </w:rPr>
        <w:t>.</w:t>
      </w:r>
      <w:r w:rsidR="00367E01">
        <w:rPr>
          <w:rStyle w:val="FootnoteReference"/>
          <w:color w:val="000000"/>
        </w:rPr>
        <w:footnoteReference w:id="259"/>
      </w:r>
      <w:r w:rsidR="00F06902">
        <w:rPr>
          <w:color w:val="000000"/>
        </w:rPr>
        <w:t xml:space="preserve"> </w:t>
      </w:r>
      <w:r w:rsidR="00D61BE0">
        <w:rPr>
          <w:color w:val="000000"/>
        </w:rPr>
        <w:t xml:space="preserve">In the absence of </w:t>
      </w:r>
      <w:r w:rsidR="0006632B">
        <w:rPr>
          <w:color w:val="000000"/>
        </w:rPr>
        <w:t>a</w:t>
      </w:r>
      <w:r w:rsidR="007670D2">
        <w:rPr>
          <w:color w:val="000000"/>
        </w:rPr>
        <w:t xml:space="preserve"> functioning NI</w:t>
      </w:r>
      <w:r w:rsidR="00D46743">
        <w:rPr>
          <w:color w:val="000000"/>
        </w:rPr>
        <w:t xml:space="preserve"> Executive and NI Assembly, </w:t>
      </w:r>
      <w:r w:rsidR="00C83017">
        <w:rPr>
          <w:color w:val="000000"/>
        </w:rPr>
        <w:t>implementation of a new housing supply strategy has been delayed.</w:t>
      </w:r>
      <w:r w:rsidR="00C83017">
        <w:rPr>
          <w:rStyle w:val="FootnoteReference"/>
          <w:color w:val="000000"/>
        </w:rPr>
        <w:footnoteReference w:id="260"/>
      </w:r>
    </w:p>
    <w:p w14:paraId="0B1B778B" w14:textId="77777777" w:rsidR="00D913AC" w:rsidRDefault="00D913AC" w:rsidP="00412E09">
      <w:pPr>
        <w:pStyle w:val="ListParagraph"/>
        <w:ind w:left="851" w:hanging="862"/>
      </w:pPr>
    </w:p>
    <w:p w14:paraId="411AD43A" w14:textId="142A87B1" w:rsidR="00D913AC" w:rsidRPr="00D913AC" w:rsidRDefault="00134DA1" w:rsidP="00253F6F">
      <w:pPr>
        <w:pStyle w:val="ListParagraph"/>
        <w:numPr>
          <w:ilvl w:val="1"/>
          <w:numId w:val="103"/>
        </w:numPr>
        <w:ind w:left="851" w:hanging="862"/>
        <w:rPr>
          <w:b/>
        </w:rPr>
      </w:pPr>
      <w:r>
        <w:rPr>
          <w:b/>
        </w:rPr>
        <w:t>The Committee may wish to recommend</w:t>
      </w:r>
      <w:r w:rsidR="00726596">
        <w:rPr>
          <w:b/>
        </w:rPr>
        <w:t xml:space="preserve"> that</w:t>
      </w:r>
      <w:r w:rsidR="008E3045">
        <w:rPr>
          <w:b/>
        </w:rPr>
        <w:t xml:space="preserve"> the </w:t>
      </w:r>
      <w:r w:rsidR="00DE518A" w:rsidRPr="00DE518A">
        <w:rPr>
          <w:b/>
        </w:rPr>
        <w:t>State Party</w:t>
      </w:r>
      <w:r w:rsidR="00DE518A">
        <w:rPr>
          <w:b/>
        </w:rPr>
        <w:t xml:space="preserve"> </w:t>
      </w:r>
      <w:r w:rsidR="00381978">
        <w:rPr>
          <w:b/>
        </w:rPr>
        <w:t>ensures that</w:t>
      </w:r>
      <w:r w:rsidR="00BB2D38">
        <w:rPr>
          <w:b/>
        </w:rPr>
        <w:t xml:space="preserve"> </w:t>
      </w:r>
      <w:r w:rsidR="00D913AC" w:rsidRPr="00D913AC">
        <w:rPr>
          <w:b/>
        </w:rPr>
        <w:t xml:space="preserve">legislation to prohibit </w:t>
      </w:r>
      <w:r w:rsidR="00BB2D38">
        <w:rPr>
          <w:b/>
        </w:rPr>
        <w:t xml:space="preserve">the </w:t>
      </w:r>
      <w:r w:rsidR="00D913AC" w:rsidRPr="00D913AC">
        <w:rPr>
          <w:b/>
        </w:rPr>
        <w:t>prolonged placement of children in temporary accommodation</w:t>
      </w:r>
      <w:r w:rsidR="00381978">
        <w:rPr>
          <w:b/>
        </w:rPr>
        <w:t xml:space="preserve"> is introduced </w:t>
      </w:r>
      <w:r w:rsidR="00326FAB">
        <w:rPr>
          <w:b/>
        </w:rPr>
        <w:t>in NI</w:t>
      </w:r>
      <w:r w:rsidR="00381978">
        <w:rPr>
          <w:b/>
        </w:rPr>
        <w:t>. Furthermore, that</w:t>
      </w:r>
      <w:r w:rsidR="00386370" w:rsidRPr="00386370">
        <w:rPr>
          <w:b/>
        </w:rPr>
        <w:t xml:space="preserve"> </w:t>
      </w:r>
      <w:r w:rsidR="00D913AC" w:rsidRPr="00D913AC">
        <w:rPr>
          <w:b/>
        </w:rPr>
        <w:t xml:space="preserve">effective measures </w:t>
      </w:r>
      <w:r w:rsidR="00381978">
        <w:rPr>
          <w:b/>
        </w:rPr>
        <w:t xml:space="preserve">are taken </w:t>
      </w:r>
      <w:r w:rsidR="00D913AC" w:rsidRPr="00D913AC">
        <w:rPr>
          <w:b/>
        </w:rPr>
        <w:t>to</w:t>
      </w:r>
      <w:r w:rsidR="00190A53">
        <w:rPr>
          <w:b/>
        </w:rPr>
        <w:t xml:space="preserve"> </w:t>
      </w:r>
      <w:r w:rsidR="002A038B">
        <w:rPr>
          <w:b/>
        </w:rPr>
        <w:t xml:space="preserve">progressively </w:t>
      </w:r>
      <w:r w:rsidR="00190A53">
        <w:rPr>
          <w:b/>
        </w:rPr>
        <w:t xml:space="preserve">guarantee </w:t>
      </w:r>
      <w:r w:rsidR="00E232CD">
        <w:rPr>
          <w:b/>
        </w:rPr>
        <w:t xml:space="preserve">all </w:t>
      </w:r>
      <w:r w:rsidR="00190A53">
        <w:rPr>
          <w:b/>
        </w:rPr>
        <w:t xml:space="preserve">children </w:t>
      </w:r>
      <w:r w:rsidR="00BC4D15">
        <w:rPr>
          <w:b/>
        </w:rPr>
        <w:t xml:space="preserve">in NI </w:t>
      </w:r>
      <w:r w:rsidR="00190A53">
        <w:rPr>
          <w:b/>
        </w:rPr>
        <w:t>stable access to adequate housing</w:t>
      </w:r>
      <w:r w:rsidR="00213D5B">
        <w:rPr>
          <w:b/>
        </w:rPr>
        <w:t>. This includes</w:t>
      </w:r>
      <w:r w:rsidR="00451992" w:rsidRPr="00381978">
        <w:rPr>
          <w:b/>
        </w:rPr>
        <w:t xml:space="preserve"> </w:t>
      </w:r>
      <w:r w:rsidR="00213D5B">
        <w:rPr>
          <w:b/>
        </w:rPr>
        <w:t>ensuring that</w:t>
      </w:r>
      <w:r w:rsidR="00B85822">
        <w:rPr>
          <w:b/>
          <w:bCs/>
        </w:rPr>
        <w:t xml:space="preserve"> an</w:t>
      </w:r>
      <w:r w:rsidR="00F5727D">
        <w:rPr>
          <w:b/>
          <w:bCs/>
        </w:rPr>
        <w:t xml:space="preserve"> adequately resource</w:t>
      </w:r>
      <w:r w:rsidR="00B85822">
        <w:rPr>
          <w:b/>
          <w:bCs/>
        </w:rPr>
        <w:t xml:space="preserve">d, </w:t>
      </w:r>
      <w:r w:rsidR="00F5727D">
        <w:rPr>
          <w:b/>
          <w:bCs/>
        </w:rPr>
        <w:t>up-to-date housing supply strategy</w:t>
      </w:r>
      <w:r w:rsidR="002222B8">
        <w:rPr>
          <w:b/>
          <w:bCs/>
        </w:rPr>
        <w:t xml:space="preserve"> </w:t>
      </w:r>
      <w:r w:rsidR="00213D5B">
        <w:rPr>
          <w:b/>
          <w:bCs/>
        </w:rPr>
        <w:t>is implemented</w:t>
      </w:r>
      <w:r w:rsidR="00005E1B">
        <w:rPr>
          <w:b/>
          <w:bCs/>
        </w:rPr>
        <w:t xml:space="preserve"> in NI</w:t>
      </w:r>
      <w:r w:rsidR="00086233">
        <w:rPr>
          <w:b/>
        </w:rPr>
        <w:t>.</w:t>
      </w:r>
    </w:p>
    <w:p w14:paraId="0870E954" w14:textId="7204648B" w:rsidR="00C018AE" w:rsidRDefault="00F26336" w:rsidP="00E31338">
      <w:r w:rsidRPr="00D913AC">
        <w:rPr>
          <w:b/>
        </w:rPr>
        <w:t xml:space="preserve"> </w:t>
      </w:r>
    </w:p>
    <w:p w14:paraId="6CBCA8FF" w14:textId="22E5C64F" w:rsidR="00844EC1" w:rsidRPr="00005E1B" w:rsidRDefault="00C71EBE" w:rsidP="00005E1B">
      <w:pPr>
        <w:pStyle w:val="Heading2"/>
        <w:rPr>
          <w:szCs w:val="22"/>
        </w:rPr>
      </w:pPr>
      <w:bookmarkStart w:id="64" w:name="_Toc121922228"/>
      <w:r w:rsidRPr="00587912">
        <w:rPr>
          <w:szCs w:val="22"/>
        </w:rPr>
        <w:t>Access to food</w:t>
      </w:r>
      <w:bookmarkEnd w:id="64"/>
      <w:r w:rsidRPr="00587912">
        <w:rPr>
          <w:szCs w:val="22"/>
        </w:rPr>
        <w:t xml:space="preserve"> </w:t>
      </w:r>
    </w:p>
    <w:p w14:paraId="2E304F68" w14:textId="442E79C0" w:rsidR="006A03FA" w:rsidRDefault="00005E1B" w:rsidP="00253F6F">
      <w:pPr>
        <w:pStyle w:val="ListParagraph"/>
        <w:numPr>
          <w:ilvl w:val="1"/>
          <w:numId w:val="103"/>
        </w:numPr>
        <w:ind w:left="851" w:hanging="851"/>
      </w:pPr>
      <w:r>
        <w:t>In 2013, there were 14 foodbanks in NI.</w:t>
      </w:r>
      <w:r w:rsidRPr="00587912">
        <w:rPr>
          <w:rStyle w:val="FootnoteReference"/>
        </w:rPr>
        <w:footnoteReference w:id="261"/>
      </w:r>
      <w:r>
        <w:t xml:space="preserve"> </w:t>
      </w:r>
      <w:r w:rsidR="00D1787C">
        <w:t>In</w:t>
      </w:r>
      <w:r w:rsidR="00C018AE">
        <w:t xml:space="preserve"> early 2020</w:t>
      </w:r>
      <w:r w:rsidR="00126C29" w:rsidRPr="00587912">
        <w:t xml:space="preserve">, </w:t>
      </w:r>
      <w:r>
        <w:t xml:space="preserve">this increased to </w:t>
      </w:r>
      <w:r w:rsidR="00126C29" w:rsidRPr="00587912">
        <w:t xml:space="preserve">55 foodbanks </w:t>
      </w:r>
      <w:r w:rsidR="00844EC1" w:rsidRPr="00587912">
        <w:t>in NI.</w:t>
      </w:r>
      <w:r w:rsidR="00126C29" w:rsidRPr="00587912">
        <w:rPr>
          <w:rStyle w:val="FootnoteReference"/>
        </w:rPr>
        <w:footnoteReference w:id="262"/>
      </w:r>
      <w:r w:rsidR="00126C29" w:rsidRPr="00587912">
        <w:t xml:space="preserve"> </w:t>
      </w:r>
      <w:r w:rsidR="00D1787C">
        <w:t xml:space="preserve">In </w:t>
      </w:r>
      <w:r w:rsidR="002E2123">
        <w:t>20</w:t>
      </w:r>
      <w:r w:rsidR="00130977">
        <w:t>21</w:t>
      </w:r>
      <w:r w:rsidR="002E2123">
        <w:t>/</w:t>
      </w:r>
      <w:r w:rsidR="00130977">
        <w:t>2022</w:t>
      </w:r>
      <w:r w:rsidR="00D1787C">
        <w:t>, t</w:t>
      </w:r>
      <w:r w:rsidR="00844EC1" w:rsidRPr="00587912">
        <w:t xml:space="preserve">he Trussell Trust </w:t>
      </w:r>
      <w:r w:rsidR="00D1787C">
        <w:t xml:space="preserve">provided </w:t>
      </w:r>
      <w:r w:rsidR="00156B5B">
        <w:t>26,358</w:t>
      </w:r>
      <w:r w:rsidR="005D0FF0">
        <w:t xml:space="preserve"> food parcels to </w:t>
      </w:r>
      <w:r w:rsidR="00655AC8">
        <w:t>children</w:t>
      </w:r>
      <w:r w:rsidR="00BD6CB3">
        <w:t xml:space="preserve"> in NI,</w:t>
      </w:r>
      <w:r w:rsidR="00655AC8">
        <w:t xml:space="preserve"> </w:t>
      </w:r>
      <w:r w:rsidR="004F07DA">
        <w:t>which is a 39 per cent increase from</w:t>
      </w:r>
      <w:r w:rsidR="00F77135">
        <w:t xml:space="preserve"> the</w:t>
      </w:r>
      <w:r w:rsidR="004F07DA">
        <w:t xml:space="preserve"> </w:t>
      </w:r>
      <w:r w:rsidR="00F77135">
        <w:t xml:space="preserve">18,979 parcels recorded in </w:t>
      </w:r>
      <w:r w:rsidR="004F07DA">
        <w:t>2019/2020</w:t>
      </w:r>
      <w:r w:rsidR="00844EC1" w:rsidRPr="00587912">
        <w:t>.</w:t>
      </w:r>
      <w:r w:rsidR="00844EC1" w:rsidRPr="00587912">
        <w:rPr>
          <w:rStyle w:val="FootnoteReference"/>
        </w:rPr>
        <w:footnoteReference w:id="263"/>
      </w:r>
      <w:r w:rsidR="00EF7DA6">
        <w:t xml:space="preserve"> </w:t>
      </w:r>
      <w:r w:rsidR="00DF4909">
        <w:t>T</w:t>
      </w:r>
      <w:r w:rsidR="00E91DFC">
        <w:t xml:space="preserve">his is the largest percentage increase </w:t>
      </w:r>
      <w:r w:rsidR="00DA21BB">
        <w:t>in the number of parcels distributed to children</w:t>
      </w:r>
      <w:r w:rsidR="00DF4909">
        <w:t xml:space="preserve"> when compared to the other UK regions</w:t>
      </w:r>
      <w:r w:rsidR="00890F93">
        <w:t>.</w:t>
      </w:r>
      <w:r w:rsidR="001571BA">
        <w:rPr>
          <w:rStyle w:val="FootnoteReference"/>
        </w:rPr>
        <w:footnoteReference w:id="264"/>
      </w:r>
    </w:p>
    <w:p w14:paraId="7A6933C2" w14:textId="77777777" w:rsidR="005D0FF0" w:rsidRDefault="005D0FF0" w:rsidP="0093204D">
      <w:pPr>
        <w:pStyle w:val="ListParagraph"/>
        <w:ind w:left="851" w:hanging="851"/>
      </w:pPr>
    </w:p>
    <w:p w14:paraId="474E5DDF" w14:textId="293051AC" w:rsidR="00A63DDB" w:rsidRDefault="008374C6" w:rsidP="00253F6F">
      <w:pPr>
        <w:pStyle w:val="ListParagraph"/>
        <w:numPr>
          <w:ilvl w:val="1"/>
          <w:numId w:val="103"/>
        </w:numPr>
        <w:ind w:left="851" w:hanging="851"/>
      </w:pPr>
      <w:r>
        <w:t xml:space="preserve">In 2022, </w:t>
      </w:r>
      <w:r w:rsidR="00FF7EF2">
        <w:t xml:space="preserve">the continued rise in food prices is a growing </w:t>
      </w:r>
      <w:r>
        <w:t>concern</w:t>
      </w:r>
      <w:r w:rsidR="00FF7EF2">
        <w:t xml:space="preserve">, </w:t>
      </w:r>
      <w:r w:rsidR="00813D50">
        <w:t xml:space="preserve">with </w:t>
      </w:r>
      <w:r w:rsidR="00FF7EF2">
        <w:t xml:space="preserve">foodbanks </w:t>
      </w:r>
      <w:r>
        <w:t xml:space="preserve">across the UK </w:t>
      </w:r>
      <w:r w:rsidR="00FF7EF2">
        <w:t>fac</w:t>
      </w:r>
      <w:r w:rsidR="00A72682">
        <w:t>ing</w:t>
      </w:r>
      <w:r w:rsidR="00FF7EF2">
        <w:t xml:space="preserve"> </w:t>
      </w:r>
      <w:r w:rsidR="00A63DDB">
        <w:t>increas</w:t>
      </w:r>
      <w:r w:rsidR="00A72682">
        <w:t>ed</w:t>
      </w:r>
      <w:r w:rsidR="00A63DDB">
        <w:t xml:space="preserve"> demand and reduced donations.</w:t>
      </w:r>
      <w:r w:rsidR="00A72682">
        <w:rPr>
          <w:rStyle w:val="FootnoteReference"/>
        </w:rPr>
        <w:footnoteReference w:id="265"/>
      </w:r>
    </w:p>
    <w:p w14:paraId="24741D70" w14:textId="77777777" w:rsidR="00A63DDB" w:rsidRDefault="00A63DDB" w:rsidP="00A63DDB">
      <w:pPr>
        <w:pStyle w:val="ListParagraph"/>
      </w:pPr>
    </w:p>
    <w:p w14:paraId="1390FC5B" w14:textId="4CB68F38" w:rsidR="00412E7E" w:rsidRDefault="00E82D75" w:rsidP="00253F6F">
      <w:pPr>
        <w:pStyle w:val="ListParagraph"/>
        <w:numPr>
          <w:ilvl w:val="1"/>
          <w:numId w:val="103"/>
        </w:numPr>
        <w:ind w:left="851" w:hanging="851"/>
      </w:pPr>
      <w:r>
        <w:t>Between</w:t>
      </w:r>
      <w:r w:rsidR="009343F6">
        <w:t xml:space="preserve"> </w:t>
      </w:r>
      <w:r w:rsidR="00BB6D35">
        <w:t>April</w:t>
      </w:r>
      <w:r w:rsidRPr="006473CF">
        <w:t xml:space="preserve"> </w:t>
      </w:r>
      <w:r w:rsidR="005D0FF0" w:rsidRPr="006473CF">
        <w:t>20</w:t>
      </w:r>
      <w:r w:rsidR="005D0FF0">
        <w:t>20</w:t>
      </w:r>
      <w:r>
        <w:t xml:space="preserve"> and </w:t>
      </w:r>
      <w:r w:rsidR="00B66CBA">
        <w:t xml:space="preserve">August </w:t>
      </w:r>
      <w:r>
        <w:t>2022</w:t>
      </w:r>
      <w:r w:rsidR="005D0FF0">
        <w:t xml:space="preserve">, </w:t>
      </w:r>
      <w:r w:rsidR="005D0FF0" w:rsidRPr="006473CF">
        <w:t xml:space="preserve">direct payments </w:t>
      </w:r>
      <w:r w:rsidR="00671C5D">
        <w:t xml:space="preserve">were provided </w:t>
      </w:r>
      <w:r w:rsidR="005D0FF0" w:rsidRPr="006473CF">
        <w:t xml:space="preserve">to families in receipt of Free School Meals during </w:t>
      </w:r>
      <w:r w:rsidR="00671C5D">
        <w:t xml:space="preserve">COVID-19 </w:t>
      </w:r>
      <w:r w:rsidR="005D0FF0" w:rsidRPr="006473CF">
        <w:t>term-time school closures</w:t>
      </w:r>
      <w:r w:rsidR="00671C5D">
        <w:t xml:space="preserve"> and across the summer holidays</w:t>
      </w:r>
      <w:r w:rsidR="005D0FF0" w:rsidRPr="006473CF">
        <w:t>.</w:t>
      </w:r>
      <w:r w:rsidR="005D0FF0" w:rsidRPr="006473CF">
        <w:rPr>
          <w:rStyle w:val="FootnoteReference"/>
        </w:rPr>
        <w:footnoteReference w:id="266"/>
      </w:r>
      <w:r w:rsidR="00671C5D">
        <w:t xml:space="preserve"> </w:t>
      </w:r>
      <w:r w:rsidR="00AB4275">
        <w:t>More than 100,000</w:t>
      </w:r>
      <w:r w:rsidR="00671C5D">
        <w:t xml:space="preserve"> children </w:t>
      </w:r>
      <w:r w:rsidR="005D0FF0" w:rsidRPr="006473CF">
        <w:t xml:space="preserve">benefitted from this scheme. </w:t>
      </w:r>
      <w:r w:rsidR="00362707">
        <w:t>T</w:t>
      </w:r>
      <w:r w:rsidR="00671C5D">
        <w:t>here is no long-term commitment to continue</w:t>
      </w:r>
      <w:r w:rsidR="005D0FF0">
        <w:t xml:space="preserve"> Free School Meals during school holidays as standard.</w:t>
      </w:r>
      <w:r w:rsidR="005D0FF0">
        <w:rPr>
          <w:rStyle w:val="FootnoteReference"/>
        </w:rPr>
        <w:footnoteReference w:id="267"/>
      </w:r>
      <w:r w:rsidR="00E56FC2">
        <w:t xml:space="preserve"> </w:t>
      </w:r>
    </w:p>
    <w:p w14:paraId="3C2DF15F" w14:textId="77777777" w:rsidR="00412E7E" w:rsidRDefault="00412E7E" w:rsidP="0093204D">
      <w:pPr>
        <w:pStyle w:val="ListParagraph"/>
        <w:ind w:left="851" w:hanging="851"/>
      </w:pPr>
    </w:p>
    <w:p w14:paraId="2FC746DF" w14:textId="46248925" w:rsidR="00655AC8" w:rsidRDefault="004A2A2B" w:rsidP="00253F6F">
      <w:pPr>
        <w:pStyle w:val="ListParagraph"/>
        <w:numPr>
          <w:ilvl w:val="1"/>
          <w:numId w:val="103"/>
        </w:numPr>
        <w:ind w:left="851" w:hanging="851"/>
      </w:pPr>
      <w:r>
        <w:t>In November 2021, th</w:t>
      </w:r>
      <w:r w:rsidR="00362707">
        <w:t>e Department</w:t>
      </w:r>
      <w:r w:rsidR="007B29B7">
        <w:t xml:space="preserve"> of Education</w:t>
      </w:r>
      <w:r w:rsidR="00362707">
        <w:t xml:space="preserve"> </w:t>
      </w:r>
      <w:r>
        <w:t xml:space="preserve">commenced a review of </w:t>
      </w:r>
      <w:r w:rsidR="00DD1E85">
        <w:t>free school meal eligibility</w:t>
      </w:r>
      <w:r w:rsidR="00945541">
        <w:t xml:space="preserve"> in NI</w:t>
      </w:r>
      <w:r w:rsidR="00743057">
        <w:t xml:space="preserve">, which includes costed options for </w:t>
      </w:r>
      <w:r w:rsidR="00247D19">
        <w:t>universal</w:t>
      </w:r>
      <w:r w:rsidR="00916E19">
        <w:t xml:space="preserve"> free school meal</w:t>
      </w:r>
      <w:r w:rsidR="00247D19">
        <w:t xml:space="preserve"> provision.</w:t>
      </w:r>
      <w:r w:rsidR="00177975">
        <w:rPr>
          <w:rStyle w:val="FootnoteReference"/>
        </w:rPr>
        <w:footnoteReference w:id="268"/>
      </w:r>
      <w:r w:rsidR="00916E19">
        <w:t xml:space="preserve"> </w:t>
      </w:r>
      <w:r w:rsidR="007D458F">
        <w:t xml:space="preserve">The </w:t>
      </w:r>
      <w:r w:rsidR="00A201A4">
        <w:t>r</w:t>
      </w:r>
      <w:r w:rsidR="007D458F">
        <w:t>eview is expected to be completed in early 2023.</w:t>
      </w:r>
      <w:r w:rsidR="007D458F">
        <w:rPr>
          <w:rStyle w:val="FootnoteReference"/>
        </w:rPr>
        <w:footnoteReference w:id="269"/>
      </w:r>
    </w:p>
    <w:p w14:paraId="2FF6D57D" w14:textId="77777777" w:rsidR="00655AC8" w:rsidRDefault="00655AC8" w:rsidP="0093204D">
      <w:pPr>
        <w:pStyle w:val="ListParagraph"/>
        <w:ind w:left="851" w:hanging="851"/>
      </w:pPr>
    </w:p>
    <w:p w14:paraId="327C8E53" w14:textId="6A8EB3F7" w:rsidR="007D39E6" w:rsidRDefault="00134DA1" w:rsidP="00253F6F">
      <w:pPr>
        <w:pStyle w:val="ListParagraph"/>
        <w:numPr>
          <w:ilvl w:val="1"/>
          <w:numId w:val="103"/>
        </w:numPr>
        <w:ind w:left="851" w:hanging="851"/>
        <w:rPr>
          <w:b/>
        </w:rPr>
      </w:pPr>
      <w:r>
        <w:rPr>
          <w:b/>
        </w:rPr>
        <w:t>The Committee may wish to recommend</w:t>
      </w:r>
      <w:r w:rsidR="000155E6">
        <w:rPr>
          <w:b/>
        </w:rPr>
        <w:t xml:space="preserve"> that</w:t>
      </w:r>
      <w:r w:rsidR="000155E6" w:rsidRPr="00386370">
        <w:rPr>
          <w:b/>
        </w:rPr>
        <w:t xml:space="preserve"> the </w:t>
      </w:r>
      <w:r w:rsidR="00FD7A7E">
        <w:rPr>
          <w:b/>
        </w:rPr>
        <w:t>State Party takes</w:t>
      </w:r>
      <w:r w:rsidR="000155E6" w:rsidRPr="00386370">
        <w:rPr>
          <w:b/>
        </w:rPr>
        <w:t xml:space="preserve"> </w:t>
      </w:r>
      <w:r w:rsidR="00655AC8" w:rsidRPr="00655AC8">
        <w:rPr>
          <w:b/>
        </w:rPr>
        <w:t>effective measures</w:t>
      </w:r>
      <w:r w:rsidR="001B01BC">
        <w:rPr>
          <w:b/>
        </w:rPr>
        <w:t xml:space="preserve"> to</w:t>
      </w:r>
      <w:r w:rsidR="00655AC8" w:rsidRPr="00655AC8">
        <w:rPr>
          <w:b/>
        </w:rPr>
        <w:t xml:space="preserve"> </w:t>
      </w:r>
      <w:r w:rsidR="00AB7D11">
        <w:rPr>
          <w:b/>
        </w:rPr>
        <w:t xml:space="preserve">tackle </w:t>
      </w:r>
      <w:r w:rsidR="00CA7191">
        <w:rPr>
          <w:b/>
        </w:rPr>
        <w:t>child</w:t>
      </w:r>
      <w:r w:rsidR="00AB7D11">
        <w:rPr>
          <w:b/>
        </w:rPr>
        <w:t xml:space="preserve"> food insecurity</w:t>
      </w:r>
      <w:r w:rsidR="00BD4012">
        <w:rPr>
          <w:b/>
        </w:rPr>
        <w:t xml:space="preserve"> </w:t>
      </w:r>
      <w:r w:rsidR="006F6851">
        <w:rPr>
          <w:b/>
        </w:rPr>
        <w:t>in NI</w:t>
      </w:r>
      <w:r w:rsidR="003D0E5F">
        <w:rPr>
          <w:b/>
        </w:rPr>
        <w:t>,</w:t>
      </w:r>
      <w:r w:rsidR="00167652">
        <w:rPr>
          <w:b/>
        </w:rPr>
        <w:t xml:space="preserve"> </w:t>
      </w:r>
      <w:r w:rsidR="00E64A7A" w:rsidRPr="00167652">
        <w:rPr>
          <w:b/>
        </w:rPr>
        <w:t>including by ensuring</w:t>
      </w:r>
      <w:r w:rsidR="00191A41" w:rsidRPr="00167652">
        <w:rPr>
          <w:b/>
        </w:rPr>
        <w:t xml:space="preserve"> children in NI</w:t>
      </w:r>
      <w:r w:rsidR="00E1218C" w:rsidRPr="00167652">
        <w:rPr>
          <w:b/>
        </w:rPr>
        <w:t xml:space="preserve"> receive</w:t>
      </w:r>
      <w:r w:rsidR="00655AC8" w:rsidRPr="00167652">
        <w:rPr>
          <w:b/>
        </w:rPr>
        <w:t xml:space="preserve"> Free School Meals </w:t>
      </w:r>
      <w:r w:rsidR="00AF08BF" w:rsidRPr="00167652">
        <w:rPr>
          <w:b/>
        </w:rPr>
        <w:t>during</w:t>
      </w:r>
      <w:r w:rsidR="00655AC8" w:rsidRPr="00167652">
        <w:rPr>
          <w:b/>
        </w:rPr>
        <w:t xml:space="preserve"> school holidays as standard</w:t>
      </w:r>
      <w:r w:rsidR="00AB583B" w:rsidRPr="00167652">
        <w:rPr>
          <w:b/>
        </w:rPr>
        <w:t xml:space="preserve">. </w:t>
      </w:r>
    </w:p>
    <w:p w14:paraId="6F6CCC6F" w14:textId="561A3961" w:rsidR="007D39E6" w:rsidRDefault="007D39E6" w:rsidP="00C87105">
      <w:pPr>
        <w:rPr>
          <w:bCs/>
        </w:rPr>
      </w:pPr>
    </w:p>
    <w:p w14:paraId="29FC298C" w14:textId="0B22E7A3" w:rsidR="00C87105" w:rsidRPr="00C87105" w:rsidRDefault="00C22011" w:rsidP="00C87105">
      <w:pPr>
        <w:pStyle w:val="Heading2"/>
      </w:pPr>
      <w:bookmarkStart w:id="66" w:name="_Toc121922229"/>
      <w:r>
        <w:t>Fuel poverty</w:t>
      </w:r>
      <w:bookmarkEnd w:id="66"/>
      <w:r>
        <w:t xml:space="preserve"> </w:t>
      </w:r>
    </w:p>
    <w:p w14:paraId="4304AE64" w14:textId="69678665" w:rsidR="007E1C01" w:rsidRPr="007E1C01" w:rsidRDefault="007D39E6" w:rsidP="00253F6F">
      <w:pPr>
        <w:pStyle w:val="ListParagraph"/>
        <w:numPr>
          <w:ilvl w:val="1"/>
          <w:numId w:val="103"/>
        </w:numPr>
        <w:ind w:left="851" w:hanging="851"/>
        <w:rPr>
          <w:bCs/>
        </w:rPr>
      </w:pPr>
      <w:r w:rsidRPr="007D39E6">
        <w:rPr>
          <w:bCs/>
          <w:color w:val="000000"/>
        </w:rPr>
        <w:t>In</w:t>
      </w:r>
      <w:r w:rsidR="00AE3E32">
        <w:rPr>
          <w:bCs/>
          <w:color w:val="000000"/>
        </w:rPr>
        <w:t xml:space="preserve"> 20</w:t>
      </w:r>
      <w:r w:rsidR="00BA0B2F">
        <w:rPr>
          <w:bCs/>
          <w:color w:val="000000"/>
        </w:rPr>
        <w:t>11, the last fuel poverty strategy in NI was published and has not been updated. In 2022, increasing energy pr</w:t>
      </w:r>
      <w:r w:rsidR="007E1C01">
        <w:rPr>
          <w:bCs/>
          <w:color w:val="000000"/>
        </w:rPr>
        <w:t xml:space="preserve">ices are expected to impact </w:t>
      </w:r>
      <w:r w:rsidR="007E1C01">
        <w:rPr>
          <w:color w:val="000000"/>
        </w:rPr>
        <w:t>on those living in NI to a greater extent than other parts of the UK.</w:t>
      </w:r>
      <w:r w:rsidR="007E1C01">
        <w:rPr>
          <w:rStyle w:val="FootnoteReference"/>
          <w:color w:val="000000"/>
        </w:rPr>
        <w:footnoteReference w:id="270"/>
      </w:r>
      <w:r w:rsidR="007E1C01">
        <w:rPr>
          <w:color w:val="000000"/>
        </w:rPr>
        <w:t xml:space="preserve"> </w:t>
      </w:r>
      <w:r w:rsidR="007E1C01" w:rsidRPr="007E1C01">
        <w:rPr>
          <w:color w:val="000000"/>
        </w:rPr>
        <w:t>Fuel poverty often affects the most marginalised groups, particularly children and people with disabilities.</w:t>
      </w:r>
      <w:r w:rsidR="00B41D69">
        <w:rPr>
          <w:rStyle w:val="FootnoteReference"/>
          <w:color w:val="000000"/>
        </w:rPr>
        <w:footnoteReference w:id="271"/>
      </w:r>
      <w:r w:rsidR="007E1C01" w:rsidRPr="007E1C01">
        <w:rPr>
          <w:color w:val="000000"/>
        </w:rPr>
        <w:t xml:space="preserve">  </w:t>
      </w:r>
    </w:p>
    <w:p w14:paraId="0315CB3B" w14:textId="77777777" w:rsidR="007E1C01" w:rsidRPr="007E1C01" w:rsidRDefault="007E1C01" w:rsidP="007E1C01">
      <w:pPr>
        <w:pStyle w:val="ListParagraph"/>
        <w:ind w:left="851"/>
        <w:rPr>
          <w:bCs/>
        </w:rPr>
      </w:pPr>
    </w:p>
    <w:p w14:paraId="76DFFFB8" w14:textId="3FA5859A" w:rsidR="007D39E6" w:rsidRPr="007E1C01" w:rsidRDefault="007E1C01" w:rsidP="00253F6F">
      <w:pPr>
        <w:pStyle w:val="ListParagraph"/>
        <w:numPr>
          <w:ilvl w:val="1"/>
          <w:numId w:val="103"/>
        </w:numPr>
        <w:ind w:left="851" w:hanging="851"/>
        <w:rPr>
          <w:bCs/>
        </w:rPr>
      </w:pPr>
      <w:r>
        <w:rPr>
          <w:bCs/>
          <w:color w:val="000000"/>
        </w:rPr>
        <w:t xml:space="preserve">In 2022, </w:t>
      </w:r>
      <w:r w:rsidR="00AE3E32">
        <w:rPr>
          <w:bCs/>
          <w:color w:val="000000"/>
        </w:rPr>
        <w:t xml:space="preserve">in response to the current rise in the cost of living, </w:t>
      </w:r>
      <w:r w:rsidR="002312EE">
        <w:rPr>
          <w:bCs/>
          <w:color w:val="000000"/>
        </w:rPr>
        <w:t xml:space="preserve">one-off support payments to those on income related benefits, </w:t>
      </w:r>
      <w:r w:rsidR="00AB53AA">
        <w:rPr>
          <w:bCs/>
          <w:color w:val="000000"/>
        </w:rPr>
        <w:t xml:space="preserve">people with disabilities </w:t>
      </w:r>
      <w:r w:rsidR="002312EE">
        <w:rPr>
          <w:bCs/>
          <w:color w:val="000000"/>
        </w:rPr>
        <w:t xml:space="preserve">and pensioners have been </w:t>
      </w:r>
      <w:r w:rsidR="00AB53AA">
        <w:rPr>
          <w:bCs/>
          <w:color w:val="000000"/>
        </w:rPr>
        <w:t>put in place across the UK</w:t>
      </w:r>
      <w:r w:rsidR="007D39E6" w:rsidRPr="007D39E6">
        <w:rPr>
          <w:bCs/>
          <w:color w:val="000000"/>
        </w:rPr>
        <w:t>.</w:t>
      </w:r>
      <w:r w:rsidR="007D39E6" w:rsidRPr="007D39E6">
        <w:rPr>
          <w:rStyle w:val="FootnoteReference"/>
          <w:bCs/>
          <w:color w:val="000000"/>
        </w:rPr>
        <w:footnoteReference w:id="272"/>
      </w:r>
      <w:r w:rsidR="007D39E6" w:rsidRPr="007D39E6">
        <w:rPr>
          <w:bCs/>
          <w:color w:val="000000"/>
        </w:rPr>
        <w:t xml:space="preserve"> </w:t>
      </w:r>
      <w:r w:rsidR="00DC6CEC">
        <w:rPr>
          <w:bCs/>
          <w:color w:val="000000"/>
        </w:rPr>
        <w:t xml:space="preserve">However, </w:t>
      </w:r>
      <w:r w:rsidR="005A3628">
        <w:rPr>
          <w:bCs/>
          <w:color w:val="000000"/>
        </w:rPr>
        <w:t xml:space="preserve">fuel poverty </w:t>
      </w:r>
      <w:r w:rsidR="00A84C50">
        <w:rPr>
          <w:bCs/>
          <w:color w:val="000000"/>
        </w:rPr>
        <w:t xml:space="preserve">continues to be </w:t>
      </w:r>
      <w:r w:rsidR="005A3628">
        <w:rPr>
          <w:bCs/>
          <w:color w:val="000000"/>
        </w:rPr>
        <w:t xml:space="preserve">a </w:t>
      </w:r>
      <w:r w:rsidR="00A84C50">
        <w:rPr>
          <w:bCs/>
          <w:color w:val="000000"/>
        </w:rPr>
        <w:t>significant concern</w:t>
      </w:r>
      <w:r w:rsidR="00DC260A">
        <w:rPr>
          <w:bCs/>
          <w:color w:val="000000"/>
        </w:rPr>
        <w:t xml:space="preserve"> and local authorities </w:t>
      </w:r>
      <w:r w:rsidR="00372111">
        <w:rPr>
          <w:bCs/>
          <w:color w:val="000000"/>
        </w:rPr>
        <w:t xml:space="preserve">are actively considering the use of “warm banks” </w:t>
      </w:r>
      <w:r w:rsidR="00700122">
        <w:rPr>
          <w:bCs/>
          <w:color w:val="000000"/>
        </w:rPr>
        <w:t xml:space="preserve">to </w:t>
      </w:r>
      <w:r w:rsidR="002D766A">
        <w:rPr>
          <w:bCs/>
          <w:color w:val="000000"/>
        </w:rPr>
        <w:t xml:space="preserve">provide </w:t>
      </w:r>
      <w:r w:rsidR="000A4CB0">
        <w:rPr>
          <w:bCs/>
          <w:color w:val="000000"/>
        </w:rPr>
        <w:t xml:space="preserve">free access to heated </w:t>
      </w:r>
      <w:r w:rsidR="00543283">
        <w:rPr>
          <w:bCs/>
          <w:color w:val="000000"/>
        </w:rPr>
        <w:t>facilities, such as libraries,</w:t>
      </w:r>
      <w:r w:rsidR="00705ECE">
        <w:rPr>
          <w:bCs/>
          <w:color w:val="000000"/>
        </w:rPr>
        <w:t xml:space="preserve"> community</w:t>
      </w:r>
      <w:r w:rsidR="003C265C">
        <w:rPr>
          <w:bCs/>
          <w:color w:val="000000"/>
        </w:rPr>
        <w:t xml:space="preserve"> centres</w:t>
      </w:r>
      <w:r w:rsidR="00705ECE">
        <w:rPr>
          <w:bCs/>
          <w:color w:val="000000"/>
        </w:rPr>
        <w:t xml:space="preserve"> and churches.</w:t>
      </w:r>
      <w:r w:rsidR="00700122">
        <w:rPr>
          <w:rStyle w:val="FootnoteReference"/>
          <w:bCs/>
          <w:color w:val="000000"/>
        </w:rPr>
        <w:footnoteReference w:id="273"/>
      </w:r>
      <w:r w:rsidR="003C265C">
        <w:rPr>
          <w:bCs/>
          <w:color w:val="000000"/>
        </w:rPr>
        <w:t xml:space="preserve"> </w:t>
      </w:r>
      <w:bookmarkStart w:id="67" w:name="_Hlk119407176"/>
      <w:r w:rsidR="00F15614">
        <w:rPr>
          <w:color w:val="000000"/>
        </w:rPr>
        <w:t>The expected additional £400 energy support discount has also been delayed for households in NI due to the suspension of the NI Executive.</w:t>
      </w:r>
      <w:r w:rsidR="00F15614">
        <w:rPr>
          <w:rStyle w:val="FootnoteReference"/>
          <w:color w:val="000000"/>
        </w:rPr>
        <w:footnoteReference w:id="274"/>
      </w:r>
      <w:bookmarkEnd w:id="67"/>
    </w:p>
    <w:p w14:paraId="63E28DF1" w14:textId="77777777" w:rsidR="007E1C01" w:rsidRPr="007E1C01" w:rsidRDefault="007E1C01" w:rsidP="007E1C01">
      <w:pPr>
        <w:rPr>
          <w:bCs/>
        </w:rPr>
      </w:pPr>
    </w:p>
    <w:p w14:paraId="21ED0B1D" w14:textId="04394E39" w:rsidR="006873B3" w:rsidRPr="002530FE" w:rsidRDefault="00C91FCF" w:rsidP="00253F6F">
      <w:pPr>
        <w:pStyle w:val="ListParagraph"/>
        <w:numPr>
          <w:ilvl w:val="1"/>
          <w:numId w:val="103"/>
        </w:numPr>
        <w:ind w:left="851" w:hanging="851"/>
        <w:rPr>
          <w:b/>
        </w:rPr>
      </w:pPr>
      <w:r w:rsidRPr="002530FE">
        <w:rPr>
          <w:b/>
        </w:rPr>
        <w:t xml:space="preserve">The Committee may wish to recommend that the State Party </w:t>
      </w:r>
      <w:r w:rsidR="00C46012" w:rsidRPr="002530FE">
        <w:rPr>
          <w:b/>
        </w:rPr>
        <w:t xml:space="preserve">takes effective measures to </w:t>
      </w:r>
      <w:r w:rsidR="006051C2" w:rsidRPr="002530FE">
        <w:rPr>
          <w:b/>
        </w:rPr>
        <w:t xml:space="preserve">tackle fuel poverty </w:t>
      </w:r>
      <w:r w:rsidR="00F15614">
        <w:rPr>
          <w:b/>
        </w:rPr>
        <w:t>in NI</w:t>
      </w:r>
      <w:r w:rsidR="006051C2" w:rsidRPr="002530FE">
        <w:rPr>
          <w:b/>
        </w:rPr>
        <w:t xml:space="preserve">, </w:t>
      </w:r>
      <w:r w:rsidR="007C00FA" w:rsidRPr="002530FE">
        <w:rPr>
          <w:b/>
        </w:rPr>
        <w:t xml:space="preserve">including </w:t>
      </w:r>
      <w:r w:rsidR="00434611" w:rsidRPr="002530FE">
        <w:rPr>
          <w:b/>
        </w:rPr>
        <w:t xml:space="preserve">adequate support payments and </w:t>
      </w:r>
      <w:r w:rsidR="00111EA0" w:rsidRPr="002530FE">
        <w:rPr>
          <w:b/>
        </w:rPr>
        <w:t>energy price regulation</w:t>
      </w:r>
      <w:r w:rsidR="002530FE" w:rsidRPr="002530FE">
        <w:rPr>
          <w:b/>
        </w:rPr>
        <w:t>.</w:t>
      </w:r>
      <w:r w:rsidR="006051C2" w:rsidRPr="002530FE">
        <w:rPr>
          <w:b/>
        </w:rPr>
        <w:t xml:space="preserve"> </w:t>
      </w:r>
      <w:r w:rsidR="00C22011" w:rsidRPr="002530FE">
        <w:rPr>
          <w:b/>
        </w:rPr>
        <w:t xml:space="preserve">Specific consideration should be given to addressing the disproportionate impact of </w:t>
      </w:r>
      <w:r w:rsidR="00587B7F" w:rsidRPr="002530FE">
        <w:rPr>
          <w:b/>
        </w:rPr>
        <w:t xml:space="preserve">fuel </w:t>
      </w:r>
      <w:r w:rsidR="00C22011" w:rsidRPr="002530FE">
        <w:rPr>
          <w:b/>
        </w:rPr>
        <w:t>poverty on children and families in NI.</w:t>
      </w:r>
    </w:p>
    <w:p w14:paraId="6DA00B6B" w14:textId="49FD1D4E" w:rsidR="00E61BC6" w:rsidRPr="004157C1" w:rsidRDefault="00E61BC6" w:rsidP="0093204D">
      <w:pPr>
        <w:ind w:left="851" w:hanging="851"/>
        <w:rPr>
          <w:b/>
        </w:rPr>
      </w:pPr>
    </w:p>
    <w:p w14:paraId="1900FBC7" w14:textId="6CB64D5C" w:rsidR="00A72901" w:rsidRPr="00587912" w:rsidRDefault="00A72901" w:rsidP="00DC6655">
      <w:pPr>
        <w:pStyle w:val="Heading2"/>
        <w:ind w:left="851" w:hanging="851"/>
      </w:pPr>
      <w:bookmarkStart w:id="68" w:name="_Toc121922230"/>
      <w:r w:rsidRPr="00587912">
        <w:t xml:space="preserve">Asylum financial </w:t>
      </w:r>
      <w:r w:rsidR="00C94CE0">
        <w:t>support</w:t>
      </w:r>
      <w:bookmarkEnd w:id="68"/>
    </w:p>
    <w:p w14:paraId="78C3A3B4" w14:textId="2F5D281C" w:rsidR="00AB11EF" w:rsidRDefault="00397E1C" w:rsidP="00253F6F">
      <w:pPr>
        <w:pStyle w:val="ListParagraph"/>
        <w:numPr>
          <w:ilvl w:val="1"/>
          <w:numId w:val="103"/>
        </w:numPr>
        <w:ind w:left="851" w:hanging="851"/>
      </w:pPr>
      <w:r>
        <w:t>Persons seeking asylum</w:t>
      </w:r>
      <w:r w:rsidR="00A72901" w:rsidRPr="00587912">
        <w:t xml:space="preserve"> and their dependents </w:t>
      </w:r>
      <w:r>
        <w:t>that do not have</w:t>
      </w:r>
      <w:r w:rsidR="00C94CE0">
        <w:t xml:space="preserve"> financial</w:t>
      </w:r>
      <w:r w:rsidR="00A72901" w:rsidRPr="00587912">
        <w:t xml:space="preserve"> means may apply for asylum support.</w:t>
      </w:r>
      <w:r w:rsidR="00A72901" w:rsidRPr="00587912">
        <w:rPr>
          <w:rStyle w:val="FootnoteReference"/>
        </w:rPr>
        <w:footnoteReference w:id="275"/>
      </w:r>
      <w:r w:rsidR="00A72901" w:rsidRPr="00587912">
        <w:t xml:space="preserve"> The standard weekly allowance is</w:t>
      </w:r>
      <w:r w:rsidR="004157C1">
        <w:t xml:space="preserve"> </w:t>
      </w:r>
      <w:r w:rsidR="004157C1">
        <w:rPr>
          <w:color w:val="000000"/>
        </w:rPr>
        <w:t>£</w:t>
      </w:r>
      <w:r w:rsidR="00173068">
        <w:rPr>
          <w:color w:val="000000"/>
        </w:rPr>
        <w:t xml:space="preserve">40.85 </w:t>
      </w:r>
      <w:r w:rsidR="00A72901" w:rsidRPr="00587912">
        <w:t>per person</w:t>
      </w:r>
      <w:r w:rsidR="004157C1">
        <w:t xml:space="preserve"> within the household</w:t>
      </w:r>
      <w:r w:rsidR="00A72901" w:rsidRPr="00587912">
        <w:t>. A small additional amount is provided to pregnant women and young children.</w:t>
      </w:r>
      <w:r w:rsidR="00A72901" w:rsidRPr="00587912">
        <w:rPr>
          <w:rStyle w:val="FootnoteReference"/>
        </w:rPr>
        <w:footnoteReference w:id="276"/>
      </w:r>
      <w:r w:rsidR="00A72901" w:rsidRPr="00587912">
        <w:t xml:space="preserve"> A one-off maternity payment of </w:t>
      </w:r>
      <w:r w:rsidR="00C94CE0">
        <w:t xml:space="preserve">up to </w:t>
      </w:r>
      <w:r w:rsidR="00A72901" w:rsidRPr="00587912">
        <w:t>£300 is also available.</w:t>
      </w:r>
      <w:r w:rsidR="00AB11EF">
        <w:rPr>
          <w:rStyle w:val="FootnoteReference"/>
        </w:rPr>
        <w:footnoteReference w:id="277"/>
      </w:r>
      <w:r w:rsidR="00A72901" w:rsidRPr="00587912">
        <w:t xml:space="preserve"> </w:t>
      </w:r>
      <w:r>
        <w:t>Persons seeking asylum</w:t>
      </w:r>
      <w:r w:rsidR="00A72901" w:rsidRPr="00587912">
        <w:t xml:space="preserve"> are not</w:t>
      </w:r>
      <w:r w:rsidR="00C37A77">
        <w:t xml:space="preserve"> normally</w:t>
      </w:r>
      <w:r w:rsidR="00A72901" w:rsidRPr="00587912">
        <w:t xml:space="preserve"> permitted to work and are not eligible to receive any social security benefits. </w:t>
      </w:r>
    </w:p>
    <w:p w14:paraId="02D1FBA5" w14:textId="77777777" w:rsidR="00AB11EF" w:rsidRDefault="00AB11EF" w:rsidP="0093204D">
      <w:pPr>
        <w:pStyle w:val="ListParagraph"/>
        <w:ind w:left="851" w:hanging="851"/>
      </w:pPr>
    </w:p>
    <w:p w14:paraId="381F6C87" w14:textId="77777777" w:rsidR="0077473C" w:rsidRDefault="00AB11EF" w:rsidP="00253F6F">
      <w:pPr>
        <w:pStyle w:val="ListParagraph"/>
        <w:numPr>
          <w:ilvl w:val="1"/>
          <w:numId w:val="103"/>
        </w:numPr>
        <w:ind w:left="851" w:hanging="851"/>
      </w:pPr>
      <w:r>
        <w:t>T</w:t>
      </w:r>
      <w:r w:rsidR="00C94CE0">
        <w:t>he UN Special Rapporteur on E</w:t>
      </w:r>
      <w:r>
        <w:t>xtreme Poverty and Human Rights stated that</w:t>
      </w:r>
      <w:r w:rsidR="00C94CE0">
        <w:t xml:space="preserve"> “</w:t>
      </w:r>
      <w:r w:rsidR="00A72901" w:rsidRPr="00587912">
        <w:t>destitution appears to be a design char</w:t>
      </w:r>
      <w:r w:rsidR="00C94CE0">
        <w:t>acteristic of the asylum system</w:t>
      </w:r>
      <w:r>
        <w:t xml:space="preserve"> [in the UK]</w:t>
      </w:r>
      <w:r w:rsidR="00C94CE0">
        <w:t>”</w:t>
      </w:r>
      <w:r w:rsidR="00A72901" w:rsidRPr="00587912">
        <w:t>.</w:t>
      </w:r>
      <w:r w:rsidR="00A72901" w:rsidRPr="00587912">
        <w:rPr>
          <w:rStyle w:val="FootnoteReference"/>
        </w:rPr>
        <w:footnoteReference w:id="278"/>
      </w:r>
      <w:r w:rsidR="00A72901" w:rsidRPr="00587912">
        <w:t xml:space="preserve"> </w:t>
      </w:r>
      <w:r>
        <w:t xml:space="preserve">In 2019, of </w:t>
      </w:r>
      <w:r w:rsidR="00530A2B" w:rsidRPr="00587912">
        <w:t xml:space="preserve">70 </w:t>
      </w:r>
      <w:r w:rsidR="00DC6655">
        <w:t xml:space="preserve">people seeking </w:t>
      </w:r>
      <w:r w:rsidR="00530A2B" w:rsidRPr="00587912">
        <w:t xml:space="preserve">asylum </w:t>
      </w:r>
      <w:r w:rsidR="00AE05F2">
        <w:t xml:space="preserve">surveyed </w:t>
      </w:r>
      <w:r w:rsidR="00530A2B" w:rsidRPr="00587912">
        <w:t>in Belfast</w:t>
      </w:r>
      <w:r>
        <w:t>,</w:t>
      </w:r>
      <w:r w:rsidR="00530A2B" w:rsidRPr="00587912">
        <w:t xml:space="preserve"> 88 per cent </w:t>
      </w:r>
      <w:r>
        <w:t>could not aff</w:t>
      </w:r>
      <w:r w:rsidR="00530A2B" w:rsidRPr="00587912">
        <w:t>ord chil</w:t>
      </w:r>
      <w:r>
        <w:t xml:space="preserve">d-related costs including </w:t>
      </w:r>
      <w:r w:rsidR="00530A2B" w:rsidRPr="00587912">
        <w:t xml:space="preserve">food, clothing, transport, recreational </w:t>
      </w:r>
      <w:proofErr w:type="gramStart"/>
      <w:r w:rsidR="00530A2B" w:rsidRPr="00587912">
        <w:t>activities</w:t>
      </w:r>
      <w:proofErr w:type="gramEnd"/>
      <w:r w:rsidR="00530A2B" w:rsidRPr="00587912">
        <w:t xml:space="preserve"> and school trips.</w:t>
      </w:r>
      <w:r w:rsidR="00530A2B" w:rsidRPr="00587912">
        <w:rPr>
          <w:rStyle w:val="FootnoteReference"/>
        </w:rPr>
        <w:footnoteReference w:id="279"/>
      </w:r>
      <w:r w:rsidR="00530A2B" w:rsidRPr="00587912">
        <w:t xml:space="preserve"> </w:t>
      </w:r>
    </w:p>
    <w:p w14:paraId="28933AEE" w14:textId="77777777" w:rsidR="0077473C" w:rsidRPr="0077473C" w:rsidRDefault="0077473C" w:rsidP="0077473C">
      <w:pPr>
        <w:pStyle w:val="ListParagraph"/>
        <w:rPr>
          <w:color w:val="000000"/>
        </w:rPr>
      </w:pPr>
    </w:p>
    <w:p w14:paraId="2248D062" w14:textId="799C1ED2" w:rsidR="00EF0463" w:rsidRDefault="00EF0463" w:rsidP="00253F6F">
      <w:pPr>
        <w:pStyle w:val="ListParagraph"/>
        <w:numPr>
          <w:ilvl w:val="1"/>
          <w:numId w:val="103"/>
        </w:numPr>
        <w:ind w:left="851" w:hanging="851"/>
      </w:pPr>
      <w:r w:rsidRPr="0077473C">
        <w:rPr>
          <w:color w:val="000000"/>
        </w:rPr>
        <w:t>In 2022, the no recourse to public funds rule continues to operate, preventing persons with insecure immigration status from accessing benefits.</w:t>
      </w:r>
      <w:r w:rsidR="005E1BEB" w:rsidRPr="0077473C">
        <w:rPr>
          <w:color w:val="000000"/>
        </w:rPr>
        <w:t xml:space="preserve"> </w:t>
      </w:r>
      <w:r w:rsidR="00E366CC" w:rsidRPr="0077473C">
        <w:rPr>
          <w:color w:val="000000"/>
        </w:rPr>
        <w:t>T</w:t>
      </w:r>
      <w:r w:rsidR="009013F3" w:rsidRPr="0077473C">
        <w:rPr>
          <w:color w:val="000000"/>
        </w:rPr>
        <w:t xml:space="preserve">he </w:t>
      </w:r>
      <w:r w:rsidR="0077473C" w:rsidRPr="0077473C">
        <w:rPr>
          <w:rFonts w:eastAsia="Times New Roman" w:cs="Verdana"/>
          <w:color w:val="000000"/>
          <w:lang w:eastAsia="en-GB"/>
        </w:rPr>
        <w:t xml:space="preserve">reliance on local authority provision as an alternative source of support is a </w:t>
      </w:r>
      <w:r w:rsidR="002E36E4">
        <w:rPr>
          <w:rFonts w:eastAsia="Times New Roman" w:cs="Verdana"/>
          <w:color w:val="000000"/>
          <w:lang w:eastAsia="en-GB"/>
        </w:rPr>
        <w:t xml:space="preserve">particular </w:t>
      </w:r>
      <w:r w:rsidR="0077473C" w:rsidRPr="0077473C">
        <w:rPr>
          <w:rFonts w:eastAsia="Times New Roman" w:cs="Verdana"/>
          <w:color w:val="000000"/>
          <w:lang w:eastAsia="en-GB"/>
        </w:rPr>
        <w:t xml:space="preserve">problem in NI where local councils do not have responsibility for housing, social </w:t>
      </w:r>
      <w:proofErr w:type="gramStart"/>
      <w:r w:rsidR="0077473C" w:rsidRPr="0077473C">
        <w:rPr>
          <w:rFonts w:eastAsia="Times New Roman" w:cs="Verdana"/>
          <w:color w:val="000000"/>
          <w:lang w:eastAsia="en-GB"/>
        </w:rPr>
        <w:t>services</w:t>
      </w:r>
      <w:proofErr w:type="gramEnd"/>
      <w:r w:rsidR="0077473C" w:rsidRPr="0077473C">
        <w:rPr>
          <w:rFonts w:eastAsia="Times New Roman" w:cs="Verdana"/>
          <w:color w:val="000000"/>
          <w:lang w:eastAsia="en-GB"/>
        </w:rPr>
        <w:t xml:space="preserve"> or education.</w:t>
      </w:r>
      <w:r w:rsidR="0077473C">
        <w:rPr>
          <w:vertAlign w:val="superscript"/>
          <w:lang w:eastAsia="en-GB"/>
        </w:rPr>
        <w:footnoteReference w:id="280"/>
      </w:r>
      <w:r w:rsidR="0077473C" w:rsidRPr="0077473C">
        <w:rPr>
          <w:rFonts w:eastAsia="Times New Roman" w:cs="Verdana"/>
          <w:color w:val="000000"/>
          <w:lang w:eastAsia="en-GB"/>
        </w:rPr>
        <w:t xml:space="preserve"> </w:t>
      </w:r>
    </w:p>
    <w:p w14:paraId="7C194F7C" w14:textId="77777777" w:rsidR="00AB11EF" w:rsidRDefault="00AB11EF" w:rsidP="005B60A9"/>
    <w:p w14:paraId="11754FD8" w14:textId="42AD1C13" w:rsidR="00AB11EF" w:rsidRPr="00AB11EF" w:rsidRDefault="00134DA1" w:rsidP="00253F6F">
      <w:pPr>
        <w:pStyle w:val="ListParagraph"/>
        <w:numPr>
          <w:ilvl w:val="1"/>
          <w:numId w:val="103"/>
        </w:numPr>
        <w:ind w:left="851" w:hanging="851"/>
        <w:rPr>
          <w:b/>
        </w:rPr>
      </w:pPr>
      <w:r>
        <w:rPr>
          <w:b/>
        </w:rPr>
        <w:t>The Committee may wish to recommend</w:t>
      </w:r>
      <w:r w:rsidR="00B151DB">
        <w:rPr>
          <w:b/>
        </w:rPr>
        <w:t xml:space="preserve"> that the </w:t>
      </w:r>
      <w:r w:rsidR="00F05FC6">
        <w:rPr>
          <w:b/>
        </w:rPr>
        <w:t>State Party</w:t>
      </w:r>
      <w:r w:rsidR="00B151DB">
        <w:rPr>
          <w:b/>
        </w:rPr>
        <w:t xml:space="preserve"> </w:t>
      </w:r>
      <w:r w:rsidR="00C35429">
        <w:rPr>
          <w:b/>
          <w:bCs/>
        </w:rPr>
        <w:t>increase</w:t>
      </w:r>
      <w:r w:rsidR="00F05FC6">
        <w:rPr>
          <w:b/>
          <w:bCs/>
        </w:rPr>
        <w:t>s</w:t>
      </w:r>
      <w:r w:rsidR="00C35429">
        <w:rPr>
          <w:b/>
          <w:bCs/>
        </w:rPr>
        <w:t xml:space="preserve"> the level of financial support provided to </w:t>
      </w:r>
      <w:r w:rsidR="00740794">
        <w:rPr>
          <w:b/>
          <w:bCs/>
        </w:rPr>
        <w:t xml:space="preserve">children </w:t>
      </w:r>
      <w:r w:rsidR="00F05FC6">
        <w:rPr>
          <w:b/>
          <w:bCs/>
        </w:rPr>
        <w:t xml:space="preserve">seeking asylum </w:t>
      </w:r>
      <w:r w:rsidR="00740794">
        <w:rPr>
          <w:b/>
          <w:bCs/>
        </w:rPr>
        <w:t>and their families</w:t>
      </w:r>
      <w:r w:rsidR="00C35429">
        <w:rPr>
          <w:b/>
          <w:bCs/>
        </w:rPr>
        <w:t xml:space="preserve"> </w:t>
      </w:r>
      <w:r w:rsidR="00CA1E01">
        <w:rPr>
          <w:b/>
          <w:bCs/>
        </w:rPr>
        <w:t xml:space="preserve">in NI </w:t>
      </w:r>
      <w:r w:rsidR="00C35429">
        <w:rPr>
          <w:b/>
          <w:bCs/>
        </w:rPr>
        <w:t xml:space="preserve">to </w:t>
      </w:r>
      <w:r w:rsidR="006153E3">
        <w:rPr>
          <w:b/>
          <w:bCs/>
        </w:rPr>
        <w:t xml:space="preserve">at least </w:t>
      </w:r>
      <w:r w:rsidR="00403BB0">
        <w:rPr>
          <w:b/>
          <w:bCs/>
        </w:rPr>
        <w:t>reflect</w:t>
      </w:r>
      <w:r w:rsidR="00C35429">
        <w:rPr>
          <w:b/>
          <w:bCs/>
        </w:rPr>
        <w:t xml:space="preserve"> the rising cost of living</w:t>
      </w:r>
      <w:r w:rsidR="00C35429" w:rsidDel="006F6851">
        <w:rPr>
          <w:b/>
          <w:bCs/>
        </w:rPr>
        <w:t xml:space="preserve"> across the UK</w:t>
      </w:r>
      <w:r w:rsidR="005B60A9">
        <w:rPr>
          <w:b/>
          <w:bCs/>
        </w:rPr>
        <w:t>.</w:t>
      </w:r>
    </w:p>
    <w:p w14:paraId="3CBEB147" w14:textId="77777777" w:rsidR="00303D4B" w:rsidRPr="00587912" w:rsidRDefault="00303D4B"/>
    <w:p w14:paraId="779B6AED" w14:textId="74BE602E" w:rsidR="00B008E4" w:rsidRDefault="00495BC2" w:rsidP="005B60A9">
      <w:pPr>
        <w:pStyle w:val="Heading1"/>
        <w:spacing w:before="0"/>
      </w:pPr>
      <w:bookmarkStart w:id="69" w:name="_Toc121922231"/>
      <w:r>
        <w:t>1</w:t>
      </w:r>
      <w:r w:rsidR="00CF41DB">
        <w:t>7</w:t>
      </w:r>
      <w:r w:rsidR="00AB11EF">
        <w:t>.0</w:t>
      </w:r>
      <w:r w:rsidR="004F2856">
        <w:t xml:space="preserve"> </w:t>
      </w:r>
      <w:r w:rsidR="00FB6136" w:rsidRPr="00C94CE0">
        <w:t>Articles 28 and 29 – Education</w:t>
      </w:r>
      <w:bookmarkEnd w:id="69"/>
    </w:p>
    <w:p w14:paraId="2E53D99A" w14:textId="77777777" w:rsidR="005D3EC2" w:rsidRPr="005D3EC2" w:rsidRDefault="005D3EC2" w:rsidP="00253F6F">
      <w:pPr>
        <w:pStyle w:val="ListParagraph"/>
        <w:numPr>
          <w:ilvl w:val="0"/>
          <w:numId w:val="103"/>
        </w:numPr>
        <w:rPr>
          <w:vanish/>
        </w:rPr>
      </w:pPr>
    </w:p>
    <w:p w14:paraId="771D90F8" w14:textId="77777777" w:rsidR="005D3EC2" w:rsidRPr="005D3EC2" w:rsidRDefault="005D3EC2" w:rsidP="00253F6F">
      <w:pPr>
        <w:pStyle w:val="ListParagraph"/>
        <w:numPr>
          <w:ilvl w:val="0"/>
          <w:numId w:val="103"/>
        </w:numPr>
        <w:rPr>
          <w:vanish/>
        </w:rPr>
      </w:pPr>
    </w:p>
    <w:p w14:paraId="5F5DDFBB" w14:textId="25FB5401" w:rsidR="00A4596F" w:rsidRPr="00587912" w:rsidRDefault="00A4596F" w:rsidP="00A4596F">
      <w:pPr>
        <w:pStyle w:val="Heading2"/>
        <w:rPr>
          <w:szCs w:val="22"/>
        </w:rPr>
      </w:pPr>
      <w:bookmarkStart w:id="70" w:name="_Hlk119683026"/>
      <w:bookmarkStart w:id="71" w:name="_Toc121922232"/>
      <w:r>
        <w:rPr>
          <w:szCs w:val="22"/>
        </w:rPr>
        <w:t xml:space="preserve">Educational </w:t>
      </w:r>
      <w:r w:rsidR="007B6C44">
        <w:rPr>
          <w:szCs w:val="22"/>
        </w:rPr>
        <w:t>needs of specific groups of children</w:t>
      </w:r>
      <w:bookmarkEnd w:id="71"/>
    </w:p>
    <w:bookmarkEnd w:id="70"/>
    <w:p w14:paraId="601A1EA4" w14:textId="43861A3C" w:rsidR="00A4596F" w:rsidRPr="00996D03" w:rsidRDefault="00A4596F" w:rsidP="00412E09">
      <w:pPr>
        <w:pStyle w:val="ListParagraph"/>
        <w:numPr>
          <w:ilvl w:val="1"/>
          <w:numId w:val="92"/>
        </w:numPr>
        <w:ind w:left="851" w:hanging="851"/>
      </w:pPr>
      <w:r w:rsidRPr="00CF41DB">
        <w:rPr>
          <w:color w:val="000000"/>
        </w:rPr>
        <w:t xml:space="preserve">In 2019, the UN Special Rapporteur on Racism, E </w:t>
      </w:r>
      <w:proofErr w:type="spellStart"/>
      <w:r w:rsidRPr="00CF41DB">
        <w:rPr>
          <w:color w:val="000000"/>
        </w:rPr>
        <w:t>Tendayi</w:t>
      </w:r>
      <w:proofErr w:type="spellEnd"/>
      <w:r w:rsidRPr="00CF41DB">
        <w:rPr>
          <w:color w:val="000000"/>
        </w:rPr>
        <w:t xml:space="preserve"> </w:t>
      </w:r>
      <w:proofErr w:type="spellStart"/>
      <w:r w:rsidRPr="00CF41DB">
        <w:rPr>
          <w:color w:val="000000"/>
        </w:rPr>
        <w:t>Achiume</w:t>
      </w:r>
      <w:proofErr w:type="spellEnd"/>
      <w:r w:rsidRPr="00CF41DB">
        <w:rPr>
          <w:color w:val="000000"/>
        </w:rPr>
        <w:t>, reported on her visit to the UK that "race and ethnicity continue to have a significant impact on educational outcomes. The circumstances confronting Gypsies, Roma and Travellers are especially dire".</w:t>
      </w:r>
      <w:r>
        <w:rPr>
          <w:rStyle w:val="FootnoteReference"/>
        </w:rPr>
        <w:footnoteReference w:id="281"/>
      </w:r>
    </w:p>
    <w:p w14:paraId="65166C4B" w14:textId="77777777" w:rsidR="00A4596F" w:rsidRPr="003562A6" w:rsidRDefault="00A4596F" w:rsidP="00412E09">
      <w:pPr>
        <w:pStyle w:val="ListParagraph"/>
        <w:ind w:left="851" w:hanging="851"/>
      </w:pPr>
    </w:p>
    <w:p w14:paraId="2845569C" w14:textId="18ADE9BC" w:rsidR="00A4596F" w:rsidRPr="00824645" w:rsidRDefault="00A4596F" w:rsidP="00412E09">
      <w:pPr>
        <w:pStyle w:val="ListParagraph"/>
        <w:numPr>
          <w:ilvl w:val="1"/>
          <w:numId w:val="92"/>
        </w:numPr>
        <w:spacing w:after="240"/>
        <w:ind w:left="851" w:hanging="851"/>
      </w:pPr>
      <w:r w:rsidRPr="00CF41DB">
        <w:rPr>
          <w:color w:val="000000"/>
        </w:rPr>
        <w:t>In 2021, an Expert Panel appointed to examine educational underachievement in NI published its final report finding that:</w:t>
      </w:r>
    </w:p>
    <w:p w14:paraId="07185E97" w14:textId="280C73FE" w:rsidR="00A4596F" w:rsidRDefault="00A4596F" w:rsidP="00E10034">
      <w:pPr>
        <w:pStyle w:val="Quote"/>
      </w:pPr>
      <w:r>
        <w:t xml:space="preserve">children from… Traveller [communities]… Roma children and children [with experience of </w:t>
      </w:r>
      <w:r w:rsidR="00080365">
        <w:t>care] …</w:t>
      </w:r>
      <w:r>
        <w:t xml:space="preserve"> have some of the lowest levels of attainment of all equality groups. A combination of early intervention, a whole-school approach to nurture and schools having the scope (and budget) to provide a differentiated curriculum bespoke to their pupils’ specific needs are essential in addressing these inequalities.</w:t>
      </w:r>
      <w:r>
        <w:rPr>
          <w:rStyle w:val="FootnoteReference"/>
        </w:rPr>
        <w:footnoteReference w:id="282"/>
      </w:r>
    </w:p>
    <w:p w14:paraId="4CF17802" w14:textId="77777777" w:rsidR="00A4596F" w:rsidRDefault="00A4596F" w:rsidP="00412E09">
      <w:pPr>
        <w:ind w:left="851" w:hanging="851"/>
      </w:pPr>
    </w:p>
    <w:p w14:paraId="40EF96FF" w14:textId="555C70E0" w:rsidR="002541BF" w:rsidRPr="002541BF" w:rsidRDefault="00A4596F" w:rsidP="00412E09">
      <w:pPr>
        <w:pStyle w:val="ListParagraph"/>
        <w:numPr>
          <w:ilvl w:val="1"/>
          <w:numId w:val="92"/>
        </w:numPr>
        <w:ind w:left="851" w:hanging="851"/>
      </w:pPr>
      <w:r w:rsidRPr="002541BF">
        <w:rPr>
          <w:color w:val="000000"/>
        </w:rPr>
        <w:t xml:space="preserve">The Expert Panel also noted the need for teachers to be </w:t>
      </w:r>
      <w:proofErr w:type="gramStart"/>
      <w:r w:rsidRPr="002541BF">
        <w:rPr>
          <w:color w:val="000000"/>
        </w:rPr>
        <w:t>up-skilled</w:t>
      </w:r>
      <w:proofErr w:type="gramEnd"/>
      <w:r w:rsidRPr="002541BF">
        <w:rPr>
          <w:color w:val="000000"/>
        </w:rPr>
        <w:t xml:space="preserve"> in a range of areas, including “supporting children most at risk of underachievement including children looked after, traveller, Roma and … children [of migrant families]”.</w:t>
      </w:r>
      <w:r>
        <w:rPr>
          <w:rStyle w:val="FootnoteReference"/>
        </w:rPr>
        <w:footnoteReference w:id="283"/>
      </w:r>
      <w:r w:rsidRPr="002541BF">
        <w:rPr>
          <w:color w:val="000000"/>
        </w:rPr>
        <w:t xml:space="preserve"> The Expert Panel’s recommendations cannot be progressed without funding, which cannot be granted while the NI Executive is suspended.</w:t>
      </w:r>
      <w:r>
        <w:rPr>
          <w:rStyle w:val="FootnoteReference"/>
        </w:rPr>
        <w:footnoteReference w:id="284"/>
      </w:r>
      <w:r w:rsidRPr="002541BF">
        <w:rPr>
          <w:color w:val="000000"/>
        </w:rPr>
        <w:t xml:space="preserve"> </w:t>
      </w:r>
    </w:p>
    <w:p w14:paraId="56632029" w14:textId="77777777" w:rsidR="002541BF" w:rsidRPr="002541BF" w:rsidRDefault="002541BF" w:rsidP="00412E09">
      <w:pPr>
        <w:pStyle w:val="ListParagraph"/>
        <w:ind w:left="851" w:hanging="851"/>
      </w:pPr>
    </w:p>
    <w:p w14:paraId="1671FD92" w14:textId="77777777" w:rsidR="002541BF" w:rsidRPr="002541BF" w:rsidRDefault="00F25AFB" w:rsidP="00412E09">
      <w:pPr>
        <w:pStyle w:val="ListParagraph"/>
        <w:numPr>
          <w:ilvl w:val="1"/>
          <w:numId w:val="92"/>
        </w:numPr>
        <w:ind w:left="851" w:hanging="851"/>
      </w:pPr>
      <w:r>
        <w:t>Official stat</w:t>
      </w:r>
      <w:r w:rsidR="007F4A61">
        <w:t>istics indicate</w:t>
      </w:r>
      <w:r w:rsidR="003356CE">
        <w:t xml:space="preserve"> that schools in NI are increasingly becoming more ethnically diverse</w:t>
      </w:r>
      <w:r w:rsidR="00C57EF2">
        <w:t>.</w:t>
      </w:r>
      <w:r w:rsidR="003356CE">
        <w:rPr>
          <w:rStyle w:val="FootnoteReference"/>
        </w:rPr>
        <w:footnoteReference w:id="285"/>
      </w:r>
      <w:r w:rsidR="003356CE">
        <w:t xml:space="preserve"> </w:t>
      </w:r>
      <w:r w:rsidR="009B4BE3" w:rsidRPr="002541BF">
        <w:rPr>
          <w:color w:val="000000"/>
        </w:rPr>
        <w:t>In 2021/2022, there were 18,356 children of migrant families enrolled in NI schools (an increase of 662 from 2020/2021), equating to 5</w:t>
      </w:r>
      <w:r w:rsidR="007C3812" w:rsidRPr="002541BF">
        <w:rPr>
          <w:color w:val="000000"/>
        </w:rPr>
        <w:t>.2</w:t>
      </w:r>
      <w:r w:rsidR="009B4BE3" w:rsidRPr="002541BF">
        <w:rPr>
          <w:color w:val="000000"/>
        </w:rPr>
        <w:t xml:space="preserve"> per cent of all school enrolments.</w:t>
      </w:r>
      <w:r w:rsidR="009B4BE3">
        <w:rPr>
          <w:rStyle w:val="FootnoteReference"/>
        </w:rPr>
        <w:footnoteReference w:id="286"/>
      </w:r>
      <w:r w:rsidR="009B4BE3" w:rsidRPr="002541BF">
        <w:rPr>
          <w:color w:val="000000"/>
        </w:rPr>
        <w:t xml:space="preserve"> </w:t>
      </w:r>
    </w:p>
    <w:p w14:paraId="2E198FE0" w14:textId="77777777" w:rsidR="002541BF" w:rsidRPr="002541BF" w:rsidRDefault="002541BF" w:rsidP="00412E09">
      <w:pPr>
        <w:pStyle w:val="ListParagraph"/>
        <w:ind w:left="851" w:hanging="851"/>
        <w:rPr>
          <w:color w:val="000000"/>
        </w:rPr>
      </w:pPr>
    </w:p>
    <w:p w14:paraId="5988282E" w14:textId="3C1BED79" w:rsidR="00334614" w:rsidRDefault="009B4BE3" w:rsidP="00412E09">
      <w:pPr>
        <w:pStyle w:val="ListParagraph"/>
        <w:numPr>
          <w:ilvl w:val="1"/>
          <w:numId w:val="92"/>
        </w:numPr>
        <w:ind w:left="851" w:hanging="851"/>
      </w:pPr>
      <w:r w:rsidRPr="002541BF">
        <w:rPr>
          <w:color w:val="000000"/>
        </w:rPr>
        <w:t>In 2019, the Department of Education consulted on the effectiveness of its ‘newcomer pupils’ policy. In 2022, the outcome of the consultation is still awaited.</w:t>
      </w:r>
      <w:r w:rsidR="00334614" w:rsidRPr="00334614">
        <w:t xml:space="preserve"> </w:t>
      </w:r>
    </w:p>
    <w:p w14:paraId="577A48A6" w14:textId="77777777" w:rsidR="00334614" w:rsidRDefault="00334614" w:rsidP="00412E09">
      <w:pPr>
        <w:pStyle w:val="ListParagraph"/>
        <w:ind w:left="851" w:hanging="851"/>
      </w:pPr>
    </w:p>
    <w:p w14:paraId="2DF8AAB4" w14:textId="51690FE7" w:rsidR="00D03BCE" w:rsidRDefault="00334614" w:rsidP="00412E09">
      <w:pPr>
        <w:pStyle w:val="ListParagraph"/>
        <w:numPr>
          <w:ilvl w:val="1"/>
          <w:numId w:val="92"/>
        </w:numPr>
        <w:ind w:left="851" w:hanging="851"/>
      </w:pPr>
      <w:r>
        <w:t>Civil society organisations continue to highlight the need for increased cultural awareness within NI schools and for history lessons taught in school to be representative of the school population.</w:t>
      </w:r>
      <w:r>
        <w:rPr>
          <w:rStyle w:val="FootnoteReference"/>
        </w:rPr>
        <w:footnoteReference w:id="287"/>
      </w:r>
      <w:r w:rsidRPr="002541BF">
        <w:rPr>
          <w:color w:val="000000"/>
        </w:rPr>
        <w:t xml:space="preserve">  </w:t>
      </w:r>
    </w:p>
    <w:p w14:paraId="37B997B4" w14:textId="77777777" w:rsidR="00D03BCE" w:rsidRDefault="00D03BCE" w:rsidP="00412E09">
      <w:pPr>
        <w:pStyle w:val="ListParagraph"/>
        <w:ind w:left="851" w:hanging="851"/>
        <w:rPr>
          <w:color w:val="000000"/>
        </w:rPr>
      </w:pPr>
    </w:p>
    <w:p w14:paraId="684850F9" w14:textId="000EC1BB" w:rsidR="00A4596F" w:rsidRPr="006F1A45" w:rsidRDefault="009B4BE3" w:rsidP="00412E09">
      <w:pPr>
        <w:pStyle w:val="ListParagraph"/>
        <w:numPr>
          <w:ilvl w:val="1"/>
          <w:numId w:val="92"/>
        </w:numPr>
        <w:ind w:left="851" w:hanging="851"/>
      </w:pPr>
      <w:r w:rsidRPr="00B61EA0">
        <w:rPr>
          <w:color w:val="000000"/>
        </w:rPr>
        <w:t>In 2022, the Education Authority</w:t>
      </w:r>
      <w:r w:rsidR="00E26C1E" w:rsidRPr="00B61EA0">
        <w:rPr>
          <w:color w:val="000000"/>
        </w:rPr>
        <w:t xml:space="preserve"> NI</w:t>
      </w:r>
      <w:r w:rsidRPr="00B61EA0">
        <w:rPr>
          <w:color w:val="000000"/>
        </w:rPr>
        <w:t xml:space="preserve">'s Intercultural Education Service </w:t>
      </w:r>
      <w:r w:rsidR="00E26C1E" w:rsidRPr="00B61EA0">
        <w:rPr>
          <w:color w:val="000000"/>
        </w:rPr>
        <w:t>was</w:t>
      </w:r>
      <w:r w:rsidRPr="00B61EA0">
        <w:rPr>
          <w:color w:val="000000"/>
        </w:rPr>
        <w:t xml:space="preserve"> providing support to the rising numbers of school-age children seeking </w:t>
      </w:r>
      <w:r w:rsidR="00DC6655" w:rsidRPr="00B61EA0">
        <w:rPr>
          <w:color w:val="000000"/>
        </w:rPr>
        <w:t>asylum</w:t>
      </w:r>
      <w:r w:rsidRPr="00B61EA0">
        <w:rPr>
          <w:color w:val="000000"/>
        </w:rPr>
        <w:t xml:space="preserve"> living in contingency accommodation in NI</w:t>
      </w:r>
      <w:r>
        <w:t>.</w:t>
      </w:r>
      <w:r>
        <w:rPr>
          <w:rStyle w:val="FootnoteReference"/>
        </w:rPr>
        <w:footnoteReference w:id="288"/>
      </w:r>
      <w:r>
        <w:t xml:space="preserve"> </w:t>
      </w:r>
      <w:r w:rsidRPr="00B61EA0">
        <w:rPr>
          <w:color w:val="000000"/>
        </w:rPr>
        <w:t>However, civil society organisations have expressed serious concerns regarding timely access to education for people in contingency accommodation, with reports of some children being out of education for up to six months.</w:t>
      </w:r>
      <w:r>
        <w:rPr>
          <w:rStyle w:val="FootnoteReference"/>
        </w:rPr>
        <w:footnoteReference w:id="289"/>
      </w:r>
      <w:r w:rsidRPr="00B61EA0">
        <w:rPr>
          <w:color w:val="000000"/>
        </w:rPr>
        <w:t xml:space="preserve"> Support from the Department of Education and the Education Authority NI is reportedly provided on an ad-hoc and short term basis, which impacts provision, including access to language supports, uniform grants, free school meals and free school transport.</w:t>
      </w:r>
      <w:r>
        <w:rPr>
          <w:rStyle w:val="FootnoteReference"/>
        </w:rPr>
        <w:footnoteReference w:id="290"/>
      </w:r>
      <w:r w:rsidRPr="00B61EA0">
        <w:rPr>
          <w:color w:val="000000"/>
        </w:rPr>
        <w:t xml:space="preserve"> </w:t>
      </w:r>
    </w:p>
    <w:p w14:paraId="1BD6F355" w14:textId="77777777" w:rsidR="006F1A45" w:rsidRDefault="006F1A45" w:rsidP="00412E09">
      <w:pPr>
        <w:pStyle w:val="ListParagraph"/>
        <w:ind w:left="851" w:hanging="851"/>
      </w:pPr>
    </w:p>
    <w:p w14:paraId="7D45B267" w14:textId="781D9AB7" w:rsidR="00B61EA0" w:rsidRDefault="006F1A45" w:rsidP="00412E09">
      <w:pPr>
        <w:pStyle w:val="ListParagraph"/>
        <w:numPr>
          <w:ilvl w:val="1"/>
          <w:numId w:val="92"/>
        </w:numPr>
        <w:ind w:left="851" w:hanging="851"/>
      </w:pPr>
      <w:r>
        <w:t>In 2021, an Independent Review of Education in NI was commenced to consider “securing greater efficiency in delivery costs, raising standards, access to the curriculum for all pupils, and the prospects of moving towards a single education system”.</w:t>
      </w:r>
      <w:r>
        <w:rPr>
          <w:rStyle w:val="FootnoteReference"/>
        </w:rPr>
        <w:footnoteReference w:id="291"/>
      </w:r>
      <w:r>
        <w:t xml:space="preserve"> An </w:t>
      </w:r>
      <w:r w:rsidR="00E26C1E">
        <w:t>i</w:t>
      </w:r>
      <w:r>
        <w:t xml:space="preserve">nterim </w:t>
      </w:r>
      <w:r w:rsidR="00E26C1E">
        <w:t>r</w:t>
      </w:r>
      <w:r>
        <w:t xml:space="preserve">eport highlighted underfunding, a lack of data, </w:t>
      </w:r>
      <w:proofErr w:type="gramStart"/>
      <w:r>
        <w:t>disadvantage</w:t>
      </w:r>
      <w:proofErr w:type="gramEnd"/>
      <w:r>
        <w:t xml:space="preserve"> and underachievement as major issues to be </w:t>
      </w:r>
      <w:r w:rsidR="00095229">
        <w:t>addressed</w:t>
      </w:r>
      <w:r>
        <w:t>.</w:t>
      </w:r>
      <w:r>
        <w:rPr>
          <w:rStyle w:val="FootnoteReference"/>
        </w:rPr>
        <w:footnoteReference w:id="292"/>
      </w:r>
      <w:r>
        <w:t xml:space="preserve"> The final report is expected </w:t>
      </w:r>
      <w:r w:rsidR="00E26C1E">
        <w:t>to be published</w:t>
      </w:r>
      <w:r>
        <w:t xml:space="preserve"> in 2023</w:t>
      </w:r>
      <w:r w:rsidR="00E26C1E">
        <w:t>. P</w:t>
      </w:r>
      <w:r>
        <w:t>rogress</w:t>
      </w:r>
      <w:r w:rsidR="00E26C1E">
        <w:t xml:space="preserve"> on its findings</w:t>
      </w:r>
      <w:r>
        <w:t xml:space="preserve"> and </w:t>
      </w:r>
      <w:r w:rsidR="00E26C1E">
        <w:t>recommendations</w:t>
      </w:r>
      <w:r>
        <w:t xml:space="preserve"> will be subject to decisions by a functioning NI Executive.</w:t>
      </w:r>
    </w:p>
    <w:p w14:paraId="75DA1499" w14:textId="77777777" w:rsidR="00B61EA0" w:rsidRPr="00B61EA0" w:rsidRDefault="00B61EA0" w:rsidP="00412E09">
      <w:pPr>
        <w:pStyle w:val="ListParagraph"/>
        <w:ind w:left="851" w:hanging="851"/>
        <w:rPr>
          <w:b/>
          <w:bCs/>
        </w:rPr>
      </w:pPr>
    </w:p>
    <w:p w14:paraId="13B5FA42" w14:textId="4EFC3921" w:rsidR="00B61EA0" w:rsidRPr="00A526E7" w:rsidRDefault="00A4596F" w:rsidP="00412E09">
      <w:pPr>
        <w:pStyle w:val="ListParagraph"/>
        <w:numPr>
          <w:ilvl w:val="1"/>
          <w:numId w:val="92"/>
        </w:numPr>
        <w:ind w:left="851" w:hanging="851"/>
        <w:rPr>
          <w:b/>
          <w:bCs/>
        </w:rPr>
      </w:pPr>
      <w:r w:rsidRPr="00A526E7">
        <w:rPr>
          <w:b/>
          <w:bCs/>
        </w:rPr>
        <w:t xml:space="preserve">The Committee may wish to recommend that the </w:t>
      </w:r>
      <w:r w:rsidR="00E26C1E" w:rsidRPr="00A526E7">
        <w:rPr>
          <w:b/>
          <w:bCs/>
        </w:rPr>
        <w:t>State Party</w:t>
      </w:r>
      <w:r w:rsidR="00AE40B8" w:rsidRPr="00A526E7">
        <w:rPr>
          <w:b/>
          <w:bCs/>
        </w:rPr>
        <w:t xml:space="preserve"> </w:t>
      </w:r>
      <w:r w:rsidRPr="00A526E7">
        <w:rPr>
          <w:b/>
          <w:bCs/>
        </w:rPr>
        <w:t xml:space="preserve">expeditiously ensures </w:t>
      </w:r>
      <w:r w:rsidR="009F63B6" w:rsidRPr="009B6610">
        <w:rPr>
          <w:b/>
          <w:bCs/>
        </w:rPr>
        <w:t xml:space="preserve">educational underachievement </w:t>
      </w:r>
      <w:r w:rsidR="009F63B6">
        <w:rPr>
          <w:b/>
          <w:bCs/>
        </w:rPr>
        <w:t xml:space="preserve">in NI, particularly for Traveller and Roma children, is addressed. This includes early intervention, teacher training, implementation </w:t>
      </w:r>
      <w:r w:rsidR="009F63B6" w:rsidRPr="009B6610">
        <w:rPr>
          <w:b/>
          <w:bCs/>
        </w:rPr>
        <w:t xml:space="preserve">the </w:t>
      </w:r>
      <w:r w:rsidR="009F63B6">
        <w:rPr>
          <w:b/>
          <w:bCs/>
        </w:rPr>
        <w:t xml:space="preserve">bespoke approach to school curriculums in line with a child’s specific needs and provision of ring-fenced </w:t>
      </w:r>
      <w:r w:rsidR="009F63B6" w:rsidRPr="009B6610">
        <w:rPr>
          <w:b/>
          <w:bCs/>
        </w:rPr>
        <w:t>funding</w:t>
      </w:r>
      <w:r w:rsidR="009F63B6">
        <w:rPr>
          <w:b/>
          <w:bCs/>
        </w:rPr>
        <w:t>.</w:t>
      </w:r>
    </w:p>
    <w:p w14:paraId="474E7A3C" w14:textId="77777777" w:rsidR="00B61EA0" w:rsidRPr="00B61EA0" w:rsidRDefault="00B61EA0" w:rsidP="00412E09">
      <w:pPr>
        <w:pStyle w:val="ListParagraph"/>
        <w:ind w:left="851" w:hanging="851"/>
        <w:rPr>
          <w:b/>
          <w:bCs/>
        </w:rPr>
      </w:pPr>
    </w:p>
    <w:p w14:paraId="730A6AA0" w14:textId="1D6CEB86" w:rsidR="00B61EA0" w:rsidRPr="00A526E7" w:rsidRDefault="00603935" w:rsidP="00412E09">
      <w:pPr>
        <w:pStyle w:val="ListParagraph"/>
        <w:numPr>
          <w:ilvl w:val="1"/>
          <w:numId w:val="92"/>
        </w:numPr>
        <w:ind w:left="851" w:hanging="851"/>
        <w:rPr>
          <w:b/>
          <w:bCs/>
        </w:rPr>
      </w:pPr>
      <w:r w:rsidRPr="00A526E7">
        <w:rPr>
          <w:b/>
          <w:bCs/>
        </w:rPr>
        <w:t xml:space="preserve">The Committee may wish to recommend that the State Party </w:t>
      </w:r>
      <w:r w:rsidR="00A56728" w:rsidRPr="00A526E7">
        <w:rPr>
          <w:b/>
          <w:bCs/>
        </w:rPr>
        <w:t xml:space="preserve">ensures that an up-to-date policy for migrant children </w:t>
      </w:r>
      <w:r w:rsidR="00A56728" w:rsidRPr="00B61EA0">
        <w:rPr>
          <w:b/>
          <w:bCs/>
        </w:rPr>
        <w:t>with a</w:t>
      </w:r>
      <w:r w:rsidR="00A56728" w:rsidRPr="00A526E7">
        <w:rPr>
          <w:b/>
          <w:bCs/>
        </w:rPr>
        <w:t xml:space="preserve">ction plan </w:t>
      </w:r>
      <w:r w:rsidR="00A56728" w:rsidRPr="00B61EA0">
        <w:rPr>
          <w:b/>
          <w:bCs/>
        </w:rPr>
        <w:t>that will</w:t>
      </w:r>
      <w:r w:rsidR="00A56728" w:rsidRPr="00A526E7">
        <w:rPr>
          <w:b/>
          <w:bCs/>
        </w:rPr>
        <w:t xml:space="preserve"> guide its effective implementation</w:t>
      </w:r>
      <w:r w:rsidR="00A56728" w:rsidRPr="00B61EA0">
        <w:rPr>
          <w:b/>
          <w:bCs/>
        </w:rPr>
        <w:t xml:space="preserve"> is </w:t>
      </w:r>
      <w:r w:rsidR="004957C0" w:rsidRPr="00B61EA0">
        <w:rPr>
          <w:b/>
          <w:bCs/>
        </w:rPr>
        <w:t xml:space="preserve">in place </w:t>
      </w:r>
      <w:r w:rsidR="00AF3D8C">
        <w:rPr>
          <w:b/>
          <w:bCs/>
        </w:rPr>
        <w:t>in NI</w:t>
      </w:r>
      <w:r w:rsidR="004957C0" w:rsidRPr="00B61EA0">
        <w:rPr>
          <w:b/>
          <w:bCs/>
        </w:rPr>
        <w:t xml:space="preserve">. </w:t>
      </w:r>
      <w:r w:rsidR="00AF3D8C">
        <w:rPr>
          <w:b/>
          <w:bCs/>
        </w:rPr>
        <w:t>The policy</w:t>
      </w:r>
      <w:r w:rsidR="00015636">
        <w:rPr>
          <w:b/>
          <w:bCs/>
        </w:rPr>
        <w:t xml:space="preserve"> should</w:t>
      </w:r>
      <w:r w:rsidR="004957C0" w:rsidRPr="00A526E7">
        <w:rPr>
          <w:b/>
          <w:bCs/>
        </w:rPr>
        <w:t xml:space="preserve"> include commitments to promote cultural awareness within schools and ensure that history lessons are representative of the school population</w:t>
      </w:r>
      <w:r w:rsidR="00AF3D8C">
        <w:rPr>
          <w:b/>
          <w:bCs/>
        </w:rPr>
        <w:t xml:space="preserve"> in NI.</w:t>
      </w:r>
    </w:p>
    <w:p w14:paraId="71A96B51" w14:textId="77777777" w:rsidR="00B61EA0" w:rsidRPr="00B61EA0" w:rsidRDefault="00B61EA0" w:rsidP="00412E09">
      <w:pPr>
        <w:pStyle w:val="ListParagraph"/>
        <w:ind w:left="851" w:hanging="851"/>
        <w:rPr>
          <w:b/>
          <w:bCs/>
        </w:rPr>
      </w:pPr>
    </w:p>
    <w:p w14:paraId="5733CB81" w14:textId="243CA3FA" w:rsidR="00F96C6E" w:rsidRPr="00A526E7" w:rsidRDefault="0007021B" w:rsidP="00412E09">
      <w:pPr>
        <w:pStyle w:val="ListParagraph"/>
        <w:numPr>
          <w:ilvl w:val="1"/>
          <w:numId w:val="92"/>
        </w:numPr>
        <w:ind w:left="851" w:hanging="851"/>
        <w:rPr>
          <w:b/>
          <w:bCs/>
        </w:rPr>
      </w:pPr>
      <w:r w:rsidRPr="00A526E7">
        <w:rPr>
          <w:b/>
          <w:bCs/>
        </w:rPr>
        <w:t xml:space="preserve">The Committee may wish to recommend that the State Party </w:t>
      </w:r>
      <w:r w:rsidR="00F96C6E" w:rsidRPr="00A526E7">
        <w:rPr>
          <w:b/>
          <w:bCs/>
        </w:rPr>
        <w:t xml:space="preserve">takes effective steps to ensure that all children seeking asylum </w:t>
      </w:r>
      <w:r w:rsidR="00C1090E">
        <w:rPr>
          <w:b/>
          <w:bCs/>
        </w:rPr>
        <w:t>in NI</w:t>
      </w:r>
      <w:r w:rsidR="00F823B3">
        <w:rPr>
          <w:b/>
          <w:bCs/>
        </w:rPr>
        <w:t xml:space="preserve"> </w:t>
      </w:r>
      <w:r w:rsidR="00F96C6E" w:rsidRPr="00A526E7">
        <w:rPr>
          <w:b/>
          <w:bCs/>
        </w:rPr>
        <w:t xml:space="preserve">at any given time have prompt access to education and other necessary supports, </w:t>
      </w:r>
      <w:r w:rsidR="00F96C6E" w:rsidRPr="00B61EA0">
        <w:rPr>
          <w:b/>
          <w:bCs/>
        </w:rPr>
        <w:t>particularly in NI where there are issues with</w:t>
      </w:r>
      <w:r w:rsidR="00F823B3">
        <w:rPr>
          <w:b/>
          <w:bCs/>
        </w:rPr>
        <w:t xml:space="preserve"> </w:t>
      </w:r>
      <w:r w:rsidR="00F96C6E" w:rsidRPr="00A526E7">
        <w:rPr>
          <w:b/>
          <w:bCs/>
        </w:rPr>
        <w:t xml:space="preserve">language classes, uniform grants, school meals and transport. </w:t>
      </w:r>
    </w:p>
    <w:p w14:paraId="3B413D00" w14:textId="47B2B270" w:rsidR="00B008E4" w:rsidRDefault="00B008E4" w:rsidP="00412E09">
      <w:pPr>
        <w:ind w:left="851" w:hanging="851"/>
      </w:pPr>
    </w:p>
    <w:p w14:paraId="2D7460E9" w14:textId="4E42638E" w:rsidR="00B008E4" w:rsidRDefault="00B008E4" w:rsidP="00412E09">
      <w:pPr>
        <w:pStyle w:val="Heading2"/>
        <w:ind w:left="851" w:hanging="851"/>
      </w:pPr>
      <w:bookmarkStart w:id="72" w:name="_Toc121922233"/>
      <w:r>
        <w:t>Special educational needs</w:t>
      </w:r>
      <w:bookmarkEnd w:id="72"/>
    </w:p>
    <w:p w14:paraId="27CB17BF" w14:textId="63AE3299" w:rsidR="00B61EA0" w:rsidRPr="00B61EA0" w:rsidRDefault="003D45CD" w:rsidP="00412E09">
      <w:pPr>
        <w:pStyle w:val="ListParagraph"/>
        <w:numPr>
          <w:ilvl w:val="1"/>
          <w:numId w:val="92"/>
        </w:numPr>
        <w:ind w:left="851" w:hanging="851"/>
      </w:pPr>
      <w:r w:rsidRPr="00B61EA0">
        <w:rPr>
          <w:color w:val="000000"/>
        </w:rPr>
        <w:t>In 2021/2022, a total of 64,486 pupils had special educational needs, compared to 67,824 in 2020/2021.</w:t>
      </w:r>
      <w:r>
        <w:rPr>
          <w:rStyle w:val="FootnoteReference"/>
        </w:rPr>
        <w:footnoteReference w:id="293"/>
      </w:r>
      <w:r w:rsidRPr="00B61EA0">
        <w:rPr>
          <w:color w:val="000000"/>
        </w:rPr>
        <w:t xml:space="preserve"> Of the 64,486 pupils, 22,187 had a statement of special educational needs. In 2021/2022, there were 6,653 children enrolled in special schools in NI, compared to 6,403 in 2020/2021.</w:t>
      </w:r>
      <w:r>
        <w:rPr>
          <w:rStyle w:val="FootnoteReference"/>
        </w:rPr>
        <w:footnoteReference w:id="294"/>
      </w:r>
      <w:r w:rsidRPr="00B61EA0">
        <w:rPr>
          <w:color w:val="000000"/>
        </w:rPr>
        <w:t xml:space="preserve"> </w:t>
      </w:r>
    </w:p>
    <w:p w14:paraId="2CD7F804" w14:textId="77777777" w:rsidR="00B61EA0" w:rsidRPr="00B61EA0" w:rsidRDefault="00B61EA0" w:rsidP="00412E09">
      <w:pPr>
        <w:pStyle w:val="ListParagraph"/>
        <w:ind w:left="851" w:hanging="851"/>
      </w:pPr>
    </w:p>
    <w:p w14:paraId="4981AAA1" w14:textId="77777777" w:rsidR="00B61EA0" w:rsidRPr="00B61EA0" w:rsidRDefault="00F15549" w:rsidP="00412E09">
      <w:pPr>
        <w:pStyle w:val="ListParagraph"/>
        <w:numPr>
          <w:ilvl w:val="1"/>
          <w:numId w:val="92"/>
        </w:numPr>
        <w:ind w:left="851" w:hanging="851"/>
      </w:pPr>
      <w:r w:rsidRPr="00B61EA0">
        <w:rPr>
          <w:color w:val="000000"/>
        </w:rPr>
        <w:t>The Special Educational Needs</w:t>
      </w:r>
      <w:r w:rsidR="00CD6B56" w:rsidRPr="00B61EA0">
        <w:rPr>
          <w:color w:val="000000"/>
        </w:rPr>
        <w:t xml:space="preserve"> and</w:t>
      </w:r>
      <w:r w:rsidRPr="00B61EA0">
        <w:rPr>
          <w:color w:val="000000"/>
        </w:rPr>
        <w:t xml:space="preserve"> Disability Act (</w:t>
      </w:r>
      <w:r w:rsidR="00EC2887" w:rsidRPr="00B61EA0">
        <w:rPr>
          <w:color w:val="000000"/>
        </w:rPr>
        <w:t>NI</w:t>
      </w:r>
      <w:r w:rsidRPr="00B61EA0">
        <w:rPr>
          <w:color w:val="000000"/>
        </w:rPr>
        <w:t xml:space="preserve">) 2016 has not been fully commenced. </w:t>
      </w:r>
      <w:r w:rsidR="00DF64D5" w:rsidRPr="00B61EA0">
        <w:rPr>
          <w:color w:val="000000"/>
        </w:rPr>
        <w:t xml:space="preserve">Work is underway to </w:t>
      </w:r>
      <w:r w:rsidRPr="00B61EA0">
        <w:rPr>
          <w:color w:val="000000"/>
        </w:rPr>
        <w:t>develop Special Educational Needs Regulations and a Code of Practice,</w:t>
      </w:r>
      <w:r>
        <w:rPr>
          <w:rStyle w:val="FootnoteReference"/>
        </w:rPr>
        <w:footnoteReference w:id="295"/>
      </w:r>
      <w:r w:rsidRPr="00B61EA0">
        <w:rPr>
          <w:color w:val="000000"/>
        </w:rPr>
        <w:t xml:space="preserve"> but </w:t>
      </w:r>
      <w:r w:rsidR="00F90403" w:rsidRPr="00B61EA0">
        <w:rPr>
          <w:color w:val="000000"/>
        </w:rPr>
        <w:t xml:space="preserve">further </w:t>
      </w:r>
      <w:r w:rsidRPr="00B61EA0">
        <w:rPr>
          <w:color w:val="000000"/>
        </w:rPr>
        <w:t>progress is subject to a functioning NI Executive.</w:t>
      </w:r>
    </w:p>
    <w:p w14:paraId="0E7BB6F0" w14:textId="77777777" w:rsidR="00B61EA0" w:rsidRDefault="00B61EA0" w:rsidP="00412E09">
      <w:pPr>
        <w:pStyle w:val="ListParagraph"/>
        <w:ind w:left="851" w:hanging="851"/>
      </w:pPr>
    </w:p>
    <w:p w14:paraId="6DC40ACC" w14:textId="52093499" w:rsidR="00B61EA0" w:rsidRPr="00B61EA0" w:rsidRDefault="00297A39" w:rsidP="00412E09">
      <w:pPr>
        <w:pStyle w:val="ListParagraph"/>
        <w:numPr>
          <w:ilvl w:val="1"/>
          <w:numId w:val="92"/>
        </w:numPr>
        <w:ind w:left="851" w:hanging="851"/>
      </w:pPr>
      <w:r>
        <w:t xml:space="preserve">Between </w:t>
      </w:r>
      <w:r w:rsidR="007554FB">
        <w:t>2017 and 202</w:t>
      </w:r>
      <w:r w:rsidR="008D0DF0">
        <w:t>0</w:t>
      </w:r>
      <w:r w:rsidR="00165B28" w:rsidRPr="00587912">
        <w:t>,</w:t>
      </w:r>
      <w:r w:rsidR="007554FB">
        <w:t xml:space="preserve"> a </w:t>
      </w:r>
      <w:r w:rsidR="0057066D">
        <w:t>series</w:t>
      </w:r>
      <w:r w:rsidR="007554FB">
        <w:t xml:space="preserve"> of reviews</w:t>
      </w:r>
      <w:r w:rsidR="00BA5106">
        <w:t xml:space="preserve"> found</w:t>
      </w:r>
      <w:r w:rsidR="0077631D">
        <w:t xml:space="preserve"> </w:t>
      </w:r>
      <w:r w:rsidR="00BA5106">
        <w:t xml:space="preserve">significant </w:t>
      </w:r>
      <w:r w:rsidR="00A37436">
        <w:t xml:space="preserve">shortcomings in how the Education Authority NI managed </w:t>
      </w:r>
      <w:r w:rsidR="006025E2">
        <w:t xml:space="preserve">its </w:t>
      </w:r>
      <w:r w:rsidR="00165B28" w:rsidRPr="00587912">
        <w:t xml:space="preserve">Special Educational Needs </w:t>
      </w:r>
      <w:r w:rsidR="00165B28">
        <w:t xml:space="preserve">assessment process </w:t>
      </w:r>
      <w:r w:rsidR="00F66A63">
        <w:t>and</w:t>
      </w:r>
      <w:r w:rsidR="00B51089">
        <w:t xml:space="preserve"> its provision of</w:t>
      </w:r>
      <w:r w:rsidR="00F66A63">
        <w:t xml:space="preserve"> early intervention services</w:t>
      </w:r>
      <w:r w:rsidR="00165B28" w:rsidRPr="00B61EA0">
        <w:rPr>
          <w:rFonts w:eastAsia="Verdana" w:cs="Verdana"/>
          <w:color w:val="000000"/>
        </w:rPr>
        <w:t>.</w:t>
      </w:r>
      <w:r w:rsidR="00165B28" w:rsidRPr="006473CF">
        <w:rPr>
          <w:rStyle w:val="FootnoteReference"/>
          <w:rFonts w:eastAsia="Verdana" w:cs="Verdana"/>
          <w:color w:val="000000"/>
        </w:rPr>
        <w:footnoteReference w:id="296"/>
      </w:r>
      <w:r w:rsidR="00165B28" w:rsidRPr="00B61EA0">
        <w:rPr>
          <w:rFonts w:eastAsia="Verdana" w:cs="Verdana"/>
          <w:color w:val="000000"/>
        </w:rPr>
        <w:t xml:space="preserve"> </w:t>
      </w:r>
      <w:r w:rsidR="0017054E" w:rsidRPr="00B61EA0">
        <w:rPr>
          <w:rFonts w:eastAsia="Verdana" w:cs="Verdana"/>
          <w:color w:val="000000"/>
        </w:rPr>
        <w:t xml:space="preserve">An internal </w:t>
      </w:r>
      <w:r w:rsidR="00165B28" w:rsidRPr="00B61EA0">
        <w:rPr>
          <w:rFonts w:eastAsia="Verdana" w:cs="Verdana"/>
          <w:color w:val="000000"/>
        </w:rPr>
        <w:t>audit found that 85 per cent of pupils did not complete the statementing process within the 26-week statutory period</w:t>
      </w:r>
      <w:r w:rsidR="006070D0" w:rsidRPr="00B61EA0">
        <w:rPr>
          <w:rFonts w:eastAsia="Verdana" w:cs="Verdana"/>
          <w:color w:val="000000"/>
        </w:rPr>
        <w:t xml:space="preserve"> in 2019</w:t>
      </w:r>
      <w:r w:rsidR="00165B28" w:rsidRPr="00B61EA0">
        <w:rPr>
          <w:rFonts w:eastAsia="Verdana" w:cs="Verdana"/>
          <w:color w:val="000000"/>
        </w:rPr>
        <w:t>.</w:t>
      </w:r>
      <w:r w:rsidR="00165B28" w:rsidRPr="006473CF">
        <w:rPr>
          <w:rStyle w:val="FootnoteReference"/>
          <w:rFonts w:eastAsia="Verdana" w:cs="Verdana"/>
          <w:color w:val="000000"/>
        </w:rPr>
        <w:footnoteReference w:id="297"/>
      </w:r>
      <w:r w:rsidR="00165B28" w:rsidRPr="00B61EA0">
        <w:rPr>
          <w:rFonts w:eastAsia="Verdana" w:cs="Verdana"/>
          <w:color w:val="000000"/>
        </w:rPr>
        <w:t xml:space="preserve"> </w:t>
      </w:r>
      <w:r w:rsidR="007267D8" w:rsidRPr="00B61EA0">
        <w:rPr>
          <w:rFonts w:eastAsia="Verdana" w:cs="Verdana"/>
          <w:color w:val="000000"/>
        </w:rPr>
        <w:t>The NI Audit Office found that neither the Department of Education nor the Education Authority NI could demonstrate value for money in the provision of special education needs support in mainstream schools.</w:t>
      </w:r>
      <w:r w:rsidR="007267D8">
        <w:rPr>
          <w:rStyle w:val="FootnoteReference"/>
          <w:rFonts w:eastAsia="Verdana" w:cs="Verdana"/>
          <w:color w:val="000000"/>
        </w:rPr>
        <w:footnoteReference w:id="298"/>
      </w:r>
      <w:r w:rsidR="00C4333D" w:rsidRPr="00B61EA0">
        <w:rPr>
          <w:rFonts w:eastAsia="Verdana" w:cs="Verdana"/>
          <w:color w:val="000000"/>
        </w:rPr>
        <w:t xml:space="preserve"> </w:t>
      </w:r>
      <w:r w:rsidR="002672B8">
        <w:rPr>
          <w:rFonts w:eastAsia="Verdana" w:cs="Verdana"/>
          <w:color w:val="000000"/>
        </w:rPr>
        <w:t>In a</w:t>
      </w:r>
      <w:r w:rsidR="00C4333D" w:rsidRPr="00B61EA0">
        <w:rPr>
          <w:rFonts w:eastAsia="Verdana" w:cs="Verdana"/>
          <w:color w:val="000000"/>
        </w:rPr>
        <w:t xml:space="preserve"> follow up report </w:t>
      </w:r>
      <w:r w:rsidR="002672B8">
        <w:rPr>
          <w:rFonts w:eastAsia="Verdana" w:cs="Verdana"/>
          <w:color w:val="000000"/>
        </w:rPr>
        <w:t xml:space="preserve">the NI Audit Office </w:t>
      </w:r>
      <w:r w:rsidR="00C4333D" w:rsidRPr="00B61EA0">
        <w:rPr>
          <w:rFonts w:eastAsia="Verdana" w:cs="Verdana"/>
          <w:color w:val="000000"/>
        </w:rPr>
        <w:t>found that, of ten recommendations made in 2017, none had been fully addressed by 2020.</w:t>
      </w:r>
      <w:r w:rsidR="00C4333D">
        <w:rPr>
          <w:rStyle w:val="FootnoteReference"/>
          <w:rFonts w:eastAsia="Verdana" w:cs="Verdana"/>
          <w:color w:val="000000"/>
        </w:rPr>
        <w:footnoteReference w:id="299"/>
      </w:r>
    </w:p>
    <w:p w14:paraId="14DF2375" w14:textId="77777777" w:rsidR="00B61EA0" w:rsidRDefault="00B61EA0" w:rsidP="00412E09">
      <w:pPr>
        <w:pStyle w:val="ListParagraph"/>
        <w:ind w:left="851" w:hanging="851"/>
      </w:pPr>
    </w:p>
    <w:p w14:paraId="0C5331B5" w14:textId="3845A7A3" w:rsidR="00B61EA0" w:rsidRDefault="00F60E53" w:rsidP="00412E09">
      <w:pPr>
        <w:pStyle w:val="ListParagraph"/>
        <w:numPr>
          <w:ilvl w:val="1"/>
          <w:numId w:val="92"/>
        </w:numPr>
        <w:ind w:left="851" w:hanging="851"/>
      </w:pPr>
      <w:r>
        <w:t>Across the reports more than 150 recommendations for change were made and accepted by the NI Executive</w:t>
      </w:r>
      <w:r w:rsidR="0015276D">
        <w:t>.</w:t>
      </w:r>
      <w:r w:rsidR="00CD6B56">
        <w:rPr>
          <w:rStyle w:val="FootnoteReference"/>
        </w:rPr>
        <w:footnoteReference w:id="300"/>
      </w:r>
      <w:r w:rsidR="0015276D">
        <w:t xml:space="preserve"> </w:t>
      </w:r>
      <w:r w:rsidR="006808B0">
        <w:t>Work is underway through</w:t>
      </w:r>
      <w:r w:rsidR="0015276D">
        <w:t xml:space="preserve"> the</w:t>
      </w:r>
      <w:r w:rsidR="00EB2F83">
        <w:t xml:space="preserve"> Education Authorit</w:t>
      </w:r>
      <w:r w:rsidR="004415EF">
        <w:t>y</w:t>
      </w:r>
      <w:r w:rsidR="00887B3C">
        <w:t xml:space="preserve"> NI</w:t>
      </w:r>
      <w:r w:rsidR="004415EF">
        <w:t>’s</w:t>
      </w:r>
      <w:r w:rsidR="0015276D">
        <w:t xml:space="preserve"> Special Educational Needs </w:t>
      </w:r>
      <w:r w:rsidR="00BA1A05">
        <w:t xml:space="preserve">and </w:t>
      </w:r>
      <w:r w:rsidR="006808B0">
        <w:t>Disability Transformation Programme</w:t>
      </w:r>
      <w:r w:rsidR="000C3B3A">
        <w:t>.</w:t>
      </w:r>
      <w:r w:rsidR="00EB2F83">
        <w:rPr>
          <w:rStyle w:val="FootnoteReference"/>
        </w:rPr>
        <w:footnoteReference w:id="301"/>
      </w:r>
    </w:p>
    <w:p w14:paraId="6EA6B415" w14:textId="77777777" w:rsidR="00B61EA0" w:rsidRDefault="00B61EA0" w:rsidP="00412E09">
      <w:pPr>
        <w:pStyle w:val="ListParagraph"/>
        <w:ind w:left="851" w:hanging="851"/>
      </w:pPr>
    </w:p>
    <w:p w14:paraId="2E5996CB" w14:textId="77777777" w:rsidR="00B61EA0" w:rsidRPr="00B61EA0" w:rsidRDefault="00EF44FE" w:rsidP="00412E09">
      <w:pPr>
        <w:pStyle w:val="ListParagraph"/>
        <w:numPr>
          <w:ilvl w:val="1"/>
          <w:numId w:val="92"/>
        </w:numPr>
        <w:ind w:left="851" w:hanging="851"/>
      </w:pPr>
      <w:r>
        <w:t xml:space="preserve">In </w:t>
      </w:r>
      <w:r w:rsidR="00A22154">
        <w:t xml:space="preserve">April </w:t>
      </w:r>
      <w:r>
        <w:t xml:space="preserve">2022, </w:t>
      </w:r>
      <w:r w:rsidR="002E5374" w:rsidRPr="00B61EA0">
        <w:rPr>
          <w:color w:val="000000"/>
        </w:rPr>
        <w:t>an independent review</w:t>
      </w:r>
      <w:r w:rsidR="00A22154" w:rsidRPr="00B61EA0">
        <w:rPr>
          <w:color w:val="000000"/>
        </w:rPr>
        <w:t xml:space="preserve"> </w:t>
      </w:r>
      <w:r w:rsidR="002E5374" w:rsidRPr="00B61EA0">
        <w:rPr>
          <w:color w:val="000000"/>
        </w:rPr>
        <w:t>to assess the effectiveness of the Education Authority</w:t>
      </w:r>
      <w:r w:rsidR="00887B3C" w:rsidRPr="00B61EA0">
        <w:rPr>
          <w:color w:val="000000"/>
        </w:rPr>
        <w:t xml:space="preserve"> NI</w:t>
      </w:r>
      <w:r w:rsidR="002E5374" w:rsidRPr="00B61EA0">
        <w:rPr>
          <w:color w:val="000000"/>
        </w:rPr>
        <w:t>'s special educational needs service provision and processes</w:t>
      </w:r>
      <w:r w:rsidR="000F5422" w:rsidRPr="00B61EA0">
        <w:rPr>
          <w:color w:val="000000"/>
        </w:rPr>
        <w:t xml:space="preserve"> began</w:t>
      </w:r>
      <w:r w:rsidR="002E5374" w:rsidRPr="00B61EA0">
        <w:rPr>
          <w:color w:val="000000"/>
        </w:rPr>
        <w:t>.</w:t>
      </w:r>
      <w:r w:rsidR="002E5374">
        <w:rPr>
          <w:rStyle w:val="FootnoteReference"/>
        </w:rPr>
        <w:footnoteReference w:id="302"/>
      </w:r>
      <w:r w:rsidR="002E5374" w:rsidRPr="00B61EA0">
        <w:rPr>
          <w:color w:val="000000"/>
        </w:rPr>
        <w:t xml:space="preserve"> The </w:t>
      </w:r>
      <w:r w:rsidR="00F536A7" w:rsidRPr="00B61EA0">
        <w:rPr>
          <w:color w:val="000000"/>
        </w:rPr>
        <w:t>review</w:t>
      </w:r>
      <w:r w:rsidR="002E5374" w:rsidRPr="00B61EA0">
        <w:rPr>
          <w:color w:val="000000"/>
        </w:rPr>
        <w:t xml:space="preserve"> is expected to be completed by the end of 2022.</w:t>
      </w:r>
      <w:r>
        <w:rPr>
          <w:rStyle w:val="FootnoteReference"/>
          <w:color w:val="000000"/>
        </w:rPr>
        <w:footnoteReference w:id="303"/>
      </w:r>
      <w:r w:rsidR="002E5374" w:rsidRPr="00B61EA0">
        <w:rPr>
          <w:color w:val="000000"/>
        </w:rPr>
        <w:t xml:space="preserve"> </w:t>
      </w:r>
    </w:p>
    <w:p w14:paraId="3DFAA9F6" w14:textId="77777777" w:rsidR="00B61EA0" w:rsidRPr="00B61EA0" w:rsidRDefault="00B61EA0" w:rsidP="00412E09">
      <w:pPr>
        <w:pStyle w:val="ListParagraph"/>
        <w:ind w:left="851" w:hanging="851"/>
        <w:rPr>
          <w:b/>
        </w:rPr>
      </w:pPr>
    </w:p>
    <w:p w14:paraId="7EE51342" w14:textId="456B83C3" w:rsidR="00B61EA0" w:rsidRPr="00015636" w:rsidRDefault="00134DA1" w:rsidP="00412E09">
      <w:pPr>
        <w:pStyle w:val="ListParagraph"/>
        <w:numPr>
          <w:ilvl w:val="1"/>
          <w:numId w:val="92"/>
        </w:numPr>
        <w:ind w:left="851" w:hanging="851"/>
        <w:rPr>
          <w:b/>
        </w:rPr>
      </w:pPr>
      <w:r w:rsidRPr="00015636">
        <w:rPr>
          <w:b/>
        </w:rPr>
        <w:t>The Committee may wish to recommend</w:t>
      </w:r>
      <w:r w:rsidR="00974DA3" w:rsidRPr="00015636">
        <w:rPr>
          <w:b/>
        </w:rPr>
        <w:t xml:space="preserve"> that the </w:t>
      </w:r>
      <w:r w:rsidR="00B8261D" w:rsidRPr="00015636">
        <w:rPr>
          <w:b/>
        </w:rPr>
        <w:t xml:space="preserve">State Party </w:t>
      </w:r>
      <w:r w:rsidR="00893B94" w:rsidRPr="00015636">
        <w:rPr>
          <w:b/>
        </w:rPr>
        <w:t>ensure</w:t>
      </w:r>
      <w:r w:rsidR="00B8261D" w:rsidRPr="00015636">
        <w:rPr>
          <w:b/>
        </w:rPr>
        <w:t>s</w:t>
      </w:r>
      <w:r w:rsidR="00893B94" w:rsidRPr="00015636">
        <w:rPr>
          <w:b/>
        </w:rPr>
        <w:t xml:space="preserve"> </w:t>
      </w:r>
      <w:r w:rsidR="00FC5DD3" w:rsidRPr="00015636">
        <w:rPr>
          <w:b/>
        </w:rPr>
        <w:t xml:space="preserve">that </w:t>
      </w:r>
      <w:r w:rsidR="00F06FF3">
        <w:rPr>
          <w:b/>
          <w:bCs/>
        </w:rPr>
        <w:t xml:space="preserve">all </w:t>
      </w:r>
      <w:r w:rsidR="00FC5DD3" w:rsidRPr="00015636">
        <w:rPr>
          <w:b/>
        </w:rPr>
        <w:t xml:space="preserve">children with special educational needs </w:t>
      </w:r>
      <w:r w:rsidR="00F06FF3">
        <w:rPr>
          <w:b/>
          <w:bCs/>
        </w:rPr>
        <w:t>in</w:t>
      </w:r>
      <w:r w:rsidR="00F06FF3" w:rsidRPr="00B61EA0">
        <w:rPr>
          <w:b/>
          <w:bCs/>
        </w:rPr>
        <w:t xml:space="preserve"> </w:t>
      </w:r>
      <w:r w:rsidR="00C1090E">
        <w:rPr>
          <w:b/>
          <w:bCs/>
        </w:rPr>
        <w:t>NI</w:t>
      </w:r>
      <w:r w:rsidR="00B8261D" w:rsidRPr="00015636">
        <w:rPr>
          <w:b/>
        </w:rPr>
        <w:t xml:space="preserve"> </w:t>
      </w:r>
      <w:r w:rsidR="00FC5DD3" w:rsidRPr="00015636">
        <w:rPr>
          <w:b/>
        </w:rPr>
        <w:t>are promptly and comprehensively assessed and provided with the appropriate support. This should include appropriate education support as well as transport and other measures to ensure effective educational engagement to improve children’s outcomes</w:t>
      </w:r>
      <w:r w:rsidR="00426B6F" w:rsidRPr="00B61EA0">
        <w:rPr>
          <w:b/>
          <w:bCs/>
        </w:rPr>
        <w:t>, which is a particular concern in NI</w:t>
      </w:r>
      <w:r w:rsidR="00B8261D" w:rsidRPr="00B61EA0">
        <w:rPr>
          <w:b/>
          <w:bCs/>
        </w:rPr>
        <w:t>.</w:t>
      </w:r>
      <w:r w:rsidR="00967B85" w:rsidRPr="00015636">
        <w:rPr>
          <w:b/>
        </w:rPr>
        <w:t xml:space="preserve"> For example, </w:t>
      </w:r>
      <w:r w:rsidR="00A53BBC" w:rsidRPr="00015636">
        <w:rPr>
          <w:b/>
        </w:rPr>
        <w:t xml:space="preserve">prompt </w:t>
      </w:r>
      <w:r w:rsidR="00FA7CE1" w:rsidRPr="00015636">
        <w:rPr>
          <w:b/>
        </w:rPr>
        <w:t xml:space="preserve">steps should be taken to ensure the full </w:t>
      </w:r>
      <w:r w:rsidR="00A53BBC" w:rsidRPr="00015636">
        <w:rPr>
          <w:b/>
        </w:rPr>
        <w:t xml:space="preserve">and effective </w:t>
      </w:r>
      <w:r w:rsidR="00FA7CE1" w:rsidRPr="00015636">
        <w:rPr>
          <w:b/>
        </w:rPr>
        <w:t>implementation of the Special Educational Needs and Disability Act (</w:t>
      </w:r>
      <w:r w:rsidR="00A53BBC" w:rsidRPr="00015636">
        <w:rPr>
          <w:b/>
        </w:rPr>
        <w:t>NI</w:t>
      </w:r>
      <w:r w:rsidR="00FA7CE1" w:rsidRPr="00015636">
        <w:rPr>
          <w:b/>
        </w:rPr>
        <w:t>) 2016 without further delay</w:t>
      </w:r>
      <w:r w:rsidR="00B61EA0" w:rsidRPr="00015636">
        <w:rPr>
          <w:b/>
        </w:rPr>
        <w:t>.</w:t>
      </w:r>
    </w:p>
    <w:p w14:paraId="3520BB98" w14:textId="77777777" w:rsidR="00B61EA0" w:rsidRPr="00A526E7" w:rsidRDefault="00B61EA0" w:rsidP="00412E09">
      <w:pPr>
        <w:pStyle w:val="ListParagraph"/>
        <w:ind w:left="851" w:hanging="851"/>
        <w:rPr>
          <w:b/>
        </w:rPr>
      </w:pPr>
    </w:p>
    <w:p w14:paraId="78A47EC3" w14:textId="27016D93" w:rsidR="00165B28" w:rsidRPr="00A526E7" w:rsidRDefault="00134DA1" w:rsidP="00412E09">
      <w:pPr>
        <w:pStyle w:val="ListParagraph"/>
        <w:numPr>
          <w:ilvl w:val="1"/>
          <w:numId w:val="92"/>
        </w:numPr>
        <w:ind w:left="851" w:hanging="851"/>
        <w:rPr>
          <w:b/>
        </w:rPr>
      </w:pPr>
      <w:r w:rsidRPr="00A526E7">
        <w:rPr>
          <w:b/>
        </w:rPr>
        <w:t>The Committee may wish to recommend</w:t>
      </w:r>
      <w:r w:rsidR="00786C98" w:rsidRPr="00A526E7">
        <w:rPr>
          <w:b/>
        </w:rPr>
        <w:t xml:space="preserve"> that the </w:t>
      </w:r>
      <w:r w:rsidR="00B8261D" w:rsidRPr="00A526E7">
        <w:rPr>
          <w:b/>
        </w:rPr>
        <w:t xml:space="preserve">State Party </w:t>
      </w:r>
      <w:r w:rsidR="00786C98" w:rsidRPr="00A526E7">
        <w:rPr>
          <w:b/>
        </w:rPr>
        <w:t>ensure</w:t>
      </w:r>
      <w:r w:rsidR="00B8261D" w:rsidRPr="00A526E7">
        <w:rPr>
          <w:b/>
        </w:rPr>
        <w:t>s</w:t>
      </w:r>
      <w:r w:rsidR="00165B28" w:rsidRPr="00A526E7">
        <w:rPr>
          <w:b/>
        </w:rPr>
        <w:t xml:space="preserve"> children with special educational needs</w:t>
      </w:r>
      <w:r w:rsidR="00015636">
        <w:rPr>
          <w:b/>
        </w:rPr>
        <w:t xml:space="preserve"> in NI</w:t>
      </w:r>
      <w:r w:rsidR="00165B28" w:rsidRPr="00A526E7">
        <w:rPr>
          <w:b/>
        </w:rPr>
        <w:t xml:space="preserve"> that have been adversely affected by </w:t>
      </w:r>
      <w:r w:rsidR="000C1A44" w:rsidRPr="00A526E7">
        <w:rPr>
          <w:b/>
        </w:rPr>
        <w:t xml:space="preserve">delays </w:t>
      </w:r>
      <w:r w:rsidR="00C579A1">
        <w:rPr>
          <w:b/>
        </w:rPr>
        <w:t xml:space="preserve">and other shortcomings </w:t>
      </w:r>
      <w:r w:rsidR="000C1A44" w:rsidRPr="00A526E7">
        <w:rPr>
          <w:b/>
        </w:rPr>
        <w:t xml:space="preserve">in </w:t>
      </w:r>
      <w:r w:rsidR="00850ABA" w:rsidRPr="00A526E7">
        <w:rPr>
          <w:b/>
        </w:rPr>
        <w:t xml:space="preserve">the </w:t>
      </w:r>
      <w:r w:rsidR="00165B28" w:rsidRPr="00A526E7">
        <w:rPr>
          <w:b/>
        </w:rPr>
        <w:t xml:space="preserve">assessment process </w:t>
      </w:r>
      <w:r w:rsidR="00802C13" w:rsidRPr="00A526E7">
        <w:rPr>
          <w:b/>
        </w:rPr>
        <w:t>are</w:t>
      </w:r>
      <w:r w:rsidR="006D148E" w:rsidRPr="00A526E7">
        <w:rPr>
          <w:b/>
        </w:rPr>
        <w:t xml:space="preserve"> effective</w:t>
      </w:r>
      <w:r w:rsidR="00802C13" w:rsidRPr="00A526E7">
        <w:rPr>
          <w:b/>
        </w:rPr>
        <w:t>ly</w:t>
      </w:r>
      <w:r w:rsidR="00165B28" w:rsidRPr="00A526E7">
        <w:rPr>
          <w:b/>
        </w:rPr>
        <w:t xml:space="preserve"> remedied</w:t>
      </w:r>
      <w:r w:rsidR="005A465E" w:rsidRPr="00B61EA0">
        <w:rPr>
          <w:b/>
        </w:rPr>
        <w:t xml:space="preserve">, particularly in NI </w:t>
      </w:r>
      <w:r w:rsidR="00386481" w:rsidRPr="00B61EA0">
        <w:rPr>
          <w:b/>
        </w:rPr>
        <w:t xml:space="preserve">where significant failings </w:t>
      </w:r>
      <w:r w:rsidR="00B8261D" w:rsidRPr="00B61EA0">
        <w:rPr>
          <w:b/>
        </w:rPr>
        <w:t>have been</w:t>
      </w:r>
      <w:r w:rsidR="00267E1F" w:rsidRPr="00B61EA0">
        <w:rPr>
          <w:b/>
        </w:rPr>
        <w:t xml:space="preserve"> reported</w:t>
      </w:r>
      <w:r w:rsidR="00015636">
        <w:rPr>
          <w:b/>
        </w:rPr>
        <w:t>.</w:t>
      </w:r>
    </w:p>
    <w:p w14:paraId="13B17BEF" w14:textId="0C9DBFA7" w:rsidR="001C4F9B" w:rsidRPr="001C4F9B" w:rsidRDefault="001C4F9B" w:rsidP="00412E09">
      <w:pPr>
        <w:pStyle w:val="ListParagraph"/>
        <w:numPr>
          <w:ilvl w:val="0"/>
          <w:numId w:val="30"/>
        </w:numPr>
        <w:shd w:val="clear" w:color="auto" w:fill="FFFFFF" w:themeFill="background1"/>
        <w:ind w:left="851" w:hanging="851"/>
        <w:rPr>
          <w:vanish/>
        </w:rPr>
      </w:pPr>
    </w:p>
    <w:p w14:paraId="7695FE98" w14:textId="7DD756F6" w:rsidR="005D3EC2" w:rsidRDefault="005D3EC2" w:rsidP="00412E09">
      <w:pPr>
        <w:pStyle w:val="ListParagraph"/>
        <w:shd w:val="clear" w:color="auto" w:fill="FFFFFF" w:themeFill="background1"/>
        <w:ind w:left="851" w:hanging="851"/>
      </w:pPr>
    </w:p>
    <w:p w14:paraId="49300F81" w14:textId="555500F3" w:rsidR="005D3EC2" w:rsidRPr="00A42E42" w:rsidRDefault="005D3EC2" w:rsidP="00412E09">
      <w:pPr>
        <w:pStyle w:val="Heading2"/>
        <w:ind w:left="851" w:hanging="851"/>
        <w:rPr>
          <w:szCs w:val="22"/>
        </w:rPr>
      </w:pPr>
      <w:bookmarkStart w:id="73" w:name="_Toc121922234"/>
      <w:r>
        <w:rPr>
          <w:szCs w:val="22"/>
        </w:rPr>
        <w:t>COVID-</w:t>
      </w:r>
      <w:r w:rsidRPr="00C94CE0">
        <w:rPr>
          <w:szCs w:val="22"/>
        </w:rPr>
        <w:t>19</w:t>
      </w:r>
      <w:bookmarkEnd w:id="73"/>
    </w:p>
    <w:p w14:paraId="424635A3" w14:textId="77777777" w:rsidR="00844F8B" w:rsidRPr="00844F8B" w:rsidRDefault="00844F8B" w:rsidP="00412E09">
      <w:pPr>
        <w:pStyle w:val="ListParagraph"/>
        <w:numPr>
          <w:ilvl w:val="0"/>
          <w:numId w:val="6"/>
        </w:numPr>
        <w:shd w:val="clear" w:color="auto" w:fill="FFFFFF" w:themeFill="background1"/>
        <w:ind w:left="851" w:hanging="851"/>
        <w:rPr>
          <w:vanish/>
        </w:rPr>
      </w:pPr>
    </w:p>
    <w:p w14:paraId="6ADFC1AF" w14:textId="77777777" w:rsidR="00844F8B" w:rsidRPr="00844F8B" w:rsidRDefault="00844F8B" w:rsidP="00412E09">
      <w:pPr>
        <w:pStyle w:val="ListParagraph"/>
        <w:numPr>
          <w:ilvl w:val="0"/>
          <w:numId w:val="6"/>
        </w:numPr>
        <w:shd w:val="clear" w:color="auto" w:fill="FFFFFF" w:themeFill="background1"/>
        <w:ind w:left="851" w:hanging="851"/>
        <w:rPr>
          <w:vanish/>
        </w:rPr>
      </w:pPr>
    </w:p>
    <w:p w14:paraId="63F22EB6"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087D1B83"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6C81A9C5"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4B21426C"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0A927B0E"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59796B06" w14:textId="77777777" w:rsidR="00844F8B" w:rsidRPr="00844F8B" w:rsidRDefault="00844F8B" w:rsidP="00412E09">
      <w:pPr>
        <w:pStyle w:val="ListParagraph"/>
        <w:numPr>
          <w:ilvl w:val="1"/>
          <w:numId w:val="6"/>
        </w:numPr>
        <w:shd w:val="clear" w:color="auto" w:fill="FFFFFF" w:themeFill="background1"/>
        <w:ind w:left="851" w:hanging="851"/>
        <w:rPr>
          <w:vanish/>
        </w:rPr>
      </w:pPr>
    </w:p>
    <w:p w14:paraId="280669F0" w14:textId="4A18B527" w:rsidR="00331C5F" w:rsidRDefault="007C3F2B" w:rsidP="00412E09">
      <w:pPr>
        <w:pStyle w:val="ListParagraph"/>
        <w:numPr>
          <w:ilvl w:val="1"/>
          <w:numId w:val="92"/>
        </w:numPr>
        <w:shd w:val="clear" w:color="auto" w:fill="FFFFFF" w:themeFill="background1"/>
        <w:ind w:left="851" w:hanging="851"/>
      </w:pPr>
      <w:r>
        <w:t>In 2020, concerns we</w:t>
      </w:r>
      <w:r w:rsidR="002241DE">
        <w:t>re raised</w:t>
      </w:r>
      <w:r w:rsidR="00A53BBC">
        <w:t xml:space="preserve"> that</w:t>
      </w:r>
      <w:r w:rsidR="002241DE">
        <w:t xml:space="preserve"> </w:t>
      </w:r>
      <w:r w:rsidR="001C4F9B">
        <w:t>“the COVID-19 crisis will deepen known educational inequalities [in NI], or lead to the emergence of new inequalities, for children now and over their lifecycle”</w:t>
      </w:r>
      <w:r w:rsidR="00CF2138" w:rsidRPr="00587912">
        <w:t>.</w:t>
      </w:r>
      <w:r w:rsidR="002A2EDD">
        <w:rPr>
          <w:rStyle w:val="FootnoteReference"/>
        </w:rPr>
        <w:footnoteReference w:id="304"/>
      </w:r>
      <w:r w:rsidR="001C4F9B">
        <w:t xml:space="preserve"> </w:t>
      </w:r>
      <w:r w:rsidR="00331C5F">
        <w:t>The move to</w:t>
      </w:r>
      <w:r w:rsidR="001C4F9B">
        <w:t xml:space="preserve"> online education </w:t>
      </w:r>
      <w:r w:rsidR="00331C5F">
        <w:t>in cases of school closures emphasised the digital divide</w:t>
      </w:r>
      <w:r w:rsidR="00331C5F">
        <w:rPr>
          <w:rStyle w:val="FootnoteReference"/>
        </w:rPr>
        <w:footnoteReference w:id="305"/>
      </w:r>
      <w:r w:rsidR="00331C5F">
        <w:t xml:space="preserve"> and created concerns for pupils’ mental health.</w:t>
      </w:r>
      <w:r w:rsidR="00331C5F">
        <w:rPr>
          <w:rStyle w:val="FootnoteReference"/>
        </w:rPr>
        <w:footnoteReference w:id="306"/>
      </w:r>
      <w:r w:rsidR="00F65F87">
        <w:t xml:space="preserve"> </w:t>
      </w:r>
      <w:r w:rsidR="00AF1D18">
        <w:t>Particular concerns for children from lower socio-economic backgrounds and rural children.</w:t>
      </w:r>
      <w:r w:rsidR="00AF1D18">
        <w:rPr>
          <w:rStyle w:val="FootnoteReference"/>
        </w:rPr>
        <w:footnoteReference w:id="307"/>
      </w:r>
      <w:r w:rsidR="00AF1D18">
        <w:t xml:space="preserve"> </w:t>
      </w:r>
    </w:p>
    <w:p w14:paraId="0160D2DF" w14:textId="77777777" w:rsidR="00331C5F" w:rsidRDefault="00331C5F" w:rsidP="00412E09">
      <w:pPr>
        <w:pStyle w:val="ListParagraph"/>
        <w:shd w:val="clear" w:color="auto" w:fill="FFFFFF" w:themeFill="background1"/>
        <w:ind w:left="851" w:hanging="851"/>
      </w:pPr>
    </w:p>
    <w:p w14:paraId="6339422B" w14:textId="00CAA74D" w:rsidR="00165B28" w:rsidRDefault="00844F8B" w:rsidP="00412E09">
      <w:pPr>
        <w:pStyle w:val="ListParagraph"/>
        <w:numPr>
          <w:ilvl w:val="1"/>
          <w:numId w:val="92"/>
        </w:numPr>
        <w:shd w:val="clear" w:color="auto" w:fill="FFFFFF" w:themeFill="background1"/>
        <w:ind w:left="851" w:hanging="851"/>
      </w:pPr>
      <w:r>
        <w:t>The Department of Education</w:t>
      </w:r>
      <w:r w:rsidR="001C4F9B">
        <w:t xml:space="preserve"> </w:t>
      </w:r>
      <w:r w:rsidR="00F65F87">
        <w:t xml:space="preserve">set up the Continuity of Learning </w:t>
      </w:r>
      <w:r w:rsidR="00A53BBC">
        <w:t>P</w:t>
      </w:r>
      <w:r w:rsidR="00F65F87">
        <w:t xml:space="preserve">roject to ensure schools, parents and pupils were supported during remote learning, such as </w:t>
      </w:r>
      <w:r w:rsidR="005E4C4F">
        <w:t>through the provision of</w:t>
      </w:r>
      <w:r w:rsidR="001C4F9B">
        <w:t xml:space="preserve"> digital devices</w:t>
      </w:r>
      <w:r w:rsidR="00E3026A">
        <w:t xml:space="preserve">, </w:t>
      </w:r>
      <w:r w:rsidR="00080365">
        <w:t>Wi-Fi</w:t>
      </w:r>
      <w:r w:rsidR="00E3026A">
        <w:t xml:space="preserve"> vouchers, and remote learning resources</w:t>
      </w:r>
      <w:r w:rsidR="00AF1D18">
        <w:t>.</w:t>
      </w:r>
      <w:r w:rsidR="00331C5F">
        <w:rPr>
          <w:rStyle w:val="FootnoteReference"/>
        </w:rPr>
        <w:footnoteReference w:id="308"/>
      </w:r>
      <w:r w:rsidR="00AF1D18">
        <w:t xml:space="preserve"> </w:t>
      </w:r>
      <w:r w:rsidR="00A53BBC">
        <w:t>In 2022, w</w:t>
      </w:r>
      <w:r w:rsidR="00AF1D18">
        <w:t>ork is ongoing and remain</w:t>
      </w:r>
      <w:r w:rsidR="000D65E5">
        <w:t>s</w:t>
      </w:r>
      <w:r w:rsidR="00AF1D18">
        <w:t xml:space="preserve"> under review.</w:t>
      </w:r>
    </w:p>
    <w:p w14:paraId="6B021C50" w14:textId="77777777" w:rsidR="00AF1D18" w:rsidRDefault="00AF1D18" w:rsidP="00412E09">
      <w:pPr>
        <w:shd w:val="clear" w:color="auto" w:fill="FFFFFF" w:themeFill="background1"/>
        <w:ind w:left="851" w:hanging="851"/>
      </w:pPr>
    </w:p>
    <w:p w14:paraId="62D2AE58" w14:textId="532C60F6" w:rsidR="00A4596F" w:rsidRDefault="00142BB5" w:rsidP="00412E09">
      <w:pPr>
        <w:pStyle w:val="ListParagraph"/>
        <w:numPr>
          <w:ilvl w:val="1"/>
          <w:numId w:val="92"/>
        </w:numPr>
        <w:ind w:left="851" w:hanging="851"/>
      </w:pPr>
      <w:r>
        <w:t xml:space="preserve">Civil society organisations </w:t>
      </w:r>
      <w:r w:rsidR="000D65E5">
        <w:t>highlight</w:t>
      </w:r>
      <w:r>
        <w:t xml:space="preserve"> that </w:t>
      </w:r>
      <w:r w:rsidR="00213A8C">
        <w:t xml:space="preserve">the </w:t>
      </w:r>
      <w:r w:rsidR="00E81987">
        <w:t xml:space="preserve">pandemic had a disproportionate impact </w:t>
      </w:r>
      <w:r w:rsidR="003A6711">
        <w:t xml:space="preserve">on children </w:t>
      </w:r>
      <w:r w:rsidR="009A6068">
        <w:t xml:space="preserve">with </w:t>
      </w:r>
      <w:r w:rsidR="00470F19">
        <w:t>special educational needs</w:t>
      </w:r>
      <w:r w:rsidR="002051AD">
        <w:t>.</w:t>
      </w:r>
      <w:r w:rsidR="000E4153">
        <w:rPr>
          <w:rStyle w:val="FootnoteReference"/>
        </w:rPr>
        <w:footnoteReference w:id="309"/>
      </w:r>
      <w:r w:rsidR="002051AD">
        <w:t xml:space="preserve"> </w:t>
      </w:r>
      <w:r w:rsidR="000F25C0">
        <w:t>L</w:t>
      </w:r>
      <w:r w:rsidR="00165B28" w:rsidRPr="006473CF">
        <w:t xml:space="preserve">egal duties </w:t>
      </w:r>
      <w:r w:rsidR="000F25C0">
        <w:t>to children with</w:t>
      </w:r>
      <w:r w:rsidR="00165B28" w:rsidRPr="006473CF">
        <w:t xml:space="preserve"> special educational needs</w:t>
      </w:r>
      <w:r w:rsidR="000F25C0">
        <w:t xml:space="preserve"> were modified</w:t>
      </w:r>
      <w:r w:rsidR="00DB4C74">
        <w:t xml:space="preserve"> which limited protection</w:t>
      </w:r>
      <w:r w:rsidR="00064FF1">
        <w:t>s</w:t>
      </w:r>
      <w:r w:rsidR="00DB4C74">
        <w:t xml:space="preserve"> within the system.</w:t>
      </w:r>
      <w:r w:rsidR="00DB4C74">
        <w:rPr>
          <w:rStyle w:val="FootnoteReference"/>
        </w:rPr>
        <w:footnoteReference w:id="310"/>
      </w:r>
      <w:r w:rsidR="00FF4D72">
        <w:t xml:space="preserve"> </w:t>
      </w:r>
      <w:r w:rsidR="00F13169">
        <w:t>S</w:t>
      </w:r>
      <w:r w:rsidR="00F13169" w:rsidRPr="00587912">
        <w:t xml:space="preserve">chool closures due to COVID-19 </w:t>
      </w:r>
      <w:r w:rsidR="00F13169">
        <w:t xml:space="preserve">affected access to </w:t>
      </w:r>
      <w:r w:rsidR="00F13169" w:rsidRPr="00B52A42">
        <w:t>physiotherapy, speech/language therapy, occupational therapy, educational psychologists, Children and Adolescent Mental</w:t>
      </w:r>
      <w:r w:rsidR="00F13169">
        <w:t xml:space="preserve"> Health Services and paediatricians</w:t>
      </w:r>
      <w:r w:rsidR="00F13169" w:rsidRPr="00587912">
        <w:t>.</w:t>
      </w:r>
      <w:r w:rsidR="00F13169" w:rsidRPr="00587912">
        <w:rPr>
          <w:rStyle w:val="FootnoteReference"/>
        </w:rPr>
        <w:footnoteReference w:id="311"/>
      </w:r>
      <w:r w:rsidR="00446D10">
        <w:t xml:space="preserve"> </w:t>
      </w:r>
      <w:r w:rsidR="004B7A58">
        <w:t>D</w:t>
      </w:r>
      <w:r w:rsidR="00446D10">
        <w:t>isrupted routines</w:t>
      </w:r>
      <w:r w:rsidR="007F6CE2">
        <w:t xml:space="preserve">, fear of the virus and the </w:t>
      </w:r>
      <w:r w:rsidR="00C42222">
        <w:t xml:space="preserve">removal of </w:t>
      </w:r>
      <w:r w:rsidR="00E44071">
        <w:t xml:space="preserve">normal </w:t>
      </w:r>
      <w:r w:rsidR="00227293">
        <w:t xml:space="preserve">support systems </w:t>
      </w:r>
      <w:r w:rsidR="00D528E8">
        <w:t xml:space="preserve">(both learning and </w:t>
      </w:r>
      <w:r w:rsidR="00FF27DD">
        <w:t>peer</w:t>
      </w:r>
      <w:r w:rsidR="00D528E8">
        <w:t xml:space="preserve">) </w:t>
      </w:r>
      <w:r w:rsidR="007F6CE2">
        <w:t>was</w:t>
      </w:r>
      <w:r w:rsidR="0083357C">
        <w:t xml:space="preserve"> disproportio</w:t>
      </w:r>
      <w:r w:rsidR="003D1F34">
        <w:t xml:space="preserve">nately difficult for </w:t>
      </w:r>
      <w:r w:rsidR="009E1F43">
        <w:t xml:space="preserve">children with </w:t>
      </w:r>
      <w:r w:rsidR="00470F19">
        <w:t>special educational needs</w:t>
      </w:r>
      <w:r w:rsidR="007F6CE2">
        <w:t>.</w:t>
      </w:r>
      <w:r w:rsidR="000E4153">
        <w:rPr>
          <w:rStyle w:val="FootnoteReference"/>
        </w:rPr>
        <w:footnoteReference w:id="312"/>
      </w:r>
    </w:p>
    <w:p w14:paraId="47774D4B" w14:textId="77777777" w:rsidR="00A4596F" w:rsidRPr="00A4596F" w:rsidRDefault="00A4596F" w:rsidP="00412E09">
      <w:pPr>
        <w:pStyle w:val="ListParagraph"/>
        <w:ind w:left="851" w:hanging="851"/>
        <w:rPr>
          <w:b/>
        </w:rPr>
      </w:pPr>
    </w:p>
    <w:p w14:paraId="132FC90C" w14:textId="04432C8F" w:rsidR="0078434E" w:rsidRPr="00B61EA0" w:rsidRDefault="00DE1718" w:rsidP="006334AA">
      <w:pPr>
        <w:pStyle w:val="ListParagraph"/>
        <w:numPr>
          <w:ilvl w:val="1"/>
          <w:numId w:val="92"/>
        </w:numPr>
        <w:ind w:left="851" w:hanging="851"/>
        <w:rPr>
          <w:b/>
        </w:rPr>
      </w:pPr>
      <w:r w:rsidRPr="00B61EA0">
        <w:rPr>
          <w:b/>
        </w:rPr>
        <w:t xml:space="preserve">The </w:t>
      </w:r>
      <w:r w:rsidR="00890865" w:rsidRPr="00B61EA0">
        <w:rPr>
          <w:b/>
        </w:rPr>
        <w:t>Committee may wish to</w:t>
      </w:r>
      <w:r w:rsidRPr="00B61EA0">
        <w:rPr>
          <w:b/>
        </w:rPr>
        <w:t xml:space="preserve"> recommend that the </w:t>
      </w:r>
      <w:r w:rsidR="005F2FC9" w:rsidRPr="00B61EA0">
        <w:rPr>
          <w:b/>
        </w:rPr>
        <w:t xml:space="preserve">State Party </w:t>
      </w:r>
      <w:r w:rsidR="00BD23E1" w:rsidRPr="00B61EA0">
        <w:rPr>
          <w:b/>
        </w:rPr>
        <w:t>examine</w:t>
      </w:r>
      <w:r w:rsidR="005F2FC9" w:rsidRPr="00B61EA0">
        <w:rPr>
          <w:b/>
        </w:rPr>
        <w:t>s</w:t>
      </w:r>
      <w:r w:rsidR="00BD23E1" w:rsidRPr="00B61EA0">
        <w:rPr>
          <w:b/>
        </w:rPr>
        <w:t xml:space="preserve"> the </w:t>
      </w:r>
      <w:r w:rsidR="0033011F" w:rsidRPr="00B61EA0">
        <w:rPr>
          <w:b/>
        </w:rPr>
        <w:t xml:space="preserve">levels of </w:t>
      </w:r>
      <w:r w:rsidR="00144812" w:rsidRPr="00B61EA0">
        <w:rPr>
          <w:b/>
        </w:rPr>
        <w:t>learn</w:t>
      </w:r>
      <w:r w:rsidR="004B20AE" w:rsidRPr="00B61EA0">
        <w:rPr>
          <w:b/>
        </w:rPr>
        <w:t xml:space="preserve">ing loss </w:t>
      </w:r>
      <w:r w:rsidR="00C579A1">
        <w:rPr>
          <w:b/>
        </w:rPr>
        <w:t>in NI</w:t>
      </w:r>
      <w:r w:rsidR="005F2FC9" w:rsidRPr="00B61EA0">
        <w:rPr>
          <w:b/>
        </w:rPr>
        <w:t xml:space="preserve"> </w:t>
      </w:r>
      <w:r w:rsidR="00BA7DD5" w:rsidRPr="00B61EA0">
        <w:rPr>
          <w:b/>
        </w:rPr>
        <w:t xml:space="preserve">due to the COVID-19 pandemic </w:t>
      </w:r>
      <w:r w:rsidR="007B7E76" w:rsidRPr="00B61EA0">
        <w:rPr>
          <w:b/>
        </w:rPr>
        <w:t>and ensure</w:t>
      </w:r>
      <w:r w:rsidR="005F2FC9" w:rsidRPr="00B61EA0">
        <w:rPr>
          <w:b/>
        </w:rPr>
        <w:t>s</w:t>
      </w:r>
      <w:r w:rsidR="007B7E76" w:rsidRPr="00B61EA0">
        <w:rPr>
          <w:b/>
        </w:rPr>
        <w:t xml:space="preserve"> that </w:t>
      </w:r>
      <w:r w:rsidR="00165B28" w:rsidRPr="00B61EA0">
        <w:rPr>
          <w:b/>
        </w:rPr>
        <w:t>effective</w:t>
      </w:r>
      <w:r w:rsidR="002772B1" w:rsidRPr="00B61EA0">
        <w:rPr>
          <w:b/>
        </w:rPr>
        <w:t xml:space="preserve"> remedial provisions </w:t>
      </w:r>
      <w:r w:rsidR="00165B28" w:rsidRPr="00B61EA0">
        <w:rPr>
          <w:b/>
        </w:rPr>
        <w:t xml:space="preserve">are </w:t>
      </w:r>
      <w:r w:rsidR="00355145" w:rsidRPr="00B61EA0">
        <w:rPr>
          <w:b/>
        </w:rPr>
        <w:t>being taken</w:t>
      </w:r>
      <w:r w:rsidR="002772B1" w:rsidRPr="00B61EA0">
        <w:rPr>
          <w:b/>
        </w:rPr>
        <w:t xml:space="preserve"> </w:t>
      </w:r>
      <w:r w:rsidR="00C1163D" w:rsidRPr="00B61EA0">
        <w:rPr>
          <w:b/>
        </w:rPr>
        <w:t xml:space="preserve">for </w:t>
      </w:r>
      <w:r w:rsidR="00165B28" w:rsidRPr="00B61EA0">
        <w:rPr>
          <w:b/>
        </w:rPr>
        <w:t>children</w:t>
      </w:r>
      <w:r w:rsidR="009063BD" w:rsidRPr="00B61EA0">
        <w:rPr>
          <w:b/>
        </w:rPr>
        <w:t xml:space="preserve"> to ensure it does not result in longer-term impacts. </w:t>
      </w:r>
      <w:r w:rsidR="00340F2C" w:rsidRPr="00B61EA0">
        <w:rPr>
          <w:b/>
        </w:rPr>
        <w:t xml:space="preserve">This </w:t>
      </w:r>
      <w:r w:rsidR="00C03E2B">
        <w:rPr>
          <w:b/>
        </w:rPr>
        <w:t xml:space="preserve">includes </w:t>
      </w:r>
      <w:r w:rsidR="00975B83">
        <w:rPr>
          <w:b/>
        </w:rPr>
        <w:t>conducting a</w:t>
      </w:r>
      <w:r w:rsidR="008077CF" w:rsidRPr="00B61EA0">
        <w:rPr>
          <w:b/>
        </w:rPr>
        <w:t xml:space="preserve"> </w:t>
      </w:r>
      <w:r w:rsidR="00340F2C" w:rsidRPr="00B61EA0">
        <w:rPr>
          <w:b/>
        </w:rPr>
        <w:t xml:space="preserve">Learning During the Pandemic </w:t>
      </w:r>
      <w:r w:rsidR="0078434E" w:rsidRPr="00B61EA0">
        <w:rPr>
          <w:b/>
        </w:rPr>
        <w:t>R</w:t>
      </w:r>
      <w:r w:rsidR="00340F2C" w:rsidRPr="00B61EA0">
        <w:rPr>
          <w:b/>
        </w:rPr>
        <w:t>eview</w:t>
      </w:r>
      <w:r w:rsidR="00CD7787">
        <w:rPr>
          <w:b/>
        </w:rPr>
        <w:t>, as</w:t>
      </w:r>
      <w:r w:rsidR="00340F2C" w:rsidRPr="00B61EA0">
        <w:rPr>
          <w:b/>
        </w:rPr>
        <w:t xml:space="preserve"> established in England</w:t>
      </w:r>
      <w:r w:rsidR="0078434E" w:rsidRPr="00B61EA0">
        <w:rPr>
          <w:b/>
        </w:rPr>
        <w:t>.</w:t>
      </w:r>
    </w:p>
    <w:p w14:paraId="2B408EE1" w14:textId="77777777" w:rsidR="00261CFE" w:rsidRPr="00FD5F0F" w:rsidRDefault="00261CFE" w:rsidP="0078434E">
      <w:pPr>
        <w:pStyle w:val="ListParagraph"/>
        <w:rPr>
          <w:b/>
        </w:rPr>
      </w:pPr>
    </w:p>
    <w:p w14:paraId="0AE678A7" w14:textId="74E2B61E" w:rsidR="00165B28" w:rsidRPr="00B61EA0" w:rsidRDefault="00F920EF" w:rsidP="006334AA">
      <w:pPr>
        <w:pStyle w:val="ListParagraph"/>
        <w:numPr>
          <w:ilvl w:val="1"/>
          <w:numId w:val="92"/>
        </w:numPr>
        <w:ind w:left="851" w:hanging="851"/>
        <w:rPr>
          <w:b/>
        </w:rPr>
      </w:pPr>
      <w:r w:rsidRPr="00B61EA0">
        <w:rPr>
          <w:b/>
        </w:rPr>
        <w:t xml:space="preserve">The </w:t>
      </w:r>
      <w:r w:rsidR="0078434E" w:rsidRPr="00B61EA0">
        <w:rPr>
          <w:b/>
        </w:rPr>
        <w:t>Committee may wish to</w:t>
      </w:r>
      <w:r w:rsidRPr="00B61EA0">
        <w:rPr>
          <w:b/>
        </w:rPr>
        <w:t xml:space="preserve"> recommend that</w:t>
      </w:r>
      <w:r w:rsidR="008077CF" w:rsidRPr="00B61EA0">
        <w:rPr>
          <w:b/>
        </w:rPr>
        <w:t xml:space="preserve"> the </w:t>
      </w:r>
      <w:r w:rsidR="0078434E" w:rsidRPr="00B61EA0">
        <w:rPr>
          <w:b/>
        </w:rPr>
        <w:t xml:space="preserve">State Party </w:t>
      </w:r>
      <w:r w:rsidR="00B55FAE" w:rsidRPr="00B61EA0">
        <w:rPr>
          <w:b/>
        </w:rPr>
        <w:t>ensure</w:t>
      </w:r>
      <w:r w:rsidR="0078434E" w:rsidRPr="00B61EA0">
        <w:rPr>
          <w:b/>
        </w:rPr>
        <w:t>s</w:t>
      </w:r>
      <w:r w:rsidR="00405301" w:rsidRPr="00B61EA0">
        <w:rPr>
          <w:b/>
        </w:rPr>
        <w:t xml:space="preserve"> effective measures </w:t>
      </w:r>
      <w:r w:rsidR="0054543A" w:rsidRPr="00B61EA0">
        <w:rPr>
          <w:b/>
        </w:rPr>
        <w:t xml:space="preserve">are </w:t>
      </w:r>
      <w:r w:rsidR="00D27841" w:rsidRPr="00B61EA0">
        <w:rPr>
          <w:b/>
        </w:rPr>
        <w:t>taken to</w:t>
      </w:r>
      <w:r w:rsidR="00B67801" w:rsidRPr="00B61EA0">
        <w:rPr>
          <w:b/>
        </w:rPr>
        <w:t xml:space="preserve"> prioritise </w:t>
      </w:r>
      <w:r w:rsidR="00C230F7">
        <w:rPr>
          <w:b/>
        </w:rPr>
        <w:t>the</w:t>
      </w:r>
      <w:r w:rsidR="00C230F7" w:rsidRPr="00B61EA0">
        <w:rPr>
          <w:b/>
        </w:rPr>
        <w:t xml:space="preserve"> </w:t>
      </w:r>
      <w:r w:rsidR="00165B28" w:rsidRPr="00B61EA0">
        <w:rPr>
          <w:b/>
        </w:rPr>
        <w:t xml:space="preserve">mental health and wellbeing </w:t>
      </w:r>
      <w:r w:rsidR="00C230F7">
        <w:rPr>
          <w:b/>
        </w:rPr>
        <w:t>of children in NI during</w:t>
      </w:r>
      <w:r w:rsidR="00B67801" w:rsidRPr="00B61EA0">
        <w:rPr>
          <w:b/>
        </w:rPr>
        <w:t xml:space="preserve"> </w:t>
      </w:r>
      <w:r w:rsidR="00165B28" w:rsidRPr="00B61EA0">
        <w:rPr>
          <w:b/>
        </w:rPr>
        <w:t xml:space="preserve">the recovery </w:t>
      </w:r>
      <w:r w:rsidR="00B67801" w:rsidRPr="00B61EA0">
        <w:rPr>
          <w:b/>
        </w:rPr>
        <w:t>from the COVID-19</w:t>
      </w:r>
      <w:r w:rsidR="00165B28" w:rsidRPr="00B61EA0">
        <w:rPr>
          <w:b/>
        </w:rPr>
        <w:t xml:space="preserve"> </w:t>
      </w:r>
      <w:r w:rsidR="00B67801" w:rsidRPr="00B61EA0">
        <w:rPr>
          <w:b/>
        </w:rPr>
        <w:t xml:space="preserve">pandemic </w:t>
      </w:r>
      <w:r w:rsidR="00165B28" w:rsidRPr="00B61EA0">
        <w:rPr>
          <w:b/>
        </w:rPr>
        <w:t>and that this is supported by adequate long-term funding</w:t>
      </w:r>
      <w:r w:rsidR="00B67801" w:rsidRPr="00B61EA0">
        <w:rPr>
          <w:b/>
        </w:rPr>
        <w:t>.</w:t>
      </w:r>
    </w:p>
    <w:p w14:paraId="191548F7" w14:textId="77777777" w:rsidR="00165B28" w:rsidRDefault="00165B28" w:rsidP="00165B28">
      <w:pPr>
        <w:pStyle w:val="ListParagraph"/>
        <w:ind w:left="862"/>
        <w:rPr>
          <w:b/>
        </w:rPr>
      </w:pPr>
    </w:p>
    <w:p w14:paraId="7D079470" w14:textId="59ACED23" w:rsidR="005958FB" w:rsidRPr="0078434E" w:rsidRDefault="005958FB" w:rsidP="00B638E2">
      <w:pPr>
        <w:pStyle w:val="Heading2"/>
        <w:rPr>
          <w:b w:val="0"/>
        </w:rPr>
      </w:pPr>
      <w:bookmarkStart w:id="74" w:name="_Toc121922235"/>
      <w:r w:rsidRPr="00587912">
        <w:t>Expulsions</w:t>
      </w:r>
      <w:bookmarkEnd w:id="74"/>
      <w:r w:rsidRPr="00587912">
        <w:t xml:space="preserve"> </w:t>
      </w:r>
    </w:p>
    <w:p w14:paraId="2805261F" w14:textId="1ECE50B0" w:rsidR="005958FB" w:rsidRDefault="009142A6" w:rsidP="006334AA">
      <w:pPr>
        <w:pStyle w:val="ListParagraph"/>
        <w:numPr>
          <w:ilvl w:val="1"/>
          <w:numId w:val="92"/>
        </w:numPr>
        <w:shd w:val="clear" w:color="auto" w:fill="FFFFFF" w:themeFill="background1"/>
        <w:ind w:left="851" w:hanging="851"/>
      </w:pPr>
      <w:r>
        <w:t>In 2020/</w:t>
      </w:r>
      <w:r w:rsidR="00320362">
        <w:t>20</w:t>
      </w:r>
      <w:r>
        <w:t>21</w:t>
      </w:r>
      <w:r w:rsidR="00595BE0">
        <w:t>, 3,506 pupils were suspended from school in NI</w:t>
      </w:r>
      <w:r w:rsidR="00D16D50">
        <w:t xml:space="preserve"> (</w:t>
      </w:r>
      <w:r w:rsidR="007D0105">
        <w:t>1.2 per cent</w:t>
      </w:r>
      <w:r w:rsidR="006C577A">
        <w:t xml:space="preserve"> of pupil</w:t>
      </w:r>
      <w:r w:rsidR="006C49F5">
        <w:t>s)</w:t>
      </w:r>
      <w:r w:rsidR="00595BE0">
        <w:t xml:space="preserve">, an increase of 106 from the previous </w:t>
      </w:r>
      <w:r w:rsidR="00225002">
        <w:t xml:space="preserve">academic </w:t>
      </w:r>
      <w:r w:rsidR="00595BE0">
        <w:t>year.</w:t>
      </w:r>
      <w:r w:rsidR="00D47039">
        <w:rPr>
          <w:rStyle w:val="FootnoteReference"/>
        </w:rPr>
        <w:footnoteReference w:id="313"/>
      </w:r>
      <w:r w:rsidR="00595BE0">
        <w:t xml:space="preserve"> </w:t>
      </w:r>
      <w:r w:rsidR="00E47C6E">
        <w:t>In 2020/</w:t>
      </w:r>
      <w:r w:rsidR="00320362">
        <w:t>20</w:t>
      </w:r>
      <w:r w:rsidR="00E47C6E">
        <w:t>21,</w:t>
      </w:r>
      <w:r w:rsidR="001D7C6D">
        <w:t xml:space="preserve"> 25 pupils were expelled in NI</w:t>
      </w:r>
      <w:r w:rsidR="00605BD8">
        <w:t xml:space="preserve"> (0.008 per cent of pupils)</w:t>
      </w:r>
      <w:r w:rsidR="001D7C6D">
        <w:t>, an increase of 14 pupils compared to the previous academic year.</w:t>
      </w:r>
      <w:r w:rsidR="00392CE8">
        <w:rPr>
          <w:rStyle w:val="FootnoteReference"/>
        </w:rPr>
        <w:footnoteReference w:id="314"/>
      </w:r>
      <w:r w:rsidR="00A804A9">
        <w:t xml:space="preserve"> </w:t>
      </w:r>
    </w:p>
    <w:p w14:paraId="00C78CE0" w14:textId="77777777" w:rsidR="003559B9" w:rsidRDefault="003559B9" w:rsidP="003559B9">
      <w:pPr>
        <w:pStyle w:val="ListParagraph"/>
        <w:shd w:val="clear" w:color="auto" w:fill="FFFFFF" w:themeFill="background1"/>
        <w:ind w:left="873"/>
      </w:pPr>
    </w:p>
    <w:p w14:paraId="622B9D51" w14:textId="591BE3F8" w:rsidR="00CD170E" w:rsidRDefault="00CD170E" w:rsidP="006334AA">
      <w:pPr>
        <w:pStyle w:val="ListParagraph"/>
        <w:numPr>
          <w:ilvl w:val="1"/>
          <w:numId w:val="92"/>
        </w:numPr>
        <w:shd w:val="clear" w:color="auto" w:fill="FFFFFF" w:themeFill="background1"/>
        <w:ind w:left="851" w:hanging="851"/>
      </w:pPr>
      <w:r>
        <w:t xml:space="preserve">Of the </w:t>
      </w:r>
      <w:r w:rsidR="003559B9">
        <w:t>3,506 pupils suspended in 2020/</w:t>
      </w:r>
      <w:r w:rsidR="00320362">
        <w:t>20</w:t>
      </w:r>
      <w:r w:rsidR="003559B9">
        <w:t xml:space="preserve">21, </w:t>
      </w:r>
      <w:r w:rsidR="00772AE5">
        <w:t xml:space="preserve">1,254 </w:t>
      </w:r>
      <w:r w:rsidR="004710B3">
        <w:t xml:space="preserve">pupils </w:t>
      </w:r>
      <w:r w:rsidR="00772AE5">
        <w:t>had special educational needs</w:t>
      </w:r>
      <w:r w:rsidR="00211489">
        <w:t xml:space="preserve"> </w:t>
      </w:r>
      <w:r w:rsidR="00757EDF">
        <w:t>(3</w:t>
      </w:r>
      <w:r w:rsidR="0058065F">
        <w:t>6 per cent)</w:t>
      </w:r>
      <w:r w:rsidR="00211489">
        <w:t>.</w:t>
      </w:r>
      <w:r w:rsidR="007C79E7">
        <w:rPr>
          <w:rStyle w:val="FootnoteReference"/>
        </w:rPr>
        <w:footnoteReference w:id="315"/>
      </w:r>
      <w:r w:rsidR="00A804A9">
        <w:t xml:space="preserve"> </w:t>
      </w:r>
      <w:r w:rsidR="00CB7EAB">
        <w:t xml:space="preserve">Of the 25 pupils </w:t>
      </w:r>
      <w:r w:rsidR="006C7262">
        <w:t>expelled in 2020/</w:t>
      </w:r>
      <w:r w:rsidR="00E3352B">
        <w:t>20</w:t>
      </w:r>
      <w:r w:rsidR="006C7262">
        <w:t>21, 12 had special educational needs (4</w:t>
      </w:r>
      <w:r w:rsidR="00406CD6">
        <w:t>8</w:t>
      </w:r>
      <w:r w:rsidR="006C7262">
        <w:t xml:space="preserve"> per cent).</w:t>
      </w:r>
      <w:r w:rsidR="007C79E7">
        <w:rPr>
          <w:rStyle w:val="FootnoteReference"/>
        </w:rPr>
        <w:footnoteReference w:id="316"/>
      </w:r>
      <w:r w:rsidR="006C7262">
        <w:t xml:space="preserve"> </w:t>
      </w:r>
    </w:p>
    <w:p w14:paraId="5E0297C1" w14:textId="77777777" w:rsidR="000B316C" w:rsidRDefault="000B316C" w:rsidP="000B316C">
      <w:pPr>
        <w:pStyle w:val="ListParagraph"/>
        <w:shd w:val="clear" w:color="auto" w:fill="FFFFFF" w:themeFill="background1"/>
        <w:ind w:left="862"/>
      </w:pPr>
    </w:p>
    <w:p w14:paraId="3D5AF62E" w14:textId="327F4A4F" w:rsidR="000B316C" w:rsidRPr="00B61EA0" w:rsidRDefault="00134DA1" w:rsidP="006334AA">
      <w:pPr>
        <w:pStyle w:val="ListParagraph"/>
        <w:numPr>
          <w:ilvl w:val="1"/>
          <w:numId w:val="92"/>
        </w:numPr>
        <w:shd w:val="clear" w:color="auto" w:fill="FFFFFF" w:themeFill="background1"/>
        <w:ind w:left="851" w:hanging="851"/>
        <w:rPr>
          <w:b/>
        </w:rPr>
      </w:pPr>
      <w:r w:rsidRPr="00B61EA0">
        <w:rPr>
          <w:b/>
        </w:rPr>
        <w:t>The Committee may wish to recommend</w:t>
      </w:r>
      <w:r w:rsidR="00470417" w:rsidRPr="00B61EA0">
        <w:rPr>
          <w:b/>
        </w:rPr>
        <w:t xml:space="preserve"> that the </w:t>
      </w:r>
      <w:r w:rsidR="001B27F1" w:rsidRPr="00B61EA0">
        <w:rPr>
          <w:b/>
        </w:rPr>
        <w:t>State Party takes</w:t>
      </w:r>
      <w:r w:rsidR="00951988" w:rsidRPr="00B61EA0">
        <w:rPr>
          <w:b/>
        </w:rPr>
        <w:t xml:space="preserve"> effective measures to ensure school suspensions and expulsions are a last resort </w:t>
      </w:r>
      <w:r w:rsidR="00C230F7">
        <w:rPr>
          <w:b/>
        </w:rPr>
        <w:t>in NI</w:t>
      </w:r>
      <w:r w:rsidR="00FB76B6" w:rsidRPr="00B61EA0">
        <w:rPr>
          <w:b/>
        </w:rPr>
        <w:t>.</w:t>
      </w:r>
      <w:r w:rsidR="00E7496F" w:rsidRPr="00B61EA0">
        <w:rPr>
          <w:b/>
        </w:rPr>
        <w:t xml:space="preserve"> </w:t>
      </w:r>
    </w:p>
    <w:p w14:paraId="5E67263A" w14:textId="77777777" w:rsidR="00FE06CC" w:rsidRPr="00587912" w:rsidRDefault="00FE06CC" w:rsidP="00FE06CC">
      <w:pPr>
        <w:shd w:val="clear" w:color="auto" w:fill="FFFFFF" w:themeFill="background1"/>
      </w:pPr>
    </w:p>
    <w:p w14:paraId="3FF7650F" w14:textId="4E5B2DA4" w:rsidR="00A518B5" w:rsidRPr="001B27F1" w:rsidRDefault="00C71EBE" w:rsidP="001B27F1">
      <w:pPr>
        <w:pStyle w:val="Heading2"/>
        <w:rPr>
          <w:szCs w:val="22"/>
        </w:rPr>
      </w:pPr>
      <w:bookmarkStart w:id="75" w:name="_Toc121922236"/>
      <w:r w:rsidRPr="00587912">
        <w:rPr>
          <w:szCs w:val="22"/>
        </w:rPr>
        <w:t>Academic selection</w:t>
      </w:r>
      <w:bookmarkEnd w:id="75"/>
    </w:p>
    <w:p w14:paraId="396ADCC1" w14:textId="519E2B71" w:rsidR="000B6B42" w:rsidRDefault="007A7A93" w:rsidP="006334AA">
      <w:pPr>
        <w:pStyle w:val="ListParagraph"/>
        <w:numPr>
          <w:ilvl w:val="1"/>
          <w:numId w:val="92"/>
        </w:numPr>
        <w:ind w:left="851" w:hanging="851"/>
      </w:pPr>
      <w:r>
        <w:t>The</w:t>
      </w:r>
      <w:r w:rsidR="00580979">
        <w:t xml:space="preserve"> </w:t>
      </w:r>
      <w:r>
        <w:t xml:space="preserve">Committee previously </w:t>
      </w:r>
      <w:r w:rsidR="00C95831" w:rsidRPr="00587912">
        <w:t>rec</w:t>
      </w:r>
      <w:r>
        <w:t xml:space="preserve">ommended that the NI Executive </w:t>
      </w:r>
      <w:r w:rsidR="00C95831" w:rsidRPr="00587912">
        <w:t>abolish</w:t>
      </w:r>
      <w:r w:rsidR="001B27F1">
        <w:t>ed</w:t>
      </w:r>
      <w:r w:rsidR="00C95831" w:rsidRPr="00587912">
        <w:t xml:space="preserve"> the practice of unregulated admission </w:t>
      </w:r>
      <w:r>
        <w:t>tests to post-primary education</w:t>
      </w:r>
      <w:r w:rsidR="00C95831" w:rsidRPr="00587912">
        <w:t xml:space="preserve"> in NI.</w:t>
      </w:r>
      <w:r w:rsidR="00C95831" w:rsidRPr="00587912">
        <w:rPr>
          <w:rStyle w:val="FootnoteReference"/>
        </w:rPr>
        <w:footnoteReference w:id="317"/>
      </w:r>
      <w:r w:rsidR="00B742D8" w:rsidRPr="00587912">
        <w:t xml:space="preserve"> </w:t>
      </w:r>
    </w:p>
    <w:p w14:paraId="3BF56D36" w14:textId="77777777" w:rsidR="000B6B42" w:rsidRDefault="000B6B42" w:rsidP="006334AA">
      <w:pPr>
        <w:pStyle w:val="ListParagraph"/>
        <w:ind w:left="851" w:hanging="851"/>
      </w:pPr>
    </w:p>
    <w:p w14:paraId="6D56F768" w14:textId="77777777" w:rsidR="000B6B42" w:rsidRPr="000B6B42" w:rsidRDefault="00290EE8" w:rsidP="006334AA">
      <w:pPr>
        <w:pStyle w:val="ListParagraph"/>
        <w:numPr>
          <w:ilvl w:val="1"/>
          <w:numId w:val="92"/>
        </w:numPr>
        <w:ind w:left="851" w:hanging="851"/>
      </w:pPr>
      <w:r>
        <w:t>Unregulated a</w:t>
      </w:r>
      <w:r w:rsidR="000B316C">
        <w:t xml:space="preserve">cademic selection continues in NI, </w:t>
      </w:r>
      <w:r w:rsidR="003C7D50">
        <w:t>following cancellations during the</w:t>
      </w:r>
      <w:r w:rsidR="000B316C">
        <w:t xml:space="preserve"> COVID-19</w:t>
      </w:r>
      <w:r w:rsidR="003D1431">
        <w:t xml:space="preserve"> pandemic</w:t>
      </w:r>
      <w:r w:rsidR="000B316C">
        <w:t>.</w:t>
      </w:r>
      <w:r>
        <w:rPr>
          <w:rStyle w:val="FootnoteReference"/>
        </w:rPr>
        <w:footnoteReference w:id="318"/>
      </w:r>
      <w:r w:rsidR="000B316C">
        <w:t xml:space="preserve"> </w:t>
      </w:r>
      <w:r w:rsidRPr="000B6B42">
        <w:rPr>
          <w:rFonts w:eastAsia="Verdana" w:cs="Verdana"/>
          <w:color w:val="000000"/>
        </w:rPr>
        <w:t>The Minister of Education NI, Peter Weir MLA, has stated that there is no "viable alternative to put in its place".</w:t>
      </w:r>
      <w:r>
        <w:rPr>
          <w:rStyle w:val="FootnoteReference"/>
        </w:rPr>
        <w:footnoteReference w:id="319"/>
      </w:r>
    </w:p>
    <w:p w14:paraId="3C5E44C5" w14:textId="77777777" w:rsidR="000B6B42" w:rsidRDefault="000B6B42" w:rsidP="006334AA">
      <w:pPr>
        <w:pStyle w:val="ListParagraph"/>
        <w:ind w:left="851" w:hanging="851"/>
      </w:pPr>
    </w:p>
    <w:p w14:paraId="2B5BAEA1" w14:textId="24EE8452" w:rsidR="00496D71" w:rsidRDefault="000B316C" w:rsidP="006334AA">
      <w:pPr>
        <w:pStyle w:val="ListParagraph"/>
        <w:numPr>
          <w:ilvl w:val="1"/>
          <w:numId w:val="92"/>
        </w:numPr>
        <w:ind w:left="851" w:hanging="851"/>
      </w:pPr>
      <w:r>
        <w:t>T</w:t>
      </w:r>
      <w:r w:rsidRPr="00587912">
        <w:t xml:space="preserve">he effects </w:t>
      </w:r>
      <w:r>
        <w:t xml:space="preserve">of academic selection in NI </w:t>
      </w:r>
      <w:proofErr w:type="gramStart"/>
      <w:r>
        <w:t>has</w:t>
      </w:r>
      <w:proofErr w:type="gramEnd"/>
      <w:r w:rsidRPr="00587912">
        <w:t xml:space="preserve"> not been thoroughly examined </w:t>
      </w:r>
      <w:r w:rsidR="00290EE8">
        <w:t xml:space="preserve">by the Department of Education NI </w:t>
      </w:r>
      <w:r w:rsidRPr="00587912">
        <w:t>since 2000.</w:t>
      </w:r>
      <w:r w:rsidRPr="00587912">
        <w:rPr>
          <w:rStyle w:val="FootnoteReference"/>
        </w:rPr>
        <w:footnoteReference w:id="320"/>
      </w:r>
      <w:r>
        <w:t xml:space="preserve"> </w:t>
      </w:r>
      <w:r w:rsidR="00290EE8">
        <w:t>Independent</w:t>
      </w:r>
      <w:r>
        <w:t xml:space="preserve"> research indicates that un</w:t>
      </w:r>
      <w:r w:rsidR="00E651E9" w:rsidRPr="00587912">
        <w:t>regulated post-primary academic selection is damaging children's mental health</w:t>
      </w:r>
      <w:r w:rsidR="005A5455">
        <w:t>,</w:t>
      </w:r>
      <w:r w:rsidR="00E651E9" w:rsidRPr="00587912">
        <w:rPr>
          <w:rStyle w:val="FootnoteReference"/>
        </w:rPr>
        <w:footnoteReference w:id="321"/>
      </w:r>
      <w:r w:rsidR="00DC6957" w:rsidRPr="00587912">
        <w:t xml:space="preserve"> </w:t>
      </w:r>
      <w:r>
        <w:t>“magnifies inequalities”</w:t>
      </w:r>
      <w:r w:rsidR="00C37A77">
        <w:t xml:space="preserve"> for specific disadvantaged groups of children</w:t>
      </w:r>
      <w:r w:rsidR="005A5455">
        <w:t>,</w:t>
      </w:r>
      <w:r w:rsidR="007F0D13" w:rsidRPr="00587912">
        <w:rPr>
          <w:rStyle w:val="FootnoteReference"/>
        </w:rPr>
        <w:footnoteReference w:id="322"/>
      </w:r>
      <w:r w:rsidR="007F0D13" w:rsidRPr="00587912">
        <w:t xml:space="preserve"> </w:t>
      </w:r>
      <w:r w:rsidR="005A5455">
        <w:t xml:space="preserve">and </w:t>
      </w:r>
      <w:r w:rsidR="00193B71" w:rsidRPr="000B6B42">
        <w:rPr>
          <w:color w:val="000000"/>
        </w:rPr>
        <w:t>“</w:t>
      </w:r>
      <w:proofErr w:type="spellStart"/>
      <w:r w:rsidR="008F68A4" w:rsidRPr="000B6B42">
        <w:rPr>
          <w:color w:val="000000"/>
        </w:rPr>
        <w:t>damag</w:t>
      </w:r>
      <w:proofErr w:type="spellEnd"/>
      <w:r w:rsidR="008F68A4" w:rsidRPr="000B6B42">
        <w:rPr>
          <w:color w:val="000000"/>
        </w:rPr>
        <w:t>[es]</w:t>
      </w:r>
      <w:r w:rsidR="00193B71" w:rsidRPr="000B6B42">
        <w:rPr>
          <w:color w:val="000000"/>
        </w:rPr>
        <w:t xml:space="preserve"> the life-chances of a large proportion of the school population”.</w:t>
      </w:r>
      <w:r w:rsidR="00193B71">
        <w:rPr>
          <w:rStyle w:val="FootnoteReference"/>
        </w:rPr>
        <w:footnoteReference w:id="323"/>
      </w:r>
    </w:p>
    <w:p w14:paraId="0C6F2C43" w14:textId="77777777" w:rsidR="00912002" w:rsidRDefault="00912002" w:rsidP="006334AA">
      <w:pPr>
        <w:pStyle w:val="ListParagraph"/>
        <w:ind w:left="851" w:hanging="851"/>
      </w:pPr>
    </w:p>
    <w:p w14:paraId="593D7329" w14:textId="14CC0BBB" w:rsidR="00912002" w:rsidRPr="000B6B42" w:rsidRDefault="00912002" w:rsidP="006334AA">
      <w:pPr>
        <w:pStyle w:val="ListParagraph"/>
        <w:numPr>
          <w:ilvl w:val="1"/>
          <w:numId w:val="92"/>
        </w:numPr>
        <w:ind w:left="851" w:hanging="851"/>
        <w:rPr>
          <w:color w:val="000000"/>
        </w:rPr>
      </w:pPr>
      <w:r w:rsidRPr="000B6B42">
        <w:rPr>
          <w:color w:val="000000"/>
        </w:rPr>
        <w:t>In February 2022, grammar schools in NI formally established the Schools' Entrance Assessment Group, which oversees a single common entrance assessment. This group also deals with concerns regarding the dual testing organisations in NI.</w:t>
      </w:r>
      <w:r>
        <w:rPr>
          <w:rStyle w:val="FootnoteReference"/>
        </w:rPr>
        <w:footnoteReference w:id="324"/>
      </w:r>
      <w:r w:rsidRPr="000B6B42">
        <w:rPr>
          <w:color w:val="000000"/>
        </w:rPr>
        <w:t xml:space="preserve"> It is anticipated that the new testing format will consist of two papers held on two Saturdays two weeks apart. The first tests are scheduled for November 2023.</w:t>
      </w:r>
      <w:r>
        <w:rPr>
          <w:rStyle w:val="FootnoteReference"/>
        </w:rPr>
        <w:footnoteReference w:id="325"/>
      </w:r>
      <w:r w:rsidRPr="000B6B42">
        <w:rPr>
          <w:color w:val="000000"/>
        </w:rPr>
        <w:t xml:space="preserve"> </w:t>
      </w:r>
    </w:p>
    <w:p w14:paraId="7B0094B2" w14:textId="77777777" w:rsidR="00290EE8" w:rsidRDefault="00290EE8" w:rsidP="006334AA">
      <w:pPr>
        <w:pStyle w:val="ListParagraph"/>
        <w:ind w:left="851" w:hanging="851"/>
      </w:pPr>
    </w:p>
    <w:p w14:paraId="699D952A" w14:textId="3DEE8552" w:rsidR="007F593E" w:rsidRPr="000B6B42" w:rsidRDefault="00134DA1" w:rsidP="006334AA">
      <w:pPr>
        <w:pStyle w:val="ListParagraph"/>
        <w:numPr>
          <w:ilvl w:val="1"/>
          <w:numId w:val="92"/>
        </w:numPr>
        <w:ind w:left="851" w:hanging="851"/>
        <w:rPr>
          <w:b/>
        </w:rPr>
      </w:pPr>
      <w:r w:rsidRPr="000B6B42">
        <w:rPr>
          <w:rFonts w:eastAsia="Verdana" w:cs="Verdana"/>
          <w:b/>
          <w:color w:val="000000"/>
        </w:rPr>
        <w:t>The Committee may wish to recommend</w:t>
      </w:r>
      <w:r w:rsidR="00223074" w:rsidRPr="000B6B42">
        <w:rPr>
          <w:rFonts w:eastAsia="Verdana" w:cs="Verdana"/>
          <w:b/>
          <w:color w:val="000000"/>
        </w:rPr>
        <w:t xml:space="preserve"> that the </w:t>
      </w:r>
      <w:r w:rsidR="00912002" w:rsidRPr="000B6B42">
        <w:rPr>
          <w:rFonts w:eastAsia="Verdana" w:cs="Verdana"/>
          <w:b/>
          <w:color w:val="000000"/>
        </w:rPr>
        <w:t>State Party ensures that</w:t>
      </w:r>
      <w:r w:rsidR="00DC77B3" w:rsidRPr="000B6B42">
        <w:rPr>
          <w:rFonts w:eastAsia="Verdana" w:cs="Verdana"/>
          <w:b/>
          <w:color w:val="000000"/>
        </w:rPr>
        <w:t xml:space="preserve"> there is a</w:t>
      </w:r>
      <w:r w:rsidR="00290EE8" w:rsidRPr="000B6B42">
        <w:rPr>
          <w:rFonts w:eastAsia="Verdana" w:cs="Verdana"/>
          <w:b/>
          <w:color w:val="000000"/>
        </w:rPr>
        <w:t xml:space="preserve"> non-selective system of post-primary school admission </w:t>
      </w:r>
      <w:r w:rsidR="00C230F7">
        <w:rPr>
          <w:rFonts w:eastAsia="Verdana" w:cs="Verdana"/>
          <w:b/>
          <w:color w:val="000000"/>
        </w:rPr>
        <w:t>in NI</w:t>
      </w:r>
      <w:r w:rsidR="00DC77B3" w:rsidRPr="000B6B42">
        <w:rPr>
          <w:rFonts w:eastAsia="Verdana" w:cs="Verdana"/>
          <w:b/>
          <w:color w:val="000000"/>
        </w:rPr>
        <w:t xml:space="preserve">, this includes </w:t>
      </w:r>
      <w:r w:rsidR="00290EE8" w:rsidRPr="000B6B42">
        <w:rPr>
          <w:rFonts w:eastAsia="Verdana" w:cs="Verdana"/>
          <w:b/>
          <w:color w:val="000000"/>
        </w:rPr>
        <w:t>abolish</w:t>
      </w:r>
      <w:r w:rsidR="00DC77B3" w:rsidRPr="000B6B42">
        <w:rPr>
          <w:rFonts w:eastAsia="Verdana" w:cs="Verdana"/>
          <w:b/>
          <w:color w:val="000000"/>
        </w:rPr>
        <w:t>ing</w:t>
      </w:r>
      <w:r w:rsidR="00290EE8" w:rsidRPr="000B6B42">
        <w:rPr>
          <w:rFonts w:eastAsia="Verdana" w:cs="Verdana"/>
          <w:b/>
          <w:color w:val="000000"/>
        </w:rPr>
        <w:t xml:space="preserve"> the </w:t>
      </w:r>
      <w:proofErr w:type="gramStart"/>
      <w:r w:rsidR="00290EE8" w:rsidRPr="000B6B42">
        <w:rPr>
          <w:rFonts w:eastAsia="Verdana" w:cs="Verdana"/>
          <w:b/>
          <w:color w:val="000000"/>
        </w:rPr>
        <w:t>two tier</w:t>
      </w:r>
      <w:proofErr w:type="gramEnd"/>
      <w:r w:rsidR="00290EE8" w:rsidRPr="000B6B42">
        <w:rPr>
          <w:rFonts w:eastAsia="Verdana" w:cs="Verdana"/>
          <w:b/>
          <w:color w:val="000000"/>
        </w:rPr>
        <w:t xml:space="preserve"> system of education </w:t>
      </w:r>
      <w:r w:rsidR="001F69C4">
        <w:rPr>
          <w:rFonts w:eastAsia="Verdana" w:cs="Verdana"/>
          <w:b/>
          <w:color w:val="000000"/>
        </w:rPr>
        <w:t xml:space="preserve">that exists </w:t>
      </w:r>
      <w:r w:rsidR="00290EE8" w:rsidRPr="000B6B42">
        <w:rPr>
          <w:rFonts w:eastAsia="Verdana" w:cs="Verdana"/>
          <w:b/>
          <w:color w:val="000000"/>
        </w:rPr>
        <w:t>in NI</w:t>
      </w:r>
      <w:r w:rsidR="00223074" w:rsidRPr="000B6B42">
        <w:rPr>
          <w:rFonts w:eastAsia="Verdana" w:cs="Verdana"/>
          <w:b/>
          <w:color w:val="000000"/>
        </w:rPr>
        <w:t>.</w:t>
      </w:r>
      <w:r w:rsidR="00B029A7" w:rsidRPr="000B6B42">
        <w:rPr>
          <w:rFonts w:eastAsia="Verdana" w:cs="Verdana"/>
          <w:b/>
          <w:color w:val="000000"/>
        </w:rPr>
        <w:t xml:space="preserve"> </w:t>
      </w:r>
    </w:p>
    <w:p w14:paraId="674110BB" w14:textId="77777777" w:rsidR="00E328E6" w:rsidRPr="00587912" w:rsidRDefault="00E328E6" w:rsidP="006334AA">
      <w:pPr>
        <w:ind w:left="851" w:hanging="851"/>
      </w:pPr>
    </w:p>
    <w:p w14:paraId="0D30AE8A" w14:textId="02B1E930" w:rsidR="00EC45A0" w:rsidRPr="00912002" w:rsidRDefault="00C71EBE" w:rsidP="006334AA">
      <w:pPr>
        <w:pStyle w:val="Heading2"/>
        <w:ind w:left="851" w:hanging="851"/>
        <w:rPr>
          <w:szCs w:val="22"/>
        </w:rPr>
      </w:pPr>
      <w:bookmarkStart w:id="76" w:name="_Toc121922237"/>
      <w:r w:rsidRPr="00587912">
        <w:rPr>
          <w:szCs w:val="22"/>
        </w:rPr>
        <w:t>Integrated education</w:t>
      </w:r>
      <w:bookmarkEnd w:id="76"/>
    </w:p>
    <w:p w14:paraId="78F04A11" w14:textId="2BFB38F9" w:rsidR="00D67E9A" w:rsidRDefault="009D7110" w:rsidP="006334AA">
      <w:pPr>
        <w:pStyle w:val="ListParagraph"/>
        <w:numPr>
          <w:ilvl w:val="1"/>
          <w:numId w:val="92"/>
        </w:numPr>
        <w:ind w:left="851" w:hanging="851"/>
      </w:pPr>
      <w:r>
        <w:t xml:space="preserve">The Committee previously recommended the promotion of a </w:t>
      </w:r>
      <w:r w:rsidR="00700C01" w:rsidRPr="00587912">
        <w:t>fully integrated education system in NI.</w:t>
      </w:r>
      <w:r w:rsidR="00700C01" w:rsidRPr="00587912">
        <w:rPr>
          <w:rStyle w:val="FootnoteReference"/>
        </w:rPr>
        <w:footnoteReference w:id="326"/>
      </w:r>
      <w:r>
        <w:t xml:space="preserve"> </w:t>
      </w:r>
    </w:p>
    <w:p w14:paraId="50A167E1" w14:textId="77777777" w:rsidR="00D67E9A" w:rsidRDefault="00D67E9A" w:rsidP="006334AA">
      <w:pPr>
        <w:pStyle w:val="ListParagraph"/>
        <w:ind w:left="851" w:hanging="851"/>
      </w:pPr>
    </w:p>
    <w:p w14:paraId="2AF36B2F" w14:textId="549422C8" w:rsidR="003F5166" w:rsidRPr="003F5166" w:rsidRDefault="001321B1" w:rsidP="006334AA">
      <w:pPr>
        <w:pStyle w:val="ListParagraph"/>
        <w:numPr>
          <w:ilvl w:val="1"/>
          <w:numId w:val="92"/>
        </w:numPr>
        <w:ind w:left="851" w:hanging="851"/>
      </w:pPr>
      <w:r w:rsidRPr="000B6B42">
        <w:rPr>
          <w:color w:val="000000"/>
        </w:rPr>
        <w:t>In 2022, there are 70 grant-aided integrated schools in NI.</w:t>
      </w:r>
      <w:r>
        <w:rPr>
          <w:rStyle w:val="FootnoteReference"/>
        </w:rPr>
        <w:footnoteReference w:id="327"/>
      </w:r>
      <w:r w:rsidRPr="000B6B42">
        <w:rPr>
          <w:color w:val="000000"/>
        </w:rPr>
        <w:t xml:space="preserve"> In 2021/2022, there were 25,794 pupils educated in integrated education</w:t>
      </w:r>
      <w:r w:rsidR="00DF4259">
        <w:rPr>
          <w:color w:val="000000"/>
        </w:rPr>
        <w:t xml:space="preserve"> in NI</w:t>
      </w:r>
      <w:r w:rsidRPr="000B6B42">
        <w:rPr>
          <w:color w:val="000000"/>
        </w:rPr>
        <w:t>, an increase of 933 from 2020/2021.</w:t>
      </w:r>
      <w:r>
        <w:rPr>
          <w:rStyle w:val="FootnoteReference"/>
        </w:rPr>
        <w:footnoteReference w:id="328"/>
      </w:r>
      <w:r w:rsidR="009F29F4" w:rsidRPr="000B6B42">
        <w:rPr>
          <w:color w:val="000000"/>
        </w:rPr>
        <w:t xml:space="preserve"> </w:t>
      </w:r>
    </w:p>
    <w:p w14:paraId="5763BF0B" w14:textId="77777777" w:rsidR="003F5166" w:rsidRPr="003F5166" w:rsidRDefault="003F5166" w:rsidP="006334AA">
      <w:pPr>
        <w:pStyle w:val="ListParagraph"/>
        <w:ind w:left="851" w:hanging="851"/>
        <w:rPr>
          <w:color w:val="000000"/>
        </w:rPr>
      </w:pPr>
    </w:p>
    <w:p w14:paraId="7CC893DB" w14:textId="3DB79675" w:rsidR="00F930E9" w:rsidRPr="000B6B42" w:rsidRDefault="003F5166" w:rsidP="006334AA">
      <w:pPr>
        <w:pStyle w:val="ListParagraph"/>
        <w:numPr>
          <w:ilvl w:val="1"/>
          <w:numId w:val="92"/>
        </w:numPr>
        <w:ind w:left="851" w:hanging="851"/>
        <w:rPr>
          <w:color w:val="000000"/>
        </w:rPr>
      </w:pPr>
      <w:r w:rsidRPr="000B6B42">
        <w:rPr>
          <w:color w:val="000000"/>
        </w:rPr>
        <w:t xml:space="preserve">In April 2022, the Integrated Education Act </w:t>
      </w:r>
      <w:r w:rsidR="005620CC" w:rsidRPr="000B6B42">
        <w:rPr>
          <w:color w:val="000000"/>
        </w:rPr>
        <w:t xml:space="preserve">(NI) </w:t>
      </w:r>
      <w:r w:rsidRPr="000B6B42">
        <w:rPr>
          <w:color w:val="000000"/>
        </w:rPr>
        <w:t>2022 received Royal Assent. It came into force on 26 October 2022.</w:t>
      </w:r>
      <w:r>
        <w:rPr>
          <w:rStyle w:val="FootnoteReference"/>
        </w:rPr>
        <w:footnoteReference w:id="329"/>
      </w:r>
      <w:r w:rsidRPr="000B6B42">
        <w:rPr>
          <w:color w:val="000000"/>
        </w:rPr>
        <w:t xml:space="preserve"> The </w:t>
      </w:r>
      <w:r w:rsidR="007D0D30" w:rsidRPr="000B6B42">
        <w:rPr>
          <w:color w:val="000000"/>
        </w:rPr>
        <w:t xml:space="preserve">2022 </w:t>
      </w:r>
      <w:r w:rsidRPr="000B6B42">
        <w:rPr>
          <w:color w:val="000000"/>
        </w:rPr>
        <w:t xml:space="preserve">Act </w:t>
      </w:r>
      <w:r w:rsidR="00FF1B34" w:rsidRPr="000B6B42">
        <w:rPr>
          <w:color w:val="000000"/>
        </w:rPr>
        <w:t xml:space="preserve">broadens </w:t>
      </w:r>
      <w:r w:rsidRPr="000B6B42">
        <w:rPr>
          <w:color w:val="000000"/>
        </w:rPr>
        <w:t>the statutory definition of integrated education</w:t>
      </w:r>
      <w:r w:rsidR="009A2329" w:rsidRPr="000B6B42">
        <w:rPr>
          <w:color w:val="000000"/>
        </w:rPr>
        <w:t xml:space="preserve"> to </w:t>
      </w:r>
      <w:r w:rsidR="00C41976" w:rsidRPr="000B6B42">
        <w:rPr>
          <w:color w:val="000000"/>
        </w:rPr>
        <w:t xml:space="preserve">better reflect </w:t>
      </w:r>
      <w:r w:rsidR="00D92D09" w:rsidRPr="000B6B42">
        <w:rPr>
          <w:color w:val="000000"/>
        </w:rPr>
        <w:t>diversity within society.</w:t>
      </w:r>
      <w:r w:rsidR="00D92D09">
        <w:rPr>
          <w:rStyle w:val="FootnoteReference"/>
          <w:color w:val="000000"/>
        </w:rPr>
        <w:footnoteReference w:id="330"/>
      </w:r>
      <w:r w:rsidR="00D92D09" w:rsidRPr="000B6B42">
        <w:rPr>
          <w:color w:val="000000"/>
        </w:rPr>
        <w:t xml:space="preserve"> It </w:t>
      </w:r>
      <w:r w:rsidR="00500EEB" w:rsidRPr="000B6B42">
        <w:rPr>
          <w:color w:val="000000"/>
        </w:rPr>
        <w:t>requires</w:t>
      </w:r>
      <w:r w:rsidRPr="000B6B42">
        <w:rPr>
          <w:color w:val="000000"/>
        </w:rPr>
        <w:t xml:space="preserve"> the Department of Education</w:t>
      </w:r>
      <w:r w:rsidR="00851DD9" w:rsidRPr="000B6B42">
        <w:rPr>
          <w:color w:val="000000"/>
        </w:rPr>
        <w:t xml:space="preserve"> </w:t>
      </w:r>
      <w:r w:rsidRPr="000B6B42">
        <w:rPr>
          <w:color w:val="000000"/>
        </w:rPr>
        <w:t>to</w:t>
      </w:r>
      <w:r w:rsidR="0026606F" w:rsidRPr="000B6B42">
        <w:rPr>
          <w:color w:val="000000"/>
        </w:rPr>
        <w:t xml:space="preserve"> </w:t>
      </w:r>
      <w:r w:rsidR="00500EEB" w:rsidRPr="000B6B42">
        <w:rPr>
          <w:color w:val="000000"/>
        </w:rPr>
        <w:t xml:space="preserve">‘encourage, facilitate and </w:t>
      </w:r>
      <w:r w:rsidR="0026606F" w:rsidRPr="000B6B42">
        <w:rPr>
          <w:color w:val="000000"/>
        </w:rPr>
        <w:t>support</w:t>
      </w:r>
      <w:r w:rsidR="00500EEB" w:rsidRPr="000B6B42">
        <w:rPr>
          <w:color w:val="000000"/>
        </w:rPr>
        <w:t>’</w:t>
      </w:r>
      <w:r w:rsidR="0026606F" w:rsidRPr="000B6B42">
        <w:rPr>
          <w:color w:val="000000"/>
        </w:rPr>
        <w:t xml:space="preserve"> integrated education</w:t>
      </w:r>
      <w:r w:rsidR="00500EEB">
        <w:rPr>
          <w:rStyle w:val="FootnoteReference"/>
          <w:color w:val="000000"/>
        </w:rPr>
        <w:footnoteReference w:id="331"/>
      </w:r>
      <w:r w:rsidR="0026606F" w:rsidRPr="000B6B42">
        <w:rPr>
          <w:color w:val="000000"/>
        </w:rPr>
        <w:t xml:space="preserve"> and to</w:t>
      </w:r>
      <w:r w:rsidRPr="000B6B42">
        <w:rPr>
          <w:color w:val="000000"/>
        </w:rPr>
        <w:t xml:space="preserve"> publish a strategy within six months</w:t>
      </w:r>
      <w:r w:rsidR="00655A2B" w:rsidRPr="000B6B42">
        <w:rPr>
          <w:color w:val="000000"/>
        </w:rPr>
        <w:t xml:space="preserve"> that aims to meet parental demand</w:t>
      </w:r>
      <w:r w:rsidRPr="000B6B42">
        <w:rPr>
          <w:color w:val="000000"/>
        </w:rPr>
        <w:t>.</w:t>
      </w:r>
      <w:r w:rsidR="00623156">
        <w:rPr>
          <w:rStyle w:val="FootnoteReference"/>
          <w:color w:val="000000"/>
        </w:rPr>
        <w:footnoteReference w:id="332"/>
      </w:r>
      <w:r w:rsidR="001268CF" w:rsidRPr="000B6B42">
        <w:rPr>
          <w:color w:val="000000"/>
        </w:rPr>
        <w:t xml:space="preserve"> </w:t>
      </w:r>
      <w:r w:rsidR="0026606F" w:rsidRPr="000B6B42">
        <w:rPr>
          <w:color w:val="000000"/>
        </w:rPr>
        <w:t>Amendments</w:t>
      </w:r>
      <w:r w:rsidRPr="000B6B42">
        <w:rPr>
          <w:color w:val="000000"/>
        </w:rPr>
        <w:t xml:space="preserve"> during the committee stage removed a duty on the Department to </w:t>
      </w:r>
      <w:r w:rsidR="00EA7AEE" w:rsidRPr="000B6B42">
        <w:rPr>
          <w:color w:val="000000"/>
        </w:rPr>
        <w:t>“</w:t>
      </w:r>
      <w:r w:rsidRPr="000B6B42">
        <w:rPr>
          <w:color w:val="000000"/>
        </w:rPr>
        <w:t>actively promote</w:t>
      </w:r>
      <w:r w:rsidR="002B0630" w:rsidRPr="000B6B42">
        <w:rPr>
          <w:color w:val="000000"/>
        </w:rPr>
        <w:t xml:space="preserve"> an</w:t>
      </w:r>
      <w:r w:rsidRPr="000B6B42">
        <w:rPr>
          <w:color w:val="000000"/>
        </w:rPr>
        <w:t xml:space="preserve"> integrated education system</w:t>
      </w:r>
      <w:r w:rsidR="00EA7AEE" w:rsidRPr="000B6B42">
        <w:rPr>
          <w:color w:val="000000"/>
        </w:rPr>
        <w:t>”</w:t>
      </w:r>
      <w:r w:rsidRPr="000B6B42">
        <w:rPr>
          <w:color w:val="000000"/>
        </w:rPr>
        <w:t xml:space="preserve"> and </w:t>
      </w:r>
      <w:r w:rsidR="00A70AD0" w:rsidRPr="000B6B42">
        <w:rPr>
          <w:color w:val="000000"/>
        </w:rPr>
        <w:t xml:space="preserve">removed </w:t>
      </w:r>
      <w:r w:rsidRPr="000B6B42">
        <w:rPr>
          <w:color w:val="000000"/>
        </w:rPr>
        <w:t xml:space="preserve">a </w:t>
      </w:r>
      <w:r w:rsidR="00A70AD0" w:rsidRPr="000B6B42">
        <w:rPr>
          <w:color w:val="000000"/>
        </w:rPr>
        <w:t>rebuttable presumption</w:t>
      </w:r>
      <w:r w:rsidRPr="000B6B42">
        <w:rPr>
          <w:color w:val="000000"/>
        </w:rPr>
        <w:t xml:space="preserve"> that all new schools would be integrated. </w:t>
      </w:r>
    </w:p>
    <w:p w14:paraId="59CBDB0E" w14:textId="77777777" w:rsidR="008149B7" w:rsidRPr="008149B7" w:rsidRDefault="008149B7" w:rsidP="006334AA">
      <w:pPr>
        <w:pStyle w:val="ListParagraph"/>
        <w:ind w:left="851" w:hanging="851"/>
        <w:rPr>
          <w:color w:val="000000"/>
        </w:rPr>
      </w:pPr>
    </w:p>
    <w:p w14:paraId="5815DCFE" w14:textId="22AD37CB" w:rsidR="008149B7" w:rsidRPr="000B6B42" w:rsidRDefault="00A700F5" w:rsidP="006334AA">
      <w:pPr>
        <w:pStyle w:val="ListParagraph"/>
        <w:numPr>
          <w:ilvl w:val="1"/>
          <w:numId w:val="92"/>
        </w:numPr>
        <w:ind w:left="851" w:hanging="851"/>
        <w:rPr>
          <w:color w:val="000000"/>
        </w:rPr>
      </w:pPr>
      <w:r w:rsidRPr="000B6B42">
        <w:rPr>
          <w:color w:val="000000"/>
        </w:rPr>
        <w:t>Work</w:t>
      </w:r>
      <w:r w:rsidR="00311C20" w:rsidRPr="000B6B42">
        <w:rPr>
          <w:color w:val="000000"/>
        </w:rPr>
        <w:t xml:space="preserve"> is underway to </w:t>
      </w:r>
      <w:r w:rsidRPr="000B6B42">
        <w:rPr>
          <w:color w:val="000000"/>
        </w:rPr>
        <w:t>guide</w:t>
      </w:r>
      <w:r w:rsidR="00311C20" w:rsidRPr="000B6B42">
        <w:rPr>
          <w:color w:val="000000"/>
        </w:rPr>
        <w:t xml:space="preserve"> the</w:t>
      </w:r>
      <w:r w:rsidR="00A446B2" w:rsidRPr="000B6B42">
        <w:rPr>
          <w:color w:val="000000"/>
        </w:rPr>
        <w:t xml:space="preserve"> full</w:t>
      </w:r>
      <w:r w:rsidR="00311C20" w:rsidRPr="000B6B42">
        <w:rPr>
          <w:color w:val="000000"/>
        </w:rPr>
        <w:t xml:space="preserve"> implementation of the </w:t>
      </w:r>
      <w:r w:rsidR="007D0D30" w:rsidRPr="000B6B42">
        <w:rPr>
          <w:color w:val="000000"/>
        </w:rPr>
        <w:t xml:space="preserve">2022 </w:t>
      </w:r>
      <w:r w:rsidR="00311C20" w:rsidRPr="000B6B42">
        <w:rPr>
          <w:color w:val="000000"/>
        </w:rPr>
        <w:t>Act,</w:t>
      </w:r>
      <w:r w:rsidR="004057C7">
        <w:rPr>
          <w:rStyle w:val="FootnoteReference"/>
          <w:color w:val="000000"/>
        </w:rPr>
        <w:footnoteReference w:id="333"/>
      </w:r>
      <w:r w:rsidR="00311C20" w:rsidRPr="000B6B42">
        <w:rPr>
          <w:color w:val="000000"/>
        </w:rPr>
        <w:t xml:space="preserve"> </w:t>
      </w:r>
      <w:r w:rsidRPr="000B6B42">
        <w:rPr>
          <w:color w:val="000000"/>
        </w:rPr>
        <w:t xml:space="preserve">however </w:t>
      </w:r>
      <w:r w:rsidR="00A446B2" w:rsidRPr="000B6B42">
        <w:rPr>
          <w:color w:val="000000"/>
        </w:rPr>
        <w:t xml:space="preserve">this will require a functioning NI Assembly and </w:t>
      </w:r>
      <w:r w:rsidR="007D0D30" w:rsidRPr="000B6B42">
        <w:rPr>
          <w:color w:val="000000"/>
        </w:rPr>
        <w:t xml:space="preserve">NI </w:t>
      </w:r>
      <w:r w:rsidR="00A446B2" w:rsidRPr="000B6B42">
        <w:rPr>
          <w:color w:val="000000"/>
        </w:rPr>
        <w:t>Executive.</w:t>
      </w:r>
    </w:p>
    <w:p w14:paraId="4062CCB8" w14:textId="77777777" w:rsidR="001268CF" w:rsidRDefault="001268CF" w:rsidP="006334AA">
      <w:pPr>
        <w:ind w:left="851" w:hanging="851"/>
      </w:pPr>
    </w:p>
    <w:p w14:paraId="2DF0A2CB" w14:textId="5EB0357C" w:rsidR="00F930E9" w:rsidRPr="000B6B42" w:rsidRDefault="00134DA1" w:rsidP="006334AA">
      <w:pPr>
        <w:pStyle w:val="ListParagraph"/>
        <w:numPr>
          <w:ilvl w:val="1"/>
          <w:numId w:val="92"/>
        </w:numPr>
        <w:ind w:left="851" w:hanging="851"/>
        <w:rPr>
          <w:b/>
        </w:rPr>
      </w:pPr>
      <w:r w:rsidRPr="000B6B42">
        <w:rPr>
          <w:b/>
        </w:rPr>
        <w:t>The Committee may wish to recommend</w:t>
      </w:r>
      <w:r w:rsidR="00BA3155" w:rsidRPr="000B6B42">
        <w:rPr>
          <w:b/>
        </w:rPr>
        <w:t xml:space="preserve"> that the </w:t>
      </w:r>
      <w:r w:rsidR="00D11A23" w:rsidRPr="000B6B42">
        <w:rPr>
          <w:b/>
        </w:rPr>
        <w:t xml:space="preserve">State Party ensures that </w:t>
      </w:r>
      <w:r w:rsidR="000167A5" w:rsidRPr="000B6B42">
        <w:rPr>
          <w:b/>
        </w:rPr>
        <w:t xml:space="preserve">sufficient </w:t>
      </w:r>
      <w:r w:rsidR="00D11A23" w:rsidRPr="000B6B42">
        <w:rPr>
          <w:b/>
        </w:rPr>
        <w:t xml:space="preserve">integrated education is available </w:t>
      </w:r>
      <w:r w:rsidR="000167A5" w:rsidRPr="000B6B42">
        <w:rPr>
          <w:b/>
        </w:rPr>
        <w:t>to meet demand</w:t>
      </w:r>
      <w:r w:rsidR="000D5939" w:rsidRPr="000B6B42">
        <w:rPr>
          <w:b/>
        </w:rPr>
        <w:t xml:space="preserve"> across </w:t>
      </w:r>
      <w:r w:rsidR="007658B0">
        <w:rPr>
          <w:b/>
        </w:rPr>
        <w:t>NI</w:t>
      </w:r>
      <w:r w:rsidR="000167A5" w:rsidRPr="000B6B42">
        <w:rPr>
          <w:b/>
        </w:rPr>
        <w:t>. This includes ensuring that</w:t>
      </w:r>
      <w:r w:rsidR="005620CC" w:rsidRPr="000B6B42">
        <w:rPr>
          <w:b/>
        </w:rPr>
        <w:t xml:space="preserve"> the Integrated Education Act </w:t>
      </w:r>
      <w:r w:rsidR="00266F87" w:rsidRPr="000B6B42">
        <w:rPr>
          <w:b/>
        </w:rPr>
        <w:t xml:space="preserve">(NI) </w:t>
      </w:r>
      <w:r w:rsidR="005620CC" w:rsidRPr="000B6B42">
        <w:rPr>
          <w:b/>
        </w:rPr>
        <w:t>2022</w:t>
      </w:r>
      <w:r w:rsidR="00B7536D" w:rsidRPr="000B6B42">
        <w:rPr>
          <w:b/>
        </w:rPr>
        <w:t xml:space="preserve"> </w:t>
      </w:r>
      <w:r w:rsidR="000167A5" w:rsidRPr="000B6B42">
        <w:rPr>
          <w:b/>
        </w:rPr>
        <w:t xml:space="preserve">is implemented </w:t>
      </w:r>
      <w:r w:rsidR="00B7536D" w:rsidRPr="000B6B42">
        <w:rPr>
          <w:b/>
        </w:rPr>
        <w:t xml:space="preserve">in full and </w:t>
      </w:r>
      <w:r w:rsidR="000167A5" w:rsidRPr="000B6B42">
        <w:rPr>
          <w:b/>
        </w:rPr>
        <w:t>that prompt</w:t>
      </w:r>
      <w:r w:rsidR="00B7536D" w:rsidRPr="000B6B42">
        <w:rPr>
          <w:b/>
        </w:rPr>
        <w:t xml:space="preserve"> action </w:t>
      </w:r>
      <w:r w:rsidR="000167A5" w:rsidRPr="000B6B42">
        <w:rPr>
          <w:b/>
        </w:rPr>
        <w:t>is taken</w:t>
      </w:r>
      <w:r w:rsidR="00A409B6" w:rsidRPr="000B6B42">
        <w:rPr>
          <w:b/>
        </w:rPr>
        <w:t xml:space="preserve"> in NI </w:t>
      </w:r>
      <w:r w:rsidR="000167A5" w:rsidRPr="000B6B42">
        <w:rPr>
          <w:b/>
        </w:rPr>
        <w:t>to satisfy the growing demand for integrated education</w:t>
      </w:r>
      <w:r w:rsidR="00A409B6" w:rsidRPr="000B6B42">
        <w:rPr>
          <w:b/>
        </w:rPr>
        <w:t xml:space="preserve">. </w:t>
      </w:r>
    </w:p>
    <w:p w14:paraId="1C0E1A58" w14:textId="77777777" w:rsidR="003D5F1D" w:rsidRDefault="003D5F1D" w:rsidP="006334AA">
      <w:pPr>
        <w:ind w:left="851" w:hanging="851"/>
      </w:pPr>
    </w:p>
    <w:p w14:paraId="6BEFB7B5" w14:textId="64417195" w:rsidR="004C132C" w:rsidRPr="000D5939" w:rsidRDefault="00C71EBE" w:rsidP="006334AA">
      <w:pPr>
        <w:pStyle w:val="Heading2"/>
        <w:ind w:left="851" w:hanging="851"/>
        <w:rPr>
          <w:szCs w:val="22"/>
        </w:rPr>
      </w:pPr>
      <w:bookmarkStart w:id="77" w:name="_Toc121922238"/>
      <w:r w:rsidRPr="00587912">
        <w:rPr>
          <w:szCs w:val="22"/>
        </w:rPr>
        <w:t>Shared education</w:t>
      </w:r>
      <w:bookmarkEnd w:id="77"/>
    </w:p>
    <w:p w14:paraId="75D0774E" w14:textId="26EA4640" w:rsidR="00AD46E1" w:rsidRPr="00AD46E1" w:rsidRDefault="00973D75" w:rsidP="006334AA">
      <w:pPr>
        <w:pStyle w:val="ListParagraph"/>
        <w:numPr>
          <w:ilvl w:val="1"/>
          <w:numId w:val="92"/>
        </w:numPr>
        <w:ind w:left="851" w:hanging="851"/>
      </w:pPr>
      <w:r>
        <w:t>T</w:t>
      </w:r>
      <w:r w:rsidRPr="000B6B42">
        <w:rPr>
          <w:color w:val="000000"/>
        </w:rPr>
        <w:t>he Shared Education Act (NI) 2016 places an obligation on the Department of Education to promote shared education, which is educating together those of different religious belief and those who are experiencing socio-economic deprivation and those who are not.</w:t>
      </w:r>
      <w:r>
        <w:rPr>
          <w:rStyle w:val="FootnoteReference"/>
        </w:rPr>
        <w:footnoteReference w:id="334"/>
      </w:r>
    </w:p>
    <w:p w14:paraId="33747D27" w14:textId="77777777" w:rsidR="00AD46E1" w:rsidRPr="00AD46E1" w:rsidRDefault="00AD46E1" w:rsidP="006334AA">
      <w:pPr>
        <w:pStyle w:val="ListParagraph"/>
        <w:ind w:left="851" w:hanging="851"/>
      </w:pPr>
    </w:p>
    <w:p w14:paraId="5C0FA276" w14:textId="7BD074F0" w:rsidR="004C132C" w:rsidRPr="00AD46E1" w:rsidRDefault="00973D75" w:rsidP="006334AA">
      <w:pPr>
        <w:pStyle w:val="ListParagraph"/>
        <w:numPr>
          <w:ilvl w:val="1"/>
          <w:numId w:val="92"/>
        </w:numPr>
        <w:ind w:left="851" w:hanging="851"/>
      </w:pPr>
      <w:r w:rsidRPr="000B6B42">
        <w:rPr>
          <w:color w:val="000000"/>
        </w:rPr>
        <w:t>In 2019, 48 per cent of schools in NI and 87,385 children and young people in NI (25 per cent of the NI school population) were participating in shared education.</w:t>
      </w:r>
      <w:r>
        <w:rPr>
          <w:rStyle w:val="FootnoteReference"/>
          <w:color w:val="000000"/>
        </w:rPr>
        <w:footnoteReference w:id="335"/>
      </w:r>
      <w:r w:rsidRPr="000B6B42">
        <w:rPr>
          <w:color w:val="000000"/>
        </w:rPr>
        <w:t xml:space="preserve"> In 2021, 48 per cent of schools remained involved in shared education, but due to a suspension of face-to-face education as a result of COVID-19, only 17,476 children and young people (5 per cent of the NI school population) participated in shared education.</w:t>
      </w:r>
      <w:r w:rsidRPr="003F253B">
        <w:rPr>
          <w:rStyle w:val="FootnoteReference"/>
        </w:rPr>
        <w:footnoteReference w:id="336"/>
      </w:r>
      <w:r w:rsidRPr="000B6B42">
        <w:rPr>
          <w:color w:val="000000"/>
        </w:rPr>
        <w:t xml:space="preserve"> However, reacting to COVID-19 also provided the opportunity for collaboration and to develop structures and networks through shared education partnerships.</w:t>
      </w:r>
    </w:p>
    <w:p w14:paraId="339C25B9" w14:textId="77777777" w:rsidR="00AD46E1" w:rsidRPr="00AD46E1" w:rsidRDefault="00AD46E1" w:rsidP="006334AA">
      <w:pPr>
        <w:ind w:left="851" w:hanging="851"/>
      </w:pPr>
    </w:p>
    <w:p w14:paraId="701C6B3A" w14:textId="702C01AC" w:rsidR="004C132C" w:rsidRPr="004C132C" w:rsidRDefault="004C132C" w:rsidP="006334AA">
      <w:pPr>
        <w:pStyle w:val="ListParagraph"/>
        <w:numPr>
          <w:ilvl w:val="1"/>
          <w:numId w:val="92"/>
        </w:numPr>
        <w:ind w:left="851" w:hanging="851"/>
      </w:pPr>
      <w:r w:rsidRPr="000B6B42">
        <w:rPr>
          <w:color w:val="000000"/>
        </w:rPr>
        <w:t>The PEACE IV Shared Education Programme has been funded by the EU with matching funding from the NI Executive and Government of Ireland.</w:t>
      </w:r>
      <w:r>
        <w:rPr>
          <w:rStyle w:val="FootnoteReference"/>
        </w:rPr>
        <w:footnoteReference w:id="337"/>
      </w:r>
      <w:r w:rsidRPr="000B6B42">
        <w:rPr>
          <w:color w:val="000000"/>
        </w:rPr>
        <w:t xml:space="preserve"> </w:t>
      </w:r>
      <w:r w:rsidR="00F10D86" w:rsidRPr="000B6B42">
        <w:rPr>
          <w:color w:val="000000"/>
        </w:rPr>
        <w:t xml:space="preserve">Following the UK’s exit from the EU, </w:t>
      </w:r>
      <w:r w:rsidR="003267C2" w:rsidRPr="000B6B42">
        <w:rPr>
          <w:color w:val="000000"/>
        </w:rPr>
        <w:t>queries</w:t>
      </w:r>
      <w:r w:rsidRPr="000B6B42">
        <w:rPr>
          <w:color w:val="000000"/>
        </w:rPr>
        <w:t xml:space="preserve"> </w:t>
      </w:r>
      <w:r w:rsidR="00A0758F" w:rsidRPr="000B6B42">
        <w:rPr>
          <w:color w:val="000000"/>
        </w:rPr>
        <w:t xml:space="preserve">remain </w:t>
      </w:r>
      <w:r w:rsidRPr="000B6B42">
        <w:rPr>
          <w:color w:val="000000"/>
        </w:rPr>
        <w:t>as to how these programmes will be sustained long-term.</w:t>
      </w:r>
      <w:r>
        <w:rPr>
          <w:rStyle w:val="FootnoteReference"/>
        </w:rPr>
        <w:footnoteReference w:id="338"/>
      </w:r>
      <w:r w:rsidRPr="000B6B42">
        <w:rPr>
          <w:color w:val="000000"/>
        </w:rPr>
        <w:t xml:space="preserve"> In 2022, discussions are ongoing in regard to a potential extension of that funding.</w:t>
      </w:r>
      <w:r>
        <w:rPr>
          <w:rStyle w:val="FootnoteReference"/>
        </w:rPr>
        <w:footnoteReference w:id="339"/>
      </w:r>
      <w:r w:rsidRPr="000B6B42">
        <w:rPr>
          <w:color w:val="000000"/>
        </w:rPr>
        <w:t xml:space="preserve"> The Department of Education is also engaging with the Special EU Programmes Body who is responsible for managing the forthcoming PEACEPLUS cross-border collaboration programme.</w:t>
      </w:r>
      <w:r>
        <w:rPr>
          <w:rStyle w:val="FootnoteReference"/>
        </w:rPr>
        <w:footnoteReference w:id="340"/>
      </w:r>
      <w:r w:rsidRPr="000B6B42">
        <w:rPr>
          <w:color w:val="000000"/>
        </w:rPr>
        <w:t xml:space="preserve"> </w:t>
      </w:r>
      <w:r w:rsidR="00AC2A80" w:rsidRPr="000B6B42">
        <w:rPr>
          <w:color w:val="000000"/>
        </w:rPr>
        <w:t>H</w:t>
      </w:r>
      <w:r w:rsidRPr="000B6B42">
        <w:rPr>
          <w:color w:val="000000"/>
        </w:rPr>
        <w:t>owever the programme is currently being considered by the European Commission and is not yet approved.</w:t>
      </w:r>
      <w:r>
        <w:rPr>
          <w:rStyle w:val="FootnoteReference"/>
        </w:rPr>
        <w:footnoteReference w:id="341"/>
      </w:r>
    </w:p>
    <w:p w14:paraId="066849A1" w14:textId="77777777" w:rsidR="005D3EC2" w:rsidRDefault="005D3EC2" w:rsidP="006334AA">
      <w:pPr>
        <w:ind w:left="851" w:hanging="851"/>
      </w:pPr>
    </w:p>
    <w:p w14:paraId="7A670509" w14:textId="007FE5A2" w:rsidR="005F7797" w:rsidRPr="000B6B42" w:rsidRDefault="00134DA1" w:rsidP="006334AA">
      <w:pPr>
        <w:pStyle w:val="ListParagraph"/>
        <w:numPr>
          <w:ilvl w:val="1"/>
          <w:numId w:val="92"/>
        </w:numPr>
        <w:ind w:left="851" w:hanging="851"/>
        <w:rPr>
          <w:b/>
        </w:rPr>
      </w:pPr>
      <w:r w:rsidRPr="000B6B42">
        <w:rPr>
          <w:b/>
        </w:rPr>
        <w:t>The Committee may wish to recommend</w:t>
      </w:r>
      <w:r w:rsidR="004C132C" w:rsidRPr="000B6B42">
        <w:rPr>
          <w:b/>
        </w:rPr>
        <w:t xml:space="preserve"> that the </w:t>
      </w:r>
      <w:r w:rsidR="000C0A8C" w:rsidRPr="000B6B42">
        <w:rPr>
          <w:b/>
        </w:rPr>
        <w:t>State Party ensures</w:t>
      </w:r>
      <w:r w:rsidR="00A444CD" w:rsidRPr="000B6B42">
        <w:rPr>
          <w:b/>
          <w:bCs/>
        </w:rPr>
        <w:t xml:space="preserve"> that long-term, secure funding for shared education is guaranteed </w:t>
      </w:r>
      <w:r w:rsidR="000C0A8C" w:rsidRPr="000B6B42">
        <w:rPr>
          <w:b/>
          <w:bCs/>
        </w:rPr>
        <w:t xml:space="preserve">across </w:t>
      </w:r>
      <w:r w:rsidR="005527A6">
        <w:rPr>
          <w:b/>
          <w:bCs/>
        </w:rPr>
        <w:t>NI</w:t>
      </w:r>
      <w:r w:rsidR="004F17A3" w:rsidRPr="000B6B42">
        <w:rPr>
          <w:b/>
          <w:bCs/>
        </w:rPr>
        <w:t xml:space="preserve"> as required</w:t>
      </w:r>
      <w:r w:rsidR="000C0A8C" w:rsidRPr="000B6B42">
        <w:rPr>
          <w:b/>
          <w:bCs/>
        </w:rPr>
        <w:t>.</w:t>
      </w:r>
      <w:r w:rsidR="00A444CD" w:rsidRPr="000B6B42">
        <w:rPr>
          <w:b/>
          <w:bCs/>
        </w:rPr>
        <w:t xml:space="preserve"> This includes ensuring that any potential negative impact on funding of shared education due to the UK</w:t>
      </w:r>
      <w:r w:rsidR="0030510B" w:rsidRPr="000B6B42">
        <w:rPr>
          <w:b/>
          <w:bCs/>
        </w:rPr>
        <w:t xml:space="preserve">’s withdrawal from the </w:t>
      </w:r>
      <w:r w:rsidR="00A444CD" w:rsidRPr="000B6B42">
        <w:rPr>
          <w:b/>
          <w:bCs/>
        </w:rPr>
        <w:t>EU is adequately mitigated.</w:t>
      </w:r>
      <w:r w:rsidR="00F86344" w:rsidRPr="000B6B42">
        <w:rPr>
          <w:b/>
          <w:bCs/>
        </w:rPr>
        <w:t xml:space="preserve"> </w:t>
      </w:r>
    </w:p>
    <w:p w14:paraId="763F191C" w14:textId="77777777" w:rsidR="00F86344" w:rsidRPr="00F86344" w:rsidRDefault="00F86344" w:rsidP="006334AA">
      <w:pPr>
        <w:ind w:left="851" w:hanging="851"/>
        <w:rPr>
          <w:b/>
        </w:rPr>
      </w:pPr>
    </w:p>
    <w:p w14:paraId="00170AF0" w14:textId="1477C61A" w:rsidR="005F7797" w:rsidRDefault="005F7797" w:rsidP="006334AA">
      <w:pPr>
        <w:pStyle w:val="Heading2"/>
        <w:ind w:left="851" w:hanging="851"/>
      </w:pPr>
      <w:bookmarkStart w:id="78" w:name="_Toc121922239"/>
      <w:r>
        <w:t>Use of restraint</w:t>
      </w:r>
      <w:bookmarkEnd w:id="78"/>
    </w:p>
    <w:p w14:paraId="7020A2AF" w14:textId="31A2020D" w:rsidR="005F7797" w:rsidRPr="005F7797" w:rsidRDefault="005F7797" w:rsidP="006334AA">
      <w:pPr>
        <w:pStyle w:val="ListParagraph"/>
        <w:numPr>
          <w:ilvl w:val="1"/>
          <w:numId w:val="92"/>
        </w:numPr>
        <w:ind w:left="851" w:hanging="851"/>
      </w:pPr>
      <w:r w:rsidRPr="005F7797">
        <w:t>The Committee previously recommended that restraint is only used against children as a last resort to prevent harm to the child or others.</w:t>
      </w:r>
      <w:r w:rsidRPr="005F7797">
        <w:rPr>
          <w:rStyle w:val="FootnoteReference"/>
        </w:rPr>
        <w:footnoteReference w:id="342"/>
      </w:r>
      <w:r w:rsidRPr="005F7797">
        <w:t xml:space="preserve"> Additionally, that disaggregated data on the use of restraint, including in educational settings, is systematically and regularly collected, </w:t>
      </w:r>
      <w:proofErr w:type="gramStart"/>
      <w:r w:rsidRPr="005F7797">
        <w:t>published</w:t>
      </w:r>
      <w:proofErr w:type="gramEnd"/>
      <w:r w:rsidRPr="005F7797">
        <w:t xml:space="preserve"> and monitored.</w:t>
      </w:r>
      <w:r w:rsidRPr="005F7797">
        <w:rPr>
          <w:rStyle w:val="FootnoteReference"/>
        </w:rPr>
        <w:footnoteReference w:id="343"/>
      </w:r>
    </w:p>
    <w:p w14:paraId="2F0DFC8D" w14:textId="77777777" w:rsidR="005F7797" w:rsidRPr="005F7797" w:rsidRDefault="005F7797" w:rsidP="006334AA">
      <w:pPr>
        <w:pStyle w:val="ListParagraph"/>
        <w:ind w:left="851" w:hanging="851"/>
      </w:pPr>
    </w:p>
    <w:p w14:paraId="4B7728EA" w14:textId="38953812" w:rsidR="005F7797" w:rsidRPr="005F7797" w:rsidRDefault="005F7797" w:rsidP="006334AA">
      <w:pPr>
        <w:pStyle w:val="ListParagraph"/>
        <w:numPr>
          <w:ilvl w:val="1"/>
          <w:numId w:val="92"/>
        </w:numPr>
        <w:ind w:left="851" w:hanging="851"/>
      </w:pPr>
      <w:r w:rsidRPr="005F7797">
        <w:t>Section 4 of the Education (NI) Order 1998 allows for a school staff member to restrain any pupil at the school where such force is “reasonable in the circumstances”.</w:t>
      </w:r>
      <w:r w:rsidRPr="005F7797">
        <w:rPr>
          <w:rStyle w:val="FootnoteReference"/>
        </w:rPr>
        <w:footnoteReference w:id="344"/>
      </w:r>
      <w:r w:rsidRPr="005F7797">
        <w:t xml:space="preserve"> This provision is clear that it does not allow for corporal punishment of children by teachers.</w:t>
      </w:r>
      <w:r w:rsidRPr="005F7797">
        <w:rPr>
          <w:rStyle w:val="FootnoteReference"/>
        </w:rPr>
        <w:footnoteReference w:id="345"/>
      </w:r>
      <w:r w:rsidRPr="005F7797">
        <w:t xml:space="preserve"> </w:t>
      </w:r>
    </w:p>
    <w:p w14:paraId="3569692F" w14:textId="77777777" w:rsidR="005F7797" w:rsidRPr="005F7797" w:rsidRDefault="005F7797" w:rsidP="006334AA">
      <w:pPr>
        <w:pStyle w:val="ListParagraph"/>
        <w:ind w:left="851" w:hanging="851"/>
      </w:pPr>
    </w:p>
    <w:p w14:paraId="7A7EBE18" w14:textId="50892E0A" w:rsidR="005F7797" w:rsidRPr="005F7797" w:rsidRDefault="005F7797" w:rsidP="006334AA">
      <w:pPr>
        <w:pStyle w:val="ListParagraph"/>
        <w:numPr>
          <w:ilvl w:val="1"/>
          <w:numId w:val="92"/>
        </w:numPr>
        <w:ind w:left="851" w:hanging="851"/>
      </w:pPr>
      <w:r w:rsidRPr="005F7797">
        <w:t>The accompanying non-statutory guidance has not been updated since 1999.</w:t>
      </w:r>
      <w:r w:rsidRPr="005F7797">
        <w:rPr>
          <w:rStyle w:val="FootnoteReference"/>
        </w:rPr>
        <w:footnoteReference w:id="346"/>
      </w:r>
      <w:r w:rsidRPr="005F7797">
        <w:t xml:space="preserve"> It states that any occasion when reasonable force is used must be logged in an incident book, which is to be reviewed at least annually by the Chair of the Board of Governors and Principal.</w:t>
      </w:r>
      <w:r w:rsidRPr="005F7797">
        <w:rPr>
          <w:rStyle w:val="FootnoteReference"/>
        </w:rPr>
        <w:footnoteReference w:id="347"/>
      </w:r>
      <w:r w:rsidRPr="005F7797">
        <w:t xml:space="preserve"> Such incidents are not required to be subject to an independent review.</w:t>
      </w:r>
    </w:p>
    <w:p w14:paraId="6B4F9122" w14:textId="77777777" w:rsidR="005F7797" w:rsidRPr="005F7797" w:rsidRDefault="005F7797" w:rsidP="006334AA">
      <w:pPr>
        <w:pStyle w:val="ListParagraph"/>
        <w:ind w:left="851" w:hanging="851"/>
      </w:pPr>
    </w:p>
    <w:p w14:paraId="1E4037A5" w14:textId="3C026347" w:rsidR="005F7797" w:rsidRPr="005F7797" w:rsidRDefault="005F7797" w:rsidP="006334AA">
      <w:pPr>
        <w:pStyle w:val="ListParagraph"/>
        <w:numPr>
          <w:ilvl w:val="1"/>
          <w:numId w:val="92"/>
        </w:numPr>
        <w:ind w:left="851" w:hanging="851"/>
      </w:pPr>
      <w:r w:rsidRPr="005F7797">
        <w:t xml:space="preserve">Use of restraint has been raised as a particular concern for children with special educational needs in NI, with lack of training on the use of restraint for educational professionals </w:t>
      </w:r>
      <w:r w:rsidR="00EF49AA">
        <w:t>heightening concerns</w:t>
      </w:r>
      <w:r w:rsidRPr="005F7797">
        <w:t>.</w:t>
      </w:r>
      <w:r w:rsidRPr="005F7797">
        <w:rPr>
          <w:rStyle w:val="FootnoteReference"/>
        </w:rPr>
        <w:footnoteReference w:id="348"/>
      </w:r>
    </w:p>
    <w:p w14:paraId="20A365F2" w14:textId="77777777" w:rsidR="005F7797" w:rsidRPr="005F7797" w:rsidRDefault="005F7797" w:rsidP="006334AA">
      <w:pPr>
        <w:pStyle w:val="ListParagraph"/>
        <w:ind w:left="851" w:hanging="851"/>
      </w:pPr>
    </w:p>
    <w:p w14:paraId="6AC8746B" w14:textId="2D68413E" w:rsidR="005F7797" w:rsidRPr="005F7797" w:rsidRDefault="005F7797" w:rsidP="006334AA">
      <w:pPr>
        <w:pStyle w:val="ListParagraph"/>
        <w:numPr>
          <w:ilvl w:val="1"/>
          <w:numId w:val="92"/>
        </w:numPr>
        <w:ind w:left="851" w:hanging="851"/>
      </w:pPr>
      <w:r w:rsidRPr="005F7797">
        <w:t xml:space="preserve">In 2021, the NI </w:t>
      </w:r>
      <w:r w:rsidRPr="000B6B42">
        <w:rPr>
          <w:color w:val="000000"/>
        </w:rPr>
        <w:t>Public Services Ombudsman reported several recurring issues regarding the use of such practices in schools in NI, including record-keeping, inadequate policies and procedures, and a lack of appropriate complaint investigations by Board of Governors.</w:t>
      </w:r>
      <w:r w:rsidRPr="005F7797">
        <w:rPr>
          <w:rStyle w:val="FootnoteReference"/>
        </w:rPr>
        <w:footnoteReference w:id="349"/>
      </w:r>
      <w:r w:rsidRPr="000B6B42">
        <w:rPr>
          <w:color w:val="000000"/>
        </w:rPr>
        <w:t xml:space="preserve"> The NI Commissioner for Children and Young People has found that the current policy, guidance, and legislative frameworks around the use of restrictive practice</w:t>
      </w:r>
      <w:r w:rsidR="00154329">
        <w:rPr>
          <w:color w:val="000000"/>
        </w:rPr>
        <w:t>s</w:t>
      </w:r>
      <w:r w:rsidRPr="000B6B42">
        <w:rPr>
          <w:color w:val="000000"/>
        </w:rPr>
        <w:t xml:space="preserve"> in educational settings are not fit for purpose and need immediate reform.</w:t>
      </w:r>
      <w:r w:rsidRPr="005F7797">
        <w:rPr>
          <w:rStyle w:val="FootnoteReference"/>
          <w:color w:val="000000"/>
        </w:rPr>
        <w:footnoteReference w:id="350"/>
      </w:r>
    </w:p>
    <w:p w14:paraId="27271E8A" w14:textId="77777777" w:rsidR="005F7797" w:rsidRPr="005F7797" w:rsidRDefault="005F7797" w:rsidP="006334AA">
      <w:pPr>
        <w:pStyle w:val="ListParagraph"/>
        <w:ind w:left="851" w:hanging="851"/>
        <w:rPr>
          <w:color w:val="000000"/>
        </w:rPr>
      </w:pPr>
    </w:p>
    <w:p w14:paraId="06C958B5" w14:textId="64598B80" w:rsidR="005F7797" w:rsidRPr="005F7797" w:rsidRDefault="005F7797" w:rsidP="006334AA">
      <w:pPr>
        <w:pStyle w:val="ListParagraph"/>
        <w:numPr>
          <w:ilvl w:val="1"/>
          <w:numId w:val="92"/>
        </w:numPr>
        <w:ind w:left="851" w:hanging="851"/>
      </w:pPr>
      <w:r w:rsidRPr="000B6B42">
        <w:rPr>
          <w:color w:val="000000"/>
        </w:rPr>
        <w:t>In 2022, the Department of Education published its own review of the use of restraint and seclusion practices in educational settings.</w:t>
      </w:r>
      <w:r w:rsidRPr="005F7797">
        <w:rPr>
          <w:rStyle w:val="FootnoteReference"/>
        </w:rPr>
        <w:footnoteReference w:id="351"/>
      </w:r>
      <w:r w:rsidRPr="000B6B42">
        <w:rPr>
          <w:color w:val="000000"/>
        </w:rPr>
        <w:t xml:space="preserve"> The final report made six recommendations for change to guidance and policy.</w:t>
      </w:r>
      <w:r w:rsidRPr="005F7797">
        <w:rPr>
          <w:rStyle w:val="FootnoteReference"/>
        </w:rPr>
        <w:footnoteReference w:id="352"/>
      </w:r>
      <w:r w:rsidRPr="000B6B42">
        <w:rPr>
          <w:color w:val="000000"/>
        </w:rPr>
        <w:t xml:space="preserve"> Work has commenced on developing updated statutory guidance and this is due to be finalised by the 2023/2024 academic year, but further progress is subject to a functioning NI Executive.</w:t>
      </w:r>
      <w:r w:rsidRPr="005F7797">
        <w:rPr>
          <w:rStyle w:val="FootnoteReference"/>
        </w:rPr>
        <w:footnoteReference w:id="353"/>
      </w:r>
    </w:p>
    <w:p w14:paraId="755CD771" w14:textId="77777777" w:rsidR="005F7797" w:rsidRPr="005F7797" w:rsidRDefault="005F7797" w:rsidP="006334AA">
      <w:pPr>
        <w:pStyle w:val="ListParagraph"/>
        <w:ind w:left="851" w:hanging="851"/>
        <w:rPr>
          <w:b/>
        </w:rPr>
      </w:pPr>
    </w:p>
    <w:p w14:paraId="358EAC44" w14:textId="13C76992" w:rsidR="005F7797" w:rsidRPr="000B6B42" w:rsidRDefault="005F7797" w:rsidP="006334AA">
      <w:pPr>
        <w:pStyle w:val="ListParagraph"/>
        <w:numPr>
          <w:ilvl w:val="1"/>
          <w:numId w:val="92"/>
        </w:numPr>
        <w:ind w:left="851" w:hanging="851"/>
        <w:rPr>
          <w:b/>
        </w:rPr>
      </w:pPr>
      <w:r w:rsidRPr="000B6B42">
        <w:rPr>
          <w:b/>
        </w:rPr>
        <w:t xml:space="preserve">The Committee may wish to recommend that the </w:t>
      </w:r>
      <w:r w:rsidR="00B55B58" w:rsidRPr="000B6B42">
        <w:rPr>
          <w:b/>
        </w:rPr>
        <w:t>State Party ensures that</w:t>
      </w:r>
      <w:r w:rsidRPr="000B6B42">
        <w:rPr>
          <w:b/>
        </w:rPr>
        <w:t xml:space="preserve"> the use of restraint against children </w:t>
      </w:r>
      <w:r w:rsidR="002A7D0A" w:rsidRPr="000B6B42">
        <w:rPr>
          <w:b/>
        </w:rPr>
        <w:t xml:space="preserve">in educational settings </w:t>
      </w:r>
      <w:r w:rsidR="00525115">
        <w:rPr>
          <w:b/>
        </w:rPr>
        <w:t xml:space="preserve">in NI </w:t>
      </w:r>
      <w:r w:rsidRPr="000B6B42">
        <w:rPr>
          <w:b/>
        </w:rPr>
        <w:t xml:space="preserve">for disciplinary purposes </w:t>
      </w:r>
      <w:r w:rsidR="00B55B58" w:rsidRPr="000B6B42">
        <w:rPr>
          <w:b/>
        </w:rPr>
        <w:t>is prohibited</w:t>
      </w:r>
      <w:r w:rsidRPr="000B6B42">
        <w:rPr>
          <w:b/>
        </w:rPr>
        <w:t xml:space="preserve">, and </w:t>
      </w:r>
      <w:r w:rsidR="00B55B58" w:rsidRPr="000B6B42">
        <w:rPr>
          <w:b/>
        </w:rPr>
        <w:t>that</w:t>
      </w:r>
      <w:r w:rsidRPr="000B6B42">
        <w:rPr>
          <w:b/>
        </w:rPr>
        <w:t xml:space="preserve"> restraint is exclusively used to prevent harm to the child or others and only as a last resort</w:t>
      </w:r>
      <w:r w:rsidR="002A7D0A" w:rsidRPr="000B6B42">
        <w:rPr>
          <w:b/>
        </w:rPr>
        <w:t>. This includes ensuring that there is</w:t>
      </w:r>
      <w:r w:rsidRPr="000B6B42">
        <w:rPr>
          <w:b/>
        </w:rPr>
        <w:t xml:space="preserve"> a statutory obligation on school</w:t>
      </w:r>
      <w:r w:rsidR="002A7D0A" w:rsidRPr="000B6B42">
        <w:rPr>
          <w:b/>
        </w:rPr>
        <w:t xml:space="preserve">s </w:t>
      </w:r>
      <w:r w:rsidR="00523082">
        <w:rPr>
          <w:b/>
        </w:rPr>
        <w:t>in NI</w:t>
      </w:r>
      <w:r w:rsidRPr="000B6B42">
        <w:rPr>
          <w:b/>
        </w:rPr>
        <w:t xml:space="preserve"> to </w:t>
      </w:r>
      <w:proofErr w:type="gramStart"/>
      <w:r w:rsidRPr="000B6B42">
        <w:rPr>
          <w:b/>
        </w:rPr>
        <w:t>systematically and regularly collect and publish disaggregated data on the use of restraint against children in educational settings</w:t>
      </w:r>
      <w:proofErr w:type="gramEnd"/>
      <w:r w:rsidR="00456442" w:rsidRPr="000B6B42">
        <w:rPr>
          <w:b/>
        </w:rPr>
        <w:t xml:space="preserve">. </w:t>
      </w:r>
      <w:r w:rsidR="00352C85" w:rsidRPr="000B6B42">
        <w:rPr>
          <w:b/>
        </w:rPr>
        <w:t>It also includes ensuring that this data is</w:t>
      </w:r>
      <w:r w:rsidR="00456442" w:rsidRPr="000B6B42">
        <w:rPr>
          <w:b/>
        </w:rPr>
        <w:t xml:space="preserve"> independently</w:t>
      </w:r>
      <w:r w:rsidRPr="000B6B42">
        <w:rPr>
          <w:b/>
        </w:rPr>
        <w:t xml:space="preserve"> monitored.</w:t>
      </w:r>
    </w:p>
    <w:p w14:paraId="7B4F4146" w14:textId="77777777" w:rsidR="000E4765" w:rsidRPr="000E4765" w:rsidRDefault="000E4765" w:rsidP="006334AA">
      <w:pPr>
        <w:ind w:left="851" w:hanging="851"/>
        <w:rPr>
          <w:b/>
        </w:rPr>
      </w:pPr>
    </w:p>
    <w:p w14:paraId="2851A4B6" w14:textId="3A46CD99" w:rsidR="0089377D" w:rsidRPr="00587912" w:rsidRDefault="00495BC2" w:rsidP="006334AA">
      <w:pPr>
        <w:pStyle w:val="Heading1"/>
        <w:spacing w:before="0"/>
        <w:ind w:left="851" w:hanging="851"/>
      </w:pPr>
      <w:bookmarkStart w:id="79" w:name="_Toc121922240"/>
      <w:r>
        <w:t>1</w:t>
      </w:r>
      <w:r w:rsidR="000B6B42">
        <w:t>8</w:t>
      </w:r>
      <w:r w:rsidR="005D3EC2">
        <w:t>.0</w:t>
      </w:r>
      <w:r w:rsidR="005D3EC2">
        <w:tab/>
      </w:r>
      <w:r w:rsidR="00926B1B" w:rsidRPr="003007C4">
        <w:t>A</w:t>
      </w:r>
      <w:r w:rsidR="00B17B48">
        <w:t>rticle 31 – Rest and L</w:t>
      </w:r>
      <w:r w:rsidR="00926B1B" w:rsidRPr="003007C4">
        <w:t>eisure</w:t>
      </w:r>
      <w:bookmarkEnd w:id="79"/>
    </w:p>
    <w:p w14:paraId="3D0063C9" w14:textId="705AAC82" w:rsidR="004157C1" w:rsidRPr="00352C85" w:rsidRDefault="004157C1" w:rsidP="006334AA">
      <w:pPr>
        <w:pStyle w:val="Heading2"/>
        <w:ind w:left="851" w:hanging="851"/>
        <w:rPr>
          <w:szCs w:val="22"/>
        </w:rPr>
      </w:pPr>
      <w:bookmarkStart w:id="80" w:name="_Toc121922241"/>
      <w:r w:rsidRPr="00057ADB">
        <w:rPr>
          <w:szCs w:val="22"/>
        </w:rPr>
        <w:t>Travellers’ accommodation</w:t>
      </w:r>
      <w:bookmarkEnd w:id="80"/>
    </w:p>
    <w:p w14:paraId="36B21640" w14:textId="2725092D" w:rsidR="000B6B42" w:rsidRDefault="004157C1" w:rsidP="00253F6F">
      <w:pPr>
        <w:pStyle w:val="ListParagraph"/>
        <w:numPr>
          <w:ilvl w:val="1"/>
          <w:numId w:val="103"/>
        </w:numPr>
        <w:ind w:left="851" w:hanging="851"/>
      </w:pPr>
      <w:r>
        <w:t>Safe children’s play areas are lacking within Travellers’ accommodation in NI.</w:t>
      </w:r>
      <w:r>
        <w:rPr>
          <w:rStyle w:val="FootnoteReference"/>
        </w:rPr>
        <w:footnoteReference w:id="354"/>
      </w:r>
      <w:r>
        <w:t xml:space="preserve"> </w:t>
      </w:r>
    </w:p>
    <w:p w14:paraId="52DDD7CB" w14:textId="77777777" w:rsidR="000B6B42" w:rsidRDefault="000B6B42" w:rsidP="006334AA">
      <w:pPr>
        <w:pStyle w:val="ListParagraph"/>
        <w:ind w:left="851" w:hanging="851"/>
      </w:pPr>
    </w:p>
    <w:p w14:paraId="433640B0" w14:textId="77777777" w:rsidR="000B6B42" w:rsidRPr="000B6B42" w:rsidRDefault="00B23B99" w:rsidP="00253F6F">
      <w:pPr>
        <w:pStyle w:val="ListParagraph"/>
        <w:numPr>
          <w:ilvl w:val="1"/>
          <w:numId w:val="103"/>
        </w:numPr>
        <w:ind w:left="851" w:hanging="851"/>
      </w:pPr>
      <w:r>
        <w:t>I</w:t>
      </w:r>
      <w:r w:rsidR="008300FD" w:rsidRPr="000B6B42">
        <w:rPr>
          <w:color w:val="000000"/>
        </w:rPr>
        <w:t>n 2021, the Department of Communities consulted on a draft housing supply strategy, which highlighted access to appropriate accommodation for Irish Travellers is limited.</w:t>
      </w:r>
      <w:r w:rsidR="008300FD">
        <w:rPr>
          <w:rStyle w:val="FootnoteReference"/>
        </w:rPr>
        <w:footnoteReference w:id="355"/>
      </w:r>
      <w:r w:rsidR="008300FD" w:rsidRPr="000B6B42">
        <w:rPr>
          <w:color w:val="000000"/>
        </w:rPr>
        <w:t xml:space="preserve"> In 2022, publication of the housing supply strategy has been delayed by dissolution of the NI Assembly and NI Executive.</w:t>
      </w:r>
    </w:p>
    <w:p w14:paraId="135C71FD" w14:textId="77777777" w:rsidR="000B6B42" w:rsidRPr="000B6B42" w:rsidRDefault="000B6B42" w:rsidP="006334AA">
      <w:pPr>
        <w:pStyle w:val="ListParagraph"/>
        <w:ind w:left="851" w:hanging="851"/>
        <w:rPr>
          <w:b/>
        </w:rPr>
      </w:pPr>
    </w:p>
    <w:p w14:paraId="623A0CBA" w14:textId="740335C6" w:rsidR="005251D1" w:rsidRPr="003610D3" w:rsidRDefault="00134DA1" w:rsidP="00253F6F">
      <w:pPr>
        <w:pStyle w:val="ListParagraph"/>
        <w:numPr>
          <w:ilvl w:val="1"/>
          <w:numId w:val="103"/>
        </w:numPr>
        <w:ind w:left="851" w:hanging="851"/>
        <w:rPr>
          <w:b/>
        </w:rPr>
      </w:pPr>
      <w:r w:rsidRPr="003610D3">
        <w:rPr>
          <w:b/>
        </w:rPr>
        <w:t>The Committee may wish to recommend</w:t>
      </w:r>
      <w:r w:rsidR="008300FD" w:rsidRPr="003610D3">
        <w:rPr>
          <w:b/>
        </w:rPr>
        <w:t xml:space="preserve"> that the </w:t>
      </w:r>
      <w:r w:rsidR="00D54B95" w:rsidRPr="003610D3">
        <w:rPr>
          <w:b/>
        </w:rPr>
        <w:t>State Party ensures</w:t>
      </w:r>
      <w:r w:rsidR="004157C1" w:rsidRPr="003610D3">
        <w:rPr>
          <w:b/>
        </w:rPr>
        <w:t xml:space="preserve"> </w:t>
      </w:r>
      <w:r w:rsidR="005251D1" w:rsidRPr="003610D3">
        <w:rPr>
          <w:b/>
        </w:rPr>
        <w:t>that safe children’s play areas are available</w:t>
      </w:r>
      <w:r w:rsidR="00783899" w:rsidRPr="003610D3">
        <w:rPr>
          <w:b/>
        </w:rPr>
        <w:t xml:space="preserve"> and accessible</w:t>
      </w:r>
      <w:r w:rsidR="005251D1" w:rsidRPr="003610D3">
        <w:rPr>
          <w:b/>
        </w:rPr>
        <w:t xml:space="preserve"> in </w:t>
      </w:r>
      <w:r w:rsidR="004157C1" w:rsidRPr="003610D3">
        <w:rPr>
          <w:b/>
        </w:rPr>
        <w:t>all</w:t>
      </w:r>
      <w:r w:rsidR="008300FD" w:rsidRPr="003610D3">
        <w:rPr>
          <w:b/>
        </w:rPr>
        <w:t xml:space="preserve"> </w:t>
      </w:r>
      <w:r w:rsidR="005251D1" w:rsidRPr="003610D3">
        <w:rPr>
          <w:b/>
        </w:rPr>
        <w:t xml:space="preserve">Traveller-specific accommodation across </w:t>
      </w:r>
      <w:r w:rsidR="00523082" w:rsidRPr="003610D3">
        <w:rPr>
          <w:b/>
        </w:rPr>
        <w:t>NI</w:t>
      </w:r>
      <w:r w:rsidR="003F7313" w:rsidRPr="003610D3">
        <w:rPr>
          <w:b/>
        </w:rPr>
        <w:t>.</w:t>
      </w:r>
    </w:p>
    <w:p w14:paraId="1EEFA3DF" w14:textId="7F58BFA8" w:rsidR="000E4765" w:rsidRPr="005251D1" w:rsidRDefault="000E4765" w:rsidP="005251D1">
      <w:pPr>
        <w:rPr>
          <w:b/>
        </w:rPr>
      </w:pPr>
    </w:p>
    <w:p w14:paraId="0706A907" w14:textId="432C4C58" w:rsidR="00F423E8" w:rsidRPr="00587912" w:rsidRDefault="00495BC2" w:rsidP="003F7313">
      <w:pPr>
        <w:pStyle w:val="Heading1"/>
        <w:spacing w:before="0"/>
      </w:pPr>
      <w:bookmarkStart w:id="81" w:name="_Toc121922242"/>
      <w:r>
        <w:t>1</w:t>
      </w:r>
      <w:r w:rsidR="000B6B42">
        <w:t>9</w:t>
      </w:r>
      <w:r w:rsidR="005D3EC2">
        <w:t>.0</w:t>
      </w:r>
      <w:r w:rsidR="004F2856">
        <w:t xml:space="preserve"> </w:t>
      </w:r>
      <w:r w:rsidR="00F423E8" w:rsidRPr="008F3338">
        <w:t>Article 32 – Employment</w:t>
      </w:r>
      <w:bookmarkEnd w:id="81"/>
    </w:p>
    <w:p w14:paraId="473D1691" w14:textId="50ED8EAF" w:rsidR="001849BD" w:rsidRPr="003F7313" w:rsidRDefault="00083E16" w:rsidP="003F7313">
      <w:pPr>
        <w:pStyle w:val="Heading2"/>
        <w:rPr>
          <w:szCs w:val="22"/>
        </w:rPr>
      </w:pPr>
      <w:bookmarkStart w:id="82" w:name="_Toc121922243"/>
      <w:r w:rsidRPr="00587912">
        <w:rPr>
          <w:szCs w:val="22"/>
        </w:rPr>
        <w:t>Pathway programmes</w:t>
      </w:r>
      <w:bookmarkEnd w:id="82"/>
      <w:r w:rsidRPr="00587912">
        <w:rPr>
          <w:szCs w:val="22"/>
        </w:rPr>
        <w:t xml:space="preserve"> </w:t>
      </w:r>
    </w:p>
    <w:p w14:paraId="007FAFEA" w14:textId="77777777" w:rsidR="00797BB9" w:rsidRPr="00797BB9" w:rsidRDefault="00797BB9" w:rsidP="00415904">
      <w:pPr>
        <w:pStyle w:val="ListParagraph"/>
        <w:numPr>
          <w:ilvl w:val="0"/>
          <w:numId w:val="30"/>
        </w:numPr>
        <w:rPr>
          <w:vanish/>
        </w:rPr>
      </w:pPr>
    </w:p>
    <w:p w14:paraId="13976FF9" w14:textId="118447E8" w:rsidR="00B23B99" w:rsidRDefault="0015329B" w:rsidP="006334AA">
      <w:pPr>
        <w:pStyle w:val="ListParagraph"/>
        <w:numPr>
          <w:ilvl w:val="1"/>
          <w:numId w:val="93"/>
        </w:numPr>
        <w:ind w:left="851" w:hanging="851"/>
      </w:pPr>
      <w:r w:rsidRPr="0085201E">
        <w:t xml:space="preserve">In </w:t>
      </w:r>
      <w:r w:rsidR="003A6812" w:rsidRPr="0085201E">
        <w:t>July 2022</w:t>
      </w:r>
      <w:r w:rsidRPr="0085201E">
        <w:t xml:space="preserve">, the unemployment rate in NI was </w:t>
      </w:r>
      <w:r w:rsidR="008D1D6F" w:rsidRPr="0085201E">
        <w:t>2.9</w:t>
      </w:r>
      <w:r w:rsidRPr="0085201E">
        <w:t xml:space="preserve"> per cent.</w:t>
      </w:r>
      <w:r w:rsidRPr="0085201E">
        <w:rPr>
          <w:rStyle w:val="FootnoteReference"/>
        </w:rPr>
        <w:footnoteReference w:id="356"/>
      </w:r>
      <w:r w:rsidR="00844F8B" w:rsidRPr="0085201E">
        <w:t xml:space="preserve"> </w:t>
      </w:r>
      <w:r w:rsidR="0085201E" w:rsidRPr="0085201E">
        <w:t xml:space="preserve">Between April to June 2022, </w:t>
      </w:r>
      <w:r w:rsidR="008E7B91">
        <w:t>the number of</w:t>
      </w:r>
      <w:r w:rsidR="0085201E" w:rsidRPr="0085201E">
        <w:t xml:space="preserve"> young people aged 16 to 24 years in NI who were not in education, employment or training</w:t>
      </w:r>
      <w:r w:rsidR="008E7B91">
        <w:t xml:space="preserve"> was </w:t>
      </w:r>
      <w:r w:rsidR="0085201E" w:rsidRPr="0085201E">
        <w:t>equivalent to 7.5</w:t>
      </w:r>
      <w:r w:rsidR="00783899">
        <w:t xml:space="preserve"> per cent</w:t>
      </w:r>
      <w:r w:rsidR="0085201E" w:rsidRPr="0085201E">
        <w:t xml:space="preserve"> of all those aged 16 to 24 years in NI.</w:t>
      </w:r>
      <w:r w:rsidR="008E7B91">
        <w:rPr>
          <w:rStyle w:val="FootnoteReference"/>
        </w:rPr>
        <w:footnoteReference w:id="357"/>
      </w:r>
      <w:r w:rsidR="0085201E" w:rsidRPr="0085201E">
        <w:t xml:space="preserve"> </w:t>
      </w:r>
    </w:p>
    <w:p w14:paraId="139BC279" w14:textId="77777777" w:rsidR="00C0234A" w:rsidRDefault="00C0234A" w:rsidP="006334AA">
      <w:pPr>
        <w:pStyle w:val="ListParagraph"/>
        <w:ind w:left="851" w:hanging="851"/>
      </w:pPr>
    </w:p>
    <w:p w14:paraId="2B6936F1" w14:textId="024156B5" w:rsidR="00B23B99" w:rsidRDefault="004209AD" w:rsidP="006334AA">
      <w:pPr>
        <w:pStyle w:val="ListParagraph"/>
        <w:numPr>
          <w:ilvl w:val="1"/>
          <w:numId w:val="93"/>
        </w:numPr>
        <w:ind w:left="851" w:hanging="851"/>
      </w:pPr>
      <w:r w:rsidRPr="0085201E">
        <w:t>The primary source of funding for employment</w:t>
      </w:r>
      <w:r>
        <w:t xml:space="preserve"> support</w:t>
      </w:r>
      <w:r w:rsidRPr="0085201E">
        <w:t xml:space="preserve"> projects for </w:t>
      </w:r>
      <w:r>
        <w:t>young people</w:t>
      </w:r>
      <w:r w:rsidR="00FB6A64">
        <w:t xml:space="preserve"> who may face barriers to the social and labour market in NI</w:t>
      </w:r>
      <w:r w:rsidR="00703D66">
        <w:t xml:space="preserve"> </w:t>
      </w:r>
      <w:r w:rsidRPr="0085201E">
        <w:t>has been the European Social Fund.</w:t>
      </w:r>
      <w:r w:rsidRPr="0085201E">
        <w:rPr>
          <w:vertAlign w:val="superscript"/>
        </w:rPr>
        <w:footnoteReference w:id="358"/>
      </w:r>
      <w:r w:rsidRPr="0085201E">
        <w:t xml:space="preserve"> </w:t>
      </w:r>
      <w:r>
        <w:t>While notable</w:t>
      </w:r>
      <w:r w:rsidR="00D037AC">
        <w:t xml:space="preserve"> interim</w:t>
      </w:r>
      <w:r>
        <w:t xml:space="preserve"> attempts have been made to secure match-funding,</w:t>
      </w:r>
      <w:r>
        <w:rPr>
          <w:rStyle w:val="FootnoteReference"/>
        </w:rPr>
        <w:footnoteReference w:id="359"/>
      </w:r>
      <w:r>
        <w:t xml:space="preserve"> </w:t>
      </w:r>
      <w:r w:rsidRPr="000B6B42">
        <w:rPr>
          <w:color w:val="000000"/>
        </w:rPr>
        <w:t>concerns remain in respect of</w:t>
      </w:r>
      <w:r w:rsidR="00D037AC" w:rsidRPr="000B6B42">
        <w:rPr>
          <w:color w:val="000000"/>
        </w:rPr>
        <w:t xml:space="preserve"> </w:t>
      </w:r>
      <w:r>
        <w:t>future, long-term funding arrangements.</w:t>
      </w:r>
      <w:r w:rsidR="00572FA0">
        <w:rPr>
          <w:rStyle w:val="FootnoteReference"/>
        </w:rPr>
        <w:footnoteReference w:id="360"/>
      </w:r>
      <w:r w:rsidRPr="0085201E">
        <w:t xml:space="preserve"> </w:t>
      </w:r>
    </w:p>
    <w:p w14:paraId="02B0DA29" w14:textId="77777777" w:rsidR="00B23B99" w:rsidRDefault="00B23B99" w:rsidP="006334AA">
      <w:pPr>
        <w:pStyle w:val="ListParagraph"/>
        <w:ind w:left="851" w:hanging="851"/>
      </w:pPr>
    </w:p>
    <w:p w14:paraId="4C176194" w14:textId="7FCA885D" w:rsidR="00B23B99" w:rsidRDefault="001F269E" w:rsidP="006334AA">
      <w:pPr>
        <w:pStyle w:val="ListParagraph"/>
        <w:numPr>
          <w:ilvl w:val="1"/>
          <w:numId w:val="93"/>
        </w:numPr>
        <w:ind w:left="851" w:hanging="851"/>
      </w:pPr>
      <w:r>
        <w:t xml:space="preserve">The UK Shared Prosperity Fund was initially presented </w:t>
      </w:r>
      <w:r w:rsidR="00D235F2">
        <w:t xml:space="preserve">to succeed EU funded projects. </w:t>
      </w:r>
      <w:r w:rsidR="001478E9">
        <w:t>H</w:t>
      </w:r>
      <w:r>
        <w:t>owever</w:t>
      </w:r>
      <w:r w:rsidR="001478E9">
        <w:t>,</w:t>
      </w:r>
      <w:r>
        <w:t xml:space="preserve"> issues have been raised regarding the level of funding available and its allocation and management in NI.</w:t>
      </w:r>
      <w:r>
        <w:rPr>
          <w:rStyle w:val="FootnoteReference"/>
        </w:rPr>
        <w:footnoteReference w:id="361"/>
      </w:r>
      <w:r>
        <w:t xml:space="preserve"> </w:t>
      </w:r>
      <w:r w:rsidR="00485371">
        <w:t>For example, the</w:t>
      </w:r>
      <w:r>
        <w:t xml:space="preserve"> investment plan for NI has not been agreed, yet applications for </w:t>
      </w:r>
      <w:r w:rsidR="00544D2B">
        <w:t xml:space="preserve">grants </w:t>
      </w:r>
      <w:r>
        <w:t>from April 2023 have opened</w:t>
      </w:r>
      <w:r w:rsidR="00544D2B">
        <w:t>. M</w:t>
      </w:r>
      <w:r>
        <w:t>any NI organisations continuing to deliver support services previously funded by the European Social Fund</w:t>
      </w:r>
      <w:r w:rsidR="00544D2B">
        <w:t xml:space="preserve"> are concerned</w:t>
      </w:r>
      <w:r>
        <w:t>.</w:t>
      </w:r>
      <w:r>
        <w:rPr>
          <w:rStyle w:val="FootnoteReference"/>
        </w:rPr>
        <w:footnoteReference w:id="362"/>
      </w:r>
    </w:p>
    <w:p w14:paraId="38075384" w14:textId="77777777" w:rsidR="00B23B99" w:rsidRPr="00B23B99" w:rsidRDefault="00B23B99" w:rsidP="006334AA">
      <w:pPr>
        <w:pStyle w:val="ListParagraph"/>
        <w:ind w:left="851" w:hanging="851"/>
        <w:rPr>
          <w:color w:val="000000"/>
        </w:rPr>
      </w:pPr>
    </w:p>
    <w:p w14:paraId="22E5C6FF" w14:textId="5E547355" w:rsidR="0085201E" w:rsidRPr="0085201E" w:rsidRDefault="00F10CFD" w:rsidP="006334AA">
      <w:pPr>
        <w:pStyle w:val="ListParagraph"/>
        <w:numPr>
          <w:ilvl w:val="1"/>
          <w:numId w:val="93"/>
        </w:numPr>
        <w:ind w:left="851" w:hanging="851"/>
      </w:pPr>
      <w:r w:rsidRPr="000B6B42">
        <w:rPr>
          <w:color w:val="000000"/>
        </w:rPr>
        <w:t>NI has the lowest employment rate for deaf and disabled people and the largest gap between the employment rates of disabled and non-disabled people within the UK.</w:t>
      </w:r>
      <w:r>
        <w:rPr>
          <w:rStyle w:val="FootnoteReference"/>
        </w:rPr>
        <w:footnoteReference w:id="363"/>
      </w:r>
      <w:r w:rsidRPr="000B6B42">
        <w:rPr>
          <w:color w:val="000000"/>
        </w:rPr>
        <w:t xml:space="preserve"> </w:t>
      </w:r>
      <w:r w:rsidR="00674A59" w:rsidRPr="000B6B42">
        <w:rPr>
          <w:color w:val="000000"/>
        </w:rPr>
        <w:t xml:space="preserve">The Expert Advisory Panel </w:t>
      </w:r>
      <w:r w:rsidR="00EB0BDB" w:rsidRPr="000B6B42">
        <w:rPr>
          <w:color w:val="000000"/>
        </w:rPr>
        <w:t xml:space="preserve">appointed to inform </w:t>
      </w:r>
      <w:r w:rsidR="00B56A44" w:rsidRPr="000B6B42">
        <w:rPr>
          <w:color w:val="000000"/>
        </w:rPr>
        <w:t xml:space="preserve">a new Disability Strategy for NI </w:t>
      </w:r>
      <w:r w:rsidR="00674A59" w:rsidRPr="000B6B42">
        <w:rPr>
          <w:color w:val="000000"/>
        </w:rPr>
        <w:t xml:space="preserve">recommended that the Department for Communities </w:t>
      </w:r>
      <w:r w:rsidR="005914DF" w:rsidRPr="000B6B42">
        <w:rPr>
          <w:color w:val="000000"/>
        </w:rPr>
        <w:t xml:space="preserve">ensure </w:t>
      </w:r>
      <w:r w:rsidR="00375085" w:rsidRPr="000B6B42">
        <w:rPr>
          <w:color w:val="000000"/>
        </w:rPr>
        <w:t xml:space="preserve">a </w:t>
      </w:r>
      <w:r w:rsidR="005914DF" w:rsidRPr="000B6B42">
        <w:rPr>
          <w:color w:val="000000"/>
        </w:rPr>
        <w:t xml:space="preserve">clear, joined up transitions pathway for all </w:t>
      </w:r>
      <w:r w:rsidR="00375085" w:rsidRPr="000B6B42">
        <w:rPr>
          <w:color w:val="000000"/>
        </w:rPr>
        <w:t xml:space="preserve">young deaf and </w:t>
      </w:r>
      <w:r w:rsidR="00086BD2" w:rsidRPr="000B6B42">
        <w:rPr>
          <w:color w:val="000000"/>
        </w:rPr>
        <w:t xml:space="preserve">disabled children </w:t>
      </w:r>
      <w:r w:rsidR="00942255" w:rsidRPr="000B6B42">
        <w:rPr>
          <w:color w:val="000000"/>
        </w:rPr>
        <w:t>from school to adult</w:t>
      </w:r>
      <w:r w:rsidR="00D33AF7" w:rsidRPr="000B6B42">
        <w:rPr>
          <w:color w:val="000000"/>
        </w:rPr>
        <w:t xml:space="preserve"> services, further </w:t>
      </w:r>
      <w:proofErr w:type="gramStart"/>
      <w:r w:rsidR="00D33AF7" w:rsidRPr="000B6B42">
        <w:rPr>
          <w:color w:val="000000"/>
        </w:rPr>
        <w:t>education</w:t>
      </w:r>
      <w:proofErr w:type="gramEnd"/>
      <w:r w:rsidR="00D33AF7" w:rsidRPr="000B6B42">
        <w:rPr>
          <w:color w:val="000000"/>
        </w:rPr>
        <w:t xml:space="preserve"> and employment</w:t>
      </w:r>
      <w:r w:rsidR="00674A59" w:rsidRPr="000B6B42">
        <w:rPr>
          <w:color w:val="000000"/>
        </w:rPr>
        <w:t>.</w:t>
      </w:r>
      <w:r w:rsidR="00674A59">
        <w:rPr>
          <w:rStyle w:val="FootnoteReference"/>
          <w:color w:val="000000"/>
        </w:rPr>
        <w:footnoteReference w:id="364"/>
      </w:r>
    </w:p>
    <w:p w14:paraId="640FF7F5" w14:textId="77777777" w:rsidR="0085201E" w:rsidRPr="0085201E" w:rsidRDefault="0085201E" w:rsidP="006334AA">
      <w:pPr>
        <w:pStyle w:val="ListParagraph"/>
        <w:numPr>
          <w:ilvl w:val="1"/>
          <w:numId w:val="30"/>
        </w:numPr>
        <w:ind w:left="851" w:hanging="851"/>
        <w:rPr>
          <w:vanish/>
        </w:rPr>
      </w:pPr>
    </w:p>
    <w:p w14:paraId="20300B87" w14:textId="77777777" w:rsidR="00A816CD" w:rsidRDefault="00A816CD" w:rsidP="006334AA">
      <w:pPr>
        <w:ind w:left="851" w:hanging="851"/>
        <w:rPr>
          <w:b/>
        </w:rPr>
      </w:pPr>
    </w:p>
    <w:p w14:paraId="541E6421" w14:textId="5AE661D1" w:rsidR="009B3028" w:rsidRPr="000B6B42" w:rsidRDefault="00134DA1" w:rsidP="006334AA">
      <w:pPr>
        <w:pStyle w:val="ListParagraph"/>
        <w:numPr>
          <w:ilvl w:val="1"/>
          <w:numId w:val="93"/>
        </w:numPr>
        <w:ind w:left="851" w:hanging="851"/>
        <w:rPr>
          <w:b/>
        </w:rPr>
      </w:pPr>
      <w:r w:rsidRPr="000B6B42">
        <w:rPr>
          <w:b/>
        </w:rPr>
        <w:t>The Committee may wish to recommend</w:t>
      </w:r>
      <w:r w:rsidR="0085201E" w:rsidRPr="000B6B42">
        <w:rPr>
          <w:b/>
        </w:rPr>
        <w:t xml:space="preserve"> that the </w:t>
      </w:r>
      <w:r w:rsidR="00F2542A" w:rsidRPr="000B6B42">
        <w:rPr>
          <w:b/>
        </w:rPr>
        <w:t>State Party ensures</w:t>
      </w:r>
      <w:r w:rsidR="0085201E" w:rsidRPr="000B6B42">
        <w:rPr>
          <w:b/>
        </w:rPr>
        <w:t xml:space="preserve"> </w:t>
      </w:r>
      <w:r w:rsidR="004A27B2" w:rsidRPr="000B6B42">
        <w:rPr>
          <w:b/>
        </w:rPr>
        <w:t>that the</w:t>
      </w:r>
      <w:r w:rsidR="0085201E" w:rsidRPr="000B6B42">
        <w:rPr>
          <w:b/>
        </w:rPr>
        <w:t xml:space="preserve"> UK Shared Prosperity Fund </w:t>
      </w:r>
      <w:r w:rsidR="007C24E5" w:rsidRPr="000B6B42">
        <w:rPr>
          <w:b/>
        </w:rPr>
        <w:t xml:space="preserve">sufficiently meets the </w:t>
      </w:r>
      <w:r w:rsidR="002F01F2" w:rsidRPr="000B6B42">
        <w:rPr>
          <w:b/>
        </w:rPr>
        <w:t xml:space="preserve">social and labour market </w:t>
      </w:r>
      <w:r w:rsidR="002E78A2" w:rsidRPr="000B6B42">
        <w:rPr>
          <w:b/>
        </w:rPr>
        <w:t xml:space="preserve">needs </w:t>
      </w:r>
      <w:r w:rsidR="00DC7E6A" w:rsidRPr="000B6B42">
        <w:rPr>
          <w:b/>
        </w:rPr>
        <w:t xml:space="preserve">of </w:t>
      </w:r>
      <w:r w:rsidR="002F01F2" w:rsidRPr="000B6B42">
        <w:rPr>
          <w:b/>
        </w:rPr>
        <w:t xml:space="preserve">young people </w:t>
      </w:r>
      <w:r w:rsidR="001A27B8">
        <w:rPr>
          <w:b/>
        </w:rPr>
        <w:t xml:space="preserve">in NI </w:t>
      </w:r>
      <w:r w:rsidR="002F01F2" w:rsidRPr="000B6B42">
        <w:rPr>
          <w:b/>
        </w:rPr>
        <w:t xml:space="preserve">previously supported </w:t>
      </w:r>
      <w:r w:rsidR="003A1855" w:rsidRPr="000B6B42">
        <w:rPr>
          <w:b/>
        </w:rPr>
        <w:t>by the European Social Fund</w:t>
      </w:r>
      <w:r w:rsidR="0085201E" w:rsidRPr="000B6B42">
        <w:rPr>
          <w:b/>
        </w:rPr>
        <w:t>, particularly</w:t>
      </w:r>
      <w:r w:rsidR="00527D40" w:rsidRPr="000B6B42">
        <w:rPr>
          <w:b/>
        </w:rPr>
        <w:t xml:space="preserve"> </w:t>
      </w:r>
      <w:r w:rsidR="0085201E" w:rsidRPr="000B6B42">
        <w:rPr>
          <w:b/>
        </w:rPr>
        <w:t>young persons with disabilities</w:t>
      </w:r>
      <w:r w:rsidR="003A1855" w:rsidRPr="000B6B42">
        <w:rPr>
          <w:b/>
        </w:rPr>
        <w:t xml:space="preserve"> </w:t>
      </w:r>
      <w:r w:rsidR="00D626AB" w:rsidRPr="000B6B42">
        <w:rPr>
          <w:b/>
        </w:rPr>
        <w:t>for whom the labour market is</w:t>
      </w:r>
      <w:r w:rsidR="003E0A32" w:rsidRPr="000B6B42">
        <w:rPr>
          <w:b/>
        </w:rPr>
        <w:t xml:space="preserve"> </w:t>
      </w:r>
      <w:r w:rsidR="00AC1272" w:rsidRPr="000B6B42">
        <w:rPr>
          <w:b/>
        </w:rPr>
        <w:t>disproportionately</w:t>
      </w:r>
      <w:r w:rsidR="00C962B9" w:rsidRPr="000B6B42">
        <w:rPr>
          <w:b/>
        </w:rPr>
        <w:t xml:space="preserve"> </w:t>
      </w:r>
      <w:r w:rsidR="00D626AB" w:rsidRPr="000B6B42">
        <w:rPr>
          <w:b/>
        </w:rPr>
        <w:t>inaccessible.</w:t>
      </w:r>
    </w:p>
    <w:p w14:paraId="146CBF9B" w14:textId="77777777" w:rsidR="005B6414" w:rsidRPr="00587912" w:rsidRDefault="005B6414" w:rsidP="006334AA">
      <w:pPr>
        <w:ind w:left="851" w:hanging="851"/>
      </w:pPr>
    </w:p>
    <w:p w14:paraId="0AF1B3B0" w14:textId="1D412C6A" w:rsidR="00AF1D69" w:rsidRPr="00587912" w:rsidRDefault="000B6B42" w:rsidP="006334AA">
      <w:pPr>
        <w:pStyle w:val="Heading1"/>
        <w:spacing w:before="0"/>
        <w:ind w:left="851" w:hanging="851"/>
      </w:pPr>
      <w:bookmarkStart w:id="83" w:name="_Toc121922244"/>
      <w:r>
        <w:t>20</w:t>
      </w:r>
      <w:r w:rsidR="00E31338">
        <w:t>.0</w:t>
      </w:r>
      <w:r w:rsidR="00E31338">
        <w:tab/>
      </w:r>
      <w:r w:rsidR="00FB6136" w:rsidRPr="008F3338">
        <w:t>Article 40 – Cr</w:t>
      </w:r>
      <w:r w:rsidR="00B17B48">
        <w:t>iminal Justice S</w:t>
      </w:r>
      <w:r w:rsidR="00FB6136" w:rsidRPr="008F3338">
        <w:t>ystem</w:t>
      </w:r>
      <w:bookmarkEnd w:id="83"/>
    </w:p>
    <w:p w14:paraId="16A6B7FC" w14:textId="237DBF78" w:rsidR="00F73816" w:rsidRPr="008705D9" w:rsidRDefault="00AD252D" w:rsidP="006334AA">
      <w:pPr>
        <w:pStyle w:val="Heading2"/>
        <w:ind w:left="851" w:hanging="851"/>
        <w:rPr>
          <w:szCs w:val="22"/>
        </w:rPr>
      </w:pPr>
      <w:bookmarkStart w:id="84" w:name="_Toc121922245"/>
      <w:r w:rsidRPr="00587912">
        <w:rPr>
          <w:szCs w:val="22"/>
        </w:rPr>
        <w:t>Age of criminal responsibility</w:t>
      </w:r>
      <w:bookmarkEnd w:id="84"/>
    </w:p>
    <w:p w14:paraId="4717A283" w14:textId="3DD459CA" w:rsidR="004523DD" w:rsidRPr="008705D9" w:rsidRDefault="004523DD" w:rsidP="006334AA">
      <w:pPr>
        <w:pStyle w:val="ListParagraph"/>
        <w:numPr>
          <w:ilvl w:val="1"/>
          <w:numId w:val="94"/>
        </w:numPr>
        <w:ind w:left="851" w:hanging="851"/>
        <w:rPr>
          <w:color w:val="000000"/>
        </w:rPr>
      </w:pPr>
      <w:r w:rsidRPr="00587912">
        <w:t xml:space="preserve">Despite </w:t>
      </w:r>
      <w:r>
        <w:t xml:space="preserve">the Committee’s </w:t>
      </w:r>
      <w:r w:rsidRPr="00587912">
        <w:t>previous recommendations,</w:t>
      </w:r>
      <w:r w:rsidRPr="00587912">
        <w:rPr>
          <w:rStyle w:val="FootnoteReference"/>
        </w:rPr>
        <w:footnoteReference w:id="365"/>
      </w:r>
      <w:r w:rsidRPr="00587912">
        <w:t xml:space="preserve"> the age of criminal responsibility remains at ten years </w:t>
      </w:r>
      <w:r>
        <w:t xml:space="preserve">old </w:t>
      </w:r>
      <w:r w:rsidRPr="00587912">
        <w:t>in NI, as in England and Wales.</w:t>
      </w:r>
      <w:r>
        <w:t xml:space="preserve"> </w:t>
      </w:r>
      <w:r>
        <w:rPr>
          <w:rFonts w:eastAsia="Verdana" w:cs="Verdana"/>
          <w:color w:val="000000"/>
        </w:rPr>
        <w:t>T</w:t>
      </w:r>
      <w:r w:rsidRPr="006473CF">
        <w:rPr>
          <w:rFonts w:eastAsia="Verdana" w:cs="Verdana"/>
          <w:color w:val="000000"/>
        </w:rPr>
        <w:t>he Age of Criminal Responsibility (Scotland) Act 2019 raise</w:t>
      </w:r>
      <w:r>
        <w:rPr>
          <w:rFonts w:eastAsia="Verdana" w:cs="Verdana"/>
          <w:color w:val="000000"/>
        </w:rPr>
        <w:t>d</w:t>
      </w:r>
      <w:r w:rsidRPr="006473CF">
        <w:rPr>
          <w:rFonts w:eastAsia="Verdana" w:cs="Verdana"/>
          <w:color w:val="000000"/>
        </w:rPr>
        <w:t xml:space="preserve"> the age of criminal resp</w:t>
      </w:r>
      <w:r>
        <w:rPr>
          <w:rFonts w:eastAsia="Verdana" w:cs="Verdana"/>
          <w:color w:val="000000"/>
        </w:rPr>
        <w:t>onsibility in Scotland to 12 years old</w:t>
      </w:r>
      <w:r w:rsidRPr="006473CF">
        <w:rPr>
          <w:rFonts w:eastAsia="Verdana" w:cs="Verdana"/>
          <w:color w:val="000000"/>
        </w:rPr>
        <w:t>.</w:t>
      </w:r>
    </w:p>
    <w:p w14:paraId="16857E1D" w14:textId="77777777" w:rsidR="008705D9" w:rsidRPr="004523DD" w:rsidRDefault="008705D9" w:rsidP="006334AA">
      <w:pPr>
        <w:pStyle w:val="ListParagraph"/>
        <w:ind w:left="851" w:hanging="851"/>
        <w:rPr>
          <w:color w:val="000000"/>
        </w:rPr>
      </w:pPr>
    </w:p>
    <w:p w14:paraId="5231CC67" w14:textId="41A1FD42" w:rsidR="004523DD" w:rsidRPr="008705D9" w:rsidRDefault="004523DD" w:rsidP="006334AA">
      <w:pPr>
        <w:pStyle w:val="ListParagraph"/>
        <w:numPr>
          <w:ilvl w:val="1"/>
          <w:numId w:val="94"/>
        </w:numPr>
        <w:ind w:left="851" w:hanging="851"/>
        <w:rPr>
          <w:color w:val="000000"/>
        </w:rPr>
      </w:pPr>
      <w:r w:rsidRPr="004523DD">
        <w:rPr>
          <w:rFonts w:eastAsia="Verdana" w:cs="Verdana"/>
          <w:color w:val="000000"/>
        </w:rPr>
        <w:t>In 2011, a Department of Justice review concluded that “</w:t>
      </w:r>
      <w:r w:rsidRPr="006473CF">
        <w:t>the minimum age should be increased to 12 forthwith and, following a period of review and preparation, perhaps to 14, which has some historical and current significance for criminal law in NI”.</w:t>
      </w:r>
      <w:r w:rsidRPr="006473CF">
        <w:rPr>
          <w:rStyle w:val="FootnoteReference"/>
        </w:rPr>
        <w:footnoteReference w:id="366"/>
      </w:r>
    </w:p>
    <w:p w14:paraId="7E7DA0AB" w14:textId="77777777" w:rsidR="008705D9" w:rsidRPr="008705D9" w:rsidRDefault="008705D9" w:rsidP="006334AA">
      <w:pPr>
        <w:ind w:left="851" w:hanging="851"/>
        <w:rPr>
          <w:color w:val="000000"/>
        </w:rPr>
      </w:pPr>
    </w:p>
    <w:p w14:paraId="61E80875" w14:textId="15DFF298" w:rsidR="008705D9" w:rsidRDefault="004523DD" w:rsidP="006334AA">
      <w:pPr>
        <w:pStyle w:val="ListParagraph"/>
        <w:numPr>
          <w:ilvl w:val="1"/>
          <w:numId w:val="94"/>
        </w:numPr>
        <w:ind w:left="851" w:hanging="851"/>
        <w:rPr>
          <w:color w:val="000000"/>
        </w:rPr>
      </w:pPr>
      <w:r>
        <w:t>The former Minister of Justice, Naomi Long MLA, made several attempts to progress this issue but has so far been unable to secure the necessary support from the NI Executive.</w:t>
      </w:r>
      <w:r>
        <w:rPr>
          <w:rStyle w:val="FootnoteReference"/>
        </w:rPr>
        <w:footnoteReference w:id="367"/>
      </w:r>
      <w:r>
        <w:t xml:space="preserve"> </w:t>
      </w:r>
      <w:r>
        <w:rPr>
          <w:color w:val="000000"/>
        </w:rPr>
        <w:t>In October 2022, the former Minister of Justice launched a public consultation on increasing the minimum age of criminal responsibility to 14 years old.</w:t>
      </w:r>
      <w:r>
        <w:rPr>
          <w:rStyle w:val="FootnoteReference"/>
          <w:color w:val="000000"/>
        </w:rPr>
        <w:footnoteReference w:id="368"/>
      </w:r>
      <w:r>
        <w:rPr>
          <w:color w:val="000000"/>
        </w:rPr>
        <w:t xml:space="preserve"> </w:t>
      </w:r>
    </w:p>
    <w:p w14:paraId="517A1B2E" w14:textId="77777777" w:rsidR="006C70A8" w:rsidRPr="006C70A8" w:rsidRDefault="006C70A8" w:rsidP="006334AA">
      <w:pPr>
        <w:ind w:left="851" w:hanging="851"/>
        <w:rPr>
          <w:color w:val="000000"/>
        </w:rPr>
      </w:pPr>
    </w:p>
    <w:p w14:paraId="19E69B77" w14:textId="2838CBED" w:rsidR="008705D9" w:rsidRPr="008705D9" w:rsidRDefault="008705D9" w:rsidP="006334AA">
      <w:pPr>
        <w:pStyle w:val="ListParagraph"/>
        <w:numPr>
          <w:ilvl w:val="1"/>
          <w:numId w:val="94"/>
        </w:numPr>
        <w:ind w:left="851" w:hanging="851"/>
        <w:rPr>
          <w:color w:val="000000"/>
        </w:rPr>
      </w:pPr>
      <w:r>
        <w:t>In 2021, there were 328 children under 14 who were dealt with by the formal justice system.</w:t>
      </w:r>
      <w:r>
        <w:rPr>
          <w:rStyle w:val="FootnoteReference"/>
        </w:rPr>
        <w:footnoteReference w:id="369"/>
      </w:r>
      <w:r>
        <w:t xml:space="preserve"> This included 99 children under 14 processed through the court system and 229 who were handed down a formal diversionary disposal.</w:t>
      </w:r>
      <w:r>
        <w:rPr>
          <w:rStyle w:val="FootnoteReference"/>
        </w:rPr>
        <w:footnoteReference w:id="370"/>
      </w:r>
      <w:r>
        <w:t xml:space="preserve"> </w:t>
      </w:r>
    </w:p>
    <w:p w14:paraId="25F410BA" w14:textId="77777777" w:rsidR="008705D9" w:rsidRPr="008705D9" w:rsidRDefault="008705D9" w:rsidP="006334AA">
      <w:pPr>
        <w:pStyle w:val="ListParagraph"/>
        <w:ind w:left="851" w:hanging="851"/>
        <w:rPr>
          <w:color w:val="000000"/>
        </w:rPr>
      </w:pPr>
    </w:p>
    <w:p w14:paraId="2445E543" w14:textId="7980E825" w:rsidR="008705D9" w:rsidRPr="008705D9" w:rsidRDefault="008705D9" w:rsidP="006334AA">
      <w:pPr>
        <w:pStyle w:val="ListParagraph"/>
        <w:numPr>
          <w:ilvl w:val="1"/>
          <w:numId w:val="94"/>
        </w:numPr>
        <w:ind w:left="851" w:hanging="851"/>
        <w:rPr>
          <w:b/>
          <w:color w:val="000000"/>
        </w:rPr>
      </w:pPr>
      <w:r w:rsidRPr="008705D9">
        <w:rPr>
          <w:b/>
        </w:rPr>
        <w:t xml:space="preserve">The Committee may wish to recommend that the State Party ensures prompt measures are taken to raise the minimum age of criminal responsibility to at least 14 years </w:t>
      </w:r>
      <w:r w:rsidR="00FF505B">
        <w:rPr>
          <w:b/>
        </w:rPr>
        <w:t>of age</w:t>
      </w:r>
      <w:r w:rsidR="00FF505B" w:rsidRPr="008705D9">
        <w:rPr>
          <w:b/>
        </w:rPr>
        <w:t xml:space="preserve"> </w:t>
      </w:r>
      <w:r w:rsidR="00516B9C">
        <w:rPr>
          <w:b/>
        </w:rPr>
        <w:t>in NI</w:t>
      </w:r>
      <w:r w:rsidRPr="008705D9">
        <w:rPr>
          <w:b/>
        </w:rPr>
        <w:t>.</w:t>
      </w:r>
    </w:p>
    <w:p w14:paraId="517EF440" w14:textId="77777777" w:rsidR="008705D9" w:rsidRPr="008705D9" w:rsidRDefault="008705D9" w:rsidP="006334AA">
      <w:pPr>
        <w:ind w:left="851" w:hanging="851"/>
        <w:rPr>
          <w:color w:val="000000"/>
        </w:rPr>
      </w:pPr>
    </w:p>
    <w:p w14:paraId="45F604DD" w14:textId="24D0DB2B" w:rsidR="008705D9" w:rsidRPr="008705D9" w:rsidRDefault="008705D9" w:rsidP="006334AA">
      <w:pPr>
        <w:pStyle w:val="Heading2"/>
        <w:ind w:left="851" w:hanging="851"/>
      </w:pPr>
      <w:bookmarkStart w:id="85" w:name="_Toc121922246"/>
      <w:r>
        <w:t>Remand of children</w:t>
      </w:r>
      <w:bookmarkEnd w:id="85"/>
    </w:p>
    <w:p w14:paraId="7AEEE181" w14:textId="77777777" w:rsidR="008705D9" w:rsidRDefault="000561A8" w:rsidP="006334AA">
      <w:pPr>
        <w:pStyle w:val="ListParagraph"/>
        <w:numPr>
          <w:ilvl w:val="1"/>
          <w:numId w:val="94"/>
        </w:numPr>
        <w:ind w:left="851" w:hanging="851"/>
        <w:rPr>
          <w:color w:val="000000"/>
        </w:rPr>
      </w:pPr>
      <w:r w:rsidRPr="004523DD">
        <w:rPr>
          <w:color w:val="000000"/>
        </w:rPr>
        <w:t>In 2021/2022, the total number of admissions to the Juvenile Justice Centre was 207.</w:t>
      </w:r>
      <w:r>
        <w:rPr>
          <w:rStyle w:val="FootnoteReference"/>
        </w:rPr>
        <w:footnoteReference w:id="371"/>
      </w:r>
      <w:r w:rsidRPr="004523DD">
        <w:rPr>
          <w:color w:val="000000"/>
        </w:rPr>
        <w:t xml:space="preserve"> Of these, 165 (79.7 per cent) were related to the Police and Criminal Evidence Order 1989 and 42 (20 per cent) related to remand.</w:t>
      </w:r>
      <w:r>
        <w:rPr>
          <w:rStyle w:val="FootnoteReference"/>
        </w:rPr>
        <w:footnoteReference w:id="372"/>
      </w:r>
      <w:r w:rsidRPr="004523DD">
        <w:rPr>
          <w:color w:val="000000"/>
        </w:rPr>
        <w:t xml:space="preserve"> </w:t>
      </w:r>
      <w:r>
        <w:t xml:space="preserve">Of the 165 </w:t>
      </w:r>
      <w:r w:rsidRPr="004523DD">
        <w:rPr>
          <w:color w:val="000000"/>
        </w:rPr>
        <w:t>Police and Criminal Evidence Order</w:t>
      </w:r>
      <w:r>
        <w:t xml:space="preserve"> admissions, 74 children were subsequently remanded by court or sentenced to custody.</w:t>
      </w:r>
      <w:r>
        <w:rPr>
          <w:rStyle w:val="FootnoteReference"/>
        </w:rPr>
        <w:footnoteReference w:id="373"/>
      </w:r>
      <w:r>
        <w:t xml:space="preserve"> </w:t>
      </w:r>
      <w:r w:rsidR="00AE2C3A">
        <w:t xml:space="preserve">In 2021/2022, </w:t>
      </w:r>
      <w:r w:rsidR="00AE2C3A" w:rsidRPr="004523DD">
        <w:rPr>
          <w:color w:val="000000"/>
        </w:rPr>
        <w:t>t</w:t>
      </w:r>
      <w:r w:rsidRPr="004523DD">
        <w:rPr>
          <w:color w:val="000000"/>
        </w:rPr>
        <w:t xml:space="preserve">he total average daily population in the Juvenile Justice Centre was nine children. Of these, seven were children on remand. </w:t>
      </w:r>
    </w:p>
    <w:p w14:paraId="394E155D" w14:textId="77777777" w:rsidR="008705D9" w:rsidRPr="008705D9" w:rsidRDefault="008705D9" w:rsidP="006334AA">
      <w:pPr>
        <w:pStyle w:val="ListParagraph"/>
        <w:ind w:left="851" w:hanging="851"/>
        <w:rPr>
          <w:rFonts w:eastAsia="Verdana" w:cs="Verdana"/>
          <w:color w:val="000000"/>
        </w:rPr>
      </w:pPr>
    </w:p>
    <w:p w14:paraId="228F31CC" w14:textId="7322038B" w:rsidR="00024174" w:rsidRPr="008705D9" w:rsidRDefault="004448ED" w:rsidP="006334AA">
      <w:pPr>
        <w:pStyle w:val="ListParagraph"/>
        <w:numPr>
          <w:ilvl w:val="1"/>
          <w:numId w:val="94"/>
        </w:numPr>
        <w:ind w:left="851" w:hanging="851"/>
        <w:rPr>
          <w:color w:val="000000"/>
        </w:rPr>
      </w:pPr>
      <w:r w:rsidRPr="008705D9">
        <w:rPr>
          <w:rFonts w:eastAsia="Verdana" w:cs="Verdana"/>
          <w:color w:val="000000"/>
        </w:rPr>
        <w:t>Of the 207 admissions</w:t>
      </w:r>
      <w:r w:rsidR="000C4DF3" w:rsidRPr="008705D9">
        <w:rPr>
          <w:rFonts w:eastAsia="Verdana" w:cs="Verdana"/>
          <w:color w:val="000000"/>
        </w:rPr>
        <w:t xml:space="preserve"> to the Juvenile Justice Centre in 2021/2022</w:t>
      </w:r>
      <w:r w:rsidRPr="008705D9">
        <w:rPr>
          <w:rFonts w:eastAsia="Verdana" w:cs="Verdana"/>
          <w:color w:val="000000"/>
        </w:rPr>
        <w:t>,</w:t>
      </w:r>
      <w:r w:rsidR="00B104AF" w:rsidRPr="008705D9">
        <w:rPr>
          <w:rFonts w:eastAsia="Verdana" w:cs="Verdana"/>
          <w:color w:val="000000"/>
        </w:rPr>
        <w:t xml:space="preserve"> 92</w:t>
      </w:r>
      <w:r w:rsidR="00024174" w:rsidRPr="008705D9">
        <w:rPr>
          <w:rFonts w:eastAsia="Verdana" w:cs="Verdana"/>
          <w:color w:val="000000"/>
        </w:rPr>
        <w:t xml:space="preserve"> </w:t>
      </w:r>
      <w:r w:rsidR="000C4DF3" w:rsidRPr="008705D9">
        <w:rPr>
          <w:rFonts w:eastAsia="Verdana" w:cs="Verdana"/>
          <w:color w:val="000000"/>
        </w:rPr>
        <w:t xml:space="preserve">were </w:t>
      </w:r>
      <w:r w:rsidR="00024174" w:rsidRPr="008705D9">
        <w:rPr>
          <w:rFonts w:eastAsia="Verdana" w:cs="Verdana"/>
          <w:color w:val="000000"/>
        </w:rPr>
        <w:t>care experienced children.</w:t>
      </w:r>
      <w:r w:rsidR="00024174">
        <w:rPr>
          <w:rStyle w:val="FootnoteReference"/>
          <w:color w:val="000000"/>
        </w:rPr>
        <w:footnoteReference w:id="374"/>
      </w:r>
      <w:r w:rsidR="00A92340" w:rsidRPr="008705D9">
        <w:rPr>
          <w:rFonts w:eastAsia="Verdana" w:cs="Verdana"/>
          <w:color w:val="000000"/>
        </w:rPr>
        <w:t xml:space="preserve"> </w:t>
      </w:r>
      <w:r w:rsidR="00024174" w:rsidRPr="00730CC5">
        <w:t xml:space="preserve">Cases involving children in care in NI are subject to particular delays in processing and release from the custody suite due to lack of provision of an appropriate adult from social services (for example, children’s home staff or an on-call social worker) </w:t>
      </w:r>
      <w:r w:rsidR="00673D00">
        <w:t>and</w:t>
      </w:r>
      <w:r w:rsidR="00024174" w:rsidRPr="00730CC5">
        <w:t xml:space="preserve"> the lack of alternative accommodation (for example, bail fostering or secure care) until they could be accepted back to their original children’s homes.</w:t>
      </w:r>
      <w:r w:rsidR="00024174" w:rsidRPr="00730CC5">
        <w:rPr>
          <w:rStyle w:val="FootnoteReference"/>
        </w:rPr>
        <w:footnoteReference w:id="375"/>
      </w:r>
      <w:r w:rsidR="00024174" w:rsidRPr="00730CC5">
        <w:t xml:space="preserve"> There have been </w:t>
      </w:r>
      <w:r w:rsidR="003D0CC7">
        <w:t>several</w:t>
      </w:r>
      <w:r w:rsidR="00024174" w:rsidRPr="00730CC5">
        <w:t xml:space="preserve"> legal challenges in NI confirming that suitable accommodation must be provided within a reasonable time, which is to be determined on a case-by-case basis.</w:t>
      </w:r>
      <w:r w:rsidR="00024174" w:rsidRPr="00730CC5">
        <w:rPr>
          <w:rStyle w:val="FootnoteReference"/>
        </w:rPr>
        <w:footnoteReference w:id="376"/>
      </w:r>
      <w:r w:rsidR="00024174" w:rsidRPr="00730CC5">
        <w:t xml:space="preserve"> </w:t>
      </w:r>
    </w:p>
    <w:p w14:paraId="58659AA1" w14:textId="77777777" w:rsidR="00854DDF" w:rsidRPr="00DF62AA" w:rsidRDefault="00854DDF" w:rsidP="006334AA">
      <w:pPr>
        <w:ind w:left="851" w:hanging="851"/>
        <w:rPr>
          <w:rFonts w:eastAsia="Verdana" w:cs="Verdana"/>
          <w:color w:val="000000"/>
        </w:rPr>
      </w:pPr>
    </w:p>
    <w:p w14:paraId="1EE28A37" w14:textId="6156D5F7" w:rsidR="003F1BAA" w:rsidRPr="008705D9" w:rsidRDefault="00EA34EE" w:rsidP="006334AA">
      <w:pPr>
        <w:pStyle w:val="ListParagraph"/>
        <w:numPr>
          <w:ilvl w:val="1"/>
          <w:numId w:val="94"/>
        </w:numPr>
        <w:ind w:left="851" w:hanging="851"/>
        <w:rPr>
          <w:color w:val="000000"/>
        </w:rPr>
      </w:pPr>
      <w:r w:rsidRPr="008705D9">
        <w:rPr>
          <w:rFonts w:eastAsia="Verdana" w:cs="Verdana"/>
          <w:color w:val="000000"/>
        </w:rPr>
        <w:t xml:space="preserve">In 2021, </w:t>
      </w:r>
      <w:r w:rsidR="00D45384">
        <w:rPr>
          <w:rFonts w:eastAsia="Verdana" w:cs="Verdana"/>
          <w:color w:val="000000"/>
        </w:rPr>
        <w:t>legislation proposals to</w:t>
      </w:r>
      <w:r w:rsidR="00C5605B" w:rsidRPr="008705D9">
        <w:rPr>
          <w:rFonts w:eastAsia="Verdana" w:cs="Verdana"/>
          <w:color w:val="000000"/>
        </w:rPr>
        <w:t xml:space="preserve"> “</w:t>
      </w:r>
      <w:r w:rsidR="00C5605B">
        <w:t xml:space="preserve">strengthen the right to bail for </w:t>
      </w:r>
      <w:proofErr w:type="gramStart"/>
      <w:r w:rsidR="00C5605B">
        <w:t>children, and</w:t>
      </w:r>
      <w:proofErr w:type="gramEnd"/>
      <w:r w:rsidR="00C5605B">
        <w:t xml:space="preserve"> introduce specific conditions which must be met before a child can be remanded into custody, with a view to ensuring that custody is used as a last resort”</w:t>
      </w:r>
      <w:r w:rsidR="00D45384">
        <w:t xml:space="preserve"> were not progressed.</w:t>
      </w:r>
      <w:r w:rsidR="00C5605B">
        <w:rPr>
          <w:rStyle w:val="FootnoteReference"/>
        </w:rPr>
        <w:footnoteReference w:id="377"/>
      </w:r>
      <w:r w:rsidR="00AF752D">
        <w:t xml:space="preserve"> </w:t>
      </w:r>
    </w:p>
    <w:p w14:paraId="73DD22E3" w14:textId="77777777" w:rsidR="003F1BAA" w:rsidRPr="003F1BAA" w:rsidRDefault="003F1BAA" w:rsidP="006334AA">
      <w:pPr>
        <w:pStyle w:val="ListParagraph"/>
        <w:ind w:left="851" w:hanging="851"/>
        <w:rPr>
          <w:color w:val="000000"/>
        </w:rPr>
      </w:pPr>
    </w:p>
    <w:p w14:paraId="1D9BCB05" w14:textId="53685670" w:rsidR="008705D9" w:rsidRDefault="003F1BAA" w:rsidP="006334AA">
      <w:pPr>
        <w:pStyle w:val="ListParagraph"/>
        <w:numPr>
          <w:ilvl w:val="1"/>
          <w:numId w:val="94"/>
        </w:numPr>
        <w:ind w:left="851" w:hanging="851"/>
        <w:rPr>
          <w:color w:val="000000"/>
        </w:rPr>
      </w:pPr>
      <w:r w:rsidRPr="008705D9">
        <w:rPr>
          <w:color w:val="000000"/>
        </w:rPr>
        <w:t xml:space="preserve">In September 2022, the Criminal Justice Inspection NI </w:t>
      </w:r>
      <w:r w:rsidR="003A25AF">
        <w:rPr>
          <w:color w:val="000000"/>
        </w:rPr>
        <w:t>noted</w:t>
      </w:r>
      <w:r w:rsidR="00D235F2">
        <w:rPr>
          <w:color w:val="000000"/>
        </w:rPr>
        <w:t xml:space="preserve"> </w:t>
      </w:r>
      <w:r w:rsidRPr="008705D9">
        <w:rPr>
          <w:color w:val="000000"/>
        </w:rPr>
        <w:t>high standards of care at the Juvenile Justice Centre</w:t>
      </w:r>
      <w:r w:rsidR="00634D0E" w:rsidRPr="008705D9">
        <w:rPr>
          <w:color w:val="000000"/>
        </w:rPr>
        <w:t>,</w:t>
      </w:r>
      <w:r>
        <w:rPr>
          <w:rStyle w:val="FootnoteReference"/>
          <w:color w:val="000000"/>
        </w:rPr>
        <w:footnoteReference w:id="378"/>
      </w:r>
      <w:r w:rsidR="00634D0E" w:rsidRPr="008705D9">
        <w:rPr>
          <w:color w:val="000000"/>
        </w:rPr>
        <w:t xml:space="preserve"> but reiterate</w:t>
      </w:r>
      <w:r w:rsidR="00830B41" w:rsidRPr="008705D9">
        <w:rPr>
          <w:color w:val="000000"/>
        </w:rPr>
        <w:t>d</w:t>
      </w:r>
      <w:r w:rsidR="00634D0E" w:rsidRPr="008705D9">
        <w:rPr>
          <w:color w:val="000000"/>
        </w:rPr>
        <w:t xml:space="preserve"> concerns</w:t>
      </w:r>
      <w:r w:rsidRPr="008705D9">
        <w:rPr>
          <w:color w:val="000000"/>
        </w:rPr>
        <w:t xml:space="preserve"> that </w:t>
      </w:r>
      <w:r w:rsidR="00830B41" w:rsidRPr="008705D9">
        <w:rPr>
          <w:color w:val="000000"/>
        </w:rPr>
        <w:t xml:space="preserve">the Centre </w:t>
      </w:r>
      <w:r w:rsidRPr="008705D9">
        <w:rPr>
          <w:color w:val="000000"/>
        </w:rPr>
        <w:t>is still being used too often as a place of safety due to a lack of available alternatives.</w:t>
      </w:r>
      <w:r>
        <w:rPr>
          <w:rStyle w:val="FootnoteReference"/>
          <w:color w:val="000000"/>
        </w:rPr>
        <w:footnoteReference w:id="379"/>
      </w:r>
    </w:p>
    <w:p w14:paraId="7CC83C1B" w14:textId="77777777" w:rsidR="008705D9" w:rsidRDefault="008705D9" w:rsidP="006334AA">
      <w:pPr>
        <w:pStyle w:val="ListParagraph"/>
        <w:ind w:left="851" w:hanging="851"/>
      </w:pPr>
    </w:p>
    <w:p w14:paraId="2D2EC1E1" w14:textId="77777777" w:rsidR="008705D9" w:rsidRDefault="00B936A0" w:rsidP="006334AA">
      <w:pPr>
        <w:pStyle w:val="ListParagraph"/>
        <w:numPr>
          <w:ilvl w:val="1"/>
          <w:numId w:val="94"/>
        </w:numPr>
        <w:ind w:left="851" w:hanging="851"/>
        <w:rPr>
          <w:color w:val="000000"/>
        </w:rPr>
      </w:pPr>
      <w:r w:rsidRPr="002A26D6">
        <w:t>In June 2022, the</w:t>
      </w:r>
      <w:r w:rsidR="00B6125B" w:rsidRPr="002A26D6">
        <w:t xml:space="preserve"> </w:t>
      </w:r>
      <w:r w:rsidR="00047B48" w:rsidRPr="002A26D6">
        <w:t xml:space="preserve">Department of Justice </w:t>
      </w:r>
      <w:r w:rsidRPr="002A26D6">
        <w:t xml:space="preserve">advised </w:t>
      </w:r>
      <w:r w:rsidR="007862CC" w:rsidRPr="002A26D6">
        <w:t>that</w:t>
      </w:r>
      <w:r w:rsidR="00B6125B" w:rsidRPr="002A26D6">
        <w:t xml:space="preserve"> legislati</w:t>
      </w:r>
      <w:r w:rsidR="007862CC" w:rsidRPr="002A26D6">
        <w:t xml:space="preserve">ve provisions aimed at </w:t>
      </w:r>
      <w:r w:rsidR="00FD209A" w:rsidRPr="002A26D6">
        <w:t xml:space="preserve">reducing the number of children held on </w:t>
      </w:r>
      <w:r w:rsidR="00B6125B" w:rsidRPr="002A26D6">
        <w:t>remand</w:t>
      </w:r>
      <w:r w:rsidR="008A5456" w:rsidRPr="002A26D6">
        <w:t xml:space="preserve"> have been drafted and will be brought forward in the next suitable legislative vehicle</w:t>
      </w:r>
      <w:r w:rsidR="00047B48" w:rsidRPr="002A26D6">
        <w:t>.</w:t>
      </w:r>
      <w:r w:rsidR="00830B41" w:rsidRPr="002A26D6">
        <w:rPr>
          <w:rStyle w:val="FootnoteReference"/>
        </w:rPr>
        <w:footnoteReference w:id="380"/>
      </w:r>
      <w:r w:rsidR="00047B48" w:rsidRPr="002A26D6">
        <w:t xml:space="preserve"> </w:t>
      </w:r>
      <w:r w:rsidR="001E63C5" w:rsidRPr="008705D9">
        <w:rPr>
          <w:color w:val="000000"/>
        </w:rPr>
        <w:t>Ho</w:t>
      </w:r>
      <w:r w:rsidR="00A43DF8" w:rsidRPr="008705D9">
        <w:rPr>
          <w:color w:val="000000"/>
        </w:rPr>
        <w:t>wever,</w:t>
      </w:r>
      <w:r w:rsidR="000761C1" w:rsidRPr="008705D9">
        <w:rPr>
          <w:color w:val="000000"/>
        </w:rPr>
        <w:t xml:space="preserve"> </w:t>
      </w:r>
      <w:r w:rsidR="004C1AC7" w:rsidRPr="008705D9">
        <w:rPr>
          <w:color w:val="000000"/>
        </w:rPr>
        <w:t xml:space="preserve">in absence of </w:t>
      </w:r>
      <w:r w:rsidR="005B003E" w:rsidRPr="008705D9">
        <w:rPr>
          <w:color w:val="000000"/>
        </w:rPr>
        <w:t>a functioning NI Assembly and NI Executive</w:t>
      </w:r>
      <w:r w:rsidR="002309DF" w:rsidRPr="008705D9">
        <w:rPr>
          <w:color w:val="000000"/>
        </w:rPr>
        <w:t>, this</w:t>
      </w:r>
      <w:r w:rsidR="005E7AEF" w:rsidRPr="008705D9">
        <w:rPr>
          <w:color w:val="000000"/>
        </w:rPr>
        <w:t xml:space="preserve"> has been delayed</w:t>
      </w:r>
      <w:r w:rsidR="004C5A09" w:rsidRPr="008705D9">
        <w:rPr>
          <w:color w:val="000000"/>
        </w:rPr>
        <w:t>.</w:t>
      </w:r>
    </w:p>
    <w:p w14:paraId="75D0A1C3" w14:textId="77777777" w:rsidR="008705D9" w:rsidRPr="008705D9" w:rsidRDefault="008705D9" w:rsidP="006334AA">
      <w:pPr>
        <w:pStyle w:val="ListParagraph"/>
        <w:ind w:left="851" w:hanging="851"/>
        <w:rPr>
          <w:rFonts w:eastAsia="Verdana" w:cs="Verdana"/>
          <w:b/>
          <w:color w:val="000000"/>
        </w:rPr>
      </w:pPr>
    </w:p>
    <w:p w14:paraId="27837EF0" w14:textId="58DB4979" w:rsidR="005532D3" w:rsidRPr="008705D9" w:rsidRDefault="00134DA1" w:rsidP="006334AA">
      <w:pPr>
        <w:pStyle w:val="ListParagraph"/>
        <w:numPr>
          <w:ilvl w:val="1"/>
          <w:numId w:val="94"/>
        </w:numPr>
        <w:ind w:left="851" w:hanging="851"/>
        <w:rPr>
          <w:b/>
          <w:color w:val="000000"/>
        </w:rPr>
      </w:pPr>
      <w:r w:rsidRPr="008705D9">
        <w:rPr>
          <w:rFonts w:eastAsia="Verdana" w:cs="Verdana"/>
          <w:b/>
          <w:color w:val="000000"/>
        </w:rPr>
        <w:t>The Committee may wish to recommend</w:t>
      </w:r>
      <w:r w:rsidR="0080061E" w:rsidRPr="008705D9">
        <w:rPr>
          <w:rFonts w:eastAsia="Verdana" w:cs="Verdana"/>
          <w:b/>
          <w:color w:val="000000"/>
        </w:rPr>
        <w:t xml:space="preserve"> that the </w:t>
      </w:r>
      <w:r w:rsidR="000979BA" w:rsidRPr="008705D9">
        <w:rPr>
          <w:rFonts w:eastAsia="Verdana" w:cs="Verdana"/>
          <w:b/>
          <w:color w:val="000000"/>
        </w:rPr>
        <w:t>State Party takes</w:t>
      </w:r>
      <w:r w:rsidR="00CC06CA" w:rsidRPr="008705D9">
        <w:rPr>
          <w:rFonts w:eastAsia="Verdana" w:cs="Verdana"/>
          <w:b/>
          <w:color w:val="000000"/>
        </w:rPr>
        <w:t xml:space="preserve"> </w:t>
      </w:r>
      <w:r w:rsidR="0067463B" w:rsidRPr="008705D9">
        <w:rPr>
          <w:rFonts w:eastAsia="Verdana" w:cs="Verdana"/>
          <w:b/>
          <w:color w:val="000000"/>
        </w:rPr>
        <w:t>effective</w:t>
      </w:r>
      <w:r w:rsidR="00CC06CA" w:rsidRPr="008705D9">
        <w:rPr>
          <w:rFonts w:eastAsia="Verdana" w:cs="Verdana"/>
          <w:b/>
          <w:color w:val="000000"/>
        </w:rPr>
        <w:t xml:space="preserve"> measures to </w:t>
      </w:r>
      <w:r w:rsidR="00827B2B" w:rsidRPr="008705D9">
        <w:rPr>
          <w:rFonts w:eastAsia="Verdana" w:cs="Verdana"/>
          <w:b/>
          <w:color w:val="000000"/>
        </w:rPr>
        <w:t xml:space="preserve">ensure </w:t>
      </w:r>
      <w:r w:rsidR="001439E9" w:rsidRPr="008705D9">
        <w:rPr>
          <w:b/>
        </w:rPr>
        <w:t xml:space="preserve">that </w:t>
      </w:r>
      <w:r w:rsidR="002B505A" w:rsidRPr="008705D9">
        <w:rPr>
          <w:b/>
        </w:rPr>
        <w:t>children</w:t>
      </w:r>
      <w:r w:rsidR="000D6017" w:rsidRPr="008705D9">
        <w:rPr>
          <w:b/>
        </w:rPr>
        <w:t xml:space="preserve"> </w:t>
      </w:r>
      <w:r w:rsidR="00A52708">
        <w:rPr>
          <w:b/>
        </w:rPr>
        <w:t>in NI</w:t>
      </w:r>
      <w:r w:rsidR="00CC06CA" w:rsidRPr="008705D9">
        <w:rPr>
          <w:b/>
        </w:rPr>
        <w:t xml:space="preserve"> </w:t>
      </w:r>
      <w:r w:rsidR="000D6017" w:rsidRPr="008705D9">
        <w:rPr>
          <w:b/>
        </w:rPr>
        <w:t>are</w:t>
      </w:r>
      <w:r w:rsidR="001439E9" w:rsidRPr="008705D9">
        <w:rPr>
          <w:b/>
        </w:rPr>
        <w:t xml:space="preserve"> only held in pre-trial detention as a measure of last resort and </w:t>
      </w:r>
      <w:r w:rsidR="00F442EE" w:rsidRPr="008705D9">
        <w:rPr>
          <w:b/>
        </w:rPr>
        <w:t>f</w:t>
      </w:r>
      <w:r w:rsidR="004B0A72" w:rsidRPr="008705D9">
        <w:rPr>
          <w:b/>
        </w:rPr>
        <w:t>or the shortest possible</w:t>
      </w:r>
      <w:r w:rsidR="00CF7D15" w:rsidRPr="008705D9">
        <w:rPr>
          <w:b/>
        </w:rPr>
        <w:t xml:space="preserve"> term</w:t>
      </w:r>
      <w:r w:rsidR="000979BA" w:rsidRPr="008705D9">
        <w:rPr>
          <w:b/>
        </w:rPr>
        <w:t>. This includes ensuring</w:t>
      </w:r>
      <w:r w:rsidR="00C132D8" w:rsidRPr="008705D9">
        <w:rPr>
          <w:b/>
        </w:rPr>
        <w:t xml:space="preserve"> </w:t>
      </w:r>
      <w:r w:rsidR="00D6476B" w:rsidRPr="008705D9">
        <w:rPr>
          <w:b/>
        </w:rPr>
        <w:t xml:space="preserve">that a range of </w:t>
      </w:r>
      <w:r w:rsidR="00230D98" w:rsidRPr="008705D9">
        <w:rPr>
          <w:b/>
        </w:rPr>
        <w:t xml:space="preserve">suitable </w:t>
      </w:r>
      <w:r w:rsidR="00D6476B" w:rsidRPr="008705D9">
        <w:rPr>
          <w:b/>
        </w:rPr>
        <w:t xml:space="preserve">non-custodial accommodation arrangements </w:t>
      </w:r>
      <w:r w:rsidR="002C2413" w:rsidRPr="008705D9">
        <w:rPr>
          <w:b/>
        </w:rPr>
        <w:t>are</w:t>
      </w:r>
      <w:r w:rsidR="00D6476B" w:rsidRPr="008705D9">
        <w:rPr>
          <w:b/>
        </w:rPr>
        <w:t xml:space="preserve"> available</w:t>
      </w:r>
      <w:r w:rsidR="002D0BC3" w:rsidRPr="008705D9">
        <w:rPr>
          <w:b/>
        </w:rPr>
        <w:t xml:space="preserve"> </w:t>
      </w:r>
      <w:r w:rsidR="00D6476B" w:rsidRPr="008705D9">
        <w:rPr>
          <w:b/>
        </w:rPr>
        <w:t xml:space="preserve">for children awaiting trial </w:t>
      </w:r>
      <w:r w:rsidR="00C71CE3">
        <w:rPr>
          <w:b/>
        </w:rPr>
        <w:t xml:space="preserve">in NI </w:t>
      </w:r>
      <w:r w:rsidR="00D6476B" w:rsidRPr="008705D9">
        <w:rPr>
          <w:b/>
        </w:rPr>
        <w:t>who cannot return to their homes</w:t>
      </w:r>
      <w:r w:rsidR="009B2E35" w:rsidRPr="008705D9">
        <w:rPr>
          <w:b/>
        </w:rPr>
        <w:t>.</w:t>
      </w:r>
    </w:p>
    <w:p w14:paraId="69045C01" w14:textId="77777777" w:rsidR="00D6476B" w:rsidRPr="00D6476B" w:rsidRDefault="00D6476B" w:rsidP="006334AA">
      <w:pPr>
        <w:ind w:left="851" w:hanging="851"/>
        <w:rPr>
          <w:rFonts w:eastAsia="Verdana" w:cs="Verdana"/>
          <w:color w:val="000000"/>
        </w:rPr>
      </w:pPr>
    </w:p>
    <w:p w14:paraId="669C4D97" w14:textId="1A7DEFC2" w:rsidR="004D4D89" w:rsidRPr="00F17C08" w:rsidRDefault="00847D93" w:rsidP="006334AA">
      <w:pPr>
        <w:pStyle w:val="Heading2"/>
        <w:ind w:left="851" w:hanging="851"/>
        <w:rPr>
          <w:rFonts w:eastAsiaTheme="minorHAnsi" w:cstheme="minorBidi"/>
        </w:rPr>
      </w:pPr>
      <w:bookmarkStart w:id="86" w:name="_Toc121922247"/>
      <w:r>
        <w:rPr>
          <w:rFonts w:eastAsia="Verdana"/>
        </w:rPr>
        <w:t>Secure accommodation</w:t>
      </w:r>
      <w:bookmarkEnd w:id="86"/>
    </w:p>
    <w:p w14:paraId="4A8C12D2" w14:textId="70AC6988" w:rsidR="008705D9" w:rsidRPr="008705D9" w:rsidRDefault="00F73816" w:rsidP="006334AA">
      <w:pPr>
        <w:pStyle w:val="ListParagraph"/>
        <w:numPr>
          <w:ilvl w:val="1"/>
          <w:numId w:val="94"/>
        </w:numPr>
        <w:ind w:left="851" w:hanging="851"/>
      </w:pPr>
      <w:r w:rsidRPr="008705D9">
        <w:rPr>
          <w:rFonts w:eastAsia="Verdana" w:cs="Verdana"/>
          <w:color w:val="000000"/>
        </w:rPr>
        <w:t>In 2018, the Department</w:t>
      </w:r>
      <w:r w:rsidR="00835837" w:rsidRPr="008705D9">
        <w:rPr>
          <w:rFonts w:eastAsia="Verdana" w:cs="Verdana"/>
          <w:color w:val="000000"/>
        </w:rPr>
        <w:t>s</w:t>
      </w:r>
      <w:r w:rsidRPr="008705D9">
        <w:rPr>
          <w:rFonts w:eastAsia="Verdana" w:cs="Verdana"/>
          <w:color w:val="000000"/>
        </w:rPr>
        <w:t xml:space="preserve"> of Health </w:t>
      </w:r>
      <w:r w:rsidR="00835837" w:rsidRPr="008705D9">
        <w:rPr>
          <w:rFonts w:eastAsia="Verdana" w:cs="Verdana"/>
          <w:color w:val="000000"/>
        </w:rPr>
        <w:t xml:space="preserve">and </w:t>
      </w:r>
      <w:r w:rsidRPr="008705D9">
        <w:rPr>
          <w:rFonts w:eastAsia="Verdana" w:cs="Verdana"/>
          <w:color w:val="000000"/>
        </w:rPr>
        <w:t>Justice published a review of regional specialist facilities for children and young people in NI that recommended</w:t>
      </w:r>
      <w:r w:rsidR="005B1B16" w:rsidRPr="008705D9">
        <w:rPr>
          <w:rFonts w:eastAsia="Verdana" w:cs="Verdana"/>
          <w:color w:val="000000"/>
        </w:rPr>
        <w:t xml:space="preserve"> the establishment of a new I</w:t>
      </w:r>
      <w:r w:rsidRPr="008705D9">
        <w:rPr>
          <w:rFonts w:eastAsia="Verdana" w:cs="Verdana"/>
          <w:color w:val="000000"/>
        </w:rPr>
        <w:t>ntegrated Regional Care and Justice Campus for NI.</w:t>
      </w:r>
      <w:r w:rsidRPr="005B1B16">
        <w:rPr>
          <w:rStyle w:val="FootnoteReference"/>
        </w:rPr>
        <w:footnoteReference w:id="381"/>
      </w:r>
      <w:r w:rsidRPr="008705D9">
        <w:rPr>
          <w:rFonts w:eastAsia="Verdana" w:cs="Verdana"/>
          <w:color w:val="000000"/>
        </w:rPr>
        <w:t xml:space="preserve"> In </w:t>
      </w:r>
      <w:r w:rsidR="00835837" w:rsidRPr="008705D9">
        <w:rPr>
          <w:rFonts w:eastAsia="Verdana" w:cs="Verdana"/>
          <w:color w:val="000000"/>
        </w:rPr>
        <w:t xml:space="preserve">October </w:t>
      </w:r>
      <w:r w:rsidRPr="008705D9">
        <w:rPr>
          <w:rFonts w:eastAsia="Verdana" w:cs="Verdana"/>
          <w:color w:val="000000"/>
        </w:rPr>
        <w:t>2020, a public consultation was conducted on the proposed plans.</w:t>
      </w:r>
      <w:r w:rsidRPr="005B1B16">
        <w:rPr>
          <w:rStyle w:val="FootnoteReference"/>
          <w:rFonts w:eastAsia="Verdana" w:cs="Verdana"/>
          <w:color w:val="000000"/>
        </w:rPr>
        <w:footnoteReference w:id="382"/>
      </w:r>
      <w:r w:rsidR="00921F5F" w:rsidRPr="008705D9">
        <w:rPr>
          <w:rFonts w:eastAsia="Verdana" w:cs="Verdana"/>
          <w:color w:val="000000"/>
        </w:rPr>
        <w:t xml:space="preserve"> </w:t>
      </w:r>
    </w:p>
    <w:p w14:paraId="1859AC64" w14:textId="77777777" w:rsidR="008705D9" w:rsidRPr="008705D9" w:rsidRDefault="008705D9" w:rsidP="006334AA">
      <w:pPr>
        <w:pStyle w:val="ListParagraph"/>
        <w:ind w:left="851" w:hanging="851"/>
      </w:pPr>
    </w:p>
    <w:p w14:paraId="5C74B14F" w14:textId="77777777" w:rsidR="008705D9" w:rsidRPr="008705D9" w:rsidRDefault="006F1569" w:rsidP="006334AA">
      <w:pPr>
        <w:pStyle w:val="ListParagraph"/>
        <w:numPr>
          <w:ilvl w:val="1"/>
          <w:numId w:val="94"/>
        </w:numPr>
        <w:ind w:left="851" w:hanging="851"/>
      </w:pPr>
      <w:r w:rsidRPr="008705D9">
        <w:rPr>
          <w:color w:val="000000"/>
        </w:rPr>
        <w:t>However, i</w:t>
      </w:r>
      <w:r w:rsidR="00E96274" w:rsidRPr="008705D9">
        <w:rPr>
          <w:color w:val="000000"/>
        </w:rPr>
        <w:t>n</w:t>
      </w:r>
      <w:r w:rsidR="00921F5F" w:rsidRPr="008705D9">
        <w:rPr>
          <w:color w:val="000000"/>
        </w:rPr>
        <w:t xml:space="preserve"> March 2022, the Ministers decided that the Woodlands Juvenile Justice Centre and the Lakewood Secure</w:t>
      </w:r>
      <w:r w:rsidR="00CD7495" w:rsidRPr="008705D9">
        <w:rPr>
          <w:color w:val="000000"/>
        </w:rPr>
        <w:t xml:space="preserve"> Care</w:t>
      </w:r>
      <w:r w:rsidR="00921F5F" w:rsidRPr="008705D9">
        <w:rPr>
          <w:color w:val="000000"/>
        </w:rPr>
        <w:t xml:space="preserve"> Centre will continue to operate independently</w:t>
      </w:r>
      <w:r w:rsidR="00885CAD" w:rsidRPr="008705D9">
        <w:rPr>
          <w:color w:val="000000"/>
        </w:rPr>
        <w:t xml:space="preserve"> </w:t>
      </w:r>
      <w:r w:rsidR="004261FB" w:rsidRPr="008705D9">
        <w:rPr>
          <w:color w:val="000000"/>
        </w:rPr>
        <w:t xml:space="preserve">with shared support </w:t>
      </w:r>
      <w:r w:rsidR="00885CAD" w:rsidRPr="008705D9">
        <w:rPr>
          <w:color w:val="000000"/>
        </w:rPr>
        <w:t>service</w:t>
      </w:r>
      <w:r w:rsidR="004261FB" w:rsidRPr="008705D9">
        <w:rPr>
          <w:color w:val="000000"/>
        </w:rPr>
        <w:t>s</w:t>
      </w:r>
      <w:r w:rsidR="00885CAD" w:rsidRPr="008705D9">
        <w:rPr>
          <w:color w:val="000000"/>
        </w:rPr>
        <w:t xml:space="preserve"> </w:t>
      </w:r>
      <w:r w:rsidR="00F55C23" w:rsidRPr="008705D9">
        <w:rPr>
          <w:color w:val="000000"/>
        </w:rPr>
        <w:t>under</w:t>
      </w:r>
      <w:r w:rsidR="0027738C" w:rsidRPr="008705D9">
        <w:rPr>
          <w:color w:val="000000"/>
        </w:rPr>
        <w:t xml:space="preserve"> </w:t>
      </w:r>
      <w:r w:rsidR="00921F5F" w:rsidRPr="008705D9">
        <w:rPr>
          <w:color w:val="000000"/>
        </w:rPr>
        <w:t>a formal partnership agreement and supported by a jointly management Partnership Board.</w:t>
      </w:r>
      <w:r w:rsidR="00921F5F">
        <w:rPr>
          <w:rStyle w:val="FootnoteReference"/>
        </w:rPr>
        <w:footnoteReference w:id="383"/>
      </w:r>
      <w:r w:rsidR="00921F5F" w:rsidRPr="008705D9">
        <w:rPr>
          <w:color w:val="000000"/>
        </w:rPr>
        <w:t xml:space="preserve"> </w:t>
      </w:r>
      <w:r w:rsidR="00CB3DE2" w:rsidRPr="008705D9">
        <w:rPr>
          <w:color w:val="000000"/>
        </w:rPr>
        <w:t>Work</w:t>
      </w:r>
      <w:r w:rsidR="008B2C8F" w:rsidRPr="008705D9">
        <w:rPr>
          <w:color w:val="000000"/>
        </w:rPr>
        <w:t xml:space="preserve"> is underway through the Regional Care and Justice Programme</w:t>
      </w:r>
      <w:r w:rsidR="00BA0978" w:rsidRPr="008705D9">
        <w:rPr>
          <w:color w:val="000000"/>
        </w:rPr>
        <w:t>.</w:t>
      </w:r>
      <w:r w:rsidR="00BA0978">
        <w:rPr>
          <w:rStyle w:val="FootnoteReference"/>
          <w:color w:val="000000"/>
        </w:rPr>
        <w:footnoteReference w:id="384"/>
      </w:r>
      <w:r w:rsidR="008704C3" w:rsidRPr="008705D9">
        <w:rPr>
          <w:color w:val="000000"/>
          <w:sz w:val="19"/>
          <w:szCs w:val="19"/>
          <w:shd w:val="clear" w:color="auto" w:fill="FFFFFF"/>
        </w:rPr>
        <w:t xml:space="preserve"> </w:t>
      </w:r>
    </w:p>
    <w:p w14:paraId="03C30C01" w14:textId="77777777" w:rsidR="008705D9" w:rsidRPr="008705D9" w:rsidRDefault="008705D9" w:rsidP="006334AA">
      <w:pPr>
        <w:pStyle w:val="ListParagraph"/>
        <w:ind w:left="851" w:hanging="851"/>
        <w:rPr>
          <w:color w:val="000000"/>
        </w:rPr>
      </w:pPr>
    </w:p>
    <w:p w14:paraId="24A70CC8" w14:textId="77777777" w:rsidR="008705D9" w:rsidRPr="008705D9" w:rsidRDefault="00E96274" w:rsidP="006334AA">
      <w:pPr>
        <w:pStyle w:val="ListParagraph"/>
        <w:numPr>
          <w:ilvl w:val="1"/>
          <w:numId w:val="94"/>
        </w:numPr>
        <w:ind w:left="851" w:hanging="851"/>
      </w:pPr>
      <w:r w:rsidRPr="008705D9">
        <w:rPr>
          <w:color w:val="000000"/>
        </w:rPr>
        <w:t>The Crimin</w:t>
      </w:r>
      <w:r w:rsidR="00C75A03" w:rsidRPr="008705D9">
        <w:rPr>
          <w:color w:val="000000"/>
        </w:rPr>
        <w:t xml:space="preserve">al Justice Inspection NI </w:t>
      </w:r>
      <w:r w:rsidR="00CF0CCD" w:rsidRPr="008705D9">
        <w:rPr>
          <w:color w:val="000000"/>
        </w:rPr>
        <w:t>is concerned</w:t>
      </w:r>
      <w:r w:rsidR="00726997" w:rsidRPr="008705D9">
        <w:rPr>
          <w:color w:val="000000"/>
        </w:rPr>
        <w:t xml:space="preserve"> that </w:t>
      </w:r>
      <w:r w:rsidR="00414BC2" w:rsidRPr="008705D9">
        <w:rPr>
          <w:color w:val="000000"/>
        </w:rPr>
        <w:t>the current operating model</w:t>
      </w:r>
      <w:r w:rsidR="00CF49F1" w:rsidRPr="008705D9">
        <w:rPr>
          <w:color w:val="000000"/>
        </w:rPr>
        <w:t xml:space="preserve"> is difficult to justify</w:t>
      </w:r>
      <w:r w:rsidR="00414BC2" w:rsidRPr="008705D9">
        <w:rPr>
          <w:color w:val="000000"/>
        </w:rPr>
        <w:t xml:space="preserve"> </w:t>
      </w:r>
      <w:proofErr w:type="gramStart"/>
      <w:r w:rsidR="00414BC2" w:rsidRPr="008705D9">
        <w:rPr>
          <w:color w:val="000000"/>
        </w:rPr>
        <w:t>in light of</w:t>
      </w:r>
      <w:proofErr w:type="gramEnd"/>
      <w:r w:rsidR="00414BC2" w:rsidRPr="008705D9">
        <w:rPr>
          <w:color w:val="000000"/>
        </w:rPr>
        <w:t xml:space="preserve"> ongoing uncertainty over budgets and pressures on social worker resources.</w:t>
      </w:r>
      <w:r w:rsidR="002F03E2">
        <w:rPr>
          <w:rStyle w:val="FootnoteReference"/>
          <w:color w:val="000000"/>
        </w:rPr>
        <w:footnoteReference w:id="385"/>
      </w:r>
      <w:r w:rsidR="00414BC2" w:rsidRPr="008705D9">
        <w:rPr>
          <w:color w:val="000000"/>
        </w:rPr>
        <w:t xml:space="preserve"> </w:t>
      </w:r>
      <w:r w:rsidR="00AF473B" w:rsidRPr="008705D9">
        <w:rPr>
          <w:color w:val="000000"/>
        </w:rPr>
        <w:t>The Lead Reviewer for the</w:t>
      </w:r>
      <w:r w:rsidR="0037720E" w:rsidRPr="008705D9">
        <w:rPr>
          <w:color w:val="000000"/>
        </w:rPr>
        <w:t xml:space="preserve"> Independent Review</w:t>
      </w:r>
      <w:r w:rsidR="00D55A5A" w:rsidRPr="008705D9">
        <w:rPr>
          <w:color w:val="000000"/>
        </w:rPr>
        <w:t xml:space="preserve"> of </w:t>
      </w:r>
      <w:r w:rsidR="0037720E" w:rsidRPr="008705D9">
        <w:rPr>
          <w:color w:val="000000"/>
        </w:rPr>
        <w:t xml:space="preserve">Children’s Social Care Services </w:t>
      </w:r>
      <w:r w:rsidR="00F66A0A" w:rsidRPr="008705D9">
        <w:rPr>
          <w:color w:val="000000"/>
        </w:rPr>
        <w:t xml:space="preserve">in NI </w:t>
      </w:r>
      <w:r w:rsidR="00D171A1" w:rsidRPr="008705D9">
        <w:rPr>
          <w:color w:val="000000"/>
        </w:rPr>
        <w:t xml:space="preserve">maintains an interest in </w:t>
      </w:r>
      <w:r w:rsidR="00C13146" w:rsidRPr="008705D9">
        <w:rPr>
          <w:color w:val="000000"/>
        </w:rPr>
        <w:t>progressing</w:t>
      </w:r>
      <w:r w:rsidR="00D171A1" w:rsidRPr="008705D9">
        <w:rPr>
          <w:color w:val="000000"/>
        </w:rPr>
        <w:t xml:space="preserve"> </w:t>
      </w:r>
      <w:r w:rsidR="00DF6056" w:rsidRPr="008705D9">
        <w:rPr>
          <w:color w:val="000000"/>
        </w:rPr>
        <w:t xml:space="preserve">plans for </w:t>
      </w:r>
      <w:r w:rsidR="00C13146" w:rsidRPr="008705D9">
        <w:rPr>
          <w:color w:val="000000"/>
        </w:rPr>
        <w:t xml:space="preserve">the </w:t>
      </w:r>
      <w:r w:rsidR="00DF6056" w:rsidRPr="008705D9">
        <w:rPr>
          <w:color w:val="000000"/>
        </w:rPr>
        <w:t>establish</w:t>
      </w:r>
      <w:r w:rsidR="00C13146" w:rsidRPr="008705D9">
        <w:rPr>
          <w:color w:val="000000"/>
        </w:rPr>
        <w:t>ment of</w:t>
      </w:r>
      <w:r w:rsidR="00DF6056" w:rsidRPr="008705D9">
        <w:rPr>
          <w:color w:val="000000"/>
        </w:rPr>
        <w:t xml:space="preserve"> a single Secure Care and Justice Centre.</w:t>
      </w:r>
      <w:r w:rsidR="005D0461">
        <w:rPr>
          <w:rStyle w:val="FootnoteReference"/>
          <w:color w:val="000000"/>
        </w:rPr>
        <w:footnoteReference w:id="386"/>
      </w:r>
    </w:p>
    <w:p w14:paraId="37A221C2" w14:textId="77777777" w:rsidR="008705D9" w:rsidRPr="008705D9" w:rsidRDefault="008705D9" w:rsidP="006334AA">
      <w:pPr>
        <w:pStyle w:val="ListParagraph"/>
        <w:ind w:left="851" w:hanging="851"/>
        <w:rPr>
          <w:b/>
          <w:bCs/>
        </w:rPr>
      </w:pPr>
    </w:p>
    <w:p w14:paraId="7E98519A" w14:textId="3555E7E0" w:rsidR="00DD2961" w:rsidRPr="00FF6A58" w:rsidRDefault="00DD2961" w:rsidP="006334AA">
      <w:pPr>
        <w:pStyle w:val="ListParagraph"/>
        <w:numPr>
          <w:ilvl w:val="1"/>
          <w:numId w:val="94"/>
        </w:numPr>
        <w:ind w:left="851" w:hanging="851"/>
        <w:rPr>
          <w:b/>
          <w:bCs/>
        </w:rPr>
      </w:pPr>
      <w:r w:rsidRPr="00FF6A58">
        <w:rPr>
          <w:b/>
          <w:bCs/>
        </w:rPr>
        <w:t>The Committee may wish to recommend that the State Party guarantees that secure accommodation is used as a measure of last resort and for the shortest possible period in practice</w:t>
      </w:r>
      <w:r w:rsidR="00C71CE3">
        <w:rPr>
          <w:b/>
          <w:bCs/>
        </w:rPr>
        <w:t xml:space="preserve"> in NI</w:t>
      </w:r>
      <w:r w:rsidRPr="00FF6A58">
        <w:rPr>
          <w:b/>
          <w:bCs/>
        </w:rPr>
        <w:t xml:space="preserve">, requiring the development of suitably resourced and accessible alternatives. This requires ensuring that effective and cost-efficient measures are in place, for example through </w:t>
      </w:r>
      <w:r w:rsidRPr="00FF6A58">
        <w:rPr>
          <w:b/>
          <w:bCs/>
          <w:color w:val="000000"/>
        </w:rPr>
        <w:t xml:space="preserve">the Regional Care and Justice Programme, to ensure children in secure accommodation in NI are provided with consistent and appropriate support when secure accommodation is </w:t>
      </w:r>
      <w:r w:rsidRPr="00FF6A58">
        <w:rPr>
          <w:b/>
          <w:bCs/>
        </w:rPr>
        <w:t>necessary as a measure of last resort.</w:t>
      </w:r>
    </w:p>
    <w:p w14:paraId="3C092F62" w14:textId="77777777" w:rsidR="00950DA1" w:rsidRPr="00950DA1" w:rsidRDefault="00950DA1" w:rsidP="006334AA">
      <w:pPr>
        <w:ind w:left="851" w:hanging="851"/>
        <w:rPr>
          <w:b/>
        </w:rPr>
      </w:pPr>
    </w:p>
    <w:p w14:paraId="23533579" w14:textId="4202E880" w:rsidR="0091659F" w:rsidRPr="00587912" w:rsidRDefault="00127438" w:rsidP="006334AA">
      <w:pPr>
        <w:pStyle w:val="Heading1"/>
        <w:spacing w:before="0"/>
        <w:ind w:left="851" w:hanging="851"/>
      </w:pPr>
      <w:bookmarkStart w:id="87" w:name="_Toc121922248"/>
      <w:r>
        <w:t>2</w:t>
      </w:r>
      <w:r w:rsidR="008705D9">
        <w:t>1</w:t>
      </w:r>
      <w:r w:rsidR="00B17B48">
        <w:t>.0</w:t>
      </w:r>
      <w:r w:rsidR="00B17B48">
        <w:tab/>
        <w:t>Article 34 – Sexual E</w:t>
      </w:r>
      <w:r w:rsidR="00FB6136" w:rsidRPr="008E17CC">
        <w:t>xploitation</w:t>
      </w:r>
      <w:bookmarkEnd w:id="87"/>
    </w:p>
    <w:p w14:paraId="16668661" w14:textId="77777777" w:rsidR="00127438" w:rsidRPr="00127438" w:rsidRDefault="00127438" w:rsidP="006334AA">
      <w:pPr>
        <w:pStyle w:val="ListParagraph"/>
        <w:numPr>
          <w:ilvl w:val="0"/>
          <w:numId w:val="7"/>
        </w:numPr>
        <w:spacing w:line="276" w:lineRule="auto"/>
        <w:ind w:left="851" w:hanging="851"/>
        <w:rPr>
          <w:rFonts w:eastAsia="Verdana" w:cs="Verdana"/>
          <w:vanish/>
          <w:color w:val="000000"/>
        </w:rPr>
      </w:pPr>
    </w:p>
    <w:p w14:paraId="44954FC9" w14:textId="77777777" w:rsidR="00127438" w:rsidRPr="00127438" w:rsidRDefault="00127438" w:rsidP="006334AA">
      <w:pPr>
        <w:pStyle w:val="ListParagraph"/>
        <w:numPr>
          <w:ilvl w:val="0"/>
          <w:numId w:val="7"/>
        </w:numPr>
        <w:spacing w:line="276" w:lineRule="auto"/>
        <w:ind w:left="851" w:hanging="851"/>
        <w:rPr>
          <w:rFonts w:eastAsia="Verdana" w:cs="Verdana"/>
          <w:vanish/>
          <w:color w:val="000000"/>
        </w:rPr>
      </w:pPr>
    </w:p>
    <w:p w14:paraId="4E18BBE6" w14:textId="47C83B75" w:rsidR="00F70013" w:rsidRPr="00765AA5" w:rsidRDefault="0066723E" w:rsidP="006334AA">
      <w:pPr>
        <w:pStyle w:val="Heading2"/>
        <w:ind w:left="851" w:hanging="851"/>
        <w:rPr>
          <w:szCs w:val="22"/>
        </w:rPr>
      </w:pPr>
      <w:bookmarkStart w:id="88" w:name="_Toc121922249"/>
      <w:r w:rsidRPr="00587912">
        <w:rPr>
          <w:szCs w:val="22"/>
        </w:rPr>
        <w:t>Child sexual exploitation</w:t>
      </w:r>
      <w:bookmarkEnd w:id="88"/>
      <w:r w:rsidRPr="00587912">
        <w:rPr>
          <w:szCs w:val="22"/>
        </w:rPr>
        <w:t xml:space="preserve"> </w:t>
      </w:r>
    </w:p>
    <w:p w14:paraId="026093F4" w14:textId="260D9FD7" w:rsidR="00F70013" w:rsidRPr="008705D9" w:rsidRDefault="00140E3B" w:rsidP="006334AA">
      <w:pPr>
        <w:pStyle w:val="ListParagraph"/>
        <w:numPr>
          <w:ilvl w:val="1"/>
          <w:numId w:val="95"/>
        </w:numPr>
        <w:spacing w:line="276" w:lineRule="auto"/>
        <w:ind w:left="851" w:hanging="851"/>
        <w:rPr>
          <w:rFonts w:eastAsia="Verdana" w:cs="Verdana"/>
          <w:color w:val="000000"/>
        </w:rPr>
      </w:pPr>
      <w:r w:rsidRPr="008705D9">
        <w:rPr>
          <w:rFonts w:eastAsia="Verdana" w:cs="Verdana"/>
          <w:color w:val="000000"/>
        </w:rPr>
        <w:t>The UN CRC</w:t>
      </w:r>
      <w:r w:rsidR="00F70013" w:rsidRPr="008705D9">
        <w:rPr>
          <w:rFonts w:eastAsia="Verdana" w:cs="Verdana"/>
          <w:color w:val="000000"/>
        </w:rPr>
        <w:t xml:space="preserve"> Committee</w:t>
      </w:r>
      <w:r w:rsidR="005B450F" w:rsidRPr="008705D9">
        <w:rPr>
          <w:rFonts w:eastAsia="Verdana" w:cs="Verdana"/>
          <w:color w:val="000000"/>
        </w:rPr>
        <w:t xml:space="preserve"> </w:t>
      </w:r>
      <w:r w:rsidR="00F70013" w:rsidRPr="008705D9">
        <w:rPr>
          <w:rFonts w:eastAsia="Verdana" w:cs="Verdana"/>
          <w:color w:val="000000"/>
        </w:rPr>
        <w:t>recommended to shift the burden of proof from the prosecution to the perpetrator for specific sexual offences against children between 13 and 16 years of age</w:t>
      </w:r>
      <w:r w:rsidR="008115C8" w:rsidRPr="008705D9">
        <w:rPr>
          <w:rFonts w:eastAsia="Verdana" w:cs="Verdana"/>
          <w:color w:val="000000"/>
        </w:rPr>
        <w:t xml:space="preserve">, </w:t>
      </w:r>
      <w:r w:rsidR="00BB2F59" w:rsidRPr="008705D9">
        <w:rPr>
          <w:rFonts w:eastAsia="Verdana" w:cs="Verdana"/>
          <w:color w:val="000000"/>
        </w:rPr>
        <w:t>noting concerns regarding the risk of re-victimisation during cross-examinations of child victims</w:t>
      </w:r>
      <w:r w:rsidR="00F70013" w:rsidRPr="008705D9">
        <w:rPr>
          <w:rFonts w:eastAsia="Verdana" w:cs="Verdana"/>
          <w:color w:val="000000"/>
        </w:rPr>
        <w:t>.</w:t>
      </w:r>
      <w:r w:rsidR="00F70013" w:rsidRPr="00587912">
        <w:rPr>
          <w:rStyle w:val="FootnoteReference"/>
        </w:rPr>
        <w:footnoteReference w:id="387"/>
      </w:r>
      <w:r w:rsidR="00F70013" w:rsidRPr="008705D9">
        <w:rPr>
          <w:rFonts w:eastAsia="Verdana" w:cs="Verdana"/>
          <w:color w:val="000000"/>
        </w:rPr>
        <w:t xml:space="preserve"> </w:t>
      </w:r>
    </w:p>
    <w:p w14:paraId="59C500E3" w14:textId="77777777" w:rsidR="00221AD6" w:rsidRDefault="00221AD6" w:rsidP="006334AA">
      <w:pPr>
        <w:pStyle w:val="ListParagraph"/>
        <w:spacing w:line="276" w:lineRule="auto"/>
        <w:ind w:left="851" w:hanging="851"/>
        <w:rPr>
          <w:rFonts w:eastAsia="Verdana" w:cs="Verdana"/>
          <w:color w:val="000000"/>
        </w:rPr>
      </w:pPr>
    </w:p>
    <w:p w14:paraId="7042FDEC" w14:textId="77777777" w:rsidR="00221AD6" w:rsidRPr="00F70013" w:rsidRDefault="00221AD6" w:rsidP="006334AA">
      <w:pPr>
        <w:pStyle w:val="ListParagraph"/>
        <w:numPr>
          <w:ilvl w:val="1"/>
          <w:numId w:val="95"/>
        </w:numPr>
        <w:spacing w:line="276" w:lineRule="auto"/>
        <w:ind w:left="851" w:hanging="851"/>
        <w:rPr>
          <w:rFonts w:eastAsia="Verdana" w:cs="Verdana"/>
          <w:color w:val="000000"/>
        </w:rPr>
      </w:pPr>
      <w:r>
        <w:t>In NI, under the Sexual Offences (NI) Order 2008, for certain offences of sexual exploitation of children aged between 13 and 16 years old, a defendant may claim that he/she believed the victim to be above 16 years old. The onus is on the prosecution to prove the defendant did not reasonably believe this.</w:t>
      </w:r>
      <w:r>
        <w:rPr>
          <w:rStyle w:val="FootnoteReference"/>
        </w:rPr>
        <w:footnoteReference w:id="388"/>
      </w:r>
      <w:r>
        <w:t xml:space="preserve"> </w:t>
      </w:r>
    </w:p>
    <w:p w14:paraId="6BDFAB83" w14:textId="77777777" w:rsidR="00786C25" w:rsidRPr="00786C25" w:rsidRDefault="00786C25" w:rsidP="006334AA">
      <w:pPr>
        <w:pStyle w:val="ListParagraph"/>
        <w:ind w:left="851" w:hanging="851"/>
        <w:rPr>
          <w:rFonts w:eastAsia="Verdana" w:cs="Verdana"/>
          <w:color w:val="000000"/>
        </w:rPr>
      </w:pPr>
    </w:p>
    <w:p w14:paraId="4A8BD82C" w14:textId="3AB720C2" w:rsidR="005338F6" w:rsidRPr="0011481F" w:rsidRDefault="00786C25" w:rsidP="006334AA">
      <w:pPr>
        <w:pStyle w:val="ListParagraph"/>
        <w:numPr>
          <w:ilvl w:val="1"/>
          <w:numId w:val="95"/>
        </w:numPr>
        <w:spacing w:line="276" w:lineRule="auto"/>
        <w:ind w:left="851" w:hanging="851"/>
        <w:rPr>
          <w:rFonts w:eastAsia="Verdana" w:cs="Verdana"/>
          <w:color w:val="000000"/>
        </w:rPr>
      </w:pPr>
      <w:r>
        <w:rPr>
          <w:rFonts w:eastAsia="Verdana" w:cs="Verdana"/>
          <w:color w:val="000000"/>
        </w:rPr>
        <w:t>The</w:t>
      </w:r>
      <w:r>
        <w:rPr>
          <w:color w:val="000000"/>
        </w:rPr>
        <w:t xml:space="preserve"> </w:t>
      </w:r>
      <w:r w:rsidRPr="00C11D88">
        <w:rPr>
          <w:color w:val="000000"/>
        </w:rPr>
        <w:t>Justice (Sexual Offences and Trafficking Victims) Act (NI) 2022</w:t>
      </w:r>
      <w:r>
        <w:rPr>
          <w:color w:val="000000"/>
        </w:rPr>
        <w:t xml:space="preserve"> </w:t>
      </w:r>
      <w:r w:rsidR="00384E70">
        <w:rPr>
          <w:rFonts w:eastAsia="Verdana" w:cs="Verdana"/>
          <w:color w:val="000000"/>
        </w:rPr>
        <w:t>makes improvements to</w:t>
      </w:r>
      <w:r>
        <w:rPr>
          <w:rFonts w:eastAsia="Verdana" w:cs="Verdana"/>
          <w:color w:val="000000"/>
        </w:rPr>
        <w:t xml:space="preserve"> NI’s legislative framework</w:t>
      </w:r>
      <w:r>
        <w:rPr>
          <w:color w:val="000000"/>
        </w:rPr>
        <w:t>.</w:t>
      </w:r>
      <w:r>
        <w:rPr>
          <w:rStyle w:val="FootnoteReference"/>
          <w:color w:val="000000"/>
        </w:rPr>
        <w:footnoteReference w:id="389"/>
      </w:r>
      <w:r w:rsidRPr="00C11D88">
        <w:rPr>
          <w:color w:val="000000"/>
        </w:rPr>
        <w:t xml:space="preserve"> </w:t>
      </w:r>
      <w:r>
        <w:rPr>
          <w:color w:val="000000"/>
        </w:rPr>
        <w:t>However, i</w:t>
      </w:r>
      <w:r w:rsidRPr="00C11D88">
        <w:rPr>
          <w:color w:val="000000"/>
        </w:rPr>
        <w:t xml:space="preserve">t </w:t>
      </w:r>
      <w:r w:rsidR="00221AD6" w:rsidRPr="00C11D88">
        <w:rPr>
          <w:color w:val="000000"/>
        </w:rPr>
        <w:t>d</w:t>
      </w:r>
      <w:r w:rsidR="00221AD6">
        <w:rPr>
          <w:color w:val="000000"/>
        </w:rPr>
        <w:t>oes</w:t>
      </w:r>
      <w:r w:rsidR="00221AD6" w:rsidRPr="00C11D88">
        <w:rPr>
          <w:color w:val="000000"/>
        </w:rPr>
        <w:t xml:space="preserve"> </w:t>
      </w:r>
      <w:r w:rsidRPr="00C11D88">
        <w:rPr>
          <w:color w:val="000000"/>
        </w:rPr>
        <w:t>not include</w:t>
      </w:r>
      <w:r w:rsidRPr="00C11D88">
        <w:rPr>
          <w:rFonts w:eastAsia="Verdana" w:cs="Verdana"/>
          <w:color w:val="000000"/>
        </w:rPr>
        <w:t xml:space="preserve"> </w:t>
      </w:r>
      <w:r>
        <w:rPr>
          <w:rFonts w:eastAsia="Verdana" w:cs="Verdana"/>
          <w:color w:val="000000"/>
        </w:rPr>
        <w:t xml:space="preserve">provisions to reverse the burden of </w:t>
      </w:r>
      <w:r w:rsidR="008C3CB0">
        <w:rPr>
          <w:rFonts w:eastAsia="Verdana" w:cs="Verdana"/>
          <w:color w:val="000000"/>
        </w:rPr>
        <w:t>proof regarding the defence of reas</w:t>
      </w:r>
      <w:r w:rsidR="00772DB0">
        <w:rPr>
          <w:rFonts w:eastAsia="Verdana" w:cs="Verdana"/>
          <w:color w:val="000000"/>
        </w:rPr>
        <w:t xml:space="preserve">onable belief as legal practitioners </w:t>
      </w:r>
      <w:r w:rsidR="006302E0">
        <w:rPr>
          <w:rFonts w:eastAsia="Verdana" w:cs="Verdana"/>
          <w:color w:val="000000"/>
        </w:rPr>
        <w:t>have raised concerns that it would erode the presumption of innocence and the right to a fair trial of the accused</w:t>
      </w:r>
      <w:r w:rsidR="001E3EBB">
        <w:rPr>
          <w:rFonts w:eastAsia="Verdana" w:cs="Verdana"/>
          <w:color w:val="000000"/>
        </w:rPr>
        <w:t>.</w:t>
      </w:r>
      <w:r w:rsidR="003F66B2">
        <w:rPr>
          <w:rStyle w:val="FootnoteReference"/>
          <w:rFonts w:eastAsia="Verdana" w:cs="Verdana"/>
          <w:color w:val="000000"/>
        </w:rPr>
        <w:footnoteReference w:id="390"/>
      </w:r>
      <w:r w:rsidR="001E3EBB">
        <w:rPr>
          <w:rFonts w:eastAsia="Verdana" w:cs="Verdana"/>
          <w:color w:val="000000"/>
        </w:rPr>
        <w:t xml:space="preserve"> </w:t>
      </w:r>
      <w:r w:rsidR="00821ABD">
        <w:t>The Department</w:t>
      </w:r>
      <w:r w:rsidR="00FE7DAB">
        <w:t xml:space="preserve"> </w:t>
      </w:r>
      <w:r w:rsidR="009304B2">
        <w:t xml:space="preserve">of Justice </w:t>
      </w:r>
      <w:r w:rsidR="00FE7DAB">
        <w:t xml:space="preserve">intends to </w:t>
      </w:r>
      <w:r w:rsidR="00B72809">
        <w:t>explore this issue further</w:t>
      </w:r>
      <w:r w:rsidR="00EE5494">
        <w:t xml:space="preserve"> before making</w:t>
      </w:r>
      <w:r w:rsidR="009C3A5D">
        <w:t xml:space="preserve"> legislative proposals</w:t>
      </w:r>
      <w:r w:rsidR="003F0D6E">
        <w:t xml:space="preserve">, however this </w:t>
      </w:r>
      <w:r w:rsidR="0074064F">
        <w:t>is</w:t>
      </w:r>
      <w:r w:rsidR="001731E7">
        <w:t xml:space="preserve"> subject to delay due to the suspension of the NI Executive</w:t>
      </w:r>
      <w:r w:rsidR="00B72809">
        <w:t>.</w:t>
      </w:r>
      <w:r w:rsidR="00847FCA">
        <w:rPr>
          <w:rStyle w:val="FootnoteReference"/>
        </w:rPr>
        <w:footnoteReference w:id="391"/>
      </w:r>
    </w:p>
    <w:p w14:paraId="1AA1F997" w14:textId="77777777" w:rsidR="0011481F" w:rsidRPr="0011481F" w:rsidRDefault="0011481F" w:rsidP="006334AA">
      <w:pPr>
        <w:spacing w:line="276" w:lineRule="auto"/>
        <w:ind w:left="851" w:hanging="851"/>
        <w:rPr>
          <w:rFonts w:eastAsia="Verdana" w:cs="Verdana"/>
          <w:color w:val="000000"/>
        </w:rPr>
      </w:pPr>
    </w:p>
    <w:p w14:paraId="7932A812" w14:textId="35EDBB35" w:rsidR="008C7AF5" w:rsidRDefault="005338F6" w:rsidP="006334AA">
      <w:pPr>
        <w:pStyle w:val="ListParagraph"/>
        <w:numPr>
          <w:ilvl w:val="1"/>
          <w:numId w:val="95"/>
        </w:numPr>
        <w:spacing w:line="276" w:lineRule="auto"/>
        <w:ind w:left="851" w:hanging="851"/>
        <w:rPr>
          <w:rFonts w:eastAsia="Verdana" w:cs="Verdana"/>
          <w:color w:val="000000"/>
        </w:rPr>
      </w:pPr>
      <w:r>
        <w:rPr>
          <w:rFonts w:eastAsia="Verdana" w:cs="Verdana"/>
          <w:color w:val="000000"/>
        </w:rPr>
        <w:t xml:space="preserve">In </w:t>
      </w:r>
      <w:r w:rsidR="000F1741">
        <w:rPr>
          <w:rFonts w:eastAsia="Verdana" w:cs="Verdana"/>
          <w:color w:val="000000"/>
        </w:rPr>
        <w:t>202</w:t>
      </w:r>
      <w:r w:rsidR="0020261E">
        <w:rPr>
          <w:rFonts w:eastAsia="Verdana" w:cs="Verdana"/>
          <w:color w:val="000000"/>
        </w:rPr>
        <w:t>1/</w:t>
      </w:r>
      <w:r w:rsidR="009304B2">
        <w:rPr>
          <w:rFonts w:eastAsia="Verdana" w:cs="Verdana"/>
          <w:color w:val="000000"/>
        </w:rPr>
        <w:t>20</w:t>
      </w:r>
      <w:r w:rsidR="0020261E">
        <w:rPr>
          <w:rFonts w:eastAsia="Verdana" w:cs="Verdana"/>
          <w:color w:val="000000"/>
        </w:rPr>
        <w:t>22</w:t>
      </w:r>
      <w:r>
        <w:rPr>
          <w:rFonts w:eastAsia="Verdana" w:cs="Verdana"/>
          <w:color w:val="000000"/>
        </w:rPr>
        <w:t xml:space="preserve">, </w:t>
      </w:r>
      <w:r w:rsidR="004641E7">
        <w:rPr>
          <w:rFonts w:eastAsia="Verdana" w:cs="Verdana"/>
          <w:color w:val="000000"/>
        </w:rPr>
        <w:t>of 3,</w:t>
      </w:r>
      <w:r w:rsidR="00820972">
        <w:rPr>
          <w:rFonts w:eastAsia="Verdana" w:cs="Verdana"/>
          <w:color w:val="000000"/>
        </w:rPr>
        <w:t>995</w:t>
      </w:r>
      <w:r w:rsidR="004641E7">
        <w:rPr>
          <w:rFonts w:eastAsia="Verdana" w:cs="Verdana"/>
          <w:color w:val="000000"/>
        </w:rPr>
        <w:t xml:space="preserve"> sexual offences recorded in NI, </w:t>
      </w:r>
      <w:r w:rsidR="0020261E">
        <w:rPr>
          <w:rFonts w:eastAsia="Verdana" w:cs="Verdana"/>
          <w:color w:val="000000"/>
        </w:rPr>
        <w:t>2,27</w:t>
      </w:r>
      <w:r w:rsidR="00820972">
        <w:rPr>
          <w:rFonts w:eastAsia="Verdana" w:cs="Verdana"/>
          <w:color w:val="000000"/>
        </w:rPr>
        <w:t>4</w:t>
      </w:r>
      <w:r w:rsidR="0020261E">
        <w:rPr>
          <w:rFonts w:eastAsia="Verdana" w:cs="Verdana"/>
          <w:color w:val="000000"/>
        </w:rPr>
        <w:t xml:space="preserve"> </w:t>
      </w:r>
      <w:r w:rsidR="004641E7">
        <w:rPr>
          <w:rFonts w:eastAsia="Verdana" w:cs="Verdana"/>
          <w:color w:val="000000"/>
        </w:rPr>
        <w:t>were against children.</w:t>
      </w:r>
      <w:r w:rsidR="004641E7">
        <w:rPr>
          <w:rStyle w:val="FootnoteReference"/>
          <w:rFonts w:eastAsia="Verdana" w:cs="Verdana"/>
          <w:color w:val="000000"/>
        </w:rPr>
        <w:footnoteReference w:id="392"/>
      </w:r>
      <w:r w:rsidR="008C7AF5">
        <w:rPr>
          <w:rFonts w:eastAsia="Verdana" w:cs="Verdana"/>
          <w:color w:val="000000"/>
        </w:rPr>
        <w:t xml:space="preserve"> Additionally,</w:t>
      </w:r>
      <w:r w:rsidR="00CF667F" w:rsidRPr="00CF667F">
        <w:rPr>
          <w:color w:val="000000"/>
        </w:rPr>
        <w:t xml:space="preserve"> </w:t>
      </w:r>
      <w:r w:rsidR="00CF667F">
        <w:rPr>
          <w:color w:val="000000"/>
        </w:rPr>
        <w:t>there were 211 offences of sexual grooming in NI, of which 198 were sexual communication with a child.</w:t>
      </w:r>
      <w:r w:rsidR="00CF667F">
        <w:rPr>
          <w:rStyle w:val="FootnoteReference"/>
          <w:color w:val="000000"/>
        </w:rPr>
        <w:footnoteReference w:id="393"/>
      </w:r>
      <w:r w:rsidR="00CF667F">
        <w:rPr>
          <w:color w:val="000000"/>
        </w:rPr>
        <w:t xml:space="preserve"> Of these offences, 125 had an online element.</w:t>
      </w:r>
      <w:r w:rsidR="00CF667F">
        <w:rPr>
          <w:rStyle w:val="FootnoteReference"/>
        </w:rPr>
        <w:footnoteReference w:id="394"/>
      </w:r>
      <w:r w:rsidR="00CF667F">
        <w:rPr>
          <w:color w:val="000000"/>
        </w:rPr>
        <w:t xml:space="preserve"> </w:t>
      </w:r>
    </w:p>
    <w:p w14:paraId="2766A5FD" w14:textId="77777777" w:rsidR="008C7AF5" w:rsidRPr="008C7AF5" w:rsidRDefault="008C7AF5" w:rsidP="006334AA">
      <w:pPr>
        <w:pStyle w:val="ListParagraph"/>
        <w:ind w:left="851" w:hanging="851"/>
        <w:rPr>
          <w:rFonts w:eastAsia="Verdana" w:cs="Verdana"/>
          <w:color w:val="000000"/>
        </w:rPr>
      </w:pPr>
    </w:p>
    <w:p w14:paraId="102B47A9" w14:textId="29801E4D" w:rsidR="008B22FB" w:rsidRDefault="00E13D9B" w:rsidP="006334AA">
      <w:pPr>
        <w:pStyle w:val="ListParagraph"/>
        <w:numPr>
          <w:ilvl w:val="1"/>
          <w:numId w:val="95"/>
        </w:numPr>
        <w:spacing w:line="276" w:lineRule="auto"/>
        <w:ind w:left="851" w:hanging="851"/>
        <w:rPr>
          <w:rFonts w:eastAsia="Verdana" w:cs="Verdana"/>
          <w:color w:val="000000"/>
        </w:rPr>
      </w:pPr>
      <w:r>
        <w:rPr>
          <w:rFonts w:eastAsia="Verdana" w:cs="Verdana"/>
          <w:color w:val="000000"/>
        </w:rPr>
        <w:t xml:space="preserve"> </w:t>
      </w:r>
      <w:r w:rsidR="003F1F7D" w:rsidRPr="00E13D9B">
        <w:rPr>
          <w:rFonts w:eastAsia="Verdana" w:cs="Verdana"/>
          <w:color w:val="000000"/>
        </w:rPr>
        <w:t>In 202</w:t>
      </w:r>
      <w:r w:rsidR="00007767" w:rsidRPr="00E13D9B">
        <w:rPr>
          <w:rFonts w:eastAsia="Verdana" w:cs="Verdana"/>
          <w:color w:val="000000"/>
        </w:rPr>
        <w:t>0/</w:t>
      </w:r>
      <w:r w:rsidR="006258CC">
        <w:rPr>
          <w:rFonts w:eastAsia="Verdana" w:cs="Verdana"/>
          <w:color w:val="000000"/>
        </w:rPr>
        <w:t>20</w:t>
      </w:r>
      <w:r w:rsidR="00007767" w:rsidRPr="00E13D9B">
        <w:rPr>
          <w:rFonts w:eastAsia="Verdana" w:cs="Verdana"/>
          <w:color w:val="000000"/>
        </w:rPr>
        <w:t xml:space="preserve">21, </w:t>
      </w:r>
      <w:r w:rsidR="00B14E8A">
        <w:rPr>
          <w:rFonts w:eastAsia="Verdana" w:cs="Verdana"/>
          <w:color w:val="000000"/>
        </w:rPr>
        <w:t>the</w:t>
      </w:r>
      <w:r w:rsidR="000429A1">
        <w:rPr>
          <w:rFonts w:eastAsia="Verdana" w:cs="Verdana"/>
          <w:color w:val="000000"/>
        </w:rPr>
        <w:t xml:space="preserve"> number of victims that</w:t>
      </w:r>
      <w:r w:rsidR="00B14E8A">
        <w:rPr>
          <w:rFonts w:eastAsia="Verdana" w:cs="Verdana"/>
          <w:color w:val="000000"/>
        </w:rPr>
        <w:t xml:space="preserve"> were </w:t>
      </w:r>
      <w:r w:rsidR="00123903" w:rsidRPr="00E13D9B">
        <w:rPr>
          <w:rFonts w:eastAsia="Verdana" w:cs="Verdana"/>
          <w:color w:val="000000"/>
        </w:rPr>
        <w:t xml:space="preserve">under 16 </w:t>
      </w:r>
      <w:r w:rsidR="001248B4">
        <w:rPr>
          <w:rFonts w:eastAsia="Verdana" w:cs="Verdana"/>
          <w:color w:val="000000"/>
        </w:rPr>
        <w:t xml:space="preserve">years old </w:t>
      </w:r>
      <w:r w:rsidR="00123903" w:rsidRPr="00E13D9B">
        <w:rPr>
          <w:rFonts w:eastAsia="Verdana" w:cs="Verdana"/>
          <w:color w:val="000000"/>
        </w:rPr>
        <w:t>at the time</w:t>
      </w:r>
      <w:r w:rsidR="00F97FB2" w:rsidRPr="00E13D9B">
        <w:rPr>
          <w:rFonts w:eastAsia="Verdana" w:cs="Verdana"/>
          <w:color w:val="000000"/>
        </w:rPr>
        <w:t xml:space="preserve"> </w:t>
      </w:r>
      <w:r w:rsidR="00123903" w:rsidRPr="00E13D9B">
        <w:rPr>
          <w:rFonts w:eastAsia="Verdana" w:cs="Verdana"/>
          <w:color w:val="000000"/>
        </w:rPr>
        <w:t>the offence was committed</w:t>
      </w:r>
      <w:r w:rsidR="000429A1">
        <w:rPr>
          <w:rFonts w:eastAsia="Verdana" w:cs="Verdana"/>
          <w:color w:val="000000"/>
        </w:rPr>
        <w:t xml:space="preserve"> </w:t>
      </w:r>
      <w:r w:rsidR="00123903" w:rsidRPr="00E13D9B">
        <w:rPr>
          <w:rFonts w:eastAsia="Verdana" w:cs="Verdana"/>
          <w:color w:val="000000"/>
        </w:rPr>
        <w:t xml:space="preserve">more than doubled </w:t>
      </w:r>
      <w:r w:rsidR="00B14E8A">
        <w:rPr>
          <w:rFonts w:eastAsia="Verdana" w:cs="Verdana"/>
          <w:color w:val="000000"/>
        </w:rPr>
        <w:t xml:space="preserve">since </w:t>
      </w:r>
      <w:r w:rsidR="00123903" w:rsidRPr="00E13D9B">
        <w:rPr>
          <w:rFonts w:eastAsia="Verdana" w:cs="Verdana"/>
          <w:color w:val="000000"/>
        </w:rPr>
        <w:t>2007/2008</w:t>
      </w:r>
      <w:r w:rsidR="00B14E8A">
        <w:rPr>
          <w:rFonts w:eastAsia="Verdana" w:cs="Verdana"/>
          <w:color w:val="000000"/>
        </w:rPr>
        <w:t>.</w:t>
      </w:r>
      <w:r w:rsidR="00F97FB2" w:rsidRPr="00BF6C05">
        <w:rPr>
          <w:rStyle w:val="FootnoteReference"/>
          <w:rFonts w:eastAsia="Verdana" w:cs="Verdana"/>
          <w:color w:val="000000"/>
        </w:rPr>
        <w:footnoteReference w:id="395"/>
      </w:r>
      <w:r w:rsidR="00123903" w:rsidRPr="00E13D9B">
        <w:rPr>
          <w:rFonts w:eastAsia="Verdana" w:cs="Verdana"/>
          <w:color w:val="000000"/>
        </w:rPr>
        <w:t xml:space="preserve"> </w:t>
      </w:r>
      <w:r w:rsidR="00835837" w:rsidRPr="00E13D9B">
        <w:rPr>
          <w:rFonts w:eastAsia="Verdana" w:cs="Verdana"/>
          <w:color w:val="000000"/>
        </w:rPr>
        <w:t>This</w:t>
      </w:r>
      <w:r w:rsidR="00123903" w:rsidRPr="00E13D9B">
        <w:rPr>
          <w:rFonts w:eastAsia="Verdana" w:cs="Verdana"/>
          <w:color w:val="000000"/>
        </w:rPr>
        <w:t xml:space="preserve"> may be influenced by ‘sexting’.</w:t>
      </w:r>
      <w:r w:rsidR="00123903" w:rsidRPr="00BF6C05">
        <w:rPr>
          <w:rStyle w:val="FootnoteReference"/>
          <w:rFonts w:eastAsia="Verdana" w:cs="Verdana"/>
          <w:color w:val="000000"/>
        </w:rPr>
        <w:footnoteReference w:id="396"/>
      </w:r>
      <w:r w:rsidR="00123903" w:rsidRPr="00E13D9B">
        <w:rPr>
          <w:rFonts w:eastAsia="Verdana" w:cs="Verdana"/>
          <w:color w:val="000000"/>
        </w:rPr>
        <w:t xml:space="preserve"> </w:t>
      </w:r>
      <w:r w:rsidR="007E5017">
        <w:rPr>
          <w:rFonts w:eastAsia="Verdana" w:cs="Verdana"/>
          <w:color w:val="000000"/>
        </w:rPr>
        <w:t>In 2020/2021, 49</w:t>
      </w:r>
      <w:r w:rsidR="00123903" w:rsidRPr="00E13D9B">
        <w:rPr>
          <w:rFonts w:eastAsia="Verdana" w:cs="Verdana"/>
          <w:color w:val="000000"/>
        </w:rPr>
        <w:t xml:space="preserve"> per cent of all victims under 18 </w:t>
      </w:r>
      <w:r w:rsidR="007E5017">
        <w:rPr>
          <w:rFonts w:eastAsia="Verdana" w:cs="Verdana"/>
          <w:color w:val="000000"/>
        </w:rPr>
        <w:t>years old were girls</w:t>
      </w:r>
      <w:r w:rsidR="00123903" w:rsidRPr="00E13D9B">
        <w:rPr>
          <w:rFonts w:eastAsia="Verdana" w:cs="Verdana"/>
          <w:color w:val="000000"/>
        </w:rPr>
        <w:t>.</w:t>
      </w:r>
      <w:r w:rsidR="00123903" w:rsidRPr="00BF6C05">
        <w:rPr>
          <w:rStyle w:val="FootnoteReference"/>
          <w:rFonts w:eastAsia="Verdana" w:cs="Verdana"/>
          <w:color w:val="000000"/>
        </w:rPr>
        <w:footnoteReference w:id="397"/>
      </w:r>
      <w:r w:rsidR="00C72DBA" w:rsidRPr="00E13D9B">
        <w:rPr>
          <w:rFonts w:eastAsia="Verdana" w:cs="Verdana"/>
          <w:color w:val="000000"/>
        </w:rPr>
        <w:t xml:space="preserve"> </w:t>
      </w:r>
    </w:p>
    <w:p w14:paraId="6768E38D" w14:textId="77777777" w:rsidR="008B22FB" w:rsidRPr="008B22FB" w:rsidRDefault="008B22FB" w:rsidP="006334AA">
      <w:pPr>
        <w:pStyle w:val="ListParagraph"/>
        <w:ind w:left="851" w:hanging="851"/>
        <w:rPr>
          <w:rFonts w:eastAsia="Verdana" w:cs="Verdana"/>
          <w:color w:val="000000"/>
        </w:rPr>
      </w:pPr>
    </w:p>
    <w:p w14:paraId="283CEF0A" w14:textId="06233816" w:rsidR="004D49E4" w:rsidRDefault="004D49E4" w:rsidP="006334AA">
      <w:pPr>
        <w:pStyle w:val="ListParagraph"/>
        <w:numPr>
          <w:ilvl w:val="1"/>
          <w:numId w:val="95"/>
        </w:numPr>
        <w:spacing w:line="276" w:lineRule="auto"/>
        <w:ind w:left="851" w:hanging="851"/>
        <w:rPr>
          <w:rFonts w:eastAsia="Verdana" w:cs="Verdana"/>
          <w:color w:val="000000"/>
        </w:rPr>
      </w:pPr>
      <w:r w:rsidRPr="00E13D9B">
        <w:rPr>
          <w:rFonts w:eastAsia="Verdana" w:cs="Verdana"/>
          <w:color w:val="000000"/>
        </w:rPr>
        <w:t>Outcome rates are poor for sexual offence crimes in general in NI.</w:t>
      </w:r>
      <w:r w:rsidR="002B56C6">
        <w:rPr>
          <w:rFonts w:eastAsia="Verdana" w:cs="Verdana"/>
          <w:color w:val="000000"/>
        </w:rPr>
        <w:t xml:space="preserve"> </w:t>
      </w:r>
      <w:r w:rsidRPr="00E13D9B">
        <w:rPr>
          <w:rFonts w:eastAsia="Verdana" w:cs="Verdana"/>
          <w:color w:val="000000"/>
        </w:rPr>
        <w:t xml:space="preserve">Of </w:t>
      </w:r>
      <w:r w:rsidR="00ED544B" w:rsidRPr="00E13D9B">
        <w:rPr>
          <w:rFonts w:eastAsia="Verdana" w:cs="Verdana"/>
          <w:color w:val="000000"/>
        </w:rPr>
        <w:t>3,</w:t>
      </w:r>
      <w:r w:rsidR="00916281" w:rsidRPr="00E13D9B">
        <w:rPr>
          <w:rFonts w:eastAsia="Verdana" w:cs="Verdana"/>
          <w:color w:val="000000"/>
        </w:rPr>
        <w:t>33</w:t>
      </w:r>
      <w:r w:rsidR="003C281C" w:rsidRPr="00E13D9B">
        <w:rPr>
          <w:rFonts w:eastAsia="Verdana" w:cs="Verdana"/>
          <w:color w:val="000000"/>
        </w:rPr>
        <w:t>5</w:t>
      </w:r>
      <w:r w:rsidRPr="00E13D9B">
        <w:rPr>
          <w:rFonts w:eastAsia="Verdana" w:cs="Verdana"/>
          <w:color w:val="000000"/>
        </w:rPr>
        <w:t xml:space="preserve"> sexual offences recorded in NI</w:t>
      </w:r>
      <w:r w:rsidR="00245C03">
        <w:rPr>
          <w:rFonts w:eastAsia="Verdana" w:cs="Verdana"/>
          <w:color w:val="000000"/>
        </w:rPr>
        <w:t xml:space="preserve"> in 2020/2021</w:t>
      </w:r>
      <w:r w:rsidR="00C72DBA" w:rsidRPr="00E13D9B">
        <w:rPr>
          <w:rFonts w:eastAsia="Verdana" w:cs="Verdana"/>
          <w:color w:val="000000"/>
        </w:rPr>
        <w:t xml:space="preserve">, only </w:t>
      </w:r>
      <w:r w:rsidR="00916281" w:rsidRPr="00E13D9B">
        <w:rPr>
          <w:rFonts w:eastAsia="Verdana" w:cs="Verdana"/>
          <w:color w:val="000000"/>
        </w:rPr>
        <w:t>476</w:t>
      </w:r>
      <w:r w:rsidRPr="00E13D9B">
        <w:rPr>
          <w:rFonts w:eastAsia="Verdana" w:cs="Verdana"/>
          <w:color w:val="000000"/>
        </w:rPr>
        <w:t xml:space="preserve"> resulted in a charge or summons.</w:t>
      </w:r>
      <w:r w:rsidRPr="00BF6C05">
        <w:rPr>
          <w:rStyle w:val="FootnoteReference"/>
          <w:rFonts w:eastAsia="Verdana" w:cs="Verdana"/>
          <w:color w:val="000000"/>
        </w:rPr>
        <w:footnoteReference w:id="398"/>
      </w:r>
    </w:p>
    <w:p w14:paraId="476CA30E" w14:textId="77777777" w:rsidR="004D49E4" w:rsidRDefault="004D49E4" w:rsidP="006334AA">
      <w:pPr>
        <w:ind w:left="851" w:hanging="851"/>
      </w:pPr>
    </w:p>
    <w:p w14:paraId="1E6A85B0" w14:textId="116FBFCC" w:rsidR="00AD208B" w:rsidRPr="004D49E4" w:rsidRDefault="00AD208B" w:rsidP="006334AA">
      <w:pPr>
        <w:pStyle w:val="ListParagraph"/>
        <w:numPr>
          <w:ilvl w:val="1"/>
          <w:numId w:val="95"/>
        </w:numPr>
        <w:spacing w:line="276" w:lineRule="auto"/>
        <w:ind w:left="851" w:hanging="851"/>
        <w:rPr>
          <w:rFonts w:eastAsia="Verdana" w:cs="Verdana"/>
          <w:color w:val="000000"/>
        </w:rPr>
      </w:pPr>
      <w:r w:rsidRPr="00587912">
        <w:t xml:space="preserve">In 2020, the Criminal Justice Inspection NI </w:t>
      </w:r>
      <w:r w:rsidR="004D49E4">
        <w:t>found in the context of child sexual exploitation that</w:t>
      </w:r>
      <w:r w:rsidRPr="00587912">
        <w:t xml:space="preserve"> </w:t>
      </w:r>
      <w:r w:rsidR="00F767C1">
        <w:t>“</w:t>
      </w:r>
      <w:r w:rsidR="00F767C1">
        <w:rPr>
          <w:color w:val="000000"/>
        </w:rPr>
        <w:t>Public Prosecution Service NI staff instructions specific to child sexual abuse and exploitation were needed” and</w:t>
      </w:r>
      <w:r w:rsidR="00F767C1" w:rsidRPr="00587912">
        <w:t xml:space="preserve"> </w:t>
      </w:r>
      <w:r w:rsidRPr="00587912">
        <w:t>“where cases did progress to court, support for children wa</w:t>
      </w:r>
      <w:r w:rsidR="004D49E4">
        <w:t>s required”.</w:t>
      </w:r>
      <w:r w:rsidR="004D49E4">
        <w:rPr>
          <w:rStyle w:val="FootnoteReference"/>
        </w:rPr>
        <w:footnoteReference w:id="399"/>
      </w:r>
      <w:r w:rsidR="004D49E4">
        <w:t xml:space="preserve"> </w:t>
      </w:r>
      <w:r w:rsidRPr="00587912">
        <w:t xml:space="preserve">The </w:t>
      </w:r>
      <w:proofErr w:type="spellStart"/>
      <w:r w:rsidRPr="00587912">
        <w:t>Barnahus</w:t>
      </w:r>
      <w:proofErr w:type="spellEnd"/>
      <w:r w:rsidRPr="00587912">
        <w:t xml:space="preserve"> (children’s house) model was proposed as the preferred approach.</w:t>
      </w:r>
      <w:r w:rsidRPr="00587912">
        <w:rPr>
          <w:rStyle w:val="FootnoteReference"/>
        </w:rPr>
        <w:footnoteReference w:id="400"/>
      </w:r>
    </w:p>
    <w:p w14:paraId="237DFD97" w14:textId="77777777" w:rsidR="004D49E4" w:rsidRPr="004D49E4" w:rsidRDefault="004D49E4" w:rsidP="006334AA">
      <w:pPr>
        <w:pStyle w:val="ListParagraph"/>
        <w:ind w:left="851" w:hanging="851"/>
        <w:rPr>
          <w:rFonts w:eastAsia="Verdana" w:cs="Verdana"/>
          <w:color w:val="000000"/>
        </w:rPr>
      </w:pPr>
    </w:p>
    <w:p w14:paraId="6822083B" w14:textId="3593354C" w:rsidR="0082441B" w:rsidRPr="0082441B" w:rsidRDefault="00134DA1" w:rsidP="006334AA">
      <w:pPr>
        <w:pStyle w:val="ListParagraph"/>
        <w:numPr>
          <w:ilvl w:val="1"/>
          <w:numId w:val="95"/>
        </w:numPr>
        <w:spacing w:line="276" w:lineRule="auto"/>
        <w:ind w:left="851" w:hanging="851"/>
        <w:rPr>
          <w:rFonts w:eastAsia="Verdana" w:cs="Verdana"/>
          <w:b/>
          <w:color w:val="000000"/>
        </w:rPr>
      </w:pPr>
      <w:r>
        <w:rPr>
          <w:rFonts w:eastAsia="Verdana" w:cs="Verdana"/>
          <w:b/>
          <w:color w:val="000000"/>
        </w:rPr>
        <w:t>The Committee may wish to recommend</w:t>
      </w:r>
      <w:r w:rsidR="00492766" w:rsidRPr="007003A1">
        <w:rPr>
          <w:rFonts w:eastAsia="Verdana" w:cs="Verdana"/>
          <w:b/>
          <w:color w:val="000000"/>
        </w:rPr>
        <w:t xml:space="preserve"> that the </w:t>
      </w:r>
      <w:r w:rsidR="007678BD">
        <w:rPr>
          <w:rFonts w:eastAsia="Verdana" w:cs="Verdana"/>
          <w:b/>
          <w:color w:val="000000"/>
        </w:rPr>
        <w:t>State Party</w:t>
      </w:r>
      <w:r w:rsidR="00492766" w:rsidRPr="007003A1">
        <w:rPr>
          <w:rFonts w:eastAsia="Verdana" w:cs="Verdana"/>
          <w:b/>
          <w:color w:val="000000"/>
        </w:rPr>
        <w:t xml:space="preserve"> </w:t>
      </w:r>
      <w:r w:rsidR="008865F4" w:rsidRPr="007678BD">
        <w:rPr>
          <w:rFonts w:eastAsia="Verdana" w:cs="Verdana"/>
          <w:b/>
          <w:color w:val="000000"/>
        </w:rPr>
        <w:t xml:space="preserve">promptly </w:t>
      </w:r>
      <w:r w:rsidR="00D7380E" w:rsidRPr="007678BD">
        <w:rPr>
          <w:rFonts w:eastAsia="Verdana" w:cs="Verdana"/>
          <w:b/>
          <w:color w:val="000000"/>
        </w:rPr>
        <w:t xml:space="preserve">develops </w:t>
      </w:r>
      <w:r w:rsidR="00863809" w:rsidRPr="007678BD">
        <w:rPr>
          <w:rFonts w:eastAsia="Verdana" w:cs="Verdana"/>
          <w:b/>
          <w:color w:val="000000"/>
        </w:rPr>
        <w:t xml:space="preserve">legislative </w:t>
      </w:r>
      <w:r w:rsidR="00D7380E" w:rsidRPr="007678BD">
        <w:rPr>
          <w:rFonts w:eastAsia="Verdana" w:cs="Verdana"/>
          <w:b/>
          <w:color w:val="000000"/>
        </w:rPr>
        <w:t>proposals</w:t>
      </w:r>
      <w:r w:rsidR="00863809" w:rsidRPr="007678BD">
        <w:rPr>
          <w:rFonts w:eastAsia="Verdana" w:cs="Verdana"/>
          <w:b/>
          <w:color w:val="000000"/>
        </w:rPr>
        <w:t>,</w:t>
      </w:r>
      <w:r w:rsidR="00D7380E" w:rsidRPr="007678BD">
        <w:rPr>
          <w:rFonts w:eastAsia="Verdana" w:cs="Verdana"/>
          <w:b/>
          <w:color w:val="000000"/>
        </w:rPr>
        <w:t xml:space="preserve"> </w:t>
      </w:r>
      <w:r w:rsidR="00863809" w:rsidRPr="007678BD">
        <w:rPr>
          <w:rFonts w:eastAsia="Verdana" w:cs="Verdana"/>
          <w:b/>
          <w:color w:val="000000"/>
        </w:rPr>
        <w:t>in consultation with legal practitioners,</w:t>
      </w:r>
      <w:r w:rsidR="00492766" w:rsidRPr="007678BD">
        <w:rPr>
          <w:rFonts w:eastAsia="Verdana" w:cs="Verdana"/>
          <w:b/>
          <w:color w:val="000000"/>
        </w:rPr>
        <w:t xml:space="preserve"> </w:t>
      </w:r>
      <w:r w:rsidR="004D49E4" w:rsidRPr="007678BD">
        <w:rPr>
          <w:rFonts w:eastAsia="Verdana" w:cs="Verdana"/>
          <w:b/>
          <w:color w:val="000000"/>
        </w:rPr>
        <w:t>to</w:t>
      </w:r>
      <w:r w:rsidR="004D49E4" w:rsidRPr="007678BD">
        <w:rPr>
          <w:rFonts w:eastAsia="Verdana" w:cs="Verdana"/>
          <w:b/>
          <w:bCs/>
          <w:color w:val="000000"/>
        </w:rPr>
        <w:t xml:space="preserve"> </w:t>
      </w:r>
      <w:r w:rsidR="002217AB">
        <w:rPr>
          <w:b/>
          <w:bCs/>
        </w:rPr>
        <w:t xml:space="preserve">ensure </w:t>
      </w:r>
      <w:r w:rsidR="007003A1" w:rsidRPr="007678BD">
        <w:rPr>
          <w:b/>
          <w:bCs/>
        </w:rPr>
        <w:t>the burden of proof in cases concerning children as victims of sexual offences</w:t>
      </w:r>
      <w:r w:rsidR="00726E24" w:rsidRPr="007678BD">
        <w:rPr>
          <w:b/>
          <w:bCs/>
        </w:rPr>
        <w:t xml:space="preserve"> </w:t>
      </w:r>
      <w:r w:rsidR="002217AB">
        <w:rPr>
          <w:b/>
          <w:bCs/>
        </w:rPr>
        <w:t>is reversed in NI</w:t>
      </w:r>
      <w:r w:rsidR="00AA4952">
        <w:rPr>
          <w:b/>
          <w:bCs/>
        </w:rPr>
        <w:t xml:space="preserve">. </w:t>
      </w:r>
    </w:p>
    <w:p w14:paraId="7CA2A7A8" w14:textId="77777777" w:rsidR="007003A1" w:rsidRPr="007003A1" w:rsidRDefault="007003A1" w:rsidP="006334AA">
      <w:pPr>
        <w:pStyle w:val="ListParagraph"/>
        <w:ind w:left="851" w:hanging="851"/>
        <w:rPr>
          <w:rFonts w:eastAsia="Verdana" w:cs="Verdana"/>
          <w:b/>
          <w:color w:val="000000"/>
        </w:rPr>
      </w:pPr>
    </w:p>
    <w:p w14:paraId="70FD134E" w14:textId="1B93801F" w:rsidR="004D49E4" w:rsidRPr="002576F4" w:rsidRDefault="00134DA1" w:rsidP="006334AA">
      <w:pPr>
        <w:pStyle w:val="ListParagraph"/>
        <w:numPr>
          <w:ilvl w:val="1"/>
          <w:numId w:val="95"/>
        </w:numPr>
        <w:spacing w:line="276" w:lineRule="auto"/>
        <w:ind w:left="851" w:hanging="851"/>
        <w:rPr>
          <w:rFonts w:eastAsia="Verdana" w:cs="Verdana"/>
          <w:b/>
          <w:color w:val="000000"/>
        </w:rPr>
      </w:pPr>
      <w:r>
        <w:rPr>
          <w:rFonts w:eastAsia="Verdana" w:cs="Verdana"/>
          <w:b/>
          <w:color w:val="000000"/>
        </w:rPr>
        <w:t>The Committee may wish to recommend</w:t>
      </w:r>
      <w:r w:rsidR="00D434D6">
        <w:rPr>
          <w:rFonts w:eastAsia="Verdana" w:cs="Verdana"/>
          <w:b/>
          <w:color w:val="000000"/>
        </w:rPr>
        <w:t xml:space="preserve"> that the </w:t>
      </w:r>
      <w:r w:rsidR="00AA4952" w:rsidRPr="0082441B">
        <w:rPr>
          <w:rFonts w:eastAsia="Verdana" w:cs="Verdana"/>
          <w:b/>
          <w:color w:val="000000"/>
        </w:rPr>
        <w:t xml:space="preserve">State Party </w:t>
      </w:r>
      <w:r w:rsidR="005F23F3" w:rsidRPr="0082441B">
        <w:rPr>
          <w:rFonts w:eastAsia="Verdana" w:cs="Verdana"/>
          <w:b/>
          <w:color w:val="000000"/>
        </w:rPr>
        <w:t>ensure</w:t>
      </w:r>
      <w:r w:rsidR="00AA4952" w:rsidRPr="0082441B">
        <w:rPr>
          <w:rFonts w:eastAsia="Verdana" w:cs="Verdana"/>
          <w:b/>
          <w:color w:val="000000"/>
        </w:rPr>
        <w:t>s</w:t>
      </w:r>
      <w:r w:rsidR="005F23F3" w:rsidRPr="002576F4">
        <w:rPr>
          <w:rFonts w:eastAsia="Verdana" w:cs="Verdana"/>
          <w:b/>
          <w:color w:val="000000"/>
        </w:rPr>
        <w:t xml:space="preserve"> </w:t>
      </w:r>
      <w:r w:rsidR="004D49E4" w:rsidRPr="002576F4">
        <w:rPr>
          <w:rFonts w:eastAsia="Verdana" w:cs="Verdana"/>
          <w:b/>
          <w:color w:val="000000"/>
        </w:rPr>
        <w:t xml:space="preserve">effective </w:t>
      </w:r>
      <w:r w:rsidR="00AE2964" w:rsidRPr="002576F4">
        <w:rPr>
          <w:rFonts w:eastAsia="Verdana" w:cs="Verdana"/>
          <w:b/>
          <w:color w:val="000000"/>
        </w:rPr>
        <w:t>steps</w:t>
      </w:r>
      <w:r w:rsidR="005F23F3" w:rsidRPr="002576F4">
        <w:rPr>
          <w:rFonts w:eastAsia="Verdana" w:cs="Verdana"/>
          <w:b/>
          <w:color w:val="000000"/>
        </w:rPr>
        <w:t xml:space="preserve"> are taken</w:t>
      </w:r>
      <w:r w:rsidR="004D49E4" w:rsidRPr="002576F4">
        <w:rPr>
          <w:rFonts w:eastAsia="Verdana" w:cs="Verdana"/>
          <w:b/>
          <w:color w:val="000000"/>
        </w:rPr>
        <w:t xml:space="preserve"> to improve prosecution rates for sexual offence cases involving child victims</w:t>
      </w:r>
      <w:r w:rsidR="004D49E4">
        <w:rPr>
          <w:rFonts w:eastAsia="Verdana" w:cs="Verdana"/>
          <w:b/>
          <w:color w:val="000000"/>
        </w:rPr>
        <w:t xml:space="preserve"> in </w:t>
      </w:r>
      <w:r w:rsidR="001E2889">
        <w:rPr>
          <w:rFonts w:eastAsia="Verdana" w:cs="Verdana"/>
          <w:b/>
          <w:color w:val="000000"/>
        </w:rPr>
        <w:t>NI</w:t>
      </w:r>
      <w:r w:rsidR="00AA4952" w:rsidRPr="0082441B">
        <w:rPr>
          <w:rFonts w:eastAsia="Verdana" w:cs="Verdana"/>
          <w:b/>
          <w:color w:val="000000"/>
        </w:rPr>
        <w:t xml:space="preserve">. This includes </w:t>
      </w:r>
      <w:r w:rsidR="008D2DDA" w:rsidRPr="0082441B">
        <w:rPr>
          <w:b/>
          <w:bCs/>
        </w:rPr>
        <w:t>ensur</w:t>
      </w:r>
      <w:r w:rsidR="0082441B">
        <w:rPr>
          <w:b/>
          <w:bCs/>
        </w:rPr>
        <w:t>ing that</w:t>
      </w:r>
      <w:r w:rsidR="008D2DDA" w:rsidRPr="002576F4">
        <w:rPr>
          <w:b/>
          <w:bCs/>
        </w:rPr>
        <w:t xml:space="preserve"> specialised training is provided for relevant professionals and </w:t>
      </w:r>
      <w:r w:rsidR="0082441B">
        <w:rPr>
          <w:b/>
          <w:bCs/>
        </w:rPr>
        <w:t xml:space="preserve">that </w:t>
      </w:r>
      <w:r w:rsidR="008D2DDA" w:rsidRPr="002576F4">
        <w:rPr>
          <w:b/>
          <w:bCs/>
        </w:rPr>
        <w:t xml:space="preserve">measures reflective of the </w:t>
      </w:r>
      <w:proofErr w:type="spellStart"/>
      <w:r w:rsidR="008D2DDA" w:rsidRPr="002576F4">
        <w:rPr>
          <w:b/>
          <w:bCs/>
        </w:rPr>
        <w:t>Barnahus</w:t>
      </w:r>
      <w:proofErr w:type="spellEnd"/>
      <w:r w:rsidR="008D2DDA" w:rsidRPr="002576F4">
        <w:rPr>
          <w:b/>
          <w:bCs/>
        </w:rPr>
        <w:t xml:space="preserve"> Model are adopted </w:t>
      </w:r>
      <w:r w:rsidR="001E2889">
        <w:rPr>
          <w:b/>
          <w:bCs/>
        </w:rPr>
        <w:t>within</w:t>
      </w:r>
      <w:r w:rsidR="001E2889" w:rsidRPr="002576F4">
        <w:rPr>
          <w:b/>
          <w:bCs/>
        </w:rPr>
        <w:t xml:space="preserve"> </w:t>
      </w:r>
      <w:r w:rsidR="008D2DDA" w:rsidRPr="002576F4">
        <w:rPr>
          <w:b/>
          <w:bCs/>
        </w:rPr>
        <w:t xml:space="preserve">the </w:t>
      </w:r>
      <w:r w:rsidR="001E2889">
        <w:rPr>
          <w:b/>
          <w:bCs/>
        </w:rPr>
        <w:t xml:space="preserve">NI </w:t>
      </w:r>
      <w:r w:rsidR="008D2DDA" w:rsidRPr="002576F4">
        <w:rPr>
          <w:b/>
          <w:bCs/>
        </w:rPr>
        <w:t>criminal justice system.</w:t>
      </w:r>
    </w:p>
    <w:p w14:paraId="70C610C0" w14:textId="77777777" w:rsidR="007A3DE9" w:rsidRPr="007A3DE9" w:rsidRDefault="007A3DE9" w:rsidP="006334AA">
      <w:pPr>
        <w:spacing w:line="276" w:lineRule="auto"/>
        <w:ind w:left="851" w:hanging="851"/>
        <w:rPr>
          <w:rFonts w:eastAsia="Verdana" w:cs="Verdana"/>
          <w:b/>
          <w:color w:val="000000"/>
        </w:rPr>
      </w:pPr>
    </w:p>
    <w:p w14:paraId="2829C29C" w14:textId="597A0521" w:rsidR="007A3DE9" w:rsidRPr="0082441B" w:rsidRDefault="008C138F" w:rsidP="006334AA">
      <w:pPr>
        <w:pStyle w:val="Heading2"/>
        <w:ind w:left="851" w:hanging="851"/>
        <w:rPr>
          <w:szCs w:val="22"/>
        </w:rPr>
      </w:pPr>
      <w:bookmarkStart w:id="89" w:name="_Toc121922250"/>
      <w:r>
        <w:rPr>
          <w:szCs w:val="22"/>
        </w:rPr>
        <w:t>Modern slavery</w:t>
      </w:r>
      <w:r w:rsidR="007A3DE9" w:rsidRPr="007A3DE9">
        <w:rPr>
          <w:szCs w:val="22"/>
        </w:rPr>
        <w:t xml:space="preserve"> and human trafficking of children</w:t>
      </w:r>
      <w:bookmarkEnd w:id="89"/>
    </w:p>
    <w:p w14:paraId="48624A8B" w14:textId="08008933" w:rsidR="0081051B" w:rsidRPr="00357BE5" w:rsidRDefault="0082441B" w:rsidP="006334AA">
      <w:pPr>
        <w:pStyle w:val="ListParagraph"/>
        <w:numPr>
          <w:ilvl w:val="1"/>
          <w:numId w:val="95"/>
        </w:numPr>
        <w:spacing w:line="276" w:lineRule="auto"/>
        <w:ind w:left="851" w:hanging="851"/>
        <w:rPr>
          <w:rFonts w:eastAsia="Verdana" w:cs="Verdana"/>
          <w:color w:val="000000"/>
        </w:rPr>
      </w:pPr>
      <w:r>
        <w:rPr>
          <w:color w:val="000000"/>
        </w:rPr>
        <w:t>T</w:t>
      </w:r>
      <w:r w:rsidR="00980DBA" w:rsidRPr="00980DBA">
        <w:rPr>
          <w:color w:val="000000"/>
        </w:rPr>
        <w:t xml:space="preserve">he </w:t>
      </w:r>
      <w:r w:rsidR="00DB4C66">
        <w:rPr>
          <w:color w:val="000000"/>
        </w:rPr>
        <w:t xml:space="preserve">Nationality and Borders Act 2022 </w:t>
      </w:r>
      <w:r w:rsidR="00310B73">
        <w:rPr>
          <w:color w:val="000000"/>
        </w:rPr>
        <w:t xml:space="preserve">makes </w:t>
      </w:r>
      <w:r w:rsidR="00980DBA" w:rsidRPr="00980DBA">
        <w:rPr>
          <w:color w:val="000000"/>
        </w:rPr>
        <w:t xml:space="preserve">provision for victims of human </w:t>
      </w:r>
      <w:proofErr w:type="gramStart"/>
      <w:r w:rsidR="00980DBA" w:rsidRPr="00980DBA">
        <w:rPr>
          <w:color w:val="000000"/>
        </w:rPr>
        <w:t>trafficking</w:t>
      </w:r>
      <w:r w:rsidR="008C138F">
        <w:rPr>
          <w:color w:val="000000"/>
        </w:rPr>
        <w:t>,</w:t>
      </w:r>
      <w:r w:rsidR="00980DBA" w:rsidRPr="00980DBA">
        <w:rPr>
          <w:color w:val="000000"/>
        </w:rPr>
        <w:t xml:space="preserve"> but</w:t>
      </w:r>
      <w:proofErr w:type="gramEnd"/>
      <w:r w:rsidR="00980DBA" w:rsidRPr="00980DBA">
        <w:rPr>
          <w:color w:val="000000"/>
        </w:rPr>
        <w:t xml:space="preserve"> d</w:t>
      </w:r>
      <w:r w:rsidR="008C138F">
        <w:rPr>
          <w:color w:val="000000"/>
        </w:rPr>
        <w:t>oes</w:t>
      </w:r>
      <w:r w:rsidR="00980DBA" w:rsidRPr="00980DBA">
        <w:rPr>
          <w:color w:val="000000"/>
        </w:rPr>
        <w:t xml:space="preserve"> not specifically address child victims. </w:t>
      </w:r>
      <w:r w:rsidR="009502C9" w:rsidRPr="00357BE5">
        <w:rPr>
          <w:color w:val="000000"/>
        </w:rPr>
        <w:t xml:space="preserve">Four </w:t>
      </w:r>
      <w:r w:rsidR="0081051B" w:rsidRPr="00357BE5">
        <w:rPr>
          <w:color w:val="000000"/>
        </w:rPr>
        <w:t xml:space="preserve">UN </w:t>
      </w:r>
      <w:r w:rsidR="009502C9" w:rsidRPr="00357BE5">
        <w:rPr>
          <w:color w:val="000000"/>
        </w:rPr>
        <w:t xml:space="preserve">Independent Experts </w:t>
      </w:r>
      <w:r w:rsidR="0081051B" w:rsidRPr="00357BE5">
        <w:rPr>
          <w:color w:val="000000"/>
        </w:rPr>
        <w:t>jointly wrote to the UK Government expressing concerns about the compliance of the Nationality and Borders Bill with the UK’s international obligations and</w:t>
      </w:r>
      <w:proofErr w:type="gramStart"/>
      <w:r w:rsidR="0081051B" w:rsidRPr="00357BE5">
        <w:rPr>
          <w:color w:val="000000"/>
        </w:rPr>
        <w:t>, in particular, that</w:t>
      </w:r>
      <w:proofErr w:type="gramEnd"/>
      <w:r w:rsidR="0081051B" w:rsidRPr="00357BE5">
        <w:rPr>
          <w:color w:val="000000"/>
        </w:rPr>
        <w:t xml:space="preserve">: </w:t>
      </w:r>
    </w:p>
    <w:p w14:paraId="7DD27F53" w14:textId="77777777" w:rsidR="0081051B" w:rsidRPr="0081051B" w:rsidRDefault="0081051B" w:rsidP="006334AA">
      <w:pPr>
        <w:pStyle w:val="ListParagraph"/>
        <w:ind w:left="851" w:hanging="851"/>
        <w:rPr>
          <w:color w:val="000000"/>
        </w:rPr>
      </w:pPr>
    </w:p>
    <w:p w14:paraId="15F1675A" w14:textId="4C3A413E" w:rsidR="0081051B" w:rsidRDefault="0081051B" w:rsidP="00E96E04">
      <w:pPr>
        <w:pStyle w:val="ListParagraph"/>
        <w:spacing w:line="276" w:lineRule="auto"/>
        <w:ind w:left="1440"/>
        <w:rPr>
          <w:color w:val="000000"/>
        </w:rPr>
      </w:pPr>
      <w:r w:rsidRPr="0081051B">
        <w:rPr>
          <w:color w:val="000000"/>
        </w:rPr>
        <w:t xml:space="preserve">there is no recognition of the primacy of the rights of the child, or of the State’s obligation to ensure the protection of migrant child victims of trafficking and contemporary forms of slavery, including through the implementation of best </w:t>
      </w:r>
      <w:proofErr w:type="gramStart"/>
      <w:r w:rsidRPr="0081051B">
        <w:rPr>
          <w:color w:val="000000"/>
        </w:rPr>
        <w:t>interests</w:t>
      </w:r>
      <w:proofErr w:type="gramEnd"/>
      <w:r w:rsidRPr="0081051B">
        <w:rPr>
          <w:color w:val="000000"/>
        </w:rPr>
        <w:t xml:space="preserve"> assessments and determination procedures in migration related decisions.</w:t>
      </w:r>
      <w:r>
        <w:rPr>
          <w:rStyle w:val="FootnoteReference"/>
        </w:rPr>
        <w:footnoteReference w:id="401"/>
      </w:r>
      <w:r w:rsidRPr="0081051B">
        <w:rPr>
          <w:color w:val="000000"/>
        </w:rPr>
        <w:t xml:space="preserve"> </w:t>
      </w:r>
    </w:p>
    <w:p w14:paraId="71E5D571" w14:textId="77777777" w:rsidR="00E96E04" w:rsidRPr="00E96E04" w:rsidRDefault="00E96E04" w:rsidP="006334AA">
      <w:pPr>
        <w:spacing w:line="276" w:lineRule="auto"/>
        <w:ind w:left="851" w:hanging="851"/>
        <w:rPr>
          <w:rFonts w:eastAsia="Verdana" w:cs="Verdana"/>
          <w:color w:val="000000"/>
        </w:rPr>
      </w:pPr>
    </w:p>
    <w:p w14:paraId="0FA96EB8" w14:textId="4E12C164" w:rsidR="00460B29" w:rsidRPr="00460B29" w:rsidRDefault="00310B73" w:rsidP="006334AA">
      <w:pPr>
        <w:pStyle w:val="ListParagraph"/>
        <w:numPr>
          <w:ilvl w:val="1"/>
          <w:numId w:val="95"/>
        </w:numPr>
        <w:spacing w:line="276" w:lineRule="auto"/>
        <w:ind w:left="851" w:hanging="851"/>
        <w:rPr>
          <w:rFonts w:eastAsia="Verdana" w:cs="Verdana"/>
          <w:color w:val="000000"/>
        </w:rPr>
      </w:pPr>
      <w:r>
        <w:rPr>
          <w:rFonts w:eastAsia="Verdana" w:cs="Verdana"/>
          <w:color w:val="000000"/>
        </w:rPr>
        <w:t xml:space="preserve">The </w:t>
      </w:r>
      <w:r w:rsidR="00D80F26" w:rsidRPr="00980DBA">
        <w:rPr>
          <w:color w:val="000000"/>
        </w:rPr>
        <w:t>Nationality and Borders</w:t>
      </w:r>
      <w:r>
        <w:rPr>
          <w:rFonts w:eastAsia="Verdana" w:cs="Verdana"/>
          <w:color w:val="000000"/>
        </w:rPr>
        <w:t xml:space="preserve"> Act </w:t>
      </w:r>
      <w:r w:rsidR="008C138F">
        <w:rPr>
          <w:rFonts w:eastAsia="Verdana" w:cs="Verdana"/>
          <w:color w:val="000000"/>
        </w:rPr>
        <w:t xml:space="preserve">2022 </w:t>
      </w:r>
      <w:r w:rsidR="00D80F26">
        <w:rPr>
          <w:rFonts w:eastAsia="Verdana" w:cs="Verdana"/>
          <w:color w:val="000000"/>
        </w:rPr>
        <w:t>also</w:t>
      </w:r>
      <w:r>
        <w:rPr>
          <w:rFonts w:eastAsia="Verdana" w:cs="Verdana"/>
          <w:color w:val="000000"/>
        </w:rPr>
        <w:t xml:space="preserve"> disapplies the EU Trafficking Directive where it is incomp</w:t>
      </w:r>
      <w:r w:rsidR="00F019C9">
        <w:rPr>
          <w:rFonts w:eastAsia="Verdana" w:cs="Verdana"/>
          <w:color w:val="000000"/>
        </w:rPr>
        <w:t>atible</w:t>
      </w:r>
      <w:r>
        <w:rPr>
          <w:rFonts w:eastAsia="Verdana" w:cs="Verdana"/>
          <w:color w:val="000000"/>
        </w:rPr>
        <w:t xml:space="preserve"> with a provision of the </w:t>
      </w:r>
      <w:r w:rsidR="008C138F">
        <w:rPr>
          <w:rFonts w:eastAsia="Verdana" w:cs="Verdana"/>
          <w:color w:val="000000"/>
        </w:rPr>
        <w:t xml:space="preserve">2022 </w:t>
      </w:r>
      <w:r>
        <w:rPr>
          <w:rFonts w:eastAsia="Verdana" w:cs="Verdana"/>
          <w:color w:val="000000"/>
        </w:rPr>
        <w:t>Act.</w:t>
      </w:r>
      <w:r w:rsidR="00D80F26">
        <w:rPr>
          <w:rStyle w:val="FootnoteReference"/>
          <w:rFonts w:eastAsia="Verdana" w:cs="Verdana"/>
          <w:color w:val="000000"/>
        </w:rPr>
        <w:footnoteReference w:id="402"/>
      </w:r>
      <w:r>
        <w:rPr>
          <w:rFonts w:eastAsia="Verdana" w:cs="Verdana"/>
          <w:color w:val="000000"/>
        </w:rPr>
        <w:t xml:space="preserve"> Article 13 of the EU Trafficking Directive states that the best interests of the child shall be a “primary consideration”.</w:t>
      </w:r>
      <w:r>
        <w:rPr>
          <w:rStyle w:val="FootnoteReference"/>
          <w:rFonts w:eastAsia="Verdana" w:cs="Verdana"/>
          <w:color w:val="000000"/>
        </w:rPr>
        <w:footnoteReference w:id="403"/>
      </w:r>
      <w:r>
        <w:rPr>
          <w:rFonts w:eastAsia="Verdana" w:cs="Verdana"/>
          <w:color w:val="000000"/>
        </w:rPr>
        <w:t xml:space="preserve"> The NIHRC considers the EU Trafficking Directive as falling within scope of Protocol Article 2</w:t>
      </w:r>
      <w:r w:rsidR="0042439F">
        <w:rPr>
          <w:rStyle w:val="FootnoteReference"/>
          <w:rFonts w:eastAsia="Verdana" w:cs="Verdana"/>
          <w:color w:val="000000"/>
        </w:rPr>
        <w:footnoteReference w:id="404"/>
      </w:r>
      <w:r>
        <w:rPr>
          <w:rFonts w:eastAsia="Verdana" w:cs="Verdana"/>
          <w:color w:val="000000"/>
        </w:rPr>
        <w:t xml:space="preserve"> and therefore, a diminution in minimum rights and equality protections set out in the </w:t>
      </w:r>
      <w:r w:rsidR="00C15FF8">
        <w:rPr>
          <w:rFonts w:eastAsia="Verdana" w:cs="Verdana"/>
          <w:color w:val="000000"/>
        </w:rPr>
        <w:t xml:space="preserve">EU Trafficking </w:t>
      </w:r>
      <w:r>
        <w:rPr>
          <w:rFonts w:eastAsia="Verdana" w:cs="Verdana"/>
          <w:color w:val="000000"/>
        </w:rPr>
        <w:t>Directive could potentially breach the UK Government’s commitments under Article 2</w:t>
      </w:r>
      <w:r w:rsidR="0042439F">
        <w:rPr>
          <w:rFonts w:eastAsia="Verdana" w:cs="Verdana"/>
          <w:color w:val="000000"/>
        </w:rPr>
        <w:t xml:space="preserve"> of the Ireland/</w:t>
      </w:r>
      <w:r w:rsidR="008C138F">
        <w:rPr>
          <w:rFonts w:eastAsia="Verdana" w:cs="Verdana"/>
          <w:color w:val="000000"/>
        </w:rPr>
        <w:t>NI</w:t>
      </w:r>
      <w:r w:rsidR="0042439F">
        <w:rPr>
          <w:rFonts w:eastAsia="Verdana" w:cs="Verdana"/>
          <w:color w:val="000000"/>
        </w:rPr>
        <w:t xml:space="preserve"> Protocol</w:t>
      </w:r>
      <w:r w:rsidR="00E96E04">
        <w:rPr>
          <w:color w:val="000000"/>
        </w:rPr>
        <w:t>.</w:t>
      </w:r>
    </w:p>
    <w:p w14:paraId="123E3EF1" w14:textId="77777777" w:rsidR="00460B29" w:rsidRPr="00460B29" w:rsidRDefault="00460B29" w:rsidP="006334AA">
      <w:pPr>
        <w:pStyle w:val="ListParagraph"/>
        <w:spacing w:line="276" w:lineRule="auto"/>
        <w:ind w:left="851" w:hanging="851"/>
        <w:rPr>
          <w:rFonts w:eastAsia="Verdana" w:cs="Verdana"/>
          <w:color w:val="000000"/>
        </w:rPr>
      </w:pPr>
    </w:p>
    <w:p w14:paraId="4B85E8F6" w14:textId="6EC765C3" w:rsidR="00310B73" w:rsidRPr="00137779" w:rsidRDefault="00134DA1" w:rsidP="006334AA">
      <w:pPr>
        <w:pStyle w:val="ListParagraph"/>
        <w:numPr>
          <w:ilvl w:val="1"/>
          <w:numId w:val="95"/>
        </w:numPr>
        <w:spacing w:line="276" w:lineRule="auto"/>
        <w:ind w:left="851" w:hanging="851"/>
        <w:rPr>
          <w:rFonts w:eastAsia="Verdana" w:cs="Verdana"/>
          <w:b/>
          <w:bCs/>
          <w:color w:val="000000"/>
        </w:rPr>
      </w:pPr>
      <w:r>
        <w:rPr>
          <w:b/>
          <w:bCs/>
          <w:color w:val="000000"/>
        </w:rPr>
        <w:t>The Committee may wish to recommend</w:t>
      </w:r>
      <w:r w:rsidR="001F7DCB" w:rsidRPr="00460B29">
        <w:rPr>
          <w:b/>
          <w:bCs/>
          <w:color w:val="000000"/>
        </w:rPr>
        <w:t xml:space="preserve"> that the </w:t>
      </w:r>
      <w:r w:rsidR="008C138F" w:rsidRPr="0032640C">
        <w:rPr>
          <w:b/>
          <w:bCs/>
          <w:color w:val="000000"/>
        </w:rPr>
        <w:t xml:space="preserve">State Party </w:t>
      </w:r>
      <w:r w:rsidR="00EC19D2" w:rsidRPr="00137779">
        <w:rPr>
          <w:b/>
          <w:bCs/>
          <w:color w:val="000000"/>
        </w:rPr>
        <w:t xml:space="preserve">promptly </w:t>
      </w:r>
      <w:r w:rsidR="00EC19D2" w:rsidRPr="0032640C">
        <w:rPr>
          <w:b/>
          <w:bCs/>
        </w:rPr>
        <w:t>introduce</w:t>
      </w:r>
      <w:r w:rsidR="008C138F" w:rsidRPr="0032640C">
        <w:rPr>
          <w:b/>
          <w:bCs/>
        </w:rPr>
        <w:t>s</w:t>
      </w:r>
      <w:r w:rsidR="00D73B94" w:rsidRPr="00137779">
        <w:rPr>
          <w:b/>
          <w:bCs/>
        </w:rPr>
        <w:t xml:space="preserve"> specific</w:t>
      </w:r>
      <w:r w:rsidR="00EC19D2" w:rsidRPr="00137779">
        <w:rPr>
          <w:b/>
          <w:bCs/>
        </w:rPr>
        <w:t xml:space="preserve"> statutory</w:t>
      </w:r>
      <w:r w:rsidR="00460B29" w:rsidRPr="00137779">
        <w:rPr>
          <w:b/>
          <w:bCs/>
        </w:rPr>
        <w:t xml:space="preserve"> protections for child victims of modern slavery and human trafficking</w:t>
      </w:r>
      <w:r w:rsidR="00B64E48" w:rsidRPr="00137779">
        <w:rPr>
          <w:b/>
          <w:bCs/>
        </w:rPr>
        <w:t xml:space="preserve"> </w:t>
      </w:r>
      <w:r w:rsidR="003A25AF">
        <w:rPr>
          <w:b/>
          <w:bCs/>
        </w:rPr>
        <w:t>in NI</w:t>
      </w:r>
      <w:r w:rsidR="00460B29" w:rsidRPr="00137779">
        <w:rPr>
          <w:b/>
          <w:bCs/>
        </w:rPr>
        <w:t>, which ensure consideration of the best interests of the child</w:t>
      </w:r>
      <w:r w:rsidR="00B0566E">
        <w:rPr>
          <w:b/>
          <w:bCs/>
        </w:rPr>
        <w:t xml:space="preserve"> and protect against a non-diminution of rights</w:t>
      </w:r>
      <w:r w:rsidR="0032640C" w:rsidRPr="0032640C">
        <w:rPr>
          <w:b/>
          <w:bCs/>
        </w:rPr>
        <w:t xml:space="preserve">. </w:t>
      </w:r>
    </w:p>
    <w:p w14:paraId="0DF655A2" w14:textId="77777777" w:rsidR="006A4937" w:rsidRPr="00587912" w:rsidRDefault="006A4937" w:rsidP="006334AA">
      <w:pPr>
        <w:ind w:left="851" w:hanging="851"/>
      </w:pPr>
    </w:p>
    <w:p w14:paraId="1CA70915" w14:textId="311A4E86" w:rsidR="0091659F" w:rsidRPr="004F46E0" w:rsidRDefault="00E90368" w:rsidP="006334AA">
      <w:pPr>
        <w:pStyle w:val="Heading2"/>
        <w:ind w:left="851" w:hanging="851"/>
        <w:rPr>
          <w:szCs w:val="22"/>
        </w:rPr>
      </w:pPr>
      <w:bookmarkStart w:id="90" w:name="_Toc121922251"/>
      <w:r>
        <w:rPr>
          <w:szCs w:val="22"/>
        </w:rPr>
        <w:t xml:space="preserve">Child </w:t>
      </w:r>
      <w:r w:rsidR="00FB6136" w:rsidRPr="00587912">
        <w:rPr>
          <w:szCs w:val="22"/>
        </w:rPr>
        <w:t>marriage</w:t>
      </w:r>
      <w:bookmarkEnd w:id="90"/>
    </w:p>
    <w:p w14:paraId="1609AB9E" w14:textId="7E485E82" w:rsidR="00CA79B0" w:rsidRDefault="00E90368" w:rsidP="008705D9">
      <w:pPr>
        <w:pStyle w:val="ListParagraph"/>
        <w:numPr>
          <w:ilvl w:val="1"/>
          <w:numId w:val="95"/>
        </w:numPr>
        <w:ind w:left="851" w:hanging="851"/>
      </w:pPr>
      <w:r w:rsidRPr="00587912">
        <w:t xml:space="preserve">The Marriage (NI) Order 2003 permits the marriage of a child aged 16 or 17 years, with the consent of their parents or legal guardians or the courts. </w:t>
      </w:r>
    </w:p>
    <w:p w14:paraId="395E9A63" w14:textId="77777777" w:rsidR="00CA79B0" w:rsidRDefault="00CA79B0" w:rsidP="006334AA">
      <w:pPr>
        <w:pStyle w:val="ListParagraph"/>
        <w:ind w:left="851" w:hanging="851"/>
      </w:pPr>
    </w:p>
    <w:p w14:paraId="6FFEB52C" w14:textId="0C099C93" w:rsidR="004320DC" w:rsidRPr="00886CD2" w:rsidRDefault="00B30156" w:rsidP="008705D9">
      <w:pPr>
        <w:pStyle w:val="ListParagraph"/>
        <w:numPr>
          <w:ilvl w:val="1"/>
          <w:numId w:val="95"/>
        </w:numPr>
        <w:ind w:left="851" w:hanging="851"/>
      </w:pPr>
      <w:r w:rsidRPr="00CA79B0">
        <w:rPr>
          <w:color w:val="000000"/>
        </w:rPr>
        <w:t>In 2021, 39 girls and 15 boys were married in NI.</w:t>
      </w:r>
      <w:r>
        <w:rPr>
          <w:rStyle w:val="FootnoteReference"/>
          <w:color w:val="000000"/>
        </w:rPr>
        <w:footnoteReference w:id="405"/>
      </w:r>
      <w:r w:rsidRPr="00CA79B0">
        <w:rPr>
          <w:color w:val="000000"/>
        </w:rPr>
        <w:t xml:space="preserve"> In 2020, 24 girls and seven boys married in NI, which due to COVID-19 and associated lockdown restrictions was lower than previous years.</w:t>
      </w:r>
      <w:r>
        <w:rPr>
          <w:rStyle w:val="FootnoteReference"/>
        </w:rPr>
        <w:footnoteReference w:id="406"/>
      </w:r>
      <w:r w:rsidRPr="00CA79B0">
        <w:rPr>
          <w:color w:val="000000"/>
        </w:rPr>
        <w:t xml:space="preserve"> For example in 2019, there were 54 girls and 15 boys married in NI.</w:t>
      </w:r>
      <w:r>
        <w:rPr>
          <w:rStyle w:val="FootnoteReference"/>
          <w:color w:val="000000"/>
        </w:rPr>
        <w:footnoteReference w:id="407"/>
      </w:r>
      <w:r w:rsidRPr="00CA79B0">
        <w:rPr>
          <w:color w:val="000000"/>
        </w:rPr>
        <w:t xml:space="preserve"> </w:t>
      </w:r>
    </w:p>
    <w:p w14:paraId="7638ED21" w14:textId="77777777" w:rsidR="00886CD2" w:rsidRPr="00886CD2" w:rsidRDefault="00886CD2" w:rsidP="006334AA">
      <w:pPr>
        <w:pStyle w:val="ListParagraph"/>
        <w:ind w:left="851" w:hanging="851"/>
      </w:pPr>
    </w:p>
    <w:p w14:paraId="5EFB11C5" w14:textId="4963A86C" w:rsidR="00886CD2" w:rsidRPr="004320DC" w:rsidRDefault="00886CD2" w:rsidP="008705D9">
      <w:pPr>
        <w:pStyle w:val="ListParagraph"/>
        <w:numPr>
          <w:ilvl w:val="1"/>
          <w:numId w:val="95"/>
        </w:numPr>
        <w:ind w:left="851" w:hanging="851"/>
      </w:pPr>
      <w:r w:rsidRPr="00DF5502">
        <w:rPr>
          <w:color w:val="000000"/>
        </w:rPr>
        <w:t>In April 2022, the Marriage and Civil Partnership (Minimum Age) Act 2022 raised the legal age of marriage and civil partnerships in England and Wales to 18</w:t>
      </w:r>
      <w:r w:rsidR="00B64E48">
        <w:rPr>
          <w:color w:val="000000"/>
        </w:rPr>
        <w:t xml:space="preserve"> years old</w:t>
      </w:r>
      <w:r w:rsidRPr="00DF5502">
        <w:rPr>
          <w:color w:val="000000"/>
        </w:rPr>
        <w:t>.</w:t>
      </w:r>
      <w:r>
        <w:rPr>
          <w:rStyle w:val="FootnoteReference"/>
        </w:rPr>
        <w:footnoteReference w:id="408"/>
      </w:r>
      <w:r w:rsidRPr="00DF5502">
        <w:rPr>
          <w:color w:val="000000"/>
        </w:rPr>
        <w:t xml:space="preserve"> </w:t>
      </w:r>
      <w:r w:rsidR="000373C8">
        <w:rPr>
          <w:color w:val="000000"/>
        </w:rPr>
        <w:t xml:space="preserve">However, the </w:t>
      </w:r>
      <w:r w:rsidR="00B64E48">
        <w:rPr>
          <w:color w:val="000000"/>
        </w:rPr>
        <w:t xml:space="preserve">2022 </w:t>
      </w:r>
      <w:r w:rsidR="000373C8">
        <w:rPr>
          <w:color w:val="000000"/>
        </w:rPr>
        <w:t xml:space="preserve">Act </w:t>
      </w:r>
      <w:r w:rsidR="00C55E96">
        <w:rPr>
          <w:color w:val="000000"/>
        </w:rPr>
        <w:t xml:space="preserve">contains an exemption to allow </w:t>
      </w:r>
      <w:r w:rsidR="00C55E96" w:rsidRPr="00C55E96">
        <w:rPr>
          <w:color w:val="000000"/>
        </w:rPr>
        <w:t>child marriages in Scotland and N</w:t>
      </w:r>
      <w:r w:rsidR="00B64E48">
        <w:rPr>
          <w:color w:val="000000"/>
        </w:rPr>
        <w:t>I</w:t>
      </w:r>
      <w:r w:rsidR="00C55E96" w:rsidRPr="00C55E96">
        <w:rPr>
          <w:color w:val="000000"/>
        </w:rPr>
        <w:t xml:space="preserve"> without risk of prosecution</w:t>
      </w:r>
      <w:r w:rsidR="00C55E96">
        <w:rPr>
          <w:color w:val="000000"/>
        </w:rPr>
        <w:t>.</w:t>
      </w:r>
      <w:r w:rsidR="00106F49">
        <w:rPr>
          <w:rStyle w:val="FootnoteReference"/>
          <w:color w:val="000000"/>
        </w:rPr>
        <w:footnoteReference w:id="409"/>
      </w:r>
      <w:r w:rsidR="00C55E96" w:rsidRPr="00C55E96">
        <w:rPr>
          <w:color w:val="000000"/>
        </w:rPr>
        <w:t xml:space="preserve"> While recognising that this provision was drafted to respect devolution, if NI retain current laws, it</w:t>
      </w:r>
      <w:r w:rsidR="00C55E96">
        <w:rPr>
          <w:color w:val="000000"/>
        </w:rPr>
        <w:t xml:space="preserve"> </w:t>
      </w:r>
      <w:r w:rsidR="00C55E96" w:rsidRPr="00C55E96">
        <w:rPr>
          <w:color w:val="000000"/>
        </w:rPr>
        <w:t>creates a divergence of child protection laws within the UK</w:t>
      </w:r>
      <w:r w:rsidR="006F6658">
        <w:rPr>
          <w:color w:val="000000"/>
        </w:rPr>
        <w:t xml:space="preserve">. </w:t>
      </w:r>
    </w:p>
    <w:p w14:paraId="5C687A53" w14:textId="77777777" w:rsidR="004320DC" w:rsidRPr="004320DC" w:rsidRDefault="004320DC" w:rsidP="006334AA">
      <w:pPr>
        <w:pStyle w:val="ListParagraph"/>
        <w:ind w:left="851" w:hanging="851"/>
      </w:pPr>
    </w:p>
    <w:p w14:paraId="3BFA1DD4" w14:textId="77777777" w:rsidR="00EB4362" w:rsidRDefault="00EB4362" w:rsidP="006334AA">
      <w:pPr>
        <w:pStyle w:val="ListParagraph"/>
        <w:numPr>
          <w:ilvl w:val="1"/>
          <w:numId w:val="95"/>
        </w:numPr>
        <w:ind w:left="851" w:hanging="851"/>
        <w:rPr>
          <w:color w:val="000000"/>
        </w:rPr>
      </w:pPr>
      <w:r w:rsidRPr="00C1691E">
        <w:rPr>
          <w:color w:val="000000"/>
        </w:rPr>
        <w:t>In July 2022, after a consultation process,</w:t>
      </w:r>
      <w:r w:rsidRPr="003B6D51">
        <w:rPr>
          <w:rStyle w:val="FootnoteReference"/>
        </w:rPr>
        <w:footnoteReference w:id="410"/>
      </w:r>
      <w:r w:rsidRPr="00C1691E">
        <w:rPr>
          <w:color w:val="000000"/>
        </w:rPr>
        <w:t xml:space="preserve"> the Department of Finance reported near unanimous support among respondents for increasing the minimum age for marriage and civil partnerships to 18 years.</w:t>
      </w:r>
      <w:r>
        <w:rPr>
          <w:rStyle w:val="FootnoteReference"/>
        </w:rPr>
        <w:footnoteReference w:id="411"/>
      </w:r>
      <w:r w:rsidRPr="00C1691E">
        <w:rPr>
          <w:color w:val="000000"/>
        </w:rPr>
        <w:t xml:space="preserve"> The Minister for Finance, Conor Murphy MLA, responded by issuing a Written Ministerial Statement signalling his intention to prepare legislation to raise the minimum age for marriage to 18 years old.</w:t>
      </w:r>
      <w:r>
        <w:rPr>
          <w:rStyle w:val="FootnoteReference"/>
        </w:rPr>
        <w:footnoteReference w:id="412"/>
      </w:r>
      <w:r w:rsidRPr="00C1691E">
        <w:rPr>
          <w:color w:val="000000"/>
        </w:rPr>
        <w:t xml:space="preserve"> Such legislation is subject to the reinstatement of the NI Executive and NI Assembly.</w:t>
      </w:r>
    </w:p>
    <w:p w14:paraId="2F5CF8C6" w14:textId="77777777" w:rsidR="00E90368" w:rsidRDefault="00E90368" w:rsidP="006334AA">
      <w:pPr>
        <w:ind w:left="851" w:hanging="851"/>
      </w:pPr>
    </w:p>
    <w:p w14:paraId="484702E3" w14:textId="1A9EB673" w:rsidR="008103A4" w:rsidRDefault="0081539D" w:rsidP="008705D9">
      <w:pPr>
        <w:pStyle w:val="ListParagraph"/>
        <w:numPr>
          <w:ilvl w:val="1"/>
          <w:numId w:val="95"/>
        </w:numPr>
        <w:ind w:left="851" w:hanging="851"/>
        <w:rPr>
          <w:b/>
        </w:rPr>
      </w:pPr>
      <w:r>
        <w:rPr>
          <w:b/>
        </w:rPr>
        <w:t xml:space="preserve">The </w:t>
      </w:r>
      <w:r w:rsidR="00F534E3">
        <w:rPr>
          <w:b/>
        </w:rPr>
        <w:t>Committee may wish to</w:t>
      </w:r>
      <w:r>
        <w:rPr>
          <w:b/>
        </w:rPr>
        <w:t xml:space="preserve"> recommend that the </w:t>
      </w:r>
      <w:r w:rsidR="004F46E0">
        <w:rPr>
          <w:b/>
        </w:rPr>
        <w:t xml:space="preserve">State Party </w:t>
      </w:r>
      <w:r w:rsidRPr="004F46E0">
        <w:rPr>
          <w:b/>
        </w:rPr>
        <w:t>expedite</w:t>
      </w:r>
      <w:r w:rsidR="004F46E0">
        <w:rPr>
          <w:b/>
        </w:rPr>
        <w:t>s</w:t>
      </w:r>
      <w:r w:rsidRPr="004F46E0">
        <w:rPr>
          <w:b/>
        </w:rPr>
        <w:t xml:space="preserve"> </w:t>
      </w:r>
      <w:r w:rsidR="00174606" w:rsidRPr="004F46E0">
        <w:rPr>
          <w:b/>
        </w:rPr>
        <w:t xml:space="preserve">the repeal of all legal provisions permitting the marriage of children </w:t>
      </w:r>
      <w:r w:rsidR="00A72B83">
        <w:rPr>
          <w:b/>
        </w:rPr>
        <w:t>in NI</w:t>
      </w:r>
      <w:r w:rsidR="00174606" w:rsidRPr="004F46E0">
        <w:rPr>
          <w:b/>
        </w:rPr>
        <w:t xml:space="preserve"> and increase</w:t>
      </w:r>
      <w:r w:rsidR="004F46E0">
        <w:rPr>
          <w:b/>
        </w:rPr>
        <w:t>s</w:t>
      </w:r>
      <w:r w:rsidR="00174606" w:rsidRPr="004F46E0">
        <w:rPr>
          <w:b/>
        </w:rPr>
        <w:t xml:space="preserve"> the minimum age for marriage </w:t>
      </w:r>
      <w:r w:rsidR="00BD3215">
        <w:rPr>
          <w:b/>
        </w:rPr>
        <w:t xml:space="preserve">in NI </w:t>
      </w:r>
      <w:r w:rsidR="00174606" w:rsidRPr="004F46E0">
        <w:rPr>
          <w:b/>
        </w:rPr>
        <w:t>to 18 years, for both girls and boys</w:t>
      </w:r>
      <w:r w:rsidR="004F46E0">
        <w:rPr>
          <w:b/>
        </w:rPr>
        <w:t xml:space="preserve">. </w:t>
      </w:r>
    </w:p>
    <w:p w14:paraId="6746941B" w14:textId="77777777" w:rsidR="008103A4" w:rsidRPr="008103A4" w:rsidRDefault="008103A4" w:rsidP="006334AA">
      <w:pPr>
        <w:pStyle w:val="ListParagraph"/>
        <w:ind w:left="851" w:hanging="851"/>
        <w:rPr>
          <w:b/>
        </w:rPr>
      </w:pPr>
    </w:p>
    <w:p w14:paraId="03BE1B41" w14:textId="30CFAE62" w:rsidR="003A42F3" w:rsidRPr="003A42F3" w:rsidRDefault="008103A4" w:rsidP="008705D9">
      <w:pPr>
        <w:pStyle w:val="ListParagraph"/>
        <w:numPr>
          <w:ilvl w:val="1"/>
          <w:numId w:val="95"/>
        </w:numPr>
        <w:ind w:left="851" w:hanging="851"/>
        <w:rPr>
          <w:b/>
        </w:rPr>
      </w:pPr>
      <w:r>
        <w:rPr>
          <w:b/>
        </w:rPr>
        <w:t xml:space="preserve">The Committee may wish to recommend that the State Party </w:t>
      </w:r>
      <w:r w:rsidR="0036337D" w:rsidRPr="008103A4">
        <w:rPr>
          <w:b/>
        </w:rPr>
        <w:t>take</w:t>
      </w:r>
      <w:r>
        <w:rPr>
          <w:b/>
        </w:rPr>
        <w:t>s</w:t>
      </w:r>
      <w:r w:rsidR="0036337D">
        <w:rPr>
          <w:b/>
        </w:rPr>
        <w:t xml:space="preserve"> </w:t>
      </w:r>
      <w:r w:rsidR="007C7DCB">
        <w:rPr>
          <w:b/>
        </w:rPr>
        <w:t>effective</w:t>
      </w:r>
      <w:r w:rsidR="0036337D">
        <w:rPr>
          <w:b/>
        </w:rPr>
        <w:t xml:space="preserve"> steps to </w:t>
      </w:r>
      <w:r w:rsidR="007C7DCB">
        <w:rPr>
          <w:b/>
          <w:bCs/>
        </w:rPr>
        <w:t xml:space="preserve">strengthen efforts </w:t>
      </w:r>
      <w:r w:rsidR="00BD3215">
        <w:rPr>
          <w:b/>
          <w:bCs/>
        </w:rPr>
        <w:t>in NI</w:t>
      </w:r>
      <w:r>
        <w:rPr>
          <w:b/>
          <w:bCs/>
        </w:rPr>
        <w:t xml:space="preserve"> </w:t>
      </w:r>
      <w:r w:rsidR="007C7DCB">
        <w:rPr>
          <w:b/>
          <w:bCs/>
        </w:rPr>
        <w:t xml:space="preserve">to </w:t>
      </w:r>
      <w:r w:rsidR="007C7DCB" w:rsidRPr="00C1691E">
        <w:rPr>
          <w:b/>
          <w:bCs/>
        </w:rPr>
        <w:t>combat forced marriages</w:t>
      </w:r>
      <w:r w:rsidR="0036337D" w:rsidRPr="0036337D">
        <w:rPr>
          <w:b/>
          <w:bCs/>
        </w:rPr>
        <w:t>, including by sensitising parents on the need for full and free consent of their child to marry.</w:t>
      </w:r>
    </w:p>
    <w:p w14:paraId="550564AB" w14:textId="77777777" w:rsidR="008103A4" w:rsidRPr="008103A4" w:rsidRDefault="008103A4" w:rsidP="00F35B3B"/>
    <w:p w14:paraId="24283C31" w14:textId="21E04D6A" w:rsidR="000D15A8" w:rsidRDefault="00E337D2" w:rsidP="006334AA">
      <w:pPr>
        <w:pStyle w:val="Heading1"/>
        <w:numPr>
          <w:ilvl w:val="0"/>
          <w:numId w:val="96"/>
        </w:numPr>
        <w:ind w:left="851" w:hanging="851"/>
      </w:pPr>
      <w:r>
        <w:t xml:space="preserve"> </w:t>
      </w:r>
      <w:bookmarkStart w:id="91" w:name="_Toc121922252"/>
      <w:r w:rsidR="000D15A8">
        <w:t>Optional Protocol – Armed C</w:t>
      </w:r>
      <w:r w:rsidR="00AD252D" w:rsidRPr="008E17CC">
        <w:t>onflict</w:t>
      </w:r>
      <w:bookmarkEnd w:id="91"/>
    </w:p>
    <w:p w14:paraId="64E3426F" w14:textId="11D6CC40" w:rsidR="00886A1E" w:rsidRDefault="00E337D2" w:rsidP="00886A1E">
      <w:pPr>
        <w:pStyle w:val="ListParagraph"/>
        <w:numPr>
          <w:ilvl w:val="1"/>
          <w:numId w:val="96"/>
        </w:numPr>
        <w:ind w:left="851" w:hanging="851"/>
      </w:pPr>
      <w:r>
        <w:t>The Committee recommended that the</w:t>
      </w:r>
      <w:r w:rsidRPr="00587912">
        <w:t xml:space="preserve"> minimum age of recruitment into the armed forces </w:t>
      </w:r>
      <w:r>
        <w:t>is raised to 18 years.</w:t>
      </w:r>
      <w:r w:rsidRPr="00587912">
        <w:rPr>
          <w:rStyle w:val="FootnoteReference"/>
        </w:rPr>
        <w:footnoteReference w:id="413"/>
      </w:r>
      <w:r>
        <w:t xml:space="preserve"> </w:t>
      </w:r>
    </w:p>
    <w:p w14:paraId="786675DC" w14:textId="77777777" w:rsidR="00886A1E" w:rsidRDefault="00886A1E" w:rsidP="00886A1E">
      <w:pPr>
        <w:pStyle w:val="ListParagraph"/>
        <w:ind w:left="851" w:hanging="851"/>
      </w:pPr>
    </w:p>
    <w:p w14:paraId="0E552447" w14:textId="40AA6B4D" w:rsidR="00E337D2" w:rsidRPr="00E337D2" w:rsidRDefault="00EA012C" w:rsidP="00886A1E">
      <w:pPr>
        <w:pStyle w:val="ListParagraph"/>
        <w:numPr>
          <w:ilvl w:val="1"/>
          <w:numId w:val="96"/>
        </w:numPr>
        <w:ind w:left="851" w:hanging="851"/>
      </w:pPr>
      <w:r>
        <w:t xml:space="preserve">The </w:t>
      </w:r>
      <w:r w:rsidR="004C371F" w:rsidRPr="00587912">
        <w:t xml:space="preserve">UK continues to be the only country in Europe that routinely recruits </w:t>
      </w:r>
      <w:proofErr w:type="gramStart"/>
      <w:r w:rsidR="000D15A8">
        <w:t>16 and 17 year olds</w:t>
      </w:r>
      <w:proofErr w:type="gramEnd"/>
      <w:r w:rsidR="004C371F" w:rsidRPr="00587912">
        <w:t xml:space="preserve"> into the armed forces. </w:t>
      </w:r>
      <w:r w:rsidR="000D15A8" w:rsidRPr="00E337D2">
        <w:rPr>
          <w:rFonts w:eastAsia="Verdana" w:cs="Verdana"/>
          <w:color w:val="000000"/>
        </w:rPr>
        <w:t xml:space="preserve">In 2019, the British Medical Journal highlighted that such recruitment adversely </w:t>
      </w:r>
      <w:r w:rsidR="00585450" w:rsidRPr="00E337D2">
        <w:rPr>
          <w:rFonts w:eastAsia="Verdana" w:cs="Verdana"/>
          <w:color w:val="000000"/>
        </w:rPr>
        <w:t>a</w:t>
      </w:r>
      <w:r w:rsidR="000D15A8" w:rsidRPr="00E337D2">
        <w:rPr>
          <w:rFonts w:eastAsia="Verdana" w:cs="Verdana"/>
          <w:color w:val="000000"/>
        </w:rPr>
        <w:t>ffects the child’s mental and physical health.</w:t>
      </w:r>
      <w:r w:rsidR="000D15A8">
        <w:rPr>
          <w:rStyle w:val="FootnoteReference"/>
        </w:rPr>
        <w:footnoteReference w:id="414"/>
      </w:r>
    </w:p>
    <w:p w14:paraId="117A10D1" w14:textId="77777777" w:rsidR="00E337D2" w:rsidRPr="00E337D2" w:rsidRDefault="00E337D2" w:rsidP="00886A1E">
      <w:pPr>
        <w:pStyle w:val="ListParagraph"/>
        <w:ind w:left="851" w:hanging="851"/>
      </w:pPr>
    </w:p>
    <w:p w14:paraId="6F1B62C6" w14:textId="691BD0EC" w:rsidR="000D15A8" w:rsidRPr="00E62C54" w:rsidRDefault="00134DA1" w:rsidP="00886A1E">
      <w:pPr>
        <w:pStyle w:val="ListParagraph"/>
        <w:numPr>
          <w:ilvl w:val="1"/>
          <w:numId w:val="96"/>
        </w:numPr>
        <w:ind w:left="851" w:hanging="851"/>
        <w:rPr>
          <w:b/>
        </w:rPr>
      </w:pPr>
      <w:r w:rsidRPr="00E62C54">
        <w:rPr>
          <w:b/>
        </w:rPr>
        <w:t>The Committee may wish to recommend</w:t>
      </w:r>
      <w:r w:rsidR="002C3C3B" w:rsidRPr="00E62C54">
        <w:rPr>
          <w:b/>
        </w:rPr>
        <w:t xml:space="preserve"> that the </w:t>
      </w:r>
      <w:r w:rsidR="008103A4" w:rsidRPr="00E62C54">
        <w:rPr>
          <w:b/>
        </w:rPr>
        <w:t>State Party</w:t>
      </w:r>
      <w:r w:rsidR="002C3C3B" w:rsidRPr="00E62C54">
        <w:rPr>
          <w:b/>
        </w:rPr>
        <w:t xml:space="preserve"> introduces legislation to</w:t>
      </w:r>
      <w:r w:rsidR="000D15A8" w:rsidRPr="00E62C54">
        <w:rPr>
          <w:b/>
        </w:rPr>
        <w:t xml:space="preserve"> raise the minimum age of recruitment to the Armed Forces to 18 years old</w:t>
      </w:r>
      <w:r w:rsidR="008103A4" w:rsidRPr="00E62C54">
        <w:rPr>
          <w:b/>
        </w:rPr>
        <w:t xml:space="preserve"> </w:t>
      </w:r>
      <w:r w:rsidR="00716FDB" w:rsidRPr="00E62C54">
        <w:rPr>
          <w:b/>
        </w:rPr>
        <w:t>in NI</w:t>
      </w:r>
      <w:r w:rsidR="002C3C3B" w:rsidRPr="00E62C54">
        <w:rPr>
          <w:b/>
        </w:rPr>
        <w:t>.</w:t>
      </w:r>
    </w:p>
    <w:p w14:paraId="4FF49617" w14:textId="77777777" w:rsidR="004C371F" w:rsidRPr="00587912" w:rsidRDefault="004C371F" w:rsidP="006334AA">
      <w:pPr>
        <w:pStyle w:val="ListParagraph"/>
        <w:ind w:left="851" w:hanging="851"/>
      </w:pPr>
    </w:p>
    <w:p w14:paraId="21705DDC" w14:textId="746FA8D8" w:rsidR="004C371F" w:rsidRPr="00587912" w:rsidRDefault="004C371F" w:rsidP="006334AA">
      <w:pPr>
        <w:ind w:left="851" w:hanging="851"/>
      </w:pPr>
    </w:p>
    <w:p w14:paraId="7AAD69D1" w14:textId="69C160CC" w:rsidR="00C3789B" w:rsidRPr="00587912" w:rsidRDefault="00C3789B" w:rsidP="006334AA">
      <w:pPr>
        <w:ind w:left="851" w:hanging="851"/>
      </w:pPr>
    </w:p>
    <w:p w14:paraId="0F43AB88" w14:textId="77777777" w:rsidR="00142383" w:rsidRDefault="00142383" w:rsidP="006334AA">
      <w:pPr>
        <w:spacing w:after="160" w:line="259" w:lineRule="auto"/>
        <w:ind w:left="851" w:hanging="851"/>
      </w:pPr>
      <w:r>
        <w:br w:type="page"/>
      </w:r>
    </w:p>
    <w:p w14:paraId="769E03EA" w14:textId="77777777" w:rsidR="000C2BE6" w:rsidRDefault="000C2BE6" w:rsidP="00F82C55">
      <w:pPr>
        <w:pStyle w:val="BasicParagraph"/>
        <w:suppressAutoHyphens/>
        <w:jc w:val="center"/>
        <w:rPr>
          <w:rFonts w:ascii="Verdana" w:hAnsi="Verdana" w:cs="Arial"/>
          <w:b/>
          <w:bCs/>
          <w:color w:val="77328A"/>
          <w:sz w:val="44"/>
          <w:szCs w:val="44"/>
        </w:rPr>
      </w:pPr>
    </w:p>
    <w:p w14:paraId="541ABD2F" w14:textId="77777777" w:rsidR="000C2BE6" w:rsidRDefault="000C2BE6" w:rsidP="00F82C55">
      <w:pPr>
        <w:pStyle w:val="BasicParagraph"/>
        <w:suppressAutoHyphens/>
        <w:jc w:val="center"/>
        <w:rPr>
          <w:rFonts w:ascii="Verdana" w:hAnsi="Verdana" w:cs="Arial"/>
          <w:b/>
          <w:bCs/>
          <w:color w:val="77328A"/>
          <w:sz w:val="44"/>
          <w:szCs w:val="44"/>
        </w:rPr>
      </w:pPr>
    </w:p>
    <w:p w14:paraId="7B8D1516" w14:textId="77777777" w:rsidR="000C2BE6" w:rsidRDefault="000C2BE6" w:rsidP="00F82C55">
      <w:pPr>
        <w:pStyle w:val="BasicParagraph"/>
        <w:suppressAutoHyphens/>
        <w:jc w:val="center"/>
        <w:rPr>
          <w:rFonts w:ascii="Verdana" w:hAnsi="Verdana" w:cs="Arial"/>
          <w:b/>
          <w:bCs/>
          <w:color w:val="77328A"/>
          <w:sz w:val="44"/>
          <w:szCs w:val="44"/>
        </w:rPr>
      </w:pPr>
    </w:p>
    <w:p w14:paraId="3E926E8E" w14:textId="5D916D35" w:rsidR="000C2BE6" w:rsidRDefault="000C2BE6" w:rsidP="00F82C55">
      <w:pPr>
        <w:pStyle w:val="BasicParagraph"/>
        <w:suppressAutoHyphens/>
        <w:jc w:val="center"/>
        <w:rPr>
          <w:rFonts w:ascii="Verdana" w:hAnsi="Verdana" w:cs="Arial"/>
          <w:b/>
          <w:bCs/>
          <w:color w:val="77328A"/>
          <w:sz w:val="44"/>
          <w:szCs w:val="44"/>
        </w:rPr>
      </w:pPr>
    </w:p>
    <w:p w14:paraId="13DC54B9" w14:textId="783BD514" w:rsidR="000C2BE6" w:rsidRDefault="000C2BE6" w:rsidP="00835B5E">
      <w:pPr>
        <w:pStyle w:val="BasicParagraph"/>
        <w:suppressAutoHyphens/>
        <w:rPr>
          <w:rFonts w:ascii="Verdana" w:hAnsi="Verdana" w:cs="Arial"/>
          <w:b/>
          <w:bCs/>
          <w:color w:val="77328A"/>
          <w:sz w:val="44"/>
          <w:szCs w:val="44"/>
        </w:rPr>
      </w:pPr>
    </w:p>
    <w:p w14:paraId="2A6A5DB2" w14:textId="77777777" w:rsidR="001B7952" w:rsidRDefault="001B7952" w:rsidP="00835B5E">
      <w:pPr>
        <w:pStyle w:val="BasicParagraph"/>
        <w:suppressAutoHyphens/>
        <w:rPr>
          <w:rFonts w:ascii="Verdana" w:hAnsi="Verdana" w:cs="Arial"/>
          <w:b/>
          <w:bCs/>
          <w:color w:val="77328A"/>
          <w:sz w:val="44"/>
          <w:szCs w:val="44"/>
        </w:rPr>
      </w:pPr>
    </w:p>
    <w:p w14:paraId="47F6AD45" w14:textId="77777777" w:rsidR="00835B5E" w:rsidRDefault="00835B5E" w:rsidP="00835B5E">
      <w:pPr>
        <w:pStyle w:val="BasicParagraph"/>
        <w:suppressAutoHyphens/>
        <w:rPr>
          <w:rFonts w:ascii="Verdana" w:hAnsi="Verdana" w:cs="Arial"/>
          <w:b/>
          <w:bCs/>
          <w:color w:val="77328A"/>
          <w:sz w:val="44"/>
          <w:szCs w:val="44"/>
        </w:rPr>
      </w:pPr>
    </w:p>
    <w:p w14:paraId="0D0677FA" w14:textId="77777777" w:rsidR="000C2BE6" w:rsidRDefault="000C2BE6" w:rsidP="00F82C55">
      <w:pPr>
        <w:pStyle w:val="BasicParagraph"/>
        <w:suppressAutoHyphens/>
        <w:jc w:val="center"/>
        <w:rPr>
          <w:rFonts w:ascii="Verdana" w:hAnsi="Verdana" w:cs="Arial"/>
          <w:b/>
          <w:bCs/>
          <w:color w:val="77328A"/>
          <w:sz w:val="44"/>
          <w:szCs w:val="44"/>
        </w:rPr>
      </w:pPr>
    </w:p>
    <w:p w14:paraId="077CE776" w14:textId="5DAE913B" w:rsidR="00F82C55" w:rsidRPr="00430ACC" w:rsidRDefault="00F82C55" w:rsidP="00F82C55">
      <w:pPr>
        <w:pStyle w:val="BasicParagraph"/>
        <w:suppressAutoHyphens/>
        <w:jc w:val="center"/>
        <w:rPr>
          <w:rFonts w:ascii="Verdana" w:hAnsi="Verdana" w:cs="Arial"/>
          <w:b/>
          <w:bCs/>
          <w:color w:val="77328A"/>
          <w:sz w:val="44"/>
          <w:szCs w:val="44"/>
        </w:rPr>
      </w:pPr>
      <w:r w:rsidRPr="00430ACC">
        <w:rPr>
          <w:rFonts w:ascii="Verdana" w:hAnsi="Verdana" w:cs="Arial"/>
          <w:b/>
          <w:bCs/>
          <w:color w:val="77328A"/>
          <w:sz w:val="44"/>
          <w:szCs w:val="44"/>
        </w:rPr>
        <w:t xml:space="preserve">Contact Us </w:t>
      </w:r>
    </w:p>
    <w:p w14:paraId="5DC84D44" w14:textId="77777777" w:rsidR="00F82C55" w:rsidRPr="001479C7" w:rsidRDefault="00F82C55" w:rsidP="00F82C55">
      <w:pPr>
        <w:pStyle w:val="BasicParagraph"/>
        <w:suppressAutoHyphens/>
        <w:jc w:val="center"/>
        <w:rPr>
          <w:rFonts w:ascii="Verdana" w:hAnsi="Verdana" w:cs="Arial"/>
          <w:b/>
          <w:bCs/>
          <w:color w:val="77328A"/>
        </w:rPr>
      </w:pPr>
    </w:p>
    <w:p w14:paraId="68491AC5" w14:textId="77777777" w:rsidR="00F82C55" w:rsidRPr="000D15A8" w:rsidRDefault="00F82C55" w:rsidP="00F82C55">
      <w:pPr>
        <w:pStyle w:val="BasicParagraph"/>
        <w:suppressAutoHyphens/>
        <w:jc w:val="center"/>
        <w:rPr>
          <w:rFonts w:ascii="Verdana" w:hAnsi="Verdana" w:cs="Arial"/>
          <w:b/>
          <w:bCs/>
          <w:color w:val="auto"/>
        </w:rPr>
      </w:pPr>
      <w:r w:rsidRPr="000D15A8">
        <w:rPr>
          <w:rFonts w:ascii="Verdana" w:hAnsi="Verdana" w:cs="Arial"/>
          <w:b/>
          <w:bCs/>
          <w:color w:val="auto"/>
        </w:rPr>
        <w:t xml:space="preserve">For queries, please contact: </w:t>
      </w:r>
    </w:p>
    <w:p w14:paraId="5794D513" w14:textId="62F76C68" w:rsidR="00F82C55" w:rsidRPr="000D15A8" w:rsidRDefault="008543FE" w:rsidP="00F82C55">
      <w:pPr>
        <w:pStyle w:val="BasicParagraph"/>
        <w:suppressAutoHyphens/>
        <w:jc w:val="center"/>
        <w:rPr>
          <w:rStyle w:val="Hyperlink"/>
          <w:rFonts w:ascii="Verdana" w:hAnsi="Verdana" w:cs="Arial"/>
          <w:bCs/>
        </w:rPr>
      </w:pPr>
      <w:hyperlink r:id="rId12" w:history="1">
        <w:r w:rsidR="006628A8">
          <w:rPr>
            <w:rStyle w:val="Hyperlink"/>
            <w:rFonts w:ascii="Verdana" w:hAnsi="Verdana" w:cs="Arial"/>
            <w:bCs/>
          </w:rPr>
          <w:t>Hannah.Russell</w:t>
        </w:r>
        <w:r w:rsidR="006628A8" w:rsidRPr="00823C03">
          <w:rPr>
            <w:rStyle w:val="Hyperlink"/>
            <w:rFonts w:ascii="Verdana" w:hAnsi="Verdana" w:cs="Arial"/>
            <w:bCs/>
          </w:rPr>
          <w:t>@nihrc.org</w:t>
        </w:r>
      </w:hyperlink>
    </w:p>
    <w:p w14:paraId="5859042C" w14:textId="77777777" w:rsidR="00F82C55" w:rsidRPr="001479C7" w:rsidRDefault="00F82C55" w:rsidP="00F82C55">
      <w:pPr>
        <w:pStyle w:val="BasicParagraph"/>
        <w:suppressAutoHyphens/>
        <w:jc w:val="center"/>
        <w:rPr>
          <w:rFonts w:ascii="Verdana" w:hAnsi="Verdana" w:cs="Arial"/>
          <w:b/>
          <w:bCs/>
          <w:color w:val="auto"/>
        </w:rPr>
      </w:pPr>
    </w:p>
    <w:p w14:paraId="6A01EC91" w14:textId="77777777" w:rsidR="00F82C55" w:rsidRPr="00331C61" w:rsidRDefault="00F82C55" w:rsidP="00F82C55">
      <w:pPr>
        <w:jc w:val="center"/>
        <w:rPr>
          <w:rFonts w:cs="Arial"/>
          <w:b/>
          <w:color w:val="232120"/>
          <w:sz w:val="30"/>
          <w:szCs w:val="30"/>
        </w:rPr>
      </w:pPr>
    </w:p>
    <w:p w14:paraId="66DD55AF" w14:textId="77777777" w:rsidR="00F82C55" w:rsidRPr="00331C61" w:rsidRDefault="008543FE" w:rsidP="00F82C55">
      <w:pPr>
        <w:jc w:val="center"/>
        <w:rPr>
          <w:rFonts w:cs="Arial"/>
          <w:color w:val="232120"/>
          <w:sz w:val="28"/>
          <w:szCs w:val="28"/>
        </w:rPr>
      </w:pPr>
      <w:hyperlink r:id="rId13" w:history="1">
        <w:r w:rsidR="00F82C55" w:rsidRPr="00331C61">
          <w:rPr>
            <w:rStyle w:val="Hyperlink"/>
            <w:rFonts w:cs="Arial"/>
            <w:color w:val="232120"/>
            <w:sz w:val="28"/>
            <w:szCs w:val="28"/>
            <w:lang w:val="en-US"/>
          </w:rPr>
          <w:t>www.nihrc.org</w:t>
        </w:r>
      </w:hyperlink>
      <w:r w:rsidR="00F82C55" w:rsidRPr="00331C61">
        <w:rPr>
          <w:rFonts w:cs="Arial"/>
          <w:color w:val="232120"/>
          <w:sz w:val="28"/>
          <w:szCs w:val="28"/>
          <w:lang w:val="en-US"/>
        </w:rPr>
        <w:t xml:space="preserve">  |  </w:t>
      </w:r>
      <w:hyperlink r:id="rId14" w:history="1">
        <w:r w:rsidR="00F82C55" w:rsidRPr="00331C61">
          <w:rPr>
            <w:rStyle w:val="Hyperlink"/>
            <w:rFonts w:cs="Arial"/>
            <w:color w:val="232120"/>
            <w:sz w:val="28"/>
            <w:szCs w:val="28"/>
            <w:lang w:val="en-US"/>
          </w:rPr>
          <w:t>info@nihrc.org</w:t>
        </w:r>
      </w:hyperlink>
      <w:r w:rsidR="00F82C55" w:rsidRPr="00331C61">
        <w:rPr>
          <w:rFonts w:cs="Arial"/>
          <w:color w:val="232120"/>
          <w:sz w:val="28"/>
          <w:szCs w:val="28"/>
          <w:lang w:val="en-US"/>
        </w:rPr>
        <w:t xml:space="preserve">  |  +44 (0)28 9024 3987</w:t>
      </w:r>
    </w:p>
    <w:p w14:paraId="542D00B3" w14:textId="77777777" w:rsidR="00F82C55" w:rsidRPr="00331C61" w:rsidRDefault="00F82C55" w:rsidP="00F82C55">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5D80C2F8" w14:textId="77777777" w:rsidR="00F82C55" w:rsidRPr="00331C61" w:rsidRDefault="00F82C55" w:rsidP="00F82C55">
      <w:pPr>
        <w:jc w:val="center"/>
        <w:rPr>
          <w:rFonts w:cs="Arial"/>
          <w:b/>
          <w:color w:val="232120"/>
          <w:sz w:val="28"/>
          <w:szCs w:val="28"/>
        </w:rPr>
      </w:pPr>
    </w:p>
    <w:p w14:paraId="2FC48C2C" w14:textId="77777777" w:rsidR="00F82C55" w:rsidRPr="00331C61" w:rsidRDefault="00F82C55" w:rsidP="00F82C55">
      <w:pPr>
        <w:jc w:val="center"/>
        <w:rPr>
          <w:rFonts w:cs="Arial"/>
          <w:color w:val="232120"/>
          <w:sz w:val="20"/>
          <w:szCs w:val="20"/>
        </w:rPr>
      </w:pPr>
    </w:p>
    <w:p w14:paraId="224232ED" w14:textId="77777777" w:rsidR="00F82C55" w:rsidRDefault="00F82C55" w:rsidP="00F82C55">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0A877C0" wp14:editId="3A06EFC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3F4AE2BB" w14:textId="77777777" w:rsidR="00F82C55" w:rsidRDefault="00F82C55" w:rsidP="00657FEC"/>
    <w:p w14:paraId="25D2D39B" w14:textId="1663C780" w:rsidR="00D00D8B" w:rsidRDefault="00D00D8B" w:rsidP="00657FEC"/>
    <w:p w14:paraId="0FD070F9" w14:textId="0B8A083C" w:rsidR="00650A13" w:rsidRDefault="00650A13" w:rsidP="00DF33B5">
      <w:pPr>
        <w:spacing w:after="160" w:line="259" w:lineRule="auto"/>
      </w:pPr>
    </w:p>
    <w:p w14:paraId="028158CE" w14:textId="77777777" w:rsidR="00650A13" w:rsidRDefault="00650A13" w:rsidP="00650A13"/>
    <w:p w14:paraId="7C830785" w14:textId="77777777" w:rsidR="00D00D8B" w:rsidRPr="00587912" w:rsidRDefault="00D00D8B" w:rsidP="00657FEC"/>
    <w:sectPr w:rsidR="00D00D8B" w:rsidRPr="00587912" w:rsidSect="001111FA">
      <w:footerReference w:type="defaul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3BEE9" w14:textId="77777777" w:rsidR="008543FE" w:rsidRDefault="008543FE" w:rsidP="00E14735">
      <w:pPr>
        <w:spacing w:line="240" w:lineRule="auto"/>
      </w:pPr>
      <w:r>
        <w:separator/>
      </w:r>
    </w:p>
  </w:endnote>
  <w:endnote w:type="continuationSeparator" w:id="0">
    <w:p w14:paraId="0F3D58B4" w14:textId="77777777" w:rsidR="008543FE" w:rsidRDefault="008543FE" w:rsidP="00E14735">
      <w:pPr>
        <w:spacing w:line="240" w:lineRule="auto"/>
      </w:pPr>
      <w:r>
        <w:continuationSeparator/>
      </w:r>
    </w:p>
  </w:endnote>
  <w:endnote w:type="continuationNotice" w:id="1">
    <w:p w14:paraId="4458D4CC" w14:textId="77777777" w:rsidR="008543FE" w:rsidRDefault="008543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WWTL U+ Zurich B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30A0"/>
        <w:szCs w:val="24"/>
      </w:rPr>
      <w:id w:val="85813639"/>
      <w:docPartObj>
        <w:docPartGallery w:val="Page Numbers (Bottom of Page)"/>
        <w:docPartUnique/>
      </w:docPartObj>
    </w:sdtPr>
    <w:sdtEndPr>
      <w:rPr>
        <w:noProof/>
      </w:rPr>
    </w:sdtEndPr>
    <w:sdtContent>
      <w:p w14:paraId="5A67A94C" w14:textId="4125469A" w:rsidR="00FC3184" w:rsidRPr="00E90368" w:rsidRDefault="00FC3184" w:rsidP="00E90368">
        <w:pPr>
          <w:pStyle w:val="Footer"/>
          <w:jc w:val="right"/>
          <w:rPr>
            <w:color w:val="7030A0"/>
            <w:szCs w:val="24"/>
          </w:rPr>
        </w:pPr>
        <w:r w:rsidRPr="00E90368">
          <w:rPr>
            <w:color w:val="7030A0"/>
            <w:szCs w:val="24"/>
          </w:rPr>
          <w:fldChar w:fldCharType="begin"/>
        </w:r>
        <w:r w:rsidRPr="00E90368">
          <w:rPr>
            <w:color w:val="7030A0"/>
            <w:szCs w:val="24"/>
          </w:rPr>
          <w:instrText xml:space="preserve"> PAGE   \* MERGEFORMAT </w:instrText>
        </w:r>
        <w:r w:rsidRPr="00E90368">
          <w:rPr>
            <w:color w:val="7030A0"/>
            <w:szCs w:val="24"/>
          </w:rPr>
          <w:fldChar w:fldCharType="separate"/>
        </w:r>
        <w:r w:rsidR="008638A2">
          <w:rPr>
            <w:noProof/>
            <w:color w:val="7030A0"/>
            <w:szCs w:val="24"/>
          </w:rPr>
          <w:t>82</w:t>
        </w:r>
        <w:r w:rsidRPr="00E90368">
          <w:rPr>
            <w:noProof/>
            <w:color w:val="7030A0"/>
            <w:szCs w:val="24"/>
          </w:rPr>
          <w:fldChar w:fldCharType="end"/>
        </w:r>
      </w:p>
    </w:sdtContent>
  </w:sdt>
  <w:p w14:paraId="382F0E00" w14:textId="77777777" w:rsidR="00FC3184" w:rsidRDefault="00FC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54F1A" w14:textId="77777777" w:rsidR="008543FE" w:rsidRDefault="008543FE" w:rsidP="00E14735">
      <w:pPr>
        <w:spacing w:line="240" w:lineRule="auto"/>
      </w:pPr>
      <w:r>
        <w:separator/>
      </w:r>
    </w:p>
  </w:footnote>
  <w:footnote w:type="continuationSeparator" w:id="0">
    <w:p w14:paraId="55F95BD7" w14:textId="77777777" w:rsidR="008543FE" w:rsidRDefault="008543FE" w:rsidP="00E14735">
      <w:pPr>
        <w:spacing w:line="240" w:lineRule="auto"/>
      </w:pPr>
      <w:r>
        <w:continuationSeparator/>
      </w:r>
    </w:p>
  </w:footnote>
  <w:footnote w:type="continuationNotice" w:id="1">
    <w:p w14:paraId="28F9967E" w14:textId="77777777" w:rsidR="008543FE" w:rsidRDefault="008543FE">
      <w:pPr>
        <w:spacing w:line="240" w:lineRule="auto"/>
      </w:pPr>
    </w:p>
  </w:footnote>
  <w:footnote w:id="2">
    <w:p w14:paraId="403D473A" w14:textId="5508EBE2" w:rsidR="00F83847" w:rsidRPr="001C388E" w:rsidRDefault="00F83847" w:rsidP="007C17F8">
      <w:pPr>
        <w:pStyle w:val="NIHRCFootnotes0"/>
      </w:pPr>
      <w:r w:rsidRPr="001C388E">
        <w:rPr>
          <w:rStyle w:val="FootnoteReference"/>
          <w:vertAlign w:val="baseline"/>
        </w:rPr>
        <w:footnoteRef/>
      </w:r>
      <w:r w:rsidRPr="001C388E">
        <w:t xml:space="preserve"> </w:t>
      </w:r>
      <w:r w:rsidR="00B97DD6" w:rsidRPr="001C388E">
        <w:t>This is given effect in UK law by section 7A of the EU (Withdrawal) Act 2018.</w:t>
      </w:r>
      <w:r w:rsidR="003B2010">
        <w:t xml:space="preserve"> </w:t>
      </w:r>
      <w:r w:rsidR="003B2010" w:rsidRPr="00F820CA">
        <w:t>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
    <w:p w14:paraId="799E8EF1" w14:textId="77777777" w:rsidR="009F075B" w:rsidRPr="0091614D" w:rsidRDefault="009F075B" w:rsidP="007C17F8">
      <w:pPr>
        <w:pStyle w:val="NIHRCFootnotes0"/>
      </w:pPr>
      <w:r>
        <w:rPr>
          <w:rStyle w:val="FootnoteReference"/>
        </w:rPr>
        <w:footnoteRef/>
      </w:r>
      <w:r>
        <w:t xml:space="preserve"> Jayne McCormack and Matt Fox ‘Stormont stalemate: Heaton-Harris pushes back NI election deadline’, </w:t>
      </w:r>
      <w:r>
        <w:rPr>
          <w:i/>
          <w:iCs/>
        </w:rPr>
        <w:t>BBC News</w:t>
      </w:r>
      <w:r>
        <w:t>, 9 November 2022.</w:t>
      </w:r>
    </w:p>
  </w:footnote>
  <w:footnote w:id="4">
    <w:p w14:paraId="6543AE3B" w14:textId="53DFA288" w:rsidR="000A7D1E" w:rsidRDefault="000A7D1E" w:rsidP="000A7D1E">
      <w:pPr>
        <w:pStyle w:val="NIHRCFootnotes0"/>
      </w:pPr>
      <w:r>
        <w:rPr>
          <w:rStyle w:val="FootnoteReference"/>
        </w:rPr>
        <w:footnoteRef/>
      </w:r>
      <w:r>
        <w:t xml:space="preserve"> </w:t>
      </w:r>
      <w:r>
        <w:rPr>
          <w:shd w:val="clear" w:color="auto" w:fill="FFFFFF"/>
        </w:rPr>
        <w:t>Global Alliance of National Human Rights Institutions, ‘Report and Recommendations of the Virtual Session of the Sub-Committee on Accreditation</w:t>
      </w:r>
      <w:r w:rsidR="00B520D0">
        <w:rPr>
          <w:shd w:val="clear" w:color="auto" w:fill="FFFFFF"/>
        </w:rPr>
        <w:t>:</w:t>
      </w:r>
      <w:r>
        <w:rPr>
          <w:shd w:val="clear" w:color="auto" w:fill="FFFFFF"/>
        </w:rPr>
        <w:t xml:space="preserve"> 18-29 October 2021’ (GANHRI, 2021)</w:t>
      </w:r>
      <w:r w:rsidR="00C32995">
        <w:rPr>
          <w:shd w:val="clear" w:color="auto" w:fill="FFFFFF"/>
        </w:rPr>
        <w:t>; Global Alliance of National Human Rights Institutions, ‘Report and Recommendations of the Virtual Session of the Sub-Committee on Accreditation: 3-7 October 2021’ (GANHRI, 2022</w:t>
      </w:r>
      <w:r>
        <w:rPr>
          <w:shd w:val="clear" w:color="auto" w:fill="FFFFFF"/>
        </w:rPr>
        <w:t>).</w:t>
      </w:r>
    </w:p>
  </w:footnote>
  <w:footnote w:id="5">
    <w:p w14:paraId="28D9A4BF" w14:textId="5696A69A" w:rsidR="00FC3184" w:rsidRPr="00FC3184" w:rsidRDefault="00FC3184" w:rsidP="007C17F8">
      <w:pPr>
        <w:pStyle w:val="NIHRCFootnotes0"/>
        <w:rPr>
          <w:color w:val="7030A0"/>
        </w:rPr>
      </w:pPr>
      <w:r w:rsidRPr="007A5C49">
        <w:rPr>
          <w:rStyle w:val="FootnoteReference"/>
        </w:rPr>
        <w:footnoteRef/>
      </w:r>
      <w:r w:rsidRPr="001C388E">
        <w:t xml:space="preserve"> CRC/C/GBR/CO/5, ‘UN CRC Committee Concluding Observations on the Fifth Periodic Report of the UK of Great Britain and NI’, 12 July 2016, at 22.</w:t>
      </w:r>
    </w:p>
  </w:footnote>
  <w:footnote w:id="6">
    <w:p w14:paraId="4059F368" w14:textId="0EFDBE98" w:rsidR="00FC3184" w:rsidRPr="001C388E" w:rsidRDefault="00FC3184" w:rsidP="007C17F8">
      <w:pPr>
        <w:pStyle w:val="NIHRCFootnotes0"/>
      </w:pPr>
      <w:r w:rsidRPr="007A5C49">
        <w:rPr>
          <w:rStyle w:val="FootnoteReference"/>
        </w:rPr>
        <w:footnoteRef/>
      </w:r>
      <w:r w:rsidRPr="001C388E">
        <w:t xml:space="preserve"> Employment Equality (Age) Regulations (NI) (2006).</w:t>
      </w:r>
    </w:p>
  </w:footnote>
  <w:footnote w:id="7">
    <w:p w14:paraId="427CE68C" w14:textId="7922771C" w:rsidR="00FC3184" w:rsidRPr="001C388E" w:rsidRDefault="00FC3184" w:rsidP="007C17F8">
      <w:pPr>
        <w:pStyle w:val="NIHRCFootnotes0"/>
      </w:pPr>
      <w:r w:rsidRPr="007A5C49">
        <w:rPr>
          <w:rStyle w:val="FootnoteReference"/>
        </w:rPr>
        <w:footnoteRef/>
      </w:r>
      <w:r w:rsidRPr="001C388E">
        <w:t xml:space="preserve"> This refers to non-discrimination, save where there is an objective justification.</w:t>
      </w:r>
    </w:p>
  </w:footnote>
  <w:footnote w:id="8">
    <w:p w14:paraId="38A9E338" w14:textId="6C825209" w:rsidR="000517C3" w:rsidRPr="001C388E" w:rsidRDefault="000517C3" w:rsidP="007C17F8">
      <w:pPr>
        <w:pStyle w:val="NIHRCFootnotes0"/>
      </w:pPr>
      <w:r w:rsidRPr="007A5C49">
        <w:rPr>
          <w:rStyle w:val="FootnoteReference"/>
        </w:rPr>
        <w:footnoteRef/>
      </w:r>
      <w:r w:rsidRPr="001C388E">
        <w:t xml:space="preserve"> </w:t>
      </w:r>
      <w:r w:rsidR="00B05E6A" w:rsidRPr="001C388E">
        <w:t>CRC/</w:t>
      </w:r>
      <w:r w:rsidR="00FD5382" w:rsidRPr="001C388E">
        <w:t>C/</w:t>
      </w:r>
      <w:r w:rsidR="00B05E6A" w:rsidRPr="001C388E">
        <w:t>GC/</w:t>
      </w:r>
      <w:r w:rsidR="00FD5382" w:rsidRPr="001C388E">
        <w:t>20</w:t>
      </w:r>
      <w:r w:rsidR="00296857" w:rsidRPr="001C388E">
        <w:t>,</w:t>
      </w:r>
      <w:r w:rsidR="00535A93" w:rsidRPr="001C388E">
        <w:t xml:space="preserve"> </w:t>
      </w:r>
      <w:r w:rsidR="00685E34" w:rsidRPr="001C388E">
        <w:t>‘UN CRC Committee General Comment No</w:t>
      </w:r>
      <w:r w:rsidR="00594D4A">
        <w:t xml:space="preserve"> </w:t>
      </w:r>
      <w:r w:rsidR="001B4BBE" w:rsidRPr="001C388E">
        <w:t>20</w:t>
      </w:r>
      <w:r w:rsidR="00594D4A">
        <w:t>: I</w:t>
      </w:r>
      <w:r w:rsidR="001B4BBE" w:rsidRPr="001C388E">
        <w:t xml:space="preserve">mplementation of the </w:t>
      </w:r>
      <w:r w:rsidR="00594D4A">
        <w:t>R</w:t>
      </w:r>
      <w:r w:rsidR="001B4BBE" w:rsidRPr="001C388E">
        <w:t xml:space="preserve">ights of the </w:t>
      </w:r>
      <w:r w:rsidR="00594D4A">
        <w:t>C</w:t>
      </w:r>
      <w:r w:rsidR="001B4BBE" w:rsidRPr="001C388E">
        <w:t xml:space="preserve">hild </w:t>
      </w:r>
      <w:r w:rsidR="00594D4A">
        <w:t>D</w:t>
      </w:r>
      <w:r w:rsidR="001B4BBE" w:rsidRPr="001C388E">
        <w:t xml:space="preserve">uring </w:t>
      </w:r>
      <w:r w:rsidR="00594D4A">
        <w:t>A</w:t>
      </w:r>
      <w:r w:rsidR="001B4BBE" w:rsidRPr="001C388E">
        <w:t>dolescence’</w:t>
      </w:r>
      <w:r w:rsidR="00594D4A">
        <w:t>,</w:t>
      </w:r>
      <w:r w:rsidR="001B4BBE" w:rsidRPr="001C388E">
        <w:t xml:space="preserve"> </w:t>
      </w:r>
      <w:r w:rsidR="00535A93" w:rsidRPr="001C388E">
        <w:t xml:space="preserve">6 December 2016, </w:t>
      </w:r>
      <w:r w:rsidR="00296857" w:rsidRPr="001C388E">
        <w:t>at 34.</w:t>
      </w:r>
    </w:p>
  </w:footnote>
  <w:footnote w:id="9">
    <w:p w14:paraId="21083DD6" w14:textId="77777777" w:rsidR="007C4BAB" w:rsidRDefault="007C4BAB" w:rsidP="007C4BAB">
      <w:pPr>
        <w:pStyle w:val="NIHRCFootnotes0"/>
      </w:pPr>
      <w:r w:rsidRPr="00CF51FB">
        <w:rPr>
          <w:rStyle w:val="FootnoteReference"/>
        </w:rPr>
        <w:footnoteRef/>
      </w:r>
      <w:r w:rsidRPr="001C388E">
        <w:t xml:space="preserve"> NI Assembly Hansard, ‘Written Question: Conversion therapy – Colin McGrath MLA – AQW 2582/22-27’, 14 July 2022.</w:t>
      </w:r>
    </w:p>
  </w:footnote>
  <w:footnote w:id="10">
    <w:p w14:paraId="54390FC9" w14:textId="223EF41F" w:rsidR="007C4BAB" w:rsidRDefault="007C4BAB" w:rsidP="007C4BAB">
      <w:pPr>
        <w:pStyle w:val="NIHRCFootnotes0"/>
      </w:pPr>
      <w:r w:rsidRPr="00CF51FB">
        <w:rPr>
          <w:rStyle w:val="FootnoteReference"/>
        </w:rPr>
        <w:footnoteRef/>
      </w:r>
      <w:r w:rsidRPr="001C388E">
        <w:t xml:space="preserve"> </w:t>
      </w:r>
      <w:r w:rsidR="001F658B">
        <w:t>Ibid.</w:t>
      </w:r>
    </w:p>
  </w:footnote>
  <w:footnote w:id="11">
    <w:p w14:paraId="651829E1" w14:textId="0586C267" w:rsidR="00185BCB" w:rsidRPr="001C388E" w:rsidRDefault="00185BCB" w:rsidP="007C17F8">
      <w:pPr>
        <w:pStyle w:val="NIHRCFootnotes0"/>
      </w:pPr>
      <w:r w:rsidRPr="00CF51FB">
        <w:rPr>
          <w:rStyle w:val="FootnoteReference"/>
        </w:rPr>
        <w:footnoteRef/>
      </w:r>
      <w:r w:rsidRPr="001C388E">
        <w:t xml:space="preserve"> </w:t>
      </w:r>
      <w:r w:rsidR="001E66F1" w:rsidRPr="001C388E">
        <w:t>UK Government Equalities Office,</w:t>
      </w:r>
      <w:r w:rsidR="00B11A74" w:rsidRPr="001C388E">
        <w:t xml:space="preserve"> ‘Banning conversion therapy’. Available at:</w:t>
      </w:r>
      <w:r w:rsidR="00E24060" w:rsidRPr="001C388E">
        <w:t xml:space="preserve"> https://www.gov.uk/government/consultations/banning-conversion-therapy</w:t>
      </w:r>
    </w:p>
  </w:footnote>
  <w:footnote w:id="12">
    <w:p w14:paraId="51D976AB" w14:textId="0A338727" w:rsidR="00FC3184" w:rsidRPr="00FC3184" w:rsidRDefault="00FC3184" w:rsidP="007C17F8">
      <w:pPr>
        <w:pStyle w:val="NIHRCFootnotes0"/>
      </w:pPr>
      <w:r w:rsidRPr="00FC3184">
        <w:rPr>
          <w:rStyle w:val="FootnoteReference"/>
          <w:color w:val="7030A0"/>
        </w:rPr>
        <w:footnoteRef/>
      </w:r>
      <w:r w:rsidRPr="00FC3184">
        <w:t xml:space="preserve"> Children’s (NI) Order 1995.</w:t>
      </w:r>
    </w:p>
  </w:footnote>
  <w:footnote w:id="13">
    <w:p w14:paraId="088FE372" w14:textId="77777777" w:rsidR="00FC3184" w:rsidRPr="00FC3184" w:rsidRDefault="00FC3184" w:rsidP="007C17F8">
      <w:pPr>
        <w:pStyle w:val="NIHRCFootnotes0"/>
      </w:pPr>
      <w:r w:rsidRPr="00FC3184">
        <w:rPr>
          <w:rStyle w:val="FootnoteReference"/>
          <w:color w:val="7030A0"/>
        </w:rPr>
        <w:footnoteRef/>
      </w:r>
      <w:r w:rsidRPr="00FC3184">
        <w:t xml:space="preserve"> Rights of Children and Young Persons (Wales) Measure 2011.</w:t>
      </w:r>
    </w:p>
  </w:footnote>
  <w:footnote w:id="14">
    <w:p w14:paraId="13155373" w14:textId="04D45C32" w:rsidR="00FC3184" w:rsidRPr="00FC3184" w:rsidRDefault="00FC3184" w:rsidP="007C17F8">
      <w:pPr>
        <w:pStyle w:val="NIHRCFootnotes0"/>
      </w:pPr>
      <w:r w:rsidRPr="00FC3184">
        <w:rPr>
          <w:rStyle w:val="FootnoteReference"/>
          <w:color w:val="7030A0"/>
        </w:rPr>
        <w:footnoteRef/>
      </w:r>
      <w:r w:rsidR="007725D7">
        <w:t xml:space="preserve"> The UK Supreme Court judgment on </w:t>
      </w:r>
      <w:r w:rsidR="007725D7" w:rsidRPr="00351B38">
        <w:t>the UN</w:t>
      </w:r>
      <w:r w:rsidR="000E07F4">
        <w:t xml:space="preserve"> </w:t>
      </w:r>
      <w:r w:rsidR="007725D7" w:rsidRPr="00351B38">
        <w:t>CRC (Incorporation) Scotland Bill</w:t>
      </w:r>
      <w:r w:rsidR="007725D7">
        <w:t xml:space="preserve"> held that</w:t>
      </w:r>
      <w:r w:rsidR="007725D7" w:rsidRPr="00351B38">
        <w:t xml:space="preserve"> </w:t>
      </w:r>
      <w:r w:rsidR="007725D7" w:rsidRPr="00107F68">
        <w:t xml:space="preserve">certain provisions of the </w:t>
      </w:r>
      <w:r w:rsidR="007725D7">
        <w:t xml:space="preserve">Bill </w:t>
      </w:r>
      <w:r w:rsidR="007725D7" w:rsidRPr="00107F68">
        <w:t>are outside of devolved competence, in so far as they extend to UK legislation and UK public bodies</w:t>
      </w:r>
      <w:r w:rsidR="007725D7">
        <w:t>.</w:t>
      </w:r>
      <w:r w:rsidR="00896352">
        <w:t xml:space="preserve"> </w:t>
      </w:r>
      <w:r w:rsidR="00A93B27">
        <w:t xml:space="preserve">See </w:t>
      </w:r>
      <w:r w:rsidRPr="00FC3184">
        <w:t>UN Convention on the Rights of the Child (Incorporation) (Scotland) Bill</w:t>
      </w:r>
      <w:r w:rsidR="00A93B27">
        <w:t xml:space="preserve">; </w:t>
      </w:r>
      <w:r w:rsidR="00836707" w:rsidRPr="00836707">
        <w:rPr>
          <w:i/>
          <w:iCs/>
        </w:rPr>
        <w:t>Reference</w:t>
      </w:r>
      <w:r w:rsidR="00A93B27" w:rsidRPr="00836707">
        <w:rPr>
          <w:i/>
          <w:iCs/>
        </w:rPr>
        <w:t xml:space="preserve"> by the Attorney General and the Advocate General for Scotland </w:t>
      </w:r>
      <w:r w:rsidR="000E07F4" w:rsidRPr="00836707">
        <w:rPr>
          <w:i/>
          <w:iCs/>
        </w:rPr>
        <w:t>UN CRC</w:t>
      </w:r>
      <w:r w:rsidR="00A93B27" w:rsidRPr="00836707">
        <w:rPr>
          <w:i/>
          <w:iCs/>
        </w:rPr>
        <w:t xml:space="preserve"> and European Charter of Local Self-Government (Incorporation) (Scotland)</w:t>
      </w:r>
      <w:r w:rsidR="00A93B27" w:rsidRPr="00E94B60">
        <w:t> [2021] UKSC 42</w:t>
      </w:r>
      <w:r w:rsidR="007725D7">
        <w:t xml:space="preserve">; Scottish Government, ‘Press Statement: European Charter of Local Self-Government Bill and the UNCRC Bill – </w:t>
      </w:r>
      <w:r w:rsidR="00836707">
        <w:t>N</w:t>
      </w:r>
      <w:r w:rsidR="007725D7">
        <w:t xml:space="preserve">ext </w:t>
      </w:r>
      <w:r w:rsidR="00836707">
        <w:t>S</w:t>
      </w:r>
      <w:r w:rsidR="007725D7">
        <w:t xml:space="preserve">teps: </w:t>
      </w:r>
      <w:r w:rsidR="00836707">
        <w:t>S</w:t>
      </w:r>
      <w:r w:rsidR="007725D7">
        <w:t>tatement by Deputy First Minister’</w:t>
      </w:r>
      <w:r w:rsidR="003E31E2">
        <w:t>, 24 May 2022.</w:t>
      </w:r>
    </w:p>
  </w:footnote>
  <w:footnote w:id="15">
    <w:p w14:paraId="0BC7316E" w14:textId="6427FCF6" w:rsidR="00FC3184" w:rsidRPr="00FC3184" w:rsidRDefault="00FC3184" w:rsidP="007C17F8">
      <w:pPr>
        <w:pStyle w:val="NIHRCFootnotes0"/>
      </w:pPr>
      <w:r w:rsidRPr="00FC3184">
        <w:rPr>
          <w:rStyle w:val="FootnoteReference"/>
          <w:color w:val="7030A0"/>
        </w:rPr>
        <w:footnoteRef/>
      </w:r>
      <w:r w:rsidRPr="00FC3184">
        <w:t xml:space="preserve"> CRC/C/GBR/CO/5, 'UN CRC Committee Concluding Observations on the Fifth Periodic Report of the UK of Great Britain and NI', 12 July 2016, at 7(b).</w:t>
      </w:r>
    </w:p>
  </w:footnote>
  <w:footnote w:id="16">
    <w:p w14:paraId="43BB4BB0" w14:textId="77777777" w:rsidR="00F42482" w:rsidRPr="00FC3184" w:rsidRDefault="00F42482" w:rsidP="007C17F8">
      <w:pPr>
        <w:pStyle w:val="NIHRCFootnotes0"/>
      </w:pPr>
      <w:r w:rsidRPr="00FC3184">
        <w:rPr>
          <w:rStyle w:val="FootnoteReference"/>
          <w:color w:val="7030A0"/>
        </w:rPr>
        <w:footnoteRef/>
      </w:r>
      <w:r w:rsidRPr="00FC3184">
        <w:t xml:space="preserve"> Colin Murray </w:t>
      </w:r>
      <w:r w:rsidRPr="00FC3184">
        <w:rPr>
          <w:i/>
          <w:iCs/>
        </w:rPr>
        <w:t>et al</w:t>
      </w:r>
      <w:r w:rsidRPr="00FC3184">
        <w:t xml:space="preserve">, ‘Discussion Paper on Brexit’ (IHREC and NIHRC, 2018), at vii and xii.  </w:t>
      </w:r>
    </w:p>
  </w:footnote>
  <w:footnote w:id="17">
    <w:p w14:paraId="54089729" w14:textId="32A59719" w:rsidR="00FC3184" w:rsidRPr="001331D8" w:rsidRDefault="00FC3184" w:rsidP="007C17F8">
      <w:pPr>
        <w:pStyle w:val="NIHRCFootnotes0"/>
      </w:pPr>
      <w:r w:rsidRPr="001331D8">
        <w:rPr>
          <w:rStyle w:val="FootnoteReference"/>
        </w:rPr>
        <w:footnoteRef/>
      </w:r>
      <w:r w:rsidRPr="001331D8">
        <w:t xml:space="preserve"> NI Assembly Ad Hoc Committee on a Bill of Rights, ‘Children's Rights in NI: NI Commissioner for Children and Young People’</w:t>
      </w:r>
      <w:r w:rsidR="00C274B6">
        <w:t xml:space="preserve"> (NIA, 2020)</w:t>
      </w:r>
      <w:r w:rsidRPr="001331D8">
        <w:t>.</w:t>
      </w:r>
    </w:p>
  </w:footnote>
  <w:footnote w:id="18">
    <w:p w14:paraId="689BEA37" w14:textId="5E5EE6CD" w:rsidR="00FC3184" w:rsidRPr="001331D8" w:rsidRDefault="00FC3184" w:rsidP="007C17F8">
      <w:pPr>
        <w:pStyle w:val="NIHRCFootnotes0"/>
      </w:pPr>
      <w:r w:rsidRPr="001331D8">
        <w:rPr>
          <w:rStyle w:val="FootnoteReference"/>
        </w:rPr>
        <w:footnoteRef/>
      </w:r>
      <w:r w:rsidRPr="001331D8">
        <w:t xml:space="preserve"> </w:t>
      </w:r>
      <w:r w:rsidR="001F658B">
        <w:t xml:space="preserve">Ibid </w:t>
      </w:r>
      <w:r w:rsidRPr="001331D8">
        <w:t>at 2.</w:t>
      </w:r>
    </w:p>
  </w:footnote>
  <w:footnote w:id="19">
    <w:p w14:paraId="7B0FE1B0" w14:textId="6D204FF1" w:rsidR="00AE206E" w:rsidRPr="009E7B75" w:rsidRDefault="00AE206E" w:rsidP="00AE206E">
      <w:pPr>
        <w:pStyle w:val="NIHRCFootnotes0"/>
      </w:pPr>
      <w:r w:rsidRPr="009E7B75">
        <w:rPr>
          <w:rStyle w:val="FootnoteReference"/>
          <w:rFonts w:eastAsiaTheme="majorEastAsia"/>
        </w:rPr>
        <w:footnoteRef/>
      </w:r>
      <w:r w:rsidRPr="009E7B75">
        <w:t xml:space="preserve"> NI Office, 'New Decade, New Approach' (NIO, 2020), at 5.26</w:t>
      </w:r>
      <w:r>
        <w:t>.</w:t>
      </w:r>
    </w:p>
  </w:footnote>
  <w:footnote w:id="20">
    <w:p w14:paraId="2B520FF4" w14:textId="6CE542AD" w:rsidR="00AE206E" w:rsidRPr="009E7B75" w:rsidRDefault="00AE206E" w:rsidP="00AE206E">
      <w:pPr>
        <w:pStyle w:val="NIHRCFootnotes0"/>
      </w:pPr>
      <w:r w:rsidRPr="009E7B75">
        <w:rPr>
          <w:rStyle w:val="FootnoteReference"/>
          <w:rFonts w:eastAsiaTheme="majorEastAsia"/>
        </w:rPr>
        <w:footnoteRef/>
      </w:r>
      <w:r w:rsidRPr="009E7B75">
        <w:t xml:space="preserve"> </w:t>
      </w:r>
      <w:r w:rsidR="001F658B">
        <w:t>Ibid.</w:t>
      </w:r>
    </w:p>
  </w:footnote>
  <w:footnote w:id="21">
    <w:p w14:paraId="063AD697" w14:textId="3083495A" w:rsidR="00AE206E" w:rsidRPr="009E7B75" w:rsidRDefault="00AE206E" w:rsidP="00AE206E">
      <w:pPr>
        <w:pStyle w:val="NIHRCFootnotes0"/>
      </w:pPr>
      <w:r w:rsidRPr="009E7B75">
        <w:rPr>
          <w:rStyle w:val="FootnoteReference"/>
          <w:rFonts w:eastAsiaTheme="majorEastAsia"/>
        </w:rPr>
        <w:footnoteRef/>
      </w:r>
      <w:r w:rsidRPr="009E7B75">
        <w:t xml:space="preserve"> NI Assembly, 'Report of the Ad Hoc Committee on Bill of Rights' (NIA, 2022), at 13</w:t>
      </w:r>
      <w:r>
        <w:t>.</w:t>
      </w:r>
    </w:p>
  </w:footnote>
  <w:footnote w:id="22">
    <w:p w14:paraId="5D6AE3E5" w14:textId="7640B312" w:rsidR="00183AF9" w:rsidRPr="001331D8" w:rsidRDefault="00183AF9" w:rsidP="007C17F8">
      <w:pPr>
        <w:pStyle w:val="NIHRCFootnotes0"/>
      </w:pPr>
      <w:r w:rsidRPr="001331D8">
        <w:rPr>
          <w:rStyle w:val="FootnoteReference"/>
        </w:rPr>
        <w:footnoteRef/>
      </w:r>
      <w:r w:rsidRPr="001331D8">
        <w:t xml:space="preserve"> </w:t>
      </w:r>
      <w:r w:rsidR="001F658B">
        <w:t xml:space="preserve">Ibid </w:t>
      </w:r>
      <w:r w:rsidRPr="001331D8">
        <w:t>at 9 and 11</w:t>
      </w:r>
      <w:r w:rsidR="00703D12">
        <w:t>.</w:t>
      </w:r>
    </w:p>
  </w:footnote>
  <w:footnote w:id="23">
    <w:p w14:paraId="1B85F989" w14:textId="25293D31" w:rsidR="00183AF9" w:rsidRPr="00D970A7" w:rsidRDefault="00183AF9" w:rsidP="007C17F8">
      <w:pPr>
        <w:pStyle w:val="NIHRCFootnotes0"/>
      </w:pPr>
      <w:r w:rsidRPr="001331D8">
        <w:rPr>
          <w:rStyle w:val="FootnoteReference"/>
        </w:rPr>
        <w:footnoteRef/>
      </w:r>
      <w:r w:rsidRPr="001331D8">
        <w:t xml:space="preserve"> </w:t>
      </w:r>
      <w:r w:rsidR="001F658B">
        <w:t>Ibid</w:t>
      </w:r>
      <w:r w:rsidRPr="001331D8">
        <w:t xml:space="preserve"> at 13</w:t>
      </w:r>
      <w:r w:rsidR="00703D12">
        <w:t>.</w:t>
      </w:r>
    </w:p>
  </w:footnote>
  <w:footnote w:id="24">
    <w:p w14:paraId="10F5CEA4" w14:textId="77777777" w:rsidR="00BA45FE" w:rsidRPr="003826B4" w:rsidRDefault="00BA45FE" w:rsidP="00325049">
      <w:pPr>
        <w:pStyle w:val="FootnoteText"/>
        <w:rPr>
          <w:color w:val="77328A"/>
          <w:sz w:val="16"/>
          <w:szCs w:val="16"/>
        </w:rPr>
      </w:pPr>
      <w:r w:rsidRPr="003826B4">
        <w:rPr>
          <w:rStyle w:val="FootnoteReference"/>
          <w:color w:val="77328A"/>
          <w:sz w:val="16"/>
          <w:szCs w:val="16"/>
        </w:rPr>
        <w:footnoteRef/>
      </w:r>
      <w:r w:rsidRPr="003826B4">
        <w:rPr>
          <w:color w:val="77328A"/>
          <w:sz w:val="16"/>
          <w:szCs w:val="16"/>
        </w:rPr>
        <w:t xml:space="preserve"> Agreement on the Withdrawal of the United Kingdom of Great Britain and NI from the European Union and the European Atomic Energy Community 2020.</w:t>
      </w:r>
    </w:p>
  </w:footnote>
  <w:footnote w:id="25">
    <w:p w14:paraId="41051676" w14:textId="77777777" w:rsidR="00BA45FE" w:rsidRDefault="00BA45FE" w:rsidP="00325049">
      <w:pPr>
        <w:pStyle w:val="FootnoteText"/>
      </w:pPr>
      <w:r w:rsidRPr="003826B4">
        <w:rPr>
          <w:rStyle w:val="FootnoteReference"/>
          <w:color w:val="77328A"/>
          <w:sz w:val="16"/>
          <w:szCs w:val="16"/>
        </w:rPr>
        <w:footnoteRef/>
      </w:r>
      <w:r w:rsidRPr="003826B4">
        <w:rPr>
          <w:color w:val="77328A"/>
          <w:sz w:val="16"/>
          <w:szCs w:val="16"/>
        </w:rPr>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26">
    <w:p w14:paraId="20CF6E36" w14:textId="413E0515" w:rsidR="00875EE7" w:rsidRPr="00A41A4F" w:rsidRDefault="00875EE7">
      <w:pPr>
        <w:pStyle w:val="FootnoteText"/>
        <w:rPr>
          <w:color w:val="77328A"/>
          <w:sz w:val="16"/>
          <w:szCs w:val="16"/>
        </w:rPr>
      </w:pPr>
      <w:r w:rsidRPr="00A41A4F">
        <w:rPr>
          <w:rStyle w:val="FootnoteReference"/>
          <w:color w:val="77328A"/>
          <w:sz w:val="16"/>
          <w:szCs w:val="16"/>
        </w:rPr>
        <w:footnoteRef/>
      </w:r>
      <w:r w:rsidRPr="00A41A4F">
        <w:rPr>
          <w:color w:val="77328A"/>
          <w:sz w:val="16"/>
          <w:szCs w:val="16"/>
        </w:rPr>
        <w:t xml:space="preserve"> Article 13</w:t>
      </w:r>
      <w:r w:rsidR="0010132B" w:rsidRPr="00A41A4F">
        <w:rPr>
          <w:color w:val="77328A"/>
          <w:sz w:val="16"/>
          <w:szCs w:val="16"/>
        </w:rPr>
        <w:t>(2) of the Protocol on Ireland/</w:t>
      </w:r>
      <w:r w:rsidR="00536200">
        <w:rPr>
          <w:color w:val="77328A"/>
          <w:sz w:val="16"/>
          <w:szCs w:val="16"/>
        </w:rPr>
        <w:t>NI</w:t>
      </w:r>
      <w:r w:rsidR="0010132B" w:rsidRPr="00A41A4F">
        <w:rPr>
          <w:color w:val="77328A"/>
          <w:sz w:val="16"/>
          <w:szCs w:val="16"/>
        </w:rPr>
        <w:t xml:space="preserve"> to the </w:t>
      </w:r>
      <w:r w:rsidR="001432C1" w:rsidRPr="003826B4">
        <w:rPr>
          <w:color w:val="77328A"/>
          <w:sz w:val="16"/>
          <w:szCs w:val="16"/>
        </w:rPr>
        <w:t xml:space="preserve">Agreement on the Withdrawal of the </w:t>
      </w:r>
      <w:r w:rsidR="00536200">
        <w:rPr>
          <w:color w:val="77328A"/>
          <w:sz w:val="16"/>
          <w:szCs w:val="16"/>
        </w:rPr>
        <w:t>UK</w:t>
      </w:r>
      <w:r w:rsidR="001432C1" w:rsidRPr="003826B4">
        <w:rPr>
          <w:color w:val="77328A"/>
          <w:sz w:val="16"/>
          <w:szCs w:val="16"/>
        </w:rPr>
        <w:t xml:space="preserve"> of Great Britain and NI from the </w:t>
      </w:r>
      <w:r w:rsidR="00722019">
        <w:rPr>
          <w:color w:val="77328A"/>
          <w:sz w:val="16"/>
          <w:szCs w:val="16"/>
        </w:rPr>
        <w:t>EU</w:t>
      </w:r>
      <w:r w:rsidR="001432C1" w:rsidRPr="003826B4">
        <w:rPr>
          <w:color w:val="77328A"/>
          <w:sz w:val="16"/>
          <w:szCs w:val="16"/>
        </w:rPr>
        <w:t xml:space="preserve"> and the European Atomic Energy Community 2020.</w:t>
      </w:r>
    </w:p>
  </w:footnote>
  <w:footnote w:id="27">
    <w:p w14:paraId="4560C9E0" w14:textId="3815943B" w:rsidR="00CF22FF" w:rsidRPr="00045977" w:rsidRDefault="00CF22FF" w:rsidP="00CF22FF">
      <w:pPr>
        <w:pStyle w:val="FootnoteText"/>
        <w:rPr>
          <w:rFonts w:eastAsiaTheme="minorEastAsia" w:cs="Arial"/>
          <w:color w:val="77328A"/>
          <w:sz w:val="16"/>
          <w:szCs w:val="16"/>
        </w:rPr>
      </w:pPr>
      <w:r w:rsidRPr="00A41A4F">
        <w:rPr>
          <w:rStyle w:val="FootnoteReference"/>
          <w:color w:val="77328A"/>
          <w:sz w:val="16"/>
          <w:szCs w:val="16"/>
        </w:rPr>
        <w:footnoteRef/>
      </w:r>
      <w:r w:rsidRPr="00A41A4F">
        <w:rPr>
          <w:color w:val="77328A"/>
          <w:sz w:val="16"/>
          <w:szCs w:val="16"/>
        </w:rPr>
        <w:t xml:space="preserve"> </w:t>
      </w:r>
      <w:r w:rsidRPr="00045977">
        <w:rPr>
          <w:rFonts w:eastAsiaTheme="minorEastAsia" w:cs="Arial"/>
          <w:color w:val="77328A"/>
          <w:sz w:val="16"/>
          <w:szCs w:val="16"/>
        </w:rPr>
        <w:t>Clause 20</w:t>
      </w:r>
      <w:r w:rsidR="00722019">
        <w:rPr>
          <w:rFonts w:eastAsiaTheme="minorEastAsia" w:cs="Arial"/>
          <w:color w:val="77328A"/>
          <w:sz w:val="16"/>
          <w:szCs w:val="16"/>
        </w:rPr>
        <w:t>, NI Protocol Bill.</w:t>
      </w:r>
    </w:p>
  </w:footnote>
  <w:footnote w:id="28">
    <w:p w14:paraId="19AE95C4" w14:textId="09F3F920" w:rsidR="00CF22FF" w:rsidRDefault="00CF22FF">
      <w:pPr>
        <w:pStyle w:val="FootnoteText"/>
      </w:pPr>
      <w:r w:rsidRPr="00A41A4F">
        <w:rPr>
          <w:rStyle w:val="FootnoteReference"/>
          <w:color w:val="77328A"/>
          <w:sz w:val="16"/>
          <w:szCs w:val="16"/>
        </w:rPr>
        <w:footnoteRef/>
      </w:r>
      <w:r w:rsidRPr="00A41A4F">
        <w:rPr>
          <w:color w:val="77328A"/>
          <w:sz w:val="16"/>
          <w:szCs w:val="16"/>
        </w:rPr>
        <w:t xml:space="preserve"> </w:t>
      </w:r>
      <w:r w:rsidR="002E186C" w:rsidRPr="00045977">
        <w:rPr>
          <w:color w:val="77328A"/>
          <w:sz w:val="16"/>
          <w:szCs w:val="16"/>
        </w:rPr>
        <w:t>Article 13(2) of the Protocol on Ireland/</w:t>
      </w:r>
      <w:r w:rsidR="00722019">
        <w:rPr>
          <w:color w:val="77328A"/>
          <w:sz w:val="16"/>
          <w:szCs w:val="16"/>
        </w:rPr>
        <w:t>NI</w:t>
      </w:r>
      <w:r w:rsidR="002E186C" w:rsidRPr="00045977">
        <w:rPr>
          <w:color w:val="77328A"/>
          <w:sz w:val="16"/>
          <w:szCs w:val="16"/>
        </w:rPr>
        <w:t xml:space="preserve"> to the</w:t>
      </w:r>
      <w:r w:rsidR="002E186C" w:rsidRPr="00A41A4F">
        <w:rPr>
          <w:color w:val="77328A"/>
          <w:sz w:val="16"/>
          <w:szCs w:val="16"/>
        </w:rPr>
        <w:t xml:space="preserve"> </w:t>
      </w:r>
      <w:r w:rsidR="002E186C" w:rsidRPr="003826B4">
        <w:rPr>
          <w:color w:val="77328A"/>
          <w:sz w:val="16"/>
          <w:szCs w:val="16"/>
        </w:rPr>
        <w:t xml:space="preserve">Agreement on the Withdrawal of the </w:t>
      </w:r>
      <w:r w:rsidR="00722019">
        <w:rPr>
          <w:color w:val="77328A"/>
          <w:sz w:val="16"/>
          <w:szCs w:val="16"/>
        </w:rPr>
        <w:t>UK</w:t>
      </w:r>
      <w:r w:rsidR="002E186C" w:rsidRPr="003826B4">
        <w:rPr>
          <w:color w:val="77328A"/>
          <w:sz w:val="16"/>
          <w:szCs w:val="16"/>
        </w:rPr>
        <w:t xml:space="preserve"> of Great Britain and NI from the </w:t>
      </w:r>
      <w:r w:rsidR="00722019">
        <w:rPr>
          <w:color w:val="77328A"/>
          <w:sz w:val="16"/>
          <w:szCs w:val="16"/>
        </w:rPr>
        <w:t>EU</w:t>
      </w:r>
      <w:r w:rsidR="002E186C" w:rsidRPr="003826B4">
        <w:rPr>
          <w:color w:val="77328A"/>
          <w:sz w:val="16"/>
          <w:szCs w:val="16"/>
        </w:rPr>
        <w:t xml:space="preserve"> and the European Atomic Energy Community 2020.</w:t>
      </w:r>
    </w:p>
  </w:footnote>
  <w:footnote w:id="29">
    <w:p w14:paraId="0C8C9823" w14:textId="5E487962" w:rsidR="00F511E0" w:rsidRPr="00D96651" w:rsidRDefault="00F511E0" w:rsidP="00E1469E">
      <w:pPr>
        <w:pStyle w:val="NIHRCFootnotes0"/>
      </w:pPr>
      <w:r w:rsidRPr="00D96651">
        <w:rPr>
          <w:rStyle w:val="FootnoteReference"/>
        </w:rPr>
        <w:footnoteRef/>
      </w:r>
      <w:r w:rsidRPr="00D96651">
        <w:t xml:space="preserve"> The EU (Withdrawal) Act 2018 repealed the European Communities Act </w:t>
      </w:r>
      <w:proofErr w:type="gramStart"/>
      <w:r w:rsidRPr="00D96651">
        <w:t>1972,</w:t>
      </w:r>
      <w:proofErr w:type="gramEnd"/>
      <w:r w:rsidRPr="00D96651">
        <w:t xml:space="preserve"> however, sections 2-4 carry over EU-derived law and direct EU Obligations into the domestic legal framework on or after the 31 December 2020 to ensure that rights, obligations and remedies available before the UK exited the EU would continue to be recognised and available after exit day. Section 5 of the 2018 Act identifies </w:t>
      </w:r>
      <w:proofErr w:type="gramStart"/>
      <w:r w:rsidRPr="00D96651">
        <w:t>a number of</w:t>
      </w:r>
      <w:proofErr w:type="gramEnd"/>
      <w:r w:rsidRPr="00D96651">
        <w:t xml:space="preserve"> exclusions from retained EU law. The </w:t>
      </w:r>
      <w:r w:rsidR="00D73661">
        <w:t xml:space="preserve">EU </w:t>
      </w:r>
      <w:r w:rsidRPr="00D96651">
        <w:t>Charter of Fundamental Rights was not carried over into domestic law, references to the Charter are to be read as if they were references to any corresponding retained fundamental rights or principles. General Principles of EU law are recognised but are given a much more limited scope. Section 6(5A) of the 2018 Act permits a Minister to amend, by regulation, the Act and change the extent to which the Courts can diverge from retained EU case law</w:t>
      </w:r>
      <w:r w:rsidRPr="21B62442">
        <w:t>.</w:t>
      </w:r>
    </w:p>
  </w:footnote>
  <w:footnote w:id="30">
    <w:p w14:paraId="188930B8" w14:textId="6BFE1D12" w:rsidR="002C573F" w:rsidRPr="00A41A4F" w:rsidRDefault="002C573F">
      <w:pPr>
        <w:pStyle w:val="FootnoteText"/>
        <w:rPr>
          <w:rFonts w:eastAsiaTheme="minorEastAsia" w:cs="Arial"/>
          <w:color w:val="77328A"/>
          <w:sz w:val="16"/>
          <w:szCs w:val="16"/>
        </w:rPr>
      </w:pPr>
      <w:r w:rsidRPr="00A41A4F">
        <w:rPr>
          <w:rStyle w:val="FootnoteReference"/>
          <w:color w:val="77328A"/>
          <w:sz w:val="16"/>
          <w:szCs w:val="16"/>
        </w:rPr>
        <w:footnoteRef/>
      </w:r>
      <w:r w:rsidRPr="00A41A4F">
        <w:rPr>
          <w:color w:val="77328A"/>
          <w:sz w:val="16"/>
          <w:szCs w:val="16"/>
        </w:rPr>
        <w:t xml:space="preserve"> </w:t>
      </w:r>
      <w:r w:rsidRPr="00A41A4F">
        <w:rPr>
          <w:rFonts w:eastAsiaTheme="minorEastAsia" w:cs="Arial"/>
          <w:color w:val="77328A"/>
          <w:sz w:val="16"/>
          <w:szCs w:val="16"/>
        </w:rPr>
        <w:t xml:space="preserve">See Clause 1 </w:t>
      </w:r>
      <w:r w:rsidR="00E97BB5" w:rsidRPr="00A41A4F">
        <w:rPr>
          <w:rFonts w:eastAsiaTheme="minorEastAsia" w:cs="Arial"/>
          <w:color w:val="77328A"/>
          <w:sz w:val="16"/>
          <w:szCs w:val="16"/>
        </w:rPr>
        <w:t xml:space="preserve">on </w:t>
      </w:r>
      <w:r w:rsidR="009A60A1">
        <w:rPr>
          <w:rFonts w:eastAsiaTheme="minorEastAsia" w:cs="Arial"/>
          <w:color w:val="77328A"/>
          <w:sz w:val="16"/>
          <w:szCs w:val="16"/>
        </w:rPr>
        <w:t xml:space="preserve">sunset </w:t>
      </w:r>
      <w:r w:rsidR="00FB61E5">
        <w:rPr>
          <w:rFonts w:eastAsiaTheme="minorEastAsia" w:cs="Arial"/>
          <w:color w:val="77328A"/>
          <w:sz w:val="16"/>
          <w:szCs w:val="16"/>
        </w:rPr>
        <w:t>of EU-derived domestic subordinate legislation and retained direct EU legislation</w:t>
      </w:r>
      <w:r w:rsidR="00710AA7">
        <w:rPr>
          <w:rFonts w:eastAsiaTheme="minorEastAsia" w:cs="Arial"/>
          <w:color w:val="77328A"/>
          <w:sz w:val="16"/>
          <w:szCs w:val="16"/>
        </w:rPr>
        <w:t>;</w:t>
      </w:r>
      <w:r w:rsidR="004705EA">
        <w:rPr>
          <w:rFonts w:eastAsiaTheme="minorEastAsia" w:cs="Arial"/>
          <w:color w:val="77328A"/>
          <w:sz w:val="16"/>
          <w:szCs w:val="16"/>
        </w:rPr>
        <w:t xml:space="preserve"> Clause 1(5) provides for an</w:t>
      </w:r>
      <w:r w:rsidR="00BB7DDF">
        <w:rPr>
          <w:rFonts w:eastAsiaTheme="minorEastAsia" w:cs="Arial"/>
          <w:color w:val="77328A"/>
          <w:sz w:val="16"/>
          <w:szCs w:val="16"/>
        </w:rPr>
        <w:t xml:space="preserve"> exclusion of certain Northern Ireland legislation</w:t>
      </w:r>
      <w:r w:rsidR="00837E9D">
        <w:rPr>
          <w:rFonts w:eastAsiaTheme="minorEastAsia" w:cs="Arial"/>
          <w:color w:val="77328A"/>
          <w:sz w:val="16"/>
          <w:szCs w:val="16"/>
        </w:rPr>
        <w:t>. See</w:t>
      </w:r>
      <w:r w:rsidR="00BB7DDF">
        <w:rPr>
          <w:rFonts w:eastAsiaTheme="minorEastAsia" w:cs="Arial"/>
          <w:color w:val="77328A"/>
          <w:sz w:val="16"/>
          <w:szCs w:val="16"/>
        </w:rPr>
        <w:t xml:space="preserve"> Clause 2 on e</w:t>
      </w:r>
      <w:r w:rsidR="009B04AC">
        <w:rPr>
          <w:rFonts w:eastAsiaTheme="minorEastAsia" w:cs="Arial"/>
          <w:color w:val="77328A"/>
          <w:sz w:val="16"/>
          <w:szCs w:val="16"/>
        </w:rPr>
        <w:t>xtension</w:t>
      </w:r>
      <w:r w:rsidR="005C7BB0">
        <w:rPr>
          <w:rFonts w:eastAsiaTheme="minorEastAsia" w:cs="Arial"/>
          <w:color w:val="77328A"/>
          <w:sz w:val="16"/>
          <w:szCs w:val="16"/>
        </w:rPr>
        <w:t xml:space="preserve"> </w:t>
      </w:r>
      <w:r w:rsidR="00CA0842">
        <w:rPr>
          <w:rFonts w:eastAsiaTheme="minorEastAsia" w:cs="Arial"/>
          <w:color w:val="77328A"/>
          <w:sz w:val="16"/>
          <w:szCs w:val="16"/>
        </w:rPr>
        <w:t xml:space="preserve">of </w:t>
      </w:r>
      <w:r w:rsidR="009A60A1">
        <w:rPr>
          <w:rFonts w:eastAsiaTheme="minorEastAsia" w:cs="Arial"/>
          <w:color w:val="77328A"/>
          <w:sz w:val="16"/>
          <w:szCs w:val="16"/>
        </w:rPr>
        <w:t xml:space="preserve">sunset; </w:t>
      </w:r>
      <w:r w:rsidR="006C68BC">
        <w:rPr>
          <w:rFonts w:eastAsiaTheme="minorEastAsia" w:cs="Arial"/>
          <w:color w:val="77328A"/>
          <w:sz w:val="16"/>
          <w:szCs w:val="16"/>
        </w:rPr>
        <w:t>s</w:t>
      </w:r>
      <w:r w:rsidR="001E6285">
        <w:rPr>
          <w:rFonts w:eastAsiaTheme="minorEastAsia" w:cs="Arial"/>
          <w:color w:val="77328A"/>
          <w:sz w:val="16"/>
          <w:szCs w:val="16"/>
        </w:rPr>
        <w:t xml:space="preserve">ee </w:t>
      </w:r>
      <w:r w:rsidR="009A60A1">
        <w:rPr>
          <w:rFonts w:eastAsiaTheme="minorEastAsia" w:cs="Arial"/>
          <w:color w:val="77328A"/>
          <w:sz w:val="16"/>
          <w:szCs w:val="16"/>
        </w:rPr>
        <w:t>Clause</w:t>
      </w:r>
      <w:r w:rsidR="009E5D8E">
        <w:rPr>
          <w:rFonts w:eastAsiaTheme="minorEastAsia" w:cs="Arial"/>
          <w:color w:val="77328A"/>
          <w:sz w:val="16"/>
          <w:szCs w:val="16"/>
        </w:rPr>
        <w:t>s</w:t>
      </w:r>
      <w:r w:rsidR="009A60A1">
        <w:rPr>
          <w:rFonts w:eastAsiaTheme="minorEastAsia" w:cs="Arial"/>
          <w:color w:val="77328A"/>
          <w:sz w:val="16"/>
          <w:szCs w:val="16"/>
        </w:rPr>
        <w:t xml:space="preserve"> </w:t>
      </w:r>
      <w:r w:rsidR="00DE67D1">
        <w:rPr>
          <w:rFonts w:eastAsiaTheme="minorEastAsia" w:cs="Arial"/>
          <w:color w:val="77328A"/>
          <w:sz w:val="16"/>
          <w:szCs w:val="16"/>
        </w:rPr>
        <w:t>12</w:t>
      </w:r>
      <w:r w:rsidR="0006298E">
        <w:rPr>
          <w:rFonts w:eastAsiaTheme="minorEastAsia" w:cs="Arial"/>
          <w:color w:val="77328A"/>
          <w:sz w:val="16"/>
          <w:szCs w:val="16"/>
        </w:rPr>
        <w:t xml:space="preserve">-15 </w:t>
      </w:r>
      <w:r w:rsidR="00DE67D1">
        <w:rPr>
          <w:rFonts w:eastAsiaTheme="minorEastAsia" w:cs="Arial"/>
          <w:color w:val="77328A"/>
          <w:sz w:val="16"/>
          <w:szCs w:val="16"/>
        </w:rPr>
        <w:t xml:space="preserve">on </w:t>
      </w:r>
      <w:r w:rsidR="0006298E">
        <w:rPr>
          <w:rFonts w:eastAsiaTheme="minorEastAsia" w:cs="Arial"/>
          <w:color w:val="77328A"/>
          <w:sz w:val="16"/>
          <w:szCs w:val="16"/>
        </w:rPr>
        <w:t xml:space="preserve">powers to </w:t>
      </w:r>
      <w:r w:rsidR="00DE67D1">
        <w:rPr>
          <w:rFonts w:eastAsiaTheme="minorEastAsia" w:cs="Arial"/>
          <w:color w:val="77328A"/>
          <w:sz w:val="16"/>
          <w:szCs w:val="16"/>
        </w:rPr>
        <w:t>restate</w:t>
      </w:r>
      <w:r w:rsidR="005453C5">
        <w:rPr>
          <w:rFonts w:eastAsiaTheme="minorEastAsia" w:cs="Arial"/>
          <w:color w:val="77328A"/>
          <w:sz w:val="16"/>
          <w:szCs w:val="16"/>
        </w:rPr>
        <w:t>, revoke and replace</w:t>
      </w:r>
      <w:r w:rsidR="009602D0">
        <w:rPr>
          <w:rFonts w:eastAsiaTheme="minorEastAsia" w:cs="Arial"/>
          <w:color w:val="77328A"/>
          <w:sz w:val="16"/>
          <w:szCs w:val="16"/>
        </w:rPr>
        <w:t xml:space="preserve"> retained EU law</w:t>
      </w:r>
      <w:r w:rsidR="001E6285">
        <w:rPr>
          <w:rFonts w:eastAsiaTheme="minorEastAsia" w:cs="Arial"/>
          <w:color w:val="77328A"/>
          <w:sz w:val="16"/>
          <w:szCs w:val="16"/>
        </w:rPr>
        <w:t>.</w:t>
      </w:r>
    </w:p>
  </w:footnote>
  <w:footnote w:id="31">
    <w:p w14:paraId="2504C6D1" w14:textId="4F7D5B51" w:rsidR="0098223D" w:rsidRPr="00A41A4F" w:rsidRDefault="0098223D">
      <w:pPr>
        <w:pStyle w:val="FootnoteText"/>
        <w:rPr>
          <w:rFonts w:eastAsiaTheme="minorEastAsia" w:cs="Arial"/>
          <w:color w:val="77328A"/>
          <w:sz w:val="16"/>
          <w:szCs w:val="16"/>
        </w:rPr>
      </w:pPr>
      <w:r w:rsidRPr="00A41A4F">
        <w:rPr>
          <w:rStyle w:val="FootnoteReference"/>
          <w:color w:val="77328A"/>
          <w:sz w:val="16"/>
          <w:szCs w:val="16"/>
        </w:rPr>
        <w:footnoteRef/>
      </w:r>
      <w:r w:rsidRPr="00A41A4F">
        <w:rPr>
          <w:color w:val="77328A"/>
          <w:sz w:val="16"/>
          <w:szCs w:val="16"/>
        </w:rPr>
        <w:t xml:space="preserve"> </w:t>
      </w:r>
      <w:r w:rsidR="00577F42" w:rsidRPr="00A41A4F">
        <w:rPr>
          <w:rFonts w:eastAsiaTheme="minorEastAsia" w:cs="Arial"/>
          <w:color w:val="77328A"/>
          <w:sz w:val="16"/>
          <w:szCs w:val="16"/>
        </w:rPr>
        <w:t xml:space="preserve">EU Regulations fall within the definition of ‘direct retained EU law’ </w:t>
      </w:r>
      <w:r w:rsidR="00BD213A" w:rsidRPr="00A41A4F">
        <w:rPr>
          <w:rFonts w:eastAsiaTheme="minorEastAsia" w:cs="Arial"/>
          <w:color w:val="77328A"/>
          <w:sz w:val="16"/>
          <w:szCs w:val="16"/>
        </w:rPr>
        <w:t xml:space="preserve">to be </w:t>
      </w:r>
      <w:r w:rsidR="00003A13">
        <w:rPr>
          <w:rFonts w:eastAsiaTheme="minorEastAsia" w:cs="Arial"/>
          <w:color w:val="77328A"/>
          <w:sz w:val="16"/>
          <w:szCs w:val="16"/>
        </w:rPr>
        <w:t>automatically repealed</w:t>
      </w:r>
      <w:r w:rsidR="00BD213A" w:rsidRPr="00A41A4F">
        <w:rPr>
          <w:rFonts w:eastAsiaTheme="minorEastAsia" w:cs="Arial"/>
          <w:color w:val="77328A"/>
          <w:sz w:val="16"/>
          <w:szCs w:val="16"/>
        </w:rPr>
        <w:t xml:space="preserve"> by the end of December 2023</w:t>
      </w:r>
      <w:r w:rsidR="00654469" w:rsidRPr="00A41A4F">
        <w:rPr>
          <w:rFonts w:eastAsiaTheme="minorEastAsia" w:cs="Arial"/>
          <w:color w:val="77328A"/>
          <w:sz w:val="16"/>
          <w:szCs w:val="16"/>
        </w:rPr>
        <w:t xml:space="preserve"> unless preserved or restated by Ministers. </w:t>
      </w:r>
      <w:r w:rsidR="00AC698E" w:rsidRPr="00A41A4F">
        <w:rPr>
          <w:rFonts w:eastAsiaTheme="minorEastAsia" w:cs="Arial"/>
          <w:color w:val="77328A"/>
          <w:sz w:val="16"/>
          <w:szCs w:val="16"/>
        </w:rPr>
        <w:t xml:space="preserve">The Commissions have identified a range of Regulations affecting rights, including children’s rights </w:t>
      </w:r>
      <w:r w:rsidR="00960349">
        <w:rPr>
          <w:rFonts w:eastAsiaTheme="minorEastAsia" w:cs="Arial"/>
          <w:color w:val="77328A"/>
          <w:sz w:val="16"/>
          <w:szCs w:val="16"/>
        </w:rPr>
        <w:t>e</w:t>
      </w:r>
      <w:r w:rsidR="00960349" w:rsidRPr="00A41A4F">
        <w:rPr>
          <w:rFonts w:eastAsiaTheme="minorEastAsia" w:cs="Arial"/>
          <w:color w:val="77328A"/>
          <w:sz w:val="16"/>
          <w:szCs w:val="16"/>
        </w:rPr>
        <w:t>.g.,</w:t>
      </w:r>
      <w:r w:rsidR="00AC698E" w:rsidRPr="00A41A4F">
        <w:rPr>
          <w:rFonts w:eastAsiaTheme="minorEastAsia" w:cs="Arial"/>
          <w:color w:val="77328A"/>
          <w:sz w:val="16"/>
          <w:szCs w:val="16"/>
        </w:rPr>
        <w:t xml:space="preserve"> </w:t>
      </w:r>
      <w:r w:rsidR="005A0E5F" w:rsidRPr="00A41A4F">
        <w:rPr>
          <w:rFonts w:eastAsiaTheme="minorEastAsia" w:cs="Arial"/>
          <w:color w:val="77328A"/>
          <w:sz w:val="16"/>
          <w:szCs w:val="16"/>
        </w:rPr>
        <w:t>Regulation (EC) No 1107/2006 of the European Parliament and of the Council of 5 July 2006 concerning the rights of disabled persons and persons with reduced mobility when travelling by air</w:t>
      </w:r>
      <w:r w:rsidR="00154337">
        <w:rPr>
          <w:rFonts w:eastAsiaTheme="minorEastAsia" w:cs="Arial"/>
          <w:color w:val="77328A"/>
          <w:sz w:val="16"/>
          <w:szCs w:val="16"/>
        </w:rPr>
        <w:t>.</w:t>
      </w:r>
    </w:p>
  </w:footnote>
  <w:footnote w:id="32">
    <w:p w14:paraId="6D433709" w14:textId="77777777" w:rsidR="002C5F02" w:rsidRPr="000A424A" w:rsidRDefault="002C5F02" w:rsidP="002C5F02">
      <w:pPr>
        <w:pStyle w:val="NIHRCFootnotes0"/>
      </w:pPr>
      <w:r w:rsidRPr="0043080B">
        <w:rPr>
          <w:rStyle w:val="FootnoteReference"/>
        </w:rPr>
        <w:footnoteRef/>
      </w:r>
      <w:r w:rsidRPr="0043080B">
        <w:t xml:space="preserve"> </w:t>
      </w:r>
      <w:r w:rsidRPr="009E7B75">
        <w:t xml:space="preserve">NI Union of Supported Employment, ‘Future </w:t>
      </w:r>
      <w:r>
        <w:t>F</w:t>
      </w:r>
      <w:r w:rsidRPr="009E7B75">
        <w:t xml:space="preserve">unding for </w:t>
      </w:r>
      <w:r>
        <w:t>D</w:t>
      </w:r>
      <w:r w:rsidRPr="009E7B75">
        <w:t xml:space="preserve">isability </w:t>
      </w:r>
      <w:r>
        <w:t>E</w:t>
      </w:r>
      <w:r w:rsidRPr="009E7B75">
        <w:t xml:space="preserve">mployment </w:t>
      </w:r>
      <w:r>
        <w:t>S</w:t>
      </w:r>
      <w:r w:rsidRPr="009E7B75">
        <w:t>ervices’, (NIUSE, 2019)</w:t>
      </w:r>
      <w:r>
        <w:t xml:space="preserve">; NI Council for Voluntary Action, ‘ESF User Group Briefing Paper’, (NICVA, 2021), at page 3; NI Council for Voluntary Action, ‘Press Release: </w:t>
      </w:r>
      <w:r w:rsidRPr="00793E03">
        <w:t>Latest on the UK Shared Prosperity NI Programme</w:t>
      </w:r>
      <w:r>
        <w:t xml:space="preserve">’, 3 August 2022; John Campbell, ‘Brexit: Jobs “at risk” over failure to replace EU funds’, </w:t>
      </w:r>
      <w:r>
        <w:rPr>
          <w:i/>
          <w:iCs/>
        </w:rPr>
        <w:t>BBC News</w:t>
      </w:r>
      <w:r>
        <w:t>, 12 October 2022.</w:t>
      </w:r>
    </w:p>
  </w:footnote>
  <w:footnote w:id="33">
    <w:p w14:paraId="343B689B" w14:textId="6E3C02EE" w:rsidR="00491BCC" w:rsidRPr="009E7B75" w:rsidRDefault="00491BCC" w:rsidP="00491BCC">
      <w:pPr>
        <w:pStyle w:val="NIHRCFootnotes0"/>
      </w:pPr>
      <w:r w:rsidRPr="009E7B75">
        <w:rPr>
          <w:rStyle w:val="FootnoteReference"/>
          <w:rFonts w:eastAsiaTheme="majorEastAsia"/>
        </w:rPr>
        <w:footnoteRef/>
      </w:r>
      <w:r w:rsidRPr="009E7B75">
        <w:t xml:space="preserve"> Home Office, </w:t>
      </w:r>
      <w:r>
        <w:t>‘</w:t>
      </w:r>
      <w:r w:rsidRPr="009E7B75">
        <w:t>Common Travel Area - Version 11.0</w:t>
      </w:r>
      <w:r>
        <w:t>’</w:t>
      </w:r>
      <w:r w:rsidRPr="009E7B75">
        <w:t xml:space="preserve"> (HO, 2021), at 44</w:t>
      </w:r>
      <w:r w:rsidR="001F658B">
        <w:t>-</w:t>
      </w:r>
      <w:r w:rsidRPr="009E7B75">
        <w:t>47.</w:t>
      </w:r>
    </w:p>
  </w:footnote>
  <w:footnote w:id="34">
    <w:p w14:paraId="7D2D1F61" w14:textId="2355DE8C" w:rsidR="00491BCC" w:rsidRPr="009E7B75" w:rsidRDefault="00491BCC" w:rsidP="00491BCC">
      <w:pPr>
        <w:pStyle w:val="NIHRCFootnotes0"/>
      </w:pPr>
      <w:r w:rsidRPr="009E7B75">
        <w:rPr>
          <w:rStyle w:val="FootnoteReference"/>
          <w:rFonts w:eastAsiaTheme="majorEastAsia"/>
        </w:rPr>
        <w:footnoteRef/>
      </w:r>
      <w:r w:rsidRPr="009E7B75">
        <w:t xml:space="preserve"> Joint Committee of the Irish Human Rights and Equality Commission and the NI Human Rights Commission, 'Policy statement on the UK </w:t>
      </w:r>
      <w:r>
        <w:t>W</w:t>
      </w:r>
      <w:r w:rsidRPr="009E7B75">
        <w:t>ithdrawal from the EU' (NIHRC and IHREC, 2018), at 10-11</w:t>
      </w:r>
      <w:r w:rsidR="00D34AE0">
        <w:t xml:space="preserve">; </w:t>
      </w:r>
      <w:r w:rsidR="00D34AE0" w:rsidRPr="009E7B75">
        <w:t>Letter from NI Human Rights Commission to Home Office, 20 December 2021.</w:t>
      </w:r>
    </w:p>
  </w:footnote>
  <w:footnote w:id="35">
    <w:p w14:paraId="598B53F2" w14:textId="32DD29EA" w:rsidR="001126EB" w:rsidRPr="0043080B" w:rsidRDefault="001126EB" w:rsidP="007C17F8">
      <w:pPr>
        <w:pStyle w:val="NIHRCFootnotes0"/>
      </w:pPr>
      <w:r w:rsidRPr="0043080B">
        <w:rPr>
          <w:rStyle w:val="FootnoteReference"/>
        </w:rPr>
        <w:footnoteRef/>
      </w:r>
      <w:r w:rsidRPr="0043080B">
        <w:t xml:space="preserve"> NI Commissioner for Children and Young People, ‘Statement on Children’s </w:t>
      </w:r>
      <w:r w:rsidR="000C03B6">
        <w:t>R</w:t>
      </w:r>
      <w:r w:rsidRPr="0043080B">
        <w:t>ights in NI’ (NICCY, 2018), at 67.</w:t>
      </w:r>
    </w:p>
  </w:footnote>
  <w:footnote w:id="36">
    <w:p w14:paraId="1E6E1499" w14:textId="5553BCF9" w:rsidR="00491BCC" w:rsidRDefault="00491BCC" w:rsidP="00160D02">
      <w:pPr>
        <w:pStyle w:val="NIHRCFootnotes0"/>
      </w:pPr>
      <w:r>
        <w:rPr>
          <w:rStyle w:val="FootnoteReference"/>
        </w:rPr>
        <w:footnoteRef/>
      </w:r>
      <w:r w:rsidR="000C03B6">
        <w:t xml:space="preserve"> </w:t>
      </w:r>
      <w:r w:rsidR="000C03B6" w:rsidRPr="00491BCC">
        <w:t>Section 3ZA</w:t>
      </w:r>
      <w:r w:rsidR="000C03B6">
        <w:t>,</w:t>
      </w:r>
      <w:r>
        <w:t xml:space="preserve"> </w:t>
      </w:r>
      <w:r w:rsidRPr="00491BCC">
        <w:t>Immigration Act 1971</w:t>
      </w:r>
      <w:r w:rsidR="000C03B6">
        <w:t>.</w:t>
      </w:r>
      <w:r w:rsidR="00160D02">
        <w:t xml:space="preserve"> </w:t>
      </w:r>
    </w:p>
  </w:footnote>
  <w:footnote w:id="37">
    <w:p w14:paraId="046C5434" w14:textId="0E794CB1" w:rsidR="00DA79DD" w:rsidRPr="004C1231" w:rsidRDefault="00DA79DD" w:rsidP="007C17F8">
      <w:pPr>
        <w:pStyle w:val="NIHRCFootnotes0"/>
      </w:pPr>
      <w:r w:rsidRPr="008846B6">
        <w:rPr>
          <w:rStyle w:val="FootnoteReference"/>
        </w:rPr>
        <w:footnoteRef/>
      </w:r>
      <w:r w:rsidRPr="004C1231">
        <w:t xml:space="preserve"> NI Human Rights Commission, ‘Evidence to Joint Committee on Human Rights Legislative Scrutiny of the Bill of Rights Bill’ (NIHRC, 2022).</w:t>
      </w:r>
    </w:p>
  </w:footnote>
  <w:footnote w:id="38">
    <w:p w14:paraId="20A37350" w14:textId="77777777" w:rsidR="00B05D15" w:rsidRPr="009E7B75" w:rsidRDefault="00B05D15" w:rsidP="007C17F8">
      <w:pPr>
        <w:pStyle w:val="NIHRCFootnotes0"/>
      </w:pPr>
      <w:r w:rsidRPr="009E7B75">
        <w:rPr>
          <w:rStyle w:val="FootnoteReference"/>
          <w:rFonts w:eastAsiaTheme="majorEastAsia"/>
        </w:rPr>
        <w:footnoteRef/>
      </w:r>
      <w:r w:rsidRPr="009E7B75">
        <w:t xml:space="preserve"> ‘Bill of Rights: Liz Truss shelves plans to reform human rights law’, </w:t>
      </w:r>
      <w:r w:rsidRPr="007016FB">
        <w:rPr>
          <w:i/>
          <w:iCs/>
        </w:rPr>
        <w:t>BBC News</w:t>
      </w:r>
      <w:r w:rsidRPr="009E7B75">
        <w:t>, 7 September 2022.</w:t>
      </w:r>
    </w:p>
  </w:footnote>
  <w:footnote w:id="39">
    <w:p w14:paraId="0A022918" w14:textId="7F0FE62C" w:rsidR="00BD6782" w:rsidRDefault="00BD6782" w:rsidP="007C17F8">
      <w:pPr>
        <w:pStyle w:val="NIHRCFootnotes0"/>
      </w:pPr>
      <w:r>
        <w:rPr>
          <w:rStyle w:val="FootnoteReference"/>
        </w:rPr>
        <w:footnoteRef/>
      </w:r>
      <w:r>
        <w:t xml:space="preserve"> Michael Cross, ‘Bill of Rights Bill will be back </w:t>
      </w:r>
      <w:r w:rsidR="0030541F">
        <w:t>‘</w:t>
      </w:r>
      <w:r>
        <w:t>in weeks</w:t>
      </w:r>
      <w:r w:rsidR="0030541F">
        <w:t>’</w:t>
      </w:r>
      <w:r>
        <w:t>’</w:t>
      </w:r>
      <w:r w:rsidR="000C03B6">
        <w:t>’</w:t>
      </w:r>
      <w:r w:rsidR="0030541F">
        <w:t xml:space="preserve">, </w:t>
      </w:r>
      <w:r w:rsidR="0030541F" w:rsidRPr="000C03B6">
        <w:rPr>
          <w:i/>
          <w:iCs/>
        </w:rPr>
        <w:t>The Law Society Gazette</w:t>
      </w:r>
      <w:r w:rsidR="0030541F">
        <w:t>, 7 November 2022</w:t>
      </w:r>
      <w:r w:rsidR="006E27A6">
        <w:t>.</w:t>
      </w:r>
    </w:p>
  </w:footnote>
  <w:footnote w:id="40">
    <w:p w14:paraId="12DAD4E0" w14:textId="1E8BF271" w:rsidR="00FC3184" w:rsidRPr="004C1231" w:rsidRDefault="00FC3184" w:rsidP="007C17F8">
      <w:pPr>
        <w:pStyle w:val="NIHRCFootnotes0"/>
      </w:pPr>
      <w:r w:rsidRPr="001F658B">
        <w:rPr>
          <w:rStyle w:val="FootnoteReference"/>
        </w:rPr>
        <w:footnoteRef/>
      </w:r>
      <w:r w:rsidRPr="004C1231">
        <w:t xml:space="preserve"> CRC/C/GBR/CO/5, ‘UN CRC Committee Concluding Observations on the Fifth Periodic Report of the UK of Great Britain and NI’, 12 July 2016, at </w:t>
      </w:r>
      <w:r w:rsidR="00BE4170" w:rsidRPr="004C1231">
        <w:t>8-</w:t>
      </w:r>
      <w:r w:rsidRPr="004C1231">
        <w:t>14.</w:t>
      </w:r>
      <w:r w:rsidR="0057417C" w:rsidRPr="004C1231">
        <w:t xml:space="preserve"> </w:t>
      </w:r>
    </w:p>
  </w:footnote>
  <w:footnote w:id="41">
    <w:p w14:paraId="37049A63" w14:textId="2129D08A" w:rsidR="00F703CE" w:rsidRPr="004C1231" w:rsidRDefault="00F703CE" w:rsidP="007C17F8">
      <w:pPr>
        <w:pStyle w:val="NIHRCFootnotes0"/>
      </w:pPr>
      <w:r w:rsidRPr="004C1231">
        <w:rPr>
          <w:rStyle w:val="FootnoteReference"/>
          <w:vertAlign w:val="baseline"/>
        </w:rPr>
        <w:footnoteRef/>
      </w:r>
      <w:r w:rsidRPr="004C1231">
        <w:t xml:space="preserve"> </w:t>
      </w:r>
      <w:r w:rsidR="001F658B">
        <w:t>Ibid at</w:t>
      </w:r>
      <w:r w:rsidR="00D430A7" w:rsidRPr="004C1231">
        <w:t xml:space="preserve"> 14.</w:t>
      </w:r>
    </w:p>
  </w:footnote>
  <w:footnote w:id="42">
    <w:p w14:paraId="448242EC" w14:textId="1779015B" w:rsidR="00B7579C" w:rsidRPr="004C1231" w:rsidRDefault="00B7579C" w:rsidP="007C17F8">
      <w:pPr>
        <w:pStyle w:val="NIHRCFootnotes0"/>
      </w:pPr>
      <w:r w:rsidRPr="007734E7">
        <w:rPr>
          <w:rStyle w:val="FootnoteReference"/>
        </w:rPr>
        <w:footnoteRef/>
      </w:r>
      <w:r w:rsidRPr="007734E7">
        <w:rPr>
          <w:vertAlign w:val="superscript"/>
        </w:rPr>
        <w:t xml:space="preserve"> </w:t>
      </w:r>
      <w:r w:rsidRPr="004C1231">
        <w:t>Department of Education, ‘Children and Young People’s Strategy 2020</w:t>
      </w:r>
      <w:r w:rsidR="00DC18F1">
        <w:t>-</w:t>
      </w:r>
      <w:r w:rsidRPr="004C1231">
        <w:t>2030’ (D</w:t>
      </w:r>
      <w:r w:rsidR="00DC18F1">
        <w:t>o</w:t>
      </w:r>
      <w:r w:rsidRPr="004C1231">
        <w:t>E, 202</w:t>
      </w:r>
      <w:r w:rsidR="00DA51FA" w:rsidRPr="004C1231">
        <w:t>0</w:t>
      </w:r>
      <w:r w:rsidRPr="004C1231">
        <w:t>).</w:t>
      </w:r>
    </w:p>
  </w:footnote>
  <w:footnote w:id="43">
    <w:p w14:paraId="76DEE6EC" w14:textId="4C3BBDEF" w:rsidR="00600DE5" w:rsidRPr="000A424A" w:rsidRDefault="00600DE5" w:rsidP="007C17F8">
      <w:pPr>
        <w:pStyle w:val="NIHRCFootnotes0"/>
      </w:pPr>
      <w:r w:rsidRPr="007734E7">
        <w:rPr>
          <w:rStyle w:val="FootnoteReference"/>
        </w:rPr>
        <w:footnoteRef/>
      </w:r>
      <w:r w:rsidRPr="004C1231">
        <w:t xml:space="preserve"> </w:t>
      </w:r>
      <w:r w:rsidR="00DA51FA" w:rsidRPr="004C1231">
        <w:t>Department of Education, ‘</w:t>
      </w:r>
      <w:r w:rsidR="009B58B9" w:rsidRPr="004C1231">
        <w:t>Executive Children and Young People’s Strategy 2020-2030: Delivery Plan April 2021</w:t>
      </w:r>
      <w:r w:rsidR="00DC18F1">
        <w:t>-</w:t>
      </w:r>
      <w:r w:rsidR="009B58B9" w:rsidRPr="004C1231">
        <w:t>March 2024’ (D</w:t>
      </w:r>
      <w:r w:rsidR="00DC18F1">
        <w:t>o</w:t>
      </w:r>
      <w:r w:rsidR="009B58B9" w:rsidRPr="004C1231">
        <w:t>E, 2022)</w:t>
      </w:r>
      <w:r w:rsidR="00FC16FA" w:rsidRPr="004C1231">
        <w:t>, at 1.5 and 5.9.</w:t>
      </w:r>
    </w:p>
  </w:footnote>
  <w:footnote w:id="44">
    <w:p w14:paraId="32278170" w14:textId="1F9BDE2D" w:rsidR="00FC3184" w:rsidRPr="004C1231" w:rsidRDefault="00FC3184" w:rsidP="007C17F8">
      <w:pPr>
        <w:pStyle w:val="NIHRCFootnotes0"/>
      </w:pPr>
      <w:r w:rsidRPr="007734E7">
        <w:rPr>
          <w:rStyle w:val="FootnoteReference"/>
        </w:rPr>
        <w:footnoteRef/>
      </w:r>
      <w:r w:rsidRPr="004C1231">
        <w:t xml:space="preserve"> </w:t>
      </w:r>
      <w:r w:rsidR="006E782B" w:rsidRPr="004C1231">
        <w:t xml:space="preserve">Department of Education, </w:t>
      </w:r>
      <w:r w:rsidR="001F658B">
        <w:t>‘</w:t>
      </w:r>
      <w:r w:rsidR="00476739" w:rsidRPr="004C1231">
        <w:t>Children and Young People’s Strategy 2020</w:t>
      </w:r>
      <w:r w:rsidR="00DC18F1">
        <w:t>-</w:t>
      </w:r>
      <w:r w:rsidR="00476739" w:rsidRPr="004C1231">
        <w:t>2030’ (D</w:t>
      </w:r>
      <w:r w:rsidR="00DC18F1">
        <w:t>o</w:t>
      </w:r>
      <w:r w:rsidR="00476739" w:rsidRPr="004C1231">
        <w:t>E, 2020), at 7.12</w:t>
      </w:r>
      <w:r w:rsidR="00080137" w:rsidRPr="004C1231">
        <w:t>;</w:t>
      </w:r>
      <w:r w:rsidR="006E782B" w:rsidRPr="004C1231">
        <w:t xml:space="preserve"> and </w:t>
      </w:r>
      <w:r w:rsidR="005C48A4" w:rsidRPr="004C1231">
        <w:t xml:space="preserve">Meeting between NI Human Rights Commission and </w:t>
      </w:r>
      <w:r w:rsidRPr="004C1231">
        <w:t>Department of Education,</w:t>
      </w:r>
      <w:r w:rsidR="00F1254F" w:rsidRPr="004C1231">
        <w:t xml:space="preserve"> 20 July 2022</w:t>
      </w:r>
      <w:r w:rsidRPr="004C1231">
        <w:t>.</w:t>
      </w:r>
    </w:p>
  </w:footnote>
  <w:footnote w:id="45">
    <w:p w14:paraId="4C83C4C6" w14:textId="690C897D" w:rsidR="00FC3184" w:rsidRPr="004C1231" w:rsidRDefault="00FC3184" w:rsidP="007C17F8">
      <w:pPr>
        <w:pStyle w:val="NIHRCFootnotes0"/>
      </w:pPr>
      <w:r w:rsidRPr="007734E7">
        <w:rPr>
          <w:rStyle w:val="FootnoteReference"/>
        </w:rPr>
        <w:footnoteRef/>
      </w:r>
      <w:r w:rsidRPr="004C1231">
        <w:t xml:space="preserve"> </w:t>
      </w:r>
      <w:r w:rsidR="00080137" w:rsidRPr="004C1231">
        <w:t>Meeting between NI Human Rights Commission and Department of Education, 20 July 2022.</w:t>
      </w:r>
    </w:p>
  </w:footnote>
  <w:footnote w:id="46">
    <w:p w14:paraId="24142B1F" w14:textId="7579EEAD" w:rsidR="00FC3184" w:rsidRPr="004C1231" w:rsidRDefault="00FC3184" w:rsidP="007C17F8">
      <w:pPr>
        <w:pStyle w:val="NIHRCFootnotes0"/>
      </w:pPr>
      <w:r w:rsidRPr="007734E7">
        <w:rPr>
          <w:rStyle w:val="FootnoteReference"/>
        </w:rPr>
        <w:footnoteRef/>
      </w:r>
      <w:r w:rsidRPr="004C1231">
        <w:t xml:space="preserve"> Commissioner for Children and Young People (NI) Order 2003.</w:t>
      </w:r>
    </w:p>
  </w:footnote>
  <w:footnote w:id="47">
    <w:p w14:paraId="6515F9D0" w14:textId="039A1780" w:rsidR="00FC3184" w:rsidRPr="00703D12" w:rsidRDefault="00FC3184" w:rsidP="007C17F8">
      <w:pPr>
        <w:pStyle w:val="NIHRCFootnotes0"/>
      </w:pPr>
      <w:r w:rsidRPr="007734E7">
        <w:rPr>
          <w:rStyle w:val="FootnoteReference"/>
        </w:rPr>
        <w:footnoteRef/>
      </w:r>
      <w:r w:rsidRPr="004C1231">
        <w:t xml:space="preserve"> NI Commissioner for Children and Young People, ‘Report to the Office of the First Minster and Deputy First Minister under Article 24 of the Commissioner for Children and Young People (NI) Order (2003)’ (NICCY, 2013).</w:t>
      </w:r>
      <w:r w:rsidRPr="00703D12">
        <w:t xml:space="preserve"> </w:t>
      </w:r>
    </w:p>
  </w:footnote>
  <w:footnote w:id="48">
    <w:p w14:paraId="19E0A0EC" w14:textId="23D71D1D" w:rsidR="00FC3184" w:rsidRPr="00FC3184" w:rsidRDefault="00FC3184" w:rsidP="007C17F8">
      <w:pPr>
        <w:pStyle w:val="NIHRCFootnotes0"/>
        <w:rPr>
          <w:color w:val="7030A0"/>
        </w:rPr>
      </w:pPr>
      <w:r w:rsidRPr="00703D12">
        <w:rPr>
          <w:rStyle w:val="FootnoteReference"/>
        </w:rPr>
        <w:footnoteRef/>
      </w:r>
      <w:r w:rsidRPr="00703D12">
        <w:t xml:space="preserve"> CRC/C/GBR/CO/5, ‘UN CRC Committee Concluding Observations on the Fifth Periodic Report of the UK of Great Britain and NI’, 12 July 2016, at 28(b).</w:t>
      </w:r>
    </w:p>
  </w:footnote>
  <w:footnote w:id="49">
    <w:p w14:paraId="3A12182F" w14:textId="23EB5E05" w:rsidR="00AA41DC" w:rsidRPr="00DD0669" w:rsidRDefault="00AA41DC" w:rsidP="007C17F8">
      <w:pPr>
        <w:pStyle w:val="NIHRCFootnotes0"/>
      </w:pPr>
      <w:r w:rsidRPr="00DD0669">
        <w:rPr>
          <w:rStyle w:val="FootnoteReference"/>
        </w:rPr>
        <w:footnoteRef/>
      </w:r>
      <w:r w:rsidRPr="00DD0669">
        <w:t xml:space="preserve"> NI Statistics and Research Agency, ‘Registrar General </w:t>
      </w:r>
      <w:r w:rsidR="00DD46BA">
        <w:t>NI</w:t>
      </w:r>
      <w:r w:rsidRPr="00DD0669">
        <w:t xml:space="preserve"> Annual Report 2021’ (NISRA, 2022), at 13.</w:t>
      </w:r>
    </w:p>
  </w:footnote>
  <w:footnote w:id="50">
    <w:p w14:paraId="633695F1" w14:textId="59A945C4" w:rsidR="00AA41DC" w:rsidRPr="00DD0669" w:rsidRDefault="00AA41DC" w:rsidP="007C17F8">
      <w:pPr>
        <w:pStyle w:val="NIHRCFootnotes0"/>
      </w:pPr>
      <w:r w:rsidRPr="00DD0669">
        <w:rPr>
          <w:rStyle w:val="FootnoteReference"/>
        </w:rPr>
        <w:footnoteRef/>
      </w:r>
      <w:r w:rsidRPr="00DD0669">
        <w:t xml:space="preserve"> For 2020 in England and Wales the ratio was 3.6 per 1,000 live births and in Scotland it was 3.1. </w:t>
      </w:r>
      <w:r w:rsidRPr="00DD0669">
        <w:rPr>
          <w:i/>
        </w:rPr>
        <w:t>See</w:t>
      </w:r>
      <w:r w:rsidRPr="00DD0669">
        <w:t xml:space="preserve"> Office for National Statistics, ‘Child and </w:t>
      </w:r>
      <w:r w:rsidR="00DD46BA">
        <w:t>I</w:t>
      </w:r>
      <w:r w:rsidRPr="00DD0669">
        <w:t xml:space="preserve">nfant </w:t>
      </w:r>
      <w:r w:rsidR="00DD46BA">
        <w:t>M</w:t>
      </w:r>
      <w:r w:rsidRPr="00DD0669">
        <w:t>ortality in England and Wales: 2020’ (ONS, 2022)</w:t>
      </w:r>
      <w:r w:rsidR="00DD46BA">
        <w:t xml:space="preserve">; </w:t>
      </w:r>
      <w:r w:rsidRPr="00DD0669">
        <w:t xml:space="preserve">National Records of Scotland, ‘Vital Events Reference Tables 2020’. Available at: https://www.nrscotland.gov.uk/statistics-and-data/statistics/statistics-by-theme/vital-events/general-publications/vital-events-reference-tables/2020/list-of-data-tables#section4. </w:t>
      </w:r>
    </w:p>
  </w:footnote>
  <w:footnote w:id="51">
    <w:p w14:paraId="4A00B1A6" w14:textId="77777777" w:rsidR="00B536F3" w:rsidRPr="00DD0669" w:rsidRDefault="00B536F3" w:rsidP="00B536F3">
      <w:pPr>
        <w:pStyle w:val="NIHRCFootnotes0"/>
      </w:pPr>
      <w:r w:rsidRPr="00DD0669">
        <w:rPr>
          <w:rStyle w:val="FootnoteReference"/>
        </w:rPr>
        <w:footnoteRef/>
      </w:r>
      <w:r w:rsidRPr="00DD0669">
        <w:t xml:space="preserve"> Sections 3(5) and 7(1)(b), Safeguarding Board (NI) Act 2011. </w:t>
      </w:r>
    </w:p>
  </w:footnote>
  <w:footnote w:id="52">
    <w:p w14:paraId="5CB8EC64" w14:textId="77777777" w:rsidR="004251EE" w:rsidRPr="00DD0669" w:rsidRDefault="004251EE" w:rsidP="004251EE">
      <w:pPr>
        <w:pStyle w:val="NIHRCFootnotes0"/>
      </w:pPr>
      <w:r w:rsidRPr="00DD0669">
        <w:rPr>
          <w:rStyle w:val="FootnoteReference"/>
        </w:rPr>
        <w:footnoteRef/>
      </w:r>
      <w:r w:rsidRPr="00DD0669">
        <w:t xml:space="preserve"> Child Death Overview Panel in England; Child Death Review Programme in Wales; National Hub for Reviewing and Learning from the Deaths of Children and Young People in Scotland.</w:t>
      </w:r>
    </w:p>
  </w:footnote>
  <w:footnote w:id="53">
    <w:p w14:paraId="6B3F4B3C" w14:textId="77777777" w:rsidR="005D1408" w:rsidRPr="00DD0669" w:rsidRDefault="005D1408" w:rsidP="007C17F8">
      <w:pPr>
        <w:pStyle w:val="NIHRCFootnotes0"/>
      </w:pPr>
      <w:r w:rsidRPr="00DD0669">
        <w:rPr>
          <w:rStyle w:val="FootnoteReference"/>
        </w:rPr>
        <w:footnoteRef/>
      </w:r>
      <w:r w:rsidRPr="00DD0669">
        <w:t xml:space="preserve"> Alexis Jay, ‘Independent Review of the Safeguarding Board for NI’ (DoH, 2016); Justice O’Hara, ‘The Inquiry into Hyponatraemia-related Deaths’ (DoF, 2018); Royal College of Paediatrics and Child Health, ‘State of Child Health 2020’ (RCPCH, 2020), at 12; ‘Child death panel: Lack of progress criticised by children's commissioner’, </w:t>
      </w:r>
      <w:r w:rsidRPr="00DD0669">
        <w:rPr>
          <w:i/>
        </w:rPr>
        <w:t>BBC News</w:t>
      </w:r>
      <w:r w:rsidRPr="00DD0669">
        <w:t>, 17 December 2019.</w:t>
      </w:r>
    </w:p>
  </w:footnote>
  <w:footnote w:id="54">
    <w:p w14:paraId="28AFF2BA" w14:textId="174F6F2E" w:rsidR="008665F0" w:rsidRPr="005616CC" w:rsidRDefault="008665F0" w:rsidP="007C17F8">
      <w:pPr>
        <w:pStyle w:val="NIHRCFootnotes0"/>
      </w:pPr>
      <w:r w:rsidRPr="005616CC">
        <w:rPr>
          <w:rStyle w:val="FootnoteReference"/>
        </w:rPr>
        <w:footnoteRef/>
      </w:r>
      <w:r w:rsidRPr="005616CC">
        <w:t xml:space="preserve"> In </w:t>
      </w:r>
      <w:r w:rsidRPr="005616CC">
        <w:rPr>
          <w:i/>
          <w:iCs/>
        </w:rPr>
        <w:t>De Souza (Good Friday Agreement: Nationality)</w:t>
      </w:r>
      <w:r w:rsidRPr="005616CC">
        <w:t xml:space="preserve"> [2019] UKUT 355 (IAC), the Upper Immigration and Asylum Tribunal decided that the system requiring a person to renounce their British citizenship </w:t>
      </w:r>
      <w:proofErr w:type="gramStart"/>
      <w:r w:rsidRPr="005616CC">
        <w:t>in order to</w:t>
      </w:r>
      <w:proofErr w:type="gramEnd"/>
      <w:r w:rsidRPr="005616CC">
        <w:t xml:space="preserve"> be considered Irish only was a proportionate means of achieving the legitimate aim of avoiding statelessness and maintaining a coherent system of nationality law. </w:t>
      </w:r>
      <w:r w:rsidRPr="005616CC">
        <w:rPr>
          <w:i/>
        </w:rPr>
        <w:t xml:space="preserve">In the Matter of Ní </w:t>
      </w:r>
      <w:proofErr w:type="spellStart"/>
      <w:r w:rsidRPr="005616CC">
        <w:rPr>
          <w:i/>
        </w:rPr>
        <w:t>Chuinneagain</w:t>
      </w:r>
      <w:proofErr w:type="spellEnd"/>
      <w:r w:rsidRPr="005616CC">
        <w:t xml:space="preserve"> [2021] NIQB 79, the NI High Court refused a challenge by an Irish identifying applicant to the same legal provision, stating that “she is an Irish citizen; and her additional British citizenship takes nothing away from this in terms of the rights, benefits and privileges which she enjoys as an Irish citizen”.</w:t>
      </w:r>
    </w:p>
  </w:footnote>
  <w:footnote w:id="55">
    <w:p w14:paraId="312D76B2" w14:textId="77777777" w:rsidR="00551421" w:rsidRPr="009E7B75" w:rsidRDefault="00551421" w:rsidP="007C17F8">
      <w:pPr>
        <w:pStyle w:val="NIHRCFootnotes0"/>
      </w:pPr>
      <w:r w:rsidRPr="009E7B75">
        <w:rPr>
          <w:rStyle w:val="FootnoteReference"/>
          <w:rFonts w:eastAsiaTheme="majorEastAsia"/>
        </w:rPr>
        <w:footnoteRef/>
      </w:r>
      <w:r w:rsidRPr="009E7B75">
        <w:t xml:space="preserve"> Alison Harvey, ‘A Legal Analysis of Incorporating into UK Law the Birthright Commitment under the Belfast (Good Friday) Agreement 1998’ (NIHRC and IHREC, 2020).</w:t>
      </w:r>
    </w:p>
  </w:footnote>
  <w:footnote w:id="56">
    <w:p w14:paraId="00FF813F" w14:textId="7AFF5842" w:rsidR="008665F0" w:rsidRDefault="008665F0" w:rsidP="007C17F8">
      <w:pPr>
        <w:pStyle w:val="NIHRCFootnotes0"/>
      </w:pPr>
      <w:r w:rsidRPr="005616CC">
        <w:rPr>
          <w:rStyle w:val="FootnoteReference"/>
        </w:rPr>
        <w:footnoteRef/>
      </w:r>
      <w:r w:rsidRPr="005616CC">
        <w:t xml:space="preserve"> </w:t>
      </w:r>
      <w:r w:rsidR="0011767E">
        <w:t xml:space="preserve">House of Commons </w:t>
      </w:r>
      <w:r w:rsidRPr="005616CC">
        <w:t xml:space="preserve">NI Affairs Committee, </w:t>
      </w:r>
      <w:r w:rsidR="0011767E">
        <w:t>‘</w:t>
      </w:r>
      <w:r w:rsidRPr="005616CC">
        <w:t>First Report of Session 2021/2022 on Citizenship and Passport Processes relating to N</w:t>
      </w:r>
      <w:r w:rsidR="0011767E">
        <w:t>I’</w:t>
      </w:r>
      <w:r w:rsidRPr="005616CC">
        <w:t xml:space="preserve"> (</w:t>
      </w:r>
      <w:proofErr w:type="spellStart"/>
      <w:r w:rsidRPr="005616CC">
        <w:t>H</w:t>
      </w:r>
      <w:r w:rsidR="0011767E">
        <w:t>o</w:t>
      </w:r>
      <w:r w:rsidRPr="005616CC">
        <w:t>C</w:t>
      </w:r>
      <w:proofErr w:type="spellEnd"/>
      <w:r w:rsidRPr="005616CC">
        <w:t>, 2021), at 14.</w:t>
      </w:r>
    </w:p>
  </w:footnote>
  <w:footnote w:id="57">
    <w:p w14:paraId="00DE2019" w14:textId="2AB88989" w:rsidR="008665F0" w:rsidRPr="00FC3184" w:rsidRDefault="008665F0" w:rsidP="007C17F8">
      <w:pPr>
        <w:pStyle w:val="NIHRCFootnotes0"/>
        <w:rPr>
          <w:color w:val="7030A0"/>
        </w:rPr>
      </w:pPr>
      <w:r w:rsidRPr="00DD0669">
        <w:rPr>
          <w:rStyle w:val="FootnoteReference"/>
        </w:rPr>
        <w:footnoteRef/>
      </w:r>
      <w:r w:rsidRPr="00DD0669">
        <w:t xml:space="preserve"> CRC/C/GBR/CO/5, ‘UN CRC Committee Concluding Observations on the Fifth Periodic Report of the UK of Great Britain and NI’, 12 July 2016, at 31.  </w:t>
      </w:r>
    </w:p>
  </w:footnote>
  <w:footnote w:id="58">
    <w:p w14:paraId="64820B70" w14:textId="77777777" w:rsidR="008665F0" w:rsidRPr="00375EFA" w:rsidRDefault="008665F0" w:rsidP="007C17F8">
      <w:pPr>
        <w:pStyle w:val="NIHRCFootnotes0"/>
      </w:pPr>
      <w:r w:rsidRPr="00375EFA">
        <w:rPr>
          <w:rStyle w:val="FootnoteReference"/>
        </w:rPr>
        <w:footnoteRef/>
      </w:r>
      <w:r w:rsidRPr="00375EFA">
        <w:t xml:space="preserve"> NI Youth Forum, ‘Our Voices Aren’t in Lockdown’ (PHF, 2020), at 6.</w:t>
      </w:r>
    </w:p>
  </w:footnote>
  <w:footnote w:id="59">
    <w:p w14:paraId="6BFDB5E8" w14:textId="20871FE6" w:rsidR="008665F0" w:rsidRPr="00F32CD4" w:rsidRDefault="008665F0" w:rsidP="007C17F8">
      <w:pPr>
        <w:pStyle w:val="NIHRCFootnotes0"/>
      </w:pPr>
      <w:r w:rsidRPr="00F32CD4">
        <w:rPr>
          <w:rStyle w:val="FootnoteReference"/>
        </w:rPr>
        <w:footnoteRef/>
      </w:r>
      <w:r w:rsidRPr="00F32CD4">
        <w:t xml:space="preserve"> </w:t>
      </w:r>
      <w:r w:rsidR="00493364">
        <w:t>NI Human Rights Commission r</w:t>
      </w:r>
      <w:r w:rsidRPr="00F32CD4">
        <w:t xml:space="preserve">oundtable meetings </w:t>
      </w:r>
      <w:r w:rsidR="00493364">
        <w:t>with</w:t>
      </w:r>
      <w:r w:rsidRPr="00F32CD4">
        <w:t xml:space="preserve"> civil society organisations</w:t>
      </w:r>
      <w:r w:rsidR="00493364">
        <w:t xml:space="preserve"> on UN CRC</w:t>
      </w:r>
      <w:r w:rsidRPr="00F32CD4">
        <w:t>, 9 and 11 August 2022.</w:t>
      </w:r>
    </w:p>
  </w:footnote>
  <w:footnote w:id="60">
    <w:p w14:paraId="7F387200" w14:textId="6694C3C6" w:rsidR="008665F0" w:rsidRPr="00F32CD4" w:rsidRDefault="008665F0" w:rsidP="007C17F8">
      <w:pPr>
        <w:pStyle w:val="NIHRCFootnotes0"/>
      </w:pPr>
      <w:r w:rsidRPr="00F32CD4">
        <w:rPr>
          <w:rStyle w:val="FootnoteReference"/>
        </w:rPr>
        <w:footnoteRef/>
      </w:r>
      <w:r w:rsidRPr="00F32CD4">
        <w:t xml:space="preserve"> </w:t>
      </w:r>
      <w:r w:rsidR="001F658B">
        <w:t>Ibid.</w:t>
      </w:r>
    </w:p>
  </w:footnote>
  <w:footnote w:id="61">
    <w:p w14:paraId="06DCB4E8" w14:textId="0CD00C83" w:rsidR="002F2363" w:rsidRPr="0016000C" w:rsidRDefault="002F2363">
      <w:pPr>
        <w:pStyle w:val="FootnoteText"/>
        <w:rPr>
          <w:sz w:val="16"/>
          <w:szCs w:val="16"/>
        </w:rPr>
      </w:pPr>
      <w:r w:rsidRPr="0016000C">
        <w:rPr>
          <w:rStyle w:val="FootnoteReference"/>
          <w:color w:val="77328A"/>
          <w:sz w:val="16"/>
          <w:szCs w:val="16"/>
        </w:rPr>
        <w:footnoteRef/>
      </w:r>
      <w:r w:rsidRPr="0016000C">
        <w:rPr>
          <w:color w:val="77328A"/>
          <w:sz w:val="16"/>
          <w:szCs w:val="16"/>
        </w:rPr>
        <w:t xml:space="preserve"> </w:t>
      </w:r>
      <w:r w:rsidR="00080569" w:rsidRPr="0016000C">
        <w:rPr>
          <w:color w:val="77328A"/>
          <w:sz w:val="16"/>
          <w:szCs w:val="16"/>
        </w:rPr>
        <w:t xml:space="preserve">Department for Communities, ‘Disability Strategy Expert Advisory Panel: Report </w:t>
      </w:r>
      <w:r w:rsidR="009D4271">
        <w:rPr>
          <w:color w:val="77328A"/>
          <w:sz w:val="16"/>
          <w:szCs w:val="16"/>
        </w:rPr>
        <w:t>and</w:t>
      </w:r>
      <w:r w:rsidR="00080569" w:rsidRPr="0016000C">
        <w:rPr>
          <w:color w:val="77328A"/>
          <w:sz w:val="16"/>
          <w:szCs w:val="16"/>
        </w:rPr>
        <w:t xml:space="preserve"> Recommendations’ (DfC, 2021)</w:t>
      </w:r>
      <w:r w:rsidR="009D4271">
        <w:rPr>
          <w:color w:val="77328A"/>
          <w:sz w:val="16"/>
          <w:szCs w:val="16"/>
        </w:rPr>
        <w:t>,</w:t>
      </w:r>
      <w:r w:rsidR="00080569" w:rsidRPr="0016000C">
        <w:rPr>
          <w:color w:val="77328A"/>
          <w:sz w:val="16"/>
          <w:szCs w:val="16"/>
        </w:rPr>
        <w:t xml:space="preserve"> at 111.</w:t>
      </w:r>
    </w:p>
  </w:footnote>
  <w:footnote w:id="62">
    <w:p w14:paraId="337A596B" w14:textId="77777777" w:rsidR="008665F0" w:rsidRPr="00F32CD4" w:rsidRDefault="008665F0" w:rsidP="007C17F8">
      <w:pPr>
        <w:pStyle w:val="NIHRCFootnotes0"/>
      </w:pPr>
      <w:r w:rsidRPr="00F32CD4">
        <w:rPr>
          <w:rStyle w:val="FootnoteReference"/>
        </w:rPr>
        <w:footnoteRef/>
      </w:r>
      <w:r w:rsidRPr="00F32CD4">
        <w:t xml:space="preserve"> The youth assembly has</w:t>
      </w:r>
      <w:r w:rsidRPr="00F32CD4">
        <w:rPr>
          <w:lang w:eastAsia="en-GB"/>
        </w:rPr>
        <w:t xml:space="preserve"> 90 members, 54 of whom are drawn from the NI Assembly constituencies and 36 from specific sections of the</w:t>
      </w:r>
      <w:r w:rsidRPr="00080569">
        <w:rPr>
          <w:lang w:eastAsia="en-GB"/>
        </w:rPr>
        <w:t xml:space="preserve"> community. The core</w:t>
      </w:r>
      <w:r w:rsidRPr="00F32CD4">
        <w:rPr>
          <w:lang w:eastAsia="en-GB"/>
        </w:rPr>
        <w:t xml:space="preserve"> age range of the members is 13 to 17 years old, but there will be an upper age limit of 21 years of age. It is expected to have </w:t>
      </w:r>
      <w:r w:rsidRPr="00F32CD4">
        <w:t>two plenary sittings a year and has four committees, which will meet more regularly at Parliament Buildings and other locations.</w:t>
      </w:r>
    </w:p>
  </w:footnote>
  <w:footnote w:id="63">
    <w:p w14:paraId="77C53B9A" w14:textId="77777777" w:rsidR="008665F0" w:rsidRPr="00F32CD4" w:rsidRDefault="008665F0" w:rsidP="007C17F8">
      <w:pPr>
        <w:pStyle w:val="NIHRCFootnotes0"/>
      </w:pPr>
      <w:r w:rsidRPr="00F32CD4">
        <w:rPr>
          <w:rStyle w:val="FootnoteReference"/>
        </w:rPr>
        <w:footnoteRef/>
      </w:r>
      <w:r w:rsidRPr="00F32CD4">
        <w:t xml:space="preserve"> NI Assembly Hansard, ‘SO 01/22/23: Youth Assembly – Making a Difference One Year On’, 1 July 2022.</w:t>
      </w:r>
    </w:p>
  </w:footnote>
  <w:footnote w:id="64">
    <w:p w14:paraId="648C8C10" w14:textId="7D82F188" w:rsidR="008665F0" w:rsidRPr="00F32CD4" w:rsidRDefault="008665F0" w:rsidP="007C17F8">
      <w:pPr>
        <w:pStyle w:val="NIHRCFootnotes0"/>
      </w:pPr>
      <w:r w:rsidRPr="00F32CD4">
        <w:rPr>
          <w:rStyle w:val="FootnoteReference"/>
        </w:rPr>
        <w:footnoteRef/>
      </w:r>
      <w:r w:rsidRPr="00F32CD4">
        <w:t xml:space="preserve"> NI Youth Assembly, ‘Official Report: 3rd</w:t>
      </w:r>
      <w:r w:rsidRPr="00F32CD4">
        <w:rPr>
          <w:vertAlign w:val="superscript"/>
        </w:rPr>
        <w:t xml:space="preserve"> </w:t>
      </w:r>
      <w:r w:rsidRPr="00F32CD4">
        <w:t xml:space="preserve">sitting of the Youth Assembly – 5 March 2022’ (NIA, 2022). </w:t>
      </w:r>
    </w:p>
  </w:footnote>
  <w:footnote w:id="65">
    <w:p w14:paraId="15AADCEC" w14:textId="0768502A" w:rsidR="00FC3184" w:rsidRPr="005616CC" w:rsidRDefault="00FC3184" w:rsidP="007C17F8">
      <w:pPr>
        <w:pStyle w:val="NIHRCFootnotes0"/>
      </w:pPr>
      <w:r w:rsidRPr="00F32CD4">
        <w:rPr>
          <w:rStyle w:val="FootnoteReference"/>
        </w:rPr>
        <w:footnoteRef/>
      </w:r>
      <w:r w:rsidRPr="00F32CD4">
        <w:t xml:space="preserve"> CRC/C/GBR/CO/5, ‘UN CRC Committee Concluding Observations on the Fifth Periodic Report of the UK of Great Britain and NI’, 12 July 2016, at 38.</w:t>
      </w:r>
    </w:p>
  </w:footnote>
  <w:footnote w:id="66">
    <w:p w14:paraId="57CBD543" w14:textId="3B9BE1C1" w:rsidR="00FC3184" w:rsidRPr="00F32CD4" w:rsidRDefault="00FC3184" w:rsidP="007C17F8">
      <w:pPr>
        <w:pStyle w:val="NIHRCFootnotes0"/>
      </w:pPr>
      <w:r w:rsidRPr="00F32CD4">
        <w:rPr>
          <w:rStyle w:val="FootnoteReference"/>
        </w:rPr>
        <w:footnoteRef/>
      </w:r>
      <w:r w:rsidRPr="00F32CD4">
        <w:t xml:space="preserve"> Police Service NI, 'Use of Stop and Search Powers by the Police in NI: 1 April 20</w:t>
      </w:r>
      <w:r w:rsidR="00697137" w:rsidRPr="00F32CD4">
        <w:t>21</w:t>
      </w:r>
      <w:r w:rsidRPr="00F32CD4">
        <w:t xml:space="preserve"> to 31 March 202</w:t>
      </w:r>
      <w:r w:rsidR="00D72DD0" w:rsidRPr="00F32CD4">
        <w:t>2</w:t>
      </w:r>
      <w:r w:rsidRPr="00F32CD4">
        <w:t>' (PSNI, 2</w:t>
      </w:r>
      <w:r w:rsidR="006F4AEB" w:rsidRPr="00F32CD4">
        <w:t>022</w:t>
      </w:r>
      <w:r w:rsidRPr="00F32CD4">
        <w:t>), at</w:t>
      </w:r>
      <w:r w:rsidR="003903DB" w:rsidRPr="00F32CD4">
        <w:t xml:space="preserve"> 4.2</w:t>
      </w:r>
      <w:r w:rsidRPr="00F32CD4">
        <w:t>.</w:t>
      </w:r>
    </w:p>
  </w:footnote>
  <w:footnote w:id="67">
    <w:p w14:paraId="305814E3" w14:textId="0A87A896" w:rsidR="00AF73F9" w:rsidRPr="00F32CD4" w:rsidRDefault="00AF73F9" w:rsidP="007C17F8">
      <w:pPr>
        <w:pStyle w:val="NIHRCFootnotes0"/>
      </w:pPr>
      <w:r w:rsidRPr="00F32CD4">
        <w:rPr>
          <w:rStyle w:val="FootnoteReference"/>
        </w:rPr>
        <w:footnoteRef/>
      </w:r>
      <w:r w:rsidRPr="00F32CD4">
        <w:t xml:space="preserve"> Police Service of NI, ‘Stop and search survey for young people</w:t>
      </w:r>
      <w:r w:rsidR="000630FE" w:rsidRPr="00F32CD4">
        <w:t>’. Available at: https://www.psni.police.uk/latest-news/stop-and-search-survey-young-people</w:t>
      </w:r>
    </w:p>
  </w:footnote>
  <w:footnote w:id="68">
    <w:p w14:paraId="7CF64E9C" w14:textId="5DF6431D" w:rsidR="000630FE" w:rsidRPr="00F32CD4" w:rsidRDefault="000630FE" w:rsidP="007C17F8">
      <w:pPr>
        <w:pStyle w:val="NIHRCFootnotes0"/>
      </w:pPr>
      <w:r w:rsidRPr="00F32CD4">
        <w:rPr>
          <w:rStyle w:val="FootnoteReference"/>
        </w:rPr>
        <w:footnoteRef/>
      </w:r>
      <w:r w:rsidRPr="00F32CD4">
        <w:t xml:space="preserve"> </w:t>
      </w:r>
      <w:r w:rsidRPr="00F32CD4">
        <w:rPr>
          <w:rFonts w:eastAsia="Verdana" w:cs="Verdana"/>
        </w:rPr>
        <w:t>Professor Marie Breen-Smyth, 'Report of the Independent Reviewer Justice and Security (NI) Act 2007: Fourteenth Report - 1 August 2020-31 July 2021' (NIO, 2022), a</w:t>
      </w:r>
      <w:r w:rsidR="001F658B">
        <w:rPr>
          <w:rFonts w:eastAsia="Verdana" w:cs="Verdana"/>
        </w:rPr>
        <w:t>t</w:t>
      </w:r>
      <w:r w:rsidR="00AF4849" w:rsidRPr="00F32CD4">
        <w:rPr>
          <w:rFonts w:eastAsia="Verdana" w:cs="Verdana"/>
        </w:rPr>
        <w:t xml:space="preserve"> 6.8 – 6.10.</w:t>
      </w:r>
    </w:p>
  </w:footnote>
  <w:footnote w:id="69">
    <w:p w14:paraId="2F49644C" w14:textId="694BC823" w:rsidR="001F1E1E" w:rsidRPr="00F32CD4" w:rsidRDefault="001F1E1E" w:rsidP="007C17F8">
      <w:pPr>
        <w:pStyle w:val="NIHRCFootnotes0"/>
      </w:pPr>
      <w:r w:rsidRPr="00F32CD4">
        <w:rPr>
          <w:rStyle w:val="FootnoteReference"/>
        </w:rPr>
        <w:footnoteRef/>
      </w:r>
      <w:r w:rsidRPr="00F32CD4">
        <w:t xml:space="preserve"> </w:t>
      </w:r>
      <w:r w:rsidR="001F658B">
        <w:rPr>
          <w:rFonts w:eastAsia="Verdana" w:cs="Verdana"/>
        </w:rPr>
        <w:t>Ibid.</w:t>
      </w:r>
    </w:p>
  </w:footnote>
  <w:footnote w:id="70">
    <w:p w14:paraId="77EA29B0" w14:textId="5AB340F7" w:rsidR="003140A2" w:rsidRPr="00FC3184" w:rsidRDefault="003140A2" w:rsidP="007C17F8">
      <w:pPr>
        <w:pStyle w:val="NIHRCFootnotes0"/>
        <w:rPr>
          <w:color w:val="7030A0"/>
        </w:rPr>
      </w:pPr>
      <w:r w:rsidRPr="00F32CD4">
        <w:rPr>
          <w:rStyle w:val="FootnoteReference"/>
        </w:rPr>
        <w:footnoteRef/>
      </w:r>
      <w:r w:rsidRPr="00F32CD4">
        <w:t xml:space="preserve"> </w:t>
      </w:r>
      <w:r w:rsidRPr="00F32CD4">
        <w:rPr>
          <w:rFonts w:eastAsia="Verdana" w:cs="Verdana"/>
          <w:i/>
        </w:rPr>
        <w:t>In the Matter of an application by Stephen Ramsey (No 2)</w:t>
      </w:r>
      <w:r w:rsidRPr="00F32CD4">
        <w:rPr>
          <w:rFonts w:eastAsia="Verdana" w:cs="Verdana"/>
        </w:rPr>
        <w:t xml:space="preserve"> [2020] NICA 14, at 55-58; Professor Marie Breen-Smyth, 'Report of the Independent Reviewer Justice and Security (NI) Act 2007: Fourteenth Report - 1 August 2020-31 July 2021' (NIO, 2022).</w:t>
      </w:r>
    </w:p>
  </w:footnote>
  <w:footnote w:id="71">
    <w:p w14:paraId="3F86E0E0" w14:textId="07094A26" w:rsidR="00FC3184" w:rsidRPr="00F32CD4" w:rsidRDefault="00FC3184" w:rsidP="007C17F8">
      <w:pPr>
        <w:pStyle w:val="NIHRCFootnotes0"/>
      </w:pPr>
      <w:r w:rsidRPr="00F32CD4">
        <w:rPr>
          <w:rStyle w:val="FootnoteReference"/>
          <w:rFonts w:eastAsiaTheme="majorEastAsia"/>
        </w:rPr>
        <w:footnoteRef/>
      </w:r>
      <w:r w:rsidRPr="00F32CD4">
        <w:t xml:space="preserve"> </w:t>
      </w:r>
      <w:r w:rsidR="00944656">
        <w:t>Section 44, Youth Justice and Criminal Evidence Act 1999.</w:t>
      </w:r>
      <w:r w:rsidRPr="00F32CD4">
        <w:t xml:space="preserve"> This provision applies in England, </w:t>
      </w:r>
      <w:proofErr w:type="gramStart"/>
      <w:r w:rsidRPr="00F32CD4">
        <w:t>Wales</w:t>
      </w:r>
      <w:proofErr w:type="gramEnd"/>
      <w:r w:rsidRPr="00F32CD4">
        <w:t xml:space="preserve"> and NI.</w:t>
      </w:r>
    </w:p>
  </w:footnote>
  <w:footnote w:id="72">
    <w:p w14:paraId="7A1241B6" w14:textId="7CD2471C" w:rsidR="009C1EA9" w:rsidRPr="00F32CD4" w:rsidRDefault="009C1EA9" w:rsidP="007C17F8">
      <w:pPr>
        <w:pStyle w:val="NIHRCFootnotes0"/>
      </w:pPr>
      <w:r w:rsidRPr="00F32CD4">
        <w:rPr>
          <w:rStyle w:val="FootnoteReference"/>
        </w:rPr>
        <w:footnoteRef/>
      </w:r>
      <w:r w:rsidRPr="00F32CD4">
        <w:t xml:space="preserve"> Employers for Childcare, </w:t>
      </w:r>
      <w:r w:rsidR="001F6CAF">
        <w:t>‘NI</w:t>
      </w:r>
      <w:r w:rsidRPr="00F32CD4">
        <w:t xml:space="preserve"> Childcare Survey 2021' (</w:t>
      </w:r>
      <w:proofErr w:type="spellStart"/>
      <w:r w:rsidR="001F6CAF">
        <w:t>EfC</w:t>
      </w:r>
      <w:proofErr w:type="spellEnd"/>
      <w:r w:rsidRPr="00F32CD4">
        <w:t>, 2021).</w:t>
      </w:r>
    </w:p>
  </w:footnote>
  <w:footnote w:id="73">
    <w:p w14:paraId="296FE5A5" w14:textId="0DDE20FE" w:rsidR="009C1EA9" w:rsidRPr="00F32CD4" w:rsidRDefault="009C1EA9" w:rsidP="007C17F8">
      <w:pPr>
        <w:pStyle w:val="NIHRCFootnotes0"/>
      </w:pPr>
      <w:r w:rsidRPr="00F32CD4">
        <w:rPr>
          <w:rStyle w:val="FootnoteReference"/>
        </w:rPr>
        <w:footnoteRef/>
      </w:r>
      <w:r w:rsidRPr="00F32CD4">
        <w:t xml:space="preserve"> </w:t>
      </w:r>
      <w:r w:rsidR="001F658B">
        <w:t>Ibid.</w:t>
      </w:r>
    </w:p>
  </w:footnote>
  <w:footnote w:id="74">
    <w:p w14:paraId="4360C82B" w14:textId="4C7490C8" w:rsidR="00FC3184" w:rsidRPr="00FC3184" w:rsidRDefault="00FC3184" w:rsidP="007C17F8">
      <w:pPr>
        <w:pStyle w:val="NIHRCFootnotes0"/>
        <w:rPr>
          <w:color w:val="7030A0"/>
        </w:rPr>
      </w:pPr>
      <w:r w:rsidRPr="00F32CD4">
        <w:rPr>
          <w:rStyle w:val="FootnoteReference"/>
          <w:rFonts w:eastAsiaTheme="majorEastAsia"/>
        </w:rPr>
        <w:footnoteRef/>
      </w:r>
      <w:r w:rsidRPr="00F32CD4">
        <w:rPr>
          <w:rFonts w:eastAsia="Verdana" w:cs="Verdana"/>
        </w:rPr>
        <w:t xml:space="preserve"> NI Office, 'New Decade</w:t>
      </w:r>
      <w:r w:rsidR="00B91AF5">
        <w:rPr>
          <w:rFonts w:eastAsia="Verdana" w:cs="Verdana"/>
        </w:rPr>
        <w:t>,</w:t>
      </w:r>
      <w:r w:rsidRPr="00F32CD4">
        <w:rPr>
          <w:rFonts w:eastAsia="Verdana" w:cs="Verdana"/>
        </w:rPr>
        <w:t xml:space="preserve"> New Approach' (NI</w:t>
      </w:r>
      <w:r w:rsidR="001F6CAF">
        <w:rPr>
          <w:rFonts w:eastAsia="Verdana" w:cs="Verdana"/>
        </w:rPr>
        <w:t>O</w:t>
      </w:r>
      <w:r w:rsidRPr="00F32CD4">
        <w:rPr>
          <w:rFonts w:eastAsia="Verdana" w:cs="Verdana"/>
        </w:rPr>
        <w:t>, 2020), at 40.</w:t>
      </w:r>
    </w:p>
  </w:footnote>
  <w:footnote w:id="75">
    <w:p w14:paraId="02024AAC" w14:textId="59CF5A0A" w:rsidR="00AA1516" w:rsidRDefault="00AA1516" w:rsidP="008F240E">
      <w:pPr>
        <w:pStyle w:val="NIHRCFootnotes0"/>
      </w:pPr>
      <w:r>
        <w:rPr>
          <w:rStyle w:val="FootnoteReference"/>
        </w:rPr>
        <w:footnoteRef/>
      </w:r>
      <w:r>
        <w:t xml:space="preserve"> </w:t>
      </w:r>
      <w:r w:rsidR="000E1A4E">
        <w:t xml:space="preserve">Childcare Act 2006; </w:t>
      </w:r>
      <w:r>
        <w:t xml:space="preserve">Children and Young People (Scotland) Act 2014. </w:t>
      </w:r>
    </w:p>
  </w:footnote>
  <w:footnote w:id="76">
    <w:p w14:paraId="20C1B477" w14:textId="77777777" w:rsidR="009B72A1" w:rsidRPr="00F32CD4" w:rsidRDefault="009B72A1" w:rsidP="007C17F8">
      <w:pPr>
        <w:pStyle w:val="NIHRCFootnotes0"/>
      </w:pPr>
      <w:r w:rsidRPr="00F32CD4">
        <w:rPr>
          <w:rStyle w:val="FootnoteReference"/>
        </w:rPr>
        <w:footnoteRef/>
      </w:r>
      <w:r w:rsidRPr="00F32CD4">
        <w:t xml:space="preserve"> </w:t>
      </w:r>
      <w:r>
        <w:t>UK Government,</w:t>
      </w:r>
      <w:r w:rsidRPr="00F32CD4">
        <w:t xml:space="preserve"> 'Help with childcare costs: 15 hours free childcare for 3 and 4-year-olds'. Available at: https://www.gov.uk/help-with-childcare-costs/free-childcare-and-education-for-2-to-4-year-olds</w:t>
      </w:r>
    </w:p>
  </w:footnote>
  <w:footnote w:id="77">
    <w:p w14:paraId="7B8DB4B9" w14:textId="77777777" w:rsidR="00EC1E58" w:rsidRPr="00F32CD4" w:rsidRDefault="00EC1E58" w:rsidP="007C17F8">
      <w:pPr>
        <w:pStyle w:val="NIHRCFootnotes0"/>
      </w:pPr>
      <w:r w:rsidRPr="00F32CD4">
        <w:rPr>
          <w:rStyle w:val="FootnoteReference"/>
        </w:rPr>
        <w:footnoteRef/>
      </w:r>
      <w:r w:rsidRPr="00F32CD4">
        <w:t xml:space="preserve"> </w:t>
      </w:r>
      <w:r>
        <w:t>UK Government,</w:t>
      </w:r>
      <w:r w:rsidRPr="00F32CD4">
        <w:t xml:space="preserve"> 'Help with childcare costs: 15 hours free childcare for 3 and 4-year-olds'. Available at: https://www.gov.uk/help-with-childcare-costs/free-childcare-and-education-for-2-to-4-year-olds</w:t>
      </w:r>
    </w:p>
  </w:footnote>
  <w:footnote w:id="78">
    <w:p w14:paraId="29CCA760" w14:textId="77777777" w:rsidR="003C7501" w:rsidRPr="00F32CD4" w:rsidRDefault="003C7501" w:rsidP="007C17F8">
      <w:pPr>
        <w:pStyle w:val="NIHRCFootnotes0"/>
      </w:pPr>
      <w:r w:rsidRPr="00F32CD4">
        <w:rPr>
          <w:rStyle w:val="FootnoteReference"/>
        </w:rPr>
        <w:footnoteRef/>
      </w:r>
      <w:r w:rsidRPr="00F32CD4">
        <w:t xml:space="preserve"> UK Government, 'Tax-Free Childcare'. Available at: https://www.gov.uk/tax-free-childcare.</w:t>
      </w:r>
    </w:p>
  </w:footnote>
  <w:footnote w:id="79">
    <w:p w14:paraId="2B3DDE20" w14:textId="77777777" w:rsidR="003C7501" w:rsidRPr="00F32CD4" w:rsidRDefault="003C7501" w:rsidP="007C17F8">
      <w:pPr>
        <w:pStyle w:val="NIHRCFootnotes0"/>
      </w:pPr>
      <w:r w:rsidRPr="00F32CD4">
        <w:rPr>
          <w:rStyle w:val="FootnoteReference"/>
        </w:rPr>
        <w:footnoteRef/>
      </w:r>
      <w:r w:rsidRPr="00F32CD4">
        <w:t xml:space="preserve"> UK Government, 'Tax-Free Childcare Statistics Commentary March 2022'. Available at: https://www.gov.uk/government/statistics/tax-free-childcare-statistics-march-2022/tax-free-childcare-statistics-commentary-march-2022.</w:t>
      </w:r>
    </w:p>
  </w:footnote>
  <w:footnote w:id="80">
    <w:p w14:paraId="2027B07A" w14:textId="1F845042" w:rsidR="00414166" w:rsidRDefault="00414166" w:rsidP="00D25302">
      <w:pPr>
        <w:pStyle w:val="NIHRCFootnotes0"/>
      </w:pPr>
      <w:r w:rsidRPr="0015600A">
        <w:rPr>
          <w:rStyle w:val="FootnoteReference"/>
        </w:rPr>
        <w:footnoteRef/>
      </w:r>
      <w:r w:rsidRPr="0015600A">
        <w:t xml:space="preserve"> </w:t>
      </w:r>
      <w:r w:rsidR="0073048C" w:rsidRPr="0015600A">
        <w:rPr>
          <w:rFonts w:eastAsia="Verdana" w:cs="Verdana"/>
        </w:rPr>
        <w:t xml:space="preserve">NI remains significantly outdated when compared to policy frameworks within the other UK jurisdictions. </w:t>
      </w:r>
      <w:proofErr w:type="gramStart"/>
      <w:r w:rsidR="0073048C" w:rsidRPr="001F658B">
        <w:rPr>
          <w:rFonts w:eastAsia="Verdana" w:cs="Verdana"/>
          <w:i/>
          <w:iCs/>
        </w:rPr>
        <w:t>See</w:t>
      </w:r>
      <w:r w:rsidR="0073048C" w:rsidRPr="0015600A">
        <w:rPr>
          <w:rFonts w:eastAsia="Verdana" w:cs="Verdana"/>
        </w:rPr>
        <w:t xml:space="preserve"> </w:t>
      </w:r>
      <w:r w:rsidRPr="0015600A">
        <w:t xml:space="preserve"> </w:t>
      </w:r>
      <w:r w:rsidR="001906BD">
        <w:t>Scottish</w:t>
      </w:r>
      <w:proofErr w:type="gramEnd"/>
      <w:r w:rsidR="001906BD">
        <w:t xml:space="preserve"> Government, ‘Best Start – </w:t>
      </w:r>
      <w:r w:rsidR="005829E7">
        <w:t>S</w:t>
      </w:r>
      <w:r w:rsidR="001906BD">
        <w:t xml:space="preserve">trategic </w:t>
      </w:r>
      <w:r w:rsidR="005829E7">
        <w:t>E</w:t>
      </w:r>
      <w:r w:rsidR="001906BD">
        <w:t xml:space="preserve">arly </w:t>
      </w:r>
      <w:r w:rsidR="005829E7">
        <w:t>L</w:t>
      </w:r>
      <w:r w:rsidR="001906BD">
        <w:t xml:space="preserve">earning and </w:t>
      </w:r>
      <w:r w:rsidR="005829E7">
        <w:t>S</w:t>
      </w:r>
      <w:r w:rsidR="001906BD">
        <w:t xml:space="preserve">chool </w:t>
      </w:r>
      <w:r w:rsidR="005829E7">
        <w:t>A</w:t>
      </w:r>
      <w:r w:rsidR="001906BD">
        <w:t xml:space="preserve">ge </w:t>
      </w:r>
      <w:r w:rsidR="005829E7">
        <w:t>C</w:t>
      </w:r>
      <w:r w:rsidR="001906BD">
        <w:t xml:space="preserve">hildcare </w:t>
      </w:r>
      <w:r w:rsidR="005829E7">
        <w:t>P</w:t>
      </w:r>
      <w:r w:rsidR="001906BD">
        <w:t>lan 2022</w:t>
      </w:r>
      <w:r w:rsidR="005829E7">
        <w:t>-</w:t>
      </w:r>
      <w:r w:rsidR="001906BD">
        <w:t>2026</w:t>
      </w:r>
      <w:r w:rsidR="00946D04">
        <w:t>’</w:t>
      </w:r>
      <w:r w:rsidR="003930F9">
        <w:t xml:space="preserve"> </w:t>
      </w:r>
      <w:r w:rsidR="006C35DC">
        <w:t>(</w:t>
      </w:r>
      <w:r w:rsidR="00152ABF">
        <w:t>Scottish Government,</w:t>
      </w:r>
      <w:r w:rsidR="006C35DC">
        <w:t xml:space="preserve"> 2022)</w:t>
      </w:r>
      <w:r w:rsidR="00152ABF">
        <w:t xml:space="preserve">; </w:t>
      </w:r>
      <w:r w:rsidR="0021537F">
        <w:t>Welsh Government, ‘Childcare, Play and Early Years Workforce Plan’ (Welsh Government, 2017)</w:t>
      </w:r>
      <w:r w:rsidR="00D25302">
        <w:t xml:space="preserve">; </w:t>
      </w:r>
      <w:r w:rsidR="00C93170">
        <w:t xml:space="preserve">UK </w:t>
      </w:r>
      <w:r w:rsidR="00C93170" w:rsidRPr="0015600A">
        <w:t>Government,</w:t>
      </w:r>
      <w:r w:rsidR="00E6566C" w:rsidRPr="0015600A">
        <w:t xml:space="preserve"> ‘Early Education</w:t>
      </w:r>
      <w:r w:rsidR="00E6566C">
        <w:t xml:space="preserve"> and Childcare Statutory Guidance for Local Authorities’ (UK Gov, 2018); UK Government, ‘</w:t>
      </w:r>
      <w:r w:rsidR="00905BDB">
        <w:t xml:space="preserve">Unlocking Talent, Fulfilling Potential: A </w:t>
      </w:r>
      <w:r w:rsidR="005829E7">
        <w:t>P</w:t>
      </w:r>
      <w:r w:rsidR="00905BDB">
        <w:t xml:space="preserve">lan for </w:t>
      </w:r>
      <w:r w:rsidR="005829E7">
        <w:t>I</w:t>
      </w:r>
      <w:r w:rsidR="00905BDB">
        <w:t xml:space="preserve">mproving </w:t>
      </w:r>
      <w:r w:rsidR="005829E7">
        <w:t>S</w:t>
      </w:r>
      <w:r w:rsidR="00905BDB">
        <w:t xml:space="preserve">ocial </w:t>
      </w:r>
      <w:r w:rsidR="005829E7">
        <w:t>M</w:t>
      </w:r>
      <w:r w:rsidR="00905BDB">
        <w:t xml:space="preserve">obility </w:t>
      </w:r>
      <w:r w:rsidR="005829E7">
        <w:t>T</w:t>
      </w:r>
      <w:r w:rsidR="00905BDB">
        <w:t xml:space="preserve">hrough </w:t>
      </w:r>
      <w:r w:rsidR="005829E7">
        <w:t>E</w:t>
      </w:r>
      <w:r w:rsidR="00905BDB">
        <w:t xml:space="preserve">ducation’ (DfE, 2017). </w:t>
      </w:r>
    </w:p>
  </w:footnote>
  <w:footnote w:id="81">
    <w:p w14:paraId="4E2E1D7F" w14:textId="77777777" w:rsidR="00A555E2" w:rsidRPr="009E7B75" w:rsidRDefault="00A555E2" w:rsidP="00A555E2">
      <w:pPr>
        <w:pStyle w:val="NIHRCFootnotes0"/>
      </w:pPr>
      <w:r w:rsidRPr="009E7B75">
        <w:rPr>
          <w:rStyle w:val="FootnoteReference"/>
          <w:rFonts w:eastAsiaTheme="majorEastAsia"/>
        </w:rPr>
        <w:footnoteRef/>
      </w:r>
      <w:r w:rsidRPr="009E7B75">
        <w:t xml:space="preserve"> NI Assembly Hansard, ‘Written Answers: Update on Childcare Strategy – Peter Weir MLA - AQO 507/17-22’, 24 July 2020.</w:t>
      </w:r>
    </w:p>
  </w:footnote>
  <w:footnote w:id="82">
    <w:p w14:paraId="5A2E5E76" w14:textId="59D11912" w:rsidR="00A555E2" w:rsidRPr="009E7B75" w:rsidRDefault="00A555E2" w:rsidP="00A555E2">
      <w:pPr>
        <w:pStyle w:val="NIHRCFootnotes0"/>
      </w:pPr>
      <w:r w:rsidRPr="009E7B75">
        <w:rPr>
          <w:rStyle w:val="FootnoteReference"/>
          <w:rFonts w:eastAsiaTheme="majorEastAsia"/>
        </w:rPr>
        <w:footnoteRef/>
      </w:r>
      <w:r w:rsidRPr="009E7B75">
        <w:t xml:space="preserve"> NI Assembly Hansard, 'Written Question: Review of Childcare Services - Nicola Brogan MLA - AQW 2465/22-27', 30 June 2022.</w:t>
      </w:r>
    </w:p>
  </w:footnote>
  <w:footnote w:id="83">
    <w:p w14:paraId="3FEAC017" w14:textId="0EA1A8E6" w:rsidR="00A555E2" w:rsidRPr="009E7B75" w:rsidRDefault="00A555E2" w:rsidP="00A555E2">
      <w:pPr>
        <w:pStyle w:val="NIHRCFootnotes0"/>
      </w:pPr>
      <w:r w:rsidRPr="009E7B75">
        <w:rPr>
          <w:rStyle w:val="FootnoteReference"/>
          <w:rFonts w:eastAsiaTheme="majorEastAsia"/>
        </w:rPr>
        <w:footnoteRef/>
      </w:r>
      <w:r w:rsidRPr="009E7B75">
        <w:t xml:space="preserve"> </w:t>
      </w:r>
      <w:r w:rsidR="001F658B">
        <w:t>Ibid.</w:t>
      </w:r>
    </w:p>
  </w:footnote>
  <w:footnote w:id="84">
    <w:p w14:paraId="73280DAF" w14:textId="77777777" w:rsidR="00077313" w:rsidRPr="00654887" w:rsidRDefault="00077313" w:rsidP="007C17F8">
      <w:pPr>
        <w:pStyle w:val="NIHRCFootnotes0"/>
      </w:pPr>
      <w:r w:rsidRPr="00654887">
        <w:rPr>
          <w:rStyle w:val="FootnoteReference"/>
        </w:rPr>
        <w:footnoteRef/>
      </w:r>
      <w:r w:rsidRPr="00654887">
        <w:t xml:space="preserve"> Rebecca Black, ‘Police Service NI to deploy spit and bite guards in custody suites’, </w:t>
      </w:r>
      <w:r w:rsidRPr="00654887">
        <w:rPr>
          <w:i/>
          <w:iCs/>
        </w:rPr>
        <w:t>Belfast Telegraph</w:t>
      </w:r>
      <w:r w:rsidRPr="00654887">
        <w:t>, 27 March 2020.</w:t>
      </w:r>
    </w:p>
  </w:footnote>
  <w:footnote w:id="85">
    <w:p w14:paraId="761582A0" w14:textId="0B98666A" w:rsidR="00122787" w:rsidRPr="000E50DD" w:rsidRDefault="00122787" w:rsidP="007C17F8">
      <w:pPr>
        <w:pStyle w:val="NIHRCFootnotes0"/>
      </w:pPr>
      <w:r w:rsidRPr="001F658B">
        <w:rPr>
          <w:rStyle w:val="FootnoteReference"/>
        </w:rPr>
        <w:footnoteRef/>
      </w:r>
      <w:r w:rsidRPr="000E50DD">
        <w:t xml:space="preserve"> ‘Spit and bite guards: P</w:t>
      </w:r>
      <w:r w:rsidR="00815F18">
        <w:t xml:space="preserve">olice </w:t>
      </w:r>
      <w:r w:rsidRPr="000E50DD">
        <w:t>S</w:t>
      </w:r>
      <w:r w:rsidR="00815F18">
        <w:t xml:space="preserve">ervice </w:t>
      </w:r>
      <w:r w:rsidRPr="000E50DD">
        <w:t xml:space="preserve">NI to use equipment as “permanent tactic”’, </w:t>
      </w:r>
      <w:r w:rsidRPr="00815F18">
        <w:rPr>
          <w:i/>
          <w:iCs/>
        </w:rPr>
        <w:t>BBC News</w:t>
      </w:r>
      <w:r w:rsidRPr="000E50DD">
        <w:t>, 6 June 2022</w:t>
      </w:r>
      <w:r w:rsidR="00D9411F">
        <w:t>.</w:t>
      </w:r>
    </w:p>
  </w:footnote>
  <w:footnote w:id="86">
    <w:p w14:paraId="3713867B" w14:textId="2A4A5C44" w:rsidR="00447B06" w:rsidRDefault="00447B06" w:rsidP="00576FE7">
      <w:pPr>
        <w:pStyle w:val="NIHRCFootnotes0"/>
      </w:pPr>
      <w:r>
        <w:rPr>
          <w:rStyle w:val="FootnoteReference"/>
        </w:rPr>
        <w:footnoteRef/>
      </w:r>
      <w:r>
        <w:t xml:space="preserve"> </w:t>
      </w:r>
      <w:r w:rsidR="00576FE7">
        <w:t>Police Service of NI, ‘</w:t>
      </w:r>
      <w:r w:rsidR="00815F18" w:rsidRPr="000E50DD">
        <w:t>P</w:t>
      </w:r>
      <w:r w:rsidR="00815F18">
        <w:t xml:space="preserve">olice </w:t>
      </w:r>
      <w:r w:rsidR="00815F18" w:rsidRPr="000E50DD">
        <w:t>S</w:t>
      </w:r>
      <w:r w:rsidR="00815F18">
        <w:t xml:space="preserve">ervice </w:t>
      </w:r>
      <w:r w:rsidR="00815F18" w:rsidRPr="000E50DD">
        <w:t>NI</w:t>
      </w:r>
      <w:r w:rsidR="00576FE7">
        <w:t xml:space="preserve"> Manual of Policy, Procedure and Guidance on Conflict Management</w:t>
      </w:r>
      <w:r w:rsidR="003E727A">
        <w:t xml:space="preserve"> - </w:t>
      </w:r>
      <w:r w:rsidR="00576FE7">
        <w:t>Chapter 16: Spit and Bite Guards’ (PSNI, 2022), a</w:t>
      </w:r>
      <w:r w:rsidR="00677FF7">
        <w:t>t 16.11.</w:t>
      </w:r>
    </w:p>
  </w:footnote>
  <w:footnote w:id="87">
    <w:p w14:paraId="57EFF786" w14:textId="77777777" w:rsidR="00D8416F" w:rsidRPr="000E50DD" w:rsidRDefault="00D8416F" w:rsidP="007C17F8">
      <w:pPr>
        <w:pStyle w:val="NIHRCFootnotes0"/>
      </w:pPr>
      <w:r w:rsidRPr="00A57116">
        <w:rPr>
          <w:rStyle w:val="FootnoteReference"/>
        </w:rPr>
        <w:footnoteRef/>
      </w:r>
      <w:r w:rsidRPr="000E50DD">
        <w:t xml:space="preserve"> Letter from Police Service NI to NI Human Rights Commission, 23 November 2020.</w:t>
      </w:r>
    </w:p>
  </w:footnote>
  <w:footnote w:id="88">
    <w:p w14:paraId="2BF7BDAD" w14:textId="06E39562" w:rsidR="00D8416F" w:rsidRPr="000E50DD" w:rsidRDefault="00D8416F" w:rsidP="007C17F8">
      <w:pPr>
        <w:pStyle w:val="NIHRCFootnotes0"/>
      </w:pPr>
      <w:r w:rsidRPr="00A57116">
        <w:rPr>
          <w:rStyle w:val="FootnoteReference"/>
        </w:rPr>
        <w:footnoteRef/>
      </w:r>
      <w:r w:rsidRPr="000E50DD">
        <w:t xml:space="preserve"> Police Ombudsman for NI, ‘The Police Ombudsman’s </w:t>
      </w:r>
      <w:r w:rsidR="00815F18">
        <w:t>R</w:t>
      </w:r>
      <w:r w:rsidRPr="000E50DD">
        <w:t xml:space="preserve">eview of the </w:t>
      </w:r>
      <w:r w:rsidR="00815F18">
        <w:t>D</w:t>
      </w:r>
      <w:r w:rsidRPr="000E50DD">
        <w:t xml:space="preserve">eployment of </w:t>
      </w:r>
      <w:r w:rsidR="00815F18">
        <w:t>S</w:t>
      </w:r>
      <w:r w:rsidRPr="000E50DD">
        <w:t xml:space="preserve">pit and </w:t>
      </w:r>
      <w:r w:rsidR="00815F18">
        <w:t>B</w:t>
      </w:r>
      <w:r w:rsidRPr="000E50DD">
        <w:t xml:space="preserve">ite </w:t>
      </w:r>
      <w:r w:rsidR="00815F18">
        <w:t>G</w:t>
      </w:r>
      <w:r w:rsidRPr="000E50DD">
        <w:t xml:space="preserve">uards </w:t>
      </w:r>
      <w:r w:rsidR="004D5E6F">
        <w:t>by</w:t>
      </w:r>
      <w:r w:rsidRPr="000E50DD">
        <w:t xml:space="preserve"> the Police Service of NI’ (PONI, 2021), at 37.</w:t>
      </w:r>
    </w:p>
  </w:footnote>
  <w:footnote w:id="89">
    <w:p w14:paraId="2544C88A" w14:textId="77777777" w:rsidR="004E6C4B" w:rsidRPr="00654887" w:rsidRDefault="004E6C4B" w:rsidP="007C17F8">
      <w:pPr>
        <w:pStyle w:val="NIHRCFootnotes0"/>
      </w:pPr>
      <w:r w:rsidRPr="00654887">
        <w:rPr>
          <w:rStyle w:val="FootnoteReference"/>
        </w:rPr>
        <w:footnoteRef/>
      </w:r>
      <w:r w:rsidRPr="00654887">
        <w:t xml:space="preserve"> NI Policing Board, ‘A Review of Police Service NI's Use of Spit and Bite Guards by the NI Policing Board's Human Rights Advisor’ (NIPB, 2022), at 41.</w:t>
      </w:r>
    </w:p>
  </w:footnote>
  <w:footnote w:id="90">
    <w:p w14:paraId="6DB01F24" w14:textId="3A104B7B" w:rsidR="00817775" w:rsidRPr="000E50DD" w:rsidRDefault="00817775" w:rsidP="007C17F8">
      <w:pPr>
        <w:pStyle w:val="NIHRCFootnotes0"/>
      </w:pPr>
      <w:r w:rsidRPr="000E50DD">
        <w:rPr>
          <w:rStyle w:val="FootnoteReference"/>
        </w:rPr>
        <w:footnoteRef/>
      </w:r>
      <w:r w:rsidRPr="000E50DD">
        <w:t xml:space="preserve"> Police Service NI, ‘Use of </w:t>
      </w:r>
      <w:r w:rsidR="00815F18">
        <w:t>F</w:t>
      </w:r>
      <w:r w:rsidRPr="000E50DD">
        <w:t xml:space="preserve">orce by the </w:t>
      </w:r>
      <w:r w:rsidR="00815F18">
        <w:t>P</w:t>
      </w:r>
      <w:r w:rsidRPr="000E50DD">
        <w:t>olice in NI’, (PSNI, 2022), at 15.</w:t>
      </w:r>
    </w:p>
  </w:footnote>
  <w:footnote w:id="91">
    <w:p w14:paraId="49BF1A20" w14:textId="77777777" w:rsidR="00FE3728" w:rsidRPr="0050567D" w:rsidRDefault="00FE3728" w:rsidP="007C17F8">
      <w:pPr>
        <w:pStyle w:val="NIHRCFootnotes0"/>
      </w:pPr>
      <w:r w:rsidRPr="000E50DD">
        <w:rPr>
          <w:rStyle w:val="FootnoteReference"/>
        </w:rPr>
        <w:footnoteRef/>
      </w:r>
      <w:r w:rsidRPr="000E50DD">
        <w:t xml:space="preserve"> Letter from Police Service NI Assistant Chief Constable to NI Human Rights Commission, 15 June 2022.</w:t>
      </w:r>
    </w:p>
  </w:footnote>
  <w:footnote w:id="92">
    <w:p w14:paraId="0FB8F367" w14:textId="413C7143" w:rsidR="0050567D" w:rsidRPr="000E50DD" w:rsidRDefault="0050567D" w:rsidP="007C17F8">
      <w:pPr>
        <w:pStyle w:val="NIHRCFootnotes0"/>
      </w:pPr>
      <w:r w:rsidRPr="000E50DD">
        <w:rPr>
          <w:rStyle w:val="FootnoteReference"/>
        </w:rPr>
        <w:footnoteRef/>
      </w:r>
      <w:r w:rsidRPr="000E50DD">
        <w:t xml:space="preserve"> Strip searches involve the removal of clothing and can include exposure of intimate body parts.</w:t>
      </w:r>
    </w:p>
  </w:footnote>
  <w:footnote w:id="93">
    <w:p w14:paraId="1497AF43" w14:textId="2937B043" w:rsidR="0050567D" w:rsidRPr="000E50DD" w:rsidRDefault="0050567D" w:rsidP="007C17F8">
      <w:pPr>
        <w:pStyle w:val="NIHRCFootnotes0"/>
      </w:pPr>
      <w:r w:rsidRPr="000E50DD">
        <w:rPr>
          <w:rStyle w:val="FootnoteReference"/>
        </w:rPr>
        <w:footnoteRef/>
      </w:r>
      <w:r w:rsidRPr="000E50DD">
        <w:t xml:space="preserve"> Rory Winters, 'P</w:t>
      </w:r>
      <w:r w:rsidR="00815F18">
        <w:t xml:space="preserve">olice </w:t>
      </w:r>
      <w:r w:rsidRPr="000E50DD">
        <w:t>S</w:t>
      </w:r>
      <w:r w:rsidR="00815F18">
        <w:t xml:space="preserve">ervice </w:t>
      </w:r>
      <w:r w:rsidRPr="000E50DD">
        <w:t xml:space="preserve">NI strip searching of under-18s is "deeply shocking"', </w:t>
      </w:r>
      <w:r w:rsidRPr="00815F18">
        <w:rPr>
          <w:i/>
          <w:iCs/>
        </w:rPr>
        <w:t>The Detail</w:t>
      </w:r>
      <w:r w:rsidRPr="000E50DD">
        <w:t>, 20 May 2022</w:t>
      </w:r>
      <w:r w:rsidR="00815F18">
        <w:t>.</w:t>
      </w:r>
    </w:p>
  </w:footnote>
  <w:footnote w:id="94">
    <w:p w14:paraId="0AD6223E" w14:textId="77777777" w:rsidR="00CB28D7" w:rsidRPr="00DB60AC" w:rsidRDefault="00CB28D7" w:rsidP="007C17F8">
      <w:pPr>
        <w:pStyle w:val="NIHRCFootnotes0"/>
      </w:pPr>
      <w:r w:rsidRPr="000E50DD">
        <w:rPr>
          <w:rStyle w:val="FootnoteReference"/>
        </w:rPr>
        <w:footnoteRef/>
      </w:r>
      <w:r w:rsidRPr="000E50DD">
        <w:t xml:space="preserve"> Children (Equal Protection from Assault) (Scotland) Act 2019; Children (Abolition of Defence of Reasonable Punishment) (Wales) Act 2020.</w:t>
      </w:r>
    </w:p>
  </w:footnote>
  <w:footnote w:id="95">
    <w:p w14:paraId="3B6DA8F9" w14:textId="77777777" w:rsidR="00F0579C" w:rsidRPr="00A33DED" w:rsidRDefault="00F0579C" w:rsidP="00F0579C">
      <w:pPr>
        <w:pStyle w:val="NIHRCFootnotes0"/>
      </w:pPr>
      <w:r w:rsidRPr="00A33DED">
        <w:rPr>
          <w:rStyle w:val="FootnoteReference"/>
        </w:rPr>
        <w:footnoteRef/>
      </w:r>
      <w:r w:rsidRPr="00A33DED">
        <w:t xml:space="preserve"> Email correspondence from the Department of Justice to the NI Human Rights Commission, 22 June 2022.</w:t>
      </w:r>
    </w:p>
  </w:footnote>
  <w:footnote w:id="96">
    <w:p w14:paraId="30572AFD" w14:textId="77777777" w:rsidR="00863E77" w:rsidRPr="00A33DED" w:rsidRDefault="00863E77" w:rsidP="007C17F8">
      <w:pPr>
        <w:pStyle w:val="NIHRCFootnotes0"/>
      </w:pPr>
      <w:r w:rsidRPr="00A33DED">
        <w:rPr>
          <w:rStyle w:val="FootnoteReference"/>
        </w:rPr>
        <w:footnoteRef/>
      </w:r>
      <w:r w:rsidRPr="00A33DED">
        <w:t xml:space="preserve"> NI Human Rights Commission, 'Advice to the Department of Justice: Domestic Abuse and Family Proceedings Bill' (NIHRC 2020); Oral Evidence of NI Human Rights Commission to the Committee for Justice, 2 July 2020.</w:t>
      </w:r>
    </w:p>
  </w:footnote>
  <w:footnote w:id="97">
    <w:p w14:paraId="7FFA97F8" w14:textId="3B3C0239" w:rsidR="002E7E36" w:rsidRPr="00A33DED" w:rsidRDefault="002E7E36" w:rsidP="00FE01D7">
      <w:pPr>
        <w:pStyle w:val="NIHRCFootnotes0"/>
      </w:pPr>
      <w:r w:rsidRPr="00A33DED">
        <w:rPr>
          <w:rStyle w:val="FootnoteReference"/>
        </w:rPr>
        <w:footnoteRef/>
      </w:r>
      <w:r w:rsidRPr="00A33DED">
        <w:t xml:space="preserve"> Police Service NI, ‘</w:t>
      </w:r>
      <w:r w:rsidR="00F34C56">
        <w:t>Domestic Abuse Incidents and Crimes Recorded by the Police in NI</w:t>
      </w:r>
      <w:r w:rsidRPr="00A33DED">
        <w:t>’ (PSNI, 2022), at 6.</w:t>
      </w:r>
    </w:p>
  </w:footnote>
  <w:footnote w:id="98">
    <w:p w14:paraId="731BD8AF" w14:textId="3AABE85A" w:rsidR="008108E1" w:rsidRDefault="008108E1" w:rsidP="00FE01D7">
      <w:pPr>
        <w:pStyle w:val="NIHRCFootnotes0"/>
      </w:pPr>
      <w:r>
        <w:rPr>
          <w:rStyle w:val="FootnoteReference"/>
        </w:rPr>
        <w:footnoteRef/>
      </w:r>
      <w:r>
        <w:t xml:space="preserve"> </w:t>
      </w:r>
      <w:r w:rsidR="0038660B">
        <w:t>Police Service NI, ‘</w:t>
      </w:r>
      <w:r w:rsidR="00FE01D7">
        <w:t>Domestic Abuse Incidents and Crimes Recorded by the Police in NI: Update to 20 June 2022’ (PSNI, 2022).</w:t>
      </w:r>
      <w:r w:rsidR="0038660B">
        <w:t xml:space="preserve"> </w:t>
      </w:r>
    </w:p>
  </w:footnote>
  <w:footnote w:id="99">
    <w:p w14:paraId="65C47295" w14:textId="77777777" w:rsidR="00920062" w:rsidRPr="00587BD0" w:rsidRDefault="00920062" w:rsidP="007C17F8">
      <w:pPr>
        <w:pStyle w:val="NIHRCFootnotes0"/>
      </w:pPr>
      <w:r w:rsidRPr="00587BD0">
        <w:rPr>
          <w:rStyle w:val="FootnoteReference"/>
        </w:rPr>
        <w:footnoteRef/>
      </w:r>
      <w:r w:rsidRPr="00587BD0">
        <w:t xml:space="preserve"> Female Genital Mutilation Act 2003; Serious Crimes Act 2015.</w:t>
      </w:r>
    </w:p>
  </w:footnote>
  <w:footnote w:id="100">
    <w:p w14:paraId="0CE22A46" w14:textId="77777777" w:rsidR="00CA5D3C" w:rsidRPr="00587BD0" w:rsidRDefault="00CA5D3C" w:rsidP="007C17F8">
      <w:pPr>
        <w:pStyle w:val="NIHRCFootnotes0"/>
      </w:pPr>
      <w:r w:rsidRPr="00587BD0">
        <w:rPr>
          <w:rStyle w:val="FootnoteReference"/>
        </w:rPr>
        <w:footnoteRef/>
      </w:r>
      <w:r w:rsidRPr="00587BD0">
        <w:t xml:space="preserve"> Email correspondence from Department of Health to NI Human Rights Commission, 5 October 2022.</w:t>
      </w:r>
    </w:p>
  </w:footnote>
  <w:footnote w:id="101">
    <w:p w14:paraId="30507143" w14:textId="4FB5BEE3" w:rsidR="00920062" w:rsidRPr="00587BD0" w:rsidRDefault="00920062" w:rsidP="007C17F8">
      <w:pPr>
        <w:pStyle w:val="NIHRCFootnotes0"/>
      </w:pPr>
      <w:r w:rsidRPr="00587BD0">
        <w:rPr>
          <w:rStyle w:val="FootnoteReference"/>
        </w:rPr>
        <w:footnoteRef/>
      </w:r>
      <w:r w:rsidRPr="00587BD0">
        <w:t xml:space="preserve"> NI Direct, ‘Female </w:t>
      </w:r>
      <w:r w:rsidR="00F34C56">
        <w:t>G</w:t>
      </w:r>
      <w:r w:rsidRPr="00587BD0">
        <w:t xml:space="preserve">enital </w:t>
      </w:r>
      <w:r w:rsidR="00F34C56">
        <w:t>M</w:t>
      </w:r>
      <w:r w:rsidRPr="00587BD0">
        <w:t>utilation’</w:t>
      </w:r>
      <w:r w:rsidR="00C517D3" w:rsidRPr="00587BD0">
        <w:t>. A</w:t>
      </w:r>
      <w:r w:rsidRPr="00587BD0">
        <w:t xml:space="preserve">vailable at: </w:t>
      </w:r>
      <w:r w:rsidR="00A33DED" w:rsidRPr="00A33DED">
        <w:t>https://www.nidirect.gov.uk/articles/female-genital-mutilation</w:t>
      </w:r>
    </w:p>
  </w:footnote>
  <w:footnote w:id="102">
    <w:p w14:paraId="21C399C7" w14:textId="3B1FB78B" w:rsidR="00DE6FD7" w:rsidRPr="00587BD0" w:rsidRDefault="00DE6FD7" w:rsidP="007C17F8">
      <w:pPr>
        <w:pStyle w:val="NIHRCFootnotes0"/>
      </w:pPr>
      <w:r w:rsidRPr="00587BD0">
        <w:rPr>
          <w:rStyle w:val="FootnoteReference"/>
        </w:rPr>
        <w:footnoteRef/>
      </w:r>
      <w:r w:rsidRPr="00587BD0">
        <w:t xml:space="preserve"> Email correspondence from Department of Health to NI Human Rights Commission, 5 October 2022.</w:t>
      </w:r>
    </w:p>
  </w:footnote>
  <w:footnote w:id="103">
    <w:p w14:paraId="4B030E9F" w14:textId="49CA687D" w:rsidR="001851EE" w:rsidRDefault="001851EE" w:rsidP="005C0F9F">
      <w:pPr>
        <w:pStyle w:val="NIHRCFootnotes0"/>
      </w:pPr>
      <w:r>
        <w:rPr>
          <w:rStyle w:val="FootnoteReference"/>
        </w:rPr>
        <w:footnoteRef/>
      </w:r>
      <w:r>
        <w:t xml:space="preserve"> New Step for African Community, ‘The Guardian Project’. Available at: </w:t>
      </w:r>
      <w:r w:rsidRPr="001851EE">
        <w:t>https://nestac.org.uk/programmes/vawg/the-guardian-project/</w:t>
      </w:r>
    </w:p>
  </w:footnote>
  <w:footnote w:id="104">
    <w:p w14:paraId="23150264" w14:textId="0B456634" w:rsidR="009F1EA1" w:rsidRPr="00EC701C" w:rsidRDefault="009F1EA1" w:rsidP="007C17F8">
      <w:pPr>
        <w:pStyle w:val="NIHRCFootnotes0"/>
      </w:pPr>
      <w:r w:rsidRPr="00EC701C">
        <w:rPr>
          <w:rStyle w:val="FootnoteReference"/>
        </w:rPr>
        <w:footnoteRef/>
      </w:r>
      <w:r w:rsidRPr="00EC701C">
        <w:t xml:space="preserve"> Department for Communities, ‘L</w:t>
      </w:r>
      <w:r w:rsidR="00C312F3">
        <w:t xml:space="preserve">esbian, Gay, Bisexual, Transgender, Queer (Or Questioning), Intersex + </w:t>
      </w:r>
      <w:r w:rsidRPr="00EC701C">
        <w:t xml:space="preserve">Strategy Expert Advisory Panel – Themes and </w:t>
      </w:r>
      <w:r w:rsidR="00C312F3">
        <w:t>R</w:t>
      </w:r>
      <w:r w:rsidRPr="00EC701C">
        <w:t>ecommendations’ (DfC, 2021).</w:t>
      </w:r>
    </w:p>
  </w:footnote>
  <w:footnote w:id="105">
    <w:p w14:paraId="618F54B6" w14:textId="2CBB3977" w:rsidR="00D80D88" w:rsidRPr="00EC701C" w:rsidRDefault="00D80D88" w:rsidP="007C17F8">
      <w:pPr>
        <w:pStyle w:val="NIHRCFootnotes0"/>
      </w:pPr>
      <w:r w:rsidRPr="00EC701C">
        <w:rPr>
          <w:rStyle w:val="FootnoteReference"/>
        </w:rPr>
        <w:footnoteRef/>
      </w:r>
      <w:r w:rsidRPr="00EC701C">
        <w:t xml:space="preserve"> </w:t>
      </w:r>
      <w:r w:rsidR="00D9411F">
        <w:t>Ibid.</w:t>
      </w:r>
    </w:p>
  </w:footnote>
  <w:footnote w:id="106">
    <w:p w14:paraId="4BEA405A" w14:textId="77777777" w:rsidR="00AA5D69" w:rsidRPr="00EC701C" w:rsidRDefault="00AA5D69" w:rsidP="007C17F8">
      <w:pPr>
        <w:pStyle w:val="NIHRCFootnotes0"/>
      </w:pPr>
      <w:r w:rsidRPr="00EC701C">
        <w:rPr>
          <w:rStyle w:val="FootnoteReference"/>
        </w:rPr>
        <w:footnoteRef/>
      </w:r>
      <w:r w:rsidRPr="00EC701C">
        <w:t xml:space="preserve"> Email correspondence from Department of Health to NI Human Rights Commission, 5 October 2022.</w:t>
      </w:r>
    </w:p>
  </w:footnote>
  <w:footnote w:id="107">
    <w:p w14:paraId="4B80B4F0" w14:textId="1165CAA5" w:rsidR="00E87B93" w:rsidRDefault="00E87B93" w:rsidP="007C17F8">
      <w:pPr>
        <w:pStyle w:val="NIHRCFootnotes0"/>
      </w:pPr>
      <w:r>
        <w:rPr>
          <w:rStyle w:val="FootnoteReference"/>
        </w:rPr>
        <w:footnoteRef/>
      </w:r>
      <w:r>
        <w:t xml:space="preserve"> </w:t>
      </w:r>
      <w:r w:rsidR="001E557D">
        <w:t>NI Human Rights Commission r</w:t>
      </w:r>
      <w:r w:rsidR="00AA5D69">
        <w:t>oundtable meeting with civil society organisations</w:t>
      </w:r>
      <w:r w:rsidR="001E557D">
        <w:t xml:space="preserve"> on UN CRC</w:t>
      </w:r>
      <w:r w:rsidR="00AA5D69">
        <w:t>, 11 August 2022.</w:t>
      </w:r>
    </w:p>
  </w:footnote>
  <w:footnote w:id="108">
    <w:p w14:paraId="3479E5AC" w14:textId="6A3F9063" w:rsidR="00DE3E05" w:rsidRPr="003D2502" w:rsidRDefault="00DE3E05" w:rsidP="007C17F8">
      <w:pPr>
        <w:pStyle w:val="NIHRCFootnotes0"/>
      </w:pPr>
      <w:r w:rsidRPr="00EC701C">
        <w:rPr>
          <w:rStyle w:val="FootnoteReference"/>
        </w:rPr>
        <w:footnoteRef/>
      </w:r>
      <w:r w:rsidRPr="00EC701C">
        <w:t xml:space="preserve"> Department of Education, 'Press Release: Schools to implement Addressing Bullying Act'</w:t>
      </w:r>
      <w:r w:rsidR="00C312F3">
        <w:t>,</w:t>
      </w:r>
      <w:r w:rsidRPr="00EC701C">
        <w:t xml:space="preserve"> 21 April 2021.</w:t>
      </w:r>
    </w:p>
  </w:footnote>
  <w:footnote w:id="109">
    <w:p w14:paraId="2A3F51B6" w14:textId="7435F37A" w:rsidR="00FC3184" w:rsidRPr="003C4A6A" w:rsidRDefault="00FC3184" w:rsidP="007C17F8">
      <w:pPr>
        <w:pStyle w:val="NIHRCFootnotes0"/>
      </w:pPr>
      <w:r w:rsidRPr="003C4A6A">
        <w:rPr>
          <w:rStyle w:val="FootnoteReference"/>
        </w:rPr>
        <w:footnoteRef/>
      </w:r>
      <w:r w:rsidRPr="003C4A6A">
        <w:t xml:space="preserve"> Public and Corporate Economic Consultants, ‘Department of Education: Post Primary School Experiences of 16-21 Year Olds’ (PACEC, 2016), at 3.</w:t>
      </w:r>
    </w:p>
  </w:footnote>
  <w:footnote w:id="110">
    <w:p w14:paraId="7E0C3315" w14:textId="377EE330" w:rsidR="006B23F5" w:rsidRPr="003C4A6A" w:rsidRDefault="006B23F5" w:rsidP="007C17F8">
      <w:pPr>
        <w:pStyle w:val="NIHRCFootnotes0"/>
      </w:pPr>
      <w:r w:rsidRPr="003C4A6A">
        <w:rPr>
          <w:rStyle w:val="FootnoteReference"/>
        </w:rPr>
        <w:footnoteRef/>
      </w:r>
      <w:r w:rsidRPr="003C4A6A">
        <w:t xml:space="preserve"> NI Statistics and Research Agency, </w:t>
      </w:r>
      <w:r w:rsidR="00C312F3">
        <w:t>‘NI</w:t>
      </w:r>
      <w:r w:rsidRPr="003C4A6A">
        <w:t xml:space="preserve"> Racial Equality Indicators Report: 2014-2019</w:t>
      </w:r>
      <w:r w:rsidR="00C312F3">
        <w:t>’</w:t>
      </w:r>
      <w:r w:rsidRPr="003C4A6A">
        <w:t xml:space="preserve"> (TEO, 2021), at 18.</w:t>
      </w:r>
    </w:p>
  </w:footnote>
  <w:footnote w:id="111">
    <w:p w14:paraId="09513D2F" w14:textId="45F23FD5" w:rsidR="00F92434" w:rsidRPr="003C4A6A" w:rsidRDefault="00F92434" w:rsidP="007C17F8">
      <w:pPr>
        <w:pStyle w:val="NIHRCFootnotes0"/>
      </w:pPr>
      <w:r w:rsidRPr="003C4A6A">
        <w:rPr>
          <w:rStyle w:val="FootnoteReference"/>
        </w:rPr>
        <w:footnoteRef/>
      </w:r>
      <w:r w:rsidRPr="003C4A6A">
        <w:t xml:space="preserve"> Police Service NI, ‘Police Recorded Security Situation Statistics: 1 March 2020 to 28 February 2021’ (PSNI, 2021). </w:t>
      </w:r>
    </w:p>
  </w:footnote>
  <w:footnote w:id="112">
    <w:p w14:paraId="0FA4B375" w14:textId="2598499F" w:rsidR="00EE0987" w:rsidRPr="007C4EB7" w:rsidRDefault="00EE0987" w:rsidP="007C17F8">
      <w:pPr>
        <w:pStyle w:val="NIHRCFootnotes0"/>
      </w:pPr>
      <w:r w:rsidRPr="007C4EB7">
        <w:rPr>
          <w:rStyle w:val="FootnoteReference"/>
        </w:rPr>
        <w:footnoteRef/>
      </w:r>
      <w:r w:rsidRPr="007C4EB7">
        <w:t xml:space="preserve"> Police Service NI, 'Police Recorded Security Situation Statistics - 1 April 2021 to 31 March 2022' (PSNI, 2022)</w:t>
      </w:r>
      <w:r w:rsidR="00D9411F">
        <w:t>.</w:t>
      </w:r>
    </w:p>
  </w:footnote>
  <w:footnote w:id="113">
    <w:p w14:paraId="7A3379CC" w14:textId="5BE662AE" w:rsidR="00FC3184" w:rsidRPr="003C4A6A" w:rsidRDefault="00FC3184" w:rsidP="007C17F8">
      <w:pPr>
        <w:pStyle w:val="NIHRCFootnotes0"/>
      </w:pPr>
      <w:r w:rsidRPr="003C4A6A">
        <w:rPr>
          <w:rStyle w:val="FootnoteReference"/>
        </w:rPr>
        <w:footnoteRef/>
      </w:r>
      <w:r w:rsidRPr="003C4A6A">
        <w:rPr>
          <w:rFonts w:eastAsia="Verdana" w:cs="Verdana"/>
        </w:rPr>
        <w:t xml:space="preserve"> NI Office, ‘New Decade, New Approach’ (NI Office, 2020), at 9.</w:t>
      </w:r>
    </w:p>
  </w:footnote>
  <w:footnote w:id="114">
    <w:p w14:paraId="23D47ABA" w14:textId="56278FB2" w:rsidR="00FC3184" w:rsidRPr="003C4A6A" w:rsidRDefault="00FC3184" w:rsidP="007C17F8">
      <w:pPr>
        <w:pStyle w:val="NIHRCFootnotes0"/>
      </w:pPr>
      <w:r w:rsidRPr="003C4A6A">
        <w:rPr>
          <w:rStyle w:val="FootnoteReference"/>
        </w:rPr>
        <w:footnoteRef/>
      </w:r>
      <w:r w:rsidRPr="003C4A6A">
        <w:rPr>
          <w:rFonts w:eastAsia="Verdana" w:cs="Verdana"/>
        </w:rPr>
        <w:t xml:space="preserve"> </w:t>
      </w:r>
      <w:r w:rsidR="00D9411F">
        <w:rPr>
          <w:rFonts w:eastAsia="Verdana" w:cs="Verdana"/>
        </w:rPr>
        <w:t>Ibid</w:t>
      </w:r>
      <w:r w:rsidRPr="003C4A6A">
        <w:rPr>
          <w:rFonts w:eastAsia="Verdana" w:cs="Verdana"/>
        </w:rPr>
        <w:t xml:space="preserve"> at 48 and 53.</w:t>
      </w:r>
    </w:p>
  </w:footnote>
  <w:footnote w:id="115">
    <w:p w14:paraId="15871E69" w14:textId="77777777" w:rsidR="00A50B94" w:rsidRPr="008C721C" w:rsidRDefault="00A50B94" w:rsidP="007C17F8">
      <w:pPr>
        <w:pStyle w:val="NIHRCFootnotes0"/>
      </w:pPr>
      <w:r w:rsidRPr="008C721C">
        <w:rPr>
          <w:rStyle w:val="FootnoteReference"/>
        </w:rPr>
        <w:footnoteRef/>
      </w:r>
      <w:r w:rsidRPr="008C721C">
        <w:t xml:space="preserve"> NI Assembly Hansard, ‘Briefing from the Tackling Paramilitary Activity, Criminality and Organised Crime Programme Team’, 1 July 2021.</w:t>
      </w:r>
    </w:p>
  </w:footnote>
  <w:footnote w:id="116">
    <w:p w14:paraId="7BA66461" w14:textId="6AAC1EF4" w:rsidR="00A50B94" w:rsidRPr="008C721C" w:rsidRDefault="00A50B94" w:rsidP="007C17F8">
      <w:pPr>
        <w:pStyle w:val="NIHRCFootnotes0"/>
      </w:pPr>
      <w:r w:rsidRPr="008C721C">
        <w:rPr>
          <w:rStyle w:val="FootnoteReference"/>
        </w:rPr>
        <w:footnoteRef/>
      </w:r>
      <w:r w:rsidRPr="008C721C">
        <w:t xml:space="preserve"> </w:t>
      </w:r>
      <w:r w:rsidR="00D9411F">
        <w:t>Ibid.</w:t>
      </w:r>
    </w:p>
  </w:footnote>
  <w:footnote w:id="117">
    <w:p w14:paraId="598CC0DC" w14:textId="682C71AC" w:rsidR="00AF694C" w:rsidRPr="008C721C" w:rsidRDefault="00AF694C" w:rsidP="007C17F8">
      <w:pPr>
        <w:pStyle w:val="NIHRCFootnotes0"/>
      </w:pPr>
      <w:r w:rsidRPr="008C721C">
        <w:rPr>
          <w:rStyle w:val="FootnoteReference"/>
        </w:rPr>
        <w:footnoteRef/>
      </w:r>
      <w:r w:rsidRPr="008C721C">
        <w:t xml:space="preserve"> Independent Reporting Commission, 'Press Release: Fourth Report of the Independent Reporting Commission' (IRC, 2021)</w:t>
      </w:r>
      <w:r w:rsidR="00D9411F">
        <w:t>.</w:t>
      </w:r>
    </w:p>
  </w:footnote>
  <w:footnote w:id="118">
    <w:p w14:paraId="30E67B5E" w14:textId="1302E507" w:rsidR="005E1E52" w:rsidRPr="008C721C" w:rsidRDefault="005E1E52" w:rsidP="007C17F8">
      <w:pPr>
        <w:pStyle w:val="NIHRCFootnotes0"/>
      </w:pPr>
      <w:r w:rsidRPr="008C721C">
        <w:rPr>
          <w:rStyle w:val="FootnoteReference"/>
        </w:rPr>
        <w:footnoteRef/>
      </w:r>
      <w:r w:rsidRPr="008C721C">
        <w:t xml:space="preserve"> </w:t>
      </w:r>
      <w:r w:rsidR="001E557D">
        <w:t>NI Human Rights Commission r</w:t>
      </w:r>
      <w:r w:rsidRPr="008C721C">
        <w:t>oundtable meeting with civil society organisations</w:t>
      </w:r>
      <w:r w:rsidR="001E557D">
        <w:t xml:space="preserve"> on UN CRC,</w:t>
      </w:r>
      <w:r w:rsidRPr="008C721C">
        <w:t xml:space="preserve"> 11 August 2022.</w:t>
      </w:r>
    </w:p>
  </w:footnote>
  <w:footnote w:id="119">
    <w:p w14:paraId="06C6A301" w14:textId="4FA49D1E" w:rsidR="007C5B91" w:rsidRPr="007C5B91" w:rsidRDefault="007C5B91" w:rsidP="003538BB">
      <w:pPr>
        <w:pStyle w:val="NIHRCFootnotes0"/>
      </w:pPr>
      <w:r w:rsidRPr="008C721C">
        <w:rPr>
          <w:rStyle w:val="FootnoteReference"/>
        </w:rPr>
        <w:footnoteRef/>
      </w:r>
      <w:r w:rsidRPr="008C721C">
        <w:t xml:space="preserve"> Email correspondence from Department of Health to NI Human Rights Commission, 5 October 2022.</w:t>
      </w:r>
    </w:p>
  </w:footnote>
  <w:footnote w:id="120">
    <w:p w14:paraId="3E2DB87F" w14:textId="6C1CCAFA" w:rsidR="003524D5" w:rsidRPr="003524D5" w:rsidRDefault="003524D5" w:rsidP="003538BB">
      <w:pPr>
        <w:pStyle w:val="NIHRCFootnotes0"/>
      </w:pPr>
      <w:r w:rsidRPr="003524D5">
        <w:rPr>
          <w:rStyle w:val="FootnoteReference"/>
        </w:rPr>
        <w:footnoteRef/>
      </w:r>
      <w:r w:rsidRPr="003524D5">
        <w:t xml:space="preserve"> </w:t>
      </w:r>
      <w:r w:rsidR="00A0595E">
        <w:t>NI Human Rights Commission r</w:t>
      </w:r>
      <w:r w:rsidRPr="003524D5">
        <w:t>oundtable meeting</w:t>
      </w:r>
      <w:r w:rsidR="00A0595E">
        <w:t>s</w:t>
      </w:r>
      <w:r w:rsidRPr="003524D5">
        <w:t xml:space="preserve"> with civil society organisations</w:t>
      </w:r>
      <w:r w:rsidR="00A0595E">
        <w:t xml:space="preserve"> on UN CRC</w:t>
      </w:r>
      <w:r w:rsidRPr="003524D5">
        <w:t xml:space="preserve">, 9 August </w:t>
      </w:r>
      <w:proofErr w:type="gramStart"/>
      <w:r w:rsidRPr="003524D5">
        <w:t>2022</w:t>
      </w:r>
      <w:proofErr w:type="gramEnd"/>
      <w:r w:rsidR="00A0595E">
        <w:t xml:space="preserve"> and </w:t>
      </w:r>
      <w:r w:rsidRPr="003524D5">
        <w:t>11 August 2022.</w:t>
      </w:r>
    </w:p>
  </w:footnote>
  <w:footnote w:id="121">
    <w:p w14:paraId="4AE5D27A" w14:textId="551172E9" w:rsidR="0084277F" w:rsidRDefault="0084277F" w:rsidP="003538BB">
      <w:pPr>
        <w:pStyle w:val="NIHRCFootnotes0"/>
      </w:pPr>
      <w:r>
        <w:rPr>
          <w:rStyle w:val="FootnoteReference"/>
        </w:rPr>
        <w:footnoteRef/>
      </w:r>
      <w:r>
        <w:t xml:space="preserve"> </w:t>
      </w:r>
      <w:r w:rsidR="00CF17E6">
        <w:t>NI Statistics and Research Agency, ‘Children’s Social Care Statistics for NI 2021/</w:t>
      </w:r>
      <w:r w:rsidR="000918D4">
        <w:t>20</w:t>
      </w:r>
      <w:r w:rsidR="00CF17E6">
        <w:t xml:space="preserve">22’ (NISRA, 2022), at </w:t>
      </w:r>
      <w:r w:rsidR="00634EBF">
        <w:t>7.</w:t>
      </w:r>
    </w:p>
  </w:footnote>
  <w:footnote w:id="122">
    <w:p w14:paraId="6F36251B" w14:textId="7002E158" w:rsidR="00C771B5" w:rsidRPr="008C721C" w:rsidRDefault="00C771B5" w:rsidP="003538BB">
      <w:pPr>
        <w:pStyle w:val="NIHRCFootnotes0"/>
      </w:pPr>
      <w:r w:rsidRPr="008C721C">
        <w:rPr>
          <w:rStyle w:val="FootnoteReference"/>
          <w:rFonts w:eastAsiaTheme="majorEastAsia"/>
        </w:rPr>
        <w:footnoteRef/>
      </w:r>
      <w:r w:rsidRPr="008C721C">
        <w:rPr>
          <w:rFonts w:eastAsia="Verdana" w:cs="Verdana"/>
        </w:rPr>
        <w:t xml:space="preserve"> </w:t>
      </w:r>
      <w:r w:rsidRPr="008C721C">
        <w:t xml:space="preserve">Department of Health and Department of Education, 'A Life Deserved: "Caring" for Children </w:t>
      </w:r>
      <w:r w:rsidR="000918D4">
        <w:t>and</w:t>
      </w:r>
      <w:r w:rsidRPr="008C721C">
        <w:t xml:space="preserve"> Young People in </w:t>
      </w:r>
      <w:r w:rsidR="000918D4">
        <w:t>NI</w:t>
      </w:r>
      <w:r w:rsidRPr="008C721C">
        <w:t>' (DoH and D</w:t>
      </w:r>
      <w:r w:rsidR="000918D4">
        <w:t>o</w:t>
      </w:r>
      <w:r w:rsidRPr="008C721C">
        <w:t>E, 2021)</w:t>
      </w:r>
      <w:r w:rsidR="000918D4">
        <w:t>.</w:t>
      </w:r>
    </w:p>
  </w:footnote>
  <w:footnote w:id="123">
    <w:p w14:paraId="411B8F00" w14:textId="2C1FA57A" w:rsidR="008C721C" w:rsidRPr="00425DB7" w:rsidRDefault="008C721C" w:rsidP="003538BB">
      <w:pPr>
        <w:pStyle w:val="NIHRCFootnotes0"/>
      </w:pPr>
      <w:r w:rsidRPr="008C721C">
        <w:rPr>
          <w:rStyle w:val="FootnoteReference"/>
        </w:rPr>
        <w:footnoteRef/>
      </w:r>
      <w:r w:rsidRPr="008C721C">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Pr="008C721C">
        <w:t xml:space="preserve">, 11 </w:t>
      </w:r>
      <w:r w:rsidRPr="00425DB7">
        <w:t>August 2022.</w:t>
      </w:r>
    </w:p>
  </w:footnote>
  <w:footnote w:id="124">
    <w:p w14:paraId="74E9F11F" w14:textId="34F368DE" w:rsidR="00764531" w:rsidRDefault="00764531" w:rsidP="003538BB">
      <w:pPr>
        <w:pStyle w:val="NIHRCFootnotes0"/>
      </w:pPr>
      <w:r w:rsidRPr="00425DB7">
        <w:rPr>
          <w:rStyle w:val="FootnoteReference"/>
        </w:rPr>
        <w:footnoteRef/>
      </w:r>
      <w:r w:rsidRPr="00425DB7">
        <w:t xml:space="preserve"> </w:t>
      </w:r>
      <w:r w:rsidR="00E479F1" w:rsidRPr="00425DB7">
        <w:t xml:space="preserve">Department of Health, ‘Independent Review of Children’s Social Care Services’. Available at: </w:t>
      </w:r>
      <w:r w:rsidR="00521A0F" w:rsidRPr="00425DB7">
        <w:t>https://www.health-ni.gov.uk/publications/indepe</w:t>
      </w:r>
      <w:r w:rsidR="00521A0F" w:rsidRPr="00521A0F">
        <w:t>ndent-review-childrens-social-care-services</w:t>
      </w:r>
      <w:r w:rsidR="00521A0F">
        <w:t>.</w:t>
      </w:r>
    </w:p>
  </w:footnote>
  <w:footnote w:id="125">
    <w:p w14:paraId="028F5FCB" w14:textId="4974FD86" w:rsidR="0097737D" w:rsidRPr="00425DB7" w:rsidRDefault="0097737D" w:rsidP="003538BB">
      <w:pPr>
        <w:pStyle w:val="NIHRCFootnotes0"/>
      </w:pPr>
      <w:r w:rsidRPr="00425DB7">
        <w:rPr>
          <w:rStyle w:val="FootnoteReference"/>
        </w:rPr>
        <w:footnoteRef/>
      </w:r>
      <w:r w:rsidRPr="00425DB7">
        <w:t xml:space="preserve"> </w:t>
      </w:r>
      <w:r w:rsidR="009329E9" w:rsidRPr="00425DB7">
        <w:t>Department of Health, ‘</w:t>
      </w:r>
      <w:r w:rsidR="00386EAE" w:rsidRPr="00425DB7">
        <w:t xml:space="preserve">October Newsletter: </w:t>
      </w:r>
      <w:r w:rsidR="00D32B6E" w:rsidRPr="00425DB7">
        <w:t>Children’s Social Care Services Northern Ireland’</w:t>
      </w:r>
      <w:r w:rsidR="00425DB7" w:rsidRPr="00425DB7">
        <w:t xml:space="preserve"> (DoH, 2022).</w:t>
      </w:r>
    </w:p>
  </w:footnote>
  <w:footnote w:id="126">
    <w:p w14:paraId="7442E102" w14:textId="30839114" w:rsidR="004641B4" w:rsidRDefault="004641B4" w:rsidP="007C17F8">
      <w:pPr>
        <w:pStyle w:val="NIHRCFootnotes0"/>
      </w:pPr>
      <w:r>
        <w:rPr>
          <w:rStyle w:val="FootnoteReference"/>
        </w:rPr>
        <w:footnoteRef/>
      </w:r>
      <w:r>
        <w:t xml:space="preserve"> Regulation 2201/2003/EU, ‘Council </w:t>
      </w:r>
      <w:r w:rsidR="00A64027">
        <w:t>R</w:t>
      </w:r>
      <w:r>
        <w:t xml:space="preserve">egulation </w:t>
      </w:r>
      <w:r w:rsidR="00A64027">
        <w:t>C</w:t>
      </w:r>
      <w:r>
        <w:t xml:space="preserve">oncerning </w:t>
      </w:r>
      <w:r w:rsidR="00A64027">
        <w:t>J</w:t>
      </w:r>
      <w:r>
        <w:t xml:space="preserve">urisdiction and the </w:t>
      </w:r>
      <w:r w:rsidR="00A64027">
        <w:t>R</w:t>
      </w:r>
      <w:r>
        <w:t xml:space="preserve">ecognition and </w:t>
      </w:r>
      <w:r w:rsidR="00A64027">
        <w:t>E</w:t>
      </w:r>
      <w:r>
        <w:t xml:space="preserve">nforcement of </w:t>
      </w:r>
      <w:r w:rsidR="00A64027">
        <w:t>J</w:t>
      </w:r>
      <w:r>
        <w:t xml:space="preserve">udgments in </w:t>
      </w:r>
      <w:r w:rsidR="00A64027">
        <w:t>M</w:t>
      </w:r>
      <w:r>
        <w:t xml:space="preserve">atrimonial </w:t>
      </w:r>
      <w:r w:rsidR="00A64027">
        <w:t>M</w:t>
      </w:r>
      <w:r>
        <w:t xml:space="preserve">atters and the </w:t>
      </w:r>
      <w:r w:rsidR="00A64027">
        <w:t>M</w:t>
      </w:r>
      <w:r>
        <w:t xml:space="preserve">atters of </w:t>
      </w:r>
      <w:r w:rsidR="00A64027">
        <w:t>P</w:t>
      </w:r>
      <w:r>
        <w:t xml:space="preserve">arental </w:t>
      </w:r>
      <w:r w:rsidR="00A64027">
        <w:t>R</w:t>
      </w:r>
      <w:r>
        <w:t xml:space="preserve">esponsibility (Brussels </w:t>
      </w:r>
      <w:proofErr w:type="spellStart"/>
      <w:r>
        <w:t>IIa</w:t>
      </w:r>
      <w:proofErr w:type="spellEnd"/>
      <w:r>
        <w:t>)’, 27 November 2003.</w:t>
      </w:r>
    </w:p>
  </w:footnote>
  <w:footnote w:id="127">
    <w:p w14:paraId="55F85EF4" w14:textId="2EA2F87B" w:rsidR="00213DBB" w:rsidRDefault="00213DBB" w:rsidP="00A632FE">
      <w:pPr>
        <w:pStyle w:val="NIHRCFootnotes0"/>
      </w:pPr>
      <w:r>
        <w:rPr>
          <w:rStyle w:val="FootnoteReference"/>
        </w:rPr>
        <w:footnoteRef/>
      </w:r>
      <w:r>
        <w:t xml:space="preserve"> </w:t>
      </w:r>
      <w:r w:rsidR="00F84524">
        <w:t>Letter from the NI Human Rights Commission to the Committee for Health, 17 January 2022.</w:t>
      </w:r>
    </w:p>
  </w:footnote>
  <w:footnote w:id="128">
    <w:p w14:paraId="709A3513" w14:textId="4C13476F" w:rsidR="00FC3184" w:rsidRPr="008C721C" w:rsidRDefault="00FC3184" w:rsidP="007C17F8">
      <w:pPr>
        <w:pStyle w:val="NIHRCFootnotes0"/>
      </w:pPr>
      <w:r w:rsidRPr="008C721C">
        <w:rPr>
          <w:rStyle w:val="FootnoteReference"/>
        </w:rPr>
        <w:footnoteRef/>
      </w:r>
      <w:r w:rsidRPr="008C721C">
        <w:t xml:space="preserve"> Department of Health, ‘Minimum Care Standards</w:t>
      </w:r>
      <w:r w:rsidR="00A64027">
        <w:t>:</w:t>
      </w:r>
      <w:r w:rsidRPr="008C721C">
        <w:t xml:space="preserve"> NI’ (DoH, 2019).</w:t>
      </w:r>
    </w:p>
  </w:footnote>
  <w:footnote w:id="129">
    <w:p w14:paraId="230361C9" w14:textId="110C926F" w:rsidR="00FC3184" w:rsidRPr="00E24AD8" w:rsidRDefault="00FC3184" w:rsidP="007C17F8">
      <w:pPr>
        <w:pStyle w:val="NIHRCFootnotes0"/>
      </w:pPr>
      <w:r w:rsidRPr="008C721C">
        <w:rPr>
          <w:rStyle w:val="FootnoteReference"/>
        </w:rPr>
        <w:footnoteRef/>
      </w:r>
      <w:r w:rsidRPr="008C721C">
        <w:t xml:space="preserve"> Regulation and Quality Improvement Authority, ‘Review of Statutory Fostering Services Overview Report’ (RQIA, 2013), at 1.1.</w:t>
      </w:r>
    </w:p>
  </w:footnote>
  <w:footnote w:id="130">
    <w:p w14:paraId="625F9F2E" w14:textId="6B8D3A12" w:rsidR="00587117" w:rsidRDefault="00587117" w:rsidP="007C17F8">
      <w:pPr>
        <w:pStyle w:val="NIHRCFootnotes0"/>
      </w:pPr>
      <w:r>
        <w:rPr>
          <w:rStyle w:val="FootnoteReference"/>
        </w:rPr>
        <w:footnoteRef/>
      </w:r>
      <w:r>
        <w:t xml:space="preserve"> </w:t>
      </w:r>
      <w:r w:rsidR="00BB1A88" w:rsidRPr="00BB1A88">
        <w:t>Fostering Services (England) Regulations 2011</w:t>
      </w:r>
      <w:r w:rsidR="00BB1A88">
        <w:t xml:space="preserve">; </w:t>
      </w:r>
      <w:r w:rsidR="00881C4A">
        <w:t>UK Government, ‘Fostering services: national minimum standards’, (UK Gov, 2011);</w:t>
      </w:r>
      <w:r w:rsidR="00800FB6">
        <w:t xml:space="preserve"> </w:t>
      </w:r>
      <w:r w:rsidR="002F222E">
        <w:t>L</w:t>
      </w:r>
      <w:r w:rsidR="002F222E" w:rsidRPr="002F222E">
        <w:t>ooked After Children (Scotland) Regulations 2009</w:t>
      </w:r>
      <w:r w:rsidR="002F222E">
        <w:t xml:space="preserve">; </w:t>
      </w:r>
      <w:r w:rsidR="00800FB6">
        <w:t xml:space="preserve">Scottish Government, ‘National Care Standards: </w:t>
      </w:r>
      <w:r w:rsidR="00A64027">
        <w:t>F</w:t>
      </w:r>
      <w:r w:rsidR="00800FB6">
        <w:t xml:space="preserve">oster </w:t>
      </w:r>
      <w:r w:rsidR="00A64027">
        <w:t>C</w:t>
      </w:r>
      <w:r w:rsidR="00800FB6">
        <w:t xml:space="preserve">are and </w:t>
      </w:r>
      <w:r w:rsidR="00A64027">
        <w:t>F</w:t>
      </w:r>
      <w:r w:rsidR="00800FB6">
        <w:t xml:space="preserve">amily </w:t>
      </w:r>
      <w:r w:rsidR="00A64027">
        <w:t>P</w:t>
      </w:r>
      <w:r w:rsidR="00800FB6">
        <w:t xml:space="preserve">lacement </w:t>
      </w:r>
      <w:r w:rsidR="00A64027">
        <w:t>S</w:t>
      </w:r>
      <w:r w:rsidR="00800FB6">
        <w:t xml:space="preserve">ervices’ (Scottish Government, </w:t>
      </w:r>
      <w:r w:rsidR="00967ACE">
        <w:t>2005)</w:t>
      </w:r>
      <w:r w:rsidR="009E7DA7">
        <w:t xml:space="preserve">; </w:t>
      </w:r>
      <w:r w:rsidR="00C228F1">
        <w:t xml:space="preserve">Regulated Fostering Services (Services Providers and Responsible Individuals) (Wales) Regulations 2019; </w:t>
      </w:r>
      <w:r w:rsidR="009E7DA7">
        <w:t>Welsh Government, ‘</w:t>
      </w:r>
      <w:r w:rsidR="003640BE">
        <w:t>National Minimum Standards for Fostering Services’ (Welsh Government, 2003</w:t>
      </w:r>
      <w:r w:rsidR="00C228F1">
        <w:t>).</w:t>
      </w:r>
    </w:p>
  </w:footnote>
  <w:footnote w:id="131">
    <w:p w14:paraId="5A77C776" w14:textId="77777777" w:rsidR="0097646F" w:rsidRPr="009E7B75" w:rsidRDefault="0097646F" w:rsidP="001F4B4E">
      <w:pPr>
        <w:pStyle w:val="NIHRCFootnotes0"/>
      </w:pPr>
      <w:r w:rsidRPr="009E7B75">
        <w:rPr>
          <w:rStyle w:val="FootnoteReference"/>
          <w:rFonts w:eastAsiaTheme="majorEastAsia"/>
        </w:rPr>
        <w:footnoteRef/>
      </w:r>
      <w:r w:rsidRPr="009E7B75">
        <w:t xml:space="preserve"> Part 2, UK-EU Withdrawal Agreement 2020.</w:t>
      </w:r>
    </w:p>
  </w:footnote>
  <w:footnote w:id="132">
    <w:p w14:paraId="1BF4AC9C" w14:textId="77777777" w:rsidR="00561F69" w:rsidRDefault="00561F69" w:rsidP="00E21511">
      <w:pPr>
        <w:pStyle w:val="NIHRCFootnotes0"/>
      </w:pPr>
      <w:r>
        <w:rPr>
          <w:rStyle w:val="FootnoteReference"/>
        </w:rPr>
        <w:footnoteRef/>
      </w:r>
      <w:r>
        <w:t xml:space="preserve"> The UK Government confirmed that late applications will be accepted where there are reasonable grounds for failing to meet the deadline.</w:t>
      </w:r>
    </w:p>
  </w:footnote>
  <w:footnote w:id="133">
    <w:p w14:paraId="6AA499EB" w14:textId="117998F7" w:rsidR="008D0F3C" w:rsidRPr="009E7B75" w:rsidRDefault="008D0F3C" w:rsidP="007C17F8">
      <w:pPr>
        <w:pStyle w:val="NIHRCFootnotes0"/>
      </w:pPr>
      <w:r w:rsidRPr="009E7B75">
        <w:rPr>
          <w:rStyle w:val="FootnoteReference"/>
          <w:rFonts w:eastAsiaTheme="majorEastAsia"/>
        </w:rPr>
        <w:footnoteRef/>
      </w:r>
      <w:r w:rsidRPr="009E7B75">
        <w:t xml:space="preserve"> Independent Monitoring Authority, '</w:t>
      </w:r>
      <w:r>
        <w:t xml:space="preserve">Press Release: </w:t>
      </w:r>
      <w:r w:rsidRPr="009E7B75">
        <w:t xml:space="preserve">Judicial Review </w:t>
      </w:r>
      <w:r>
        <w:t>C</w:t>
      </w:r>
      <w:r w:rsidRPr="009E7B75">
        <w:t xml:space="preserve">laim by </w:t>
      </w:r>
      <w:r>
        <w:t>I</w:t>
      </w:r>
      <w:r w:rsidR="00BF609F">
        <w:t xml:space="preserve">ndependent </w:t>
      </w:r>
      <w:r>
        <w:t>M</w:t>
      </w:r>
      <w:r w:rsidR="00BF609F">
        <w:t xml:space="preserve">onitoring </w:t>
      </w:r>
      <w:r>
        <w:t>A</w:t>
      </w:r>
      <w:r w:rsidR="00BF609F">
        <w:t>uthority</w:t>
      </w:r>
      <w:r>
        <w:t>’</w:t>
      </w:r>
      <w:r w:rsidRPr="009E7B75">
        <w:t>, 14 December 2021.</w:t>
      </w:r>
      <w:r w:rsidR="0097646F">
        <w:t xml:space="preserve">  This case was heard in the </w:t>
      </w:r>
      <w:r w:rsidR="00AA0CF6">
        <w:t xml:space="preserve">England and Wales </w:t>
      </w:r>
      <w:r w:rsidR="0097646F">
        <w:t xml:space="preserve">High Court in November 2022 and a judgment is awaited. </w:t>
      </w:r>
    </w:p>
  </w:footnote>
  <w:footnote w:id="134">
    <w:p w14:paraId="2642CFBE" w14:textId="77777777" w:rsidR="008D0F3C" w:rsidRPr="009E7B75" w:rsidRDefault="008D0F3C" w:rsidP="007C17F8">
      <w:pPr>
        <w:pStyle w:val="NIHRCFootnotes0"/>
      </w:pPr>
      <w:r w:rsidRPr="009E7B75">
        <w:rPr>
          <w:rStyle w:val="FootnoteReference"/>
          <w:rFonts w:eastAsiaTheme="majorEastAsia"/>
        </w:rPr>
        <w:footnoteRef/>
      </w:r>
      <w:r w:rsidRPr="009E7B75">
        <w:t xml:space="preserve"> Home Office, 'EU Settlement Scheme: EU, </w:t>
      </w:r>
      <w:r>
        <w:t>O</w:t>
      </w:r>
      <w:r w:rsidRPr="009E7B75">
        <w:t xml:space="preserve">ther EEA and Swiss </w:t>
      </w:r>
      <w:r>
        <w:t>C</w:t>
      </w:r>
      <w:r w:rsidRPr="009E7B75">
        <w:t xml:space="preserve">itizens and </w:t>
      </w:r>
      <w:r>
        <w:t>T</w:t>
      </w:r>
      <w:r w:rsidRPr="009E7B75">
        <w:t xml:space="preserve">heir </w:t>
      </w:r>
      <w:r>
        <w:t>F</w:t>
      </w:r>
      <w:r w:rsidRPr="009E7B75">
        <w:t xml:space="preserve">amily </w:t>
      </w:r>
      <w:r>
        <w:t>M</w:t>
      </w:r>
      <w:r w:rsidRPr="009E7B75">
        <w:t>embers’ (HO, 2021), at 31-34.</w:t>
      </w:r>
    </w:p>
  </w:footnote>
  <w:footnote w:id="135">
    <w:p w14:paraId="41A67FC0" w14:textId="329560B4" w:rsidR="00D66EF6" w:rsidRDefault="00D66EF6" w:rsidP="00E21511">
      <w:pPr>
        <w:pStyle w:val="NIHRCFootnotes0"/>
      </w:pPr>
      <w:r>
        <w:rPr>
          <w:rStyle w:val="FootnoteReference"/>
        </w:rPr>
        <w:footnoteRef/>
      </w:r>
      <w:r>
        <w:t xml:space="preserve"> </w:t>
      </w:r>
      <w:r w:rsidR="001944B2">
        <w:t>Children’s Law Centre, ‘Briefing on the Implications for EU families with Children Who Fail to Apply to the EU Settlement Scheme</w:t>
      </w:r>
      <w:r w:rsidR="00C54C49">
        <w:t xml:space="preserve">’ (CLC, 2021); </w:t>
      </w:r>
      <w:r w:rsidR="00D97A66">
        <w:t>The Children’s Society, ‘Looked After Children and the EU Settlement Scheme</w:t>
      </w:r>
      <w:r w:rsidR="00CA444D">
        <w:t xml:space="preserve">: An </w:t>
      </w:r>
      <w:r w:rsidR="00AA0CF6">
        <w:t>U</w:t>
      </w:r>
      <w:r w:rsidR="00CA444D">
        <w:t xml:space="preserve">pdate for </w:t>
      </w:r>
      <w:r w:rsidR="00AA0CF6">
        <w:t>L</w:t>
      </w:r>
      <w:r w:rsidR="00CA444D">
        <w:t xml:space="preserve">ocal </w:t>
      </w:r>
      <w:r w:rsidR="00AA0CF6">
        <w:t>A</w:t>
      </w:r>
      <w:r w:rsidR="00CA444D">
        <w:t xml:space="preserve">uthorities’ (The Children’s Society, 2021); </w:t>
      </w:r>
      <w:r w:rsidR="00C54C49">
        <w:t xml:space="preserve">Coram Children’s Legal Centre, ‘Uncertain </w:t>
      </w:r>
      <w:r w:rsidR="00AA0CF6">
        <w:t>F</w:t>
      </w:r>
      <w:r w:rsidR="00C54C49">
        <w:t xml:space="preserve">utures: </w:t>
      </w:r>
      <w:r w:rsidR="00AA0CF6">
        <w:t>T</w:t>
      </w:r>
      <w:r w:rsidR="00C54C49">
        <w:t xml:space="preserve">he EU </w:t>
      </w:r>
      <w:r w:rsidR="00AA0CF6">
        <w:t>S</w:t>
      </w:r>
      <w:r w:rsidR="00C54C49">
        <w:t xml:space="preserve">ettlement </w:t>
      </w:r>
      <w:r w:rsidR="00AA0CF6">
        <w:t>S</w:t>
      </w:r>
      <w:r w:rsidR="00C54C49">
        <w:t xml:space="preserve">cheme and </w:t>
      </w:r>
      <w:r w:rsidR="00AA0CF6">
        <w:t>C</w:t>
      </w:r>
      <w:r w:rsidR="00C54C49">
        <w:t xml:space="preserve">hildren and </w:t>
      </w:r>
      <w:r w:rsidR="00AA0CF6">
        <w:t>Y</w:t>
      </w:r>
      <w:r w:rsidR="00C54C49">
        <w:t xml:space="preserve">oung </w:t>
      </w:r>
      <w:r w:rsidR="00AA0CF6">
        <w:t>P</w:t>
      </w:r>
      <w:r w:rsidR="00C54C49">
        <w:t xml:space="preserve">eople’s </w:t>
      </w:r>
      <w:r w:rsidR="00AA0CF6">
        <w:t>R</w:t>
      </w:r>
      <w:r w:rsidR="00C54C49">
        <w:t xml:space="preserve">ight to </w:t>
      </w:r>
      <w:r w:rsidR="00AA0CF6">
        <w:t>R</w:t>
      </w:r>
      <w:r w:rsidR="00C54C49">
        <w:t>emain in the UK’ (</w:t>
      </w:r>
      <w:r w:rsidR="00013E8A">
        <w:t>CCLC, 20</w:t>
      </w:r>
      <w:r w:rsidR="00D97A66">
        <w:t>19</w:t>
      </w:r>
      <w:r w:rsidR="00013E8A">
        <w:t>)</w:t>
      </w:r>
      <w:r w:rsidR="00D97A66">
        <w:t>.</w:t>
      </w:r>
    </w:p>
  </w:footnote>
  <w:footnote w:id="136">
    <w:p w14:paraId="765D08E8" w14:textId="74921C19" w:rsidR="00E12E7C" w:rsidRDefault="00E12E7C" w:rsidP="00E21511">
      <w:pPr>
        <w:pStyle w:val="NIHRCFootnotes0"/>
      </w:pPr>
      <w:r>
        <w:rPr>
          <w:rStyle w:val="FootnoteReference"/>
        </w:rPr>
        <w:footnoteRef/>
      </w:r>
      <w:r>
        <w:t xml:space="preserve"> </w:t>
      </w:r>
      <w:r w:rsidR="00333814">
        <w:t>Independent Monitoring Authority, ‘Press Release: EU citizens watchdog takes steps to secure rights of looked after children and care leavers’</w:t>
      </w:r>
      <w:r w:rsidR="00F35426">
        <w:t>, 24 October 2022.</w:t>
      </w:r>
    </w:p>
  </w:footnote>
  <w:footnote w:id="137">
    <w:p w14:paraId="24B73C84" w14:textId="77777777" w:rsidR="00842517" w:rsidRPr="00D27F28" w:rsidRDefault="00842517" w:rsidP="007C17F8">
      <w:pPr>
        <w:pStyle w:val="NIHRCFootnotes0"/>
      </w:pPr>
      <w:r w:rsidRPr="00D27F28">
        <w:rPr>
          <w:rStyle w:val="FootnoteReference"/>
        </w:rPr>
        <w:footnoteRef/>
      </w:r>
      <w:r w:rsidRPr="00D27F28">
        <w:t xml:space="preserve"> Email </w:t>
      </w:r>
      <w:r>
        <w:t xml:space="preserve">correspondence </w:t>
      </w:r>
      <w:r w:rsidRPr="00D27F28">
        <w:t>from Police Service NI to NI Human Rights Commission, 16 June 2021</w:t>
      </w:r>
      <w:r>
        <w:t>.</w:t>
      </w:r>
    </w:p>
  </w:footnote>
  <w:footnote w:id="138">
    <w:p w14:paraId="24996687" w14:textId="5D900D9B" w:rsidR="00842517" w:rsidRPr="00BF7FEC" w:rsidRDefault="00842517" w:rsidP="007C17F8">
      <w:pPr>
        <w:pStyle w:val="NIHRCFootnotes0"/>
      </w:pPr>
      <w:r w:rsidRPr="00BF7FEC">
        <w:rPr>
          <w:rStyle w:val="FootnoteReference"/>
        </w:rPr>
        <w:footnoteRef/>
      </w:r>
      <w:r w:rsidRPr="00BF7FEC">
        <w:t xml:space="preserve"> NI Human Rights Commission, ‘</w:t>
      </w:r>
      <w:r>
        <w:t xml:space="preserve">The 2020 </w:t>
      </w:r>
      <w:r w:rsidRPr="00BF7FEC">
        <w:t>Annual Statemen</w:t>
      </w:r>
      <w:r>
        <w:t xml:space="preserve">t: Human Rights in </w:t>
      </w:r>
      <w:r w:rsidR="00AA0CF6">
        <w:t>NI</w:t>
      </w:r>
      <w:r w:rsidRPr="00BF7FEC">
        <w:t>’ (NIHRC, 2020)</w:t>
      </w:r>
      <w:r w:rsidR="00AA0CF6">
        <w:t>,</w:t>
      </w:r>
      <w:r w:rsidRPr="00BF7FEC">
        <w:t xml:space="preserve"> at 81.</w:t>
      </w:r>
    </w:p>
  </w:footnote>
  <w:footnote w:id="139">
    <w:p w14:paraId="2BFF02F7" w14:textId="7BC407EB" w:rsidR="00842517" w:rsidRPr="00E9024F" w:rsidRDefault="00842517" w:rsidP="007C17F8">
      <w:pPr>
        <w:pStyle w:val="NIHRCFootnotes0"/>
      </w:pPr>
      <w:r w:rsidRPr="00E9024F">
        <w:rPr>
          <w:rStyle w:val="FootnoteReference"/>
        </w:rPr>
        <w:footnoteRef/>
      </w:r>
      <w:r w:rsidRPr="00E9024F">
        <w:t xml:space="preserve"> NI Human Rights Commission, 'Submission to the UN </w:t>
      </w:r>
      <w:r w:rsidR="00AA0CF6">
        <w:t xml:space="preserve">CRC </w:t>
      </w:r>
      <w:r w:rsidR="00F5181E">
        <w:t>Committee</w:t>
      </w:r>
      <w:r w:rsidRPr="00E9024F">
        <w:t xml:space="preserve"> 88th Session on the Sixth Periodic Report of the </w:t>
      </w:r>
      <w:r w:rsidR="00AA0CF6">
        <w:t>UK</w:t>
      </w:r>
      <w:r w:rsidRPr="00E9024F">
        <w:t xml:space="preserve"> of Great Britain and </w:t>
      </w:r>
      <w:r w:rsidR="00AA0CF6">
        <w:t>NI</w:t>
      </w:r>
      <w:r w:rsidRPr="00E9024F">
        <w:t xml:space="preserve"> on </w:t>
      </w:r>
      <w:r w:rsidR="00AA0CF6">
        <w:t>C</w:t>
      </w:r>
      <w:r w:rsidRPr="00E9024F">
        <w:t xml:space="preserve">ompliance with the </w:t>
      </w:r>
      <w:r w:rsidR="00AA0CF6">
        <w:t>UN CRC</w:t>
      </w:r>
      <w:r w:rsidRPr="00E9024F">
        <w:t xml:space="preserve"> (List of Issues)' (NIHRC, 2020)</w:t>
      </w:r>
      <w:r>
        <w:t>.</w:t>
      </w:r>
    </w:p>
  </w:footnote>
  <w:footnote w:id="140">
    <w:p w14:paraId="712180DD" w14:textId="23E6FF4C" w:rsidR="00842517" w:rsidRPr="00D27F28" w:rsidRDefault="00842517" w:rsidP="007C17F8">
      <w:pPr>
        <w:pStyle w:val="NIHRCFootnotes0"/>
      </w:pPr>
      <w:r w:rsidRPr="00D27F28">
        <w:rPr>
          <w:rStyle w:val="FootnoteReference"/>
        </w:rPr>
        <w:footnoteRef/>
      </w:r>
      <w:r w:rsidRPr="00D27F28">
        <w:t xml:space="preserve"> Safeguarding Board for NI, ‘Getting Focused and Staying Focused, Looked After Children, Going Missing, and Child Sexual Exploitation</w:t>
      </w:r>
      <w:r w:rsidR="007C42DC">
        <w:t>:</w:t>
      </w:r>
      <w:r w:rsidRPr="00D27F28">
        <w:t xml:space="preserve"> A Thematic Review’ (QUB, 2015), at 25.</w:t>
      </w:r>
    </w:p>
  </w:footnote>
  <w:footnote w:id="141">
    <w:p w14:paraId="6BFF34DA" w14:textId="3AE7532A" w:rsidR="00DF5CFA" w:rsidRPr="00D555C9" w:rsidRDefault="00DF5CFA" w:rsidP="007C17F8">
      <w:pPr>
        <w:pStyle w:val="NIHRCFootnotes0"/>
      </w:pPr>
      <w:r w:rsidRPr="00D555C9">
        <w:rPr>
          <w:rStyle w:val="FootnoteReference"/>
        </w:rPr>
        <w:footnoteRef/>
      </w:r>
      <w:r w:rsidRPr="00D555C9">
        <w:t xml:space="preserve"> Home Office, 'New Plan for Immigration' (HO May 2017).</w:t>
      </w:r>
    </w:p>
  </w:footnote>
  <w:footnote w:id="142">
    <w:p w14:paraId="52595A81" w14:textId="103F14D3" w:rsidR="00F254D4" w:rsidRPr="009B7D02" w:rsidRDefault="00F254D4" w:rsidP="007C17F8">
      <w:pPr>
        <w:pStyle w:val="NIHRCFootnotes0"/>
      </w:pPr>
      <w:r w:rsidRPr="00D555C9">
        <w:rPr>
          <w:rStyle w:val="FootnoteReference"/>
        </w:rPr>
        <w:footnoteRef/>
      </w:r>
      <w:r w:rsidRPr="00D555C9">
        <w:t xml:space="preserve"> NI Human Rights Commission, ‘Response to </w:t>
      </w:r>
      <w:r w:rsidR="005F395A">
        <w:t>Public Consultation on the Home Office’s New Plan for Immigration</w:t>
      </w:r>
      <w:r w:rsidRPr="009B7D02">
        <w:t>’ (NIHRC, 2021).</w:t>
      </w:r>
    </w:p>
  </w:footnote>
  <w:footnote w:id="143">
    <w:p w14:paraId="5611C280" w14:textId="6F25D168" w:rsidR="00853EDA" w:rsidRPr="00FF6BB7" w:rsidRDefault="00853EDA" w:rsidP="007C17F8">
      <w:pPr>
        <w:pStyle w:val="NIHRCFootnotes0"/>
      </w:pPr>
      <w:r w:rsidRPr="00FF6BB7">
        <w:rPr>
          <w:rStyle w:val="FootnoteReference"/>
        </w:rPr>
        <w:footnoteRef/>
      </w:r>
      <w:r w:rsidRPr="00FF6BB7">
        <w:t xml:space="preserve"> </w:t>
      </w:r>
      <w:r w:rsidR="00733926" w:rsidRPr="00FF6BB7">
        <w:t xml:space="preserve">NI Human Rights Commission, ‘Response to Call for Evidence by the Joint Committee on Human Rights on the Nationality and Borders Bill’ (NIHRC, 2021), at </w:t>
      </w:r>
      <w:r w:rsidR="00FF6BB7" w:rsidRPr="00FF6BB7">
        <w:t xml:space="preserve">7.1–7.12. </w:t>
      </w:r>
    </w:p>
  </w:footnote>
  <w:footnote w:id="144">
    <w:p w14:paraId="6E87A0CF" w14:textId="33181402" w:rsidR="00EA240F" w:rsidRDefault="00EA240F" w:rsidP="00EA240F">
      <w:pPr>
        <w:pStyle w:val="NIHRCFootnotes0"/>
      </w:pPr>
      <w:r w:rsidRPr="009B7D02">
        <w:rPr>
          <w:rStyle w:val="FootnoteReference"/>
        </w:rPr>
        <w:footnoteRef/>
      </w:r>
      <w:r w:rsidRPr="009B7D02">
        <w:t xml:space="preserve"> </w:t>
      </w:r>
      <w:r w:rsidR="00D9411F">
        <w:t>Ibid</w:t>
      </w:r>
      <w:r>
        <w:t xml:space="preserve"> at paras 8.10</w:t>
      </w:r>
      <w:r w:rsidR="00D65874">
        <w:t>-</w:t>
      </w:r>
      <w:r>
        <w:t>8.13.</w:t>
      </w:r>
    </w:p>
  </w:footnote>
  <w:footnote w:id="145">
    <w:p w14:paraId="13246D50" w14:textId="085F485B" w:rsidR="00FC3184" w:rsidRPr="00BF6BBF" w:rsidRDefault="00FC3184" w:rsidP="007C17F8">
      <w:pPr>
        <w:pStyle w:val="NIHRCFootnotes0"/>
      </w:pPr>
      <w:r w:rsidRPr="00BF6BBF">
        <w:rPr>
          <w:rStyle w:val="FootnoteReference"/>
        </w:rPr>
        <w:footnoteRef/>
      </w:r>
      <w:r w:rsidRPr="00BF6BBF">
        <w:t xml:space="preserve"> Department for Communities, ‘Syrian Vulnerable Persons Relocation Scheme: Briefing Document – February 2020’ (DfC, 2020).</w:t>
      </w:r>
    </w:p>
  </w:footnote>
  <w:footnote w:id="146">
    <w:p w14:paraId="6D014EC4" w14:textId="386E2B5D" w:rsidR="00FC3184" w:rsidRPr="007D7550" w:rsidRDefault="00FC3184" w:rsidP="007C17F8">
      <w:pPr>
        <w:pStyle w:val="NIHRCFootnotes0"/>
      </w:pPr>
      <w:r w:rsidRPr="00BF6BBF">
        <w:rPr>
          <w:rStyle w:val="FootnoteReference"/>
        </w:rPr>
        <w:footnoteRef/>
      </w:r>
      <w:r w:rsidRPr="00BF6BBF">
        <w:t xml:space="preserve"> Arlene Robertson, ‘A New Life for Me: Integration Experiences of Syrian Refugee Children and Their Families’ (Barnardo’s, 2020).</w:t>
      </w:r>
    </w:p>
  </w:footnote>
  <w:footnote w:id="147">
    <w:p w14:paraId="7B69DBF1" w14:textId="01FB25D8" w:rsidR="009037F0" w:rsidRPr="007D7550" w:rsidRDefault="009037F0" w:rsidP="007C17F8">
      <w:pPr>
        <w:pStyle w:val="NIHRCFootnotes0"/>
      </w:pPr>
      <w:r w:rsidRPr="007D7550">
        <w:rPr>
          <w:rStyle w:val="FootnoteReference"/>
        </w:rPr>
        <w:footnoteRef/>
      </w:r>
      <w:r w:rsidRPr="007D7550">
        <w:t xml:space="preserve"> </w:t>
      </w:r>
      <w:r w:rsidR="00D65874">
        <w:t xml:space="preserve">House of Commons </w:t>
      </w:r>
      <w:r w:rsidRPr="007D7550">
        <w:t xml:space="preserve">NI Affairs Committee, 'The </w:t>
      </w:r>
      <w:r w:rsidR="00D65874">
        <w:t>E</w:t>
      </w:r>
      <w:r w:rsidRPr="007D7550">
        <w:t xml:space="preserve">xperiences of </w:t>
      </w:r>
      <w:r w:rsidR="00D65874">
        <w:t>M</w:t>
      </w:r>
      <w:r w:rsidRPr="007D7550">
        <w:t xml:space="preserve">inority </w:t>
      </w:r>
      <w:r w:rsidR="00D65874">
        <w:t>E</w:t>
      </w:r>
      <w:r w:rsidRPr="007D7550">
        <w:t xml:space="preserve">thnic and </w:t>
      </w:r>
      <w:r w:rsidR="00D65874">
        <w:t>M</w:t>
      </w:r>
      <w:r w:rsidRPr="007D7550">
        <w:t xml:space="preserve">igrant </w:t>
      </w:r>
      <w:r w:rsidR="00D65874">
        <w:t>P</w:t>
      </w:r>
      <w:r w:rsidRPr="007D7550">
        <w:t xml:space="preserve">eople in </w:t>
      </w:r>
      <w:r w:rsidR="00D65874">
        <w:t>NI</w:t>
      </w:r>
      <w:r w:rsidRPr="007D7550">
        <w:t>' (</w:t>
      </w:r>
      <w:proofErr w:type="spellStart"/>
      <w:r w:rsidRPr="007D7550">
        <w:t>H</w:t>
      </w:r>
      <w:r w:rsidR="00D65874">
        <w:t>o</w:t>
      </w:r>
      <w:r w:rsidRPr="007D7550">
        <w:t>C</w:t>
      </w:r>
      <w:proofErr w:type="spellEnd"/>
      <w:r w:rsidRPr="007D7550">
        <w:t>, 2022), a</w:t>
      </w:r>
      <w:r w:rsidR="00D9411F">
        <w:t>t</w:t>
      </w:r>
      <w:r w:rsidRPr="007D7550">
        <w:t xml:space="preserve"> 26.</w:t>
      </w:r>
    </w:p>
  </w:footnote>
  <w:footnote w:id="148">
    <w:p w14:paraId="67028F76" w14:textId="77777777" w:rsidR="007D7550" w:rsidRPr="007D7550" w:rsidRDefault="007D7550" w:rsidP="007C17F8">
      <w:pPr>
        <w:pStyle w:val="NIHRCFootnotes0"/>
      </w:pPr>
      <w:r w:rsidRPr="007D7550">
        <w:rPr>
          <w:rStyle w:val="FootnoteReference"/>
        </w:rPr>
        <w:footnoteRef/>
      </w:r>
      <w:r w:rsidRPr="007D7550">
        <w:t xml:space="preserve"> Executive Office, 'Press Release: Executive agrees to support Afghan refugees', 7 September 2021.</w:t>
      </w:r>
    </w:p>
  </w:footnote>
  <w:footnote w:id="149">
    <w:p w14:paraId="68468033" w14:textId="39711FAF" w:rsidR="007D7550" w:rsidRPr="007D7550" w:rsidRDefault="007D7550" w:rsidP="007C17F8">
      <w:pPr>
        <w:pStyle w:val="NIHRCFootnotes0"/>
      </w:pPr>
      <w:r w:rsidRPr="007D7550">
        <w:rPr>
          <w:rStyle w:val="FootnoteReference"/>
        </w:rPr>
        <w:footnoteRef/>
      </w:r>
      <w:r w:rsidRPr="007D7550">
        <w:t xml:space="preserve"> </w:t>
      </w:r>
      <w:r w:rsidR="0082314D">
        <w:t>Ibid.</w:t>
      </w:r>
    </w:p>
  </w:footnote>
  <w:footnote w:id="150">
    <w:p w14:paraId="73B118AA" w14:textId="77777777" w:rsidR="007D7550" w:rsidRPr="007D7550" w:rsidRDefault="007D7550" w:rsidP="007C17F8">
      <w:pPr>
        <w:pStyle w:val="NIHRCFootnotes0"/>
      </w:pPr>
      <w:r w:rsidRPr="007D7550">
        <w:rPr>
          <w:rStyle w:val="FootnoteReference"/>
        </w:rPr>
        <w:footnoteRef/>
      </w:r>
      <w:r w:rsidRPr="007D7550">
        <w:t xml:space="preserve"> Home Office, 'Guidance: Apply for a Ukraine Family Scheme visa'. Available at: https://www.gov.uk/guidance/apply-for-a-ukraine-family-scheme-visa.</w:t>
      </w:r>
    </w:p>
  </w:footnote>
  <w:footnote w:id="151">
    <w:p w14:paraId="6C0C206D" w14:textId="77777777" w:rsidR="007D7550" w:rsidRPr="007D7550" w:rsidRDefault="007D7550" w:rsidP="007C17F8">
      <w:pPr>
        <w:pStyle w:val="NIHRCFootnotes0"/>
      </w:pPr>
      <w:r w:rsidRPr="007D7550">
        <w:rPr>
          <w:rStyle w:val="FootnoteReference"/>
        </w:rPr>
        <w:footnoteRef/>
      </w:r>
      <w:r w:rsidRPr="007D7550">
        <w:t xml:space="preserve"> Home Office, 'Guidance: Apply for a visa under the Ukraine Sponsorship Scheme (Homes for Ukraine)'. Available at: https://www.gov.uk/guidance/apply-for-a-visa-under-the-ukraine-sponsorship-scheme.</w:t>
      </w:r>
    </w:p>
  </w:footnote>
  <w:footnote w:id="152">
    <w:p w14:paraId="2844DA61" w14:textId="77777777" w:rsidR="007D7550" w:rsidRPr="00D555C9" w:rsidRDefault="007D7550" w:rsidP="007C17F8">
      <w:pPr>
        <w:pStyle w:val="NIHRCFootnotes0"/>
      </w:pPr>
      <w:r w:rsidRPr="007D7550">
        <w:rPr>
          <w:rStyle w:val="FootnoteReference"/>
        </w:rPr>
        <w:footnoteRef/>
      </w:r>
      <w:r w:rsidRPr="007D7550">
        <w:t xml:space="preserve"> Email correspondence from the Executive Office to the NI Human Rights Commission, 22 August 2022.</w:t>
      </w:r>
    </w:p>
  </w:footnote>
  <w:footnote w:id="153">
    <w:p w14:paraId="372459EC" w14:textId="5A27D87E" w:rsidR="00355F03" w:rsidRPr="009E7B75" w:rsidRDefault="00355F03" w:rsidP="00355F03">
      <w:pPr>
        <w:pStyle w:val="NIHRCFootnotes0"/>
      </w:pPr>
      <w:r w:rsidRPr="009E7B75">
        <w:rPr>
          <w:rStyle w:val="FootnoteReference"/>
          <w:rFonts w:eastAsiaTheme="majorEastAsia"/>
        </w:rPr>
        <w:footnoteRef/>
      </w:r>
      <w:r w:rsidRPr="009E7B75">
        <w:t xml:space="preserve"> NI Direct, 'Ukraine assistance centres'. Available at: https://www.nidirect.gov.uk/articles/ukraine-assistance-centres</w:t>
      </w:r>
    </w:p>
  </w:footnote>
  <w:footnote w:id="154">
    <w:p w14:paraId="756E0ED0" w14:textId="336E0FE6" w:rsidR="0078558A" w:rsidRPr="00D222AC" w:rsidRDefault="0078558A" w:rsidP="00A0595E">
      <w:pPr>
        <w:pStyle w:val="NIHRCFootnotes0"/>
      </w:pPr>
      <w:r w:rsidRPr="00D222AC">
        <w:rPr>
          <w:rStyle w:val="FootnoteReference"/>
        </w:rPr>
        <w:footnoteRef/>
      </w:r>
      <w:r w:rsidRPr="00D222AC">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Pr="00D222AC">
        <w:t>, 11 August 2022.</w:t>
      </w:r>
    </w:p>
  </w:footnote>
  <w:footnote w:id="155">
    <w:p w14:paraId="3D23F54E" w14:textId="584259A4" w:rsidR="00D222AC" w:rsidRPr="00D222AC" w:rsidRDefault="00D222AC" w:rsidP="00A0595E">
      <w:pPr>
        <w:pStyle w:val="NIHRCFootnotes0"/>
      </w:pPr>
      <w:r w:rsidRPr="00D222AC">
        <w:rPr>
          <w:rStyle w:val="FootnoteReference"/>
        </w:rPr>
        <w:footnoteRef/>
      </w:r>
      <w:r w:rsidRPr="00D222AC">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Pr="00D222AC">
        <w:t>, 11 August 2022.</w:t>
      </w:r>
    </w:p>
  </w:footnote>
  <w:footnote w:id="156">
    <w:p w14:paraId="6771B128" w14:textId="77777777" w:rsidR="004C5AC1" w:rsidRPr="00D555C9" w:rsidRDefault="004C5AC1" w:rsidP="007C17F8">
      <w:pPr>
        <w:pStyle w:val="NIHRCFootnotes0"/>
      </w:pPr>
      <w:r w:rsidRPr="00D555C9">
        <w:rPr>
          <w:rStyle w:val="FootnoteReference"/>
        </w:rPr>
        <w:footnoteRef/>
      </w:r>
      <w:r w:rsidRPr="00D555C9">
        <w:t xml:space="preserve"> Email correspondence from the Executive Office to the NI Human Rights Commission, 22 August 2022.</w:t>
      </w:r>
    </w:p>
  </w:footnote>
  <w:footnote w:id="157">
    <w:p w14:paraId="0FA62EF7" w14:textId="2F2C0B22" w:rsidR="004C5AC1" w:rsidRPr="00D555C9" w:rsidRDefault="004C5AC1" w:rsidP="007C17F8">
      <w:pPr>
        <w:pStyle w:val="NIHRCFootnotes0"/>
      </w:pPr>
      <w:r w:rsidRPr="00D555C9">
        <w:rPr>
          <w:rStyle w:val="FootnoteReference"/>
        </w:rPr>
        <w:footnoteRef/>
      </w:r>
      <w:r w:rsidRPr="00D555C9">
        <w:t xml:space="preserve"> </w:t>
      </w:r>
      <w:r w:rsidR="0082314D">
        <w:t>Ibid.</w:t>
      </w:r>
    </w:p>
  </w:footnote>
  <w:footnote w:id="158">
    <w:p w14:paraId="0CF71641" w14:textId="0A78F3E0" w:rsidR="008C5D05" w:rsidRPr="00D555C9" w:rsidRDefault="008C5D05" w:rsidP="007C17F8">
      <w:pPr>
        <w:pStyle w:val="NIHRCFootnotes0"/>
      </w:pPr>
      <w:r w:rsidRPr="00D555C9">
        <w:rPr>
          <w:rStyle w:val="FootnoteReference"/>
        </w:rPr>
        <w:footnoteRef/>
      </w:r>
      <w:r w:rsidRPr="00D555C9">
        <w:t xml:space="preserve"> UK Government, 'Contracts Finder – Asylum Accommodation </w:t>
      </w:r>
      <w:r w:rsidR="00D65874">
        <w:t>and</w:t>
      </w:r>
      <w:r w:rsidRPr="00D555C9">
        <w:t xml:space="preserve"> Support Services Contract NI’</w:t>
      </w:r>
      <w:r w:rsidRPr="00BF1F96">
        <w:t>. Available at: https://www.contractsfinder.service.gov.uk/Notice/af043016-dd83-4308-8b3c-0d134a3a89c9</w:t>
      </w:r>
    </w:p>
  </w:footnote>
  <w:footnote w:id="159">
    <w:p w14:paraId="0AA1BCB8" w14:textId="646A226A" w:rsidR="00BD1AE3" w:rsidRPr="00D555C9" w:rsidRDefault="00BD1AE3" w:rsidP="007C17F8">
      <w:pPr>
        <w:pStyle w:val="NIHRCFootnotes0"/>
      </w:pPr>
      <w:r w:rsidRPr="00D555C9">
        <w:rPr>
          <w:rStyle w:val="FootnoteReference"/>
        </w:rPr>
        <w:footnoteRef/>
      </w:r>
      <w:r w:rsidRPr="00D555C9">
        <w:t xml:space="preserve"> Independent Chief Inspector of Borders and Immigration, 'An </w:t>
      </w:r>
      <w:r w:rsidR="00D65874">
        <w:t>I</w:t>
      </w:r>
      <w:r w:rsidRPr="00D555C9">
        <w:t xml:space="preserve">nspection of </w:t>
      </w:r>
      <w:r w:rsidR="00D65874">
        <w:t>C</w:t>
      </w:r>
      <w:r w:rsidRPr="00D555C9">
        <w:t xml:space="preserve">ontingency </w:t>
      </w:r>
      <w:r w:rsidR="00D65874">
        <w:t>A</w:t>
      </w:r>
      <w:r w:rsidRPr="00D555C9">
        <w:t xml:space="preserve">sylum </w:t>
      </w:r>
      <w:r w:rsidR="00D65874">
        <w:t>A</w:t>
      </w:r>
      <w:r w:rsidRPr="00D555C9">
        <w:t>ccommodation May 2021</w:t>
      </w:r>
      <w:r w:rsidR="00D65874">
        <w:t>-</w:t>
      </w:r>
      <w:r w:rsidRPr="00D555C9">
        <w:t>November 2021' (UK Gov, 2022).</w:t>
      </w:r>
    </w:p>
  </w:footnote>
  <w:footnote w:id="160">
    <w:p w14:paraId="7F1321D3" w14:textId="27A78C5A" w:rsidR="008F6D18" w:rsidRDefault="008F6D18" w:rsidP="00E1469E">
      <w:pPr>
        <w:pStyle w:val="NIHRCFootnotes0"/>
      </w:pPr>
      <w:r>
        <w:rPr>
          <w:rStyle w:val="FootnoteReference"/>
        </w:rPr>
        <w:footnoteRef/>
      </w:r>
      <w:r>
        <w:t xml:space="preserve"> Email correspondence from </w:t>
      </w:r>
      <w:r w:rsidR="00CC0860">
        <w:t xml:space="preserve">the Home Office to the NI Human Rights Commission, </w:t>
      </w:r>
      <w:r w:rsidR="00E1469E">
        <w:t>14 November 2022.</w:t>
      </w:r>
    </w:p>
  </w:footnote>
  <w:footnote w:id="161">
    <w:p w14:paraId="40E920D0" w14:textId="56D0E45D" w:rsidR="00831695" w:rsidRPr="00D555C9" w:rsidRDefault="00831695" w:rsidP="007C17F8">
      <w:pPr>
        <w:pStyle w:val="NIHRCFootnotes0"/>
      </w:pPr>
      <w:r w:rsidRPr="00D555C9">
        <w:rPr>
          <w:rStyle w:val="FootnoteReference"/>
        </w:rPr>
        <w:footnoteRef/>
      </w:r>
      <w:r w:rsidRPr="00D555C9">
        <w:t xml:space="preserve"> </w:t>
      </w:r>
      <w:r w:rsidR="00D65874" w:rsidRPr="00D555C9">
        <w:t xml:space="preserve">Independent Chief Inspector of Borders and Immigration, 'An </w:t>
      </w:r>
      <w:r w:rsidR="00D65874">
        <w:t>I</w:t>
      </w:r>
      <w:r w:rsidR="00D65874" w:rsidRPr="00D555C9">
        <w:t xml:space="preserve">nspection of </w:t>
      </w:r>
      <w:r w:rsidR="00D65874">
        <w:t>C</w:t>
      </w:r>
      <w:r w:rsidR="00D65874" w:rsidRPr="00D555C9">
        <w:t xml:space="preserve">ontingency </w:t>
      </w:r>
      <w:r w:rsidR="00D65874">
        <w:t>A</w:t>
      </w:r>
      <w:r w:rsidR="00D65874" w:rsidRPr="00D555C9">
        <w:t xml:space="preserve">sylum </w:t>
      </w:r>
      <w:r w:rsidR="00D65874">
        <w:t>A</w:t>
      </w:r>
      <w:r w:rsidR="00D65874" w:rsidRPr="00D555C9">
        <w:t>ccommodation May 2021</w:t>
      </w:r>
      <w:r w:rsidR="00D65874">
        <w:t>-</w:t>
      </w:r>
      <w:r w:rsidR="00D65874" w:rsidRPr="00D555C9">
        <w:t>November 2021' (UK Gov, 2022)</w:t>
      </w:r>
      <w:r w:rsidRPr="00D555C9">
        <w:t>, at 9.7 and 9.41.</w:t>
      </w:r>
    </w:p>
  </w:footnote>
  <w:footnote w:id="162">
    <w:p w14:paraId="4A8CAB31" w14:textId="706689DD" w:rsidR="00BA0D9D" w:rsidRPr="00616DB2" w:rsidRDefault="00BA0D9D" w:rsidP="00BA0D9D">
      <w:pPr>
        <w:pStyle w:val="NIHRCFootnotes0"/>
      </w:pPr>
      <w:r w:rsidRPr="00616DB2">
        <w:rPr>
          <w:rStyle w:val="FootnoteReference"/>
        </w:rPr>
        <w:footnoteRef/>
      </w:r>
      <w:r w:rsidRPr="00616DB2">
        <w:t xml:space="preserve"> Children’s Law Centre and South Tyrone Empowerment Programme, ‘Joint Submission to F</w:t>
      </w:r>
      <w:r w:rsidR="00D65874">
        <w:t>ramework Convention on the Protection of National Minorities</w:t>
      </w:r>
      <w:r w:rsidRPr="00616DB2">
        <w:t xml:space="preserve"> Advisory Committee: Rights of Asylum Seeker Children Living in Contingency Accommodation (Hotel Buildings) in NI, run by Mears Group PLC’ (CLC and STEP, 2022).</w:t>
      </w:r>
    </w:p>
  </w:footnote>
  <w:footnote w:id="163">
    <w:p w14:paraId="5090A863" w14:textId="0C17ADE9" w:rsidR="00C27983" w:rsidRPr="00616DB2" w:rsidRDefault="00C27983" w:rsidP="007C17F8">
      <w:pPr>
        <w:pStyle w:val="NIHRCFootnotes0"/>
      </w:pPr>
      <w:r w:rsidRPr="00616DB2">
        <w:rPr>
          <w:rStyle w:val="FootnoteReference"/>
        </w:rPr>
        <w:footnoteRef/>
      </w:r>
      <w:r w:rsidRPr="00616DB2">
        <w:t xml:space="preserve"> </w:t>
      </w:r>
      <w:r w:rsidR="0082314D">
        <w:t>Ibid.</w:t>
      </w:r>
    </w:p>
  </w:footnote>
  <w:footnote w:id="164">
    <w:p w14:paraId="1E06F443" w14:textId="1F16FD00" w:rsidR="00FC3184" w:rsidRPr="00616DB2" w:rsidRDefault="00FC3184" w:rsidP="007C17F8">
      <w:pPr>
        <w:pStyle w:val="NIHRCFootnotes0"/>
      </w:pPr>
      <w:r w:rsidRPr="00616DB2">
        <w:rPr>
          <w:rStyle w:val="FootnoteReference"/>
        </w:rPr>
        <w:footnoteRef/>
      </w:r>
      <w:r w:rsidRPr="00616DB2">
        <w:t xml:space="preserve"> Office of the First Minister and Deputy First Minister, ‘A Racial Equality Strategy for NI: 2005 – 2010’ (OFMDFM, 2005), at 4.48; Office of the First Minister and Deputy First Minister, ‘A Racial Equality Strategy for NI: 2015-2025’ (</w:t>
      </w:r>
      <w:proofErr w:type="spellStart"/>
      <w:r w:rsidRPr="00616DB2">
        <w:t>OFMdFM</w:t>
      </w:r>
      <w:proofErr w:type="spellEnd"/>
      <w:r w:rsidRPr="00616DB2">
        <w:t>, 2015), at 6.19.</w:t>
      </w:r>
    </w:p>
  </w:footnote>
  <w:footnote w:id="165">
    <w:p w14:paraId="590884D5" w14:textId="1B90324E" w:rsidR="00DC1A76" w:rsidRPr="006B43CA" w:rsidRDefault="00DC1A76" w:rsidP="007C17F8">
      <w:pPr>
        <w:pStyle w:val="NIHRCFootnotes0"/>
      </w:pPr>
      <w:r w:rsidRPr="006B43CA">
        <w:rPr>
          <w:rStyle w:val="FootnoteReference"/>
        </w:rPr>
        <w:footnoteRef/>
      </w:r>
      <w:r w:rsidRPr="006B43CA">
        <w:t xml:space="preserve"> The Executive Office, 'Refugee Integration Strategy Consultation Document' (TEO, 2021).</w:t>
      </w:r>
    </w:p>
  </w:footnote>
  <w:footnote w:id="166">
    <w:p w14:paraId="36DCB71F" w14:textId="66B24DA4" w:rsidR="00DC1A76" w:rsidRPr="00D74EBF" w:rsidRDefault="00DC1A76" w:rsidP="007C17F8">
      <w:pPr>
        <w:pStyle w:val="NIHRCFootnotes0"/>
      </w:pPr>
      <w:r w:rsidRPr="00D74EBF">
        <w:rPr>
          <w:rStyle w:val="FootnoteReference"/>
        </w:rPr>
        <w:footnoteRef/>
      </w:r>
      <w:r w:rsidRPr="00D74EBF">
        <w:t xml:space="preserve"> Fiona Murphy and Ulrike </w:t>
      </w:r>
      <w:proofErr w:type="spellStart"/>
      <w:r w:rsidRPr="00D74EBF">
        <w:t>Vieten</w:t>
      </w:r>
      <w:proofErr w:type="spellEnd"/>
      <w:r w:rsidRPr="00D74EBF">
        <w:t xml:space="preserve">, 'Asylum Seekers and Refugees' Experiences of Life in </w:t>
      </w:r>
      <w:r w:rsidR="008F3BBD">
        <w:t>NI’</w:t>
      </w:r>
      <w:r w:rsidRPr="00D74EBF">
        <w:t xml:space="preserve"> (QUB, 2017).</w:t>
      </w:r>
    </w:p>
  </w:footnote>
  <w:footnote w:id="167">
    <w:p w14:paraId="2794BB09" w14:textId="18919E46" w:rsidR="00C30AD6" w:rsidRPr="00D74EBF" w:rsidRDefault="00C30AD6" w:rsidP="007C17F8">
      <w:pPr>
        <w:pStyle w:val="NIHRCFootnotes0"/>
      </w:pPr>
      <w:r w:rsidRPr="00D74EBF">
        <w:rPr>
          <w:rStyle w:val="FootnoteReference"/>
        </w:rPr>
        <w:footnoteRef/>
      </w:r>
      <w:r w:rsidRPr="00D74EBF">
        <w:t xml:space="preserve"> </w:t>
      </w:r>
      <w:r w:rsidR="00B91AF5">
        <w:t xml:space="preserve">House of Commons </w:t>
      </w:r>
      <w:r w:rsidRPr="00D74EBF">
        <w:t xml:space="preserve">NI Affairs Committee, 'The </w:t>
      </w:r>
      <w:r w:rsidR="00B91AF5">
        <w:t>E</w:t>
      </w:r>
      <w:r w:rsidRPr="00D74EBF">
        <w:t xml:space="preserve">xperiences of </w:t>
      </w:r>
      <w:r w:rsidR="00B91AF5">
        <w:t>M</w:t>
      </w:r>
      <w:r w:rsidRPr="00D74EBF">
        <w:t xml:space="preserve">inority </w:t>
      </w:r>
      <w:r w:rsidR="00B91AF5">
        <w:t>E</w:t>
      </w:r>
      <w:r w:rsidRPr="00D74EBF">
        <w:t xml:space="preserve">thnic and </w:t>
      </w:r>
      <w:r w:rsidR="00B91AF5">
        <w:t>M</w:t>
      </w:r>
      <w:r w:rsidRPr="00D74EBF">
        <w:t xml:space="preserve">igrant </w:t>
      </w:r>
      <w:r w:rsidR="00B91AF5">
        <w:t>P</w:t>
      </w:r>
      <w:r w:rsidRPr="00D74EBF">
        <w:t xml:space="preserve">eople in </w:t>
      </w:r>
      <w:r w:rsidR="00B91AF5">
        <w:t>NI</w:t>
      </w:r>
      <w:r w:rsidRPr="00D74EBF">
        <w:t>' (</w:t>
      </w:r>
      <w:proofErr w:type="spellStart"/>
      <w:r w:rsidRPr="00D74EBF">
        <w:t>H</w:t>
      </w:r>
      <w:r w:rsidR="00B91AF5">
        <w:t>o</w:t>
      </w:r>
      <w:r w:rsidRPr="00D74EBF">
        <w:t>C</w:t>
      </w:r>
      <w:proofErr w:type="spellEnd"/>
      <w:r w:rsidRPr="00D74EBF">
        <w:t>, 2022), at 28.</w:t>
      </w:r>
    </w:p>
  </w:footnote>
  <w:footnote w:id="168">
    <w:p w14:paraId="04A0556F" w14:textId="167926FE" w:rsidR="00030CD8" w:rsidRPr="0099622D" w:rsidRDefault="00030CD8" w:rsidP="007C17F8">
      <w:pPr>
        <w:pStyle w:val="NIHRCFootnotes0"/>
      </w:pPr>
      <w:r w:rsidRPr="0099622D">
        <w:rPr>
          <w:rStyle w:val="FootnoteReference"/>
        </w:rPr>
        <w:footnoteRef/>
      </w:r>
      <w:r w:rsidRPr="0099622D">
        <w:t xml:space="preserve"> </w:t>
      </w:r>
      <w:r w:rsidR="0099622D">
        <w:t>NI Statistics and Research Agency</w:t>
      </w:r>
      <w:r w:rsidRPr="0099622D">
        <w:t>, ‘Prev</w:t>
      </w:r>
      <w:r w:rsidR="0099622D" w:rsidRPr="0099622D">
        <w:t>alence of Autism (</w:t>
      </w:r>
      <w:r w:rsidR="00B91AF5">
        <w:t>I</w:t>
      </w:r>
      <w:r w:rsidR="0099622D" w:rsidRPr="0099622D">
        <w:t xml:space="preserve">ncluding Asperger Syndrome) in School Age Children in </w:t>
      </w:r>
      <w:r w:rsidR="00B91AF5">
        <w:t>NI</w:t>
      </w:r>
      <w:r w:rsidR="0099622D" w:rsidRPr="0099622D">
        <w:t>: Annual Report 2022’ (DoH, 2022).</w:t>
      </w:r>
    </w:p>
  </w:footnote>
  <w:footnote w:id="169">
    <w:p w14:paraId="46DF8328" w14:textId="63E6819A" w:rsidR="005367B2" w:rsidRDefault="005367B2" w:rsidP="007C17F8">
      <w:pPr>
        <w:pStyle w:val="NIHRCFootnotes0"/>
      </w:pPr>
      <w:r>
        <w:rPr>
          <w:rStyle w:val="FootnoteReference"/>
        </w:rPr>
        <w:footnoteRef/>
      </w:r>
      <w:r>
        <w:t xml:space="preserve"> </w:t>
      </w:r>
      <w:r w:rsidR="00523CE2">
        <w:t xml:space="preserve">NI Commissioner </w:t>
      </w:r>
      <w:r w:rsidR="00C91B28">
        <w:t xml:space="preserve">for Children and Young People, </w:t>
      </w:r>
      <w:r w:rsidR="00580EDB">
        <w:t xml:space="preserve">‘More Than </w:t>
      </w:r>
      <w:r w:rsidR="004D5E6F">
        <w:t>a</w:t>
      </w:r>
      <w:r w:rsidR="00580EDB">
        <w:t xml:space="preserve"> Number: A </w:t>
      </w:r>
      <w:r w:rsidR="00B91AF5">
        <w:t>R</w:t>
      </w:r>
      <w:r w:rsidR="00580EDB">
        <w:t xml:space="preserve">ights </w:t>
      </w:r>
      <w:r w:rsidR="00B91AF5">
        <w:t>B</w:t>
      </w:r>
      <w:r w:rsidR="00580EDB">
        <w:t xml:space="preserve">ased </w:t>
      </w:r>
      <w:r w:rsidR="00B91AF5">
        <w:t>R</w:t>
      </w:r>
      <w:r w:rsidR="00580EDB">
        <w:t xml:space="preserve">eview of </w:t>
      </w:r>
      <w:r w:rsidR="00B91AF5">
        <w:t>C</w:t>
      </w:r>
      <w:r w:rsidR="00580EDB">
        <w:t xml:space="preserve">hild </w:t>
      </w:r>
      <w:r w:rsidR="00B91AF5">
        <w:t>H</w:t>
      </w:r>
      <w:r w:rsidR="00580EDB">
        <w:t xml:space="preserve">eath </w:t>
      </w:r>
      <w:r w:rsidR="00B91AF5">
        <w:t>W</w:t>
      </w:r>
      <w:r w:rsidR="00580EDB">
        <w:t xml:space="preserve">aiting </w:t>
      </w:r>
      <w:r w:rsidR="00B91AF5">
        <w:t>L</w:t>
      </w:r>
      <w:r w:rsidR="00580EDB">
        <w:t xml:space="preserve">ists in </w:t>
      </w:r>
      <w:r w:rsidR="00B91AF5">
        <w:t>NI</w:t>
      </w:r>
      <w:r w:rsidR="00580EDB">
        <w:t xml:space="preserve">’ (NICCY, </w:t>
      </w:r>
      <w:r w:rsidR="00F038CE">
        <w:t>2021).</w:t>
      </w:r>
    </w:p>
  </w:footnote>
  <w:footnote w:id="170">
    <w:p w14:paraId="07B7761E" w14:textId="1D06E935" w:rsidR="005367B2" w:rsidRDefault="005367B2" w:rsidP="007C17F8">
      <w:pPr>
        <w:pStyle w:val="NIHRCFootnotes0"/>
      </w:pPr>
      <w:r>
        <w:rPr>
          <w:rStyle w:val="FootnoteReference"/>
        </w:rPr>
        <w:footnoteRef/>
      </w:r>
      <w:r>
        <w:t xml:space="preserve"> </w:t>
      </w:r>
      <w:r w:rsidR="00090C34">
        <w:t xml:space="preserve">NI Commissioner for Children and Young People, </w:t>
      </w:r>
      <w:r w:rsidR="005E36E1">
        <w:t>‘One Year Post Publication Monitoring Report</w:t>
      </w:r>
      <w:r w:rsidR="00B91AF5">
        <w:t xml:space="preserve">: </w:t>
      </w:r>
      <w:r w:rsidR="005E36E1">
        <w:t xml:space="preserve">More Than </w:t>
      </w:r>
      <w:r w:rsidR="004D5E6F">
        <w:t>a</w:t>
      </w:r>
      <w:r w:rsidR="005E36E1">
        <w:t xml:space="preserve"> Number’</w:t>
      </w:r>
      <w:r w:rsidR="00B11F8E">
        <w:t xml:space="preserve"> (NICCY, 2022).</w:t>
      </w:r>
    </w:p>
  </w:footnote>
  <w:footnote w:id="171">
    <w:p w14:paraId="7DD26FAD" w14:textId="77777777" w:rsidR="00060106" w:rsidRPr="00654887" w:rsidRDefault="00060106" w:rsidP="007C17F8">
      <w:pPr>
        <w:pStyle w:val="NIHRCFootnotes0"/>
      </w:pPr>
      <w:r w:rsidRPr="00654887">
        <w:rPr>
          <w:rStyle w:val="FootnoteReference"/>
          <w:rFonts w:eastAsiaTheme="majorEastAsia"/>
        </w:rPr>
        <w:footnoteRef/>
      </w:r>
      <w:r w:rsidRPr="00654887">
        <w:t xml:space="preserve"> Department of Health, 'Autism Interim Strategy 2021-2022' (DoH, 2021).</w:t>
      </w:r>
    </w:p>
  </w:footnote>
  <w:footnote w:id="172">
    <w:p w14:paraId="0D1349A5" w14:textId="77777777" w:rsidR="00060106" w:rsidRPr="00654887" w:rsidRDefault="00060106" w:rsidP="007C17F8">
      <w:pPr>
        <w:pStyle w:val="NIHRCFootnotes0"/>
      </w:pPr>
      <w:r w:rsidRPr="00654887">
        <w:rPr>
          <w:rStyle w:val="FootnoteReference"/>
          <w:rFonts w:eastAsiaTheme="majorEastAsia"/>
        </w:rPr>
        <w:footnoteRef/>
      </w:r>
      <w:r w:rsidRPr="00654887">
        <w:t xml:space="preserve"> Department of Health, ‘Autism Strategy 2023-2028 Questionnaire’ (DoH, 2021).</w:t>
      </w:r>
    </w:p>
  </w:footnote>
  <w:footnote w:id="173">
    <w:p w14:paraId="5B167BBA" w14:textId="41B384CB" w:rsidR="006E2F1A" w:rsidRPr="002F05BE" w:rsidRDefault="006E2F1A" w:rsidP="007C17F8">
      <w:pPr>
        <w:pStyle w:val="NIHRCFootnotes0"/>
      </w:pPr>
      <w:r w:rsidRPr="002F05BE">
        <w:rPr>
          <w:rStyle w:val="FootnoteReference"/>
        </w:rPr>
        <w:footnoteRef/>
      </w:r>
      <w:r w:rsidRPr="002F05BE">
        <w:t xml:space="preserve"> </w:t>
      </w:r>
      <w:r w:rsidR="004F0FD6" w:rsidRPr="002F05BE">
        <w:rPr>
          <w:rFonts w:eastAsia="Verdana" w:cs="Verdana"/>
        </w:rPr>
        <w:t>The Autism Act (NI) 2011</w:t>
      </w:r>
      <w:r w:rsidR="004F0FD6" w:rsidRPr="002F05BE">
        <w:t xml:space="preserve"> </w:t>
      </w:r>
      <w:r w:rsidR="004F0FD6" w:rsidRPr="002F05BE">
        <w:rPr>
          <w:rFonts w:eastAsia="Verdana" w:cs="Verdana"/>
        </w:rPr>
        <w:t xml:space="preserve">requires the Department of Health to publish revised strategies at regular intervals. The initial autism strategy was published in 2013 and expired at the end of 2020. </w:t>
      </w:r>
      <w:r w:rsidR="004F0FD6" w:rsidRPr="002F05BE">
        <w:t>In 2021, following delays caused by the COVID-19 pandemic, the Department of Health published an interim autism strategy</w:t>
      </w:r>
      <w:r w:rsidR="007A07D7" w:rsidRPr="002F05BE">
        <w:t xml:space="preserve">. </w:t>
      </w:r>
      <w:r w:rsidR="007A07D7" w:rsidRPr="002F05BE">
        <w:rPr>
          <w:i/>
          <w:iCs/>
        </w:rPr>
        <w:t>See</w:t>
      </w:r>
      <w:r w:rsidR="004F0FD6" w:rsidRPr="002F05BE">
        <w:t xml:space="preserve"> Department of Health, 'Autism Interim Strategy 2021-2022' (DoH, 2021).</w:t>
      </w:r>
    </w:p>
  </w:footnote>
  <w:footnote w:id="174">
    <w:p w14:paraId="2FCD5DBE" w14:textId="00EB0736" w:rsidR="00287CA8" w:rsidRDefault="00287CA8" w:rsidP="00457AFB">
      <w:pPr>
        <w:pStyle w:val="NIHRCFootnotes0"/>
      </w:pPr>
      <w:r>
        <w:rPr>
          <w:rStyle w:val="FootnoteReference"/>
        </w:rPr>
        <w:footnoteRef/>
      </w:r>
      <w:r>
        <w:t xml:space="preserve"> </w:t>
      </w:r>
      <w:r w:rsidR="00821B71">
        <w:t>National Autistic Society</w:t>
      </w:r>
      <w:r w:rsidR="000410A8">
        <w:t xml:space="preserve"> NI, ‘National Autistic Society NI </w:t>
      </w:r>
      <w:r w:rsidR="00B91AF5">
        <w:t>R</w:t>
      </w:r>
      <w:r w:rsidR="000410A8">
        <w:t>esponse to A Private Members Bill to Amend the Autism NI Act 2011’ (National Autistic Society NI, 202</w:t>
      </w:r>
      <w:r w:rsidR="00457AFB">
        <w:t>1).</w:t>
      </w:r>
    </w:p>
  </w:footnote>
  <w:footnote w:id="175">
    <w:p w14:paraId="18714C9C" w14:textId="22FC0596" w:rsidR="00287CA8" w:rsidRDefault="00287CA8" w:rsidP="00C10A39">
      <w:pPr>
        <w:pStyle w:val="NIHRCFootnotes0"/>
      </w:pPr>
      <w:r>
        <w:rPr>
          <w:rStyle w:val="FootnoteReference"/>
        </w:rPr>
        <w:footnoteRef/>
      </w:r>
      <w:r>
        <w:t xml:space="preserve"> </w:t>
      </w:r>
      <w:r w:rsidR="00F62AD1">
        <w:t xml:space="preserve">UK Government, ‘Guidance: Initial </w:t>
      </w:r>
      <w:r w:rsidR="00B91AF5">
        <w:t>T</w:t>
      </w:r>
      <w:r w:rsidR="00F62AD1">
        <w:t xml:space="preserve">eacher </w:t>
      </w:r>
      <w:r w:rsidR="00B91AF5">
        <w:t>T</w:t>
      </w:r>
      <w:r w:rsidR="00F62AD1">
        <w:t xml:space="preserve">raining: </w:t>
      </w:r>
      <w:r w:rsidR="00B91AF5">
        <w:t>C</w:t>
      </w:r>
      <w:r w:rsidR="00F62AD1">
        <w:t xml:space="preserve">ore </w:t>
      </w:r>
      <w:r w:rsidR="00B91AF5">
        <w:t>C</w:t>
      </w:r>
      <w:r w:rsidR="00F62AD1">
        <w:t xml:space="preserve">ontent </w:t>
      </w:r>
      <w:r w:rsidR="00B91AF5">
        <w:t>F</w:t>
      </w:r>
      <w:r w:rsidR="00F62AD1">
        <w:t>ramework’</w:t>
      </w:r>
      <w:r w:rsidR="00B91AF5">
        <w:t xml:space="preserve"> </w:t>
      </w:r>
      <w:r w:rsidR="00F62AD1">
        <w:t>(Gov.UK, 2019</w:t>
      </w:r>
      <w:r w:rsidR="00C10A39">
        <w:t>).</w:t>
      </w:r>
    </w:p>
  </w:footnote>
  <w:footnote w:id="176">
    <w:p w14:paraId="2C4D63F8" w14:textId="5138425F" w:rsidR="00A73C5A" w:rsidRPr="002F05BE" w:rsidRDefault="00A73C5A" w:rsidP="007C17F8">
      <w:pPr>
        <w:pStyle w:val="NIHRCFootnotes0"/>
      </w:pPr>
      <w:r w:rsidRPr="002F05BE">
        <w:rPr>
          <w:rStyle w:val="FootnoteReference"/>
        </w:rPr>
        <w:footnoteRef/>
      </w:r>
      <w:r w:rsidRPr="002F05BE">
        <w:t xml:space="preserve"> </w:t>
      </w:r>
      <w:r w:rsidR="005F2686" w:rsidRPr="002F05BE">
        <w:t xml:space="preserve">Department for Communities, ‘Disability Strategy Expert Advisory Panel: Report </w:t>
      </w:r>
      <w:r w:rsidR="0082314D">
        <w:t>and</w:t>
      </w:r>
      <w:r w:rsidR="005F2686" w:rsidRPr="002F05BE">
        <w:t xml:space="preserve"> Recommendations’ (DfC, 2021), at 110.</w:t>
      </w:r>
    </w:p>
  </w:footnote>
  <w:footnote w:id="177">
    <w:p w14:paraId="5064F6D5" w14:textId="426A6BB9" w:rsidR="00A53415" w:rsidRDefault="00A53415" w:rsidP="007C17F8">
      <w:pPr>
        <w:pStyle w:val="NIHRCFootnotes0"/>
      </w:pPr>
      <w:r>
        <w:rPr>
          <w:rStyle w:val="FootnoteReference"/>
        </w:rPr>
        <w:footnoteRef/>
      </w:r>
      <w:r>
        <w:t xml:space="preserve"> </w:t>
      </w:r>
      <w:r w:rsidR="0082314D">
        <w:t>Ibid</w:t>
      </w:r>
      <w:r w:rsidRPr="002F05BE">
        <w:t xml:space="preserve"> at </w:t>
      </w:r>
      <w:r>
        <w:t>108.</w:t>
      </w:r>
    </w:p>
  </w:footnote>
  <w:footnote w:id="178">
    <w:p w14:paraId="4EB7FA9E" w14:textId="77777777" w:rsidR="00D8578F" w:rsidRPr="006B43CA" w:rsidRDefault="00D8578F" w:rsidP="007C17F8">
      <w:pPr>
        <w:pStyle w:val="NIHRCFootnotes0"/>
      </w:pPr>
      <w:r w:rsidRPr="002F05BE">
        <w:rPr>
          <w:rStyle w:val="FootnoteReference"/>
        </w:rPr>
        <w:footnoteRef/>
      </w:r>
      <w:r w:rsidRPr="002F05BE">
        <w:t xml:space="preserve"> Letter from Department for Communities to NI Human Rights Commission, 18 July 2022.</w:t>
      </w:r>
    </w:p>
  </w:footnote>
  <w:footnote w:id="179">
    <w:p w14:paraId="5DC59975" w14:textId="168B4FE5" w:rsidR="007738AE" w:rsidRPr="002F05BE" w:rsidRDefault="007738AE" w:rsidP="007C17F8">
      <w:pPr>
        <w:pStyle w:val="NIHRCFootnotes0"/>
      </w:pPr>
      <w:r w:rsidRPr="002F05BE">
        <w:rPr>
          <w:rStyle w:val="FootnoteReference"/>
        </w:rPr>
        <w:footnoteRef/>
      </w:r>
      <w:r w:rsidRPr="002F05BE">
        <w:t xml:space="preserve"> Carers NI, ‘Press Release: Coalition of Carers Organisations member’s statement on the reopening of day centres, short breaks and respite support in Northern Ireland’, 5 June 2022; Children’s Law Centre, ‘Close the Gap: Key priorities for the NI Assembly to </w:t>
      </w:r>
      <w:r w:rsidR="00B91AF5">
        <w:t>P</w:t>
      </w:r>
      <w:r w:rsidRPr="002F05BE">
        <w:t xml:space="preserve">rotect </w:t>
      </w:r>
      <w:r w:rsidR="00B91AF5">
        <w:t>C</w:t>
      </w:r>
      <w:r w:rsidRPr="002F05BE">
        <w:t xml:space="preserve">hildren by </w:t>
      </w:r>
      <w:r w:rsidR="00B91AF5">
        <w:t>C</w:t>
      </w:r>
      <w:r w:rsidRPr="002F05BE">
        <w:t xml:space="preserve">losing the </w:t>
      </w:r>
      <w:r w:rsidR="00B91AF5">
        <w:t>G</w:t>
      </w:r>
      <w:r w:rsidRPr="002F05BE">
        <w:t xml:space="preserve">ap in </w:t>
      </w:r>
      <w:r w:rsidR="00B91AF5">
        <w:t>C</w:t>
      </w:r>
      <w:r w:rsidRPr="002F05BE">
        <w:t xml:space="preserve">hildren's </w:t>
      </w:r>
      <w:r w:rsidR="00B91AF5">
        <w:t>R</w:t>
      </w:r>
      <w:r w:rsidRPr="002F05BE">
        <w:t>ights’ (CLC, 2022), at 10.</w:t>
      </w:r>
    </w:p>
  </w:footnote>
  <w:footnote w:id="180">
    <w:p w14:paraId="491E3180" w14:textId="2322D7E3" w:rsidR="00471437" w:rsidRPr="002F05BE" w:rsidRDefault="00471437" w:rsidP="007C17F8">
      <w:pPr>
        <w:pStyle w:val="NIHRCFootnotes0"/>
      </w:pPr>
      <w:r w:rsidRPr="002F05BE">
        <w:rPr>
          <w:rStyle w:val="FootnoteReference"/>
        </w:rPr>
        <w:footnoteRef/>
      </w:r>
      <w:r w:rsidRPr="002F05BE">
        <w:t xml:space="preserve"> Department for Communities, ‘Disability Strategy Expert Advisory Panel: Report </w:t>
      </w:r>
      <w:r w:rsidR="00B91AF5">
        <w:t>and</w:t>
      </w:r>
      <w:r w:rsidRPr="002F05BE">
        <w:t xml:space="preserve"> Recommendations’ (DfC, 2021), at 112.</w:t>
      </w:r>
    </w:p>
  </w:footnote>
  <w:footnote w:id="181">
    <w:p w14:paraId="0A6C8CE6" w14:textId="07B37473" w:rsidR="009C2AED" w:rsidRPr="002F05BE" w:rsidRDefault="009C2AED" w:rsidP="007C17F8">
      <w:pPr>
        <w:pStyle w:val="NIHRCFootnotes0"/>
      </w:pPr>
      <w:r w:rsidRPr="002F05BE">
        <w:rPr>
          <w:rStyle w:val="FootnoteReference"/>
        </w:rPr>
        <w:footnoteRef/>
      </w:r>
      <w:r w:rsidRPr="002F05BE">
        <w:t xml:space="preserve"> Carers NI, ‘Press Release: Coalition of Carers Organisations member’s statement on the reopening of day centres, short breaks and respite support in </w:t>
      </w:r>
      <w:r w:rsidR="00B91AF5">
        <w:t>NI</w:t>
      </w:r>
      <w:r w:rsidRPr="002F05BE">
        <w:t>’, 5 June 2022</w:t>
      </w:r>
      <w:r w:rsidR="0082314D">
        <w:t>.</w:t>
      </w:r>
    </w:p>
  </w:footnote>
  <w:footnote w:id="182">
    <w:p w14:paraId="3BECE1C6" w14:textId="632DB71E" w:rsidR="00FC3184" w:rsidRPr="002F05BE" w:rsidRDefault="00FC3184" w:rsidP="007C17F8">
      <w:pPr>
        <w:pStyle w:val="NIHRCFootnotes0"/>
      </w:pPr>
      <w:r w:rsidRPr="002F05BE">
        <w:rPr>
          <w:rStyle w:val="FootnoteReference"/>
        </w:rPr>
        <w:footnoteRef/>
      </w:r>
      <w:r w:rsidRPr="002F05BE">
        <w:rPr>
          <w:vertAlign w:val="superscript"/>
        </w:rPr>
        <w:t xml:space="preserve"> </w:t>
      </w:r>
      <w:r w:rsidRPr="002F05BE">
        <w:t>CRC/C/GBR/CO/5, ‘UN CRC Committee Concluding Observations on the Fifth Periodic Report of the UK of Great Britain and NI’, 12 July 2016, at 61.</w:t>
      </w:r>
    </w:p>
  </w:footnote>
  <w:footnote w:id="183">
    <w:p w14:paraId="481EDC37" w14:textId="3C75DD1C" w:rsidR="00FC3184" w:rsidRPr="002F05BE" w:rsidRDefault="00FC3184" w:rsidP="007C17F8">
      <w:pPr>
        <w:pStyle w:val="NIHRCFootnotes0"/>
      </w:pPr>
      <w:r w:rsidRPr="002F05BE">
        <w:rPr>
          <w:rStyle w:val="FootnoteReference"/>
        </w:rPr>
        <w:footnoteRef/>
      </w:r>
      <w:r w:rsidRPr="002F05BE">
        <w:t xml:space="preserve"> Jennifer Betts and Janice Thompson, 'Mental Health in NI' (RAISE, 2017). </w:t>
      </w:r>
    </w:p>
  </w:footnote>
  <w:footnote w:id="184">
    <w:p w14:paraId="153194B0" w14:textId="44BA81FF" w:rsidR="00FC3184" w:rsidRPr="00FA0C3D" w:rsidRDefault="00FC3184" w:rsidP="007C17F8">
      <w:pPr>
        <w:pStyle w:val="NIHRCFootnotes0"/>
      </w:pPr>
      <w:r w:rsidRPr="002F05BE">
        <w:rPr>
          <w:rStyle w:val="FootnoteReference"/>
        </w:rPr>
        <w:footnoteRef/>
      </w:r>
      <w:r w:rsidRPr="002F05BE">
        <w:t> Lesley-Ann Black and Keara McKay, 'Suicide Statistics and Strategy in NI: Update' (RAISE, 2019).</w:t>
      </w:r>
    </w:p>
  </w:footnote>
  <w:footnote w:id="185">
    <w:p w14:paraId="573AB586" w14:textId="686BFE91" w:rsidR="00647919" w:rsidRPr="002F05BE" w:rsidRDefault="00647919" w:rsidP="007C17F8">
      <w:pPr>
        <w:pStyle w:val="NIHRCFootnotes0"/>
      </w:pPr>
      <w:r w:rsidRPr="002F05BE">
        <w:rPr>
          <w:rStyle w:val="FootnoteReference"/>
        </w:rPr>
        <w:footnoteRef/>
      </w:r>
      <w:r w:rsidRPr="002F05BE">
        <w:t xml:space="preserve"> NI Statistics and Research Agency, ‘Suicides in </w:t>
      </w:r>
      <w:r w:rsidR="00B91AF5">
        <w:t>NI:</w:t>
      </w:r>
      <w:r w:rsidRPr="002F05BE">
        <w:t xml:space="preserve"> 2020’ (NISRA, 2022), at Table 2.</w:t>
      </w:r>
    </w:p>
  </w:footnote>
  <w:footnote w:id="186">
    <w:p w14:paraId="3F97DCF0" w14:textId="56BF264F" w:rsidR="00647919" w:rsidRPr="002F05BE" w:rsidRDefault="00647919" w:rsidP="007C17F8">
      <w:pPr>
        <w:pStyle w:val="NIHRCFootnotes0"/>
      </w:pPr>
      <w:r w:rsidRPr="002F05BE">
        <w:rPr>
          <w:rStyle w:val="FootnoteReference"/>
        </w:rPr>
        <w:footnoteRef/>
      </w:r>
      <w:r w:rsidRPr="002F05BE">
        <w:t xml:space="preserve"> </w:t>
      </w:r>
      <w:r w:rsidR="00AB1D47" w:rsidRPr="002F05BE">
        <w:t xml:space="preserve">NI Statistics and Research Agency, ‘Review of Suicide Statistics in </w:t>
      </w:r>
      <w:r w:rsidR="00B91AF5">
        <w:t>NI:</w:t>
      </w:r>
      <w:r w:rsidR="00AB1D47" w:rsidRPr="002F05BE">
        <w:t xml:space="preserve"> 2015–2020’ (NISRA, 2022)</w:t>
      </w:r>
      <w:r w:rsidR="00C55103" w:rsidRPr="002F05BE">
        <w:t>, at 18.</w:t>
      </w:r>
    </w:p>
  </w:footnote>
  <w:footnote w:id="187">
    <w:p w14:paraId="52323760" w14:textId="5EDEE983" w:rsidR="00FC3184" w:rsidRPr="002F05BE" w:rsidRDefault="00FC3184" w:rsidP="007C17F8">
      <w:pPr>
        <w:pStyle w:val="NIHRCFootnotes0"/>
      </w:pPr>
      <w:r w:rsidRPr="002F05BE">
        <w:rPr>
          <w:rStyle w:val="FootnoteReference"/>
        </w:rPr>
        <w:footnoteRef/>
      </w:r>
      <w:r w:rsidRPr="002F05BE">
        <w:t xml:space="preserve"> NI Statistics and Research Agency, ‘Suicide</w:t>
      </w:r>
      <w:r w:rsidR="000D7EC4" w:rsidRPr="002F05BE">
        <w:t xml:space="preserve">s in </w:t>
      </w:r>
      <w:r w:rsidR="00B91AF5">
        <w:t>NI:</w:t>
      </w:r>
      <w:r w:rsidR="000D7EC4" w:rsidRPr="002F05BE">
        <w:t xml:space="preserve"> </w:t>
      </w:r>
      <w:r w:rsidRPr="002F05BE">
        <w:t>20</w:t>
      </w:r>
      <w:r w:rsidR="005910B4" w:rsidRPr="002F05BE">
        <w:t>20</w:t>
      </w:r>
      <w:r w:rsidRPr="002F05BE">
        <w:t>’ (NISRA, 202</w:t>
      </w:r>
      <w:r w:rsidR="005910B4" w:rsidRPr="002F05BE">
        <w:t>2</w:t>
      </w:r>
      <w:r w:rsidRPr="002F05BE">
        <w:t>), at Table 2.</w:t>
      </w:r>
    </w:p>
  </w:footnote>
  <w:footnote w:id="188">
    <w:p w14:paraId="0A683633" w14:textId="77777777" w:rsidR="00FC3184" w:rsidRPr="002F05BE" w:rsidRDefault="00FC3184" w:rsidP="007C17F8">
      <w:pPr>
        <w:pStyle w:val="NIHRCFootnotes0"/>
      </w:pPr>
      <w:r w:rsidRPr="002F05BE">
        <w:rPr>
          <w:rStyle w:val="FootnoteReference"/>
        </w:rPr>
        <w:footnoteRef/>
      </w:r>
      <w:r w:rsidRPr="002F05BE">
        <w:t xml:space="preserve"> NI Commissioner for Children and Young People, ‘Still Waiting: A Rights Based Review of Mental Health Services and Support for Children and Young People’ (NICCY, 2018).</w:t>
      </w:r>
    </w:p>
  </w:footnote>
  <w:footnote w:id="189">
    <w:p w14:paraId="5AF4079C" w14:textId="77777777" w:rsidR="00FC3184" w:rsidRPr="002F05BE" w:rsidRDefault="00FC3184" w:rsidP="007C17F8">
      <w:pPr>
        <w:pStyle w:val="NIHRCFootnotes0"/>
      </w:pPr>
      <w:r w:rsidRPr="002F05BE">
        <w:rPr>
          <w:rStyle w:val="FootnoteReference"/>
        </w:rPr>
        <w:footnoteRef/>
      </w:r>
      <w:r w:rsidRPr="002F05BE">
        <w:t xml:space="preserve"> NI Commissioner for Children and Young People, ‘Still Waiting: Monitoring Report’ (NICCY, 2020).</w:t>
      </w:r>
    </w:p>
  </w:footnote>
  <w:footnote w:id="190">
    <w:p w14:paraId="5ED4D7A4" w14:textId="0C0995F5" w:rsidR="00FC3184" w:rsidRPr="002F05BE" w:rsidRDefault="00FC3184" w:rsidP="007C17F8">
      <w:pPr>
        <w:pStyle w:val="NIHRCFootnotes0"/>
      </w:pPr>
      <w:r w:rsidRPr="002F05BE">
        <w:rPr>
          <w:rStyle w:val="FootnoteReference"/>
        </w:rPr>
        <w:footnoteRef/>
      </w:r>
      <w:r w:rsidRPr="002F05BE">
        <w:t xml:space="preserve"> </w:t>
      </w:r>
      <w:r w:rsidR="0082314D">
        <w:t>Ibid</w:t>
      </w:r>
      <w:r w:rsidRPr="002F05BE">
        <w:t xml:space="preserve"> at 12.</w:t>
      </w:r>
    </w:p>
  </w:footnote>
  <w:footnote w:id="191">
    <w:p w14:paraId="1F25D12C" w14:textId="5B5373C4" w:rsidR="00732CD8" w:rsidRPr="002F05BE" w:rsidRDefault="00732CD8" w:rsidP="007C17F8">
      <w:pPr>
        <w:pStyle w:val="NIHRCFootnotes0"/>
      </w:pPr>
      <w:r w:rsidRPr="002F05BE">
        <w:rPr>
          <w:rStyle w:val="FootnoteReference"/>
        </w:rPr>
        <w:footnoteRef/>
      </w:r>
      <w:r w:rsidRPr="002F05BE">
        <w:t xml:space="preserve"> Department of Health, ‘Mental Health Strategy 2021-2031’ (DoH, 2021), at v.</w:t>
      </w:r>
    </w:p>
  </w:footnote>
  <w:footnote w:id="192">
    <w:p w14:paraId="04C2CC11" w14:textId="39BDFB9A" w:rsidR="00CD2BB5" w:rsidRPr="002F05BE" w:rsidRDefault="00CD2BB5" w:rsidP="00A0595E">
      <w:pPr>
        <w:pStyle w:val="NIHRCFootnotes0"/>
      </w:pPr>
      <w:r w:rsidRPr="002F05BE">
        <w:rPr>
          <w:rStyle w:val="FootnoteReference"/>
        </w:rPr>
        <w:footnoteRef/>
      </w:r>
      <w:r w:rsidRPr="002F05BE">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Pr="002F05BE">
        <w:t xml:space="preserve">, 9 August </w:t>
      </w:r>
      <w:proofErr w:type="gramStart"/>
      <w:r w:rsidRPr="002F05BE">
        <w:t>2022</w:t>
      </w:r>
      <w:proofErr w:type="gramEnd"/>
      <w:r w:rsidR="00A0595E">
        <w:t xml:space="preserve"> and</w:t>
      </w:r>
      <w:r w:rsidRPr="002F05BE">
        <w:t xml:space="preserve"> 11 August 2022. </w:t>
      </w:r>
    </w:p>
  </w:footnote>
  <w:footnote w:id="193">
    <w:p w14:paraId="46575599" w14:textId="77777777" w:rsidR="008233B1" w:rsidRPr="002F05BE" w:rsidRDefault="008233B1" w:rsidP="007C17F8">
      <w:pPr>
        <w:pStyle w:val="NIHRCFootnotes0"/>
      </w:pPr>
      <w:r w:rsidRPr="002F05BE">
        <w:rPr>
          <w:rStyle w:val="FootnoteReference"/>
        </w:rPr>
        <w:footnoteRef/>
      </w:r>
      <w:r w:rsidRPr="002F05BE">
        <w:t xml:space="preserve"> Health and Social Care Board, ‘Rapid Review: The Mental Health Impact of the COVID-19 Pandemic in NI’ (HSCB, 2020), at 29.</w:t>
      </w:r>
    </w:p>
  </w:footnote>
  <w:footnote w:id="194">
    <w:p w14:paraId="73B21236" w14:textId="528938D9" w:rsidR="008233B1" w:rsidRPr="002F05BE" w:rsidRDefault="008233B1" w:rsidP="00A0595E">
      <w:pPr>
        <w:pStyle w:val="NIHRCFootnotes0"/>
      </w:pPr>
      <w:r w:rsidRPr="002F05BE">
        <w:rPr>
          <w:rStyle w:val="FootnoteReference"/>
        </w:rPr>
        <w:footnoteRef/>
      </w:r>
      <w:r w:rsidRPr="002F05BE">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00A0595E" w:rsidRPr="002F05BE">
        <w:t xml:space="preserve">, 9 August </w:t>
      </w:r>
      <w:proofErr w:type="gramStart"/>
      <w:r w:rsidR="00A0595E" w:rsidRPr="002F05BE">
        <w:t>2022</w:t>
      </w:r>
      <w:proofErr w:type="gramEnd"/>
      <w:r w:rsidR="00A0595E">
        <w:t xml:space="preserve"> and</w:t>
      </w:r>
      <w:r w:rsidR="00A0595E" w:rsidRPr="002F05BE">
        <w:t xml:space="preserve"> 11 August 2022.</w:t>
      </w:r>
    </w:p>
  </w:footnote>
  <w:footnote w:id="195">
    <w:p w14:paraId="4ECEBCE3" w14:textId="18887EC1" w:rsidR="003F76BD" w:rsidRPr="00FA0C3D" w:rsidRDefault="003F76BD" w:rsidP="00A0595E">
      <w:pPr>
        <w:pStyle w:val="NIHRCFootnotes0"/>
      </w:pPr>
      <w:r w:rsidRPr="002F05BE">
        <w:rPr>
          <w:rStyle w:val="FootnoteReference"/>
        </w:rPr>
        <w:footnoteRef/>
      </w:r>
      <w:r w:rsidRPr="002F05BE">
        <w:t xml:space="preserve"> </w:t>
      </w:r>
      <w:r w:rsidR="00A0595E">
        <w:t>NI Human Rights Commission r</w:t>
      </w:r>
      <w:r w:rsidR="00A0595E" w:rsidRPr="003524D5">
        <w:t>oundtable meeting</w:t>
      </w:r>
      <w:r w:rsidR="00A0595E">
        <w:t>s</w:t>
      </w:r>
      <w:r w:rsidR="00A0595E" w:rsidRPr="003524D5">
        <w:t xml:space="preserve"> with civil society organisations</w:t>
      </w:r>
      <w:r w:rsidR="00A0595E">
        <w:t xml:space="preserve"> on UN CRC</w:t>
      </w:r>
      <w:r w:rsidRPr="002F05BE">
        <w:t>, 23 September 2020.</w:t>
      </w:r>
    </w:p>
  </w:footnote>
  <w:footnote w:id="196">
    <w:p w14:paraId="492FD84D" w14:textId="00AB80A0" w:rsidR="000A514A" w:rsidRPr="002F05BE" w:rsidRDefault="000A514A" w:rsidP="007C17F8">
      <w:pPr>
        <w:pStyle w:val="NIHRCFootnotes0"/>
      </w:pPr>
      <w:r w:rsidRPr="002F05BE">
        <w:rPr>
          <w:rStyle w:val="FootnoteReference"/>
        </w:rPr>
        <w:footnoteRef/>
      </w:r>
      <w:r w:rsidRPr="002F05BE">
        <w:t xml:space="preserve"> </w:t>
      </w:r>
      <w:proofErr w:type="spellStart"/>
      <w:r w:rsidRPr="002F05BE">
        <w:t>Mindwise</w:t>
      </w:r>
      <w:proofErr w:type="spellEnd"/>
      <w:r w:rsidRPr="002F05BE">
        <w:t xml:space="preserve">, </w:t>
      </w:r>
      <w:r w:rsidR="00176BC2" w:rsidRPr="002F05BE">
        <w:t xml:space="preserve">‘Our Strategy: 2022-2027’ (2022), </w:t>
      </w:r>
      <w:r w:rsidRPr="002F05BE">
        <w:t>at 14.</w:t>
      </w:r>
    </w:p>
  </w:footnote>
  <w:footnote w:id="197">
    <w:p w14:paraId="6C444CFA" w14:textId="61960D91" w:rsidR="00FC3184" w:rsidRPr="002F05BE" w:rsidRDefault="00FC3184" w:rsidP="007C17F8">
      <w:pPr>
        <w:pStyle w:val="NIHRCFootnotes0"/>
      </w:pPr>
      <w:r w:rsidRPr="002F05BE">
        <w:rPr>
          <w:rStyle w:val="FootnoteReference"/>
        </w:rPr>
        <w:footnoteRef/>
      </w:r>
      <w:r w:rsidRPr="002F05BE">
        <w:t xml:space="preserve"> CRC/C/GBR/CO/5, ‘UN CRC Committee Concluding Observations on the Fifth Periodic Report of the UK of Great Britain and NI’, 12 July 2016, at 61.</w:t>
      </w:r>
    </w:p>
  </w:footnote>
  <w:footnote w:id="198">
    <w:p w14:paraId="134A0C48" w14:textId="5652F14C" w:rsidR="00FC3184" w:rsidRPr="002F05BE" w:rsidRDefault="00FC3184" w:rsidP="007C17F8">
      <w:pPr>
        <w:pStyle w:val="NIHRCFootnotes0"/>
      </w:pPr>
      <w:r w:rsidRPr="002F05BE">
        <w:rPr>
          <w:rStyle w:val="FootnoteReference"/>
        </w:rPr>
        <w:footnoteRef/>
      </w:r>
      <w:r w:rsidRPr="002F05BE">
        <w:t xml:space="preserve"> Department of Health, Social Services and Public Safety and Department of Justice, ‘Draft Mental Capacity Bill: Public Consultation’ (DHSSPS, DoJ, 2016), at 38.</w:t>
      </w:r>
    </w:p>
  </w:footnote>
  <w:footnote w:id="199">
    <w:p w14:paraId="1AC5EA92" w14:textId="1EF14773" w:rsidR="00FC3184" w:rsidRPr="002F05BE" w:rsidRDefault="00FC3184" w:rsidP="007C17F8">
      <w:pPr>
        <w:pStyle w:val="NIHRCFootnotes0"/>
      </w:pPr>
      <w:r w:rsidRPr="002F05BE">
        <w:rPr>
          <w:rStyle w:val="FootnoteReference"/>
        </w:rPr>
        <w:footnoteRef/>
      </w:r>
      <w:r w:rsidRPr="002F05BE">
        <w:t xml:space="preserve"> Meeting between Department of Health and NI Human Rights Commission, 21 January 2019. </w:t>
      </w:r>
    </w:p>
  </w:footnote>
  <w:footnote w:id="200">
    <w:p w14:paraId="6E24471F" w14:textId="51DAC468" w:rsidR="00FC3184" w:rsidRPr="002F05BE" w:rsidRDefault="00FC3184" w:rsidP="007C17F8">
      <w:pPr>
        <w:pStyle w:val="NIHRCFootnotes0"/>
      </w:pPr>
      <w:r w:rsidRPr="002F05BE">
        <w:rPr>
          <w:rStyle w:val="FootnoteReference"/>
        </w:rPr>
        <w:footnoteRef/>
      </w:r>
      <w:r w:rsidRPr="002F05BE">
        <w:t xml:space="preserve"> CRC/C/GBR/CO/5, ‘UN CRC Committee Concluding Observations on the Fifth Periodic Report of the UK of Great Britain and NI’, 12 July 2016, at 65.</w:t>
      </w:r>
    </w:p>
  </w:footnote>
  <w:footnote w:id="201">
    <w:p w14:paraId="078EAAFF" w14:textId="77777777" w:rsidR="00431E8F" w:rsidRDefault="00431E8F" w:rsidP="009E1800">
      <w:pPr>
        <w:pStyle w:val="NIHRCFootnotes0"/>
      </w:pPr>
      <w:r>
        <w:rPr>
          <w:rStyle w:val="FootnoteReference"/>
          <w:rFonts w:eastAsia="Times New Roman"/>
        </w:rPr>
        <w:footnoteRef/>
      </w:r>
      <w:r>
        <w:t xml:space="preserve"> Regulations 3 and 4, Abortion (NI) (No 2) Regulations 2020.</w:t>
      </w:r>
    </w:p>
  </w:footnote>
  <w:footnote w:id="202">
    <w:p w14:paraId="0742A4D9" w14:textId="77777777" w:rsidR="00431E8F" w:rsidRDefault="00431E8F" w:rsidP="009E1800">
      <w:pPr>
        <w:pStyle w:val="NIHRCFootnotes0"/>
      </w:pPr>
      <w:r>
        <w:rPr>
          <w:rStyle w:val="FootnoteReference"/>
          <w:rFonts w:eastAsia="Times New Roman"/>
        </w:rPr>
        <w:footnoteRef/>
      </w:r>
      <w:r>
        <w:t xml:space="preserve"> Regulations 5, 6 and 7, Abortion (NI) (No 2) Regulations 2020.</w:t>
      </w:r>
    </w:p>
  </w:footnote>
  <w:footnote w:id="203">
    <w:p w14:paraId="35CE9432" w14:textId="77777777" w:rsidR="00A411C1" w:rsidRDefault="00A411C1" w:rsidP="00A411C1">
      <w:pPr>
        <w:pStyle w:val="NIHRCFootnotes0"/>
      </w:pPr>
      <w:r>
        <w:rPr>
          <w:rStyle w:val="FootnoteReference"/>
          <w:rFonts w:eastAsia="Times New Roman"/>
        </w:rPr>
        <w:footnoteRef/>
      </w:r>
      <w:r>
        <w:t xml:space="preserve">  Informing Choices, ‘Press Release: Northern Trust Resumes Early Medical Abortion Service’ 4 January 2021; Amnesty International NI, ‘Press Release: NI: Abortion services cease at </w:t>
      </w:r>
      <w:proofErr w:type="gramStart"/>
      <w:r>
        <w:t>South Eastern</w:t>
      </w:r>
      <w:proofErr w:type="gramEnd"/>
      <w:r>
        <w:t xml:space="preserve"> Trust following Health Department failure’, 5 January 2021; Eimear McGovern, ‘NI health trust pauses abortion service referrals due to shortage of nurses’, </w:t>
      </w:r>
      <w:r>
        <w:rPr>
          <w:i/>
          <w:iCs/>
        </w:rPr>
        <w:t>Belfast Telegraph</w:t>
      </w:r>
      <w:r>
        <w:t>, 23 April 2021.</w:t>
      </w:r>
    </w:p>
  </w:footnote>
  <w:footnote w:id="204">
    <w:p w14:paraId="470F1D32" w14:textId="77777777" w:rsidR="001D36D0" w:rsidRDefault="001D36D0" w:rsidP="001D36D0">
      <w:pPr>
        <w:pStyle w:val="NIHRCFootnotes0"/>
      </w:pPr>
      <w:r>
        <w:rPr>
          <w:rStyle w:val="FootnoteReference"/>
          <w:rFonts w:eastAsia="Times New Roman"/>
        </w:rPr>
        <w:footnoteRef/>
      </w:r>
      <w:r>
        <w:t xml:space="preserve">  Email correspondence from the Department of Health to the NI Human Rights Commission, 12 April 2021. </w:t>
      </w:r>
    </w:p>
  </w:footnote>
  <w:footnote w:id="205">
    <w:p w14:paraId="29DFD624" w14:textId="77777777" w:rsidR="001D36D0" w:rsidRDefault="001D36D0" w:rsidP="001D36D0">
      <w:pPr>
        <w:pStyle w:val="NIHRCFootnotes0"/>
      </w:pPr>
      <w:r>
        <w:rPr>
          <w:rStyle w:val="FootnoteReference"/>
          <w:rFonts w:eastAsia="Times New Roman"/>
        </w:rPr>
        <w:footnoteRef/>
      </w:r>
      <w:r>
        <w:t xml:space="preserve"> NI Human Rights Commission, 'Monitoring Report on Reproductive Healthcare Provision in NI' (NIHRC, 2021).</w:t>
      </w:r>
    </w:p>
  </w:footnote>
  <w:footnote w:id="206">
    <w:p w14:paraId="695EACAB" w14:textId="72DA21CC" w:rsidR="00906C97" w:rsidRDefault="00906C97" w:rsidP="00906C97">
      <w:pPr>
        <w:pStyle w:val="NIHRCFootnotes0"/>
      </w:pPr>
      <w:r>
        <w:rPr>
          <w:rStyle w:val="FootnoteReference"/>
          <w:rFonts w:eastAsia="Times New Roman"/>
        </w:rPr>
        <w:footnoteRef/>
      </w:r>
      <w:r>
        <w:t xml:space="preserve"> </w:t>
      </w:r>
      <w:r>
        <w:rPr>
          <w:i/>
          <w:iCs/>
        </w:rPr>
        <w:t>Re NI Human Rights Commission for Judicial Review</w:t>
      </w:r>
      <w:r>
        <w:t xml:space="preserve"> [2021] NIQB 91; NI Human Rights Commission, 'Monitoring Report on Reproductive Healthcare Provision in NI' (NIHRC, 2021), at 6.1; NI Office, ‘Press Release: Secretary of State issues updated direction to NI’s Department of Health to make abortion services available’, 21 July 2021; NI Office, ‘Press Release: Secretary of State issues updated direction to NI’s Department of Health to make abortion services available’, 26 May 2022; NI Human Rights Commission, ‘Press Release: NI Human Rights Commission’s Chief Commissioner Responds to UK Government Abortion Regulations’, 19 May 2022.</w:t>
      </w:r>
    </w:p>
  </w:footnote>
  <w:footnote w:id="207">
    <w:p w14:paraId="70130E3C" w14:textId="77777777" w:rsidR="00906C97" w:rsidRDefault="00906C97" w:rsidP="00906C97">
      <w:pPr>
        <w:pStyle w:val="NIHRCFootnotes0"/>
      </w:pPr>
      <w:r>
        <w:rPr>
          <w:rStyle w:val="FootnoteReference"/>
        </w:rPr>
        <w:footnoteRef/>
      </w:r>
      <w:r>
        <w:t xml:space="preserve"> Amy Cochrane, ‘Secretary of State to commission abortion services in NI – three years after legalisation’, </w:t>
      </w:r>
      <w:r>
        <w:rPr>
          <w:i/>
          <w:iCs/>
        </w:rPr>
        <w:t>Belfast Telegraph</w:t>
      </w:r>
      <w:r>
        <w:t>, 24 October 2022.</w:t>
      </w:r>
    </w:p>
  </w:footnote>
  <w:footnote w:id="208">
    <w:p w14:paraId="26160624" w14:textId="083F2AB5" w:rsidR="00906C97" w:rsidRDefault="00906C97" w:rsidP="00906C97">
      <w:pPr>
        <w:pStyle w:val="NIHRCFootnotes0"/>
      </w:pPr>
      <w:r>
        <w:rPr>
          <w:rStyle w:val="FootnoteReference"/>
        </w:rPr>
        <w:footnoteRef/>
      </w:r>
      <w:r>
        <w:t xml:space="preserve"> </w:t>
      </w:r>
      <w:r w:rsidR="0082314D">
        <w:t>Ibid.</w:t>
      </w:r>
    </w:p>
  </w:footnote>
  <w:footnote w:id="209">
    <w:p w14:paraId="35F64DBF" w14:textId="04729E63" w:rsidR="00906C97" w:rsidRDefault="00906C97" w:rsidP="00906C97">
      <w:pPr>
        <w:pStyle w:val="NIHRCFootnotes0"/>
      </w:pPr>
      <w:r>
        <w:rPr>
          <w:rStyle w:val="FootnoteReference"/>
        </w:rPr>
        <w:footnoteRef/>
      </w:r>
      <w:r>
        <w:t xml:space="preserve"> </w:t>
      </w:r>
      <w:r>
        <w:rPr>
          <w:lang w:val="en-US"/>
        </w:rPr>
        <w:t xml:space="preserve">NI Abortion and Contraception Task Group, ‘Report on Sexual and Reproductive Health in NI’ (NIACT, 2018); </w:t>
      </w:r>
      <w:r>
        <w:t>CEDAW/C/OP.8/GBR/1, 'UN CEDAW Committee Inquiry Concerning the UK of Great Britain and NI Under Article 8 of the Optional Protocol to the UN CEDAW', 6 March 2018, at 45.</w:t>
      </w:r>
    </w:p>
  </w:footnote>
  <w:footnote w:id="210">
    <w:p w14:paraId="45117AD8" w14:textId="77777777" w:rsidR="00906C97" w:rsidRDefault="00906C97" w:rsidP="00906C97">
      <w:pPr>
        <w:pStyle w:val="NIHRCFootnotes0"/>
      </w:pPr>
      <w:r>
        <w:rPr>
          <w:rStyle w:val="FootnoteReference"/>
        </w:rPr>
        <w:footnoteRef/>
      </w:r>
      <w:r>
        <w:t xml:space="preserve"> </w:t>
      </w:r>
      <w:r>
        <w:rPr>
          <w:lang w:val="en-US"/>
        </w:rPr>
        <w:t>NI Abortion and Contraception Task Group, ‘Report on Sexual and Reproductive Health in NI’ (NIACT, 2018).</w:t>
      </w:r>
    </w:p>
  </w:footnote>
  <w:footnote w:id="211">
    <w:p w14:paraId="7EC1452F" w14:textId="6ADDB2DD" w:rsidR="00FC3184" w:rsidRPr="00970201" w:rsidRDefault="00FC3184" w:rsidP="007C17F8">
      <w:pPr>
        <w:pStyle w:val="NIHRCFootnotes0"/>
      </w:pPr>
      <w:r w:rsidRPr="00970201">
        <w:rPr>
          <w:rStyle w:val="FootnoteReference"/>
        </w:rPr>
        <w:footnoteRef/>
      </w:r>
      <w:r w:rsidRPr="00970201">
        <w:t xml:space="preserve"> CRC/C/GBR/CO/5, ‘UN CRC Committee Concluding Observations on the Fifth Periodic Report of the UK of Great Britain and NI’, 12 July 2016, at 64.</w:t>
      </w:r>
    </w:p>
  </w:footnote>
  <w:footnote w:id="212">
    <w:p w14:paraId="1BC54565" w14:textId="5623C258" w:rsidR="00542930" w:rsidRPr="00970201" w:rsidRDefault="00542930" w:rsidP="007C17F8">
      <w:pPr>
        <w:pStyle w:val="NIHRCFootnotes0"/>
      </w:pPr>
      <w:r w:rsidRPr="00970201">
        <w:rPr>
          <w:rStyle w:val="FootnoteReference"/>
        </w:rPr>
        <w:footnoteRef/>
      </w:r>
      <w:r w:rsidRPr="00970201">
        <w:t xml:space="preserve"> CEDAW/C/OP.8/GBR/1, 'UN CEDAW Committee Inquiry Concerning the </w:t>
      </w:r>
      <w:r w:rsidR="00BE6D5A">
        <w:t>UK</w:t>
      </w:r>
      <w:r w:rsidRPr="00970201">
        <w:t xml:space="preserve"> of Great Britain and </w:t>
      </w:r>
      <w:r w:rsidR="00BE6D5A">
        <w:t>NI</w:t>
      </w:r>
      <w:r w:rsidRPr="00970201">
        <w:t xml:space="preserve"> under Article 8 of the Optional Protocol to the Convention on the Elimination of All Forms of Discrimination against Women', 6 March 2018</w:t>
      </w:r>
      <w:r w:rsidR="0082314D">
        <w:t>.</w:t>
      </w:r>
    </w:p>
  </w:footnote>
  <w:footnote w:id="213">
    <w:p w14:paraId="4D9A7372" w14:textId="2331B173" w:rsidR="00EB3FA2" w:rsidRPr="00AA13BD" w:rsidRDefault="00EB3FA2" w:rsidP="007C17F8">
      <w:pPr>
        <w:pStyle w:val="NIHRCFootnotes0"/>
      </w:pPr>
      <w:r w:rsidRPr="00AA13BD">
        <w:rPr>
          <w:rStyle w:val="FootnoteReference"/>
        </w:rPr>
        <w:footnoteRef/>
      </w:r>
      <w:r w:rsidRPr="00AA13BD">
        <w:t xml:space="preserve"> </w:t>
      </w:r>
      <w:r w:rsidRPr="00AA13BD">
        <w:rPr>
          <w:rFonts w:eastAsia="Verdana" w:cs="Verdana"/>
          <w:lang w:eastAsia="en-GB"/>
        </w:rPr>
        <w:t xml:space="preserve">Sir John Gillen, 'Report into the Law and Procedures in Serious Sexual Offences in </w:t>
      </w:r>
      <w:r w:rsidR="00BE6D5A">
        <w:rPr>
          <w:rFonts w:eastAsia="Verdana" w:cs="Verdana"/>
          <w:lang w:eastAsia="en-GB"/>
        </w:rPr>
        <w:t>NI</w:t>
      </w:r>
      <w:r w:rsidRPr="00AA13BD">
        <w:rPr>
          <w:rFonts w:eastAsia="Verdana" w:cs="Verdana"/>
          <w:lang w:eastAsia="en-GB"/>
        </w:rPr>
        <w:t xml:space="preserve"> - Part 1', (DoJ, 2019)</w:t>
      </w:r>
      <w:r w:rsidR="00385682" w:rsidRPr="00AA13BD">
        <w:rPr>
          <w:rFonts w:eastAsia="Verdana" w:cs="Verdana"/>
          <w:lang w:eastAsia="en-GB"/>
        </w:rPr>
        <w:t>.</w:t>
      </w:r>
    </w:p>
  </w:footnote>
  <w:footnote w:id="214">
    <w:p w14:paraId="5ECE001A" w14:textId="77777777" w:rsidR="00BD1EE0" w:rsidRDefault="00BD1EE0" w:rsidP="00BD1EE0">
      <w:pPr>
        <w:pStyle w:val="NIHRCFootnotes0"/>
      </w:pPr>
      <w:r>
        <w:rPr>
          <w:rStyle w:val="FootnoteReference"/>
          <w:rFonts w:eastAsiaTheme="majorEastAsia"/>
        </w:rPr>
        <w:footnoteRef/>
      </w:r>
      <w:r>
        <w:t xml:space="preserve"> NI Curriculum, 'Relationships and Sexuality Education Guidance: An Update for Post-Primary Schools' (NIC, 2019).</w:t>
      </w:r>
    </w:p>
  </w:footnote>
  <w:footnote w:id="215">
    <w:p w14:paraId="1FE6CA27" w14:textId="77777777" w:rsidR="00BD1EE0" w:rsidRDefault="00BD1EE0" w:rsidP="00BD1EE0">
      <w:pPr>
        <w:pStyle w:val="NIHRCFootnotes0"/>
      </w:pPr>
      <w:r>
        <w:rPr>
          <w:rStyle w:val="FootnoteReference"/>
          <w:rFonts w:eastAsiaTheme="majorEastAsia"/>
        </w:rPr>
        <w:footnoteRef/>
      </w:r>
      <w:r>
        <w:t xml:space="preserve"> Education Authority NI, 'Guidance for Schools, EOTAS Centres and Youth Service on Supporting Transgender Young People' (EANI, 2019).</w:t>
      </w:r>
    </w:p>
  </w:footnote>
  <w:footnote w:id="216">
    <w:p w14:paraId="73E5F270" w14:textId="2D181E52" w:rsidR="00BD1EE0" w:rsidRDefault="00BD1EE0" w:rsidP="00BD1EE0">
      <w:pPr>
        <w:pStyle w:val="NIHRCFootnotes0"/>
      </w:pPr>
      <w:r>
        <w:rPr>
          <w:rStyle w:val="FootnoteReference"/>
          <w:rFonts w:eastAsiaTheme="majorEastAsia"/>
        </w:rPr>
        <w:footnoteRef/>
      </w:r>
      <w:r>
        <w:t xml:space="preserve"> Meeting between Informing Choices and NI Human Rights Commission, 7 August 2020; NI Human Rights Commission roundtable </w:t>
      </w:r>
      <w:r w:rsidR="00332B71">
        <w:t xml:space="preserve">meeting </w:t>
      </w:r>
      <w:r>
        <w:t>with civil society organisations</w:t>
      </w:r>
      <w:r w:rsidR="00CE7A79">
        <w:t xml:space="preserve"> on UN CRC</w:t>
      </w:r>
      <w:r>
        <w:t>, 2 September 2020; Meeting between Brook and NI Human Rights Commission, 30 September 2020.</w:t>
      </w:r>
    </w:p>
  </w:footnote>
  <w:footnote w:id="217">
    <w:p w14:paraId="57929C56" w14:textId="77777777" w:rsidR="00BD1EE0" w:rsidRDefault="00BD1EE0" w:rsidP="00BD1EE0">
      <w:pPr>
        <w:pStyle w:val="NIHRCFootnotes0"/>
      </w:pPr>
      <w:r>
        <w:rPr>
          <w:rStyle w:val="FootnoteReference"/>
          <w:rFonts w:eastAsiaTheme="majorEastAsia"/>
        </w:rPr>
        <w:footnoteRef/>
      </w:r>
      <w:r>
        <w:t xml:space="preserve"> Robbie Meredith, 'Sex education in NI schools is insufficient, says expert panel', </w:t>
      </w:r>
      <w:r>
        <w:rPr>
          <w:i/>
          <w:iCs/>
        </w:rPr>
        <w:t>BBC News</w:t>
      </w:r>
      <w:r>
        <w:t>,</w:t>
      </w:r>
      <w:r>
        <w:rPr>
          <w:i/>
          <w:iCs/>
        </w:rPr>
        <w:t xml:space="preserve"> </w:t>
      </w:r>
      <w:r>
        <w:t>13 March 2021.</w:t>
      </w:r>
    </w:p>
  </w:footnote>
  <w:footnote w:id="218">
    <w:p w14:paraId="2E846D94" w14:textId="77777777" w:rsidR="00BD1EE0" w:rsidRDefault="00BD1EE0" w:rsidP="00BD1EE0">
      <w:pPr>
        <w:pStyle w:val="NIHRCFootnotes0"/>
      </w:pPr>
      <w:r>
        <w:rPr>
          <w:rStyle w:val="FootnoteReference"/>
          <w:rFonts w:eastAsiaTheme="majorEastAsia"/>
        </w:rPr>
        <w:footnoteRef/>
      </w:r>
      <w:r>
        <w:t xml:space="preserve"> NI Assembly Hansard, ‘Strategy to Prevent Violence Against Women and Girls – Sinead Bradley MLA’, 23 March 2021.</w:t>
      </w:r>
    </w:p>
  </w:footnote>
  <w:footnote w:id="219">
    <w:p w14:paraId="296C948B" w14:textId="718CEF53" w:rsidR="00BD1EE0" w:rsidRDefault="00BD1EE0" w:rsidP="00BD1EE0">
      <w:pPr>
        <w:pStyle w:val="NIHRCFootnotes0"/>
      </w:pPr>
      <w:r>
        <w:rPr>
          <w:rStyle w:val="FootnoteReference"/>
          <w:rFonts w:eastAsiaTheme="majorEastAsia"/>
        </w:rPr>
        <w:footnoteRef/>
      </w:r>
      <w:r>
        <w:t xml:space="preserve"> Raise your Voice, 'Press Release: Open letter call for comprehensive R</w:t>
      </w:r>
      <w:r w:rsidR="00770454">
        <w:t>elationship and Sexuality Education</w:t>
      </w:r>
      <w:r>
        <w:t>', 8 April 2021.</w:t>
      </w:r>
    </w:p>
  </w:footnote>
  <w:footnote w:id="220">
    <w:p w14:paraId="7DFB1514" w14:textId="73B801F6" w:rsidR="00285BC9" w:rsidRDefault="00285BC9" w:rsidP="00FC1563">
      <w:pPr>
        <w:pStyle w:val="NIHRCFootnotes0"/>
      </w:pPr>
      <w:r>
        <w:rPr>
          <w:rStyle w:val="FootnoteReference"/>
        </w:rPr>
        <w:footnoteRef/>
      </w:r>
      <w:r>
        <w:t xml:space="preserve"> </w:t>
      </w:r>
      <w:r w:rsidR="00331B9B">
        <w:t>Belfast Climate Commission, ‘Climate Crisis Youth Survey’</w:t>
      </w:r>
      <w:r w:rsidR="00770454">
        <w:t xml:space="preserve"> </w:t>
      </w:r>
      <w:r w:rsidR="00FC1563">
        <w:t>(BCC, 2021).</w:t>
      </w:r>
    </w:p>
  </w:footnote>
  <w:footnote w:id="221">
    <w:p w14:paraId="5F1101C7" w14:textId="3A50F3CC" w:rsidR="000F3B57" w:rsidRPr="0047624B" w:rsidRDefault="000F3B57" w:rsidP="007C17F8">
      <w:pPr>
        <w:pStyle w:val="NIHRCFootnotes0"/>
      </w:pPr>
      <w:r w:rsidRPr="0047624B">
        <w:rPr>
          <w:rStyle w:val="FootnoteReference"/>
        </w:rPr>
        <w:footnoteRef/>
      </w:r>
      <w:r w:rsidRPr="0047624B">
        <w:t xml:space="preserve"> Department for the Economy, </w:t>
      </w:r>
      <w:r w:rsidR="00FF3BEE">
        <w:t>‘</w:t>
      </w:r>
      <w:r w:rsidRPr="0047624B">
        <w:t>Energy Strategy - Path to Net Zero Energy</w:t>
      </w:r>
      <w:r w:rsidR="00FF3BEE">
        <w:t>’</w:t>
      </w:r>
      <w:r w:rsidRPr="0047624B">
        <w:t xml:space="preserve"> (DfE, 2021)</w:t>
      </w:r>
      <w:r w:rsidR="00FF3BEE">
        <w:t>.</w:t>
      </w:r>
    </w:p>
  </w:footnote>
  <w:footnote w:id="222">
    <w:p w14:paraId="21A2380C" w14:textId="3F6B67EC" w:rsidR="00153826" w:rsidRPr="00023092" w:rsidRDefault="00153826" w:rsidP="007C17F8">
      <w:pPr>
        <w:pStyle w:val="NIHRCFootnotes0"/>
      </w:pPr>
      <w:r w:rsidRPr="005C5AFD">
        <w:rPr>
          <w:rStyle w:val="FootnoteReference"/>
        </w:rPr>
        <w:footnoteRef/>
      </w:r>
      <w:r w:rsidRPr="005C5AFD">
        <w:t xml:space="preserve"> </w:t>
      </w:r>
      <w:r w:rsidR="00FF3BEE" w:rsidRPr="005C5AFD">
        <w:t xml:space="preserve">Department </w:t>
      </w:r>
      <w:r w:rsidR="005C5AFD" w:rsidRPr="005C5AFD">
        <w:t xml:space="preserve">of Agriculture, Environment and Rural Affairs, ‘Environment Strategy Consultation’ (DAERA, </w:t>
      </w:r>
      <w:r w:rsidR="005C5AFD" w:rsidRPr="00023092">
        <w:t>2021).</w:t>
      </w:r>
    </w:p>
  </w:footnote>
  <w:footnote w:id="223">
    <w:p w14:paraId="0D1AEE79" w14:textId="77777777" w:rsidR="0068410E" w:rsidRPr="0086262A" w:rsidRDefault="0068410E" w:rsidP="0068410E">
      <w:pPr>
        <w:pStyle w:val="FootnoteText"/>
        <w:rPr>
          <w:color w:val="77328A"/>
          <w:sz w:val="16"/>
          <w:szCs w:val="16"/>
        </w:rPr>
      </w:pPr>
      <w:r w:rsidRPr="0086262A">
        <w:rPr>
          <w:rStyle w:val="FootnoteReference"/>
          <w:color w:val="77328A"/>
          <w:sz w:val="16"/>
          <w:szCs w:val="16"/>
        </w:rPr>
        <w:footnoteRef/>
      </w:r>
      <w:r w:rsidRPr="0086262A">
        <w:rPr>
          <w:color w:val="77328A"/>
          <w:sz w:val="16"/>
          <w:szCs w:val="16"/>
        </w:rPr>
        <w:t xml:space="preserve"> Department of </w:t>
      </w:r>
      <w:r w:rsidRPr="0086262A">
        <w:rPr>
          <w:bCs/>
          <w:color w:val="77328A"/>
          <w:sz w:val="16"/>
          <w:szCs w:val="16"/>
        </w:rPr>
        <w:t>Agriculture, Environment and Rural Affairs, ‘Air Pollution in NI 2021’ (DAERA, 2022) at 4.</w:t>
      </w:r>
    </w:p>
  </w:footnote>
  <w:footnote w:id="224">
    <w:p w14:paraId="5D3B5985" w14:textId="77777777" w:rsidR="0068410E" w:rsidRPr="0086262A" w:rsidRDefault="0068410E" w:rsidP="0068410E">
      <w:pPr>
        <w:pStyle w:val="FootnoteText"/>
        <w:rPr>
          <w:color w:val="77328A"/>
          <w:sz w:val="16"/>
          <w:szCs w:val="16"/>
        </w:rPr>
      </w:pPr>
      <w:r w:rsidRPr="0086262A">
        <w:rPr>
          <w:rStyle w:val="FootnoteReference"/>
          <w:color w:val="77328A"/>
          <w:sz w:val="16"/>
          <w:szCs w:val="16"/>
        </w:rPr>
        <w:footnoteRef/>
      </w:r>
      <w:r w:rsidRPr="0086262A">
        <w:rPr>
          <w:color w:val="77328A"/>
          <w:sz w:val="16"/>
          <w:szCs w:val="16"/>
        </w:rPr>
        <w:t xml:space="preserve"> </w:t>
      </w:r>
      <w:r>
        <w:rPr>
          <w:color w:val="77328A"/>
          <w:sz w:val="16"/>
          <w:szCs w:val="16"/>
        </w:rPr>
        <w:t>British Heart Foundation, ‘</w:t>
      </w:r>
      <w:r w:rsidRPr="0086262A">
        <w:rPr>
          <w:color w:val="77328A"/>
          <w:sz w:val="16"/>
          <w:szCs w:val="16"/>
        </w:rPr>
        <w:t>Heart and circulatory disease pollution deaths on island of Ireland could reach 12,000 by 2030</w:t>
      </w:r>
      <w:r>
        <w:rPr>
          <w:color w:val="77328A"/>
          <w:sz w:val="16"/>
          <w:szCs w:val="16"/>
        </w:rPr>
        <w:t xml:space="preserve">’. Available at: </w:t>
      </w:r>
      <w:r w:rsidRPr="0086262A">
        <w:rPr>
          <w:color w:val="77328A"/>
          <w:sz w:val="16"/>
          <w:szCs w:val="16"/>
        </w:rPr>
        <w:t>https://www.bhf.org.uk/what-we-do/news-from-the-bhf/news-archive/2021/april/bhf-ni-and-ihf-air-pollution-warning</w:t>
      </w:r>
    </w:p>
  </w:footnote>
  <w:footnote w:id="225">
    <w:p w14:paraId="48E61AAF" w14:textId="4162C750" w:rsidR="0068410E" w:rsidRDefault="0068410E" w:rsidP="0068410E">
      <w:pPr>
        <w:pStyle w:val="FootnoteText"/>
      </w:pPr>
      <w:r w:rsidRPr="0086262A">
        <w:rPr>
          <w:rStyle w:val="FootnoteReference"/>
          <w:color w:val="77328A"/>
          <w:sz w:val="16"/>
          <w:szCs w:val="16"/>
        </w:rPr>
        <w:footnoteRef/>
      </w:r>
      <w:r w:rsidRPr="0086262A">
        <w:rPr>
          <w:color w:val="77328A"/>
        </w:rPr>
        <w:t xml:space="preserve"> </w:t>
      </w:r>
      <w:r w:rsidRPr="0086262A">
        <w:rPr>
          <w:color w:val="77328A"/>
          <w:sz w:val="16"/>
          <w:szCs w:val="16"/>
        </w:rPr>
        <w:t xml:space="preserve">Department of </w:t>
      </w:r>
      <w:r w:rsidRPr="0086262A">
        <w:rPr>
          <w:bCs/>
          <w:color w:val="77328A"/>
          <w:sz w:val="16"/>
          <w:szCs w:val="16"/>
        </w:rPr>
        <w:t>Agriculture, Environment and Rural Affairs</w:t>
      </w:r>
      <w:r>
        <w:rPr>
          <w:bCs/>
          <w:color w:val="77328A"/>
          <w:sz w:val="16"/>
          <w:szCs w:val="16"/>
        </w:rPr>
        <w:t>, ‘Press Release: High air pollution in NI’</w:t>
      </w:r>
      <w:r w:rsidR="009D4271">
        <w:rPr>
          <w:bCs/>
          <w:color w:val="77328A"/>
          <w:sz w:val="16"/>
          <w:szCs w:val="16"/>
        </w:rPr>
        <w:t>,</w:t>
      </w:r>
      <w:r>
        <w:rPr>
          <w:bCs/>
          <w:color w:val="77328A"/>
          <w:sz w:val="16"/>
          <w:szCs w:val="16"/>
        </w:rPr>
        <w:t xml:space="preserve"> 11 December 2022.</w:t>
      </w:r>
    </w:p>
  </w:footnote>
  <w:footnote w:id="226">
    <w:p w14:paraId="50400A79" w14:textId="77777777" w:rsidR="0086262A" w:rsidRPr="0047624B" w:rsidRDefault="0086262A" w:rsidP="0086262A">
      <w:pPr>
        <w:pStyle w:val="NIHRCFootnotes0"/>
      </w:pPr>
      <w:r w:rsidRPr="0047624B">
        <w:rPr>
          <w:rStyle w:val="FootnoteReference"/>
        </w:rPr>
        <w:footnoteRef/>
      </w:r>
      <w:r w:rsidRPr="0047624B">
        <w:t xml:space="preserve"> Climate Change Act (N</w:t>
      </w:r>
      <w:r>
        <w:t>I</w:t>
      </w:r>
      <w:r w:rsidRPr="0047624B">
        <w:t>) 2022</w:t>
      </w:r>
      <w:r>
        <w:t xml:space="preserve">. </w:t>
      </w:r>
      <w:r w:rsidRPr="00882419">
        <w:t>It includes a target for net zero greenhouse gas emissions by 2050; the appointment of an independent Climate Commissioner; and provisions for a Just Transition Fund to support sectors to deliver their contribution to the Climate Action Plan.</w:t>
      </w:r>
    </w:p>
  </w:footnote>
  <w:footnote w:id="227">
    <w:p w14:paraId="43DE9ED8" w14:textId="77777777" w:rsidR="0086262A" w:rsidRPr="0047624B" w:rsidRDefault="0086262A" w:rsidP="0086262A">
      <w:pPr>
        <w:pStyle w:val="NIHRCFootnotes0"/>
      </w:pPr>
      <w:r w:rsidRPr="0047624B">
        <w:rPr>
          <w:rStyle w:val="FootnoteReference"/>
        </w:rPr>
        <w:footnoteRef/>
      </w:r>
      <w:r w:rsidRPr="0047624B">
        <w:t xml:space="preserve"> </w:t>
      </w:r>
      <w:r>
        <w:t xml:space="preserve">Letter from </w:t>
      </w:r>
      <w:r w:rsidRPr="0047624B">
        <w:t xml:space="preserve">Lord Deben, Chairman of the </w:t>
      </w:r>
      <w:r>
        <w:t>Climate Change Committee</w:t>
      </w:r>
      <w:r w:rsidRPr="0047624B">
        <w:t>, 25 March 2022</w:t>
      </w:r>
      <w:r>
        <w:t>.</w:t>
      </w:r>
    </w:p>
  </w:footnote>
  <w:footnote w:id="228">
    <w:p w14:paraId="4E80AAF8" w14:textId="77777777" w:rsidR="0086262A" w:rsidRPr="00811257" w:rsidRDefault="0086262A" w:rsidP="0086262A">
      <w:pPr>
        <w:pStyle w:val="NIHRCFootnotes0"/>
      </w:pPr>
      <w:r w:rsidRPr="00811257">
        <w:rPr>
          <w:rStyle w:val="FootnoteReference"/>
        </w:rPr>
        <w:footnoteRef/>
      </w:r>
      <w:r w:rsidRPr="00811257">
        <w:t xml:space="preserve"> Climate Change Committee, ‘Progress in reducing emissions 2022 Report to Parliament’ (CCC, 2022), at 95.</w:t>
      </w:r>
    </w:p>
  </w:footnote>
  <w:footnote w:id="229">
    <w:p w14:paraId="422B1254" w14:textId="3B8DC5EB" w:rsidR="00FC3184" w:rsidRPr="00EF1249" w:rsidRDefault="00FC3184" w:rsidP="007C17F8">
      <w:pPr>
        <w:pStyle w:val="NIHRCFootnotes0"/>
      </w:pPr>
      <w:r w:rsidRPr="00EF1249">
        <w:rPr>
          <w:rStyle w:val="FootnoteReference"/>
        </w:rPr>
        <w:footnoteRef/>
      </w:r>
      <w:r w:rsidRPr="00EF1249">
        <w:t xml:space="preserve"> CRC/C/GBR/CO/5, ‘UN CRC Committee Concluding Observations on the Fifth Periodic Report of the UK of Great Britain and NI’, 3 June 2016, at 12.</w:t>
      </w:r>
    </w:p>
  </w:footnote>
  <w:footnote w:id="230">
    <w:p w14:paraId="59A14487" w14:textId="396862D5" w:rsidR="00FC3184" w:rsidRPr="00EF1249" w:rsidRDefault="00FC3184" w:rsidP="007C17F8">
      <w:pPr>
        <w:pStyle w:val="NIHRCFootnotes0"/>
      </w:pPr>
      <w:r w:rsidRPr="00EF1249">
        <w:rPr>
          <w:rStyle w:val="FootnoteReference"/>
        </w:rPr>
        <w:footnoteRef/>
      </w:r>
      <w:r w:rsidRPr="00EF1249">
        <w:t xml:space="preserve"> House of Commons Hansard, ‘Written Answers: Social Security Benefits: Disability – Column 299W-300W’, 9 April 2014.</w:t>
      </w:r>
    </w:p>
  </w:footnote>
  <w:footnote w:id="231">
    <w:p w14:paraId="2D97F097" w14:textId="2C5C1161" w:rsidR="00FC3184" w:rsidRPr="00EF1249" w:rsidRDefault="00FC3184" w:rsidP="007C17F8">
      <w:pPr>
        <w:pStyle w:val="NIHRCFootnotes0"/>
      </w:pPr>
      <w:r w:rsidRPr="00EF1249">
        <w:rPr>
          <w:rStyle w:val="FootnoteReference"/>
        </w:rPr>
        <w:footnoteRef/>
      </w:r>
      <w:r w:rsidRPr="00EF1249">
        <w:t xml:space="preserve"> Howard Reed and Jonathan </w:t>
      </w:r>
      <w:proofErr w:type="spellStart"/>
      <w:r w:rsidRPr="00EF1249">
        <w:t>Portes</w:t>
      </w:r>
      <w:proofErr w:type="spellEnd"/>
      <w:r w:rsidRPr="00EF1249">
        <w:t>, ‘The Cumulative Impact Assessment of Tax and Social Security Reforms in NI’ (NIHRC, 2019).</w:t>
      </w:r>
    </w:p>
  </w:footnote>
  <w:footnote w:id="232">
    <w:p w14:paraId="54135A0C" w14:textId="340CFCE4" w:rsidR="00FC3184" w:rsidRPr="00EF1249" w:rsidRDefault="00FC3184" w:rsidP="007C17F8">
      <w:pPr>
        <w:pStyle w:val="NIHRCFootnotes0"/>
      </w:pPr>
      <w:r w:rsidRPr="00EF1249">
        <w:rPr>
          <w:rStyle w:val="FootnoteReference"/>
        </w:rPr>
        <w:footnoteRef/>
      </w:r>
      <w:r w:rsidRPr="00EF1249">
        <w:t xml:space="preserve"> </w:t>
      </w:r>
      <w:r w:rsidR="0082314D">
        <w:t>Ibid</w:t>
      </w:r>
      <w:r w:rsidRPr="00EF1249">
        <w:t xml:space="preserve"> at 62.</w:t>
      </w:r>
    </w:p>
  </w:footnote>
  <w:footnote w:id="233">
    <w:p w14:paraId="1447A2D9" w14:textId="772A60EE" w:rsidR="00FC3184" w:rsidRPr="00EF1249" w:rsidRDefault="00FC3184" w:rsidP="007C17F8">
      <w:pPr>
        <w:pStyle w:val="NIHRCFootnotes0"/>
      </w:pPr>
      <w:r w:rsidRPr="00EF1249">
        <w:rPr>
          <w:rStyle w:val="FootnoteReference"/>
        </w:rPr>
        <w:footnoteRef/>
      </w:r>
      <w:r w:rsidRPr="00EF1249">
        <w:t xml:space="preserve"> </w:t>
      </w:r>
      <w:r w:rsidR="0082314D">
        <w:t>Ibid</w:t>
      </w:r>
      <w:r w:rsidRPr="00EF1249">
        <w:t xml:space="preserve"> at 60.</w:t>
      </w:r>
    </w:p>
  </w:footnote>
  <w:footnote w:id="234">
    <w:p w14:paraId="6CDFEFE5" w14:textId="0FE94518" w:rsidR="00FC3184" w:rsidRPr="00FC3184" w:rsidRDefault="00FC3184" w:rsidP="007C17F8">
      <w:pPr>
        <w:pStyle w:val="NIHRCFootnotes0"/>
        <w:rPr>
          <w:color w:val="7030A0"/>
        </w:rPr>
      </w:pPr>
      <w:r w:rsidRPr="00EF1249">
        <w:rPr>
          <w:rStyle w:val="FootnoteReference"/>
        </w:rPr>
        <w:footnoteRef/>
      </w:r>
      <w:r w:rsidR="00E72A79">
        <w:t xml:space="preserve"> </w:t>
      </w:r>
      <w:r w:rsidR="0082314D">
        <w:t>Ibid</w:t>
      </w:r>
      <w:r w:rsidRPr="00EF1249">
        <w:t xml:space="preserve"> at 76.</w:t>
      </w:r>
    </w:p>
  </w:footnote>
  <w:footnote w:id="235">
    <w:p w14:paraId="6CC8B084" w14:textId="77777777" w:rsidR="007F0145" w:rsidRPr="00D555C9" w:rsidRDefault="007F0145" w:rsidP="007C17F8">
      <w:pPr>
        <w:pStyle w:val="NIHRCFootnotes0"/>
      </w:pPr>
      <w:r w:rsidRPr="00D46508">
        <w:rPr>
          <w:rStyle w:val="FootnoteReference"/>
        </w:rPr>
        <w:footnoteRef/>
      </w:r>
      <w:r w:rsidRPr="00D46508">
        <w:t xml:space="preserve"> Department for Communities, 'Press Release: </w:t>
      </w:r>
      <w:proofErr w:type="spellStart"/>
      <w:r>
        <w:t>Hargey</w:t>
      </w:r>
      <w:proofErr w:type="spellEnd"/>
      <w:r>
        <w:t xml:space="preserve"> welcomes independent review panel’s findings on welfare mitigations’, 25 October 2022.</w:t>
      </w:r>
    </w:p>
  </w:footnote>
  <w:footnote w:id="236">
    <w:p w14:paraId="6F2D4B4F" w14:textId="08FBD7D4" w:rsidR="00061724" w:rsidRDefault="00061724" w:rsidP="00061724">
      <w:pPr>
        <w:pStyle w:val="NIHRCFootnotes0"/>
      </w:pPr>
      <w:r>
        <w:rPr>
          <w:rStyle w:val="FootnoteReference"/>
        </w:rPr>
        <w:footnoteRef/>
      </w:r>
      <w:r>
        <w:t xml:space="preserve"> Department for Communities, ‘Welfare Mitigations Review: Independent Advisory Panel Report’ (DfC, 2022), at 37.</w:t>
      </w:r>
    </w:p>
  </w:footnote>
  <w:footnote w:id="237">
    <w:p w14:paraId="36836B85" w14:textId="3A38C163" w:rsidR="00380ACF" w:rsidRDefault="00380ACF" w:rsidP="00283707">
      <w:pPr>
        <w:pStyle w:val="NIHRCFootnotes0"/>
      </w:pPr>
      <w:r>
        <w:rPr>
          <w:rStyle w:val="FootnoteReference"/>
        </w:rPr>
        <w:footnoteRef/>
      </w:r>
      <w:r>
        <w:t xml:space="preserve"> </w:t>
      </w:r>
      <w:r w:rsidR="00283707">
        <w:t>Statista, ‘Average Household Size in the UK in 2021, By Region’. Available at: https://www.statista.com/statistics/295548/average-household-size-in-the-uk-by-region/.</w:t>
      </w:r>
    </w:p>
  </w:footnote>
  <w:footnote w:id="238">
    <w:p w14:paraId="30E745B7" w14:textId="4DC1BA62" w:rsidR="00FC3184" w:rsidRPr="00EF1249" w:rsidRDefault="00FC3184" w:rsidP="007C17F8">
      <w:pPr>
        <w:pStyle w:val="NIHRCFootnotes0"/>
      </w:pPr>
      <w:r w:rsidRPr="00EF1249">
        <w:rPr>
          <w:rStyle w:val="FootnoteReference"/>
        </w:rPr>
        <w:footnoteRef/>
      </w:r>
      <w:r w:rsidRPr="00EF1249">
        <w:t xml:space="preserve"> House of Commons Hansard, ‘Response to Written Question – Two Child Tax Credit Limit – Steve Barclay MP – UIN 87710’, 14 September 2020.</w:t>
      </w:r>
    </w:p>
  </w:footnote>
  <w:footnote w:id="239">
    <w:p w14:paraId="336A3FA5" w14:textId="6E2EE462" w:rsidR="00FC3184" w:rsidRPr="00EF1249" w:rsidRDefault="00FC3184" w:rsidP="007C17F8">
      <w:pPr>
        <w:pStyle w:val="NIHRCFootnotes0"/>
      </w:pPr>
      <w:r w:rsidRPr="00EF1249">
        <w:rPr>
          <w:rStyle w:val="FootnoteReference"/>
        </w:rPr>
        <w:footnoteRef/>
      </w:r>
      <w:r w:rsidRPr="00EF1249">
        <w:t xml:space="preserve"> </w:t>
      </w:r>
      <w:r w:rsidR="0082314D">
        <w:t>Ibid.</w:t>
      </w:r>
    </w:p>
  </w:footnote>
  <w:footnote w:id="240">
    <w:p w14:paraId="5A2B08F6" w14:textId="48B06242" w:rsidR="00FC3184" w:rsidRPr="00EF1249" w:rsidRDefault="00FC3184" w:rsidP="007C17F8">
      <w:pPr>
        <w:pStyle w:val="NIHRCFootnotes0"/>
      </w:pPr>
      <w:r w:rsidRPr="00EF1249">
        <w:rPr>
          <w:rStyle w:val="FootnoteReference"/>
        </w:rPr>
        <w:footnoteRef/>
      </w:r>
      <w:r w:rsidRPr="00EF1249">
        <w:t xml:space="preserve"> Howard Reed and Jonathan </w:t>
      </w:r>
      <w:proofErr w:type="spellStart"/>
      <w:r w:rsidRPr="00EF1249">
        <w:t>Portes</w:t>
      </w:r>
      <w:proofErr w:type="spellEnd"/>
      <w:r w:rsidRPr="00EF1249">
        <w:t>, ‘The Cumulative Impact Assessment of Tax and Social Security Reforms in NI’ (NIHRC, 2019), at 24.</w:t>
      </w:r>
    </w:p>
  </w:footnote>
  <w:footnote w:id="241">
    <w:p w14:paraId="1B2330BA" w14:textId="5FAD58A8" w:rsidR="00FC3184" w:rsidRPr="00EF1249" w:rsidRDefault="00FC3184" w:rsidP="007C17F8">
      <w:pPr>
        <w:pStyle w:val="NIHRCFootnotes0"/>
      </w:pPr>
      <w:r w:rsidRPr="00EF1249">
        <w:rPr>
          <w:rStyle w:val="FootnoteReference"/>
        </w:rPr>
        <w:footnoteRef/>
      </w:r>
      <w:r w:rsidRPr="00EF1249">
        <w:t xml:space="preserve"> </w:t>
      </w:r>
      <w:r w:rsidR="007B23FB">
        <w:t>Ibid</w:t>
      </w:r>
      <w:r w:rsidRPr="00EF1249">
        <w:t xml:space="preserve"> at 82.</w:t>
      </w:r>
    </w:p>
  </w:footnote>
  <w:footnote w:id="242">
    <w:p w14:paraId="5002A857" w14:textId="22D3F360" w:rsidR="00FC3184" w:rsidRPr="00EF1249" w:rsidRDefault="00FC3184" w:rsidP="007C17F8">
      <w:pPr>
        <w:pStyle w:val="NIHRCFootnotes0"/>
      </w:pPr>
      <w:r w:rsidRPr="00EF1249">
        <w:rPr>
          <w:rStyle w:val="FootnoteReference"/>
        </w:rPr>
        <w:footnoteRef/>
      </w:r>
      <w:r w:rsidRPr="00EF1249">
        <w:t xml:space="preserve"> </w:t>
      </w:r>
      <w:r w:rsidR="007B23FB">
        <w:t>Ibid</w:t>
      </w:r>
      <w:r w:rsidRPr="00EF1249">
        <w:t xml:space="preserve"> at 85.</w:t>
      </w:r>
    </w:p>
  </w:footnote>
  <w:footnote w:id="243">
    <w:p w14:paraId="56070A73" w14:textId="6AF6CF52" w:rsidR="00BA44C8" w:rsidRDefault="00BA44C8" w:rsidP="008325DF">
      <w:pPr>
        <w:pStyle w:val="NIHRCFootnotes0"/>
      </w:pPr>
      <w:r>
        <w:rPr>
          <w:rStyle w:val="FootnoteReference"/>
        </w:rPr>
        <w:footnoteRef/>
      </w:r>
      <w:r>
        <w:t xml:space="preserve"> Child Poverty Action Group, ‘</w:t>
      </w:r>
      <w:r w:rsidR="00C75BA5">
        <w:t xml:space="preserve">Press Release: </w:t>
      </w:r>
      <w:r w:rsidR="008325DF">
        <w:t xml:space="preserve">Families hit by two-child limit face additional £900-plus shortfall this year as costs spiral’, 6 April 2022. </w:t>
      </w:r>
    </w:p>
  </w:footnote>
  <w:footnote w:id="244">
    <w:p w14:paraId="5D12F3F7" w14:textId="4D973DA0" w:rsidR="00217853" w:rsidRDefault="00217853" w:rsidP="00217853">
      <w:pPr>
        <w:pStyle w:val="NIHRCFootnotes0"/>
      </w:pPr>
      <w:r>
        <w:rPr>
          <w:rStyle w:val="FootnoteReference"/>
        </w:rPr>
        <w:footnoteRef/>
      </w:r>
      <w:r>
        <w:t xml:space="preserve"> </w:t>
      </w:r>
      <w:r w:rsidRPr="00A228F5">
        <w:t>Department for Communities, ‘Welfare Mitigations Review: Independent Advisory Panel Report’ (DfC, 2022</w:t>
      </w:r>
      <w:r>
        <w:t>), at 51.</w:t>
      </w:r>
    </w:p>
  </w:footnote>
  <w:footnote w:id="245">
    <w:p w14:paraId="7EAA5D18" w14:textId="0A5B18CD" w:rsidR="002D4F13" w:rsidRDefault="002D4F13" w:rsidP="002D4F13">
      <w:pPr>
        <w:pStyle w:val="NIHRCFootnotes0"/>
      </w:pPr>
      <w:r>
        <w:rPr>
          <w:rStyle w:val="FootnoteReference"/>
        </w:rPr>
        <w:footnoteRef/>
      </w:r>
      <w:r>
        <w:t xml:space="preserve"> </w:t>
      </w:r>
      <w:r w:rsidR="007B23FB">
        <w:t>Ibid.</w:t>
      </w:r>
    </w:p>
  </w:footnote>
  <w:footnote w:id="246">
    <w:p w14:paraId="0576FD96" w14:textId="1D2D4DFE" w:rsidR="0049560F" w:rsidRDefault="0049560F" w:rsidP="00C801DE">
      <w:pPr>
        <w:pStyle w:val="NIHRCFootnotes0"/>
      </w:pPr>
      <w:r>
        <w:rPr>
          <w:rStyle w:val="FootnoteReference"/>
        </w:rPr>
        <w:footnoteRef/>
      </w:r>
      <w:r>
        <w:t xml:space="preserve"> </w:t>
      </w:r>
      <w:r w:rsidR="007B23FB">
        <w:t>Ibid</w:t>
      </w:r>
      <w:r w:rsidR="00C801DE">
        <w:t xml:space="preserve"> at 111</w:t>
      </w:r>
      <w:r w:rsidR="00D22212">
        <w:t>-</w:t>
      </w:r>
      <w:r w:rsidR="00C801DE">
        <w:t>134.</w:t>
      </w:r>
    </w:p>
  </w:footnote>
  <w:footnote w:id="247">
    <w:p w14:paraId="5F0DF5A4" w14:textId="3551F681" w:rsidR="00D62F77" w:rsidRDefault="00D62F77" w:rsidP="007C17F8">
      <w:pPr>
        <w:pStyle w:val="NIHRCFootnotes0"/>
      </w:pPr>
      <w:r w:rsidRPr="00EF1249">
        <w:rPr>
          <w:rStyle w:val="FootnoteReference"/>
        </w:rPr>
        <w:footnoteRef/>
      </w:r>
      <w:r w:rsidRPr="00EF1249">
        <w:t xml:space="preserve"> </w:t>
      </w:r>
      <w:r w:rsidR="007B23FB">
        <w:t>Ibid.</w:t>
      </w:r>
    </w:p>
  </w:footnote>
  <w:footnote w:id="248">
    <w:p w14:paraId="43DC0779" w14:textId="138AA274" w:rsidR="00FC3184" w:rsidRPr="0034434D" w:rsidRDefault="00FC3184" w:rsidP="007C17F8">
      <w:pPr>
        <w:pStyle w:val="NIHRCFootnotes0"/>
      </w:pPr>
      <w:r w:rsidRPr="0034434D">
        <w:rPr>
          <w:rStyle w:val="FootnoteReference"/>
        </w:rPr>
        <w:footnoteRef/>
      </w:r>
      <w:r w:rsidRPr="0034434D">
        <w:rPr>
          <w:rFonts w:eastAsia="Verdana" w:cs="Verdana"/>
        </w:rPr>
        <w:t xml:space="preserve"> </w:t>
      </w:r>
      <w:r w:rsidR="00966E6E">
        <w:t xml:space="preserve">The Department for Communities advises that </w:t>
      </w:r>
      <w:r w:rsidR="00966E6E">
        <w:rPr>
          <w:rFonts w:eastAsia="Verdana" w:cs="Verdana"/>
        </w:rPr>
        <w:t>d</w:t>
      </w:r>
      <w:r w:rsidR="00966E6E" w:rsidRPr="009A0E02">
        <w:rPr>
          <w:rFonts w:eastAsia="Verdana" w:cs="Verdana"/>
        </w:rPr>
        <w:t>ata collection for 2020/</w:t>
      </w:r>
      <w:r w:rsidR="00966E6E">
        <w:rPr>
          <w:rFonts w:eastAsia="Verdana" w:cs="Verdana"/>
        </w:rPr>
        <w:t>20</w:t>
      </w:r>
      <w:r w:rsidR="00966E6E" w:rsidRPr="009A0E02">
        <w:rPr>
          <w:rFonts w:eastAsia="Verdana" w:cs="Verdana"/>
        </w:rPr>
        <w:t>21 has been impacted by COVID-19</w:t>
      </w:r>
      <w:r w:rsidR="00966E6E">
        <w:rPr>
          <w:rFonts w:eastAsia="Verdana" w:cs="Verdana"/>
        </w:rPr>
        <w:t xml:space="preserve">, therefore there is no disaggregated data available. See </w:t>
      </w:r>
      <w:r w:rsidRPr="0034434D">
        <w:rPr>
          <w:rFonts w:eastAsia="Verdana" w:cs="Verdana"/>
        </w:rPr>
        <w:t>Department for Communities, '</w:t>
      </w:r>
      <w:r w:rsidR="00C007D7">
        <w:rPr>
          <w:rFonts w:eastAsia="Verdana" w:cs="Verdana"/>
        </w:rPr>
        <w:t xml:space="preserve">NI </w:t>
      </w:r>
      <w:r w:rsidRPr="0034434D">
        <w:rPr>
          <w:rFonts w:eastAsia="Verdana" w:cs="Verdana"/>
        </w:rPr>
        <w:t xml:space="preserve">Poverty Bulletin: </w:t>
      </w:r>
      <w:r w:rsidR="00BE1A33" w:rsidRPr="0034434D">
        <w:rPr>
          <w:rFonts w:eastAsia="Verdana" w:cs="Verdana"/>
        </w:rPr>
        <w:t>20</w:t>
      </w:r>
      <w:r w:rsidR="00895752" w:rsidRPr="0034434D">
        <w:rPr>
          <w:rFonts w:eastAsia="Verdana" w:cs="Verdana"/>
        </w:rPr>
        <w:t>19/</w:t>
      </w:r>
      <w:r w:rsidR="00C007D7">
        <w:rPr>
          <w:rFonts w:eastAsia="Verdana" w:cs="Verdana"/>
        </w:rPr>
        <w:t>20</w:t>
      </w:r>
      <w:r w:rsidR="00895752" w:rsidRPr="0034434D">
        <w:rPr>
          <w:rFonts w:eastAsia="Verdana" w:cs="Verdana"/>
        </w:rPr>
        <w:t>20</w:t>
      </w:r>
      <w:r w:rsidRPr="0034434D">
        <w:rPr>
          <w:rFonts w:eastAsia="Verdana" w:cs="Verdana"/>
        </w:rPr>
        <w:t>' (DfC, 202</w:t>
      </w:r>
      <w:r w:rsidR="00895752" w:rsidRPr="0034434D">
        <w:rPr>
          <w:rFonts w:eastAsia="Verdana" w:cs="Verdana"/>
        </w:rPr>
        <w:t>1</w:t>
      </w:r>
      <w:r w:rsidRPr="0034434D">
        <w:rPr>
          <w:rFonts w:eastAsia="Verdana" w:cs="Verdana"/>
        </w:rPr>
        <w:t>)</w:t>
      </w:r>
      <w:r w:rsidR="004E2AAD" w:rsidRPr="0034434D">
        <w:rPr>
          <w:rFonts w:eastAsia="Verdana" w:cs="Verdana"/>
        </w:rPr>
        <w:t>,</w:t>
      </w:r>
      <w:r w:rsidRPr="0034434D">
        <w:rPr>
          <w:rFonts w:eastAsia="Verdana" w:cs="Verdana"/>
        </w:rPr>
        <w:t xml:space="preserve"> at </w:t>
      </w:r>
      <w:r w:rsidR="00EE7082" w:rsidRPr="0034434D">
        <w:rPr>
          <w:rFonts w:eastAsia="Verdana" w:cs="Verdana"/>
        </w:rPr>
        <w:t xml:space="preserve">Table </w:t>
      </w:r>
      <w:r w:rsidR="00784BCE" w:rsidRPr="0034434D">
        <w:rPr>
          <w:rFonts w:eastAsia="Verdana" w:cs="Verdana"/>
        </w:rPr>
        <w:t>1</w:t>
      </w:r>
      <w:r w:rsidRPr="0034434D">
        <w:rPr>
          <w:rFonts w:eastAsia="Verdana" w:cs="Verdana"/>
        </w:rPr>
        <w:t>.</w:t>
      </w:r>
    </w:p>
  </w:footnote>
  <w:footnote w:id="249">
    <w:p w14:paraId="3450C245" w14:textId="2BF2A0F7" w:rsidR="009A2BFC" w:rsidRDefault="009A2BFC" w:rsidP="00533245">
      <w:pPr>
        <w:pStyle w:val="NIHRCFootnotes0"/>
      </w:pPr>
      <w:r>
        <w:rPr>
          <w:rStyle w:val="FootnoteReference"/>
        </w:rPr>
        <w:footnoteRef/>
      </w:r>
      <w:r>
        <w:t xml:space="preserve"> </w:t>
      </w:r>
      <w:r w:rsidR="00947EA4">
        <w:t>Note that these forecasts were made before the</w:t>
      </w:r>
      <w:r w:rsidR="00A26119">
        <w:t xml:space="preserve"> UK</w:t>
      </w:r>
      <w:r w:rsidR="00947EA4">
        <w:t xml:space="preserve"> Government’s Energy Price Guarantee announcement on 8 September 2022 or fiscal statement on 23 September 2022: UK Parliament, ‘</w:t>
      </w:r>
      <w:r w:rsidR="00A26119">
        <w:t xml:space="preserve">House of </w:t>
      </w:r>
      <w:r w:rsidR="00947EA4">
        <w:t>Commons Library</w:t>
      </w:r>
      <w:r w:rsidR="00A26119">
        <w:t xml:space="preserve"> </w:t>
      </w:r>
      <w:r w:rsidR="00947EA4">
        <w:t>Research Briefing</w:t>
      </w:r>
      <w:r w:rsidR="00A26119">
        <w:t xml:space="preserve"> – Poverty in the UK: </w:t>
      </w:r>
      <w:r w:rsidR="00E32BF4">
        <w:t>S</w:t>
      </w:r>
      <w:r w:rsidR="00A26119">
        <w:t>tatistics’</w:t>
      </w:r>
      <w:r w:rsidR="00947EA4">
        <w:t xml:space="preserve"> (</w:t>
      </w:r>
      <w:proofErr w:type="spellStart"/>
      <w:r w:rsidR="00947EA4">
        <w:t>HoC</w:t>
      </w:r>
      <w:proofErr w:type="spellEnd"/>
      <w:r w:rsidR="00947EA4">
        <w:t>, 2022)</w:t>
      </w:r>
      <w:r w:rsidR="00A26119">
        <w:t>,</w:t>
      </w:r>
      <w:r w:rsidR="00947EA4">
        <w:t xml:space="preserve"> at 16.</w:t>
      </w:r>
    </w:p>
  </w:footnote>
  <w:footnote w:id="250">
    <w:p w14:paraId="1BDDF3A2" w14:textId="388A6B2D" w:rsidR="00FC3184" w:rsidRPr="0034434D" w:rsidRDefault="00FC3184" w:rsidP="007C17F8">
      <w:pPr>
        <w:pStyle w:val="NIHRCFootnotes0"/>
      </w:pPr>
      <w:r w:rsidRPr="0034434D">
        <w:rPr>
          <w:rStyle w:val="FootnoteReference"/>
          <w:rFonts w:eastAsiaTheme="majorEastAsia"/>
        </w:rPr>
        <w:footnoteRef/>
      </w:r>
      <w:r w:rsidRPr="0034434D">
        <w:rPr>
          <w:rFonts w:eastAsia="Verdana" w:cs="Verdana"/>
        </w:rPr>
        <w:t xml:space="preserve"> NI Executive, 'The Executive's Child Poverty Strategy' (NI</w:t>
      </w:r>
      <w:r w:rsidR="004029AA">
        <w:rPr>
          <w:rFonts w:eastAsia="Verdana" w:cs="Verdana"/>
        </w:rPr>
        <w:t>E</w:t>
      </w:r>
      <w:r w:rsidRPr="0034434D">
        <w:rPr>
          <w:rFonts w:eastAsia="Verdana" w:cs="Verdana"/>
        </w:rPr>
        <w:t xml:space="preserve">, 2016); </w:t>
      </w:r>
      <w:r w:rsidRPr="0034434D">
        <w:t>Department for Communities, ‘Press Release: Minister announces extension to Child Poverty Strategy’, 11 September 2020.</w:t>
      </w:r>
    </w:p>
  </w:footnote>
  <w:footnote w:id="251">
    <w:p w14:paraId="0D5B40D0" w14:textId="77777777" w:rsidR="00FC3184" w:rsidRPr="0034434D" w:rsidRDefault="00FC3184" w:rsidP="007C17F8">
      <w:pPr>
        <w:pStyle w:val="NIHRCFootnotes0"/>
      </w:pPr>
      <w:r w:rsidRPr="0034434D">
        <w:rPr>
          <w:rStyle w:val="FootnoteReference"/>
          <w:rFonts w:eastAsiaTheme="majorEastAsia"/>
        </w:rPr>
        <w:footnoteRef/>
      </w:r>
      <w:r w:rsidRPr="0034434D">
        <w:t xml:space="preserve"> NI Office, ‘New Decade, New Approach’ (NIO, 2020), at 27.</w:t>
      </w:r>
    </w:p>
  </w:footnote>
  <w:footnote w:id="252">
    <w:p w14:paraId="6BD0D1DE" w14:textId="4925AA3D" w:rsidR="00CC4BF0" w:rsidRPr="0034434D" w:rsidRDefault="00CC4BF0" w:rsidP="007C17F8">
      <w:pPr>
        <w:pStyle w:val="NIHRCFootnotes0"/>
      </w:pPr>
      <w:r w:rsidRPr="0034434D">
        <w:rPr>
          <w:rStyle w:val="FootnoteReference"/>
        </w:rPr>
        <w:footnoteRef/>
      </w:r>
      <w:r w:rsidRPr="0034434D">
        <w:t xml:space="preserve"> </w:t>
      </w:r>
      <w:r w:rsidRPr="0034434D">
        <w:rPr>
          <w:rFonts w:eastAsia="Verdana" w:cs="Verdana"/>
          <w:lang w:eastAsia="en-GB"/>
        </w:rPr>
        <w:t>Anti-Poverty Strategy Expert Advisory Panel, 'Recommendations for an Anti-Poverty Strategy' (DfC, 2021).</w:t>
      </w:r>
    </w:p>
  </w:footnote>
  <w:footnote w:id="253">
    <w:p w14:paraId="5B6734A6" w14:textId="206023C0" w:rsidR="00FC3184" w:rsidRPr="006B334F" w:rsidRDefault="00FC3184" w:rsidP="007C17F8">
      <w:pPr>
        <w:pStyle w:val="NIHRCFootnotes0"/>
      </w:pPr>
      <w:r w:rsidRPr="006B334F">
        <w:rPr>
          <w:rStyle w:val="FootnoteReference"/>
        </w:rPr>
        <w:footnoteRef/>
      </w:r>
      <w:r w:rsidRPr="006B334F">
        <w:t xml:space="preserve"> CRC/C/GBR/CO/5, ‘UN CRC Committee Concluding Observations on the Fifth Periodic Report of the UK of Great Britain and NI’, 12 July 2016, at 70(e).</w:t>
      </w:r>
    </w:p>
  </w:footnote>
  <w:footnote w:id="254">
    <w:p w14:paraId="360ACA18" w14:textId="3D6992D3" w:rsidR="00FC3184" w:rsidRPr="006B334F" w:rsidRDefault="00FC3184" w:rsidP="007C17F8">
      <w:pPr>
        <w:pStyle w:val="NIHRCFootnotes0"/>
      </w:pPr>
      <w:r w:rsidRPr="006B334F">
        <w:rPr>
          <w:rStyle w:val="FootnoteReference"/>
        </w:rPr>
        <w:footnoteRef/>
      </w:r>
      <w:r w:rsidRPr="006B334F">
        <w:t xml:space="preserve"> NI Statistics and Research Agency, ‘NI Homelessness Bulletin January-June 202</w:t>
      </w:r>
      <w:r w:rsidR="000623C0" w:rsidRPr="006B334F">
        <w:t>2</w:t>
      </w:r>
      <w:r w:rsidRPr="006B334F">
        <w:t>’ (DfC and NIHE, 202</w:t>
      </w:r>
      <w:r w:rsidR="00865673" w:rsidRPr="006B334F">
        <w:t>2</w:t>
      </w:r>
      <w:r w:rsidRPr="006B334F">
        <w:t xml:space="preserve">), at </w:t>
      </w:r>
      <w:r w:rsidR="00865673" w:rsidRPr="006B334F">
        <w:t>1 and 8</w:t>
      </w:r>
      <w:r w:rsidRPr="006B334F">
        <w:t>.</w:t>
      </w:r>
    </w:p>
  </w:footnote>
  <w:footnote w:id="255">
    <w:p w14:paraId="47771659" w14:textId="294FF855" w:rsidR="00FC3184" w:rsidRPr="006B334F" w:rsidRDefault="00FC3184" w:rsidP="007C17F8">
      <w:pPr>
        <w:pStyle w:val="NIHRCFootnotes0"/>
      </w:pPr>
      <w:r w:rsidRPr="006B334F">
        <w:rPr>
          <w:rStyle w:val="FootnoteReference"/>
        </w:rPr>
        <w:footnoteRef/>
      </w:r>
      <w:r w:rsidRPr="006B334F">
        <w:t xml:space="preserve"> </w:t>
      </w:r>
      <w:r w:rsidR="007B23FB">
        <w:t>Ibid</w:t>
      </w:r>
      <w:r w:rsidRPr="006B334F">
        <w:t xml:space="preserve"> at </w:t>
      </w:r>
      <w:r w:rsidR="00C97968" w:rsidRPr="006B334F">
        <w:t>10</w:t>
      </w:r>
      <w:r w:rsidRPr="006B334F">
        <w:t>.</w:t>
      </w:r>
    </w:p>
  </w:footnote>
  <w:footnote w:id="256">
    <w:p w14:paraId="5621BB15" w14:textId="1F32C559" w:rsidR="00FC3184" w:rsidRPr="006B334F" w:rsidRDefault="00FC3184" w:rsidP="007C17F8">
      <w:pPr>
        <w:pStyle w:val="NIHRCFootnotes0"/>
      </w:pPr>
      <w:r w:rsidRPr="006B334F">
        <w:rPr>
          <w:rStyle w:val="FootnoteReference"/>
        </w:rPr>
        <w:footnoteRef/>
      </w:r>
      <w:r w:rsidRPr="006B334F">
        <w:t xml:space="preserve"> </w:t>
      </w:r>
      <w:r w:rsidR="007B23FB">
        <w:t>Ibid</w:t>
      </w:r>
      <w:r w:rsidRPr="006B334F">
        <w:t>.</w:t>
      </w:r>
    </w:p>
  </w:footnote>
  <w:footnote w:id="257">
    <w:p w14:paraId="3B680837" w14:textId="6969FCCF" w:rsidR="009A3665" w:rsidRPr="00B83514" w:rsidRDefault="009A3665" w:rsidP="007C17F8">
      <w:pPr>
        <w:pStyle w:val="NIHRCFootnotes0"/>
      </w:pPr>
      <w:r w:rsidRPr="006B334F">
        <w:rPr>
          <w:rStyle w:val="FootnoteReference"/>
        </w:rPr>
        <w:footnoteRef/>
      </w:r>
      <w:r w:rsidRPr="006B334F">
        <w:t xml:space="preserve"> Department for Social Development, 'Facing the Future: The Housing Strategy for NI 2012-17' (DSD, 2012).</w:t>
      </w:r>
    </w:p>
  </w:footnote>
  <w:footnote w:id="258">
    <w:p w14:paraId="25430566" w14:textId="00E81104" w:rsidR="00F06902" w:rsidRPr="00A6423E" w:rsidRDefault="00F06902" w:rsidP="007C17F8">
      <w:pPr>
        <w:pStyle w:val="NIHRCFootnotes0"/>
      </w:pPr>
      <w:r w:rsidRPr="00A6423E">
        <w:rPr>
          <w:rStyle w:val="FootnoteReference"/>
        </w:rPr>
        <w:footnoteRef/>
      </w:r>
      <w:r w:rsidRPr="00A6423E">
        <w:t xml:space="preserve"> Department for Communities, 'Northern Ireland Housing Bulletin: April</w:t>
      </w:r>
      <w:r w:rsidR="004029AA">
        <w:t>-</w:t>
      </w:r>
      <w:r w:rsidRPr="00A6423E">
        <w:t>June 2022' (NISRA, 2022).</w:t>
      </w:r>
    </w:p>
  </w:footnote>
  <w:footnote w:id="259">
    <w:p w14:paraId="470FC66E" w14:textId="205DF229" w:rsidR="00367E01" w:rsidRPr="00A6423E" w:rsidRDefault="00367E01" w:rsidP="007C17F8">
      <w:pPr>
        <w:pStyle w:val="NIHRCFootnotes0"/>
      </w:pPr>
      <w:r w:rsidRPr="00A6423E">
        <w:rPr>
          <w:rStyle w:val="FootnoteReference"/>
        </w:rPr>
        <w:footnoteRef/>
      </w:r>
      <w:r w:rsidRPr="00A6423E">
        <w:t xml:space="preserve"> </w:t>
      </w:r>
      <w:r w:rsidR="00687A8A" w:rsidRPr="00A6423E">
        <w:t>NI Statistics and Research Agency, 'NI Housing Statistics 2020-</w:t>
      </w:r>
      <w:r w:rsidR="004029AA">
        <w:t>20</w:t>
      </w:r>
      <w:r w:rsidR="00687A8A" w:rsidRPr="00A6423E">
        <w:t>21' (DfC, 2021).</w:t>
      </w:r>
    </w:p>
  </w:footnote>
  <w:footnote w:id="260">
    <w:p w14:paraId="02C8CB87" w14:textId="3B4BBAAB" w:rsidR="00C83017" w:rsidRPr="00A6423E" w:rsidRDefault="00C83017" w:rsidP="007C17F8">
      <w:pPr>
        <w:pStyle w:val="NIHRCFootnotes0"/>
      </w:pPr>
      <w:r w:rsidRPr="00A6423E">
        <w:rPr>
          <w:rStyle w:val="FootnoteReference"/>
        </w:rPr>
        <w:footnoteRef/>
      </w:r>
      <w:r w:rsidRPr="00A6423E">
        <w:t xml:space="preserve"> </w:t>
      </w:r>
      <w:r w:rsidR="008E3045" w:rsidRPr="00A6423E">
        <w:t xml:space="preserve">NI Assembly Hansard, 'Written Answers: </w:t>
      </w:r>
      <w:r w:rsidR="001655C8" w:rsidRPr="00A6423E">
        <w:t xml:space="preserve">Social </w:t>
      </w:r>
      <w:r w:rsidR="008E3045" w:rsidRPr="00A6423E">
        <w:t xml:space="preserve">Housing - Minister for Communities, Deirdre </w:t>
      </w:r>
      <w:proofErr w:type="spellStart"/>
      <w:r w:rsidR="008E3045" w:rsidRPr="00A6423E">
        <w:t>Hargey</w:t>
      </w:r>
      <w:proofErr w:type="spellEnd"/>
      <w:r w:rsidR="008E3045" w:rsidRPr="00A6423E">
        <w:t xml:space="preserve"> MLA - AQW 259/22-27', 1 June 2022.</w:t>
      </w:r>
    </w:p>
  </w:footnote>
  <w:footnote w:id="261">
    <w:p w14:paraId="28102E4C" w14:textId="77777777" w:rsidR="00005E1B" w:rsidRPr="00350B4F" w:rsidRDefault="00005E1B" w:rsidP="007C17F8">
      <w:pPr>
        <w:pStyle w:val="NIHRCFootnotes0"/>
      </w:pPr>
      <w:r w:rsidRPr="00350B4F">
        <w:rPr>
          <w:rStyle w:val="FootnoteReference"/>
        </w:rPr>
        <w:footnoteRef/>
      </w:r>
      <w:r w:rsidRPr="00350B4F">
        <w:t xml:space="preserve"> Correspondence between Independent Food Aid Network and NI Human Rights Commission, 27 January 2020; Advice NI, ‘Turning the Tide: The Growth of Foodbanks in NI’ (Advice NI, 2013), at 6.</w:t>
      </w:r>
    </w:p>
  </w:footnote>
  <w:footnote w:id="262">
    <w:p w14:paraId="0302661E" w14:textId="53216A10" w:rsidR="00FC3184" w:rsidRPr="00350B4F" w:rsidRDefault="00FC3184" w:rsidP="007C17F8">
      <w:pPr>
        <w:pStyle w:val="NIHRCFootnotes0"/>
      </w:pPr>
      <w:r w:rsidRPr="00350B4F">
        <w:rPr>
          <w:rStyle w:val="FootnoteReference"/>
        </w:rPr>
        <w:footnoteRef/>
      </w:r>
      <w:r w:rsidRPr="00350B4F">
        <w:t xml:space="preserve"> </w:t>
      </w:r>
      <w:r w:rsidR="007B23FB">
        <w:t>Ibid.</w:t>
      </w:r>
    </w:p>
  </w:footnote>
  <w:footnote w:id="263">
    <w:p w14:paraId="7A82F1F1" w14:textId="00C9C2CC" w:rsidR="00FC3184" w:rsidRPr="00350B4F" w:rsidRDefault="00FC3184" w:rsidP="007C17F8">
      <w:pPr>
        <w:pStyle w:val="NIHRCFootnotes0"/>
      </w:pPr>
      <w:r w:rsidRPr="00350B4F">
        <w:rPr>
          <w:rStyle w:val="FootnoteReference"/>
        </w:rPr>
        <w:footnoteRef/>
      </w:r>
      <w:r w:rsidRPr="00350B4F">
        <w:t xml:space="preserve"> The Trussell Trust issued 5,286 food parcels to children in NI in 2013/2014. </w:t>
      </w:r>
      <w:r w:rsidRPr="00350B4F">
        <w:rPr>
          <w:i/>
        </w:rPr>
        <w:t xml:space="preserve">See </w:t>
      </w:r>
      <w:r w:rsidRPr="00350B4F">
        <w:t>The Trussell Trust, ‘End of Year Stats’. Available at: https://www.trusselltrust.org/news-and-blog/latest-stats/end-year-stats/#</w:t>
      </w:r>
      <w:r w:rsidR="00DE6011" w:rsidRPr="00350B4F">
        <w:t>children</w:t>
      </w:r>
    </w:p>
  </w:footnote>
  <w:footnote w:id="264">
    <w:p w14:paraId="59FE9784" w14:textId="3B8CE386" w:rsidR="001571BA" w:rsidRPr="00D2679E" w:rsidRDefault="001571BA" w:rsidP="007C17F8">
      <w:pPr>
        <w:pStyle w:val="NIHRCFootnotes0"/>
      </w:pPr>
      <w:r>
        <w:rPr>
          <w:rStyle w:val="FootnoteReference"/>
        </w:rPr>
        <w:footnoteRef/>
      </w:r>
      <w:r>
        <w:t xml:space="preserve"> </w:t>
      </w:r>
      <w:r w:rsidR="00D2679E" w:rsidRPr="00350B4F">
        <w:t>The Trussell Trust, ‘</w:t>
      </w:r>
      <w:r w:rsidR="00F711C9">
        <w:t>Trussell Trust data briefing on end-of-year statistics relating to use of food banks: April 2021 – March 2022’</w:t>
      </w:r>
      <w:r w:rsidR="0074455F">
        <w:t>, (Trussell Trust, 2022), at Table 1.6.</w:t>
      </w:r>
    </w:p>
  </w:footnote>
  <w:footnote w:id="265">
    <w:p w14:paraId="3DB9F87E" w14:textId="338B194B" w:rsidR="00A72682" w:rsidRDefault="00A72682" w:rsidP="00003BD6">
      <w:pPr>
        <w:pStyle w:val="NIHRCFootnotes0"/>
      </w:pPr>
      <w:r>
        <w:rPr>
          <w:rStyle w:val="FootnoteReference"/>
        </w:rPr>
        <w:footnoteRef/>
      </w:r>
      <w:r>
        <w:t xml:space="preserve"> </w:t>
      </w:r>
      <w:r w:rsidR="00003BD6">
        <w:t>UK Parliament, ‘House of Commons Library Research Briefing – Rising cost of living in the UK’ (</w:t>
      </w:r>
      <w:proofErr w:type="spellStart"/>
      <w:r w:rsidR="00003BD6">
        <w:t>HoC</w:t>
      </w:r>
      <w:proofErr w:type="spellEnd"/>
      <w:r w:rsidR="00003BD6">
        <w:t xml:space="preserve">, 2022), at </w:t>
      </w:r>
      <w:r w:rsidR="00684124">
        <w:t>7</w:t>
      </w:r>
      <w:r w:rsidR="00003BD6">
        <w:t>.</w:t>
      </w:r>
    </w:p>
  </w:footnote>
  <w:footnote w:id="266">
    <w:p w14:paraId="6A514E52" w14:textId="5742C594" w:rsidR="00FC3184" w:rsidRPr="00350B4F" w:rsidRDefault="00FC3184" w:rsidP="007C17F8">
      <w:pPr>
        <w:pStyle w:val="NIHRCFootnotes0"/>
      </w:pPr>
      <w:r w:rsidRPr="00350B4F">
        <w:rPr>
          <w:rStyle w:val="FootnoteReference"/>
        </w:rPr>
        <w:footnoteRef/>
      </w:r>
      <w:r w:rsidRPr="00350B4F">
        <w:t xml:space="preserve"> Department of Education, ‘Press Release: Ministers take action in relation to Free School Meals payment’, 26 March 2020; Department of Finance, ‘Press Release: Murphy allocates funds for Health, Childcare and Free School Meals’, 30 June 2020</w:t>
      </w:r>
      <w:r w:rsidR="00B66CBA" w:rsidRPr="00350B4F">
        <w:t xml:space="preserve">; </w:t>
      </w:r>
      <w:bookmarkStart w:id="65" w:name="_Hlk114829413"/>
      <w:r w:rsidR="008006FA" w:rsidRPr="00350B4F">
        <w:t>NI Assembly Hansard, ‘Written Answers:</w:t>
      </w:r>
      <w:r w:rsidR="009A5D58" w:rsidRPr="00350B4F">
        <w:t xml:space="preserve"> Free School Meals – Minister </w:t>
      </w:r>
      <w:r w:rsidR="00EE38FC" w:rsidRPr="00350B4F">
        <w:t>of</w:t>
      </w:r>
      <w:r w:rsidR="009A5D58" w:rsidRPr="00350B4F">
        <w:t xml:space="preserve"> Education</w:t>
      </w:r>
      <w:r w:rsidR="00BC6F76" w:rsidRPr="00350B4F">
        <w:t xml:space="preserve">, Michelle McIlveen MLA </w:t>
      </w:r>
      <w:r w:rsidR="00802D4D" w:rsidRPr="00350B4F">
        <w:t xml:space="preserve">– </w:t>
      </w:r>
      <w:r w:rsidR="00BC6F76" w:rsidRPr="00350B4F">
        <w:t>AQ</w:t>
      </w:r>
      <w:r w:rsidR="009A5D58" w:rsidRPr="00350B4F">
        <w:t>W 947/22-27</w:t>
      </w:r>
      <w:r w:rsidR="00816A7C" w:rsidRPr="00350B4F">
        <w:t xml:space="preserve">, </w:t>
      </w:r>
      <w:r w:rsidR="00F06E00" w:rsidRPr="00350B4F">
        <w:t>20 June 2022</w:t>
      </w:r>
      <w:bookmarkEnd w:id="65"/>
      <w:r w:rsidRPr="00350B4F">
        <w:t>.</w:t>
      </w:r>
    </w:p>
  </w:footnote>
  <w:footnote w:id="267">
    <w:p w14:paraId="623DD7A4" w14:textId="688B3DC7" w:rsidR="00FC3184" w:rsidRPr="00350B4F" w:rsidRDefault="00FC3184" w:rsidP="006F33CA">
      <w:pPr>
        <w:pStyle w:val="NIHRCFootnotes0"/>
      </w:pPr>
      <w:r w:rsidRPr="00350B4F">
        <w:rPr>
          <w:rStyle w:val="FootnoteReference"/>
        </w:rPr>
        <w:footnoteRef/>
      </w:r>
      <w:r w:rsidRPr="00350B4F">
        <w:t xml:space="preserve"> NI Assembly Hansard, ‘Response to Written Questions: Free School Meals – Peter Weir MLA – AQW 7681/17-22’, 8 October 2020; Robbie Meredith, ‘Free school meals: Meals to be funded during holidays until 2022’, </w:t>
      </w:r>
      <w:r w:rsidRPr="00350B4F">
        <w:rPr>
          <w:i/>
        </w:rPr>
        <w:t>BBC News</w:t>
      </w:r>
      <w:r w:rsidRPr="00350B4F">
        <w:t>, 20 November 2020</w:t>
      </w:r>
      <w:r w:rsidR="00A6423E" w:rsidRPr="00350B4F">
        <w:t>.</w:t>
      </w:r>
    </w:p>
  </w:footnote>
  <w:footnote w:id="268">
    <w:p w14:paraId="5E28A323" w14:textId="1E215257" w:rsidR="00177975" w:rsidRPr="00350B4F" w:rsidRDefault="00177975" w:rsidP="007C17F8">
      <w:pPr>
        <w:pStyle w:val="NIHRCFootnotes0"/>
      </w:pPr>
      <w:r w:rsidRPr="00350B4F">
        <w:rPr>
          <w:rStyle w:val="FootnoteReference"/>
        </w:rPr>
        <w:footnoteRef/>
      </w:r>
      <w:r w:rsidRPr="00350B4F">
        <w:t xml:space="preserve"> NI Assembly Hansard, ‘Written Answers: Free School Meals – Minister of Education, Michelle McIlveen MLA – AQW 9</w:t>
      </w:r>
      <w:r w:rsidR="001B540A" w:rsidRPr="00350B4F">
        <w:t>74</w:t>
      </w:r>
      <w:r w:rsidRPr="00350B4F">
        <w:t>/22-27, 2</w:t>
      </w:r>
      <w:r w:rsidR="001B540A" w:rsidRPr="00350B4F">
        <w:t>1</w:t>
      </w:r>
      <w:r w:rsidRPr="00350B4F">
        <w:t xml:space="preserve"> June 2022.</w:t>
      </w:r>
    </w:p>
  </w:footnote>
  <w:footnote w:id="269">
    <w:p w14:paraId="0B73B8BA" w14:textId="0D238C11" w:rsidR="007D458F" w:rsidRPr="00350B4F" w:rsidRDefault="007D458F" w:rsidP="007C17F8">
      <w:pPr>
        <w:pStyle w:val="NIHRCFootnotes0"/>
      </w:pPr>
      <w:r w:rsidRPr="00350B4F">
        <w:rPr>
          <w:rStyle w:val="FootnoteReference"/>
        </w:rPr>
        <w:footnoteRef/>
      </w:r>
      <w:r w:rsidRPr="00350B4F">
        <w:t xml:space="preserve"> </w:t>
      </w:r>
      <w:r w:rsidR="006E0BD9" w:rsidRPr="00350B4F">
        <w:t>NI Assembly Hansard, ‘Written Answers: Free School Meals – Minister of Education, Michelle McIlveen MLA – AQW 30778/17-22</w:t>
      </w:r>
      <w:r w:rsidR="00BF622D" w:rsidRPr="00350B4F">
        <w:t xml:space="preserve">, </w:t>
      </w:r>
      <w:r w:rsidR="00607E4A" w:rsidRPr="00350B4F">
        <w:t>24 March 2022.</w:t>
      </w:r>
    </w:p>
  </w:footnote>
  <w:footnote w:id="270">
    <w:p w14:paraId="2EC8DE6F" w14:textId="77777777" w:rsidR="007E1C01" w:rsidRDefault="007E1C01" w:rsidP="007E1C01">
      <w:pPr>
        <w:pStyle w:val="NIHRCFootnotes0"/>
      </w:pPr>
      <w:r>
        <w:rPr>
          <w:rStyle w:val="FootnoteReference"/>
          <w:rFonts w:eastAsiaTheme="majorEastAsia"/>
        </w:rPr>
        <w:footnoteRef/>
      </w:r>
      <w:r>
        <w:t xml:space="preserve"> Pippa </w:t>
      </w:r>
      <w:proofErr w:type="spellStart"/>
      <w:r>
        <w:t>Cerar</w:t>
      </w:r>
      <w:proofErr w:type="spellEnd"/>
      <w:r>
        <w:t xml:space="preserve">, ‘Two-thirds of UK families could be in fuel poverty by January, research finds’, </w:t>
      </w:r>
      <w:r>
        <w:rPr>
          <w:i/>
          <w:iCs/>
        </w:rPr>
        <w:t xml:space="preserve">The Guardian, </w:t>
      </w:r>
      <w:r>
        <w:t>18 Aug 2022.</w:t>
      </w:r>
    </w:p>
  </w:footnote>
  <w:footnote w:id="271">
    <w:p w14:paraId="439BD311" w14:textId="31D8D174" w:rsidR="00B41D69" w:rsidRDefault="00B41D69" w:rsidP="00FE2D51">
      <w:pPr>
        <w:pStyle w:val="NIHRCFootnotes0"/>
      </w:pPr>
      <w:r>
        <w:rPr>
          <w:rStyle w:val="FootnoteReference"/>
        </w:rPr>
        <w:footnoteRef/>
      </w:r>
      <w:r>
        <w:t xml:space="preserve"> </w:t>
      </w:r>
      <w:r w:rsidR="00FE2D51">
        <w:t>Joseph Rowntree Foundation, ‘UK Poverty 2022 – The essential guide to understanding poverty in the UK’, (JRF, 2022), at 57.</w:t>
      </w:r>
    </w:p>
  </w:footnote>
  <w:footnote w:id="272">
    <w:p w14:paraId="716A8297" w14:textId="23E0E787" w:rsidR="007D39E6" w:rsidRDefault="007D39E6" w:rsidP="007D39E6">
      <w:pPr>
        <w:pStyle w:val="NIHRCFootnotes0"/>
      </w:pPr>
      <w:r>
        <w:rPr>
          <w:rStyle w:val="FootnoteReference"/>
          <w:rFonts w:eastAsiaTheme="majorEastAsia"/>
        </w:rPr>
        <w:footnoteRef/>
      </w:r>
      <w:r>
        <w:t xml:space="preserve"> John Campbell, ‘Cost of living: Home heating oil customers to get £100 payment’, </w:t>
      </w:r>
      <w:r>
        <w:rPr>
          <w:i/>
          <w:iCs/>
        </w:rPr>
        <w:t xml:space="preserve">BBC News, </w:t>
      </w:r>
      <w:r>
        <w:t>21 September 2022</w:t>
      </w:r>
      <w:r w:rsidR="00AB53AA">
        <w:t>; NI Direct, ‘Cost of Living support’. Available at: https://www.nidirect.gov.uk/articles/cost-living-support</w:t>
      </w:r>
      <w:r w:rsidR="003551B4">
        <w:t>.</w:t>
      </w:r>
    </w:p>
  </w:footnote>
  <w:footnote w:id="273">
    <w:p w14:paraId="13105CAF" w14:textId="3457C687" w:rsidR="00700122" w:rsidRDefault="00700122" w:rsidP="00C91FCF">
      <w:pPr>
        <w:pStyle w:val="NIHRCFootnotes0"/>
      </w:pPr>
      <w:r>
        <w:rPr>
          <w:rStyle w:val="FootnoteReference"/>
        </w:rPr>
        <w:footnoteRef/>
      </w:r>
      <w:r>
        <w:t xml:space="preserve"> </w:t>
      </w:r>
      <w:r w:rsidR="00703B7F">
        <w:t>‘Urgent ‘warm banks’ demand’</w:t>
      </w:r>
      <w:r w:rsidR="00920D83">
        <w:t>,</w:t>
      </w:r>
      <w:r w:rsidR="00703B7F">
        <w:t xml:space="preserve"> </w:t>
      </w:r>
      <w:r w:rsidR="007A759C" w:rsidRPr="00C91FCF">
        <w:rPr>
          <w:i/>
          <w:iCs/>
        </w:rPr>
        <w:t>The Irish News</w:t>
      </w:r>
      <w:r w:rsidR="007A759C">
        <w:t xml:space="preserve">, 18 October 2022; </w:t>
      </w:r>
      <w:r w:rsidR="003036FB">
        <w:t xml:space="preserve">Richard </w:t>
      </w:r>
      <w:proofErr w:type="spellStart"/>
      <w:r w:rsidR="003036FB">
        <w:t>Vernalls</w:t>
      </w:r>
      <w:proofErr w:type="spellEnd"/>
      <w:r w:rsidR="003036FB">
        <w:t>, ‘</w:t>
      </w:r>
      <w:r w:rsidR="003036FB" w:rsidRPr="003036FB">
        <w:t>More councils looking at ‘warm banks’ for residents amid rising energy bills</w:t>
      </w:r>
      <w:r w:rsidR="003036FB">
        <w:t>’</w:t>
      </w:r>
      <w:r w:rsidR="00920D83">
        <w:t>,</w:t>
      </w:r>
      <w:r w:rsidR="003036FB" w:rsidRPr="00C91FCF">
        <w:rPr>
          <w:i/>
          <w:iCs/>
        </w:rPr>
        <w:t xml:space="preserve"> Belfast Telegraph</w:t>
      </w:r>
      <w:r w:rsidR="003036FB">
        <w:t>, 30 August 2022</w:t>
      </w:r>
      <w:r w:rsidR="00C91FCF">
        <w:t>; Sherie Ryder and Rozina Sini, ‘Cost of living: ‘We started up a warm bank’</w:t>
      </w:r>
      <w:r w:rsidR="00920D83">
        <w:t>,</w:t>
      </w:r>
      <w:r w:rsidR="00C91FCF">
        <w:t xml:space="preserve"> </w:t>
      </w:r>
      <w:r w:rsidR="00C91FCF" w:rsidRPr="00C91FCF">
        <w:rPr>
          <w:i/>
          <w:iCs/>
        </w:rPr>
        <w:t>BBC News</w:t>
      </w:r>
      <w:r w:rsidR="00C91FCF">
        <w:t>, 20 October 2022.</w:t>
      </w:r>
    </w:p>
  </w:footnote>
  <w:footnote w:id="274">
    <w:p w14:paraId="0DE108D6" w14:textId="77777777" w:rsidR="00F15614" w:rsidRPr="000C4235" w:rsidRDefault="00F15614" w:rsidP="00F15614">
      <w:pPr>
        <w:pStyle w:val="NIHRCFootnotes0"/>
      </w:pPr>
      <w:r>
        <w:rPr>
          <w:rStyle w:val="FootnoteReference"/>
        </w:rPr>
        <w:footnoteRef/>
      </w:r>
      <w:r>
        <w:t xml:space="preserve"> ‘Energy Bills Support Scheme: Stormont impasse “hindering” £400 payment’, </w:t>
      </w:r>
      <w:r>
        <w:rPr>
          <w:i/>
          <w:iCs/>
        </w:rPr>
        <w:t>BBC News</w:t>
      </w:r>
      <w:r>
        <w:t>, 10 November 2022.</w:t>
      </w:r>
    </w:p>
  </w:footnote>
  <w:footnote w:id="275">
    <w:p w14:paraId="126BC5F3" w14:textId="5576A8EC" w:rsidR="00FC3184" w:rsidRPr="00A6423E" w:rsidRDefault="00FC3184" w:rsidP="007C17F8">
      <w:pPr>
        <w:pStyle w:val="NIHRCFootnotes0"/>
      </w:pPr>
      <w:r w:rsidRPr="00350B4F">
        <w:rPr>
          <w:rStyle w:val="FootnoteReference"/>
        </w:rPr>
        <w:footnoteRef/>
      </w:r>
      <w:r w:rsidRPr="00350B4F">
        <w:t xml:space="preserve"> Section 95, Immigration and Asylum Act 1999.</w:t>
      </w:r>
    </w:p>
  </w:footnote>
  <w:footnote w:id="276">
    <w:p w14:paraId="4B95BAAB" w14:textId="7599DA5D" w:rsidR="00FC3184" w:rsidRPr="00A6423E" w:rsidRDefault="00FC3184" w:rsidP="007C17F8">
      <w:pPr>
        <w:pStyle w:val="NIHRCFootnotes0"/>
      </w:pPr>
      <w:r w:rsidRPr="00A6423E">
        <w:rPr>
          <w:rStyle w:val="FootnoteReference"/>
        </w:rPr>
        <w:footnoteRef/>
      </w:r>
      <w:r w:rsidRPr="00A6423E">
        <w:t xml:space="preserve"> A pregnant woman may claim an extra £3 a week</w:t>
      </w:r>
      <w:r w:rsidR="00367C03" w:rsidRPr="00A6423E">
        <w:t>;</w:t>
      </w:r>
      <w:r w:rsidRPr="00A6423E">
        <w:t xml:space="preserve"> a baby under 1 years old may claim an extra £5</w:t>
      </w:r>
      <w:r w:rsidR="00367C03" w:rsidRPr="00A6423E">
        <w:t>;</w:t>
      </w:r>
      <w:r w:rsidRPr="00A6423E">
        <w:t xml:space="preserve"> a child aged 1–3 years old may claim an extra £5 a week. </w:t>
      </w:r>
      <w:r w:rsidRPr="00A6423E">
        <w:rPr>
          <w:i/>
        </w:rPr>
        <w:t>See</w:t>
      </w:r>
      <w:r w:rsidRPr="00A6423E">
        <w:t xml:space="preserve"> Gov.UK, ‘Asylum Support’. Available at: https://www.gov.uk/asylum-support/what-youll-get</w:t>
      </w:r>
    </w:p>
  </w:footnote>
  <w:footnote w:id="277">
    <w:p w14:paraId="2B6972D8" w14:textId="35B242C2" w:rsidR="00FC3184" w:rsidRPr="00A6423E" w:rsidRDefault="00FC3184" w:rsidP="007C17F8">
      <w:pPr>
        <w:pStyle w:val="NIHRCFootnotes0"/>
      </w:pPr>
      <w:r w:rsidRPr="00A6423E">
        <w:rPr>
          <w:rStyle w:val="FootnoteReference"/>
        </w:rPr>
        <w:footnoteRef/>
      </w:r>
      <w:r w:rsidRPr="00A6423E">
        <w:t xml:space="preserve"> Gov.UK, ‘Asylum Support’. Available at: https://www.gov.uk/asylum-support/what-youll-get</w:t>
      </w:r>
    </w:p>
  </w:footnote>
  <w:footnote w:id="278">
    <w:p w14:paraId="4A26FF39" w14:textId="425B3C8C" w:rsidR="00FC3184" w:rsidRPr="00A6423E" w:rsidRDefault="00FC3184" w:rsidP="007C17F8">
      <w:pPr>
        <w:pStyle w:val="NIHRCFootnotes0"/>
      </w:pPr>
      <w:r w:rsidRPr="00A6423E">
        <w:rPr>
          <w:rStyle w:val="FootnoteReference"/>
        </w:rPr>
        <w:footnoteRef/>
      </w:r>
      <w:r w:rsidRPr="00A6423E">
        <w:t xml:space="preserve"> A/HRC/41/39/Add.1, ‘Report of the Special Rapporteur on Extreme Poverty and Human Rights: Visit to the UK of Great Britain and NI’, 23 April 2019, at 83.</w:t>
      </w:r>
    </w:p>
  </w:footnote>
  <w:footnote w:id="279">
    <w:p w14:paraId="3D4700C3" w14:textId="544BF405" w:rsidR="00FC3184" w:rsidRPr="00FC3184" w:rsidRDefault="00FC3184" w:rsidP="007C17F8">
      <w:pPr>
        <w:pStyle w:val="NIHRCFootnotes0"/>
        <w:rPr>
          <w:color w:val="7030A0"/>
        </w:rPr>
      </w:pPr>
      <w:r w:rsidRPr="00A6423E">
        <w:rPr>
          <w:rStyle w:val="FootnoteReference"/>
        </w:rPr>
        <w:footnoteRef/>
      </w:r>
      <w:r w:rsidRPr="00A6423E">
        <w:t xml:space="preserve"> Housing 4 All, ‘A Prison Without Walls: Asylum, Migration and Human Rights’ (PPR, 2019)</w:t>
      </w:r>
      <w:r w:rsidR="00D472AB">
        <w:t>,</w:t>
      </w:r>
      <w:r w:rsidRPr="00A6423E">
        <w:t xml:space="preserve"> at 23.</w:t>
      </w:r>
    </w:p>
  </w:footnote>
  <w:footnote w:id="280">
    <w:p w14:paraId="1D80529D" w14:textId="26836AB1" w:rsidR="0077473C" w:rsidRDefault="0077473C" w:rsidP="0077473C">
      <w:pPr>
        <w:pStyle w:val="NIHRCFootnotes0"/>
      </w:pPr>
      <w:r>
        <w:rPr>
          <w:rStyle w:val="FootnoteReference"/>
          <w:rFonts w:cs="Verdana"/>
        </w:rPr>
        <w:footnoteRef/>
      </w:r>
      <w:r>
        <w:t xml:space="preserve"> NI Human Rights Commission, 'Response to the NI Affairs Committee Inquiry into the </w:t>
      </w:r>
      <w:r w:rsidR="00D472AB">
        <w:t>E</w:t>
      </w:r>
      <w:r>
        <w:t xml:space="preserve">xperience of </w:t>
      </w:r>
      <w:r w:rsidR="00D472AB">
        <w:t>M</w:t>
      </w:r>
      <w:r>
        <w:t xml:space="preserve">inority </w:t>
      </w:r>
      <w:r w:rsidR="00D472AB">
        <w:t>E</w:t>
      </w:r>
      <w:r>
        <w:t xml:space="preserve">thnic and </w:t>
      </w:r>
      <w:r w:rsidR="00D472AB">
        <w:t>M</w:t>
      </w:r>
      <w:r>
        <w:t xml:space="preserve">igrant </w:t>
      </w:r>
      <w:r w:rsidR="00D472AB">
        <w:t>P</w:t>
      </w:r>
      <w:r>
        <w:t>eople in NI' (NIHRC, 2021).</w:t>
      </w:r>
    </w:p>
  </w:footnote>
  <w:footnote w:id="281">
    <w:p w14:paraId="1BDA61B9" w14:textId="44048C2C" w:rsidR="00A4596F" w:rsidRPr="003D2502" w:rsidRDefault="00A4596F" w:rsidP="007C17F8">
      <w:pPr>
        <w:pStyle w:val="NIHRCFootnotes0"/>
      </w:pPr>
      <w:r w:rsidRPr="003D2502">
        <w:rPr>
          <w:rStyle w:val="FootnoteReference"/>
        </w:rPr>
        <w:footnoteRef/>
      </w:r>
      <w:r w:rsidRPr="003D2502">
        <w:t xml:space="preserve"> A/HRC/41/54/Add.2, 'Report of the </w:t>
      </w:r>
      <w:r w:rsidR="00F44866">
        <w:t xml:space="preserve">UN </w:t>
      </w:r>
      <w:r w:rsidRPr="003D2502">
        <w:t>Special Rapporteur on Contemporary Forms of Racism, Racial Dis</w:t>
      </w:r>
      <w:r w:rsidR="007B23FB">
        <w:t>c</w:t>
      </w:r>
      <w:r w:rsidRPr="003D2502">
        <w:t>rimination, Xenophobia and Related Intolerance: Visit to the UK of Great Britain and NI', 27 May 2019, at 23.</w:t>
      </w:r>
    </w:p>
  </w:footnote>
  <w:footnote w:id="282">
    <w:p w14:paraId="23E3BAFE" w14:textId="54371DD5" w:rsidR="00A4596F" w:rsidRPr="003D2502" w:rsidRDefault="00A4596F" w:rsidP="007C17F8">
      <w:pPr>
        <w:pStyle w:val="NIHRCFootnotes0"/>
      </w:pPr>
      <w:r w:rsidRPr="003D2502">
        <w:rPr>
          <w:rStyle w:val="FootnoteReference"/>
        </w:rPr>
        <w:footnoteRef/>
      </w:r>
      <w:r w:rsidRPr="003D2502">
        <w:t xml:space="preserve"> Expert Panel on Educational Underachievement, 'A Fair Start: Final Report and Action Plan' (D</w:t>
      </w:r>
      <w:r w:rsidR="00F44866">
        <w:t>o</w:t>
      </w:r>
      <w:r w:rsidRPr="003D2502">
        <w:t>E, 2021).</w:t>
      </w:r>
    </w:p>
  </w:footnote>
  <w:footnote w:id="283">
    <w:p w14:paraId="7289725E" w14:textId="471E8FC1" w:rsidR="00A4596F" w:rsidRPr="003D2502" w:rsidRDefault="00A4596F" w:rsidP="007C17F8">
      <w:pPr>
        <w:pStyle w:val="NIHRCFootnotes0"/>
      </w:pPr>
      <w:r w:rsidRPr="003D2502">
        <w:rPr>
          <w:rStyle w:val="FootnoteReference"/>
        </w:rPr>
        <w:footnoteRef/>
      </w:r>
      <w:r w:rsidRPr="003D2502">
        <w:t xml:space="preserve"> </w:t>
      </w:r>
      <w:r w:rsidR="007B23FB">
        <w:t>Ibid</w:t>
      </w:r>
      <w:r w:rsidRPr="003D2502">
        <w:t xml:space="preserve"> at 65.</w:t>
      </w:r>
    </w:p>
  </w:footnote>
  <w:footnote w:id="284">
    <w:p w14:paraId="1DF58706" w14:textId="77777777" w:rsidR="00A4596F" w:rsidRPr="009E7B75" w:rsidRDefault="00A4596F" w:rsidP="00A4596F">
      <w:pPr>
        <w:pStyle w:val="NIHRCFootnotes0"/>
      </w:pPr>
      <w:r w:rsidRPr="009E7B75">
        <w:rPr>
          <w:rStyle w:val="FootnoteReference"/>
          <w:rFonts w:eastAsiaTheme="majorEastAsia"/>
        </w:rPr>
        <w:footnoteRef/>
      </w:r>
      <w:r w:rsidRPr="009E7B75">
        <w:t xml:space="preserve"> NI Assembly Hansard, 'Written Question: A Fair Start - Diane </w:t>
      </w:r>
      <w:proofErr w:type="spellStart"/>
      <w:r w:rsidRPr="009E7B75">
        <w:t>Dodds</w:t>
      </w:r>
      <w:proofErr w:type="spellEnd"/>
      <w:r w:rsidRPr="009E7B75">
        <w:t xml:space="preserve"> MLA - AQW 3017/22-27', 26 January 2022.</w:t>
      </w:r>
    </w:p>
  </w:footnote>
  <w:footnote w:id="285">
    <w:p w14:paraId="3B0E5DB8" w14:textId="3679741F" w:rsidR="003356CE" w:rsidRDefault="003356CE" w:rsidP="00F25AFB">
      <w:pPr>
        <w:pStyle w:val="NIHRCFootnotes0"/>
      </w:pPr>
      <w:r>
        <w:rPr>
          <w:rStyle w:val="FootnoteReference"/>
        </w:rPr>
        <w:footnoteRef/>
      </w:r>
      <w:r>
        <w:t xml:space="preserve"> </w:t>
      </w:r>
      <w:r w:rsidR="00650938">
        <w:t>NI Statistic</w:t>
      </w:r>
      <w:r w:rsidR="00F25AFB">
        <w:t>s</w:t>
      </w:r>
      <w:r w:rsidR="00650938">
        <w:t xml:space="preserve"> and Research Agency, ‘Annual </w:t>
      </w:r>
      <w:r w:rsidR="00F44866">
        <w:t>E</w:t>
      </w:r>
      <w:r w:rsidR="00650938">
        <w:t xml:space="preserve">nrolments at </w:t>
      </w:r>
      <w:r w:rsidR="00F44866">
        <w:t>S</w:t>
      </w:r>
      <w:r w:rsidR="00650938">
        <w:t xml:space="preserve">chools and </w:t>
      </w:r>
      <w:r w:rsidR="00F44866">
        <w:t>i</w:t>
      </w:r>
      <w:r w:rsidR="00650938">
        <w:t xml:space="preserve">n </w:t>
      </w:r>
      <w:r w:rsidR="00F44866">
        <w:t>F</w:t>
      </w:r>
      <w:r w:rsidR="00650938">
        <w:t xml:space="preserve">unded </w:t>
      </w:r>
      <w:r w:rsidR="00F44866">
        <w:t>P</w:t>
      </w:r>
      <w:r w:rsidR="00650938">
        <w:t xml:space="preserve">re-school </w:t>
      </w:r>
      <w:r w:rsidR="00F44866">
        <w:t>E</w:t>
      </w:r>
      <w:r w:rsidR="00650938">
        <w:t xml:space="preserve">ducation in </w:t>
      </w:r>
      <w:r w:rsidR="00F44866">
        <w:t>NI</w:t>
      </w:r>
      <w:r w:rsidR="00650938">
        <w:t xml:space="preserve"> 2021-</w:t>
      </w:r>
      <w:r w:rsidR="00F44866">
        <w:t>20</w:t>
      </w:r>
      <w:r w:rsidR="00650938">
        <w:t>22’ (D</w:t>
      </w:r>
      <w:r w:rsidR="00F44866">
        <w:t>o</w:t>
      </w:r>
      <w:r w:rsidR="00650938">
        <w:t>E, 2022)</w:t>
      </w:r>
      <w:r w:rsidR="00F25AFB">
        <w:t>, at 6.1.</w:t>
      </w:r>
    </w:p>
  </w:footnote>
  <w:footnote w:id="286">
    <w:p w14:paraId="55431E3F" w14:textId="640FB7FE" w:rsidR="009B4BE3" w:rsidRPr="00B67801" w:rsidRDefault="009B4BE3" w:rsidP="007C17F8">
      <w:pPr>
        <w:pStyle w:val="NIHRCFootnotes0"/>
      </w:pPr>
      <w:r w:rsidRPr="00B67801">
        <w:rPr>
          <w:rStyle w:val="FootnoteReference"/>
        </w:rPr>
        <w:footnoteRef/>
      </w:r>
      <w:r w:rsidRPr="00B67801">
        <w:t xml:space="preserve"> NI Statistics and Research Agency, 'Newcomer Pupils 2021/</w:t>
      </w:r>
      <w:r w:rsidR="009544B5">
        <w:t>20</w:t>
      </w:r>
      <w:r w:rsidRPr="00B67801">
        <w:t>22' (D</w:t>
      </w:r>
      <w:r w:rsidR="009544B5">
        <w:t>o</w:t>
      </w:r>
      <w:r w:rsidRPr="00B67801">
        <w:t>E, 2022).</w:t>
      </w:r>
    </w:p>
  </w:footnote>
  <w:footnote w:id="287">
    <w:p w14:paraId="6EF265C5" w14:textId="644DB5B6" w:rsidR="00334614" w:rsidRPr="00547D9D" w:rsidRDefault="00334614" w:rsidP="007C17F8">
      <w:pPr>
        <w:pStyle w:val="NIHRCFootnotes0"/>
      </w:pPr>
      <w:r w:rsidRPr="00547D9D">
        <w:rPr>
          <w:rStyle w:val="FootnoteReference"/>
        </w:rPr>
        <w:footnoteRef/>
      </w:r>
      <w:r w:rsidRPr="00547D9D">
        <w:t xml:space="preserve"> </w:t>
      </w:r>
      <w:r w:rsidRPr="000F25DD">
        <w:t>NI Human Rights Commission roundtable</w:t>
      </w:r>
      <w:r w:rsidRPr="000F25DD" w:rsidDel="000F25DD">
        <w:t xml:space="preserve"> </w:t>
      </w:r>
      <w:r w:rsidRPr="00547D9D">
        <w:t>with civil society organisations</w:t>
      </w:r>
      <w:r w:rsidR="00141C85">
        <w:t xml:space="preserve"> on UN CRC</w:t>
      </w:r>
      <w:r w:rsidRPr="00547D9D">
        <w:t>, 23 September 2020</w:t>
      </w:r>
      <w:r>
        <w:t>; Independent Review of Education Panel roundtable with civil society organisations, 11 October 2022.</w:t>
      </w:r>
    </w:p>
  </w:footnote>
  <w:footnote w:id="288">
    <w:p w14:paraId="20F98E0C" w14:textId="43E98C06" w:rsidR="009B4BE3" w:rsidRPr="00442418" w:rsidRDefault="009B4BE3" w:rsidP="007C17F8">
      <w:pPr>
        <w:pStyle w:val="NIHRCFootnotes0"/>
      </w:pPr>
      <w:r w:rsidRPr="003D2502">
        <w:rPr>
          <w:rStyle w:val="FootnoteReference"/>
        </w:rPr>
        <w:footnoteRef/>
      </w:r>
      <w:r>
        <w:t xml:space="preserve"> </w:t>
      </w:r>
      <w:r w:rsidRPr="00442418">
        <w:t>“</w:t>
      </w:r>
      <w:r w:rsidR="001666AE">
        <w:t>B</w:t>
      </w:r>
      <w:r w:rsidRPr="00442418">
        <w:t>y offering a varied complement of provision including welcome clubs for primary and post primary pupils; laptops and Wi-Fi connections; English for speakers of other languages… classes; assistance with school registration, free school meals, uniform grants and transport applications; arranging visits by Educational Psychology staff; and making statutory assessment referrals where necessary”.</w:t>
      </w:r>
      <w:r w:rsidR="001666AE">
        <w:t xml:space="preserve"> </w:t>
      </w:r>
      <w:r w:rsidR="001666AE" w:rsidRPr="007B23FB">
        <w:rPr>
          <w:i/>
          <w:iCs/>
        </w:rPr>
        <w:t>See</w:t>
      </w:r>
      <w:r w:rsidR="001666AE">
        <w:t xml:space="preserve"> </w:t>
      </w:r>
      <w:r w:rsidR="001666AE" w:rsidRPr="003D2502">
        <w:t xml:space="preserve">NI Assembly Hansard, 'Written Question: Asylum </w:t>
      </w:r>
      <w:r w:rsidR="001666AE">
        <w:t>S</w:t>
      </w:r>
      <w:r w:rsidR="001666AE" w:rsidRPr="003D2502">
        <w:t>eeking children - Kate Nicholl MLA - AQW 516/22-27', 14 June 2022</w:t>
      </w:r>
      <w:r w:rsidR="001666AE">
        <w:t>.</w:t>
      </w:r>
    </w:p>
  </w:footnote>
  <w:footnote w:id="289">
    <w:p w14:paraId="20CB2DBD" w14:textId="35FD8300" w:rsidR="009B4BE3" w:rsidRPr="003D2502" w:rsidRDefault="009B4BE3" w:rsidP="007C17F8">
      <w:pPr>
        <w:pStyle w:val="NIHRCFootnotes0"/>
      </w:pPr>
      <w:r w:rsidRPr="003D2502">
        <w:rPr>
          <w:rStyle w:val="FootnoteReference"/>
        </w:rPr>
        <w:footnoteRef/>
      </w:r>
      <w:r w:rsidRPr="003D2502">
        <w:t xml:space="preserve"> Children’s Law Centre and South Tyrone Empowerment Programme, ‘Joint Submission to F</w:t>
      </w:r>
      <w:r w:rsidR="001666AE">
        <w:t>ramework Convention on the Protection of National Minorities</w:t>
      </w:r>
      <w:r w:rsidRPr="003D2502">
        <w:t xml:space="preserve"> Advisory Committee: Rights of Asylum Seeker Children Living in Contingency Accommodation (Hotel Buildings) in NI, run by Mears Group PLC’ (CLC and STEP, 2022).</w:t>
      </w:r>
    </w:p>
  </w:footnote>
  <w:footnote w:id="290">
    <w:p w14:paraId="2DA67B29" w14:textId="2EB6FDA2" w:rsidR="009B4BE3" w:rsidRPr="003D2502" w:rsidRDefault="009B4BE3" w:rsidP="007C17F8">
      <w:pPr>
        <w:pStyle w:val="NIHRCFootnotes0"/>
      </w:pPr>
      <w:r w:rsidRPr="003D2502">
        <w:rPr>
          <w:rStyle w:val="FootnoteReference"/>
        </w:rPr>
        <w:footnoteRef/>
      </w:r>
      <w:r w:rsidRPr="003D2502">
        <w:t xml:space="preserve"> </w:t>
      </w:r>
      <w:r w:rsidR="007B23FB">
        <w:t>Ibid.</w:t>
      </w:r>
    </w:p>
  </w:footnote>
  <w:footnote w:id="291">
    <w:p w14:paraId="0925C1AF" w14:textId="61C504FF" w:rsidR="006F1A45" w:rsidRPr="00411145" w:rsidRDefault="006F1A45" w:rsidP="007C17F8">
      <w:pPr>
        <w:pStyle w:val="NIHRCFootnotes0"/>
      </w:pPr>
      <w:r w:rsidRPr="00411145">
        <w:rPr>
          <w:rStyle w:val="FootnoteReference"/>
        </w:rPr>
        <w:footnoteRef/>
      </w:r>
      <w:r w:rsidRPr="00411145">
        <w:t xml:space="preserve"> NI Office, </w:t>
      </w:r>
      <w:r>
        <w:t>‘</w:t>
      </w:r>
      <w:r w:rsidRPr="00411145">
        <w:t>New Decade</w:t>
      </w:r>
      <w:r w:rsidR="00B91AF5">
        <w:t>,</w:t>
      </w:r>
      <w:r w:rsidRPr="00411145">
        <w:t xml:space="preserve"> New Approach</w:t>
      </w:r>
      <w:r>
        <w:t>’</w:t>
      </w:r>
      <w:r w:rsidRPr="00411145">
        <w:t xml:space="preserve"> (NI</w:t>
      </w:r>
      <w:r>
        <w:t>O</w:t>
      </w:r>
      <w:r w:rsidRPr="00411145">
        <w:t>, 2020).</w:t>
      </w:r>
    </w:p>
  </w:footnote>
  <w:footnote w:id="292">
    <w:p w14:paraId="08840C00" w14:textId="7EDB6862" w:rsidR="006F1A45" w:rsidRPr="00C75544" w:rsidRDefault="006F1A45" w:rsidP="007C17F8">
      <w:pPr>
        <w:pStyle w:val="NIHRCFootnotes0"/>
      </w:pPr>
      <w:r w:rsidRPr="00C75544">
        <w:rPr>
          <w:rStyle w:val="FootnoteReference"/>
        </w:rPr>
        <w:footnoteRef/>
      </w:r>
      <w:r w:rsidRPr="00C75544">
        <w:t xml:space="preserve"> Independent Review of Education, ‘Independent Review of Education in </w:t>
      </w:r>
      <w:r w:rsidR="001253EB">
        <w:t>NI</w:t>
      </w:r>
      <w:r w:rsidRPr="00C75544">
        <w:t>: Interim Report’ (</w:t>
      </w:r>
      <w:r w:rsidR="001253EB">
        <w:t>DoE</w:t>
      </w:r>
      <w:r>
        <w:t xml:space="preserve">, </w:t>
      </w:r>
      <w:r w:rsidRPr="00C75544">
        <w:t>2022).</w:t>
      </w:r>
    </w:p>
  </w:footnote>
  <w:footnote w:id="293">
    <w:p w14:paraId="5DECD3A7" w14:textId="4F2A721F" w:rsidR="003D45CD" w:rsidRPr="003D2502" w:rsidRDefault="003D45CD" w:rsidP="007C17F8">
      <w:pPr>
        <w:pStyle w:val="NIHRCFootnotes0"/>
      </w:pPr>
      <w:r w:rsidRPr="003D2502">
        <w:rPr>
          <w:rStyle w:val="FootnoteReference"/>
        </w:rPr>
        <w:footnoteRef/>
      </w:r>
      <w:r w:rsidRPr="003D2502">
        <w:t xml:space="preserve"> NI Statistics and Research Agency, 'Special Educational Needs 2021/</w:t>
      </w:r>
      <w:r w:rsidR="001253EB">
        <w:t>20</w:t>
      </w:r>
      <w:r w:rsidRPr="003D2502">
        <w:t>22' (D</w:t>
      </w:r>
      <w:r w:rsidR="001253EB">
        <w:t>o</w:t>
      </w:r>
      <w:r w:rsidRPr="003D2502">
        <w:t>E, 2022).</w:t>
      </w:r>
    </w:p>
  </w:footnote>
  <w:footnote w:id="294">
    <w:p w14:paraId="61809CA3" w14:textId="74B43623" w:rsidR="003D45CD" w:rsidRPr="003D2502" w:rsidRDefault="003D45CD" w:rsidP="007C17F8">
      <w:pPr>
        <w:pStyle w:val="NIHRCFootnotes0"/>
      </w:pPr>
      <w:r w:rsidRPr="003D2502">
        <w:rPr>
          <w:rStyle w:val="FootnoteReference"/>
        </w:rPr>
        <w:footnoteRef/>
      </w:r>
      <w:r w:rsidRPr="003D2502">
        <w:t xml:space="preserve"> </w:t>
      </w:r>
      <w:r w:rsidR="007B23FB">
        <w:t>Ibid.</w:t>
      </w:r>
    </w:p>
  </w:footnote>
  <w:footnote w:id="295">
    <w:p w14:paraId="1A8712AE" w14:textId="6794565D" w:rsidR="00F15549" w:rsidRPr="003D2502" w:rsidRDefault="00F15549" w:rsidP="007C17F8">
      <w:pPr>
        <w:pStyle w:val="NIHRCFootnotes0"/>
      </w:pPr>
      <w:r w:rsidRPr="003D2502">
        <w:rPr>
          <w:rStyle w:val="FootnoteReference"/>
        </w:rPr>
        <w:footnoteRef/>
      </w:r>
      <w:r w:rsidRPr="003D2502">
        <w:t xml:space="preserve"> </w:t>
      </w:r>
      <w:r w:rsidR="00DF64D5" w:rsidRPr="003D2502">
        <w:t>Department of Education, 'New S</w:t>
      </w:r>
      <w:r w:rsidR="001253EB">
        <w:t>pecial Educational Needs</w:t>
      </w:r>
      <w:r w:rsidR="00DF64D5" w:rsidRPr="003D2502">
        <w:t xml:space="preserve"> Framework'. Available at: https://www.education-ni.gov.uk/articles/review-special-educational-needs-and-inclusion</w:t>
      </w:r>
      <w:r w:rsidR="00DF64D5">
        <w:t xml:space="preserve">; </w:t>
      </w:r>
      <w:r w:rsidRPr="003D2502">
        <w:t>Meeting between</w:t>
      </w:r>
      <w:r w:rsidR="00FC5DD3">
        <w:t xml:space="preserve"> </w:t>
      </w:r>
      <w:r w:rsidRPr="003D2502">
        <w:t>NI Human Rights Commission and Department of Education, 20 July 2022.</w:t>
      </w:r>
    </w:p>
  </w:footnote>
  <w:footnote w:id="296">
    <w:p w14:paraId="6BA32852" w14:textId="77777777" w:rsidR="00FC3184" w:rsidRPr="00C5579F" w:rsidRDefault="00FC3184" w:rsidP="007C17F8">
      <w:pPr>
        <w:pStyle w:val="NIHRCFootnotes0"/>
      </w:pPr>
      <w:r w:rsidRPr="00C5579F">
        <w:rPr>
          <w:rStyle w:val="FootnoteReference"/>
        </w:rPr>
        <w:footnoteRef/>
      </w:r>
      <w:r w:rsidRPr="00C5579F">
        <w:t xml:space="preserve"> NI Assembly Hansard, ‘Committee for Education: Special Educational Needs Assessment and Statementing Audit – Education Authority’, 4 March 2020.</w:t>
      </w:r>
    </w:p>
  </w:footnote>
  <w:footnote w:id="297">
    <w:p w14:paraId="6D4ED19D" w14:textId="786B334D" w:rsidR="00FC3184" w:rsidRPr="00C5579F" w:rsidRDefault="00FC3184" w:rsidP="007C17F8">
      <w:pPr>
        <w:pStyle w:val="NIHRCFootnotes0"/>
      </w:pPr>
      <w:r w:rsidRPr="00C5579F">
        <w:rPr>
          <w:rStyle w:val="FootnoteReference"/>
        </w:rPr>
        <w:footnoteRef/>
      </w:r>
      <w:r w:rsidRPr="00C5579F">
        <w:t xml:space="preserve"> </w:t>
      </w:r>
      <w:r w:rsidR="00412EAC">
        <w:t>Ibid.</w:t>
      </w:r>
    </w:p>
  </w:footnote>
  <w:footnote w:id="298">
    <w:p w14:paraId="4630DFE8" w14:textId="77777777" w:rsidR="007267D8" w:rsidRPr="00FC5DD3" w:rsidRDefault="007267D8" w:rsidP="007C17F8">
      <w:pPr>
        <w:pStyle w:val="NIHRCFootnotes0"/>
      </w:pPr>
      <w:r w:rsidRPr="00FC5DD3">
        <w:rPr>
          <w:rStyle w:val="FootnoteReference"/>
        </w:rPr>
        <w:footnoteRef/>
      </w:r>
      <w:r w:rsidRPr="00FC5DD3">
        <w:t xml:space="preserve"> NI Audit Office,’ Special Educational Needs’ (NIAO, 2017).</w:t>
      </w:r>
    </w:p>
  </w:footnote>
  <w:footnote w:id="299">
    <w:p w14:paraId="25FD9D2A" w14:textId="77777777" w:rsidR="00C4333D" w:rsidRPr="00FC5DD3" w:rsidRDefault="00C4333D" w:rsidP="007C17F8">
      <w:pPr>
        <w:pStyle w:val="NIHRCFootnotes0"/>
      </w:pPr>
      <w:r w:rsidRPr="00FC5DD3">
        <w:rPr>
          <w:rStyle w:val="FootnoteReference"/>
        </w:rPr>
        <w:footnoteRef/>
      </w:r>
      <w:r w:rsidRPr="00FC5DD3">
        <w:t xml:space="preserve"> NI Audit Office, ‘Impact Review of Special Educational Needs’ (NIAO, 2020).</w:t>
      </w:r>
    </w:p>
  </w:footnote>
  <w:footnote w:id="300">
    <w:p w14:paraId="3BDE5882" w14:textId="77777777" w:rsidR="00CD6B56" w:rsidRPr="000E4765" w:rsidRDefault="00CD6B56" w:rsidP="007C17F8">
      <w:pPr>
        <w:pStyle w:val="NIHRCFootnotes0"/>
      </w:pPr>
      <w:r w:rsidRPr="000E4765">
        <w:rPr>
          <w:rStyle w:val="FootnoteReference"/>
        </w:rPr>
        <w:footnoteRef/>
      </w:r>
      <w:r w:rsidRPr="000E4765">
        <w:t xml:space="preserve"> Meeting between NI Human Rights Commission and Department of Education, 20 July 2022.</w:t>
      </w:r>
    </w:p>
  </w:footnote>
  <w:footnote w:id="301">
    <w:p w14:paraId="5BF6530F" w14:textId="77777777" w:rsidR="00EB2F83" w:rsidRDefault="00EB2F83" w:rsidP="007C17F8">
      <w:pPr>
        <w:pStyle w:val="NIHRCFootnotes0"/>
      </w:pPr>
      <w:r w:rsidRPr="000E4765">
        <w:rPr>
          <w:rStyle w:val="FootnoteReference"/>
        </w:rPr>
        <w:footnoteRef/>
      </w:r>
      <w:r w:rsidRPr="000E4765">
        <w:t xml:space="preserve"> </w:t>
      </w:r>
      <w:r w:rsidR="00B36479" w:rsidRPr="000E4765">
        <w:t>Email correspondence from Education Authority to NI Human Rights Commission, 1</w:t>
      </w:r>
      <w:r w:rsidR="000E4765" w:rsidRPr="000E4765">
        <w:t xml:space="preserve">2 </w:t>
      </w:r>
      <w:r w:rsidR="00B36479" w:rsidRPr="000E4765">
        <w:t>October 2022.</w:t>
      </w:r>
    </w:p>
  </w:footnote>
  <w:footnote w:id="302">
    <w:p w14:paraId="7C99638C" w14:textId="67B9FC44" w:rsidR="002E5374" w:rsidRPr="00FC5DD3" w:rsidRDefault="002E5374" w:rsidP="007C17F8">
      <w:pPr>
        <w:pStyle w:val="NIHRCFootnotes0"/>
      </w:pPr>
      <w:r w:rsidRPr="00FC5DD3">
        <w:rPr>
          <w:rStyle w:val="FootnoteReference"/>
        </w:rPr>
        <w:footnoteRef/>
      </w:r>
      <w:r w:rsidRPr="00FC5DD3">
        <w:t xml:space="preserve"> </w:t>
      </w:r>
      <w:r w:rsidR="00EF44FE" w:rsidRPr="00FC5DD3">
        <w:t>Department of Education, 'Independent Review of Special Education Needs'. Available at: https://www.education-ni.gov.uk/articles/independent-review-special-education-needs.</w:t>
      </w:r>
    </w:p>
  </w:footnote>
  <w:footnote w:id="303">
    <w:p w14:paraId="2356D56D" w14:textId="7A200B3E" w:rsidR="00EF44FE" w:rsidRPr="00FC5DD3" w:rsidRDefault="00EF44FE" w:rsidP="007C17F8">
      <w:pPr>
        <w:pStyle w:val="NIHRCFootnotes0"/>
      </w:pPr>
      <w:r w:rsidRPr="00FC5DD3">
        <w:rPr>
          <w:rStyle w:val="FootnoteReference"/>
        </w:rPr>
        <w:footnoteRef/>
      </w:r>
      <w:r w:rsidRPr="00FC5DD3">
        <w:t xml:space="preserve"> Meeting between NI Human Rights Commission and Department of Education, 20 July 2022.</w:t>
      </w:r>
    </w:p>
  </w:footnote>
  <w:footnote w:id="304">
    <w:p w14:paraId="4DAC3B4C" w14:textId="755DAB51" w:rsidR="00FC3184" w:rsidRPr="00FC3184" w:rsidRDefault="00FC3184" w:rsidP="007C17F8">
      <w:pPr>
        <w:pStyle w:val="NIHRCFootnotes0"/>
        <w:rPr>
          <w:color w:val="7030A0"/>
        </w:rPr>
      </w:pPr>
      <w:r w:rsidRPr="00FC5DD3">
        <w:rPr>
          <w:rStyle w:val="FootnoteReference"/>
        </w:rPr>
        <w:footnoteRef/>
      </w:r>
      <w:r w:rsidRPr="00FC5DD3">
        <w:t xml:space="preserve"> Equality Commission for NI, ‘Policy Position Paper: COVID-19 and Education Equality Considerations’ (ECNI, 2020), at 1.</w:t>
      </w:r>
    </w:p>
  </w:footnote>
  <w:footnote w:id="305">
    <w:p w14:paraId="20978329" w14:textId="70EB5B7A" w:rsidR="00FC3184" w:rsidRPr="000A5747" w:rsidRDefault="00FC3184" w:rsidP="007C17F8">
      <w:pPr>
        <w:pStyle w:val="NIHRCFootnotes0"/>
      </w:pPr>
      <w:r w:rsidRPr="000A5747">
        <w:rPr>
          <w:rStyle w:val="FootnoteReference"/>
        </w:rPr>
        <w:footnoteRef/>
      </w:r>
      <w:r w:rsidRPr="000A5747">
        <w:t xml:space="preserve"> </w:t>
      </w:r>
      <w:r w:rsidR="002A5B8E">
        <w:t>NI Human Rights Commission r</w:t>
      </w:r>
      <w:r w:rsidRPr="000A5747">
        <w:t xml:space="preserve">oundtable </w:t>
      </w:r>
      <w:r w:rsidR="00603498">
        <w:t>meeting</w:t>
      </w:r>
      <w:r w:rsidRPr="000A5747">
        <w:t xml:space="preserve"> with civil society organisations</w:t>
      </w:r>
      <w:r w:rsidR="002A5B8E">
        <w:t xml:space="preserve"> on UN CRC</w:t>
      </w:r>
      <w:r w:rsidRPr="000A5747">
        <w:t>, 23 September 2020.</w:t>
      </w:r>
    </w:p>
  </w:footnote>
  <w:footnote w:id="306">
    <w:p w14:paraId="4471B224" w14:textId="107A6CDF" w:rsidR="00FC3184" w:rsidRPr="000A5747" w:rsidRDefault="00FC3184" w:rsidP="007C17F8">
      <w:pPr>
        <w:pStyle w:val="NIHRCFootnotes0"/>
      </w:pPr>
      <w:r w:rsidRPr="000A5747">
        <w:rPr>
          <w:rStyle w:val="FootnoteReference"/>
        </w:rPr>
        <w:footnoteRef/>
      </w:r>
      <w:r w:rsidRPr="000A5747">
        <w:t xml:space="preserve"> Barnardo’s NI, ‘New Term, New Challenges, New Opportunities: Putting Children’s Mental Health at the Heart of Education’ (Barnardo’s NI, 2020).</w:t>
      </w:r>
    </w:p>
  </w:footnote>
  <w:footnote w:id="307">
    <w:p w14:paraId="1BBF95C7" w14:textId="2B5DF204" w:rsidR="00AF1D18" w:rsidRPr="000A5747" w:rsidRDefault="00AF1D18" w:rsidP="007C17F8">
      <w:pPr>
        <w:pStyle w:val="NIHRCFootnotes0"/>
      </w:pPr>
      <w:r w:rsidRPr="000A5747">
        <w:rPr>
          <w:rStyle w:val="FootnoteReference"/>
        </w:rPr>
        <w:footnoteRef/>
      </w:r>
      <w:r w:rsidRPr="000A5747">
        <w:t xml:space="preserve"> </w:t>
      </w:r>
      <w:r w:rsidR="002A5B8E">
        <w:t>NI Human Rights Commission r</w:t>
      </w:r>
      <w:r w:rsidR="002A5B8E" w:rsidRPr="000A5747">
        <w:t xml:space="preserve">oundtable </w:t>
      </w:r>
      <w:r w:rsidR="00603498">
        <w:t>meeting</w:t>
      </w:r>
      <w:r w:rsidR="002A5B8E" w:rsidRPr="000A5747">
        <w:t xml:space="preserve"> with civil society organisations</w:t>
      </w:r>
      <w:r w:rsidR="002A5B8E">
        <w:t xml:space="preserve"> on UN CRC</w:t>
      </w:r>
      <w:r w:rsidR="002A5B8E" w:rsidRPr="000A5747">
        <w:t>, 23 September 2020.</w:t>
      </w:r>
    </w:p>
  </w:footnote>
  <w:footnote w:id="308">
    <w:p w14:paraId="0D571813" w14:textId="23942A35" w:rsidR="00FC3184" w:rsidRPr="000A5747" w:rsidRDefault="00FC3184" w:rsidP="007C17F8">
      <w:pPr>
        <w:pStyle w:val="NIHRCFootnotes0"/>
      </w:pPr>
      <w:r w:rsidRPr="000A5747">
        <w:rPr>
          <w:rStyle w:val="FootnoteReference"/>
        </w:rPr>
        <w:footnoteRef/>
      </w:r>
      <w:r w:rsidRPr="000A5747">
        <w:t xml:space="preserve"> Department of Education, ‘Press Release: Minister outlines plans to provide digital devices to disadvantaged children’, 21 May 2020</w:t>
      </w:r>
      <w:r w:rsidR="004B5206" w:rsidRPr="000A5747">
        <w:t>; Meeting between NI Human Rights Commission and Department of Education, 20 July 2022.</w:t>
      </w:r>
    </w:p>
  </w:footnote>
  <w:footnote w:id="309">
    <w:p w14:paraId="403D1463" w14:textId="103F97F0" w:rsidR="000E4153" w:rsidRPr="000A5747" w:rsidRDefault="000E4153" w:rsidP="007C17F8">
      <w:pPr>
        <w:pStyle w:val="NIHRCFootnotes0"/>
      </w:pPr>
      <w:r w:rsidRPr="000A5747">
        <w:rPr>
          <w:rStyle w:val="FootnoteReference"/>
        </w:rPr>
        <w:footnoteRef/>
      </w:r>
      <w:r w:rsidRPr="000A5747">
        <w:t xml:space="preserve"> </w:t>
      </w:r>
      <w:r w:rsidR="002A5B8E">
        <w:t>NI Human Rights Commission r</w:t>
      </w:r>
      <w:r w:rsidR="002A5B8E" w:rsidRPr="000A5747">
        <w:t>oundtable discussion with civil society organisations</w:t>
      </w:r>
      <w:r w:rsidR="002A5B8E">
        <w:t xml:space="preserve"> on UN CRPD</w:t>
      </w:r>
      <w:r w:rsidR="002A5B8E" w:rsidRPr="000A5747">
        <w:t>,</w:t>
      </w:r>
      <w:r w:rsidRPr="000A5747">
        <w:t xml:space="preserve"> </w:t>
      </w:r>
      <w:r w:rsidR="002A5B8E" w:rsidRPr="000A5747">
        <w:t>3</w:t>
      </w:r>
      <w:r w:rsidR="000A5747" w:rsidRPr="000A5747">
        <w:t xml:space="preserve"> August 2022.</w:t>
      </w:r>
    </w:p>
  </w:footnote>
  <w:footnote w:id="310">
    <w:p w14:paraId="7BC0D182" w14:textId="6D8DB1B3" w:rsidR="00DB4C74" w:rsidRPr="000A5747" w:rsidRDefault="00DB4C74" w:rsidP="007C17F8">
      <w:pPr>
        <w:pStyle w:val="NIHRCFootnotes0"/>
      </w:pPr>
      <w:r w:rsidRPr="000A5747">
        <w:rPr>
          <w:rStyle w:val="FootnoteReference"/>
        </w:rPr>
        <w:footnoteRef/>
      </w:r>
      <w:r w:rsidRPr="000A5747">
        <w:t xml:space="preserve"> The Temporary Modification of Education Duties Notice (NI) 2020 and its subsequent iterations temporarily modified assessment and statementing procedures. </w:t>
      </w:r>
    </w:p>
  </w:footnote>
  <w:footnote w:id="311">
    <w:p w14:paraId="7C59AE7C" w14:textId="77777777" w:rsidR="00F13169" w:rsidRPr="000A5747" w:rsidRDefault="00F13169" w:rsidP="007C17F8">
      <w:pPr>
        <w:pStyle w:val="NIHRCFootnotes0"/>
      </w:pPr>
      <w:r w:rsidRPr="000A5747">
        <w:rPr>
          <w:rStyle w:val="FootnoteReference"/>
        </w:rPr>
        <w:footnoteRef/>
      </w:r>
      <w:r w:rsidRPr="000A5747">
        <w:t xml:space="preserve"> Family Fund, ‘Impact of COVID-19: NI Findings’ (Family Fund, 2020), at 23.</w:t>
      </w:r>
    </w:p>
  </w:footnote>
  <w:footnote w:id="312">
    <w:p w14:paraId="503D35EF" w14:textId="30FCD391" w:rsidR="000E4153" w:rsidRPr="0088219F" w:rsidRDefault="000E4153" w:rsidP="007C17F8">
      <w:pPr>
        <w:pStyle w:val="NIHRCFootnotes0"/>
      </w:pPr>
      <w:r w:rsidRPr="0088219F">
        <w:rPr>
          <w:rStyle w:val="FootnoteReference"/>
        </w:rPr>
        <w:footnoteRef/>
      </w:r>
      <w:r w:rsidRPr="0088219F">
        <w:t xml:space="preserve"> </w:t>
      </w:r>
      <w:r w:rsidR="00B625FD" w:rsidRPr="0088219F">
        <w:t>National Children’s Bureau, ‘</w:t>
      </w:r>
      <w:r w:rsidR="0088219F" w:rsidRPr="0088219F">
        <w:t>Insights into the impact of COVID-19 on children and young people with Special Educational Needs and Disabilities in Northern Ireland: Final Report’ (NCB, 2021)</w:t>
      </w:r>
      <w:r w:rsidR="0088219F">
        <w:t xml:space="preserve">; </w:t>
      </w:r>
      <w:r w:rsidR="00BE56F6">
        <w:t>NI Commissioner for Children and Young People, ‘A New and Better Normal: Children and Young People’s Experiences of the Covid-19 Pandemic’</w:t>
      </w:r>
      <w:r w:rsidR="00DC175B">
        <w:t xml:space="preserve"> (NICCY, 2021); </w:t>
      </w:r>
      <w:r w:rsidR="00522F47">
        <w:t>Queen’s University Belfast, ‘</w:t>
      </w:r>
      <w:r w:rsidR="00C86BF3">
        <w:t>Understanding Life in Lockdown for Autistic Young People’ (QUB, 2020).</w:t>
      </w:r>
    </w:p>
  </w:footnote>
  <w:footnote w:id="313">
    <w:p w14:paraId="00788942" w14:textId="6CDEF653" w:rsidR="00D47039" w:rsidRPr="00B85114" w:rsidRDefault="00D47039" w:rsidP="007C17F8">
      <w:pPr>
        <w:pStyle w:val="NIHRCFootnotes0"/>
      </w:pPr>
      <w:r w:rsidRPr="00B85114">
        <w:rPr>
          <w:rStyle w:val="FootnoteReference"/>
        </w:rPr>
        <w:footnoteRef/>
      </w:r>
      <w:r w:rsidRPr="00B85114">
        <w:t xml:space="preserve"> </w:t>
      </w:r>
      <w:r w:rsidR="00E50940" w:rsidRPr="00B85114">
        <w:t xml:space="preserve">NI Statistics and Research Agency, ‘Pupil </w:t>
      </w:r>
      <w:r w:rsidR="00597C58">
        <w:t>S</w:t>
      </w:r>
      <w:r w:rsidR="00E50940" w:rsidRPr="00B85114">
        <w:t xml:space="preserve">uspensions and </w:t>
      </w:r>
      <w:r w:rsidR="00597C58">
        <w:t>E</w:t>
      </w:r>
      <w:r w:rsidR="00E50940" w:rsidRPr="00B85114">
        <w:t>xpulsions in N</w:t>
      </w:r>
      <w:r w:rsidR="00597C58">
        <w:t xml:space="preserve">I </w:t>
      </w:r>
      <w:r w:rsidR="00E50940" w:rsidRPr="00B85114">
        <w:t>2020/</w:t>
      </w:r>
      <w:r w:rsidR="00597C58">
        <w:t>20</w:t>
      </w:r>
      <w:r w:rsidR="00E50940" w:rsidRPr="00B85114">
        <w:t>21</w:t>
      </w:r>
      <w:r w:rsidR="00B85114" w:rsidRPr="00B85114">
        <w:t>: Experimental Statistics’ (DE, 2022), a</w:t>
      </w:r>
      <w:r w:rsidR="00392CE8" w:rsidRPr="00B85114">
        <w:t>t 1.1.</w:t>
      </w:r>
    </w:p>
  </w:footnote>
  <w:footnote w:id="314">
    <w:p w14:paraId="7417F30F" w14:textId="1933C7B2" w:rsidR="00392CE8" w:rsidRPr="0027300D" w:rsidRDefault="00392CE8" w:rsidP="007C17F8">
      <w:pPr>
        <w:pStyle w:val="NIHRCFootnotes0"/>
      </w:pPr>
      <w:r w:rsidRPr="0027300D">
        <w:rPr>
          <w:rStyle w:val="FootnoteReference"/>
        </w:rPr>
        <w:footnoteRef/>
      </w:r>
      <w:r w:rsidRPr="0027300D">
        <w:t xml:space="preserve"> </w:t>
      </w:r>
      <w:r w:rsidR="00412EAC">
        <w:t>Ibid</w:t>
      </w:r>
      <w:r w:rsidR="00B85114" w:rsidRPr="0027300D">
        <w:t xml:space="preserve"> at</w:t>
      </w:r>
      <w:r w:rsidRPr="0027300D">
        <w:t xml:space="preserve"> 2.</w:t>
      </w:r>
    </w:p>
  </w:footnote>
  <w:footnote w:id="315">
    <w:p w14:paraId="1AC6C297" w14:textId="7B9DA82D" w:rsidR="007C79E7" w:rsidRPr="0027300D" w:rsidRDefault="007C79E7" w:rsidP="007C17F8">
      <w:pPr>
        <w:pStyle w:val="NIHRCFootnotes0"/>
      </w:pPr>
      <w:r w:rsidRPr="0027300D">
        <w:rPr>
          <w:rStyle w:val="FootnoteReference"/>
        </w:rPr>
        <w:footnoteRef/>
      </w:r>
      <w:r w:rsidRPr="0027300D">
        <w:t xml:space="preserve"> </w:t>
      </w:r>
      <w:r w:rsidR="00412EAC">
        <w:t>Ibid</w:t>
      </w:r>
      <w:r w:rsidR="00B85114" w:rsidRPr="0027300D">
        <w:t xml:space="preserve"> at</w:t>
      </w:r>
      <w:r w:rsidR="00D47039" w:rsidRPr="0027300D">
        <w:t xml:space="preserve"> 1.6. </w:t>
      </w:r>
    </w:p>
  </w:footnote>
  <w:footnote w:id="316">
    <w:p w14:paraId="24B2D47E" w14:textId="79B94855" w:rsidR="007C79E7" w:rsidRPr="0027300D" w:rsidRDefault="007C79E7" w:rsidP="007C17F8">
      <w:pPr>
        <w:pStyle w:val="NIHRCFootnotes0"/>
      </w:pPr>
      <w:r w:rsidRPr="0027300D">
        <w:rPr>
          <w:rStyle w:val="FootnoteReference"/>
        </w:rPr>
        <w:footnoteRef/>
      </w:r>
      <w:r w:rsidRPr="0027300D">
        <w:t xml:space="preserve"> </w:t>
      </w:r>
      <w:r w:rsidR="00412EAC">
        <w:t>Ibid</w:t>
      </w:r>
      <w:r w:rsidR="00B85114" w:rsidRPr="0027300D">
        <w:t xml:space="preserve"> at </w:t>
      </w:r>
      <w:r w:rsidRPr="0027300D">
        <w:t>2.</w:t>
      </w:r>
    </w:p>
  </w:footnote>
  <w:footnote w:id="317">
    <w:p w14:paraId="1D821840" w14:textId="38CCC9A6" w:rsidR="00FC3184" w:rsidRPr="0027300D" w:rsidRDefault="00FC3184" w:rsidP="007C17F8">
      <w:pPr>
        <w:pStyle w:val="NIHRCFootnotes0"/>
      </w:pPr>
      <w:r w:rsidRPr="0027300D">
        <w:rPr>
          <w:rStyle w:val="FootnoteReference"/>
        </w:rPr>
        <w:footnoteRef/>
      </w:r>
      <w:r w:rsidRPr="0027300D">
        <w:t xml:space="preserve"> CRC/C/GBR/CO/5, ‘UN CRC Committee Concluding Observations on the Fifth Periodic Report of the UK of Great Britain and NI’, 12 July 2016, a</w:t>
      </w:r>
      <w:r w:rsidR="00412EAC">
        <w:t>t</w:t>
      </w:r>
      <w:r w:rsidRPr="0027300D">
        <w:t xml:space="preserve"> 73.</w:t>
      </w:r>
    </w:p>
  </w:footnote>
  <w:footnote w:id="318">
    <w:p w14:paraId="209DC2A0" w14:textId="0282851A" w:rsidR="00FC3184" w:rsidRPr="0027300D" w:rsidRDefault="00FC3184" w:rsidP="007C17F8">
      <w:pPr>
        <w:pStyle w:val="NIHRCFootnotes0"/>
      </w:pPr>
      <w:r w:rsidRPr="0027300D">
        <w:rPr>
          <w:rStyle w:val="FootnoteReference"/>
        </w:rPr>
        <w:footnoteRef/>
      </w:r>
      <w:r w:rsidRPr="0027300D">
        <w:t xml:space="preserve"> ‘Transfer tests: Exams put back until January 2021’, </w:t>
      </w:r>
      <w:r w:rsidRPr="0027300D">
        <w:rPr>
          <w:i/>
        </w:rPr>
        <w:t>BBC News</w:t>
      </w:r>
      <w:r w:rsidRPr="0027300D">
        <w:t>, 2 September 2020.</w:t>
      </w:r>
    </w:p>
  </w:footnote>
  <w:footnote w:id="319">
    <w:p w14:paraId="56B765DA" w14:textId="77777777" w:rsidR="00FC3184" w:rsidRPr="0027300D" w:rsidRDefault="00FC3184" w:rsidP="007C17F8">
      <w:pPr>
        <w:pStyle w:val="NIHRCFootnotes0"/>
      </w:pPr>
      <w:r w:rsidRPr="0027300D">
        <w:rPr>
          <w:rStyle w:val="FootnoteReference"/>
        </w:rPr>
        <w:footnoteRef/>
      </w:r>
      <w:r w:rsidRPr="0027300D">
        <w:rPr>
          <w:rFonts w:eastAsia="Verdana" w:cs="Verdana"/>
        </w:rPr>
        <w:t xml:space="preserve"> Robbie Meredith, 'Transfer tests: Education Minister rejects test suspension call', </w:t>
      </w:r>
      <w:r w:rsidRPr="0027300D">
        <w:rPr>
          <w:rFonts w:eastAsia="Verdana" w:cs="Verdana"/>
          <w:i/>
        </w:rPr>
        <w:t>BBC News</w:t>
      </w:r>
      <w:r w:rsidRPr="0027300D">
        <w:rPr>
          <w:rFonts w:eastAsia="Verdana" w:cs="Verdana"/>
        </w:rPr>
        <w:t>, 19 May 2020.</w:t>
      </w:r>
    </w:p>
  </w:footnote>
  <w:footnote w:id="320">
    <w:p w14:paraId="56C955A9" w14:textId="0EAF3D82" w:rsidR="00FC3184" w:rsidRPr="0027300D" w:rsidRDefault="00FC3184" w:rsidP="007C17F8">
      <w:pPr>
        <w:pStyle w:val="NIHRCFootnotes0"/>
      </w:pPr>
      <w:r w:rsidRPr="0027300D">
        <w:rPr>
          <w:rStyle w:val="FootnoteReference"/>
        </w:rPr>
        <w:footnoteRef/>
      </w:r>
      <w:r w:rsidRPr="0027300D">
        <w:t xml:space="preserve"> Leanne Henderson et al, ‘</w:t>
      </w:r>
      <w:hyperlink w:history="1">
        <w:r w:rsidRPr="0027300D">
          <w:rPr>
            <w:rStyle w:val="Emphasis"/>
            <w:i w:val="0"/>
          </w:rPr>
          <w:t>Educational Underachievement in NI’</w:t>
        </w:r>
      </w:hyperlink>
      <w:r w:rsidRPr="0027300D">
        <w:t xml:space="preserve"> (</w:t>
      </w:r>
      <w:proofErr w:type="spellStart"/>
      <w:r w:rsidRPr="0027300D">
        <w:t>Stranmillis</w:t>
      </w:r>
      <w:proofErr w:type="spellEnd"/>
      <w:r w:rsidRPr="0027300D">
        <w:t xml:space="preserve"> University College, 2020), at 19; Tony Gallagher and Alan Smith, ‘The Effects of the Selective System of Secondary Education in NI’ (DoE, 2000).  </w:t>
      </w:r>
    </w:p>
  </w:footnote>
  <w:footnote w:id="321">
    <w:p w14:paraId="27C2749E" w14:textId="4C52FE53" w:rsidR="00FC3184" w:rsidRPr="0027300D" w:rsidRDefault="00FC3184" w:rsidP="007C17F8">
      <w:pPr>
        <w:pStyle w:val="NIHRCFootnotes0"/>
      </w:pPr>
      <w:r w:rsidRPr="0027300D">
        <w:rPr>
          <w:rStyle w:val="FootnoteReference"/>
        </w:rPr>
        <w:footnoteRef/>
      </w:r>
      <w:r w:rsidRPr="0027300D">
        <w:t xml:space="preserve"> Participation and the Practice of Rights, ‘Could make or break a child: the state of human rights and academic selection in NI’ (PPR, 2019).</w:t>
      </w:r>
    </w:p>
  </w:footnote>
  <w:footnote w:id="322">
    <w:p w14:paraId="5DB34AE2" w14:textId="13CB438C" w:rsidR="00FC3184" w:rsidRPr="00B67801" w:rsidRDefault="00FC3184" w:rsidP="007C17F8">
      <w:pPr>
        <w:pStyle w:val="NIHRCFootnotes0"/>
      </w:pPr>
      <w:r w:rsidRPr="0027300D">
        <w:rPr>
          <w:rStyle w:val="FootnoteReference"/>
        </w:rPr>
        <w:footnoteRef/>
      </w:r>
      <w:r w:rsidRPr="0027300D">
        <w:t xml:space="preserve"> Leanne Henderson et al, ‘</w:t>
      </w:r>
      <w:hyperlink w:history="1">
        <w:r w:rsidRPr="0027300D">
          <w:rPr>
            <w:rStyle w:val="Emphasis"/>
            <w:i w:val="0"/>
          </w:rPr>
          <w:t>Educational Underachievement in NI’</w:t>
        </w:r>
      </w:hyperlink>
      <w:r w:rsidRPr="0027300D">
        <w:t xml:space="preserve"> (</w:t>
      </w:r>
      <w:proofErr w:type="spellStart"/>
      <w:r w:rsidRPr="0027300D">
        <w:t>Stranmillis</w:t>
      </w:r>
      <w:proofErr w:type="spellEnd"/>
      <w:r w:rsidRPr="0027300D">
        <w:t xml:space="preserve"> University College, 2020), at 6.</w:t>
      </w:r>
    </w:p>
  </w:footnote>
  <w:footnote w:id="323">
    <w:p w14:paraId="34D3F765" w14:textId="0D6BECAE" w:rsidR="00193B71" w:rsidRPr="00B67801" w:rsidRDefault="00193B71" w:rsidP="007C17F8">
      <w:pPr>
        <w:pStyle w:val="NIHRCFootnotes0"/>
      </w:pPr>
      <w:r w:rsidRPr="00B67801">
        <w:rPr>
          <w:rStyle w:val="FootnoteReference"/>
        </w:rPr>
        <w:footnoteRef/>
      </w:r>
      <w:r w:rsidRPr="00B67801">
        <w:t xml:space="preserve"> Ulster University UNESCO Centre, 'Transforming Education in </w:t>
      </w:r>
      <w:r w:rsidR="006062D2">
        <w:t>NI</w:t>
      </w:r>
      <w:r w:rsidRPr="00B67801">
        <w:t xml:space="preserve"> - Academic Selection and the Transfer Test' (IEF, 2021).</w:t>
      </w:r>
    </w:p>
  </w:footnote>
  <w:footnote w:id="324">
    <w:p w14:paraId="2577C121" w14:textId="77777777" w:rsidR="00912002" w:rsidRPr="009E7B75" w:rsidRDefault="00912002" w:rsidP="007C17F8">
      <w:pPr>
        <w:pStyle w:val="NIHRCFootnotes0"/>
      </w:pPr>
      <w:r w:rsidRPr="009E7B75">
        <w:rPr>
          <w:rStyle w:val="FootnoteReference"/>
          <w:rFonts w:eastAsiaTheme="majorEastAsia"/>
        </w:rPr>
        <w:footnoteRef/>
      </w:r>
      <w:r w:rsidRPr="009E7B75">
        <w:t xml:space="preserve"> NI Assembly Hansard, 'Written Question: Single </w:t>
      </w:r>
      <w:r>
        <w:t>P</w:t>
      </w:r>
      <w:r w:rsidRPr="009E7B75">
        <w:t xml:space="preserve">ost-primary </w:t>
      </w:r>
      <w:r>
        <w:t>T</w:t>
      </w:r>
      <w:r w:rsidRPr="009E7B75">
        <w:t xml:space="preserve">ransfer </w:t>
      </w:r>
      <w:r>
        <w:t>T</w:t>
      </w:r>
      <w:r w:rsidRPr="009E7B75">
        <w:t>est - Claire Sugden MLA - AQW 2295/22-27', 15 July 2022.</w:t>
      </w:r>
    </w:p>
  </w:footnote>
  <w:footnote w:id="325">
    <w:p w14:paraId="7E38C6E2" w14:textId="2CDD6784" w:rsidR="00912002" w:rsidRPr="009E7B75" w:rsidRDefault="00912002" w:rsidP="007C17F8">
      <w:pPr>
        <w:pStyle w:val="NIHRCFootnotes0"/>
      </w:pPr>
      <w:r w:rsidRPr="009E7B75">
        <w:rPr>
          <w:rStyle w:val="FootnoteReference"/>
          <w:rFonts w:eastAsiaTheme="majorEastAsia"/>
        </w:rPr>
        <w:footnoteRef/>
      </w:r>
      <w:r w:rsidRPr="009E7B75">
        <w:t xml:space="preserve"> </w:t>
      </w:r>
      <w:r w:rsidR="00412EAC">
        <w:t>Ibid.</w:t>
      </w:r>
    </w:p>
  </w:footnote>
  <w:footnote w:id="326">
    <w:p w14:paraId="47A4757B" w14:textId="4F7DA944" w:rsidR="00FC3184" w:rsidRPr="00547D9D" w:rsidRDefault="00FC3184" w:rsidP="007C17F8">
      <w:pPr>
        <w:pStyle w:val="NIHRCFootnotes0"/>
      </w:pPr>
      <w:r w:rsidRPr="00547D9D">
        <w:rPr>
          <w:rStyle w:val="FootnoteReference"/>
        </w:rPr>
        <w:footnoteRef/>
      </w:r>
      <w:r w:rsidRPr="00547D9D">
        <w:t xml:space="preserve"> CRC/C/GBR/CO/5, ‘UN CRC Committee Concluding Observations on the Fifth Periodic Report of the UK of Great Britain and NI’, 12 July 2016, at 72(e).</w:t>
      </w:r>
    </w:p>
  </w:footnote>
  <w:footnote w:id="327">
    <w:p w14:paraId="1CB1B211" w14:textId="77777777" w:rsidR="001321B1" w:rsidRPr="00547D9D" w:rsidRDefault="001321B1" w:rsidP="007C17F8">
      <w:pPr>
        <w:pStyle w:val="NIHRCFootnotes0"/>
      </w:pPr>
      <w:r w:rsidRPr="00547D9D">
        <w:rPr>
          <w:rStyle w:val="FootnoteReference"/>
        </w:rPr>
        <w:footnoteRef/>
      </w:r>
      <w:r w:rsidRPr="00547D9D">
        <w:t xml:space="preserve"> Department of Education, 'Integrated Schools'. Available at: https://www.education-ni.gov.uk/articles/integrated-schools.</w:t>
      </w:r>
    </w:p>
  </w:footnote>
  <w:footnote w:id="328">
    <w:p w14:paraId="6808F3C4" w14:textId="659770AB" w:rsidR="001321B1" w:rsidRPr="00547D9D" w:rsidRDefault="001321B1" w:rsidP="007C17F8">
      <w:pPr>
        <w:pStyle w:val="NIHRCFootnotes0"/>
      </w:pPr>
      <w:r w:rsidRPr="00547D9D">
        <w:rPr>
          <w:rStyle w:val="FootnoteReference"/>
        </w:rPr>
        <w:footnoteRef/>
      </w:r>
      <w:r w:rsidRPr="00547D9D">
        <w:t xml:space="preserve"> NI Statistics and Research Agency, 'Annual enrolments at schools and in funded pre-school education in Northern Ireland 2021-</w:t>
      </w:r>
      <w:r w:rsidR="000724BD">
        <w:t>20</w:t>
      </w:r>
      <w:r w:rsidRPr="00547D9D">
        <w:t>22' (D</w:t>
      </w:r>
      <w:r w:rsidR="002A0D50">
        <w:t>o</w:t>
      </w:r>
      <w:r w:rsidRPr="00547D9D">
        <w:t>E, 2022), at 6.2.</w:t>
      </w:r>
    </w:p>
  </w:footnote>
  <w:footnote w:id="329">
    <w:p w14:paraId="6B5C253E" w14:textId="1510C279" w:rsidR="003F5166" w:rsidRPr="00547D9D" w:rsidRDefault="003F5166" w:rsidP="007C17F8">
      <w:pPr>
        <w:pStyle w:val="NIHRCFootnotes0"/>
      </w:pPr>
      <w:r w:rsidRPr="00547D9D">
        <w:rPr>
          <w:rStyle w:val="FootnoteReference"/>
        </w:rPr>
        <w:footnoteRef/>
      </w:r>
      <w:r w:rsidRPr="00547D9D">
        <w:t xml:space="preserve"> Meeting between NI Human Rights Commission and</w:t>
      </w:r>
      <w:r w:rsidR="00D92D09" w:rsidRPr="00547D9D">
        <w:t xml:space="preserve"> </w:t>
      </w:r>
      <w:r w:rsidRPr="00547D9D">
        <w:t>Department of Education, 20 July 2022.</w:t>
      </w:r>
    </w:p>
  </w:footnote>
  <w:footnote w:id="330">
    <w:p w14:paraId="0F0DBDE5" w14:textId="3631627B" w:rsidR="00D92D09" w:rsidRPr="00547D9D" w:rsidRDefault="00D92D09" w:rsidP="007C17F8">
      <w:pPr>
        <w:pStyle w:val="NIHRCFootnotes0"/>
      </w:pPr>
      <w:r w:rsidRPr="00547D9D">
        <w:rPr>
          <w:rStyle w:val="FootnoteReference"/>
        </w:rPr>
        <w:footnoteRef/>
      </w:r>
      <w:r w:rsidRPr="00547D9D">
        <w:t xml:space="preserve"> Section 1, Integrated Education Act (</w:t>
      </w:r>
      <w:r w:rsidR="002A0D50">
        <w:t>NI</w:t>
      </w:r>
      <w:r w:rsidRPr="00547D9D">
        <w:t xml:space="preserve">) 2022. To </w:t>
      </w:r>
      <w:proofErr w:type="gramStart"/>
      <w:r w:rsidRPr="00547D9D">
        <w:t>include:</w:t>
      </w:r>
      <w:proofErr w:type="gramEnd"/>
      <w:r w:rsidRPr="00547D9D">
        <w:t xml:space="preserve"> a) those of different cultures and religious beliefs and of none, including reasonable numbers of both Protestant and Roman Catholic children or young persons; b) those who are experiencing socio-economic deprivation and those who are not; and c) those of different abilities.</w:t>
      </w:r>
    </w:p>
  </w:footnote>
  <w:footnote w:id="331">
    <w:p w14:paraId="1416BD89" w14:textId="6B513A75" w:rsidR="00500EEB" w:rsidRPr="00547D9D" w:rsidRDefault="00500EEB" w:rsidP="007C17F8">
      <w:pPr>
        <w:pStyle w:val="NIHRCFootnotes0"/>
      </w:pPr>
      <w:r w:rsidRPr="00547D9D">
        <w:rPr>
          <w:rStyle w:val="FootnoteReference"/>
        </w:rPr>
        <w:footnoteRef/>
      </w:r>
      <w:r w:rsidRPr="00547D9D">
        <w:t xml:space="preserve"> Section 4</w:t>
      </w:r>
      <w:r w:rsidR="00623156" w:rsidRPr="00547D9D">
        <w:t>, Integrated Education (</w:t>
      </w:r>
      <w:r w:rsidR="002A0D50">
        <w:t>NI</w:t>
      </w:r>
      <w:r w:rsidR="00623156" w:rsidRPr="00547D9D">
        <w:t>) Act 2022.</w:t>
      </w:r>
    </w:p>
  </w:footnote>
  <w:footnote w:id="332">
    <w:p w14:paraId="27231A65" w14:textId="4DFC1C96" w:rsidR="00623156" w:rsidRDefault="00623156" w:rsidP="007C17F8">
      <w:pPr>
        <w:pStyle w:val="NIHRCFootnotes0"/>
      </w:pPr>
      <w:r w:rsidRPr="00547D9D">
        <w:rPr>
          <w:rStyle w:val="FootnoteReference"/>
        </w:rPr>
        <w:footnoteRef/>
      </w:r>
      <w:r w:rsidRPr="00547D9D">
        <w:t xml:space="preserve"> </w:t>
      </w:r>
      <w:r w:rsidR="003D79A1" w:rsidRPr="00547D9D">
        <w:t>Section 9, Integrated Education (</w:t>
      </w:r>
      <w:r w:rsidR="002A0D50">
        <w:t>NI</w:t>
      </w:r>
      <w:r w:rsidR="003D79A1" w:rsidRPr="00547D9D">
        <w:t>) Act 2022.</w:t>
      </w:r>
    </w:p>
  </w:footnote>
  <w:footnote w:id="333">
    <w:p w14:paraId="026DC0C3" w14:textId="1E637099" w:rsidR="004057C7" w:rsidRDefault="004057C7" w:rsidP="007C17F8">
      <w:pPr>
        <w:pStyle w:val="NIHRCFootnotes0"/>
      </w:pPr>
      <w:r w:rsidRPr="004057C7">
        <w:rPr>
          <w:rStyle w:val="FootnoteReference"/>
        </w:rPr>
        <w:footnoteRef/>
      </w:r>
      <w:r w:rsidRPr="004057C7">
        <w:t xml:space="preserve"> Meeting </w:t>
      </w:r>
      <w:r w:rsidRPr="003D2502">
        <w:t>between NI Human Rights Commission and</w:t>
      </w:r>
      <w:r>
        <w:t xml:space="preserve"> </w:t>
      </w:r>
      <w:r w:rsidRPr="003D2502">
        <w:t>Department of Education, 20 July 2022.</w:t>
      </w:r>
    </w:p>
  </w:footnote>
  <w:footnote w:id="334">
    <w:p w14:paraId="333BF046" w14:textId="77777777" w:rsidR="00973D75" w:rsidRPr="009E7B75" w:rsidRDefault="00973D75" w:rsidP="00973D75">
      <w:pPr>
        <w:pStyle w:val="NIHRCFootnotes0"/>
      </w:pPr>
      <w:r w:rsidRPr="009E7B75">
        <w:rPr>
          <w:rStyle w:val="FootnoteReference"/>
          <w:rFonts w:eastAsiaTheme="majorEastAsia"/>
        </w:rPr>
        <w:footnoteRef/>
      </w:r>
      <w:r w:rsidRPr="009E7B75">
        <w:t xml:space="preserve"> Section 2, Shared Education Act (NI) 2016.</w:t>
      </w:r>
    </w:p>
  </w:footnote>
  <w:footnote w:id="335">
    <w:p w14:paraId="1D7D833A" w14:textId="77777777" w:rsidR="00973D75" w:rsidRPr="009E7B75" w:rsidRDefault="00973D75" w:rsidP="00973D75">
      <w:pPr>
        <w:pStyle w:val="NIHRCFootnotes0"/>
      </w:pPr>
      <w:r w:rsidRPr="009E7B75">
        <w:rPr>
          <w:rStyle w:val="FootnoteReference"/>
        </w:rPr>
        <w:footnoteRef/>
      </w:r>
      <w:r w:rsidRPr="009E7B75">
        <w:t xml:space="preserve"> Department of Education, 'Advancing Shared Education: </w:t>
      </w:r>
      <w:r>
        <w:t>Third</w:t>
      </w:r>
      <w:r w:rsidRPr="009E7B75">
        <w:t xml:space="preserve"> Report to the NI Assembly' (DoE, 2022).</w:t>
      </w:r>
    </w:p>
  </w:footnote>
  <w:footnote w:id="336">
    <w:p w14:paraId="731FFAB8" w14:textId="322C2459" w:rsidR="00973D75" w:rsidRPr="009E7B75" w:rsidRDefault="00973D75" w:rsidP="00973D75">
      <w:pPr>
        <w:pStyle w:val="NIHRCFootnotes0"/>
      </w:pPr>
      <w:r w:rsidRPr="009E7B75">
        <w:rPr>
          <w:rStyle w:val="FootnoteReference"/>
          <w:rFonts w:eastAsiaTheme="majorEastAsia"/>
        </w:rPr>
        <w:footnoteRef/>
      </w:r>
      <w:r w:rsidRPr="009E7B75">
        <w:t xml:space="preserve"> </w:t>
      </w:r>
      <w:r w:rsidR="00412EAC">
        <w:t>Ibid.</w:t>
      </w:r>
    </w:p>
  </w:footnote>
  <w:footnote w:id="337">
    <w:p w14:paraId="2911549A" w14:textId="77777777" w:rsidR="004C132C" w:rsidRPr="009219F1" w:rsidRDefault="004C132C" w:rsidP="007C17F8">
      <w:pPr>
        <w:pStyle w:val="NIHRCFootnotes0"/>
      </w:pPr>
      <w:r w:rsidRPr="009219F1">
        <w:rPr>
          <w:rStyle w:val="FootnoteReference"/>
        </w:rPr>
        <w:footnoteRef/>
      </w:r>
      <w:r w:rsidRPr="009219F1">
        <w:t xml:space="preserve"> Department of Education, 'Shared Education'. Available at: https://www.education-ni.gov.uk/articles/what-shared-education.</w:t>
      </w:r>
    </w:p>
  </w:footnote>
  <w:footnote w:id="338">
    <w:p w14:paraId="7FA3991B" w14:textId="5C9BF0E0" w:rsidR="004C132C" w:rsidRPr="009219F1" w:rsidRDefault="004C132C" w:rsidP="007C17F8">
      <w:pPr>
        <w:pStyle w:val="NIHRCFootnotes0"/>
      </w:pPr>
      <w:r w:rsidRPr="009219F1">
        <w:rPr>
          <w:rStyle w:val="FootnoteReference"/>
        </w:rPr>
        <w:footnoteRef/>
      </w:r>
      <w:r w:rsidRPr="009219F1">
        <w:t xml:space="preserve"> </w:t>
      </w:r>
      <w:r w:rsidR="006D4430">
        <w:t xml:space="preserve">NI Human Rights Commission </w:t>
      </w:r>
      <w:r w:rsidR="00A00528">
        <w:t>r</w:t>
      </w:r>
      <w:r w:rsidRPr="009219F1">
        <w:t xml:space="preserve">oundtable </w:t>
      </w:r>
      <w:r w:rsidR="00603498">
        <w:t>meeting</w:t>
      </w:r>
      <w:r w:rsidRPr="009219F1">
        <w:t xml:space="preserve"> with civil society organisations</w:t>
      </w:r>
      <w:r w:rsidR="006D4430">
        <w:t xml:space="preserve"> on UN CRC</w:t>
      </w:r>
      <w:r w:rsidRPr="009219F1">
        <w:t>, 23 September 2020</w:t>
      </w:r>
      <w:r w:rsidR="00A0758F">
        <w:t xml:space="preserve">; </w:t>
      </w:r>
      <w:r w:rsidR="005667E5">
        <w:t xml:space="preserve">NI </w:t>
      </w:r>
      <w:r w:rsidR="006D4430">
        <w:t xml:space="preserve">Human Rights Commission </w:t>
      </w:r>
      <w:r w:rsidR="00A00528">
        <w:t>r</w:t>
      </w:r>
      <w:r w:rsidR="00A0758F">
        <w:t>oundtable</w:t>
      </w:r>
      <w:r w:rsidR="00603498">
        <w:t xml:space="preserve"> meetings</w:t>
      </w:r>
      <w:r w:rsidR="00A0758F">
        <w:t xml:space="preserve"> with </w:t>
      </w:r>
      <w:r w:rsidR="00B93270">
        <w:t>civil</w:t>
      </w:r>
      <w:r w:rsidR="00A0758F">
        <w:t xml:space="preserve"> society organisations</w:t>
      </w:r>
      <w:r w:rsidR="006D4430">
        <w:t xml:space="preserve"> on UN ICESCR</w:t>
      </w:r>
      <w:r w:rsidR="00A0758F">
        <w:t xml:space="preserve">, </w:t>
      </w:r>
      <w:r w:rsidR="00B93270">
        <w:t>11 and 13 October 2022.</w:t>
      </w:r>
    </w:p>
  </w:footnote>
  <w:footnote w:id="339">
    <w:p w14:paraId="423597DF" w14:textId="77777777" w:rsidR="004C132C" w:rsidRPr="009219F1" w:rsidRDefault="004C132C" w:rsidP="007C17F8">
      <w:pPr>
        <w:pStyle w:val="NIHRCFootnotes0"/>
      </w:pPr>
      <w:r w:rsidRPr="009219F1">
        <w:rPr>
          <w:rStyle w:val="FootnoteReference"/>
        </w:rPr>
        <w:footnoteRef/>
      </w:r>
      <w:r w:rsidRPr="009219F1">
        <w:t xml:space="preserve"> Meeting between NI Human Rights Commission and Department of Education, 20 July 2022.</w:t>
      </w:r>
    </w:p>
  </w:footnote>
  <w:footnote w:id="340">
    <w:p w14:paraId="1D10119E" w14:textId="22781357" w:rsidR="004C132C" w:rsidRPr="003D2502" w:rsidRDefault="004C132C" w:rsidP="007C17F8">
      <w:pPr>
        <w:pStyle w:val="NIHRCFootnotes0"/>
      </w:pPr>
      <w:r w:rsidRPr="009219F1">
        <w:rPr>
          <w:rStyle w:val="FootnoteReference"/>
        </w:rPr>
        <w:footnoteRef/>
      </w:r>
      <w:r w:rsidRPr="009219F1">
        <w:t xml:space="preserve"> Special EU Programmes Body, 'PEACEPLUS Programme'. Available at: https://www.seupb.eu/PEACEPLUS</w:t>
      </w:r>
    </w:p>
  </w:footnote>
  <w:footnote w:id="341">
    <w:p w14:paraId="0C809871" w14:textId="733D163E" w:rsidR="004C132C" w:rsidRPr="003D2502" w:rsidRDefault="004C132C" w:rsidP="007C17F8">
      <w:pPr>
        <w:pStyle w:val="NIHRCFootnotes0"/>
      </w:pPr>
      <w:r w:rsidRPr="003D2502">
        <w:rPr>
          <w:rStyle w:val="FootnoteReference"/>
        </w:rPr>
        <w:footnoteRef/>
      </w:r>
      <w:r w:rsidRPr="003D2502">
        <w:t xml:space="preserve"> Department of Education, 'Shared Education'. Available at: https://www.education-ni.gov.uk/articles/what-shared-education</w:t>
      </w:r>
    </w:p>
  </w:footnote>
  <w:footnote w:id="342">
    <w:p w14:paraId="3964CEC5" w14:textId="147C38F4" w:rsidR="005F7797" w:rsidRPr="000B5E18" w:rsidRDefault="005F7797" w:rsidP="007C17F8">
      <w:pPr>
        <w:pStyle w:val="NIHRCFootnotes0"/>
      </w:pPr>
      <w:r w:rsidRPr="000B5E18">
        <w:rPr>
          <w:rStyle w:val="FootnoteReference"/>
        </w:rPr>
        <w:footnoteRef/>
      </w:r>
      <w:r w:rsidRPr="000B5E18">
        <w:t xml:space="preserve"> CRC/C/GBR/CO/5, ‘UN CRC Committee Concluding Observations on the Fifth Periodic Report of the UK of Great Britain and NI’, 12 July 2016, at 40(c).</w:t>
      </w:r>
    </w:p>
  </w:footnote>
  <w:footnote w:id="343">
    <w:p w14:paraId="6B5D1F73" w14:textId="4A8CEDF6" w:rsidR="005F7797" w:rsidRPr="000B5E18" w:rsidRDefault="005F7797" w:rsidP="007C17F8">
      <w:pPr>
        <w:pStyle w:val="NIHRCFootnotes0"/>
        <w:rPr>
          <w:b/>
        </w:rPr>
      </w:pPr>
      <w:r w:rsidRPr="000B5E18">
        <w:rPr>
          <w:rStyle w:val="FootnoteReference"/>
        </w:rPr>
        <w:footnoteRef/>
      </w:r>
      <w:r w:rsidRPr="000B5E18">
        <w:t xml:space="preserve"> </w:t>
      </w:r>
      <w:r w:rsidR="00412EAC">
        <w:t>Ibid</w:t>
      </w:r>
      <w:r w:rsidR="002A0D50" w:rsidRPr="000B5E18">
        <w:t xml:space="preserve"> at </w:t>
      </w:r>
      <w:r w:rsidRPr="000B5E18">
        <w:t>40(d).</w:t>
      </w:r>
    </w:p>
  </w:footnote>
  <w:footnote w:id="344">
    <w:p w14:paraId="6E8C6E58" w14:textId="77777777" w:rsidR="005F7797" w:rsidRPr="00394B6E" w:rsidRDefault="005F7797" w:rsidP="007C17F8">
      <w:pPr>
        <w:pStyle w:val="NIHRCFootnotes0"/>
      </w:pPr>
      <w:r w:rsidRPr="00394B6E">
        <w:rPr>
          <w:rStyle w:val="FootnoteReference"/>
        </w:rPr>
        <w:footnoteRef/>
      </w:r>
      <w:r w:rsidRPr="00394B6E">
        <w:t xml:space="preserve"> </w:t>
      </w:r>
      <w:proofErr w:type="gramStart"/>
      <w:r w:rsidRPr="00394B6E">
        <w:t>For the purpose of</w:t>
      </w:r>
      <w:proofErr w:type="gramEnd"/>
      <w:r w:rsidRPr="00394B6E">
        <w:t xml:space="preserve"> preventing the pupil from doing or continuing to a) commit any offence, b) cause personal injury to, or damage to the property of any person (including the pupil), or c) engage in any behaviour prejudicial to the maintenance of good order and discipline at the school or among any of its pupils, whether that behaviour occurs during a teaching session or otherwise.</w:t>
      </w:r>
    </w:p>
  </w:footnote>
  <w:footnote w:id="345">
    <w:p w14:paraId="1C7211A5" w14:textId="77777777" w:rsidR="005F7797" w:rsidRPr="00394B6E" w:rsidRDefault="005F7797" w:rsidP="007C17F8">
      <w:pPr>
        <w:pStyle w:val="NIHRCFootnotes0"/>
      </w:pPr>
      <w:r w:rsidRPr="00394B6E">
        <w:rPr>
          <w:rStyle w:val="FootnoteReference"/>
        </w:rPr>
        <w:footnoteRef/>
      </w:r>
      <w:r w:rsidRPr="00394B6E">
        <w:t xml:space="preserve"> Section 4(2), Education (NI) Order 1998.</w:t>
      </w:r>
    </w:p>
  </w:footnote>
  <w:footnote w:id="346">
    <w:p w14:paraId="5F1B9B2A" w14:textId="77777777" w:rsidR="005F7797" w:rsidRPr="00394B6E" w:rsidRDefault="005F7797" w:rsidP="007C17F8">
      <w:pPr>
        <w:pStyle w:val="NIHRCFootnotes0"/>
      </w:pPr>
      <w:r w:rsidRPr="00394B6E">
        <w:rPr>
          <w:rStyle w:val="FootnoteReference"/>
        </w:rPr>
        <w:footnoteRef/>
      </w:r>
      <w:r w:rsidRPr="00394B6E">
        <w:t xml:space="preserve"> Department of Education, ‘Pastoral Care: Guidance on the Use of Reasonable Force to Restrain or Control Pupils’ (DoE, 1999).</w:t>
      </w:r>
    </w:p>
  </w:footnote>
  <w:footnote w:id="347">
    <w:p w14:paraId="411C8B40" w14:textId="70B8A5EE" w:rsidR="005F7797" w:rsidRPr="00394B6E" w:rsidRDefault="005F7797" w:rsidP="007C17F8">
      <w:pPr>
        <w:pStyle w:val="NIHRCFootnotes0"/>
      </w:pPr>
      <w:r w:rsidRPr="00394B6E">
        <w:rPr>
          <w:rStyle w:val="FootnoteReference"/>
        </w:rPr>
        <w:footnoteRef/>
      </w:r>
      <w:r w:rsidRPr="00394B6E">
        <w:t xml:space="preserve"> </w:t>
      </w:r>
      <w:r w:rsidR="00412EAC">
        <w:t>Ibid</w:t>
      </w:r>
      <w:r w:rsidRPr="00394B6E">
        <w:t xml:space="preserve"> at 8.</w:t>
      </w:r>
    </w:p>
  </w:footnote>
  <w:footnote w:id="348">
    <w:p w14:paraId="7F16ECCA" w14:textId="77777777" w:rsidR="005F7797" w:rsidRPr="00394B6E" w:rsidRDefault="005F7797" w:rsidP="007C17F8">
      <w:pPr>
        <w:pStyle w:val="NIHRCFootnotes0"/>
      </w:pPr>
      <w:r w:rsidRPr="00394B6E">
        <w:rPr>
          <w:rStyle w:val="FootnoteReference"/>
        </w:rPr>
        <w:footnoteRef/>
      </w:r>
      <w:r w:rsidRPr="00394B6E">
        <w:t xml:space="preserve"> British Association of Social Workers, ‘Policy Statement: Restraint and Seclusion of Children and Young People in Schools and Educational Facilities’ (BASWNI, 2019); Robbie Meredith, ‘School seclusion “could have damaging effects”’, </w:t>
      </w:r>
      <w:r w:rsidRPr="00394B6E">
        <w:rPr>
          <w:i/>
        </w:rPr>
        <w:t>BBC News</w:t>
      </w:r>
      <w:r w:rsidRPr="00394B6E">
        <w:t>, 21 December 2019.</w:t>
      </w:r>
    </w:p>
  </w:footnote>
  <w:footnote w:id="349">
    <w:p w14:paraId="2D86F9B8" w14:textId="1E9D83F0" w:rsidR="005F7797" w:rsidRPr="00394B6E" w:rsidRDefault="005F7797" w:rsidP="007C17F8">
      <w:pPr>
        <w:pStyle w:val="NIHRCFootnotes0"/>
      </w:pPr>
      <w:r w:rsidRPr="00394B6E">
        <w:rPr>
          <w:rStyle w:val="FootnoteReference"/>
        </w:rPr>
        <w:footnoteRef/>
      </w:r>
      <w:r w:rsidRPr="00394B6E">
        <w:t xml:space="preserve"> NI Public Services Ombudsman, 'Overview Report: </w:t>
      </w:r>
      <w:r w:rsidR="002A0D50">
        <w:t>T</w:t>
      </w:r>
      <w:r w:rsidRPr="00394B6E">
        <w:t xml:space="preserve">he </w:t>
      </w:r>
      <w:r w:rsidR="002A0D50">
        <w:t>U</w:t>
      </w:r>
      <w:r w:rsidRPr="00394B6E">
        <w:t>se of Restrictive Practices in NI Schools' (NIPSO, 2021).</w:t>
      </w:r>
    </w:p>
  </w:footnote>
  <w:footnote w:id="350">
    <w:p w14:paraId="2E26D6E5" w14:textId="4083194D" w:rsidR="005F7797" w:rsidRPr="00394B6E" w:rsidRDefault="005F7797" w:rsidP="007C17F8">
      <w:pPr>
        <w:pStyle w:val="NIHRCFootnotes0"/>
      </w:pPr>
      <w:r w:rsidRPr="00394B6E">
        <w:rPr>
          <w:rStyle w:val="FootnoteReference"/>
        </w:rPr>
        <w:footnoteRef/>
      </w:r>
      <w:r w:rsidRPr="00394B6E">
        <w:t xml:space="preserve"> NI Commissioner for Children and Young People, ‘Neither Seen </w:t>
      </w:r>
      <w:r w:rsidR="007D4371">
        <w:t>nor</w:t>
      </w:r>
      <w:r w:rsidRPr="00394B6E">
        <w:t xml:space="preserve"> Heard: Rights Based Review on the Use of Restraint and Seclusion in Educational Settings’ (NICCY, 2021).</w:t>
      </w:r>
    </w:p>
  </w:footnote>
  <w:footnote w:id="351">
    <w:p w14:paraId="230EDADF" w14:textId="570A4D3F" w:rsidR="005F7797" w:rsidRPr="00394B6E" w:rsidRDefault="005F7797" w:rsidP="007C17F8">
      <w:pPr>
        <w:pStyle w:val="NIHRCFootnotes0"/>
      </w:pPr>
      <w:r w:rsidRPr="00394B6E">
        <w:rPr>
          <w:rStyle w:val="FootnoteReference"/>
        </w:rPr>
        <w:footnoteRef/>
      </w:r>
      <w:r w:rsidRPr="00394B6E">
        <w:t xml:space="preserve"> Department of Education, 'Review of the Use of Restraint and Seclusion in Educational Settings in </w:t>
      </w:r>
      <w:r w:rsidR="002A0D50">
        <w:t>NI</w:t>
      </w:r>
      <w:r w:rsidRPr="00394B6E">
        <w:t>' (D</w:t>
      </w:r>
      <w:r w:rsidR="002A0D50">
        <w:t>o</w:t>
      </w:r>
      <w:r w:rsidRPr="00394B6E">
        <w:t>E, 2022).</w:t>
      </w:r>
    </w:p>
  </w:footnote>
  <w:footnote w:id="352">
    <w:p w14:paraId="0BEF6206" w14:textId="5ECA76E8" w:rsidR="005F7797" w:rsidRPr="006B5E2D" w:rsidRDefault="005F7797" w:rsidP="007C17F8">
      <w:pPr>
        <w:pStyle w:val="NIHRCFootnotes0"/>
      </w:pPr>
      <w:r w:rsidRPr="00394B6E">
        <w:rPr>
          <w:rStyle w:val="FootnoteReference"/>
        </w:rPr>
        <w:footnoteRef/>
      </w:r>
      <w:r w:rsidRPr="00394B6E">
        <w:t xml:space="preserve"> </w:t>
      </w:r>
      <w:r w:rsidR="00412EAC">
        <w:t>Ibid.</w:t>
      </w:r>
    </w:p>
  </w:footnote>
  <w:footnote w:id="353">
    <w:p w14:paraId="79903ED1" w14:textId="77777777" w:rsidR="005F7797" w:rsidRPr="003D2502" w:rsidRDefault="005F7797" w:rsidP="007C17F8">
      <w:pPr>
        <w:pStyle w:val="NIHRCFootnotes0"/>
      </w:pPr>
      <w:r w:rsidRPr="006B5E2D">
        <w:rPr>
          <w:rStyle w:val="FootnoteReference"/>
        </w:rPr>
        <w:footnoteRef/>
      </w:r>
      <w:r w:rsidRPr="006B5E2D">
        <w:t xml:space="preserve"> Meeting between NI Human Rights Commission and Department of Education, 20 July 2022.</w:t>
      </w:r>
    </w:p>
  </w:footnote>
  <w:footnote w:id="354">
    <w:p w14:paraId="2A7082C5" w14:textId="570F2C39" w:rsidR="00FC3184" w:rsidRPr="0081402D" w:rsidRDefault="00FC3184" w:rsidP="007C17F8">
      <w:pPr>
        <w:pStyle w:val="NIHRCFootnotes0"/>
      </w:pPr>
      <w:r w:rsidRPr="0081402D">
        <w:rPr>
          <w:rStyle w:val="FootnoteReference"/>
        </w:rPr>
        <w:footnoteRef/>
      </w:r>
      <w:r w:rsidRPr="0081402D">
        <w:t xml:space="preserve"> NI Human Rights Commission, ‘Out of Sight Out of Mind: Travellers’ Accommodation in NI’ (NIHRC, 2018), at 106; NI Human Rights Commission, ‘Implementation of Travellers’ Accommodation Recommendations’ (NIHRC, 2019), at 15</w:t>
      </w:r>
      <w:r w:rsidR="0081402D" w:rsidRPr="0081402D">
        <w:t>; NI Human Rights Commission, 'Response to Public Consultation on New Housing Supply Strategy Call for Evidence', (NIHRC, 2021).</w:t>
      </w:r>
    </w:p>
  </w:footnote>
  <w:footnote w:id="355">
    <w:p w14:paraId="097025F7" w14:textId="08B847A2" w:rsidR="008300FD" w:rsidRPr="0081402D" w:rsidRDefault="008300FD" w:rsidP="007C17F8">
      <w:pPr>
        <w:pStyle w:val="NIHRCFootnotes0"/>
      </w:pPr>
      <w:r w:rsidRPr="0081402D">
        <w:rPr>
          <w:rStyle w:val="FootnoteReference"/>
        </w:rPr>
        <w:footnoteRef/>
      </w:r>
      <w:r w:rsidRPr="0081402D">
        <w:t xml:space="preserve"> Department for Communities, 'Consultation on the </w:t>
      </w:r>
      <w:r w:rsidR="002A0D50">
        <w:t>N</w:t>
      </w:r>
      <w:r w:rsidRPr="0081402D">
        <w:t xml:space="preserve">ew </w:t>
      </w:r>
      <w:r w:rsidR="002A0D50">
        <w:t>H</w:t>
      </w:r>
      <w:r w:rsidRPr="0081402D">
        <w:t xml:space="preserve">ousing </w:t>
      </w:r>
      <w:r w:rsidR="002A0D50">
        <w:t>S</w:t>
      </w:r>
      <w:r w:rsidRPr="0081402D">
        <w:t xml:space="preserve">upply </w:t>
      </w:r>
      <w:r w:rsidR="002A0D50">
        <w:t>S</w:t>
      </w:r>
      <w:r w:rsidRPr="0081402D">
        <w:t xml:space="preserve">trategy </w:t>
      </w:r>
      <w:r w:rsidR="002A0D50">
        <w:t>C</w:t>
      </w:r>
      <w:r w:rsidRPr="0081402D">
        <w:t xml:space="preserve">all for </w:t>
      </w:r>
      <w:r w:rsidR="002A0D50">
        <w:t>E</w:t>
      </w:r>
      <w:r w:rsidRPr="0081402D">
        <w:t>vidence' (DfC, 2021), at 24.</w:t>
      </w:r>
    </w:p>
  </w:footnote>
  <w:footnote w:id="356">
    <w:p w14:paraId="105CE4F8" w14:textId="1B66F2CD" w:rsidR="00FC3184" w:rsidRPr="0081402D" w:rsidRDefault="00FC3184" w:rsidP="007C17F8">
      <w:pPr>
        <w:pStyle w:val="NIHRCFootnotes0"/>
      </w:pPr>
      <w:r w:rsidRPr="0081402D">
        <w:rPr>
          <w:rStyle w:val="FootnoteReference"/>
        </w:rPr>
        <w:footnoteRef/>
      </w:r>
      <w:r w:rsidRPr="0081402D">
        <w:t xml:space="preserve"> NI Statistics and Research Agency, ‘NI Market Report – </w:t>
      </w:r>
      <w:r w:rsidR="008D1D6F" w:rsidRPr="0081402D">
        <w:t>September 2022</w:t>
      </w:r>
      <w:r w:rsidRPr="0081402D">
        <w:t>’ (NISRA, 202</w:t>
      </w:r>
      <w:r w:rsidR="008D1D6F" w:rsidRPr="0081402D">
        <w:t>2</w:t>
      </w:r>
      <w:r w:rsidRPr="0081402D">
        <w:t>).</w:t>
      </w:r>
    </w:p>
  </w:footnote>
  <w:footnote w:id="357">
    <w:p w14:paraId="56C8C640" w14:textId="572A6FF8" w:rsidR="008E7B91" w:rsidRPr="0031545C" w:rsidRDefault="008E7B91" w:rsidP="007C17F8">
      <w:pPr>
        <w:pStyle w:val="NIHRCFootnotes0"/>
      </w:pPr>
      <w:r w:rsidRPr="0031545C">
        <w:rPr>
          <w:rStyle w:val="FootnoteReference"/>
        </w:rPr>
        <w:footnoteRef/>
      </w:r>
      <w:r w:rsidRPr="0031545C">
        <w:t xml:space="preserve"> </w:t>
      </w:r>
      <w:r w:rsidR="0031545C" w:rsidRPr="0031545C">
        <w:t>NI Statistics and Research Agency, ‘Quarterly Labour Force Survey Tables – August 2022’ (NISRA, 2022).</w:t>
      </w:r>
    </w:p>
  </w:footnote>
  <w:footnote w:id="358">
    <w:p w14:paraId="7F9AFDD7" w14:textId="78CB5CEE" w:rsidR="004209AD" w:rsidRPr="00570819" w:rsidRDefault="004209AD" w:rsidP="00F1169B">
      <w:pPr>
        <w:pStyle w:val="NIHRCFootnotes0"/>
      </w:pPr>
      <w:r w:rsidRPr="00570819">
        <w:rPr>
          <w:rStyle w:val="FootnoteReference"/>
        </w:rPr>
        <w:footnoteRef/>
      </w:r>
      <w:r w:rsidRPr="00570819">
        <w:t xml:space="preserve"> </w:t>
      </w:r>
      <w:r w:rsidR="00F1169B" w:rsidRPr="009E7B75">
        <w:t xml:space="preserve">NI Union of Supported Employment, ‘Future </w:t>
      </w:r>
      <w:r w:rsidR="00F1169B">
        <w:t>F</w:t>
      </w:r>
      <w:r w:rsidR="00F1169B" w:rsidRPr="009E7B75">
        <w:t xml:space="preserve">unding for </w:t>
      </w:r>
      <w:r w:rsidR="00F1169B">
        <w:t>D</w:t>
      </w:r>
      <w:r w:rsidR="00F1169B" w:rsidRPr="009E7B75">
        <w:t xml:space="preserve">isability </w:t>
      </w:r>
      <w:r w:rsidR="00F1169B">
        <w:t>E</w:t>
      </w:r>
      <w:r w:rsidR="00F1169B" w:rsidRPr="009E7B75">
        <w:t xml:space="preserve">mployment </w:t>
      </w:r>
      <w:r w:rsidR="00F1169B">
        <w:t>S</w:t>
      </w:r>
      <w:r w:rsidR="00F1169B" w:rsidRPr="009E7B75">
        <w:t>ervices’ (NIUSE, 2019)</w:t>
      </w:r>
      <w:r w:rsidR="00F1169B">
        <w:t xml:space="preserve">; John Campbell, ‘Brexit: Jobs “at risk” over failure to replace EU funds’, </w:t>
      </w:r>
      <w:r w:rsidR="00F1169B">
        <w:rPr>
          <w:i/>
          <w:iCs/>
        </w:rPr>
        <w:t>BBC News</w:t>
      </w:r>
      <w:r w:rsidR="00F1169B">
        <w:t>, 12 October 2022.</w:t>
      </w:r>
    </w:p>
  </w:footnote>
  <w:footnote w:id="359">
    <w:p w14:paraId="78092AAC" w14:textId="76C4DDD5" w:rsidR="004209AD" w:rsidRPr="0031545C" w:rsidRDefault="004209AD" w:rsidP="007C17F8">
      <w:pPr>
        <w:pStyle w:val="NIHRCFootnotes0"/>
      </w:pPr>
      <w:r w:rsidRPr="0031545C">
        <w:rPr>
          <w:rStyle w:val="FootnoteReference"/>
        </w:rPr>
        <w:footnoteRef/>
      </w:r>
      <w:r w:rsidRPr="0031545C">
        <w:t xml:space="preserve"> In February 2022, the NI Minister for Communities secured match-funding for 2022/</w:t>
      </w:r>
      <w:r w:rsidR="002A0D50">
        <w:t>20</w:t>
      </w:r>
      <w:r w:rsidRPr="0031545C">
        <w:t>23. In August 2022, around £127 million was allocated to NI from the UK Shared Prosperity Fund for the period 2022/23 to 2024/25. See Department for Communities,</w:t>
      </w:r>
      <w:r w:rsidR="002A0D50">
        <w:t xml:space="preserve"> </w:t>
      </w:r>
      <w:r w:rsidRPr="0031545C">
        <w:t>’</w:t>
      </w:r>
      <w:proofErr w:type="spellStart"/>
      <w:r w:rsidRPr="0031545C">
        <w:t>Hargey</w:t>
      </w:r>
      <w:proofErr w:type="spellEnd"/>
      <w:r w:rsidRPr="0031545C">
        <w:t xml:space="preserve"> announces £1.5M funding to local employment and education projects’, 17 February 2022; Department for Levelling Up, Housing </w:t>
      </w:r>
      <w:r w:rsidR="00412EAC">
        <w:t xml:space="preserve">and </w:t>
      </w:r>
      <w:r w:rsidRPr="0031545C">
        <w:t>Communities, ‘</w:t>
      </w:r>
      <w:r w:rsidR="0093591E">
        <w:t xml:space="preserve">Press Release: </w:t>
      </w:r>
      <w:r w:rsidRPr="0031545C">
        <w:t>UK</w:t>
      </w:r>
      <w:r w:rsidR="002A0D50">
        <w:t xml:space="preserve"> </w:t>
      </w:r>
      <w:r w:rsidRPr="0031545C">
        <w:t>S</w:t>
      </w:r>
      <w:r w:rsidR="002A0D50">
        <w:t>hared Prosperity Fund</w:t>
      </w:r>
      <w:r w:rsidRPr="0031545C">
        <w:t xml:space="preserve">: Delivery in </w:t>
      </w:r>
      <w:r w:rsidR="002A0D50">
        <w:t>NI</w:t>
      </w:r>
      <w:r w:rsidRPr="0031545C">
        <w:t>’, 1 August 2022.</w:t>
      </w:r>
    </w:p>
  </w:footnote>
  <w:footnote w:id="360">
    <w:p w14:paraId="64D53125" w14:textId="5B4D60A1" w:rsidR="00572FA0" w:rsidRDefault="00572FA0" w:rsidP="007C17F8">
      <w:pPr>
        <w:pStyle w:val="NIHRCFootnotes0"/>
      </w:pPr>
      <w:r>
        <w:rPr>
          <w:rStyle w:val="FootnoteReference"/>
        </w:rPr>
        <w:footnoteRef/>
      </w:r>
      <w:r>
        <w:t xml:space="preserve"> </w:t>
      </w:r>
      <w:r w:rsidR="00332B71">
        <w:t>NI Human Rights Commission r</w:t>
      </w:r>
      <w:r w:rsidR="00332B71" w:rsidRPr="000A5747">
        <w:t>oundtable discussion with civil society organisations</w:t>
      </w:r>
      <w:r w:rsidR="00332B71">
        <w:t xml:space="preserve"> on UN CRC</w:t>
      </w:r>
      <w:r w:rsidR="00332B71" w:rsidRPr="000A5747">
        <w:t xml:space="preserve">, </w:t>
      </w:r>
      <w:r w:rsidRPr="00F32CD4">
        <w:t>9 and 11 August 202</w:t>
      </w:r>
      <w:r w:rsidR="00655196">
        <w:t>2.</w:t>
      </w:r>
    </w:p>
  </w:footnote>
  <w:footnote w:id="361">
    <w:p w14:paraId="3D1207E0" w14:textId="07D09A1F" w:rsidR="001F269E" w:rsidRDefault="001F269E" w:rsidP="007C17F8">
      <w:pPr>
        <w:pStyle w:val="NIHRCFootnotes0"/>
      </w:pPr>
      <w:r>
        <w:rPr>
          <w:rStyle w:val="FootnoteReference"/>
        </w:rPr>
        <w:footnoteRef/>
      </w:r>
      <w:r>
        <w:t xml:space="preserve"> NI Council for Voluntary Action, ‘E</w:t>
      </w:r>
      <w:r w:rsidR="00FE27B2">
        <w:t>uropean Social Fund</w:t>
      </w:r>
      <w:r>
        <w:t xml:space="preserve"> User Group Briefing Paper’ (NICVA, 2021), at 3.</w:t>
      </w:r>
    </w:p>
  </w:footnote>
  <w:footnote w:id="362">
    <w:p w14:paraId="77C4F9BC" w14:textId="77777777" w:rsidR="001F269E" w:rsidRDefault="001F269E" w:rsidP="001F269E">
      <w:pPr>
        <w:pStyle w:val="NIHRCFootnotes0"/>
      </w:pPr>
      <w:r>
        <w:rPr>
          <w:rStyle w:val="FootnoteReference"/>
        </w:rPr>
        <w:footnoteRef/>
      </w:r>
      <w:r>
        <w:t xml:space="preserve"> NI Council for Voluntary Action, ‘Press Release: </w:t>
      </w:r>
      <w:r w:rsidRPr="00793E03">
        <w:t>Latest on the UK Shared Prosperity NI Programme</w:t>
      </w:r>
      <w:r>
        <w:t>’, 3 August 2022.</w:t>
      </w:r>
    </w:p>
  </w:footnote>
  <w:footnote w:id="363">
    <w:p w14:paraId="142636CD" w14:textId="349BCCFC" w:rsidR="00F10CFD" w:rsidRPr="009E7B75" w:rsidRDefault="00F10CFD" w:rsidP="00F10CFD">
      <w:pPr>
        <w:pStyle w:val="NIHRCFootnotes0"/>
      </w:pPr>
      <w:r w:rsidRPr="009E7B75">
        <w:rPr>
          <w:rStyle w:val="FootnoteReference"/>
          <w:rFonts w:eastAsiaTheme="majorEastAsia"/>
        </w:rPr>
        <w:footnoteRef/>
      </w:r>
      <w:r w:rsidRPr="009E7B75">
        <w:t xml:space="preserve"> University of Ulster Economic Policy Centre, 'Disability and the Labour Market' (UUEPC, 2022</w:t>
      </w:r>
      <w:r>
        <w:t xml:space="preserve">); </w:t>
      </w:r>
      <w:r w:rsidRPr="009E7B75">
        <w:t>Disability Strategy Expert Advisory Panel, ‘Report and Recommendations’</w:t>
      </w:r>
      <w:r>
        <w:t xml:space="preserve"> (DfC,</w:t>
      </w:r>
      <w:r w:rsidRPr="009E7B75">
        <w:t xml:space="preserve"> 2021), at 82.</w:t>
      </w:r>
    </w:p>
  </w:footnote>
  <w:footnote w:id="364">
    <w:p w14:paraId="3639D227" w14:textId="0A22DA88" w:rsidR="00674A59" w:rsidRPr="009E7B75" w:rsidRDefault="00674A59" w:rsidP="00674A59">
      <w:pPr>
        <w:pStyle w:val="NIHRCFootnotes0"/>
      </w:pPr>
      <w:r w:rsidRPr="009E7B75">
        <w:rPr>
          <w:rStyle w:val="FootnoteReference"/>
          <w:rFonts w:eastAsiaTheme="majorEastAsia"/>
        </w:rPr>
        <w:footnoteRef/>
      </w:r>
      <w:r w:rsidRPr="009E7B75">
        <w:t xml:space="preserve"> Disability Strategy Expert Advisory Panel, ‘Report and Recommendations’</w:t>
      </w:r>
      <w:r>
        <w:t xml:space="preserve"> (DfC,</w:t>
      </w:r>
      <w:r w:rsidRPr="009E7B75">
        <w:t xml:space="preserve"> 2021), at </w:t>
      </w:r>
      <w:r w:rsidR="00942255">
        <w:t xml:space="preserve">91 and </w:t>
      </w:r>
      <w:r w:rsidR="00A836D3">
        <w:t>114</w:t>
      </w:r>
      <w:r w:rsidRPr="009E7B75">
        <w:t>.</w:t>
      </w:r>
    </w:p>
  </w:footnote>
  <w:footnote w:id="365">
    <w:p w14:paraId="32B44FE7" w14:textId="59FD46A0" w:rsidR="004523DD" w:rsidRPr="00B67801" w:rsidRDefault="004523DD" w:rsidP="004523DD">
      <w:pPr>
        <w:pStyle w:val="NIHRCFootnotes0"/>
      </w:pPr>
      <w:r w:rsidRPr="00B67801">
        <w:rPr>
          <w:rStyle w:val="FootnoteReference"/>
        </w:rPr>
        <w:footnoteRef/>
      </w:r>
      <w:r w:rsidRPr="00B67801">
        <w:t xml:space="preserve"> CRC/C/GBR/CO/5, ‘UN CRC Committee Concluding Observations on the Fifth Periodic Report of the UK of Great Britain and NI’, 12 July 2016, at 79.</w:t>
      </w:r>
    </w:p>
  </w:footnote>
  <w:footnote w:id="366">
    <w:p w14:paraId="5B7B7D02" w14:textId="77777777" w:rsidR="004523DD" w:rsidRPr="00B67801" w:rsidRDefault="004523DD" w:rsidP="004523DD">
      <w:pPr>
        <w:pStyle w:val="NIHRCFootnotes0"/>
      </w:pPr>
      <w:r w:rsidRPr="00B67801">
        <w:rPr>
          <w:rStyle w:val="FootnoteReference"/>
        </w:rPr>
        <w:footnoteRef/>
      </w:r>
      <w:r w:rsidRPr="00B67801">
        <w:rPr>
          <w:rFonts w:eastAsia="Verdana" w:cs="Verdana"/>
        </w:rPr>
        <w:t xml:space="preserve"> Department of Justice, ‘A Review of the Youth Justice System in NI’ (DoJ, 2011), at 107.</w:t>
      </w:r>
    </w:p>
  </w:footnote>
  <w:footnote w:id="367">
    <w:p w14:paraId="5755FC6A" w14:textId="4571E152" w:rsidR="004523DD" w:rsidRPr="00B67801" w:rsidRDefault="004523DD" w:rsidP="004523DD">
      <w:pPr>
        <w:pStyle w:val="NIHRCFootnotes0"/>
      </w:pPr>
      <w:r w:rsidRPr="00B67801">
        <w:rPr>
          <w:rStyle w:val="FootnoteReference"/>
        </w:rPr>
        <w:footnoteRef/>
      </w:r>
      <w:r w:rsidRPr="00B67801">
        <w:t xml:space="preserve"> Allan Preston, ‘Moves made to increase the age of criminality in NI’</w:t>
      </w:r>
      <w:r w:rsidR="00FE27B2">
        <w:t>,</w:t>
      </w:r>
      <w:r w:rsidRPr="00B67801">
        <w:t xml:space="preserve"> </w:t>
      </w:r>
      <w:r w:rsidRPr="00B67801">
        <w:rPr>
          <w:i/>
        </w:rPr>
        <w:t>Belfast Telegraph</w:t>
      </w:r>
      <w:r w:rsidRPr="00B67801">
        <w:t>, 20 September 2020; Department of Justice, 'Strategic Framework for Youth Justice 2022</w:t>
      </w:r>
      <w:r w:rsidR="00FE27B2">
        <w:t>-</w:t>
      </w:r>
      <w:r w:rsidRPr="00B67801">
        <w:t>2027' (DoJ, 2022); NI Assembly Hansard, ‘Written Question – Review of Youth Justice System – Naomi Long MLA – AQW 27341/17-22’, 29 November 2021.</w:t>
      </w:r>
    </w:p>
  </w:footnote>
  <w:footnote w:id="368">
    <w:p w14:paraId="18C15384" w14:textId="6D4B9176" w:rsidR="004523DD" w:rsidRPr="003A7248" w:rsidRDefault="004523DD" w:rsidP="004523DD">
      <w:pPr>
        <w:pStyle w:val="NIHRCFootnotes0"/>
      </w:pPr>
      <w:r w:rsidRPr="00B67801">
        <w:rPr>
          <w:rStyle w:val="FootnoteReference"/>
        </w:rPr>
        <w:footnoteRef/>
      </w:r>
      <w:r w:rsidRPr="00B67801">
        <w:t xml:space="preserve"> Department of Justice, ‘Public Consultation on Increasing the Minimum Age of Criminal Responsibility in Northern Ireland from 10 years to 14 years’ (DoJ, 2022).</w:t>
      </w:r>
    </w:p>
  </w:footnote>
  <w:footnote w:id="369">
    <w:p w14:paraId="11036AEE" w14:textId="19865787" w:rsidR="008705D9" w:rsidRPr="003A7248" w:rsidRDefault="008705D9" w:rsidP="008705D9">
      <w:pPr>
        <w:pStyle w:val="NIHRCFootnotes0"/>
      </w:pPr>
      <w:r w:rsidRPr="003A7248">
        <w:rPr>
          <w:rStyle w:val="FootnoteReference"/>
        </w:rPr>
        <w:footnoteRef/>
      </w:r>
      <w:r w:rsidRPr="003A7248">
        <w:t xml:space="preserve"> </w:t>
      </w:r>
      <w:r w:rsidR="00412EAC">
        <w:t>Ibid</w:t>
      </w:r>
      <w:r w:rsidRPr="003A7248">
        <w:t xml:space="preserve"> at 20</w:t>
      </w:r>
      <w:r w:rsidR="004429BD">
        <w:t>-</w:t>
      </w:r>
      <w:r w:rsidRPr="003A7248">
        <w:t>21.</w:t>
      </w:r>
    </w:p>
  </w:footnote>
  <w:footnote w:id="370">
    <w:p w14:paraId="4B29E27C" w14:textId="7EF7288D" w:rsidR="008705D9" w:rsidRPr="007764D5" w:rsidRDefault="008705D9" w:rsidP="008705D9">
      <w:pPr>
        <w:pStyle w:val="NIHRCFootnotes0"/>
      </w:pPr>
      <w:r w:rsidRPr="007764D5">
        <w:rPr>
          <w:rStyle w:val="FootnoteReference"/>
        </w:rPr>
        <w:footnoteRef/>
      </w:r>
      <w:r w:rsidRPr="007764D5">
        <w:t xml:space="preserve"> </w:t>
      </w:r>
      <w:r w:rsidR="00412EAC">
        <w:t>Ibid</w:t>
      </w:r>
      <w:r w:rsidRPr="007764D5">
        <w:t xml:space="preserve"> at 20</w:t>
      </w:r>
      <w:r w:rsidR="004429BD">
        <w:t>-</w:t>
      </w:r>
      <w:r w:rsidRPr="007764D5">
        <w:t xml:space="preserve">21. </w:t>
      </w:r>
    </w:p>
  </w:footnote>
  <w:footnote w:id="371">
    <w:p w14:paraId="3B74B77D" w14:textId="1649081C" w:rsidR="000561A8" w:rsidRPr="007764D5" w:rsidRDefault="000561A8" w:rsidP="007C17F8">
      <w:pPr>
        <w:pStyle w:val="NIHRCFootnotes0"/>
      </w:pPr>
      <w:r w:rsidRPr="007764D5">
        <w:rPr>
          <w:rStyle w:val="FootnoteReference"/>
        </w:rPr>
        <w:footnoteRef/>
      </w:r>
      <w:r w:rsidRPr="007764D5">
        <w:t xml:space="preserve"> NI Statistics and Research Agency, </w:t>
      </w:r>
      <w:r w:rsidR="00A9323B">
        <w:t>‘NI</w:t>
      </w:r>
      <w:r w:rsidRPr="007764D5">
        <w:t xml:space="preserve"> Youth Justice Agency Annual Workload Statistics 2021/</w:t>
      </w:r>
      <w:r w:rsidR="00A9323B">
        <w:t>20</w:t>
      </w:r>
      <w:r w:rsidRPr="007764D5">
        <w:t>22' (NISRA, 2022).</w:t>
      </w:r>
    </w:p>
  </w:footnote>
  <w:footnote w:id="372">
    <w:p w14:paraId="07B017D2" w14:textId="3623E048" w:rsidR="000561A8" w:rsidRPr="007764D5" w:rsidRDefault="000561A8" w:rsidP="007C17F8">
      <w:pPr>
        <w:pStyle w:val="NIHRCFootnotes0"/>
      </w:pPr>
      <w:r w:rsidRPr="007764D5">
        <w:rPr>
          <w:rStyle w:val="FootnoteReference"/>
        </w:rPr>
        <w:footnoteRef/>
      </w:r>
      <w:r w:rsidRPr="007764D5">
        <w:t xml:space="preserve"> </w:t>
      </w:r>
      <w:r w:rsidR="00412EAC">
        <w:t>Ibid</w:t>
      </w:r>
      <w:r w:rsidRPr="007764D5">
        <w:t xml:space="preserve"> at Figure 9.</w:t>
      </w:r>
    </w:p>
  </w:footnote>
  <w:footnote w:id="373">
    <w:p w14:paraId="098E8BDD" w14:textId="67C4CDA6" w:rsidR="000561A8" w:rsidRPr="007764D5" w:rsidRDefault="000561A8" w:rsidP="007C17F8">
      <w:pPr>
        <w:pStyle w:val="NIHRCFootnotes0"/>
      </w:pPr>
      <w:r w:rsidRPr="007764D5">
        <w:rPr>
          <w:rStyle w:val="FootnoteReference"/>
        </w:rPr>
        <w:footnoteRef/>
      </w:r>
      <w:r w:rsidRPr="007764D5">
        <w:t xml:space="preserve"> </w:t>
      </w:r>
      <w:r w:rsidR="00412EAC">
        <w:t>Ibid</w:t>
      </w:r>
      <w:r w:rsidR="007D4371" w:rsidRPr="007764D5">
        <w:t xml:space="preserve"> at</w:t>
      </w:r>
      <w:r w:rsidRPr="007764D5">
        <w:t xml:space="preserve"> Table 30.</w:t>
      </w:r>
    </w:p>
  </w:footnote>
  <w:footnote w:id="374">
    <w:p w14:paraId="474524E1" w14:textId="57FC74CA" w:rsidR="00024174" w:rsidRPr="007764D5" w:rsidRDefault="00024174" w:rsidP="007C17F8">
      <w:pPr>
        <w:pStyle w:val="NIHRCFootnotes0"/>
      </w:pPr>
      <w:r w:rsidRPr="007764D5">
        <w:rPr>
          <w:rStyle w:val="FootnoteReference"/>
        </w:rPr>
        <w:footnoteRef/>
      </w:r>
      <w:r w:rsidRPr="007764D5">
        <w:t xml:space="preserve"> </w:t>
      </w:r>
      <w:r w:rsidR="00412EAC">
        <w:t>Ibid</w:t>
      </w:r>
      <w:r w:rsidR="007D4371" w:rsidRPr="007764D5">
        <w:t xml:space="preserve"> at</w:t>
      </w:r>
      <w:r w:rsidRPr="007764D5">
        <w:t xml:space="preserve"> Table 23.</w:t>
      </w:r>
    </w:p>
  </w:footnote>
  <w:footnote w:id="375">
    <w:p w14:paraId="42A4B084" w14:textId="77777777" w:rsidR="00024174" w:rsidRPr="007764D5" w:rsidRDefault="00024174" w:rsidP="007C17F8">
      <w:pPr>
        <w:pStyle w:val="NIHRCFootnotes0"/>
      </w:pPr>
      <w:r w:rsidRPr="007764D5">
        <w:rPr>
          <w:rStyle w:val="FootnoteReference"/>
        </w:rPr>
        <w:footnoteRef/>
      </w:r>
      <w:r w:rsidRPr="007764D5">
        <w:t xml:space="preserve"> Criminal Justice Inspection NI, ‘Police Custody: The Detention of Persons in Police Custody in NI’ (CJINI, 2020), at 31-33.</w:t>
      </w:r>
    </w:p>
  </w:footnote>
  <w:footnote w:id="376">
    <w:p w14:paraId="43149D8E" w14:textId="77777777" w:rsidR="00024174" w:rsidRPr="00C80565" w:rsidRDefault="00024174" w:rsidP="007C17F8">
      <w:pPr>
        <w:pStyle w:val="NIHRCFootnotes0"/>
      </w:pPr>
      <w:r w:rsidRPr="00C80565">
        <w:rPr>
          <w:rStyle w:val="FootnoteReference"/>
        </w:rPr>
        <w:footnoteRef/>
      </w:r>
      <w:r w:rsidRPr="00C80565">
        <w:t xml:space="preserve"> </w:t>
      </w:r>
      <w:r w:rsidRPr="00C80565">
        <w:rPr>
          <w:i/>
        </w:rPr>
        <w:t>MP’s (A Minor) Application</w:t>
      </w:r>
      <w:r w:rsidRPr="00C80565">
        <w:t xml:space="preserve"> [2014] NIQB 52; </w:t>
      </w:r>
      <w:r w:rsidRPr="00C80565">
        <w:rPr>
          <w:i/>
        </w:rPr>
        <w:t>In the Matter of an Application by OC (A Minor) and LH (A Minor)</w:t>
      </w:r>
      <w:r w:rsidRPr="00C80565">
        <w:t xml:space="preserve"> [2018] NIQB 34.</w:t>
      </w:r>
    </w:p>
  </w:footnote>
  <w:footnote w:id="377">
    <w:p w14:paraId="5C9970DE" w14:textId="77777777" w:rsidR="00FC3184" w:rsidRPr="00C80565" w:rsidRDefault="00FC3184" w:rsidP="007C17F8">
      <w:pPr>
        <w:pStyle w:val="NIHRCFootnotes0"/>
      </w:pPr>
      <w:r w:rsidRPr="00C80565">
        <w:rPr>
          <w:rStyle w:val="FootnoteReference"/>
        </w:rPr>
        <w:footnoteRef/>
      </w:r>
      <w:r w:rsidRPr="00C80565">
        <w:t xml:space="preserve"> NI Assembly Hansard, ‘Written Question – Custody of Children – Naomi Long MLA – AQO 992/17-22’, 2 November 2020.</w:t>
      </w:r>
    </w:p>
  </w:footnote>
  <w:footnote w:id="378">
    <w:p w14:paraId="77CCC54E" w14:textId="0444F35A" w:rsidR="003F1BAA" w:rsidRPr="00C80565" w:rsidRDefault="003F1BAA" w:rsidP="007C17F8">
      <w:pPr>
        <w:pStyle w:val="NIHRCFootnotes0"/>
      </w:pPr>
      <w:r w:rsidRPr="00C80565">
        <w:rPr>
          <w:rStyle w:val="FootnoteReference"/>
        </w:rPr>
        <w:footnoteRef/>
      </w:r>
      <w:r w:rsidRPr="00C80565">
        <w:t xml:space="preserve"> Criminal Justice Inspection NI, ‘An Announced Inspection of Woodlands Juvenile Justice Centre 22-28 January 2022’ (CJINI, 2022).</w:t>
      </w:r>
    </w:p>
  </w:footnote>
  <w:footnote w:id="379">
    <w:p w14:paraId="05BA2EF6" w14:textId="1DC1862B" w:rsidR="003F1BAA" w:rsidRPr="00C80565" w:rsidRDefault="003F1BAA" w:rsidP="007C17F8">
      <w:pPr>
        <w:pStyle w:val="NIHRCFootnotes0"/>
      </w:pPr>
      <w:r w:rsidRPr="00C80565">
        <w:rPr>
          <w:rStyle w:val="FootnoteReference"/>
        </w:rPr>
        <w:footnoteRef/>
      </w:r>
      <w:r w:rsidRPr="00C80565">
        <w:t xml:space="preserve"> </w:t>
      </w:r>
      <w:r w:rsidR="00412EAC">
        <w:t>Ibid</w:t>
      </w:r>
      <w:r w:rsidRPr="00C80565">
        <w:t xml:space="preserve"> at 4.</w:t>
      </w:r>
    </w:p>
  </w:footnote>
  <w:footnote w:id="380">
    <w:p w14:paraId="6796DBB2" w14:textId="601684BE" w:rsidR="00830B41" w:rsidRDefault="00830B41" w:rsidP="0033229A">
      <w:pPr>
        <w:pStyle w:val="NIHRCFootnotes0"/>
      </w:pPr>
      <w:r>
        <w:rPr>
          <w:rStyle w:val="FootnoteReference"/>
        </w:rPr>
        <w:footnoteRef/>
      </w:r>
      <w:r>
        <w:t xml:space="preserve"> </w:t>
      </w:r>
      <w:r w:rsidR="0033229A" w:rsidRPr="00C80565">
        <w:t>Meeting between NI Human Rights Commission and Department of Justice, 23 June 2022.</w:t>
      </w:r>
    </w:p>
  </w:footnote>
  <w:footnote w:id="381">
    <w:p w14:paraId="353F47AA" w14:textId="77777777" w:rsidR="00FC3184" w:rsidRPr="00B67801" w:rsidRDefault="00FC3184" w:rsidP="007C17F8">
      <w:pPr>
        <w:pStyle w:val="NIHRCFootnotes0"/>
      </w:pPr>
      <w:r w:rsidRPr="00B67801">
        <w:rPr>
          <w:rStyle w:val="FootnoteReference"/>
          <w:rFonts w:eastAsiaTheme="majorEastAsia"/>
        </w:rPr>
        <w:footnoteRef/>
      </w:r>
      <w:r w:rsidRPr="00B67801">
        <w:rPr>
          <w:rFonts w:eastAsia="Verdana" w:cs="Verdana"/>
        </w:rPr>
        <w:t xml:space="preserve"> Health and Social Care Board, ‘Review of Regional Facilities for Children and Young People: Review Report’ (HSCB, 2019), at 100.</w:t>
      </w:r>
    </w:p>
  </w:footnote>
  <w:footnote w:id="382">
    <w:p w14:paraId="57AD1EE5" w14:textId="77777777" w:rsidR="00FC3184" w:rsidRPr="00B67801" w:rsidRDefault="00FC3184" w:rsidP="007C17F8">
      <w:pPr>
        <w:pStyle w:val="NIHRCFootnotes0"/>
      </w:pPr>
      <w:r w:rsidRPr="00B67801">
        <w:rPr>
          <w:rStyle w:val="FootnoteReference"/>
        </w:rPr>
        <w:footnoteRef/>
      </w:r>
      <w:r w:rsidRPr="00B67801">
        <w:t xml:space="preserve"> Department of Health and Department of Justice, ‘Consultation on Establishment of a Regional Care and Justice Campus’ (DoH and DoJ, 2020).</w:t>
      </w:r>
    </w:p>
  </w:footnote>
  <w:footnote w:id="383">
    <w:p w14:paraId="01185948" w14:textId="77777777" w:rsidR="00921F5F" w:rsidRPr="00B67801" w:rsidRDefault="00921F5F" w:rsidP="007C17F8">
      <w:pPr>
        <w:pStyle w:val="NIHRCFootnotes0"/>
      </w:pPr>
      <w:r w:rsidRPr="00B67801">
        <w:rPr>
          <w:rStyle w:val="FootnoteReference"/>
        </w:rPr>
        <w:footnoteRef/>
      </w:r>
      <w:r w:rsidRPr="00B67801">
        <w:t xml:space="preserve"> Letter from Department of Justice and Department of Health to Regional Facilities for Children and Young People Stakeholder Reference Group Members, 24 March 2022.</w:t>
      </w:r>
    </w:p>
  </w:footnote>
  <w:footnote w:id="384">
    <w:p w14:paraId="4622D041" w14:textId="1C9CAF42" w:rsidR="00BA0978" w:rsidRPr="00B67801" w:rsidRDefault="00BA0978" w:rsidP="007C17F8">
      <w:pPr>
        <w:pStyle w:val="NIHRCFootnotes0"/>
      </w:pPr>
      <w:r w:rsidRPr="00B67801">
        <w:rPr>
          <w:rStyle w:val="FootnoteReference"/>
        </w:rPr>
        <w:footnoteRef/>
      </w:r>
      <w:r w:rsidRPr="00B67801">
        <w:t xml:space="preserve"> </w:t>
      </w:r>
      <w:r w:rsidR="00A314A3" w:rsidRPr="00B67801">
        <w:rPr>
          <w:rStyle w:val="normaltextrun"/>
          <w:rFonts w:cs="Segoe UI"/>
          <w:shd w:val="clear" w:color="auto" w:fill="FFFFFF"/>
        </w:rPr>
        <w:t>Email correspondence from Department of Health to NI Human Rights Commission, 5 August 2022.</w:t>
      </w:r>
      <w:r w:rsidR="00A314A3" w:rsidRPr="00B67801">
        <w:rPr>
          <w:rStyle w:val="eop"/>
          <w:shd w:val="clear" w:color="auto" w:fill="FFFFFF"/>
        </w:rPr>
        <w:t> </w:t>
      </w:r>
    </w:p>
  </w:footnote>
  <w:footnote w:id="385">
    <w:p w14:paraId="646BA6BB" w14:textId="5C16049F" w:rsidR="002F03E2" w:rsidRPr="002F03E2" w:rsidRDefault="002F03E2" w:rsidP="007C17F8">
      <w:pPr>
        <w:pStyle w:val="NIHRCFootnotes0"/>
      </w:pPr>
      <w:r w:rsidRPr="00B67801">
        <w:rPr>
          <w:rStyle w:val="FootnoteReference"/>
        </w:rPr>
        <w:footnoteRef/>
      </w:r>
      <w:r w:rsidRPr="00B67801">
        <w:t xml:space="preserve"> Criminal </w:t>
      </w:r>
      <w:r w:rsidRPr="00B67801">
        <w:rPr>
          <w:rStyle w:val="normaltextrun"/>
          <w:rFonts w:cs="Segoe UI"/>
          <w:shd w:val="clear" w:color="auto" w:fill="FFFFFF"/>
        </w:rPr>
        <w:t>Justice Inspection NI, ‘An Announced Inspection of Woodlands Juvenile Justice Centre 22-28 January 2022’ (CJINI, 2022), at 27.</w:t>
      </w:r>
    </w:p>
  </w:footnote>
  <w:footnote w:id="386">
    <w:p w14:paraId="4A7F67EA" w14:textId="44A556FE" w:rsidR="005D0461" w:rsidRPr="00C13146" w:rsidRDefault="005D0461" w:rsidP="007C17F8">
      <w:pPr>
        <w:pStyle w:val="NIHRCFootnotes0"/>
      </w:pPr>
      <w:r w:rsidRPr="00C13146">
        <w:rPr>
          <w:rStyle w:val="FootnoteReference"/>
        </w:rPr>
        <w:footnoteRef/>
      </w:r>
      <w:r w:rsidRPr="00C13146">
        <w:t xml:space="preserve"> </w:t>
      </w:r>
      <w:r w:rsidR="00C13146" w:rsidRPr="00425DB7">
        <w:t xml:space="preserve">Department of Health, ‘October Newsletter: Children’s Social Care Services </w:t>
      </w:r>
      <w:r w:rsidR="00A9323B">
        <w:t>NI</w:t>
      </w:r>
      <w:r w:rsidR="00C13146" w:rsidRPr="00425DB7">
        <w:t>’ (DoH, 2022).</w:t>
      </w:r>
    </w:p>
  </w:footnote>
  <w:footnote w:id="387">
    <w:p w14:paraId="53F0EA80" w14:textId="47EBC30D" w:rsidR="00F70013" w:rsidRPr="00B67801" w:rsidRDefault="00F70013" w:rsidP="007C17F8">
      <w:pPr>
        <w:pStyle w:val="NIHRCFootnotes0"/>
      </w:pPr>
      <w:r w:rsidRPr="00B67801">
        <w:rPr>
          <w:rStyle w:val="FootnoteReference"/>
        </w:rPr>
        <w:footnoteRef/>
      </w:r>
      <w:r w:rsidRPr="00B67801">
        <w:t xml:space="preserve"> CRC/C/OPSC/GBR/CO/1, ‘UN CRC Committee Concluding Observations on the Report Submitted by the UK of Great Britain and NI under Article 12, Paragraph 1, of the Optional Protocol to the Convention on the Rights of the Child on the Sale of Children, Child Prostitution and Child Pornography’, 8 July 2014, at 29.</w:t>
      </w:r>
    </w:p>
  </w:footnote>
  <w:footnote w:id="388">
    <w:p w14:paraId="551436E7" w14:textId="7A625759" w:rsidR="00221AD6" w:rsidRPr="00B67801" w:rsidRDefault="00221AD6" w:rsidP="007C17F8">
      <w:pPr>
        <w:pStyle w:val="NIHRCFootnotes0"/>
      </w:pPr>
      <w:r w:rsidRPr="00B67801">
        <w:rPr>
          <w:rStyle w:val="FootnoteReference"/>
        </w:rPr>
        <w:footnoteRef/>
      </w:r>
      <w:r w:rsidRPr="00B67801">
        <w:t xml:space="preserve"> Article</w:t>
      </w:r>
      <w:r w:rsidR="00B94DAA" w:rsidRPr="00B67801">
        <w:t xml:space="preserve"> </w:t>
      </w:r>
      <w:r w:rsidR="00B94DAA">
        <w:t>16</w:t>
      </w:r>
      <w:r w:rsidR="00ED3530" w:rsidRPr="00B67801">
        <w:t xml:space="preserve">, </w:t>
      </w:r>
      <w:r w:rsidRPr="00B67801">
        <w:t>Sexual Offences (NI) Order 2008</w:t>
      </w:r>
      <w:r w:rsidRPr="00B67801">
        <w:rPr>
          <w:rFonts w:cs="TWWTL U+ Zurich BT"/>
        </w:rPr>
        <w:t>.</w:t>
      </w:r>
    </w:p>
  </w:footnote>
  <w:footnote w:id="389">
    <w:p w14:paraId="3709788A" w14:textId="64788C87" w:rsidR="00786C25" w:rsidRPr="00B67801" w:rsidRDefault="00786C25" w:rsidP="007C17F8">
      <w:pPr>
        <w:pStyle w:val="NIHRCFootnotes0"/>
      </w:pPr>
      <w:r w:rsidRPr="00B67801">
        <w:rPr>
          <w:rStyle w:val="FootnoteReference"/>
        </w:rPr>
        <w:footnoteRef/>
      </w:r>
      <w:r w:rsidRPr="00B67801">
        <w:t xml:space="preserve"> Justice (Sexual Offences and Trafficking Victims) Act (</w:t>
      </w:r>
      <w:r w:rsidR="00A9323B">
        <w:t>NI</w:t>
      </w:r>
      <w:r w:rsidRPr="00B67801">
        <w:t xml:space="preserve">) 2022. Includes provisions to create new offence of adults masquerading as children online; widen the scope and strengthen the current law on abuse of position of trust of a child; </w:t>
      </w:r>
      <w:r w:rsidR="00A9323B">
        <w:t xml:space="preserve">and </w:t>
      </w:r>
      <w:r w:rsidRPr="00B67801">
        <w:t>remove terms such as ‘child prostitution’ and 'child pornography' from the Sexual Offences (NI) Order 2008.</w:t>
      </w:r>
    </w:p>
  </w:footnote>
  <w:footnote w:id="390">
    <w:p w14:paraId="2DA2F43A" w14:textId="39BF04D6" w:rsidR="003F66B2" w:rsidRPr="00B67801" w:rsidRDefault="003F66B2" w:rsidP="007C17F8">
      <w:pPr>
        <w:pStyle w:val="NIHRCFootnotes0"/>
      </w:pPr>
      <w:r w:rsidRPr="00B67801">
        <w:rPr>
          <w:rStyle w:val="FootnoteReference"/>
        </w:rPr>
        <w:footnoteRef/>
      </w:r>
      <w:r w:rsidRPr="00B67801">
        <w:t xml:space="preserve"> </w:t>
      </w:r>
      <w:r w:rsidR="00701B0B" w:rsidRPr="00B67801">
        <w:t>Department of Justice, ‘Review of the Law on Child Sexual Exploitation: Summary of Responses and Next Steps’ (DoJ, 2020), at 2.17</w:t>
      </w:r>
      <w:r w:rsidR="00A9323B">
        <w:t>-</w:t>
      </w:r>
      <w:r w:rsidR="00701B0B" w:rsidRPr="00B67801">
        <w:t>2.20.</w:t>
      </w:r>
    </w:p>
  </w:footnote>
  <w:footnote w:id="391">
    <w:p w14:paraId="52F01548" w14:textId="4A2BCD23" w:rsidR="00847FCA" w:rsidRPr="00B67801" w:rsidRDefault="00847FCA" w:rsidP="007C17F8">
      <w:pPr>
        <w:pStyle w:val="NIHRCFootnotes0"/>
      </w:pPr>
      <w:r w:rsidRPr="00B67801">
        <w:rPr>
          <w:rStyle w:val="FootnoteReference"/>
        </w:rPr>
        <w:footnoteRef/>
      </w:r>
      <w:r w:rsidRPr="00B67801">
        <w:t xml:space="preserve"> NI Assembly Committee for Justice, ‘Report on the Justice (Sexual Offences and Trafficking Victims) Bill’ (2022), at 11</w:t>
      </w:r>
      <w:r w:rsidR="00012851" w:rsidRPr="00B67801">
        <w:t>5.</w:t>
      </w:r>
    </w:p>
  </w:footnote>
  <w:footnote w:id="392">
    <w:p w14:paraId="6E95739A" w14:textId="329C60A8" w:rsidR="00FC3184" w:rsidRPr="00B67801" w:rsidRDefault="00FC3184" w:rsidP="007C17F8">
      <w:pPr>
        <w:pStyle w:val="NIHRCFootnotes0"/>
      </w:pPr>
      <w:r w:rsidRPr="00B67801">
        <w:rPr>
          <w:rStyle w:val="FootnoteReference"/>
        </w:rPr>
        <w:footnoteRef/>
      </w:r>
      <w:r w:rsidRPr="00B67801">
        <w:t xml:space="preserve"> Police Service NI, ‘</w:t>
      </w:r>
      <w:r w:rsidR="00414A19" w:rsidRPr="00B67801">
        <w:t xml:space="preserve">Police Recorded Crime in </w:t>
      </w:r>
      <w:r w:rsidR="00A9323B">
        <w:t>NI</w:t>
      </w:r>
      <w:r w:rsidR="00414A19" w:rsidRPr="00B67801">
        <w:t>: Update to 31 March 2022</w:t>
      </w:r>
      <w:r w:rsidRPr="00B67801">
        <w:t>’ (PSNI, 2</w:t>
      </w:r>
      <w:r w:rsidR="00414A19" w:rsidRPr="00B67801">
        <w:t>022</w:t>
      </w:r>
      <w:r w:rsidRPr="00B67801">
        <w:t xml:space="preserve">), at </w:t>
      </w:r>
      <w:r w:rsidR="002A5AC8" w:rsidRPr="00B67801">
        <w:t>Pivot Table 2.</w:t>
      </w:r>
    </w:p>
  </w:footnote>
  <w:footnote w:id="393">
    <w:p w14:paraId="5FABE70C" w14:textId="6BBA3CA7" w:rsidR="00CF667F" w:rsidRPr="005524E2" w:rsidRDefault="00CF667F" w:rsidP="007C17F8">
      <w:pPr>
        <w:pStyle w:val="NIHRCFootnotes0"/>
      </w:pPr>
      <w:r w:rsidRPr="005524E2">
        <w:rPr>
          <w:rStyle w:val="FootnoteReference"/>
        </w:rPr>
        <w:footnoteRef/>
      </w:r>
      <w:r w:rsidRPr="001A151B">
        <w:t xml:space="preserve"> PSNI, 'Police Recorded Crime in </w:t>
      </w:r>
      <w:r w:rsidR="00A9323B">
        <w:t>NI</w:t>
      </w:r>
      <w:r w:rsidRPr="001A151B">
        <w:t>: Update to 31st March 2022' (PSNI and NISRA, 2022), at Table 14.</w:t>
      </w:r>
      <w:r w:rsidRPr="005524E2">
        <w:t xml:space="preserve"> </w:t>
      </w:r>
    </w:p>
  </w:footnote>
  <w:footnote w:id="394">
    <w:p w14:paraId="60CBA0EF" w14:textId="35C70E52" w:rsidR="00CF667F" w:rsidRPr="001A151B" w:rsidRDefault="00CF667F" w:rsidP="007C17F8">
      <w:pPr>
        <w:pStyle w:val="NIHRCFootnotes0"/>
      </w:pPr>
      <w:r w:rsidRPr="001A151B">
        <w:rPr>
          <w:rStyle w:val="FootnoteReference"/>
        </w:rPr>
        <w:footnoteRef/>
      </w:r>
      <w:r w:rsidRPr="001A151B">
        <w:t xml:space="preserve"> </w:t>
      </w:r>
      <w:r w:rsidR="00412EAC">
        <w:t xml:space="preserve">Ibid </w:t>
      </w:r>
      <w:r w:rsidRPr="001A151B">
        <w:t>at Table 8.</w:t>
      </w:r>
    </w:p>
  </w:footnote>
  <w:footnote w:id="395">
    <w:p w14:paraId="286F4891" w14:textId="1BBE5B78" w:rsidR="00F97FB2" w:rsidRPr="00E13D9B" w:rsidRDefault="00F97FB2" w:rsidP="007C17F8">
      <w:pPr>
        <w:pStyle w:val="NIHRCFootnotes0"/>
      </w:pPr>
      <w:r w:rsidRPr="00B67801">
        <w:rPr>
          <w:rStyle w:val="FootnoteReference"/>
        </w:rPr>
        <w:footnoteRef/>
      </w:r>
      <w:r w:rsidRPr="00B67801">
        <w:t xml:space="preserve"> </w:t>
      </w:r>
      <w:r w:rsidR="00007767" w:rsidRPr="00B67801">
        <w:t xml:space="preserve">Police Service NI, ‘Trends in Police Recorded Crime in </w:t>
      </w:r>
      <w:r w:rsidR="00A9323B">
        <w:t>NI</w:t>
      </w:r>
      <w:r w:rsidR="00007767" w:rsidRPr="00B67801">
        <w:t>: 1998/</w:t>
      </w:r>
      <w:r w:rsidR="00A9323B">
        <w:t>19</w:t>
      </w:r>
      <w:r w:rsidR="00007767" w:rsidRPr="00B67801">
        <w:t>99 to 2020/</w:t>
      </w:r>
      <w:r w:rsidR="00A9323B">
        <w:t>20</w:t>
      </w:r>
      <w:r w:rsidR="00007767" w:rsidRPr="00B67801">
        <w:t xml:space="preserve">21’ (PSNI, 2021), at </w:t>
      </w:r>
      <w:r w:rsidR="00DE54FB" w:rsidRPr="00B67801">
        <w:t>33.</w:t>
      </w:r>
    </w:p>
  </w:footnote>
  <w:footnote w:id="396">
    <w:p w14:paraId="33FF8A43" w14:textId="160F01C4" w:rsidR="00FC3184" w:rsidRPr="00E13D9B" w:rsidRDefault="00FC3184" w:rsidP="007C17F8">
      <w:pPr>
        <w:pStyle w:val="NIHRCFootnotes0"/>
      </w:pPr>
      <w:r w:rsidRPr="00E13D9B">
        <w:rPr>
          <w:rStyle w:val="FootnoteReference"/>
        </w:rPr>
        <w:footnoteRef/>
      </w:r>
      <w:r w:rsidRPr="00E13D9B">
        <w:t xml:space="preserve"> </w:t>
      </w:r>
      <w:r w:rsidR="00412EAC">
        <w:t xml:space="preserve">Ibid </w:t>
      </w:r>
      <w:r w:rsidR="00F33548" w:rsidRPr="00E13D9B">
        <w:t>at Figure 7.9</w:t>
      </w:r>
    </w:p>
  </w:footnote>
  <w:footnote w:id="397">
    <w:p w14:paraId="1771B86A" w14:textId="4F61BC28" w:rsidR="00FC3184" w:rsidRPr="00E13D9B" w:rsidRDefault="00FC3184" w:rsidP="007C17F8">
      <w:pPr>
        <w:pStyle w:val="NIHRCFootnotes0"/>
      </w:pPr>
      <w:r w:rsidRPr="00E13D9B">
        <w:rPr>
          <w:rStyle w:val="FootnoteReference"/>
        </w:rPr>
        <w:footnoteRef/>
      </w:r>
      <w:r w:rsidRPr="00E13D9B">
        <w:t xml:space="preserve"> </w:t>
      </w:r>
      <w:r w:rsidR="00412EAC">
        <w:t>Ibid</w:t>
      </w:r>
      <w:r w:rsidR="00A9323B" w:rsidRPr="00E13D9B">
        <w:t xml:space="preserve"> </w:t>
      </w:r>
      <w:r w:rsidR="007A2A76" w:rsidRPr="00E13D9B">
        <w:t>at Figure</w:t>
      </w:r>
      <w:r w:rsidR="0081139C" w:rsidRPr="00E13D9B">
        <w:t xml:space="preserve"> 7.7.</w:t>
      </w:r>
    </w:p>
  </w:footnote>
  <w:footnote w:id="398">
    <w:p w14:paraId="4B31747D" w14:textId="3C2BBC0E" w:rsidR="00FC3184" w:rsidRPr="00E13D9B" w:rsidRDefault="00FC3184" w:rsidP="007C17F8">
      <w:pPr>
        <w:pStyle w:val="NIHRCFootnotes0"/>
      </w:pPr>
      <w:r w:rsidRPr="00E13D9B">
        <w:rPr>
          <w:rStyle w:val="FootnoteReference"/>
        </w:rPr>
        <w:footnoteRef/>
      </w:r>
      <w:r w:rsidRPr="00E13D9B">
        <w:t xml:space="preserve"> </w:t>
      </w:r>
      <w:r w:rsidR="00412EAC">
        <w:t>Ibid</w:t>
      </w:r>
      <w:r w:rsidR="00A9323B" w:rsidRPr="00E13D9B">
        <w:t xml:space="preserve"> </w:t>
      </w:r>
      <w:r w:rsidR="00A9323B">
        <w:t xml:space="preserve">at </w:t>
      </w:r>
      <w:r w:rsidRPr="00E13D9B">
        <w:t>Table 8.1.</w:t>
      </w:r>
    </w:p>
  </w:footnote>
  <w:footnote w:id="399">
    <w:p w14:paraId="0C3D664A" w14:textId="7861A57D" w:rsidR="00FC3184" w:rsidRPr="00E13D9B" w:rsidRDefault="00FC3184" w:rsidP="007C17F8">
      <w:pPr>
        <w:pStyle w:val="NIHRCFootnotes0"/>
      </w:pPr>
      <w:r w:rsidRPr="00E13D9B">
        <w:rPr>
          <w:rStyle w:val="FootnoteReference"/>
        </w:rPr>
        <w:footnoteRef/>
      </w:r>
      <w:r w:rsidRPr="00E13D9B">
        <w:t xml:space="preserve"> Criminal Justice Inspection NI, ‘Child Sexual Exploitation in NI: An Inspection of the Criminal Justice System’s Response’ (CJINI, 2020), at 80.</w:t>
      </w:r>
    </w:p>
  </w:footnote>
  <w:footnote w:id="400">
    <w:p w14:paraId="5D8262D0" w14:textId="7A454D85" w:rsidR="00FC3184" w:rsidRPr="00435498" w:rsidRDefault="00FC3184" w:rsidP="007C17F8">
      <w:pPr>
        <w:pStyle w:val="NIHRCFootnotes0"/>
      </w:pPr>
      <w:r w:rsidRPr="00E13D9B">
        <w:rPr>
          <w:rStyle w:val="FootnoteReference"/>
        </w:rPr>
        <w:footnoteRef/>
      </w:r>
      <w:r w:rsidRPr="00E13D9B">
        <w:t xml:space="preserve"> </w:t>
      </w:r>
      <w:r w:rsidR="00412EAC">
        <w:t>Ibid</w:t>
      </w:r>
      <w:r w:rsidR="00A9323B" w:rsidRPr="00E13D9B">
        <w:t xml:space="preserve"> at 80</w:t>
      </w:r>
      <w:r w:rsidR="00F767C1" w:rsidRPr="00E13D9B">
        <w:t>.</w:t>
      </w:r>
    </w:p>
  </w:footnote>
  <w:footnote w:id="401">
    <w:p w14:paraId="6916A9DB" w14:textId="77777777" w:rsidR="0081051B" w:rsidRPr="00B67801" w:rsidRDefault="0081051B" w:rsidP="007C17F8">
      <w:pPr>
        <w:pStyle w:val="NIHRCFootnotes0"/>
      </w:pPr>
      <w:r w:rsidRPr="00B67801">
        <w:rPr>
          <w:rStyle w:val="FootnoteReference"/>
        </w:rPr>
        <w:footnoteRef/>
      </w:r>
      <w:r w:rsidRPr="00B67801">
        <w:t xml:space="preserve"> Letter from the UN Special Rapporteur on trafficking in persons, especially women and children, </w:t>
      </w:r>
      <w:proofErr w:type="spellStart"/>
      <w:r w:rsidRPr="00B67801">
        <w:t>Siobhán</w:t>
      </w:r>
      <w:proofErr w:type="spellEnd"/>
      <w:r w:rsidRPr="00B67801">
        <w:t xml:space="preserve"> </w:t>
      </w:r>
      <w:proofErr w:type="spellStart"/>
      <w:r w:rsidRPr="00B67801">
        <w:t>Mullally</w:t>
      </w:r>
      <w:proofErr w:type="spellEnd"/>
      <w:r w:rsidRPr="00B67801">
        <w:t xml:space="preserve">; UN Special Rapporteur on the human rights of migrants, Felipe González Morales; UN Special Rapporteur on contemporary forms of slavery, including its causes and consequences, </w:t>
      </w:r>
      <w:proofErr w:type="spellStart"/>
      <w:r w:rsidRPr="00B67801">
        <w:t>Tomoya</w:t>
      </w:r>
      <w:proofErr w:type="spellEnd"/>
      <w:r w:rsidRPr="00B67801">
        <w:t xml:space="preserve"> </w:t>
      </w:r>
      <w:proofErr w:type="spellStart"/>
      <w:r w:rsidRPr="00B67801">
        <w:t>Obokata</w:t>
      </w:r>
      <w:proofErr w:type="spellEnd"/>
      <w:r w:rsidRPr="00B67801">
        <w:t xml:space="preserve">; and UN Special Rapporteur on the promotion and protection of human rights and fundamental freedoms while countering terrorism, </w:t>
      </w:r>
      <w:proofErr w:type="spellStart"/>
      <w:r w:rsidRPr="00B67801">
        <w:t>Fionnuala</w:t>
      </w:r>
      <w:proofErr w:type="spellEnd"/>
      <w:r w:rsidRPr="00B67801">
        <w:t xml:space="preserve"> Ní </w:t>
      </w:r>
      <w:proofErr w:type="spellStart"/>
      <w:r w:rsidRPr="00B67801">
        <w:t>Aoláin</w:t>
      </w:r>
      <w:proofErr w:type="spellEnd"/>
      <w:r w:rsidRPr="00B67801">
        <w:t xml:space="preserve"> to the UK Government, 5 November 2021.</w:t>
      </w:r>
    </w:p>
  </w:footnote>
  <w:footnote w:id="402">
    <w:p w14:paraId="2871A77E" w14:textId="1E64EB26" w:rsidR="00D80F26" w:rsidRPr="00C15FF8" w:rsidRDefault="00D80F26" w:rsidP="007C17F8">
      <w:pPr>
        <w:pStyle w:val="NIHRCFootnotes0"/>
      </w:pPr>
      <w:r w:rsidRPr="00C15FF8">
        <w:rPr>
          <w:rStyle w:val="FootnoteReference"/>
        </w:rPr>
        <w:footnoteRef/>
      </w:r>
      <w:r w:rsidRPr="00C15FF8">
        <w:t xml:space="preserve"> </w:t>
      </w:r>
      <w:r>
        <w:t>Section 68, Nationality and Borders Act 2022.</w:t>
      </w:r>
    </w:p>
  </w:footnote>
  <w:footnote w:id="403">
    <w:p w14:paraId="5B81293A" w14:textId="3A1211CF" w:rsidR="00310B73" w:rsidRPr="00B622E7" w:rsidRDefault="00310B73" w:rsidP="007C17F8">
      <w:pPr>
        <w:pStyle w:val="NIHRCFootnotes0"/>
      </w:pPr>
      <w:r w:rsidRPr="00B622E7">
        <w:rPr>
          <w:rStyle w:val="FootnoteReference"/>
        </w:rPr>
        <w:footnoteRef/>
      </w:r>
      <w:r w:rsidRPr="00B622E7">
        <w:t xml:space="preserve"> Article 13, Directive 2011/36/EU </w:t>
      </w:r>
      <w:r w:rsidR="0042439F" w:rsidRPr="00C15FF8">
        <w:rPr>
          <w:rFonts w:cstheme="minorHAnsi"/>
        </w:rPr>
        <w:t>‘</w:t>
      </w:r>
      <w:r w:rsidRPr="00B622E7">
        <w:t>Council</w:t>
      </w:r>
      <w:r w:rsidR="0042439F" w:rsidRPr="00C15FF8">
        <w:rPr>
          <w:rFonts w:cstheme="minorHAnsi"/>
        </w:rPr>
        <w:t xml:space="preserve"> Directive on Preventing and Combating Trafficking in Human Beings and Protecting its Victims’</w:t>
      </w:r>
      <w:r w:rsidRPr="00B622E7">
        <w:t>, 5 April 2011</w:t>
      </w:r>
      <w:r w:rsidR="00033DA2">
        <w:t>. S</w:t>
      </w:r>
      <w:r w:rsidRPr="00B622E7">
        <w:t>ee also, Articles 14 and 15 for further protections for child victims.</w:t>
      </w:r>
    </w:p>
  </w:footnote>
  <w:footnote w:id="404">
    <w:p w14:paraId="7613BA5A" w14:textId="2B3956FC" w:rsidR="0042439F" w:rsidRPr="00C15FF8" w:rsidRDefault="0042439F" w:rsidP="007C17F8">
      <w:pPr>
        <w:pStyle w:val="NIHRCFootnotes0"/>
      </w:pPr>
      <w:r w:rsidRPr="00C15FF8">
        <w:rPr>
          <w:rStyle w:val="FootnoteReference"/>
        </w:rPr>
        <w:footnoteRef/>
      </w:r>
      <w:r w:rsidRPr="00C15FF8">
        <w:t xml:space="preserve"> The NIHRC considers the EU Trafficking Directive within scope of Protocol Article 2 for a number of reasons: first, since these are sub-categories of victims and victims’ rights are recognised in the relevant chapter of the Belfast (Good Friday) Agreement</w:t>
      </w:r>
      <w:r w:rsidR="00033DA2">
        <w:t xml:space="preserve"> 1998</w:t>
      </w:r>
      <w:r w:rsidRPr="00C15FF8">
        <w:t xml:space="preserve">; second, on the basis that the Trafficking Directive underpin </w:t>
      </w:r>
      <w:r w:rsidR="00033DA2">
        <w:t>Article 4 of the European Convention on Human Rights;</w:t>
      </w:r>
      <w:r w:rsidRPr="00C15FF8">
        <w:t xml:space="preserve"> and third, on the basis of the equality commitments in the relevant chapter of the Belfast (Good Friday) Agreement</w:t>
      </w:r>
      <w:r w:rsidR="00033DA2">
        <w:t xml:space="preserve"> 1998</w:t>
      </w:r>
      <w:r w:rsidRPr="00C15FF8">
        <w:t>.</w:t>
      </w:r>
    </w:p>
  </w:footnote>
  <w:footnote w:id="405">
    <w:p w14:paraId="48210575" w14:textId="77777777" w:rsidR="00B30156" w:rsidRPr="00B67801" w:rsidRDefault="00B30156" w:rsidP="007C17F8">
      <w:pPr>
        <w:pStyle w:val="NIHRCFootnotes0"/>
      </w:pPr>
      <w:r w:rsidRPr="00B67801">
        <w:rPr>
          <w:rStyle w:val="FootnoteReference"/>
        </w:rPr>
        <w:footnoteRef/>
      </w:r>
      <w:r w:rsidRPr="00B67801">
        <w:t xml:space="preserve"> Email correspondence from NI Statistics and Research Agency to NI Human Rights Commission, 4 August 2022.</w:t>
      </w:r>
    </w:p>
  </w:footnote>
  <w:footnote w:id="406">
    <w:p w14:paraId="35DB47F3" w14:textId="77777777" w:rsidR="00B30156" w:rsidRPr="00B67801" w:rsidRDefault="00B30156" w:rsidP="007C17F8">
      <w:pPr>
        <w:pStyle w:val="NIHRCFootnotes0"/>
      </w:pPr>
      <w:r w:rsidRPr="00B67801">
        <w:rPr>
          <w:rStyle w:val="FootnoteReference"/>
        </w:rPr>
        <w:footnoteRef/>
      </w:r>
      <w:r w:rsidRPr="00B67801">
        <w:t xml:space="preserve"> Email correspondence from NI Statistics and Research Agency to NI Human Rights Commission, 2 July 2021.</w:t>
      </w:r>
    </w:p>
  </w:footnote>
  <w:footnote w:id="407">
    <w:p w14:paraId="38640514" w14:textId="77777777" w:rsidR="00B30156" w:rsidRPr="00435498" w:rsidRDefault="00B30156" w:rsidP="007C17F8">
      <w:pPr>
        <w:pStyle w:val="NIHRCFootnotes0"/>
      </w:pPr>
      <w:r w:rsidRPr="00B67801">
        <w:rPr>
          <w:rStyle w:val="FootnoteReference"/>
        </w:rPr>
        <w:footnoteRef/>
      </w:r>
      <w:r w:rsidRPr="00B67801">
        <w:t xml:space="preserve"> Email correspondence from NI Statistics and Research Agency to NI Human Rights Commission, 17 August 2020.</w:t>
      </w:r>
    </w:p>
  </w:footnote>
  <w:footnote w:id="408">
    <w:p w14:paraId="646D1F3D" w14:textId="77777777" w:rsidR="00886CD2" w:rsidRPr="00B67801" w:rsidRDefault="00886CD2" w:rsidP="007C17F8">
      <w:pPr>
        <w:pStyle w:val="NIHRCFootnotes0"/>
      </w:pPr>
      <w:r w:rsidRPr="00B67801">
        <w:rPr>
          <w:rStyle w:val="FootnoteReference"/>
        </w:rPr>
        <w:footnoteRef/>
      </w:r>
      <w:r w:rsidRPr="00B67801">
        <w:t xml:space="preserve"> Marriage and Civil Partnership (Minimum Age) Act 2022.</w:t>
      </w:r>
    </w:p>
  </w:footnote>
  <w:footnote w:id="409">
    <w:p w14:paraId="23FBA368" w14:textId="2798526A" w:rsidR="00106F49" w:rsidRPr="00B67801" w:rsidRDefault="00106F49" w:rsidP="007C17F8">
      <w:pPr>
        <w:pStyle w:val="NIHRCFootnotes0"/>
      </w:pPr>
      <w:r w:rsidRPr="00B67801">
        <w:rPr>
          <w:rStyle w:val="FootnoteReference"/>
        </w:rPr>
        <w:footnoteRef/>
      </w:r>
      <w:r w:rsidR="00B552CC" w:rsidRPr="00B67801">
        <w:t xml:space="preserve"> Section 2(</w:t>
      </w:r>
      <w:r w:rsidR="004E295E" w:rsidRPr="00B67801">
        <w:t xml:space="preserve">5), </w:t>
      </w:r>
      <w:proofErr w:type="gramStart"/>
      <w:r w:rsidR="004E295E" w:rsidRPr="00B67801">
        <w:t>Marriage</w:t>
      </w:r>
      <w:proofErr w:type="gramEnd"/>
      <w:r w:rsidR="004E295E" w:rsidRPr="00B67801">
        <w:t xml:space="preserve"> and Civil Partnership (Minimum Age) Act 2022.</w:t>
      </w:r>
    </w:p>
  </w:footnote>
  <w:footnote w:id="410">
    <w:p w14:paraId="05572F34" w14:textId="77777777" w:rsidR="00EB4362" w:rsidRPr="009E7B75" w:rsidRDefault="00EB4362" w:rsidP="00EB4362">
      <w:pPr>
        <w:pStyle w:val="NIHRCFootnotes0"/>
      </w:pPr>
      <w:r w:rsidRPr="009E7B75">
        <w:rPr>
          <w:rStyle w:val="FootnoteReference"/>
          <w:rFonts w:eastAsiaTheme="majorEastAsia"/>
        </w:rPr>
        <w:footnoteRef/>
      </w:r>
      <w:r w:rsidRPr="009E7B75">
        <w:t xml:space="preserve"> Department of Finance, ‘Belief Marriage and Minimum Age for Marriage or Civil Partnership – </w:t>
      </w:r>
      <w:r>
        <w:t>A</w:t>
      </w:r>
      <w:r w:rsidRPr="009E7B75">
        <w:t xml:space="preserve"> </w:t>
      </w:r>
      <w:r>
        <w:t>P</w:t>
      </w:r>
      <w:r w:rsidRPr="009E7B75">
        <w:t xml:space="preserve">ublic </w:t>
      </w:r>
      <w:r>
        <w:t>C</w:t>
      </w:r>
      <w:r w:rsidRPr="009E7B75">
        <w:t>onsultation’ (DoF, 2021).</w:t>
      </w:r>
    </w:p>
  </w:footnote>
  <w:footnote w:id="411">
    <w:p w14:paraId="7CBA818E" w14:textId="77777777" w:rsidR="00EB4362" w:rsidRPr="009E7B75" w:rsidRDefault="00EB4362" w:rsidP="00EB4362">
      <w:pPr>
        <w:pStyle w:val="NIHRCFootnotes0"/>
      </w:pPr>
      <w:r w:rsidRPr="009E7B75">
        <w:rPr>
          <w:rStyle w:val="FootnoteReference"/>
          <w:rFonts w:eastAsiaTheme="majorEastAsia"/>
        </w:rPr>
        <w:footnoteRef/>
      </w:r>
      <w:r w:rsidRPr="009E7B75">
        <w:t xml:space="preserve"> Department of Finance, 'Marriage Law Consultation: Results and Analysis' (DoF, 2022).</w:t>
      </w:r>
    </w:p>
  </w:footnote>
  <w:footnote w:id="412">
    <w:p w14:paraId="1A09101C" w14:textId="77777777" w:rsidR="00EB4362" w:rsidRPr="009E7B75" w:rsidRDefault="00EB4362" w:rsidP="00EB4362">
      <w:pPr>
        <w:pStyle w:val="NIHRCFootnotes0"/>
      </w:pPr>
      <w:r w:rsidRPr="009E7B75">
        <w:rPr>
          <w:rStyle w:val="FootnoteReference"/>
          <w:rFonts w:eastAsiaTheme="majorEastAsia"/>
        </w:rPr>
        <w:footnoteRef/>
      </w:r>
      <w:r w:rsidRPr="009E7B75">
        <w:t xml:space="preserve"> Department of Finance, 'Marriage Law: Written Ministerial Statement - Conor Murphy MLA - Minister of Finance' (DoF, 2022).</w:t>
      </w:r>
    </w:p>
  </w:footnote>
  <w:footnote w:id="413">
    <w:p w14:paraId="0C5DC97E" w14:textId="6BCD66C9" w:rsidR="00E337D2" w:rsidRPr="00B67801" w:rsidRDefault="00E337D2" w:rsidP="00E337D2">
      <w:pPr>
        <w:pStyle w:val="NIHRCFootnotes0"/>
      </w:pPr>
      <w:r w:rsidRPr="00B67801">
        <w:rPr>
          <w:rStyle w:val="FootnoteReference"/>
        </w:rPr>
        <w:footnoteRef/>
      </w:r>
      <w:r w:rsidRPr="00B67801">
        <w:t xml:space="preserve"> CRC/C/GBR/CO/5, ‘UN Committee on the Rights of the Child Concluding Observations on the Fifth Periodic Report of the UK of Great Britain and NI’, 12 July 2016, at 84. </w:t>
      </w:r>
    </w:p>
  </w:footnote>
  <w:footnote w:id="414">
    <w:p w14:paraId="5A349C35" w14:textId="58696730" w:rsidR="00FC3184" w:rsidRPr="00FC3184" w:rsidRDefault="00FC3184" w:rsidP="007C17F8">
      <w:pPr>
        <w:pStyle w:val="NIHRCFootnotes0"/>
        <w:rPr>
          <w:color w:val="7030A0"/>
        </w:rPr>
      </w:pPr>
      <w:r w:rsidRPr="00B67801">
        <w:rPr>
          <w:rStyle w:val="FootnoteReference"/>
        </w:rPr>
        <w:footnoteRef/>
      </w:r>
      <w:r w:rsidRPr="00B67801">
        <w:rPr>
          <w:rFonts w:eastAsia="Verdana" w:cs="Verdana"/>
        </w:rPr>
        <w:t xml:space="preserve"> British Medical Journal, '</w:t>
      </w:r>
      <w:r w:rsidR="00E91A6F">
        <w:rPr>
          <w:rFonts w:eastAsia="Verdana" w:cs="Verdana"/>
        </w:rPr>
        <w:t xml:space="preserve">Press Release: </w:t>
      </w:r>
      <w:r w:rsidRPr="00B67801">
        <w:rPr>
          <w:rFonts w:eastAsia="Verdana" w:cs="Verdana"/>
        </w:rPr>
        <w:t>Stop recruiting children, UK Armed Forces urged', 25 February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E18"/>
    <w:multiLevelType w:val="hybridMultilevel"/>
    <w:tmpl w:val="3C561AD8"/>
    <w:lvl w:ilvl="0" w:tplc="C0505DAE">
      <w:start w:val="1"/>
      <w:numFmt w:val="lowerLetter"/>
      <w:lvlText w:val="%1)"/>
      <w:lvlJc w:val="left"/>
      <w:pPr>
        <w:ind w:left="1233" w:hanging="360"/>
      </w:pPr>
      <w:rPr>
        <w:rFonts w:hint="default"/>
      </w:rPr>
    </w:lvl>
    <w:lvl w:ilvl="1" w:tplc="08090019" w:tentative="1">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1" w15:restartNumberingAfterBreak="0">
    <w:nsid w:val="013E5C28"/>
    <w:multiLevelType w:val="hybridMultilevel"/>
    <w:tmpl w:val="91469342"/>
    <w:lvl w:ilvl="0" w:tplc="FE2A2696">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02605D50"/>
    <w:multiLevelType w:val="hybridMultilevel"/>
    <w:tmpl w:val="25964B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D96ABF"/>
    <w:multiLevelType w:val="hybridMultilevel"/>
    <w:tmpl w:val="53C2AA4A"/>
    <w:lvl w:ilvl="0" w:tplc="346EA9C4">
      <w:start w:val="1"/>
      <w:numFmt w:val="lowerLetter"/>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5601CB"/>
    <w:multiLevelType w:val="multilevel"/>
    <w:tmpl w:val="BE1CD252"/>
    <w:lvl w:ilvl="0">
      <w:start w:val="19"/>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048521D8"/>
    <w:multiLevelType w:val="hybridMultilevel"/>
    <w:tmpl w:val="0D18BB6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06104B0A"/>
    <w:multiLevelType w:val="multilevel"/>
    <w:tmpl w:val="109CACAA"/>
    <w:lvl w:ilvl="0">
      <w:start w:val="4"/>
      <w:numFmt w:val="decimal"/>
      <w:lvlText w:val="%1"/>
      <w:lvlJc w:val="left"/>
      <w:pPr>
        <w:ind w:left="540" w:hanging="540"/>
      </w:pPr>
      <w:rPr>
        <w:rFonts w:hint="default"/>
      </w:rPr>
    </w:lvl>
    <w:lvl w:ilvl="1">
      <w:start w:val="2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083E5948"/>
    <w:multiLevelType w:val="hybridMultilevel"/>
    <w:tmpl w:val="8F763DC0"/>
    <w:lvl w:ilvl="0" w:tplc="AAB2F5F6">
      <w:start w:val="70"/>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A0F0F73"/>
    <w:multiLevelType w:val="multilevel"/>
    <w:tmpl w:val="A0985846"/>
    <w:lvl w:ilvl="0">
      <w:start w:val="10"/>
      <w:numFmt w:val="decimal"/>
      <w:lvlText w:val="%1"/>
      <w:lvlJc w:val="left"/>
      <w:pPr>
        <w:ind w:left="540" w:hanging="540"/>
      </w:pPr>
    </w:lvl>
    <w:lvl w:ilvl="1">
      <w:start w:val="1"/>
      <w:numFmt w:val="decimal"/>
      <w:lvlText w:val="%1.%2"/>
      <w:lvlJc w:val="left"/>
      <w:pPr>
        <w:ind w:left="720" w:hanging="720"/>
      </w:pPr>
    </w:lvl>
    <w:lvl w:ilvl="2">
      <w:start w:val="1"/>
      <w:numFmt w:val="decimal"/>
      <w:lvlText w:val="%1.%2.%3"/>
      <w:lvlJc w:val="left"/>
      <w:pPr>
        <w:ind w:left="3240" w:hanging="1080"/>
      </w:pPr>
    </w:lvl>
    <w:lvl w:ilvl="3">
      <w:start w:val="1"/>
      <w:numFmt w:val="decimal"/>
      <w:lvlText w:val="%1.%2.%3.%4"/>
      <w:lvlJc w:val="left"/>
      <w:pPr>
        <w:ind w:left="4320" w:hanging="1080"/>
      </w:pPr>
    </w:lvl>
    <w:lvl w:ilvl="4">
      <w:start w:val="1"/>
      <w:numFmt w:val="decimal"/>
      <w:lvlText w:val="%1.%2.%3.%4.%5"/>
      <w:lvlJc w:val="left"/>
      <w:pPr>
        <w:ind w:left="5760" w:hanging="1440"/>
      </w:pPr>
    </w:lvl>
    <w:lvl w:ilvl="5">
      <w:start w:val="1"/>
      <w:numFmt w:val="decimal"/>
      <w:lvlText w:val="%1.%2.%3.%4.%5.%6"/>
      <w:lvlJc w:val="left"/>
      <w:pPr>
        <w:ind w:left="7200" w:hanging="1800"/>
      </w:pPr>
    </w:lvl>
    <w:lvl w:ilvl="6">
      <w:start w:val="1"/>
      <w:numFmt w:val="decimal"/>
      <w:lvlText w:val="%1.%2.%3.%4.%5.%6.%7"/>
      <w:lvlJc w:val="left"/>
      <w:pPr>
        <w:ind w:left="8640" w:hanging="2160"/>
      </w:pPr>
    </w:lvl>
    <w:lvl w:ilvl="7">
      <w:start w:val="1"/>
      <w:numFmt w:val="decimal"/>
      <w:lvlText w:val="%1.%2.%3.%4.%5.%6.%7.%8"/>
      <w:lvlJc w:val="left"/>
      <w:pPr>
        <w:ind w:left="10080" w:hanging="2520"/>
      </w:pPr>
    </w:lvl>
    <w:lvl w:ilvl="8">
      <w:start w:val="1"/>
      <w:numFmt w:val="decimal"/>
      <w:lvlText w:val="%1.%2.%3.%4.%5.%6.%7.%8.%9"/>
      <w:lvlJc w:val="left"/>
      <w:pPr>
        <w:ind w:left="11160" w:hanging="2520"/>
      </w:pPr>
    </w:lvl>
  </w:abstractNum>
  <w:abstractNum w:abstractNumId="9" w15:restartNumberingAfterBreak="0">
    <w:nsid w:val="0B197153"/>
    <w:multiLevelType w:val="hybridMultilevel"/>
    <w:tmpl w:val="93908DFC"/>
    <w:lvl w:ilvl="0" w:tplc="7910F8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B612F0D"/>
    <w:multiLevelType w:val="multilevel"/>
    <w:tmpl w:val="946EB1A0"/>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0B736A35"/>
    <w:multiLevelType w:val="multilevel"/>
    <w:tmpl w:val="840E7E1E"/>
    <w:lvl w:ilvl="0">
      <w:start w:val="12"/>
      <w:numFmt w:val="decimal"/>
      <w:lvlText w:val="%1"/>
      <w:lvlJc w:val="left"/>
      <w:pPr>
        <w:ind w:left="540" w:hanging="540"/>
      </w:pPr>
      <w:rPr>
        <w:rFonts w:eastAsia="Verdana" w:cs="Verdana" w:hint="default"/>
        <w:color w:val="000000"/>
      </w:rPr>
    </w:lvl>
    <w:lvl w:ilvl="1">
      <w:start w:val="1"/>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12" w15:restartNumberingAfterBreak="0">
    <w:nsid w:val="0BA85D0E"/>
    <w:multiLevelType w:val="multilevel"/>
    <w:tmpl w:val="68E6DDD4"/>
    <w:lvl w:ilvl="0">
      <w:start w:val="15"/>
      <w:numFmt w:val="decimal"/>
      <w:lvlText w:val="%1"/>
      <w:lvlJc w:val="left"/>
      <w:pPr>
        <w:ind w:left="540" w:hanging="540"/>
      </w:pPr>
      <w:rPr>
        <w:rFonts w:hint="default"/>
      </w:rPr>
    </w:lvl>
    <w:lvl w:ilvl="1">
      <w:start w:val="5"/>
      <w:numFmt w:val="decimal"/>
      <w:lvlText w:val="%1.%2"/>
      <w:lvlJc w:val="left"/>
      <w:pPr>
        <w:ind w:left="873" w:hanging="873"/>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0C235C86"/>
    <w:multiLevelType w:val="multilevel"/>
    <w:tmpl w:val="7C0AFAD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0CED1D4C"/>
    <w:multiLevelType w:val="hybridMultilevel"/>
    <w:tmpl w:val="3F18C5E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5" w15:restartNumberingAfterBreak="0">
    <w:nsid w:val="0D2270FB"/>
    <w:multiLevelType w:val="multilevel"/>
    <w:tmpl w:val="C90087C8"/>
    <w:lvl w:ilvl="0">
      <w:start w:val="9"/>
      <w:numFmt w:val="decimal"/>
      <w:lvlText w:val="%1"/>
      <w:lvlJc w:val="left"/>
      <w:pPr>
        <w:ind w:left="390" w:hanging="390"/>
      </w:pPr>
      <w:rPr>
        <w:rFonts w:hint="default"/>
      </w:rPr>
    </w:lvl>
    <w:lvl w:ilvl="1">
      <w:start w:val="1"/>
      <w:numFmt w:val="decimal"/>
      <w:lvlText w:val="%1.%2"/>
      <w:lvlJc w:val="left"/>
      <w:pPr>
        <w:ind w:left="862" w:hanging="862"/>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0E807422"/>
    <w:multiLevelType w:val="hybridMultilevel"/>
    <w:tmpl w:val="2F5428AC"/>
    <w:lvl w:ilvl="0" w:tplc="08090017">
      <w:start w:val="1"/>
      <w:numFmt w:val="lowerLetter"/>
      <w:lvlText w:val="%1)"/>
      <w:lvlJc w:val="left"/>
      <w:pPr>
        <w:ind w:left="1593" w:hanging="360"/>
      </w:pPr>
    </w:lvl>
    <w:lvl w:ilvl="1" w:tplc="08090019" w:tentative="1">
      <w:start w:val="1"/>
      <w:numFmt w:val="lowerLetter"/>
      <w:lvlText w:val="%2."/>
      <w:lvlJc w:val="left"/>
      <w:pPr>
        <w:ind w:left="2313" w:hanging="360"/>
      </w:pPr>
    </w:lvl>
    <w:lvl w:ilvl="2" w:tplc="0809001B" w:tentative="1">
      <w:start w:val="1"/>
      <w:numFmt w:val="lowerRoman"/>
      <w:lvlText w:val="%3."/>
      <w:lvlJc w:val="right"/>
      <w:pPr>
        <w:ind w:left="3033" w:hanging="180"/>
      </w:pPr>
    </w:lvl>
    <w:lvl w:ilvl="3" w:tplc="0809000F" w:tentative="1">
      <w:start w:val="1"/>
      <w:numFmt w:val="decimal"/>
      <w:lvlText w:val="%4."/>
      <w:lvlJc w:val="left"/>
      <w:pPr>
        <w:ind w:left="3753" w:hanging="360"/>
      </w:pPr>
    </w:lvl>
    <w:lvl w:ilvl="4" w:tplc="08090019" w:tentative="1">
      <w:start w:val="1"/>
      <w:numFmt w:val="lowerLetter"/>
      <w:lvlText w:val="%5."/>
      <w:lvlJc w:val="left"/>
      <w:pPr>
        <w:ind w:left="4473" w:hanging="360"/>
      </w:pPr>
    </w:lvl>
    <w:lvl w:ilvl="5" w:tplc="0809001B" w:tentative="1">
      <w:start w:val="1"/>
      <w:numFmt w:val="lowerRoman"/>
      <w:lvlText w:val="%6."/>
      <w:lvlJc w:val="right"/>
      <w:pPr>
        <w:ind w:left="5193" w:hanging="180"/>
      </w:pPr>
    </w:lvl>
    <w:lvl w:ilvl="6" w:tplc="0809000F" w:tentative="1">
      <w:start w:val="1"/>
      <w:numFmt w:val="decimal"/>
      <w:lvlText w:val="%7."/>
      <w:lvlJc w:val="left"/>
      <w:pPr>
        <w:ind w:left="5913" w:hanging="360"/>
      </w:pPr>
    </w:lvl>
    <w:lvl w:ilvl="7" w:tplc="08090019" w:tentative="1">
      <w:start w:val="1"/>
      <w:numFmt w:val="lowerLetter"/>
      <w:lvlText w:val="%8."/>
      <w:lvlJc w:val="left"/>
      <w:pPr>
        <w:ind w:left="6633" w:hanging="360"/>
      </w:pPr>
    </w:lvl>
    <w:lvl w:ilvl="8" w:tplc="0809001B" w:tentative="1">
      <w:start w:val="1"/>
      <w:numFmt w:val="lowerRoman"/>
      <w:lvlText w:val="%9."/>
      <w:lvlJc w:val="right"/>
      <w:pPr>
        <w:ind w:left="7353" w:hanging="180"/>
      </w:pPr>
    </w:lvl>
  </w:abstractNum>
  <w:abstractNum w:abstractNumId="17" w15:restartNumberingAfterBreak="0">
    <w:nsid w:val="0EBB4978"/>
    <w:multiLevelType w:val="multilevel"/>
    <w:tmpl w:val="72B89226"/>
    <w:lvl w:ilvl="0">
      <w:start w:val="13"/>
      <w:numFmt w:val="decimal"/>
      <w:lvlText w:val="%1"/>
      <w:lvlJc w:val="left"/>
      <w:pPr>
        <w:ind w:left="540" w:hanging="540"/>
      </w:pPr>
      <w:rPr>
        <w:rFonts w:eastAsia="Verdana" w:cs="Verdana" w:hint="default"/>
        <w:color w:val="000000"/>
      </w:rPr>
    </w:lvl>
    <w:lvl w:ilvl="1">
      <w:start w:val="2"/>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18" w15:restartNumberingAfterBreak="0">
    <w:nsid w:val="10023E5B"/>
    <w:multiLevelType w:val="multilevel"/>
    <w:tmpl w:val="CD2A75EC"/>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10461284"/>
    <w:multiLevelType w:val="hybridMultilevel"/>
    <w:tmpl w:val="86ECAE1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0" w15:restartNumberingAfterBreak="0">
    <w:nsid w:val="108331A4"/>
    <w:multiLevelType w:val="multilevel"/>
    <w:tmpl w:val="8304980C"/>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val="0"/>
        <w:bCs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12A16572"/>
    <w:multiLevelType w:val="hybridMultilevel"/>
    <w:tmpl w:val="CA4A02CA"/>
    <w:lvl w:ilvl="0" w:tplc="A192D3FA">
      <w:start w:val="13"/>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49E2CDB"/>
    <w:multiLevelType w:val="hybridMultilevel"/>
    <w:tmpl w:val="F32A4E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65B66FC"/>
    <w:multiLevelType w:val="multilevel"/>
    <w:tmpl w:val="2762252E"/>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4" w15:restartNumberingAfterBreak="0">
    <w:nsid w:val="179F5681"/>
    <w:multiLevelType w:val="hybridMultilevel"/>
    <w:tmpl w:val="C3482F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918688A"/>
    <w:multiLevelType w:val="hybridMultilevel"/>
    <w:tmpl w:val="860E2578"/>
    <w:lvl w:ilvl="0" w:tplc="08090017">
      <w:start w:val="1"/>
      <w:numFmt w:val="lowerLetter"/>
      <w:lvlText w:val="%1)"/>
      <w:lvlJc w:val="left"/>
      <w:pPr>
        <w:ind w:left="1178" w:hanging="360"/>
      </w:pPr>
      <w:rPr>
        <w:rFonts w:hint="default"/>
      </w:rPr>
    </w:lvl>
    <w:lvl w:ilvl="1" w:tplc="08090019" w:tentative="1">
      <w:start w:val="1"/>
      <w:numFmt w:val="lowerLetter"/>
      <w:lvlText w:val="%2."/>
      <w:lvlJc w:val="left"/>
      <w:pPr>
        <w:ind w:left="1898" w:hanging="360"/>
      </w:pPr>
    </w:lvl>
    <w:lvl w:ilvl="2" w:tplc="0809001B" w:tentative="1">
      <w:start w:val="1"/>
      <w:numFmt w:val="lowerRoman"/>
      <w:lvlText w:val="%3."/>
      <w:lvlJc w:val="right"/>
      <w:pPr>
        <w:ind w:left="2618" w:hanging="180"/>
      </w:pPr>
    </w:lvl>
    <w:lvl w:ilvl="3" w:tplc="0809000F" w:tentative="1">
      <w:start w:val="1"/>
      <w:numFmt w:val="decimal"/>
      <w:lvlText w:val="%4."/>
      <w:lvlJc w:val="left"/>
      <w:pPr>
        <w:ind w:left="3338" w:hanging="360"/>
      </w:pPr>
    </w:lvl>
    <w:lvl w:ilvl="4" w:tplc="08090019" w:tentative="1">
      <w:start w:val="1"/>
      <w:numFmt w:val="lowerLetter"/>
      <w:lvlText w:val="%5."/>
      <w:lvlJc w:val="left"/>
      <w:pPr>
        <w:ind w:left="4058" w:hanging="360"/>
      </w:pPr>
    </w:lvl>
    <w:lvl w:ilvl="5" w:tplc="0809001B" w:tentative="1">
      <w:start w:val="1"/>
      <w:numFmt w:val="lowerRoman"/>
      <w:lvlText w:val="%6."/>
      <w:lvlJc w:val="right"/>
      <w:pPr>
        <w:ind w:left="4778" w:hanging="180"/>
      </w:pPr>
    </w:lvl>
    <w:lvl w:ilvl="6" w:tplc="0809000F" w:tentative="1">
      <w:start w:val="1"/>
      <w:numFmt w:val="decimal"/>
      <w:lvlText w:val="%7."/>
      <w:lvlJc w:val="left"/>
      <w:pPr>
        <w:ind w:left="5498" w:hanging="360"/>
      </w:pPr>
    </w:lvl>
    <w:lvl w:ilvl="7" w:tplc="08090019" w:tentative="1">
      <w:start w:val="1"/>
      <w:numFmt w:val="lowerLetter"/>
      <w:lvlText w:val="%8."/>
      <w:lvlJc w:val="left"/>
      <w:pPr>
        <w:ind w:left="6218" w:hanging="360"/>
      </w:pPr>
    </w:lvl>
    <w:lvl w:ilvl="8" w:tplc="0809001B" w:tentative="1">
      <w:start w:val="1"/>
      <w:numFmt w:val="lowerRoman"/>
      <w:lvlText w:val="%9."/>
      <w:lvlJc w:val="right"/>
      <w:pPr>
        <w:ind w:left="6938" w:hanging="180"/>
      </w:pPr>
    </w:lvl>
  </w:abstractNum>
  <w:abstractNum w:abstractNumId="26" w15:restartNumberingAfterBreak="0">
    <w:nsid w:val="19685548"/>
    <w:multiLevelType w:val="multilevel"/>
    <w:tmpl w:val="C50618E8"/>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1B3E54EF"/>
    <w:multiLevelType w:val="hybridMultilevel"/>
    <w:tmpl w:val="16C290F4"/>
    <w:lvl w:ilvl="0" w:tplc="D460E08C">
      <w:start w:val="70"/>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BBD52D3"/>
    <w:multiLevelType w:val="hybridMultilevel"/>
    <w:tmpl w:val="725E16E2"/>
    <w:lvl w:ilvl="0" w:tplc="08090017">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D160762"/>
    <w:multiLevelType w:val="hybridMultilevel"/>
    <w:tmpl w:val="6FD6D9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1D882C4C"/>
    <w:multiLevelType w:val="multilevel"/>
    <w:tmpl w:val="CD2A75EC"/>
    <w:lvl w:ilvl="0">
      <w:start w:val="1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1F820617"/>
    <w:multiLevelType w:val="multilevel"/>
    <w:tmpl w:val="9C7492B4"/>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2" w15:restartNumberingAfterBreak="0">
    <w:nsid w:val="20E76AB0"/>
    <w:multiLevelType w:val="hybridMultilevel"/>
    <w:tmpl w:val="2B9669E0"/>
    <w:lvl w:ilvl="0" w:tplc="6FCC5382">
      <w:start w:val="1"/>
      <w:numFmt w:val="lowerLetter"/>
      <w:lvlText w:val="%1)"/>
      <w:lvlJc w:val="left"/>
      <w:pPr>
        <w:ind w:left="1800" w:hanging="360"/>
      </w:pPr>
      <w:rPr>
        <w:rFonts w:hint="default"/>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22AF527D"/>
    <w:multiLevelType w:val="hybridMultilevel"/>
    <w:tmpl w:val="A392988C"/>
    <w:lvl w:ilvl="0" w:tplc="08090017">
      <w:start w:val="1"/>
      <w:numFmt w:val="lowerLetter"/>
      <w:lvlText w:val="%1)"/>
      <w:lvlJc w:val="left"/>
      <w:pPr>
        <w:ind w:left="1212" w:hanging="360"/>
      </w:pPr>
    </w:lvl>
    <w:lvl w:ilvl="1" w:tplc="08090019">
      <w:start w:val="1"/>
      <w:numFmt w:val="lowerLetter"/>
      <w:lvlText w:val="%2."/>
      <w:lvlJc w:val="left"/>
      <w:pPr>
        <w:ind w:left="1932" w:hanging="360"/>
      </w:pPr>
    </w:lvl>
    <w:lvl w:ilvl="2" w:tplc="0809001B">
      <w:start w:val="1"/>
      <w:numFmt w:val="lowerRoman"/>
      <w:lvlText w:val="%3."/>
      <w:lvlJc w:val="right"/>
      <w:pPr>
        <w:ind w:left="2652" w:hanging="180"/>
      </w:pPr>
    </w:lvl>
    <w:lvl w:ilvl="3" w:tplc="0809000F">
      <w:start w:val="1"/>
      <w:numFmt w:val="decimal"/>
      <w:lvlText w:val="%4."/>
      <w:lvlJc w:val="left"/>
      <w:pPr>
        <w:ind w:left="3372" w:hanging="360"/>
      </w:pPr>
    </w:lvl>
    <w:lvl w:ilvl="4" w:tplc="08090019">
      <w:start w:val="1"/>
      <w:numFmt w:val="lowerLetter"/>
      <w:lvlText w:val="%5."/>
      <w:lvlJc w:val="left"/>
      <w:pPr>
        <w:ind w:left="4092" w:hanging="360"/>
      </w:pPr>
    </w:lvl>
    <w:lvl w:ilvl="5" w:tplc="0809001B">
      <w:start w:val="1"/>
      <w:numFmt w:val="lowerRoman"/>
      <w:lvlText w:val="%6."/>
      <w:lvlJc w:val="right"/>
      <w:pPr>
        <w:ind w:left="4812" w:hanging="180"/>
      </w:pPr>
    </w:lvl>
    <w:lvl w:ilvl="6" w:tplc="0809000F">
      <w:start w:val="1"/>
      <w:numFmt w:val="decimal"/>
      <w:lvlText w:val="%7."/>
      <w:lvlJc w:val="left"/>
      <w:pPr>
        <w:ind w:left="5532" w:hanging="360"/>
      </w:pPr>
    </w:lvl>
    <w:lvl w:ilvl="7" w:tplc="08090019">
      <w:start w:val="1"/>
      <w:numFmt w:val="lowerLetter"/>
      <w:lvlText w:val="%8."/>
      <w:lvlJc w:val="left"/>
      <w:pPr>
        <w:ind w:left="6252" w:hanging="360"/>
      </w:pPr>
    </w:lvl>
    <w:lvl w:ilvl="8" w:tplc="0809001B">
      <w:start w:val="1"/>
      <w:numFmt w:val="lowerRoman"/>
      <w:lvlText w:val="%9."/>
      <w:lvlJc w:val="right"/>
      <w:pPr>
        <w:ind w:left="6972" w:hanging="180"/>
      </w:pPr>
    </w:lvl>
  </w:abstractNum>
  <w:abstractNum w:abstractNumId="34" w15:restartNumberingAfterBreak="0">
    <w:nsid w:val="23C320A4"/>
    <w:multiLevelType w:val="multilevel"/>
    <w:tmpl w:val="DDC44E40"/>
    <w:lvl w:ilvl="0">
      <w:start w:val="1"/>
      <w:numFmt w:val="decimal"/>
      <w:lvlText w:val="%1.0"/>
      <w:lvlJc w:val="left"/>
      <w:pPr>
        <w:ind w:left="720" w:hanging="720"/>
      </w:pPr>
      <w:rPr>
        <w:rFonts w:hint="default"/>
      </w:rPr>
    </w:lvl>
    <w:lvl w:ilvl="1">
      <w:start w:val="1"/>
      <w:numFmt w:val="decimal"/>
      <w:lvlText w:val="%1.%2"/>
      <w:lvlJc w:val="left"/>
      <w:pPr>
        <w:ind w:left="720" w:hanging="720"/>
      </w:pPr>
      <w:rPr>
        <w:rFonts w:ascii="Verdana" w:hAnsi="Verdana" w:hint="default"/>
        <w:b w:val="0"/>
        <w:bCs w:val="0"/>
        <w:color w:val="auto"/>
        <w:sz w:val="24"/>
        <w:szCs w:val="24"/>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5" w15:restartNumberingAfterBreak="0">
    <w:nsid w:val="25376333"/>
    <w:multiLevelType w:val="multilevel"/>
    <w:tmpl w:val="B30C65BA"/>
    <w:lvl w:ilvl="0">
      <w:start w:val="9"/>
      <w:numFmt w:val="decimal"/>
      <w:lvlText w:val="%1"/>
      <w:lvlJc w:val="left"/>
      <w:pPr>
        <w:ind w:left="390" w:hanging="390"/>
      </w:pPr>
      <w:rPr>
        <w:rFonts w:ascii="Verdana" w:hAnsi="Verdana" w:hint="default"/>
        <w:color w:val="000000"/>
      </w:rPr>
    </w:lvl>
    <w:lvl w:ilvl="1">
      <w:start w:val="1"/>
      <w:numFmt w:val="decimal"/>
      <w:lvlText w:val="%1.%2"/>
      <w:lvlJc w:val="left"/>
      <w:pPr>
        <w:ind w:left="390" w:hanging="390"/>
      </w:pPr>
      <w:rPr>
        <w:rFonts w:ascii="Verdana" w:hAnsi="Verdana" w:hint="default"/>
        <w:color w:val="000000"/>
      </w:rPr>
    </w:lvl>
    <w:lvl w:ilvl="2">
      <w:start w:val="1"/>
      <w:numFmt w:val="decimal"/>
      <w:lvlText w:val="%1.%2.%3"/>
      <w:lvlJc w:val="left"/>
      <w:pPr>
        <w:ind w:left="2160" w:hanging="720"/>
      </w:pPr>
      <w:rPr>
        <w:rFonts w:ascii="Verdana" w:hAnsi="Verdana" w:hint="default"/>
        <w:color w:val="000000"/>
      </w:rPr>
    </w:lvl>
    <w:lvl w:ilvl="3">
      <w:start w:val="1"/>
      <w:numFmt w:val="decimal"/>
      <w:lvlText w:val="%1.%2.%3.%4"/>
      <w:lvlJc w:val="left"/>
      <w:pPr>
        <w:ind w:left="2880" w:hanging="720"/>
      </w:pPr>
      <w:rPr>
        <w:rFonts w:ascii="Verdana" w:hAnsi="Verdana" w:hint="default"/>
        <w:color w:val="000000"/>
      </w:rPr>
    </w:lvl>
    <w:lvl w:ilvl="4">
      <w:start w:val="1"/>
      <w:numFmt w:val="decimal"/>
      <w:lvlText w:val="%1.%2.%3.%4.%5"/>
      <w:lvlJc w:val="left"/>
      <w:pPr>
        <w:ind w:left="3960" w:hanging="1080"/>
      </w:pPr>
      <w:rPr>
        <w:rFonts w:ascii="Verdana" w:hAnsi="Verdana" w:hint="default"/>
        <w:color w:val="000000"/>
      </w:rPr>
    </w:lvl>
    <w:lvl w:ilvl="5">
      <w:start w:val="1"/>
      <w:numFmt w:val="decimal"/>
      <w:lvlText w:val="%1.%2.%3.%4.%5.%6"/>
      <w:lvlJc w:val="left"/>
      <w:pPr>
        <w:ind w:left="4680" w:hanging="1080"/>
      </w:pPr>
      <w:rPr>
        <w:rFonts w:ascii="Verdana" w:hAnsi="Verdana" w:hint="default"/>
        <w:color w:val="000000"/>
      </w:rPr>
    </w:lvl>
    <w:lvl w:ilvl="6">
      <w:start w:val="1"/>
      <w:numFmt w:val="decimal"/>
      <w:lvlText w:val="%1.%2.%3.%4.%5.%6.%7"/>
      <w:lvlJc w:val="left"/>
      <w:pPr>
        <w:ind w:left="5760" w:hanging="1440"/>
      </w:pPr>
      <w:rPr>
        <w:rFonts w:ascii="Verdana" w:hAnsi="Verdana" w:hint="default"/>
        <w:color w:val="000000"/>
      </w:rPr>
    </w:lvl>
    <w:lvl w:ilvl="7">
      <w:start w:val="1"/>
      <w:numFmt w:val="decimal"/>
      <w:lvlText w:val="%1.%2.%3.%4.%5.%6.%7.%8"/>
      <w:lvlJc w:val="left"/>
      <w:pPr>
        <w:ind w:left="6480" w:hanging="1440"/>
      </w:pPr>
      <w:rPr>
        <w:rFonts w:ascii="Verdana" w:hAnsi="Verdana" w:hint="default"/>
        <w:color w:val="000000"/>
      </w:rPr>
    </w:lvl>
    <w:lvl w:ilvl="8">
      <w:start w:val="1"/>
      <w:numFmt w:val="decimal"/>
      <w:lvlText w:val="%1.%2.%3.%4.%5.%6.%7.%8.%9"/>
      <w:lvlJc w:val="left"/>
      <w:pPr>
        <w:ind w:left="7560" w:hanging="1800"/>
      </w:pPr>
      <w:rPr>
        <w:rFonts w:ascii="Verdana" w:hAnsi="Verdana" w:hint="default"/>
        <w:color w:val="000000"/>
      </w:rPr>
    </w:lvl>
  </w:abstractNum>
  <w:abstractNum w:abstractNumId="36" w15:restartNumberingAfterBreak="0">
    <w:nsid w:val="253771BB"/>
    <w:multiLevelType w:val="hybridMultilevel"/>
    <w:tmpl w:val="A678CF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26193EC0"/>
    <w:multiLevelType w:val="multilevel"/>
    <w:tmpl w:val="2F4038D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8" w15:restartNumberingAfterBreak="0">
    <w:nsid w:val="26861BA6"/>
    <w:multiLevelType w:val="multilevel"/>
    <w:tmpl w:val="72B89226"/>
    <w:lvl w:ilvl="0">
      <w:start w:val="13"/>
      <w:numFmt w:val="decimal"/>
      <w:lvlText w:val="%1"/>
      <w:lvlJc w:val="left"/>
      <w:pPr>
        <w:ind w:left="540" w:hanging="540"/>
      </w:pPr>
      <w:rPr>
        <w:rFonts w:eastAsia="Verdana" w:cs="Verdana" w:hint="default"/>
        <w:color w:val="000000"/>
      </w:rPr>
    </w:lvl>
    <w:lvl w:ilvl="1">
      <w:start w:val="1"/>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39" w15:restartNumberingAfterBreak="0">
    <w:nsid w:val="272040D4"/>
    <w:multiLevelType w:val="multilevel"/>
    <w:tmpl w:val="8DEAC32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276168CD"/>
    <w:multiLevelType w:val="hybridMultilevel"/>
    <w:tmpl w:val="12BC2CF8"/>
    <w:lvl w:ilvl="0" w:tplc="EA601D72">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27AA5366"/>
    <w:multiLevelType w:val="hybridMultilevel"/>
    <w:tmpl w:val="2EAE32F8"/>
    <w:lvl w:ilvl="0" w:tplc="5AD4D6B4">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B0C2C04"/>
    <w:multiLevelType w:val="hybridMultilevel"/>
    <w:tmpl w:val="8E7A6F2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2C143DCA"/>
    <w:multiLevelType w:val="multilevel"/>
    <w:tmpl w:val="28B059E0"/>
    <w:lvl w:ilvl="0">
      <w:start w:val="21"/>
      <w:numFmt w:val="decimal"/>
      <w:lvlText w:val="%1.0"/>
      <w:lvlJc w:val="left"/>
      <w:pPr>
        <w:ind w:left="818" w:hanging="818"/>
      </w:pPr>
      <w:rPr>
        <w:rFonts w:hint="default"/>
      </w:rPr>
    </w:lvl>
    <w:lvl w:ilvl="1">
      <w:start w:val="1"/>
      <w:numFmt w:val="decimal"/>
      <w:lvlText w:val="%1.%2"/>
      <w:lvlJc w:val="left"/>
      <w:pPr>
        <w:ind w:left="873" w:hanging="873"/>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960" w:hanging="1800"/>
      </w:pPr>
      <w:rPr>
        <w:rFonts w:hint="default"/>
      </w:rPr>
    </w:lvl>
    <w:lvl w:ilvl="4">
      <w:start w:val="1"/>
      <w:numFmt w:val="decimal"/>
      <w:lvlText w:val="%1.%2.%3.%4.%5"/>
      <w:lvlJc w:val="left"/>
      <w:pPr>
        <w:ind w:left="5040" w:hanging="2160"/>
      </w:pPr>
      <w:rPr>
        <w:rFonts w:hint="default"/>
      </w:rPr>
    </w:lvl>
    <w:lvl w:ilvl="5">
      <w:start w:val="1"/>
      <w:numFmt w:val="decimal"/>
      <w:lvlText w:val="%1.%2.%3.%4.%5.%6"/>
      <w:lvlJc w:val="left"/>
      <w:pPr>
        <w:ind w:left="6120" w:hanging="2520"/>
      </w:pPr>
      <w:rPr>
        <w:rFonts w:hint="default"/>
      </w:rPr>
    </w:lvl>
    <w:lvl w:ilvl="6">
      <w:start w:val="1"/>
      <w:numFmt w:val="decimal"/>
      <w:lvlText w:val="%1.%2.%3.%4.%5.%6.%7"/>
      <w:lvlJc w:val="left"/>
      <w:pPr>
        <w:ind w:left="7200" w:hanging="2880"/>
      </w:pPr>
      <w:rPr>
        <w:rFonts w:hint="default"/>
      </w:rPr>
    </w:lvl>
    <w:lvl w:ilvl="7">
      <w:start w:val="1"/>
      <w:numFmt w:val="decimal"/>
      <w:lvlText w:val="%1.%2.%3.%4.%5.%6.%7.%8"/>
      <w:lvlJc w:val="left"/>
      <w:pPr>
        <w:ind w:left="8280" w:hanging="3240"/>
      </w:pPr>
      <w:rPr>
        <w:rFonts w:hint="default"/>
      </w:rPr>
    </w:lvl>
    <w:lvl w:ilvl="8">
      <w:start w:val="1"/>
      <w:numFmt w:val="decimal"/>
      <w:lvlText w:val="%1.%2.%3.%4.%5.%6.%7.%8.%9"/>
      <w:lvlJc w:val="left"/>
      <w:pPr>
        <w:ind w:left="9360" w:hanging="3600"/>
      </w:pPr>
      <w:rPr>
        <w:rFonts w:hint="default"/>
      </w:rPr>
    </w:lvl>
  </w:abstractNum>
  <w:abstractNum w:abstractNumId="44" w15:restartNumberingAfterBreak="0">
    <w:nsid w:val="2C224EA7"/>
    <w:multiLevelType w:val="multilevel"/>
    <w:tmpl w:val="ABE4F5F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15:restartNumberingAfterBreak="0">
    <w:nsid w:val="3259371F"/>
    <w:multiLevelType w:val="hybridMultilevel"/>
    <w:tmpl w:val="A6B02CB0"/>
    <w:lvl w:ilvl="0" w:tplc="C088C7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32F65310"/>
    <w:multiLevelType w:val="hybridMultilevel"/>
    <w:tmpl w:val="8B0A87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335D4518"/>
    <w:multiLevelType w:val="hybridMultilevel"/>
    <w:tmpl w:val="C65896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8" w15:restartNumberingAfterBreak="0">
    <w:nsid w:val="38887330"/>
    <w:multiLevelType w:val="multilevel"/>
    <w:tmpl w:val="96A499D2"/>
    <w:lvl w:ilvl="0">
      <w:start w:val="8"/>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49" w15:restartNumberingAfterBreak="0">
    <w:nsid w:val="3A225FD4"/>
    <w:multiLevelType w:val="multilevel"/>
    <w:tmpl w:val="CD2A75EC"/>
    <w:lvl w:ilvl="0">
      <w:start w:val="14"/>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0" w15:restartNumberingAfterBreak="0">
    <w:nsid w:val="3B8762BE"/>
    <w:multiLevelType w:val="multilevel"/>
    <w:tmpl w:val="C0C0F8DC"/>
    <w:lvl w:ilvl="0">
      <w:start w:val="13"/>
      <w:numFmt w:val="decimal"/>
      <w:lvlText w:val="%1"/>
      <w:lvlJc w:val="left"/>
      <w:pPr>
        <w:ind w:left="540" w:hanging="540"/>
      </w:pPr>
      <w:rPr>
        <w:rFonts w:eastAsia="Verdana" w:cs="Verdana" w:hint="default"/>
        <w:color w:val="000000"/>
      </w:rPr>
    </w:lvl>
    <w:lvl w:ilvl="1">
      <w:start w:val="2"/>
      <w:numFmt w:val="decimal"/>
      <w:lvlText w:val="%1.%2"/>
      <w:lvlJc w:val="left"/>
      <w:pPr>
        <w:ind w:left="720" w:hanging="720"/>
      </w:pPr>
      <w:rPr>
        <w:rFonts w:eastAsia="Verdana" w:cs="Verdana" w:hint="default"/>
        <w:color w:val="000000"/>
      </w:rPr>
    </w:lvl>
    <w:lvl w:ilvl="2">
      <w:start w:val="1"/>
      <w:numFmt w:val="decimal"/>
      <w:lvlText w:val="%1.%2.%3"/>
      <w:lvlJc w:val="left"/>
      <w:pPr>
        <w:ind w:left="1080" w:hanging="1080"/>
      </w:pPr>
      <w:rPr>
        <w:rFonts w:eastAsia="Verdana" w:cs="Verdana" w:hint="default"/>
        <w:color w:val="000000"/>
      </w:rPr>
    </w:lvl>
    <w:lvl w:ilvl="3">
      <w:start w:val="1"/>
      <w:numFmt w:val="decimal"/>
      <w:lvlText w:val="%1.%2.%3.%4"/>
      <w:lvlJc w:val="left"/>
      <w:pPr>
        <w:ind w:left="1080" w:hanging="1080"/>
      </w:pPr>
      <w:rPr>
        <w:rFonts w:eastAsia="Verdana" w:cs="Verdana" w:hint="default"/>
        <w:color w:val="000000"/>
      </w:rPr>
    </w:lvl>
    <w:lvl w:ilvl="4">
      <w:start w:val="1"/>
      <w:numFmt w:val="decimal"/>
      <w:lvlText w:val="%1.%2.%3.%4.%5"/>
      <w:lvlJc w:val="left"/>
      <w:pPr>
        <w:ind w:left="1440" w:hanging="1440"/>
      </w:pPr>
      <w:rPr>
        <w:rFonts w:eastAsia="Verdana" w:cs="Verdana" w:hint="default"/>
        <w:color w:val="000000"/>
      </w:rPr>
    </w:lvl>
    <w:lvl w:ilvl="5">
      <w:start w:val="1"/>
      <w:numFmt w:val="decimal"/>
      <w:lvlText w:val="%1.%2.%3.%4.%5.%6"/>
      <w:lvlJc w:val="left"/>
      <w:pPr>
        <w:ind w:left="1800" w:hanging="1800"/>
      </w:pPr>
      <w:rPr>
        <w:rFonts w:eastAsia="Verdana" w:cs="Verdana" w:hint="default"/>
        <w:color w:val="000000"/>
      </w:rPr>
    </w:lvl>
    <w:lvl w:ilvl="6">
      <w:start w:val="1"/>
      <w:numFmt w:val="decimal"/>
      <w:lvlText w:val="%1.%2.%3.%4.%5.%6.%7"/>
      <w:lvlJc w:val="left"/>
      <w:pPr>
        <w:ind w:left="2160" w:hanging="2160"/>
      </w:pPr>
      <w:rPr>
        <w:rFonts w:eastAsia="Verdana" w:cs="Verdana" w:hint="default"/>
        <w:color w:val="000000"/>
      </w:rPr>
    </w:lvl>
    <w:lvl w:ilvl="7">
      <w:start w:val="1"/>
      <w:numFmt w:val="decimal"/>
      <w:lvlText w:val="%1.%2.%3.%4.%5.%6.%7.%8"/>
      <w:lvlJc w:val="left"/>
      <w:pPr>
        <w:ind w:left="2520" w:hanging="2520"/>
      </w:pPr>
      <w:rPr>
        <w:rFonts w:eastAsia="Verdana" w:cs="Verdana" w:hint="default"/>
        <w:color w:val="000000"/>
      </w:rPr>
    </w:lvl>
    <w:lvl w:ilvl="8">
      <w:start w:val="1"/>
      <w:numFmt w:val="decimal"/>
      <w:lvlText w:val="%1.%2.%3.%4.%5.%6.%7.%8.%9"/>
      <w:lvlJc w:val="left"/>
      <w:pPr>
        <w:ind w:left="2520" w:hanging="2520"/>
      </w:pPr>
      <w:rPr>
        <w:rFonts w:eastAsia="Verdana" w:cs="Verdana" w:hint="default"/>
        <w:color w:val="000000"/>
      </w:rPr>
    </w:lvl>
  </w:abstractNum>
  <w:abstractNum w:abstractNumId="51" w15:restartNumberingAfterBreak="0">
    <w:nsid w:val="3CAB2479"/>
    <w:multiLevelType w:val="hybridMultilevel"/>
    <w:tmpl w:val="A23A1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3D040F97"/>
    <w:multiLevelType w:val="hybridMultilevel"/>
    <w:tmpl w:val="A9CEF5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3E4051FF"/>
    <w:multiLevelType w:val="multilevel"/>
    <w:tmpl w:val="9C7492B4"/>
    <w:lvl w:ilvl="0">
      <w:start w:val="19"/>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3EA5117E"/>
    <w:multiLevelType w:val="hybridMultilevel"/>
    <w:tmpl w:val="A882F2AE"/>
    <w:lvl w:ilvl="0" w:tplc="41666D04">
      <w:start w:val="1"/>
      <w:numFmt w:val="lowerLetter"/>
      <w:lvlText w:val="%1)"/>
      <w:lvlJc w:val="left"/>
      <w:pPr>
        <w:ind w:left="1233" w:hanging="360"/>
      </w:pPr>
      <w:rPr>
        <w:rFonts w:hint="default"/>
      </w:rPr>
    </w:lvl>
    <w:lvl w:ilvl="1" w:tplc="08090019">
      <w:start w:val="1"/>
      <w:numFmt w:val="lowerLetter"/>
      <w:lvlText w:val="%2."/>
      <w:lvlJc w:val="left"/>
      <w:pPr>
        <w:ind w:left="1953" w:hanging="360"/>
      </w:pPr>
    </w:lvl>
    <w:lvl w:ilvl="2" w:tplc="0809001B" w:tentative="1">
      <w:start w:val="1"/>
      <w:numFmt w:val="lowerRoman"/>
      <w:lvlText w:val="%3."/>
      <w:lvlJc w:val="right"/>
      <w:pPr>
        <w:ind w:left="2673" w:hanging="180"/>
      </w:pPr>
    </w:lvl>
    <w:lvl w:ilvl="3" w:tplc="0809000F" w:tentative="1">
      <w:start w:val="1"/>
      <w:numFmt w:val="decimal"/>
      <w:lvlText w:val="%4."/>
      <w:lvlJc w:val="left"/>
      <w:pPr>
        <w:ind w:left="3393" w:hanging="360"/>
      </w:pPr>
    </w:lvl>
    <w:lvl w:ilvl="4" w:tplc="08090019" w:tentative="1">
      <w:start w:val="1"/>
      <w:numFmt w:val="lowerLetter"/>
      <w:lvlText w:val="%5."/>
      <w:lvlJc w:val="left"/>
      <w:pPr>
        <w:ind w:left="4113" w:hanging="360"/>
      </w:pPr>
    </w:lvl>
    <w:lvl w:ilvl="5" w:tplc="0809001B" w:tentative="1">
      <w:start w:val="1"/>
      <w:numFmt w:val="lowerRoman"/>
      <w:lvlText w:val="%6."/>
      <w:lvlJc w:val="right"/>
      <w:pPr>
        <w:ind w:left="4833" w:hanging="180"/>
      </w:pPr>
    </w:lvl>
    <w:lvl w:ilvl="6" w:tplc="0809000F" w:tentative="1">
      <w:start w:val="1"/>
      <w:numFmt w:val="decimal"/>
      <w:lvlText w:val="%7."/>
      <w:lvlJc w:val="left"/>
      <w:pPr>
        <w:ind w:left="5553" w:hanging="360"/>
      </w:pPr>
    </w:lvl>
    <w:lvl w:ilvl="7" w:tplc="08090019" w:tentative="1">
      <w:start w:val="1"/>
      <w:numFmt w:val="lowerLetter"/>
      <w:lvlText w:val="%8."/>
      <w:lvlJc w:val="left"/>
      <w:pPr>
        <w:ind w:left="6273" w:hanging="360"/>
      </w:pPr>
    </w:lvl>
    <w:lvl w:ilvl="8" w:tplc="0809001B" w:tentative="1">
      <w:start w:val="1"/>
      <w:numFmt w:val="lowerRoman"/>
      <w:lvlText w:val="%9."/>
      <w:lvlJc w:val="right"/>
      <w:pPr>
        <w:ind w:left="6993" w:hanging="180"/>
      </w:pPr>
    </w:lvl>
  </w:abstractNum>
  <w:abstractNum w:abstractNumId="55" w15:restartNumberingAfterBreak="0">
    <w:nsid w:val="43D5728C"/>
    <w:multiLevelType w:val="hybridMultilevel"/>
    <w:tmpl w:val="84A6622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6" w15:restartNumberingAfterBreak="0">
    <w:nsid w:val="456614FF"/>
    <w:multiLevelType w:val="hybridMultilevel"/>
    <w:tmpl w:val="647C6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7A84657"/>
    <w:multiLevelType w:val="hybridMultilevel"/>
    <w:tmpl w:val="78364E3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58" w15:restartNumberingAfterBreak="0">
    <w:nsid w:val="4A8926DF"/>
    <w:multiLevelType w:val="hybridMultilevel"/>
    <w:tmpl w:val="05829FEE"/>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59" w15:restartNumberingAfterBreak="0">
    <w:nsid w:val="4B9267B9"/>
    <w:multiLevelType w:val="hybridMultilevel"/>
    <w:tmpl w:val="DF740B3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15:restartNumberingAfterBreak="0">
    <w:nsid w:val="4C245545"/>
    <w:multiLevelType w:val="hybridMultilevel"/>
    <w:tmpl w:val="2D0A46A8"/>
    <w:lvl w:ilvl="0" w:tplc="48FC48F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1" w15:restartNumberingAfterBreak="0">
    <w:nsid w:val="4C385417"/>
    <w:multiLevelType w:val="hybridMultilevel"/>
    <w:tmpl w:val="889C368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2" w15:restartNumberingAfterBreak="0">
    <w:nsid w:val="4F0F3724"/>
    <w:multiLevelType w:val="multilevel"/>
    <w:tmpl w:val="2D1E229C"/>
    <w:lvl w:ilvl="0">
      <w:start w:val="11"/>
      <w:numFmt w:val="decimal"/>
      <w:lvlText w:val="%1"/>
      <w:lvlJc w:val="left"/>
      <w:pPr>
        <w:ind w:left="690" w:hanging="690"/>
      </w:pPr>
      <w:rPr>
        <w:rFonts w:hint="default"/>
        <w:color w:val="000000"/>
      </w:rPr>
    </w:lvl>
    <w:lvl w:ilvl="1">
      <w:start w:val="14"/>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63" w15:restartNumberingAfterBreak="0">
    <w:nsid w:val="4FF525A9"/>
    <w:multiLevelType w:val="hybridMultilevel"/>
    <w:tmpl w:val="3D90091C"/>
    <w:lvl w:ilvl="0" w:tplc="2B0A8516">
      <w:start w:val="70"/>
      <w:numFmt w:val="decimal"/>
      <w:suff w:val="space"/>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0B87809"/>
    <w:multiLevelType w:val="hybridMultilevel"/>
    <w:tmpl w:val="1E5AB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5" w15:restartNumberingAfterBreak="0">
    <w:nsid w:val="51240674"/>
    <w:multiLevelType w:val="multilevel"/>
    <w:tmpl w:val="8304980C"/>
    <w:styleLink w:val="CurrentList1"/>
    <w:lvl w:ilvl="0">
      <w:start w:val="4"/>
      <w:numFmt w:val="decimal"/>
      <w:lvlText w:val="%1"/>
      <w:lvlJc w:val="left"/>
      <w:pPr>
        <w:ind w:left="390" w:hanging="390"/>
      </w:pPr>
      <w:rPr>
        <w:rFonts w:hint="default"/>
      </w:rPr>
    </w:lvl>
    <w:lvl w:ilvl="1">
      <w:start w:val="1"/>
      <w:numFmt w:val="decimal"/>
      <w:lvlText w:val="%1.%2"/>
      <w:lvlJc w:val="left"/>
      <w:pPr>
        <w:ind w:left="720" w:hanging="720"/>
      </w:pPr>
      <w:rPr>
        <w:rFonts w:ascii="Verdana" w:hAnsi="Verdana" w:hint="default"/>
        <w:b w:val="0"/>
        <w:bCs w:val="0"/>
        <w:sz w:val="24"/>
        <w:szCs w:val="24"/>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6" w15:restartNumberingAfterBreak="0">
    <w:nsid w:val="512D6BDD"/>
    <w:multiLevelType w:val="hybridMultilevel"/>
    <w:tmpl w:val="4A5070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53825F3D"/>
    <w:multiLevelType w:val="hybridMultilevel"/>
    <w:tmpl w:val="7FD486BA"/>
    <w:lvl w:ilvl="0" w:tplc="7166CD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54F61BEA"/>
    <w:multiLevelType w:val="multilevel"/>
    <w:tmpl w:val="51AC8E42"/>
    <w:lvl w:ilvl="0">
      <w:start w:val="2"/>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69" w15:restartNumberingAfterBreak="0">
    <w:nsid w:val="558D5AB2"/>
    <w:multiLevelType w:val="hybridMultilevel"/>
    <w:tmpl w:val="A62090A2"/>
    <w:lvl w:ilvl="0" w:tplc="5A14204E">
      <w:start w:val="1"/>
      <w:numFmt w:val="lowerLetter"/>
      <w:lvlText w:val="%1)"/>
      <w:lvlJc w:val="left"/>
      <w:pPr>
        <w:ind w:left="1080" w:hanging="360"/>
      </w:pPr>
      <w:rPr>
        <w:rFonts w:eastAsia="Verdana" w:cs="Verdana"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0" w15:restartNumberingAfterBreak="0">
    <w:nsid w:val="577C681A"/>
    <w:multiLevelType w:val="multilevel"/>
    <w:tmpl w:val="EA9045D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1" w15:restartNumberingAfterBreak="0">
    <w:nsid w:val="578D0483"/>
    <w:multiLevelType w:val="multilevel"/>
    <w:tmpl w:val="BFC45A34"/>
    <w:lvl w:ilvl="0">
      <w:start w:val="19"/>
      <w:numFmt w:val="decimal"/>
      <w:lvlText w:val="%1"/>
      <w:lvlJc w:val="left"/>
      <w:pPr>
        <w:ind w:left="540" w:hanging="540"/>
      </w:pPr>
      <w:rPr>
        <w:rFonts w:hint="default"/>
      </w:rPr>
    </w:lvl>
    <w:lvl w:ilvl="1">
      <w:start w:val="1"/>
      <w:numFmt w:val="decimal"/>
      <w:lvlText w:val="%1.%2"/>
      <w:lvlJc w:val="left"/>
      <w:pPr>
        <w:ind w:left="873" w:hanging="873"/>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2" w15:restartNumberingAfterBreak="0">
    <w:nsid w:val="5B6C00E7"/>
    <w:multiLevelType w:val="multilevel"/>
    <w:tmpl w:val="86248B72"/>
    <w:lvl w:ilvl="0">
      <w:start w:val="22"/>
      <w:numFmt w:val="decimal"/>
      <w:lvlText w:val="%1.0"/>
      <w:lvlJc w:val="left"/>
      <w:pPr>
        <w:ind w:left="818" w:hanging="818"/>
      </w:pPr>
      <w:rPr>
        <w:rFonts w:hint="default"/>
      </w:rPr>
    </w:lvl>
    <w:lvl w:ilvl="1">
      <w:start w:val="1"/>
      <w:numFmt w:val="decimal"/>
      <w:lvlText w:val="%1.%2"/>
      <w:lvlJc w:val="left"/>
      <w:pPr>
        <w:ind w:left="1538" w:hanging="818"/>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3" w15:restartNumberingAfterBreak="0">
    <w:nsid w:val="5C142A9B"/>
    <w:multiLevelType w:val="hybridMultilevel"/>
    <w:tmpl w:val="282CA0B8"/>
    <w:lvl w:ilvl="0" w:tplc="3F74AB68">
      <w:start w:val="1"/>
      <w:numFmt w:val="lowerLetter"/>
      <w:lvlText w:val="%1)"/>
      <w:lvlJc w:val="left"/>
      <w:pPr>
        <w:ind w:left="1211" w:hanging="360"/>
      </w:pPr>
      <w:rPr>
        <w:rFonts w:hint="default"/>
      </w:r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74" w15:restartNumberingAfterBreak="0">
    <w:nsid w:val="5D3A335B"/>
    <w:multiLevelType w:val="hybridMultilevel"/>
    <w:tmpl w:val="1B143F74"/>
    <w:lvl w:ilvl="0" w:tplc="9F1687F4">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5E4F55DB"/>
    <w:multiLevelType w:val="multilevel"/>
    <w:tmpl w:val="03A2C6EC"/>
    <w:lvl w:ilvl="0">
      <w:start w:val="1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6" w15:restartNumberingAfterBreak="0">
    <w:nsid w:val="600E546F"/>
    <w:multiLevelType w:val="hybridMultilevel"/>
    <w:tmpl w:val="CE8EAE72"/>
    <w:lvl w:ilvl="0" w:tplc="2564B15C">
      <w:start w:val="1"/>
      <w:numFmt w:val="decimal"/>
      <w:lvlText w:val="%1."/>
      <w:lvlJc w:val="left"/>
      <w:pPr>
        <w:ind w:left="720" w:hanging="360"/>
      </w:pPr>
      <w:rPr>
        <w:rFonts w:ascii="Verdana" w:hAnsi="Verdana"/>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36159A9"/>
    <w:multiLevelType w:val="multilevel"/>
    <w:tmpl w:val="EB662B9C"/>
    <w:lvl w:ilvl="0">
      <w:start w:val="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78" w15:restartNumberingAfterBreak="0">
    <w:nsid w:val="63783DBA"/>
    <w:multiLevelType w:val="multilevel"/>
    <w:tmpl w:val="05FCE196"/>
    <w:lvl w:ilvl="0">
      <w:start w:val="18"/>
      <w:numFmt w:val="decimal"/>
      <w:lvlText w:val="%1"/>
      <w:lvlJc w:val="left"/>
      <w:pPr>
        <w:ind w:left="540" w:hanging="540"/>
      </w:pPr>
      <w:rPr>
        <w:rFonts w:hint="default"/>
      </w:rPr>
    </w:lvl>
    <w:lvl w:ilvl="1">
      <w:start w:val="7"/>
      <w:numFmt w:val="decimal"/>
      <w:lvlText w:val="%1.%2"/>
      <w:lvlJc w:val="left"/>
      <w:pPr>
        <w:ind w:left="873" w:hanging="873"/>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9" w15:restartNumberingAfterBreak="0">
    <w:nsid w:val="65F83600"/>
    <w:multiLevelType w:val="hybridMultilevel"/>
    <w:tmpl w:val="B8E4B96A"/>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0" w15:restartNumberingAfterBreak="0">
    <w:nsid w:val="6680014A"/>
    <w:multiLevelType w:val="multilevel"/>
    <w:tmpl w:val="9C7492B4"/>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1" w15:restartNumberingAfterBreak="0">
    <w:nsid w:val="66AB0510"/>
    <w:multiLevelType w:val="hybridMultilevel"/>
    <w:tmpl w:val="438A7BEA"/>
    <w:lvl w:ilvl="0" w:tplc="60424DA6">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6F939A4"/>
    <w:multiLevelType w:val="hybridMultilevel"/>
    <w:tmpl w:val="29E45956"/>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83" w15:restartNumberingAfterBreak="0">
    <w:nsid w:val="68EF6730"/>
    <w:multiLevelType w:val="hybridMultilevel"/>
    <w:tmpl w:val="4E30E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4" w15:restartNumberingAfterBreak="0">
    <w:nsid w:val="6B2237EA"/>
    <w:multiLevelType w:val="multilevel"/>
    <w:tmpl w:val="9C7492B4"/>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85" w15:restartNumberingAfterBreak="0">
    <w:nsid w:val="6CBE14FC"/>
    <w:multiLevelType w:val="multilevel"/>
    <w:tmpl w:val="5CA22684"/>
    <w:lvl w:ilvl="0">
      <w:start w:val="5"/>
      <w:numFmt w:val="decimal"/>
      <w:lvlText w:val="%1"/>
      <w:lvlJc w:val="left"/>
      <w:pPr>
        <w:ind w:left="390" w:hanging="390"/>
      </w:pPr>
      <w:rPr>
        <w:rFonts w:cstheme="minorBidi" w:hint="default"/>
      </w:rPr>
    </w:lvl>
    <w:lvl w:ilvl="1">
      <w:start w:val="1"/>
      <w:numFmt w:val="decimal"/>
      <w:lvlText w:val="%1.%2"/>
      <w:lvlJc w:val="left"/>
      <w:pPr>
        <w:ind w:left="709" w:hanging="720"/>
      </w:pPr>
      <w:rPr>
        <w:rFonts w:cstheme="minorBidi" w:hint="default"/>
      </w:rPr>
    </w:lvl>
    <w:lvl w:ilvl="2">
      <w:start w:val="1"/>
      <w:numFmt w:val="decimal"/>
      <w:lvlText w:val="%1.%2.%3"/>
      <w:lvlJc w:val="left"/>
      <w:pPr>
        <w:ind w:left="1058" w:hanging="1080"/>
      </w:pPr>
      <w:rPr>
        <w:rFonts w:cstheme="minorBidi" w:hint="default"/>
      </w:rPr>
    </w:lvl>
    <w:lvl w:ilvl="3">
      <w:start w:val="1"/>
      <w:numFmt w:val="decimal"/>
      <w:lvlText w:val="%1.%2.%3.%4"/>
      <w:lvlJc w:val="left"/>
      <w:pPr>
        <w:ind w:left="1047" w:hanging="1080"/>
      </w:pPr>
      <w:rPr>
        <w:rFonts w:cstheme="minorBidi" w:hint="default"/>
      </w:rPr>
    </w:lvl>
    <w:lvl w:ilvl="4">
      <w:start w:val="1"/>
      <w:numFmt w:val="decimal"/>
      <w:lvlText w:val="%1.%2.%3.%4.%5"/>
      <w:lvlJc w:val="left"/>
      <w:pPr>
        <w:ind w:left="1396" w:hanging="1440"/>
      </w:pPr>
      <w:rPr>
        <w:rFonts w:cstheme="minorBidi" w:hint="default"/>
      </w:rPr>
    </w:lvl>
    <w:lvl w:ilvl="5">
      <w:start w:val="1"/>
      <w:numFmt w:val="decimal"/>
      <w:lvlText w:val="%1.%2.%3.%4.%5.%6"/>
      <w:lvlJc w:val="left"/>
      <w:pPr>
        <w:ind w:left="1745" w:hanging="1800"/>
      </w:pPr>
      <w:rPr>
        <w:rFonts w:cstheme="minorBidi" w:hint="default"/>
      </w:rPr>
    </w:lvl>
    <w:lvl w:ilvl="6">
      <w:start w:val="1"/>
      <w:numFmt w:val="decimal"/>
      <w:lvlText w:val="%1.%2.%3.%4.%5.%6.%7"/>
      <w:lvlJc w:val="left"/>
      <w:pPr>
        <w:ind w:left="2094" w:hanging="2160"/>
      </w:pPr>
      <w:rPr>
        <w:rFonts w:cstheme="minorBidi" w:hint="default"/>
      </w:rPr>
    </w:lvl>
    <w:lvl w:ilvl="7">
      <w:start w:val="1"/>
      <w:numFmt w:val="decimal"/>
      <w:lvlText w:val="%1.%2.%3.%4.%5.%6.%7.%8"/>
      <w:lvlJc w:val="left"/>
      <w:pPr>
        <w:ind w:left="2443" w:hanging="2520"/>
      </w:pPr>
      <w:rPr>
        <w:rFonts w:cstheme="minorBidi" w:hint="default"/>
      </w:rPr>
    </w:lvl>
    <w:lvl w:ilvl="8">
      <w:start w:val="1"/>
      <w:numFmt w:val="decimal"/>
      <w:lvlText w:val="%1.%2.%3.%4.%5.%6.%7.%8.%9"/>
      <w:lvlJc w:val="left"/>
      <w:pPr>
        <w:ind w:left="2432" w:hanging="2520"/>
      </w:pPr>
      <w:rPr>
        <w:rFonts w:cstheme="minorBidi" w:hint="default"/>
      </w:rPr>
    </w:lvl>
  </w:abstractNum>
  <w:abstractNum w:abstractNumId="86" w15:restartNumberingAfterBreak="0">
    <w:nsid w:val="6CDD30BF"/>
    <w:multiLevelType w:val="multilevel"/>
    <w:tmpl w:val="2012C46E"/>
    <w:lvl w:ilvl="0">
      <w:start w:val="20"/>
      <w:numFmt w:val="decimal"/>
      <w:lvlText w:val="%1.0"/>
      <w:lvlJc w:val="left"/>
      <w:pPr>
        <w:ind w:left="818" w:hanging="818"/>
      </w:pPr>
      <w:rPr>
        <w:rFonts w:hint="default"/>
      </w:rPr>
    </w:lvl>
    <w:lvl w:ilvl="1">
      <w:start w:val="1"/>
      <w:numFmt w:val="decimal"/>
      <w:lvlText w:val="%1.%2"/>
      <w:lvlJc w:val="left"/>
      <w:pPr>
        <w:ind w:left="873" w:hanging="873"/>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87" w15:restartNumberingAfterBreak="0">
    <w:nsid w:val="6F637B1E"/>
    <w:multiLevelType w:val="hybridMultilevel"/>
    <w:tmpl w:val="19F646A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6FFD0089"/>
    <w:multiLevelType w:val="hybridMultilevel"/>
    <w:tmpl w:val="669E4E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9" w15:restartNumberingAfterBreak="0">
    <w:nsid w:val="73A96302"/>
    <w:multiLevelType w:val="multilevel"/>
    <w:tmpl w:val="249CDD6A"/>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0" w15:restartNumberingAfterBreak="0">
    <w:nsid w:val="7545333D"/>
    <w:multiLevelType w:val="multilevel"/>
    <w:tmpl w:val="E7A2BC32"/>
    <w:lvl w:ilvl="0">
      <w:start w:val="9"/>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560" w:hanging="2520"/>
      </w:pPr>
    </w:lvl>
    <w:lvl w:ilvl="8">
      <w:start w:val="1"/>
      <w:numFmt w:val="decimal"/>
      <w:lvlText w:val="%1.%2.%3.%4.%5.%6.%7.%8.%9"/>
      <w:lvlJc w:val="left"/>
      <w:pPr>
        <w:ind w:left="8280" w:hanging="2520"/>
      </w:pPr>
    </w:lvl>
  </w:abstractNum>
  <w:abstractNum w:abstractNumId="91" w15:restartNumberingAfterBreak="0">
    <w:nsid w:val="756E498D"/>
    <w:multiLevelType w:val="multilevel"/>
    <w:tmpl w:val="B21A2CC2"/>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2" w15:restartNumberingAfterBreak="0">
    <w:nsid w:val="76F57888"/>
    <w:multiLevelType w:val="hybridMultilevel"/>
    <w:tmpl w:val="52FE7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3" w15:restartNumberingAfterBreak="0">
    <w:nsid w:val="7C8A1487"/>
    <w:multiLevelType w:val="multilevel"/>
    <w:tmpl w:val="804C5F98"/>
    <w:lvl w:ilvl="0">
      <w:start w:val="4"/>
      <w:numFmt w:val="decimal"/>
      <w:lvlText w:val="%1"/>
      <w:lvlJc w:val="left"/>
      <w:pPr>
        <w:ind w:left="540" w:hanging="540"/>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4" w15:restartNumberingAfterBreak="0">
    <w:nsid w:val="7D0171FC"/>
    <w:multiLevelType w:val="multilevel"/>
    <w:tmpl w:val="323C8494"/>
    <w:lvl w:ilvl="0">
      <w:start w:val="17"/>
      <w:numFmt w:val="decimal"/>
      <w:lvlText w:val="%1"/>
      <w:lvlJc w:val="left"/>
      <w:pPr>
        <w:ind w:left="540" w:hanging="54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520" w:hanging="2520"/>
      </w:pPr>
      <w:rPr>
        <w:rFonts w:hint="default"/>
        <w:color w:val="000000"/>
      </w:rPr>
    </w:lvl>
  </w:abstractNum>
  <w:abstractNum w:abstractNumId="95" w15:restartNumberingAfterBreak="0">
    <w:nsid w:val="7E3049A2"/>
    <w:multiLevelType w:val="hybridMultilevel"/>
    <w:tmpl w:val="A4B2A9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7E5E299F"/>
    <w:multiLevelType w:val="hybridMultilevel"/>
    <w:tmpl w:val="0F36EAC6"/>
    <w:lvl w:ilvl="0" w:tplc="4C9EA41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7" w15:restartNumberingAfterBreak="0">
    <w:nsid w:val="7EA83B90"/>
    <w:multiLevelType w:val="multilevel"/>
    <w:tmpl w:val="6BB8E4BC"/>
    <w:lvl w:ilvl="0">
      <w:start w:val="18"/>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8" w15:restartNumberingAfterBreak="0">
    <w:nsid w:val="7EEE4B9B"/>
    <w:multiLevelType w:val="multilevel"/>
    <w:tmpl w:val="848A3B4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9" w15:restartNumberingAfterBreak="0">
    <w:nsid w:val="7EEF622D"/>
    <w:multiLevelType w:val="multilevel"/>
    <w:tmpl w:val="6AAA856C"/>
    <w:lvl w:ilvl="0">
      <w:start w:val="1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0" w15:restartNumberingAfterBreak="0">
    <w:nsid w:val="7F0F3F3A"/>
    <w:multiLevelType w:val="hybridMultilevel"/>
    <w:tmpl w:val="97B47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1" w15:restartNumberingAfterBreak="0">
    <w:nsid w:val="7FA368A3"/>
    <w:multiLevelType w:val="multilevel"/>
    <w:tmpl w:val="22D0F0FE"/>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02" w15:restartNumberingAfterBreak="0">
    <w:nsid w:val="7FF121DE"/>
    <w:multiLevelType w:val="multilevel"/>
    <w:tmpl w:val="E0D0367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num w:numId="1" w16cid:durableId="1203590858">
    <w:abstractNumId w:val="44"/>
  </w:num>
  <w:num w:numId="2" w16cid:durableId="583992539">
    <w:abstractNumId w:val="98"/>
  </w:num>
  <w:num w:numId="3" w16cid:durableId="965433191">
    <w:abstractNumId w:val="93"/>
  </w:num>
  <w:num w:numId="4" w16cid:durableId="309480829">
    <w:abstractNumId w:val="10"/>
  </w:num>
  <w:num w:numId="5" w16cid:durableId="1559778829">
    <w:abstractNumId w:val="15"/>
  </w:num>
  <w:num w:numId="6" w16cid:durableId="269317316">
    <w:abstractNumId w:val="12"/>
  </w:num>
  <w:num w:numId="7" w16cid:durableId="1867133813">
    <w:abstractNumId w:val="71"/>
  </w:num>
  <w:num w:numId="8" w16cid:durableId="1265727174">
    <w:abstractNumId w:val="31"/>
  </w:num>
  <w:num w:numId="9" w16cid:durableId="898783960">
    <w:abstractNumId w:val="4"/>
  </w:num>
  <w:num w:numId="10" w16cid:durableId="784155984">
    <w:abstractNumId w:val="43"/>
  </w:num>
  <w:num w:numId="11" w16cid:durableId="1810201184">
    <w:abstractNumId w:val="37"/>
  </w:num>
  <w:num w:numId="12" w16cid:durableId="25060283">
    <w:abstractNumId w:val="77"/>
  </w:num>
  <w:num w:numId="13" w16cid:durableId="465271857">
    <w:abstractNumId w:val="11"/>
  </w:num>
  <w:num w:numId="14" w16cid:durableId="2100834792">
    <w:abstractNumId w:val="28"/>
  </w:num>
  <w:num w:numId="15" w16cid:durableId="896864292">
    <w:abstractNumId w:val="25"/>
  </w:num>
  <w:num w:numId="16" w16cid:durableId="1029917126">
    <w:abstractNumId w:val="82"/>
  </w:num>
  <w:num w:numId="17" w16cid:durableId="956178911">
    <w:abstractNumId w:val="22"/>
  </w:num>
  <w:num w:numId="18" w16cid:durableId="803891200">
    <w:abstractNumId w:val="58"/>
  </w:num>
  <w:num w:numId="19" w16cid:durableId="623653868">
    <w:abstractNumId w:val="79"/>
  </w:num>
  <w:num w:numId="20" w16cid:durableId="437140858">
    <w:abstractNumId w:val="42"/>
  </w:num>
  <w:num w:numId="21" w16cid:durableId="1678538082">
    <w:abstractNumId w:val="59"/>
  </w:num>
  <w:num w:numId="22" w16cid:durableId="440342845">
    <w:abstractNumId w:val="5"/>
  </w:num>
  <w:num w:numId="23" w16cid:durableId="176164753">
    <w:abstractNumId w:val="55"/>
  </w:num>
  <w:num w:numId="24" w16cid:durableId="1993945883">
    <w:abstractNumId w:val="61"/>
  </w:num>
  <w:num w:numId="25" w16cid:durableId="1495225401">
    <w:abstractNumId w:val="1"/>
  </w:num>
  <w:num w:numId="26" w16cid:durableId="264578647">
    <w:abstractNumId w:val="9"/>
  </w:num>
  <w:num w:numId="27" w16cid:durableId="1674529383">
    <w:abstractNumId w:val="40"/>
  </w:num>
  <w:num w:numId="28" w16cid:durableId="460390621">
    <w:abstractNumId w:val="9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24398011">
    <w:abstractNumId w:val="60"/>
  </w:num>
  <w:num w:numId="30" w16cid:durableId="489760589">
    <w:abstractNumId w:val="73"/>
  </w:num>
  <w:num w:numId="31" w16cid:durableId="1608852868">
    <w:abstractNumId w:val="97"/>
  </w:num>
  <w:num w:numId="32" w16cid:durableId="6716488">
    <w:abstractNumId w:val="89"/>
  </w:num>
  <w:num w:numId="33" w16cid:durableId="1906525779">
    <w:abstractNumId w:val="0"/>
  </w:num>
  <w:num w:numId="34" w16cid:durableId="962615588">
    <w:abstractNumId w:val="54"/>
  </w:num>
  <w:num w:numId="35" w16cid:durableId="270817106">
    <w:abstractNumId w:val="45"/>
  </w:num>
  <w:num w:numId="36" w16cid:durableId="1420979859">
    <w:abstractNumId w:val="24"/>
  </w:num>
  <w:num w:numId="37" w16cid:durableId="344675801">
    <w:abstractNumId w:val="52"/>
  </w:num>
  <w:num w:numId="38" w16cid:durableId="1357123303">
    <w:abstractNumId w:val="3"/>
  </w:num>
  <w:num w:numId="39" w16cid:durableId="1556502163">
    <w:abstractNumId w:val="64"/>
  </w:num>
  <w:num w:numId="40" w16cid:durableId="344134061">
    <w:abstractNumId w:val="41"/>
  </w:num>
  <w:num w:numId="41" w16cid:durableId="237440407">
    <w:abstractNumId w:val="27"/>
  </w:num>
  <w:num w:numId="42" w16cid:durableId="143935907">
    <w:abstractNumId w:val="7"/>
  </w:num>
  <w:num w:numId="43" w16cid:durableId="1181550447">
    <w:abstractNumId w:val="2"/>
  </w:num>
  <w:num w:numId="44" w16cid:durableId="1220634168">
    <w:abstractNumId w:val="63"/>
  </w:num>
  <w:num w:numId="45" w16cid:durableId="1996765515">
    <w:abstractNumId w:val="56"/>
  </w:num>
  <w:num w:numId="46" w16cid:durableId="264923441">
    <w:abstractNumId w:val="29"/>
  </w:num>
  <w:num w:numId="47" w16cid:durableId="714742328">
    <w:abstractNumId w:val="83"/>
  </w:num>
  <w:num w:numId="48" w16cid:durableId="48192585">
    <w:abstractNumId w:val="46"/>
  </w:num>
  <w:num w:numId="49" w16cid:durableId="1860000269">
    <w:abstractNumId w:val="92"/>
  </w:num>
  <w:num w:numId="50" w16cid:durableId="1414087905">
    <w:abstractNumId w:val="36"/>
  </w:num>
  <w:num w:numId="51" w16cid:durableId="970357357">
    <w:abstractNumId w:val="66"/>
  </w:num>
  <w:num w:numId="52" w16cid:durableId="2015917054">
    <w:abstractNumId w:val="95"/>
  </w:num>
  <w:num w:numId="53" w16cid:durableId="283778385">
    <w:abstractNumId w:val="100"/>
  </w:num>
  <w:num w:numId="54" w16cid:durableId="237981852">
    <w:abstractNumId w:val="19"/>
  </w:num>
  <w:num w:numId="55" w16cid:durableId="1550603289">
    <w:abstractNumId w:val="88"/>
  </w:num>
  <w:num w:numId="56" w16cid:durableId="1591429554">
    <w:abstractNumId w:val="67"/>
  </w:num>
  <w:num w:numId="57" w16cid:durableId="1021512451">
    <w:abstractNumId w:val="39"/>
  </w:num>
  <w:num w:numId="58" w16cid:durableId="608204188">
    <w:abstractNumId w:val="70"/>
  </w:num>
  <w:num w:numId="59" w16cid:durableId="1092817834">
    <w:abstractNumId w:val="57"/>
  </w:num>
  <w:num w:numId="60" w16cid:durableId="1312178360">
    <w:abstractNumId w:val="81"/>
  </w:num>
  <w:num w:numId="61" w16cid:durableId="570458070">
    <w:abstractNumId w:val="21"/>
  </w:num>
  <w:num w:numId="62" w16cid:durableId="712924525">
    <w:abstractNumId w:val="78"/>
  </w:num>
  <w:num w:numId="63" w16cid:durableId="25061117">
    <w:abstractNumId w:val="99"/>
  </w:num>
  <w:num w:numId="64" w16cid:durableId="1530021664">
    <w:abstractNumId w:val="74"/>
  </w:num>
  <w:num w:numId="65" w16cid:durableId="781148859">
    <w:abstractNumId w:val="51"/>
  </w:num>
  <w:num w:numId="66" w16cid:durableId="574050979">
    <w:abstractNumId w:val="86"/>
  </w:num>
  <w:num w:numId="67" w16cid:durableId="1604269051">
    <w:abstractNumId w:val="16"/>
  </w:num>
  <w:num w:numId="68" w16cid:durableId="555049560">
    <w:abstractNumId w:val="6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144153688">
    <w:abstractNumId w:val="32"/>
  </w:num>
  <w:num w:numId="70" w16cid:durableId="1954364536">
    <w:abstractNumId w:val="62"/>
  </w:num>
  <w:num w:numId="71" w16cid:durableId="2082751968">
    <w:abstractNumId w:val="87"/>
  </w:num>
  <w:num w:numId="72" w16cid:durableId="6180605">
    <w:abstractNumId w:val="48"/>
  </w:num>
  <w:num w:numId="73" w16cid:durableId="147478905">
    <w:abstractNumId w:val="34"/>
  </w:num>
  <w:num w:numId="74" w16cid:durableId="415369509">
    <w:abstractNumId w:val="14"/>
  </w:num>
  <w:num w:numId="75" w16cid:durableId="617874766">
    <w:abstractNumId w:val="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045526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183208675">
    <w:abstractNumId w:val="47"/>
  </w:num>
  <w:num w:numId="78" w16cid:durableId="1944650842">
    <w:abstractNumId w:val="23"/>
  </w:num>
  <w:num w:numId="79" w16cid:durableId="309871980">
    <w:abstractNumId w:val="102"/>
  </w:num>
  <w:num w:numId="80" w16cid:durableId="1954167594">
    <w:abstractNumId w:val="69"/>
  </w:num>
  <w:num w:numId="81" w16cid:durableId="1847086904">
    <w:abstractNumId w:val="75"/>
  </w:num>
  <w:num w:numId="82" w16cid:durableId="1433479856">
    <w:abstractNumId w:val="76"/>
  </w:num>
  <w:num w:numId="83" w16cid:durableId="228619814">
    <w:abstractNumId w:val="13"/>
  </w:num>
  <w:num w:numId="84" w16cid:durableId="353918741">
    <w:abstractNumId w:val="20"/>
  </w:num>
  <w:num w:numId="85" w16cid:durableId="1859156216">
    <w:abstractNumId w:val="101"/>
  </w:num>
  <w:num w:numId="86" w16cid:durableId="1402679421">
    <w:abstractNumId w:val="91"/>
  </w:num>
  <w:num w:numId="87" w16cid:durableId="1132406315">
    <w:abstractNumId w:val="26"/>
  </w:num>
  <w:num w:numId="88" w16cid:durableId="166134869">
    <w:abstractNumId w:val="50"/>
  </w:num>
  <w:num w:numId="89" w16cid:durableId="1628970038">
    <w:abstractNumId w:val="17"/>
  </w:num>
  <w:num w:numId="90" w16cid:durableId="1401556192">
    <w:abstractNumId w:val="38"/>
  </w:num>
  <w:num w:numId="91" w16cid:durableId="1333020775">
    <w:abstractNumId w:val="18"/>
  </w:num>
  <w:num w:numId="92" w16cid:durableId="301737108">
    <w:abstractNumId w:val="94"/>
  </w:num>
  <w:num w:numId="93" w16cid:durableId="1314024450">
    <w:abstractNumId w:val="53"/>
  </w:num>
  <w:num w:numId="94" w16cid:durableId="778070053">
    <w:abstractNumId w:val="84"/>
  </w:num>
  <w:num w:numId="95" w16cid:durableId="1501579562">
    <w:abstractNumId w:val="80"/>
  </w:num>
  <w:num w:numId="96" w16cid:durableId="2036884417">
    <w:abstractNumId w:val="72"/>
  </w:num>
  <w:num w:numId="97" w16cid:durableId="40327761">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958750856">
    <w:abstractNumId w:val="96"/>
  </w:num>
  <w:num w:numId="99" w16cid:durableId="1413239841">
    <w:abstractNumId w:val="6"/>
  </w:num>
  <w:num w:numId="100" w16cid:durableId="123472316">
    <w:abstractNumId w:val="85"/>
  </w:num>
  <w:num w:numId="101" w16cid:durableId="1751611478">
    <w:abstractNumId w:val="65"/>
  </w:num>
  <w:num w:numId="102" w16cid:durableId="1391920811">
    <w:abstractNumId w:val="49"/>
  </w:num>
  <w:num w:numId="103" w16cid:durableId="452747754">
    <w:abstractNumId w:val="3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B3"/>
    <w:rsid w:val="000003EF"/>
    <w:rsid w:val="00000B56"/>
    <w:rsid w:val="00000F9D"/>
    <w:rsid w:val="00001006"/>
    <w:rsid w:val="000012B0"/>
    <w:rsid w:val="00001A4D"/>
    <w:rsid w:val="00001CBB"/>
    <w:rsid w:val="000022BC"/>
    <w:rsid w:val="00002B9B"/>
    <w:rsid w:val="00002C67"/>
    <w:rsid w:val="00003620"/>
    <w:rsid w:val="00003A06"/>
    <w:rsid w:val="00003A13"/>
    <w:rsid w:val="00003BD6"/>
    <w:rsid w:val="00003DB9"/>
    <w:rsid w:val="00003E28"/>
    <w:rsid w:val="00003EA6"/>
    <w:rsid w:val="00003EC4"/>
    <w:rsid w:val="0000402E"/>
    <w:rsid w:val="000042BC"/>
    <w:rsid w:val="00004487"/>
    <w:rsid w:val="00004B6B"/>
    <w:rsid w:val="000051DF"/>
    <w:rsid w:val="000056F1"/>
    <w:rsid w:val="00005E1B"/>
    <w:rsid w:val="00005E2B"/>
    <w:rsid w:val="00006784"/>
    <w:rsid w:val="00006A02"/>
    <w:rsid w:val="00006CFF"/>
    <w:rsid w:val="00007444"/>
    <w:rsid w:val="000074DC"/>
    <w:rsid w:val="00007767"/>
    <w:rsid w:val="000105B5"/>
    <w:rsid w:val="000105D7"/>
    <w:rsid w:val="00010616"/>
    <w:rsid w:val="00010770"/>
    <w:rsid w:val="00010888"/>
    <w:rsid w:val="00011E03"/>
    <w:rsid w:val="00012402"/>
    <w:rsid w:val="00012851"/>
    <w:rsid w:val="00012FF2"/>
    <w:rsid w:val="00013774"/>
    <w:rsid w:val="0001380D"/>
    <w:rsid w:val="00013E8A"/>
    <w:rsid w:val="00014910"/>
    <w:rsid w:val="00014A5C"/>
    <w:rsid w:val="00015300"/>
    <w:rsid w:val="0001551F"/>
    <w:rsid w:val="000155E6"/>
    <w:rsid w:val="00015636"/>
    <w:rsid w:val="00015DE0"/>
    <w:rsid w:val="00016473"/>
    <w:rsid w:val="0001660F"/>
    <w:rsid w:val="000167A5"/>
    <w:rsid w:val="00016963"/>
    <w:rsid w:val="00016D14"/>
    <w:rsid w:val="000170AD"/>
    <w:rsid w:val="00017D7D"/>
    <w:rsid w:val="00020427"/>
    <w:rsid w:val="00020A04"/>
    <w:rsid w:val="0002104D"/>
    <w:rsid w:val="00021251"/>
    <w:rsid w:val="00021D44"/>
    <w:rsid w:val="00021E50"/>
    <w:rsid w:val="00022334"/>
    <w:rsid w:val="000226CC"/>
    <w:rsid w:val="00023092"/>
    <w:rsid w:val="00023497"/>
    <w:rsid w:val="000235CD"/>
    <w:rsid w:val="00023EB2"/>
    <w:rsid w:val="00024174"/>
    <w:rsid w:val="00024AE3"/>
    <w:rsid w:val="00025757"/>
    <w:rsid w:val="00025D1C"/>
    <w:rsid w:val="00026601"/>
    <w:rsid w:val="00026789"/>
    <w:rsid w:val="000268B7"/>
    <w:rsid w:val="00027AC4"/>
    <w:rsid w:val="00030CD8"/>
    <w:rsid w:val="00030D33"/>
    <w:rsid w:val="0003109B"/>
    <w:rsid w:val="00032FBE"/>
    <w:rsid w:val="00033586"/>
    <w:rsid w:val="000336C0"/>
    <w:rsid w:val="00033A7F"/>
    <w:rsid w:val="00033C9F"/>
    <w:rsid w:val="00033DA2"/>
    <w:rsid w:val="0003434B"/>
    <w:rsid w:val="00035522"/>
    <w:rsid w:val="00035B86"/>
    <w:rsid w:val="00036284"/>
    <w:rsid w:val="000366E8"/>
    <w:rsid w:val="00036798"/>
    <w:rsid w:val="000370FC"/>
    <w:rsid w:val="00037115"/>
    <w:rsid w:val="000371D6"/>
    <w:rsid w:val="000372E8"/>
    <w:rsid w:val="000373C8"/>
    <w:rsid w:val="000407F5"/>
    <w:rsid w:val="000410A8"/>
    <w:rsid w:val="00041525"/>
    <w:rsid w:val="00041B3E"/>
    <w:rsid w:val="000429A1"/>
    <w:rsid w:val="0004378B"/>
    <w:rsid w:val="00043C4C"/>
    <w:rsid w:val="00043F97"/>
    <w:rsid w:val="000446AD"/>
    <w:rsid w:val="00044AF1"/>
    <w:rsid w:val="00044DC7"/>
    <w:rsid w:val="0004591A"/>
    <w:rsid w:val="00045DF7"/>
    <w:rsid w:val="0004606E"/>
    <w:rsid w:val="00046346"/>
    <w:rsid w:val="00046B2A"/>
    <w:rsid w:val="00047102"/>
    <w:rsid w:val="0004793E"/>
    <w:rsid w:val="00047B48"/>
    <w:rsid w:val="00050260"/>
    <w:rsid w:val="0005076B"/>
    <w:rsid w:val="0005080E"/>
    <w:rsid w:val="00050BC9"/>
    <w:rsid w:val="00050EB9"/>
    <w:rsid w:val="000514F5"/>
    <w:rsid w:val="000517C3"/>
    <w:rsid w:val="00051D6F"/>
    <w:rsid w:val="00051FC2"/>
    <w:rsid w:val="0005241B"/>
    <w:rsid w:val="00052A41"/>
    <w:rsid w:val="00053B4C"/>
    <w:rsid w:val="00053C41"/>
    <w:rsid w:val="00053D2C"/>
    <w:rsid w:val="00053F67"/>
    <w:rsid w:val="00054344"/>
    <w:rsid w:val="000556FE"/>
    <w:rsid w:val="000558DB"/>
    <w:rsid w:val="000559FA"/>
    <w:rsid w:val="00055EC4"/>
    <w:rsid w:val="00055EF2"/>
    <w:rsid w:val="000561A8"/>
    <w:rsid w:val="000564F9"/>
    <w:rsid w:val="0005697C"/>
    <w:rsid w:val="0005734A"/>
    <w:rsid w:val="00057ADB"/>
    <w:rsid w:val="00060106"/>
    <w:rsid w:val="0006066A"/>
    <w:rsid w:val="000606BB"/>
    <w:rsid w:val="00060BD2"/>
    <w:rsid w:val="00061724"/>
    <w:rsid w:val="00061AC6"/>
    <w:rsid w:val="00061CD4"/>
    <w:rsid w:val="00061D09"/>
    <w:rsid w:val="000623C0"/>
    <w:rsid w:val="0006298E"/>
    <w:rsid w:val="00062A89"/>
    <w:rsid w:val="00062E9F"/>
    <w:rsid w:val="000630FE"/>
    <w:rsid w:val="00063D8A"/>
    <w:rsid w:val="00063F48"/>
    <w:rsid w:val="00063F7F"/>
    <w:rsid w:val="00064181"/>
    <w:rsid w:val="000646B1"/>
    <w:rsid w:val="00064ACC"/>
    <w:rsid w:val="00064FF1"/>
    <w:rsid w:val="00065234"/>
    <w:rsid w:val="00065BA6"/>
    <w:rsid w:val="00065DB6"/>
    <w:rsid w:val="00066193"/>
    <w:rsid w:val="0006632B"/>
    <w:rsid w:val="000663D8"/>
    <w:rsid w:val="00066A6B"/>
    <w:rsid w:val="00066AFA"/>
    <w:rsid w:val="00066D73"/>
    <w:rsid w:val="000673A3"/>
    <w:rsid w:val="00067B9A"/>
    <w:rsid w:val="0007021B"/>
    <w:rsid w:val="0007021F"/>
    <w:rsid w:val="00070516"/>
    <w:rsid w:val="00070778"/>
    <w:rsid w:val="00070954"/>
    <w:rsid w:val="00071526"/>
    <w:rsid w:val="000715D9"/>
    <w:rsid w:val="0007165C"/>
    <w:rsid w:val="000723BC"/>
    <w:rsid w:val="000724BD"/>
    <w:rsid w:val="000729FB"/>
    <w:rsid w:val="00072D4D"/>
    <w:rsid w:val="0007303E"/>
    <w:rsid w:val="00073184"/>
    <w:rsid w:val="00073A6A"/>
    <w:rsid w:val="000743CE"/>
    <w:rsid w:val="000745D7"/>
    <w:rsid w:val="00074895"/>
    <w:rsid w:val="00074C42"/>
    <w:rsid w:val="000756B7"/>
    <w:rsid w:val="00075F30"/>
    <w:rsid w:val="000761C1"/>
    <w:rsid w:val="000763FE"/>
    <w:rsid w:val="00076D8C"/>
    <w:rsid w:val="00076EB4"/>
    <w:rsid w:val="00076F65"/>
    <w:rsid w:val="00077313"/>
    <w:rsid w:val="000773F0"/>
    <w:rsid w:val="000774AA"/>
    <w:rsid w:val="00077ABE"/>
    <w:rsid w:val="00080137"/>
    <w:rsid w:val="00080365"/>
    <w:rsid w:val="000804AB"/>
    <w:rsid w:val="00080569"/>
    <w:rsid w:val="00080684"/>
    <w:rsid w:val="00080B8F"/>
    <w:rsid w:val="000818EE"/>
    <w:rsid w:val="00081A7B"/>
    <w:rsid w:val="0008240A"/>
    <w:rsid w:val="00082C07"/>
    <w:rsid w:val="0008356C"/>
    <w:rsid w:val="00083870"/>
    <w:rsid w:val="00083C47"/>
    <w:rsid w:val="00083CAD"/>
    <w:rsid w:val="00083E16"/>
    <w:rsid w:val="00084502"/>
    <w:rsid w:val="00084781"/>
    <w:rsid w:val="00084FD1"/>
    <w:rsid w:val="00085636"/>
    <w:rsid w:val="0008566D"/>
    <w:rsid w:val="00085E87"/>
    <w:rsid w:val="00085FF2"/>
    <w:rsid w:val="00086233"/>
    <w:rsid w:val="00086808"/>
    <w:rsid w:val="00086BD2"/>
    <w:rsid w:val="00086F17"/>
    <w:rsid w:val="00087C2B"/>
    <w:rsid w:val="00090076"/>
    <w:rsid w:val="00090318"/>
    <w:rsid w:val="00090693"/>
    <w:rsid w:val="000906F9"/>
    <w:rsid w:val="00090957"/>
    <w:rsid w:val="00090968"/>
    <w:rsid w:val="00090ABC"/>
    <w:rsid w:val="00090C34"/>
    <w:rsid w:val="00090E18"/>
    <w:rsid w:val="0009170A"/>
    <w:rsid w:val="000918D4"/>
    <w:rsid w:val="00092485"/>
    <w:rsid w:val="000924AE"/>
    <w:rsid w:val="000924D7"/>
    <w:rsid w:val="00092633"/>
    <w:rsid w:val="00092C67"/>
    <w:rsid w:val="00092F89"/>
    <w:rsid w:val="00093340"/>
    <w:rsid w:val="000936DA"/>
    <w:rsid w:val="00093750"/>
    <w:rsid w:val="0009383E"/>
    <w:rsid w:val="000946F4"/>
    <w:rsid w:val="00094ACF"/>
    <w:rsid w:val="00095229"/>
    <w:rsid w:val="00095315"/>
    <w:rsid w:val="000955E6"/>
    <w:rsid w:val="00095BA9"/>
    <w:rsid w:val="000963A8"/>
    <w:rsid w:val="000968D4"/>
    <w:rsid w:val="00096C19"/>
    <w:rsid w:val="00096DED"/>
    <w:rsid w:val="000970CE"/>
    <w:rsid w:val="000975A0"/>
    <w:rsid w:val="000979BA"/>
    <w:rsid w:val="00097C30"/>
    <w:rsid w:val="000A0260"/>
    <w:rsid w:val="000A0723"/>
    <w:rsid w:val="000A0AE9"/>
    <w:rsid w:val="000A0EC0"/>
    <w:rsid w:val="000A10EA"/>
    <w:rsid w:val="000A1291"/>
    <w:rsid w:val="000A1AC0"/>
    <w:rsid w:val="000A2E35"/>
    <w:rsid w:val="000A329A"/>
    <w:rsid w:val="000A34B0"/>
    <w:rsid w:val="000A3878"/>
    <w:rsid w:val="000A40D6"/>
    <w:rsid w:val="000A424A"/>
    <w:rsid w:val="000A4849"/>
    <w:rsid w:val="000A4CB0"/>
    <w:rsid w:val="000A514A"/>
    <w:rsid w:val="000A5747"/>
    <w:rsid w:val="000A5AF6"/>
    <w:rsid w:val="000A5D76"/>
    <w:rsid w:val="000A5E60"/>
    <w:rsid w:val="000A6F17"/>
    <w:rsid w:val="000A725D"/>
    <w:rsid w:val="000A7AD7"/>
    <w:rsid w:val="000A7D1E"/>
    <w:rsid w:val="000B008E"/>
    <w:rsid w:val="000B06EE"/>
    <w:rsid w:val="000B12AD"/>
    <w:rsid w:val="000B2075"/>
    <w:rsid w:val="000B273F"/>
    <w:rsid w:val="000B2937"/>
    <w:rsid w:val="000B29B5"/>
    <w:rsid w:val="000B2A56"/>
    <w:rsid w:val="000B316C"/>
    <w:rsid w:val="000B375E"/>
    <w:rsid w:val="000B394E"/>
    <w:rsid w:val="000B43F3"/>
    <w:rsid w:val="000B44C4"/>
    <w:rsid w:val="000B4853"/>
    <w:rsid w:val="000B4AA7"/>
    <w:rsid w:val="000B56FA"/>
    <w:rsid w:val="000B57E4"/>
    <w:rsid w:val="000B5E18"/>
    <w:rsid w:val="000B5E97"/>
    <w:rsid w:val="000B6114"/>
    <w:rsid w:val="000B6B42"/>
    <w:rsid w:val="000B6C1D"/>
    <w:rsid w:val="000B70C2"/>
    <w:rsid w:val="000B713E"/>
    <w:rsid w:val="000B7BFA"/>
    <w:rsid w:val="000C006F"/>
    <w:rsid w:val="000C03B6"/>
    <w:rsid w:val="000C0403"/>
    <w:rsid w:val="000C0A8C"/>
    <w:rsid w:val="000C0E5A"/>
    <w:rsid w:val="000C11A6"/>
    <w:rsid w:val="000C14A0"/>
    <w:rsid w:val="000C1A44"/>
    <w:rsid w:val="000C1B5C"/>
    <w:rsid w:val="000C1F1A"/>
    <w:rsid w:val="000C2BE6"/>
    <w:rsid w:val="000C2C9B"/>
    <w:rsid w:val="000C2D3E"/>
    <w:rsid w:val="000C31A9"/>
    <w:rsid w:val="000C3260"/>
    <w:rsid w:val="000C32AF"/>
    <w:rsid w:val="000C3954"/>
    <w:rsid w:val="000C3B3A"/>
    <w:rsid w:val="000C3D8C"/>
    <w:rsid w:val="000C3E1C"/>
    <w:rsid w:val="000C4460"/>
    <w:rsid w:val="000C45E5"/>
    <w:rsid w:val="000C4B25"/>
    <w:rsid w:val="000C4DF3"/>
    <w:rsid w:val="000C4FBE"/>
    <w:rsid w:val="000C50CB"/>
    <w:rsid w:val="000C5733"/>
    <w:rsid w:val="000C62E8"/>
    <w:rsid w:val="000C6517"/>
    <w:rsid w:val="000C6FE0"/>
    <w:rsid w:val="000C775D"/>
    <w:rsid w:val="000C7992"/>
    <w:rsid w:val="000C7998"/>
    <w:rsid w:val="000D00E4"/>
    <w:rsid w:val="000D0223"/>
    <w:rsid w:val="000D0421"/>
    <w:rsid w:val="000D0655"/>
    <w:rsid w:val="000D066B"/>
    <w:rsid w:val="000D0EAE"/>
    <w:rsid w:val="000D15A8"/>
    <w:rsid w:val="000D18B6"/>
    <w:rsid w:val="000D1926"/>
    <w:rsid w:val="000D19DE"/>
    <w:rsid w:val="000D1D32"/>
    <w:rsid w:val="000D2148"/>
    <w:rsid w:val="000D2198"/>
    <w:rsid w:val="000D2BDB"/>
    <w:rsid w:val="000D3BAD"/>
    <w:rsid w:val="000D44E5"/>
    <w:rsid w:val="000D4A20"/>
    <w:rsid w:val="000D5650"/>
    <w:rsid w:val="000D572A"/>
    <w:rsid w:val="000D576B"/>
    <w:rsid w:val="000D5939"/>
    <w:rsid w:val="000D5A2E"/>
    <w:rsid w:val="000D6017"/>
    <w:rsid w:val="000D606B"/>
    <w:rsid w:val="000D656D"/>
    <w:rsid w:val="000D65E5"/>
    <w:rsid w:val="000D6C00"/>
    <w:rsid w:val="000D6D13"/>
    <w:rsid w:val="000D6ECF"/>
    <w:rsid w:val="000D6FA3"/>
    <w:rsid w:val="000D72FE"/>
    <w:rsid w:val="000D75FE"/>
    <w:rsid w:val="000D7AC6"/>
    <w:rsid w:val="000D7EC4"/>
    <w:rsid w:val="000E02AA"/>
    <w:rsid w:val="000E06E8"/>
    <w:rsid w:val="000E07F4"/>
    <w:rsid w:val="000E0A17"/>
    <w:rsid w:val="000E1A4E"/>
    <w:rsid w:val="000E1D45"/>
    <w:rsid w:val="000E2061"/>
    <w:rsid w:val="000E24B5"/>
    <w:rsid w:val="000E2606"/>
    <w:rsid w:val="000E2A8F"/>
    <w:rsid w:val="000E2CC0"/>
    <w:rsid w:val="000E2DD3"/>
    <w:rsid w:val="000E3051"/>
    <w:rsid w:val="000E3296"/>
    <w:rsid w:val="000E33E6"/>
    <w:rsid w:val="000E3708"/>
    <w:rsid w:val="000E3782"/>
    <w:rsid w:val="000E3869"/>
    <w:rsid w:val="000E3A97"/>
    <w:rsid w:val="000E3AFE"/>
    <w:rsid w:val="000E3F31"/>
    <w:rsid w:val="000E4153"/>
    <w:rsid w:val="000E445F"/>
    <w:rsid w:val="000E4602"/>
    <w:rsid w:val="000E4765"/>
    <w:rsid w:val="000E481B"/>
    <w:rsid w:val="000E50DD"/>
    <w:rsid w:val="000E61F7"/>
    <w:rsid w:val="000E62B6"/>
    <w:rsid w:val="000E669B"/>
    <w:rsid w:val="000E6B86"/>
    <w:rsid w:val="000E6DEE"/>
    <w:rsid w:val="000E7235"/>
    <w:rsid w:val="000E72DC"/>
    <w:rsid w:val="000E7C76"/>
    <w:rsid w:val="000E7DAF"/>
    <w:rsid w:val="000F008E"/>
    <w:rsid w:val="000F0769"/>
    <w:rsid w:val="000F081E"/>
    <w:rsid w:val="000F0E2A"/>
    <w:rsid w:val="000F1741"/>
    <w:rsid w:val="000F2322"/>
    <w:rsid w:val="000F25C0"/>
    <w:rsid w:val="000F25DD"/>
    <w:rsid w:val="000F28B8"/>
    <w:rsid w:val="000F2EE4"/>
    <w:rsid w:val="000F32A1"/>
    <w:rsid w:val="000F343C"/>
    <w:rsid w:val="000F3462"/>
    <w:rsid w:val="000F3B57"/>
    <w:rsid w:val="000F462C"/>
    <w:rsid w:val="000F485D"/>
    <w:rsid w:val="000F5422"/>
    <w:rsid w:val="000F627D"/>
    <w:rsid w:val="000F66A3"/>
    <w:rsid w:val="000F66F9"/>
    <w:rsid w:val="000F7117"/>
    <w:rsid w:val="000F7264"/>
    <w:rsid w:val="000F7907"/>
    <w:rsid w:val="000F7A64"/>
    <w:rsid w:val="000F7C36"/>
    <w:rsid w:val="000F7DFD"/>
    <w:rsid w:val="00100023"/>
    <w:rsid w:val="00100048"/>
    <w:rsid w:val="0010096C"/>
    <w:rsid w:val="00100DA7"/>
    <w:rsid w:val="00101240"/>
    <w:rsid w:val="0010132B"/>
    <w:rsid w:val="00101D48"/>
    <w:rsid w:val="00101DD0"/>
    <w:rsid w:val="00101EF0"/>
    <w:rsid w:val="00102118"/>
    <w:rsid w:val="001024F8"/>
    <w:rsid w:val="00102BAD"/>
    <w:rsid w:val="001030C5"/>
    <w:rsid w:val="001032AF"/>
    <w:rsid w:val="001035A0"/>
    <w:rsid w:val="001036F3"/>
    <w:rsid w:val="00103CB7"/>
    <w:rsid w:val="0010575B"/>
    <w:rsid w:val="00105A21"/>
    <w:rsid w:val="001068C0"/>
    <w:rsid w:val="00106F49"/>
    <w:rsid w:val="00107040"/>
    <w:rsid w:val="00107945"/>
    <w:rsid w:val="00107DA3"/>
    <w:rsid w:val="00107F68"/>
    <w:rsid w:val="00107FB9"/>
    <w:rsid w:val="00110270"/>
    <w:rsid w:val="00110363"/>
    <w:rsid w:val="00110408"/>
    <w:rsid w:val="00110964"/>
    <w:rsid w:val="001110CC"/>
    <w:rsid w:val="001111FA"/>
    <w:rsid w:val="001113C2"/>
    <w:rsid w:val="00111EA0"/>
    <w:rsid w:val="001126DA"/>
    <w:rsid w:val="001126EB"/>
    <w:rsid w:val="001133D5"/>
    <w:rsid w:val="001136FC"/>
    <w:rsid w:val="00113C69"/>
    <w:rsid w:val="0011424C"/>
    <w:rsid w:val="0011481F"/>
    <w:rsid w:val="00114A6C"/>
    <w:rsid w:val="00114C7C"/>
    <w:rsid w:val="00115B9B"/>
    <w:rsid w:val="00115DD3"/>
    <w:rsid w:val="00115E4A"/>
    <w:rsid w:val="00115EBB"/>
    <w:rsid w:val="001166DE"/>
    <w:rsid w:val="001170D4"/>
    <w:rsid w:val="0011767E"/>
    <w:rsid w:val="00117808"/>
    <w:rsid w:val="00117988"/>
    <w:rsid w:val="00117A43"/>
    <w:rsid w:val="001201D5"/>
    <w:rsid w:val="001204DC"/>
    <w:rsid w:val="001208BA"/>
    <w:rsid w:val="00120A7B"/>
    <w:rsid w:val="00120F6D"/>
    <w:rsid w:val="00121020"/>
    <w:rsid w:val="00121040"/>
    <w:rsid w:val="001210E5"/>
    <w:rsid w:val="00121458"/>
    <w:rsid w:val="00122062"/>
    <w:rsid w:val="001225DF"/>
    <w:rsid w:val="00122787"/>
    <w:rsid w:val="00122CB1"/>
    <w:rsid w:val="001231CD"/>
    <w:rsid w:val="00123903"/>
    <w:rsid w:val="001239D2"/>
    <w:rsid w:val="00123B47"/>
    <w:rsid w:val="00123D51"/>
    <w:rsid w:val="00123E7B"/>
    <w:rsid w:val="001241FB"/>
    <w:rsid w:val="001248B4"/>
    <w:rsid w:val="00124DA0"/>
    <w:rsid w:val="00125352"/>
    <w:rsid w:val="00125384"/>
    <w:rsid w:val="001253EB"/>
    <w:rsid w:val="00125BE9"/>
    <w:rsid w:val="00126097"/>
    <w:rsid w:val="00126126"/>
    <w:rsid w:val="001262CA"/>
    <w:rsid w:val="00126785"/>
    <w:rsid w:val="001268CF"/>
    <w:rsid w:val="00126B84"/>
    <w:rsid w:val="00126C29"/>
    <w:rsid w:val="00127094"/>
    <w:rsid w:val="00127438"/>
    <w:rsid w:val="00127DA9"/>
    <w:rsid w:val="001300C3"/>
    <w:rsid w:val="00130215"/>
    <w:rsid w:val="00130977"/>
    <w:rsid w:val="00130CFF"/>
    <w:rsid w:val="00130F08"/>
    <w:rsid w:val="00130F15"/>
    <w:rsid w:val="00131EE2"/>
    <w:rsid w:val="001321B1"/>
    <w:rsid w:val="00132411"/>
    <w:rsid w:val="001331D8"/>
    <w:rsid w:val="001333F7"/>
    <w:rsid w:val="001340F4"/>
    <w:rsid w:val="00134350"/>
    <w:rsid w:val="00134993"/>
    <w:rsid w:val="00134DA1"/>
    <w:rsid w:val="00134F8F"/>
    <w:rsid w:val="0013524C"/>
    <w:rsid w:val="001352C0"/>
    <w:rsid w:val="00135A57"/>
    <w:rsid w:val="001368A7"/>
    <w:rsid w:val="001369B3"/>
    <w:rsid w:val="00136C65"/>
    <w:rsid w:val="00136FB6"/>
    <w:rsid w:val="0013710B"/>
    <w:rsid w:val="00137455"/>
    <w:rsid w:val="00137779"/>
    <w:rsid w:val="001402B8"/>
    <w:rsid w:val="00140B3D"/>
    <w:rsid w:val="00140E3B"/>
    <w:rsid w:val="00140E69"/>
    <w:rsid w:val="00141198"/>
    <w:rsid w:val="00141354"/>
    <w:rsid w:val="0014199A"/>
    <w:rsid w:val="00141C85"/>
    <w:rsid w:val="00142165"/>
    <w:rsid w:val="00142383"/>
    <w:rsid w:val="00142A7E"/>
    <w:rsid w:val="00142B21"/>
    <w:rsid w:val="00142BB5"/>
    <w:rsid w:val="001432C1"/>
    <w:rsid w:val="001439E9"/>
    <w:rsid w:val="00144072"/>
    <w:rsid w:val="00144812"/>
    <w:rsid w:val="00145493"/>
    <w:rsid w:val="001456B7"/>
    <w:rsid w:val="0014576E"/>
    <w:rsid w:val="001458AE"/>
    <w:rsid w:val="00145E7F"/>
    <w:rsid w:val="00146AE6"/>
    <w:rsid w:val="00146ED3"/>
    <w:rsid w:val="0014732B"/>
    <w:rsid w:val="001473F5"/>
    <w:rsid w:val="001476AE"/>
    <w:rsid w:val="001478E9"/>
    <w:rsid w:val="00147B63"/>
    <w:rsid w:val="00150269"/>
    <w:rsid w:val="00150356"/>
    <w:rsid w:val="001507E0"/>
    <w:rsid w:val="00150B45"/>
    <w:rsid w:val="001517A7"/>
    <w:rsid w:val="001518F1"/>
    <w:rsid w:val="0015276D"/>
    <w:rsid w:val="00152ABF"/>
    <w:rsid w:val="0015329B"/>
    <w:rsid w:val="001532B5"/>
    <w:rsid w:val="00153826"/>
    <w:rsid w:val="00153B66"/>
    <w:rsid w:val="001542EA"/>
    <w:rsid w:val="00154329"/>
    <w:rsid w:val="00154337"/>
    <w:rsid w:val="001547C4"/>
    <w:rsid w:val="00154888"/>
    <w:rsid w:val="00154B4F"/>
    <w:rsid w:val="00154BFA"/>
    <w:rsid w:val="00154C8D"/>
    <w:rsid w:val="00155776"/>
    <w:rsid w:val="00155CE3"/>
    <w:rsid w:val="0015600A"/>
    <w:rsid w:val="001562EB"/>
    <w:rsid w:val="001565FE"/>
    <w:rsid w:val="00156B5B"/>
    <w:rsid w:val="00156C0F"/>
    <w:rsid w:val="001571BA"/>
    <w:rsid w:val="00157906"/>
    <w:rsid w:val="0016000C"/>
    <w:rsid w:val="00160403"/>
    <w:rsid w:val="001605F7"/>
    <w:rsid w:val="001606D9"/>
    <w:rsid w:val="00160D02"/>
    <w:rsid w:val="00161460"/>
    <w:rsid w:val="00161708"/>
    <w:rsid w:val="00161BD2"/>
    <w:rsid w:val="00161DBA"/>
    <w:rsid w:val="00162195"/>
    <w:rsid w:val="0016236B"/>
    <w:rsid w:val="00162AC6"/>
    <w:rsid w:val="00162E02"/>
    <w:rsid w:val="0016315B"/>
    <w:rsid w:val="0016352F"/>
    <w:rsid w:val="001646ED"/>
    <w:rsid w:val="00164801"/>
    <w:rsid w:val="00164DDE"/>
    <w:rsid w:val="001652CB"/>
    <w:rsid w:val="001655C8"/>
    <w:rsid w:val="00165815"/>
    <w:rsid w:val="00165B28"/>
    <w:rsid w:val="00165BBD"/>
    <w:rsid w:val="00165C3E"/>
    <w:rsid w:val="001660F7"/>
    <w:rsid w:val="001661BE"/>
    <w:rsid w:val="00166569"/>
    <w:rsid w:val="001666AE"/>
    <w:rsid w:val="001666E2"/>
    <w:rsid w:val="001666F4"/>
    <w:rsid w:val="001666F9"/>
    <w:rsid w:val="00166B22"/>
    <w:rsid w:val="00166E22"/>
    <w:rsid w:val="00167652"/>
    <w:rsid w:val="001676FC"/>
    <w:rsid w:val="00167A29"/>
    <w:rsid w:val="00167E60"/>
    <w:rsid w:val="00167F6C"/>
    <w:rsid w:val="0017007B"/>
    <w:rsid w:val="001701BA"/>
    <w:rsid w:val="0017054E"/>
    <w:rsid w:val="001705CD"/>
    <w:rsid w:val="00170A86"/>
    <w:rsid w:val="001710C2"/>
    <w:rsid w:val="00171376"/>
    <w:rsid w:val="00171723"/>
    <w:rsid w:val="001724AD"/>
    <w:rsid w:val="00172801"/>
    <w:rsid w:val="00172845"/>
    <w:rsid w:val="00172C59"/>
    <w:rsid w:val="00173068"/>
    <w:rsid w:val="001731E7"/>
    <w:rsid w:val="00173474"/>
    <w:rsid w:val="00174087"/>
    <w:rsid w:val="001744D0"/>
    <w:rsid w:val="00174606"/>
    <w:rsid w:val="0017491F"/>
    <w:rsid w:val="00174E54"/>
    <w:rsid w:val="00174EF9"/>
    <w:rsid w:val="00175756"/>
    <w:rsid w:val="00175D33"/>
    <w:rsid w:val="00176BC2"/>
    <w:rsid w:val="00176D92"/>
    <w:rsid w:val="00176E1D"/>
    <w:rsid w:val="001778FD"/>
    <w:rsid w:val="00177975"/>
    <w:rsid w:val="00177A14"/>
    <w:rsid w:val="00177BB3"/>
    <w:rsid w:val="00177CAC"/>
    <w:rsid w:val="0018000D"/>
    <w:rsid w:val="00180907"/>
    <w:rsid w:val="001816FC"/>
    <w:rsid w:val="0018205F"/>
    <w:rsid w:val="001825B5"/>
    <w:rsid w:val="00182B0B"/>
    <w:rsid w:val="00182C18"/>
    <w:rsid w:val="00183229"/>
    <w:rsid w:val="00183AF9"/>
    <w:rsid w:val="0018411D"/>
    <w:rsid w:val="001849BD"/>
    <w:rsid w:val="00184F84"/>
    <w:rsid w:val="00184FBD"/>
    <w:rsid w:val="001851EE"/>
    <w:rsid w:val="001852BE"/>
    <w:rsid w:val="001859D5"/>
    <w:rsid w:val="00185BCB"/>
    <w:rsid w:val="00185DAD"/>
    <w:rsid w:val="001864B7"/>
    <w:rsid w:val="0018677E"/>
    <w:rsid w:val="00187844"/>
    <w:rsid w:val="00187F61"/>
    <w:rsid w:val="001906BD"/>
    <w:rsid w:val="001908AB"/>
    <w:rsid w:val="001909FF"/>
    <w:rsid w:val="00190A53"/>
    <w:rsid w:val="00190E61"/>
    <w:rsid w:val="00190EA1"/>
    <w:rsid w:val="00190F93"/>
    <w:rsid w:val="001912AF"/>
    <w:rsid w:val="001914E7"/>
    <w:rsid w:val="00191A41"/>
    <w:rsid w:val="00191ACD"/>
    <w:rsid w:val="00191BBD"/>
    <w:rsid w:val="00191F11"/>
    <w:rsid w:val="001932B6"/>
    <w:rsid w:val="00193B71"/>
    <w:rsid w:val="001944B2"/>
    <w:rsid w:val="001944C1"/>
    <w:rsid w:val="00194609"/>
    <w:rsid w:val="00195099"/>
    <w:rsid w:val="001952D0"/>
    <w:rsid w:val="001954DE"/>
    <w:rsid w:val="00195D59"/>
    <w:rsid w:val="001961EB"/>
    <w:rsid w:val="001967B8"/>
    <w:rsid w:val="00196810"/>
    <w:rsid w:val="00196C4E"/>
    <w:rsid w:val="0019733E"/>
    <w:rsid w:val="001976D3"/>
    <w:rsid w:val="0019779D"/>
    <w:rsid w:val="0019790B"/>
    <w:rsid w:val="00197CC6"/>
    <w:rsid w:val="001A0809"/>
    <w:rsid w:val="001A0DF8"/>
    <w:rsid w:val="001A157C"/>
    <w:rsid w:val="001A19CC"/>
    <w:rsid w:val="001A1EDE"/>
    <w:rsid w:val="001A2660"/>
    <w:rsid w:val="001A27B8"/>
    <w:rsid w:val="001A28D8"/>
    <w:rsid w:val="001A2A29"/>
    <w:rsid w:val="001A2C32"/>
    <w:rsid w:val="001A3410"/>
    <w:rsid w:val="001A39A0"/>
    <w:rsid w:val="001A45AA"/>
    <w:rsid w:val="001A480F"/>
    <w:rsid w:val="001A4C0F"/>
    <w:rsid w:val="001A4D70"/>
    <w:rsid w:val="001A4DB6"/>
    <w:rsid w:val="001A50F5"/>
    <w:rsid w:val="001A5256"/>
    <w:rsid w:val="001A52CE"/>
    <w:rsid w:val="001A6090"/>
    <w:rsid w:val="001A62A4"/>
    <w:rsid w:val="001A64CC"/>
    <w:rsid w:val="001A6D08"/>
    <w:rsid w:val="001A6DC6"/>
    <w:rsid w:val="001A74F3"/>
    <w:rsid w:val="001B01BC"/>
    <w:rsid w:val="001B0416"/>
    <w:rsid w:val="001B0797"/>
    <w:rsid w:val="001B0A43"/>
    <w:rsid w:val="001B0D50"/>
    <w:rsid w:val="001B1D8A"/>
    <w:rsid w:val="001B2496"/>
    <w:rsid w:val="001B2564"/>
    <w:rsid w:val="001B27F1"/>
    <w:rsid w:val="001B313D"/>
    <w:rsid w:val="001B41E3"/>
    <w:rsid w:val="001B45E3"/>
    <w:rsid w:val="001B4679"/>
    <w:rsid w:val="001B46A6"/>
    <w:rsid w:val="001B4769"/>
    <w:rsid w:val="001B4BBE"/>
    <w:rsid w:val="001B4E15"/>
    <w:rsid w:val="001B518A"/>
    <w:rsid w:val="001B540A"/>
    <w:rsid w:val="001B542C"/>
    <w:rsid w:val="001B568A"/>
    <w:rsid w:val="001B5842"/>
    <w:rsid w:val="001B5B49"/>
    <w:rsid w:val="001B5BFB"/>
    <w:rsid w:val="001B5E4F"/>
    <w:rsid w:val="001B5F0E"/>
    <w:rsid w:val="001B6694"/>
    <w:rsid w:val="001B67ED"/>
    <w:rsid w:val="001B6846"/>
    <w:rsid w:val="001B6A09"/>
    <w:rsid w:val="001B6F7D"/>
    <w:rsid w:val="001B7112"/>
    <w:rsid w:val="001B782B"/>
    <w:rsid w:val="001B7952"/>
    <w:rsid w:val="001C0039"/>
    <w:rsid w:val="001C03A8"/>
    <w:rsid w:val="001C0C3C"/>
    <w:rsid w:val="001C0E63"/>
    <w:rsid w:val="001C1EAA"/>
    <w:rsid w:val="001C1FB4"/>
    <w:rsid w:val="001C2152"/>
    <w:rsid w:val="001C24E6"/>
    <w:rsid w:val="001C250D"/>
    <w:rsid w:val="001C292F"/>
    <w:rsid w:val="001C29FD"/>
    <w:rsid w:val="001C35C0"/>
    <w:rsid w:val="001C388E"/>
    <w:rsid w:val="001C3F0B"/>
    <w:rsid w:val="001C4307"/>
    <w:rsid w:val="001C4450"/>
    <w:rsid w:val="001C4F9B"/>
    <w:rsid w:val="001C5956"/>
    <w:rsid w:val="001C5969"/>
    <w:rsid w:val="001C5B23"/>
    <w:rsid w:val="001C6753"/>
    <w:rsid w:val="001C68AC"/>
    <w:rsid w:val="001C6A87"/>
    <w:rsid w:val="001C76B0"/>
    <w:rsid w:val="001C7ABA"/>
    <w:rsid w:val="001D04E7"/>
    <w:rsid w:val="001D066B"/>
    <w:rsid w:val="001D089B"/>
    <w:rsid w:val="001D0CAB"/>
    <w:rsid w:val="001D0D9B"/>
    <w:rsid w:val="001D0F36"/>
    <w:rsid w:val="001D1949"/>
    <w:rsid w:val="001D1BB6"/>
    <w:rsid w:val="001D289F"/>
    <w:rsid w:val="001D3692"/>
    <w:rsid w:val="001D36D0"/>
    <w:rsid w:val="001D3715"/>
    <w:rsid w:val="001D3894"/>
    <w:rsid w:val="001D39E0"/>
    <w:rsid w:val="001D4288"/>
    <w:rsid w:val="001D438C"/>
    <w:rsid w:val="001D4D93"/>
    <w:rsid w:val="001D6523"/>
    <w:rsid w:val="001D673A"/>
    <w:rsid w:val="001D7692"/>
    <w:rsid w:val="001D7C6D"/>
    <w:rsid w:val="001D7DE7"/>
    <w:rsid w:val="001D7F12"/>
    <w:rsid w:val="001E001B"/>
    <w:rsid w:val="001E00F3"/>
    <w:rsid w:val="001E14B5"/>
    <w:rsid w:val="001E1527"/>
    <w:rsid w:val="001E18EB"/>
    <w:rsid w:val="001E2111"/>
    <w:rsid w:val="001E2491"/>
    <w:rsid w:val="001E275D"/>
    <w:rsid w:val="001E27C9"/>
    <w:rsid w:val="001E2889"/>
    <w:rsid w:val="001E2C7D"/>
    <w:rsid w:val="001E2F24"/>
    <w:rsid w:val="001E318B"/>
    <w:rsid w:val="001E329C"/>
    <w:rsid w:val="001E3B49"/>
    <w:rsid w:val="001E3D7B"/>
    <w:rsid w:val="001E3EBB"/>
    <w:rsid w:val="001E477D"/>
    <w:rsid w:val="001E4880"/>
    <w:rsid w:val="001E531B"/>
    <w:rsid w:val="001E5402"/>
    <w:rsid w:val="001E557D"/>
    <w:rsid w:val="001E6285"/>
    <w:rsid w:val="001E63C5"/>
    <w:rsid w:val="001E66F1"/>
    <w:rsid w:val="001E6B1D"/>
    <w:rsid w:val="001E781C"/>
    <w:rsid w:val="001E7D4E"/>
    <w:rsid w:val="001F0535"/>
    <w:rsid w:val="001F1815"/>
    <w:rsid w:val="001F1CE0"/>
    <w:rsid w:val="001F1E1E"/>
    <w:rsid w:val="001F21E4"/>
    <w:rsid w:val="001F269E"/>
    <w:rsid w:val="001F27FD"/>
    <w:rsid w:val="001F2819"/>
    <w:rsid w:val="001F2AEB"/>
    <w:rsid w:val="001F3AA8"/>
    <w:rsid w:val="001F3CFE"/>
    <w:rsid w:val="001F42B5"/>
    <w:rsid w:val="001F4B2F"/>
    <w:rsid w:val="001F4B4E"/>
    <w:rsid w:val="001F5261"/>
    <w:rsid w:val="001F5442"/>
    <w:rsid w:val="001F57ED"/>
    <w:rsid w:val="001F58B8"/>
    <w:rsid w:val="001F6113"/>
    <w:rsid w:val="001F6175"/>
    <w:rsid w:val="001F658B"/>
    <w:rsid w:val="001F683F"/>
    <w:rsid w:val="001F6894"/>
    <w:rsid w:val="001F69C4"/>
    <w:rsid w:val="001F6B41"/>
    <w:rsid w:val="001F6CAF"/>
    <w:rsid w:val="001F73AC"/>
    <w:rsid w:val="001F7412"/>
    <w:rsid w:val="001F78BA"/>
    <w:rsid w:val="001F7DCB"/>
    <w:rsid w:val="001F7E46"/>
    <w:rsid w:val="001F7F88"/>
    <w:rsid w:val="002012B3"/>
    <w:rsid w:val="00201618"/>
    <w:rsid w:val="002017B6"/>
    <w:rsid w:val="00201F67"/>
    <w:rsid w:val="002020F9"/>
    <w:rsid w:val="00202290"/>
    <w:rsid w:val="0020261E"/>
    <w:rsid w:val="002027A6"/>
    <w:rsid w:val="00202C13"/>
    <w:rsid w:val="002031C0"/>
    <w:rsid w:val="00203422"/>
    <w:rsid w:val="00203A68"/>
    <w:rsid w:val="002042D2"/>
    <w:rsid w:val="00204913"/>
    <w:rsid w:val="00204B5A"/>
    <w:rsid w:val="00204C08"/>
    <w:rsid w:val="00204DD1"/>
    <w:rsid w:val="00204E22"/>
    <w:rsid w:val="00204F05"/>
    <w:rsid w:val="002051AD"/>
    <w:rsid w:val="00205629"/>
    <w:rsid w:val="0020579C"/>
    <w:rsid w:val="0020672C"/>
    <w:rsid w:val="00206A65"/>
    <w:rsid w:val="00206C28"/>
    <w:rsid w:val="00206E1C"/>
    <w:rsid w:val="0020768D"/>
    <w:rsid w:val="002079B8"/>
    <w:rsid w:val="00207A92"/>
    <w:rsid w:val="00207E23"/>
    <w:rsid w:val="002110E2"/>
    <w:rsid w:val="00211489"/>
    <w:rsid w:val="00212776"/>
    <w:rsid w:val="00212B67"/>
    <w:rsid w:val="00212F8A"/>
    <w:rsid w:val="0021375D"/>
    <w:rsid w:val="00213A00"/>
    <w:rsid w:val="00213A8C"/>
    <w:rsid w:val="00213D5B"/>
    <w:rsid w:val="00213DBB"/>
    <w:rsid w:val="00214370"/>
    <w:rsid w:val="00214C25"/>
    <w:rsid w:val="0021537F"/>
    <w:rsid w:val="00216536"/>
    <w:rsid w:val="00217013"/>
    <w:rsid w:val="00217402"/>
    <w:rsid w:val="00217853"/>
    <w:rsid w:val="00217B82"/>
    <w:rsid w:val="002203CA"/>
    <w:rsid w:val="00220C85"/>
    <w:rsid w:val="00220E68"/>
    <w:rsid w:val="002217AB"/>
    <w:rsid w:val="00221AD6"/>
    <w:rsid w:val="00221CB4"/>
    <w:rsid w:val="00221ECF"/>
    <w:rsid w:val="00221FA2"/>
    <w:rsid w:val="00221FFC"/>
    <w:rsid w:val="002221A4"/>
    <w:rsid w:val="002222B8"/>
    <w:rsid w:val="00222683"/>
    <w:rsid w:val="00222BAF"/>
    <w:rsid w:val="00222FA4"/>
    <w:rsid w:val="00223074"/>
    <w:rsid w:val="002230E8"/>
    <w:rsid w:val="0022341D"/>
    <w:rsid w:val="00223DCF"/>
    <w:rsid w:val="002241DE"/>
    <w:rsid w:val="002246E1"/>
    <w:rsid w:val="00224F86"/>
    <w:rsid w:val="00225002"/>
    <w:rsid w:val="00225188"/>
    <w:rsid w:val="00225221"/>
    <w:rsid w:val="00226B07"/>
    <w:rsid w:val="00226F7F"/>
    <w:rsid w:val="00227293"/>
    <w:rsid w:val="002275B9"/>
    <w:rsid w:val="00227875"/>
    <w:rsid w:val="00227D6A"/>
    <w:rsid w:val="00230436"/>
    <w:rsid w:val="0023049B"/>
    <w:rsid w:val="002305C9"/>
    <w:rsid w:val="002309DF"/>
    <w:rsid w:val="00230B71"/>
    <w:rsid w:val="00230D98"/>
    <w:rsid w:val="00230DEC"/>
    <w:rsid w:val="002312EE"/>
    <w:rsid w:val="00231419"/>
    <w:rsid w:val="00231546"/>
    <w:rsid w:val="002316E0"/>
    <w:rsid w:val="002319FC"/>
    <w:rsid w:val="00231E1A"/>
    <w:rsid w:val="002321A3"/>
    <w:rsid w:val="002327D1"/>
    <w:rsid w:val="0023301E"/>
    <w:rsid w:val="002341B2"/>
    <w:rsid w:val="00234216"/>
    <w:rsid w:val="00234F86"/>
    <w:rsid w:val="002350FD"/>
    <w:rsid w:val="002354B7"/>
    <w:rsid w:val="0023583B"/>
    <w:rsid w:val="00235864"/>
    <w:rsid w:val="002359F1"/>
    <w:rsid w:val="00235A49"/>
    <w:rsid w:val="00236E1B"/>
    <w:rsid w:val="0023781A"/>
    <w:rsid w:val="00237C49"/>
    <w:rsid w:val="00237CAB"/>
    <w:rsid w:val="00240E19"/>
    <w:rsid w:val="00241383"/>
    <w:rsid w:val="00241A2B"/>
    <w:rsid w:val="00241B66"/>
    <w:rsid w:val="00241BF6"/>
    <w:rsid w:val="00241C3E"/>
    <w:rsid w:val="00242725"/>
    <w:rsid w:val="00242B1A"/>
    <w:rsid w:val="00242E04"/>
    <w:rsid w:val="0024324A"/>
    <w:rsid w:val="00243563"/>
    <w:rsid w:val="00244B7F"/>
    <w:rsid w:val="00245060"/>
    <w:rsid w:val="002459B9"/>
    <w:rsid w:val="00245C03"/>
    <w:rsid w:val="002465DA"/>
    <w:rsid w:val="0024693A"/>
    <w:rsid w:val="0024785E"/>
    <w:rsid w:val="00247872"/>
    <w:rsid w:val="00247989"/>
    <w:rsid w:val="00247D19"/>
    <w:rsid w:val="00247F9B"/>
    <w:rsid w:val="002500DB"/>
    <w:rsid w:val="00250369"/>
    <w:rsid w:val="002507CA"/>
    <w:rsid w:val="00250C9A"/>
    <w:rsid w:val="0025173C"/>
    <w:rsid w:val="002520A0"/>
    <w:rsid w:val="00252EB7"/>
    <w:rsid w:val="002530FE"/>
    <w:rsid w:val="002537F4"/>
    <w:rsid w:val="00253A84"/>
    <w:rsid w:val="00253C45"/>
    <w:rsid w:val="00253E83"/>
    <w:rsid w:val="00253EC3"/>
    <w:rsid w:val="00253F40"/>
    <w:rsid w:val="00253F6F"/>
    <w:rsid w:val="002540A5"/>
    <w:rsid w:val="00254100"/>
    <w:rsid w:val="002541BF"/>
    <w:rsid w:val="002549AF"/>
    <w:rsid w:val="00254B2C"/>
    <w:rsid w:val="00254E80"/>
    <w:rsid w:val="00255301"/>
    <w:rsid w:val="00255646"/>
    <w:rsid w:val="002556CF"/>
    <w:rsid w:val="002561B4"/>
    <w:rsid w:val="0025691C"/>
    <w:rsid w:val="00256B69"/>
    <w:rsid w:val="00257378"/>
    <w:rsid w:val="002576F4"/>
    <w:rsid w:val="002577CA"/>
    <w:rsid w:val="00257912"/>
    <w:rsid w:val="00257A12"/>
    <w:rsid w:val="00257F63"/>
    <w:rsid w:val="0026041D"/>
    <w:rsid w:val="00260740"/>
    <w:rsid w:val="00260F27"/>
    <w:rsid w:val="002610A6"/>
    <w:rsid w:val="0026152E"/>
    <w:rsid w:val="00261726"/>
    <w:rsid w:val="0026179D"/>
    <w:rsid w:val="00261B51"/>
    <w:rsid w:val="00261CFE"/>
    <w:rsid w:val="00262135"/>
    <w:rsid w:val="00262B1B"/>
    <w:rsid w:val="00263215"/>
    <w:rsid w:val="00264174"/>
    <w:rsid w:val="00264B13"/>
    <w:rsid w:val="00264E69"/>
    <w:rsid w:val="00264E7F"/>
    <w:rsid w:val="0026606F"/>
    <w:rsid w:val="00266723"/>
    <w:rsid w:val="00266F87"/>
    <w:rsid w:val="002672B8"/>
    <w:rsid w:val="0026750D"/>
    <w:rsid w:val="00267886"/>
    <w:rsid w:val="002679BE"/>
    <w:rsid w:val="00267BB4"/>
    <w:rsid w:val="00267E1F"/>
    <w:rsid w:val="00270BD3"/>
    <w:rsid w:val="002713A3"/>
    <w:rsid w:val="00271700"/>
    <w:rsid w:val="0027247F"/>
    <w:rsid w:val="002725C3"/>
    <w:rsid w:val="00272767"/>
    <w:rsid w:val="00272AE8"/>
    <w:rsid w:val="0027300D"/>
    <w:rsid w:val="00273288"/>
    <w:rsid w:val="002736A3"/>
    <w:rsid w:val="00273C1D"/>
    <w:rsid w:val="00273FCC"/>
    <w:rsid w:val="00274238"/>
    <w:rsid w:val="00274C31"/>
    <w:rsid w:val="0027501C"/>
    <w:rsid w:val="00275490"/>
    <w:rsid w:val="002754CE"/>
    <w:rsid w:val="00275915"/>
    <w:rsid w:val="00275BA6"/>
    <w:rsid w:val="00276691"/>
    <w:rsid w:val="002766AE"/>
    <w:rsid w:val="00277149"/>
    <w:rsid w:val="002772B1"/>
    <w:rsid w:val="0027738C"/>
    <w:rsid w:val="0027790B"/>
    <w:rsid w:val="0028020F"/>
    <w:rsid w:val="0028035A"/>
    <w:rsid w:val="00280894"/>
    <w:rsid w:val="00280B97"/>
    <w:rsid w:val="00281F70"/>
    <w:rsid w:val="00281FD0"/>
    <w:rsid w:val="002821F8"/>
    <w:rsid w:val="00282B57"/>
    <w:rsid w:val="002832D8"/>
    <w:rsid w:val="002835D8"/>
    <w:rsid w:val="00283646"/>
    <w:rsid w:val="00283707"/>
    <w:rsid w:val="002840A1"/>
    <w:rsid w:val="00284AFE"/>
    <w:rsid w:val="00285B0A"/>
    <w:rsid w:val="00285BC9"/>
    <w:rsid w:val="00285D09"/>
    <w:rsid w:val="00285D55"/>
    <w:rsid w:val="00286292"/>
    <w:rsid w:val="0028688A"/>
    <w:rsid w:val="0028688D"/>
    <w:rsid w:val="00286A28"/>
    <w:rsid w:val="00286DF0"/>
    <w:rsid w:val="00287515"/>
    <w:rsid w:val="002878B2"/>
    <w:rsid w:val="002879CD"/>
    <w:rsid w:val="00287C24"/>
    <w:rsid w:val="00287CA8"/>
    <w:rsid w:val="00287D78"/>
    <w:rsid w:val="00287DF7"/>
    <w:rsid w:val="00287F79"/>
    <w:rsid w:val="00290054"/>
    <w:rsid w:val="002901F2"/>
    <w:rsid w:val="00290931"/>
    <w:rsid w:val="0029098B"/>
    <w:rsid w:val="00290EE8"/>
    <w:rsid w:val="00291D25"/>
    <w:rsid w:val="00291F3A"/>
    <w:rsid w:val="0029203F"/>
    <w:rsid w:val="00292109"/>
    <w:rsid w:val="00292138"/>
    <w:rsid w:val="002921F7"/>
    <w:rsid w:val="0029249E"/>
    <w:rsid w:val="00292B02"/>
    <w:rsid w:val="00292D87"/>
    <w:rsid w:val="002945BB"/>
    <w:rsid w:val="00294BFB"/>
    <w:rsid w:val="00294F92"/>
    <w:rsid w:val="00295AB1"/>
    <w:rsid w:val="00295ADD"/>
    <w:rsid w:val="002963C5"/>
    <w:rsid w:val="002964DF"/>
    <w:rsid w:val="0029652F"/>
    <w:rsid w:val="002965CE"/>
    <w:rsid w:val="00296857"/>
    <w:rsid w:val="002968F2"/>
    <w:rsid w:val="00296B05"/>
    <w:rsid w:val="00297A39"/>
    <w:rsid w:val="00297F3C"/>
    <w:rsid w:val="002A038B"/>
    <w:rsid w:val="002A03C0"/>
    <w:rsid w:val="002A077A"/>
    <w:rsid w:val="002A0D50"/>
    <w:rsid w:val="002A12E9"/>
    <w:rsid w:val="002A17A7"/>
    <w:rsid w:val="002A26D6"/>
    <w:rsid w:val="002A2913"/>
    <w:rsid w:val="002A2D90"/>
    <w:rsid w:val="002A2EDD"/>
    <w:rsid w:val="002A2F63"/>
    <w:rsid w:val="002A3088"/>
    <w:rsid w:val="002A32A6"/>
    <w:rsid w:val="002A39E6"/>
    <w:rsid w:val="002A3A2E"/>
    <w:rsid w:val="002A3A4D"/>
    <w:rsid w:val="002A3E37"/>
    <w:rsid w:val="002A4223"/>
    <w:rsid w:val="002A5066"/>
    <w:rsid w:val="002A529E"/>
    <w:rsid w:val="002A5AC8"/>
    <w:rsid w:val="002A5B8E"/>
    <w:rsid w:val="002A5E8D"/>
    <w:rsid w:val="002A6060"/>
    <w:rsid w:val="002A626A"/>
    <w:rsid w:val="002A64BE"/>
    <w:rsid w:val="002A675A"/>
    <w:rsid w:val="002A6F96"/>
    <w:rsid w:val="002A73F3"/>
    <w:rsid w:val="002A7D0A"/>
    <w:rsid w:val="002A7EDF"/>
    <w:rsid w:val="002B0204"/>
    <w:rsid w:val="002B0630"/>
    <w:rsid w:val="002B065C"/>
    <w:rsid w:val="002B0A42"/>
    <w:rsid w:val="002B0FC1"/>
    <w:rsid w:val="002B1082"/>
    <w:rsid w:val="002B1172"/>
    <w:rsid w:val="002B18CD"/>
    <w:rsid w:val="002B1AFB"/>
    <w:rsid w:val="002B23BF"/>
    <w:rsid w:val="002B2515"/>
    <w:rsid w:val="002B29F0"/>
    <w:rsid w:val="002B376E"/>
    <w:rsid w:val="002B4312"/>
    <w:rsid w:val="002B4592"/>
    <w:rsid w:val="002B49C5"/>
    <w:rsid w:val="002B505A"/>
    <w:rsid w:val="002B56C6"/>
    <w:rsid w:val="002B5743"/>
    <w:rsid w:val="002B5BD7"/>
    <w:rsid w:val="002B64E0"/>
    <w:rsid w:val="002B6AD8"/>
    <w:rsid w:val="002B6C75"/>
    <w:rsid w:val="002B7119"/>
    <w:rsid w:val="002B76BE"/>
    <w:rsid w:val="002B7C8A"/>
    <w:rsid w:val="002C2232"/>
    <w:rsid w:val="002C2413"/>
    <w:rsid w:val="002C2784"/>
    <w:rsid w:val="002C293F"/>
    <w:rsid w:val="002C2B3A"/>
    <w:rsid w:val="002C313F"/>
    <w:rsid w:val="002C33F4"/>
    <w:rsid w:val="002C3BE2"/>
    <w:rsid w:val="002C3C3B"/>
    <w:rsid w:val="002C3DA1"/>
    <w:rsid w:val="002C4197"/>
    <w:rsid w:val="002C48EC"/>
    <w:rsid w:val="002C48EF"/>
    <w:rsid w:val="002C573F"/>
    <w:rsid w:val="002C57A4"/>
    <w:rsid w:val="002C5A03"/>
    <w:rsid w:val="002C5C33"/>
    <w:rsid w:val="002C5F02"/>
    <w:rsid w:val="002C6185"/>
    <w:rsid w:val="002C6A37"/>
    <w:rsid w:val="002C6E11"/>
    <w:rsid w:val="002D0BC3"/>
    <w:rsid w:val="002D1426"/>
    <w:rsid w:val="002D1813"/>
    <w:rsid w:val="002D2145"/>
    <w:rsid w:val="002D2558"/>
    <w:rsid w:val="002D27F2"/>
    <w:rsid w:val="002D28DD"/>
    <w:rsid w:val="002D2F13"/>
    <w:rsid w:val="002D35A4"/>
    <w:rsid w:val="002D4777"/>
    <w:rsid w:val="002D49A9"/>
    <w:rsid w:val="002D4CD6"/>
    <w:rsid w:val="002D4F13"/>
    <w:rsid w:val="002D5337"/>
    <w:rsid w:val="002D57BE"/>
    <w:rsid w:val="002D5836"/>
    <w:rsid w:val="002D5C26"/>
    <w:rsid w:val="002D6669"/>
    <w:rsid w:val="002D68CD"/>
    <w:rsid w:val="002D694A"/>
    <w:rsid w:val="002D7211"/>
    <w:rsid w:val="002D766A"/>
    <w:rsid w:val="002E032C"/>
    <w:rsid w:val="002E0416"/>
    <w:rsid w:val="002E041B"/>
    <w:rsid w:val="002E04C9"/>
    <w:rsid w:val="002E098E"/>
    <w:rsid w:val="002E0ACD"/>
    <w:rsid w:val="002E1432"/>
    <w:rsid w:val="002E186C"/>
    <w:rsid w:val="002E194D"/>
    <w:rsid w:val="002E2123"/>
    <w:rsid w:val="002E240E"/>
    <w:rsid w:val="002E26C3"/>
    <w:rsid w:val="002E319C"/>
    <w:rsid w:val="002E3466"/>
    <w:rsid w:val="002E36E4"/>
    <w:rsid w:val="002E3D52"/>
    <w:rsid w:val="002E4123"/>
    <w:rsid w:val="002E4825"/>
    <w:rsid w:val="002E50E8"/>
    <w:rsid w:val="002E5374"/>
    <w:rsid w:val="002E57E8"/>
    <w:rsid w:val="002E5F12"/>
    <w:rsid w:val="002E5F76"/>
    <w:rsid w:val="002E5FDA"/>
    <w:rsid w:val="002E67A1"/>
    <w:rsid w:val="002E6E26"/>
    <w:rsid w:val="002E6FFA"/>
    <w:rsid w:val="002E7045"/>
    <w:rsid w:val="002E78A2"/>
    <w:rsid w:val="002E7AC4"/>
    <w:rsid w:val="002E7D18"/>
    <w:rsid w:val="002E7DA5"/>
    <w:rsid w:val="002E7E36"/>
    <w:rsid w:val="002E7F2D"/>
    <w:rsid w:val="002F0005"/>
    <w:rsid w:val="002F01F2"/>
    <w:rsid w:val="002F021B"/>
    <w:rsid w:val="002F0360"/>
    <w:rsid w:val="002F03E2"/>
    <w:rsid w:val="002F049F"/>
    <w:rsid w:val="002F0569"/>
    <w:rsid w:val="002F05BE"/>
    <w:rsid w:val="002F06C0"/>
    <w:rsid w:val="002F0C1F"/>
    <w:rsid w:val="002F105D"/>
    <w:rsid w:val="002F1540"/>
    <w:rsid w:val="002F15DA"/>
    <w:rsid w:val="002F17FB"/>
    <w:rsid w:val="002F1A4D"/>
    <w:rsid w:val="002F222E"/>
    <w:rsid w:val="002F2363"/>
    <w:rsid w:val="002F268E"/>
    <w:rsid w:val="002F2CE8"/>
    <w:rsid w:val="002F3339"/>
    <w:rsid w:val="002F34D5"/>
    <w:rsid w:val="002F3913"/>
    <w:rsid w:val="002F3EA6"/>
    <w:rsid w:val="002F3ED2"/>
    <w:rsid w:val="002F4454"/>
    <w:rsid w:val="002F4DC0"/>
    <w:rsid w:val="002F4E2B"/>
    <w:rsid w:val="002F503C"/>
    <w:rsid w:val="002F545D"/>
    <w:rsid w:val="002F5B3D"/>
    <w:rsid w:val="002F5DDC"/>
    <w:rsid w:val="002F5F11"/>
    <w:rsid w:val="002F6348"/>
    <w:rsid w:val="002F644B"/>
    <w:rsid w:val="002F6639"/>
    <w:rsid w:val="002F6CD2"/>
    <w:rsid w:val="002F70F8"/>
    <w:rsid w:val="002F7759"/>
    <w:rsid w:val="003007C4"/>
    <w:rsid w:val="00300C0E"/>
    <w:rsid w:val="00300E67"/>
    <w:rsid w:val="00300F19"/>
    <w:rsid w:val="00301410"/>
    <w:rsid w:val="00301A56"/>
    <w:rsid w:val="00302687"/>
    <w:rsid w:val="00302A68"/>
    <w:rsid w:val="00302AE8"/>
    <w:rsid w:val="00302EC3"/>
    <w:rsid w:val="003032FA"/>
    <w:rsid w:val="00303366"/>
    <w:rsid w:val="00303526"/>
    <w:rsid w:val="0030358B"/>
    <w:rsid w:val="003036FB"/>
    <w:rsid w:val="003037E6"/>
    <w:rsid w:val="00303A6A"/>
    <w:rsid w:val="00303CCB"/>
    <w:rsid w:val="00303D4B"/>
    <w:rsid w:val="00303E71"/>
    <w:rsid w:val="00304266"/>
    <w:rsid w:val="00304A5A"/>
    <w:rsid w:val="00304A94"/>
    <w:rsid w:val="00304CD0"/>
    <w:rsid w:val="00304F5E"/>
    <w:rsid w:val="00305049"/>
    <w:rsid w:val="0030504D"/>
    <w:rsid w:val="003050A6"/>
    <w:rsid w:val="0030510B"/>
    <w:rsid w:val="0030536E"/>
    <w:rsid w:val="003053D2"/>
    <w:rsid w:val="0030541F"/>
    <w:rsid w:val="00305DEC"/>
    <w:rsid w:val="00305EEC"/>
    <w:rsid w:val="003060E2"/>
    <w:rsid w:val="0030622D"/>
    <w:rsid w:val="00307CA9"/>
    <w:rsid w:val="00307EE5"/>
    <w:rsid w:val="00310288"/>
    <w:rsid w:val="003109D3"/>
    <w:rsid w:val="00310B73"/>
    <w:rsid w:val="00310D90"/>
    <w:rsid w:val="00311032"/>
    <w:rsid w:val="003112D2"/>
    <w:rsid w:val="00311546"/>
    <w:rsid w:val="00311C20"/>
    <w:rsid w:val="00311C5F"/>
    <w:rsid w:val="00312735"/>
    <w:rsid w:val="00312DEF"/>
    <w:rsid w:val="0031309A"/>
    <w:rsid w:val="003135F9"/>
    <w:rsid w:val="00313AE8"/>
    <w:rsid w:val="003140A2"/>
    <w:rsid w:val="003146F8"/>
    <w:rsid w:val="00314900"/>
    <w:rsid w:val="00314BDB"/>
    <w:rsid w:val="0031503A"/>
    <w:rsid w:val="0031545C"/>
    <w:rsid w:val="00315943"/>
    <w:rsid w:val="00315C0F"/>
    <w:rsid w:val="003160B6"/>
    <w:rsid w:val="00316134"/>
    <w:rsid w:val="00316433"/>
    <w:rsid w:val="00317105"/>
    <w:rsid w:val="003172B3"/>
    <w:rsid w:val="003174E1"/>
    <w:rsid w:val="00320264"/>
    <w:rsid w:val="00320362"/>
    <w:rsid w:val="003203A1"/>
    <w:rsid w:val="0032043F"/>
    <w:rsid w:val="00321541"/>
    <w:rsid w:val="00322318"/>
    <w:rsid w:val="00322654"/>
    <w:rsid w:val="00322989"/>
    <w:rsid w:val="00322BD1"/>
    <w:rsid w:val="00322C28"/>
    <w:rsid w:val="003236D6"/>
    <w:rsid w:val="00323A1B"/>
    <w:rsid w:val="00323B62"/>
    <w:rsid w:val="00323D37"/>
    <w:rsid w:val="00323D64"/>
    <w:rsid w:val="00323FE3"/>
    <w:rsid w:val="00324284"/>
    <w:rsid w:val="00324347"/>
    <w:rsid w:val="0032434F"/>
    <w:rsid w:val="00324688"/>
    <w:rsid w:val="003249AA"/>
    <w:rsid w:val="00325049"/>
    <w:rsid w:val="0032511C"/>
    <w:rsid w:val="0032589E"/>
    <w:rsid w:val="00325E54"/>
    <w:rsid w:val="0032640C"/>
    <w:rsid w:val="003267C2"/>
    <w:rsid w:val="003269AD"/>
    <w:rsid w:val="00326B10"/>
    <w:rsid w:val="00326FAB"/>
    <w:rsid w:val="00327CEE"/>
    <w:rsid w:val="0033011F"/>
    <w:rsid w:val="003306B3"/>
    <w:rsid w:val="00330ABC"/>
    <w:rsid w:val="00330C70"/>
    <w:rsid w:val="0033153D"/>
    <w:rsid w:val="00331A60"/>
    <w:rsid w:val="00331B9B"/>
    <w:rsid w:val="00331C5F"/>
    <w:rsid w:val="0033229A"/>
    <w:rsid w:val="003329B1"/>
    <w:rsid w:val="00332B71"/>
    <w:rsid w:val="00332BDA"/>
    <w:rsid w:val="0033360D"/>
    <w:rsid w:val="00333814"/>
    <w:rsid w:val="00333887"/>
    <w:rsid w:val="0033409E"/>
    <w:rsid w:val="003342B4"/>
    <w:rsid w:val="003345F7"/>
    <w:rsid w:val="00334614"/>
    <w:rsid w:val="003348C5"/>
    <w:rsid w:val="00334F0E"/>
    <w:rsid w:val="00335381"/>
    <w:rsid w:val="0033550F"/>
    <w:rsid w:val="003356C8"/>
    <w:rsid w:val="003356CE"/>
    <w:rsid w:val="0033590A"/>
    <w:rsid w:val="00335D86"/>
    <w:rsid w:val="00335E1B"/>
    <w:rsid w:val="00336571"/>
    <w:rsid w:val="00336927"/>
    <w:rsid w:val="00336AED"/>
    <w:rsid w:val="00336EC9"/>
    <w:rsid w:val="0033764B"/>
    <w:rsid w:val="003379F0"/>
    <w:rsid w:val="00340F2C"/>
    <w:rsid w:val="003412FE"/>
    <w:rsid w:val="0034157C"/>
    <w:rsid w:val="00341C9C"/>
    <w:rsid w:val="003425FB"/>
    <w:rsid w:val="003431B4"/>
    <w:rsid w:val="00343502"/>
    <w:rsid w:val="00343510"/>
    <w:rsid w:val="0034434D"/>
    <w:rsid w:val="0034464C"/>
    <w:rsid w:val="00344AC1"/>
    <w:rsid w:val="00344BCE"/>
    <w:rsid w:val="00344DD1"/>
    <w:rsid w:val="00345158"/>
    <w:rsid w:val="0034565B"/>
    <w:rsid w:val="00345E08"/>
    <w:rsid w:val="00346309"/>
    <w:rsid w:val="00346E2C"/>
    <w:rsid w:val="00346EE1"/>
    <w:rsid w:val="003479FE"/>
    <w:rsid w:val="00347D63"/>
    <w:rsid w:val="00347E07"/>
    <w:rsid w:val="00347E5B"/>
    <w:rsid w:val="0035061C"/>
    <w:rsid w:val="00350B4F"/>
    <w:rsid w:val="00351170"/>
    <w:rsid w:val="00351176"/>
    <w:rsid w:val="00351537"/>
    <w:rsid w:val="00351662"/>
    <w:rsid w:val="003518EE"/>
    <w:rsid w:val="00351B38"/>
    <w:rsid w:val="00352054"/>
    <w:rsid w:val="0035225C"/>
    <w:rsid w:val="003522D9"/>
    <w:rsid w:val="00352418"/>
    <w:rsid w:val="003524D5"/>
    <w:rsid w:val="00352970"/>
    <w:rsid w:val="00352C85"/>
    <w:rsid w:val="00353561"/>
    <w:rsid w:val="003536BF"/>
    <w:rsid w:val="003538BB"/>
    <w:rsid w:val="0035458B"/>
    <w:rsid w:val="003545D7"/>
    <w:rsid w:val="003550E7"/>
    <w:rsid w:val="00355145"/>
    <w:rsid w:val="003551B4"/>
    <w:rsid w:val="0035546E"/>
    <w:rsid w:val="00355657"/>
    <w:rsid w:val="0035568C"/>
    <w:rsid w:val="003557CE"/>
    <w:rsid w:val="003559B9"/>
    <w:rsid w:val="00355F03"/>
    <w:rsid w:val="00356014"/>
    <w:rsid w:val="003562A6"/>
    <w:rsid w:val="00356589"/>
    <w:rsid w:val="003565E6"/>
    <w:rsid w:val="003566CB"/>
    <w:rsid w:val="00357461"/>
    <w:rsid w:val="00357656"/>
    <w:rsid w:val="0035787D"/>
    <w:rsid w:val="0035793F"/>
    <w:rsid w:val="00357AC9"/>
    <w:rsid w:val="00357BE5"/>
    <w:rsid w:val="00357F2B"/>
    <w:rsid w:val="00357F38"/>
    <w:rsid w:val="00360220"/>
    <w:rsid w:val="003602D2"/>
    <w:rsid w:val="0036033F"/>
    <w:rsid w:val="0036063F"/>
    <w:rsid w:val="00360839"/>
    <w:rsid w:val="003610D3"/>
    <w:rsid w:val="0036144A"/>
    <w:rsid w:val="00361577"/>
    <w:rsid w:val="00361747"/>
    <w:rsid w:val="00361788"/>
    <w:rsid w:val="00361842"/>
    <w:rsid w:val="003620A1"/>
    <w:rsid w:val="003622A5"/>
    <w:rsid w:val="00362707"/>
    <w:rsid w:val="0036285D"/>
    <w:rsid w:val="00362DC6"/>
    <w:rsid w:val="00362F15"/>
    <w:rsid w:val="00363090"/>
    <w:rsid w:val="0036337D"/>
    <w:rsid w:val="00363869"/>
    <w:rsid w:val="003640BE"/>
    <w:rsid w:val="003642E1"/>
    <w:rsid w:val="00364C6D"/>
    <w:rsid w:val="00364CAB"/>
    <w:rsid w:val="003652E7"/>
    <w:rsid w:val="003655F4"/>
    <w:rsid w:val="00365DB7"/>
    <w:rsid w:val="00366161"/>
    <w:rsid w:val="003662FC"/>
    <w:rsid w:val="003668C1"/>
    <w:rsid w:val="003675DF"/>
    <w:rsid w:val="003678F1"/>
    <w:rsid w:val="00367A4D"/>
    <w:rsid w:val="00367C03"/>
    <w:rsid w:val="00367CAE"/>
    <w:rsid w:val="00367DB2"/>
    <w:rsid w:val="00367E01"/>
    <w:rsid w:val="00367F69"/>
    <w:rsid w:val="0037156F"/>
    <w:rsid w:val="00371578"/>
    <w:rsid w:val="00372111"/>
    <w:rsid w:val="003722A8"/>
    <w:rsid w:val="00372B94"/>
    <w:rsid w:val="003731DA"/>
    <w:rsid w:val="0037353B"/>
    <w:rsid w:val="003736CC"/>
    <w:rsid w:val="00374058"/>
    <w:rsid w:val="00374433"/>
    <w:rsid w:val="00374516"/>
    <w:rsid w:val="00374979"/>
    <w:rsid w:val="00374A65"/>
    <w:rsid w:val="00374B63"/>
    <w:rsid w:val="00374DF8"/>
    <w:rsid w:val="00375085"/>
    <w:rsid w:val="00375EFA"/>
    <w:rsid w:val="00375EFC"/>
    <w:rsid w:val="0037720E"/>
    <w:rsid w:val="003775AB"/>
    <w:rsid w:val="003802A2"/>
    <w:rsid w:val="003808AF"/>
    <w:rsid w:val="00380A6E"/>
    <w:rsid w:val="00380ACF"/>
    <w:rsid w:val="00381026"/>
    <w:rsid w:val="003812CB"/>
    <w:rsid w:val="00381469"/>
    <w:rsid w:val="00381579"/>
    <w:rsid w:val="00381978"/>
    <w:rsid w:val="00381BFB"/>
    <w:rsid w:val="0038271B"/>
    <w:rsid w:val="00383090"/>
    <w:rsid w:val="0038392C"/>
    <w:rsid w:val="00383938"/>
    <w:rsid w:val="00383AEE"/>
    <w:rsid w:val="00383BE0"/>
    <w:rsid w:val="00383F91"/>
    <w:rsid w:val="003840FE"/>
    <w:rsid w:val="00384697"/>
    <w:rsid w:val="003848F2"/>
    <w:rsid w:val="00384D1E"/>
    <w:rsid w:val="00384E70"/>
    <w:rsid w:val="0038503E"/>
    <w:rsid w:val="00385682"/>
    <w:rsid w:val="00385B11"/>
    <w:rsid w:val="0038603D"/>
    <w:rsid w:val="003861B1"/>
    <w:rsid w:val="00386370"/>
    <w:rsid w:val="00386481"/>
    <w:rsid w:val="0038660B"/>
    <w:rsid w:val="0038692A"/>
    <w:rsid w:val="00386D28"/>
    <w:rsid w:val="00386EAE"/>
    <w:rsid w:val="00387CB3"/>
    <w:rsid w:val="003903DB"/>
    <w:rsid w:val="00391494"/>
    <w:rsid w:val="00391BB2"/>
    <w:rsid w:val="003923EC"/>
    <w:rsid w:val="003926C8"/>
    <w:rsid w:val="00392CE8"/>
    <w:rsid w:val="00392F65"/>
    <w:rsid w:val="00393073"/>
    <w:rsid w:val="003930F9"/>
    <w:rsid w:val="0039372E"/>
    <w:rsid w:val="00393873"/>
    <w:rsid w:val="00394347"/>
    <w:rsid w:val="00394A43"/>
    <w:rsid w:val="00394B6E"/>
    <w:rsid w:val="00394C1E"/>
    <w:rsid w:val="0039636C"/>
    <w:rsid w:val="00396A10"/>
    <w:rsid w:val="00396F62"/>
    <w:rsid w:val="0039724E"/>
    <w:rsid w:val="00397314"/>
    <w:rsid w:val="00397C0D"/>
    <w:rsid w:val="00397CE9"/>
    <w:rsid w:val="00397E1C"/>
    <w:rsid w:val="00397EB2"/>
    <w:rsid w:val="00397F95"/>
    <w:rsid w:val="00397FFB"/>
    <w:rsid w:val="003A068D"/>
    <w:rsid w:val="003A0A7F"/>
    <w:rsid w:val="003A15CF"/>
    <w:rsid w:val="003A15D4"/>
    <w:rsid w:val="003A1855"/>
    <w:rsid w:val="003A1EEF"/>
    <w:rsid w:val="003A21F5"/>
    <w:rsid w:val="003A25AF"/>
    <w:rsid w:val="003A2862"/>
    <w:rsid w:val="003A2985"/>
    <w:rsid w:val="003A3054"/>
    <w:rsid w:val="003A3087"/>
    <w:rsid w:val="003A3E65"/>
    <w:rsid w:val="003A42F3"/>
    <w:rsid w:val="003A4308"/>
    <w:rsid w:val="003A4840"/>
    <w:rsid w:val="003A4BDF"/>
    <w:rsid w:val="003A4C37"/>
    <w:rsid w:val="003A4DF3"/>
    <w:rsid w:val="003A5701"/>
    <w:rsid w:val="003A5A75"/>
    <w:rsid w:val="003A63A6"/>
    <w:rsid w:val="003A6711"/>
    <w:rsid w:val="003A6812"/>
    <w:rsid w:val="003A6D1A"/>
    <w:rsid w:val="003A719E"/>
    <w:rsid w:val="003A7248"/>
    <w:rsid w:val="003A79E2"/>
    <w:rsid w:val="003A7C2E"/>
    <w:rsid w:val="003A7CF0"/>
    <w:rsid w:val="003A7E13"/>
    <w:rsid w:val="003B0269"/>
    <w:rsid w:val="003B0D3B"/>
    <w:rsid w:val="003B1121"/>
    <w:rsid w:val="003B133B"/>
    <w:rsid w:val="003B1458"/>
    <w:rsid w:val="003B1BF7"/>
    <w:rsid w:val="003B1ED6"/>
    <w:rsid w:val="003B2010"/>
    <w:rsid w:val="003B209C"/>
    <w:rsid w:val="003B227D"/>
    <w:rsid w:val="003B26E4"/>
    <w:rsid w:val="003B2AF4"/>
    <w:rsid w:val="003B2CAF"/>
    <w:rsid w:val="003B2F69"/>
    <w:rsid w:val="003B3DC1"/>
    <w:rsid w:val="003B40B7"/>
    <w:rsid w:val="003B4254"/>
    <w:rsid w:val="003B43F5"/>
    <w:rsid w:val="003B49F1"/>
    <w:rsid w:val="003B4CDE"/>
    <w:rsid w:val="003B4DA2"/>
    <w:rsid w:val="003B511E"/>
    <w:rsid w:val="003B5226"/>
    <w:rsid w:val="003B5667"/>
    <w:rsid w:val="003B59ED"/>
    <w:rsid w:val="003B6FFE"/>
    <w:rsid w:val="003B7268"/>
    <w:rsid w:val="003B7568"/>
    <w:rsid w:val="003B77EB"/>
    <w:rsid w:val="003B7B82"/>
    <w:rsid w:val="003C04DB"/>
    <w:rsid w:val="003C081F"/>
    <w:rsid w:val="003C0901"/>
    <w:rsid w:val="003C090F"/>
    <w:rsid w:val="003C0FFD"/>
    <w:rsid w:val="003C14CC"/>
    <w:rsid w:val="003C189E"/>
    <w:rsid w:val="003C245C"/>
    <w:rsid w:val="003C265C"/>
    <w:rsid w:val="003C267D"/>
    <w:rsid w:val="003C281C"/>
    <w:rsid w:val="003C28AB"/>
    <w:rsid w:val="003C2919"/>
    <w:rsid w:val="003C2A4E"/>
    <w:rsid w:val="003C2ECB"/>
    <w:rsid w:val="003C336D"/>
    <w:rsid w:val="003C39FD"/>
    <w:rsid w:val="003C44C7"/>
    <w:rsid w:val="003C4A6A"/>
    <w:rsid w:val="003C57BB"/>
    <w:rsid w:val="003C57E9"/>
    <w:rsid w:val="003C6059"/>
    <w:rsid w:val="003C61C2"/>
    <w:rsid w:val="003C6228"/>
    <w:rsid w:val="003C62D4"/>
    <w:rsid w:val="003C6771"/>
    <w:rsid w:val="003C6E85"/>
    <w:rsid w:val="003C6EC6"/>
    <w:rsid w:val="003C7501"/>
    <w:rsid w:val="003C7D50"/>
    <w:rsid w:val="003D0CC7"/>
    <w:rsid w:val="003D0E5F"/>
    <w:rsid w:val="003D0FBC"/>
    <w:rsid w:val="003D1061"/>
    <w:rsid w:val="003D1400"/>
    <w:rsid w:val="003D1431"/>
    <w:rsid w:val="003D1973"/>
    <w:rsid w:val="003D1B15"/>
    <w:rsid w:val="003D1F34"/>
    <w:rsid w:val="003D1FD6"/>
    <w:rsid w:val="003D21FA"/>
    <w:rsid w:val="003D293E"/>
    <w:rsid w:val="003D2B69"/>
    <w:rsid w:val="003D30A5"/>
    <w:rsid w:val="003D372C"/>
    <w:rsid w:val="003D3840"/>
    <w:rsid w:val="003D40ED"/>
    <w:rsid w:val="003D428F"/>
    <w:rsid w:val="003D45CD"/>
    <w:rsid w:val="003D4B70"/>
    <w:rsid w:val="003D50C6"/>
    <w:rsid w:val="003D550F"/>
    <w:rsid w:val="003D5860"/>
    <w:rsid w:val="003D5C53"/>
    <w:rsid w:val="003D5C86"/>
    <w:rsid w:val="003D5F1A"/>
    <w:rsid w:val="003D5F1D"/>
    <w:rsid w:val="003D6220"/>
    <w:rsid w:val="003D66BC"/>
    <w:rsid w:val="003D674F"/>
    <w:rsid w:val="003D6791"/>
    <w:rsid w:val="003D79A1"/>
    <w:rsid w:val="003E01ED"/>
    <w:rsid w:val="003E0A32"/>
    <w:rsid w:val="003E0BCD"/>
    <w:rsid w:val="003E1603"/>
    <w:rsid w:val="003E1AA4"/>
    <w:rsid w:val="003E1CF5"/>
    <w:rsid w:val="003E20F5"/>
    <w:rsid w:val="003E2155"/>
    <w:rsid w:val="003E2634"/>
    <w:rsid w:val="003E2964"/>
    <w:rsid w:val="003E31E2"/>
    <w:rsid w:val="003E33CC"/>
    <w:rsid w:val="003E3493"/>
    <w:rsid w:val="003E3EF2"/>
    <w:rsid w:val="003E41CF"/>
    <w:rsid w:val="003E461F"/>
    <w:rsid w:val="003E47E8"/>
    <w:rsid w:val="003E4B13"/>
    <w:rsid w:val="003E4F6E"/>
    <w:rsid w:val="003E536A"/>
    <w:rsid w:val="003E53E1"/>
    <w:rsid w:val="003E5A42"/>
    <w:rsid w:val="003E5BBA"/>
    <w:rsid w:val="003E5D72"/>
    <w:rsid w:val="003E5DB6"/>
    <w:rsid w:val="003E5E4B"/>
    <w:rsid w:val="003E5FDD"/>
    <w:rsid w:val="003E61AB"/>
    <w:rsid w:val="003E623A"/>
    <w:rsid w:val="003E627B"/>
    <w:rsid w:val="003E62B1"/>
    <w:rsid w:val="003E63A7"/>
    <w:rsid w:val="003E65C0"/>
    <w:rsid w:val="003E6B6B"/>
    <w:rsid w:val="003E6C9C"/>
    <w:rsid w:val="003E6F16"/>
    <w:rsid w:val="003E727A"/>
    <w:rsid w:val="003E73E8"/>
    <w:rsid w:val="003E7705"/>
    <w:rsid w:val="003E77E6"/>
    <w:rsid w:val="003F01A1"/>
    <w:rsid w:val="003F0BBE"/>
    <w:rsid w:val="003F0D6E"/>
    <w:rsid w:val="003F0E95"/>
    <w:rsid w:val="003F120D"/>
    <w:rsid w:val="003F1B75"/>
    <w:rsid w:val="003F1BAA"/>
    <w:rsid w:val="003F1F7D"/>
    <w:rsid w:val="003F2183"/>
    <w:rsid w:val="003F239B"/>
    <w:rsid w:val="003F2804"/>
    <w:rsid w:val="003F3299"/>
    <w:rsid w:val="003F3BC1"/>
    <w:rsid w:val="003F4341"/>
    <w:rsid w:val="003F48AA"/>
    <w:rsid w:val="003F4AD6"/>
    <w:rsid w:val="003F4D7F"/>
    <w:rsid w:val="003F4D99"/>
    <w:rsid w:val="003F5166"/>
    <w:rsid w:val="003F62AE"/>
    <w:rsid w:val="003F66B2"/>
    <w:rsid w:val="003F67A6"/>
    <w:rsid w:val="003F6AD1"/>
    <w:rsid w:val="003F6B1B"/>
    <w:rsid w:val="003F6E99"/>
    <w:rsid w:val="003F7029"/>
    <w:rsid w:val="003F7158"/>
    <w:rsid w:val="003F7313"/>
    <w:rsid w:val="003F76BD"/>
    <w:rsid w:val="003F7BC6"/>
    <w:rsid w:val="00400342"/>
    <w:rsid w:val="00400791"/>
    <w:rsid w:val="00400B6F"/>
    <w:rsid w:val="00400D63"/>
    <w:rsid w:val="00400DDF"/>
    <w:rsid w:val="00400F4E"/>
    <w:rsid w:val="0040153B"/>
    <w:rsid w:val="00401EDA"/>
    <w:rsid w:val="0040211E"/>
    <w:rsid w:val="004029AA"/>
    <w:rsid w:val="00402A55"/>
    <w:rsid w:val="00402B67"/>
    <w:rsid w:val="00403098"/>
    <w:rsid w:val="00403514"/>
    <w:rsid w:val="00403726"/>
    <w:rsid w:val="00403AA4"/>
    <w:rsid w:val="00403AEE"/>
    <w:rsid w:val="00403BB0"/>
    <w:rsid w:val="0040505B"/>
    <w:rsid w:val="00405301"/>
    <w:rsid w:val="0040533B"/>
    <w:rsid w:val="00405345"/>
    <w:rsid w:val="004053A0"/>
    <w:rsid w:val="004057C7"/>
    <w:rsid w:val="00405C72"/>
    <w:rsid w:val="00405F3A"/>
    <w:rsid w:val="004065BA"/>
    <w:rsid w:val="00406C84"/>
    <w:rsid w:val="00406CD6"/>
    <w:rsid w:val="00406F9B"/>
    <w:rsid w:val="004071CC"/>
    <w:rsid w:val="00407235"/>
    <w:rsid w:val="0040731B"/>
    <w:rsid w:val="00407348"/>
    <w:rsid w:val="00407534"/>
    <w:rsid w:val="00410177"/>
    <w:rsid w:val="00411145"/>
    <w:rsid w:val="00412592"/>
    <w:rsid w:val="004125A8"/>
    <w:rsid w:val="004125EA"/>
    <w:rsid w:val="00412E09"/>
    <w:rsid w:val="00412E7E"/>
    <w:rsid w:val="00412EAC"/>
    <w:rsid w:val="00412F25"/>
    <w:rsid w:val="00413874"/>
    <w:rsid w:val="00414166"/>
    <w:rsid w:val="004147EC"/>
    <w:rsid w:val="00414A19"/>
    <w:rsid w:val="00414BC2"/>
    <w:rsid w:val="00414EA9"/>
    <w:rsid w:val="0041541B"/>
    <w:rsid w:val="00415725"/>
    <w:rsid w:val="004157C1"/>
    <w:rsid w:val="00415904"/>
    <w:rsid w:val="004159F8"/>
    <w:rsid w:val="0041607B"/>
    <w:rsid w:val="00416413"/>
    <w:rsid w:val="00416512"/>
    <w:rsid w:val="00416A5E"/>
    <w:rsid w:val="00417263"/>
    <w:rsid w:val="004173C0"/>
    <w:rsid w:val="0041760A"/>
    <w:rsid w:val="00417A69"/>
    <w:rsid w:val="00417B3C"/>
    <w:rsid w:val="00417C89"/>
    <w:rsid w:val="00417D34"/>
    <w:rsid w:val="00417EA7"/>
    <w:rsid w:val="00420060"/>
    <w:rsid w:val="0042018F"/>
    <w:rsid w:val="00420990"/>
    <w:rsid w:val="004209AD"/>
    <w:rsid w:val="00420B54"/>
    <w:rsid w:val="00421365"/>
    <w:rsid w:val="004214EC"/>
    <w:rsid w:val="00422927"/>
    <w:rsid w:val="00422BC1"/>
    <w:rsid w:val="00422BF5"/>
    <w:rsid w:val="0042307B"/>
    <w:rsid w:val="00423C46"/>
    <w:rsid w:val="00423F03"/>
    <w:rsid w:val="004241FE"/>
    <w:rsid w:val="0042429C"/>
    <w:rsid w:val="0042439F"/>
    <w:rsid w:val="004251EE"/>
    <w:rsid w:val="0042526E"/>
    <w:rsid w:val="00425ABA"/>
    <w:rsid w:val="00425DB7"/>
    <w:rsid w:val="00425E37"/>
    <w:rsid w:val="004261FB"/>
    <w:rsid w:val="0042660B"/>
    <w:rsid w:val="00426B6F"/>
    <w:rsid w:val="00426F07"/>
    <w:rsid w:val="00426FE2"/>
    <w:rsid w:val="004278C8"/>
    <w:rsid w:val="0043014B"/>
    <w:rsid w:val="0043080B"/>
    <w:rsid w:val="004312EA"/>
    <w:rsid w:val="004314BD"/>
    <w:rsid w:val="004316C2"/>
    <w:rsid w:val="004318CF"/>
    <w:rsid w:val="00431A05"/>
    <w:rsid w:val="00431BDA"/>
    <w:rsid w:val="00431E8F"/>
    <w:rsid w:val="004320DC"/>
    <w:rsid w:val="00432108"/>
    <w:rsid w:val="00432152"/>
    <w:rsid w:val="004329A1"/>
    <w:rsid w:val="00432D6A"/>
    <w:rsid w:val="00433158"/>
    <w:rsid w:val="004331CA"/>
    <w:rsid w:val="00433A00"/>
    <w:rsid w:val="00434198"/>
    <w:rsid w:val="00434611"/>
    <w:rsid w:val="00434917"/>
    <w:rsid w:val="00434F24"/>
    <w:rsid w:val="0043546F"/>
    <w:rsid w:val="00435498"/>
    <w:rsid w:val="0043575C"/>
    <w:rsid w:val="00435800"/>
    <w:rsid w:val="00435DCE"/>
    <w:rsid w:val="004361D7"/>
    <w:rsid w:val="0043662A"/>
    <w:rsid w:val="00436790"/>
    <w:rsid w:val="00436862"/>
    <w:rsid w:val="0043697B"/>
    <w:rsid w:val="00437041"/>
    <w:rsid w:val="00437354"/>
    <w:rsid w:val="00437455"/>
    <w:rsid w:val="00437E6F"/>
    <w:rsid w:val="004401DD"/>
    <w:rsid w:val="0044042B"/>
    <w:rsid w:val="00440C64"/>
    <w:rsid w:val="0044106E"/>
    <w:rsid w:val="004410E7"/>
    <w:rsid w:val="00441152"/>
    <w:rsid w:val="004415EF"/>
    <w:rsid w:val="00441D5C"/>
    <w:rsid w:val="00441D5E"/>
    <w:rsid w:val="00442418"/>
    <w:rsid w:val="0044256A"/>
    <w:rsid w:val="004425E4"/>
    <w:rsid w:val="004426AD"/>
    <w:rsid w:val="004429BD"/>
    <w:rsid w:val="00442A90"/>
    <w:rsid w:val="00442DD2"/>
    <w:rsid w:val="00442F7B"/>
    <w:rsid w:val="00443FF0"/>
    <w:rsid w:val="0044419E"/>
    <w:rsid w:val="004448ED"/>
    <w:rsid w:val="00445304"/>
    <w:rsid w:val="0044556A"/>
    <w:rsid w:val="00446562"/>
    <w:rsid w:val="0044696A"/>
    <w:rsid w:val="00446B2E"/>
    <w:rsid w:val="00446D10"/>
    <w:rsid w:val="00446F55"/>
    <w:rsid w:val="004473DF"/>
    <w:rsid w:val="00447B06"/>
    <w:rsid w:val="00447B21"/>
    <w:rsid w:val="0045031E"/>
    <w:rsid w:val="00450400"/>
    <w:rsid w:val="00450421"/>
    <w:rsid w:val="00450683"/>
    <w:rsid w:val="00450D3F"/>
    <w:rsid w:val="00451776"/>
    <w:rsid w:val="00451992"/>
    <w:rsid w:val="00451D7A"/>
    <w:rsid w:val="00451FBE"/>
    <w:rsid w:val="00451FEF"/>
    <w:rsid w:val="004520F9"/>
    <w:rsid w:val="004523DD"/>
    <w:rsid w:val="00452A56"/>
    <w:rsid w:val="00453102"/>
    <w:rsid w:val="00453272"/>
    <w:rsid w:val="00453C5C"/>
    <w:rsid w:val="00453E34"/>
    <w:rsid w:val="004542B5"/>
    <w:rsid w:val="004542FA"/>
    <w:rsid w:val="004549CE"/>
    <w:rsid w:val="00454A41"/>
    <w:rsid w:val="00454B7C"/>
    <w:rsid w:val="00454F65"/>
    <w:rsid w:val="004556E6"/>
    <w:rsid w:val="00455EAA"/>
    <w:rsid w:val="0045603B"/>
    <w:rsid w:val="00456442"/>
    <w:rsid w:val="00456A0F"/>
    <w:rsid w:val="00456DD6"/>
    <w:rsid w:val="00456FD5"/>
    <w:rsid w:val="00457945"/>
    <w:rsid w:val="00457A04"/>
    <w:rsid w:val="00457A8B"/>
    <w:rsid w:val="00457AFB"/>
    <w:rsid w:val="004602BD"/>
    <w:rsid w:val="004604B4"/>
    <w:rsid w:val="00460B29"/>
    <w:rsid w:val="00460D87"/>
    <w:rsid w:val="00461896"/>
    <w:rsid w:val="00462537"/>
    <w:rsid w:val="0046309C"/>
    <w:rsid w:val="00463407"/>
    <w:rsid w:val="0046341C"/>
    <w:rsid w:val="004637AB"/>
    <w:rsid w:val="004638B3"/>
    <w:rsid w:val="00463AC8"/>
    <w:rsid w:val="004641B4"/>
    <w:rsid w:val="004641E7"/>
    <w:rsid w:val="004647A2"/>
    <w:rsid w:val="00464B39"/>
    <w:rsid w:val="00465321"/>
    <w:rsid w:val="004653F6"/>
    <w:rsid w:val="00465846"/>
    <w:rsid w:val="00465F09"/>
    <w:rsid w:val="00466757"/>
    <w:rsid w:val="004667F2"/>
    <w:rsid w:val="004669E8"/>
    <w:rsid w:val="00467A7C"/>
    <w:rsid w:val="00470198"/>
    <w:rsid w:val="00470417"/>
    <w:rsid w:val="004705EA"/>
    <w:rsid w:val="00470EA1"/>
    <w:rsid w:val="00470F19"/>
    <w:rsid w:val="004710B3"/>
    <w:rsid w:val="00471437"/>
    <w:rsid w:val="00471481"/>
    <w:rsid w:val="00471651"/>
    <w:rsid w:val="00471858"/>
    <w:rsid w:val="004722B7"/>
    <w:rsid w:val="00472A2A"/>
    <w:rsid w:val="0047355B"/>
    <w:rsid w:val="004738CF"/>
    <w:rsid w:val="00473A0E"/>
    <w:rsid w:val="00473A53"/>
    <w:rsid w:val="00473B01"/>
    <w:rsid w:val="00473F81"/>
    <w:rsid w:val="00473FE0"/>
    <w:rsid w:val="004741A7"/>
    <w:rsid w:val="00474D34"/>
    <w:rsid w:val="00474F49"/>
    <w:rsid w:val="004753D8"/>
    <w:rsid w:val="004754A9"/>
    <w:rsid w:val="004757F6"/>
    <w:rsid w:val="00475B88"/>
    <w:rsid w:val="00475DD3"/>
    <w:rsid w:val="00475F3C"/>
    <w:rsid w:val="004764F7"/>
    <w:rsid w:val="00476739"/>
    <w:rsid w:val="004779BB"/>
    <w:rsid w:val="00477E4C"/>
    <w:rsid w:val="00480377"/>
    <w:rsid w:val="00480F46"/>
    <w:rsid w:val="004811EB"/>
    <w:rsid w:val="00481210"/>
    <w:rsid w:val="0048155C"/>
    <w:rsid w:val="0048161C"/>
    <w:rsid w:val="00481AB1"/>
    <w:rsid w:val="00482231"/>
    <w:rsid w:val="0048232F"/>
    <w:rsid w:val="004823C3"/>
    <w:rsid w:val="0048243A"/>
    <w:rsid w:val="004833D2"/>
    <w:rsid w:val="0048398A"/>
    <w:rsid w:val="00483B89"/>
    <w:rsid w:val="00483F6F"/>
    <w:rsid w:val="004841AC"/>
    <w:rsid w:val="0048484E"/>
    <w:rsid w:val="00484E05"/>
    <w:rsid w:val="00485371"/>
    <w:rsid w:val="004853B0"/>
    <w:rsid w:val="00485BD6"/>
    <w:rsid w:val="004868B9"/>
    <w:rsid w:val="00486B65"/>
    <w:rsid w:val="00487506"/>
    <w:rsid w:val="004900B9"/>
    <w:rsid w:val="00490B6F"/>
    <w:rsid w:val="00490E5C"/>
    <w:rsid w:val="004919F4"/>
    <w:rsid w:val="00491BCC"/>
    <w:rsid w:val="00491E36"/>
    <w:rsid w:val="00491FED"/>
    <w:rsid w:val="0049255C"/>
    <w:rsid w:val="00492766"/>
    <w:rsid w:val="00493307"/>
    <w:rsid w:val="00493364"/>
    <w:rsid w:val="00494359"/>
    <w:rsid w:val="004943B7"/>
    <w:rsid w:val="004945A8"/>
    <w:rsid w:val="00494765"/>
    <w:rsid w:val="0049476B"/>
    <w:rsid w:val="004955C8"/>
    <w:rsid w:val="0049560F"/>
    <w:rsid w:val="004957C0"/>
    <w:rsid w:val="00495975"/>
    <w:rsid w:val="00495BC2"/>
    <w:rsid w:val="004967ED"/>
    <w:rsid w:val="0049686C"/>
    <w:rsid w:val="00496B58"/>
    <w:rsid w:val="00496D71"/>
    <w:rsid w:val="00496DA3"/>
    <w:rsid w:val="004978D5"/>
    <w:rsid w:val="00497AFB"/>
    <w:rsid w:val="00497C17"/>
    <w:rsid w:val="004A1372"/>
    <w:rsid w:val="004A1B09"/>
    <w:rsid w:val="004A27B2"/>
    <w:rsid w:val="004A2A2B"/>
    <w:rsid w:val="004A2B1E"/>
    <w:rsid w:val="004A2B43"/>
    <w:rsid w:val="004A36A4"/>
    <w:rsid w:val="004A37A1"/>
    <w:rsid w:val="004A3F80"/>
    <w:rsid w:val="004A43C7"/>
    <w:rsid w:val="004A45E4"/>
    <w:rsid w:val="004A4866"/>
    <w:rsid w:val="004A5200"/>
    <w:rsid w:val="004A5EAD"/>
    <w:rsid w:val="004A60B1"/>
    <w:rsid w:val="004A659A"/>
    <w:rsid w:val="004A6780"/>
    <w:rsid w:val="004A6888"/>
    <w:rsid w:val="004A6D3A"/>
    <w:rsid w:val="004A6DB6"/>
    <w:rsid w:val="004A6DBD"/>
    <w:rsid w:val="004A7658"/>
    <w:rsid w:val="004B00B1"/>
    <w:rsid w:val="004B0A72"/>
    <w:rsid w:val="004B0CAA"/>
    <w:rsid w:val="004B0DE3"/>
    <w:rsid w:val="004B106E"/>
    <w:rsid w:val="004B11C9"/>
    <w:rsid w:val="004B1C21"/>
    <w:rsid w:val="004B1F4E"/>
    <w:rsid w:val="004B1F93"/>
    <w:rsid w:val="004B20AE"/>
    <w:rsid w:val="004B2803"/>
    <w:rsid w:val="004B29F2"/>
    <w:rsid w:val="004B31F8"/>
    <w:rsid w:val="004B3256"/>
    <w:rsid w:val="004B3F5E"/>
    <w:rsid w:val="004B479F"/>
    <w:rsid w:val="004B4ACA"/>
    <w:rsid w:val="004B4BCF"/>
    <w:rsid w:val="004B4CE5"/>
    <w:rsid w:val="004B50A9"/>
    <w:rsid w:val="004B5206"/>
    <w:rsid w:val="004B5994"/>
    <w:rsid w:val="004B5B1F"/>
    <w:rsid w:val="004B5DA5"/>
    <w:rsid w:val="004B6417"/>
    <w:rsid w:val="004B64B3"/>
    <w:rsid w:val="004B70F6"/>
    <w:rsid w:val="004B7A58"/>
    <w:rsid w:val="004C0322"/>
    <w:rsid w:val="004C04A1"/>
    <w:rsid w:val="004C0CAC"/>
    <w:rsid w:val="004C1112"/>
    <w:rsid w:val="004C1188"/>
    <w:rsid w:val="004C1231"/>
    <w:rsid w:val="004C132C"/>
    <w:rsid w:val="004C14A5"/>
    <w:rsid w:val="004C16D6"/>
    <w:rsid w:val="004C17BE"/>
    <w:rsid w:val="004C1AC7"/>
    <w:rsid w:val="004C1B3B"/>
    <w:rsid w:val="004C1E42"/>
    <w:rsid w:val="004C2243"/>
    <w:rsid w:val="004C24BC"/>
    <w:rsid w:val="004C34FB"/>
    <w:rsid w:val="004C3670"/>
    <w:rsid w:val="004C369B"/>
    <w:rsid w:val="004C371F"/>
    <w:rsid w:val="004C3A06"/>
    <w:rsid w:val="004C418E"/>
    <w:rsid w:val="004C4310"/>
    <w:rsid w:val="004C52A9"/>
    <w:rsid w:val="004C578C"/>
    <w:rsid w:val="004C58CD"/>
    <w:rsid w:val="004C5A09"/>
    <w:rsid w:val="004C5ABB"/>
    <w:rsid w:val="004C5AC1"/>
    <w:rsid w:val="004C5CD4"/>
    <w:rsid w:val="004C5EA3"/>
    <w:rsid w:val="004C6859"/>
    <w:rsid w:val="004C6FC5"/>
    <w:rsid w:val="004C7BA6"/>
    <w:rsid w:val="004D0453"/>
    <w:rsid w:val="004D14D9"/>
    <w:rsid w:val="004D19BB"/>
    <w:rsid w:val="004D1DCA"/>
    <w:rsid w:val="004D1EC9"/>
    <w:rsid w:val="004D26EF"/>
    <w:rsid w:val="004D3C10"/>
    <w:rsid w:val="004D3CED"/>
    <w:rsid w:val="004D4209"/>
    <w:rsid w:val="004D43D0"/>
    <w:rsid w:val="004D49E4"/>
    <w:rsid w:val="004D4D89"/>
    <w:rsid w:val="004D5099"/>
    <w:rsid w:val="004D5336"/>
    <w:rsid w:val="004D5337"/>
    <w:rsid w:val="004D533C"/>
    <w:rsid w:val="004D53CE"/>
    <w:rsid w:val="004D55BF"/>
    <w:rsid w:val="004D5E6F"/>
    <w:rsid w:val="004D6014"/>
    <w:rsid w:val="004D688F"/>
    <w:rsid w:val="004D692D"/>
    <w:rsid w:val="004D6A2E"/>
    <w:rsid w:val="004D6BB1"/>
    <w:rsid w:val="004D6E87"/>
    <w:rsid w:val="004D7124"/>
    <w:rsid w:val="004D77C2"/>
    <w:rsid w:val="004E010C"/>
    <w:rsid w:val="004E025D"/>
    <w:rsid w:val="004E032C"/>
    <w:rsid w:val="004E03F5"/>
    <w:rsid w:val="004E05AD"/>
    <w:rsid w:val="004E0760"/>
    <w:rsid w:val="004E10AE"/>
    <w:rsid w:val="004E13D3"/>
    <w:rsid w:val="004E1A50"/>
    <w:rsid w:val="004E1E1C"/>
    <w:rsid w:val="004E295E"/>
    <w:rsid w:val="004E2AAD"/>
    <w:rsid w:val="004E2AD5"/>
    <w:rsid w:val="004E39D1"/>
    <w:rsid w:val="004E3ADA"/>
    <w:rsid w:val="004E3C80"/>
    <w:rsid w:val="004E3EAC"/>
    <w:rsid w:val="004E4094"/>
    <w:rsid w:val="004E4D21"/>
    <w:rsid w:val="004E5262"/>
    <w:rsid w:val="004E5334"/>
    <w:rsid w:val="004E5A5D"/>
    <w:rsid w:val="004E5E70"/>
    <w:rsid w:val="004E65CD"/>
    <w:rsid w:val="004E6C4B"/>
    <w:rsid w:val="004E6DF2"/>
    <w:rsid w:val="004E75A9"/>
    <w:rsid w:val="004E7CB9"/>
    <w:rsid w:val="004F03EF"/>
    <w:rsid w:val="004F0539"/>
    <w:rsid w:val="004F05C1"/>
    <w:rsid w:val="004F0756"/>
    <w:rsid w:val="004F07DA"/>
    <w:rsid w:val="004F0FD6"/>
    <w:rsid w:val="004F14CE"/>
    <w:rsid w:val="004F15E2"/>
    <w:rsid w:val="004F17A3"/>
    <w:rsid w:val="004F1D07"/>
    <w:rsid w:val="004F2530"/>
    <w:rsid w:val="004F2856"/>
    <w:rsid w:val="004F29EE"/>
    <w:rsid w:val="004F2CF5"/>
    <w:rsid w:val="004F2D40"/>
    <w:rsid w:val="004F2E81"/>
    <w:rsid w:val="004F2EB3"/>
    <w:rsid w:val="004F3832"/>
    <w:rsid w:val="004F3A01"/>
    <w:rsid w:val="004F410F"/>
    <w:rsid w:val="004F46E0"/>
    <w:rsid w:val="004F48D3"/>
    <w:rsid w:val="004F4D6A"/>
    <w:rsid w:val="004F615C"/>
    <w:rsid w:val="004F61AD"/>
    <w:rsid w:val="004F61BA"/>
    <w:rsid w:val="004F62FA"/>
    <w:rsid w:val="004F642A"/>
    <w:rsid w:val="004F6BB0"/>
    <w:rsid w:val="004F7AB8"/>
    <w:rsid w:val="004F7D6C"/>
    <w:rsid w:val="00500EEB"/>
    <w:rsid w:val="00501C49"/>
    <w:rsid w:val="00502071"/>
    <w:rsid w:val="00502A1B"/>
    <w:rsid w:val="00502F7C"/>
    <w:rsid w:val="005030FB"/>
    <w:rsid w:val="00503AE8"/>
    <w:rsid w:val="00504566"/>
    <w:rsid w:val="00504B36"/>
    <w:rsid w:val="005055D7"/>
    <w:rsid w:val="0050567D"/>
    <w:rsid w:val="00505A18"/>
    <w:rsid w:val="00506120"/>
    <w:rsid w:val="005063EF"/>
    <w:rsid w:val="00506954"/>
    <w:rsid w:val="00507C2F"/>
    <w:rsid w:val="00507CC0"/>
    <w:rsid w:val="005103C2"/>
    <w:rsid w:val="00510940"/>
    <w:rsid w:val="00510BA0"/>
    <w:rsid w:val="00510C0C"/>
    <w:rsid w:val="005112A0"/>
    <w:rsid w:val="00512200"/>
    <w:rsid w:val="0051225F"/>
    <w:rsid w:val="005123B0"/>
    <w:rsid w:val="0051251C"/>
    <w:rsid w:val="005129C5"/>
    <w:rsid w:val="00512E73"/>
    <w:rsid w:val="0051349F"/>
    <w:rsid w:val="00513652"/>
    <w:rsid w:val="00513831"/>
    <w:rsid w:val="00513833"/>
    <w:rsid w:val="00513E8F"/>
    <w:rsid w:val="00513EC1"/>
    <w:rsid w:val="00515C82"/>
    <w:rsid w:val="00515DF4"/>
    <w:rsid w:val="00516500"/>
    <w:rsid w:val="005167F0"/>
    <w:rsid w:val="00516B9C"/>
    <w:rsid w:val="00516CD1"/>
    <w:rsid w:val="005179E5"/>
    <w:rsid w:val="00517C1E"/>
    <w:rsid w:val="00517D80"/>
    <w:rsid w:val="005208A9"/>
    <w:rsid w:val="00520A6D"/>
    <w:rsid w:val="00520FC7"/>
    <w:rsid w:val="005212F9"/>
    <w:rsid w:val="00521A0F"/>
    <w:rsid w:val="00521BB9"/>
    <w:rsid w:val="00521C74"/>
    <w:rsid w:val="00521CF5"/>
    <w:rsid w:val="00521EE7"/>
    <w:rsid w:val="005223A5"/>
    <w:rsid w:val="00522F47"/>
    <w:rsid w:val="00523082"/>
    <w:rsid w:val="005230CF"/>
    <w:rsid w:val="005237F4"/>
    <w:rsid w:val="00523CE2"/>
    <w:rsid w:val="00524188"/>
    <w:rsid w:val="005244AB"/>
    <w:rsid w:val="005249FE"/>
    <w:rsid w:val="00525115"/>
    <w:rsid w:val="005251D1"/>
    <w:rsid w:val="0052530C"/>
    <w:rsid w:val="0052567F"/>
    <w:rsid w:val="0052590A"/>
    <w:rsid w:val="00525A7E"/>
    <w:rsid w:val="00525ABC"/>
    <w:rsid w:val="00525E0F"/>
    <w:rsid w:val="00527325"/>
    <w:rsid w:val="0052751A"/>
    <w:rsid w:val="005279A5"/>
    <w:rsid w:val="00527D40"/>
    <w:rsid w:val="00527E27"/>
    <w:rsid w:val="00530876"/>
    <w:rsid w:val="005309D5"/>
    <w:rsid w:val="00530A2B"/>
    <w:rsid w:val="005314CA"/>
    <w:rsid w:val="005316D1"/>
    <w:rsid w:val="00531D63"/>
    <w:rsid w:val="00532AA4"/>
    <w:rsid w:val="00533245"/>
    <w:rsid w:val="005333B3"/>
    <w:rsid w:val="005338F6"/>
    <w:rsid w:val="00533968"/>
    <w:rsid w:val="00533B1E"/>
    <w:rsid w:val="00533C95"/>
    <w:rsid w:val="005340E9"/>
    <w:rsid w:val="005341FA"/>
    <w:rsid w:val="00534553"/>
    <w:rsid w:val="0053497F"/>
    <w:rsid w:val="00534C5C"/>
    <w:rsid w:val="00534DAA"/>
    <w:rsid w:val="00535276"/>
    <w:rsid w:val="005355D7"/>
    <w:rsid w:val="00535A93"/>
    <w:rsid w:val="005360FE"/>
    <w:rsid w:val="00536200"/>
    <w:rsid w:val="005367B2"/>
    <w:rsid w:val="005374C1"/>
    <w:rsid w:val="00537D3C"/>
    <w:rsid w:val="0054035B"/>
    <w:rsid w:val="0054043D"/>
    <w:rsid w:val="005405A5"/>
    <w:rsid w:val="005406BD"/>
    <w:rsid w:val="00540761"/>
    <w:rsid w:val="00541487"/>
    <w:rsid w:val="005417D7"/>
    <w:rsid w:val="00542249"/>
    <w:rsid w:val="00542349"/>
    <w:rsid w:val="00542930"/>
    <w:rsid w:val="00543283"/>
    <w:rsid w:val="00543DFD"/>
    <w:rsid w:val="00544172"/>
    <w:rsid w:val="005443E7"/>
    <w:rsid w:val="005448EA"/>
    <w:rsid w:val="00544D2B"/>
    <w:rsid w:val="00545235"/>
    <w:rsid w:val="005453C5"/>
    <w:rsid w:val="0054543A"/>
    <w:rsid w:val="005477C4"/>
    <w:rsid w:val="00547B11"/>
    <w:rsid w:val="00547D9D"/>
    <w:rsid w:val="0055023C"/>
    <w:rsid w:val="00550A37"/>
    <w:rsid w:val="00550B29"/>
    <w:rsid w:val="00550BE0"/>
    <w:rsid w:val="005510A5"/>
    <w:rsid w:val="005510F8"/>
    <w:rsid w:val="00551421"/>
    <w:rsid w:val="0055192E"/>
    <w:rsid w:val="005521FB"/>
    <w:rsid w:val="00552427"/>
    <w:rsid w:val="005527A6"/>
    <w:rsid w:val="00552DB7"/>
    <w:rsid w:val="00553006"/>
    <w:rsid w:val="005532D3"/>
    <w:rsid w:val="0055338A"/>
    <w:rsid w:val="005534CA"/>
    <w:rsid w:val="00553B2C"/>
    <w:rsid w:val="00553F06"/>
    <w:rsid w:val="00554338"/>
    <w:rsid w:val="005546E3"/>
    <w:rsid w:val="00554700"/>
    <w:rsid w:val="005554AF"/>
    <w:rsid w:val="00555A00"/>
    <w:rsid w:val="00555D8E"/>
    <w:rsid w:val="00555E2E"/>
    <w:rsid w:val="00556021"/>
    <w:rsid w:val="005560E7"/>
    <w:rsid w:val="005562B7"/>
    <w:rsid w:val="00556C58"/>
    <w:rsid w:val="00556F21"/>
    <w:rsid w:val="005579FF"/>
    <w:rsid w:val="00557BD4"/>
    <w:rsid w:val="00557CC9"/>
    <w:rsid w:val="005604C4"/>
    <w:rsid w:val="005606D7"/>
    <w:rsid w:val="00560CBA"/>
    <w:rsid w:val="00560D33"/>
    <w:rsid w:val="005616CC"/>
    <w:rsid w:val="00561C89"/>
    <w:rsid w:val="00561CCD"/>
    <w:rsid w:val="00561F25"/>
    <w:rsid w:val="00561F69"/>
    <w:rsid w:val="005620CC"/>
    <w:rsid w:val="00562338"/>
    <w:rsid w:val="00562577"/>
    <w:rsid w:val="005629D5"/>
    <w:rsid w:val="00563345"/>
    <w:rsid w:val="00563A68"/>
    <w:rsid w:val="00563E94"/>
    <w:rsid w:val="00564448"/>
    <w:rsid w:val="00564ADB"/>
    <w:rsid w:val="00565C4D"/>
    <w:rsid w:val="00565FEE"/>
    <w:rsid w:val="005667E5"/>
    <w:rsid w:val="00566E78"/>
    <w:rsid w:val="00567463"/>
    <w:rsid w:val="00567739"/>
    <w:rsid w:val="0057066D"/>
    <w:rsid w:val="00570819"/>
    <w:rsid w:val="00570999"/>
    <w:rsid w:val="00571DE0"/>
    <w:rsid w:val="00571E85"/>
    <w:rsid w:val="005727A5"/>
    <w:rsid w:val="00572A72"/>
    <w:rsid w:val="00572ACB"/>
    <w:rsid w:val="00572E2C"/>
    <w:rsid w:val="00572E62"/>
    <w:rsid w:val="00572FA0"/>
    <w:rsid w:val="00573E75"/>
    <w:rsid w:val="00573ED1"/>
    <w:rsid w:val="0057417C"/>
    <w:rsid w:val="0057505A"/>
    <w:rsid w:val="005754F5"/>
    <w:rsid w:val="0057601F"/>
    <w:rsid w:val="00576754"/>
    <w:rsid w:val="00576D1F"/>
    <w:rsid w:val="00576EE2"/>
    <w:rsid w:val="00576F39"/>
    <w:rsid w:val="00576FE7"/>
    <w:rsid w:val="00577CCB"/>
    <w:rsid w:val="00577D01"/>
    <w:rsid w:val="00577F42"/>
    <w:rsid w:val="0058010E"/>
    <w:rsid w:val="0058065F"/>
    <w:rsid w:val="005808B4"/>
    <w:rsid w:val="00580979"/>
    <w:rsid w:val="00580D3A"/>
    <w:rsid w:val="00580EDB"/>
    <w:rsid w:val="00581482"/>
    <w:rsid w:val="00581A94"/>
    <w:rsid w:val="00582119"/>
    <w:rsid w:val="00582199"/>
    <w:rsid w:val="005823D9"/>
    <w:rsid w:val="005827C5"/>
    <w:rsid w:val="00582921"/>
    <w:rsid w:val="005829E7"/>
    <w:rsid w:val="00583386"/>
    <w:rsid w:val="00583A61"/>
    <w:rsid w:val="00583C64"/>
    <w:rsid w:val="00583FC0"/>
    <w:rsid w:val="005841EE"/>
    <w:rsid w:val="00584554"/>
    <w:rsid w:val="00584998"/>
    <w:rsid w:val="00584C75"/>
    <w:rsid w:val="00585450"/>
    <w:rsid w:val="005854B8"/>
    <w:rsid w:val="005854E7"/>
    <w:rsid w:val="0058600D"/>
    <w:rsid w:val="0058630B"/>
    <w:rsid w:val="005867D9"/>
    <w:rsid w:val="0058683F"/>
    <w:rsid w:val="00586B22"/>
    <w:rsid w:val="00586F9B"/>
    <w:rsid w:val="00587037"/>
    <w:rsid w:val="00587117"/>
    <w:rsid w:val="0058752A"/>
    <w:rsid w:val="0058767D"/>
    <w:rsid w:val="00587912"/>
    <w:rsid w:val="00587A52"/>
    <w:rsid w:val="00587B12"/>
    <w:rsid w:val="00587B7F"/>
    <w:rsid w:val="00587BD0"/>
    <w:rsid w:val="00587DE5"/>
    <w:rsid w:val="00587FF5"/>
    <w:rsid w:val="00590664"/>
    <w:rsid w:val="00590AA6"/>
    <w:rsid w:val="00590FAB"/>
    <w:rsid w:val="005910B4"/>
    <w:rsid w:val="005914DF"/>
    <w:rsid w:val="00591547"/>
    <w:rsid w:val="0059167B"/>
    <w:rsid w:val="00592CD5"/>
    <w:rsid w:val="005933C9"/>
    <w:rsid w:val="00594541"/>
    <w:rsid w:val="00594995"/>
    <w:rsid w:val="00594D4A"/>
    <w:rsid w:val="00594FE7"/>
    <w:rsid w:val="00595132"/>
    <w:rsid w:val="00595358"/>
    <w:rsid w:val="0059553F"/>
    <w:rsid w:val="0059557B"/>
    <w:rsid w:val="00595818"/>
    <w:rsid w:val="005958FB"/>
    <w:rsid w:val="00595941"/>
    <w:rsid w:val="00595BE0"/>
    <w:rsid w:val="0059648D"/>
    <w:rsid w:val="00596834"/>
    <w:rsid w:val="00597319"/>
    <w:rsid w:val="005974A0"/>
    <w:rsid w:val="005978FC"/>
    <w:rsid w:val="00597C58"/>
    <w:rsid w:val="00597C60"/>
    <w:rsid w:val="00597FD2"/>
    <w:rsid w:val="005A025A"/>
    <w:rsid w:val="005A0585"/>
    <w:rsid w:val="005A0E5F"/>
    <w:rsid w:val="005A1061"/>
    <w:rsid w:val="005A1F0D"/>
    <w:rsid w:val="005A26EE"/>
    <w:rsid w:val="005A2D7C"/>
    <w:rsid w:val="005A3628"/>
    <w:rsid w:val="005A38E2"/>
    <w:rsid w:val="005A3D17"/>
    <w:rsid w:val="005A3FEB"/>
    <w:rsid w:val="005A408D"/>
    <w:rsid w:val="005A465E"/>
    <w:rsid w:val="005A47EB"/>
    <w:rsid w:val="005A4903"/>
    <w:rsid w:val="005A4CBA"/>
    <w:rsid w:val="005A5455"/>
    <w:rsid w:val="005A5A2A"/>
    <w:rsid w:val="005A69E9"/>
    <w:rsid w:val="005A6AC3"/>
    <w:rsid w:val="005A6AEE"/>
    <w:rsid w:val="005A70D1"/>
    <w:rsid w:val="005A74D0"/>
    <w:rsid w:val="005B003E"/>
    <w:rsid w:val="005B021A"/>
    <w:rsid w:val="005B0458"/>
    <w:rsid w:val="005B0B77"/>
    <w:rsid w:val="005B1344"/>
    <w:rsid w:val="005B13E0"/>
    <w:rsid w:val="005B1B16"/>
    <w:rsid w:val="005B1C76"/>
    <w:rsid w:val="005B1E30"/>
    <w:rsid w:val="005B200D"/>
    <w:rsid w:val="005B22A3"/>
    <w:rsid w:val="005B2BC3"/>
    <w:rsid w:val="005B2E02"/>
    <w:rsid w:val="005B325E"/>
    <w:rsid w:val="005B357A"/>
    <w:rsid w:val="005B3C53"/>
    <w:rsid w:val="005B44C0"/>
    <w:rsid w:val="005B450F"/>
    <w:rsid w:val="005B4D92"/>
    <w:rsid w:val="005B527D"/>
    <w:rsid w:val="005B5508"/>
    <w:rsid w:val="005B5645"/>
    <w:rsid w:val="005B60A9"/>
    <w:rsid w:val="005B6414"/>
    <w:rsid w:val="005B7B4A"/>
    <w:rsid w:val="005B7BEE"/>
    <w:rsid w:val="005C07AB"/>
    <w:rsid w:val="005C0F9F"/>
    <w:rsid w:val="005C0FE9"/>
    <w:rsid w:val="005C201A"/>
    <w:rsid w:val="005C2E38"/>
    <w:rsid w:val="005C3932"/>
    <w:rsid w:val="005C3B4A"/>
    <w:rsid w:val="005C3F92"/>
    <w:rsid w:val="005C4057"/>
    <w:rsid w:val="005C419E"/>
    <w:rsid w:val="005C4506"/>
    <w:rsid w:val="005C48A4"/>
    <w:rsid w:val="005C508B"/>
    <w:rsid w:val="005C5658"/>
    <w:rsid w:val="005C5AFD"/>
    <w:rsid w:val="005C5D19"/>
    <w:rsid w:val="005C5E03"/>
    <w:rsid w:val="005C62AB"/>
    <w:rsid w:val="005C66E5"/>
    <w:rsid w:val="005C68C8"/>
    <w:rsid w:val="005C69A3"/>
    <w:rsid w:val="005C6F20"/>
    <w:rsid w:val="005C7147"/>
    <w:rsid w:val="005C7255"/>
    <w:rsid w:val="005C75B5"/>
    <w:rsid w:val="005C78A9"/>
    <w:rsid w:val="005C7BB0"/>
    <w:rsid w:val="005D0461"/>
    <w:rsid w:val="005D0904"/>
    <w:rsid w:val="005D0FF0"/>
    <w:rsid w:val="005D12AE"/>
    <w:rsid w:val="005D1408"/>
    <w:rsid w:val="005D18DA"/>
    <w:rsid w:val="005D2917"/>
    <w:rsid w:val="005D29BE"/>
    <w:rsid w:val="005D2BD7"/>
    <w:rsid w:val="005D2DE6"/>
    <w:rsid w:val="005D361D"/>
    <w:rsid w:val="005D37A4"/>
    <w:rsid w:val="005D3BEA"/>
    <w:rsid w:val="005D3EC2"/>
    <w:rsid w:val="005D4099"/>
    <w:rsid w:val="005D431B"/>
    <w:rsid w:val="005D4818"/>
    <w:rsid w:val="005D4DB3"/>
    <w:rsid w:val="005D51D6"/>
    <w:rsid w:val="005D546A"/>
    <w:rsid w:val="005D5F9C"/>
    <w:rsid w:val="005D6039"/>
    <w:rsid w:val="005D6172"/>
    <w:rsid w:val="005D684D"/>
    <w:rsid w:val="005D6C3F"/>
    <w:rsid w:val="005D6DBC"/>
    <w:rsid w:val="005D6EB2"/>
    <w:rsid w:val="005D6F92"/>
    <w:rsid w:val="005D78CE"/>
    <w:rsid w:val="005D7917"/>
    <w:rsid w:val="005D7E8C"/>
    <w:rsid w:val="005E0017"/>
    <w:rsid w:val="005E00F3"/>
    <w:rsid w:val="005E0281"/>
    <w:rsid w:val="005E047F"/>
    <w:rsid w:val="005E12E9"/>
    <w:rsid w:val="005E1980"/>
    <w:rsid w:val="005E199A"/>
    <w:rsid w:val="005E1BEB"/>
    <w:rsid w:val="005E1E52"/>
    <w:rsid w:val="005E1F90"/>
    <w:rsid w:val="005E2105"/>
    <w:rsid w:val="005E227D"/>
    <w:rsid w:val="005E257A"/>
    <w:rsid w:val="005E25C9"/>
    <w:rsid w:val="005E2854"/>
    <w:rsid w:val="005E2A68"/>
    <w:rsid w:val="005E2B4C"/>
    <w:rsid w:val="005E2E80"/>
    <w:rsid w:val="005E30D7"/>
    <w:rsid w:val="005E3460"/>
    <w:rsid w:val="005E35BB"/>
    <w:rsid w:val="005E35C3"/>
    <w:rsid w:val="005E36E1"/>
    <w:rsid w:val="005E453F"/>
    <w:rsid w:val="005E4989"/>
    <w:rsid w:val="005E4A0C"/>
    <w:rsid w:val="005E4A69"/>
    <w:rsid w:val="005E4C4F"/>
    <w:rsid w:val="005E50F8"/>
    <w:rsid w:val="005E52C8"/>
    <w:rsid w:val="005E5719"/>
    <w:rsid w:val="005E5913"/>
    <w:rsid w:val="005E5914"/>
    <w:rsid w:val="005E5A1E"/>
    <w:rsid w:val="005E5D82"/>
    <w:rsid w:val="005E6306"/>
    <w:rsid w:val="005E6F62"/>
    <w:rsid w:val="005E767C"/>
    <w:rsid w:val="005E788A"/>
    <w:rsid w:val="005E7AEF"/>
    <w:rsid w:val="005E7CAA"/>
    <w:rsid w:val="005F04DA"/>
    <w:rsid w:val="005F1A0D"/>
    <w:rsid w:val="005F1F5F"/>
    <w:rsid w:val="005F23F3"/>
    <w:rsid w:val="005F24AA"/>
    <w:rsid w:val="005F2686"/>
    <w:rsid w:val="005F2963"/>
    <w:rsid w:val="005F2C2E"/>
    <w:rsid w:val="005F2F85"/>
    <w:rsid w:val="005F2FC9"/>
    <w:rsid w:val="005F382F"/>
    <w:rsid w:val="005F38DB"/>
    <w:rsid w:val="005F395A"/>
    <w:rsid w:val="005F3BAD"/>
    <w:rsid w:val="005F3D1A"/>
    <w:rsid w:val="005F3EB0"/>
    <w:rsid w:val="005F4827"/>
    <w:rsid w:val="005F4E5D"/>
    <w:rsid w:val="005F4E81"/>
    <w:rsid w:val="005F5199"/>
    <w:rsid w:val="005F5306"/>
    <w:rsid w:val="005F5317"/>
    <w:rsid w:val="005F5580"/>
    <w:rsid w:val="005F6122"/>
    <w:rsid w:val="005F621E"/>
    <w:rsid w:val="005F6A83"/>
    <w:rsid w:val="005F6C70"/>
    <w:rsid w:val="005F6D3B"/>
    <w:rsid w:val="005F737C"/>
    <w:rsid w:val="005F7797"/>
    <w:rsid w:val="00600054"/>
    <w:rsid w:val="0060048B"/>
    <w:rsid w:val="00600DE5"/>
    <w:rsid w:val="00601AD8"/>
    <w:rsid w:val="006025E2"/>
    <w:rsid w:val="00602604"/>
    <w:rsid w:val="006026C7"/>
    <w:rsid w:val="00603198"/>
    <w:rsid w:val="00603498"/>
    <w:rsid w:val="00603935"/>
    <w:rsid w:val="00603C4C"/>
    <w:rsid w:val="00603EB7"/>
    <w:rsid w:val="00603F01"/>
    <w:rsid w:val="006043C4"/>
    <w:rsid w:val="00604B71"/>
    <w:rsid w:val="00604F17"/>
    <w:rsid w:val="00604F6D"/>
    <w:rsid w:val="006051C2"/>
    <w:rsid w:val="00605AD4"/>
    <w:rsid w:val="00605BD8"/>
    <w:rsid w:val="006062D2"/>
    <w:rsid w:val="006069D2"/>
    <w:rsid w:val="006070D0"/>
    <w:rsid w:val="00607AFA"/>
    <w:rsid w:val="00607E4A"/>
    <w:rsid w:val="0061028F"/>
    <w:rsid w:val="006106E1"/>
    <w:rsid w:val="006111FF"/>
    <w:rsid w:val="00611257"/>
    <w:rsid w:val="00611915"/>
    <w:rsid w:val="00611998"/>
    <w:rsid w:val="006128F1"/>
    <w:rsid w:val="006131FC"/>
    <w:rsid w:val="006132CF"/>
    <w:rsid w:val="00613878"/>
    <w:rsid w:val="00613C7B"/>
    <w:rsid w:val="00614516"/>
    <w:rsid w:val="006148CF"/>
    <w:rsid w:val="00614CFB"/>
    <w:rsid w:val="00614EF8"/>
    <w:rsid w:val="006152E0"/>
    <w:rsid w:val="006153E3"/>
    <w:rsid w:val="00616721"/>
    <w:rsid w:val="00616876"/>
    <w:rsid w:val="0061695B"/>
    <w:rsid w:val="00616DB2"/>
    <w:rsid w:val="00616F6E"/>
    <w:rsid w:val="0061746A"/>
    <w:rsid w:val="0061766F"/>
    <w:rsid w:val="00617951"/>
    <w:rsid w:val="006201D4"/>
    <w:rsid w:val="0062163F"/>
    <w:rsid w:val="006216FD"/>
    <w:rsid w:val="00621C1C"/>
    <w:rsid w:val="006225C5"/>
    <w:rsid w:val="00622CAB"/>
    <w:rsid w:val="006230F9"/>
    <w:rsid w:val="00623156"/>
    <w:rsid w:val="006233FE"/>
    <w:rsid w:val="00623F0C"/>
    <w:rsid w:val="006240A5"/>
    <w:rsid w:val="006240B3"/>
    <w:rsid w:val="006253D8"/>
    <w:rsid w:val="006258CC"/>
    <w:rsid w:val="00625B1F"/>
    <w:rsid w:val="00625EF5"/>
    <w:rsid w:val="0062625D"/>
    <w:rsid w:val="006273A3"/>
    <w:rsid w:val="0062744D"/>
    <w:rsid w:val="006275EF"/>
    <w:rsid w:val="006302E0"/>
    <w:rsid w:val="00630545"/>
    <w:rsid w:val="0063056B"/>
    <w:rsid w:val="006309D5"/>
    <w:rsid w:val="00630E15"/>
    <w:rsid w:val="00631094"/>
    <w:rsid w:val="0063216B"/>
    <w:rsid w:val="006322A4"/>
    <w:rsid w:val="00632A27"/>
    <w:rsid w:val="00632D67"/>
    <w:rsid w:val="00632D92"/>
    <w:rsid w:val="0063326C"/>
    <w:rsid w:val="006334AA"/>
    <w:rsid w:val="00634B4F"/>
    <w:rsid w:val="00634D0E"/>
    <w:rsid w:val="00634EBF"/>
    <w:rsid w:val="00635113"/>
    <w:rsid w:val="00635143"/>
    <w:rsid w:val="00635AB6"/>
    <w:rsid w:val="00635DEB"/>
    <w:rsid w:val="006373BF"/>
    <w:rsid w:val="00640276"/>
    <w:rsid w:val="006402A0"/>
    <w:rsid w:val="006402EE"/>
    <w:rsid w:val="0064051A"/>
    <w:rsid w:val="00640EE8"/>
    <w:rsid w:val="0064102D"/>
    <w:rsid w:val="00642232"/>
    <w:rsid w:val="00642521"/>
    <w:rsid w:val="00642C4C"/>
    <w:rsid w:val="00643572"/>
    <w:rsid w:val="00643CCE"/>
    <w:rsid w:val="0064414A"/>
    <w:rsid w:val="00644BEE"/>
    <w:rsid w:val="00646098"/>
    <w:rsid w:val="006464F7"/>
    <w:rsid w:val="006466ED"/>
    <w:rsid w:val="00646A6D"/>
    <w:rsid w:val="00646C06"/>
    <w:rsid w:val="006475F0"/>
    <w:rsid w:val="00647919"/>
    <w:rsid w:val="00647AB0"/>
    <w:rsid w:val="00647CE6"/>
    <w:rsid w:val="00647F4A"/>
    <w:rsid w:val="0065000C"/>
    <w:rsid w:val="0065067C"/>
    <w:rsid w:val="0065072B"/>
    <w:rsid w:val="006508DA"/>
    <w:rsid w:val="00650938"/>
    <w:rsid w:val="00650A13"/>
    <w:rsid w:val="006513A9"/>
    <w:rsid w:val="00651791"/>
    <w:rsid w:val="00652CED"/>
    <w:rsid w:val="00653551"/>
    <w:rsid w:val="00653E65"/>
    <w:rsid w:val="0065420E"/>
    <w:rsid w:val="00654469"/>
    <w:rsid w:val="00654F5F"/>
    <w:rsid w:val="00654F63"/>
    <w:rsid w:val="00655196"/>
    <w:rsid w:val="00655A2B"/>
    <w:rsid w:val="00655AC8"/>
    <w:rsid w:val="0065672B"/>
    <w:rsid w:val="0065680D"/>
    <w:rsid w:val="00656F5D"/>
    <w:rsid w:val="006574B0"/>
    <w:rsid w:val="006576BA"/>
    <w:rsid w:val="00657935"/>
    <w:rsid w:val="00657FEC"/>
    <w:rsid w:val="00660820"/>
    <w:rsid w:val="0066132A"/>
    <w:rsid w:val="00661E0B"/>
    <w:rsid w:val="00661E2D"/>
    <w:rsid w:val="006622FA"/>
    <w:rsid w:val="00662336"/>
    <w:rsid w:val="006627A7"/>
    <w:rsid w:val="006628A8"/>
    <w:rsid w:val="00662D85"/>
    <w:rsid w:val="0066402E"/>
    <w:rsid w:val="006657D6"/>
    <w:rsid w:val="00665900"/>
    <w:rsid w:val="0066612A"/>
    <w:rsid w:val="0066682E"/>
    <w:rsid w:val="00666CCD"/>
    <w:rsid w:val="00666D85"/>
    <w:rsid w:val="0066723E"/>
    <w:rsid w:val="0066795A"/>
    <w:rsid w:val="00667EDE"/>
    <w:rsid w:val="00670447"/>
    <w:rsid w:val="00670915"/>
    <w:rsid w:val="00670C4F"/>
    <w:rsid w:val="00670CC8"/>
    <w:rsid w:val="00670CD5"/>
    <w:rsid w:val="0067177D"/>
    <w:rsid w:val="00671A92"/>
    <w:rsid w:val="00671C5D"/>
    <w:rsid w:val="00671CBD"/>
    <w:rsid w:val="00671D68"/>
    <w:rsid w:val="0067248C"/>
    <w:rsid w:val="00672642"/>
    <w:rsid w:val="00672CA8"/>
    <w:rsid w:val="00672EA1"/>
    <w:rsid w:val="00673066"/>
    <w:rsid w:val="00673196"/>
    <w:rsid w:val="006731CB"/>
    <w:rsid w:val="00673D00"/>
    <w:rsid w:val="00673D57"/>
    <w:rsid w:val="0067463B"/>
    <w:rsid w:val="00674A59"/>
    <w:rsid w:val="00674A83"/>
    <w:rsid w:val="00674AA3"/>
    <w:rsid w:val="00676108"/>
    <w:rsid w:val="00676747"/>
    <w:rsid w:val="00676B44"/>
    <w:rsid w:val="00676D8A"/>
    <w:rsid w:val="00677165"/>
    <w:rsid w:val="0067759E"/>
    <w:rsid w:val="006777D7"/>
    <w:rsid w:val="00677FF7"/>
    <w:rsid w:val="00680390"/>
    <w:rsid w:val="006808B0"/>
    <w:rsid w:val="0068094E"/>
    <w:rsid w:val="00680C3F"/>
    <w:rsid w:val="00680CF3"/>
    <w:rsid w:val="00680EFD"/>
    <w:rsid w:val="00681791"/>
    <w:rsid w:val="00681836"/>
    <w:rsid w:val="00681994"/>
    <w:rsid w:val="0068217C"/>
    <w:rsid w:val="0068260F"/>
    <w:rsid w:val="00682CFE"/>
    <w:rsid w:val="00683253"/>
    <w:rsid w:val="006837BD"/>
    <w:rsid w:val="0068410E"/>
    <w:rsid w:val="00684124"/>
    <w:rsid w:val="00684519"/>
    <w:rsid w:val="00684922"/>
    <w:rsid w:val="00684E7E"/>
    <w:rsid w:val="006853EB"/>
    <w:rsid w:val="00685A59"/>
    <w:rsid w:val="00685B86"/>
    <w:rsid w:val="00685D64"/>
    <w:rsid w:val="00685E34"/>
    <w:rsid w:val="00685E66"/>
    <w:rsid w:val="00686B74"/>
    <w:rsid w:val="00686D02"/>
    <w:rsid w:val="00686D70"/>
    <w:rsid w:val="00686F9C"/>
    <w:rsid w:val="006871E6"/>
    <w:rsid w:val="006872D8"/>
    <w:rsid w:val="006873B3"/>
    <w:rsid w:val="006875A8"/>
    <w:rsid w:val="00687A8A"/>
    <w:rsid w:val="00687ECA"/>
    <w:rsid w:val="006904BF"/>
    <w:rsid w:val="00691157"/>
    <w:rsid w:val="006916EC"/>
    <w:rsid w:val="006919A9"/>
    <w:rsid w:val="00691D00"/>
    <w:rsid w:val="00691E90"/>
    <w:rsid w:val="0069230D"/>
    <w:rsid w:val="00692C48"/>
    <w:rsid w:val="00692ED7"/>
    <w:rsid w:val="00692FAD"/>
    <w:rsid w:val="00693ACF"/>
    <w:rsid w:val="00693B52"/>
    <w:rsid w:val="00693B79"/>
    <w:rsid w:val="006947F5"/>
    <w:rsid w:val="00694D5C"/>
    <w:rsid w:val="006952F9"/>
    <w:rsid w:val="00695CBE"/>
    <w:rsid w:val="00695E2D"/>
    <w:rsid w:val="00696AF1"/>
    <w:rsid w:val="00696BF3"/>
    <w:rsid w:val="00697088"/>
    <w:rsid w:val="00697137"/>
    <w:rsid w:val="00697310"/>
    <w:rsid w:val="00697439"/>
    <w:rsid w:val="0069755D"/>
    <w:rsid w:val="00697780"/>
    <w:rsid w:val="00697A81"/>
    <w:rsid w:val="00697C4C"/>
    <w:rsid w:val="00697F2E"/>
    <w:rsid w:val="006A01D3"/>
    <w:rsid w:val="006A03FA"/>
    <w:rsid w:val="006A0B3B"/>
    <w:rsid w:val="006A16D0"/>
    <w:rsid w:val="006A198D"/>
    <w:rsid w:val="006A1CEF"/>
    <w:rsid w:val="006A2525"/>
    <w:rsid w:val="006A25BF"/>
    <w:rsid w:val="006A26F9"/>
    <w:rsid w:val="006A2E74"/>
    <w:rsid w:val="006A33FF"/>
    <w:rsid w:val="006A3C80"/>
    <w:rsid w:val="006A4937"/>
    <w:rsid w:val="006A4BEF"/>
    <w:rsid w:val="006A52FA"/>
    <w:rsid w:val="006A563A"/>
    <w:rsid w:val="006A56EA"/>
    <w:rsid w:val="006A57B0"/>
    <w:rsid w:val="006A5E9D"/>
    <w:rsid w:val="006A5EC3"/>
    <w:rsid w:val="006A6137"/>
    <w:rsid w:val="006A653A"/>
    <w:rsid w:val="006A6A91"/>
    <w:rsid w:val="006A6C6B"/>
    <w:rsid w:val="006A7050"/>
    <w:rsid w:val="006A7152"/>
    <w:rsid w:val="006A7932"/>
    <w:rsid w:val="006B03F5"/>
    <w:rsid w:val="006B0625"/>
    <w:rsid w:val="006B0A62"/>
    <w:rsid w:val="006B1127"/>
    <w:rsid w:val="006B1171"/>
    <w:rsid w:val="006B1364"/>
    <w:rsid w:val="006B1B6A"/>
    <w:rsid w:val="006B1BA8"/>
    <w:rsid w:val="006B1C10"/>
    <w:rsid w:val="006B1CF4"/>
    <w:rsid w:val="006B1E4D"/>
    <w:rsid w:val="006B201E"/>
    <w:rsid w:val="006B23F5"/>
    <w:rsid w:val="006B302E"/>
    <w:rsid w:val="006B326D"/>
    <w:rsid w:val="006B3305"/>
    <w:rsid w:val="006B334F"/>
    <w:rsid w:val="006B3CF6"/>
    <w:rsid w:val="006B42F7"/>
    <w:rsid w:val="006B50A7"/>
    <w:rsid w:val="006B5408"/>
    <w:rsid w:val="006B56E4"/>
    <w:rsid w:val="006B5E13"/>
    <w:rsid w:val="006B5E2D"/>
    <w:rsid w:val="006B5FCB"/>
    <w:rsid w:val="006B60DE"/>
    <w:rsid w:val="006B6294"/>
    <w:rsid w:val="006B6462"/>
    <w:rsid w:val="006B6BE6"/>
    <w:rsid w:val="006B7107"/>
    <w:rsid w:val="006B73A6"/>
    <w:rsid w:val="006C0048"/>
    <w:rsid w:val="006C0632"/>
    <w:rsid w:val="006C08BA"/>
    <w:rsid w:val="006C0CA4"/>
    <w:rsid w:val="006C0D48"/>
    <w:rsid w:val="006C0F4A"/>
    <w:rsid w:val="006C13B9"/>
    <w:rsid w:val="006C211A"/>
    <w:rsid w:val="006C25B5"/>
    <w:rsid w:val="006C33A1"/>
    <w:rsid w:val="006C3425"/>
    <w:rsid w:val="006C35DC"/>
    <w:rsid w:val="006C3F76"/>
    <w:rsid w:val="006C3FDA"/>
    <w:rsid w:val="006C4318"/>
    <w:rsid w:val="006C4804"/>
    <w:rsid w:val="006C49F5"/>
    <w:rsid w:val="006C4E64"/>
    <w:rsid w:val="006C4FC3"/>
    <w:rsid w:val="006C577A"/>
    <w:rsid w:val="006C5B40"/>
    <w:rsid w:val="006C5CAE"/>
    <w:rsid w:val="006C5D28"/>
    <w:rsid w:val="006C68BC"/>
    <w:rsid w:val="006C6B28"/>
    <w:rsid w:val="006C6F91"/>
    <w:rsid w:val="006C70A8"/>
    <w:rsid w:val="006C7184"/>
    <w:rsid w:val="006C7262"/>
    <w:rsid w:val="006C7664"/>
    <w:rsid w:val="006C7C2F"/>
    <w:rsid w:val="006C7CB1"/>
    <w:rsid w:val="006D00D5"/>
    <w:rsid w:val="006D051F"/>
    <w:rsid w:val="006D0A4C"/>
    <w:rsid w:val="006D10D8"/>
    <w:rsid w:val="006D11B6"/>
    <w:rsid w:val="006D148E"/>
    <w:rsid w:val="006D1877"/>
    <w:rsid w:val="006D1E14"/>
    <w:rsid w:val="006D22F3"/>
    <w:rsid w:val="006D2465"/>
    <w:rsid w:val="006D3252"/>
    <w:rsid w:val="006D3327"/>
    <w:rsid w:val="006D38D1"/>
    <w:rsid w:val="006D3CC5"/>
    <w:rsid w:val="006D4430"/>
    <w:rsid w:val="006D49DC"/>
    <w:rsid w:val="006D4F55"/>
    <w:rsid w:val="006D581A"/>
    <w:rsid w:val="006D5D02"/>
    <w:rsid w:val="006D62C5"/>
    <w:rsid w:val="006D6820"/>
    <w:rsid w:val="006D68F1"/>
    <w:rsid w:val="006D6C3E"/>
    <w:rsid w:val="006E00F6"/>
    <w:rsid w:val="006E0275"/>
    <w:rsid w:val="006E032E"/>
    <w:rsid w:val="006E0BD9"/>
    <w:rsid w:val="006E0E33"/>
    <w:rsid w:val="006E17C7"/>
    <w:rsid w:val="006E1894"/>
    <w:rsid w:val="006E1FB9"/>
    <w:rsid w:val="006E2092"/>
    <w:rsid w:val="006E243A"/>
    <w:rsid w:val="006E2761"/>
    <w:rsid w:val="006E27A6"/>
    <w:rsid w:val="006E2F1A"/>
    <w:rsid w:val="006E32A8"/>
    <w:rsid w:val="006E3739"/>
    <w:rsid w:val="006E4159"/>
    <w:rsid w:val="006E4A8A"/>
    <w:rsid w:val="006E4ABD"/>
    <w:rsid w:val="006E569A"/>
    <w:rsid w:val="006E5751"/>
    <w:rsid w:val="006E5A9D"/>
    <w:rsid w:val="006E64BB"/>
    <w:rsid w:val="006E6D30"/>
    <w:rsid w:val="006E6D91"/>
    <w:rsid w:val="006E7426"/>
    <w:rsid w:val="006E782B"/>
    <w:rsid w:val="006E7A05"/>
    <w:rsid w:val="006F02C0"/>
    <w:rsid w:val="006F052F"/>
    <w:rsid w:val="006F0BA1"/>
    <w:rsid w:val="006F0EE8"/>
    <w:rsid w:val="006F1089"/>
    <w:rsid w:val="006F11F8"/>
    <w:rsid w:val="006F1409"/>
    <w:rsid w:val="006F1569"/>
    <w:rsid w:val="006F15E1"/>
    <w:rsid w:val="006F16C8"/>
    <w:rsid w:val="006F1A45"/>
    <w:rsid w:val="006F2104"/>
    <w:rsid w:val="006F2238"/>
    <w:rsid w:val="006F3076"/>
    <w:rsid w:val="006F33CA"/>
    <w:rsid w:val="006F3617"/>
    <w:rsid w:val="006F383C"/>
    <w:rsid w:val="006F3A64"/>
    <w:rsid w:val="006F3ACF"/>
    <w:rsid w:val="006F49D6"/>
    <w:rsid w:val="006F4AEB"/>
    <w:rsid w:val="006F4DF7"/>
    <w:rsid w:val="006F5153"/>
    <w:rsid w:val="006F52B0"/>
    <w:rsid w:val="006F5565"/>
    <w:rsid w:val="006F5F71"/>
    <w:rsid w:val="006F6658"/>
    <w:rsid w:val="006F6851"/>
    <w:rsid w:val="006F6E31"/>
    <w:rsid w:val="006F7667"/>
    <w:rsid w:val="006F7EF8"/>
    <w:rsid w:val="00700122"/>
    <w:rsid w:val="007003A1"/>
    <w:rsid w:val="00700860"/>
    <w:rsid w:val="00700C01"/>
    <w:rsid w:val="00700D07"/>
    <w:rsid w:val="00700E9A"/>
    <w:rsid w:val="007016B9"/>
    <w:rsid w:val="00701A3F"/>
    <w:rsid w:val="00701A4C"/>
    <w:rsid w:val="00701B0B"/>
    <w:rsid w:val="00701D18"/>
    <w:rsid w:val="00701E4B"/>
    <w:rsid w:val="00701F0F"/>
    <w:rsid w:val="00702AEB"/>
    <w:rsid w:val="007032A0"/>
    <w:rsid w:val="00703357"/>
    <w:rsid w:val="007033E0"/>
    <w:rsid w:val="00703421"/>
    <w:rsid w:val="007035FE"/>
    <w:rsid w:val="00703B7F"/>
    <w:rsid w:val="00703D12"/>
    <w:rsid w:val="00703D66"/>
    <w:rsid w:val="00704407"/>
    <w:rsid w:val="00704A81"/>
    <w:rsid w:val="00704E33"/>
    <w:rsid w:val="00705068"/>
    <w:rsid w:val="00705ECE"/>
    <w:rsid w:val="0070656A"/>
    <w:rsid w:val="00706793"/>
    <w:rsid w:val="00706961"/>
    <w:rsid w:val="00706B62"/>
    <w:rsid w:val="00706D09"/>
    <w:rsid w:val="00706E0D"/>
    <w:rsid w:val="00706F8F"/>
    <w:rsid w:val="00707695"/>
    <w:rsid w:val="007079F6"/>
    <w:rsid w:val="00707C7D"/>
    <w:rsid w:val="007106A1"/>
    <w:rsid w:val="00710790"/>
    <w:rsid w:val="00710AA7"/>
    <w:rsid w:val="00710CCB"/>
    <w:rsid w:val="00710DCA"/>
    <w:rsid w:val="00710DE6"/>
    <w:rsid w:val="00711442"/>
    <w:rsid w:val="00711F34"/>
    <w:rsid w:val="00712163"/>
    <w:rsid w:val="00712D8C"/>
    <w:rsid w:val="00712F71"/>
    <w:rsid w:val="0071348F"/>
    <w:rsid w:val="007136AC"/>
    <w:rsid w:val="007139AC"/>
    <w:rsid w:val="00713B1A"/>
    <w:rsid w:val="00713CF0"/>
    <w:rsid w:val="007142DF"/>
    <w:rsid w:val="00714706"/>
    <w:rsid w:val="007152D6"/>
    <w:rsid w:val="00716FDB"/>
    <w:rsid w:val="00717080"/>
    <w:rsid w:val="00717140"/>
    <w:rsid w:val="00717867"/>
    <w:rsid w:val="0072036E"/>
    <w:rsid w:val="0072055D"/>
    <w:rsid w:val="007208B5"/>
    <w:rsid w:val="007208E9"/>
    <w:rsid w:val="00720A6D"/>
    <w:rsid w:val="00720EF7"/>
    <w:rsid w:val="00721865"/>
    <w:rsid w:val="00721D77"/>
    <w:rsid w:val="00722019"/>
    <w:rsid w:val="00722940"/>
    <w:rsid w:val="007233E6"/>
    <w:rsid w:val="00723BF2"/>
    <w:rsid w:val="007240A2"/>
    <w:rsid w:val="0072478A"/>
    <w:rsid w:val="00724D54"/>
    <w:rsid w:val="00724D57"/>
    <w:rsid w:val="0072540A"/>
    <w:rsid w:val="00725450"/>
    <w:rsid w:val="0072555C"/>
    <w:rsid w:val="00725577"/>
    <w:rsid w:val="00725607"/>
    <w:rsid w:val="00725916"/>
    <w:rsid w:val="00726596"/>
    <w:rsid w:val="007267D8"/>
    <w:rsid w:val="00726997"/>
    <w:rsid w:val="00726A2D"/>
    <w:rsid w:val="00726D5D"/>
    <w:rsid w:val="00726E24"/>
    <w:rsid w:val="00726FF2"/>
    <w:rsid w:val="00727424"/>
    <w:rsid w:val="0073034D"/>
    <w:rsid w:val="007303C1"/>
    <w:rsid w:val="0073048C"/>
    <w:rsid w:val="007307D7"/>
    <w:rsid w:val="00730CC5"/>
    <w:rsid w:val="00731132"/>
    <w:rsid w:val="00731425"/>
    <w:rsid w:val="007318D0"/>
    <w:rsid w:val="00731C15"/>
    <w:rsid w:val="00732CD8"/>
    <w:rsid w:val="007331BF"/>
    <w:rsid w:val="00733313"/>
    <w:rsid w:val="007333B2"/>
    <w:rsid w:val="00733463"/>
    <w:rsid w:val="007336D0"/>
    <w:rsid w:val="00733926"/>
    <w:rsid w:val="007348B9"/>
    <w:rsid w:val="00734A10"/>
    <w:rsid w:val="00734A59"/>
    <w:rsid w:val="00734C78"/>
    <w:rsid w:val="00734E94"/>
    <w:rsid w:val="00735485"/>
    <w:rsid w:val="00735661"/>
    <w:rsid w:val="00736350"/>
    <w:rsid w:val="00736B38"/>
    <w:rsid w:val="00737183"/>
    <w:rsid w:val="007378DF"/>
    <w:rsid w:val="00737B2C"/>
    <w:rsid w:val="00737C4D"/>
    <w:rsid w:val="00740213"/>
    <w:rsid w:val="0074064F"/>
    <w:rsid w:val="0074075E"/>
    <w:rsid w:val="00740794"/>
    <w:rsid w:val="00740F83"/>
    <w:rsid w:val="0074164C"/>
    <w:rsid w:val="0074174E"/>
    <w:rsid w:val="00741CB3"/>
    <w:rsid w:val="00742070"/>
    <w:rsid w:val="0074268D"/>
    <w:rsid w:val="00743057"/>
    <w:rsid w:val="00743CA2"/>
    <w:rsid w:val="00743E6C"/>
    <w:rsid w:val="00743E6F"/>
    <w:rsid w:val="0074455F"/>
    <w:rsid w:val="007447B1"/>
    <w:rsid w:val="00744D7E"/>
    <w:rsid w:val="00745F24"/>
    <w:rsid w:val="00746498"/>
    <w:rsid w:val="007464B7"/>
    <w:rsid w:val="0074678F"/>
    <w:rsid w:val="007468FB"/>
    <w:rsid w:val="007476CF"/>
    <w:rsid w:val="00747755"/>
    <w:rsid w:val="00747E0B"/>
    <w:rsid w:val="00747FC3"/>
    <w:rsid w:val="0075047B"/>
    <w:rsid w:val="00750BD8"/>
    <w:rsid w:val="00750FCD"/>
    <w:rsid w:val="007512E1"/>
    <w:rsid w:val="00751702"/>
    <w:rsid w:val="00751747"/>
    <w:rsid w:val="00751881"/>
    <w:rsid w:val="00752662"/>
    <w:rsid w:val="007526A7"/>
    <w:rsid w:val="00752BCA"/>
    <w:rsid w:val="007536BE"/>
    <w:rsid w:val="007543DD"/>
    <w:rsid w:val="00754E43"/>
    <w:rsid w:val="0075537F"/>
    <w:rsid w:val="007554FB"/>
    <w:rsid w:val="007566D8"/>
    <w:rsid w:val="007578ED"/>
    <w:rsid w:val="00757E96"/>
    <w:rsid w:val="00757EDF"/>
    <w:rsid w:val="007610D0"/>
    <w:rsid w:val="00761623"/>
    <w:rsid w:val="00761C45"/>
    <w:rsid w:val="007622BA"/>
    <w:rsid w:val="00762318"/>
    <w:rsid w:val="0076275A"/>
    <w:rsid w:val="00762919"/>
    <w:rsid w:val="00763920"/>
    <w:rsid w:val="00763A55"/>
    <w:rsid w:val="00763A8E"/>
    <w:rsid w:val="0076444B"/>
    <w:rsid w:val="0076449A"/>
    <w:rsid w:val="00764531"/>
    <w:rsid w:val="00764A20"/>
    <w:rsid w:val="007651E9"/>
    <w:rsid w:val="00765471"/>
    <w:rsid w:val="007656D5"/>
    <w:rsid w:val="00765838"/>
    <w:rsid w:val="007658B0"/>
    <w:rsid w:val="00765AA5"/>
    <w:rsid w:val="00765D55"/>
    <w:rsid w:val="007670D2"/>
    <w:rsid w:val="0076710C"/>
    <w:rsid w:val="007672F9"/>
    <w:rsid w:val="007678BD"/>
    <w:rsid w:val="00767AE8"/>
    <w:rsid w:val="00770454"/>
    <w:rsid w:val="00770457"/>
    <w:rsid w:val="00770A74"/>
    <w:rsid w:val="007714E4"/>
    <w:rsid w:val="0077170C"/>
    <w:rsid w:val="007717BA"/>
    <w:rsid w:val="00771F7B"/>
    <w:rsid w:val="007725D7"/>
    <w:rsid w:val="00772AE5"/>
    <w:rsid w:val="00772DB0"/>
    <w:rsid w:val="00772EC4"/>
    <w:rsid w:val="00772FC6"/>
    <w:rsid w:val="0077326D"/>
    <w:rsid w:val="007734E7"/>
    <w:rsid w:val="007738AE"/>
    <w:rsid w:val="00773B85"/>
    <w:rsid w:val="00773D56"/>
    <w:rsid w:val="007740B2"/>
    <w:rsid w:val="00774454"/>
    <w:rsid w:val="00774544"/>
    <w:rsid w:val="0077473C"/>
    <w:rsid w:val="007748D1"/>
    <w:rsid w:val="00774BA3"/>
    <w:rsid w:val="007756B5"/>
    <w:rsid w:val="007759D7"/>
    <w:rsid w:val="00775FB8"/>
    <w:rsid w:val="00776229"/>
    <w:rsid w:val="0077631D"/>
    <w:rsid w:val="007764D5"/>
    <w:rsid w:val="0077697D"/>
    <w:rsid w:val="00776F49"/>
    <w:rsid w:val="00780058"/>
    <w:rsid w:val="00780ADD"/>
    <w:rsid w:val="00780F54"/>
    <w:rsid w:val="00781564"/>
    <w:rsid w:val="00781634"/>
    <w:rsid w:val="0078195F"/>
    <w:rsid w:val="0078310D"/>
    <w:rsid w:val="00783542"/>
    <w:rsid w:val="0078364A"/>
    <w:rsid w:val="00783899"/>
    <w:rsid w:val="0078412B"/>
    <w:rsid w:val="007842CA"/>
    <w:rsid w:val="0078434E"/>
    <w:rsid w:val="0078451B"/>
    <w:rsid w:val="0078472A"/>
    <w:rsid w:val="00784B13"/>
    <w:rsid w:val="00784BCE"/>
    <w:rsid w:val="007850AE"/>
    <w:rsid w:val="0078558A"/>
    <w:rsid w:val="00785BB1"/>
    <w:rsid w:val="007862CC"/>
    <w:rsid w:val="007863BC"/>
    <w:rsid w:val="0078680C"/>
    <w:rsid w:val="00786C25"/>
    <w:rsid w:val="00786C98"/>
    <w:rsid w:val="00786E4F"/>
    <w:rsid w:val="00786F18"/>
    <w:rsid w:val="00786F70"/>
    <w:rsid w:val="00787AF3"/>
    <w:rsid w:val="00790397"/>
    <w:rsid w:val="007908D2"/>
    <w:rsid w:val="00791411"/>
    <w:rsid w:val="00791AE3"/>
    <w:rsid w:val="00792150"/>
    <w:rsid w:val="00792193"/>
    <w:rsid w:val="00792304"/>
    <w:rsid w:val="007924E0"/>
    <w:rsid w:val="007924F6"/>
    <w:rsid w:val="00792598"/>
    <w:rsid w:val="0079285F"/>
    <w:rsid w:val="00792D26"/>
    <w:rsid w:val="00792E54"/>
    <w:rsid w:val="00793374"/>
    <w:rsid w:val="00793B77"/>
    <w:rsid w:val="00793D4E"/>
    <w:rsid w:val="00793E03"/>
    <w:rsid w:val="00793FA1"/>
    <w:rsid w:val="0079522A"/>
    <w:rsid w:val="00795AAE"/>
    <w:rsid w:val="00796414"/>
    <w:rsid w:val="00796871"/>
    <w:rsid w:val="0079705B"/>
    <w:rsid w:val="00797552"/>
    <w:rsid w:val="007976D4"/>
    <w:rsid w:val="00797A3E"/>
    <w:rsid w:val="00797BB9"/>
    <w:rsid w:val="00797BFE"/>
    <w:rsid w:val="007A07D7"/>
    <w:rsid w:val="007A092B"/>
    <w:rsid w:val="007A0B26"/>
    <w:rsid w:val="007A0FC0"/>
    <w:rsid w:val="007A1B28"/>
    <w:rsid w:val="007A1C00"/>
    <w:rsid w:val="007A2195"/>
    <w:rsid w:val="007A2A76"/>
    <w:rsid w:val="007A2D79"/>
    <w:rsid w:val="007A3411"/>
    <w:rsid w:val="007A3460"/>
    <w:rsid w:val="007A390C"/>
    <w:rsid w:val="007A3DE9"/>
    <w:rsid w:val="007A43BA"/>
    <w:rsid w:val="007A4443"/>
    <w:rsid w:val="007A45CE"/>
    <w:rsid w:val="007A5042"/>
    <w:rsid w:val="007A5245"/>
    <w:rsid w:val="007A59B1"/>
    <w:rsid w:val="007A5BE3"/>
    <w:rsid w:val="007A5C49"/>
    <w:rsid w:val="007A5C83"/>
    <w:rsid w:val="007A63B8"/>
    <w:rsid w:val="007A6A11"/>
    <w:rsid w:val="007A7265"/>
    <w:rsid w:val="007A72F4"/>
    <w:rsid w:val="007A759C"/>
    <w:rsid w:val="007A7764"/>
    <w:rsid w:val="007A7A93"/>
    <w:rsid w:val="007B0B38"/>
    <w:rsid w:val="007B0CBC"/>
    <w:rsid w:val="007B144B"/>
    <w:rsid w:val="007B1B0E"/>
    <w:rsid w:val="007B1FC8"/>
    <w:rsid w:val="007B23FB"/>
    <w:rsid w:val="007B29B7"/>
    <w:rsid w:val="007B2EFB"/>
    <w:rsid w:val="007B3BBA"/>
    <w:rsid w:val="007B3CB1"/>
    <w:rsid w:val="007B408E"/>
    <w:rsid w:val="007B4155"/>
    <w:rsid w:val="007B4D04"/>
    <w:rsid w:val="007B6001"/>
    <w:rsid w:val="007B609C"/>
    <w:rsid w:val="007B6282"/>
    <w:rsid w:val="007B62E8"/>
    <w:rsid w:val="007B68EB"/>
    <w:rsid w:val="007B6C44"/>
    <w:rsid w:val="007B7509"/>
    <w:rsid w:val="007B7E76"/>
    <w:rsid w:val="007C00FA"/>
    <w:rsid w:val="007C0BA9"/>
    <w:rsid w:val="007C0C57"/>
    <w:rsid w:val="007C0D14"/>
    <w:rsid w:val="007C0D1E"/>
    <w:rsid w:val="007C1011"/>
    <w:rsid w:val="007C111E"/>
    <w:rsid w:val="007C1284"/>
    <w:rsid w:val="007C1716"/>
    <w:rsid w:val="007C17F8"/>
    <w:rsid w:val="007C1BA8"/>
    <w:rsid w:val="007C215F"/>
    <w:rsid w:val="007C2382"/>
    <w:rsid w:val="007C23BF"/>
    <w:rsid w:val="007C24E5"/>
    <w:rsid w:val="007C2586"/>
    <w:rsid w:val="007C27A3"/>
    <w:rsid w:val="007C31A8"/>
    <w:rsid w:val="007C36E7"/>
    <w:rsid w:val="007C3812"/>
    <w:rsid w:val="007C3C59"/>
    <w:rsid w:val="007C3F2B"/>
    <w:rsid w:val="007C42DC"/>
    <w:rsid w:val="007C4581"/>
    <w:rsid w:val="007C4699"/>
    <w:rsid w:val="007C4754"/>
    <w:rsid w:val="007C4908"/>
    <w:rsid w:val="007C492F"/>
    <w:rsid w:val="007C4BAB"/>
    <w:rsid w:val="007C5422"/>
    <w:rsid w:val="007C59B9"/>
    <w:rsid w:val="007C5B91"/>
    <w:rsid w:val="007C5EE1"/>
    <w:rsid w:val="007C5EE7"/>
    <w:rsid w:val="007C71F4"/>
    <w:rsid w:val="007C720A"/>
    <w:rsid w:val="007C78B3"/>
    <w:rsid w:val="007C79E7"/>
    <w:rsid w:val="007C7BA4"/>
    <w:rsid w:val="007C7DCB"/>
    <w:rsid w:val="007C7F2D"/>
    <w:rsid w:val="007C7FA6"/>
    <w:rsid w:val="007D0105"/>
    <w:rsid w:val="007D0492"/>
    <w:rsid w:val="007D0C27"/>
    <w:rsid w:val="007D0D30"/>
    <w:rsid w:val="007D0F42"/>
    <w:rsid w:val="007D12ED"/>
    <w:rsid w:val="007D1427"/>
    <w:rsid w:val="007D1D2C"/>
    <w:rsid w:val="007D1EAB"/>
    <w:rsid w:val="007D25E0"/>
    <w:rsid w:val="007D2E29"/>
    <w:rsid w:val="007D2FF9"/>
    <w:rsid w:val="007D3910"/>
    <w:rsid w:val="007D39E6"/>
    <w:rsid w:val="007D3F85"/>
    <w:rsid w:val="007D41EA"/>
    <w:rsid w:val="007D4371"/>
    <w:rsid w:val="007D4555"/>
    <w:rsid w:val="007D458F"/>
    <w:rsid w:val="007D46B2"/>
    <w:rsid w:val="007D48A6"/>
    <w:rsid w:val="007D5013"/>
    <w:rsid w:val="007D5516"/>
    <w:rsid w:val="007D5779"/>
    <w:rsid w:val="007D60DF"/>
    <w:rsid w:val="007D65BC"/>
    <w:rsid w:val="007D71FE"/>
    <w:rsid w:val="007D7550"/>
    <w:rsid w:val="007D797A"/>
    <w:rsid w:val="007D7CB2"/>
    <w:rsid w:val="007E01B9"/>
    <w:rsid w:val="007E0AA9"/>
    <w:rsid w:val="007E0BCD"/>
    <w:rsid w:val="007E1074"/>
    <w:rsid w:val="007E12DD"/>
    <w:rsid w:val="007E1C01"/>
    <w:rsid w:val="007E1C16"/>
    <w:rsid w:val="007E1CDC"/>
    <w:rsid w:val="007E2523"/>
    <w:rsid w:val="007E289D"/>
    <w:rsid w:val="007E2F53"/>
    <w:rsid w:val="007E336E"/>
    <w:rsid w:val="007E370F"/>
    <w:rsid w:val="007E3C52"/>
    <w:rsid w:val="007E4287"/>
    <w:rsid w:val="007E43D3"/>
    <w:rsid w:val="007E476B"/>
    <w:rsid w:val="007E4937"/>
    <w:rsid w:val="007E4FA1"/>
    <w:rsid w:val="007E5017"/>
    <w:rsid w:val="007E5433"/>
    <w:rsid w:val="007E58E5"/>
    <w:rsid w:val="007E5A51"/>
    <w:rsid w:val="007E5D3B"/>
    <w:rsid w:val="007F0145"/>
    <w:rsid w:val="007F0592"/>
    <w:rsid w:val="007F0D13"/>
    <w:rsid w:val="007F122D"/>
    <w:rsid w:val="007F1361"/>
    <w:rsid w:val="007F1FB7"/>
    <w:rsid w:val="007F2BF3"/>
    <w:rsid w:val="007F2FD0"/>
    <w:rsid w:val="007F3E71"/>
    <w:rsid w:val="007F43BB"/>
    <w:rsid w:val="007F4A61"/>
    <w:rsid w:val="007F5573"/>
    <w:rsid w:val="007F57ED"/>
    <w:rsid w:val="007F581F"/>
    <w:rsid w:val="007F593E"/>
    <w:rsid w:val="007F5A57"/>
    <w:rsid w:val="007F5FE1"/>
    <w:rsid w:val="007F60EE"/>
    <w:rsid w:val="007F68E4"/>
    <w:rsid w:val="007F6AA7"/>
    <w:rsid w:val="007F6C7E"/>
    <w:rsid w:val="007F6CE2"/>
    <w:rsid w:val="007F7A82"/>
    <w:rsid w:val="007F7BD0"/>
    <w:rsid w:val="007F7FAA"/>
    <w:rsid w:val="0080061E"/>
    <w:rsid w:val="008006FA"/>
    <w:rsid w:val="00800AF0"/>
    <w:rsid w:val="00800FB6"/>
    <w:rsid w:val="00801367"/>
    <w:rsid w:val="00801AAC"/>
    <w:rsid w:val="00801D82"/>
    <w:rsid w:val="00801EEA"/>
    <w:rsid w:val="00801F06"/>
    <w:rsid w:val="008024EA"/>
    <w:rsid w:val="0080261A"/>
    <w:rsid w:val="00802A4D"/>
    <w:rsid w:val="00802C13"/>
    <w:rsid w:val="00802CC5"/>
    <w:rsid w:val="00802D4D"/>
    <w:rsid w:val="00803454"/>
    <w:rsid w:val="00803AEC"/>
    <w:rsid w:val="00803DB7"/>
    <w:rsid w:val="0080440F"/>
    <w:rsid w:val="00804451"/>
    <w:rsid w:val="00805420"/>
    <w:rsid w:val="008056D9"/>
    <w:rsid w:val="00805E06"/>
    <w:rsid w:val="00806146"/>
    <w:rsid w:val="008069D0"/>
    <w:rsid w:val="00806BBB"/>
    <w:rsid w:val="00806EB7"/>
    <w:rsid w:val="008070AF"/>
    <w:rsid w:val="00807482"/>
    <w:rsid w:val="00807637"/>
    <w:rsid w:val="008077CF"/>
    <w:rsid w:val="00807BEA"/>
    <w:rsid w:val="00807D55"/>
    <w:rsid w:val="00810174"/>
    <w:rsid w:val="008103A4"/>
    <w:rsid w:val="0081051B"/>
    <w:rsid w:val="008106FB"/>
    <w:rsid w:val="00810732"/>
    <w:rsid w:val="00810743"/>
    <w:rsid w:val="00810880"/>
    <w:rsid w:val="008108E1"/>
    <w:rsid w:val="00810961"/>
    <w:rsid w:val="008109ED"/>
    <w:rsid w:val="00811191"/>
    <w:rsid w:val="00811257"/>
    <w:rsid w:val="0081139C"/>
    <w:rsid w:val="008114BC"/>
    <w:rsid w:val="008115C8"/>
    <w:rsid w:val="00811E1E"/>
    <w:rsid w:val="008120CC"/>
    <w:rsid w:val="00812A49"/>
    <w:rsid w:val="00812CCA"/>
    <w:rsid w:val="0081332C"/>
    <w:rsid w:val="00813989"/>
    <w:rsid w:val="00813AF4"/>
    <w:rsid w:val="00813B3A"/>
    <w:rsid w:val="00813D50"/>
    <w:rsid w:val="0081402D"/>
    <w:rsid w:val="008141B8"/>
    <w:rsid w:val="00814605"/>
    <w:rsid w:val="00814771"/>
    <w:rsid w:val="008149B7"/>
    <w:rsid w:val="0081539D"/>
    <w:rsid w:val="008158AC"/>
    <w:rsid w:val="00815BA3"/>
    <w:rsid w:val="00815F18"/>
    <w:rsid w:val="008160EF"/>
    <w:rsid w:val="00816A7C"/>
    <w:rsid w:val="00816F73"/>
    <w:rsid w:val="008172AE"/>
    <w:rsid w:val="008173FA"/>
    <w:rsid w:val="00817775"/>
    <w:rsid w:val="00820972"/>
    <w:rsid w:val="008209D1"/>
    <w:rsid w:val="00820A12"/>
    <w:rsid w:val="008216C3"/>
    <w:rsid w:val="00821ABD"/>
    <w:rsid w:val="00821B71"/>
    <w:rsid w:val="00821D11"/>
    <w:rsid w:val="00821E1A"/>
    <w:rsid w:val="00821EBF"/>
    <w:rsid w:val="00822C4C"/>
    <w:rsid w:val="00822DBF"/>
    <w:rsid w:val="008230A0"/>
    <w:rsid w:val="0082314D"/>
    <w:rsid w:val="00823207"/>
    <w:rsid w:val="008233B1"/>
    <w:rsid w:val="008235E0"/>
    <w:rsid w:val="00824080"/>
    <w:rsid w:val="0082441B"/>
    <w:rsid w:val="00824645"/>
    <w:rsid w:val="008249EB"/>
    <w:rsid w:val="00824CE2"/>
    <w:rsid w:val="008252DA"/>
    <w:rsid w:val="0082633B"/>
    <w:rsid w:val="00826C43"/>
    <w:rsid w:val="00826E60"/>
    <w:rsid w:val="00826E9E"/>
    <w:rsid w:val="00827944"/>
    <w:rsid w:val="00827B2B"/>
    <w:rsid w:val="008300FD"/>
    <w:rsid w:val="00830A5B"/>
    <w:rsid w:val="00830B41"/>
    <w:rsid w:val="00830CDC"/>
    <w:rsid w:val="00830EE1"/>
    <w:rsid w:val="00830F93"/>
    <w:rsid w:val="008314C0"/>
    <w:rsid w:val="00831579"/>
    <w:rsid w:val="00831695"/>
    <w:rsid w:val="00831C48"/>
    <w:rsid w:val="00831D74"/>
    <w:rsid w:val="00831E94"/>
    <w:rsid w:val="00832043"/>
    <w:rsid w:val="00832320"/>
    <w:rsid w:val="00832593"/>
    <w:rsid w:val="008325DF"/>
    <w:rsid w:val="00832D24"/>
    <w:rsid w:val="0083357C"/>
    <w:rsid w:val="00833BF6"/>
    <w:rsid w:val="00833ECF"/>
    <w:rsid w:val="0083425D"/>
    <w:rsid w:val="00834659"/>
    <w:rsid w:val="0083489B"/>
    <w:rsid w:val="00834B5A"/>
    <w:rsid w:val="00834C34"/>
    <w:rsid w:val="00834CCA"/>
    <w:rsid w:val="00835103"/>
    <w:rsid w:val="00835837"/>
    <w:rsid w:val="008358E4"/>
    <w:rsid w:val="00835B5E"/>
    <w:rsid w:val="00835D46"/>
    <w:rsid w:val="0083639B"/>
    <w:rsid w:val="00836707"/>
    <w:rsid w:val="00836C4B"/>
    <w:rsid w:val="00836D5E"/>
    <w:rsid w:val="008374C6"/>
    <w:rsid w:val="00837892"/>
    <w:rsid w:val="00837B24"/>
    <w:rsid w:val="00837E9D"/>
    <w:rsid w:val="00840450"/>
    <w:rsid w:val="008414F5"/>
    <w:rsid w:val="00841C26"/>
    <w:rsid w:val="00841DBD"/>
    <w:rsid w:val="00842064"/>
    <w:rsid w:val="00842517"/>
    <w:rsid w:val="0084277F"/>
    <w:rsid w:val="00842F29"/>
    <w:rsid w:val="00843FA9"/>
    <w:rsid w:val="0084439E"/>
    <w:rsid w:val="00844EC1"/>
    <w:rsid w:val="00844F8B"/>
    <w:rsid w:val="008465E3"/>
    <w:rsid w:val="00846711"/>
    <w:rsid w:val="008468E6"/>
    <w:rsid w:val="00846B48"/>
    <w:rsid w:val="008475CE"/>
    <w:rsid w:val="00847D93"/>
    <w:rsid w:val="00847F79"/>
    <w:rsid w:val="00847FA3"/>
    <w:rsid w:val="00847FCA"/>
    <w:rsid w:val="00850ABA"/>
    <w:rsid w:val="00850FE3"/>
    <w:rsid w:val="00851975"/>
    <w:rsid w:val="00851DD9"/>
    <w:rsid w:val="0085201E"/>
    <w:rsid w:val="00852065"/>
    <w:rsid w:val="00853AD3"/>
    <w:rsid w:val="00853EDA"/>
    <w:rsid w:val="00854250"/>
    <w:rsid w:val="008543FE"/>
    <w:rsid w:val="00854DDF"/>
    <w:rsid w:val="0085505E"/>
    <w:rsid w:val="00855557"/>
    <w:rsid w:val="00855919"/>
    <w:rsid w:val="00855B53"/>
    <w:rsid w:val="00855FDF"/>
    <w:rsid w:val="0085640C"/>
    <w:rsid w:val="0085689F"/>
    <w:rsid w:val="00856A5D"/>
    <w:rsid w:val="00857081"/>
    <w:rsid w:val="00857728"/>
    <w:rsid w:val="0085795F"/>
    <w:rsid w:val="00857AAF"/>
    <w:rsid w:val="00857D68"/>
    <w:rsid w:val="00857EF0"/>
    <w:rsid w:val="008603D5"/>
    <w:rsid w:val="00860950"/>
    <w:rsid w:val="00860EA1"/>
    <w:rsid w:val="008611FE"/>
    <w:rsid w:val="008613D5"/>
    <w:rsid w:val="00861A43"/>
    <w:rsid w:val="00861CAD"/>
    <w:rsid w:val="00861D4D"/>
    <w:rsid w:val="00862524"/>
    <w:rsid w:val="0086262A"/>
    <w:rsid w:val="008627CB"/>
    <w:rsid w:val="00862A49"/>
    <w:rsid w:val="00863145"/>
    <w:rsid w:val="008633B2"/>
    <w:rsid w:val="00863809"/>
    <w:rsid w:val="008638A2"/>
    <w:rsid w:val="00863E77"/>
    <w:rsid w:val="00864197"/>
    <w:rsid w:val="008648E3"/>
    <w:rsid w:val="00864A09"/>
    <w:rsid w:val="00864F8D"/>
    <w:rsid w:val="00865673"/>
    <w:rsid w:val="00865852"/>
    <w:rsid w:val="00865D78"/>
    <w:rsid w:val="00865DAA"/>
    <w:rsid w:val="008665F0"/>
    <w:rsid w:val="00866799"/>
    <w:rsid w:val="0086785A"/>
    <w:rsid w:val="0087020C"/>
    <w:rsid w:val="00870272"/>
    <w:rsid w:val="008704C3"/>
    <w:rsid w:val="008705D9"/>
    <w:rsid w:val="008707B8"/>
    <w:rsid w:val="00870EB5"/>
    <w:rsid w:val="00870EB6"/>
    <w:rsid w:val="00871587"/>
    <w:rsid w:val="008718FC"/>
    <w:rsid w:val="00871D64"/>
    <w:rsid w:val="008723B1"/>
    <w:rsid w:val="008729F7"/>
    <w:rsid w:val="00872C4B"/>
    <w:rsid w:val="00872F3D"/>
    <w:rsid w:val="0087336D"/>
    <w:rsid w:val="008738C8"/>
    <w:rsid w:val="00873FA1"/>
    <w:rsid w:val="008743FC"/>
    <w:rsid w:val="00875163"/>
    <w:rsid w:val="0087519C"/>
    <w:rsid w:val="00875EE7"/>
    <w:rsid w:val="00876C77"/>
    <w:rsid w:val="00877036"/>
    <w:rsid w:val="008771E1"/>
    <w:rsid w:val="008775F5"/>
    <w:rsid w:val="0087764C"/>
    <w:rsid w:val="00877795"/>
    <w:rsid w:val="00880605"/>
    <w:rsid w:val="00880A63"/>
    <w:rsid w:val="00880B34"/>
    <w:rsid w:val="00881C4A"/>
    <w:rsid w:val="0088219F"/>
    <w:rsid w:val="00882419"/>
    <w:rsid w:val="00882D47"/>
    <w:rsid w:val="00883140"/>
    <w:rsid w:val="00883DDF"/>
    <w:rsid w:val="00883E87"/>
    <w:rsid w:val="00884240"/>
    <w:rsid w:val="008842D8"/>
    <w:rsid w:val="008846B6"/>
    <w:rsid w:val="0088516D"/>
    <w:rsid w:val="008857E9"/>
    <w:rsid w:val="00885CAD"/>
    <w:rsid w:val="008865F4"/>
    <w:rsid w:val="0088699D"/>
    <w:rsid w:val="00886A1E"/>
    <w:rsid w:val="00886CD2"/>
    <w:rsid w:val="008872A6"/>
    <w:rsid w:val="008873EB"/>
    <w:rsid w:val="0088771F"/>
    <w:rsid w:val="00887B3C"/>
    <w:rsid w:val="00887F19"/>
    <w:rsid w:val="008901AD"/>
    <w:rsid w:val="00890865"/>
    <w:rsid w:val="00890B54"/>
    <w:rsid w:val="00890D7A"/>
    <w:rsid w:val="00890F60"/>
    <w:rsid w:val="00890F93"/>
    <w:rsid w:val="00890FBD"/>
    <w:rsid w:val="00891C42"/>
    <w:rsid w:val="0089305C"/>
    <w:rsid w:val="0089377D"/>
    <w:rsid w:val="00893A1A"/>
    <w:rsid w:val="00893B94"/>
    <w:rsid w:val="00893EB2"/>
    <w:rsid w:val="008945EC"/>
    <w:rsid w:val="008948CC"/>
    <w:rsid w:val="00894F1B"/>
    <w:rsid w:val="00895752"/>
    <w:rsid w:val="00896352"/>
    <w:rsid w:val="00896457"/>
    <w:rsid w:val="008966BF"/>
    <w:rsid w:val="008969CE"/>
    <w:rsid w:val="00896B2D"/>
    <w:rsid w:val="00896EEB"/>
    <w:rsid w:val="00897191"/>
    <w:rsid w:val="008971D7"/>
    <w:rsid w:val="00897ADD"/>
    <w:rsid w:val="00897F42"/>
    <w:rsid w:val="008A0681"/>
    <w:rsid w:val="008A113B"/>
    <w:rsid w:val="008A1323"/>
    <w:rsid w:val="008A13C7"/>
    <w:rsid w:val="008A171A"/>
    <w:rsid w:val="008A1B3C"/>
    <w:rsid w:val="008A20B8"/>
    <w:rsid w:val="008A2CEF"/>
    <w:rsid w:val="008A3350"/>
    <w:rsid w:val="008A33D2"/>
    <w:rsid w:val="008A3574"/>
    <w:rsid w:val="008A3B32"/>
    <w:rsid w:val="008A3F2B"/>
    <w:rsid w:val="008A3FF3"/>
    <w:rsid w:val="008A4158"/>
    <w:rsid w:val="008A44D0"/>
    <w:rsid w:val="008A44E7"/>
    <w:rsid w:val="008A47B8"/>
    <w:rsid w:val="008A49FB"/>
    <w:rsid w:val="008A51CE"/>
    <w:rsid w:val="008A5278"/>
    <w:rsid w:val="008A5456"/>
    <w:rsid w:val="008A5484"/>
    <w:rsid w:val="008A603E"/>
    <w:rsid w:val="008A62CA"/>
    <w:rsid w:val="008A6EF1"/>
    <w:rsid w:val="008A7071"/>
    <w:rsid w:val="008B01F5"/>
    <w:rsid w:val="008B13E2"/>
    <w:rsid w:val="008B18DF"/>
    <w:rsid w:val="008B1D21"/>
    <w:rsid w:val="008B1E2E"/>
    <w:rsid w:val="008B22FB"/>
    <w:rsid w:val="008B2779"/>
    <w:rsid w:val="008B2792"/>
    <w:rsid w:val="008B2C25"/>
    <w:rsid w:val="008B2C8F"/>
    <w:rsid w:val="008B2E14"/>
    <w:rsid w:val="008B326B"/>
    <w:rsid w:val="008B3E01"/>
    <w:rsid w:val="008B4096"/>
    <w:rsid w:val="008B40A7"/>
    <w:rsid w:val="008B4705"/>
    <w:rsid w:val="008B4CBE"/>
    <w:rsid w:val="008B4DB2"/>
    <w:rsid w:val="008B597B"/>
    <w:rsid w:val="008B637B"/>
    <w:rsid w:val="008B66B0"/>
    <w:rsid w:val="008B6BE9"/>
    <w:rsid w:val="008B71E6"/>
    <w:rsid w:val="008B764E"/>
    <w:rsid w:val="008B787A"/>
    <w:rsid w:val="008C0D8B"/>
    <w:rsid w:val="008C138F"/>
    <w:rsid w:val="008C1B65"/>
    <w:rsid w:val="008C2651"/>
    <w:rsid w:val="008C28D5"/>
    <w:rsid w:val="008C2EAD"/>
    <w:rsid w:val="008C31D7"/>
    <w:rsid w:val="008C331C"/>
    <w:rsid w:val="008C3CB0"/>
    <w:rsid w:val="008C3F5F"/>
    <w:rsid w:val="008C4C9F"/>
    <w:rsid w:val="008C50F0"/>
    <w:rsid w:val="008C53E7"/>
    <w:rsid w:val="008C54E6"/>
    <w:rsid w:val="008C5D05"/>
    <w:rsid w:val="008C5D18"/>
    <w:rsid w:val="008C6328"/>
    <w:rsid w:val="008C71B4"/>
    <w:rsid w:val="008C721C"/>
    <w:rsid w:val="008C72F0"/>
    <w:rsid w:val="008C7798"/>
    <w:rsid w:val="008C7A21"/>
    <w:rsid w:val="008C7AF5"/>
    <w:rsid w:val="008C7B96"/>
    <w:rsid w:val="008C7D2E"/>
    <w:rsid w:val="008D013E"/>
    <w:rsid w:val="008D04C3"/>
    <w:rsid w:val="008D0C7F"/>
    <w:rsid w:val="008D0DF0"/>
    <w:rsid w:val="008D0EDE"/>
    <w:rsid w:val="008D0F3C"/>
    <w:rsid w:val="008D1B7C"/>
    <w:rsid w:val="008D1D6F"/>
    <w:rsid w:val="008D215D"/>
    <w:rsid w:val="008D243C"/>
    <w:rsid w:val="008D2650"/>
    <w:rsid w:val="008D26C6"/>
    <w:rsid w:val="008D27BF"/>
    <w:rsid w:val="008D29ED"/>
    <w:rsid w:val="008D2DDA"/>
    <w:rsid w:val="008D2E37"/>
    <w:rsid w:val="008D305E"/>
    <w:rsid w:val="008D315E"/>
    <w:rsid w:val="008D3E62"/>
    <w:rsid w:val="008D4213"/>
    <w:rsid w:val="008D462B"/>
    <w:rsid w:val="008D50D3"/>
    <w:rsid w:val="008D51BB"/>
    <w:rsid w:val="008D5845"/>
    <w:rsid w:val="008D58AF"/>
    <w:rsid w:val="008D5E9B"/>
    <w:rsid w:val="008D65B6"/>
    <w:rsid w:val="008D74D7"/>
    <w:rsid w:val="008D7854"/>
    <w:rsid w:val="008E0313"/>
    <w:rsid w:val="008E0460"/>
    <w:rsid w:val="008E0C92"/>
    <w:rsid w:val="008E17CC"/>
    <w:rsid w:val="008E1830"/>
    <w:rsid w:val="008E2326"/>
    <w:rsid w:val="008E254D"/>
    <w:rsid w:val="008E3045"/>
    <w:rsid w:val="008E3551"/>
    <w:rsid w:val="008E40DA"/>
    <w:rsid w:val="008E458B"/>
    <w:rsid w:val="008E461E"/>
    <w:rsid w:val="008E586F"/>
    <w:rsid w:val="008E5B4C"/>
    <w:rsid w:val="008E65D3"/>
    <w:rsid w:val="008E702F"/>
    <w:rsid w:val="008E76A4"/>
    <w:rsid w:val="008E7B91"/>
    <w:rsid w:val="008F0384"/>
    <w:rsid w:val="008F045D"/>
    <w:rsid w:val="008F0606"/>
    <w:rsid w:val="008F0726"/>
    <w:rsid w:val="008F072C"/>
    <w:rsid w:val="008F0862"/>
    <w:rsid w:val="008F1091"/>
    <w:rsid w:val="008F1A28"/>
    <w:rsid w:val="008F1C4B"/>
    <w:rsid w:val="008F1CA7"/>
    <w:rsid w:val="008F20C9"/>
    <w:rsid w:val="008F240E"/>
    <w:rsid w:val="008F2688"/>
    <w:rsid w:val="008F2816"/>
    <w:rsid w:val="008F2C3B"/>
    <w:rsid w:val="008F30F6"/>
    <w:rsid w:val="008F3199"/>
    <w:rsid w:val="008F3338"/>
    <w:rsid w:val="008F3BBD"/>
    <w:rsid w:val="008F3FD8"/>
    <w:rsid w:val="008F403C"/>
    <w:rsid w:val="008F4524"/>
    <w:rsid w:val="008F4824"/>
    <w:rsid w:val="008F4A90"/>
    <w:rsid w:val="008F4B83"/>
    <w:rsid w:val="008F518A"/>
    <w:rsid w:val="008F570E"/>
    <w:rsid w:val="008F5EED"/>
    <w:rsid w:val="008F6303"/>
    <w:rsid w:val="008F68A4"/>
    <w:rsid w:val="008F6D18"/>
    <w:rsid w:val="008F720E"/>
    <w:rsid w:val="008F7784"/>
    <w:rsid w:val="008F79E4"/>
    <w:rsid w:val="008F7F77"/>
    <w:rsid w:val="008F7FFA"/>
    <w:rsid w:val="00900220"/>
    <w:rsid w:val="00900674"/>
    <w:rsid w:val="00900CBE"/>
    <w:rsid w:val="009013F3"/>
    <w:rsid w:val="00901450"/>
    <w:rsid w:val="00901674"/>
    <w:rsid w:val="00901692"/>
    <w:rsid w:val="00901880"/>
    <w:rsid w:val="00901935"/>
    <w:rsid w:val="009024FD"/>
    <w:rsid w:val="00902ADA"/>
    <w:rsid w:val="009037F0"/>
    <w:rsid w:val="009043AF"/>
    <w:rsid w:val="009044EE"/>
    <w:rsid w:val="0090493B"/>
    <w:rsid w:val="00904CA4"/>
    <w:rsid w:val="00904D39"/>
    <w:rsid w:val="00905405"/>
    <w:rsid w:val="00905739"/>
    <w:rsid w:val="00905B32"/>
    <w:rsid w:val="00905BDB"/>
    <w:rsid w:val="00905D63"/>
    <w:rsid w:val="009063BD"/>
    <w:rsid w:val="009067DA"/>
    <w:rsid w:val="00906C97"/>
    <w:rsid w:val="00906CA0"/>
    <w:rsid w:val="009074CC"/>
    <w:rsid w:val="00907AE0"/>
    <w:rsid w:val="00910499"/>
    <w:rsid w:val="00910679"/>
    <w:rsid w:val="0091159B"/>
    <w:rsid w:val="00911A03"/>
    <w:rsid w:val="00911FDC"/>
    <w:rsid w:val="00912002"/>
    <w:rsid w:val="00912155"/>
    <w:rsid w:val="00913687"/>
    <w:rsid w:val="0091379F"/>
    <w:rsid w:val="00914010"/>
    <w:rsid w:val="009142A6"/>
    <w:rsid w:val="0091434F"/>
    <w:rsid w:val="0091498E"/>
    <w:rsid w:val="00914B7B"/>
    <w:rsid w:val="00914E55"/>
    <w:rsid w:val="009158A4"/>
    <w:rsid w:val="00915FC3"/>
    <w:rsid w:val="00916281"/>
    <w:rsid w:val="0091659F"/>
    <w:rsid w:val="00916623"/>
    <w:rsid w:val="0091691F"/>
    <w:rsid w:val="00916E19"/>
    <w:rsid w:val="00917463"/>
    <w:rsid w:val="00917618"/>
    <w:rsid w:val="0091774C"/>
    <w:rsid w:val="009177C7"/>
    <w:rsid w:val="009178C0"/>
    <w:rsid w:val="00917D34"/>
    <w:rsid w:val="00920027"/>
    <w:rsid w:val="00920062"/>
    <w:rsid w:val="00920D83"/>
    <w:rsid w:val="009210F6"/>
    <w:rsid w:val="0092159C"/>
    <w:rsid w:val="009219F1"/>
    <w:rsid w:val="00921B49"/>
    <w:rsid w:val="00921F5F"/>
    <w:rsid w:val="0092238E"/>
    <w:rsid w:val="009228A1"/>
    <w:rsid w:val="00922978"/>
    <w:rsid w:val="00922E35"/>
    <w:rsid w:val="0092355E"/>
    <w:rsid w:val="00923CAE"/>
    <w:rsid w:val="00924408"/>
    <w:rsid w:val="00924DAE"/>
    <w:rsid w:val="0092532D"/>
    <w:rsid w:val="00925DCF"/>
    <w:rsid w:val="00926B1B"/>
    <w:rsid w:val="00926DAC"/>
    <w:rsid w:val="009304B2"/>
    <w:rsid w:val="009309BA"/>
    <w:rsid w:val="009309D6"/>
    <w:rsid w:val="00930AE6"/>
    <w:rsid w:val="00930E08"/>
    <w:rsid w:val="0093119D"/>
    <w:rsid w:val="0093204D"/>
    <w:rsid w:val="0093246A"/>
    <w:rsid w:val="00932568"/>
    <w:rsid w:val="00932988"/>
    <w:rsid w:val="009329E9"/>
    <w:rsid w:val="00932DDF"/>
    <w:rsid w:val="009332AD"/>
    <w:rsid w:val="00933ADF"/>
    <w:rsid w:val="009343F6"/>
    <w:rsid w:val="00934549"/>
    <w:rsid w:val="0093489C"/>
    <w:rsid w:val="00934F2B"/>
    <w:rsid w:val="00934F43"/>
    <w:rsid w:val="009356B4"/>
    <w:rsid w:val="0093591E"/>
    <w:rsid w:val="00935B00"/>
    <w:rsid w:val="0093623C"/>
    <w:rsid w:val="00936915"/>
    <w:rsid w:val="00936A01"/>
    <w:rsid w:val="00937018"/>
    <w:rsid w:val="00937AED"/>
    <w:rsid w:val="00937BB1"/>
    <w:rsid w:val="0094052F"/>
    <w:rsid w:val="009407D3"/>
    <w:rsid w:val="009407E2"/>
    <w:rsid w:val="00940C57"/>
    <w:rsid w:val="0094168F"/>
    <w:rsid w:val="009416F7"/>
    <w:rsid w:val="00942255"/>
    <w:rsid w:val="00942C78"/>
    <w:rsid w:val="00942ED3"/>
    <w:rsid w:val="009433DF"/>
    <w:rsid w:val="0094367A"/>
    <w:rsid w:val="00943F5E"/>
    <w:rsid w:val="009442A3"/>
    <w:rsid w:val="009443F3"/>
    <w:rsid w:val="00944656"/>
    <w:rsid w:val="00944F53"/>
    <w:rsid w:val="00945541"/>
    <w:rsid w:val="00946458"/>
    <w:rsid w:val="009468FB"/>
    <w:rsid w:val="00946D04"/>
    <w:rsid w:val="00946F25"/>
    <w:rsid w:val="00947552"/>
    <w:rsid w:val="0094777A"/>
    <w:rsid w:val="00947A97"/>
    <w:rsid w:val="00947EA4"/>
    <w:rsid w:val="009502C9"/>
    <w:rsid w:val="009504CD"/>
    <w:rsid w:val="009505C3"/>
    <w:rsid w:val="009506E2"/>
    <w:rsid w:val="009509A7"/>
    <w:rsid w:val="00950A4E"/>
    <w:rsid w:val="00950DA1"/>
    <w:rsid w:val="00951320"/>
    <w:rsid w:val="00951988"/>
    <w:rsid w:val="0095198A"/>
    <w:rsid w:val="00951AD2"/>
    <w:rsid w:val="00951DF6"/>
    <w:rsid w:val="00951E92"/>
    <w:rsid w:val="0095227A"/>
    <w:rsid w:val="009527B4"/>
    <w:rsid w:val="009528E0"/>
    <w:rsid w:val="00952CD5"/>
    <w:rsid w:val="00952EC9"/>
    <w:rsid w:val="00953AAA"/>
    <w:rsid w:val="00954062"/>
    <w:rsid w:val="0095412F"/>
    <w:rsid w:val="00954303"/>
    <w:rsid w:val="00954403"/>
    <w:rsid w:val="009544B5"/>
    <w:rsid w:val="0095541B"/>
    <w:rsid w:val="009554DD"/>
    <w:rsid w:val="009556E5"/>
    <w:rsid w:val="00955ABC"/>
    <w:rsid w:val="009564FF"/>
    <w:rsid w:val="00956D43"/>
    <w:rsid w:val="00957131"/>
    <w:rsid w:val="009578AF"/>
    <w:rsid w:val="00957A99"/>
    <w:rsid w:val="00957D8F"/>
    <w:rsid w:val="00957F64"/>
    <w:rsid w:val="00960077"/>
    <w:rsid w:val="009602D0"/>
    <w:rsid w:val="00960349"/>
    <w:rsid w:val="0096089C"/>
    <w:rsid w:val="00960A30"/>
    <w:rsid w:val="00960B12"/>
    <w:rsid w:val="00960BCB"/>
    <w:rsid w:val="00960CFA"/>
    <w:rsid w:val="00960E01"/>
    <w:rsid w:val="00961D6D"/>
    <w:rsid w:val="0096246C"/>
    <w:rsid w:val="00962CC0"/>
    <w:rsid w:val="009631C7"/>
    <w:rsid w:val="009632C2"/>
    <w:rsid w:val="009634EF"/>
    <w:rsid w:val="00963B14"/>
    <w:rsid w:val="00965A64"/>
    <w:rsid w:val="00965A8B"/>
    <w:rsid w:val="00965F34"/>
    <w:rsid w:val="0096610A"/>
    <w:rsid w:val="009662FD"/>
    <w:rsid w:val="009663C9"/>
    <w:rsid w:val="00966C96"/>
    <w:rsid w:val="00966E6E"/>
    <w:rsid w:val="00967575"/>
    <w:rsid w:val="00967609"/>
    <w:rsid w:val="00967906"/>
    <w:rsid w:val="00967ACE"/>
    <w:rsid w:val="00967B85"/>
    <w:rsid w:val="00967EF0"/>
    <w:rsid w:val="009701A1"/>
    <w:rsid w:val="00970201"/>
    <w:rsid w:val="00970912"/>
    <w:rsid w:val="00971247"/>
    <w:rsid w:val="009712E0"/>
    <w:rsid w:val="00971DDD"/>
    <w:rsid w:val="00971F43"/>
    <w:rsid w:val="00972725"/>
    <w:rsid w:val="009731C5"/>
    <w:rsid w:val="0097321C"/>
    <w:rsid w:val="00973C9E"/>
    <w:rsid w:val="00973D75"/>
    <w:rsid w:val="00973F0F"/>
    <w:rsid w:val="00973FC8"/>
    <w:rsid w:val="00974013"/>
    <w:rsid w:val="00974015"/>
    <w:rsid w:val="00974DA3"/>
    <w:rsid w:val="009755E5"/>
    <w:rsid w:val="00975B83"/>
    <w:rsid w:val="00975BC6"/>
    <w:rsid w:val="00975E3F"/>
    <w:rsid w:val="00975E78"/>
    <w:rsid w:val="0097617C"/>
    <w:rsid w:val="00976261"/>
    <w:rsid w:val="00976302"/>
    <w:rsid w:val="0097646F"/>
    <w:rsid w:val="0097697D"/>
    <w:rsid w:val="00976FC2"/>
    <w:rsid w:val="0097730A"/>
    <w:rsid w:val="0097737D"/>
    <w:rsid w:val="00977668"/>
    <w:rsid w:val="00977BFA"/>
    <w:rsid w:val="009805F3"/>
    <w:rsid w:val="009809A0"/>
    <w:rsid w:val="00980C05"/>
    <w:rsid w:val="00980DBA"/>
    <w:rsid w:val="00981663"/>
    <w:rsid w:val="00981D09"/>
    <w:rsid w:val="0098223D"/>
    <w:rsid w:val="009826C5"/>
    <w:rsid w:val="00982E26"/>
    <w:rsid w:val="00982ED0"/>
    <w:rsid w:val="009841CC"/>
    <w:rsid w:val="00984385"/>
    <w:rsid w:val="00984543"/>
    <w:rsid w:val="009847EB"/>
    <w:rsid w:val="00984E41"/>
    <w:rsid w:val="009854E5"/>
    <w:rsid w:val="009857CE"/>
    <w:rsid w:val="009858DA"/>
    <w:rsid w:val="0098597D"/>
    <w:rsid w:val="00985C32"/>
    <w:rsid w:val="0098629A"/>
    <w:rsid w:val="00986557"/>
    <w:rsid w:val="009866DE"/>
    <w:rsid w:val="009876D3"/>
    <w:rsid w:val="00987907"/>
    <w:rsid w:val="00987A65"/>
    <w:rsid w:val="00987B76"/>
    <w:rsid w:val="0099016D"/>
    <w:rsid w:val="009902C3"/>
    <w:rsid w:val="0099041C"/>
    <w:rsid w:val="00990439"/>
    <w:rsid w:val="00990A7F"/>
    <w:rsid w:val="009910A9"/>
    <w:rsid w:val="00991114"/>
    <w:rsid w:val="009918EA"/>
    <w:rsid w:val="00991AE0"/>
    <w:rsid w:val="00993B53"/>
    <w:rsid w:val="00993C93"/>
    <w:rsid w:val="00993FB0"/>
    <w:rsid w:val="00994065"/>
    <w:rsid w:val="00994453"/>
    <w:rsid w:val="0099452D"/>
    <w:rsid w:val="00994661"/>
    <w:rsid w:val="0099487F"/>
    <w:rsid w:val="0099492B"/>
    <w:rsid w:val="009952F5"/>
    <w:rsid w:val="00995717"/>
    <w:rsid w:val="009960D1"/>
    <w:rsid w:val="0099622D"/>
    <w:rsid w:val="009966FB"/>
    <w:rsid w:val="00996902"/>
    <w:rsid w:val="00996CEC"/>
    <w:rsid w:val="00996D03"/>
    <w:rsid w:val="00997DBD"/>
    <w:rsid w:val="009A0412"/>
    <w:rsid w:val="009A079B"/>
    <w:rsid w:val="009A0E02"/>
    <w:rsid w:val="009A16C5"/>
    <w:rsid w:val="009A2329"/>
    <w:rsid w:val="009A2787"/>
    <w:rsid w:val="009A2BFC"/>
    <w:rsid w:val="009A308E"/>
    <w:rsid w:val="009A3627"/>
    <w:rsid w:val="009A3665"/>
    <w:rsid w:val="009A36A7"/>
    <w:rsid w:val="009A38A5"/>
    <w:rsid w:val="009A3A09"/>
    <w:rsid w:val="009A3A7E"/>
    <w:rsid w:val="009A3CD1"/>
    <w:rsid w:val="009A4052"/>
    <w:rsid w:val="009A413F"/>
    <w:rsid w:val="009A4DAD"/>
    <w:rsid w:val="009A4F7B"/>
    <w:rsid w:val="009A52B4"/>
    <w:rsid w:val="009A549E"/>
    <w:rsid w:val="009A5607"/>
    <w:rsid w:val="009A566D"/>
    <w:rsid w:val="009A5B5F"/>
    <w:rsid w:val="009A5D58"/>
    <w:rsid w:val="009A6050"/>
    <w:rsid w:val="009A6068"/>
    <w:rsid w:val="009A60A1"/>
    <w:rsid w:val="009A7178"/>
    <w:rsid w:val="009A7FF3"/>
    <w:rsid w:val="009B04AC"/>
    <w:rsid w:val="009B07F4"/>
    <w:rsid w:val="009B0C41"/>
    <w:rsid w:val="009B174F"/>
    <w:rsid w:val="009B1812"/>
    <w:rsid w:val="009B24B7"/>
    <w:rsid w:val="009B2E35"/>
    <w:rsid w:val="009B2F48"/>
    <w:rsid w:val="009B3028"/>
    <w:rsid w:val="009B31EE"/>
    <w:rsid w:val="009B367B"/>
    <w:rsid w:val="009B3741"/>
    <w:rsid w:val="009B3869"/>
    <w:rsid w:val="009B391F"/>
    <w:rsid w:val="009B3B76"/>
    <w:rsid w:val="009B3CA0"/>
    <w:rsid w:val="009B40AF"/>
    <w:rsid w:val="009B428C"/>
    <w:rsid w:val="009B42F4"/>
    <w:rsid w:val="009B4913"/>
    <w:rsid w:val="009B4A34"/>
    <w:rsid w:val="009B4BE3"/>
    <w:rsid w:val="009B558A"/>
    <w:rsid w:val="009B5598"/>
    <w:rsid w:val="009B58B9"/>
    <w:rsid w:val="009B5C7F"/>
    <w:rsid w:val="009B5CD3"/>
    <w:rsid w:val="009B6833"/>
    <w:rsid w:val="009B6CBF"/>
    <w:rsid w:val="009B72A1"/>
    <w:rsid w:val="009B7561"/>
    <w:rsid w:val="009B789E"/>
    <w:rsid w:val="009B7D02"/>
    <w:rsid w:val="009C1AD6"/>
    <w:rsid w:val="009C1E33"/>
    <w:rsid w:val="009C1EA9"/>
    <w:rsid w:val="009C23AB"/>
    <w:rsid w:val="009C2AED"/>
    <w:rsid w:val="009C2B5C"/>
    <w:rsid w:val="009C35F6"/>
    <w:rsid w:val="009C3A5D"/>
    <w:rsid w:val="009C40F9"/>
    <w:rsid w:val="009C4480"/>
    <w:rsid w:val="009C4758"/>
    <w:rsid w:val="009C4DFD"/>
    <w:rsid w:val="009C4E23"/>
    <w:rsid w:val="009C545D"/>
    <w:rsid w:val="009C577F"/>
    <w:rsid w:val="009C5D32"/>
    <w:rsid w:val="009C666E"/>
    <w:rsid w:val="009C6A04"/>
    <w:rsid w:val="009C6F63"/>
    <w:rsid w:val="009C7BBF"/>
    <w:rsid w:val="009D01E1"/>
    <w:rsid w:val="009D07D1"/>
    <w:rsid w:val="009D0D97"/>
    <w:rsid w:val="009D269D"/>
    <w:rsid w:val="009D2717"/>
    <w:rsid w:val="009D2A5D"/>
    <w:rsid w:val="009D3035"/>
    <w:rsid w:val="009D333D"/>
    <w:rsid w:val="009D3546"/>
    <w:rsid w:val="009D3970"/>
    <w:rsid w:val="009D4271"/>
    <w:rsid w:val="009D51E3"/>
    <w:rsid w:val="009D6532"/>
    <w:rsid w:val="009D6EEC"/>
    <w:rsid w:val="009D7110"/>
    <w:rsid w:val="009D7189"/>
    <w:rsid w:val="009D731D"/>
    <w:rsid w:val="009D7A7A"/>
    <w:rsid w:val="009D7D8D"/>
    <w:rsid w:val="009D7E29"/>
    <w:rsid w:val="009D7EF0"/>
    <w:rsid w:val="009E0188"/>
    <w:rsid w:val="009E0566"/>
    <w:rsid w:val="009E14F1"/>
    <w:rsid w:val="009E1738"/>
    <w:rsid w:val="009E1800"/>
    <w:rsid w:val="009E181C"/>
    <w:rsid w:val="009E19AB"/>
    <w:rsid w:val="009E1EB6"/>
    <w:rsid w:val="009E1F43"/>
    <w:rsid w:val="009E31AD"/>
    <w:rsid w:val="009E34E9"/>
    <w:rsid w:val="009E37EF"/>
    <w:rsid w:val="009E426F"/>
    <w:rsid w:val="009E4504"/>
    <w:rsid w:val="009E4B2A"/>
    <w:rsid w:val="009E50FE"/>
    <w:rsid w:val="009E583C"/>
    <w:rsid w:val="009E5D8E"/>
    <w:rsid w:val="009E5E33"/>
    <w:rsid w:val="009E60EC"/>
    <w:rsid w:val="009E6241"/>
    <w:rsid w:val="009E63A7"/>
    <w:rsid w:val="009E7114"/>
    <w:rsid w:val="009E74C0"/>
    <w:rsid w:val="009E79CB"/>
    <w:rsid w:val="009E7A9A"/>
    <w:rsid w:val="009E7C3C"/>
    <w:rsid w:val="009E7DA7"/>
    <w:rsid w:val="009F0125"/>
    <w:rsid w:val="009F0177"/>
    <w:rsid w:val="009F070C"/>
    <w:rsid w:val="009F075B"/>
    <w:rsid w:val="009F105F"/>
    <w:rsid w:val="009F1792"/>
    <w:rsid w:val="009F1EA1"/>
    <w:rsid w:val="009F253D"/>
    <w:rsid w:val="009F2916"/>
    <w:rsid w:val="009F29F4"/>
    <w:rsid w:val="009F2B7C"/>
    <w:rsid w:val="009F2EE4"/>
    <w:rsid w:val="009F410E"/>
    <w:rsid w:val="009F465E"/>
    <w:rsid w:val="009F47EA"/>
    <w:rsid w:val="009F484A"/>
    <w:rsid w:val="009F584F"/>
    <w:rsid w:val="009F5C12"/>
    <w:rsid w:val="009F5E43"/>
    <w:rsid w:val="009F5FB3"/>
    <w:rsid w:val="009F63B6"/>
    <w:rsid w:val="009F63E6"/>
    <w:rsid w:val="009F666C"/>
    <w:rsid w:val="009F77D0"/>
    <w:rsid w:val="009F7FDC"/>
    <w:rsid w:val="00A00217"/>
    <w:rsid w:val="00A002B4"/>
    <w:rsid w:val="00A00528"/>
    <w:rsid w:val="00A00CBC"/>
    <w:rsid w:val="00A00F97"/>
    <w:rsid w:val="00A01670"/>
    <w:rsid w:val="00A0176F"/>
    <w:rsid w:val="00A01C5A"/>
    <w:rsid w:val="00A01FFD"/>
    <w:rsid w:val="00A028FD"/>
    <w:rsid w:val="00A02E1C"/>
    <w:rsid w:val="00A034EB"/>
    <w:rsid w:val="00A03D2C"/>
    <w:rsid w:val="00A04126"/>
    <w:rsid w:val="00A0454E"/>
    <w:rsid w:val="00A04A46"/>
    <w:rsid w:val="00A04CFD"/>
    <w:rsid w:val="00A04F4B"/>
    <w:rsid w:val="00A0595E"/>
    <w:rsid w:val="00A05A2C"/>
    <w:rsid w:val="00A05EA0"/>
    <w:rsid w:val="00A06367"/>
    <w:rsid w:val="00A06531"/>
    <w:rsid w:val="00A06901"/>
    <w:rsid w:val="00A0694C"/>
    <w:rsid w:val="00A069CB"/>
    <w:rsid w:val="00A06B89"/>
    <w:rsid w:val="00A06C5C"/>
    <w:rsid w:val="00A06E34"/>
    <w:rsid w:val="00A072AD"/>
    <w:rsid w:val="00A072D7"/>
    <w:rsid w:val="00A0758F"/>
    <w:rsid w:val="00A07C12"/>
    <w:rsid w:val="00A10FFA"/>
    <w:rsid w:val="00A11106"/>
    <w:rsid w:val="00A11940"/>
    <w:rsid w:val="00A11C3E"/>
    <w:rsid w:val="00A12017"/>
    <w:rsid w:val="00A12B9A"/>
    <w:rsid w:val="00A132E1"/>
    <w:rsid w:val="00A13870"/>
    <w:rsid w:val="00A138D6"/>
    <w:rsid w:val="00A13C5F"/>
    <w:rsid w:val="00A13CAE"/>
    <w:rsid w:val="00A140B1"/>
    <w:rsid w:val="00A146BB"/>
    <w:rsid w:val="00A155F2"/>
    <w:rsid w:val="00A157D1"/>
    <w:rsid w:val="00A15E64"/>
    <w:rsid w:val="00A167EE"/>
    <w:rsid w:val="00A17568"/>
    <w:rsid w:val="00A177FE"/>
    <w:rsid w:val="00A1797B"/>
    <w:rsid w:val="00A17DAD"/>
    <w:rsid w:val="00A2002B"/>
    <w:rsid w:val="00A20171"/>
    <w:rsid w:val="00A201A4"/>
    <w:rsid w:val="00A20729"/>
    <w:rsid w:val="00A21666"/>
    <w:rsid w:val="00A21E5C"/>
    <w:rsid w:val="00A22154"/>
    <w:rsid w:val="00A228E1"/>
    <w:rsid w:val="00A228F5"/>
    <w:rsid w:val="00A23327"/>
    <w:rsid w:val="00A23EEA"/>
    <w:rsid w:val="00A24BC2"/>
    <w:rsid w:val="00A24BEF"/>
    <w:rsid w:val="00A25564"/>
    <w:rsid w:val="00A25DE9"/>
    <w:rsid w:val="00A25FE9"/>
    <w:rsid w:val="00A26119"/>
    <w:rsid w:val="00A26566"/>
    <w:rsid w:val="00A265D0"/>
    <w:rsid w:val="00A26B91"/>
    <w:rsid w:val="00A27980"/>
    <w:rsid w:val="00A27E5B"/>
    <w:rsid w:val="00A27EDA"/>
    <w:rsid w:val="00A30180"/>
    <w:rsid w:val="00A301A4"/>
    <w:rsid w:val="00A30ABD"/>
    <w:rsid w:val="00A30D57"/>
    <w:rsid w:val="00A314A3"/>
    <w:rsid w:val="00A31800"/>
    <w:rsid w:val="00A31E71"/>
    <w:rsid w:val="00A3200C"/>
    <w:rsid w:val="00A323AE"/>
    <w:rsid w:val="00A3273A"/>
    <w:rsid w:val="00A329FB"/>
    <w:rsid w:val="00A32FD1"/>
    <w:rsid w:val="00A33661"/>
    <w:rsid w:val="00A33B80"/>
    <w:rsid w:val="00A33DED"/>
    <w:rsid w:val="00A34594"/>
    <w:rsid w:val="00A34653"/>
    <w:rsid w:val="00A34940"/>
    <w:rsid w:val="00A34949"/>
    <w:rsid w:val="00A34A5F"/>
    <w:rsid w:val="00A35671"/>
    <w:rsid w:val="00A3569C"/>
    <w:rsid w:val="00A360E0"/>
    <w:rsid w:val="00A3644C"/>
    <w:rsid w:val="00A3653A"/>
    <w:rsid w:val="00A37436"/>
    <w:rsid w:val="00A37CE0"/>
    <w:rsid w:val="00A4031C"/>
    <w:rsid w:val="00A404D5"/>
    <w:rsid w:val="00A409B6"/>
    <w:rsid w:val="00A411C1"/>
    <w:rsid w:val="00A41A4F"/>
    <w:rsid w:val="00A41CF3"/>
    <w:rsid w:val="00A41F57"/>
    <w:rsid w:val="00A42A30"/>
    <w:rsid w:val="00A42E42"/>
    <w:rsid w:val="00A434EE"/>
    <w:rsid w:val="00A434FA"/>
    <w:rsid w:val="00A43683"/>
    <w:rsid w:val="00A4380F"/>
    <w:rsid w:val="00A43941"/>
    <w:rsid w:val="00A43B26"/>
    <w:rsid w:val="00A43B44"/>
    <w:rsid w:val="00A43DF8"/>
    <w:rsid w:val="00A444CD"/>
    <w:rsid w:val="00A446B2"/>
    <w:rsid w:val="00A447DC"/>
    <w:rsid w:val="00A4508A"/>
    <w:rsid w:val="00A45298"/>
    <w:rsid w:val="00A453F7"/>
    <w:rsid w:val="00A454FC"/>
    <w:rsid w:val="00A4596F"/>
    <w:rsid w:val="00A46220"/>
    <w:rsid w:val="00A46CC8"/>
    <w:rsid w:val="00A47D8C"/>
    <w:rsid w:val="00A502E8"/>
    <w:rsid w:val="00A507DC"/>
    <w:rsid w:val="00A50B94"/>
    <w:rsid w:val="00A50F26"/>
    <w:rsid w:val="00A5149B"/>
    <w:rsid w:val="00A5183C"/>
    <w:rsid w:val="00A51870"/>
    <w:rsid w:val="00A518B5"/>
    <w:rsid w:val="00A51BB2"/>
    <w:rsid w:val="00A51D74"/>
    <w:rsid w:val="00A526BC"/>
    <w:rsid w:val="00A526E7"/>
    <w:rsid w:val="00A52708"/>
    <w:rsid w:val="00A527A9"/>
    <w:rsid w:val="00A52C8B"/>
    <w:rsid w:val="00A52D8F"/>
    <w:rsid w:val="00A532C9"/>
    <w:rsid w:val="00A53415"/>
    <w:rsid w:val="00A53526"/>
    <w:rsid w:val="00A53536"/>
    <w:rsid w:val="00A5361F"/>
    <w:rsid w:val="00A53A46"/>
    <w:rsid w:val="00A53BBC"/>
    <w:rsid w:val="00A53DB3"/>
    <w:rsid w:val="00A53E73"/>
    <w:rsid w:val="00A53F59"/>
    <w:rsid w:val="00A543F9"/>
    <w:rsid w:val="00A544ED"/>
    <w:rsid w:val="00A5467D"/>
    <w:rsid w:val="00A548C1"/>
    <w:rsid w:val="00A555E2"/>
    <w:rsid w:val="00A56190"/>
    <w:rsid w:val="00A56595"/>
    <w:rsid w:val="00A5665E"/>
    <w:rsid w:val="00A56728"/>
    <w:rsid w:val="00A569E2"/>
    <w:rsid w:val="00A56B0C"/>
    <w:rsid w:val="00A57116"/>
    <w:rsid w:val="00A57B22"/>
    <w:rsid w:val="00A57B76"/>
    <w:rsid w:val="00A57B90"/>
    <w:rsid w:val="00A60474"/>
    <w:rsid w:val="00A6126F"/>
    <w:rsid w:val="00A61965"/>
    <w:rsid w:val="00A6259B"/>
    <w:rsid w:val="00A632FE"/>
    <w:rsid w:val="00A6351E"/>
    <w:rsid w:val="00A63A9A"/>
    <w:rsid w:val="00A63DDB"/>
    <w:rsid w:val="00A64027"/>
    <w:rsid w:val="00A6423E"/>
    <w:rsid w:val="00A642E4"/>
    <w:rsid w:val="00A6442C"/>
    <w:rsid w:val="00A64B1A"/>
    <w:rsid w:val="00A64C7D"/>
    <w:rsid w:val="00A64CCB"/>
    <w:rsid w:val="00A656E4"/>
    <w:rsid w:val="00A666E1"/>
    <w:rsid w:val="00A668F7"/>
    <w:rsid w:val="00A6697C"/>
    <w:rsid w:val="00A672FE"/>
    <w:rsid w:val="00A67449"/>
    <w:rsid w:val="00A675FE"/>
    <w:rsid w:val="00A67687"/>
    <w:rsid w:val="00A67D98"/>
    <w:rsid w:val="00A700F5"/>
    <w:rsid w:val="00A70526"/>
    <w:rsid w:val="00A706C5"/>
    <w:rsid w:val="00A70730"/>
    <w:rsid w:val="00A70AD0"/>
    <w:rsid w:val="00A70B05"/>
    <w:rsid w:val="00A712B0"/>
    <w:rsid w:val="00A71A5B"/>
    <w:rsid w:val="00A72682"/>
    <w:rsid w:val="00A72901"/>
    <w:rsid w:val="00A72B83"/>
    <w:rsid w:val="00A72BE6"/>
    <w:rsid w:val="00A72CB2"/>
    <w:rsid w:val="00A72E4B"/>
    <w:rsid w:val="00A7323D"/>
    <w:rsid w:val="00A734C7"/>
    <w:rsid w:val="00A73C5A"/>
    <w:rsid w:val="00A745FC"/>
    <w:rsid w:val="00A74F8C"/>
    <w:rsid w:val="00A75625"/>
    <w:rsid w:val="00A75707"/>
    <w:rsid w:val="00A75C00"/>
    <w:rsid w:val="00A75CFD"/>
    <w:rsid w:val="00A76FC0"/>
    <w:rsid w:val="00A776B6"/>
    <w:rsid w:val="00A77860"/>
    <w:rsid w:val="00A804A9"/>
    <w:rsid w:val="00A80EC6"/>
    <w:rsid w:val="00A80FD9"/>
    <w:rsid w:val="00A8133C"/>
    <w:rsid w:val="00A816CD"/>
    <w:rsid w:val="00A82195"/>
    <w:rsid w:val="00A82D7C"/>
    <w:rsid w:val="00A82E6C"/>
    <w:rsid w:val="00A8309B"/>
    <w:rsid w:val="00A832A8"/>
    <w:rsid w:val="00A83355"/>
    <w:rsid w:val="00A836AB"/>
    <w:rsid w:val="00A836D3"/>
    <w:rsid w:val="00A83B24"/>
    <w:rsid w:val="00A840FC"/>
    <w:rsid w:val="00A84C50"/>
    <w:rsid w:val="00A85633"/>
    <w:rsid w:val="00A85756"/>
    <w:rsid w:val="00A859D5"/>
    <w:rsid w:val="00A85AB5"/>
    <w:rsid w:val="00A86045"/>
    <w:rsid w:val="00A860CE"/>
    <w:rsid w:val="00A861E8"/>
    <w:rsid w:val="00A861F7"/>
    <w:rsid w:val="00A862ED"/>
    <w:rsid w:val="00A86C94"/>
    <w:rsid w:val="00A87379"/>
    <w:rsid w:val="00A90C18"/>
    <w:rsid w:val="00A91295"/>
    <w:rsid w:val="00A912D3"/>
    <w:rsid w:val="00A915FA"/>
    <w:rsid w:val="00A91D17"/>
    <w:rsid w:val="00A91F19"/>
    <w:rsid w:val="00A91F5F"/>
    <w:rsid w:val="00A92340"/>
    <w:rsid w:val="00A923A5"/>
    <w:rsid w:val="00A92ABB"/>
    <w:rsid w:val="00A9323B"/>
    <w:rsid w:val="00A938B3"/>
    <w:rsid w:val="00A93B27"/>
    <w:rsid w:val="00A93F78"/>
    <w:rsid w:val="00A94496"/>
    <w:rsid w:val="00A95C67"/>
    <w:rsid w:val="00A9615A"/>
    <w:rsid w:val="00A9619A"/>
    <w:rsid w:val="00A96843"/>
    <w:rsid w:val="00A97656"/>
    <w:rsid w:val="00A97A4C"/>
    <w:rsid w:val="00A97AFF"/>
    <w:rsid w:val="00A97E4C"/>
    <w:rsid w:val="00A97EC6"/>
    <w:rsid w:val="00AA0143"/>
    <w:rsid w:val="00AA0449"/>
    <w:rsid w:val="00AA0475"/>
    <w:rsid w:val="00AA08D7"/>
    <w:rsid w:val="00AA0CF6"/>
    <w:rsid w:val="00AA10A8"/>
    <w:rsid w:val="00AA13BD"/>
    <w:rsid w:val="00AA1516"/>
    <w:rsid w:val="00AA1A0A"/>
    <w:rsid w:val="00AA25CC"/>
    <w:rsid w:val="00AA41DC"/>
    <w:rsid w:val="00AA45E0"/>
    <w:rsid w:val="00AA4825"/>
    <w:rsid w:val="00AA4952"/>
    <w:rsid w:val="00AA5529"/>
    <w:rsid w:val="00AA55C3"/>
    <w:rsid w:val="00AA59B7"/>
    <w:rsid w:val="00AA5D69"/>
    <w:rsid w:val="00AA5FA9"/>
    <w:rsid w:val="00AA61D0"/>
    <w:rsid w:val="00AA683D"/>
    <w:rsid w:val="00AA6891"/>
    <w:rsid w:val="00AA6A33"/>
    <w:rsid w:val="00AA711E"/>
    <w:rsid w:val="00AA7354"/>
    <w:rsid w:val="00AA7506"/>
    <w:rsid w:val="00AA754A"/>
    <w:rsid w:val="00AB060C"/>
    <w:rsid w:val="00AB0997"/>
    <w:rsid w:val="00AB0D8C"/>
    <w:rsid w:val="00AB1167"/>
    <w:rsid w:val="00AB11EF"/>
    <w:rsid w:val="00AB1457"/>
    <w:rsid w:val="00AB18C2"/>
    <w:rsid w:val="00AB1D47"/>
    <w:rsid w:val="00AB2A08"/>
    <w:rsid w:val="00AB398E"/>
    <w:rsid w:val="00AB4275"/>
    <w:rsid w:val="00AB4421"/>
    <w:rsid w:val="00AB45C0"/>
    <w:rsid w:val="00AB4B7E"/>
    <w:rsid w:val="00AB5102"/>
    <w:rsid w:val="00AB511A"/>
    <w:rsid w:val="00AB5345"/>
    <w:rsid w:val="00AB53AA"/>
    <w:rsid w:val="00AB583B"/>
    <w:rsid w:val="00AB6572"/>
    <w:rsid w:val="00AB6D20"/>
    <w:rsid w:val="00AB6D5A"/>
    <w:rsid w:val="00AB6F0B"/>
    <w:rsid w:val="00AB7785"/>
    <w:rsid w:val="00AB7823"/>
    <w:rsid w:val="00AB7B29"/>
    <w:rsid w:val="00AB7D11"/>
    <w:rsid w:val="00AB7DBE"/>
    <w:rsid w:val="00AB7DCA"/>
    <w:rsid w:val="00AC0524"/>
    <w:rsid w:val="00AC0858"/>
    <w:rsid w:val="00AC08D0"/>
    <w:rsid w:val="00AC1272"/>
    <w:rsid w:val="00AC127D"/>
    <w:rsid w:val="00AC1656"/>
    <w:rsid w:val="00AC1E95"/>
    <w:rsid w:val="00AC1F63"/>
    <w:rsid w:val="00AC23AC"/>
    <w:rsid w:val="00AC2423"/>
    <w:rsid w:val="00AC2466"/>
    <w:rsid w:val="00AC2A80"/>
    <w:rsid w:val="00AC359B"/>
    <w:rsid w:val="00AC4608"/>
    <w:rsid w:val="00AC4AD7"/>
    <w:rsid w:val="00AC4AF0"/>
    <w:rsid w:val="00AC4F1F"/>
    <w:rsid w:val="00AC56FA"/>
    <w:rsid w:val="00AC649F"/>
    <w:rsid w:val="00AC68F0"/>
    <w:rsid w:val="00AC698E"/>
    <w:rsid w:val="00AC6E1C"/>
    <w:rsid w:val="00AC765E"/>
    <w:rsid w:val="00AC7707"/>
    <w:rsid w:val="00AC7BBF"/>
    <w:rsid w:val="00AC7C00"/>
    <w:rsid w:val="00AC7E05"/>
    <w:rsid w:val="00AD0238"/>
    <w:rsid w:val="00AD0437"/>
    <w:rsid w:val="00AD087B"/>
    <w:rsid w:val="00AD0A88"/>
    <w:rsid w:val="00AD1222"/>
    <w:rsid w:val="00AD14F7"/>
    <w:rsid w:val="00AD1B5D"/>
    <w:rsid w:val="00AD208B"/>
    <w:rsid w:val="00AD252D"/>
    <w:rsid w:val="00AD2DA0"/>
    <w:rsid w:val="00AD3381"/>
    <w:rsid w:val="00AD33C2"/>
    <w:rsid w:val="00AD3CF4"/>
    <w:rsid w:val="00AD3F16"/>
    <w:rsid w:val="00AD46E1"/>
    <w:rsid w:val="00AD47F2"/>
    <w:rsid w:val="00AD48BC"/>
    <w:rsid w:val="00AD59A8"/>
    <w:rsid w:val="00AD65BD"/>
    <w:rsid w:val="00AD7174"/>
    <w:rsid w:val="00AD7682"/>
    <w:rsid w:val="00AD7774"/>
    <w:rsid w:val="00AE05F2"/>
    <w:rsid w:val="00AE118B"/>
    <w:rsid w:val="00AE1B2F"/>
    <w:rsid w:val="00AE1C50"/>
    <w:rsid w:val="00AE206E"/>
    <w:rsid w:val="00AE21FD"/>
    <w:rsid w:val="00AE2964"/>
    <w:rsid w:val="00AE2C3A"/>
    <w:rsid w:val="00AE2D35"/>
    <w:rsid w:val="00AE364D"/>
    <w:rsid w:val="00AE3DDC"/>
    <w:rsid w:val="00AE3E32"/>
    <w:rsid w:val="00AE40B8"/>
    <w:rsid w:val="00AE43DE"/>
    <w:rsid w:val="00AE4D05"/>
    <w:rsid w:val="00AE525A"/>
    <w:rsid w:val="00AE560A"/>
    <w:rsid w:val="00AE5BAA"/>
    <w:rsid w:val="00AE686E"/>
    <w:rsid w:val="00AE68DA"/>
    <w:rsid w:val="00AE7395"/>
    <w:rsid w:val="00AE7615"/>
    <w:rsid w:val="00AE7B08"/>
    <w:rsid w:val="00AE7C04"/>
    <w:rsid w:val="00AF0571"/>
    <w:rsid w:val="00AF06D4"/>
    <w:rsid w:val="00AF08BF"/>
    <w:rsid w:val="00AF0AAA"/>
    <w:rsid w:val="00AF1178"/>
    <w:rsid w:val="00AF1357"/>
    <w:rsid w:val="00AF1D18"/>
    <w:rsid w:val="00AF1D69"/>
    <w:rsid w:val="00AF1DD9"/>
    <w:rsid w:val="00AF2586"/>
    <w:rsid w:val="00AF2602"/>
    <w:rsid w:val="00AF3044"/>
    <w:rsid w:val="00AF3D8C"/>
    <w:rsid w:val="00AF462C"/>
    <w:rsid w:val="00AF473B"/>
    <w:rsid w:val="00AF4849"/>
    <w:rsid w:val="00AF498A"/>
    <w:rsid w:val="00AF4FBF"/>
    <w:rsid w:val="00AF5C34"/>
    <w:rsid w:val="00AF5DB5"/>
    <w:rsid w:val="00AF694C"/>
    <w:rsid w:val="00AF7343"/>
    <w:rsid w:val="00AF73F9"/>
    <w:rsid w:val="00AF752D"/>
    <w:rsid w:val="00AF7827"/>
    <w:rsid w:val="00AF7B42"/>
    <w:rsid w:val="00AF7F7C"/>
    <w:rsid w:val="00B00131"/>
    <w:rsid w:val="00B008E4"/>
    <w:rsid w:val="00B00B4A"/>
    <w:rsid w:val="00B01276"/>
    <w:rsid w:val="00B0178C"/>
    <w:rsid w:val="00B029A7"/>
    <w:rsid w:val="00B033A3"/>
    <w:rsid w:val="00B042AB"/>
    <w:rsid w:val="00B0447F"/>
    <w:rsid w:val="00B0485A"/>
    <w:rsid w:val="00B04B97"/>
    <w:rsid w:val="00B051C2"/>
    <w:rsid w:val="00B0566E"/>
    <w:rsid w:val="00B05BC9"/>
    <w:rsid w:val="00B05C22"/>
    <w:rsid w:val="00B05CC5"/>
    <w:rsid w:val="00B05D15"/>
    <w:rsid w:val="00B05E6A"/>
    <w:rsid w:val="00B06025"/>
    <w:rsid w:val="00B06082"/>
    <w:rsid w:val="00B0672F"/>
    <w:rsid w:val="00B06D79"/>
    <w:rsid w:val="00B06FB8"/>
    <w:rsid w:val="00B072ED"/>
    <w:rsid w:val="00B07740"/>
    <w:rsid w:val="00B100F6"/>
    <w:rsid w:val="00B102FF"/>
    <w:rsid w:val="00B104AF"/>
    <w:rsid w:val="00B1056D"/>
    <w:rsid w:val="00B10573"/>
    <w:rsid w:val="00B10596"/>
    <w:rsid w:val="00B1079A"/>
    <w:rsid w:val="00B10D59"/>
    <w:rsid w:val="00B10E15"/>
    <w:rsid w:val="00B113A4"/>
    <w:rsid w:val="00B1176A"/>
    <w:rsid w:val="00B11A74"/>
    <w:rsid w:val="00B11F8E"/>
    <w:rsid w:val="00B12409"/>
    <w:rsid w:val="00B12FDF"/>
    <w:rsid w:val="00B13A76"/>
    <w:rsid w:val="00B1400E"/>
    <w:rsid w:val="00B14E8A"/>
    <w:rsid w:val="00B15196"/>
    <w:rsid w:val="00B151DB"/>
    <w:rsid w:val="00B15A30"/>
    <w:rsid w:val="00B15C39"/>
    <w:rsid w:val="00B15E0B"/>
    <w:rsid w:val="00B15F8D"/>
    <w:rsid w:val="00B161C7"/>
    <w:rsid w:val="00B163C8"/>
    <w:rsid w:val="00B17346"/>
    <w:rsid w:val="00B173AD"/>
    <w:rsid w:val="00B17B48"/>
    <w:rsid w:val="00B2027C"/>
    <w:rsid w:val="00B2095F"/>
    <w:rsid w:val="00B21062"/>
    <w:rsid w:val="00B218E0"/>
    <w:rsid w:val="00B21B06"/>
    <w:rsid w:val="00B21D25"/>
    <w:rsid w:val="00B21D31"/>
    <w:rsid w:val="00B2213E"/>
    <w:rsid w:val="00B22E58"/>
    <w:rsid w:val="00B235E9"/>
    <w:rsid w:val="00B23ACC"/>
    <w:rsid w:val="00B23B99"/>
    <w:rsid w:val="00B24916"/>
    <w:rsid w:val="00B24975"/>
    <w:rsid w:val="00B251D8"/>
    <w:rsid w:val="00B25D95"/>
    <w:rsid w:val="00B25F3E"/>
    <w:rsid w:val="00B26183"/>
    <w:rsid w:val="00B2640B"/>
    <w:rsid w:val="00B2683B"/>
    <w:rsid w:val="00B271CC"/>
    <w:rsid w:val="00B30156"/>
    <w:rsid w:val="00B30FD1"/>
    <w:rsid w:val="00B31248"/>
    <w:rsid w:val="00B32593"/>
    <w:rsid w:val="00B33ED2"/>
    <w:rsid w:val="00B33FAC"/>
    <w:rsid w:val="00B34894"/>
    <w:rsid w:val="00B348FB"/>
    <w:rsid w:val="00B34F76"/>
    <w:rsid w:val="00B35744"/>
    <w:rsid w:val="00B35B82"/>
    <w:rsid w:val="00B36130"/>
    <w:rsid w:val="00B3615F"/>
    <w:rsid w:val="00B362A5"/>
    <w:rsid w:val="00B36415"/>
    <w:rsid w:val="00B36479"/>
    <w:rsid w:val="00B36630"/>
    <w:rsid w:val="00B36BEB"/>
    <w:rsid w:val="00B36E99"/>
    <w:rsid w:val="00B372AB"/>
    <w:rsid w:val="00B37C34"/>
    <w:rsid w:val="00B400A3"/>
    <w:rsid w:val="00B4011A"/>
    <w:rsid w:val="00B401E6"/>
    <w:rsid w:val="00B40D7B"/>
    <w:rsid w:val="00B410F9"/>
    <w:rsid w:val="00B41438"/>
    <w:rsid w:val="00B416BA"/>
    <w:rsid w:val="00B41D69"/>
    <w:rsid w:val="00B421C2"/>
    <w:rsid w:val="00B4287C"/>
    <w:rsid w:val="00B4291E"/>
    <w:rsid w:val="00B42AFF"/>
    <w:rsid w:val="00B42D25"/>
    <w:rsid w:val="00B4308F"/>
    <w:rsid w:val="00B43951"/>
    <w:rsid w:val="00B4429C"/>
    <w:rsid w:val="00B448D5"/>
    <w:rsid w:val="00B45259"/>
    <w:rsid w:val="00B45331"/>
    <w:rsid w:val="00B455BC"/>
    <w:rsid w:val="00B45B0A"/>
    <w:rsid w:val="00B46120"/>
    <w:rsid w:val="00B46445"/>
    <w:rsid w:val="00B4686A"/>
    <w:rsid w:val="00B46BB8"/>
    <w:rsid w:val="00B4702B"/>
    <w:rsid w:val="00B501DE"/>
    <w:rsid w:val="00B50D6E"/>
    <w:rsid w:val="00B50ECC"/>
    <w:rsid w:val="00B50F25"/>
    <w:rsid w:val="00B51089"/>
    <w:rsid w:val="00B51555"/>
    <w:rsid w:val="00B51E94"/>
    <w:rsid w:val="00B520D0"/>
    <w:rsid w:val="00B5271C"/>
    <w:rsid w:val="00B52A42"/>
    <w:rsid w:val="00B532E3"/>
    <w:rsid w:val="00B53308"/>
    <w:rsid w:val="00B53415"/>
    <w:rsid w:val="00B536F3"/>
    <w:rsid w:val="00B53EDB"/>
    <w:rsid w:val="00B547A3"/>
    <w:rsid w:val="00B547E9"/>
    <w:rsid w:val="00B54EF0"/>
    <w:rsid w:val="00B552CC"/>
    <w:rsid w:val="00B55632"/>
    <w:rsid w:val="00B557C1"/>
    <w:rsid w:val="00B559A7"/>
    <w:rsid w:val="00B55A54"/>
    <w:rsid w:val="00B55B58"/>
    <w:rsid w:val="00B55FAE"/>
    <w:rsid w:val="00B5673D"/>
    <w:rsid w:val="00B56A44"/>
    <w:rsid w:val="00B56BDD"/>
    <w:rsid w:val="00B56C46"/>
    <w:rsid w:val="00B56E38"/>
    <w:rsid w:val="00B57911"/>
    <w:rsid w:val="00B57E72"/>
    <w:rsid w:val="00B605D4"/>
    <w:rsid w:val="00B608D9"/>
    <w:rsid w:val="00B6125B"/>
    <w:rsid w:val="00B617E6"/>
    <w:rsid w:val="00B61B2C"/>
    <w:rsid w:val="00B61B3B"/>
    <w:rsid w:val="00B61EA0"/>
    <w:rsid w:val="00B62187"/>
    <w:rsid w:val="00B6250E"/>
    <w:rsid w:val="00B625FD"/>
    <w:rsid w:val="00B62676"/>
    <w:rsid w:val="00B630FE"/>
    <w:rsid w:val="00B634FC"/>
    <w:rsid w:val="00B6354C"/>
    <w:rsid w:val="00B638E2"/>
    <w:rsid w:val="00B638EB"/>
    <w:rsid w:val="00B63980"/>
    <w:rsid w:val="00B64475"/>
    <w:rsid w:val="00B64B39"/>
    <w:rsid w:val="00B64E48"/>
    <w:rsid w:val="00B6596C"/>
    <w:rsid w:val="00B65FA4"/>
    <w:rsid w:val="00B65FB6"/>
    <w:rsid w:val="00B66B10"/>
    <w:rsid w:val="00B66CBA"/>
    <w:rsid w:val="00B66F6A"/>
    <w:rsid w:val="00B6704B"/>
    <w:rsid w:val="00B673C7"/>
    <w:rsid w:val="00B6758F"/>
    <w:rsid w:val="00B67695"/>
    <w:rsid w:val="00B67801"/>
    <w:rsid w:val="00B67928"/>
    <w:rsid w:val="00B703CF"/>
    <w:rsid w:val="00B70560"/>
    <w:rsid w:val="00B70A53"/>
    <w:rsid w:val="00B7104B"/>
    <w:rsid w:val="00B712C9"/>
    <w:rsid w:val="00B71321"/>
    <w:rsid w:val="00B716C9"/>
    <w:rsid w:val="00B71DD3"/>
    <w:rsid w:val="00B72006"/>
    <w:rsid w:val="00B725C5"/>
    <w:rsid w:val="00B7260A"/>
    <w:rsid w:val="00B72627"/>
    <w:rsid w:val="00B727FD"/>
    <w:rsid w:val="00B72809"/>
    <w:rsid w:val="00B72B23"/>
    <w:rsid w:val="00B72ED4"/>
    <w:rsid w:val="00B736C6"/>
    <w:rsid w:val="00B73859"/>
    <w:rsid w:val="00B73D03"/>
    <w:rsid w:val="00B742D8"/>
    <w:rsid w:val="00B7432E"/>
    <w:rsid w:val="00B74824"/>
    <w:rsid w:val="00B7495C"/>
    <w:rsid w:val="00B75249"/>
    <w:rsid w:val="00B7536D"/>
    <w:rsid w:val="00B7549D"/>
    <w:rsid w:val="00B7558B"/>
    <w:rsid w:val="00B7579C"/>
    <w:rsid w:val="00B75FB7"/>
    <w:rsid w:val="00B77660"/>
    <w:rsid w:val="00B779C7"/>
    <w:rsid w:val="00B77EE4"/>
    <w:rsid w:val="00B8025E"/>
    <w:rsid w:val="00B8066D"/>
    <w:rsid w:val="00B80ABC"/>
    <w:rsid w:val="00B80B61"/>
    <w:rsid w:val="00B811A9"/>
    <w:rsid w:val="00B8123A"/>
    <w:rsid w:val="00B819F9"/>
    <w:rsid w:val="00B81A1D"/>
    <w:rsid w:val="00B81E43"/>
    <w:rsid w:val="00B81EB8"/>
    <w:rsid w:val="00B82099"/>
    <w:rsid w:val="00B8261D"/>
    <w:rsid w:val="00B832D3"/>
    <w:rsid w:val="00B83514"/>
    <w:rsid w:val="00B83E51"/>
    <w:rsid w:val="00B842DE"/>
    <w:rsid w:val="00B84664"/>
    <w:rsid w:val="00B85114"/>
    <w:rsid w:val="00B85822"/>
    <w:rsid w:val="00B85B51"/>
    <w:rsid w:val="00B85F7E"/>
    <w:rsid w:val="00B85F8D"/>
    <w:rsid w:val="00B865D7"/>
    <w:rsid w:val="00B86F43"/>
    <w:rsid w:val="00B86F7D"/>
    <w:rsid w:val="00B872F7"/>
    <w:rsid w:val="00B874FC"/>
    <w:rsid w:val="00B87AB3"/>
    <w:rsid w:val="00B9068A"/>
    <w:rsid w:val="00B90694"/>
    <w:rsid w:val="00B90832"/>
    <w:rsid w:val="00B91173"/>
    <w:rsid w:val="00B9132E"/>
    <w:rsid w:val="00B9182E"/>
    <w:rsid w:val="00B91A4A"/>
    <w:rsid w:val="00B91ADD"/>
    <w:rsid w:val="00B91AF5"/>
    <w:rsid w:val="00B91AF7"/>
    <w:rsid w:val="00B92C0F"/>
    <w:rsid w:val="00B92F01"/>
    <w:rsid w:val="00B93270"/>
    <w:rsid w:val="00B93691"/>
    <w:rsid w:val="00B936A0"/>
    <w:rsid w:val="00B9398E"/>
    <w:rsid w:val="00B93FD6"/>
    <w:rsid w:val="00B94532"/>
    <w:rsid w:val="00B94691"/>
    <w:rsid w:val="00B94DAA"/>
    <w:rsid w:val="00B952E6"/>
    <w:rsid w:val="00B96962"/>
    <w:rsid w:val="00B97DD6"/>
    <w:rsid w:val="00B97F39"/>
    <w:rsid w:val="00BA0966"/>
    <w:rsid w:val="00BA0978"/>
    <w:rsid w:val="00BA0B2F"/>
    <w:rsid w:val="00BA0D9D"/>
    <w:rsid w:val="00BA100F"/>
    <w:rsid w:val="00BA12B5"/>
    <w:rsid w:val="00BA13E2"/>
    <w:rsid w:val="00BA1A05"/>
    <w:rsid w:val="00BA1DA2"/>
    <w:rsid w:val="00BA2A5D"/>
    <w:rsid w:val="00BA2E5E"/>
    <w:rsid w:val="00BA3155"/>
    <w:rsid w:val="00BA32E7"/>
    <w:rsid w:val="00BA3A7C"/>
    <w:rsid w:val="00BA44C8"/>
    <w:rsid w:val="00BA452B"/>
    <w:rsid w:val="00BA45FE"/>
    <w:rsid w:val="00BA4A66"/>
    <w:rsid w:val="00BA4CF2"/>
    <w:rsid w:val="00BA5106"/>
    <w:rsid w:val="00BA5950"/>
    <w:rsid w:val="00BA5CE6"/>
    <w:rsid w:val="00BA5D5E"/>
    <w:rsid w:val="00BA6428"/>
    <w:rsid w:val="00BA6590"/>
    <w:rsid w:val="00BA6DE7"/>
    <w:rsid w:val="00BA79A5"/>
    <w:rsid w:val="00BA7A74"/>
    <w:rsid w:val="00BA7DD5"/>
    <w:rsid w:val="00BB03C4"/>
    <w:rsid w:val="00BB06BB"/>
    <w:rsid w:val="00BB0ECD"/>
    <w:rsid w:val="00BB107E"/>
    <w:rsid w:val="00BB1300"/>
    <w:rsid w:val="00BB1618"/>
    <w:rsid w:val="00BB1731"/>
    <w:rsid w:val="00BB1936"/>
    <w:rsid w:val="00BB1A88"/>
    <w:rsid w:val="00BB2D38"/>
    <w:rsid w:val="00BB2E57"/>
    <w:rsid w:val="00BB2F59"/>
    <w:rsid w:val="00BB3145"/>
    <w:rsid w:val="00BB451C"/>
    <w:rsid w:val="00BB4529"/>
    <w:rsid w:val="00BB46FB"/>
    <w:rsid w:val="00BB485A"/>
    <w:rsid w:val="00BB4A01"/>
    <w:rsid w:val="00BB5260"/>
    <w:rsid w:val="00BB5ACE"/>
    <w:rsid w:val="00BB5D14"/>
    <w:rsid w:val="00BB623D"/>
    <w:rsid w:val="00BB638C"/>
    <w:rsid w:val="00BB6D35"/>
    <w:rsid w:val="00BB6EE1"/>
    <w:rsid w:val="00BB73C9"/>
    <w:rsid w:val="00BB7DDF"/>
    <w:rsid w:val="00BC014A"/>
    <w:rsid w:val="00BC037C"/>
    <w:rsid w:val="00BC04AD"/>
    <w:rsid w:val="00BC0C31"/>
    <w:rsid w:val="00BC163A"/>
    <w:rsid w:val="00BC2DD9"/>
    <w:rsid w:val="00BC2EB7"/>
    <w:rsid w:val="00BC30A7"/>
    <w:rsid w:val="00BC3907"/>
    <w:rsid w:val="00BC41FD"/>
    <w:rsid w:val="00BC4237"/>
    <w:rsid w:val="00BC44F2"/>
    <w:rsid w:val="00BC458D"/>
    <w:rsid w:val="00BC466F"/>
    <w:rsid w:val="00BC479A"/>
    <w:rsid w:val="00BC4A13"/>
    <w:rsid w:val="00BC4AEB"/>
    <w:rsid w:val="00BC4D15"/>
    <w:rsid w:val="00BC5416"/>
    <w:rsid w:val="00BC5D7A"/>
    <w:rsid w:val="00BC623F"/>
    <w:rsid w:val="00BC6A19"/>
    <w:rsid w:val="00BC6C2E"/>
    <w:rsid w:val="00BC6E70"/>
    <w:rsid w:val="00BC6F00"/>
    <w:rsid w:val="00BC6F76"/>
    <w:rsid w:val="00BC70C3"/>
    <w:rsid w:val="00BC749C"/>
    <w:rsid w:val="00BC75D1"/>
    <w:rsid w:val="00BD0A7B"/>
    <w:rsid w:val="00BD0BFD"/>
    <w:rsid w:val="00BD0EBE"/>
    <w:rsid w:val="00BD1677"/>
    <w:rsid w:val="00BD16CD"/>
    <w:rsid w:val="00BD1903"/>
    <w:rsid w:val="00BD1986"/>
    <w:rsid w:val="00BD19FD"/>
    <w:rsid w:val="00BD1AE3"/>
    <w:rsid w:val="00BD1EE0"/>
    <w:rsid w:val="00BD20C1"/>
    <w:rsid w:val="00BD213A"/>
    <w:rsid w:val="00BD217A"/>
    <w:rsid w:val="00BD23E1"/>
    <w:rsid w:val="00BD2540"/>
    <w:rsid w:val="00BD2579"/>
    <w:rsid w:val="00BD297A"/>
    <w:rsid w:val="00BD3150"/>
    <w:rsid w:val="00BD3215"/>
    <w:rsid w:val="00BD4012"/>
    <w:rsid w:val="00BD40EA"/>
    <w:rsid w:val="00BD434B"/>
    <w:rsid w:val="00BD47F1"/>
    <w:rsid w:val="00BD5C68"/>
    <w:rsid w:val="00BD6510"/>
    <w:rsid w:val="00BD65C8"/>
    <w:rsid w:val="00BD6782"/>
    <w:rsid w:val="00BD6CB3"/>
    <w:rsid w:val="00BD7106"/>
    <w:rsid w:val="00BD7A3E"/>
    <w:rsid w:val="00BD7CDE"/>
    <w:rsid w:val="00BE0215"/>
    <w:rsid w:val="00BE079E"/>
    <w:rsid w:val="00BE0813"/>
    <w:rsid w:val="00BE0958"/>
    <w:rsid w:val="00BE0A19"/>
    <w:rsid w:val="00BE13D2"/>
    <w:rsid w:val="00BE1A33"/>
    <w:rsid w:val="00BE21D8"/>
    <w:rsid w:val="00BE2361"/>
    <w:rsid w:val="00BE2468"/>
    <w:rsid w:val="00BE26A1"/>
    <w:rsid w:val="00BE36A3"/>
    <w:rsid w:val="00BE36E0"/>
    <w:rsid w:val="00BE38F5"/>
    <w:rsid w:val="00BE3F5F"/>
    <w:rsid w:val="00BE409B"/>
    <w:rsid w:val="00BE4170"/>
    <w:rsid w:val="00BE4824"/>
    <w:rsid w:val="00BE494C"/>
    <w:rsid w:val="00BE5229"/>
    <w:rsid w:val="00BE5366"/>
    <w:rsid w:val="00BE56BB"/>
    <w:rsid w:val="00BE56F6"/>
    <w:rsid w:val="00BE5773"/>
    <w:rsid w:val="00BE58F8"/>
    <w:rsid w:val="00BE5972"/>
    <w:rsid w:val="00BE5C2B"/>
    <w:rsid w:val="00BE64A6"/>
    <w:rsid w:val="00BE64A8"/>
    <w:rsid w:val="00BE6D5A"/>
    <w:rsid w:val="00BE6EB7"/>
    <w:rsid w:val="00BE72C7"/>
    <w:rsid w:val="00BE7800"/>
    <w:rsid w:val="00BE7E2E"/>
    <w:rsid w:val="00BF08F6"/>
    <w:rsid w:val="00BF0BA2"/>
    <w:rsid w:val="00BF0CFB"/>
    <w:rsid w:val="00BF123B"/>
    <w:rsid w:val="00BF2737"/>
    <w:rsid w:val="00BF2856"/>
    <w:rsid w:val="00BF2FA2"/>
    <w:rsid w:val="00BF2FB5"/>
    <w:rsid w:val="00BF37C8"/>
    <w:rsid w:val="00BF38D5"/>
    <w:rsid w:val="00BF3B6C"/>
    <w:rsid w:val="00BF418A"/>
    <w:rsid w:val="00BF43EF"/>
    <w:rsid w:val="00BF49BC"/>
    <w:rsid w:val="00BF4A4E"/>
    <w:rsid w:val="00BF4AB4"/>
    <w:rsid w:val="00BF547E"/>
    <w:rsid w:val="00BF6097"/>
    <w:rsid w:val="00BF609F"/>
    <w:rsid w:val="00BF622D"/>
    <w:rsid w:val="00BF65C1"/>
    <w:rsid w:val="00BF6BBF"/>
    <w:rsid w:val="00BF6C05"/>
    <w:rsid w:val="00BF6C66"/>
    <w:rsid w:val="00BF6FD8"/>
    <w:rsid w:val="00BF701F"/>
    <w:rsid w:val="00BF71EB"/>
    <w:rsid w:val="00C004B3"/>
    <w:rsid w:val="00C007CD"/>
    <w:rsid w:val="00C007D7"/>
    <w:rsid w:val="00C00812"/>
    <w:rsid w:val="00C0087F"/>
    <w:rsid w:val="00C0127E"/>
    <w:rsid w:val="00C018AE"/>
    <w:rsid w:val="00C01B68"/>
    <w:rsid w:val="00C02246"/>
    <w:rsid w:val="00C0234A"/>
    <w:rsid w:val="00C024C4"/>
    <w:rsid w:val="00C025F1"/>
    <w:rsid w:val="00C027B8"/>
    <w:rsid w:val="00C02AA6"/>
    <w:rsid w:val="00C03064"/>
    <w:rsid w:val="00C03168"/>
    <w:rsid w:val="00C0318A"/>
    <w:rsid w:val="00C033C4"/>
    <w:rsid w:val="00C0341E"/>
    <w:rsid w:val="00C03530"/>
    <w:rsid w:val="00C038AF"/>
    <w:rsid w:val="00C03E2B"/>
    <w:rsid w:val="00C057CF"/>
    <w:rsid w:val="00C0632A"/>
    <w:rsid w:val="00C066E6"/>
    <w:rsid w:val="00C06E44"/>
    <w:rsid w:val="00C071BE"/>
    <w:rsid w:val="00C07593"/>
    <w:rsid w:val="00C07B4F"/>
    <w:rsid w:val="00C1090E"/>
    <w:rsid w:val="00C10A39"/>
    <w:rsid w:val="00C10CBE"/>
    <w:rsid w:val="00C10E49"/>
    <w:rsid w:val="00C10F50"/>
    <w:rsid w:val="00C10F83"/>
    <w:rsid w:val="00C10FA7"/>
    <w:rsid w:val="00C1163D"/>
    <w:rsid w:val="00C118FC"/>
    <w:rsid w:val="00C11B10"/>
    <w:rsid w:val="00C11D88"/>
    <w:rsid w:val="00C11D9D"/>
    <w:rsid w:val="00C11E14"/>
    <w:rsid w:val="00C11FE5"/>
    <w:rsid w:val="00C129D8"/>
    <w:rsid w:val="00C130B0"/>
    <w:rsid w:val="00C13105"/>
    <w:rsid w:val="00C13146"/>
    <w:rsid w:val="00C1320C"/>
    <w:rsid w:val="00C132D8"/>
    <w:rsid w:val="00C139D0"/>
    <w:rsid w:val="00C13C0E"/>
    <w:rsid w:val="00C13CC9"/>
    <w:rsid w:val="00C13D7E"/>
    <w:rsid w:val="00C14332"/>
    <w:rsid w:val="00C14C3A"/>
    <w:rsid w:val="00C1559C"/>
    <w:rsid w:val="00C15696"/>
    <w:rsid w:val="00C156FD"/>
    <w:rsid w:val="00C15BF3"/>
    <w:rsid w:val="00C15FF8"/>
    <w:rsid w:val="00C16317"/>
    <w:rsid w:val="00C2039C"/>
    <w:rsid w:val="00C2065F"/>
    <w:rsid w:val="00C20853"/>
    <w:rsid w:val="00C20E8E"/>
    <w:rsid w:val="00C21269"/>
    <w:rsid w:val="00C216F3"/>
    <w:rsid w:val="00C21AC2"/>
    <w:rsid w:val="00C22011"/>
    <w:rsid w:val="00C228F1"/>
    <w:rsid w:val="00C22912"/>
    <w:rsid w:val="00C230F7"/>
    <w:rsid w:val="00C23FEE"/>
    <w:rsid w:val="00C23FF5"/>
    <w:rsid w:val="00C2512B"/>
    <w:rsid w:val="00C25FF6"/>
    <w:rsid w:val="00C26139"/>
    <w:rsid w:val="00C26C40"/>
    <w:rsid w:val="00C26F01"/>
    <w:rsid w:val="00C274B6"/>
    <w:rsid w:val="00C27983"/>
    <w:rsid w:val="00C27ED0"/>
    <w:rsid w:val="00C30983"/>
    <w:rsid w:val="00C30AD6"/>
    <w:rsid w:val="00C30AED"/>
    <w:rsid w:val="00C30D29"/>
    <w:rsid w:val="00C312F3"/>
    <w:rsid w:val="00C317DB"/>
    <w:rsid w:val="00C31C10"/>
    <w:rsid w:val="00C32238"/>
    <w:rsid w:val="00C32995"/>
    <w:rsid w:val="00C33233"/>
    <w:rsid w:val="00C33573"/>
    <w:rsid w:val="00C33BE8"/>
    <w:rsid w:val="00C34CBF"/>
    <w:rsid w:val="00C35223"/>
    <w:rsid w:val="00C35429"/>
    <w:rsid w:val="00C35490"/>
    <w:rsid w:val="00C35886"/>
    <w:rsid w:val="00C35B15"/>
    <w:rsid w:val="00C360AE"/>
    <w:rsid w:val="00C377B0"/>
    <w:rsid w:val="00C3789B"/>
    <w:rsid w:val="00C37A77"/>
    <w:rsid w:val="00C401FB"/>
    <w:rsid w:val="00C4083A"/>
    <w:rsid w:val="00C40A22"/>
    <w:rsid w:val="00C40BC3"/>
    <w:rsid w:val="00C40CE6"/>
    <w:rsid w:val="00C414C4"/>
    <w:rsid w:val="00C4168E"/>
    <w:rsid w:val="00C41976"/>
    <w:rsid w:val="00C42222"/>
    <w:rsid w:val="00C425D0"/>
    <w:rsid w:val="00C432F7"/>
    <w:rsid w:val="00C4333D"/>
    <w:rsid w:val="00C433DE"/>
    <w:rsid w:val="00C43439"/>
    <w:rsid w:val="00C43793"/>
    <w:rsid w:val="00C4384D"/>
    <w:rsid w:val="00C43D2C"/>
    <w:rsid w:val="00C43F77"/>
    <w:rsid w:val="00C43FA0"/>
    <w:rsid w:val="00C44B9A"/>
    <w:rsid w:val="00C4515A"/>
    <w:rsid w:val="00C45177"/>
    <w:rsid w:val="00C45260"/>
    <w:rsid w:val="00C452D8"/>
    <w:rsid w:val="00C455E7"/>
    <w:rsid w:val="00C4599A"/>
    <w:rsid w:val="00C45B3C"/>
    <w:rsid w:val="00C45B7B"/>
    <w:rsid w:val="00C46012"/>
    <w:rsid w:val="00C4642F"/>
    <w:rsid w:val="00C46564"/>
    <w:rsid w:val="00C467F2"/>
    <w:rsid w:val="00C46FF0"/>
    <w:rsid w:val="00C4759D"/>
    <w:rsid w:val="00C476D8"/>
    <w:rsid w:val="00C47B9E"/>
    <w:rsid w:val="00C47BDF"/>
    <w:rsid w:val="00C47D13"/>
    <w:rsid w:val="00C50ED6"/>
    <w:rsid w:val="00C5112B"/>
    <w:rsid w:val="00C517D3"/>
    <w:rsid w:val="00C5193F"/>
    <w:rsid w:val="00C51B5D"/>
    <w:rsid w:val="00C51D36"/>
    <w:rsid w:val="00C51ECF"/>
    <w:rsid w:val="00C525B7"/>
    <w:rsid w:val="00C525F6"/>
    <w:rsid w:val="00C52914"/>
    <w:rsid w:val="00C538EF"/>
    <w:rsid w:val="00C544FC"/>
    <w:rsid w:val="00C545A1"/>
    <w:rsid w:val="00C54690"/>
    <w:rsid w:val="00C54C49"/>
    <w:rsid w:val="00C54D11"/>
    <w:rsid w:val="00C54FDD"/>
    <w:rsid w:val="00C55094"/>
    <w:rsid w:val="00C55103"/>
    <w:rsid w:val="00C5579F"/>
    <w:rsid w:val="00C55C46"/>
    <w:rsid w:val="00C55E96"/>
    <w:rsid w:val="00C5605B"/>
    <w:rsid w:val="00C56144"/>
    <w:rsid w:val="00C56B7D"/>
    <w:rsid w:val="00C57215"/>
    <w:rsid w:val="00C579A1"/>
    <w:rsid w:val="00C57EF2"/>
    <w:rsid w:val="00C57FEA"/>
    <w:rsid w:val="00C60747"/>
    <w:rsid w:val="00C60795"/>
    <w:rsid w:val="00C607AB"/>
    <w:rsid w:val="00C608BF"/>
    <w:rsid w:val="00C615DD"/>
    <w:rsid w:val="00C6170D"/>
    <w:rsid w:val="00C61ABD"/>
    <w:rsid w:val="00C631FD"/>
    <w:rsid w:val="00C633A9"/>
    <w:rsid w:val="00C633EF"/>
    <w:rsid w:val="00C63965"/>
    <w:rsid w:val="00C6408F"/>
    <w:rsid w:val="00C648B4"/>
    <w:rsid w:val="00C649CC"/>
    <w:rsid w:val="00C64B48"/>
    <w:rsid w:val="00C64F10"/>
    <w:rsid w:val="00C65C9B"/>
    <w:rsid w:val="00C65EA6"/>
    <w:rsid w:val="00C65F17"/>
    <w:rsid w:val="00C6741A"/>
    <w:rsid w:val="00C6770E"/>
    <w:rsid w:val="00C67BCD"/>
    <w:rsid w:val="00C67C39"/>
    <w:rsid w:val="00C67DE0"/>
    <w:rsid w:val="00C700A7"/>
    <w:rsid w:val="00C7041C"/>
    <w:rsid w:val="00C70FBB"/>
    <w:rsid w:val="00C717BF"/>
    <w:rsid w:val="00C71B83"/>
    <w:rsid w:val="00C71CE3"/>
    <w:rsid w:val="00C71E69"/>
    <w:rsid w:val="00C71EBE"/>
    <w:rsid w:val="00C7256E"/>
    <w:rsid w:val="00C7268A"/>
    <w:rsid w:val="00C72C1D"/>
    <w:rsid w:val="00C72DBA"/>
    <w:rsid w:val="00C73192"/>
    <w:rsid w:val="00C735C6"/>
    <w:rsid w:val="00C73D14"/>
    <w:rsid w:val="00C73D33"/>
    <w:rsid w:val="00C73D77"/>
    <w:rsid w:val="00C73E51"/>
    <w:rsid w:val="00C73E59"/>
    <w:rsid w:val="00C7424B"/>
    <w:rsid w:val="00C74A69"/>
    <w:rsid w:val="00C74C24"/>
    <w:rsid w:val="00C752CF"/>
    <w:rsid w:val="00C75544"/>
    <w:rsid w:val="00C75949"/>
    <w:rsid w:val="00C75A03"/>
    <w:rsid w:val="00C75BA5"/>
    <w:rsid w:val="00C76F5C"/>
    <w:rsid w:val="00C771B5"/>
    <w:rsid w:val="00C775B6"/>
    <w:rsid w:val="00C801DE"/>
    <w:rsid w:val="00C804FB"/>
    <w:rsid w:val="00C80565"/>
    <w:rsid w:val="00C80851"/>
    <w:rsid w:val="00C808F4"/>
    <w:rsid w:val="00C80EF1"/>
    <w:rsid w:val="00C80F2A"/>
    <w:rsid w:val="00C813FD"/>
    <w:rsid w:val="00C814BE"/>
    <w:rsid w:val="00C815EA"/>
    <w:rsid w:val="00C818D7"/>
    <w:rsid w:val="00C81BCC"/>
    <w:rsid w:val="00C81EE4"/>
    <w:rsid w:val="00C83017"/>
    <w:rsid w:val="00C831E1"/>
    <w:rsid w:val="00C834A0"/>
    <w:rsid w:val="00C83BF6"/>
    <w:rsid w:val="00C8445A"/>
    <w:rsid w:val="00C84503"/>
    <w:rsid w:val="00C85AC6"/>
    <w:rsid w:val="00C85AE5"/>
    <w:rsid w:val="00C85C61"/>
    <w:rsid w:val="00C86B9B"/>
    <w:rsid w:val="00C86BF3"/>
    <w:rsid w:val="00C87105"/>
    <w:rsid w:val="00C87BF2"/>
    <w:rsid w:val="00C900F8"/>
    <w:rsid w:val="00C903A9"/>
    <w:rsid w:val="00C90618"/>
    <w:rsid w:val="00C90799"/>
    <w:rsid w:val="00C90942"/>
    <w:rsid w:val="00C912DA"/>
    <w:rsid w:val="00C91B28"/>
    <w:rsid w:val="00C91C44"/>
    <w:rsid w:val="00C91FCF"/>
    <w:rsid w:val="00C92ED8"/>
    <w:rsid w:val="00C92FE1"/>
    <w:rsid w:val="00C93170"/>
    <w:rsid w:val="00C93AF7"/>
    <w:rsid w:val="00C93B63"/>
    <w:rsid w:val="00C93C38"/>
    <w:rsid w:val="00C940E8"/>
    <w:rsid w:val="00C94651"/>
    <w:rsid w:val="00C946FF"/>
    <w:rsid w:val="00C94A50"/>
    <w:rsid w:val="00C94CE0"/>
    <w:rsid w:val="00C95455"/>
    <w:rsid w:val="00C9563F"/>
    <w:rsid w:val="00C957FF"/>
    <w:rsid w:val="00C95831"/>
    <w:rsid w:val="00C962B9"/>
    <w:rsid w:val="00C96366"/>
    <w:rsid w:val="00C96557"/>
    <w:rsid w:val="00C96C3F"/>
    <w:rsid w:val="00C96C55"/>
    <w:rsid w:val="00C971E2"/>
    <w:rsid w:val="00C97271"/>
    <w:rsid w:val="00C97784"/>
    <w:rsid w:val="00C977A5"/>
    <w:rsid w:val="00C97960"/>
    <w:rsid w:val="00C97968"/>
    <w:rsid w:val="00C97E1B"/>
    <w:rsid w:val="00CA0260"/>
    <w:rsid w:val="00CA066C"/>
    <w:rsid w:val="00CA0693"/>
    <w:rsid w:val="00CA0775"/>
    <w:rsid w:val="00CA0842"/>
    <w:rsid w:val="00CA0D95"/>
    <w:rsid w:val="00CA13FA"/>
    <w:rsid w:val="00CA149B"/>
    <w:rsid w:val="00CA1731"/>
    <w:rsid w:val="00CA1ADB"/>
    <w:rsid w:val="00CA1D0D"/>
    <w:rsid w:val="00CA1D8A"/>
    <w:rsid w:val="00CA1E01"/>
    <w:rsid w:val="00CA28D5"/>
    <w:rsid w:val="00CA2E55"/>
    <w:rsid w:val="00CA36AE"/>
    <w:rsid w:val="00CA36F0"/>
    <w:rsid w:val="00CA3B14"/>
    <w:rsid w:val="00CA3D5E"/>
    <w:rsid w:val="00CA444D"/>
    <w:rsid w:val="00CA4BE3"/>
    <w:rsid w:val="00CA4EC8"/>
    <w:rsid w:val="00CA4ECD"/>
    <w:rsid w:val="00CA594F"/>
    <w:rsid w:val="00CA5D3C"/>
    <w:rsid w:val="00CA61B1"/>
    <w:rsid w:val="00CA6B45"/>
    <w:rsid w:val="00CA6DDB"/>
    <w:rsid w:val="00CA6FF7"/>
    <w:rsid w:val="00CA7191"/>
    <w:rsid w:val="00CA7451"/>
    <w:rsid w:val="00CA79B0"/>
    <w:rsid w:val="00CA7B74"/>
    <w:rsid w:val="00CB0326"/>
    <w:rsid w:val="00CB03BB"/>
    <w:rsid w:val="00CB14E2"/>
    <w:rsid w:val="00CB156F"/>
    <w:rsid w:val="00CB28BD"/>
    <w:rsid w:val="00CB28D7"/>
    <w:rsid w:val="00CB2AB4"/>
    <w:rsid w:val="00CB2C37"/>
    <w:rsid w:val="00CB2D67"/>
    <w:rsid w:val="00CB3273"/>
    <w:rsid w:val="00CB3512"/>
    <w:rsid w:val="00CB3941"/>
    <w:rsid w:val="00CB3B04"/>
    <w:rsid w:val="00CB3DE2"/>
    <w:rsid w:val="00CB4030"/>
    <w:rsid w:val="00CB49E0"/>
    <w:rsid w:val="00CB49EB"/>
    <w:rsid w:val="00CB56B4"/>
    <w:rsid w:val="00CB59D8"/>
    <w:rsid w:val="00CB5CC4"/>
    <w:rsid w:val="00CB5DD0"/>
    <w:rsid w:val="00CB608D"/>
    <w:rsid w:val="00CB6673"/>
    <w:rsid w:val="00CB6BCD"/>
    <w:rsid w:val="00CB71F5"/>
    <w:rsid w:val="00CB7332"/>
    <w:rsid w:val="00CB7418"/>
    <w:rsid w:val="00CB75E3"/>
    <w:rsid w:val="00CB7EAB"/>
    <w:rsid w:val="00CC06CA"/>
    <w:rsid w:val="00CC0860"/>
    <w:rsid w:val="00CC08D1"/>
    <w:rsid w:val="00CC119D"/>
    <w:rsid w:val="00CC1539"/>
    <w:rsid w:val="00CC20F5"/>
    <w:rsid w:val="00CC2296"/>
    <w:rsid w:val="00CC25C6"/>
    <w:rsid w:val="00CC28D5"/>
    <w:rsid w:val="00CC2A16"/>
    <w:rsid w:val="00CC2A46"/>
    <w:rsid w:val="00CC2BC3"/>
    <w:rsid w:val="00CC2D21"/>
    <w:rsid w:val="00CC3086"/>
    <w:rsid w:val="00CC3953"/>
    <w:rsid w:val="00CC3F56"/>
    <w:rsid w:val="00CC444F"/>
    <w:rsid w:val="00CC4692"/>
    <w:rsid w:val="00CC4BF0"/>
    <w:rsid w:val="00CC4E95"/>
    <w:rsid w:val="00CC5216"/>
    <w:rsid w:val="00CC58BC"/>
    <w:rsid w:val="00CC5D61"/>
    <w:rsid w:val="00CC5E79"/>
    <w:rsid w:val="00CC5F32"/>
    <w:rsid w:val="00CC64A8"/>
    <w:rsid w:val="00CC6899"/>
    <w:rsid w:val="00CC69BC"/>
    <w:rsid w:val="00CC6CF1"/>
    <w:rsid w:val="00CC6FBF"/>
    <w:rsid w:val="00CD02CE"/>
    <w:rsid w:val="00CD0DF0"/>
    <w:rsid w:val="00CD101D"/>
    <w:rsid w:val="00CD1526"/>
    <w:rsid w:val="00CD170E"/>
    <w:rsid w:val="00CD185D"/>
    <w:rsid w:val="00CD23CB"/>
    <w:rsid w:val="00CD2A3E"/>
    <w:rsid w:val="00CD2AD2"/>
    <w:rsid w:val="00CD2BB5"/>
    <w:rsid w:val="00CD2EBC"/>
    <w:rsid w:val="00CD2F6F"/>
    <w:rsid w:val="00CD40FC"/>
    <w:rsid w:val="00CD41BF"/>
    <w:rsid w:val="00CD4EB9"/>
    <w:rsid w:val="00CD6B56"/>
    <w:rsid w:val="00CD6DB6"/>
    <w:rsid w:val="00CD7495"/>
    <w:rsid w:val="00CD7787"/>
    <w:rsid w:val="00CD78B4"/>
    <w:rsid w:val="00CD7C1B"/>
    <w:rsid w:val="00CD7C66"/>
    <w:rsid w:val="00CE07D5"/>
    <w:rsid w:val="00CE0ACB"/>
    <w:rsid w:val="00CE0ECD"/>
    <w:rsid w:val="00CE1879"/>
    <w:rsid w:val="00CE1B6B"/>
    <w:rsid w:val="00CE1E74"/>
    <w:rsid w:val="00CE231C"/>
    <w:rsid w:val="00CE2FC0"/>
    <w:rsid w:val="00CE30B1"/>
    <w:rsid w:val="00CE377D"/>
    <w:rsid w:val="00CE3E4E"/>
    <w:rsid w:val="00CE444B"/>
    <w:rsid w:val="00CE45A8"/>
    <w:rsid w:val="00CE4EFA"/>
    <w:rsid w:val="00CE51BB"/>
    <w:rsid w:val="00CE5555"/>
    <w:rsid w:val="00CE63F7"/>
    <w:rsid w:val="00CE6FBF"/>
    <w:rsid w:val="00CE76F7"/>
    <w:rsid w:val="00CE7A79"/>
    <w:rsid w:val="00CF0153"/>
    <w:rsid w:val="00CF0941"/>
    <w:rsid w:val="00CF0AEC"/>
    <w:rsid w:val="00CF0CCD"/>
    <w:rsid w:val="00CF14F8"/>
    <w:rsid w:val="00CF17E6"/>
    <w:rsid w:val="00CF2138"/>
    <w:rsid w:val="00CF2173"/>
    <w:rsid w:val="00CF22FF"/>
    <w:rsid w:val="00CF253E"/>
    <w:rsid w:val="00CF264F"/>
    <w:rsid w:val="00CF2761"/>
    <w:rsid w:val="00CF2858"/>
    <w:rsid w:val="00CF29B5"/>
    <w:rsid w:val="00CF2CEF"/>
    <w:rsid w:val="00CF3046"/>
    <w:rsid w:val="00CF316F"/>
    <w:rsid w:val="00CF3AA2"/>
    <w:rsid w:val="00CF3C25"/>
    <w:rsid w:val="00CF3D4F"/>
    <w:rsid w:val="00CF41D6"/>
    <w:rsid w:val="00CF41DB"/>
    <w:rsid w:val="00CF45E6"/>
    <w:rsid w:val="00CF487C"/>
    <w:rsid w:val="00CF49F1"/>
    <w:rsid w:val="00CF4C69"/>
    <w:rsid w:val="00CF50A0"/>
    <w:rsid w:val="00CF51FB"/>
    <w:rsid w:val="00CF5263"/>
    <w:rsid w:val="00CF5AB4"/>
    <w:rsid w:val="00CF613A"/>
    <w:rsid w:val="00CF617B"/>
    <w:rsid w:val="00CF61EB"/>
    <w:rsid w:val="00CF64A9"/>
    <w:rsid w:val="00CF667F"/>
    <w:rsid w:val="00CF6921"/>
    <w:rsid w:val="00CF6AF0"/>
    <w:rsid w:val="00CF7AB5"/>
    <w:rsid w:val="00CF7D15"/>
    <w:rsid w:val="00CF7E90"/>
    <w:rsid w:val="00D00105"/>
    <w:rsid w:val="00D001F1"/>
    <w:rsid w:val="00D00B7F"/>
    <w:rsid w:val="00D00D8B"/>
    <w:rsid w:val="00D01BBB"/>
    <w:rsid w:val="00D01C79"/>
    <w:rsid w:val="00D01FC2"/>
    <w:rsid w:val="00D0223F"/>
    <w:rsid w:val="00D0280D"/>
    <w:rsid w:val="00D029ED"/>
    <w:rsid w:val="00D03526"/>
    <w:rsid w:val="00D035A7"/>
    <w:rsid w:val="00D037AC"/>
    <w:rsid w:val="00D03BCE"/>
    <w:rsid w:val="00D03E42"/>
    <w:rsid w:val="00D03FAD"/>
    <w:rsid w:val="00D040BD"/>
    <w:rsid w:val="00D04415"/>
    <w:rsid w:val="00D0469A"/>
    <w:rsid w:val="00D04D4A"/>
    <w:rsid w:val="00D05437"/>
    <w:rsid w:val="00D05570"/>
    <w:rsid w:val="00D0591E"/>
    <w:rsid w:val="00D05AA8"/>
    <w:rsid w:val="00D06085"/>
    <w:rsid w:val="00D0716A"/>
    <w:rsid w:val="00D07736"/>
    <w:rsid w:val="00D10A46"/>
    <w:rsid w:val="00D10AAE"/>
    <w:rsid w:val="00D11A23"/>
    <w:rsid w:val="00D11B0D"/>
    <w:rsid w:val="00D11C4F"/>
    <w:rsid w:val="00D11D52"/>
    <w:rsid w:val="00D1210B"/>
    <w:rsid w:val="00D12B31"/>
    <w:rsid w:val="00D12CD9"/>
    <w:rsid w:val="00D12FC2"/>
    <w:rsid w:val="00D1409D"/>
    <w:rsid w:val="00D14260"/>
    <w:rsid w:val="00D14DC9"/>
    <w:rsid w:val="00D16D50"/>
    <w:rsid w:val="00D16E76"/>
    <w:rsid w:val="00D16F8D"/>
    <w:rsid w:val="00D171A1"/>
    <w:rsid w:val="00D174C5"/>
    <w:rsid w:val="00D1787C"/>
    <w:rsid w:val="00D17B66"/>
    <w:rsid w:val="00D20A84"/>
    <w:rsid w:val="00D211D5"/>
    <w:rsid w:val="00D218F1"/>
    <w:rsid w:val="00D21AAF"/>
    <w:rsid w:val="00D21C48"/>
    <w:rsid w:val="00D221A9"/>
    <w:rsid w:val="00D22212"/>
    <w:rsid w:val="00D222AC"/>
    <w:rsid w:val="00D225FA"/>
    <w:rsid w:val="00D22857"/>
    <w:rsid w:val="00D23327"/>
    <w:rsid w:val="00D23397"/>
    <w:rsid w:val="00D235F2"/>
    <w:rsid w:val="00D23626"/>
    <w:rsid w:val="00D2377A"/>
    <w:rsid w:val="00D23885"/>
    <w:rsid w:val="00D23CDB"/>
    <w:rsid w:val="00D23D0B"/>
    <w:rsid w:val="00D240F5"/>
    <w:rsid w:val="00D245A1"/>
    <w:rsid w:val="00D24677"/>
    <w:rsid w:val="00D24EFF"/>
    <w:rsid w:val="00D25159"/>
    <w:rsid w:val="00D25302"/>
    <w:rsid w:val="00D25B23"/>
    <w:rsid w:val="00D2626A"/>
    <w:rsid w:val="00D2679E"/>
    <w:rsid w:val="00D26B55"/>
    <w:rsid w:val="00D27841"/>
    <w:rsid w:val="00D27C59"/>
    <w:rsid w:val="00D300D8"/>
    <w:rsid w:val="00D30E5D"/>
    <w:rsid w:val="00D30FD7"/>
    <w:rsid w:val="00D3122E"/>
    <w:rsid w:val="00D3170D"/>
    <w:rsid w:val="00D317BB"/>
    <w:rsid w:val="00D31999"/>
    <w:rsid w:val="00D31B46"/>
    <w:rsid w:val="00D31B77"/>
    <w:rsid w:val="00D32654"/>
    <w:rsid w:val="00D327F0"/>
    <w:rsid w:val="00D32813"/>
    <w:rsid w:val="00D32B6E"/>
    <w:rsid w:val="00D336A8"/>
    <w:rsid w:val="00D3382C"/>
    <w:rsid w:val="00D33AF7"/>
    <w:rsid w:val="00D346AF"/>
    <w:rsid w:val="00D34AE0"/>
    <w:rsid w:val="00D3519B"/>
    <w:rsid w:val="00D36253"/>
    <w:rsid w:val="00D36B8C"/>
    <w:rsid w:val="00D36C5B"/>
    <w:rsid w:val="00D400E9"/>
    <w:rsid w:val="00D4025F"/>
    <w:rsid w:val="00D407D9"/>
    <w:rsid w:val="00D40B90"/>
    <w:rsid w:val="00D413A9"/>
    <w:rsid w:val="00D41A08"/>
    <w:rsid w:val="00D42058"/>
    <w:rsid w:val="00D42061"/>
    <w:rsid w:val="00D423DF"/>
    <w:rsid w:val="00D426DC"/>
    <w:rsid w:val="00D42C4B"/>
    <w:rsid w:val="00D430A7"/>
    <w:rsid w:val="00D43396"/>
    <w:rsid w:val="00D4341B"/>
    <w:rsid w:val="00D434D6"/>
    <w:rsid w:val="00D446B9"/>
    <w:rsid w:val="00D449DD"/>
    <w:rsid w:val="00D44BEA"/>
    <w:rsid w:val="00D45384"/>
    <w:rsid w:val="00D45706"/>
    <w:rsid w:val="00D45B36"/>
    <w:rsid w:val="00D46044"/>
    <w:rsid w:val="00D46508"/>
    <w:rsid w:val="00D46743"/>
    <w:rsid w:val="00D46C17"/>
    <w:rsid w:val="00D46D74"/>
    <w:rsid w:val="00D47039"/>
    <w:rsid w:val="00D470D2"/>
    <w:rsid w:val="00D470FE"/>
    <w:rsid w:val="00D472AB"/>
    <w:rsid w:val="00D47671"/>
    <w:rsid w:val="00D4774E"/>
    <w:rsid w:val="00D478D4"/>
    <w:rsid w:val="00D5091B"/>
    <w:rsid w:val="00D50BD0"/>
    <w:rsid w:val="00D50C1F"/>
    <w:rsid w:val="00D50D21"/>
    <w:rsid w:val="00D51392"/>
    <w:rsid w:val="00D51461"/>
    <w:rsid w:val="00D5155A"/>
    <w:rsid w:val="00D515B2"/>
    <w:rsid w:val="00D51703"/>
    <w:rsid w:val="00D52103"/>
    <w:rsid w:val="00D522B0"/>
    <w:rsid w:val="00D52553"/>
    <w:rsid w:val="00D528E8"/>
    <w:rsid w:val="00D5294E"/>
    <w:rsid w:val="00D532C5"/>
    <w:rsid w:val="00D53492"/>
    <w:rsid w:val="00D5369E"/>
    <w:rsid w:val="00D537D7"/>
    <w:rsid w:val="00D53F0E"/>
    <w:rsid w:val="00D543F5"/>
    <w:rsid w:val="00D54968"/>
    <w:rsid w:val="00D54B95"/>
    <w:rsid w:val="00D54CC0"/>
    <w:rsid w:val="00D55221"/>
    <w:rsid w:val="00D55313"/>
    <w:rsid w:val="00D559F0"/>
    <w:rsid w:val="00D55A34"/>
    <w:rsid w:val="00D55A5A"/>
    <w:rsid w:val="00D5679E"/>
    <w:rsid w:val="00D56901"/>
    <w:rsid w:val="00D56F24"/>
    <w:rsid w:val="00D570A0"/>
    <w:rsid w:val="00D57281"/>
    <w:rsid w:val="00D572A9"/>
    <w:rsid w:val="00D5771E"/>
    <w:rsid w:val="00D60103"/>
    <w:rsid w:val="00D612C2"/>
    <w:rsid w:val="00D612E0"/>
    <w:rsid w:val="00D61537"/>
    <w:rsid w:val="00D61794"/>
    <w:rsid w:val="00D619F6"/>
    <w:rsid w:val="00D61A78"/>
    <w:rsid w:val="00D61BE0"/>
    <w:rsid w:val="00D62184"/>
    <w:rsid w:val="00D62519"/>
    <w:rsid w:val="00D6256F"/>
    <w:rsid w:val="00D626AB"/>
    <w:rsid w:val="00D62F77"/>
    <w:rsid w:val="00D6303E"/>
    <w:rsid w:val="00D632A6"/>
    <w:rsid w:val="00D634CD"/>
    <w:rsid w:val="00D6362B"/>
    <w:rsid w:val="00D63A3F"/>
    <w:rsid w:val="00D63BFF"/>
    <w:rsid w:val="00D63CAD"/>
    <w:rsid w:val="00D63DDB"/>
    <w:rsid w:val="00D640B7"/>
    <w:rsid w:val="00D6476B"/>
    <w:rsid w:val="00D65386"/>
    <w:rsid w:val="00D65655"/>
    <w:rsid w:val="00D65874"/>
    <w:rsid w:val="00D65FB3"/>
    <w:rsid w:val="00D6657E"/>
    <w:rsid w:val="00D666F5"/>
    <w:rsid w:val="00D667AF"/>
    <w:rsid w:val="00D66EF6"/>
    <w:rsid w:val="00D67411"/>
    <w:rsid w:val="00D678D6"/>
    <w:rsid w:val="00D67D1E"/>
    <w:rsid w:val="00D67E9A"/>
    <w:rsid w:val="00D7000F"/>
    <w:rsid w:val="00D70115"/>
    <w:rsid w:val="00D7025A"/>
    <w:rsid w:val="00D705EB"/>
    <w:rsid w:val="00D706F9"/>
    <w:rsid w:val="00D70C76"/>
    <w:rsid w:val="00D70CF9"/>
    <w:rsid w:val="00D71164"/>
    <w:rsid w:val="00D719FB"/>
    <w:rsid w:val="00D7215D"/>
    <w:rsid w:val="00D72DD0"/>
    <w:rsid w:val="00D732A0"/>
    <w:rsid w:val="00D73661"/>
    <w:rsid w:val="00D7380E"/>
    <w:rsid w:val="00D73B94"/>
    <w:rsid w:val="00D74125"/>
    <w:rsid w:val="00D74238"/>
    <w:rsid w:val="00D74359"/>
    <w:rsid w:val="00D74489"/>
    <w:rsid w:val="00D74C41"/>
    <w:rsid w:val="00D74E6C"/>
    <w:rsid w:val="00D74EBF"/>
    <w:rsid w:val="00D76178"/>
    <w:rsid w:val="00D76232"/>
    <w:rsid w:val="00D7651B"/>
    <w:rsid w:val="00D769AC"/>
    <w:rsid w:val="00D77CA0"/>
    <w:rsid w:val="00D80D88"/>
    <w:rsid w:val="00D80F26"/>
    <w:rsid w:val="00D80F86"/>
    <w:rsid w:val="00D81422"/>
    <w:rsid w:val="00D819B5"/>
    <w:rsid w:val="00D81CA7"/>
    <w:rsid w:val="00D82E2C"/>
    <w:rsid w:val="00D8403D"/>
    <w:rsid w:val="00D840F4"/>
    <w:rsid w:val="00D8416F"/>
    <w:rsid w:val="00D84B48"/>
    <w:rsid w:val="00D851FE"/>
    <w:rsid w:val="00D85549"/>
    <w:rsid w:val="00D8578F"/>
    <w:rsid w:val="00D85FAE"/>
    <w:rsid w:val="00D8614E"/>
    <w:rsid w:val="00D86603"/>
    <w:rsid w:val="00D86671"/>
    <w:rsid w:val="00D87F9B"/>
    <w:rsid w:val="00D9028A"/>
    <w:rsid w:val="00D90E65"/>
    <w:rsid w:val="00D911D3"/>
    <w:rsid w:val="00D913AC"/>
    <w:rsid w:val="00D9151A"/>
    <w:rsid w:val="00D91E62"/>
    <w:rsid w:val="00D9224B"/>
    <w:rsid w:val="00D92348"/>
    <w:rsid w:val="00D9247C"/>
    <w:rsid w:val="00D92B0E"/>
    <w:rsid w:val="00D92D09"/>
    <w:rsid w:val="00D92DF8"/>
    <w:rsid w:val="00D92F85"/>
    <w:rsid w:val="00D9339A"/>
    <w:rsid w:val="00D93781"/>
    <w:rsid w:val="00D938F5"/>
    <w:rsid w:val="00D93BCA"/>
    <w:rsid w:val="00D94014"/>
    <w:rsid w:val="00D9411F"/>
    <w:rsid w:val="00D95111"/>
    <w:rsid w:val="00D9522D"/>
    <w:rsid w:val="00D95AEE"/>
    <w:rsid w:val="00D95F03"/>
    <w:rsid w:val="00D961C3"/>
    <w:rsid w:val="00D96315"/>
    <w:rsid w:val="00D96B8C"/>
    <w:rsid w:val="00D96DC3"/>
    <w:rsid w:val="00D97381"/>
    <w:rsid w:val="00D97984"/>
    <w:rsid w:val="00D97A66"/>
    <w:rsid w:val="00D97CA4"/>
    <w:rsid w:val="00DA0396"/>
    <w:rsid w:val="00DA0BD8"/>
    <w:rsid w:val="00DA139E"/>
    <w:rsid w:val="00DA1C94"/>
    <w:rsid w:val="00DA1E06"/>
    <w:rsid w:val="00DA2046"/>
    <w:rsid w:val="00DA21B0"/>
    <w:rsid w:val="00DA21BB"/>
    <w:rsid w:val="00DA2443"/>
    <w:rsid w:val="00DA27FB"/>
    <w:rsid w:val="00DA284E"/>
    <w:rsid w:val="00DA2BFA"/>
    <w:rsid w:val="00DA342F"/>
    <w:rsid w:val="00DA34E9"/>
    <w:rsid w:val="00DA3A91"/>
    <w:rsid w:val="00DA3B6E"/>
    <w:rsid w:val="00DA3C6B"/>
    <w:rsid w:val="00DA3F48"/>
    <w:rsid w:val="00DA410A"/>
    <w:rsid w:val="00DA4634"/>
    <w:rsid w:val="00DA48F4"/>
    <w:rsid w:val="00DA51FA"/>
    <w:rsid w:val="00DA56B7"/>
    <w:rsid w:val="00DA5D77"/>
    <w:rsid w:val="00DA5F2E"/>
    <w:rsid w:val="00DA6596"/>
    <w:rsid w:val="00DA6C7F"/>
    <w:rsid w:val="00DA79DD"/>
    <w:rsid w:val="00DA7FD4"/>
    <w:rsid w:val="00DB0A95"/>
    <w:rsid w:val="00DB0BC8"/>
    <w:rsid w:val="00DB1D8A"/>
    <w:rsid w:val="00DB1FDE"/>
    <w:rsid w:val="00DB2859"/>
    <w:rsid w:val="00DB28D3"/>
    <w:rsid w:val="00DB2A4E"/>
    <w:rsid w:val="00DB32C7"/>
    <w:rsid w:val="00DB43CC"/>
    <w:rsid w:val="00DB4715"/>
    <w:rsid w:val="00DB4998"/>
    <w:rsid w:val="00DB4B96"/>
    <w:rsid w:val="00DB4C04"/>
    <w:rsid w:val="00DB4C66"/>
    <w:rsid w:val="00DB4C74"/>
    <w:rsid w:val="00DB4F8A"/>
    <w:rsid w:val="00DB4FA8"/>
    <w:rsid w:val="00DB5571"/>
    <w:rsid w:val="00DB55C0"/>
    <w:rsid w:val="00DB58D5"/>
    <w:rsid w:val="00DB5F8E"/>
    <w:rsid w:val="00DB61F1"/>
    <w:rsid w:val="00DB62A7"/>
    <w:rsid w:val="00DB6467"/>
    <w:rsid w:val="00DB6A4D"/>
    <w:rsid w:val="00DB6E01"/>
    <w:rsid w:val="00DB7BA2"/>
    <w:rsid w:val="00DB7DA1"/>
    <w:rsid w:val="00DC053E"/>
    <w:rsid w:val="00DC0B27"/>
    <w:rsid w:val="00DC0EC8"/>
    <w:rsid w:val="00DC14FB"/>
    <w:rsid w:val="00DC175B"/>
    <w:rsid w:val="00DC18F1"/>
    <w:rsid w:val="00DC1A45"/>
    <w:rsid w:val="00DC1A76"/>
    <w:rsid w:val="00DC1FF1"/>
    <w:rsid w:val="00DC260A"/>
    <w:rsid w:val="00DC2695"/>
    <w:rsid w:val="00DC2E43"/>
    <w:rsid w:val="00DC2E4A"/>
    <w:rsid w:val="00DC3C6A"/>
    <w:rsid w:val="00DC493B"/>
    <w:rsid w:val="00DC4C10"/>
    <w:rsid w:val="00DC5803"/>
    <w:rsid w:val="00DC5E57"/>
    <w:rsid w:val="00DC6655"/>
    <w:rsid w:val="00DC6957"/>
    <w:rsid w:val="00DC6CEC"/>
    <w:rsid w:val="00DC77B3"/>
    <w:rsid w:val="00DC79AB"/>
    <w:rsid w:val="00DC7AC4"/>
    <w:rsid w:val="00DC7E6A"/>
    <w:rsid w:val="00DD0669"/>
    <w:rsid w:val="00DD06BA"/>
    <w:rsid w:val="00DD07C0"/>
    <w:rsid w:val="00DD0EAA"/>
    <w:rsid w:val="00DD1287"/>
    <w:rsid w:val="00DD18B5"/>
    <w:rsid w:val="00DD18E4"/>
    <w:rsid w:val="00DD18ED"/>
    <w:rsid w:val="00DD1C78"/>
    <w:rsid w:val="00DD1CF2"/>
    <w:rsid w:val="00DD1E85"/>
    <w:rsid w:val="00DD2961"/>
    <w:rsid w:val="00DD2E92"/>
    <w:rsid w:val="00DD3596"/>
    <w:rsid w:val="00DD3811"/>
    <w:rsid w:val="00DD3A38"/>
    <w:rsid w:val="00DD3B4E"/>
    <w:rsid w:val="00DD3C65"/>
    <w:rsid w:val="00DD3E55"/>
    <w:rsid w:val="00DD3EB2"/>
    <w:rsid w:val="00DD3F9F"/>
    <w:rsid w:val="00DD420C"/>
    <w:rsid w:val="00DD459A"/>
    <w:rsid w:val="00DD46BA"/>
    <w:rsid w:val="00DD4732"/>
    <w:rsid w:val="00DD49B2"/>
    <w:rsid w:val="00DD55DC"/>
    <w:rsid w:val="00DD55DD"/>
    <w:rsid w:val="00DD5926"/>
    <w:rsid w:val="00DD6AF5"/>
    <w:rsid w:val="00DD6BA5"/>
    <w:rsid w:val="00DE010F"/>
    <w:rsid w:val="00DE0146"/>
    <w:rsid w:val="00DE01D1"/>
    <w:rsid w:val="00DE1718"/>
    <w:rsid w:val="00DE174C"/>
    <w:rsid w:val="00DE1E10"/>
    <w:rsid w:val="00DE1E75"/>
    <w:rsid w:val="00DE1F3D"/>
    <w:rsid w:val="00DE24EC"/>
    <w:rsid w:val="00DE33B4"/>
    <w:rsid w:val="00DE3892"/>
    <w:rsid w:val="00DE3B0B"/>
    <w:rsid w:val="00DE3E05"/>
    <w:rsid w:val="00DE3F76"/>
    <w:rsid w:val="00DE492B"/>
    <w:rsid w:val="00DE4C93"/>
    <w:rsid w:val="00DE518A"/>
    <w:rsid w:val="00DE54FB"/>
    <w:rsid w:val="00DE5BD9"/>
    <w:rsid w:val="00DE6011"/>
    <w:rsid w:val="00DE63AF"/>
    <w:rsid w:val="00DE67D1"/>
    <w:rsid w:val="00DE6FD7"/>
    <w:rsid w:val="00DE700C"/>
    <w:rsid w:val="00DE7B35"/>
    <w:rsid w:val="00DF0E25"/>
    <w:rsid w:val="00DF0E3D"/>
    <w:rsid w:val="00DF0E9B"/>
    <w:rsid w:val="00DF0EA6"/>
    <w:rsid w:val="00DF105B"/>
    <w:rsid w:val="00DF1448"/>
    <w:rsid w:val="00DF18E7"/>
    <w:rsid w:val="00DF1DE4"/>
    <w:rsid w:val="00DF1F20"/>
    <w:rsid w:val="00DF2A9B"/>
    <w:rsid w:val="00DF2B0C"/>
    <w:rsid w:val="00DF2F16"/>
    <w:rsid w:val="00DF33B5"/>
    <w:rsid w:val="00DF352B"/>
    <w:rsid w:val="00DF35B0"/>
    <w:rsid w:val="00DF39B9"/>
    <w:rsid w:val="00DF3BFA"/>
    <w:rsid w:val="00DF4259"/>
    <w:rsid w:val="00DF4909"/>
    <w:rsid w:val="00DF4E3D"/>
    <w:rsid w:val="00DF5502"/>
    <w:rsid w:val="00DF58C5"/>
    <w:rsid w:val="00DF59FC"/>
    <w:rsid w:val="00DF5CE4"/>
    <w:rsid w:val="00DF5CFA"/>
    <w:rsid w:val="00DF5ED4"/>
    <w:rsid w:val="00DF6056"/>
    <w:rsid w:val="00DF62AA"/>
    <w:rsid w:val="00DF64D5"/>
    <w:rsid w:val="00DF69B5"/>
    <w:rsid w:val="00DF7094"/>
    <w:rsid w:val="00DF7126"/>
    <w:rsid w:val="00DF718E"/>
    <w:rsid w:val="00DF7349"/>
    <w:rsid w:val="00DF7969"/>
    <w:rsid w:val="00DF7AA8"/>
    <w:rsid w:val="00DF7B64"/>
    <w:rsid w:val="00E00452"/>
    <w:rsid w:val="00E005B2"/>
    <w:rsid w:val="00E00677"/>
    <w:rsid w:val="00E00BE8"/>
    <w:rsid w:val="00E00FE8"/>
    <w:rsid w:val="00E014FC"/>
    <w:rsid w:val="00E01D3B"/>
    <w:rsid w:val="00E02C48"/>
    <w:rsid w:val="00E02EC8"/>
    <w:rsid w:val="00E03DDD"/>
    <w:rsid w:val="00E045AE"/>
    <w:rsid w:val="00E0493C"/>
    <w:rsid w:val="00E04DA9"/>
    <w:rsid w:val="00E058D1"/>
    <w:rsid w:val="00E061A9"/>
    <w:rsid w:val="00E06874"/>
    <w:rsid w:val="00E06DB3"/>
    <w:rsid w:val="00E07340"/>
    <w:rsid w:val="00E07C10"/>
    <w:rsid w:val="00E10034"/>
    <w:rsid w:val="00E101E7"/>
    <w:rsid w:val="00E1032A"/>
    <w:rsid w:val="00E104DE"/>
    <w:rsid w:val="00E10536"/>
    <w:rsid w:val="00E10A51"/>
    <w:rsid w:val="00E10B21"/>
    <w:rsid w:val="00E10B66"/>
    <w:rsid w:val="00E1184B"/>
    <w:rsid w:val="00E11AED"/>
    <w:rsid w:val="00E11CC3"/>
    <w:rsid w:val="00E1218C"/>
    <w:rsid w:val="00E1240B"/>
    <w:rsid w:val="00E12C12"/>
    <w:rsid w:val="00E12E1A"/>
    <w:rsid w:val="00E12E7C"/>
    <w:rsid w:val="00E138C9"/>
    <w:rsid w:val="00E13AD3"/>
    <w:rsid w:val="00E13D9B"/>
    <w:rsid w:val="00E14242"/>
    <w:rsid w:val="00E143BB"/>
    <w:rsid w:val="00E14619"/>
    <w:rsid w:val="00E1469E"/>
    <w:rsid w:val="00E14735"/>
    <w:rsid w:val="00E14CC5"/>
    <w:rsid w:val="00E14DA8"/>
    <w:rsid w:val="00E1515F"/>
    <w:rsid w:val="00E1646E"/>
    <w:rsid w:val="00E16E7C"/>
    <w:rsid w:val="00E174B3"/>
    <w:rsid w:val="00E17846"/>
    <w:rsid w:val="00E179B7"/>
    <w:rsid w:val="00E20346"/>
    <w:rsid w:val="00E20CF5"/>
    <w:rsid w:val="00E21511"/>
    <w:rsid w:val="00E21EB0"/>
    <w:rsid w:val="00E220C6"/>
    <w:rsid w:val="00E2211A"/>
    <w:rsid w:val="00E2260E"/>
    <w:rsid w:val="00E22B2E"/>
    <w:rsid w:val="00E22B2F"/>
    <w:rsid w:val="00E22BDF"/>
    <w:rsid w:val="00E22EA1"/>
    <w:rsid w:val="00E23241"/>
    <w:rsid w:val="00E232CD"/>
    <w:rsid w:val="00E23312"/>
    <w:rsid w:val="00E23581"/>
    <w:rsid w:val="00E236D7"/>
    <w:rsid w:val="00E23AB9"/>
    <w:rsid w:val="00E23E92"/>
    <w:rsid w:val="00E24060"/>
    <w:rsid w:val="00E241ED"/>
    <w:rsid w:val="00E24817"/>
    <w:rsid w:val="00E248C3"/>
    <w:rsid w:val="00E24AD8"/>
    <w:rsid w:val="00E25118"/>
    <w:rsid w:val="00E2540C"/>
    <w:rsid w:val="00E2576A"/>
    <w:rsid w:val="00E25A04"/>
    <w:rsid w:val="00E26120"/>
    <w:rsid w:val="00E26578"/>
    <w:rsid w:val="00E26A82"/>
    <w:rsid w:val="00E26C1E"/>
    <w:rsid w:val="00E26E04"/>
    <w:rsid w:val="00E26EDA"/>
    <w:rsid w:val="00E279A4"/>
    <w:rsid w:val="00E3026A"/>
    <w:rsid w:val="00E306CC"/>
    <w:rsid w:val="00E30C85"/>
    <w:rsid w:val="00E3113E"/>
    <w:rsid w:val="00E31338"/>
    <w:rsid w:val="00E318A1"/>
    <w:rsid w:val="00E31D4C"/>
    <w:rsid w:val="00E31F91"/>
    <w:rsid w:val="00E32081"/>
    <w:rsid w:val="00E32151"/>
    <w:rsid w:val="00E328E6"/>
    <w:rsid w:val="00E32B85"/>
    <w:rsid w:val="00E32BF4"/>
    <w:rsid w:val="00E32FE3"/>
    <w:rsid w:val="00E3352B"/>
    <w:rsid w:val="00E337D2"/>
    <w:rsid w:val="00E340F3"/>
    <w:rsid w:val="00E3433B"/>
    <w:rsid w:val="00E3499A"/>
    <w:rsid w:val="00E354B0"/>
    <w:rsid w:val="00E357E8"/>
    <w:rsid w:val="00E35860"/>
    <w:rsid w:val="00E36044"/>
    <w:rsid w:val="00E36194"/>
    <w:rsid w:val="00E366CC"/>
    <w:rsid w:val="00E36E6C"/>
    <w:rsid w:val="00E37752"/>
    <w:rsid w:val="00E37BF7"/>
    <w:rsid w:val="00E37CF8"/>
    <w:rsid w:val="00E4024D"/>
    <w:rsid w:val="00E4063E"/>
    <w:rsid w:val="00E41415"/>
    <w:rsid w:val="00E414BD"/>
    <w:rsid w:val="00E41787"/>
    <w:rsid w:val="00E41979"/>
    <w:rsid w:val="00E429AB"/>
    <w:rsid w:val="00E42D1B"/>
    <w:rsid w:val="00E43584"/>
    <w:rsid w:val="00E43782"/>
    <w:rsid w:val="00E43DEB"/>
    <w:rsid w:val="00E44071"/>
    <w:rsid w:val="00E445E6"/>
    <w:rsid w:val="00E44B95"/>
    <w:rsid w:val="00E456FE"/>
    <w:rsid w:val="00E45C6B"/>
    <w:rsid w:val="00E45E19"/>
    <w:rsid w:val="00E465B1"/>
    <w:rsid w:val="00E46723"/>
    <w:rsid w:val="00E46788"/>
    <w:rsid w:val="00E46FC3"/>
    <w:rsid w:val="00E47299"/>
    <w:rsid w:val="00E47345"/>
    <w:rsid w:val="00E47560"/>
    <w:rsid w:val="00E476B9"/>
    <w:rsid w:val="00E47707"/>
    <w:rsid w:val="00E47937"/>
    <w:rsid w:val="00E479B7"/>
    <w:rsid w:val="00E479F1"/>
    <w:rsid w:val="00E47C6E"/>
    <w:rsid w:val="00E47EE4"/>
    <w:rsid w:val="00E50004"/>
    <w:rsid w:val="00E502C4"/>
    <w:rsid w:val="00E50519"/>
    <w:rsid w:val="00E507F3"/>
    <w:rsid w:val="00E50940"/>
    <w:rsid w:val="00E509DA"/>
    <w:rsid w:val="00E50BC3"/>
    <w:rsid w:val="00E50E7F"/>
    <w:rsid w:val="00E5109F"/>
    <w:rsid w:val="00E51689"/>
    <w:rsid w:val="00E519F6"/>
    <w:rsid w:val="00E51EF8"/>
    <w:rsid w:val="00E52240"/>
    <w:rsid w:val="00E52303"/>
    <w:rsid w:val="00E52A30"/>
    <w:rsid w:val="00E53050"/>
    <w:rsid w:val="00E53051"/>
    <w:rsid w:val="00E537E0"/>
    <w:rsid w:val="00E53AC9"/>
    <w:rsid w:val="00E53BE2"/>
    <w:rsid w:val="00E545AE"/>
    <w:rsid w:val="00E54DAF"/>
    <w:rsid w:val="00E54F0F"/>
    <w:rsid w:val="00E54F6C"/>
    <w:rsid w:val="00E550D7"/>
    <w:rsid w:val="00E55DB9"/>
    <w:rsid w:val="00E562E3"/>
    <w:rsid w:val="00E563F9"/>
    <w:rsid w:val="00E56578"/>
    <w:rsid w:val="00E5657F"/>
    <w:rsid w:val="00E569E1"/>
    <w:rsid w:val="00E56FC2"/>
    <w:rsid w:val="00E5737E"/>
    <w:rsid w:val="00E57B16"/>
    <w:rsid w:val="00E57BEA"/>
    <w:rsid w:val="00E57D16"/>
    <w:rsid w:val="00E6031D"/>
    <w:rsid w:val="00E6065C"/>
    <w:rsid w:val="00E608D4"/>
    <w:rsid w:val="00E60D4A"/>
    <w:rsid w:val="00E6149E"/>
    <w:rsid w:val="00E61BC6"/>
    <w:rsid w:val="00E61BF8"/>
    <w:rsid w:val="00E61C7C"/>
    <w:rsid w:val="00E61C8D"/>
    <w:rsid w:val="00E61CE3"/>
    <w:rsid w:val="00E61FAE"/>
    <w:rsid w:val="00E62C54"/>
    <w:rsid w:val="00E6327E"/>
    <w:rsid w:val="00E63422"/>
    <w:rsid w:val="00E63F86"/>
    <w:rsid w:val="00E63FA1"/>
    <w:rsid w:val="00E647FC"/>
    <w:rsid w:val="00E64A7A"/>
    <w:rsid w:val="00E651E9"/>
    <w:rsid w:val="00E65379"/>
    <w:rsid w:val="00E6566C"/>
    <w:rsid w:val="00E656B1"/>
    <w:rsid w:val="00E65930"/>
    <w:rsid w:val="00E65F84"/>
    <w:rsid w:val="00E671FB"/>
    <w:rsid w:val="00E67806"/>
    <w:rsid w:val="00E67C73"/>
    <w:rsid w:val="00E700E8"/>
    <w:rsid w:val="00E70625"/>
    <w:rsid w:val="00E7077D"/>
    <w:rsid w:val="00E70B64"/>
    <w:rsid w:val="00E71514"/>
    <w:rsid w:val="00E71A45"/>
    <w:rsid w:val="00E721AE"/>
    <w:rsid w:val="00E72A79"/>
    <w:rsid w:val="00E73D39"/>
    <w:rsid w:val="00E73D75"/>
    <w:rsid w:val="00E745D8"/>
    <w:rsid w:val="00E7496F"/>
    <w:rsid w:val="00E74A33"/>
    <w:rsid w:val="00E74B25"/>
    <w:rsid w:val="00E75298"/>
    <w:rsid w:val="00E75FF7"/>
    <w:rsid w:val="00E762C4"/>
    <w:rsid w:val="00E7676C"/>
    <w:rsid w:val="00E76B87"/>
    <w:rsid w:val="00E77405"/>
    <w:rsid w:val="00E77897"/>
    <w:rsid w:val="00E77E2D"/>
    <w:rsid w:val="00E80136"/>
    <w:rsid w:val="00E80BF2"/>
    <w:rsid w:val="00E813A3"/>
    <w:rsid w:val="00E813E9"/>
    <w:rsid w:val="00E815CF"/>
    <w:rsid w:val="00E817D9"/>
    <w:rsid w:val="00E81987"/>
    <w:rsid w:val="00E82739"/>
    <w:rsid w:val="00E827A2"/>
    <w:rsid w:val="00E82966"/>
    <w:rsid w:val="00E82A9F"/>
    <w:rsid w:val="00E82D75"/>
    <w:rsid w:val="00E8368C"/>
    <w:rsid w:val="00E83CD3"/>
    <w:rsid w:val="00E84059"/>
    <w:rsid w:val="00E851F4"/>
    <w:rsid w:val="00E855EB"/>
    <w:rsid w:val="00E85B70"/>
    <w:rsid w:val="00E85BDC"/>
    <w:rsid w:val="00E85CD1"/>
    <w:rsid w:val="00E8611F"/>
    <w:rsid w:val="00E862C8"/>
    <w:rsid w:val="00E86487"/>
    <w:rsid w:val="00E869C5"/>
    <w:rsid w:val="00E8745D"/>
    <w:rsid w:val="00E8754B"/>
    <w:rsid w:val="00E87856"/>
    <w:rsid w:val="00E87B51"/>
    <w:rsid w:val="00E87B93"/>
    <w:rsid w:val="00E900EE"/>
    <w:rsid w:val="00E9019B"/>
    <w:rsid w:val="00E902BA"/>
    <w:rsid w:val="00E90368"/>
    <w:rsid w:val="00E90A0A"/>
    <w:rsid w:val="00E90C89"/>
    <w:rsid w:val="00E913D8"/>
    <w:rsid w:val="00E91821"/>
    <w:rsid w:val="00E91838"/>
    <w:rsid w:val="00E91849"/>
    <w:rsid w:val="00E91A6F"/>
    <w:rsid w:val="00E91BDC"/>
    <w:rsid w:val="00E91CA8"/>
    <w:rsid w:val="00E91DFC"/>
    <w:rsid w:val="00E921CC"/>
    <w:rsid w:val="00E92676"/>
    <w:rsid w:val="00E92745"/>
    <w:rsid w:val="00E927C8"/>
    <w:rsid w:val="00E92B8A"/>
    <w:rsid w:val="00E92D75"/>
    <w:rsid w:val="00E9302A"/>
    <w:rsid w:val="00E931BB"/>
    <w:rsid w:val="00E936B3"/>
    <w:rsid w:val="00E93A15"/>
    <w:rsid w:val="00E942B1"/>
    <w:rsid w:val="00E94358"/>
    <w:rsid w:val="00E9435F"/>
    <w:rsid w:val="00E94577"/>
    <w:rsid w:val="00E94B60"/>
    <w:rsid w:val="00E95807"/>
    <w:rsid w:val="00E96274"/>
    <w:rsid w:val="00E9654E"/>
    <w:rsid w:val="00E968B0"/>
    <w:rsid w:val="00E96E04"/>
    <w:rsid w:val="00E97395"/>
    <w:rsid w:val="00E97478"/>
    <w:rsid w:val="00E97524"/>
    <w:rsid w:val="00E975C3"/>
    <w:rsid w:val="00E977E0"/>
    <w:rsid w:val="00E97B89"/>
    <w:rsid w:val="00E97BB5"/>
    <w:rsid w:val="00EA012C"/>
    <w:rsid w:val="00EA0D06"/>
    <w:rsid w:val="00EA0F7E"/>
    <w:rsid w:val="00EA14B5"/>
    <w:rsid w:val="00EA1693"/>
    <w:rsid w:val="00EA16E7"/>
    <w:rsid w:val="00EA1746"/>
    <w:rsid w:val="00EA1C4B"/>
    <w:rsid w:val="00EA209B"/>
    <w:rsid w:val="00EA240F"/>
    <w:rsid w:val="00EA30EA"/>
    <w:rsid w:val="00EA34EE"/>
    <w:rsid w:val="00EA3501"/>
    <w:rsid w:val="00EA37D6"/>
    <w:rsid w:val="00EA3AB6"/>
    <w:rsid w:val="00EA3C3D"/>
    <w:rsid w:val="00EA4877"/>
    <w:rsid w:val="00EA4B5B"/>
    <w:rsid w:val="00EA5455"/>
    <w:rsid w:val="00EA6568"/>
    <w:rsid w:val="00EA6794"/>
    <w:rsid w:val="00EA6DEF"/>
    <w:rsid w:val="00EA6F71"/>
    <w:rsid w:val="00EA7AEE"/>
    <w:rsid w:val="00EA7DC7"/>
    <w:rsid w:val="00EB0B51"/>
    <w:rsid w:val="00EB0BDB"/>
    <w:rsid w:val="00EB1119"/>
    <w:rsid w:val="00EB16F9"/>
    <w:rsid w:val="00EB2055"/>
    <w:rsid w:val="00EB2141"/>
    <w:rsid w:val="00EB24A5"/>
    <w:rsid w:val="00EB279E"/>
    <w:rsid w:val="00EB2910"/>
    <w:rsid w:val="00EB2CB8"/>
    <w:rsid w:val="00EB2F6C"/>
    <w:rsid w:val="00EB2F83"/>
    <w:rsid w:val="00EB3383"/>
    <w:rsid w:val="00EB3A21"/>
    <w:rsid w:val="00EB3FA2"/>
    <w:rsid w:val="00EB419C"/>
    <w:rsid w:val="00EB4347"/>
    <w:rsid w:val="00EB4362"/>
    <w:rsid w:val="00EB47A1"/>
    <w:rsid w:val="00EB5506"/>
    <w:rsid w:val="00EB57E2"/>
    <w:rsid w:val="00EB589C"/>
    <w:rsid w:val="00EB6101"/>
    <w:rsid w:val="00EB629D"/>
    <w:rsid w:val="00EB6B08"/>
    <w:rsid w:val="00EB7594"/>
    <w:rsid w:val="00EB75A0"/>
    <w:rsid w:val="00EB7932"/>
    <w:rsid w:val="00EB7AB9"/>
    <w:rsid w:val="00EC07A7"/>
    <w:rsid w:val="00EC19D2"/>
    <w:rsid w:val="00EC1E58"/>
    <w:rsid w:val="00EC2195"/>
    <w:rsid w:val="00EC2271"/>
    <w:rsid w:val="00EC2887"/>
    <w:rsid w:val="00EC2CE7"/>
    <w:rsid w:val="00EC31C7"/>
    <w:rsid w:val="00EC37DD"/>
    <w:rsid w:val="00EC45A0"/>
    <w:rsid w:val="00EC557F"/>
    <w:rsid w:val="00EC5DDB"/>
    <w:rsid w:val="00EC66EE"/>
    <w:rsid w:val="00EC6763"/>
    <w:rsid w:val="00EC6CE7"/>
    <w:rsid w:val="00EC701C"/>
    <w:rsid w:val="00EC708E"/>
    <w:rsid w:val="00EC70B5"/>
    <w:rsid w:val="00EC74B8"/>
    <w:rsid w:val="00EC7887"/>
    <w:rsid w:val="00ED04BA"/>
    <w:rsid w:val="00ED04C8"/>
    <w:rsid w:val="00ED0D7D"/>
    <w:rsid w:val="00ED0F31"/>
    <w:rsid w:val="00ED1E33"/>
    <w:rsid w:val="00ED1E57"/>
    <w:rsid w:val="00ED1EB3"/>
    <w:rsid w:val="00ED20AF"/>
    <w:rsid w:val="00ED28D7"/>
    <w:rsid w:val="00ED3415"/>
    <w:rsid w:val="00ED3485"/>
    <w:rsid w:val="00ED3530"/>
    <w:rsid w:val="00ED3853"/>
    <w:rsid w:val="00ED3A1C"/>
    <w:rsid w:val="00ED3BE6"/>
    <w:rsid w:val="00ED3EB2"/>
    <w:rsid w:val="00ED544B"/>
    <w:rsid w:val="00ED59FB"/>
    <w:rsid w:val="00ED5A10"/>
    <w:rsid w:val="00ED5E9D"/>
    <w:rsid w:val="00ED64A9"/>
    <w:rsid w:val="00ED6941"/>
    <w:rsid w:val="00ED7203"/>
    <w:rsid w:val="00EE0552"/>
    <w:rsid w:val="00EE0987"/>
    <w:rsid w:val="00EE0F60"/>
    <w:rsid w:val="00EE13EF"/>
    <w:rsid w:val="00EE17A8"/>
    <w:rsid w:val="00EE1A6B"/>
    <w:rsid w:val="00EE1D3F"/>
    <w:rsid w:val="00EE1E51"/>
    <w:rsid w:val="00EE2581"/>
    <w:rsid w:val="00EE2828"/>
    <w:rsid w:val="00EE2B67"/>
    <w:rsid w:val="00EE35BA"/>
    <w:rsid w:val="00EE37D7"/>
    <w:rsid w:val="00EE38FC"/>
    <w:rsid w:val="00EE3C81"/>
    <w:rsid w:val="00EE3CC3"/>
    <w:rsid w:val="00EE429C"/>
    <w:rsid w:val="00EE478C"/>
    <w:rsid w:val="00EE5017"/>
    <w:rsid w:val="00EE53BE"/>
    <w:rsid w:val="00EE5494"/>
    <w:rsid w:val="00EE56CF"/>
    <w:rsid w:val="00EE5A5A"/>
    <w:rsid w:val="00EE5B1F"/>
    <w:rsid w:val="00EE5CFC"/>
    <w:rsid w:val="00EE6492"/>
    <w:rsid w:val="00EE6542"/>
    <w:rsid w:val="00EE6553"/>
    <w:rsid w:val="00EE6588"/>
    <w:rsid w:val="00EE6606"/>
    <w:rsid w:val="00EE6A7D"/>
    <w:rsid w:val="00EE7082"/>
    <w:rsid w:val="00EE7BCB"/>
    <w:rsid w:val="00EE7BF4"/>
    <w:rsid w:val="00EF00CF"/>
    <w:rsid w:val="00EF0463"/>
    <w:rsid w:val="00EF1249"/>
    <w:rsid w:val="00EF1795"/>
    <w:rsid w:val="00EF199A"/>
    <w:rsid w:val="00EF1E92"/>
    <w:rsid w:val="00EF2260"/>
    <w:rsid w:val="00EF283F"/>
    <w:rsid w:val="00EF2943"/>
    <w:rsid w:val="00EF2AB0"/>
    <w:rsid w:val="00EF34AF"/>
    <w:rsid w:val="00EF35E5"/>
    <w:rsid w:val="00EF38DD"/>
    <w:rsid w:val="00EF4112"/>
    <w:rsid w:val="00EF44FE"/>
    <w:rsid w:val="00EF49AA"/>
    <w:rsid w:val="00EF4B4F"/>
    <w:rsid w:val="00EF4E95"/>
    <w:rsid w:val="00EF5103"/>
    <w:rsid w:val="00EF5688"/>
    <w:rsid w:val="00EF5BB8"/>
    <w:rsid w:val="00EF5F42"/>
    <w:rsid w:val="00EF6127"/>
    <w:rsid w:val="00EF6263"/>
    <w:rsid w:val="00EF6578"/>
    <w:rsid w:val="00EF6AD7"/>
    <w:rsid w:val="00EF6BFC"/>
    <w:rsid w:val="00EF6F16"/>
    <w:rsid w:val="00EF7889"/>
    <w:rsid w:val="00EF7911"/>
    <w:rsid w:val="00EF7AD0"/>
    <w:rsid w:val="00EF7CB1"/>
    <w:rsid w:val="00EF7DA6"/>
    <w:rsid w:val="00F000AD"/>
    <w:rsid w:val="00F00677"/>
    <w:rsid w:val="00F008EE"/>
    <w:rsid w:val="00F0137C"/>
    <w:rsid w:val="00F019C9"/>
    <w:rsid w:val="00F01C2B"/>
    <w:rsid w:val="00F01CA9"/>
    <w:rsid w:val="00F01D56"/>
    <w:rsid w:val="00F02185"/>
    <w:rsid w:val="00F02B08"/>
    <w:rsid w:val="00F02B74"/>
    <w:rsid w:val="00F02DCE"/>
    <w:rsid w:val="00F032B0"/>
    <w:rsid w:val="00F0338E"/>
    <w:rsid w:val="00F03868"/>
    <w:rsid w:val="00F038CE"/>
    <w:rsid w:val="00F03BA9"/>
    <w:rsid w:val="00F03E2A"/>
    <w:rsid w:val="00F03F9F"/>
    <w:rsid w:val="00F04319"/>
    <w:rsid w:val="00F0466D"/>
    <w:rsid w:val="00F04A3F"/>
    <w:rsid w:val="00F05170"/>
    <w:rsid w:val="00F05299"/>
    <w:rsid w:val="00F053CD"/>
    <w:rsid w:val="00F0579C"/>
    <w:rsid w:val="00F05FC6"/>
    <w:rsid w:val="00F0679C"/>
    <w:rsid w:val="00F067E2"/>
    <w:rsid w:val="00F06902"/>
    <w:rsid w:val="00F06D38"/>
    <w:rsid w:val="00F06E00"/>
    <w:rsid w:val="00F06FF3"/>
    <w:rsid w:val="00F0770F"/>
    <w:rsid w:val="00F1055A"/>
    <w:rsid w:val="00F10CFD"/>
    <w:rsid w:val="00F10D86"/>
    <w:rsid w:val="00F10FE7"/>
    <w:rsid w:val="00F11505"/>
    <w:rsid w:val="00F1169B"/>
    <w:rsid w:val="00F11CA1"/>
    <w:rsid w:val="00F12462"/>
    <w:rsid w:val="00F1254F"/>
    <w:rsid w:val="00F1286D"/>
    <w:rsid w:val="00F128D2"/>
    <w:rsid w:val="00F12B81"/>
    <w:rsid w:val="00F13169"/>
    <w:rsid w:val="00F13515"/>
    <w:rsid w:val="00F1364C"/>
    <w:rsid w:val="00F13AD8"/>
    <w:rsid w:val="00F13BD5"/>
    <w:rsid w:val="00F14681"/>
    <w:rsid w:val="00F146CC"/>
    <w:rsid w:val="00F152B7"/>
    <w:rsid w:val="00F15549"/>
    <w:rsid w:val="00F15614"/>
    <w:rsid w:val="00F15990"/>
    <w:rsid w:val="00F15F28"/>
    <w:rsid w:val="00F1605F"/>
    <w:rsid w:val="00F1609A"/>
    <w:rsid w:val="00F166E1"/>
    <w:rsid w:val="00F16EF5"/>
    <w:rsid w:val="00F172FA"/>
    <w:rsid w:val="00F1748F"/>
    <w:rsid w:val="00F1772E"/>
    <w:rsid w:val="00F1797E"/>
    <w:rsid w:val="00F17C01"/>
    <w:rsid w:val="00F17C08"/>
    <w:rsid w:val="00F17FDB"/>
    <w:rsid w:val="00F20703"/>
    <w:rsid w:val="00F209F6"/>
    <w:rsid w:val="00F20F4E"/>
    <w:rsid w:val="00F216C3"/>
    <w:rsid w:val="00F221F5"/>
    <w:rsid w:val="00F2317A"/>
    <w:rsid w:val="00F2333A"/>
    <w:rsid w:val="00F2334D"/>
    <w:rsid w:val="00F233E6"/>
    <w:rsid w:val="00F23768"/>
    <w:rsid w:val="00F237CB"/>
    <w:rsid w:val="00F23FD7"/>
    <w:rsid w:val="00F24175"/>
    <w:rsid w:val="00F248AA"/>
    <w:rsid w:val="00F24EAE"/>
    <w:rsid w:val="00F24F31"/>
    <w:rsid w:val="00F253E2"/>
    <w:rsid w:val="00F2542A"/>
    <w:rsid w:val="00F254D4"/>
    <w:rsid w:val="00F2552A"/>
    <w:rsid w:val="00F25AFB"/>
    <w:rsid w:val="00F261B6"/>
    <w:rsid w:val="00F26336"/>
    <w:rsid w:val="00F268E5"/>
    <w:rsid w:val="00F27188"/>
    <w:rsid w:val="00F30392"/>
    <w:rsid w:val="00F3046C"/>
    <w:rsid w:val="00F304BB"/>
    <w:rsid w:val="00F30A96"/>
    <w:rsid w:val="00F30C2E"/>
    <w:rsid w:val="00F31525"/>
    <w:rsid w:val="00F31C9A"/>
    <w:rsid w:val="00F31E45"/>
    <w:rsid w:val="00F3296B"/>
    <w:rsid w:val="00F32A03"/>
    <w:rsid w:val="00F32CD4"/>
    <w:rsid w:val="00F32D63"/>
    <w:rsid w:val="00F33469"/>
    <w:rsid w:val="00F33548"/>
    <w:rsid w:val="00F34C56"/>
    <w:rsid w:val="00F34F85"/>
    <w:rsid w:val="00F35426"/>
    <w:rsid w:val="00F35B3B"/>
    <w:rsid w:val="00F35EEA"/>
    <w:rsid w:val="00F362E6"/>
    <w:rsid w:val="00F3695C"/>
    <w:rsid w:val="00F36C7D"/>
    <w:rsid w:val="00F36ED7"/>
    <w:rsid w:val="00F3773D"/>
    <w:rsid w:val="00F37F35"/>
    <w:rsid w:val="00F40427"/>
    <w:rsid w:val="00F406B2"/>
    <w:rsid w:val="00F4076A"/>
    <w:rsid w:val="00F412BE"/>
    <w:rsid w:val="00F422B5"/>
    <w:rsid w:val="00F422F1"/>
    <w:rsid w:val="00F423E8"/>
    <w:rsid w:val="00F42482"/>
    <w:rsid w:val="00F42770"/>
    <w:rsid w:val="00F42C5D"/>
    <w:rsid w:val="00F42CE5"/>
    <w:rsid w:val="00F42ECF"/>
    <w:rsid w:val="00F43721"/>
    <w:rsid w:val="00F437D9"/>
    <w:rsid w:val="00F43DEA"/>
    <w:rsid w:val="00F43F18"/>
    <w:rsid w:val="00F441C9"/>
    <w:rsid w:val="00F442EE"/>
    <w:rsid w:val="00F44866"/>
    <w:rsid w:val="00F44A59"/>
    <w:rsid w:val="00F45267"/>
    <w:rsid w:val="00F454A2"/>
    <w:rsid w:val="00F4584C"/>
    <w:rsid w:val="00F458E0"/>
    <w:rsid w:val="00F4626A"/>
    <w:rsid w:val="00F47014"/>
    <w:rsid w:val="00F477E8"/>
    <w:rsid w:val="00F47C2A"/>
    <w:rsid w:val="00F47F26"/>
    <w:rsid w:val="00F50337"/>
    <w:rsid w:val="00F50487"/>
    <w:rsid w:val="00F50588"/>
    <w:rsid w:val="00F50629"/>
    <w:rsid w:val="00F50BBD"/>
    <w:rsid w:val="00F511E0"/>
    <w:rsid w:val="00F5181E"/>
    <w:rsid w:val="00F518BC"/>
    <w:rsid w:val="00F51C06"/>
    <w:rsid w:val="00F520A5"/>
    <w:rsid w:val="00F52852"/>
    <w:rsid w:val="00F5310A"/>
    <w:rsid w:val="00F534E3"/>
    <w:rsid w:val="00F536A7"/>
    <w:rsid w:val="00F539C0"/>
    <w:rsid w:val="00F53B50"/>
    <w:rsid w:val="00F54280"/>
    <w:rsid w:val="00F550DD"/>
    <w:rsid w:val="00F5535E"/>
    <w:rsid w:val="00F55509"/>
    <w:rsid w:val="00F5584B"/>
    <w:rsid w:val="00F55C20"/>
    <w:rsid w:val="00F55C23"/>
    <w:rsid w:val="00F5615D"/>
    <w:rsid w:val="00F564F7"/>
    <w:rsid w:val="00F56EB5"/>
    <w:rsid w:val="00F570C8"/>
    <w:rsid w:val="00F570DF"/>
    <w:rsid w:val="00F5727D"/>
    <w:rsid w:val="00F57660"/>
    <w:rsid w:val="00F57A5C"/>
    <w:rsid w:val="00F57B42"/>
    <w:rsid w:val="00F57DE9"/>
    <w:rsid w:val="00F6076A"/>
    <w:rsid w:val="00F60E53"/>
    <w:rsid w:val="00F61ABE"/>
    <w:rsid w:val="00F61CC6"/>
    <w:rsid w:val="00F62AD1"/>
    <w:rsid w:val="00F62E7A"/>
    <w:rsid w:val="00F630A1"/>
    <w:rsid w:val="00F63478"/>
    <w:rsid w:val="00F637FB"/>
    <w:rsid w:val="00F63CEA"/>
    <w:rsid w:val="00F642E2"/>
    <w:rsid w:val="00F64643"/>
    <w:rsid w:val="00F64B1D"/>
    <w:rsid w:val="00F64F96"/>
    <w:rsid w:val="00F65549"/>
    <w:rsid w:val="00F657B3"/>
    <w:rsid w:val="00F65F87"/>
    <w:rsid w:val="00F66015"/>
    <w:rsid w:val="00F66409"/>
    <w:rsid w:val="00F66A0A"/>
    <w:rsid w:val="00F66A63"/>
    <w:rsid w:val="00F66A75"/>
    <w:rsid w:val="00F66B57"/>
    <w:rsid w:val="00F66F13"/>
    <w:rsid w:val="00F672D9"/>
    <w:rsid w:val="00F67892"/>
    <w:rsid w:val="00F70013"/>
    <w:rsid w:val="00F703CE"/>
    <w:rsid w:val="00F71081"/>
    <w:rsid w:val="00F711C9"/>
    <w:rsid w:val="00F7123D"/>
    <w:rsid w:val="00F713B2"/>
    <w:rsid w:val="00F71AC6"/>
    <w:rsid w:val="00F72015"/>
    <w:rsid w:val="00F72681"/>
    <w:rsid w:val="00F727BE"/>
    <w:rsid w:val="00F729EC"/>
    <w:rsid w:val="00F72EE0"/>
    <w:rsid w:val="00F72F90"/>
    <w:rsid w:val="00F731DE"/>
    <w:rsid w:val="00F732A1"/>
    <w:rsid w:val="00F73676"/>
    <w:rsid w:val="00F73816"/>
    <w:rsid w:val="00F74512"/>
    <w:rsid w:val="00F749D6"/>
    <w:rsid w:val="00F74E99"/>
    <w:rsid w:val="00F74F39"/>
    <w:rsid w:val="00F75618"/>
    <w:rsid w:val="00F75933"/>
    <w:rsid w:val="00F759AA"/>
    <w:rsid w:val="00F76470"/>
    <w:rsid w:val="00F767C1"/>
    <w:rsid w:val="00F769A8"/>
    <w:rsid w:val="00F76DD5"/>
    <w:rsid w:val="00F76E04"/>
    <w:rsid w:val="00F77135"/>
    <w:rsid w:val="00F80129"/>
    <w:rsid w:val="00F8092C"/>
    <w:rsid w:val="00F80BC2"/>
    <w:rsid w:val="00F80C30"/>
    <w:rsid w:val="00F80E93"/>
    <w:rsid w:val="00F8138A"/>
    <w:rsid w:val="00F81584"/>
    <w:rsid w:val="00F81635"/>
    <w:rsid w:val="00F81A41"/>
    <w:rsid w:val="00F81E09"/>
    <w:rsid w:val="00F823B3"/>
    <w:rsid w:val="00F82626"/>
    <w:rsid w:val="00F826A9"/>
    <w:rsid w:val="00F82C55"/>
    <w:rsid w:val="00F832ED"/>
    <w:rsid w:val="00F835D8"/>
    <w:rsid w:val="00F83847"/>
    <w:rsid w:val="00F83B7B"/>
    <w:rsid w:val="00F84524"/>
    <w:rsid w:val="00F8563F"/>
    <w:rsid w:val="00F85AF3"/>
    <w:rsid w:val="00F860E1"/>
    <w:rsid w:val="00F8625B"/>
    <w:rsid w:val="00F86344"/>
    <w:rsid w:val="00F868E7"/>
    <w:rsid w:val="00F87151"/>
    <w:rsid w:val="00F8715A"/>
    <w:rsid w:val="00F87361"/>
    <w:rsid w:val="00F8746F"/>
    <w:rsid w:val="00F87AD7"/>
    <w:rsid w:val="00F902A4"/>
    <w:rsid w:val="00F90403"/>
    <w:rsid w:val="00F90EA7"/>
    <w:rsid w:val="00F9120B"/>
    <w:rsid w:val="00F91650"/>
    <w:rsid w:val="00F91A90"/>
    <w:rsid w:val="00F91D6E"/>
    <w:rsid w:val="00F920EF"/>
    <w:rsid w:val="00F921FA"/>
    <w:rsid w:val="00F92434"/>
    <w:rsid w:val="00F930E9"/>
    <w:rsid w:val="00F9319C"/>
    <w:rsid w:val="00F931CE"/>
    <w:rsid w:val="00F93560"/>
    <w:rsid w:val="00F940A5"/>
    <w:rsid w:val="00F943E1"/>
    <w:rsid w:val="00F94652"/>
    <w:rsid w:val="00F9489C"/>
    <w:rsid w:val="00F948B7"/>
    <w:rsid w:val="00F95301"/>
    <w:rsid w:val="00F95321"/>
    <w:rsid w:val="00F95433"/>
    <w:rsid w:val="00F96303"/>
    <w:rsid w:val="00F96C6E"/>
    <w:rsid w:val="00F97A4F"/>
    <w:rsid w:val="00F97FB2"/>
    <w:rsid w:val="00FA0C3D"/>
    <w:rsid w:val="00FA123E"/>
    <w:rsid w:val="00FA126B"/>
    <w:rsid w:val="00FA12BC"/>
    <w:rsid w:val="00FA135F"/>
    <w:rsid w:val="00FA2136"/>
    <w:rsid w:val="00FA23BA"/>
    <w:rsid w:val="00FA2554"/>
    <w:rsid w:val="00FA2B01"/>
    <w:rsid w:val="00FA3B7F"/>
    <w:rsid w:val="00FA3F38"/>
    <w:rsid w:val="00FA3FC2"/>
    <w:rsid w:val="00FA4187"/>
    <w:rsid w:val="00FA41AA"/>
    <w:rsid w:val="00FA42AD"/>
    <w:rsid w:val="00FA42C1"/>
    <w:rsid w:val="00FA4798"/>
    <w:rsid w:val="00FA4BC8"/>
    <w:rsid w:val="00FA4F59"/>
    <w:rsid w:val="00FA5182"/>
    <w:rsid w:val="00FA542C"/>
    <w:rsid w:val="00FA5913"/>
    <w:rsid w:val="00FA59B9"/>
    <w:rsid w:val="00FA5D9A"/>
    <w:rsid w:val="00FA6498"/>
    <w:rsid w:val="00FA71DA"/>
    <w:rsid w:val="00FA7CC1"/>
    <w:rsid w:val="00FA7CE1"/>
    <w:rsid w:val="00FA7F38"/>
    <w:rsid w:val="00FA7FDF"/>
    <w:rsid w:val="00FB0067"/>
    <w:rsid w:val="00FB03C3"/>
    <w:rsid w:val="00FB03E9"/>
    <w:rsid w:val="00FB0B37"/>
    <w:rsid w:val="00FB0DB6"/>
    <w:rsid w:val="00FB17A3"/>
    <w:rsid w:val="00FB1821"/>
    <w:rsid w:val="00FB1EE3"/>
    <w:rsid w:val="00FB30A5"/>
    <w:rsid w:val="00FB3664"/>
    <w:rsid w:val="00FB414A"/>
    <w:rsid w:val="00FB4BDE"/>
    <w:rsid w:val="00FB5161"/>
    <w:rsid w:val="00FB5B94"/>
    <w:rsid w:val="00FB5C13"/>
    <w:rsid w:val="00FB5D6A"/>
    <w:rsid w:val="00FB6136"/>
    <w:rsid w:val="00FB61E5"/>
    <w:rsid w:val="00FB6A5C"/>
    <w:rsid w:val="00FB6A64"/>
    <w:rsid w:val="00FB6F63"/>
    <w:rsid w:val="00FB76B6"/>
    <w:rsid w:val="00FB7B04"/>
    <w:rsid w:val="00FC000D"/>
    <w:rsid w:val="00FC0E61"/>
    <w:rsid w:val="00FC1563"/>
    <w:rsid w:val="00FC16FA"/>
    <w:rsid w:val="00FC1755"/>
    <w:rsid w:val="00FC1A5E"/>
    <w:rsid w:val="00FC290F"/>
    <w:rsid w:val="00FC3184"/>
    <w:rsid w:val="00FC4685"/>
    <w:rsid w:val="00FC4C5D"/>
    <w:rsid w:val="00FC53D4"/>
    <w:rsid w:val="00FC5DD3"/>
    <w:rsid w:val="00FC6089"/>
    <w:rsid w:val="00FC6821"/>
    <w:rsid w:val="00FC6839"/>
    <w:rsid w:val="00FC706B"/>
    <w:rsid w:val="00FC7AE6"/>
    <w:rsid w:val="00FD02BC"/>
    <w:rsid w:val="00FD031D"/>
    <w:rsid w:val="00FD0408"/>
    <w:rsid w:val="00FD0685"/>
    <w:rsid w:val="00FD209A"/>
    <w:rsid w:val="00FD25EB"/>
    <w:rsid w:val="00FD2711"/>
    <w:rsid w:val="00FD2955"/>
    <w:rsid w:val="00FD449E"/>
    <w:rsid w:val="00FD4584"/>
    <w:rsid w:val="00FD45E3"/>
    <w:rsid w:val="00FD4988"/>
    <w:rsid w:val="00FD52D4"/>
    <w:rsid w:val="00FD5382"/>
    <w:rsid w:val="00FD588F"/>
    <w:rsid w:val="00FD5F0F"/>
    <w:rsid w:val="00FD6B80"/>
    <w:rsid w:val="00FD6CEC"/>
    <w:rsid w:val="00FD6F5B"/>
    <w:rsid w:val="00FD7602"/>
    <w:rsid w:val="00FD77AC"/>
    <w:rsid w:val="00FD7A7E"/>
    <w:rsid w:val="00FD7F5F"/>
    <w:rsid w:val="00FE0015"/>
    <w:rsid w:val="00FE01D7"/>
    <w:rsid w:val="00FE0238"/>
    <w:rsid w:val="00FE061F"/>
    <w:rsid w:val="00FE06CC"/>
    <w:rsid w:val="00FE0C66"/>
    <w:rsid w:val="00FE0E72"/>
    <w:rsid w:val="00FE1078"/>
    <w:rsid w:val="00FE136A"/>
    <w:rsid w:val="00FE1483"/>
    <w:rsid w:val="00FE17AF"/>
    <w:rsid w:val="00FE1961"/>
    <w:rsid w:val="00FE27B2"/>
    <w:rsid w:val="00FE2D51"/>
    <w:rsid w:val="00FE2D9C"/>
    <w:rsid w:val="00FE31A3"/>
    <w:rsid w:val="00FE3728"/>
    <w:rsid w:val="00FE3815"/>
    <w:rsid w:val="00FE4336"/>
    <w:rsid w:val="00FE4A3C"/>
    <w:rsid w:val="00FE4ACB"/>
    <w:rsid w:val="00FE4DD2"/>
    <w:rsid w:val="00FE4E02"/>
    <w:rsid w:val="00FE5692"/>
    <w:rsid w:val="00FE56BA"/>
    <w:rsid w:val="00FE56C7"/>
    <w:rsid w:val="00FE56E5"/>
    <w:rsid w:val="00FE5858"/>
    <w:rsid w:val="00FE599E"/>
    <w:rsid w:val="00FE5D8C"/>
    <w:rsid w:val="00FE5E6D"/>
    <w:rsid w:val="00FE6C43"/>
    <w:rsid w:val="00FE703A"/>
    <w:rsid w:val="00FE76A4"/>
    <w:rsid w:val="00FE7A6F"/>
    <w:rsid w:val="00FE7B8C"/>
    <w:rsid w:val="00FE7DAB"/>
    <w:rsid w:val="00FF0445"/>
    <w:rsid w:val="00FF0540"/>
    <w:rsid w:val="00FF0646"/>
    <w:rsid w:val="00FF090E"/>
    <w:rsid w:val="00FF0EA3"/>
    <w:rsid w:val="00FF0FF9"/>
    <w:rsid w:val="00FF1A1E"/>
    <w:rsid w:val="00FF1B34"/>
    <w:rsid w:val="00FF1EDD"/>
    <w:rsid w:val="00FF2253"/>
    <w:rsid w:val="00FF2456"/>
    <w:rsid w:val="00FF262C"/>
    <w:rsid w:val="00FF27DD"/>
    <w:rsid w:val="00FF2931"/>
    <w:rsid w:val="00FF2A1E"/>
    <w:rsid w:val="00FF328E"/>
    <w:rsid w:val="00FF3A4D"/>
    <w:rsid w:val="00FF3ACB"/>
    <w:rsid w:val="00FF3B7B"/>
    <w:rsid w:val="00FF3BEE"/>
    <w:rsid w:val="00FF40A3"/>
    <w:rsid w:val="00FF423C"/>
    <w:rsid w:val="00FF474E"/>
    <w:rsid w:val="00FF47EF"/>
    <w:rsid w:val="00FF4A4A"/>
    <w:rsid w:val="00FF4B4B"/>
    <w:rsid w:val="00FF4BD0"/>
    <w:rsid w:val="00FF4D72"/>
    <w:rsid w:val="00FF4F16"/>
    <w:rsid w:val="00FF505B"/>
    <w:rsid w:val="00FF53C7"/>
    <w:rsid w:val="00FF5448"/>
    <w:rsid w:val="00FF5703"/>
    <w:rsid w:val="00FF573F"/>
    <w:rsid w:val="00FF5E25"/>
    <w:rsid w:val="00FF5FEE"/>
    <w:rsid w:val="00FF6342"/>
    <w:rsid w:val="00FF6A58"/>
    <w:rsid w:val="00FF6BB7"/>
    <w:rsid w:val="00FF6DAF"/>
    <w:rsid w:val="00FF6F4C"/>
    <w:rsid w:val="00FF7EF2"/>
    <w:rsid w:val="00FF7FB9"/>
    <w:rsid w:val="025CF218"/>
    <w:rsid w:val="07B77756"/>
    <w:rsid w:val="09CF1832"/>
    <w:rsid w:val="0D1D16EA"/>
    <w:rsid w:val="19C9272B"/>
    <w:rsid w:val="19EE09DB"/>
    <w:rsid w:val="1D55F244"/>
    <w:rsid w:val="26C946CA"/>
    <w:rsid w:val="2946F858"/>
    <w:rsid w:val="2D2E6116"/>
    <w:rsid w:val="3293896F"/>
    <w:rsid w:val="3726257C"/>
    <w:rsid w:val="38D98A07"/>
    <w:rsid w:val="43F64655"/>
    <w:rsid w:val="4F332D6B"/>
    <w:rsid w:val="55614EE1"/>
    <w:rsid w:val="56B45172"/>
    <w:rsid w:val="5F1DB7E1"/>
    <w:rsid w:val="6333FEFC"/>
    <w:rsid w:val="6B2CBC9D"/>
    <w:rsid w:val="6B3DC463"/>
    <w:rsid w:val="6D2B4070"/>
    <w:rsid w:val="6E0DAE1C"/>
    <w:rsid w:val="7AE13959"/>
    <w:rsid w:val="7BE447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670F1"/>
  <w15:chartTrackingRefBased/>
  <w15:docId w15:val="{A6CED885-6627-4750-B536-293D8BC8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368"/>
    <w:pPr>
      <w:spacing w:after="0" w:line="288" w:lineRule="auto"/>
    </w:pPr>
    <w:rPr>
      <w:rFonts w:ascii="Verdana" w:hAnsi="Verdana"/>
      <w:sz w:val="24"/>
    </w:rPr>
  </w:style>
  <w:style w:type="paragraph" w:styleId="Heading1">
    <w:name w:val="heading 1"/>
    <w:basedOn w:val="Normal"/>
    <w:next w:val="Normal"/>
    <w:link w:val="Heading1Char"/>
    <w:uiPriority w:val="9"/>
    <w:qFormat/>
    <w:rsid w:val="00535276"/>
    <w:pPr>
      <w:keepNext/>
      <w:keepLines/>
      <w:spacing w:before="240" w:line="480" w:lineRule="auto"/>
      <w:outlineLvl w:val="0"/>
    </w:pPr>
    <w:rPr>
      <w:rFonts w:eastAsiaTheme="majorEastAsia" w:cstheme="majorBidi"/>
      <w:b/>
      <w:color w:val="77328A"/>
      <w:sz w:val="32"/>
      <w:szCs w:val="32"/>
    </w:rPr>
  </w:style>
  <w:style w:type="paragraph" w:styleId="Heading2">
    <w:name w:val="heading 2"/>
    <w:basedOn w:val="Normal"/>
    <w:next w:val="Normal"/>
    <w:link w:val="Heading2Char"/>
    <w:uiPriority w:val="9"/>
    <w:unhideWhenUsed/>
    <w:qFormat/>
    <w:rsid w:val="00E340F3"/>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72036E"/>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AD208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4A4E"/>
    <w:rPr>
      <w:rFonts w:ascii="Verdana" w:eastAsiaTheme="majorEastAsia" w:hAnsi="Verdana" w:cstheme="majorBidi"/>
      <w:b/>
      <w:sz w:val="24"/>
      <w:szCs w:val="26"/>
    </w:rPr>
  </w:style>
  <w:style w:type="character" w:styleId="CommentReference">
    <w:name w:val="annotation reference"/>
    <w:basedOn w:val="DefaultParagraphFont"/>
    <w:semiHidden/>
    <w:unhideWhenUsed/>
    <w:rsid w:val="00A938B3"/>
    <w:rPr>
      <w:sz w:val="16"/>
      <w:szCs w:val="16"/>
    </w:rPr>
  </w:style>
  <w:style w:type="paragraph" w:styleId="CommentText">
    <w:name w:val="annotation text"/>
    <w:basedOn w:val="Normal"/>
    <w:link w:val="CommentTextChar"/>
    <w:unhideWhenUsed/>
    <w:rsid w:val="00A938B3"/>
    <w:pPr>
      <w:spacing w:line="240" w:lineRule="auto"/>
    </w:pPr>
    <w:rPr>
      <w:sz w:val="20"/>
      <w:szCs w:val="20"/>
    </w:rPr>
  </w:style>
  <w:style w:type="character" w:customStyle="1" w:styleId="CommentTextChar">
    <w:name w:val="Comment Text Char"/>
    <w:basedOn w:val="DefaultParagraphFont"/>
    <w:link w:val="CommentText"/>
    <w:rsid w:val="00A938B3"/>
    <w:rPr>
      <w:rFonts w:ascii="Verdana" w:hAnsi="Verdana"/>
      <w:sz w:val="20"/>
      <w:szCs w:val="20"/>
    </w:rPr>
  </w:style>
  <w:style w:type="paragraph" w:styleId="CommentSubject">
    <w:name w:val="annotation subject"/>
    <w:basedOn w:val="CommentText"/>
    <w:next w:val="CommentText"/>
    <w:link w:val="CommentSubjectChar"/>
    <w:unhideWhenUsed/>
    <w:rsid w:val="00A938B3"/>
    <w:rPr>
      <w:b/>
      <w:bCs/>
    </w:rPr>
  </w:style>
  <w:style w:type="character" w:customStyle="1" w:styleId="CommentSubjectChar">
    <w:name w:val="Comment Subject Char"/>
    <w:basedOn w:val="CommentTextChar"/>
    <w:link w:val="CommentSubject"/>
    <w:rsid w:val="00A938B3"/>
    <w:rPr>
      <w:rFonts w:ascii="Verdana" w:hAnsi="Verdana"/>
      <w:b/>
      <w:bCs/>
      <w:sz w:val="20"/>
      <w:szCs w:val="20"/>
    </w:rPr>
  </w:style>
  <w:style w:type="paragraph" w:styleId="BalloonText">
    <w:name w:val="Balloon Text"/>
    <w:basedOn w:val="Normal"/>
    <w:link w:val="BalloonTextChar"/>
    <w:uiPriority w:val="99"/>
    <w:semiHidden/>
    <w:unhideWhenUsed/>
    <w:rsid w:val="00A938B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8B3"/>
    <w:rPr>
      <w:rFonts w:ascii="Segoe UI" w:hAnsi="Segoe UI" w:cs="Segoe UI"/>
      <w:sz w:val="18"/>
      <w:szCs w:val="18"/>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E14735"/>
    <w:pPr>
      <w:ind w:left="720"/>
      <w:contextualSpacing/>
    </w:pPr>
  </w:style>
  <w:style w:type="paragraph" w:styleId="FootnoteText">
    <w:name w:val="footnote text"/>
    <w:aliases w:val="5_G,Footnote Text Char1,Footnote Text Char Char,Footnote Text1,Footnote Text Char1 Char Char,Footnote Text Char Char Char Char,Footnote Text Char1 Char Char1 Char Char,Footnote Text Char Char Char Char1 Char Char, Char,Char,Footnote Quot,f"/>
    <w:basedOn w:val="Normal"/>
    <w:link w:val="FootnoteTextChar"/>
    <w:uiPriority w:val="99"/>
    <w:unhideWhenUsed/>
    <w:qFormat/>
    <w:rsid w:val="00E14735"/>
    <w:pPr>
      <w:spacing w:line="240" w:lineRule="auto"/>
    </w:pPr>
    <w:rPr>
      <w:sz w:val="20"/>
      <w:szCs w:val="20"/>
    </w:rPr>
  </w:style>
  <w:style w:type="character" w:customStyle="1" w:styleId="FootnoteTextChar">
    <w:name w:val="Footnote Text Char"/>
    <w:aliases w:val="5_G Char,Footnote Text Char1 Char,Footnote Text Char Char Char,Footnote Text1 Char,Footnote Text Char1 Char Char Char,Footnote Text Char Char Char Char Char,Footnote Text Char1 Char Char1 Char Char Char, Char Char,Char Char,f Char"/>
    <w:basedOn w:val="DefaultParagraphFont"/>
    <w:link w:val="FootnoteText"/>
    <w:uiPriority w:val="99"/>
    <w:rsid w:val="00E14735"/>
    <w:rPr>
      <w:rFonts w:ascii="Verdana" w:hAnsi="Verdana"/>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4_"/>
    <w:basedOn w:val="DefaultParagraphFont"/>
    <w:link w:val="4GChar"/>
    <w:uiPriority w:val="99"/>
    <w:unhideWhenUsed/>
    <w:qFormat/>
    <w:rsid w:val="00E14735"/>
    <w:rPr>
      <w:vertAlign w:val="superscript"/>
    </w:rPr>
  </w:style>
  <w:style w:type="character" w:styleId="Hyperlink">
    <w:name w:val="Hyperlink"/>
    <w:basedOn w:val="DefaultParagraphFont"/>
    <w:uiPriority w:val="99"/>
    <w:unhideWhenUsed/>
    <w:rsid w:val="00932988"/>
    <w:rPr>
      <w:color w:val="0000FF"/>
      <w:u w:val="single"/>
    </w:rPr>
  </w:style>
  <w:style w:type="character" w:customStyle="1" w:styleId="Heading1Char">
    <w:name w:val="Heading 1 Char"/>
    <w:basedOn w:val="DefaultParagraphFont"/>
    <w:link w:val="Heading1"/>
    <w:uiPriority w:val="9"/>
    <w:rsid w:val="00587912"/>
    <w:rPr>
      <w:rFonts w:ascii="Verdana" w:eastAsiaTheme="majorEastAsia" w:hAnsi="Verdana" w:cstheme="majorBidi"/>
      <w:b/>
      <w:color w:val="77328A"/>
      <w:sz w:val="32"/>
      <w:szCs w:val="32"/>
    </w:rPr>
  </w:style>
  <w:style w:type="paragraph" w:customStyle="1" w:styleId="footnote">
    <w:name w:val="footnote"/>
    <w:basedOn w:val="FootnoteText"/>
    <w:link w:val="footnoteChar"/>
    <w:rsid w:val="00CE0ACB"/>
    <w:rPr>
      <w:color w:val="7030A0"/>
      <w:sz w:val="16"/>
    </w:rPr>
  </w:style>
  <w:style w:type="paragraph" w:styleId="NormalWeb">
    <w:name w:val="Normal (Web)"/>
    <w:basedOn w:val="Normal"/>
    <w:uiPriority w:val="99"/>
    <w:unhideWhenUsed/>
    <w:rsid w:val="00DC695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ootnoteChar">
    <w:name w:val="footnote Char"/>
    <w:basedOn w:val="FootnoteTextChar"/>
    <w:link w:val="footnote"/>
    <w:rsid w:val="00CE0ACB"/>
    <w:rPr>
      <w:rFonts w:ascii="Verdana" w:hAnsi="Verdana"/>
      <w:color w:val="7030A0"/>
      <w:sz w:val="16"/>
      <w:szCs w:val="20"/>
    </w:rPr>
  </w:style>
  <w:style w:type="character" w:styleId="Emphasis">
    <w:name w:val="Emphasis"/>
    <w:basedOn w:val="DefaultParagraphFont"/>
    <w:uiPriority w:val="20"/>
    <w:qFormat/>
    <w:rsid w:val="00DC6957"/>
    <w:rPr>
      <w:i/>
      <w:iCs/>
    </w:rPr>
  </w:style>
  <w:style w:type="character" w:styleId="FollowedHyperlink">
    <w:name w:val="FollowedHyperlink"/>
    <w:basedOn w:val="DefaultParagraphFont"/>
    <w:uiPriority w:val="99"/>
    <w:semiHidden/>
    <w:unhideWhenUsed/>
    <w:rsid w:val="00A33B80"/>
    <w:rPr>
      <w:color w:val="954F72" w:themeColor="followedHyperlink"/>
      <w:u w:val="single"/>
    </w:rPr>
  </w:style>
  <w:style w:type="paragraph" w:customStyle="1" w:styleId="Default">
    <w:name w:val="Default"/>
    <w:rsid w:val="00ED04C8"/>
    <w:pPr>
      <w:autoSpaceDE w:val="0"/>
      <w:autoSpaceDN w:val="0"/>
      <w:adjustRightInd w:val="0"/>
      <w:spacing w:after="0" w:line="240" w:lineRule="auto"/>
    </w:pPr>
    <w:rPr>
      <w:rFonts w:ascii="Verdana" w:eastAsia="Times New Roman" w:hAnsi="Verdana" w:cs="Verdana"/>
      <w:color w:val="000000"/>
      <w:sz w:val="24"/>
      <w:szCs w:val="24"/>
    </w:rPr>
  </w:style>
  <w:style w:type="paragraph" w:customStyle="1" w:styleId="NIHRCfootnotes">
    <w:name w:val="NIHRC footnotes"/>
    <w:basedOn w:val="Normal"/>
    <w:link w:val="NIHRCfootnotesChar"/>
    <w:qFormat/>
    <w:rsid w:val="00587912"/>
    <w:pPr>
      <w:spacing w:after="160" w:line="259" w:lineRule="auto"/>
    </w:pPr>
    <w:rPr>
      <w:color w:val="77328A"/>
      <w:sz w:val="16"/>
    </w:rPr>
  </w:style>
  <w:style w:type="character" w:customStyle="1" w:styleId="NIHRCfootnotesChar">
    <w:name w:val="NIHRC footnotes Char"/>
    <w:basedOn w:val="DefaultParagraphFont"/>
    <w:link w:val="NIHRCfootnotes"/>
    <w:rsid w:val="00587912"/>
    <w:rPr>
      <w:rFonts w:ascii="Verdana" w:hAnsi="Verdana"/>
      <w:color w:val="77328A"/>
      <w:sz w:val="16"/>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ED04C8"/>
    <w:pPr>
      <w:spacing w:after="160" w:line="240" w:lineRule="exact"/>
      <w:jc w:val="both"/>
    </w:pPr>
    <w:rPr>
      <w:rFonts w:asciiTheme="minorHAnsi" w:hAnsiTheme="minorHAnsi"/>
      <w:vertAlign w:val="superscript"/>
    </w:rPr>
  </w:style>
  <w:style w:type="paragraph" w:styleId="TOCHeading">
    <w:name w:val="TOC Heading"/>
    <w:basedOn w:val="Heading1"/>
    <w:next w:val="Normal"/>
    <w:uiPriority w:val="39"/>
    <w:unhideWhenUsed/>
    <w:qFormat/>
    <w:rsid w:val="0068094E"/>
    <w:pPr>
      <w:spacing w:line="259" w:lineRule="auto"/>
      <w:outlineLvl w:val="9"/>
    </w:pPr>
    <w:rPr>
      <w:rFonts w:asciiTheme="majorHAnsi" w:hAnsiTheme="majorHAnsi"/>
      <w:b w:val="0"/>
      <w:color w:val="2E74B5" w:themeColor="accent1" w:themeShade="BF"/>
      <w:lang w:val="en-US"/>
    </w:rPr>
  </w:style>
  <w:style w:type="paragraph" w:styleId="TOC2">
    <w:name w:val="toc 2"/>
    <w:basedOn w:val="Normal"/>
    <w:next w:val="Normal"/>
    <w:autoRedefine/>
    <w:uiPriority w:val="39"/>
    <w:unhideWhenUsed/>
    <w:rsid w:val="0068094E"/>
    <w:pPr>
      <w:spacing w:after="100"/>
      <w:ind w:left="220"/>
    </w:pPr>
  </w:style>
  <w:style w:type="paragraph" w:styleId="TOC1">
    <w:name w:val="toc 1"/>
    <w:basedOn w:val="Normal"/>
    <w:next w:val="Normal"/>
    <w:autoRedefine/>
    <w:uiPriority w:val="39"/>
    <w:unhideWhenUsed/>
    <w:rsid w:val="00E91A6F"/>
    <w:pPr>
      <w:tabs>
        <w:tab w:val="left" w:pos="660"/>
        <w:tab w:val="right" w:leader="dot" w:pos="9016"/>
      </w:tabs>
      <w:spacing w:after="100"/>
    </w:pPr>
  </w:style>
  <w:style w:type="paragraph" w:customStyle="1" w:styleId="Footnote0">
    <w:name w:val="Footnote"/>
    <w:basedOn w:val="FootnoteText"/>
    <w:link w:val="FootnoteChar0"/>
    <w:qFormat/>
    <w:rsid w:val="00587912"/>
    <w:rPr>
      <w:color w:val="77328A"/>
      <w:sz w:val="16"/>
      <w:szCs w:val="16"/>
    </w:rPr>
  </w:style>
  <w:style w:type="character" w:customStyle="1" w:styleId="FootnoteChar0">
    <w:name w:val="Footnote Char"/>
    <w:basedOn w:val="DefaultParagraphFont"/>
    <w:link w:val="Footnote0"/>
    <w:rsid w:val="00587912"/>
    <w:rPr>
      <w:rFonts w:ascii="Verdana" w:hAnsi="Verdana"/>
      <w:color w:val="77328A"/>
      <w:sz w:val="16"/>
      <w:szCs w:val="16"/>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B1B6A"/>
    <w:rPr>
      <w:rFonts w:ascii="Verdana" w:hAnsi="Verdana"/>
    </w:rPr>
  </w:style>
  <w:style w:type="character" w:customStyle="1" w:styleId="author-twitter">
    <w:name w:val="author-twitter"/>
    <w:basedOn w:val="DefaultParagraphFont"/>
    <w:rsid w:val="00465F09"/>
  </w:style>
  <w:style w:type="character" w:customStyle="1" w:styleId="hgkelc">
    <w:name w:val="hgkelc"/>
    <w:basedOn w:val="DefaultParagraphFont"/>
    <w:rsid w:val="00465F09"/>
  </w:style>
  <w:style w:type="character" w:customStyle="1" w:styleId="kx21rb">
    <w:name w:val="kx21rb"/>
    <w:basedOn w:val="DefaultParagraphFont"/>
    <w:rsid w:val="00465F09"/>
  </w:style>
  <w:style w:type="character" w:customStyle="1" w:styleId="bylinename">
    <w:name w:val="byline__name"/>
    <w:basedOn w:val="DefaultParagraphFont"/>
    <w:rsid w:val="00465F09"/>
  </w:style>
  <w:style w:type="character" w:customStyle="1" w:styleId="bylinetitle">
    <w:name w:val="byline__title"/>
    <w:basedOn w:val="DefaultParagraphFont"/>
    <w:rsid w:val="00465F09"/>
  </w:style>
  <w:style w:type="character" w:styleId="Strong">
    <w:name w:val="Strong"/>
    <w:basedOn w:val="DefaultParagraphFont"/>
    <w:uiPriority w:val="22"/>
    <w:qFormat/>
    <w:rsid w:val="00447B21"/>
    <w:rPr>
      <w:b/>
      <w:bCs/>
    </w:rPr>
  </w:style>
  <w:style w:type="character" w:customStyle="1" w:styleId="Heading3Char">
    <w:name w:val="Heading 3 Char"/>
    <w:basedOn w:val="DefaultParagraphFont"/>
    <w:link w:val="Heading3"/>
    <w:uiPriority w:val="9"/>
    <w:semiHidden/>
    <w:rsid w:val="0072036E"/>
    <w:rPr>
      <w:rFonts w:asciiTheme="majorHAnsi" w:eastAsiaTheme="majorEastAsia" w:hAnsiTheme="majorHAnsi" w:cstheme="majorBidi"/>
      <w:color w:val="1F4D78" w:themeColor="accent1" w:themeShade="7F"/>
      <w:sz w:val="24"/>
      <w:szCs w:val="24"/>
    </w:rPr>
  </w:style>
  <w:style w:type="paragraph" w:customStyle="1" w:styleId="panel-pane">
    <w:name w:val="panel-pane"/>
    <w:basedOn w:val="Normal"/>
    <w:rsid w:val="004C7BA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abel-inline">
    <w:name w:val="label-inline"/>
    <w:basedOn w:val="DefaultParagraphFont"/>
    <w:rsid w:val="004C7BA6"/>
  </w:style>
  <w:style w:type="character" w:customStyle="1" w:styleId="date-display-single">
    <w:name w:val="date-display-single"/>
    <w:basedOn w:val="DefaultParagraphFont"/>
    <w:rsid w:val="004C7BA6"/>
  </w:style>
  <w:style w:type="paragraph" w:customStyle="1" w:styleId="story-bodyintroduction">
    <w:name w:val="story-body__introduction"/>
    <w:basedOn w:val="Normal"/>
    <w:rsid w:val="00687EC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element-invisible">
    <w:name w:val="element-invisible"/>
    <w:basedOn w:val="DefaultParagraphFont"/>
    <w:rsid w:val="00DF5ED4"/>
  </w:style>
  <w:style w:type="paragraph" w:customStyle="1" w:styleId="TitleHCH">
    <w:name w:val="Title_H_CH"/>
    <w:basedOn w:val="Normal"/>
    <w:next w:val="Normal"/>
    <w:qFormat/>
    <w:rsid w:val="00E32B8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ascii="Times New Roman" w:hAnsi="Times New Roman" w:cs="Times New Roman"/>
      <w:b/>
      <w:spacing w:val="-2"/>
      <w:w w:val="103"/>
      <w:kern w:val="14"/>
      <w:sz w:val="28"/>
      <w:szCs w:val="20"/>
    </w:rPr>
  </w:style>
  <w:style w:type="paragraph" w:customStyle="1" w:styleId="SingleTxtG">
    <w:name w:val="_ Single Txt_G"/>
    <w:basedOn w:val="Normal"/>
    <w:link w:val="SingleTxtGChar"/>
    <w:qFormat/>
    <w:rsid w:val="009C545D"/>
    <w:pPr>
      <w:suppressAutoHyphens/>
      <w:spacing w:after="120" w:line="240" w:lineRule="atLeast"/>
      <w:ind w:left="1134" w:right="1134"/>
      <w:jc w:val="both"/>
    </w:pPr>
    <w:rPr>
      <w:rFonts w:ascii="Times New Roman" w:eastAsia="Times New Roman" w:hAnsi="Times New Roman" w:cs="Times New Roman"/>
      <w:sz w:val="20"/>
      <w:szCs w:val="20"/>
    </w:rPr>
  </w:style>
  <w:style w:type="character" w:customStyle="1" w:styleId="SingleTxtGChar">
    <w:name w:val="_ Single Txt_G Char"/>
    <w:link w:val="SingleTxtG"/>
    <w:locked/>
    <w:rsid w:val="009C545D"/>
    <w:rPr>
      <w:rFonts w:ascii="Times New Roman" w:eastAsia="Times New Roman" w:hAnsi="Times New Roman" w:cs="Times New Roman"/>
      <w:sz w:val="20"/>
      <w:szCs w:val="20"/>
    </w:rPr>
  </w:style>
  <w:style w:type="paragraph" w:styleId="EndnoteText">
    <w:name w:val="endnote text"/>
    <w:basedOn w:val="Normal"/>
    <w:link w:val="EndnoteTextChar"/>
    <w:uiPriority w:val="99"/>
    <w:unhideWhenUsed/>
    <w:rsid w:val="00530A2B"/>
    <w:pPr>
      <w:spacing w:line="240" w:lineRule="auto"/>
    </w:pPr>
    <w:rPr>
      <w:rFonts w:asciiTheme="minorHAnsi" w:hAnsiTheme="minorHAnsi"/>
      <w:sz w:val="20"/>
      <w:szCs w:val="20"/>
    </w:rPr>
  </w:style>
  <w:style w:type="character" w:customStyle="1" w:styleId="EndnoteTextChar">
    <w:name w:val="Endnote Text Char"/>
    <w:basedOn w:val="DefaultParagraphFont"/>
    <w:link w:val="EndnoteText"/>
    <w:uiPriority w:val="99"/>
    <w:rsid w:val="00530A2B"/>
    <w:rPr>
      <w:sz w:val="20"/>
      <w:szCs w:val="20"/>
    </w:rPr>
  </w:style>
  <w:style w:type="character" w:styleId="EndnoteReference">
    <w:name w:val="endnote reference"/>
    <w:basedOn w:val="DefaultParagraphFont"/>
    <w:uiPriority w:val="99"/>
    <w:semiHidden/>
    <w:unhideWhenUsed/>
    <w:rsid w:val="00530A2B"/>
    <w:rPr>
      <w:vertAlign w:val="superscript"/>
    </w:rPr>
  </w:style>
  <w:style w:type="character" w:customStyle="1" w:styleId="Heading4Char">
    <w:name w:val="Heading 4 Char"/>
    <w:basedOn w:val="DefaultParagraphFont"/>
    <w:link w:val="Heading4"/>
    <w:uiPriority w:val="9"/>
    <w:semiHidden/>
    <w:rsid w:val="00AD208B"/>
    <w:rPr>
      <w:rFonts w:asciiTheme="majorHAnsi" w:eastAsiaTheme="majorEastAsia" w:hAnsiTheme="majorHAnsi" w:cstheme="majorBidi"/>
      <w:i/>
      <w:iCs/>
      <w:color w:val="2E74B5" w:themeColor="accent1" w:themeShade="BF"/>
    </w:rPr>
  </w:style>
  <w:style w:type="paragraph" w:styleId="Quote">
    <w:name w:val="Quote"/>
    <w:basedOn w:val="Normal"/>
    <w:next w:val="Normal"/>
    <w:link w:val="QuoteChar"/>
    <w:uiPriority w:val="29"/>
    <w:qFormat/>
    <w:rsid w:val="00A31800"/>
    <w:pPr>
      <w:ind w:left="1440" w:right="1440"/>
    </w:pPr>
    <w:rPr>
      <w:iCs/>
    </w:rPr>
  </w:style>
  <w:style w:type="character" w:customStyle="1" w:styleId="QuoteChar">
    <w:name w:val="Quote Char"/>
    <w:basedOn w:val="DefaultParagraphFont"/>
    <w:link w:val="Quote"/>
    <w:uiPriority w:val="29"/>
    <w:rsid w:val="00AD208B"/>
    <w:rPr>
      <w:rFonts w:ascii="Verdana" w:hAnsi="Verdana"/>
      <w:iCs/>
      <w:sz w:val="24"/>
    </w:rPr>
  </w:style>
  <w:style w:type="paragraph" w:customStyle="1" w:styleId="H23G">
    <w:name w:val="_ H_2/3_G"/>
    <w:basedOn w:val="Normal"/>
    <w:next w:val="Normal"/>
    <w:rsid w:val="00016D14"/>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1111FA"/>
    <w:pPr>
      <w:tabs>
        <w:tab w:val="center" w:pos="4513"/>
        <w:tab w:val="right" w:pos="9026"/>
      </w:tabs>
      <w:spacing w:line="240" w:lineRule="auto"/>
    </w:pPr>
  </w:style>
  <w:style w:type="character" w:customStyle="1" w:styleId="HeaderChar">
    <w:name w:val="Header Char"/>
    <w:basedOn w:val="DefaultParagraphFont"/>
    <w:link w:val="Header"/>
    <w:uiPriority w:val="99"/>
    <w:rsid w:val="001111FA"/>
    <w:rPr>
      <w:rFonts w:ascii="Verdana" w:hAnsi="Verdana"/>
    </w:rPr>
  </w:style>
  <w:style w:type="paragraph" w:styleId="Footer">
    <w:name w:val="footer"/>
    <w:basedOn w:val="Normal"/>
    <w:link w:val="FooterChar"/>
    <w:uiPriority w:val="99"/>
    <w:unhideWhenUsed/>
    <w:rsid w:val="001111FA"/>
    <w:pPr>
      <w:tabs>
        <w:tab w:val="center" w:pos="4513"/>
        <w:tab w:val="right" w:pos="9026"/>
      </w:tabs>
      <w:spacing w:line="240" w:lineRule="auto"/>
    </w:pPr>
  </w:style>
  <w:style w:type="character" w:customStyle="1" w:styleId="FooterChar">
    <w:name w:val="Footer Char"/>
    <w:basedOn w:val="DefaultParagraphFont"/>
    <w:link w:val="Footer"/>
    <w:uiPriority w:val="99"/>
    <w:rsid w:val="001111FA"/>
    <w:rPr>
      <w:rFonts w:ascii="Verdana" w:hAnsi="Verdana"/>
    </w:rPr>
  </w:style>
  <w:style w:type="paragraph" w:customStyle="1" w:styleId="BasicParagraph">
    <w:name w:val="[Basic Paragraph]"/>
    <w:basedOn w:val="Normal"/>
    <w:uiPriority w:val="99"/>
    <w:rsid w:val="00F82C55"/>
    <w:pPr>
      <w:widowControl w:val="0"/>
      <w:autoSpaceDE w:val="0"/>
      <w:autoSpaceDN w:val="0"/>
      <w:adjustRightInd w:val="0"/>
      <w:textAlignment w:val="center"/>
    </w:pPr>
    <w:rPr>
      <w:rFonts w:ascii="MinionPro-Regular" w:eastAsiaTheme="minorEastAsia" w:hAnsi="MinionPro-Regular" w:cs="MinionPro-Regular"/>
      <w:color w:val="000000"/>
      <w:szCs w:val="24"/>
    </w:rPr>
  </w:style>
  <w:style w:type="numbering" w:customStyle="1" w:styleId="CurrentList1">
    <w:name w:val="Current List1"/>
    <w:uiPriority w:val="99"/>
    <w:rsid w:val="006E7A05"/>
    <w:pPr>
      <w:numPr>
        <w:numId w:val="101"/>
      </w:numPr>
    </w:pPr>
  </w:style>
  <w:style w:type="paragraph" w:styleId="Revision">
    <w:name w:val="Revision"/>
    <w:hidden/>
    <w:uiPriority w:val="99"/>
    <w:semiHidden/>
    <w:rsid w:val="00FE703A"/>
    <w:pPr>
      <w:spacing w:after="0" w:line="240" w:lineRule="auto"/>
    </w:pPr>
    <w:rPr>
      <w:rFonts w:ascii="Verdana" w:hAnsi="Verdana"/>
      <w:sz w:val="24"/>
    </w:rPr>
  </w:style>
  <w:style w:type="character" w:customStyle="1" w:styleId="normaltextrun">
    <w:name w:val="normaltextrun"/>
    <w:basedOn w:val="DefaultParagraphFont"/>
    <w:rsid w:val="00623F0C"/>
  </w:style>
  <w:style w:type="character" w:customStyle="1" w:styleId="eop">
    <w:name w:val="eop"/>
    <w:basedOn w:val="DefaultParagraphFont"/>
    <w:rsid w:val="00623F0C"/>
  </w:style>
  <w:style w:type="paragraph" w:customStyle="1" w:styleId="NIHRCFootnotes0">
    <w:name w:val="NIHRC Footnotes"/>
    <w:basedOn w:val="Normal"/>
    <w:qFormat/>
    <w:rsid w:val="00AE206E"/>
    <w:pPr>
      <w:tabs>
        <w:tab w:val="left" w:pos="284"/>
      </w:tabs>
      <w:spacing w:line="240" w:lineRule="auto"/>
    </w:pPr>
    <w:rPr>
      <w:rFonts w:eastAsiaTheme="minorEastAsia" w:cs="Arial"/>
      <w:color w:val="77328A"/>
      <w:sz w:val="16"/>
      <w:szCs w:val="16"/>
    </w:rPr>
  </w:style>
  <w:style w:type="character" w:customStyle="1" w:styleId="cf01">
    <w:name w:val="cf01"/>
    <w:basedOn w:val="DefaultParagraphFont"/>
    <w:rsid w:val="00BA13E2"/>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rsid w:val="002C573F"/>
    <w:rPr>
      <w:color w:val="605E5C"/>
      <w:shd w:val="clear" w:color="auto" w:fill="E1DFDD"/>
    </w:rPr>
  </w:style>
  <w:style w:type="character" w:customStyle="1" w:styleId="Mention1">
    <w:name w:val="Mention1"/>
    <w:basedOn w:val="DefaultParagraphFont"/>
    <w:uiPriority w:val="99"/>
    <w:unhideWhenUsed/>
    <w:rsid w:val="002C57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5197">
      <w:bodyDiv w:val="1"/>
      <w:marLeft w:val="0"/>
      <w:marRight w:val="0"/>
      <w:marTop w:val="0"/>
      <w:marBottom w:val="0"/>
      <w:divBdr>
        <w:top w:val="none" w:sz="0" w:space="0" w:color="auto"/>
        <w:left w:val="none" w:sz="0" w:space="0" w:color="auto"/>
        <w:bottom w:val="none" w:sz="0" w:space="0" w:color="auto"/>
        <w:right w:val="none" w:sz="0" w:space="0" w:color="auto"/>
      </w:divBdr>
    </w:div>
    <w:div w:id="62262858">
      <w:bodyDiv w:val="1"/>
      <w:marLeft w:val="0"/>
      <w:marRight w:val="0"/>
      <w:marTop w:val="0"/>
      <w:marBottom w:val="0"/>
      <w:divBdr>
        <w:top w:val="none" w:sz="0" w:space="0" w:color="auto"/>
        <w:left w:val="none" w:sz="0" w:space="0" w:color="auto"/>
        <w:bottom w:val="none" w:sz="0" w:space="0" w:color="auto"/>
        <w:right w:val="none" w:sz="0" w:space="0" w:color="auto"/>
      </w:divBdr>
    </w:div>
    <w:div w:id="64574720">
      <w:bodyDiv w:val="1"/>
      <w:marLeft w:val="0"/>
      <w:marRight w:val="0"/>
      <w:marTop w:val="0"/>
      <w:marBottom w:val="0"/>
      <w:divBdr>
        <w:top w:val="none" w:sz="0" w:space="0" w:color="auto"/>
        <w:left w:val="none" w:sz="0" w:space="0" w:color="auto"/>
        <w:bottom w:val="none" w:sz="0" w:space="0" w:color="auto"/>
        <w:right w:val="none" w:sz="0" w:space="0" w:color="auto"/>
      </w:divBdr>
    </w:div>
    <w:div w:id="141048508">
      <w:bodyDiv w:val="1"/>
      <w:marLeft w:val="0"/>
      <w:marRight w:val="0"/>
      <w:marTop w:val="0"/>
      <w:marBottom w:val="0"/>
      <w:divBdr>
        <w:top w:val="none" w:sz="0" w:space="0" w:color="auto"/>
        <w:left w:val="none" w:sz="0" w:space="0" w:color="auto"/>
        <w:bottom w:val="none" w:sz="0" w:space="0" w:color="auto"/>
        <w:right w:val="none" w:sz="0" w:space="0" w:color="auto"/>
      </w:divBdr>
    </w:div>
    <w:div w:id="157311796">
      <w:bodyDiv w:val="1"/>
      <w:marLeft w:val="0"/>
      <w:marRight w:val="0"/>
      <w:marTop w:val="0"/>
      <w:marBottom w:val="0"/>
      <w:divBdr>
        <w:top w:val="none" w:sz="0" w:space="0" w:color="auto"/>
        <w:left w:val="none" w:sz="0" w:space="0" w:color="auto"/>
        <w:bottom w:val="none" w:sz="0" w:space="0" w:color="auto"/>
        <w:right w:val="none" w:sz="0" w:space="0" w:color="auto"/>
      </w:divBdr>
    </w:div>
    <w:div w:id="168376981">
      <w:bodyDiv w:val="1"/>
      <w:marLeft w:val="0"/>
      <w:marRight w:val="0"/>
      <w:marTop w:val="0"/>
      <w:marBottom w:val="0"/>
      <w:divBdr>
        <w:top w:val="none" w:sz="0" w:space="0" w:color="auto"/>
        <w:left w:val="none" w:sz="0" w:space="0" w:color="auto"/>
        <w:bottom w:val="none" w:sz="0" w:space="0" w:color="auto"/>
        <w:right w:val="none" w:sz="0" w:space="0" w:color="auto"/>
      </w:divBdr>
    </w:div>
    <w:div w:id="186450637">
      <w:bodyDiv w:val="1"/>
      <w:marLeft w:val="0"/>
      <w:marRight w:val="0"/>
      <w:marTop w:val="0"/>
      <w:marBottom w:val="0"/>
      <w:divBdr>
        <w:top w:val="none" w:sz="0" w:space="0" w:color="auto"/>
        <w:left w:val="none" w:sz="0" w:space="0" w:color="auto"/>
        <w:bottom w:val="none" w:sz="0" w:space="0" w:color="auto"/>
        <w:right w:val="none" w:sz="0" w:space="0" w:color="auto"/>
      </w:divBdr>
    </w:div>
    <w:div w:id="289676372">
      <w:bodyDiv w:val="1"/>
      <w:marLeft w:val="0"/>
      <w:marRight w:val="0"/>
      <w:marTop w:val="0"/>
      <w:marBottom w:val="0"/>
      <w:divBdr>
        <w:top w:val="none" w:sz="0" w:space="0" w:color="auto"/>
        <w:left w:val="none" w:sz="0" w:space="0" w:color="auto"/>
        <w:bottom w:val="none" w:sz="0" w:space="0" w:color="auto"/>
        <w:right w:val="none" w:sz="0" w:space="0" w:color="auto"/>
      </w:divBdr>
    </w:div>
    <w:div w:id="310718565">
      <w:bodyDiv w:val="1"/>
      <w:marLeft w:val="0"/>
      <w:marRight w:val="0"/>
      <w:marTop w:val="0"/>
      <w:marBottom w:val="0"/>
      <w:divBdr>
        <w:top w:val="none" w:sz="0" w:space="0" w:color="auto"/>
        <w:left w:val="none" w:sz="0" w:space="0" w:color="auto"/>
        <w:bottom w:val="none" w:sz="0" w:space="0" w:color="auto"/>
        <w:right w:val="none" w:sz="0" w:space="0" w:color="auto"/>
      </w:divBdr>
    </w:div>
    <w:div w:id="328680145">
      <w:bodyDiv w:val="1"/>
      <w:marLeft w:val="0"/>
      <w:marRight w:val="0"/>
      <w:marTop w:val="0"/>
      <w:marBottom w:val="0"/>
      <w:divBdr>
        <w:top w:val="none" w:sz="0" w:space="0" w:color="auto"/>
        <w:left w:val="none" w:sz="0" w:space="0" w:color="auto"/>
        <w:bottom w:val="none" w:sz="0" w:space="0" w:color="auto"/>
        <w:right w:val="none" w:sz="0" w:space="0" w:color="auto"/>
      </w:divBdr>
    </w:div>
    <w:div w:id="394667620">
      <w:bodyDiv w:val="1"/>
      <w:marLeft w:val="0"/>
      <w:marRight w:val="0"/>
      <w:marTop w:val="0"/>
      <w:marBottom w:val="0"/>
      <w:divBdr>
        <w:top w:val="none" w:sz="0" w:space="0" w:color="auto"/>
        <w:left w:val="none" w:sz="0" w:space="0" w:color="auto"/>
        <w:bottom w:val="none" w:sz="0" w:space="0" w:color="auto"/>
        <w:right w:val="none" w:sz="0" w:space="0" w:color="auto"/>
      </w:divBdr>
    </w:div>
    <w:div w:id="396629953">
      <w:bodyDiv w:val="1"/>
      <w:marLeft w:val="0"/>
      <w:marRight w:val="0"/>
      <w:marTop w:val="0"/>
      <w:marBottom w:val="0"/>
      <w:divBdr>
        <w:top w:val="none" w:sz="0" w:space="0" w:color="auto"/>
        <w:left w:val="none" w:sz="0" w:space="0" w:color="auto"/>
        <w:bottom w:val="none" w:sz="0" w:space="0" w:color="auto"/>
        <w:right w:val="none" w:sz="0" w:space="0" w:color="auto"/>
      </w:divBdr>
    </w:div>
    <w:div w:id="455754638">
      <w:bodyDiv w:val="1"/>
      <w:marLeft w:val="0"/>
      <w:marRight w:val="0"/>
      <w:marTop w:val="0"/>
      <w:marBottom w:val="0"/>
      <w:divBdr>
        <w:top w:val="none" w:sz="0" w:space="0" w:color="auto"/>
        <w:left w:val="none" w:sz="0" w:space="0" w:color="auto"/>
        <w:bottom w:val="none" w:sz="0" w:space="0" w:color="auto"/>
        <w:right w:val="none" w:sz="0" w:space="0" w:color="auto"/>
      </w:divBdr>
    </w:div>
    <w:div w:id="469053553">
      <w:bodyDiv w:val="1"/>
      <w:marLeft w:val="0"/>
      <w:marRight w:val="0"/>
      <w:marTop w:val="0"/>
      <w:marBottom w:val="0"/>
      <w:divBdr>
        <w:top w:val="none" w:sz="0" w:space="0" w:color="auto"/>
        <w:left w:val="none" w:sz="0" w:space="0" w:color="auto"/>
        <w:bottom w:val="none" w:sz="0" w:space="0" w:color="auto"/>
        <w:right w:val="none" w:sz="0" w:space="0" w:color="auto"/>
      </w:divBdr>
    </w:div>
    <w:div w:id="531772727">
      <w:bodyDiv w:val="1"/>
      <w:marLeft w:val="0"/>
      <w:marRight w:val="0"/>
      <w:marTop w:val="0"/>
      <w:marBottom w:val="0"/>
      <w:divBdr>
        <w:top w:val="none" w:sz="0" w:space="0" w:color="auto"/>
        <w:left w:val="none" w:sz="0" w:space="0" w:color="auto"/>
        <w:bottom w:val="none" w:sz="0" w:space="0" w:color="auto"/>
        <w:right w:val="none" w:sz="0" w:space="0" w:color="auto"/>
      </w:divBdr>
    </w:div>
    <w:div w:id="579408447">
      <w:bodyDiv w:val="1"/>
      <w:marLeft w:val="0"/>
      <w:marRight w:val="0"/>
      <w:marTop w:val="0"/>
      <w:marBottom w:val="0"/>
      <w:divBdr>
        <w:top w:val="none" w:sz="0" w:space="0" w:color="auto"/>
        <w:left w:val="none" w:sz="0" w:space="0" w:color="auto"/>
        <w:bottom w:val="none" w:sz="0" w:space="0" w:color="auto"/>
        <w:right w:val="none" w:sz="0" w:space="0" w:color="auto"/>
      </w:divBdr>
    </w:div>
    <w:div w:id="624193946">
      <w:bodyDiv w:val="1"/>
      <w:marLeft w:val="0"/>
      <w:marRight w:val="0"/>
      <w:marTop w:val="0"/>
      <w:marBottom w:val="0"/>
      <w:divBdr>
        <w:top w:val="none" w:sz="0" w:space="0" w:color="auto"/>
        <w:left w:val="none" w:sz="0" w:space="0" w:color="auto"/>
        <w:bottom w:val="none" w:sz="0" w:space="0" w:color="auto"/>
        <w:right w:val="none" w:sz="0" w:space="0" w:color="auto"/>
      </w:divBdr>
    </w:div>
    <w:div w:id="637565529">
      <w:bodyDiv w:val="1"/>
      <w:marLeft w:val="0"/>
      <w:marRight w:val="0"/>
      <w:marTop w:val="0"/>
      <w:marBottom w:val="0"/>
      <w:divBdr>
        <w:top w:val="none" w:sz="0" w:space="0" w:color="auto"/>
        <w:left w:val="none" w:sz="0" w:space="0" w:color="auto"/>
        <w:bottom w:val="none" w:sz="0" w:space="0" w:color="auto"/>
        <w:right w:val="none" w:sz="0" w:space="0" w:color="auto"/>
      </w:divBdr>
    </w:div>
    <w:div w:id="650792218">
      <w:bodyDiv w:val="1"/>
      <w:marLeft w:val="0"/>
      <w:marRight w:val="0"/>
      <w:marTop w:val="0"/>
      <w:marBottom w:val="0"/>
      <w:divBdr>
        <w:top w:val="none" w:sz="0" w:space="0" w:color="auto"/>
        <w:left w:val="none" w:sz="0" w:space="0" w:color="auto"/>
        <w:bottom w:val="none" w:sz="0" w:space="0" w:color="auto"/>
        <w:right w:val="none" w:sz="0" w:space="0" w:color="auto"/>
      </w:divBdr>
    </w:div>
    <w:div w:id="741875356">
      <w:bodyDiv w:val="1"/>
      <w:marLeft w:val="0"/>
      <w:marRight w:val="0"/>
      <w:marTop w:val="0"/>
      <w:marBottom w:val="0"/>
      <w:divBdr>
        <w:top w:val="none" w:sz="0" w:space="0" w:color="auto"/>
        <w:left w:val="none" w:sz="0" w:space="0" w:color="auto"/>
        <w:bottom w:val="none" w:sz="0" w:space="0" w:color="auto"/>
        <w:right w:val="none" w:sz="0" w:space="0" w:color="auto"/>
      </w:divBdr>
    </w:div>
    <w:div w:id="777062255">
      <w:bodyDiv w:val="1"/>
      <w:marLeft w:val="0"/>
      <w:marRight w:val="0"/>
      <w:marTop w:val="0"/>
      <w:marBottom w:val="0"/>
      <w:divBdr>
        <w:top w:val="none" w:sz="0" w:space="0" w:color="auto"/>
        <w:left w:val="none" w:sz="0" w:space="0" w:color="auto"/>
        <w:bottom w:val="none" w:sz="0" w:space="0" w:color="auto"/>
        <w:right w:val="none" w:sz="0" w:space="0" w:color="auto"/>
      </w:divBdr>
    </w:div>
    <w:div w:id="791438464">
      <w:bodyDiv w:val="1"/>
      <w:marLeft w:val="0"/>
      <w:marRight w:val="0"/>
      <w:marTop w:val="0"/>
      <w:marBottom w:val="0"/>
      <w:divBdr>
        <w:top w:val="none" w:sz="0" w:space="0" w:color="auto"/>
        <w:left w:val="none" w:sz="0" w:space="0" w:color="auto"/>
        <w:bottom w:val="none" w:sz="0" w:space="0" w:color="auto"/>
        <w:right w:val="none" w:sz="0" w:space="0" w:color="auto"/>
      </w:divBdr>
    </w:div>
    <w:div w:id="795757970">
      <w:bodyDiv w:val="1"/>
      <w:marLeft w:val="0"/>
      <w:marRight w:val="0"/>
      <w:marTop w:val="0"/>
      <w:marBottom w:val="0"/>
      <w:divBdr>
        <w:top w:val="none" w:sz="0" w:space="0" w:color="auto"/>
        <w:left w:val="none" w:sz="0" w:space="0" w:color="auto"/>
        <w:bottom w:val="none" w:sz="0" w:space="0" w:color="auto"/>
        <w:right w:val="none" w:sz="0" w:space="0" w:color="auto"/>
      </w:divBdr>
    </w:div>
    <w:div w:id="800533131">
      <w:bodyDiv w:val="1"/>
      <w:marLeft w:val="0"/>
      <w:marRight w:val="0"/>
      <w:marTop w:val="0"/>
      <w:marBottom w:val="0"/>
      <w:divBdr>
        <w:top w:val="none" w:sz="0" w:space="0" w:color="auto"/>
        <w:left w:val="none" w:sz="0" w:space="0" w:color="auto"/>
        <w:bottom w:val="none" w:sz="0" w:space="0" w:color="auto"/>
        <w:right w:val="none" w:sz="0" w:space="0" w:color="auto"/>
      </w:divBdr>
    </w:div>
    <w:div w:id="822887300">
      <w:bodyDiv w:val="1"/>
      <w:marLeft w:val="0"/>
      <w:marRight w:val="0"/>
      <w:marTop w:val="0"/>
      <w:marBottom w:val="0"/>
      <w:divBdr>
        <w:top w:val="none" w:sz="0" w:space="0" w:color="auto"/>
        <w:left w:val="none" w:sz="0" w:space="0" w:color="auto"/>
        <w:bottom w:val="none" w:sz="0" w:space="0" w:color="auto"/>
        <w:right w:val="none" w:sz="0" w:space="0" w:color="auto"/>
      </w:divBdr>
    </w:div>
    <w:div w:id="847332746">
      <w:bodyDiv w:val="1"/>
      <w:marLeft w:val="0"/>
      <w:marRight w:val="0"/>
      <w:marTop w:val="0"/>
      <w:marBottom w:val="0"/>
      <w:divBdr>
        <w:top w:val="none" w:sz="0" w:space="0" w:color="auto"/>
        <w:left w:val="none" w:sz="0" w:space="0" w:color="auto"/>
        <w:bottom w:val="none" w:sz="0" w:space="0" w:color="auto"/>
        <w:right w:val="none" w:sz="0" w:space="0" w:color="auto"/>
      </w:divBdr>
    </w:div>
    <w:div w:id="893007040">
      <w:bodyDiv w:val="1"/>
      <w:marLeft w:val="0"/>
      <w:marRight w:val="0"/>
      <w:marTop w:val="0"/>
      <w:marBottom w:val="0"/>
      <w:divBdr>
        <w:top w:val="none" w:sz="0" w:space="0" w:color="auto"/>
        <w:left w:val="none" w:sz="0" w:space="0" w:color="auto"/>
        <w:bottom w:val="none" w:sz="0" w:space="0" w:color="auto"/>
        <w:right w:val="none" w:sz="0" w:space="0" w:color="auto"/>
      </w:divBdr>
    </w:div>
    <w:div w:id="898904347">
      <w:bodyDiv w:val="1"/>
      <w:marLeft w:val="0"/>
      <w:marRight w:val="0"/>
      <w:marTop w:val="0"/>
      <w:marBottom w:val="0"/>
      <w:divBdr>
        <w:top w:val="none" w:sz="0" w:space="0" w:color="auto"/>
        <w:left w:val="none" w:sz="0" w:space="0" w:color="auto"/>
        <w:bottom w:val="none" w:sz="0" w:space="0" w:color="auto"/>
        <w:right w:val="none" w:sz="0" w:space="0" w:color="auto"/>
      </w:divBdr>
    </w:div>
    <w:div w:id="926421587">
      <w:bodyDiv w:val="1"/>
      <w:marLeft w:val="0"/>
      <w:marRight w:val="0"/>
      <w:marTop w:val="0"/>
      <w:marBottom w:val="0"/>
      <w:divBdr>
        <w:top w:val="none" w:sz="0" w:space="0" w:color="auto"/>
        <w:left w:val="none" w:sz="0" w:space="0" w:color="auto"/>
        <w:bottom w:val="none" w:sz="0" w:space="0" w:color="auto"/>
        <w:right w:val="none" w:sz="0" w:space="0" w:color="auto"/>
      </w:divBdr>
    </w:div>
    <w:div w:id="940338952">
      <w:bodyDiv w:val="1"/>
      <w:marLeft w:val="0"/>
      <w:marRight w:val="0"/>
      <w:marTop w:val="0"/>
      <w:marBottom w:val="0"/>
      <w:divBdr>
        <w:top w:val="none" w:sz="0" w:space="0" w:color="auto"/>
        <w:left w:val="none" w:sz="0" w:space="0" w:color="auto"/>
        <w:bottom w:val="none" w:sz="0" w:space="0" w:color="auto"/>
        <w:right w:val="none" w:sz="0" w:space="0" w:color="auto"/>
      </w:divBdr>
    </w:div>
    <w:div w:id="941883520">
      <w:bodyDiv w:val="1"/>
      <w:marLeft w:val="0"/>
      <w:marRight w:val="0"/>
      <w:marTop w:val="0"/>
      <w:marBottom w:val="0"/>
      <w:divBdr>
        <w:top w:val="none" w:sz="0" w:space="0" w:color="auto"/>
        <w:left w:val="none" w:sz="0" w:space="0" w:color="auto"/>
        <w:bottom w:val="none" w:sz="0" w:space="0" w:color="auto"/>
        <w:right w:val="none" w:sz="0" w:space="0" w:color="auto"/>
      </w:divBdr>
    </w:div>
    <w:div w:id="988440008">
      <w:bodyDiv w:val="1"/>
      <w:marLeft w:val="0"/>
      <w:marRight w:val="0"/>
      <w:marTop w:val="0"/>
      <w:marBottom w:val="0"/>
      <w:divBdr>
        <w:top w:val="none" w:sz="0" w:space="0" w:color="auto"/>
        <w:left w:val="none" w:sz="0" w:space="0" w:color="auto"/>
        <w:bottom w:val="none" w:sz="0" w:space="0" w:color="auto"/>
        <w:right w:val="none" w:sz="0" w:space="0" w:color="auto"/>
      </w:divBdr>
    </w:div>
    <w:div w:id="1056974463">
      <w:bodyDiv w:val="1"/>
      <w:marLeft w:val="0"/>
      <w:marRight w:val="0"/>
      <w:marTop w:val="0"/>
      <w:marBottom w:val="0"/>
      <w:divBdr>
        <w:top w:val="none" w:sz="0" w:space="0" w:color="auto"/>
        <w:left w:val="none" w:sz="0" w:space="0" w:color="auto"/>
        <w:bottom w:val="none" w:sz="0" w:space="0" w:color="auto"/>
        <w:right w:val="none" w:sz="0" w:space="0" w:color="auto"/>
      </w:divBdr>
      <w:divsChild>
        <w:div w:id="1596934701">
          <w:marLeft w:val="0"/>
          <w:marRight w:val="0"/>
          <w:marTop w:val="240"/>
          <w:marBottom w:val="0"/>
          <w:divBdr>
            <w:top w:val="none" w:sz="0" w:space="0" w:color="auto"/>
            <w:left w:val="none" w:sz="0" w:space="0" w:color="auto"/>
            <w:bottom w:val="none" w:sz="0" w:space="0" w:color="auto"/>
            <w:right w:val="none" w:sz="0" w:space="0" w:color="auto"/>
          </w:divBdr>
        </w:div>
      </w:divsChild>
    </w:div>
    <w:div w:id="1100301212">
      <w:bodyDiv w:val="1"/>
      <w:marLeft w:val="0"/>
      <w:marRight w:val="0"/>
      <w:marTop w:val="0"/>
      <w:marBottom w:val="0"/>
      <w:divBdr>
        <w:top w:val="none" w:sz="0" w:space="0" w:color="auto"/>
        <w:left w:val="none" w:sz="0" w:space="0" w:color="auto"/>
        <w:bottom w:val="none" w:sz="0" w:space="0" w:color="auto"/>
        <w:right w:val="none" w:sz="0" w:space="0" w:color="auto"/>
      </w:divBdr>
    </w:div>
    <w:div w:id="1114908163">
      <w:bodyDiv w:val="1"/>
      <w:marLeft w:val="0"/>
      <w:marRight w:val="0"/>
      <w:marTop w:val="0"/>
      <w:marBottom w:val="0"/>
      <w:divBdr>
        <w:top w:val="none" w:sz="0" w:space="0" w:color="auto"/>
        <w:left w:val="none" w:sz="0" w:space="0" w:color="auto"/>
        <w:bottom w:val="none" w:sz="0" w:space="0" w:color="auto"/>
        <w:right w:val="none" w:sz="0" w:space="0" w:color="auto"/>
      </w:divBdr>
    </w:div>
    <w:div w:id="1118376233">
      <w:bodyDiv w:val="1"/>
      <w:marLeft w:val="0"/>
      <w:marRight w:val="0"/>
      <w:marTop w:val="0"/>
      <w:marBottom w:val="0"/>
      <w:divBdr>
        <w:top w:val="none" w:sz="0" w:space="0" w:color="auto"/>
        <w:left w:val="none" w:sz="0" w:space="0" w:color="auto"/>
        <w:bottom w:val="none" w:sz="0" w:space="0" w:color="auto"/>
        <w:right w:val="none" w:sz="0" w:space="0" w:color="auto"/>
      </w:divBdr>
    </w:div>
    <w:div w:id="1120685080">
      <w:bodyDiv w:val="1"/>
      <w:marLeft w:val="0"/>
      <w:marRight w:val="0"/>
      <w:marTop w:val="0"/>
      <w:marBottom w:val="0"/>
      <w:divBdr>
        <w:top w:val="none" w:sz="0" w:space="0" w:color="auto"/>
        <w:left w:val="none" w:sz="0" w:space="0" w:color="auto"/>
        <w:bottom w:val="none" w:sz="0" w:space="0" w:color="auto"/>
        <w:right w:val="none" w:sz="0" w:space="0" w:color="auto"/>
      </w:divBdr>
      <w:divsChild>
        <w:div w:id="453444877">
          <w:marLeft w:val="0"/>
          <w:marRight w:val="0"/>
          <w:marTop w:val="0"/>
          <w:marBottom w:val="0"/>
          <w:divBdr>
            <w:top w:val="none" w:sz="0" w:space="0" w:color="auto"/>
            <w:left w:val="none" w:sz="0" w:space="0" w:color="auto"/>
            <w:bottom w:val="none" w:sz="0" w:space="0" w:color="auto"/>
            <w:right w:val="none" w:sz="0" w:space="0" w:color="auto"/>
          </w:divBdr>
        </w:div>
      </w:divsChild>
    </w:div>
    <w:div w:id="1161433552">
      <w:bodyDiv w:val="1"/>
      <w:marLeft w:val="0"/>
      <w:marRight w:val="0"/>
      <w:marTop w:val="0"/>
      <w:marBottom w:val="0"/>
      <w:divBdr>
        <w:top w:val="none" w:sz="0" w:space="0" w:color="auto"/>
        <w:left w:val="none" w:sz="0" w:space="0" w:color="auto"/>
        <w:bottom w:val="none" w:sz="0" w:space="0" w:color="auto"/>
        <w:right w:val="none" w:sz="0" w:space="0" w:color="auto"/>
      </w:divBdr>
    </w:div>
    <w:div w:id="1191842510">
      <w:bodyDiv w:val="1"/>
      <w:marLeft w:val="0"/>
      <w:marRight w:val="0"/>
      <w:marTop w:val="0"/>
      <w:marBottom w:val="0"/>
      <w:divBdr>
        <w:top w:val="none" w:sz="0" w:space="0" w:color="auto"/>
        <w:left w:val="none" w:sz="0" w:space="0" w:color="auto"/>
        <w:bottom w:val="none" w:sz="0" w:space="0" w:color="auto"/>
        <w:right w:val="none" w:sz="0" w:space="0" w:color="auto"/>
      </w:divBdr>
    </w:div>
    <w:div w:id="1287347493">
      <w:bodyDiv w:val="1"/>
      <w:marLeft w:val="0"/>
      <w:marRight w:val="0"/>
      <w:marTop w:val="0"/>
      <w:marBottom w:val="0"/>
      <w:divBdr>
        <w:top w:val="none" w:sz="0" w:space="0" w:color="auto"/>
        <w:left w:val="none" w:sz="0" w:space="0" w:color="auto"/>
        <w:bottom w:val="none" w:sz="0" w:space="0" w:color="auto"/>
        <w:right w:val="none" w:sz="0" w:space="0" w:color="auto"/>
      </w:divBdr>
    </w:div>
    <w:div w:id="1307396769">
      <w:bodyDiv w:val="1"/>
      <w:marLeft w:val="0"/>
      <w:marRight w:val="0"/>
      <w:marTop w:val="0"/>
      <w:marBottom w:val="0"/>
      <w:divBdr>
        <w:top w:val="none" w:sz="0" w:space="0" w:color="auto"/>
        <w:left w:val="none" w:sz="0" w:space="0" w:color="auto"/>
        <w:bottom w:val="none" w:sz="0" w:space="0" w:color="auto"/>
        <w:right w:val="none" w:sz="0" w:space="0" w:color="auto"/>
      </w:divBdr>
    </w:div>
    <w:div w:id="1310939925">
      <w:bodyDiv w:val="1"/>
      <w:marLeft w:val="0"/>
      <w:marRight w:val="0"/>
      <w:marTop w:val="0"/>
      <w:marBottom w:val="0"/>
      <w:divBdr>
        <w:top w:val="none" w:sz="0" w:space="0" w:color="auto"/>
        <w:left w:val="none" w:sz="0" w:space="0" w:color="auto"/>
        <w:bottom w:val="none" w:sz="0" w:space="0" w:color="auto"/>
        <w:right w:val="none" w:sz="0" w:space="0" w:color="auto"/>
      </w:divBdr>
    </w:div>
    <w:div w:id="1312171396">
      <w:bodyDiv w:val="1"/>
      <w:marLeft w:val="0"/>
      <w:marRight w:val="0"/>
      <w:marTop w:val="0"/>
      <w:marBottom w:val="0"/>
      <w:divBdr>
        <w:top w:val="none" w:sz="0" w:space="0" w:color="auto"/>
        <w:left w:val="none" w:sz="0" w:space="0" w:color="auto"/>
        <w:bottom w:val="none" w:sz="0" w:space="0" w:color="auto"/>
        <w:right w:val="none" w:sz="0" w:space="0" w:color="auto"/>
      </w:divBdr>
    </w:div>
    <w:div w:id="1335301909">
      <w:bodyDiv w:val="1"/>
      <w:marLeft w:val="0"/>
      <w:marRight w:val="0"/>
      <w:marTop w:val="0"/>
      <w:marBottom w:val="0"/>
      <w:divBdr>
        <w:top w:val="none" w:sz="0" w:space="0" w:color="auto"/>
        <w:left w:val="none" w:sz="0" w:space="0" w:color="auto"/>
        <w:bottom w:val="none" w:sz="0" w:space="0" w:color="auto"/>
        <w:right w:val="none" w:sz="0" w:space="0" w:color="auto"/>
      </w:divBdr>
    </w:div>
    <w:div w:id="1349410262">
      <w:bodyDiv w:val="1"/>
      <w:marLeft w:val="0"/>
      <w:marRight w:val="0"/>
      <w:marTop w:val="0"/>
      <w:marBottom w:val="0"/>
      <w:divBdr>
        <w:top w:val="none" w:sz="0" w:space="0" w:color="auto"/>
        <w:left w:val="none" w:sz="0" w:space="0" w:color="auto"/>
        <w:bottom w:val="none" w:sz="0" w:space="0" w:color="auto"/>
        <w:right w:val="none" w:sz="0" w:space="0" w:color="auto"/>
      </w:divBdr>
    </w:div>
    <w:div w:id="1409426787">
      <w:bodyDiv w:val="1"/>
      <w:marLeft w:val="0"/>
      <w:marRight w:val="0"/>
      <w:marTop w:val="0"/>
      <w:marBottom w:val="0"/>
      <w:divBdr>
        <w:top w:val="none" w:sz="0" w:space="0" w:color="auto"/>
        <w:left w:val="none" w:sz="0" w:space="0" w:color="auto"/>
        <w:bottom w:val="none" w:sz="0" w:space="0" w:color="auto"/>
        <w:right w:val="none" w:sz="0" w:space="0" w:color="auto"/>
      </w:divBdr>
    </w:div>
    <w:div w:id="1495027476">
      <w:bodyDiv w:val="1"/>
      <w:marLeft w:val="0"/>
      <w:marRight w:val="0"/>
      <w:marTop w:val="0"/>
      <w:marBottom w:val="0"/>
      <w:divBdr>
        <w:top w:val="none" w:sz="0" w:space="0" w:color="auto"/>
        <w:left w:val="none" w:sz="0" w:space="0" w:color="auto"/>
        <w:bottom w:val="none" w:sz="0" w:space="0" w:color="auto"/>
        <w:right w:val="none" w:sz="0" w:space="0" w:color="auto"/>
      </w:divBdr>
      <w:divsChild>
        <w:div w:id="1231422186">
          <w:marLeft w:val="0"/>
          <w:marRight w:val="0"/>
          <w:marTop w:val="0"/>
          <w:marBottom w:val="0"/>
          <w:divBdr>
            <w:top w:val="none" w:sz="0" w:space="0" w:color="auto"/>
            <w:left w:val="none" w:sz="0" w:space="0" w:color="auto"/>
            <w:bottom w:val="none" w:sz="0" w:space="0" w:color="auto"/>
            <w:right w:val="none" w:sz="0" w:space="0" w:color="auto"/>
          </w:divBdr>
        </w:div>
      </w:divsChild>
    </w:div>
    <w:div w:id="1528130742">
      <w:bodyDiv w:val="1"/>
      <w:marLeft w:val="0"/>
      <w:marRight w:val="0"/>
      <w:marTop w:val="0"/>
      <w:marBottom w:val="0"/>
      <w:divBdr>
        <w:top w:val="none" w:sz="0" w:space="0" w:color="auto"/>
        <w:left w:val="none" w:sz="0" w:space="0" w:color="auto"/>
        <w:bottom w:val="none" w:sz="0" w:space="0" w:color="auto"/>
        <w:right w:val="none" w:sz="0" w:space="0" w:color="auto"/>
      </w:divBdr>
      <w:divsChild>
        <w:div w:id="544029289">
          <w:marLeft w:val="0"/>
          <w:marRight w:val="0"/>
          <w:marTop w:val="0"/>
          <w:marBottom w:val="0"/>
          <w:divBdr>
            <w:top w:val="none" w:sz="0" w:space="0" w:color="auto"/>
            <w:left w:val="none" w:sz="0" w:space="0" w:color="auto"/>
            <w:bottom w:val="none" w:sz="0" w:space="0" w:color="auto"/>
            <w:right w:val="none" w:sz="0" w:space="0" w:color="auto"/>
          </w:divBdr>
        </w:div>
      </w:divsChild>
    </w:div>
    <w:div w:id="1537082126">
      <w:bodyDiv w:val="1"/>
      <w:marLeft w:val="0"/>
      <w:marRight w:val="0"/>
      <w:marTop w:val="0"/>
      <w:marBottom w:val="0"/>
      <w:divBdr>
        <w:top w:val="none" w:sz="0" w:space="0" w:color="auto"/>
        <w:left w:val="none" w:sz="0" w:space="0" w:color="auto"/>
        <w:bottom w:val="none" w:sz="0" w:space="0" w:color="auto"/>
        <w:right w:val="none" w:sz="0" w:space="0" w:color="auto"/>
      </w:divBdr>
    </w:div>
    <w:div w:id="1635408888">
      <w:bodyDiv w:val="1"/>
      <w:marLeft w:val="0"/>
      <w:marRight w:val="0"/>
      <w:marTop w:val="0"/>
      <w:marBottom w:val="0"/>
      <w:divBdr>
        <w:top w:val="none" w:sz="0" w:space="0" w:color="auto"/>
        <w:left w:val="none" w:sz="0" w:space="0" w:color="auto"/>
        <w:bottom w:val="none" w:sz="0" w:space="0" w:color="auto"/>
        <w:right w:val="none" w:sz="0" w:space="0" w:color="auto"/>
      </w:divBdr>
    </w:div>
    <w:div w:id="1643732955">
      <w:bodyDiv w:val="1"/>
      <w:marLeft w:val="0"/>
      <w:marRight w:val="0"/>
      <w:marTop w:val="0"/>
      <w:marBottom w:val="0"/>
      <w:divBdr>
        <w:top w:val="none" w:sz="0" w:space="0" w:color="auto"/>
        <w:left w:val="none" w:sz="0" w:space="0" w:color="auto"/>
        <w:bottom w:val="none" w:sz="0" w:space="0" w:color="auto"/>
        <w:right w:val="none" w:sz="0" w:space="0" w:color="auto"/>
      </w:divBdr>
    </w:div>
    <w:div w:id="1674339256">
      <w:bodyDiv w:val="1"/>
      <w:marLeft w:val="0"/>
      <w:marRight w:val="0"/>
      <w:marTop w:val="0"/>
      <w:marBottom w:val="0"/>
      <w:divBdr>
        <w:top w:val="none" w:sz="0" w:space="0" w:color="auto"/>
        <w:left w:val="none" w:sz="0" w:space="0" w:color="auto"/>
        <w:bottom w:val="none" w:sz="0" w:space="0" w:color="auto"/>
        <w:right w:val="none" w:sz="0" w:space="0" w:color="auto"/>
      </w:divBdr>
    </w:div>
    <w:div w:id="1679962249">
      <w:bodyDiv w:val="1"/>
      <w:marLeft w:val="0"/>
      <w:marRight w:val="0"/>
      <w:marTop w:val="0"/>
      <w:marBottom w:val="0"/>
      <w:divBdr>
        <w:top w:val="none" w:sz="0" w:space="0" w:color="auto"/>
        <w:left w:val="none" w:sz="0" w:space="0" w:color="auto"/>
        <w:bottom w:val="none" w:sz="0" w:space="0" w:color="auto"/>
        <w:right w:val="none" w:sz="0" w:space="0" w:color="auto"/>
      </w:divBdr>
    </w:div>
    <w:div w:id="1695039427">
      <w:bodyDiv w:val="1"/>
      <w:marLeft w:val="0"/>
      <w:marRight w:val="0"/>
      <w:marTop w:val="0"/>
      <w:marBottom w:val="0"/>
      <w:divBdr>
        <w:top w:val="none" w:sz="0" w:space="0" w:color="auto"/>
        <w:left w:val="none" w:sz="0" w:space="0" w:color="auto"/>
        <w:bottom w:val="none" w:sz="0" w:space="0" w:color="auto"/>
        <w:right w:val="none" w:sz="0" w:space="0" w:color="auto"/>
      </w:divBdr>
    </w:div>
    <w:div w:id="1735468032">
      <w:bodyDiv w:val="1"/>
      <w:marLeft w:val="0"/>
      <w:marRight w:val="0"/>
      <w:marTop w:val="0"/>
      <w:marBottom w:val="0"/>
      <w:divBdr>
        <w:top w:val="none" w:sz="0" w:space="0" w:color="auto"/>
        <w:left w:val="none" w:sz="0" w:space="0" w:color="auto"/>
        <w:bottom w:val="none" w:sz="0" w:space="0" w:color="auto"/>
        <w:right w:val="none" w:sz="0" w:space="0" w:color="auto"/>
      </w:divBdr>
    </w:div>
    <w:div w:id="1744600223">
      <w:bodyDiv w:val="1"/>
      <w:marLeft w:val="0"/>
      <w:marRight w:val="0"/>
      <w:marTop w:val="0"/>
      <w:marBottom w:val="0"/>
      <w:divBdr>
        <w:top w:val="none" w:sz="0" w:space="0" w:color="auto"/>
        <w:left w:val="none" w:sz="0" w:space="0" w:color="auto"/>
        <w:bottom w:val="none" w:sz="0" w:space="0" w:color="auto"/>
        <w:right w:val="none" w:sz="0" w:space="0" w:color="auto"/>
      </w:divBdr>
    </w:div>
    <w:div w:id="1760516583">
      <w:bodyDiv w:val="1"/>
      <w:marLeft w:val="0"/>
      <w:marRight w:val="0"/>
      <w:marTop w:val="0"/>
      <w:marBottom w:val="0"/>
      <w:divBdr>
        <w:top w:val="none" w:sz="0" w:space="0" w:color="auto"/>
        <w:left w:val="none" w:sz="0" w:space="0" w:color="auto"/>
        <w:bottom w:val="none" w:sz="0" w:space="0" w:color="auto"/>
        <w:right w:val="none" w:sz="0" w:space="0" w:color="auto"/>
      </w:divBdr>
    </w:div>
    <w:div w:id="1791583002">
      <w:bodyDiv w:val="1"/>
      <w:marLeft w:val="0"/>
      <w:marRight w:val="0"/>
      <w:marTop w:val="0"/>
      <w:marBottom w:val="0"/>
      <w:divBdr>
        <w:top w:val="none" w:sz="0" w:space="0" w:color="auto"/>
        <w:left w:val="none" w:sz="0" w:space="0" w:color="auto"/>
        <w:bottom w:val="none" w:sz="0" w:space="0" w:color="auto"/>
        <w:right w:val="none" w:sz="0" w:space="0" w:color="auto"/>
      </w:divBdr>
      <w:divsChild>
        <w:div w:id="113988043">
          <w:marLeft w:val="0"/>
          <w:marRight w:val="0"/>
          <w:marTop w:val="0"/>
          <w:marBottom w:val="0"/>
          <w:divBdr>
            <w:top w:val="none" w:sz="0" w:space="0" w:color="auto"/>
            <w:left w:val="none" w:sz="0" w:space="0" w:color="auto"/>
            <w:bottom w:val="none" w:sz="0" w:space="0" w:color="auto"/>
            <w:right w:val="none" w:sz="0" w:space="0" w:color="auto"/>
          </w:divBdr>
        </w:div>
      </w:divsChild>
    </w:div>
    <w:div w:id="1801722633">
      <w:bodyDiv w:val="1"/>
      <w:marLeft w:val="0"/>
      <w:marRight w:val="0"/>
      <w:marTop w:val="0"/>
      <w:marBottom w:val="0"/>
      <w:divBdr>
        <w:top w:val="none" w:sz="0" w:space="0" w:color="auto"/>
        <w:left w:val="none" w:sz="0" w:space="0" w:color="auto"/>
        <w:bottom w:val="none" w:sz="0" w:space="0" w:color="auto"/>
        <w:right w:val="none" w:sz="0" w:space="0" w:color="auto"/>
      </w:divBdr>
    </w:div>
    <w:div w:id="1817064374">
      <w:bodyDiv w:val="1"/>
      <w:marLeft w:val="0"/>
      <w:marRight w:val="0"/>
      <w:marTop w:val="0"/>
      <w:marBottom w:val="0"/>
      <w:divBdr>
        <w:top w:val="none" w:sz="0" w:space="0" w:color="auto"/>
        <w:left w:val="none" w:sz="0" w:space="0" w:color="auto"/>
        <w:bottom w:val="none" w:sz="0" w:space="0" w:color="auto"/>
        <w:right w:val="none" w:sz="0" w:space="0" w:color="auto"/>
      </w:divBdr>
    </w:div>
    <w:div w:id="1822694831">
      <w:bodyDiv w:val="1"/>
      <w:marLeft w:val="0"/>
      <w:marRight w:val="0"/>
      <w:marTop w:val="0"/>
      <w:marBottom w:val="0"/>
      <w:divBdr>
        <w:top w:val="none" w:sz="0" w:space="0" w:color="auto"/>
        <w:left w:val="none" w:sz="0" w:space="0" w:color="auto"/>
        <w:bottom w:val="none" w:sz="0" w:space="0" w:color="auto"/>
        <w:right w:val="none" w:sz="0" w:space="0" w:color="auto"/>
      </w:divBdr>
    </w:div>
    <w:div w:id="1830779686">
      <w:bodyDiv w:val="1"/>
      <w:marLeft w:val="0"/>
      <w:marRight w:val="0"/>
      <w:marTop w:val="0"/>
      <w:marBottom w:val="0"/>
      <w:divBdr>
        <w:top w:val="none" w:sz="0" w:space="0" w:color="auto"/>
        <w:left w:val="none" w:sz="0" w:space="0" w:color="auto"/>
        <w:bottom w:val="none" w:sz="0" w:space="0" w:color="auto"/>
        <w:right w:val="none" w:sz="0" w:space="0" w:color="auto"/>
      </w:divBdr>
    </w:div>
    <w:div w:id="1868105279">
      <w:bodyDiv w:val="1"/>
      <w:marLeft w:val="0"/>
      <w:marRight w:val="0"/>
      <w:marTop w:val="0"/>
      <w:marBottom w:val="0"/>
      <w:divBdr>
        <w:top w:val="none" w:sz="0" w:space="0" w:color="auto"/>
        <w:left w:val="none" w:sz="0" w:space="0" w:color="auto"/>
        <w:bottom w:val="none" w:sz="0" w:space="0" w:color="auto"/>
        <w:right w:val="none" w:sz="0" w:space="0" w:color="auto"/>
      </w:divBdr>
    </w:div>
    <w:div w:id="1889680344">
      <w:bodyDiv w:val="1"/>
      <w:marLeft w:val="0"/>
      <w:marRight w:val="0"/>
      <w:marTop w:val="0"/>
      <w:marBottom w:val="0"/>
      <w:divBdr>
        <w:top w:val="none" w:sz="0" w:space="0" w:color="auto"/>
        <w:left w:val="none" w:sz="0" w:space="0" w:color="auto"/>
        <w:bottom w:val="none" w:sz="0" w:space="0" w:color="auto"/>
        <w:right w:val="none" w:sz="0" w:space="0" w:color="auto"/>
      </w:divBdr>
    </w:div>
    <w:div w:id="1899315171">
      <w:bodyDiv w:val="1"/>
      <w:marLeft w:val="0"/>
      <w:marRight w:val="0"/>
      <w:marTop w:val="0"/>
      <w:marBottom w:val="0"/>
      <w:divBdr>
        <w:top w:val="none" w:sz="0" w:space="0" w:color="auto"/>
        <w:left w:val="none" w:sz="0" w:space="0" w:color="auto"/>
        <w:bottom w:val="none" w:sz="0" w:space="0" w:color="auto"/>
        <w:right w:val="none" w:sz="0" w:space="0" w:color="auto"/>
      </w:divBdr>
    </w:div>
    <w:div w:id="1975331616">
      <w:bodyDiv w:val="1"/>
      <w:marLeft w:val="0"/>
      <w:marRight w:val="0"/>
      <w:marTop w:val="0"/>
      <w:marBottom w:val="0"/>
      <w:divBdr>
        <w:top w:val="none" w:sz="0" w:space="0" w:color="auto"/>
        <w:left w:val="none" w:sz="0" w:space="0" w:color="auto"/>
        <w:bottom w:val="none" w:sz="0" w:space="0" w:color="auto"/>
        <w:right w:val="none" w:sz="0" w:space="0" w:color="auto"/>
      </w:divBdr>
      <w:divsChild>
        <w:div w:id="1852329055">
          <w:marLeft w:val="0"/>
          <w:marRight w:val="0"/>
          <w:marTop w:val="0"/>
          <w:marBottom w:val="0"/>
          <w:divBdr>
            <w:top w:val="none" w:sz="0" w:space="0" w:color="auto"/>
            <w:left w:val="none" w:sz="0" w:space="0" w:color="auto"/>
            <w:bottom w:val="none" w:sz="0" w:space="0" w:color="auto"/>
            <w:right w:val="none" w:sz="0" w:space="0" w:color="auto"/>
          </w:divBdr>
          <w:divsChild>
            <w:div w:id="550044915">
              <w:marLeft w:val="0"/>
              <w:marRight w:val="0"/>
              <w:marTop w:val="0"/>
              <w:marBottom w:val="0"/>
              <w:divBdr>
                <w:top w:val="none" w:sz="0" w:space="0" w:color="auto"/>
                <w:left w:val="none" w:sz="0" w:space="0" w:color="auto"/>
                <w:bottom w:val="none" w:sz="0" w:space="0" w:color="auto"/>
                <w:right w:val="none" w:sz="0" w:space="0" w:color="auto"/>
              </w:divBdr>
            </w:div>
          </w:divsChild>
        </w:div>
        <w:div w:id="2085297822">
          <w:marLeft w:val="0"/>
          <w:marRight w:val="0"/>
          <w:marTop w:val="0"/>
          <w:marBottom w:val="0"/>
          <w:divBdr>
            <w:top w:val="none" w:sz="0" w:space="0" w:color="auto"/>
            <w:left w:val="none" w:sz="0" w:space="0" w:color="auto"/>
            <w:bottom w:val="none" w:sz="0" w:space="0" w:color="auto"/>
            <w:right w:val="none" w:sz="0" w:space="0" w:color="auto"/>
          </w:divBdr>
          <w:divsChild>
            <w:div w:id="10073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7086">
      <w:bodyDiv w:val="1"/>
      <w:marLeft w:val="0"/>
      <w:marRight w:val="0"/>
      <w:marTop w:val="0"/>
      <w:marBottom w:val="0"/>
      <w:divBdr>
        <w:top w:val="none" w:sz="0" w:space="0" w:color="auto"/>
        <w:left w:val="none" w:sz="0" w:space="0" w:color="auto"/>
        <w:bottom w:val="none" w:sz="0" w:space="0" w:color="auto"/>
        <w:right w:val="none" w:sz="0" w:space="0" w:color="auto"/>
      </w:divBdr>
    </w:div>
    <w:div w:id="2052461648">
      <w:bodyDiv w:val="1"/>
      <w:marLeft w:val="0"/>
      <w:marRight w:val="0"/>
      <w:marTop w:val="0"/>
      <w:marBottom w:val="0"/>
      <w:divBdr>
        <w:top w:val="none" w:sz="0" w:space="0" w:color="auto"/>
        <w:left w:val="none" w:sz="0" w:space="0" w:color="auto"/>
        <w:bottom w:val="none" w:sz="0" w:space="0" w:color="auto"/>
        <w:right w:val="none" w:sz="0" w:space="0" w:color="auto"/>
      </w:divBdr>
    </w:div>
    <w:div w:id="2056999851">
      <w:bodyDiv w:val="1"/>
      <w:marLeft w:val="0"/>
      <w:marRight w:val="0"/>
      <w:marTop w:val="0"/>
      <w:marBottom w:val="0"/>
      <w:divBdr>
        <w:top w:val="none" w:sz="0" w:space="0" w:color="auto"/>
        <w:left w:val="none" w:sz="0" w:space="0" w:color="auto"/>
        <w:bottom w:val="none" w:sz="0" w:space="0" w:color="auto"/>
        <w:right w:val="none" w:sz="0" w:space="0" w:color="auto"/>
      </w:divBdr>
    </w:div>
    <w:div w:id="2123525507">
      <w:bodyDiv w:val="1"/>
      <w:marLeft w:val="0"/>
      <w:marRight w:val="0"/>
      <w:marTop w:val="0"/>
      <w:marBottom w:val="0"/>
      <w:divBdr>
        <w:top w:val="none" w:sz="0" w:space="0" w:color="auto"/>
        <w:left w:val="none" w:sz="0" w:space="0" w:color="auto"/>
        <w:bottom w:val="none" w:sz="0" w:space="0" w:color="auto"/>
        <w:right w:val="none" w:sz="0" w:space="0" w:color="auto"/>
      </w:divBdr>
    </w:div>
    <w:div w:id="2141264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E06F408947634AACE940EC88DD685D" ma:contentTypeVersion="6" ma:contentTypeDescription="Create a new document." ma:contentTypeScope="" ma:versionID="495dc0768f2ff25bb1791a94d6318856">
  <xsd:schema xmlns:xsd="http://www.w3.org/2001/XMLSchema" xmlns:xs="http://www.w3.org/2001/XMLSchema" xmlns:p="http://schemas.microsoft.com/office/2006/metadata/properties" xmlns:ns2="59ecc23f-e505-4117-ae32-452bfb4ee683" xmlns:ns3="4b22fbc9-bf11-4b2a-8cff-60fe3965baee" targetNamespace="http://schemas.microsoft.com/office/2006/metadata/properties" ma:root="true" ma:fieldsID="aea337ec93d5fb6090e17cf2b963c966" ns2:_="" ns3:_="">
    <xsd:import namespace="59ecc23f-e505-4117-ae32-452bfb4ee683"/>
    <xsd:import namespace="4b22fbc9-bf11-4b2a-8cff-60fe3965bae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cc23f-e505-4117-ae32-452bfb4ee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22fbc9-bf11-4b2a-8cff-60fe3965ba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E09EE-3121-4828-94B6-2E3DF84C0035}">
  <ds:schemaRefs>
    <ds:schemaRef ds:uri="http://schemas.openxmlformats.org/officeDocument/2006/bibliography"/>
  </ds:schemaRefs>
</ds:datastoreItem>
</file>

<file path=customXml/itemProps2.xml><?xml version="1.0" encoding="utf-8"?>
<ds:datastoreItem xmlns:ds="http://schemas.openxmlformats.org/officeDocument/2006/customXml" ds:itemID="{A96533F0-0C42-4B29-BCDA-35B510A651AE}">
  <ds:schemaRefs>
    <ds:schemaRef ds:uri="http://schemas.microsoft.com/sharepoint/v3/contenttype/forms"/>
  </ds:schemaRefs>
</ds:datastoreItem>
</file>

<file path=customXml/itemProps3.xml><?xml version="1.0" encoding="utf-8"?>
<ds:datastoreItem xmlns:ds="http://schemas.openxmlformats.org/officeDocument/2006/customXml" ds:itemID="{DB5030D3-6C0B-4C84-8B94-7647B63A99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AD93B7-E657-4435-8AF2-B441FC1EE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ecc23f-e505-4117-ae32-452bfb4ee683"/>
    <ds:schemaRef ds:uri="4b22fbc9-bf11-4b2a-8cff-60fe3965ba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18255</Words>
  <Characters>104055</Characters>
  <Application>Microsoft Office Word</Application>
  <DocSecurity>0</DocSecurity>
  <Lines>867</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122066</CharactersWithSpaces>
  <SharedDoc>false</SharedDoc>
  <HLinks>
    <vt:vector size="540" baseType="variant">
      <vt:variant>
        <vt:i4>6946881</vt:i4>
      </vt:variant>
      <vt:variant>
        <vt:i4>531</vt:i4>
      </vt:variant>
      <vt:variant>
        <vt:i4>0</vt:i4>
      </vt:variant>
      <vt:variant>
        <vt:i4>5</vt:i4>
      </vt:variant>
      <vt:variant>
        <vt:lpwstr>mailto:info@nihrc.org</vt:lpwstr>
      </vt:variant>
      <vt:variant>
        <vt:lpwstr/>
      </vt:variant>
      <vt:variant>
        <vt:i4>4587543</vt:i4>
      </vt:variant>
      <vt:variant>
        <vt:i4>528</vt:i4>
      </vt:variant>
      <vt:variant>
        <vt:i4>0</vt:i4>
      </vt:variant>
      <vt:variant>
        <vt:i4>5</vt:i4>
      </vt:variant>
      <vt:variant>
        <vt:lpwstr>http://www.nihrc.org/</vt:lpwstr>
      </vt:variant>
      <vt:variant>
        <vt:lpwstr/>
      </vt:variant>
      <vt:variant>
        <vt:i4>6881286</vt:i4>
      </vt:variant>
      <vt:variant>
        <vt:i4>525</vt:i4>
      </vt:variant>
      <vt:variant>
        <vt:i4>0</vt:i4>
      </vt:variant>
      <vt:variant>
        <vt:i4>5</vt:i4>
      </vt:variant>
      <vt:variant>
        <vt:lpwstr>mailto:Colin.Caughey@nihrc.org</vt:lpwstr>
      </vt:variant>
      <vt:variant>
        <vt:lpwstr/>
      </vt:variant>
      <vt:variant>
        <vt:i4>1179708</vt:i4>
      </vt:variant>
      <vt:variant>
        <vt:i4>518</vt:i4>
      </vt:variant>
      <vt:variant>
        <vt:i4>0</vt:i4>
      </vt:variant>
      <vt:variant>
        <vt:i4>5</vt:i4>
      </vt:variant>
      <vt:variant>
        <vt:lpwstr/>
      </vt:variant>
      <vt:variant>
        <vt:lpwstr>_Toc120552800</vt:lpwstr>
      </vt:variant>
      <vt:variant>
        <vt:i4>1769523</vt:i4>
      </vt:variant>
      <vt:variant>
        <vt:i4>512</vt:i4>
      </vt:variant>
      <vt:variant>
        <vt:i4>0</vt:i4>
      </vt:variant>
      <vt:variant>
        <vt:i4>5</vt:i4>
      </vt:variant>
      <vt:variant>
        <vt:lpwstr/>
      </vt:variant>
      <vt:variant>
        <vt:lpwstr>_Toc120552799</vt:lpwstr>
      </vt:variant>
      <vt:variant>
        <vt:i4>1769523</vt:i4>
      </vt:variant>
      <vt:variant>
        <vt:i4>506</vt:i4>
      </vt:variant>
      <vt:variant>
        <vt:i4>0</vt:i4>
      </vt:variant>
      <vt:variant>
        <vt:i4>5</vt:i4>
      </vt:variant>
      <vt:variant>
        <vt:lpwstr/>
      </vt:variant>
      <vt:variant>
        <vt:lpwstr>_Toc120552798</vt:lpwstr>
      </vt:variant>
      <vt:variant>
        <vt:i4>1769523</vt:i4>
      </vt:variant>
      <vt:variant>
        <vt:i4>500</vt:i4>
      </vt:variant>
      <vt:variant>
        <vt:i4>0</vt:i4>
      </vt:variant>
      <vt:variant>
        <vt:i4>5</vt:i4>
      </vt:variant>
      <vt:variant>
        <vt:lpwstr/>
      </vt:variant>
      <vt:variant>
        <vt:lpwstr>_Toc120552797</vt:lpwstr>
      </vt:variant>
      <vt:variant>
        <vt:i4>1769523</vt:i4>
      </vt:variant>
      <vt:variant>
        <vt:i4>494</vt:i4>
      </vt:variant>
      <vt:variant>
        <vt:i4>0</vt:i4>
      </vt:variant>
      <vt:variant>
        <vt:i4>5</vt:i4>
      </vt:variant>
      <vt:variant>
        <vt:lpwstr/>
      </vt:variant>
      <vt:variant>
        <vt:lpwstr>_Toc120552796</vt:lpwstr>
      </vt:variant>
      <vt:variant>
        <vt:i4>1769523</vt:i4>
      </vt:variant>
      <vt:variant>
        <vt:i4>488</vt:i4>
      </vt:variant>
      <vt:variant>
        <vt:i4>0</vt:i4>
      </vt:variant>
      <vt:variant>
        <vt:i4>5</vt:i4>
      </vt:variant>
      <vt:variant>
        <vt:lpwstr/>
      </vt:variant>
      <vt:variant>
        <vt:lpwstr>_Toc120552795</vt:lpwstr>
      </vt:variant>
      <vt:variant>
        <vt:i4>1769523</vt:i4>
      </vt:variant>
      <vt:variant>
        <vt:i4>482</vt:i4>
      </vt:variant>
      <vt:variant>
        <vt:i4>0</vt:i4>
      </vt:variant>
      <vt:variant>
        <vt:i4>5</vt:i4>
      </vt:variant>
      <vt:variant>
        <vt:lpwstr/>
      </vt:variant>
      <vt:variant>
        <vt:lpwstr>_Toc120552794</vt:lpwstr>
      </vt:variant>
      <vt:variant>
        <vt:i4>1769523</vt:i4>
      </vt:variant>
      <vt:variant>
        <vt:i4>476</vt:i4>
      </vt:variant>
      <vt:variant>
        <vt:i4>0</vt:i4>
      </vt:variant>
      <vt:variant>
        <vt:i4>5</vt:i4>
      </vt:variant>
      <vt:variant>
        <vt:lpwstr/>
      </vt:variant>
      <vt:variant>
        <vt:lpwstr>_Toc120552793</vt:lpwstr>
      </vt:variant>
      <vt:variant>
        <vt:i4>1769523</vt:i4>
      </vt:variant>
      <vt:variant>
        <vt:i4>470</vt:i4>
      </vt:variant>
      <vt:variant>
        <vt:i4>0</vt:i4>
      </vt:variant>
      <vt:variant>
        <vt:i4>5</vt:i4>
      </vt:variant>
      <vt:variant>
        <vt:lpwstr/>
      </vt:variant>
      <vt:variant>
        <vt:lpwstr>_Toc120552792</vt:lpwstr>
      </vt:variant>
      <vt:variant>
        <vt:i4>1769523</vt:i4>
      </vt:variant>
      <vt:variant>
        <vt:i4>464</vt:i4>
      </vt:variant>
      <vt:variant>
        <vt:i4>0</vt:i4>
      </vt:variant>
      <vt:variant>
        <vt:i4>5</vt:i4>
      </vt:variant>
      <vt:variant>
        <vt:lpwstr/>
      </vt:variant>
      <vt:variant>
        <vt:lpwstr>_Toc120552791</vt:lpwstr>
      </vt:variant>
      <vt:variant>
        <vt:i4>1769523</vt:i4>
      </vt:variant>
      <vt:variant>
        <vt:i4>458</vt:i4>
      </vt:variant>
      <vt:variant>
        <vt:i4>0</vt:i4>
      </vt:variant>
      <vt:variant>
        <vt:i4>5</vt:i4>
      </vt:variant>
      <vt:variant>
        <vt:lpwstr/>
      </vt:variant>
      <vt:variant>
        <vt:lpwstr>_Toc120552790</vt:lpwstr>
      </vt:variant>
      <vt:variant>
        <vt:i4>1703987</vt:i4>
      </vt:variant>
      <vt:variant>
        <vt:i4>452</vt:i4>
      </vt:variant>
      <vt:variant>
        <vt:i4>0</vt:i4>
      </vt:variant>
      <vt:variant>
        <vt:i4>5</vt:i4>
      </vt:variant>
      <vt:variant>
        <vt:lpwstr/>
      </vt:variant>
      <vt:variant>
        <vt:lpwstr>_Toc120552789</vt:lpwstr>
      </vt:variant>
      <vt:variant>
        <vt:i4>1703987</vt:i4>
      </vt:variant>
      <vt:variant>
        <vt:i4>446</vt:i4>
      </vt:variant>
      <vt:variant>
        <vt:i4>0</vt:i4>
      </vt:variant>
      <vt:variant>
        <vt:i4>5</vt:i4>
      </vt:variant>
      <vt:variant>
        <vt:lpwstr/>
      </vt:variant>
      <vt:variant>
        <vt:lpwstr>_Toc120552788</vt:lpwstr>
      </vt:variant>
      <vt:variant>
        <vt:i4>1703987</vt:i4>
      </vt:variant>
      <vt:variant>
        <vt:i4>440</vt:i4>
      </vt:variant>
      <vt:variant>
        <vt:i4>0</vt:i4>
      </vt:variant>
      <vt:variant>
        <vt:i4>5</vt:i4>
      </vt:variant>
      <vt:variant>
        <vt:lpwstr/>
      </vt:variant>
      <vt:variant>
        <vt:lpwstr>_Toc120552787</vt:lpwstr>
      </vt:variant>
      <vt:variant>
        <vt:i4>1703987</vt:i4>
      </vt:variant>
      <vt:variant>
        <vt:i4>434</vt:i4>
      </vt:variant>
      <vt:variant>
        <vt:i4>0</vt:i4>
      </vt:variant>
      <vt:variant>
        <vt:i4>5</vt:i4>
      </vt:variant>
      <vt:variant>
        <vt:lpwstr/>
      </vt:variant>
      <vt:variant>
        <vt:lpwstr>_Toc120552786</vt:lpwstr>
      </vt:variant>
      <vt:variant>
        <vt:i4>1703987</vt:i4>
      </vt:variant>
      <vt:variant>
        <vt:i4>428</vt:i4>
      </vt:variant>
      <vt:variant>
        <vt:i4>0</vt:i4>
      </vt:variant>
      <vt:variant>
        <vt:i4>5</vt:i4>
      </vt:variant>
      <vt:variant>
        <vt:lpwstr/>
      </vt:variant>
      <vt:variant>
        <vt:lpwstr>_Toc120552785</vt:lpwstr>
      </vt:variant>
      <vt:variant>
        <vt:i4>1703987</vt:i4>
      </vt:variant>
      <vt:variant>
        <vt:i4>422</vt:i4>
      </vt:variant>
      <vt:variant>
        <vt:i4>0</vt:i4>
      </vt:variant>
      <vt:variant>
        <vt:i4>5</vt:i4>
      </vt:variant>
      <vt:variant>
        <vt:lpwstr/>
      </vt:variant>
      <vt:variant>
        <vt:lpwstr>_Toc120552784</vt:lpwstr>
      </vt:variant>
      <vt:variant>
        <vt:i4>1703987</vt:i4>
      </vt:variant>
      <vt:variant>
        <vt:i4>416</vt:i4>
      </vt:variant>
      <vt:variant>
        <vt:i4>0</vt:i4>
      </vt:variant>
      <vt:variant>
        <vt:i4>5</vt:i4>
      </vt:variant>
      <vt:variant>
        <vt:lpwstr/>
      </vt:variant>
      <vt:variant>
        <vt:lpwstr>_Toc120552783</vt:lpwstr>
      </vt:variant>
      <vt:variant>
        <vt:i4>1703987</vt:i4>
      </vt:variant>
      <vt:variant>
        <vt:i4>410</vt:i4>
      </vt:variant>
      <vt:variant>
        <vt:i4>0</vt:i4>
      </vt:variant>
      <vt:variant>
        <vt:i4>5</vt:i4>
      </vt:variant>
      <vt:variant>
        <vt:lpwstr/>
      </vt:variant>
      <vt:variant>
        <vt:lpwstr>_Toc120552782</vt:lpwstr>
      </vt:variant>
      <vt:variant>
        <vt:i4>1703987</vt:i4>
      </vt:variant>
      <vt:variant>
        <vt:i4>404</vt:i4>
      </vt:variant>
      <vt:variant>
        <vt:i4>0</vt:i4>
      </vt:variant>
      <vt:variant>
        <vt:i4>5</vt:i4>
      </vt:variant>
      <vt:variant>
        <vt:lpwstr/>
      </vt:variant>
      <vt:variant>
        <vt:lpwstr>_Toc120552781</vt:lpwstr>
      </vt:variant>
      <vt:variant>
        <vt:i4>1703987</vt:i4>
      </vt:variant>
      <vt:variant>
        <vt:i4>398</vt:i4>
      </vt:variant>
      <vt:variant>
        <vt:i4>0</vt:i4>
      </vt:variant>
      <vt:variant>
        <vt:i4>5</vt:i4>
      </vt:variant>
      <vt:variant>
        <vt:lpwstr/>
      </vt:variant>
      <vt:variant>
        <vt:lpwstr>_Toc120552780</vt:lpwstr>
      </vt:variant>
      <vt:variant>
        <vt:i4>1376307</vt:i4>
      </vt:variant>
      <vt:variant>
        <vt:i4>392</vt:i4>
      </vt:variant>
      <vt:variant>
        <vt:i4>0</vt:i4>
      </vt:variant>
      <vt:variant>
        <vt:i4>5</vt:i4>
      </vt:variant>
      <vt:variant>
        <vt:lpwstr/>
      </vt:variant>
      <vt:variant>
        <vt:lpwstr>_Toc120552779</vt:lpwstr>
      </vt:variant>
      <vt:variant>
        <vt:i4>1376307</vt:i4>
      </vt:variant>
      <vt:variant>
        <vt:i4>386</vt:i4>
      </vt:variant>
      <vt:variant>
        <vt:i4>0</vt:i4>
      </vt:variant>
      <vt:variant>
        <vt:i4>5</vt:i4>
      </vt:variant>
      <vt:variant>
        <vt:lpwstr/>
      </vt:variant>
      <vt:variant>
        <vt:lpwstr>_Toc120552778</vt:lpwstr>
      </vt:variant>
      <vt:variant>
        <vt:i4>1376307</vt:i4>
      </vt:variant>
      <vt:variant>
        <vt:i4>380</vt:i4>
      </vt:variant>
      <vt:variant>
        <vt:i4>0</vt:i4>
      </vt:variant>
      <vt:variant>
        <vt:i4>5</vt:i4>
      </vt:variant>
      <vt:variant>
        <vt:lpwstr/>
      </vt:variant>
      <vt:variant>
        <vt:lpwstr>_Toc120552777</vt:lpwstr>
      </vt:variant>
      <vt:variant>
        <vt:i4>1376307</vt:i4>
      </vt:variant>
      <vt:variant>
        <vt:i4>374</vt:i4>
      </vt:variant>
      <vt:variant>
        <vt:i4>0</vt:i4>
      </vt:variant>
      <vt:variant>
        <vt:i4>5</vt:i4>
      </vt:variant>
      <vt:variant>
        <vt:lpwstr/>
      </vt:variant>
      <vt:variant>
        <vt:lpwstr>_Toc120552776</vt:lpwstr>
      </vt:variant>
      <vt:variant>
        <vt:i4>1376307</vt:i4>
      </vt:variant>
      <vt:variant>
        <vt:i4>368</vt:i4>
      </vt:variant>
      <vt:variant>
        <vt:i4>0</vt:i4>
      </vt:variant>
      <vt:variant>
        <vt:i4>5</vt:i4>
      </vt:variant>
      <vt:variant>
        <vt:lpwstr/>
      </vt:variant>
      <vt:variant>
        <vt:lpwstr>_Toc120552775</vt:lpwstr>
      </vt:variant>
      <vt:variant>
        <vt:i4>1376307</vt:i4>
      </vt:variant>
      <vt:variant>
        <vt:i4>362</vt:i4>
      </vt:variant>
      <vt:variant>
        <vt:i4>0</vt:i4>
      </vt:variant>
      <vt:variant>
        <vt:i4>5</vt:i4>
      </vt:variant>
      <vt:variant>
        <vt:lpwstr/>
      </vt:variant>
      <vt:variant>
        <vt:lpwstr>_Toc120552774</vt:lpwstr>
      </vt:variant>
      <vt:variant>
        <vt:i4>1376307</vt:i4>
      </vt:variant>
      <vt:variant>
        <vt:i4>356</vt:i4>
      </vt:variant>
      <vt:variant>
        <vt:i4>0</vt:i4>
      </vt:variant>
      <vt:variant>
        <vt:i4>5</vt:i4>
      </vt:variant>
      <vt:variant>
        <vt:lpwstr/>
      </vt:variant>
      <vt:variant>
        <vt:lpwstr>_Toc120552773</vt:lpwstr>
      </vt:variant>
      <vt:variant>
        <vt:i4>1376307</vt:i4>
      </vt:variant>
      <vt:variant>
        <vt:i4>350</vt:i4>
      </vt:variant>
      <vt:variant>
        <vt:i4>0</vt:i4>
      </vt:variant>
      <vt:variant>
        <vt:i4>5</vt:i4>
      </vt:variant>
      <vt:variant>
        <vt:lpwstr/>
      </vt:variant>
      <vt:variant>
        <vt:lpwstr>_Toc120552772</vt:lpwstr>
      </vt:variant>
      <vt:variant>
        <vt:i4>1376307</vt:i4>
      </vt:variant>
      <vt:variant>
        <vt:i4>344</vt:i4>
      </vt:variant>
      <vt:variant>
        <vt:i4>0</vt:i4>
      </vt:variant>
      <vt:variant>
        <vt:i4>5</vt:i4>
      </vt:variant>
      <vt:variant>
        <vt:lpwstr/>
      </vt:variant>
      <vt:variant>
        <vt:lpwstr>_Toc120552771</vt:lpwstr>
      </vt:variant>
      <vt:variant>
        <vt:i4>1376307</vt:i4>
      </vt:variant>
      <vt:variant>
        <vt:i4>338</vt:i4>
      </vt:variant>
      <vt:variant>
        <vt:i4>0</vt:i4>
      </vt:variant>
      <vt:variant>
        <vt:i4>5</vt:i4>
      </vt:variant>
      <vt:variant>
        <vt:lpwstr/>
      </vt:variant>
      <vt:variant>
        <vt:lpwstr>_Toc120552770</vt:lpwstr>
      </vt:variant>
      <vt:variant>
        <vt:i4>1310771</vt:i4>
      </vt:variant>
      <vt:variant>
        <vt:i4>332</vt:i4>
      </vt:variant>
      <vt:variant>
        <vt:i4>0</vt:i4>
      </vt:variant>
      <vt:variant>
        <vt:i4>5</vt:i4>
      </vt:variant>
      <vt:variant>
        <vt:lpwstr/>
      </vt:variant>
      <vt:variant>
        <vt:lpwstr>_Toc120552769</vt:lpwstr>
      </vt:variant>
      <vt:variant>
        <vt:i4>1310771</vt:i4>
      </vt:variant>
      <vt:variant>
        <vt:i4>326</vt:i4>
      </vt:variant>
      <vt:variant>
        <vt:i4>0</vt:i4>
      </vt:variant>
      <vt:variant>
        <vt:i4>5</vt:i4>
      </vt:variant>
      <vt:variant>
        <vt:lpwstr/>
      </vt:variant>
      <vt:variant>
        <vt:lpwstr>_Toc120552768</vt:lpwstr>
      </vt:variant>
      <vt:variant>
        <vt:i4>1310771</vt:i4>
      </vt:variant>
      <vt:variant>
        <vt:i4>320</vt:i4>
      </vt:variant>
      <vt:variant>
        <vt:i4>0</vt:i4>
      </vt:variant>
      <vt:variant>
        <vt:i4>5</vt:i4>
      </vt:variant>
      <vt:variant>
        <vt:lpwstr/>
      </vt:variant>
      <vt:variant>
        <vt:lpwstr>_Toc120552767</vt:lpwstr>
      </vt:variant>
      <vt:variant>
        <vt:i4>1310771</vt:i4>
      </vt:variant>
      <vt:variant>
        <vt:i4>314</vt:i4>
      </vt:variant>
      <vt:variant>
        <vt:i4>0</vt:i4>
      </vt:variant>
      <vt:variant>
        <vt:i4>5</vt:i4>
      </vt:variant>
      <vt:variant>
        <vt:lpwstr/>
      </vt:variant>
      <vt:variant>
        <vt:lpwstr>_Toc120552766</vt:lpwstr>
      </vt:variant>
      <vt:variant>
        <vt:i4>1310771</vt:i4>
      </vt:variant>
      <vt:variant>
        <vt:i4>308</vt:i4>
      </vt:variant>
      <vt:variant>
        <vt:i4>0</vt:i4>
      </vt:variant>
      <vt:variant>
        <vt:i4>5</vt:i4>
      </vt:variant>
      <vt:variant>
        <vt:lpwstr/>
      </vt:variant>
      <vt:variant>
        <vt:lpwstr>_Toc120552765</vt:lpwstr>
      </vt:variant>
      <vt:variant>
        <vt:i4>1310771</vt:i4>
      </vt:variant>
      <vt:variant>
        <vt:i4>302</vt:i4>
      </vt:variant>
      <vt:variant>
        <vt:i4>0</vt:i4>
      </vt:variant>
      <vt:variant>
        <vt:i4>5</vt:i4>
      </vt:variant>
      <vt:variant>
        <vt:lpwstr/>
      </vt:variant>
      <vt:variant>
        <vt:lpwstr>_Toc120552764</vt:lpwstr>
      </vt:variant>
      <vt:variant>
        <vt:i4>1310771</vt:i4>
      </vt:variant>
      <vt:variant>
        <vt:i4>296</vt:i4>
      </vt:variant>
      <vt:variant>
        <vt:i4>0</vt:i4>
      </vt:variant>
      <vt:variant>
        <vt:i4>5</vt:i4>
      </vt:variant>
      <vt:variant>
        <vt:lpwstr/>
      </vt:variant>
      <vt:variant>
        <vt:lpwstr>_Toc120552763</vt:lpwstr>
      </vt:variant>
      <vt:variant>
        <vt:i4>1310771</vt:i4>
      </vt:variant>
      <vt:variant>
        <vt:i4>290</vt:i4>
      </vt:variant>
      <vt:variant>
        <vt:i4>0</vt:i4>
      </vt:variant>
      <vt:variant>
        <vt:i4>5</vt:i4>
      </vt:variant>
      <vt:variant>
        <vt:lpwstr/>
      </vt:variant>
      <vt:variant>
        <vt:lpwstr>_Toc120552762</vt:lpwstr>
      </vt:variant>
      <vt:variant>
        <vt:i4>1310771</vt:i4>
      </vt:variant>
      <vt:variant>
        <vt:i4>284</vt:i4>
      </vt:variant>
      <vt:variant>
        <vt:i4>0</vt:i4>
      </vt:variant>
      <vt:variant>
        <vt:i4>5</vt:i4>
      </vt:variant>
      <vt:variant>
        <vt:lpwstr/>
      </vt:variant>
      <vt:variant>
        <vt:lpwstr>_Toc120552761</vt:lpwstr>
      </vt:variant>
      <vt:variant>
        <vt:i4>1310771</vt:i4>
      </vt:variant>
      <vt:variant>
        <vt:i4>278</vt:i4>
      </vt:variant>
      <vt:variant>
        <vt:i4>0</vt:i4>
      </vt:variant>
      <vt:variant>
        <vt:i4>5</vt:i4>
      </vt:variant>
      <vt:variant>
        <vt:lpwstr/>
      </vt:variant>
      <vt:variant>
        <vt:lpwstr>_Toc120552760</vt:lpwstr>
      </vt:variant>
      <vt:variant>
        <vt:i4>1507379</vt:i4>
      </vt:variant>
      <vt:variant>
        <vt:i4>272</vt:i4>
      </vt:variant>
      <vt:variant>
        <vt:i4>0</vt:i4>
      </vt:variant>
      <vt:variant>
        <vt:i4>5</vt:i4>
      </vt:variant>
      <vt:variant>
        <vt:lpwstr/>
      </vt:variant>
      <vt:variant>
        <vt:lpwstr>_Toc120552759</vt:lpwstr>
      </vt:variant>
      <vt:variant>
        <vt:i4>1507379</vt:i4>
      </vt:variant>
      <vt:variant>
        <vt:i4>266</vt:i4>
      </vt:variant>
      <vt:variant>
        <vt:i4>0</vt:i4>
      </vt:variant>
      <vt:variant>
        <vt:i4>5</vt:i4>
      </vt:variant>
      <vt:variant>
        <vt:lpwstr/>
      </vt:variant>
      <vt:variant>
        <vt:lpwstr>_Toc120552758</vt:lpwstr>
      </vt:variant>
      <vt:variant>
        <vt:i4>1507379</vt:i4>
      </vt:variant>
      <vt:variant>
        <vt:i4>260</vt:i4>
      </vt:variant>
      <vt:variant>
        <vt:i4>0</vt:i4>
      </vt:variant>
      <vt:variant>
        <vt:i4>5</vt:i4>
      </vt:variant>
      <vt:variant>
        <vt:lpwstr/>
      </vt:variant>
      <vt:variant>
        <vt:lpwstr>_Toc120552757</vt:lpwstr>
      </vt:variant>
      <vt:variant>
        <vt:i4>1507379</vt:i4>
      </vt:variant>
      <vt:variant>
        <vt:i4>254</vt:i4>
      </vt:variant>
      <vt:variant>
        <vt:i4>0</vt:i4>
      </vt:variant>
      <vt:variant>
        <vt:i4>5</vt:i4>
      </vt:variant>
      <vt:variant>
        <vt:lpwstr/>
      </vt:variant>
      <vt:variant>
        <vt:lpwstr>_Toc120552756</vt:lpwstr>
      </vt:variant>
      <vt:variant>
        <vt:i4>1507379</vt:i4>
      </vt:variant>
      <vt:variant>
        <vt:i4>248</vt:i4>
      </vt:variant>
      <vt:variant>
        <vt:i4>0</vt:i4>
      </vt:variant>
      <vt:variant>
        <vt:i4>5</vt:i4>
      </vt:variant>
      <vt:variant>
        <vt:lpwstr/>
      </vt:variant>
      <vt:variant>
        <vt:lpwstr>_Toc120552755</vt:lpwstr>
      </vt:variant>
      <vt:variant>
        <vt:i4>1507379</vt:i4>
      </vt:variant>
      <vt:variant>
        <vt:i4>242</vt:i4>
      </vt:variant>
      <vt:variant>
        <vt:i4>0</vt:i4>
      </vt:variant>
      <vt:variant>
        <vt:i4>5</vt:i4>
      </vt:variant>
      <vt:variant>
        <vt:lpwstr/>
      </vt:variant>
      <vt:variant>
        <vt:lpwstr>_Toc120552754</vt:lpwstr>
      </vt:variant>
      <vt:variant>
        <vt:i4>1507379</vt:i4>
      </vt:variant>
      <vt:variant>
        <vt:i4>236</vt:i4>
      </vt:variant>
      <vt:variant>
        <vt:i4>0</vt:i4>
      </vt:variant>
      <vt:variant>
        <vt:i4>5</vt:i4>
      </vt:variant>
      <vt:variant>
        <vt:lpwstr/>
      </vt:variant>
      <vt:variant>
        <vt:lpwstr>_Toc120552753</vt:lpwstr>
      </vt:variant>
      <vt:variant>
        <vt:i4>1507379</vt:i4>
      </vt:variant>
      <vt:variant>
        <vt:i4>230</vt:i4>
      </vt:variant>
      <vt:variant>
        <vt:i4>0</vt:i4>
      </vt:variant>
      <vt:variant>
        <vt:i4>5</vt:i4>
      </vt:variant>
      <vt:variant>
        <vt:lpwstr/>
      </vt:variant>
      <vt:variant>
        <vt:lpwstr>_Toc120552752</vt:lpwstr>
      </vt:variant>
      <vt:variant>
        <vt:i4>1507379</vt:i4>
      </vt:variant>
      <vt:variant>
        <vt:i4>224</vt:i4>
      </vt:variant>
      <vt:variant>
        <vt:i4>0</vt:i4>
      </vt:variant>
      <vt:variant>
        <vt:i4>5</vt:i4>
      </vt:variant>
      <vt:variant>
        <vt:lpwstr/>
      </vt:variant>
      <vt:variant>
        <vt:lpwstr>_Toc120552751</vt:lpwstr>
      </vt:variant>
      <vt:variant>
        <vt:i4>1507379</vt:i4>
      </vt:variant>
      <vt:variant>
        <vt:i4>218</vt:i4>
      </vt:variant>
      <vt:variant>
        <vt:i4>0</vt:i4>
      </vt:variant>
      <vt:variant>
        <vt:i4>5</vt:i4>
      </vt:variant>
      <vt:variant>
        <vt:lpwstr/>
      </vt:variant>
      <vt:variant>
        <vt:lpwstr>_Toc120552750</vt:lpwstr>
      </vt:variant>
      <vt:variant>
        <vt:i4>1441843</vt:i4>
      </vt:variant>
      <vt:variant>
        <vt:i4>212</vt:i4>
      </vt:variant>
      <vt:variant>
        <vt:i4>0</vt:i4>
      </vt:variant>
      <vt:variant>
        <vt:i4>5</vt:i4>
      </vt:variant>
      <vt:variant>
        <vt:lpwstr/>
      </vt:variant>
      <vt:variant>
        <vt:lpwstr>_Toc120552749</vt:lpwstr>
      </vt:variant>
      <vt:variant>
        <vt:i4>1441843</vt:i4>
      </vt:variant>
      <vt:variant>
        <vt:i4>206</vt:i4>
      </vt:variant>
      <vt:variant>
        <vt:i4>0</vt:i4>
      </vt:variant>
      <vt:variant>
        <vt:i4>5</vt:i4>
      </vt:variant>
      <vt:variant>
        <vt:lpwstr/>
      </vt:variant>
      <vt:variant>
        <vt:lpwstr>_Toc120552748</vt:lpwstr>
      </vt:variant>
      <vt:variant>
        <vt:i4>1441843</vt:i4>
      </vt:variant>
      <vt:variant>
        <vt:i4>200</vt:i4>
      </vt:variant>
      <vt:variant>
        <vt:i4>0</vt:i4>
      </vt:variant>
      <vt:variant>
        <vt:i4>5</vt:i4>
      </vt:variant>
      <vt:variant>
        <vt:lpwstr/>
      </vt:variant>
      <vt:variant>
        <vt:lpwstr>_Toc120552747</vt:lpwstr>
      </vt:variant>
      <vt:variant>
        <vt:i4>1441843</vt:i4>
      </vt:variant>
      <vt:variant>
        <vt:i4>194</vt:i4>
      </vt:variant>
      <vt:variant>
        <vt:i4>0</vt:i4>
      </vt:variant>
      <vt:variant>
        <vt:i4>5</vt:i4>
      </vt:variant>
      <vt:variant>
        <vt:lpwstr/>
      </vt:variant>
      <vt:variant>
        <vt:lpwstr>_Toc120552746</vt:lpwstr>
      </vt:variant>
      <vt:variant>
        <vt:i4>1441843</vt:i4>
      </vt:variant>
      <vt:variant>
        <vt:i4>188</vt:i4>
      </vt:variant>
      <vt:variant>
        <vt:i4>0</vt:i4>
      </vt:variant>
      <vt:variant>
        <vt:i4>5</vt:i4>
      </vt:variant>
      <vt:variant>
        <vt:lpwstr/>
      </vt:variant>
      <vt:variant>
        <vt:lpwstr>_Toc120552745</vt:lpwstr>
      </vt:variant>
      <vt:variant>
        <vt:i4>1441843</vt:i4>
      </vt:variant>
      <vt:variant>
        <vt:i4>182</vt:i4>
      </vt:variant>
      <vt:variant>
        <vt:i4>0</vt:i4>
      </vt:variant>
      <vt:variant>
        <vt:i4>5</vt:i4>
      </vt:variant>
      <vt:variant>
        <vt:lpwstr/>
      </vt:variant>
      <vt:variant>
        <vt:lpwstr>_Toc120552744</vt:lpwstr>
      </vt:variant>
      <vt:variant>
        <vt:i4>1441843</vt:i4>
      </vt:variant>
      <vt:variant>
        <vt:i4>176</vt:i4>
      </vt:variant>
      <vt:variant>
        <vt:i4>0</vt:i4>
      </vt:variant>
      <vt:variant>
        <vt:i4>5</vt:i4>
      </vt:variant>
      <vt:variant>
        <vt:lpwstr/>
      </vt:variant>
      <vt:variant>
        <vt:lpwstr>_Toc120552743</vt:lpwstr>
      </vt:variant>
      <vt:variant>
        <vt:i4>1441843</vt:i4>
      </vt:variant>
      <vt:variant>
        <vt:i4>170</vt:i4>
      </vt:variant>
      <vt:variant>
        <vt:i4>0</vt:i4>
      </vt:variant>
      <vt:variant>
        <vt:i4>5</vt:i4>
      </vt:variant>
      <vt:variant>
        <vt:lpwstr/>
      </vt:variant>
      <vt:variant>
        <vt:lpwstr>_Toc120552742</vt:lpwstr>
      </vt:variant>
      <vt:variant>
        <vt:i4>1441843</vt:i4>
      </vt:variant>
      <vt:variant>
        <vt:i4>164</vt:i4>
      </vt:variant>
      <vt:variant>
        <vt:i4>0</vt:i4>
      </vt:variant>
      <vt:variant>
        <vt:i4>5</vt:i4>
      </vt:variant>
      <vt:variant>
        <vt:lpwstr/>
      </vt:variant>
      <vt:variant>
        <vt:lpwstr>_Toc120552741</vt:lpwstr>
      </vt:variant>
      <vt:variant>
        <vt:i4>1441843</vt:i4>
      </vt:variant>
      <vt:variant>
        <vt:i4>158</vt:i4>
      </vt:variant>
      <vt:variant>
        <vt:i4>0</vt:i4>
      </vt:variant>
      <vt:variant>
        <vt:i4>5</vt:i4>
      </vt:variant>
      <vt:variant>
        <vt:lpwstr/>
      </vt:variant>
      <vt:variant>
        <vt:lpwstr>_Toc120552740</vt:lpwstr>
      </vt:variant>
      <vt:variant>
        <vt:i4>1114163</vt:i4>
      </vt:variant>
      <vt:variant>
        <vt:i4>152</vt:i4>
      </vt:variant>
      <vt:variant>
        <vt:i4>0</vt:i4>
      </vt:variant>
      <vt:variant>
        <vt:i4>5</vt:i4>
      </vt:variant>
      <vt:variant>
        <vt:lpwstr/>
      </vt:variant>
      <vt:variant>
        <vt:lpwstr>_Toc120552739</vt:lpwstr>
      </vt:variant>
      <vt:variant>
        <vt:i4>1114163</vt:i4>
      </vt:variant>
      <vt:variant>
        <vt:i4>146</vt:i4>
      </vt:variant>
      <vt:variant>
        <vt:i4>0</vt:i4>
      </vt:variant>
      <vt:variant>
        <vt:i4>5</vt:i4>
      </vt:variant>
      <vt:variant>
        <vt:lpwstr/>
      </vt:variant>
      <vt:variant>
        <vt:lpwstr>_Toc120552738</vt:lpwstr>
      </vt:variant>
      <vt:variant>
        <vt:i4>1114163</vt:i4>
      </vt:variant>
      <vt:variant>
        <vt:i4>140</vt:i4>
      </vt:variant>
      <vt:variant>
        <vt:i4>0</vt:i4>
      </vt:variant>
      <vt:variant>
        <vt:i4>5</vt:i4>
      </vt:variant>
      <vt:variant>
        <vt:lpwstr/>
      </vt:variant>
      <vt:variant>
        <vt:lpwstr>_Toc120552737</vt:lpwstr>
      </vt:variant>
      <vt:variant>
        <vt:i4>1114163</vt:i4>
      </vt:variant>
      <vt:variant>
        <vt:i4>134</vt:i4>
      </vt:variant>
      <vt:variant>
        <vt:i4>0</vt:i4>
      </vt:variant>
      <vt:variant>
        <vt:i4>5</vt:i4>
      </vt:variant>
      <vt:variant>
        <vt:lpwstr/>
      </vt:variant>
      <vt:variant>
        <vt:lpwstr>_Toc120552736</vt:lpwstr>
      </vt:variant>
      <vt:variant>
        <vt:i4>1114163</vt:i4>
      </vt:variant>
      <vt:variant>
        <vt:i4>128</vt:i4>
      </vt:variant>
      <vt:variant>
        <vt:i4>0</vt:i4>
      </vt:variant>
      <vt:variant>
        <vt:i4>5</vt:i4>
      </vt:variant>
      <vt:variant>
        <vt:lpwstr/>
      </vt:variant>
      <vt:variant>
        <vt:lpwstr>_Toc120552735</vt:lpwstr>
      </vt:variant>
      <vt:variant>
        <vt:i4>1114163</vt:i4>
      </vt:variant>
      <vt:variant>
        <vt:i4>122</vt:i4>
      </vt:variant>
      <vt:variant>
        <vt:i4>0</vt:i4>
      </vt:variant>
      <vt:variant>
        <vt:i4>5</vt:i4>
      </vt:variant>
      <vt:variant>
        <vt:lpwstr/>
      </vt:variant>
      <vt:variant>
        <vt:lpwstr>_Toc120552734</vt:lpwstr>
      </vt:variant>
      <vt:variant>
        <vt:i4>1114163</vt:i4>
      </vt:variant>
      <vt:variant>
        <vt:i4>116</vt:i4>
      </vt:variant>
      <vt:variant>
        <vt:i4>0</vt:i4>
      </vt:variant>
      <vt:variant>
        <vt:i4>5</vt:i4>
      </vt:variant>
      <vt:variant>
        <vt:lpwstr/>
      </vt:variant>
      <vt:variant>
        <vt:lpwstr>_Toc120552733</vt:lpwstr>
      </vt:variant>
      <vt:variant>
        <vt:i4>1114163</vt:i4>
      </vt:variant>
      <vt:variant>
        <vt:i4>110</vt:i4>
      </vt:variant>
      <vt:variant>
        <vt:i4>0</vt:i4>
      </vt:variant>
      <vt:variant>
        <vt:i4>5</vt:i4>
      </vt:variant>
      <vt:variant>
        <vt:lpwstr/>
      </vt:variant>
      <vt:variant>
        <vt:lpwstr>_Toc120552732</vt:lpwstr>
      </vt:variant>
      <vt:variant>
        <vt:i4>1114163</vt:i4>
      </vt:variant>
      <vt:variant>
        <vt:i4>104</vt:i4>
      </vt:variant>
      <vt:variant>
        <vt:i4>0</vt:i4>
      </vt:variant>
      <vt:variant>
        <vt:i4>5</vt:i4>
      </vt:variant>
      <vt:variant>
        <vt:lpwstr/>
      </vt:variant>
      <vt:variant>
        <vt:lpwstr>_Toc120552731</vt:lpwstr>
      </vt:variant>
      <vt:variant>
        <vt:i4>1114163</vt:i4>
      </vt:variant>
      <vt:variant>
        <vt:i4>98</vt:i4>
      </vt:variant>
      <vt:variant>
        <vt:i4>0</vt:i4>
      </vt:variant>
      <vt:variant>
        <vt:i4>5</vt:i4>
      </vt:variant>
      <vt:variant>
        <vt:lpwstr/>
      </vt:variant>
      <vt:variant>
        <vt:lpwstr>_Toc120552730</vt:lpwstr>
      </vt:variant>
      <vt:variant>
        <vt:i4>1048627</vt:i4>
      </vt:variant>
      <vt:variant>
        <vt:i4>92</vt:i4>
      </vt:variant>
      <vt:variant>
        <vt:i4>0</vt:i4>
      </vt:variant>
      <vt:variant>
        <vt:i4>5</vt:i4>
      </vt:variant>
      <vt:variant>
        <vt:lpwstr/>
      </vt:variant>
      <vt:variant>
        <vt:lpwstr>_Toc120552729</vt:lpwstr>
      </vt:variant>
      <vt:variant>
        <vt:i4>1048627</vt:i4>
      </vt:variant>
      <vt:variant>
        <vt:i4>86</vt:i4>
      </vt:variant>
      <vt:variant>
        <vt:i4>0</vt:i4>
      </vt:variant>
      <vt:variant>
        <vt:i4>5</vt:i4>
      </vt:variant>
      <vt:variant>
        <vt:lpwstr/>
      </vt:variant>
      <vt:variant>
        <vt:lpwstr>_Toc120552728</vt:lpwstr>
      </vt:variant>
      <vt:variant>
        <vt:i4>1048627</vt:i4>
      </vt:variant>
      <vt:variant>
        <vt:i4>80</vt:i4>
      </vt:variant>
      <vt:variant>
        <vt:i4>0</vt:i4>
      </vt:variant>
      <vt:variant>
        <vt:i4>5</vt:i4>
      </vt:variant>
      <vt:variant>
        <vt:lpwstr/>
      </vt:variant>
      <vt:variant>
        <vt:lpwstr>_Toc120552727</vt:lpwstr>
      </vt:variant>
      <vt:variant>
        <vt:i4>1048627</vt:i4>
      </vt:variant>
      <vt:variant>
        <vt:i4>74</vt:i4>
      </vt:variant>
      <vt:variant>
        <vt:i4>0</vt:i4>
      </vt:variant>
      <vt:variant>
        <vt:i4>5</vt:i4>
      </vt:variant>
      <vt:variant>
        <vt:lpwstr/>
      </vt:variant>
      <vt:variant>
        <vt:lpwstr>_Toc120552726</vt:lpwstr>
      </vt:variant>
      <vt:variant>
        <vt:i4>1048627</vt:i4>
      </vt:variant>
      <vt:variant>
        <vt:i4>68</vt:i4>
      </vt:variant>
      <vt:variant>
        <vt:i4>0</vt:i4>
      </vt:variant>
      <vt:variant>
        <vt:i4>5</vt:i4>
      </vt:variant>
      <vt:variant>
        <vt:lpwstr/>
      </vt:variant>
      <vt:variant>
        <vt:lpwstr>_Toc120552725</vt:lpwstr>
      </vt:variant>
      <vt:variant>
        <vt:i4>1048627</vt:i4>
      </vt:variant>
      <vt:variant>
        <vt:i4>62</vt:i4>
      </vt:variant>
      <vt:variant>
        <vt:i4>0</vt:i4>
      </vt:variant>
      <vt:variant>
        <vt:i4>5</vt:i4>
      </vt:variant>
      <vt:variant>
        <vt:lpwstr/>
      </vt:variant>
      <vt:variant>
        <vt:lpwstr>_Toc120552724</vt:lpwstr>
      </vt:variant>
      <vt:variant>
        <vt:i4>1048627</vt:i4>
      </vt:variant>
      <vt:variant>
        <vt:i4>56</vt:i4>
      </vt:variant>
      <vt:variant>
        <vt:i4>0</vt:i4>
      </vt:variant>
      <vt:variant>
        <vt:i4>5</vt:i4>
      </vt:variant>
      <vt:variant>
        <vt:lpwstr/>
      </vt:variant>
      <vt:variant>
        <vt:lpwstr>_Toc120552723</vt:lpwstr>
      </vt:variant>
      <vt:variant>
        <vt:i4>1048627</vt:i4>
      </vt:variant>
      <vt:variant>
        <vt:i4>50</vt:i4>
      </vt:variant>
      <vt:variant>
        <vt:i4>0</vt:i4>
      </vt:variant>
      <vt:variant>
        <vt:i4>5</vt:i4>
      </vt:variant>
      <vt:variant>
        <vt:lpwstr/>
      </vt:variant>
      <vt:variant>
        <vt:lpwstr>_Toc120552722</vt:lpwstr>
      </vt:variant>
      <vt:variant>
        <vt:i4>1048627</vt:i4>
      </vt:variant>
      <vt:variant>
        <vt:i4>44</vt:i4>
      </vt:variant>
      <vt:variant>
        <vt:i4>0</vt:i4>
      </vt:variant>
      <vt:variant>
        <vt:i4>5</vt:i4>
      </vt:variant>
      <vt:variant>
        <vt:lpwstr/>
      </vt:variant>
      <vt:variant>
        <vt:lpwstr>_Toc120552721</vt:lpwstr>
      </vt:variant>
      <vt:variant>
        <vt:i4>1048627</vt:i4>
      </vt:variant>
      <vt:variant>
        <vt:i4>38</vt:i4>
      </vt:variant>
      <vt:variant>
        <vt:i4>0</vt:i4>
      </vt:variant>
      <vt:variant>
        <vt:i4>5</vt:i4>
      </vt:variant>
      <vt:variant>
        <vt:lpwstr/>
      </vt:variant>
      <vt:variant>
        <vt:lpwstr>_Toc120552720</vt:lpwstr>
      </vt:variant>
      <vt:variant>
        <vt:i4>1245235</vt:i4>
      </vt:variant>
      <vt:variant>
        <vt:i4>32</vt:i4>
      </vt:variant>
      <vt:variant>
        <vt:i4>0</vt:i4>
      </vt:variant>
      <vt:variant>
        <vt:i4>5</vt:i4>
      </vt:variant>
      <vt:variant>
        <vt:lpwstr/>
      </vt:variant>
      <vt:variant>
        <vt:lpwstr>_Toc120552719</vt:lpwstr>
      </vt:variant>
      <vt:variant>
        <vt:i4>1245235</vt:i4>
      </vt:variant>
      <vt:variant>
        <vt:i4>26</vt:i4>
      </vt:variant>
      <vt:variant>
        <vt:i4>0</vt:i4>
      </vt:variant>
      <vt:variant>
        <vt:i4>5</vt:i4>
      </vt:variant>
      <vt:variant>
        <vt:lpwstr/>
      </vt:variant>
      <vt:variant>
        <vt:lpwstr>_Toc120552718</vt:lpwstr>
      </vt:variant>
      <vt:variant>
        <vt:i4>1245235</vt:i4>
      </vt:variant>
      <vt:variant>
        <vt:i4>20</vt:i4>
      </vt:variant>
      <vt:variant>
        <vt:i4>0</vt:i4>
      </vt:variant>
      <vt:variant>
        <vt:i4>5</vt:i4>
      </vt:variant>
      <vt:variant>
        <vt:lpwstr/>
      </vt:variant>
      <vt:variant>
        <vt:lpwstr>_Toc120552717</vt:lpwstr>
      </vt:variant>
      <vt:variant>
        <vt:i4>1245235</vt:i4>
      </vt:variant>
      <vt:variant>
        <vt:i4>14</vt:i4>
      </vt:variant>
      <vt:variant>
        <vt:i4>0</vt:i4>
      </vt:variant>
      <vt:variant>
        <vt:i4>5</vt:i4>
      </vt:variant>
      <vt:variant>
        <vt:lpwstr/>
      </vt:variant>
      <vt:variant>
        <vt:lpwstr>_Toc120552716</vt:lpwstr>
      </vt:variant>
      <vt:variant>
        <vt:i4>1245235</vt:i4>
      </vt:variant>
      <vt:variant>
        <vt:i4>8</vt:i4>
      </vt:variant>
      <vt:variant>
        <vt:i4>0</vt:i4>
      </vt:variant>
      <vt:variant>
        <vt:i4>5</vt:i4>
      </vt:variant>
      <vt:variant>
        <vt:lpwstr/>
      </vt:variant>
      <vt:variant>
        <vt:lpwstr>_Toc120552715</vt:lpwstr>
      </vt:variant>
      <vt:variant>
        <vt:i4>1245235</vt:i4>
      </vt:variant>
      <vt:variant>
        <vt:i4>2</vt:i4>
      </vt:variant>
      <vt:variant>
        <vt:i4>0</vt:i4>
      </vt:variant>
      <vt:variant>
        <vt:i4>5</vt:i4>
      </vt:variant>
      <vt:variant>
        <vt:lpwstr/>
      </vt:variant>
      <vt:variant>
        <vt:lpwstr>_Toc120552714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Emily Mills</cp:lastModifiedBy>
  <cp:revision>7</cp:revision>
  <dcterms:created xsi:type="dcterms:W3CDTF">2022-12-14T14:12:00Z</dcterms:created>
  <dcterms:modified xsi:type="dcterms:W3CDTF">2022-12-14T15:22:00Z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0x01010088E06F408947634AACE940EC88DD685D</vt:lpwstr>
  </property>
</Properties>
</file>